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65" w:rsidRPr="00E51489" w:rsidRDefault="004D4E65" w:rsidP="004D4E65">
      <w:pPr>
        <w:pStyle w:val="Nadpis9"/>
        <w:spacing w:before="0" w:after="0"/>
        <w:jc w:val="center"/>
        <w:rPr>
          <w:rFonts w:ascii="Arial" w:hAnsi="Arial" w:cs="Arial"/>
          <w:b/>
        </w:rPr>
      </w:pPr>
      <w:r w:rsidRPr="00E51489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3811BCB" wp14:editId="1B140EF8">
            <wp:simplePos x="0" y="0"/>
            <wp:positionH relativeFrom="column">
              <wp:align>center</wp:align>
            </wp:positionH>
            <wp:positionV relativeFrom="paragraph">
              <wp:posOffset>-162560</wp:posOffset>
            </wp:positionV>
            <wp:extent cx="791210" cy="559435"/>
            <wp:effectExtent l="19050" t="0" r="8890" b="0"/>
            <wp:wrapSquare wrapText="bothSides"/>
            <wp:docPr id="2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E65" w:rsidRPr="00E51489" w:rsidRDefault="004D4E65" w:rsidP="004D4E65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4D4E65" w:rsidRPr="00E51489" w:rsidRDefault="004D4E65" w:rsidP="004D4E65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4D4E65" w:rsidRPr="00E51489" w:rsidRDefault="004D4E65" w:rsidP="004D4E65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4D4E65" w:rsidRPr="00F42A4B" w:rsidRDefault="004D4E65" w:rsidP="004D4E65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F42A4B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4D4E65" w:rsidRPr="00F42A4B" w:rsidRDefault="004D4E65" w:rsidP="004D4E65">
      <w:pPr>
        <w:rPr>
          <w:rFonts w:cs="Arial"/>
          <w:sz w:val="28"/>
          <w:szCs w:val="28"/>
        </w:rPr>
      </w:pPr>
    </w:p>
    <w:p w:rsidR="004D4E65" w:rsidRPr="00F42A4B" w:rsidRDefault="004D4E65" w:rsidP="004D4E65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F42A4B">
        <w:rPr>
          <w:rFonts w:cs="Arial"/>
          <w:b/>
          <w:bCs/>
          <w:sz w:val="28"/>
          <w:szCs w:val="28"/>
        </w:rPr>
        <w:t>12/25</w:t>
      </w:r>
    </w:p>
    <w:p w:rsidR="004D4E65" w:rsidRPr="00F42A4B" w:rsidRDefault="004D4E65" w:rsidP="004D4E65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4D4E65" w:rsidRPr="00F42A4B" w:rsidRDefault="004D4E65" w:rsidP="004D4E65">
      <w:pPr>
        <w:jc w:val="center"/>
        <w:rPr>
          <w:rFonts w:cs="Arial"/>
          <w:b/>
          <w:noProof/>
          <w:sz w:val="28"/>
          <w:szCs w:val="28"/>
        </w:rPr>
      </w:pPr>
      <w:r w:rsidRPr="00F42A4B">
        <w:rPr>
          <w:rFonts w:cs="Arial"/>
          <w:b/>
          <w:noProof/>
          <w:sz w:val="28"/>
          <w:szCs w:val="28"/>
        </w:rPr>
        <w:t>Peněžní prostředky státu poskytované na protidrogovou politiku</w:t>
      </w:r>
    </w:p>
    <w:p w:rsidR="004D4E65" w:rsidRPr="00F42A4B" w:rsidRDefault="004D4E65" w:rsidP="004D4E65">
      <w:pPr>
        <w:rPr>
          <w:rFonts w:cs="Arial"/>
          <w:sz w:val="28"/>
          <w:szCs w:val="28"/>
        </w:rPr>
      </w:pPr>
    </w:p>
    <w:p w:rsidR="004D4E65" w:rsidRPr="00E51489" w:rsidRDefault="004D4E65" w:rsidP="004D4E65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 xml:space="preserve">Kontrolní akce byla zařazena do plánu kontrolní činnosti Nejvyššího kontrolního úřadu (dále jen „NKÚ“) na rok 2012 pod číslem 12/25. Kontrolní akci řídil a kontrolní závěr vypracoval </w:t>
      </w:r>
      <w:r w:rsidRPr="00E51489">
        <w:rPr>
          <w:rFonts w:cs="Arial"/>
          <w:noProof/>
          <w:sz w:val="22"/>
          <w:szCs w:val="22"/>
        </w:rPr>
        <w:t>č</w:t>
      </w:r>
      <w:r w:rsidRPr="00E51489">
        <w:rPr>
          <w:rFonts w:cs="Arial"/>
          <w:sz w:val="22"/>
          <w:szCs w:val="22"/>
        </w:rPr>
        <w:t>len NKÚ</w:t>
      </w:r>
      <w:r w:rsidRPr="00E51489">
        <w:rPr>
          <w:rFonts w:cs="Arial"/>
          <w:noProof/>
          <w:sz w:val="22"/>
          <w:szCs w:val="22"/>
        </w:rPr>
        <w:t xml:space="preserve"> RNDr. Petr Neuvirt. </w:t>
      </w:r>
    </w:p>
    <w:p w:rsidR="004D4E65" w:rsidRPr="00E51489" w:rsidRDefault="004D4E65" w:rsidP="004D4E65">
      <w:pPr>
        <w:pStyle w:val="Zkladn"/>
        <w:spacing w:before="0"/>
        <w:rPr>
          <w:rFonts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rFonts w:cs="Arial"/>
          <w:noProof/>
          <w:sz w:val="22"/>
          <w:szCs w:val="22"/>
        </w:rPr>
      </w:pPr>
      <w:r w:rsidRPr="00E51489">
        <w:rPr>
          <w:rFonts w:cs="Arial"/>
          <w:sz w:val="22"/>
          <w:szCs w:val="22"/>
        </w:rPr>
        <w:t>Cílem kontroly bylo prověřit systém poskytování, čerpání a použití peněžních prostředků státu určených na protidrogovou politiku.</w:t>
      </w:r>
    </w:p>
    <w:p w:rsidR="004D4E65" w:rsidRPr="00E51489" w:rsidRDefault="004D4E65" w:rsidP="004D4E65">
      <w:pPr>
        <w:jc w:val="both"/>
        <w:rPr>
          <w:rFonts w:asciiTheme="majorHAnsi" w:eastAsiaTheme="majorEastAsia" w:hAnsiTheme="majorHAnsi" w:cstheme="majorBidi"/>
          <w:b/>
          <w:bCs/>
          <w:szCs w:val="22"/>
        </w:rPr>
      </w:pPr>
    </w:p>
    <w:p w:rsidR="004D4E65" w:rsidRPr="00E51489" w:rsidRDefault="004D4E65" w:rsidP="004D4E65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 xml:space="preserve">Kontrolováno bylo období let 2010 a 2011, </w:t>
      </w:r>
      <w:r w:rsidR="001D60C8">
        <w:rPr>
          <w:sz w:val="22"/>
          <w:szCs w:val="22"/>
        </w:rPr>
        <w:t>v </w:t>
      </w:r>
      <w:r w:rsidRPr="00E51489">
        <w:rPr>
          <w:sz w:val="22"/>
          <w:szCs w:val="22"/>
        </w:rPr>
        <w:t>případě věcných souvislostí i období předcházející a následující. Kontrola byla prováděna od srpna 2012 do února 2013.</w:t>
      </w:r>
    </w:p>
    <w:p w:rsidR="004D4E65" w:rsidRPr="00E51489" w:rsidRDefault="004D4E65" w:rsidP="004D4E65">
      <w:pPr>
        <w:pStyle w:val="Zkladn"/>
        <w:spacing w:before="0"/>
        <w:rPr>
          <w:rFonts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>Kontrolované osoby:</w:t>
      </w:r>
    </w:p>
    <w:p w:rsidR="00E26A2A" w:rsidRPr="00CB77EE" w:rsidRDefault="00E26A2A" w:rsidP="00E26A2A">
      <w:pPr>
        <w:jc w:val="both"/>
        <w:rPr>
          <w:rFonts w:cs="Arial"/>
          <w:sz w:val="22"/>
          <w:szCs w:val="22"/>
        </w:rPr>
      </w:pPr>
      <w:r w:rsidRPr="00BA5355">
        <w:rPr>
          <w:rFonts w:cs="Arial"/>
          <w:color w:val="000000"/>
          <w:sz w:val="22"/>
          <w:szCs w:val="22"/>
        </w:rPr>
        <w:t>Úřad vlády České republiky;</w:t>
      </w:r>
      <w:r>
        <w:rPr>
          <w:rFonts w:cs="Arial"/>
          <w:sz w:val="22"/>
          <w:szCs w:val="22"/>
        </w:rPr>
        <w:t xml:space="preserve"> </w:t>
      </w:r>
      <w:r w:rsidRPr="00BA5355">
        <w:rPr>
          <w:rFonts w:cs="Arial"/>
          <w:color w:val="000000"/>
          <w:sz w:val="22"/>
          <w:szCs w:val="22"/>
        </w:rPr>
        <w:t>Ministerstvo zdravotnictví;</w:t>
      </w:r>
      <w:r>
        <w:rPr>
          <w:rFonts w:cs="Arial"/>
          <w:sz w:val="22"/>
          <w:szCs w:val="22"/>
        </w:rPr>
        <w:t xml:space="preserve"> </w:t>
      </w:r>
      <w:r w:rsidRPr="00BA5355">
        <w:rPr>
          <w:rFonts w:cs="Arial"/>
          <w:color w:val="000000"/>
          <w:sz w:val="22"/>
          <w:szCs w:val="22"/>
        </w:rPr>
        <w:t>M</w:t>
      </w:r>
      <w:r>
        <w:rPr>
          <w:rFonts w:cs="Arial"/>
          <w:color w:val="000000"/>
          <w:sz w:val="22"/>
          <w:szCs w:val="22"/>
        </w:rPr>
        <w:t>inisterstvo školství, mládeže a </w:t>
      </w:r>
      <w:r w:rsidRPr="00BA5355">
        <w:rPr>
          <w:rFonts w:cs="Arial"/>
          <w:color w:val="000000"/>
          <w:sz w:val="22"/>
          <w:szCs w:val="22"/>
        </w:rPr>
        <w:t>tělovýchovy</w:t>
      </w:r>
      <w:r w:rsidRPr="00E775FF">
        <w:rPr>
          <w:rFonts w:cs="Arial"/>
          <w:color w:val="000000"/>
          <w:sz w:val="22"/>
          <w:szCs w:val="22"/>
        </w:rPr>
        <w:t>;</w:t>
      </w:r>
      <w:r w:rsidRPr="00E775FF">
        <w:rPr>
          <w:rFonts w:cs="Arial"/>
          <w:sz w:val="22"/>
          <w:szCs w:val="22"/>
        </w:rPr>
        <w:t xml:space="preserve"> Diecézní charita Brno, Brno; Farní charita Tábor, Tábor; Oblastní charita Kroměříž, Kroměříž; Kolpingovo dílo České republiky </w:t>
      </w:r>
      <w:proofErr w:type="gramStart"/>
      <w:r w:rsidRPr="00E775FF">
        <w:rPr>
          <w:rFonts w:cs="Arial"/>
          <w:sz w:val="22"/>
          <w:szCs w:val="22"/>
        </w:rPr>
        <w:t>o.s.</w:t>
      </w:r>
      <w:proofErr w:type="gramEnd"/>
      <w:r w:rsidRPr="00E775FF">
        <w:rPr>
          <w:rFonts w:cs="Arial"/>
          <w:sz w:val="22"/>
          <w:szCs w:val="22"/>
        </w:rPr>
        <w:t>, Žďár nad Sázavou; KOTEC</w:t>
      </w:r>
      <w:r>
        <w:rPr>
          <w:rFonts w:cs="Arial"/>
          <w:sz w:val="22"/>
          <w:szCs w:val="22"/>
        </w:rPr>
        <w:t xml:space="preserve"> o.</w:t>
      </w:r>
      <w:r w:rsidR="00D851C6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s., Mariánské Lázně; Laxus o.s., Nymburk; Most k naději, Most; Občanské sdružení Krok, Kyjov; Občanské sdružení Světlo Kadaň (OSS Kadaň)</w:t>
      </w:r>
      <w:r w:rsidR="00B26BF3">
        <w:rPr>
          <w:rFonts w:cs="Arial"/>
          <w:sz w:val="22"/>
          <w:szCs w:val="22"/>
        </w:rPr>
        <w:t>, Kadaň</w:t>
      </w:r>
      <w:r>
        <w:rPr>
          <w:rFonts w:cs="Arial"/>
          <w:sz w:val="22"/>
          <w:szCs w:val="22"/>
        </w:rPr>
        <w:t xml:space="preserve">; SANANIM, Praha; Sdružení Podané ruce, o.s., Brno; Ulice – Agentura sociální práce, o.s., Plzeň; WHITE LIGHT I., Ústí nad Labem; Centrum protidrogové prevence a terapie, o.p.s., Plzeň; </w:t>
      </w:r>
      <w:proofErr w:type="spellStart"/>
      <w:r>
        <w:rPr>
          <w:rFonts w:cs="Arial"/>
          <w:sz w:val="22"/>
        </w:rPr>
        <w:t>Renarkon</w:t>
      </w:r>
      <w:proofErr w:type="spellEnd"/>
      <w:r w:rsidR="002E1ADB">
        <w:rPr>
          <w:rFonts w:cs="Arial"/>
          <w:sz w:val="22"/>
        </w:rPr>
        <w:t>,</w:t>
      </w:r>
      <w:r>
        <w:rPr>
          <w:rFonts w:cs="Arial"/>
          <w:sz w:val="22"/>
        </w:rPr>
        <w:t xml:space="preserve"> o. p. s., Ostrava</w:t>
      </w:r>
      <w:r w:rsidR="002E1ADB">
        <w:rPr>
          <w:rFonts w:cs="Arial"/>
          <w:sz w:val="22"/>
        </w:rPr>
        <w:t> </w:t>
      </w:r>
      <w:r>
        <w:rPr>
          <w:rFonts w:cs="Arial"/>
          <w:sz w:val="22"/>
        </w:rPr>
        <w:t>–</w:t>
      </w:r>
      <w:r w:rsidR="002E1ADB">
        <w:rPr>
          <w:rFonts w:cs="Arial"/>
          <w:sz w:val="22"/>
        </w:rPr>
        <w:t> </w:t>
      </w:r>
      <w:r>
        <w:rPr>
          <w:rFonts w:cs="Arial"/>
          <w:sz w:val="22"/>
        </w:rPr>
        <w:t>Moravská Ostrava.</w:t>
      </w: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>Námitky proti kontrolním</w:t>
      </w:r>
      <w:r w:rsidR="005E62A0">
        <w:rPr>
          <w:sz w:val="22"/>
          <w:szCs w:val="22"/>
        </w:rPr>
        <w:t>u</w:t>
      </w:r>
      <w:r w:rsidRPr="00E51489">
        <w:rPr>
          <w:sz w:val="22"/>
          <w:szCs w:val="22"/>
        </w:rPr>
        <w:t xml:space="preserve"> protokol</w:t>
      </w:r>
      <w:r w:rsidR="005E62A0">
        <w:rPr>
          <w:sz w:val="22"/>
          <w:szCs w:val="22"/>
        </w:rPr>
        <w:t>u</w:t>
      </w:r>
      <w:r w:rsidRPr="00E51489">
        <w:rPr>
          <w:sz w:val="22"/>
          <w:szCs w:val="22"/>
        </w:rPr>
        <w:t xml:space="preserve"> kontrolované osoby nepodaly. </w:t>
      </w: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  <w:proofErr w:type="gramStart"/>
      <w:r w:rsidRPr="00E51489">
        <w:rPr>
          <w:rFonts w:cs="Arial"/>
          <w:b/>
          <w:bCs/>
          <w:i/>
          <w:iCs/>
          <w:sz w:val="22"/>
          <w:szCs w:val="22"/>
        </w:rPr>
        <w:t>K o l e g i u m</w:t>
      </w:r>
      <w:r w:rsidRPr="00E51489">
        <w:rPr>
          <w:rFonts w:cs="Arial"/>
          <w:sz w:val="22"/>
          <w:szCs w:val="22"/>
        </w:rPr>
        <w:t xml:space="preserve">   </w:t>
      </w:r>
      <w:r w:rsidRPr="00F42A4B">
        <w:rPr>
          <w:rFonts w:cs="Arial"/>
          <w:b/>
          <w:i/>
          <w:sz w:val="22"/>
          <w:szCs w:val="22"/>
        </w:rPr>
        <w:t>N</w:t>
      </w:r>
      <w:r w:rsidR="003A4782" w:rsidRPr="00F42A4B">
        <w:rPr>
          <w:rFonts w:cs="Arial"/>
          <w:b/>
          <w:i/>
          <w:sz w:val="22"/>
          <w:szCs w:val="22"/>
        </w:rPr>
        <w:t xml:space="preserve"> </w:t>
      </w:r>
      <w:r w:rsidRPr="00F42A4B">
        <w:rPr>
          <w:rFonts w:cs="Arial"/>
          <w:b/>
          <w:i/>
          <w:sz w:val="22"/>
          <w:szCs w:val="22"/>
        </w:rPr>
        <w:t>K</w:t>
      </w:r>
      <w:r w:rsidR="003A4782" w:rsidRPr="00F42A4B">
        <w:rPr>
          <w:rFonts w:cs="Arial"/>
          <w:b/>
          <w:i/>
          <w:sz w:val="22"/>
          <w:szCs w:val="22"/>
        </w:rPr>
        <w:t xml:space="preserve"> </w:t>
      </w:r>
      <w:r w:rsidRPr="00F42A4B">
        <w:rPr>
          <w:rFonts w:cs="Arial"/>
          <w:b/>
          <w:i/>
          <w:sz w:val="22"/>
          <w:szCs w:val="22"/>
        </w:rPr>
        <w:t>Ú</w:t>
      </w:r>
      <w:r w:rsidRPr="00E51489">
        <w:rPr>
          <w:rFonts w:cs="Arial"/>
          <w:sz w:val="22"/>
          <w:szCs w:val="22"/>
        </w:rPr>
        <w:t xml:space="preserve"> </w:t>
      </w:r>
      <w:r w:rsidR="002E1ADB">
        <w:rPr>
          <w:rFonts w:cs="Arial"/>
          <w:sz w:val="22"/>
          <w:szCs w:val="22"/>
        </w:rPr>
        <w:t xml:space="preserve">  </w:t>
      </w:r>
      <w:r w:rsidRPr="00E51489">
        <w:rPr>
          <w:rFonts w:cs="Arial"/>
          <w:sz w:val="22"/>
          <w:szCs w:val="22"/>
        </w:rPr>
        <w:t>na</w:t>
      </w:r>
      <w:proofErr w:type="gramEnd"/>
      <w:r w:rsidRPr="00E51489">
        <w:rPr>
          <w:rFonts w:cs="Arial"/>
          <w:sz w:val="22"/>
          <w:szCs w:val="22"/>
        </w:rPr>
        <w:t xml:space="preserve"> svém </w:t>
      </w:r>
      <w:r w:rsidR="00EC0D90">
        <w:rPr>
          <w:rFonts w:cs="Arial"/>
          <w:sz w:val="22"/>
          <w:szCs w:val="22"/>
        </w:rPr>
        <w:t>VIII.</w:t>
      </w:r>
      <w:r w:rsidRPr="00E51489">
        <w:rPr>
          <w:rFonts w:cs="Arial"/>
          <w:sz w:val="22"/>
          <w:szCs w:val="22"/>
        </w:rPr>
        <w:t xml:space="preserve"> zasedání</w:t>
      </w:r>
      <w:r w:rsidR="003A4782">
        <w:rPr>
          <w:rFonts w:cs="Arial"/>
          <w:sz w:val="22"/>
          <w:szCs w:val="22"/>
        </w:rPr>
        <w:t>, konaném</w:t>
      </w:r>
      <w:r w:rsidRPr="00E51489">
        <w:rPr>
          <w:rFonts w:cs="Arial"/>
          <w:sz w:val="22"/>
          <w:szCs w:val="22"/>
        </w:rPr>
        <w:t xml:space="preserve"> dne </w:t>
      </w:r>
      <w:r w:rsidR="00EC0D90">
        <w:rPr>
          <w:rFonts w:cs="Arial"/>
          <w:sz w:val="22"/>
          <w:szCs w:val="22"/>
        </w:rPr>
        <w:t>29. dubna</w:t>
      </w:r>
      <w:r w:rsidRPr="00E51489">
        <w:rPr>
          <w:rFonts w:cs="Arial"/>
          <w:sz w:val="22"/>
          <w:szCs w:val="22"/>
        </w:rPr>
        <w:t xml:space="preserve"> 2013</w:t>
      </w:r>
      <w:r w:rsidR="003A4782">
        <w:rPr>
          <w:rFonts w:cs="Arial"/>
          <w:sz w:val="22"/>
          <w:szCs w:val="22"/>
        </w:rPr>
        <w:t>,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E51489">
        <w:rPr>
          <w:rFonts w:cs="Arial"/>
          <w:b/>
          <w:bCs/>
          <w:i/>
          <w:iCs/>
          <w:sz w:val="22"/>
          <w:szCs w:val="22"/>
        </w:rPr>
        <w:t>s c h v á l i l o</w:t>
      </w:r>
      <w:r w:rsidRPr="00E51489">
        <w:rPr>
          <w:rFonts w:cs="Arial"/>
          <w:sz w:val="22"/>
          <w:szCs w:val="22"/>
        </w:rPr>
        <w:t xml:space="preserve">   usnesením č.</w:t>
      </w:r>
      <w:proofErr w:type="gramEnd"/>
      <w:r w:rsidRPr="00E51489">
        <w:rPr>
          <w:rFonts w:cs="Arial"/>
          <w:sz w:val="22"/>
          <w:szCs w:val="22"/>
        </w:rPr>
        <w:t xml:space="preserve"> </w:t>
      </w:r>
      <w:r w:rsidR="00C969F3">
        <w:rPr>
          <w:rFonts w:cs="Arial"/>
          <w:sz w:val="22"/>
          <w:szCs w:val="22"/>
        </w:rPr>
        <w:t>7</w:t>
      </w:r>
      <w:r w:rsidRPr="00E51489">
        <w:rPr>
          <w:rFonts w:cs="Arial"/>
          <w:sz w:val="22"/>
          <w:szCs w:val="22"/>
        </w:rPr>
        <w:t>/</w:t>
      </w:r>
      <w:r w:rsidR="00EC0D90">
        <w:rPr>
          <w:rFonts w:cs="Arial"/>
          <w:sz w:val="22"/>
          <w:szCs w:val="22"/>
        </w:rPr>
        <w:t>VIII</w:t>
      </w:r>
      <w:r w:rsidRPr="00E51489">
        <w:rPr>
          <w:rFonts w:cs="Arial"/>
          <w:sz w:val="22"/>
          <w:szCs w:val="22"/>
        </w:rPr>
        <w:t>/2013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b/>
          <w:bCs/>
          <w:i/>
          <w:iCs/>
          <w:sz w:val="22"/>
          <w:szCs w:val="22"/>
        </w:rPr>
        <w:t>k o n t r o l n í   z á v ě r</w:t>
      </w:r>
      <w:r w:rsidRPr="00E51489">
        <w:rPr>
          <w:rFonts w:cs="Arial"/>
          <w:sz w:val="22"/>
          <w:szCs w:val="22"/>
        </w:rPr>
        <w:t xml:space="preserve">   v tomto znění:</w:t>
      </w:r>
    </w:p>
    <w:p w:rsidR="004D4E65" w:rsidRPr="00F42A4B" w:rsidRDefault="004D4E65" w:rsidP="004D4E65">
      <w:pPr>
        <w:rPr>
          <w:sz w:val="22"/>
          <w:szCs w:val="22"/>
        </w:rPr>
      </w:pPr>
    </w:p>
    <w:p w:rsidR="004D4E65" w:rsidRPr="00F42A4B" w:rsidRDefault="004D4E65" w:rsidP="004D4E6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D4E65" w:rsidRPr="00F42A4B" w:rsidRDefault="004D4E65" w:rsidP="004D4E6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D4E65" w:rsidRPr="00F42A4B" w:rsidRDefault="004D4E65" w:rsidP="004D4E65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4D4E65" w:rsidRPr="00E51489" w:rsidRDefault="004D4E65" w:rsidP="004D4E65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51489">
        <w:rPr>
          <w:rFonts w:ascii="Arial" w:hAnsi="Arial" w:cs="Arial"/>
          <w:sz w:val="24"/>
          <w:szCs w:val="24"/>
        </w:rPr>
        <w:t>I. Úvod</w:t>
      </w: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  <w:r w:rsidRPr="00E51489">
        <w:rPr>
          <w:rFonts w:eastAsiaTheme="minorHAnsi" w:cs="Arial"/>
          <w:sz w:val="22"/>
          <w:szCs w:val="22"/>
        </w:rPr>
        <w:t xml:space="preserve">Základy protidrogové politiky byly v České republice položeny v roce 1993, </w:t>
      </w:r>
      <w:r w:rsidR="003A4782">
        <w:rPr>
          <w:rFonts w:eastAsiaTheme="minorHAnsi" w:cs="Arial"/>
          <w:sz w:val="22"/>
          <w:szCs w:val="22"/>
        </w:rPr>
        <w:t>kdy</w:t>
      </w:r>
      <w:r w:rsidRPr="00E51489">
        <w:rPr>
          <w:rFonts w:eastAsiaTheme="minorHAnsi" w:cs="Arial"/>
          <w:sz w:val="22"/>
          <w:szCs w:val="22"/>
        </w:rPr>
        <w:t xml:space="preserve"> vláda </w:t>
      </w:r>
      <w:r w:rsidRPr="00E51489">
        <w:rPr>
          <w:rFonts w:cs="Arial"/>
          <w:iCs/>
          <w:sz w:val="22"/>
          <w:szCs w:val="22"/>
        </w:rPr>
        <w:t xml:space="preserve">usnesením ze dne </w:t>
      </w:r>
      <w:r w:rsidRPr="00E51489">
        <w:rPr>
          <w:rFonts w:eastAsiaTheme="minorHAnsi" w:cs="Arial"/>
          <w:sz w:val="22"/>
          <w:szCs w:val="22"/>
        </w:rPr>
        <w:t xml:space="preserve">26. května 1993 č. 275 vzala na vědomí informaci o zřízení Meziresortní protidrogové komise a usnesením </w:t>
      </w:r>
      <w:r w:rsidRPr="00E51489">
        <w:rPr>
          <w:rFonts w:cs="Arial"/>
          <w:sz w:val="22"/>
          <w:szCs w:val="22"/>
        </w:rPr>
        <w:t xml:space="preserve">ze dne 18. srpna 1993 č. 446 + P schválila </w:t>
      </w:r>
      <w:r w:rsidR="003A4782">
        <w:rPr>
          <w:rFonts w:cs="Arial"/>
          <w:sz w:val="22"/>
          <w:szCs w:val="22"/>
        </w:rPr>
        <w:t xml:space="preserve">pro tuto oblast </w:t>
      </w:r>
      <w:r w:rsidRPr="00E51489">
        <w:rPr>
          <w:rFonts w:cs="Arial"/>
          <w:sz w:val="22"/>
          <w:szCs w:val="22"/>
        </w:rPr>
        <w:t xml:space="preserve">první koncepční dokument s názvem </w:t>
      </w:r>
      <w:r w:rsidRPr="00F42A4B">
        <w:rPr>
          <w:rFonts w:cs="Arial"/>
          <w:i/>
          <w:iCs/>
          <w:sz w:val="22"/>
          <w:szCs w:val="22"/>
        </w:rPr>
        <w:t>Koncepce a program protidrogové politiky</w:t>
      </w:r>
      <w:r w:rsidRPr="00E51489">
        <w:rPr>
          <w:rFonts w:cs="Arial"/>
          <w:iCs/>
          <w:sz w:val="22"/>
          <w:szCs w:val="22"/>
        </w:rPr>
        <w:t xml:space="preserve">. </w:t>
      </w:r>
      <w:r w:rsidR="001D60C8">
        <w:rPr>
          <w:rFonts w:cs="Arial"/>
          <w:iCs/>
          <w:sz w:val="22"/>
          <w:szCs w:val="22"/>
        </w:rPr>
        <w:t>V </w:t>
      </w:r>
      <w:r w:rsidRPr="00E51489">
        <w:rPr>
          <w:rFonts w:cs="Arial"/>
          <w:iCs/>
          <w:sz w:val="22"/>
          <w:szCs w:val="22"/>
        </w:rPr>
        <w:t>té době tvořil právní rámec protidrogové politiky zákon č. 37/1989 Sb., o ochraně před alkoholismem a jinými toxikomaniemi, nahrazený s účinností od 1. </w:t>
      </w:r>
      <w:r w:rsidR="00D17367">
        <w:rPr>
          <w:rFonts w:cs="Arial"/>
          <w:iCs/>
          <w:sz w:val="22"/>
          <w:szCs w:val="22"/>
        </w:rPr>
        <w:t>ledna</w:t>
      </w:r>
      <w:r w:rsidR="003A4782">
        <w:rPr>
          <w:rFonts w:cs="Arial"/>
          <w:iCs/>
          <w:sz w:val="22"/>
          <w:szCs w:val="22"/>
        </w:rPr>
        <w:t xml:space="preserve"> </w:t>
      </w:r>
      <w:r w:rsidRPr="00E51489">
        <w:rPr>
          <w:rFonts w:cs="Arial"/>
          <w:iCs/>
          <w:sz w:val="22"/>
          <w:szCs w:val="22"/>
        </w:rPr>
        <w:t xml:space="preserve">2006 zákonem </w:t>
      </w:r>
      <w:r w:rsidRPr="00E51489">
        <w:rPr>
          <w:rFonts w:cs="Arial"/>
          <w:sz w:val="22"/>
          <w:szCs w:val="22"/>
        </w:rPr>
        <w:t>č.</w:t>
      </w:r>
      <w:r w:rsidR="003A4782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379/2005 Sb., o</w:t>
      </w:r>
      <w:r w:rsidR="001D60C8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opatřeních k ochraně před škodami působenými tabákovými výrobky, alkoholem a jinými návykovými látkami a</w:t>
      </w:r>
      <w:r w:rsidR="003A4782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o</w:t>
      </w:r>
      <w:r w:rsidR="003A4782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změně souvisejících zákonů</w:t>
      </w:r>
      <w:r w:rsidRPr="00E51489">
        <w:rPr>
          <w:rFonts w:cs="Arial"/>
          <w:iCs/>
          <w:sz w:val="22"/>
          <w:szCs w:val="22"/>
        </w:rPr>
        <w:t xml:space="preserve">. </w:t>
      </w:r>
      <w:r w:rsidRPr="00E51489">
        <w:rPr>
          <w:rFonts w:cs="Arial"/>
          <w:sz w:val="22"/>
          <w:szCs w:val="22"/>
        </w:rPr>
        <w:t>Pro účely tohoto zákona se protidrogovou politikou rozumí soubor právních, organizačních a</w:t>
      </w:r>
      <w:r w:rsidR="00E41135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dalších opatření přijímaných a prováděných na úrovni vlády, správních úřadů a orgánů územních samosprávných celků </w:t>
      </w:r>
      <w:r w:rsidR="001D60C8">
        <w:rPr>
          <w:rFonts w:cs="Arial"/>
          <w:sz w:val="22"/>
          <w:szCs w:val="22"/>
        </w:rPr>
        <w:t>s </w:t>
      </w:r>
      <w:r w:rsidRPr="00E51489">
        <w:rPr>
          <w:rFonts w:cs="Arial"/>
          <w:sz w:val="22"/>
          <w:szCs w:val="22"/>
        </w:rPr>
        <w:t>cílem snižovat dostupnost tabákových výrobků, alkoholu a</w:t>
      </w:r>
      <w:r w:rsidR="00E41135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jiných návykových látek a předcházet jejich užívání, rizikům a škodám, jež </w:t>
      </w:r>
      <w:r w:rsidR="001D60C8">
        <w:rPr>
          <w:rFonts w:cs="Arial"/>
          <w:sz w:val="22"/>
          <w:szCs w:val="22"/>
        </w:rPr>
        <w:t>z </w:t>
      </w:r>
      <w:r w:rsidRPr="00E51489">
        <w:rPr>
          <w:rFonts w:cs="Arial"/>
          <w:sz w:val="22"/>
          <w:szCs w:val="22"/>
        </w:rPr>
        <w:t xml:space="preserve">jejich užívání plynou, </w:t>
      </w:r>
      <w:r w:rsidRPr="00E51489">
        <w:rPr>
          <w:rFonts w:cs="Arial"/>
          <w:sz w:val="22"/>
          <w:szCs w:val="22"/>
        </w:rPr>
        <w:lastRenderedPageBreak/>
        <w:t xml:space="preserve">a vzniklé škody mírnit. </w:t>
      </w:r>
      <w:r w:rsidRPr="00E51489">
        <w:rPr>
          <w:rFonts w:eastAsiaTheme="minorHAnsi" w:cs="Arial"/>
          <w:sz w:val="22"/>
          <w:szCs w:val="22"/>
        </w:rPr>
        <w:t xml:space="preserve">Realizaci protidrogové politiky zajišťuje a koordinuje vláda prostřednictvím ministerstev, jiných ústředních orgánů státní správy a územních samosprávných celků. </w:t>
      </w:r>
      <w:r w:rsidRPr="00E51489">
        <w:rPr>
          <w:rFonts w:cs="Arial"/>
          <w:sz w:val="22"/>
          <w:szCs w:val="22"/>
        </w:rPr>
        <w:t xml:space="preserve">Pro účely </w:t>
      </w:r>
      <w:r w:rsidRPr="00E51489">
        <w:rPr>
          <w:rFonts w:eastAsiaTheme="minorHAnsi" w:cs="Arial"/>
          <w:sz w:val="22"/>
          <w:szCs w:val="22"/>
        </w:rPr>
        <w:t>koordinace má vláda zřízenu jako svůj zvláštní poradní orgán Radu vlády pro koordinaci protidrogové politiky (dále jen „Rada“), která se postupně transformovala z původní Meziresortní protidrogové komise. Rada</w:t>
      </w:r>
      <w:r w:rsidRPr="00E51489">
        <w:rPr>
          <w:rFonts w:cs="Arial"/>
          <w:sz w:val="22"/>
          <w:szCs w:val="22"/>
        </w:rPr>
        <w:t xml:space="preserve"> má 14 členů. Jejím předsedou je předseda vlády České republiky a výkonným místopředsedou je národní protidrogový koordinátor. </w:t>
      </w:r>
      <w:r w:rsidRPr="00E51489">
        <w:rPr>
          <w:rFonts w:eastAsiaTheme="minorHAnsi" w:cs="Arial"/>
          <w:sz w:val="22"/>
          <w:szCs w:val="22"/>
        </w:rPr>
        <w:t xml:space="preserve">Rada má </w:t>
      </w:r>
      <w:r w:rsidR="003A4782">
        <w:rPr>
          <w:rFonts w:eastAsiaTheme="minorHAnsi" w:cs="Arial"/>
          <w:sz w:val="22"/>
          <w:szCs w:val="22"/>
        </w:rPr>
        <w:t>pro</w:t>
      </w:r>
      <w:r w:rsidRPr="00E51489">
        <w:rPr>
          <w:rFonts w:eastAsiaTheme="minorHAnsi" w:cs="Arial"/>
          <w:sz w:val="22"/>
          <w:szCs w:val="22"/>
        </w:rPr>
        <w:t xml:space="preserve"> klíčov</w:t>
      </w:r>
      <w:r w:rsidR="003A4782">
        <w:rPr>
          <w:rFonts w:eastAsiaTheme="minorHAnsi" w:cs="Arial"/>
          <w:sz w:val="22"/>
          <w:szCs w:val="22"/>
        </w:rPr>
        <w:t>é</w:t>
      </w:r>
      <w:r w:rsidRPr="00E51489">
        <w:rPr>
          <w:rFonts w:eastAsiaTheme="minorHAnsi" w:cs="Arial"/>
          <w:sz w:val="22"/>
          <w:szCs w:val="22"/>
        </w:rPr>
        <w:t xml:space="preserve"> oblast</w:t>
      </w:r>
      <w:r w:rsidR="003A4782">
        <w:rPr>
          <w:rFonts w:eastAsiaTheme="minorHAnsi" w:cs="Arial"/>
          <w:sz w:val="22"/>
          <w:szCs w:val="22"/>
        </w:rPr>
        <w:t>i</w:t>
      </w:r>
      <w:r w:rsidRPr="00E51489">
        <w:rPr>
          <w:rFonts w:eastAsiaTheme="minorHAnsi" w:cs="Arial"/>
          <w:sz w:val="22"/>
          <w:szCs w:val="22"/>
        </w:rPr>
        <w:t xml:space="preserve"> protidrogové politiky zřízeno pět výborů, jmenovitě Výbor zástupců resortů a institucí, Výbor zástupců regionů, Výbor pro poskytování účelových dotací, Výbor pro udělování certifikací a</w:t>
      </w:r>
      <w:r w:rsidR="001D60C8">
        <w:rPr>
          <w:rFonts w:eastAsiaTheme="minorHAnsi" w:cs="Arial"/>
          <w:sz w:val="22"/>
          <w:szCs w:val="22"/>
        </w:rPr>
        <w:t> </w:t>
      </w:r>
      <w:r w:rsidRPr="00E51489">
        <w:rPr>
          <w:rFonts w:eastAsiaTheme="minorHAnsi" w:cs="Arial"/>
          <w:sz w:val="22"/>
          <w:szCs w:val="22"/>
        </w:rPr>
        <w:t xml:space="preserve">Poradní výbor pro sběr dat o drogách. Činnost Rady zajišťuje její sekretariát, začleněný do organizační struktury Úřadu vlády České republiky </w:t>
      </w:r>
      <w:r w:rsidRPr="00E51489">
        <w:rPr>
          <w:rFonts w:cs="Arial"/>
          <w:sz w:val="22"/>
          <w:szCs w:val="22"/>
        </w:rPr>
        <w:t xml:space="preserve">(dále jen „ÚV ČR“). </w:t>
      </w:r>
      <w:r w:rsidRPr="00E51489">
        <w:rPr>
          <w:rFonts w:eastAsiaTheme="minorHAnsi" w:cs="Arial"/>
          <w:sz w:val="22"/>
          <w:szCs w:val="22"/>
        </w:rPr>
        <w:t>Funkci sekretariátu Rady vykonává odbor protidrogové politiky, sestávající z oddělení koordinace a financování protidrogové politiky a </w:t>
      </w:r>
      <w:r w:rsidR="001D60C8">
        <w:rPr>
          <w:rFonts w:eastAsiaTheme="minorHAnsi" w:cs="Arial"/>
          <w:sz w:val="22"/>
          <w:szCs w:val="22"/>
        </w:rPr>
        <w:t>z </w:t>
      </w:r>
      <w:r w:rsidRPr="00E51489">
        <w:rPr>
          <w:rFonts w:eastAsiaTheme="minorHAnsi" w:cs="Arial"/>
          <w:sz w:val="22"/>
          <w:szCs w:val="22"/>
        </w:rPr>
        <w:t>Národní</w:t>
      </w:r>
      <w:r w:rsidR="003A4782">
        <w:rPr>
          <w:rFonts w:eastAsiaTheme="minorHAnsi" w:cs="Arial"/>
          <w:sz w:val="22"/>
          <w:szCs w:val="22"/>
        </w:rPr>
        <w:t>ho</w:t>
      </w:r>
      <w:r w:rsidRPr="00E51489">
        <w:rPr>
          <w:rFonts w:eastAsiaTheme="minorHAnsi" w:cs="Arial"/>
          <w:sz w:val="22"/>
          <w:szCs w:val="22"/>
        </w:rPr>
        <w:t xml:space="preserve"> monitorovací</w:t>
      </w:r>
      <w:r w:rsidR="003A4782">
        <w:rPr>
          <w:rFonts w:eastAsiaTheme="minorHAnsi" w:cs="Arial"/>
          <w:sz w:val="22"/>
          <w:szCs w:val="22"/>
        </w:rPr>
        <w:t xml:space="preserve">ho </w:t>
      </w:r>
      <w:r w:rsidRPr="00E51489">
        <w:rPr>
          <w:rFonts w:eastAsiaTheme="minorHAnsi" w:cs="Arial"/>
          <w:sz w:val="22"/>
          <w:szCs w:val="22"/>
        </w:rPr>
        <w:t>středisk</w:t>
      </w:r>
      <w:r w:rsidR="003A4782">
        <w:rPr>
          <w:rFonts w:eastAsiaTheme="minorHAnsi" w:cs="Arial"/>
          <w:sz w:val="22"/>
          <w:szCs w:val="22"/>
        </w:rPr>
        <w:t>a</w:t>
      </w:r>
      <w:r w:rsidRPr="00E51489">
        <w:rPr>
          <w:rFonts w:eastAsiaTheme="minorHAnsi" w:cs="Arial"/>
          <w:sz w:val="22"/>
          <w:szCs w:val="22"/>
        </w:rPr>
        <w:t xml:space="preserve"> pro drogy a drogové závislosti.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iCs/>
          <w:sz w:val="22"/>
          <w:szCs w:val="22"/>
        </w:rPr>
        <w:t xml:space="preserve">Kontrola u ÚV ČR, </w:t>
      </w:r>
      <w:r w:rsidRPr="00E51489">
        <w:rPr>
          <w:rFonts w:cs="Arial"/>
          <w:sz w:val="22"/>
          <w:szCs w:val="22"/>
        </w:rPr>
        <w:t xml:space="preserve">Ministerstva zdravotnictví (dále jen „MZ“) a Ministerstva školství, mládeže a tělovýchovy (dále jen „MŠMT“) </w:t>
      </w:r>
      <w:r w:rsidRPr="00E51489">
        <w:rPr>
          <w:rFonts w:cs="Arial"/>
          <w:iCs/>
          <w:sz w:val="22"/>
          <w:szCs w:val="22"/>
        </w:rPr>
        <w:t>byla zaměřena na alokaci z</w:t>
      </w:r>
      <w:r w:rsidRPr="00E51489">
        <w:rPr>
          <w:rFonts w:cs="Arial"/>
          <w:sz w:val="22"/>
          <w:szCs w:val="22"/>
        </w:rPr>
        <w:t xml:space="preserve">drojů a realizaci výdajů státního rozpočtu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programech protidrogové politiky </w:t>
      </w:r>
      <w:r w:rsidRPr="00E51489">
        <w:rPr>
          <w:rFonts w:cs="Arial"/>
          <w:iCs/>
          <w:sz w:val="22"/>
          <w:szCs w:val="22"/>
        </w:rPr>
        <w:t xml:space="preserve">a na úroveň </w:t>
      </w:r>
      <w:r w:rsidRPr="00E51489">
        <w:rPr>
          <w:rFonts w:cs="Arial"/>
          <w:sz w:val="22"/>
          <w:szCs w:val="22"/>
        </w:rPr>
        <w:t xml:space="preserve">systémů administrativního a finančního řízení, monitorování, vyhodnocování a finanční kontroly programové podpory. U příjemců podpory </w:t>
      </w:r>
      <w:r w:rsidR="001D60C8">
        <w:rPr>
          <w:rFonts w:cs="Arial"/>
          <w:sz w:val="22"/>
          <w:szCs w:val="22"/>
        </w:rPr>
        <w:t>z </w:t>
      </w:r>
      <w:r w:rsidRPr="00E51489">
        <w:rPr>
          <w:rFonts w:cs="Arial"/>
          <w:sz w:val="22"/>
          <w:szCs w:val="22"/>
        </w:rPr>
        <w:t>program</w:t>
      </w:r>
      <w:r w:rsidR="003A4782">
        <w:rPr>
          <w:rFonts w:cs="Arial"/>
          <w:sz w:val="22"/>
          <w:szCs w:val="22"/>
        </w:rPr>
        <w:t>ů</w:t>
      </w:r>
      <w:r w:rsidRPr="00E51489">
        <w:rPr>
          <w:rFonts w:cs="Arial"/>
          <w:sz w:val="22"/>
          <w:szCs w:val="22"/>
        </w:rPr>
        <w:t xml:space="preserve"> protidrogové politiky bylo kontrolováno dodržení právních předpisů a pravidel </w:t>
      </w:r>
      <w:r w:rsidRPr="00E51489">
        <w:rPr>
          <w:rFonts w:cs="Arial"/>
          <w:iCs/>
          <w:sz w:val="22"/>
          <w:szCs w:val="22"/>
        </w:rPr>
        <w:t>ÚV ČR, MZ a </w:t>
      </w:r>
      <w:r w:rsidRPr="00E51489">
        <w:rPr>
          <w:rFonts w:cs="Arial"/>
          <w:sz w:val="22"/>
          <w:szCs w:val="22"/>
        </w:rPr>
        <w:t>MŠMT</w:t>
      </w:r>
      <w:r w:rsidRPr="00E51489">
        <w:rPr>
          <w:rFonts w:cs="Arial"/>
          <w:iCs/>
          <w:sz w:val="22"/>
          <w:szCs w:val="22"/>
        </w:rPr>
        <w:t xml:space="preserve"> p</w:t>
      </w:r>
      <w:r w:rsidRPr="00E51489">
        <w:rPr>
          <w:rFonts w:cs="Arial"/>
          <w:sz w:val="22"/>
          <w:szCs w:val="22"/>
        </w:rPr>
        <w:t xml:space="preserve">ro čerpání a použití dotace a její finanční vypořádání. </w:t>
      </w: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Kontrolovaný objem peněžních prostředků státu činil u ÚV ČR, MZ a MŠMT celkem 124 473 tis. Kč a u příjemců dotac</w:t>
      </w:r>
      <w:r w:rsidR="003A4782">
        <w:rPr>
          <w:rFonts w:cs="Arial"/>
          <w:sz w:val="22"/>
          <w:szCs w:val="22"/>
        </w:rPr>
        <w:t>í</w:t>
      </w:r>
      <w:r w:rsidRPr="00E51489">
        <w:rPr>
          <w:rFonts w:cs="Arial"/>
          <w:sz w:val="22"/>
          <w:szCs w:val="22"/>
        </w:rPr>
        <w:t xml:space="preserve"> celkem 51 171 tis. Kč. 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F42A4B" w:rsidRDefault="004D4E65" w:rsidP="00F42A4B">
      <w:pPr>
        <w:autoSpaceDE w:val="0"/>
        <w:autoSpaceDN w:val="0"/>
        <w:adjustRightInd w:val="0"/>
        <w:ind w:left="624" w:hanging="624"/>
        <w:jc w:val="both"/>
        <w:rPr>
          <w:rFonts w:cs="Arial"/>
          <w:iCs/>
          <w:sz w:val="18"/>
          <w:szCs w:val="18"/>
        </w:rPr>
      </w:pPr>
      <w:r w:rsidRPr="00F42A4B">
        <w:rPr>
          <w:rFonts w:cs="Arial"/>
          <w:b/>
          <w:iCs/>
          <w:sz w:val="18"/>
          <w:szCs w:val="18"/>
        </w:rPr>
        <w:t>Pozn</w:t>
      </w:r>
      <w:r w:rsidR="003A4782" w:rsidRPr="00F42A4B">
        <w:rPr>
          <w:rFonts w:cs="Arial"/>
          <w:b/>
          <w:iCs/>
          <w:sz w:val="18"/>
          <w:szCs w:val="18"/>
        </w:rPr>
        <w:t>.:</w:t>
      </w:r>
      <w:r w:rsidRPr="00F42A4B">
        <w:rPr>
          <w:rFonts w:cs="Arial"/>
          <w:iCs/>
          <w:sz w:val="18"/>
          <w:szCs w:val="18"/>
        </w:rPr>
        <w:tab/>
        <w:t xml:space="preserve">Právní předpisy uvedené </w:t>
      </w:r>
      <w:r w:rsidR="001D60C8" w:rsidRPr="00F42A4B">
        <w:rPr>
          <w:rFonts w:cs="Arial"/>
          <w:iCs/>
          <w:sz w:val="18"/>
          <w:szCs w:val="18"/>
        </w:rPr>
        <w:t>v </w:t>
      </w:r>
      <w:r w:rsidRPr="00F42A4B">
        <w:rPr>
          <w:rFonts w:cs="Arial"/>
          <w:iCs/>
          <w:sz w:val="18"/>
          <w:szCs w:val="18"/>
        </w:rPr>
        <w:t xml:space="preserve">tomto kontrolním závěru jsou aplikovány ve znění účinném pro kontrolované období. </w:t>
      </w:r>
    </w:p>
    <w:p w:rsidR="004D4E65" w:rsidRDefault="004D4E65" w:rsidP="004D4E65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</w:p>
    <w:p w:rsidR="003A4782" w:rsidRPr="00E51489" w:rsidRDefault="003A4782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center"/>
        <w:rPr>
          <w:rFonts w:eastAsiaTheme="minorHAnsi" w:cs="Arial"/>
          <w:b/>
        </w:rPr>
      </w:pPr>
      <w:r w:rsidRPr="00E51489">
        <w:rPr>
          <w:rFonts w:eastAsiaTheme="minorHAnsi" w:cs="Arial"/>
          <w:b/>
        </w:rPr>
        <w:t>II. Strategie protidrogové politiky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eastAsiaTheme="minorHAnsi" w:cs="Arial"/>
          <w:sz w:val="22"/>
          <w:szCs w:val="22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iCs/>
          <w:sz w:val="22"/>
          <w:szCs w:val="22"/>
        </w:rPr>
        <w:t xml:space="preserve">Základní </w:t>
      </w:r>
      <w:r w:rsidRPr="00E51489">
        <w:rPr>
          <w:rFonts w:cs="Arial"/>
          <w:sz w:val="22"/>
          <w:szCs w:val="22"/>
        </w:rPr>
        <w:t>principy, východiska a cíle protidrogové politiky definují</w:t>
      </w:r>
      <w:r w:rsidRPr="00E51489">
        <w:rPr>
          <w:rFonts w:cs="Arial"/>
          <w:iCs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národní strategie protidrogové politiky schvalované vládou. </w:t>
      </w:r>
      <w:r w:rsidR="003A4782">
        <w:rPr>
          <w:rFonts w:cs="Arial"/>
          <w:sz w:val="22"/>
          <w:szCs w:val="22"/>
        </w:rPr>
        <w:t>N</w:t>
      </w:r>
      <w:r w:rsidRPr="00E51489">
        <w:rPr>
          <w:rFonts w:cs="Arial"/>
          <w:sz w:val="22"/>
          <w:szCs w:val="22"/>
        </w:rPr>
        <w:t xml:space="preserve">ástrojem </w:t>
      </w:r>
      <w:r w:rsidR="003A4782">
        <w:rPr>
          <w:rFonts w:cs="Arial"/>
          <w:sz w:val="22"/>
          <w:szCs w:val="22"/>
        </w:rPr>
        <w:t>i</w:t>
      </w:r>
      <w:r w:rsidR="003A4782" w:rsidRPr="00E51489">
        <w:rPr>
          <w:rFonts w:cs="Arial"/>
          <w:sz w:val="22"/>
          <w:szCs w:val="22"/>
        </w:rPr>
        <w:t>mplementa</w:t>
      </w:r>
      <w:r w:rsidR="003A4782">
        <w:rPr>
          <w:rFonts w:cs="Arial"/>
          <w:sz w:val="22"/>
          <w:szCs w:val="22"/>
        </w:rPr>
        <w:t>ce</w:t>
      </w:r>
      <w:r w:rsidR="003A4782" w:rsidRPr="00E51489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národní strategie je akční plán realizace, který stanovuje konkrétní aktivity a výstupy, rozdělení odpovědnosti, termíny plnění a odhadované finanční zdroje pro realizaci aktivit. Usnesením vlády ze dne 10. května 2010 č. 340 byla schválena </w:t>
      </w:r>
      <w:r w:rsidRPr="00F42A4B">
        <w:rPr>
          <w:rFonts w:cs="Arial"/>
          <w:i/>
          <w:sz w:val="22"/>
          <w:szCs w:val="22"/>
        </w:rPr>
        <w:t>Národní strategie protidrogové politiky na období 2010</w:t>
      </w:r>
      <w:r w:rsidR="00D17367" w:rsidRPr="00F42A4B">
        <w:rPr>
          <w:rFonts w:cs="Arial"/>
          <w:i/>
          <w:sz w:val="22"/>
          <w:szCs w:val="22"/>
        </w:rPr>
        <w:t>–</w:t>
      </w:r>
      <w:r w:rsidRPr="00F42A4B">
        <w:rPr>
          <w:rFonts w:cs="Arial"/>
          <w:i/>
          <w:sz w:val="22"/>
          <w:szCs w:val="22"/>
        </w:rPr>
        <w:t>2018</w:t>
      </w:r>
      <w:r w:rsidRPr="00E51489">
        <w:rPr>
          <w:rFonts w:cs="Arial"/>
          <w:sz w:val="22"/>
          <w:szCs w:val="22"/>
        </w:rPr>
        <w:t xml:space="preserve">. Jde již o pátý strategický dokument od roku 1993. Tato strategie </w:t>
      </w:r>
      <w:r w:rsidR="00E41135">
        <w:rPr>
          <w:rFonts w:cs="Arial"/>
          <w:sz w:val="22"/>
          <w:szCs w:val="22"/>
        </w:rPr>
        <w:t>stejně</w:t>
      </w:r>
      <w:r w:rsidR="00E41135" w:rsidRPr="00E51489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jako předcho</w:t>
      </w:r>
      <w:r w:rsidR="00D17367">
        <w:rPr>
          <w:rFonts w:cs="Arial"/>
          <w:sz w:val="22"/>
          <w:szCs w:val="22"/>
        </w:rPr>
        <w:t>zí strategie na období let 2005–</w:t>
      </w:r>
      <w:r w:rsidRPr="00E51489">
        <w:rPr>
          <w:rFonts w:cs="Arial"/>
          <w:sz w:val="22"/>
          <w:szCs w:val="22"/>
        </w:rPr>
        <w:t>2009 definuje čtyři hlavní cíle protidrogové politiky.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="108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2019"/>
        <w:gridCol w:w="1984"/>
        <w:gridCol w:w="1701"/>
        <w:gridCol w:w="1559"/>
        <w:gridCol w:w="1701"/>
      </w:tblGrid>
      <w:tr w:rsidR="004D4E65" w:rsidRPr="00E51489" w:rsidTr="002E60D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65" w:rsidRPr="00E51489" w:rsidRDefault="004D4E65" w:rsidP="00D851C6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E51489">
              <w:rPr>
                <w:rFonts w:cs="Arial"/>
                <w:b/>
                <w:sz w:val="18"/>
                <w:szCs w:val="18"/>
              </w:rPr>
              <w:t>Cíl 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1489">
              <w:rPr>
                <w:rFonts w:cs="Arial"/>
                <w:b/>
                <w:sz w:val="18"/>
                <w:szCs w:val="18"/>
              </w:rPr>
              <w:t>Cíl 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1489">
              <w:rPr>
                <w:rFonts w:cs="Arial"/>
                <w:b/>
                <w:sz w:val="18"/>
                <w:szCs w:val="18"/>
              </w:rPr>
              <w:t>Cíl III.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E51489">
              <w:rPr>
                <w:rFonts w:cs="Arial"/>
                <w:b/>
                <w:sz w:val="18"/>
                <w:szCs w:val="18"/>
              </w:rPr>
              <w:t>Cíl IV.</w:t>
            </w:r>
          </w:p>
        </w:tc>
      </w:tr>
      <w:tr w:rsidR="004D4E65" w:rsidRPr="00E51489" w:rsidTr="002E60D3"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2E60D3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51489">
              <w:rPr>
                <w:rFonts w:cs="Arial"/>
                <w:b/>
                <w:sz w:val="18"/>
                <w:szCs w:val="18"/>
              </w:rPr>
              <w:t>Strategický cíl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E51489">
              <w:rPr>
                <w:rFonts w:cs="Arial"/>
                <w:sz w:val="18"/>
                <w:szCs w:val="18"/>
              </w:rPr>
              <w:t>Snížit míru experimentálního a</w:t>
            </w:r>
            <w:r w:rsidR="003A4782">
              <w:rPr>
                <w:rFonts w:cs="Arial"/>
                <w:sz w:val="18"/>
                <w:szCs w:val="18"/>
              </w:rPr>
              <w:t> </w:t>
            </w:r>
            <w:r w:rsidRPr="00E51489">
              <w:rPr>
                <w:rFonts w:cs="Arial"/>
                <w:sz w:val="18"/>
                <w:szCs w:val="18"/>
              </w:rPr>
              <w:t>příležitostného užívání drog zejména mladými lidmi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E51489">
              <w:rPr>
                <w:rFonts w:cs="Arial"/>
                <w:sz w:val="18"/>
                <w:szCs w:val="18"/>
              </w:rPr>
              <w:t>Snížit míru problémového a intenzivního užívání drog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E51489">
              <w:rPr>
                <w:rFonts w:cs="Arial"/>
                <w:sz w:val="18"/>
                <w:szCs w:val="18"/>
              </w:rPr>
              <w:t>Snížit potenciální rizika spojená s užíváním drog pro jedince a společnost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D851C6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E51489">
              <w:rPr>
                <w:rFonts w:cs="Arial"/>
                <w:sz w:val="18"/>
                <w:szCs w:val="18"/>
              </w:rPr>
              <w:t>Snížit dostupnost drog zejména pro mladé lidi</w:t>
            </w:r>
          </w:p>
        </w:tc>
      </w:tr>
    </w:tbl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en-US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Strategické cíle I. a II</w:t>
      </w:r>
      <w:r w:rsidR="00556B3A">
        <w:rPr>
          <w:rFonts w:cs="Arial"/>
          <w:sz w:val="22"/>
          <w:szCs w:val="22"/>
        </w:rPr>
        <w:t>.</w:t>
      </w:r>
      <w:r w:rsidRPr="00E51489">
        <w:rPr>
          <w:rFonts w:cs="Arial"/>
          <w:sz w:val="22"/>
          <w:szCs w:val="22"/>
        </w:rPr>
        <w:t xml:space="preserve"> jsou kvantifikovatelné a definované na základě zhodnocení v</w:t>
      </w:r>
      <w:r w:rsidRPr="00E51489">
        <w:rPr>
          <w:rFonts w:cs="Arial"/>
          <w:bCs/>
          <w:sz w:val="22"/>
          <w:szCs w:val="22"/>
        </w:rPr>
        <w:t xml:space="preserve">ývoje </w:t>
      </w:r>
      <w:r w:rsidRPr="00E51489">
        <w:rPr>
          <w:rFonts w:cs="Arial"/>
          <w:sz w:val="22"/>
          <w:szCs w:val="22"/>
        </w:rPr>
        <w:t>dat o užívání drog</w:t>
      </w:r>
      <w:r w:rsidR="00556B3A">
        <w:rPr>
          <w:rFonts w:cs="Arial"/>
          <w:sz w:val="22"/>
          <w:szCs w:val="22"/>
        </w:rPr>
        <w:t xml:space="preserve"> a</w:t>
      </w:r>
      <w:r w:rsidRPr="00E51489">
        <w:rPr>
          <w:rFonts w:cs="Arial"/>
          <w:sz w:val="22"/>
          <w:szCs w:val="22"/>
        </w:rPr>
        <w:t xml:space="preserve"> jeho dopadech v průběhu let 2004</w:t>
      </w:r>
      <w:r w:rsidR="00D17367">
        <w:rPr>
          <w:rFonts w:cs="Arial"/>
          <w:sz w:val="22"/>
          <w:szCs w:val="22"/>
        </w:rPr>
        <w:t>–</w:t>
      </w:r>
      <w:r w:rsidRPr="00E51489">
        <w:rPr>
          <w:rFonts w:cs="Arial"/>
          <w:sz w:val="22"/>
          <w:szCs w:val="22"/>
        </w:rPr>
        <w:t>2009. Sběr, analýzu a distribuci dat zajišťuje Národní monitorovací středisk</w:t>
      </w:r>
      <w:r w:rsidR="00D17367">
        <w:rPr>
          <w:rFonts w:cs="Arial"/>
          <w:sz w:val="22"/>
          <w:szCs w:val="22"/>
        </w:rPr>
        <w:t>o</w:t>
      </w:r>
      <w:r w:rsidRPr="00E51489">
        <w:rPr>
          <w:rFonts w:cs="Arial"/>
          <w:sz w:val="22"/>
          <w:szCs w:val="22"/>
        </w:rPr>
        <w:t xml:space="preserve"> pro drogy a drogové závislosti a výsledky každoročně zveřejňuje ve zprávě o stavu ve věcech drog v České republice. Hodnocení ukázalo, že </w:t>
      </w:r>
      <w:r w:rsidR="00D17367" w:rsidRPr="00E51489">
        <w:rPr>
          <w:rFonts w:cs="Arial"/>
          <w:sz w:val="22"/>
          <w:szCs w:val="22"/>
        </w:rPr>
        <w:t xml:space="preserve">se </w:t>
      </w:r>
      <w:r w:rsidRPr="00E51489">
        <w:rPr>
          <w:rFonts w:cs="Arial"/>
          <w:sz w:val="22"/>
          <w:szCs w:val="22"/>
        </w:rPr>
        <w:t xml:space="preserve">cíle nedaří plnit. U konopných drog vykazuje Česká republika nejvyšší míru užívání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Evropě. Roste počet </w:t>
      </w:r>
      <w:r w:rsidRPr="00E51489">
        <w:rPr>
          <w:rFonts w:eastAsiaTheme="minorHAnsi" w:cs="Arial"/>
          <w:sz w:val="22"/>
          <w:szCs w:val="22"/>
          <w:lang w:eastAsia="en-US"/>
        </w:rPr>
        <w:t xml:space="preserve">problémových uživatelů drog </w:t>
      </w:r>
      <w:r w:rsidRPr="00E51489">
        <w:rPr>
          <w:rFonts w:cs="Arial"/>
          <w:sz w:val="22"/>
          <w:szCs w:val="22"/>
        </w:rPr>
        <w:t xml:space="preserve">(injekční nebo dlouhodobé či pravidelné užívání drog amfetaminového typu), přičemž na nárůstu se podílejí </w:t>
      </w:r>
      <w:r w:rsidRPr="00E51489">
        <w:rPr>
          <w:rFonts w:eastAsiaTheme="minorHAnsi" w:cs="Arial"/>
          <w:sz w:val="22"/>
          <w:szCs w:val="22"/>
          <w:lang w:eastAsia="en-US"/>
        </w:rPr>
        <w:t>uživatelé pervitinu</w:t>
      </w:r>
      <w:r w:rsidR="00556B3A">
        <w:rPr>
          <w:rFonts w:eastAsiaTheme="minorHAnsi" w:cs="Arial"/>
          <w:sz w:val="22"/>
          <w:szCs w:val="22"/>
          <w:lang w:eastAsia="en-US"/>
        </w:rPr>
        <w:t>;</w:t>
      </w:r>
      <w:r w:rsidRPr="00E51489">
        <w:rPr>
          <w:rFonts w:eastAsiaTheme="minorHAnsi" w:cs="Arial"/>
          <w:sz w:val="22"/>
          <w:szCs w:val="22"/>
          <w:lang w:eastAsia="en-US"/>
        </w:rPr>
        <w:t xml:space="preserve"> u opiátů došlo k poklesu. Zvýšil se i počet injekčních uživatelů drog. </w:t>
      </w:r>
      <w:r w:rsidRPr="00E51489">
        <w:rPr>
          <w:rFonts w:cs="Arial"/>
          <w:sz w:val="22"/>
          <w:szCs w:val="22"/>
        </w:rPr>
        <w:t xml:space="preserve">Dlouhodobější trend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oblasti problémového užívání drog zachycuje tabulka č. 1. </w:t>
      </w:r>
    </w:p>
    <w:p w:rsidR="004D4E65" w:rsidRPr="002E60D3" w:rsidRDefault="004D4E65" w:rsidP="004D4E65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2E60D3">
        <w:rPr>
          <w:rFonts w:cs="Arial"/>
          <w:b/>
          <w:sz w:val="22"/>
          <w:szCs w:val="22"/>
        </w:rPr>
        <w:lastRenderedPageBreak/>
        <w:t>Tabulka č. 1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822"/>
        <w:gridCol w:w="796"/>
        <w:gridCol w:w="882"/>
        <w:gridCol w:w="960"/>
        <w:gridCol w:w="709"/>
        <w:gridCol w:w="1080"/>
        <w:gridCol w:w="764"/>
        <w:gridCol w:w="849"/>
        <w:gridCol w:w="802"/>
        <w:gridCol w:w="866"/>
      </w:tblGrid>
      <w:tr w:rsidR="00556B3A" w:rsidRPr="00E51489" w:rsidTr="002E60D3">
        <w:trPr>
          <w:trHeight w:val="31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E65" w:rsidRPr="00E51489" w:rsidRDefault="004D4E65" w:rsidP="002E60D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Rok</w:t>
            </w:r>
          </w:p>
          <w:p w:rsidR="004D4E65" w:rsidRPr="00E51489" w:rsidRDefault="004D4E65" w:rsidP="002E60D3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Uživatelé celkem</w:t>
            </w:r>
          </w:p>
        </w:tc>
        <w:tc>
          <w:tcPr>
            <w:tcW w:w="3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Uživatelé opiátů/opioidů</w:t>
            </w:r>
          </w:p>
        </w:tc>
        <w:tc>
          <w:tcPr>
            <w:tcW w:w="1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Uživatelé pervitinu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Injekční uživatelé</w:t>
            </w:r>
          </w:p>
        </w:tc>
      </w:tr>
      <w:tr w:rsidR="00556B3A" w:rsidRPr="00E51489" w:rsidTr="002E60D3">
        <w:trPr>
          <w:cantSplit/>
          <w:trHeight w:val="1299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8604F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</w:p>
          <w:p w:rsidR="004D4E65" w:rsidRPr="002E60D3" w:rsidRDefault="004D4E65" w:rsidP="002E60D3">
            <w:pPr>
              <w:autoSpaceDE w:val="0"/>
              <w:autoSpaceDN w:val="0"/>
              <w:adjustRightInd w:val="0"/>
              <w:ind w:left="-158" w:right="-99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Počet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96" w:right="-46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Na</w:t>
            </w:r>
            <w:r w:rsidR="00556B3A" w:rsidRPr="00556B3A">
              <w:rPr>
                <w:rFonts w:eastAsiaTheme="minorHAnsi" w:cs="Arial"/>
                <w:sz w:val="16"/>
                <w:szCs w:val="16"/>
              </w:rPr>
              <w:t xml:space="preserve"> </w:t>
            </w:r>
            <w:r w:rsidRPr="002E60D3">
              <w:rPr>
                <w:rFonts w:eastAsiaTheme="minorHAnsi" w:cs="Arial"/>
                <w:sz w:val="16"/>
                <w:szCs w:val="16"/>
              </w:rPr>
              <w:t>1 000 os</w:t>
            </w:r>
            <w:r w:rsidR="00291BBB">
              <w:rPr>
                <w:rFonts w:eastAsiaTheme="minorHAnsi" w:cs="Arial"/>
                <w:sz w:val="16"/>
                <w:szCs w:val="16"/>
              </w:rPr>
              <w:t>ob ve věku</w:t>
            </w:r>
            <w:r w:rsidRPr="002E60D3">
              <w:rPr>
                <w:rFonts w:eastAsiaTheme="minorHAnsi" w:cs="Arial"/>
                <w:sz w:val="16"/>
                <w:szCs w:val="16"/>
              </w:rPr>
              <w:t xml:space="preserve"> 15</w:t>
            </w:r>
            <w:r w:rsidR="00481CA5">
              <w:rPr>
                <w:rFonts w:eastAsiaTheme="minorHAnsi" w:cs="Arial"/>
                <w:sz w:val="16"/>
                <w:szCs w:val="16"/>
              </w:rPr>
              <w:t>–</w:t>
            </w:r>
            <w:r w:rsidRPr="002E60D3">
              <w:rPr>
                <w:rFonts w:eastAsiaTheme="minorHAnsi" w:cs="Arial"/>
                <w:sz w:val="16"/>
                <w:szCs w:val="16"/>
              </w:rPr>
              <w:t>64 let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108" w:right="-76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Uživatelé heroinu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140" w:right="-108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Uživatelé buprenorfinu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Celkem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Celkem</w:t>
            </w:r>
            <w:r w:rsidR="00556B3A" w:rsidRPr="00556B3A">
              <w:rPr>
                <w:rFonts w:eastAsiaTheme="minorHAnsi" w:cs="Arial"/>
                <w:sz w:val="16"/>
                <w:szCs w:val="16"/>
              </w:rPr>
              <w:t xml:space="preserve"> </w:t>
            </w:r>
            <w:r w:rsidRPr="002E60D3">
              <w:rPr>
                <w:rFonts w:eastAsiaTheme="minorHAnsi" w:cs="Arial"/>
                <w:sz w:val="16"/>
                <w:szCs w:val="16"/>
              </w:rPr>
              <w:t>na 1 000 os</w:t>
            </w:r>
            <w:r w:rsidR="00291BBB">
              <w:rPr>
                <w:rFonts w:eastAsiaTheme="minorHAnsi" w:cs="Arial"/>
                <w:sz w:val="16"/>
                <w:szCs w:val="16"/>
              </w:rPr>
              <w:t>ob</w:t>
            </w:r>
          </w:p>
          <w:p w:rsidR="00291BBB" w:rsidRDefault="00291BBB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  <w:r>
              <w:rPr>
                <w:rFonts w:eastAsiaTheme="minorHAnsi" w:cs="Arial"/>
                <w:sz w:val="16"/>
                <w:szCs w:val="16"/>
              </w:rPr>
              <w:t xml:space="preserve">ve věku </w:t>
            </w:r>
          </w:p>
          <w:p w:rsidR="004D4E65" w:rsidRPr="002E60D3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15</w:t>
            </w:r>
            <w:r w:rsidR="00481CA5">
              <w:rPr>
                <w:rFonts w:eastAsiaTheme="minorHAnsi" w:cs="Arial"/>
                <w:sz w:val="16"/>
                <w:szCs w:val="16"/>
              </w:rPr>
              <w:t>–</w:t>
            </w:r>
            <w:r w:rsidRPr="002E60D3">
              <w:rPr>
                <w:rFonts w:eastAsiaTheme="minorHAnsi" w:cs="Arial"/>
                <w:sz w:val="16"/>
                <w:szCs w:val="16"/>
              </w:rPr>
              <w:t>64 let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Počet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109" w:right="-108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Na 1 000 os</w:t>
            </w:r>
            <w:r w:rsidR="00291BBB">
              <w:rPr>
                <w:rFonts w:eastAsiaTheme="minorHAnsi" w:cs="Arial"/>
                <w:sz w:val="16"/>
                <w:szCs w:val="16"/>
              </w:rPr>
              <w:t>ob ve věku</w:t>
            </w:r>
            <w:r w:rsidRPr="002E60D3">
              <w:rPr>
                <w:rFonts w:eastAsiaTheme="minorHAnsi" w:cs="Arial"/>
                <w:sz w:val="16"/>
                <w:szCs w:val="16"/>
              </w:rPr>
              <w:t xml:space="preserve"> 15</w:t>
            </w:r>
            <w:r w:rsidR="00481CA5">
              <w:rPr>
                <w:rFonts w:eastAsiaTheme="minorHAnsi" w:cs="Arial"/>
                <w:sz w:val="16"/>
                <w:szCs w:val="16"/>
              </w:rPr>
              <w:t>–</w:t>
            </w:r>
            <w:r w:rsidRPr="002E60D3">
              <w:rPr>
                <w:rFonts w:eastAsiaTheme="minorHAnsi" w:cs="Arial"/>
                <w:sz w:val="16"/>
                <w:szCs w:val="16"/>
              </w:rPr>
              <w:t>64 let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Počet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2E60D3" w:rsidRDefault="004D4E65" w:rsidP="002E60D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 w:cs="Arial"/>
                <w:sz w:val="16"/>
                <w:szCs w:val="16"/>
              </w:rPr>
            </w:pPr>
            <w:r w:rsidRPr="002E60D3">
              <w:rPr>
                <w:rFonts w:eastAsiaTheme="minorHAnsi" w:cs="Arial"/>
                <w:sz w:val="16"/>
                <w:szCs w:val="16"/>
              </w:rPr>
              <w:t>Na 1 000 os</w:t>
            </w:r>
            <w:r w:rsidR="00291BBB">
              <w:rPr>
                <w:rFonts w:eastAsiaTheme="minorHAnsi" w:cs="Arial"/>
                <w:sz w:val="16"/>
                <w:szCs w:val="16"/>
              </w:rPr>
              <w:t>ob ve věku</w:t>
            </w:r>
            <w:r w:rsidRPr="002E60D3">
              <w:rPr>
                <w:rFonts w:eastAsiaTheme="minorHAnsi" w:cs="Arial"/>
                <w:sz w:val="16"/>
                <w:szCs w:val="16"/>
              </w:rPr>
              <w:t xml:space="preserve"> 15</w:t>
            </w:r>
            <w:r w:rsidR="00481CA5">
              <w:rPr>
                <w:rFonts w:eastAsiaTheme="minorHAnsi" w:cs="Arial"/>
                <w:sz w:val="16"/>
                <w:szCs w:val="16"/>
              </w:rPr>
              <w:t>–</w:t>
            </w:r>
            <w:r w:rsidRPr="002E60D3">
              <w:rPr>
                <w:rFonts w:eastAsiaTheme="minorHAnsi" w:cs="Arial"/>
                <w:sz w:val="16"/>
                <w:szCs w:val="16"/>
              </w:rPr>
              <w:t>64 let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30 200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6 200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4 300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10 500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1,44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19 700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2,69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29 000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3,97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30 900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5 750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4 250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1,36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20 900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2,84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29 500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4,01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32 500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4,39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6 400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11 300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1,52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21 200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2,87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31 200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4,21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2009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37 400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5,04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7 100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5 100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12 100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1,63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25 300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3,40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35 300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4,75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2010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39 200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5,30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6 000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11 000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1,48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28 200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3,81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37 200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5,03</w:t>
            </w:r>
          </w:p>
        </w:tc>
      </w:tr>
      <w:tr w:rsidR="00556B3A" w:rsidRPr="00E51489" w:rsidTr="002E60D3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jc w:val="both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2011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40 200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5,51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4 700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4 600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2E60D3">
            <w:pPr>
              <w:autoSpaceDE w:val="0"/>
              <w:autoSpaceDN w:val="0"/>
              <w:adjustRightInd w:val="0"/>
              <w:ind w:left="-391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9 300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1,27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54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30 900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4,24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ind w:left="-249" w:right="-15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38 600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E65" w:rsidRPr="00E51489" w:rsidRDefault="004D4E65" w:rsidP="00481CA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5,29</w:t>
            </w:r>
          </w:p>
        </w:tc>
      </w:tr>
    </w:tbl>
    <w:p w:rsidR="004D4E65" w:rsidRPr="00E51489" w:rsidRDefault="004D4E65" w:rsidP="002E60D3">
      <w:pPr>
        <w:spacing w:before="40"/>
        <w:jc w:val="both"/>
        <w:rPr>
          <w:rFonts w:cs="Arial"/>
          <w:sz w:val="18"/>
          <w:szCs w:val="18"/>
          <w:lang w:eastAsia="en-US"/>
        </w:rPr>
      </w:pPr>
      <w:r w:rsidRPr="00D17367">
        <w:rPr>
          <w:rFonts w:cs="Arial"/>
          <w:b/>
          <w:sz w:val="18"/>
          <w:szCs w:val="18"/>
        </w:rPr>
        <w:t>Zdroj:</w:t>
      </w:r>
      <w:r w:rsidRPr="00E51489">
        <w:rPr>
          <w:rFonts w:cs="Arial"/>
          <w:sz w:val="18"/>
          <w:szCs w:val="18"/>
        </w:rPr>
        <w:t xml:space="preserve"> </w:t>
      </w:r>
      <w:r w:rsidRPr="002E60D3">
        <w:rPr>
          <w:rFonts w:cs="Arial"/>
          <w:i/>
          <w:sz w:val="18"/>
          <w:szCs w:val="18"/>
        </w:rPr>
        <w:t>Výroční zpráva o stavu ve věcech drog v České republice za rok 2011</w:t>
      </w:r>
      <w:r w:rsidR="00D17367" w:rsidRPr="00556B3A">
        <w:rPr>
          <w:rFonts w:cs="Arial"/>
          <w:sz w:val="18"/>
          <w:szCs w:val="18"/>
        </w:rPr>
        <w:t>.</w:t>
      </w:r>
      <w:r w:rsidRPr="00E51489">
        <w:rPr>
          <w:rFonts w:cs="Arial"/>
          <w:sz w:val="18"/>
          <w:szCs w:val="18"/>
        </w:rPr>
        <w:t xml:space="preserve"> 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 xml:space="preserve">Národní strategie </w:t>
      </w:r>
      <w:r w:rsidR="00B54644">
        <w:rPr>
          <w:rFonts w:cs="Arial"/>
          <w:sz w:val="22"/>
          <w:szCs w:val="22"/>
        </w:rPr>
        <w:t xml:space="preserve">na roky </w:t>
      </w:r>
      <w:r w:rsidRPr="00E51489">
        <w:rPr>
          <w:rFonts w:cs="Arial"/>
          <w:sz w:val="22"/>
          <w:szCs w:val="22"/>
        </w:rPr>
        <w:t>2010</w:t>
      </w:r>
      <w:r w:rsidR="00D17367">
        <w:rPr>
          <w:rFonts w:cs="Arial"/>
          <w:sz w:val="22"/>
          <w:szCs w:val="22"/>
        </w:rPr>
        <w:t>–</w:t>
      </w:r>
      <w:r w:rsidRPr="00E51489">
        <w:rPr>
          <w:rFonts w:cs="Arial"/>
          <w:sz w:val="22"/>
          <w:szCs w:val="22"/>
        </w:rPr>
        <w:t xml:space="preserve">2018 </w:t>
      </w:r>
      <w:r w:rsidR="00B54644">
        <w:rPr>
          <w:rFonts w:cs="Arial"/>
          <w:sz w:val="22"/>
          <w:szCs w:val="22"/>
        </w:rPr>
        <w:t xml:space="preserve">je a </w:t>
      </w:r>
      <w:r w:rsidRPr="00E51489">
        <w:rPr>
          <w:rFonts w:cs="Arial"/>
          <w:sz w:val="22"/>
          <w:szCs w:val="22"/>
        </w:rPr>
        <w:t>bude realizována prostřednictvím tří akčních plánů zpracovaných na období let 2010</w:t>
      </w:r>
      <w:r w:rsidR="00D17367">
        <w:rPr>
          <w:rFonts w:cs="Arial"/>
          <w:sz w:val="22"/>
          <w:szCs w:val="22"/>
        </w:rPr>
        <w:t>–</w:t>
      </w:r>
      <w:r w:rsidRPr="00E51489">
        <w:rPr>
          <w:rFonts w:cs="Arial"/>
          <w:sz w:val="22"/>
          <w:szCs w:val="22"/>
        </w:rPr>
        <w:t>2012, 2013</w:t>
      </w:r>
      <w:r w:rsidR="00D17367">
        <w:rPr>
          <w:rFonts w:cs="Arial"/>
          <w:sz w:val="22"/>
          <w:szCs w:val="22"/>
        </w:rPr>
        <w:t>–</w:t>
      </w:r>
      <w:r w:rsidRPr="00E51489">
        <w:rPr>
          <w:rFonts w:cs="Arial"/>
          <w:sz w:val="22"/>
          <w:szCs w:val="22"/>
        </w:rPr>
        <w:t>2015 a 2016</w:t>
      </w:r>
      <w:r w:rsidR="00D17367">
        <w:rPr>
          <w:rFonts w:cs="Arial"/>
          <w:sz w:val="22"/>
          <w:szCs w:val="22"/>
        </w:rPr>
        <w:t>–</w:t>
      </w:r>
      <w:r w:rsidRPr="00E51489">
        <w:rPr>
          <w:rFonts w:cs="Arial"/>
          <w:sz w:val="22"/>
          <w:szCs w:val="22"/>
        </w:rPr>
        <w:t xml:space="preserve">2018. První akční plán byl schválen usnesením vlády ze dne 19. ledna 2011 č. 47. Souhrnná zpráva o jeho splnění byla projednána dne 16. </w:t>
      </w:r>
      <w:r w:rsidR="00D17367">
        <w:rPr>
          <w:rFonts w:cs="Arial"/>
          <w:sz w:val="22"/>
          <w:szCs w:val="22"/>
        </w:rPr>
        <w:t>ledna</w:t>
      </w:r>
      <w:r w:rsidRPr="00E51489">
        <w:rPr>
          <w:rFonts w:cs="Arial"/>
          <w:sz w:val="22"/>
          <w:szCs w:val="22"/>
        </w:rPr>
        <w:t xml:space="preserve"> 2013 Radou a následně dne 20. </w:t>
      </w:r>
      <w:r w:rsidR="00D17367">
        <w:rPr>
          <w:rFonts w:cs="Arial"/>
          <w:sz w:val="22"/>
          <w:szCs w:val="22"/>
        </w:rPr>
        <w:t>února</w:t>
      </w:r>
      <w:r w:rsidRPr="00E51489">
        <w:rPr>
          <w:rFonts w:cs="Arial"/>
          <w:sz w:val="22"/>
          <w:szCs w:val="22"/>
        </w:rPr>
        <w:t xml:space="preserve"> 2013 vládou. Akční plán obsahoval 185 úkolů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>8 oblastech</w:t>
      </w:r>
      <w:r w:rsidR="00B54644">
        <w:rPr>
          <w:rFonts w:cs="Arial"/>
          <w:sz w:val="22"/>
          <w:szCs w:val="22"/>
        </w:rPr>
        <w:t>:</w:t>
      </w:r>
      <w:r w:rsidRPr="00E51489">
        <w:rPr>
          <w:rFonts w:cs="Arial"/>
          <w:sz w:val="22"/>
          <w:szCs w:val="22"/>
        </w:rPr>
        <w:t xml:space="preserve"> </w:t>
      </w:r>
      <w:r w:rsidR="00B54644">
        <w:rPr>
          <w:rFonts w:cs="Arial"/>
          <w:sz w:val="22"/>
          <w:szCs w:val="22"/>
        </w:rPr>
        <w:t>1) p</w:t>
      </w:r>
      <w:r w:rsidRPr="00E51489">
        <w:rPr>
          <w:rFonts w:cs="Arial"/>
          <w:sz w:val="22"/>
          <w:szCs w:val="22"/>
        </w:rPr>
        <w:t xml:space="preserve">rimární prevence, </w:t>
      </w:r>
      <w:r w:rsidR="00B54644">
        <w:rPr>
          <w:rFonts w:cs="Arial"/>
          <w:sz w:val="22"/>
          <w:szCs w:val="22"/>
        </w:rPr>
        <w:t>2) l</w:t>
      </w:r>
      <w:r w:rsidRPr="00E51489">
        <w:rPr>
          <w:rFonts w:cs="Arial"/>
          <w:sz w:val="22"/>
          <w:szCs w:val="22"/>
        </w:rPr>
        <w:t xml:space="preserve">éčba a sociální začleňování, </w:t>
      </w:r>
      <w:r w:rsidR="00B54644">
        <w:rPr>
          <w:rFonts w:cs="Arial"/>
          <w:sz w:val="22"/>
          <w:szCs w:val="22"/>
        </w:rPr>
        <w:t>3) s</w:t>
      </w:r>
      <w:r w:rsidRPr="00E51489">
        <w:rPr>
          <w:rFonts w:cs="Arial"/>
          <w:sz w:val="22"/>
          <w:szCs w:val="22"/>
        </w:rPr>
        <w:t xml:space="preserve">nižování rizik, </w:t>
      </w:r>
      <w:r w:rsidR="00B54644">
        <w:rPr>
          <w:rFonts w:cs="Arial"/>
          <w:sz w:val="22"/>
          <w:szCs w:val="22"/>
        </w:rPr>
        <w:t>4) s</w:t>
      </w:r>
      <w:r w:rsidRPr="00E51489">
        <w:rPr>
          <w:rFonts w:cs="Arial"/>
          <w:sz w:val="22"/>
          <w:szCs w:val="22"/>
        </w:rPr>
        <w:t xml:space="preserve">nižování dostupnosti drog, </w:t>
      </w:r>
      <w:r w:rsidR="00B54644">
        <w:rPr>
          <w:rFonts w:cs="Arial"/>
          <w:sz w:val="22"/>
          <w:szCs w:val="22"/>
        </w:rPr>
        <w:t>5) m</w:t>
      </w:r>
      <w:r w:rsidRPr="00E51489">
        <w:rPr>
          <w:rFonts w:cs="Arial"/>
          <w:sz w:val="22"/>
          <w:szCs w:val="22"/>
        </w:rPr>
        <w:t>onitoring, výzkum a</w:t>
      </w:r>
      <w:r w:rsidR="00B54644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 xml:space="preserve">hodnocení, </w:t>
      </w:r>
      <w:r w:rsidR="00B54644">
        <w:rPr>
          <w:rFonts w:cs="Arial"/>
          <w:sz w:val="22"/>
          <w:szCs w:val="22"/>
        </w:rPr>
        <w:t>6) k</w:t>
      </w:r>
      <w:r w:rsidRPr="00E51489">
        <w:rPr>
          <w:rFonts w:cs="Arial"/>
          <w:sz w:val="22"/>
          <w:szCs w:val="22"/>
        </w:rPr>
        <w:t xml:space="preserve">oordinace a financování, </w:t>
      </w:r>
      <w:r w:rsidR="00B54644">
        <w:rPr>
          <w:rFonts w:cs="Arial"/>
          <w:sz w:val="22"/>
          <w:szCs w:val="22"/>
        </w:rPr>
        <w:t>7) m</w:t>
      </w:r>
      <w:r w:rsidRPr="00E51489">
        <w:rPr>
          <w:rFonts w:cs="Arial"/>
          <w:sz w:val="22"/>
          <w:szCs w:val="22"/>
        </w:rPr>
        <w:t xml:space="preserve">ezinárodní spolupráce, </w:t>
      </w:r>
      <w:r w:rsidR="00B54644">
        <w:rPr>
          <w:rFonts w:cs="Arial"/>
          <w:sz w:val="22"/>
          <w:szCs w:val="22"/>
        </w:rPr>
        <w:t>8) a</w:t>
      </w:r>
      <w:r w:rsidRPr="00E51489">
        <w:rPr>
          <w:rFonts w:cs="Arial"/>
          <w:sz w:val="22"/>
          <w:szCs w:val="22"/>
        </w:rPr>
        <w:t>lkohol a</w:t>
      </w:r>
      <w:r w:rsidR="00B54644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tabák. Splněno bylo 108 úkolů (58,4 %), částečně splněno bylo 35 úkolů (18,9 %) a</w:t>
      </w:r>
      <w:r w:rsidR="00B54644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 xml:space="preserve">nesplněných zůstalo 42 úkolů (22,7 %). Nejvíce úkolů bylo splněno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oblasti </w:t>
      </w:r>
      <w:r w:rsidR="00B54644">
        <w:rPr>
          <w:rFonts w:cs="Arial"/>
          <w:sz w:val="22"/>
          <w:szCs w:val="22"/>
        </w:rPr>
        <w:t>m</w:t>
      </w:r>
      <w:r w:rsidRPr="00E51489">
        <w:rPr>
          <w:rFonts w:cs="Arial"/>
          <w:sz w:val="22"/>
          <w:szCs w:val="22"/>
        </w:rPr>
        <w:t>onitoring</w:t>
      </w:r>
      <w:r w:rsidR="00B54644">
        <w:rPr>
          <w:rFonts w:cs="Arial"/>
          <w:sz w:val="22"/>
          <w:szCs w:val="22"/>
        </w:rPr>
        <w:t>u</w:t>
      </w:r>
      <w:r w:rsidRPr="00E51489">
        <w:rPr>
          <w:rFonts w:cs="Arial"/>
          <w:sz w:val="22"/>
          <w:szCs w:val="22"/>
        </w:rPr>
        <w:t>, výzkum</w:t>
      </w:r>
      <w:r w:rsidR="00B54644">
        <w:rPr>
          <w:rFonts w:cs="Arial"/>
          <w:sz w:val="22"/>
          <w:szCs w:val="22"/>
        </w:rPr>
        <w:t>u a</w:t>
      </w:r>
      <w:r w:rsidR="00D851C6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 xml:space="preserve">hodnocení (88,8 %), </w:t>
      </w:r>
      <w:r w:rsidR="00B54644">
        <w:rPr>
          <w:rFonts w:cs="Arial"/>
          <w:sz w:val="22"/>
          <w:szCs w:val="22"/>
        </w:rPr>
        <w:t>méně</w:t>
      </w:r>
      <w:r w:rsidR="00B54644" w:rsidRPr="00E51489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v oblasti </w:t>
      </w:r>
      <w:r w:rsidR="00B54644">
        <w:rPr>
          <w:rFonts w:cs="Arial"/>
          <w:sz w:val="22"/>
          <w:szCs w:val="22"/>
        </w:rPr>
        <w:t>k</w:t>
      </w:r>
      <w:r w:rsidRPr="00E51489">
        <w:rPr>
          <w:rFonts w:cs="Arial"/>
          <w:sz w:val="22"/>
          <w:szCs w:val="22"/>
        </w:rPr>
        <w:t xml:space="preserve">oordinace a financování (74,1 %) a </w:t>
      </w:r>
      <w:r w:rsidR="00B54644">
        <w:rPr>
          <w:rFonts w:cs="Arial"/>
          <w:sz w:val="22"/>
          <w:szCs w:val="22"/>
        </w:rPr>
        <w:t>s</w:t>
      </w:r>
      <w:r w:rsidRPr="00E51489">
        <w:rPr>
          <w:rFonts w:cs="Arial"/>
          <w:sz w:val="22"/>
          <w:szCs w:val="22"/>
        </w:rPr>
        <w:t xml:space="preserve">nižování dostupnosti drog (68,7 %) a nejméně v oblasti </w:t>
      </w:r>
      <w:r w:rsidR="00B54644">
        <w:rPr>
          <w:rFonts w:cs="Arial"/>
          <w:sz w:val="22"/>
          <w:szCs w:val="22"/>
        </w:rPr>
        <w:t>l</w:t>
      </w:r>
      <w:r w:rsidRPr="00E51489">
        <w:rPr>
          <w:rFonts w:cs="Arial"/>
          <w:sz w:val="22"/>
          <w:szCs w:val="22"/>
        </w:rPr>
        <w:t>éčb</w:t>
      </w:r>
      <w:r w:rsidR="00B54644">
        <w:rPr>
          <w:rFonts w:cs="Arial"/>
          <w:sz w:val="22"/>
          <w:szCs w:val="22"/>
        </w:rPr>
        <w:t>y</w:t>
      </w:r>
      <w:r w:rsidRPr="00E51489">
        <w:rPr>
          <w:rFonts w:cs="Arial"/>
          <w:sz w:val="22"/>
          <w:szCs w:val="22"/>
        </w:rPr>
        <w:t xml:space="preserve"> a sociální</w:t>
      </w:r>
      <w:r w:rsidR="00B54644">
        <w:rPr>
          <w:rFonts w:cs="Arial"/>
          <w:sz w:val="22"/>
          <w:szCs w:val="22"/>
        </w:rPr>
        <w:t>ho</w:t>
      </w:r>
      <w:r w:rsidRPr="00E51489">
        <w:rPr>
          <w:rFonts w:cs="Arial"/>
          <w:sz w:val="22"/>
          <w:szCs w:val="22"/>
        </w:rPr>
        <w:t xml:space="preserve"> začleňování (38,7 %) a</w:t>
      </w:r>
      <w:r w:rsidR="00D851C6">
        <w:rPr>
          <w:rFonts w:cs="Arial"/>
          <w:sz w:val="22"/>
          <w:szCs w:val="22"/>
        </w:rPr>
        <w:t> </w:t>
      </w:r>
      <w:r w:rsidR="00B54644">
        <w:rPr>
          <w:rFonts w:cs="Arial"/>
          <w:sz w:val="22"/>
          <w:szCs w:val="22"/>
        </w:rPr>
        <w:t>a</w:t>
      </w:r>
      <w:r w:rsidRPr="00E51489">
        <w:rPr>
          <w:rFonts w:cs="Arial"/>
          <w:sz w:val="22"/>
          <w:szCs w:val="22"/>
        </w:rPr>
        <w:t>lkohol</w:t>
      </w:r>
      <w:r w:rsidR="00B54644">
        <w:rPr>
          <w:rFonts w:cs="Arial"/>
          <w:sz w:val="22"/>
          <w:szCs w:val="22"/>
        </w:rPr>
        <w:t>u</w:t>
      </w:r>
      <w:r w:rsidRPr="00E51489">
        <w:rPr>
          <w:rFonts w:cs="Arial"/>
          <w:sz w:val="22"/>
          <w:szCs w:val="22"/>
        </w:rPr>
        <w:t xml:space="preserve"> a tabák</w:t>
      </w:r>
      <w:r w:rsidR="00B54644">
        <w:rPr>
          <w:rFonts w:cs="Arial"/>
          <w:sz w:val="22"/>
          <w:szCs w:val="22"/>
        </w:rPr>
        <w:t>u</w:t>
      </w:r>
      <w:r w:rsidRPr="00E51489">
        <w:rPr>
          <w:rFonts w:cs="Arial"/>
          <w:sz w:val="22"/>
          <w:szCs w:val="22"/>
        </w:rPr>
        <w:t xml:space="preserve"> (25 %).</w:t>
      </w:r>
    </w:p>
    <w:p w:rsidR="004D4E65" w:rsidRPr="002E60D3" w:rsidRDefault="004D4E65" w:rsidP="004D4E65">
      <w:pPr>
        <w:autoSpaceDE w:val="0"/>
        <w:autoSpaceDN w:val="0"/>
        <w:adjustRightInd w:val="0"/>
        <w:rPr>
          <w:sz w:val="22"/>
          <w:szCs w:val="22"/>
        </w:rPr>
      </w:pPr>
    </w:p>
    <w:p w:rsidR="002005C1" w:rsidRPr="002E60D3" w:rsidRDefault="002005C1" w:rsidP="004D4E65">
      <w:pPr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4D4E65" w:rsidRPr="00E51489" w:rsidRDefault="004D4E65" w:rsidP="004D4E65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E51489">
        <w:rPr>
          <w:rFonts w:cs="Arial"/>
          <w:b/>
          <w:bCs/>
        </w:rPr>
        <w:t>III. Skutečnosti zjištěné při kontrole u ÚV ČR, MZ a MŠMT</w:t>
      </w:r>
    </w:p>
    <w:p w:rsidR="004D4E65" w:rsidRPr="002E60D3" w:rsidRDefault="004D4E65" w:rsidP="004D4E65">
      <w:pPr>
        <w:autoSpaceDE w:val="0"/>
        <w:autoSpaceDN w:val="0"/>
        <w:adjustRightInd w:val="0"/>
        <w:jc w:val="center"/>
        <w:rPr>
          <w:rFonts w:cs="Arial"/>
          <w:b/>
          <w:bCs/>
          <w:strike/>
          <w:sz w:val="22"/>
          <w:szCs w:val="22"/>
        </w:rPr>
      </w:pPr>
    </w:p>
    <w:p w:rsidR="004D4E65" w:rsidRPr="00C841DE" w:rsidRDefault="00C841DE" w:rsidP="002E60D3">
      <w:pPr>
        <w:spacing w:line="276" w:lineRule="auto"/>
        <w:contextualSpacing/>
        <w:jc w:val="both"/>
        <w:rPr>
          <w:rFonts w:eastAsia="Calibri" w:cs="Arial"/>
          <w:b/>
          <w:bCs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 xml:space="preserve">1. </w:t>
      </w:r>
      <w:r w:rsidR="004D4E65" w:rsidRPr="00C841DE">
        <w:rPr>
          <w:rFonts w:eastAsia="Calibri" w:cs="Arial"/>
          <w:b/>
          <w:bCs/>
          <w:sz w:val="22"/>
          <w:szCs w:val="22"/>
        </w:rPr>
        <w:t>Systém financování protidrogové politiky</w:t>
      </w:r>
    </w:p>
    <w:p w:rsidR="006705F6" w:rsidRDefault="006705F6" w:rsidP="004D4E65">
      <w:pPr>
        <w:jc w:val="both"/>
        <w:rPr>
          <w:rFonts w:cs="Arial"/>
          <w:iCs/>
          <w:sz w:val="22"/>
          <w:szCs w:val="22"/>
        </w:rPr>
      </w:pPr>
    </w:p>
    <w:p w:rsidR="004D4E65" w:rsidRPr="00E51489" w:rsidRDefault="004D4E65" w:rsidP="004D4E65">
      <w:pPr>
        <w:jc w:val="both"/>
        <w:rPr>
          <w:rFonts w:cs="Arial"/>
          <w:iCs/>
          <w:sz w:val="22"/>
          <w:szCs w:val="22"/>
        </w:rPr>
      </w:pPr>
      <w:r w:rsidRPr="00E51489">
        <w:rPr>
          <w:rFonts w:cs="Arial"/>
          <w:iCs/>
          <w:sz w:val="22"/>
          <w:szCs w:val="22"/>
        </w:rPr>
        <w:t>Systém financování projektů protidrogové politiky je vícezdrojový. Na financování se podílí státní rozpočet, rozpočty obcí a krajů, ostatní tuzemské zdroje (nadace, sbírky, sponzorské dary, příjmy o</w:t>
      </w:r>
      <w:r w:rsidR="001D60C8">
        <w:rPr>
          <w:rFonts w:cs="Arial"/>
          <w:iCs/>
          <w:sz w:val="22"/>
          <w:szCs w:val="22"/>
        </w:rPr>
        <w:t>d klientů) a zahraniční zdroje.</w:t>
      </w:r>
      <w:r w:rsidRPr="00E51489">
        <w:rPr>
          <w:rFonts w:cs="Arial"/>
          <w:iCs/>
          <w:sz w:val="22"/>
          <w:szCs w:val="22"/>
        </w:rPr>
        <w:t xml:space="preserve"> Dlouhodobější trend výdajů z veřejných rozpočtů (státní rozpočet, rozpočty krajů a obcí) zachycuje tabulka č. 2.</w:t>
      </w:r>
    </w:p>
    <w:p w:rsidR="004D4E65" w:rsidRPr="00E51489" w:rsidRDefault="004D4E65" w:rsidP="004D4E65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</w:p>
    <w:p w:rsidR="004D4E65" w:rsidRPr="00E51489" w:rsidRDefault="004D4E65" w:rsidP="00B54644">
      <w:pPr>
        <w:tabs>
          <w:tab w:val="right" w:pos="8931"/>
        </w:tabs>
        <w:autoSpaceDE w:val="0"/>
        <w:autoSpaceDN w:val="0"/>
        <w:adjustRightInd w:val="0"/>
        <w:rPr>
          <w:rFonts w:eastAsiaTheme="minorHAnsi" w:cs="Arial"/>
          <w:b/>
          <w:sz w:val="22"/>
          <w:szCs w:val="22"/>
        </w:rPr>
      </w:pPr>
      <w:r w:rsidRPr="0020388A">
        <w:rPr>
          <w:rFonts w:eastAsiaTheme="minorHAnsi" w:cs="Arial"/>
          <w:b/>
          <w:sz w:val="22"/>
          <w:szCs w:val="22"/>
        </w:rPr>
        <w:t>Tabulka č. 2</w:t>
      </w:r>
      <w:r w:rsidR="00B54644">
        <w:rPr>
          <w:rFonts w:eastAsiaTheme="minorHAnsi" w:cs="Arial"/>
          <w:sz w:val="22"/>
          <w:szCs w:val="22"/>
        </w:rPr>
        <w:tab/>
      </w:r>
      <w:r w:rsidRPr="0020388A">
        <w:rPr>
          <w:rFonts w:eastAsiaTheme="minorHAnsi" w:cs="Arial"/>
          <w:b/>
          <w:sz w:val="22"/>
          <w:szCs w:val="22"/>
        </w:rPr>
        <w:t>(v mil. Kč)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689"/>
        <w:gridCol w:w="1207"/>
        <w:gridCol w:w="1207"/>
        <w:gridCol w:w="1207"/>
        <w:gridCol w:w="1207"/>
        <w:gridCol w:w="1207"/>
        <w:gridCol w:w="1207"/>
      </w:tblGrid>
      <w:tr w:rsidR="004D4E65" w:rsidRPr="00E51489" w:rsidTr="0020388A">
        <w:tc>
          <w:tcPr>
            <w:tcW w:w="1689" w:type="dxa"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2006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2007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2008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2009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2010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center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2011</w:t>
            </w:r>
          </w:p>
        </w:tc>
      </w:tr>
      <w:tr w:rsidR="004D4E65" w:rsidRPr="00E51489" w:rsidTr="0020388A">
        <w:tc>
          <w:tcPr>
            <w:tcW w:w="1689" w:type="dxa"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Státní rozpočet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363,4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367,0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371,9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375,4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371,6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341,9</w:t>
            </w:r>
          </w:p>
        </w:tc>
      </w:tr>
      <w:tr w:rsidR="004D4E65" w:rsidRPr="00E51489" w:rsidTr="0020388A">
        <w:tc>
          <w:tcPr>
            <w:tcW w:w="1689" w:type="dxa"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 xml:space="preserve">Kraje 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94,9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128,4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162,9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172,6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193,7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157,0</w:t>
            </w:r>
          </w:p>
        </w:tc>
      </w:tr>
      <w:tr w:rsidR="004D4E65" w:rsidRPr="00E51489" w:rsidTr="0020388A">
        <w:tc>
          <w:tcPr>
            <w:tcW w:w="1689" w:type="dxa"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Obce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48,1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62,3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62,5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59,5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62,1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64,9</w:t>
            </w:r>
          </w:p>
        </w:tc>
      </w:tr>
      <w:tr w:rsidR="004D4E65" w:rsidRPr="00E51489" w:rsidTr="0020388A">
        <w:tc>
          <w:tcPr>
            <w:tcW w:w="1689" w:type="dxa"/>
          </w:tcPr>
          <w:p w:rsidR="004D4E65" w:rsidRPr="00E51489" w:rsidRDefault="004D4E65" w:rsidP="008604F5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sz w:val="18"/>
                <w:szCs w:val="18"/>
              </w:rPr>
            </w:pPr>
            <w:r w:rsidRPr="00E51489">
              <w:rPr>
                <w:rFonts w:eastAsiaTheme="minorHAnsi" w:cs="Arial"/>
                <w:b/>
                <w:sz w:val="18"/>
                <w:szCs w:val="18"/>
              </w:rPr>
              <w:t>Celkem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506,4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557,7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597,3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607,5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627,4</w:t>
            </w:r>
          </w:p>
        </w:tc>
        <w:tc>
          <w:tcPr>
            <w:tcW w:w="1207" w:type="dxa"/>
            <w:vAlign w:val="center"/>
          </w:tcPr>
          <w:p w:rsidR="004D4E65" w:rsidRPr="00E51489" w:rsidRDefault="004D4E65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sz w:val="18"/>
                <w:szCs w:val="18"/>
              </w:rPr>
            </w:pPr>
            <w:r w:rsidRPr="00E51489">
              <w:rPr>
                <w:rFonts w:eastAsiaTheme="minorHAnsi" w:cs="Arial"/>
                <w:sz w:val="18"/>
                <w:szCs w:val="18"/>
              </w:rPr>
              <w:t>563,8</w:t>
            </w:r>
          </w:p>
        </w:tc>
      </w:tr>
    </w:tbl>
    <w:p w:rsidR="004D4E65" w:rsidRPr="00E51489" w:rsidRDefault="004D4E65" w:rsidP="0020388A">
      <w:pPr>
        <w:spacing w:before="40"/>
        <w:jc w:val="both"/>
        <w:rPr>
          <w:rFonts w:cs="Arial"/>
          <w:sz w:val="18"/>
          <w:szCs w:val="18"/>
        </w:rPr>
      </w:pPr>
      <w:r w:rsidRPr="00D17367">
        <w:rPr>
          <w:rFonts w:cs="Arial"/>
          <w:b/>
          <w:sz w:val="18"/>
          <w:szCs w:val="18"/>
        </w:rPr>
        <w:t>Zdroj:</w:t>
      </w:r>
      <w:r w:rsidRPr="00E51489">
        <w:rPr>
          <w:rFonts w:cs="Arial"/>
          <w:sz w:val="18"/>
          <w:szCs w:val="18"/>
        </w:rPr>
        <w:t xml:space="preserve"> </w:t>
      </w:r>
      <w:r w:rsidR="00D24024">
        <w:rPr>
          <w:rFonts w:cs="Arial"/>
          <w:sz w:val="18"/>
          <w:szCs w:val="18"/>
        </w:rPr>
        <w:t>v</w:t>
      </w:r>
      <w:r w:rsidRPr="00E51489">
        <w:rPr>
          <w:rFonts w:cs="Arial"/>
          <w:sz w:val="18"/>
          <w:szCs w:val="18"/>
        </w:rPr>
        <w:t xml:space="preserve">ýroční zprávy o </w:t>
      </w:r>
      <w:r w:rsidRPr="00E51489">
        <w:rPr>
          <w:rFonts w:eastAsiaTheme="minorHAnsi" w:cs="Arial"/>
          <w:sz w:val="18"/>
          <w:szCs w:val="18"/>
        </w:rPr>
        <w:t>stavu ve věcech dro</w:t>
      </w:r>
      <w:r w:rsidR="00D17367">
        <w:rPr>
          <w:rFonts w:eastAsiaTheme="minorHAnsi" w:cs="Arial"/>
          <w:sz w:val="18"/>
          <w:szCs w:val="18"/>
        </w:rPr>
        <w:t>g v České republice za rok</w:t>
      </w:r>
      <w:r w:rsidR="00D24024">
        <w:rPr>
          <w:rFonts w:eastAsiaTheme="minorHAnsi" w:cs="Arial"/>
          <w:sz w:val="18"/>
          <w:szCs w:val="18"/>
        </w:rPr>
        <w:t>y</w:t>
      </w:r>
      <w:r w:rsidR="00D17367">
        <w:rPr>
          <w:rFonts w:eastAsiaTheme="minorHAnsi" w:cs="Arial"/>
          <w:sz w:val="18"/>
          <w:szCs w:val="18"/>
        </w:rPr>
        <w:t xml:space="preserve"> 2006–2011.</w:t>
      </w:r>
    </w:p>
    <w:p w:rsidR="004D4E65" w:rsidRPr="00E51489" w:rsidRDefault="004D4E65" w:rsidP="004D4E65">
      <w:pPr>
        <w:jc w:val="both"/>
        <w:rPr>
          <w:rFonts w:cs="Arial"/>
          <w:sz w:val="20"/>
          <w:szCs w:val="20"/>
        </w:rPr>
      </w:pPr>
    </w:p>
    <w:p w:rsidR="004D4E65" w:rsidRPr="0020388A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 xml:space="preserve">Financování protidrogové politiky ze státního rozpočtu upravovala v kontrolovaném období let 2010 a 2011 </w:t>
      </w:r>
      <w:r w:rsidRPr="0020388A">
        <w:rPr>
          <w:rFonts w:cs="Arial"/>
          <w:i/>
          <w:sz w:val="22"/>
          <w:szCs w:val="22"/>
        </w:rPr>
        <w:t>Pravidla pro vynakládání finančních prostředků státního rozpočtu na protidrogovou politiku</w:t>
      </w:r>
      <w:r w:rsidRPr="00E51489">
        <w:rPr>
          <w:rFonts w:cs="Arial"/>
          <w:sz w:val="22"/>
          <w:szCs w:val="22"/>
        </w:rPr>
        <w:t xml:space="preserve"> schválená usnesením vlády ze dne 19. září 2007 č. 1071. V roce 2012 Rada na základě úkolu </w:t>
      </w:r>
      <w:r w:rsidR="001D60C8">
        <w:rPr>
          <w:rFonts w:cs="Arial"/>
          <w:sz w:val="22"/>
          <w:szCs w:val="22"/>
        </w:rPr>
        <w:t>z </w:t>
      </w:r>
      <w:r w:rsidRPr="0020388A">
        <w:rPr>
          <w:rFonts w:cs="Arial"/>
          <w:i/>
          <w:sz w:val="22"/>
          <w:szCs w:val="22"/>
        </w:rPr>
        <w:t>Akčního plánu realizace Národní strategie protidrogové politiky na období let 2010</w:t>
      </w:r>
      <w:r w:rsidR="00D17367" w:rsidRPr="0020388A">
        <w:rPr>
          <w:rFonts w:cs="Arial"/>
          <w:i/>
          <w:sz w:val="22"/>
          <w:szCs w:val="22"/>
        </w:rPr>
        <w:t>–</w:t>
      </w:r>
      <w:r w:rsidRPr="0020388A">
        <w:rPr>
          <w:rFonts w:cs="Arial"/>
          <w:i/>
          <w:sz w:val="22"/>
          <w:szCs w:val="22"/>
        </w:rPr>
        <w:t>2012</w:t>
      </w:r>
      <w:r w:rsidRPr="00E51489">
        <w:rPr>
          <w:rFonts w:cs="Arial"/>
          <w:sz w:val="22"/>
          <w:szCs w:val="22"/>
        </w:rPr>
        <w:t xml:space="preserve"> přijala nová pravidla stejného názvu, schválená </w:t>
      </w:r>
      <w:r w:rsidRPr="00E51489">
        <w:rPr>
          <w:rFonts w:eastAsiaTheme="minorHAnsi" w:cs="Arial"/>
          <w:sz w:val="22"/>
          <w:szCs w:val="22"/>
        </w:rPr>
        <w:t xml:space="preserve">usnesením </w:t>
      </w:r>
      <w:r w:rsidRPr="00E51489">
        <w:rPr>
          <w:rFonts w:cs="Arial"/>
          <w:sz w:val="22"/>
          <w:szCs w:val="22"/>
        </w:rPr>
        <w:t xml:space="preserve">vlády ze dne 18. dubna 2012 č. 283. Podpora ze státního rozpočtu </w:t>
      </w:r>
      <w:r w:rsidRPr="00E51489">
        <w:rPr>
          <w:sz w:val="22"/>
          <w:szCs w:val="22"/>
        </w:rPr>
        <w:t xml:space="preserve">má formu účelové neinvestiční dotace poskytované na základě žádosti příjemce dotace rozhodnutím poskytovatele podle ustanovení § 14 zákona </w:t>
      </w:r>
      <w:r w:rsidRPr="00E51489">
        <w:rPr>
          <w:rFonts w:cs="Arial"/>
          <w:sz w:val="22"/>
          <w:szCs w:val="22"/>
        </w:rPr>
        <w:t>č. 218/2000 Sb., o rozpočtových pravidlech a o změně některých souvisejících zákonů (rozpočtová pravidla).</w:t>
      </w:r>
      <w:r w:rsidRPr="00E51489">
        <w:rPr>
          <w:sz w:val="22"/>
          <w:szCs w:val="22"/>
        </w:rPr>
        <w:t xml:space="preserve"> </w:t>
      </w:r>
    </w:p>
    <w:p w:rsidR="004D4E65" w:rsidRPr="0020388A" w:rsidRDefault="00C841DE" w:rsidP="0020388A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lastRenderedPageBreak/>
        <w:t xml:space="preserve">2. </w:t>
      </w:r>
      <w:r w:rsidR="004D4E65" w:rsidRPr="0020388A">
        <w:rPr>
          <w:rFonts w:cs="Arial"/>
          <w:b/>
          <w:sz w:val="22"/>
          <w:szCs w:val="22"/>
          <w:lang w:val="de-DE"/>
        </w:rPr>
        <w:t xml:space="preserve">Charakteristika </w:t>
      </w:r>
      <w:r w:rsidR="004D4E65" w:rsidRPr="0020388A">
        <w:rPr>
          <w:rFonts w:cs="Arial"/>
          <w:b/>
          <w:sz w:val="22"/>
          <w:szCs w:val="22"/>
        </w:rPr>
        <w:t>programů</w:t>
      </w:r>
      <w:r w:rsidR="004D4E65" w:rsidRPr="0020388A">
        <w:rPr>
          <w:rFonts w:cs="Arial"/>
          <w:b/>
          <w:sz w:val="22"/>
          <w:szCs w:val="22"/>
          <w:lang w:val="de-DE"/>
        </w:rPr>
        <w:t xml:space="preserve"> </w:t>
      </w:r>
      <w:r w:rsidR="004D4E65" w:rsidRPr="0020388A">
        <w:rPr>
          <w:rFonts w:cs="Arial"/>
          <w:b/>
          <w:iCs/>
          <w:sz w:val="22"/>
          <w:szCs w:val="22"/>
          <w:lang w:val="de-DE"/>
        </w:rPr>
        <w:t>ÚV ČR, MZ a</w:t>
      </w:r>
      <w:r w:rsidR="004D4E65" w:rsidRPr="0020388A">
        <w:rPr>
          <w:rFonts w:cs="Arial"/>
          <w:b/>
          <w:sz w:val="22"/>
          <w:szCs w:val="22"/>
          <w:lang w:val="de-DE"/>
        </w:rPr>
        <w:t xml:space="preserve"> MŠMT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val="de-DE"/>
        </w:rPr>
      </w:pPr>
    </w:p>
    <w:p w:rsidR="004D4E65" w:rsidRPr="00E51489" w:rsidRDefault="004D4E65" w:rsidP="0007399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 xml:space="preserve">Dotace z programů je určena projektům </w:t>
      </w:r>
      <w:r w:rsidRPr="00E51489">
        <w:rPr>
          <w:sz w:val="22"/>
          <w:szCs w:val="22"/>
        </w:rPr>
        <w:t>v oblasti primární, sekundární a terciární prevence drogové závislosti.</w:t>
      </w:r>
      <w:r w:rsidRPr="00E51489">
        <w:rPr>
          <w:rFonts w:cs="Arial"/>
          <w:sz w:val="22"/>
          <w:szCs w:val="22"/>
        </w:rPr>
        <w:t xml:space="preserve"> Okruh možných příjemců dotace tvoří nestátní neziskové organizace (dále jen „NNO“), právnické osoby zřízené </w:t>
      </w:r>
      <w:r w:rsidRPr="00E51489">
        <w:rPr>
          <w:sz w:val="22"/>
          <w:szCs w:val="22"/>
        </w:rPr>
        <w:t>k poskytování zdravotních služeb</w:t>
      </w:r>
      <w:r w:rsidR="00FA0417">
        <w:rPr>
          <w:sz w:val="22"/>
          <w:szCs w:val="22"/>
        </w:rPr>
        <w:t>,</w:t>
      </w:r>
      <w:r w:rsidRPr="00E51489">
        <w:rPr>
          <w:sz w:val="22"/>
          <w:szCs w:val="22"/>
        </w:rPr>
        <w:t xml:space="preserve"> fyzické osoby, které </w:t>
      </w:r>
      <w:r w:rsidR="00FA0417" w:rsidRPr="00E51489">
        <w:rPr>
          <w:sz w:val="22"/>
          <w:szCs w:val="22"/>
        </w:rPr>
        <w:t>poskytují</w:t>
      </w:r>
      <w:r w:rsidR="00FA0417" w:rsidRPr="00E51489">
        <w:rPr>
          <w:rFonts w:cs="Arial"/>
          <w:sz w:val="22"/>
          <w:szCs w:val="22"/>
        </w:rPr>
        <w:t xml:space="preserve"> </w:t>
      </w:r>
      <w:r w:rsidR="00FA0417" w:rsidRPr="00E51489">
        <w:rPr>
          <w:sz w:val="22"/>
          <w:szCs w:val="22"/>
        </w:rPr>
        <w:t xml:space="preserve">zdravotní </w:t>
      </w:r>
      <w:r w:rsidRPr="00E51489">
        <w:rPr>
          <w:sz w:val="22"/>
          <w:szCs w:val="22"/>
        </w:rPr>
        <w:t>služby</w:t>
      </w:r>
      <w:r w:rsidR="00FA0417">
        <w:rPr>
          <w:sz w:val="22"/>
          <w:szCs w:val="22"/>
        </w:rPr>
        <w:t>,</w:t>
      </w:r>
      <w:r w:rsidR="00FA0417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 xml:space="preserve">a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případě MŠMT rovněž </w:t>
      </w:r>
      <w:r w:rsidRPr="00E51489">
        <w:rPr>
          <w:spacing w:val="-2"/>
          <w:sz w:val="22"/>
          <w:szCs w:val="22"/>
        </w:rPr>
        <w:t xml:space="preserve">právnické osoby vykonávající činnost školy nebo školského zařízení. NNO se pro účely programů rozumí </w:t>
      </w:r>
      <w:r w:rsidRPr="00E51489">
        <w:rPr>
          <w:rFonts w:cs="Arial"/>
          <w:sz w:val="22"/>
          <w:szCs w:val="22"/>
        </w:rPr>
        <w:t xml:space="preserve">občanské sdružení podle zákona č. 83/1990 Sb., o sdružování občanů, obecně prospěšná společnost podle zákona č. 248/1995 Sb., </w:t>
      </w:r>
      <w:r w:rsidR="0007399F" w:rsidRPr="0007399F">
        <w:rPr>
          <w:rFonts w:cs="Arial"/>
          <w:sz w:val="22"/>
          <w:szCs w:val="22"/>
        </w:rPr>
        <w:t>o obecně prospěšných společnostech a o změně a doplnění některých zákonů</w:t>
      </w:r>
      <w:r w:rsidR="00FA0417">
        <w:rPr>
          <w:rFonts w:cs="Arial"/>
          <w:sz w:val="22"/>
          <w:szCs w:val="22"/>
        </w:rPr>
        <w:t>,</w:t>
      </w:r>
      <w:r w:rsidRPr="00E51489">
        <w:rPr>
          <w:rFonts w:cs="Arial"/>
          <w:sz w:val="22"/>
          <w:szCs w:val="22"/>
        </w:rPr>
        <w:t xml:space="preserve"> a subjekt evidovaný podle zákona č. 3/2002 Sb.,</w:t>
      </w:r>
      <w:r w:rsidR="0007399F" w:rsidRPr="0020388A">
        <w:rPr>
          <w:sz w:val="22"/>
          <w:szCs w:val="22"/>
        </w:rPr>
        <w:t xml:space="preserve"> </w:t>
      </w:r>
      <w:r w:rsidR="0007399F" w:rsidRPr="0007399F">
        <w:rPr>
          <w:rFonts w:cs="Arial"/>
          <w:sz w:val="22"/>
          <w:szCs w:val="22"/>
        </w:rPr>
        <w:t>o svobodě náboženského vyznání a postavení církví a náboženských společn</w:t>
      </w:r>
      <w:r w:rsidR="0007399F">
        <w:rPr>
          <w:rFonts w:cs="Arial"/>
          <w:sz w:val="22"/>
          <w:szCs w:val="22"/>
        </w:rPr>
        <w:t xml:space="preserve">ostí a o změně některých zákonů </w:t>
      </w:r>
      <w:r w:rsidR="0007399F" w:rsidRPr="0007399F">
        <w:rPr>
          <w:rFonts w:cs="Arial"/>
          <w:sz w:val="22"/>
          <w:szCs w:val="22"/>
        </w:rPr>
        <w:t>(zákon o církvích a náboženských společnostech)</w:t>
      </w:r>
      <w:r w:rsidRPr="00E51489">
        <w:rPr>
          <w:rFonts w:cs="Arial"/>
          <w:sz w:val="22"/>
          <w:szCs w:val="22"/>
        </w:rPr>
        <w:t>. Dotace z program</w:t>
      </w:r>
      <w:r w:rsidR="00FA0417">
        <w:rPr>
          <w:rFonts w:cs="Arial"/>
          <w:sz w:val="22"/>
          <w:szCs w:val="22"/>
        </w:rPr>
        <w:t>ů</w:t>
      </w:r>
      <w:r w:rsidRPr="00E51489">
        <w:rPr>
          <w:rFonts w:cs="Arial"/>
          <w:sz w:val="22"/>
          <w:szCs w:val="22"/>
        </w:rPr>
        <w:t xml:space="preserve"> ÚV ČR a MZ může činit max. 70 % </w:t>
      </w:r>
      <w:r w:rsidRPr="00E51489">
        <w:rPr>
          <w:rFonts w:eastAsiaTheme="minorHAnsi" w:cs="Arial"/>
          <w:sz w:val="22"/>
          <w:szCs w:val="22"/>
          <w:lang w:eastAsia="en-US"/>
        </w:rPr>
        <w:t>celkových rozpočtovaných nákladů projektu, ve výjimečných a odůvodněných případech může poskytovatel udělit výjimku překračující tento podíl. Pokud je projekt financován z více státních zdrojů (kapitol státního rozpočtu)</w:t>
      </w:r>
      <w:r w:rsidR="00FA0417">
        <w:rPr>
          <w:rFonts w:eastAsiaTheme="minorHAnsi" w:cs="Arial"/>
          <w:sz w:val="22"/>
          <w:szCs w:val="22"/>
          <w:lang w:eastAsia="en-US"/>
        </w:rPr>
        <w:t>,</w:t>
      </w:r>
      <w:r w:rsidRPr="00E51489">
        <w:rPr>
          <w:rFonts w:eastAsiaTheme="minorHAnsi" w:cs="Arial"/>
          <w:sz w:val="22"/>
          <w:szCs w:val="22"/>
          <w:lang w:eastAsia="en-US"/>
        </w:rPr>
        <w:t xml:space="preserve"> </w:t>
      </w:r>
      <w:r w:rsidRPr="00E51489">
        <w:rPr>
          <w:sz w:val="22"/>
          <w:szCs w:val="22"/>
        </w:rPr>
        <w:t>nesmí jejich souběh překročit uvedených 70</w:t>
      </w:r>
      <w:r w:rsidR="00FA0417">
        <w:rPr>
          <w:sz w:val="22"/>
          <w:szCs w:val="22"/>
        </w:rPr>
        <w:t> </w:t>
      </w:r>
      <w:r w:rsidRPr="00E51489">
        <w:rPr>
          <w:sz w:val="22"/>
          <w:szCs w:val="22"/>
        </w:rPr>
        <w:t>%. U</w:t>
      </w:r>
      <w:r w:rsidR="00FA0417">
        <w:rPr>
          <w:sz w:val="22"/>
          <w:szCs w:val="22"/>
        </w:rPr>
        <w:t> </w:t>
      </w:r>
      <w:r w:rsidRPr="00E51489">
        <w:rPr>
          <w:sz w:val="22"/>
          <w:szCs w:val="22"/>
        </w:rPr>
        <w:t>program</w:t>
      </w:r>
      <w:r w:rsidR="00FA0417">
        <w:rPr>
          <w:sz w:val="22"/>
          <w:szCs w:val="22"/>
        </w:rPr>
        <w:t>ů</w:t>
      </w:r>
      <w:r w:rsidRPr="00E51489">
        <w:rPr>
          <w:sz w:val="22"/>
          <w:szCs w:val="22"/>
        </w:rPr>
        <w:t xml:space="preserve"> MŠMT je max. výše dotace poskytnuté na </w:t>
      </w:r>
      <w:r w:rsidRPr="00E51489">
        <w:rPr>
          <w:rFonts w:cs="Arial"/>
          <w:bCs/>
          <w:sz w:val="22"/>
          <w:szCs w:val="22"/>
        </w:rPr>
        <w:t>jeden projekt</w:t>
      </w:r>
      <w:r w:rsidRPr="00E51489">
        <w:rPr>
          <w:sz w:val="22"/>
          <w:szCs w:val="22"/>
        </w:rPr>
        <w:t xml:space="preserve"> stanovena finanční částkou 350 tis. Kč a v případě </w:t>
      </w:r>
      <w:r w:rsidRPr="00E51489">
        <w:rPr>
          <w:rFonts w:cs="Arial"/>
          <w:bCs/>
          <w:sz w:val="22"/>
          <w:szCs w:val="22"/>
        </w:rPr>
        <w:t>školy nebo školského zařízení částkou 80 tis. Kč.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20388A" w:rsidRDefault="00C841DE" w:rsidP="0020388A">
      <w:p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3. </w:t>
      </w:r>
      <w:r w:rsidR="004D4E65" w:rsidRPr="0020388A">
        <w:rPr>
          <w:rFonts w:cs="Arial"/>
          <w:b/>
          <w:bCs/>
          <w:sz w:val="22"/>
          <w:szCs w:val="22"/>
        </w:rPr>
        <w:t>Zdroje a průběh financování programů ÚV ČR, MZ a MŠMT</w:t>
      </w:r>
    </w:p>
    <w:p w:rsidR="004D4E65" w:rsidRPr="0020388A" w:rsidRDefault="004D4E65" w:rsidP="005550B3">
      <w:pPr>
        <w:contextualSpacing/>
        <w:jc w:val="both"/>
        <w:rPr>
          <w:rFonts w:cs="Arial"/>
          <w:b/>
          <w:bCs/>
          <w:sz w:val="22"/>
          <w:szCs w:val="22"/>
        </w:rPr>
      </w:pPr>
    </w:p>
    <w:p w:rsidR="005550B3" w:rsidRDefault="004D4E65" w:rsidP="005550B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Rozpočet výdajů na programy zůstává dlouhodobě prakticky konstantní u</w:t>
      </w:r>
      <w:r w:rsidR="00FA0417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MŠMT, u</w:t>
      </w:r>
      <w:r w:rsidR="00FA0417">
        <w:rPr>
          <w:rFonts w:cs="Arial"/>
          <w:sz w:val="22"/>
          <w:szCs w:val="22"/>
        </w:rPr>
        <w:t> Ú</w:t>
      </w:r>
      <w:r w:rsidRPr="00E51489">
        <w:rPr>
          <w:rFonts w:cs="Arial"/>
          <w:sz w:val="22"/>
          <w:szCs w:val="22"/>
        </w:rPr>
        <w:t>V</w:t>
      </w:r>
      <w:r w:rsidR="00FA0417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ČR a MZ zaznamenal pokles. Jeho objem se v letech 2006 až 2011 pohyboval u</w:t>
      </w:r>
      <w:r w:rsidR="00FA0417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MŠMT mezi 12 a 13 mil. Kč, u ÚV ČR poklesl ze 110 na 81 mil.</w:t>
      </w:r>
      <w:r w:rsidR="005550B3">
        <w:rPr>
          <w:rFonts w:cs="Arial"/>
          <w:sz w:val="22"/>
          <w:szCs w:val="22"/>
        </w:rPr>
        <w:t xml:space="preserve"> Kč a u MZ z 27 na 10</w:t>
      </w:r>
      <w:r w:rsidR="00FA0417">
        <w:rPr>
          <w:rFonts w:cs="Arial"/>
          <w:sz w:val="22"/>
          <w:szCs w:val="22"/>
        </w:rPr>
        <w:t> </w:t>
      </w:r>
      <w:r w:rsidR="005550B3">
        <w:rPr>
          <w:rFonts w:cs="Arial"/>
          <w:sz w:val="22"/>
          <w:szCs w:val="22"/>
        </w:rPr>
        <w:t>mil.</w:t>
      </w:r>
      <w:r w:rsidR="00FA0417">
        <w:rPr>
          <w:rFonts w:cs="Arial"/>
          <w:sz w:val="22"/>
          <w:szCs w:val="22"/>
        </w:rPr>
        <w:t> </w:t>
      </w:r>
      <w:r w:rsidR="005550B3">
        <w:rPr>
          <w:rFonts w:cs="Arial"/>
          <w:sz w:val="22"/>
          <w:szCs w:val="22"/>
        </w:rPr>
        <w:t xml:space="preserve">Kč. </w:t>
      </w:r>
    </w:p>
    <w:p w:rsidR="00FA0417" w:rsidRPr="005550B3" w:rsidRDefault="00FA0417" w:rsidP="005550B3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Default="004D4E65" w:rsidP="005550B3">
      <w:pPr>
        <w:jc w:val="both"/>
        <w:rPr>
          <w:rFonts w:cs="Arial"/>
          <w:sz w:val="22"/>
          <w:szCs w:val="22"/>
          <w:lang w:eastAsia="en-US"/>
        </w:rPr>
      </w:pPr>
      <w:r w:rsidRPr="00E51489">
        <w:rPr>
          <w:rFonts w:cs="Arial"/>
          <w:sz w:val="22"/>
          <w:szCs w:val="22"/>
        </w:rPr>
        <w:t xml:space="preserve">V letech 2010 a 2011 zájem o podporu z programů </w:t>
      </w:r>
      <w:r w:rsidRPr="00E51489">
        <w:rPr>
          <w:rFonts w:cs="Arial"/>
          <w:sz w:val="22"/>
          <w:szCs w:val="22"/>
          <w:lang w:eastAsia="en-US"/>
        </w:rPr>
        <w:t xml:space="preserve">převýšil disponibilní zdroje, když celkový objem poskytnuté dotace v porovnání s požadovaným činil v jednotlivých letech u programu </w:t>
      </w:r>
      <w:r w:rsidR="00FA0417">
        <w:rPr>
          <w:rFonts w:cs="Arial"/>
          <w:sz w:val="22"/>
          <w:szCs w:val="22"/>
          <w:lang w:eastAsia="en-US"/>
        </w:rPr>
        <w:t>Ú</w:t>
      </w:r>
      <w:r w:rsidRPr="00E51489">
        <w:rPr>
          <w:rFonts w:cs="Arial"/>
          <w:sz w:val="22"/>
          <w:szCs w:val="22"/>
          <w:lang w:eastAsia="en-US"/>
        </w:rPr>
        <w:t xml:space="preserve">V ČR 63,9 % a 67,5 %, u programu MZ 23,7 % a 31,3 % a u programu MŠMT 93,9 % a 78,5 %. </w:t>
      </w:r>
    </w:p>
    <w:p w:rsidR="006705F6" w:rsidRPr="00E51489" w:rsidRDefault="006705F6" w:rsidP="005550B3">
      <w:pPr>
        <w:jc w:val="both"/>
        <w:rPr>
          <w:rFonts w:cs="Arial"/>
          <w:sz w:val="22"/>
          <w:szCs w:val="22"/>
          <w:lang w:eastAsia="en-US"/>
        </w:rPr>
      </w:pPr>
    </w:p>
    <w:p w:rsidR="004D4E65" w:rsidRPr="00E51489" w:rsidRDefault="004D4E65" w:rsidP="004D4E65">
      <w:pPr>
        <w:jc w:val="both"/>
        <w:rPr>
          <w:rFonts w:cs="Arial"/>
          <w:sz w:val="22"/>
          <w:szCs w:val="22"/>
        </w:rPr>
      </w:pPr>
      <w:r w:rsidRPr="00E51489">
        <w:rPr>
          <w:sz w:val="22"/>
          <w:szCs w:val="22"/>
          <w:lang w:eastAsia="en-US"/>
        </w:rPr>
        <w:t>Přehled o zdrojích a průběhu financování programů je uveden v tabulkách č. 3 až</w:t>
      </w:r>
      <w:r w:rsidR="00FA0417">
        <w:rPr>
          <w:sz w:val="22"/>
          <w:szCs w:val="22"/>
          <w:lang w:eastAsia="en-US"/>
        </w:rPr>
        <w:t xml:space="preserve"> č.</w:t>
      </w:r>
      <w:r w:rsidRPr="00E51489">
        <w:rPr>
          <w:sz w:val="22"/>
          <w:szCs w:val="22"/>
          <w:lang w:eastAsia="en-US"/>
        </w:rPr>
        <w:t xml:space="preserve"> 5.</w:t>
      </w:r>
    </w:p>
    <w:p w:rsidR="005550B3" w:rsidRDefault="005550B3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20388A" w:rsidRDefault="004D4E65" w:rsidP="004D4E65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20388A">
        <w:rPr>
          <w:rFonts w:cs="Arial"/>
          <w:b/>
          <w:sz w:val="22"/>
          <w:szCs w:val="22"/>
        </w:rPr>
        <w:t xml:space="preserve">Tabulka č. 3 </w:t>
      </w:r>
      <w:r w:rsidR="005550B3" w:rsidRPr="0020388A">
        <w:rPr>
          <w:rFonts w:cs="Arial"/>
          <w:b/>
          <w:sz w:val="22"/>
          <w:szCs w:val="22"/>
        </w:rPr>
        <w:t>–</w:t>
      </w:r>
      <w:r w:rsidRPr="0020388A">
        <w:rPr>
          <w:rFonts w:cs="Arial"/>
          <w:b/>
          <w:sz w:val="22"/>
          <w:szCs w:val="22"/>
        </w:rPr>
        <w:t xml:space="preserve"> ÚV ČR</w:t>
      </w:r>
    </w:p>
    <w:tbl>
      <w:tblPr>
        <w:tblpPr w:leftFromText="141" w:rightFromText="141" w:vertAnchor="text" w:horzAnchor="margin" w:tblpX="108" w:tblpY="62"/>
        <w:tblW w:w="48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091"/>
        <w:gridCol w:w="1091"/>
        <w:gridCol w:w="1272"/>
        <w:gridCol w:w="1281"/>
        <w:gridCol w:w="1281"/>
        <w:gridCol w:w="1257"/>
        <w:gridCol w:w="1022"/>
      </w:tblGrid>
      <w:tr w:rsidR="004D4E65" w:rsidRPr="00E51489" w:rsidTr="00C969F3">
        <w:trPr>
          <w:trHeight w:val="693"/>
        </w:trPr>
        <w:tc>
          <w:tcPr>
            <w:tcW w:w="347" w:type="pct"/>
          </w:tcPr>
          <w:p w:rsidR="004D4E65" w:rsidRPr="0020388A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Rok</w:t>
            </w: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žadatelů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4D4E65" w:rsidRPr="0020388A" w:rsidRDefault="004D4E65" w:rsidP="0020388A">
            <w:pPr>
              <w:pStyle w:val="Bezmezer"/>
              <w:ind w:left="-43" w:right="-13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požadovan</w:t>
            </w:r>
            <w:r w:rsidR="00FA0417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FA0417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schválených příjemců</w:t>
            </w: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schválených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poskytnut</w:t>
            </w:r>
            <w:r w:rsidR="00FA0417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FA0417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Podíl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7 </w:t>
            </w: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/</w:t>
            </w:r>
            <w:r w:rsidR="0047570E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4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(v %)</w:t>
            </w:r>
          </w:p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4D4E65" w:rsidRPr="00E51489" w:rsidTr="00C969F3">
        <w:tc>
          <w:tcPr>
            <w:tcW w:w="347" w:type="pct"/>
          </w:tcPr>
          <w:p w:rsidR="004D4E65" w:rsidRPr="0020388A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2010</w:t>
            </w:r>
          </w:p>
        </w:tc>
        <w:tc>
          <w:tcPr>
            <w:tcW w:w="62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60</w:t>
            </w:r>
          </w:p>
        </w:tc>
        <w:tc>
          <w:tcPr>
            <w:tcW w:w="62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160</w:t>
            </w:r>
          </w:p>
        </w:tc>
        <w:tc>
          <w:tcPr>
            <w:tcW w:w="706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128 367</w:t>
            </w:r>
          </w:p>
        </w:tc>
        <w:tc>
          <w:tcPr>
            <w:tcW w:w="729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52</w:t>
            </w:r>
          </w:p>
        </w:tc>
        <w:tc>
          <w:tcPr>
            <w:tcW w:w="729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139</w:t>
            </w:r>
          </w:p>
        </w:tc>
        <w:tc>
          <w:tcPr>
            <w:tcW w:w="66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81 993</w:t>
            </w:r>
          </w:p>
        </w:tc>
        <w:tc>
          <w:tcPr>
            <w:tcW w:w="583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/>
              </w:rPr>
              <w:t>63,9</w:t>
            </w:r>
          </w:p>
        </w:tc>
      </w:tr>
      <w:tr w:rsidR="004D4E65" w:rsidRPr="00E51489" w:rsidTr="00C969F3">
        <w:tc>
          <w:tcPr>
            <w:tcW w:w="347" w:type="pct"/>
          </w:tcPr>
          <w:p w:rsidR="004D4E65" w:rsidRPr="0020388A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b/>
                <w:sz w:val="16"/>
                <w:szCs w:val="16"/>
                <w:lang w:val="cs-CZ"/>
              </w:rPr>
              <w:t>2011</w:t>
            </w:r>
          </w:p>
        </w:tc>
        <w:tc>
          <w:tcPr>
            <w:tcW w:w="62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51</w:t>
            </w:r>
          </w:p>
        </w:tc>
        <w:tc>
          <w:tcPr>
            <w:tcW w:w="62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147</w:t>
            </w:r>
          </w:p>
        </w:tc>
        <w:tc>
          <w:tcPr>
            <w:tcW w:w="706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126 706</w:t>
            </w:r>
          </w:p>
        </w:tc>
        <w:tc>
          <w:tcPr>
            <w:tcW w:w="729" w:type="pct"/>
          </w:tcPr>
          <w:p w:rsidR="004D4E65" w:rsidRPr="0020388A" w:rsidRDefault="004D4E65" w:rsidP="008604F5">
            <w:pPr>
              <w:jc w:val="center"/>
              <w:rPr>
                <w:rFonts w:cs="Arial"/>
                <w:sz w:val="16"/>
                <w:szCs w:val="16"/>
              </w:rPr>
            </w:pPr>
            <w:r w:rsidRPr="0020388A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729" w:type="pct"/>
          </w:tcPr>
          <w:p w:rsidR="004D4E65" w:rsidRPr="0020388A" w:rsidRDefault="004D4E65" w:rsidP="008604F5">
            <w:pPr>
              <w:jc w:val="center"/>
              <w:rPr>
                <w:rFonts w:cs="Arial"/>
                <w:sz w:val="16"/>
                <w:szCs w:val="16"/>
              </w:rPr>
            </w:pPr>
            <w:r w:rsidRPr="0020388A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662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 w:eastAsia="cs-CZ"/>
              </w:rPr>
              <w:t>85 527</w:t>
            </w:r>
          </w:p>
        </w:tc>
        <w:tc>
          <w:tcPr>
            <w:tcW w:w="583" w:type="pct"/>
          </w:tcPr>
          <w:p w:rsidR="004D4E65" w:rsidRPr="0020388A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20388A">
              <w:rPr>
                <w:rFonts w:ascii="Arial" w:hAnsi="Arial" w:cs="Arial"/>
                <w:sz w:val="16"/>
                <w:szCs w:val="16"/>
                <w:lang w:val="cs-CZ"/>
              </w:rPr>
              <w:t>67,5</w:t>
            </w:r>
          </w:p>
        </w:tc>
      </w:tr>
    </w:tbl>
    <w:p w:rsidR="004D4E65" w:rsidRPr="00E51489" w:rsidRDefault="004D4E65" w:rsidP="0020388A">
      <w:pPr>
        <w:autoSpaceDE w:val="0"/>
        <w:autoSpaceDN w:val="0"/>
        <w:adjustRightInd w:val="0"/>
        <w:spacing w:before="40"/>
        <w:jc w:val="both"/>
        <w:rPr>
          <w:rFonts w:cs="Arial"/>
          <w:sz w:val="18"/>
          <w:szCs w:val="18"/>
        </w:rPr>
      </w:pPr>
      <w:r w:rsidRPr="005550B3">
        <w:rPr>
          <w:rFonts w:cs="Arial"/>
          <w:b/>
          <w:sz w:val="18"/>
          <w:szCs w:val="18"/>
        </w:rPr>
        <w:t>Zdroj:</w:t>
      </w:r>
      <w:r w:rsidRPr="00E51489">
        <w:rPr>
          <w:rFonts w:cs="Arial"/>
          <w:sz w:val="18"/>
          <w:szCs w:val="18"/>
        </w:rPr>
        <w:t xml:space="preserve"> ÚV ČR </w:t>
      </w:r>
      <w:r w:rsidR="005550B3">
        <w:rPr>
          <w:rFonts w:cs="Arial"/>
          <w:sz w:val="18"/>
          <w:szCs w:val="18"/>
        </w:rPr>
        <w:t>–</w:t>
      </w:r>
      <w:r w:rsidRPr="00E51489">
        <w:rPr>
          <w:rFonts w:cs="Arial"/>
          <w:sz w:val="18"/>
          <w:szCs w:val="18"/>
        </w:rPr>
        <w:t xml:space="preserve"> výsledky dotačního řízení a závěrečný účet kapitoly za rok 2010 a </w:t>
      </w:r>
      <w:r w:rsidR="0047570E">
        <w:rPr>
          <w:rFonts w:cs="Arial"/>
          <w:sz w:val="18"/>
          <w:szCs w:val="18"/>
        </w:rPr>
        <w:t xml:space="preserve">za rok </w:t>
      </w:r>
      <w:r w:rsidRPr="00E51489">
        <w:rPr>
          <w:rFonts w:cs="Arial"/>
          <w:sz w:val="18"/>
          <w:szCs w:val="18"/>
        </w:rPr>
        <w:t>2011</w:t>
      </w:r>
      <w:r w:rsidR="005550B3">
        <w:rPr>
          <w:rFonts w:cs="Arial"/>
          <w:sz w:val="18"/>
          <w:szCs w:val="18"/>
        </w:rPr>
        <w:t>.</w:t>
      </w:r>
    </w:p>
    <w:p w:rsidR="004D4E65" w:rsidRPr="0020388A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D4E65" w:rsidRPr="0020388A" w:rsidRDefault="004D4E65" w:rsidP="004D4E65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20388A">
        <w:rPr>
          <w:rFonts w:cs="Arial"/>
          <w:b/>
          <w:sz w:val="22"/>
          <w:szCs w:val="22"/>
        </w:rPr>
        <w:t xml:space="preserve">Tabulka č. 4 </w:t>
      </w:r>
      <w:r w:rsidR="005550B3" w:rsidRPr="0020388A">
        <w:rPr>
          <w:rFonts w:cs="Arial"/>
          <w:b/>
          <w:sz w:val="22"/>
          <w:szCs w:val="22"/>
        </w:rPr>
        <w:t>–</w:t>
      </w:r>
      <w:r w:rsidRPr="0020388A">
        <w:rPr>
          <w:rFonts w:cs="Arial"/>
          <w:b/>
          <w:sz w:val="22"/>
          <w:szCs w:val="22"/>
        </w:rPr>
        <w:t xml:space="preserve"> MZ</w:t>
      </w:r>
    </w:p>
    <w:tbl>
      <w:tblPr>
        <w:tblpPr w:leftFromText="141" w:rightFromText="141" w:vertAnchor="text" w:horzAnchor="margin" w:tblpX="108" w:tblpY="62"/>
        <w:tblW w:w="48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1110"/>
        <w:gridCol w:w="977"/>
        <w:gridCol w:w="1416"/>
        <w:gridCol w:w="1315"/>
        <w:gridCol w:w="1178"/>
        <w:gridCol w:w="1347"/>
        <w:gridCol w:w="980"/>
      </w:tblGrid>
      <w:tr w:rsidR="004D4E65" w:rsidRPr="00E51489" w:rsidTr="0020388A">
        <w:trPr>
          <w:trHeight w:val="693"/>
        </w:trPr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Rok</w:t>
            </w: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žadatelů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549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požadovan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schválených příjemců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schválených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757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poskytnut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Podíl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7 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/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4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%)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4D4E65" w:rsidRPr="00E51489" w:rsidTr="0020388A"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2010</w:t>
            </w:r>
          </w:p>
        </w:tc>
        <w:tc>
          <w:tcPr>
            <w:tcW w:w="624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53</w:t>
            </w:r>
          </w:p>
        </w:tc>
        <w:tc>
          <w:tcPr>
            <w:tcW w:w="549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110</w:t>
            </w:r>
          </w:p>
        </w:tc>
        <w:tc>
          <w:tcPr>
            <w:tcW w:w="796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 xml:space="preserve">39 121 </w:t>
            </w:r>
          </w:p>
        </w:tc>
        <w:tc>
          <w:tcPr>
            <w:tcW w:w="739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41</w:t>
            </w:r>
          </w:p>
        </w:tc>
        <w:tc>
          <w:tcPr>
            <w:tcW w:w="662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86</w:t>
            </w:r>
          </w:p>
        </w:tc>
        <w:tc>
          <w:tcPr>
            <w:tcW w:w="757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9 268</w:t>
            </w:r>
          </w:p>
        </w:tc>
        <w:tc>
          <w:tcPr>
            <w:tcW w:w="551" w:type="pct"/>
            <w:vAlign w:val="center"/>
          </w:tcPr>
          <w:p w:rsidR="004D4E65" w:rsidRPr="00E51489" w:rsidRDefault="004D4E65" w:rsidP="00C841DE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23,7</w:t>
            </w:r>
          </w:p>
        </w:tc>
      </w:tr>
      <w:tr w:rsidR="004D4E65" w:rsidRPr="00E51489" w:rsidTr="0020388A"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2011</w:t>
            </w:r>
          </w:p>
        </w:tc>
        <w:tc>
          <w:tcPr>
            <w:tcW w:w="624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47</w:t>
            </w:r>
          </w:p>
        </w:tc>
        <w:tc>
          <w:tcPr>
            <w:tcW w:w="549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105</w:t>
            </w:r>
          </w:p>
        </w:tc>
        <w:tc>
          <w:tcPr>
            <w:tcW w:w="796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 xml:space="preserve">31 604 </w:t>
            </w:r>
          </w:p>
        </w:tc>
        <w:tc>
          <w:tcPr>
            <w:tcW w:w="739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43</w:t>
            </w:r>
          </w:p>
        </w:tc>
        <w:tc>
          <w:tcPr>
            <w:tcW w:w="662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87</w:t>
            </w:r>
          </w:p>
        </w:tc>
        <w:tc>
          <w:tcPr>
            <w:tcW w:w="757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9 878</w:t>
            </w:r>
          </w:p>
        </w:tc>
        <w:tc>
          <w:tcPr>
            <w:tcW w:w="551" w:type="pct"/>
            <w:vAlign w:val="center"/>
          </w:tcPr>
          <w:p w:rsidR="004D4E65" w:rsidRPr="00E51489" w:rsidRDefault="004D4E65" w:rsidP="00C841DE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31,3</w:t>
            </w:r>
          </w:p>
        </w:tc>
      </w:tr>
    </w:tbl>
    <w:p w:rsidR="004D4E65" w:rsidRPr="00E51489" w:rsidRDefault="005550B3" w:rsidP="0020388A">
      <w:pPr>
        <w:autoSpaceDE w:val="0"/>
        <w:autoSpaceDN w:val="0"/>
        <w:adjustRightInd w:val="0"/>
        <w:spacing w:before="40"/>
        <w:jc w:val="both"/>
        <w:rPr>
          <w:rFonts w:cs="Arial"/>
          <w:sz w:val="18"/>
          <w:szCs w:val="18"/>
        </w:rPr>
      </w:pPr>
      <w:r w:rsidRPr="005550B3">
        <w:rPr>
          <w:rFonts w:cs="Arial"/>
          <w:b/>
          <w:sz w:val="18"/>
          <w:szCs w:val="18"/>
        </w:rPr>
        <w:t>Zdroj:</w:t>
      </w:r>
      <w:r>
        <w:rPr>
          <w:rFonts w:cs="Arial"/>
          <w:sz w:val="18"/>
          <w:szCs w:val="18"/>
        </w:rPr>
        <w:t xml:space="preserve"> MZ –</w:t>
      </w:r>
      <w:r w:rsidR="004D4E65" w:rsidRPr="00E51489">
        <w:rPr>
          <w:rFonts w:cs="Arial"/>
          <w:sz w:val="18"/>
          <w:szCs w:val="18"/>
        </w:rPr>
        <w:t xml:space="preserve"> výsledky dotačního řízení a závěrečný účet kapitoly za rok 2010 a </w:t>
      </w:r>
      <w:r w:rsidR="0047570E">
        <w:rPr>
          <w:rFonts w:cs="Arial"/>
          <w:sz w:val="18"/>
          <w:szCs w:val="18"/>
        </w:rPr>
        <w:t xml:space="preserve">za rok </w:t>
      </w:r>
      <w:r w:rsidR="004D4E65" w:rsidRPr="00E51489">
        <w:rPr>
          <w:rFonts w:cs="Arial"/>
          <w:sz w:val="18"/>
          <w:szCs w:val="18"/>
        </w:rPr>
        <w:t>2011</w:t>
      </w:r>
      <w:r>
        <w:rPr>
          <w:rFonts w:cs="Arial"/>
          <w:sz w:val="18"/>
          <w:szCs w:val="18"/>
        </w:rPr>
        <w:t>.</w:t>
      </w:r>
    </w:p>
    <w:p w:rsidR="004D4E65" w:rsidRPr="00E51489" w:rsidRDefault="004D4E65" w:rsidP="004D4E65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47570E" w:rsidRDefault="0047570E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4D4E65" w:rsidRPr="0020388A" w:rsidRDefault="004D4E65" w:rsidP="004D4E65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  <w:r w:rsidRPr="0020388A">
        <w:rPr>
          <w:rFonts w:cs="Arial"/>
          <w:b/>
          <w:sz w:val="22"/>
          <w:szCs w:val="22"/>
        </w:rPr>
        <w:lastRenderedPageBreak/>
        <w:t xml:space="preserve">Tabulka č. 5 </w:t>
      </w:r>
      <w:r w:rsidR="005550B3" w:rsidRPr="0020388A">
        <w:rPr>
          <w:rFonts w:cs="Arial"/>
          <w:b/>
          <w:sz w:val="22"/>
          <w:szCs w:val="22"/>
        </w:rPr>
        <w:t>–</w:t>
      </w:r>
      <w:r w:rsidRPr="0020388A">
        <w:rPr>
          <w:rFonts w:cs="Arial"/>
          <w:b/>
          <w:sz w:val="22"/>
          <w:szCs w:val="22"/>
        </w:rPr>
        <w:t xml:space="preserve"> MŠMT</w:t>
      </w:r>
    </w:p>
    <w:tbl>
      <w:tblPr>
        <w:tblpPr w:leftFromText="141" w:rightFromText="141" w:vertAnchor="text" w:horzAnchor="margin" w:tblpX="108" w:tblpY="62"/>
        <w:tblW w:w="48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147"/>
        <w:gridCol w:w="1147"/>
        <w:gridCol w:w="1328"/>
        <w:gridCol w:w="1177"/>
        <w:gridCol w:w="1177"/>
        <w:gridCol w:w="1257"/>
        <w:gridCol w:w="1091"/>
      </w:tblGrid>
      <w:tr w:rsidR="004D4E65" w:rsidRPr="00E51489" w:rsidTr="008604F5">
        <w:trPr>
          <w:trHeight w:val="693"/>
        </w:trPr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Rok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žadatelů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požadovan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 schválených příjemců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Počet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schválených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projektů</w:t>
            </w:r>
          </w:p>
        </w:tc>
        <w:tc>
          <w:tcPr>
            <w:tcW w:w="668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Objem poskytnut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ých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dotac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>í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tis. Kč)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Podíl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7 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/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</w:t>
            </w: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sl.</w:t>
            </w:r>
            <w:r w:rsidR="0047570E">
              <w:rPr>
                <w:rFonts w:ascii="Arial" w:hAnsi="Arial" w:cs="Arial"/>
                <w:b/>
                <w:sz w:val="16"/>
                <w:szCs w:val="16"/>
                <w:lang w:val="cs-CZ"/>
              </w:rPr>
              <w:t xml:space="preserve"> 4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(v %)</w:t>
            </w:r>
          </w:p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</w:p>
        </w:tc>
      </w:tr>
      <w:tr w:rsidR="004D4E65" w:rsidRPr="00E51489" w:rsidTr="008604F5"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2010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241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286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16 681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92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117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15 667</w:t>
            </w:r>
          </w:p>
        </w:tc>
        <w:tc>
          <w:tcPr>
            <w:tcW w:w="669" w:type="pct"/>
            <w:vAlign w:val="center"/>
          </w:tcPr>
          <w:p w:rsidR="004D4E65" w:rsidRPr="00E51489" w:rsidRDefault="004D4E65" w:rsidP="00C841DE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93,9</w:t>
            </w:r>
          </w:p>
        </w:tc>
      </w:tr>
      <w:tr w:rsidR="004D4E65" w:rsidRPr="00E51489" w:rsidTr="008604F5">
        <w:tc>
          <w:tcPr>
            <w:tcW w:w="321" w:type="pct"/>
          </w:tcPr>
          <w:p w:rsidR="004D4E65" w:rsidRPr="00E51489" w:rsidRDefault="004D4E65" w:rsidP="008604F5">
            <w:pPr>
              <w:pStyle w:val="Bezmezer"/>
              <w:rPr>
                <w:rFonts w:ascii="Arial" w:hAnsi="Arial" w:cs="Arial"/>
                <w:b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b/>
                <w:sz w:val="16"/>
                <w:szCs w:val="16"/>
                <w:lang w:val="cs-CZ"/>
              </w:rPr>
              <w:t>2011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118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150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15 604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105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112</w:t>
            </w:r>
          </w:p>
        </w:tc>
        <w:tc>
          <w:tcPr>
            <w:tcW w:w="668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12 243</w:t>
            </w:r>
          </w:p>
        </w:tc>
        <w:tc>
          <w:tcPr>
            <w:tcW w:w="669" w:type="pct"/>
            <w:vAlign w:val="center"/>
          </w:tcPr>
          <w:p w:rsidR="004D4E65" w:rsidRPr="00E51489" w:rsidRDefault="004D4E65" w:rsidP="008604F5">
            <w:pPr>
              <w:pStyle w:val="Bezmezer"/>
              <w:jc w:val="center"/>
              <w:rPr>
                <w:rFonts w:ascii="Arial" w:hAnsi="Arial" w:cs="Arial"/>
                <w:sz w:val="16"/>
                <w:szCs w:val="16"/>
                <w:lang w:val="cs-CZ"/>
              </w:rPr>
            </w:pPr>
            <w:r w:rsidRPr="00E51489">
              <w:rPr>
                <w:rFonts w:ascii="Arial" w:hAnsi="Arial" w:cs="Arial"/>
                <w:sz w:val="16"/>
                <w:szCs w:val="16"/>
                <w:lang w:val="cs-CZ"/>
              </w:rPr>
              <w:t>78,5</w:t>
            </w:r>
          </w:p>
        </w:tc>
      </w:tr>
    </w:tbl>
    <w:p w:rsidR="004D4E65" w:rsidRDefault="004D4E65" w:rsidP="0020388A">
      <w:pPr>
        <w:autoSpaceDE w:val="0"/>
        <w:autoSpaceDN w:val="0"/>
        <w:adjustRightInd w:val="0"/>
        <w:spacing w:before="40"/>
        <w:jc w:val="both"/>
        <w:rPr>
          <w:rFonts w:cs="Arial"/>
          <w:sz w:val="18"/>
          <w:szCs w:val="18"/>
        </w:rPr>
      </w:pPr>
      <w:r w:rsidRPr="005550B3">
        <w:rPr>
          <w:rFonts w:cs="Arial"/>
          <w:b/>
          <w:sz w:val="18"/>
          <w:szCs w:val="18"/>
        </w:rPr>
        <w:t>Zdroj:</w:t>
      </w:r>
      <w:r w:rsidRPr="00E51489">
        <w:rPr>
          <w:rFonts w:cs="Arial"/>
          <w:sz w:val="18"/>
          <w:szCs w:val="18"/>
        </w:rPr>
        <w:t xml:space="preserve"> MŠMT </w:t>
      </w:r>
      <w:r w:rsidR="005550B3">
        <w:rPr>
          <w:rFonts w:cs="Arial"/>
          <w:sz w:val="18"/>
          <w:szCs w:val="18"/>
        </w:rPr>
        <w:t>–</w:t>
      </w:r>
      <w:r w:rsidRPr="00E51489">
        <w:rPr>
          <w:rFonts w:cs="Arial"/>
          <w:sz w:val="18"/>
          <w:szCs w:val="18"/>
        </w:rPr>
        <w:t xml:space="preserve"> výsledky dotačního řízení a závěrečný účet kapitoly za rok 2010 a </w:t>
      </w:r>
      <w:r w:rsidR="0047570E">
        <w:rPr>
          <w:rFonts w:cs="Arial"/>
          <w:sz w:val="18"/>
          <w:szCs w:val="18"/>
        </w:rPr>
        <w:t xml:space="preserve">za rok </w:t>
      </w:r>
      <w:r w:rsidRPr="00E51489">
        <w:rPr>
          <w:rFonts w:cs="Arial"/>
          <w:sz w:val="18"/>
          <w:szCs w:val="18"/>
        </w:rPr>
        <w:t>2011</w:t>
      </w:r>
      <w:r w:rsidR="005550B3">
        <w:rPr>
          <w:rFonts w:cs="Arial"/>
          <w:sz w:val="18"/>
          <w:szCs w:val="18"/>
        </w:rPr>
        <w:t>.</w:t>
      </w:r>
    </w:p>
    <w:p w:rsidR="00C969F3" w:rsidRPr="0020388A" w:rsidRDefault="00C969F3" w:rsidP="0020388A">
      <w:pPr>
        <w:spacing w:line="276" w:lineRule="auto"/>
        <w:rPr>
          <w:rFonts w:cs="Arial"/>
          <w:b/>
          <w:bCs/>
          <w:sz w:val="22"/>
          <w:szCs w:val="22"/>
          <w:lang w:eastAsia="en-US"/>
        </w:rPr>
      </w:pPr>
    </w:p>
    <w:p w:rsidR="004D4E65" w:rsidRPr="0020388A" w:rsidRDefault="00C841DE" w:rsidP="0020388A">
      <w:pPr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4. </w:t>
      </w:r>
      <w:r w:rsidR="004D4E65" w:rsidRPr="0020388A">
        <w:rPr>
          <w:rFonts w:cs="Arial"/>
          <w:b/>
          <w:bCs/>
          <w:sz w:val="22"/>
          <w:szCs w:val="22"/>
        </w:rPr>
        <w:t xml:space="preserve">Zjištěné nedostatky </w:t>
      </w:r>
    </w:p>
    <w:p w:rsidR="006705F6" w:rsidRDefault="006705F6" w:rsidP="00396F93">
      <w:pPr>
        <w:jc w:val="both"/>
        <w:rPr>
          <w:rFonts w:cs="Arial"/>
          <w:b/>
          <w:sz w:val="22"/>
          <w:szCs w:val="22"/>
        </w:rPr>
      </w:pPr>
    </w:p>
    <w:p w:rsidR="00396F93" w:rsidRPr="00E51489" w:rsidRDefault="00396F93" w:rsidP="0020388A">
      <w:pPr>
        <w:spacing w:after="120"/>
        <w:jc w:val="both"/>
        <w:rPr>
          <w:rFonts w:cs="Arial"/>
          <w:b/>
          <w:sz w:val="22"/>
          <w:szCs w:val="22"/>
        </w:rPr>
      </w:pPr>
      <w:r w:rsidRPr="00E51489">
        <w:rPr>
          <w:rFonts w:cs="Arial"/>
          <w:b/>
          <w:sz w:val="22"/>
          <w:szCs w:val="22"/>
        </w:rPr>
        <w:t>4.</w:t>
      </w:r>
      <w:r w:rsidR="00C21689">
        <w:rPr>
          <w:rFonts w:cs="Arial"/>
          <w:b/>
          <w:sz w:val="22"/>
          <w:szCs w:val="22"/>
        </w:rPr>
        <w:t>1</w:t>
      </w:r>
      <w:r w:rsidRPr="00E5148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ÚV ČR, </w:t>
      </w:r>
      <w:r w:rsidRPr="00E51489">
        <w:rPr>
          <w:rFonts w:cs="Arial"/>
          <w:b/>
          <w:sz w:val="22"/>
          <w:szCs w:val="22"/>
        </w:rPr>
        <w:t>MZ a MŠMT podrobily finanční kontrole minimální počet příjemců dotace</w:t>
      </w:r>
    </w:p>
    <w:p w:rsidR="00396F93" w:rsidRPr="00E51489" w:rsidRDefault="00396F93" w:rsidP="00396F93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Zákon č. 320/2001 Sb., o finanční kontrole ve veřejné správě a o změně některých zákonů (zákon o finanční kontrole), ukládá poskytovatel</w:t>
      </w:r>
      <w:r w:rsidR="0047570E">
        <w:rPr>
          <w:rFonts w:cs="Arial"/>
          <w:sz w:val="22"/>
          <w:szCs w:val="22"/>
        </w:rPr>
        <w:t>i</w:t>
      </w:r>
      <w:r w:rsidRPr="00E51489">
        <w:rPr>
          <w:rFonts w:cs="Arial"/>
          <w:sz w:val="22"/>
          <w:szCs w:val="22"/>
        </w:rPr>
        <w:t xml:space="preserve"> dotace vykonávat veřejnosprávní kontrolu u příjemců této dotace. MZ této kontrole podrobilo v roce 2010 pouze jednoho příjemce</w:t>
      </w:r>
      <w:r>
        <w:rPr>
          <w:rFonts w:cs="Arial"/>
          <w:sz w:val="22"/>
          <w:szCs w:val="22"/>
        </w:rPr>
        <w:t xml:space="preserve"> a</w:t>
      </w:r>
      <w:r w:rsidR="00291BBB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v roce 2011 žádného a MŠMT naopak</w:t>
      </w:r>
      <w:r>
        <w:rPr>
          <w:rFonts w:cs="Arial"/>
          <w:sz w:val="22"/>
          <w:szCs w:val="22"/>
        </w:rPr>
        <w:t xml:space="preserve"> </w:t>
      </w:r>
      <w:r w:rsidRPr="0020388A">
        <w:rPr>
          <w:rFonts w:cs="Arial"/>
          <w:sz w:val="22"/>
          <w:szCs w:val="22"/>
        </w:rPr>
        <w:t xml:space="preserve">v roce 2010 nepodrobilo kontrole žádného příjemce a </w:t>
      </w:r>
      <w:r w:rsidR="001D60C8" w:rsidRPr="0020388A">
        <w:rPr>
          <w:rFonts w:cs="Arial"/>
          <w:sz w:val="22"/>
          <w:szCs w:val="22"/>
        </w:rPr>
        <w:t>v </w:t>
      </w:r>
      <w:r w:rsidRPr="0020388A">
        <w:rPr>
          <w:rFonts w:cs="Arial"/>
          <w:sz w:val="22"/>
          <w:szCs w:val="22"/>
        </w:rPr>
        <w:t xml:space="preserve">roce 2011 pouze jednoho. </w:t>
      </w:r>
      <w:r w:rsidRPr="00E51489">
        <w:rPr>
          <w:rFonts w:cs="Arial"/>
          <w:sz w:val="22"/>
          <w:szCs w:val="22"/>
        </w:rPr>
        <w:t>ÚV ČR v letech 2010 a 2011 vykonal v každém roce veřejnosprávní kontrol</w:t>
      </w:r>
      <w:r>
        <w:rPr>
          <w:rFonts w:cs="Arial"/>
          <w:sz w:val="22"/>
          <w:szCs w:val="22"/>
        </w:rPr>
        <w:t>u</w:t>
      </w:r>
      <w:r w:rsidRPr="00E51489">
        <w:rPr>
          <w:rFonts w:cs="Arial"/>
          <w:sz w:val="22"/>
          <w:szCs w:val="22"/>
        </w:rPr>
        <w:t xml:space="preserve"> u 11 příjemců.</w:t>
      </w:r>
    </w:p>
    <w:p w:rsidR="00C21689" w:rsidRDefault="00C21689" w:rsidP="00C21689">
      <w:pPr>
        <w:jc w:val="both"/>
        <w:rPr>
          <w:rFonts w:eastAsia="Calibri" w:cs="Arial"/>
          <w:b/>
          <w:bCs/>
          <w:sz w:val="22"/>
          <w:szCs w:val="22"/>
        </w:rPr>
      </w:pPr>
    </w:p>
    <w:p w:rsidR="00C21689" w:rsidRDefault="00C21689" w:rsidP="0020388A">
      <w:pPr>
        <w:spacing w:after="120"/>
        <w:jc w:val="both"/>
        <w:rPr>
          <w:rFonts w:cs="Arial"/>
          <w:b/>
          <w:sz w:val="22"/>
          <w:szCs w:val="22"/>
        </w:rPr>
      </w:pPr>
      <w:r>
        <w:rPr>
          <w:rFonts w:eastAsia="Calibri" w:cs="Arial"/>
          <w:b/>
          <w:bCs/>
          <w:sz w:val="22"/>
          <w:szCs w:val="22"/>
        </w:rPr>
        <w:t>4.2</w:t>
      </w:r>
      <w:r w:rsidRPr="00E51489">
        <w:rPr>
          <w:rFonts w:eastAsia="Calibri" w:cs="Arial"/>
          <w:b/>
          <w:bCs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ÚV ČR, MZ a MŠMT nepostupovaly podle pravidel schválených vládou</w:t>
      </w:r>
    </w:p>
    <w:p w:rsidR="00C21689" w:rsidRPr="00EF5CEC" w:rsidRDefault="00C21689" w:rsidP="00C21689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E51489">
        <w:rPr>
          <w:rFonts w:eastAsia="Calibri" w:cs="Arial"/>
          <w:bCs/>
          <w:sz w:val="22"/>
          <w:szCs w:val="22"/>
        </w:rPr>
        <w:t xml:space="preserve">Peněžní prostředky státu na protidrogovou politiku jsou alokovány ve více kapitolách státního rozpočtu, </w:t>
      </w:r>
      <w:r w:rsidR="003F494E">
        <w:rPr>
          <w:rFonts w:eastAsia="Calibri" w:cs="Arial"/>
          <w:bCs/>
          <w:sz w:val="22"/>
          <w:szCs w:val="22"/>
        </w:rPr>
        <w:t xml:space="preserve">a to </w:t>
      </w:r>
      <w:r w:rsidRPr="00E51489">
        <w:rPr>
          <w:rFonts w:eastAsia="Calibri" w:cs="Arial"/>
          <w:bCs/>
          <w:sz w:val="22"/>
          <w:szCs w:val="22"/>
        </w:rPr>
        <w:t>v ukazateli „</w:t>
      </w:r>
      <w:r w:rsidR="003F494E" w:rsidRPr="0020388A">
        <w:rPr>
          <w:rFonts w:eastAsia="Calibri" w:cs="Arial"/>
          <w:bCs/>
          <w:i/>
          <w:sz w:val="22"/>
          <w:szCs w:val="22"/>
        </w:rPr>
        <w:t>p</w:t>
      </w:r>
      <w:r w:rsidRPr="0020388A">
        <w:rPr>
          <w:rFonts w:eastAsia="Calibri" w:cs="Arial"/>
          <w:bCs/>
          <w:i/>
          <w:sz w:val="22"/>
          <w:szCs w:val="22"/>
        </w:rPr>
        <w:t>rogram protidrogové politiky</w:t>
      </w:r>
      <w:r w:rsidRPr="00E51489">
        <w:rPr>
          <w:rFonts w:eastAsia="Calibri" w:cs="Arial"/>
          <w:bCs/>
          <w:sz w:val="22"/>
          <w:szCs w:val="22"/>
        </w:rPr>
        <w:t>“.</w:t>
      </w:r>
      <w:r w:rsidRPr="00E51489">
        <w:rPr>
          <w:rFonts w:cs="Arial"/>
          <w:sz w:val="22"/>
          <w:szCs w:val="22"/>
        </w:rPr>
        <w:t xml:space="preserve">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letech </w:t>
      </w:r>
      <w:r w:rsidRPr="00E51489">
        <w:rPr>
          <w:sz w:val="22"/>
          <w:szCs w:val="22"/>
        </w:rPr>
        <w:t xml:space="preserve">2010 a 2011 se na financování projektů </w:t>
      </w:r>
      <w:r w:rsidRPr="00E51489">
        <w:rPr>
          <w:rFonts w:cs="Arial"/>
          <w:sz w:val="22"/>
          <w:szCs w:val="22"/>
        </w:rPr>
        <w:t>protidrogové politiky</w:t>
      </w:r>
      <w:r w:rsidRPr="00E51489">
        <w:rPr>
          <w:sz w:val="22"/>
          <w:szCs w:val="22"/>
        </w:rPr>
        <w:t xml:space="preserve"> podílely kapitoly </w:t>
      </w:r>
      <w:r w:rsidRPr="00E51489">
        <w:rPr>
          <w:rFonts w:cs="Arial"/>
          <w:iCs/>
          <w:sz w:val="22"/>
          <w:szCs w:val="22"/>
        </w:rPr>
        <w:t>ÚV ČR, MZ</w:t>
      </w:r>
      <w:r w:rsidRPr="00E51489">
        <w:rPr>
          <w:rFonts w:cs="Arial"/>
          <w:sz w:val="22"/>
          <w:szCs w:val="22"/>
        </w:rPr>
        <w:t xml:space="preserve">, MŠMT, Ministerstva práce a sociálních věcí, Ministerstva spravedlnosti a Ministerstva obrany. </w:t>
      </w:r>
      <w:r w:rsidRPr="006312C0">
        <w:rPr>
          <w:rFonts w:cs="Arial"/>
          <w:color w:val="000000"/>
          <w:sz w:val="22"/>
          <w:szCs w:val="22"/>
        </w:rPr>
        <w:t xml:space="preserve">Podle analýzy provedené sekretariátem Rady bylo 35,7 % </w:t>
      </w:r>
      <w:r>
        <w:rPr>
          <w:rFonts w:cs="Arial"/>
          <w:color w:val="000000"/>
          <w:sz w:val="22"/>
          <w:szCs w:val="22"/>
        </w:rPr>
        <w:t xml:space="preserve">projektů </w:t>
      </w:r>
      <w:r w:rsidRPr="006312C0">
        <w:rPr>
          <w:rFonts w:cs="Arial"/>
          <w:color w:val="000000"/>
          <w:sz w:val="22"/>
          <w:szCs w:val="22"/>
        </w:rPr>
        <w:t>dotováno v roce 2011 souběžně z více než jedné kapitoly státního rozpočtu.</w:t>
      </w: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Tento systém podpory vyžaduje </w:t>
      </w:r>
      <w:r w:rsidRPr="00E51489">
        <w:rPr>
          <w:rFonts w:cs="Arial"/>
          <w:sz w:val="22"/>
          <w:szCs w:val="22"/>
        </w:rPr>
        <w:t xml:space="preserve">koordinaci dotačních řízení (priority, časové harmonogramy, kritéria výběrových řízení, plány a výkon veřejnosprávních kontrol) ústředních orgánů státní správy, </w:t>
      </w:r>
      <w:r w:rsidR="003F494E">
        <w:rPr>
          <w:rFonts w:cs="Arial"/>
          <w:sz w:val="22"/>
          <w:szCs w:val="22"/>
        </w:rPr>
        <w:t>což by měla zajišťovat</w:t>
      </w:r>
      <w:r w:rsidR="003F494E" w:rsidRPr="00E51489">
        <w:rPr>
          <w:rFonts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Rad</w:t>
      </w:r>
      <w:r w:rsidR="003F494E">
        <w:rPr>
          <w:rFonts w:cs="Arial"/>
          <w:sz w:val="22"/>
          <w:szCs w:val="22"/>
        </w:rPr>
        <w:t>a</w:t>
      </w:r>
      <w:r w:rsidRPr="00E5148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Její koordinační roli</w:t>
      </w:r>
      <w:r w:rsidRPr="00E51489">
        <w:rPr>
          <w:rFonts w:cs="Arial"/>
          <w:sz w:val="22"/>
          <w:szCs w:val="22"/>
        </w:rPr>
        <w:t xml:space="preserve"> vymezila </w:t>
      </w:r>
      <w:r w:rsidRPr="0020388A">
        <w:rPr>
          <w:rFonts w:cs="Arial"/>
          <w:i/>
          <w:sz w:val="22"/>
          <w:szCs w:val="22"/>
        </w:rPr>
        <w:t>Pravidla pro vynakládání finančních prostředků státního rozpočtu na protidrogovou politiku</w:t>
      </w:r>
      <w:r w:rsidRPr="00E51489">
        <w:rPr>
          <w:rFonts w:cs="Arial"/>
          <w:sz w:val="22"/>
          <w:szCs w:val="22"/>
        </w:rPr>
        <w:t xml:space="preserve"> schválená usnesením vlády ze dne 19. září 2007 č.</w:t>
      </w:r>
      <w:r w:rsidR="003F494E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>1071. Pro účely koordinace měly ú</w:t>
      </w:r>
      <w:r w:rsidRPr="00E51489">
        <w:rPr>
          <w:rFonts w:cs="Arial"/>
          <w:bCs/>
          <w:sz w:val="22"/>
          <w:szCs w:val="22"/>
        </w:rPr>
        <w:t xml:space="preserve">střední orgány státní správy stanovenu </w:t>
      </w:r>
      <w:r>
        <w:rPr>
          <w:rFonts w:cs="Arial"/>
          <w:bCs/>
          <w:sz w:val="22"/>
          <w:szCs w:val="22"/>
        </w:rPr>
        <w:t>těmito pravidly</w:t>
      </w:r>
      <w:r w:rsidRPr="00E51489">
        <w:rPr>
          <w:rFonts w:cs="Arial"/>
          <w:bCs/>
          <w:sz w:val="22"/>
          <w:szCs w:val="22"/>
        </w:rPr>
        <w:t xml:space="preserve"> povinnost předkládat každoročně Radě </w:t>
      </w:r>
      <w:r w:rsidRPr="00E51489">
        <w:rPr>
          <w:rFonts w:cs="Arial"/>
          <w:sz w:val="22"/>
          <w:szCs w:val="22"/>
        </w:rPr>
        <w:t>zprávu o těch žádostech o</w:t>
      </w:r>
      <w:r w:rsidR="00074C9C">
        <w:rPr>
          <w:rFonts w:cs="Arial"/>
          <w:sz w:val="22"/>
          <w:szCs w:val="22"/>
        </w:rPr>
        <w:t> </w:t>
      </w:r>
      <w:r w:rsidRPr="00E51489">
        <w:rPr>
          <w:rFonts w:cs="Arial"/>
          <w:sz w:val="22"/>
          <w:szCs w:val="22"/>
        </w:rPr>
        <w:t xml:space="preserve">poskytnutí dotace, které jsou podle údajů </w:t>
      </w:r>
      <w:r w:rsidR="001D60C8">
        <w:rPr>
          <w:rFonts w:cs="Arial"/>
          <w:sz w:val="22"/>
          <w:szCs w:val="22"/>
        </w:rPr>
        <w:t>v </w:t>
      </w:r>
      <w:r w:rsidRPr="00E51489">
        <w:rPr>
          <w:rFonts w:cs="Arial"/>
          <w:sz w:val="22"/>
          <w:szCs w:val="22"/>
        </w:rPr>
        <w:t xml:space="preserve">registru podány u více ústředních orgánů státní správy, </w:t>
      </w:r>
      <w:r w:rsidR="003F494E">
        <w:rPr>
          <w:rFonts w:cs="Arial"/>
          <w:sz w:val="22"/>
          <w:szCs w:val="22"/>
        </w:rPr>
        <w:t xml:space="preserve">dále předkládat </w:t>
      </w:r>
      <w:r w:rsidRPr="00E51489">
        <w:rPr>
          <w:rFonts w:cs="Arial"/>
          <w:sz w:val="22"/>
          <w:szCs w:val="22"/>
        </w:rPr>
        <w:t>plán</w:t>
      </w:r>
      <w:r w:rsidRPr="00E51489">
        <w:rPr>
          <w:rFonts w:eastAsiaTheme="minorHAnsi" w:cs="Arial"/>
          <w:sz w:val="22"/>
          <w:szCs w:val="22"/>
        </w:rPr>
        <w:t xml:space="preserve"> provádění kontrol u příjemců dotace</w:t>
      </w:r>
      <w:r w:rsidRPr="0020388A">
        <w:rPr>
          <w:rFonts w:eastAsiaTheme="minorHAnsi" w:cs="Arial"/>
          <w:sz w:val="22"/>
          <w:szCs w:val="22"/>
        </w:rPr>
        <w:t xml:space="preserve"> </w:t>
      </w:r>
      <w:r w:rsidRPr="00E51489">
        <w:rPr>
          <w:rFonts w:cs="Arial"/>
          <w:sz w:val="22"/>
          <w:szCs w:val="22"/>
        </w:rPr>
        <w:t>a na každém zasedání Rady podávat zprávu o provedených kontrolách.</w:t>
      </w:r>
    </w:p>
    <w:p w:rsidR="00C21689" w:rsidRPr="00E51489" w:rsidRDefault="00C21689" w:rsidP="00C21689">
      <w:pPr>
        <w:jc w:val="both"/>
        <w:rPr>
          <w:rFonts w:cs="Arial"/>
          <w:b/>
          <w:sz w:val="22"/>
          <w:szCs w:val="22"/>
        </w:rPr>
      </w:pPr>
    </w:p>
    <w:p w:rsidR="00C21689" w:rsidRPr="002136E3" w:rsidRDefault="00C21689" w:rsidP="00C21689">
      <w:pPr>
        <w:jc w:val="both"/>
        <w:rPr>
          <w:rFonts w:cs="Arial"/>
          <w:sz w:val="22"/>
          <w:szCs w:val="22"/>
        </w:rPr>
      </w:pPr>
      <w:r w:rsidRPr="002136E3">
        <w:rPr>
          <w:rFonts w:cs="Arial"/>
          <w:sz w:val="22"/>
          <w:szCs w:val="22"/>
        </w:rPr>
        <w:t xml:space="preserve">ÚV ČR, MZ a MŠMT tyto povinnosti neplnily a Rada nezískala podklady ani od ostatních ústředních orgánů státní správy. </w:t>
      </w:r>
      <w:r w:rsidRPr="002136E3">
        <w:rPr>
          <w:rFonts w:eastAsiaTheme="minorHAnsi" w:cs="Arial"/>
          <w:sz w:val="22"/>
          <w:szCs w:val="22"/>
        </w:rPr>
        <w:t xml:space="preserve">Nová </w:t>
      </w:r>
      <w:r w:rsidRPr="0020388A">
        <w:rPr>
          <w:rFonts w:eastAsiaTheme="minorHAnsi" w:cs="Arial"/>
          <w:i/>
          <w:sz w:val="22"/>
          <w:szCs w:val="22"/>
        </w:rPr>
        <w:t xml:space="preserve">Pravidla </w:t>
      </w:r>
      <w:r w:rsidRPr="0020388A">
        <w:rPr>
          <w:rFonts w:cs="Arial"/>
          <w:i/>
          <w:sz w:val="22"/>
          <w:szCs w:val="22"/>
        </w:rPr>
        <w:t>pro vynakládání finančních prostředků státního rozpočtu na protidrogovou politiku</w:t>
      </w:r>
      <w:r w:rsidRPr="002136E3">
        <w:rPr>
          <w:rFonts w:eastAsiaTheme="minorHAnsi" w:cs="Arial"/>
          <w:sz w:val="22"/>
          <w:szCs w:val="22"/>
        </w:rPr>
        <w:t xml:space="preserve"> </w:t>
      </w:r>
      <w:r w:rsidRPr="002136E3">
        <w:rPr>
          <w:rFonts w:cs="Arial"/>
          <w:sz w:val="22"/>
          <w:szCs w:val="22"/>
        </w:rPr>
        <w:t xml:space="preserve">schválená </w:t>
      </w:r>
      <w:r w:rsidRPr="002136E3">
        <w:rPr>
          <w:rFonts w:eastAsiaTheme="minorHAnsi" w:cs="Arial"/>
          <w:sz w:val="22"/>
          <w:szCs w:val="22"/>
        </w:rPr>
        <w:t xml:space="preserve">usnesením </w:t>
      </w:r>
      <w:r w:rsidR="0046416D">
        <w:rPr>
          <w:rFonts w:cs="Arial"/>
          <w:sz w:val="22"/>
          <w:szCs w:val="22"/>
        </w:rPr>
        <w:t>vlády ze dne 18. dubna </w:t>
      </w:r>
      <w:r w:rsidRPr="002136E3">
        <w:rPr>
          <w:rFonts w:cs="Arial"/>
          <w:sz w:val="22"/>
          <w:szCs w:val="22"/>
        </w:rPr>
        <w:t xml:space="preserve">2012 č. 283 </w:t>
      </w:r>
      <w:r w:rsidR="005426AA" w:rsidRPr="002136E3">
        <w:rPr>
          <w:rFonts w:cs="Arial"/>
          <w:sz w:val="22"/>
          <w:szCs w:val="22"/>
        </w:rPr>
        <w:t xml:space="preserve">již </w:t>
      </w:r>
      <w:r w:rsidRPr="002136E3">
        <w:rPr>
          <w:rFonts w:cs="Arial"/>
          <w:sz w:val="22"/>
          <w:szCs w:val="22"/>
        </w:rPr>
        <w:t>tyto povinnosti neukládají.</w:t>
      </w:r>
    </w:p>
    <w:p w:rsidR="00396F93" w:rsidRPr="00E51489" w:rsidRDefault="00396F93" w:rsidP="00396F93">
      <w:pPr>
        <w:jc w:val="both"/>
        <w:rPr>
          <w:rFonts w:eastAsia="Calibri" w:cs="Arial"/>
          <w:bCs/>
          <w:sz w:val="22"/>
          <w:szCs w:val="22"/>
        </w:rPr>
      </w:pPr>
    </w:p>
    <w:p w:rsidR="004D4E65" w:rsidRPr="00E51489" w:rsidRDefault="004D4E65" w:rsidP="0020388A">
      <w:pPr>
        <w:spacing w:after="120"/>
        <w:jc w:val="both"/>
        <w:rPr>
          <w:rFonts w:cs="Arial"/>
          <w:b/>
          <w:sz w:val="22"/>
          <w:szCs w:val="22"/>
        </w:rPr>
      </w:pPr>
      <w:r w:rsidRPr="00E51489">
        <w:rPr>
          <w:rFonts w:eastAsiaTheme="minorHAnsi" w:cs="Arial"/>
          <w:b/>
          <w:sz w:val="22"/>
          <w:szCs w:val="22"/>
        </w:rPr>
        <w:t>4.</w:t>
      </w:r>
      <w:r w:rsidR="00396F93">
        <w:rPr>
          <w:rFonts w:eastAsiaTheme="minorHAnsi" w:cs="Arial"/>
          <w:b/>
          <w:sz w:val="22"/>
          <w:szCs w:val="22"/>
        </w:rPr>
        <w:t>3</w:t>
      </w:r>
      <w:r w:rsidRPr="00E51489">
        <w:rPr>
          <w:rFonts w:eastAsiaTheme="minorHAnsi" w:cs="Arial"/>
          <w:b/>
          <w:sz w:val="22"/>
          <w:szCs w:val="22"/>
        </w:rPr>
        <w:t xml:space="preserve"> </w:t>
      </w:r>
      <w:r w:rsidRPr="00E51489">
        <w:rPr>
          <w:rFonts w:cs="Arial"/>
          <w:b/>
          <w:sz w:val="22"/>
          <w:szCs w:val="22"/>
        </w:rPr>
        <w:t>MZ a MŠMT při poskytování dotací NNO nepostupovaly podle zásad vlády</w:t>
      </w:r>
    </w:p>
    <w:p w:rsidR="00AE7B05" w:rsidRDefault="004D4E65" w:rsidP="004D4E65">
      <w:pPr>
        <w:jc w:val="both"/>
        <w:rPr>
          <w:rFonts w:cs="Arial"/>
          <w:sz w:val="22"/>
          <w:szCs w:val="22"/>
        </w:rPr>
      </w:pPr>
      <w:r w:rsidRPr="00E51489">
        <w:rPr>
          <w:rFonts w:cs="Arial"/>
          <w:sz w:val="22"/>
          <w:szCs w:val="22"/>
        </w:rPr>
        <w:t>Postup ústředních orgánů státní správy upravovaly v</w:t>
      </w:r>
      <w:r w:rsidR="00AE7B05">
        <w:rPr>
          <w:rFonts w:cs="Arial"/>
          <w:sz w:val="22"/>
          <w:szCs w:val="22"/>
        </w:rPr>
        <w:t> </w:t>
      </w:r>
      <w:r w:rsidR="00396F93">
        <w:rPr>
          <w:rFonts w:cs="Arial"/>
          <w:sz w:val="22"/>
          <w:szCs w:val="22"/>
        </w:rPr>
        <w:t>roce</w:t>
      </w:r>
      <w:r w:rsidR="00AE7B05">
        <w:rPr>
          <w:rFonts w:cs="Arial"/>
          <w:sz w:val="22"/>
          <w:szCs w:val="22"/>
        </w:rPr>
        <w:t xml:space="preserve"> 2010 </w:t>
      </w:r>
      <w:r w:rsidRPr="0020388A">
        <w:rPr>
          <w:rFonts w:cs="Arial"/>
          <w:i/>
          <w:sz w:val="22"/>
          <w:szCs w:val="22"/>
        </w:rPr>
        <w:t>Zásady vlády pro poskytování dotací ze státního rozpočtu České republiky nestátním neziskovým organizacím ústředními orgány státní správy</w:t>
      </w:r>
      <w:r w:rsidRPr="00E51489">
        <w:rPr>
          <w:rFonts w:cs="Arial"/>
          <w:sz w:val="22"/>
          <w:szCs w:val="22"/>
        </w:rPr>
        <w:t xml:space="preserve"> schválené usnesením vlády ze dne 3. listopadu 2008 č. 1333. </w:t>
      </w:r>
      <w:r w:rsidR="00396F93" w:rsidRPr="00E51489">
        <w:rPr>
          <w:sz w:val="22"/>
          <w:szCs w:val="22"/>
        </w:rPr>
        <w:t xml:space="preserve">Od roku 2011 včetně platí nové </w:t>
      </w:r>
      <w:r w:rsidR="00396F93" w:rsidRPr="0020388A">
        <w:rPr>
          <w:rFonts w:cs="Arial"/>
          <w:i/>
          <w:sz w:val="22"/>
          <w:szCs w:val="22"/>
        </w:rPr>
        <w:t>Zásady vlády pro poskytování dotací ze státního rozpočtu České republiky nestátním neziskovým organizacím ústředními orgány státní správy</w:t>
      </w:r>
      <w:r w:rsidR="00396F93" w:rsidRPr="00E51489">
        <w:rPr>
          <w:sz w:val="22"/>
          <w:szCs w:val="22"/>
        </w:rPr>
        <w:t xml:space="preserve"> schválené </w:t>
      </w:r>
      <w:r w:rsidR="00396F93" w:rsidRPr="00E51489">
        <w:rPr>
          <w:rFonts w:cs="Arial"/>
          <w:sz w:val="22"/>
          <w:szCs w:val="22"/>
        </w:rPr>
        <w:t>usnesením vlády ze dne 1. února 2010 č. 92</w:t>
      </w:r>
      <w:r w:rsidR="00AE7B05">
        <w:rPr>
          <w:rFonts w:cs="Arial"/>
          <w:sz w:val="22"/>
          <w:szCs w:val="22"/>
        </w:rPr>
        <w:t xml:space="preserve">. </w:t>
      </w:r>
      <w:r w:rsidRPr="00E51489">
        <w:rPr>
          <w:rFonts w:eastAsia="Calibri" w:cs="Arial"/>
          <w:sz w:val="22"/>
          <w:szCs w:val="22"/>
        </w:rPr>
        <w:t xml:space="preserve">Tyto </w:t>
      </w:r>
      <w:r w:rsidR="00AE7B05">
        <w:rPr>
          <w:rFonts w:eastAsia="Calibri" w:cs="Arial"/>
          <w:sz w:val="22"/>
          <w:szCs w:val="22"/>
        </w:rPr>
        <w:t xml:space="preserve">nové </w:t>
      </w:r>
      <w:r w:rsidR="00517860" w:rsidRPr="00E51489">
        <w:rPr>
          <w:rFonts w:eastAsia="Calibri" w:cs="Arial"/>
          <w:sz w:val="22"/>
          <w:szCs w:val="22"/>
        </w:rPr>
        <w:t>z</w:t>
      </w:r>
      <w:r w:rsidRPr="00E51489">
        <w:rPr>
          <w:rFonts w:eastAsia="Calibri" w:cs="Arial"/>
          <w:sz w:val="22"/>
          <w:szCs w:val="22"/>
        </w:rPr>
        <w:t>ásady na rozdíl od předchozích</w:t>
      </w:r>
      <w:r w:rsidR="005426AA">
        <w:rPr>
          <w:rFonts w:eastAsia="Calibri" w:cs="Arial"/>
          <w:sz w:val="22"/>
          <w:szCs w:val="22"/>
        </w:rPr>
        <w:t xml:space="preserve"> zásad</w:t>
      </w:r>
      <w:r w:rsidRPr="00E51489">
        <w:rPr>
          <w:rFonts w:eastAsia="Calibri" w:cs="Arial"/>
          <w:sz w:val="22"/>
          <w:szCs w:val="22"/>
        </w:rPr>
        <w:t xml:space="preserve"> </w:t>
      </w:r>
      <w:r w:rsidR="005426AA">
        <w:rPr>
          <w:rFonts w:eastAsia="Calibri" w:cs="Arial"/>
          <w:sz w:val="22"/>
          <w:szCs w:val="22"/>
        </w:rPr>
        <w:t xml:space="preserve">ukládají </w:t>
      </w:r>
      <w:r w:rsidR="00AE7B05">
        <w:rPr>
          <w:rFonts w:eastAsia="Calibri" w:cs="Arial"/>
          <w:sz w:val="22"/>
          <w:szCs w:val="22"/>
        </w:rPr>
        <w:t>ú</w:t>
      </w:r>
      <w:r w:rsidRPr="00E51489">
        <w:rPr>
          <w:rFonts w:eastAsia="Calibri" w:cs="Arial"/>
          <w:sz w:val="22"/>
          <w:szCs w:val="22"/>
        </w:rPr>
        <w:t>střední</w:t>
      </w:r>
      <w:r w:rsidR="00AE7B05">
        <w:rPr>
          <w:rFonts w:eastAsia="Calibri" w:cs="Arial"/>
          <w:sz w:val="22"/>
          <w:szCs w:val="22"/>
        </w:rPr>
        <w:t>m</w:t>
      </w:r>
      <w:r w:rsidRPr="00E51489">
        <w:rPr>
          <w:rFonts w:eastAsia="Calibri" w:cs="Arial"/>
          <w:sz w:val="22"/>
          <w:szCs w:val="22"/>
        </w:rPr>
        <w:t xml:space="preserve"> orgán</w:t>
      </w:r>
      <w:r w:rsidR="00AE7B05">
        <w:rPr>
          <w:rFonts w:eastAsia="Calibri" w:cs="Arial"/>
          <w:sz w:val="22"/>
          <w:szCs w:val="22"/>
        </w:rPr>
        <w:t>ům</w:t>
      </w:r>
      <w:r w:rsidRPr="00E51489">
        <w:rPr>
          <w:rFonts w:eastAsia="Calibri" w:cs="Arial"/>
          <w:sz w:val="22"/>
          <w:szCs w:val="22"/>
        </w:rPr>
        <w:t xml:space="preserve"> státní správy povinnost </w:t>
      </w:r>
      <w:r w:rsidRPr="00E51489">
        <w:rPr>
          <w:rFonts w:cs="Arial"/>
          <w:sz w:val="22"/>
          <w:szCs w:val="22"/>
        </w:rPr>
        <w:t xml:space="preserve">zveřejnit na svých internetových stránkách do konce kalendářního roku, který předchází rozpočtovému roku, na který </w:t>
      </w:r>
      <w:r w:rsidR="005426AA">
        <w:rPr>
          <w:rFonts w:cs="Arial"/>
          <w:sz w:val="22"/>
          <w:szCs w:val="22"/>
        </w:rPr>
        <w:t xml:space="preserve">jsou dotace </w:t>
      </w:r>
      <w:r w:rsidRPr="00E51489">
        <w:rPr>
          <w:rFonts w:cs="Arial"/>
          <w:sz w:val="22"/>
          <w:szCs w:val="22"/>
        </w:rPr>
        <w:t>poskyt</w:t>
      </w:r>
      <w:r w:rsidR="005426AA">
        <w:rPr>
          <w:rFonts w:cs="Arial"/>
          <w:sz w:val="22"/>
          <w:szCs w:val="22"/>
        </w:rPr>
        <w:t>ovány</w:t>
      </w:r>
      <w:r w:rsidRPr="00E51489">
        <w:rPr>
          <w:rFonts w:cs="Arial"/>
          <w:sz w:val="22"/>
          <w:szCs w:val="22"/>
        </w:rPr>
        <w:t>, seznam nebo pořadí projektů, které úspěšně prošly výběrovým dotačním řízením</w:t>
      </w:r>
      <w:r w:rsidR="005426AA">
        <w:rPr>
          <w:rFonts w:cs="Arial"/>
          <w:sz w:val="22"/>
          <w:szCs w:val="22"/>
        </w:rPr>
        <w:t>,</w:t>
      </w:r>
      <w:r w:rsidRPr="00E51489">
        <w:rPr>
          <w:rFonts w:cs="Arial"/>
          <w:sz w:val="22"/>
          <w:szCs w:val="22"/>
        </w:rPr>
        <w:t xml:space="preserve"> a nejpozději do konce února rozpočtového roku, na který je dotace poskytována, stanovit konkrétní výši dotace. </w:t>
      </w:r>
    </w:p>
    <w:p w:rsidR="00AE7B05" w:rsidRDefault="00AE7B05" w:rsidP="004D4E65">
      <w:pPr>
        <w:jc w:val="both"/>
        <w:rPr>
          <w:b/>
          <w:sz w:val="22"/>
          <w:szCs w:val="22"/>
        </w:rPr>
      </w:pPr>
    </w:p>
    <w:p w:rsidR="004D4E65" w:rsidRPr="00E51489" w:rsidRDefault="00AE7B05" w:rsidP="004D4E65">
      <w:pPr>
        <w:jc w:val="both"/>
        <w:rPr>
          <w:sz w:val="22"/>
          <w:szCs w:val="22"/>
        </w:rPr>
      </w:pPr>
      <w:r w:rsidRPr="00AE7B05">
        <w:rPr>
          <w:sz w:val="22"/>
          <w:szCs w:val="22"/>
        </w:rPr>
        <w:lastRenderedPageBreak/>
        <w:t xml:space="preserve">MZ a MŠMT </w:t>
      </w:r>
      <w:r w:rsidR="004D4E65" w:rsidRPr="00AE7B05">
        <w:rPr>
          <w:sz w:val="22"/>
          <w:szCs w:val="22"/>
        </w:rPr>
        <w:t>ne</w:t>
      </w:r>
      <w:r w:rsidR="004D4E65" w:rsidRPr="00AE7B05">
        <w:rPr>
          <w:rFonts w:cs="Arial"/>
          <w:sz w:val="22"/>
          <w:szCs w:val="22"/>
        </w:rPr>
        <w:t>zveřejnily na svých internetových stránkách do konce roku 2010 seznam nebo pořadí projektů, které úspěšně prošly výběrovým dotačním řízením</w:t>
      </w:r>
      <w:r w:rsidR="00871159">
        <w:rPr>
          <w:rFonts w:cs="Arial"/>
          <w:sz w:val="22"/>
          <w:szCs w:val="22"/>
        </w:rPr>
        <w:t>,</w:t>
      </w:r>
      <w:r w:rsidR="004D4E65" w:rsidRPr="00AE7B05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 xml:space="preserve"> </w:t>
      </w:r>
      <w:r w:rsidR="004D4E65" w:rsidRPr="00AE7B05">
        <w:rPr>
          <w:rFonts w:cs="Arial"/>
          <w:sz w:val="22"/>
          <w:szCs w:val="22"/>
        </w:rPr>
        <w:t xml:space="preserve">MZ </w:t>
      </w:r>
      <w:r w:rsidR="005426AA" w:rsidRPr="00AE7B05">
        <w:rPr>
          <w:rFonts w:cs="Arial"/>
          <w:sz w:val="22"/>
          <w:szCs w:val="22"/>
        </w:rPr>
        <w:t xml:space="preserve">nestanovilo </w:t>
      </w:r>
      <w:r w:rsidR="004D4E65" w:rsidRPr="00AE7B05">
        <w:rPr>
          <w:rFonts w:cs="Arial"/>
          <w:sz w:val="22"/>
          <w:szCs w:val="22"/>
        </w:rPr>
        <w:t xml:space="preserve">do konce února 2011 konkrétní výši dotace u jednotlivých projektů. </w:t>
      </w:r>
      <w:r w:rsidR="004D4E65" w:rsidRPr="00E51489">
        <w:rPr>
          <w:rFonts w:cs="Arial"/>
          <w:sz w:val="22"/>
          <w:szCs w:val="22"/>
        </w:rPr>
        <w:t>MZ teprve v průběhu března a dubna realizovalo</w:t>
      </w:r>
      <w:r w:rsidR="005426AA">
        <w:rPr>
          <w:rFonts w:cs="Arial"/>
          <w:sz w:val="22"/>
          <w:szCs w:val="22"/>
        </w:rPr>
        <w:t xml:space="preserve"> </w:t>
      </w:r>
      <w:r w:rsidR="004D4E65" w:rsidRPr="00E51489">
        <w:rPr>
          <w:rFonts w:cs="Arial"/>
          <w:sz w:val="22"/>
          <w:szCs w:val="22"/>
        </w:rPr>
        <w:t xml:space="preserve">výběrová dotační řízení a </w:t>
      </w:r>
      <w:r w:rsidR="001D60C8">
        <w:rPr>
          <w:rFonts w:cs="Arial"/>
          <w:sz w:val="22"/>
          <w:szCs w:val="22"/>
        </w:rPr>
        <w:t>v </w:t>
      </w:r>
      <w:r w:rsidR="004D4E65" w:rsidRPr="00E51489">
        <w:rPr>
          <w:rFonts w:cs="Arial"/>
          <w:sz w:val="22"/>
          <w:szCs w:val="22"/>
        </w:rPr>
        <w:t>květnu odsouhlasilo konečné rozdělení dotací jednotlivým projektům.</w:t>
      </w:r>
    </w:p>
    <w:p w:rsidR="00F47869" w:rsidRDefault="00F47869" w:rsidP="004D4E65">
      <w:pPr>
        <w:jc w:val="both"/>
        <w:rPr>
          <w:sz w:val="22"/>
          <w:szCs w:val="22"/>
        </w:rPr>
      </w:pPr>
    </w:p>
    <w:p w:rsidR="004D4E65" w:rsidRPr="002136E3" w:rsidRDefault="005426AA" w:rsidP="004D4E65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D4E65" w:rsidRPr="002136E3">
        <w:rPr>
          <w:sz w:val="22"/>
          <w:szCs w:val="22"/>
        </w:rPr>
        <w:t>o podmínek</w:t>
      </w:r>
      <w:r>
        <w:rPr>
          <w:sz w:val="22"/>
          <w:szCs w:val="22"/>
        </w:rPr>
        <w:t>, které upravovaly vydávání</w:t>
      </w:r>
      <w:r w:rsidR="004D4E65" w:rsidRPr="002136E3">
        <w:rPr>
          <w:sz w:val="22"/>
          <w:szCs w:val="22"/>
        </w:rPr>
        <w:t xml:space="preserve"> rozhodnutí </w:t>
      </w:r>
      <w:r>
        <w:rPr>
          <w:sz w:val="22"/>
          <w:szCs w:val="22"/>
        </w:rPr>
        <w:t>a platily</w:t>
      </w:r>
      <w:r w:rsidR="004D4E65" w:rsidRPr="002136E3">
        <w:rPr>
          <w:sz w:val="22"/>
          <w:szCs w:val="22"/>
        </w:rPr>
        <w:t xml:space="preserve"> pro rok 2010</w:t>
      </w:r>
      <w:r>
        <w:rPr>
          <w:sz w:val="22"/>
          <w:szCs w:val="22"/>
        </w:rPr>
        <w:t>, resp.</w:t>
      </w:r>
      <w:r w:rsidR="004D4E65" w:rsidRPr="002136E3">
        <w:rPr>
          <w:sz w:val="22"/>
          <w:szCs w:val="22"/>
        </w:rPr>
        <w:t xml:space="preserve"> 2011</w:t>
      </w:r>
      <w:r>
        <w:rPr>
          <w:sz w:val="22"/>
          <w:szCs w:val="22"/>
        </w:rPr>
        <w:t>,</w:t>
      </w:r>
      <w:r w:rsidR="002136E3" w:rsidRPr="002136E3">
        <w:rPr>
          <w:sz w:val="22"/>
          <w:szCs w:val="22"/>
        </w:rPr>
        <w:t xml:space="preserve"> </w:t>
      </w:r>
      <w:r w:rsidRPr="002136E3">
        <w:rPr>
          <w:sz w:val="22"/>
          <w:szCs w:val="22"/>
        </w:rPr>
        <w:t xml:space="preserve">nezakotvilo MŠMT </w:t>
      </w:r>
      <w:r>
        <w:rPr>
          <w:sz w:val="22"/>
          <w:szCs w:val="22"/>
        </w:rPr>
        <w:t xml:space="preserve">pro </w:t>
      </w:r>
      <w:r w:rsidR="002136E3" w:rsidRPr="002136E3">
        <w:rPr>
          <w:sz w:val="22"/>
          <w:szCs w:val="22"/>
        </w:rPr>
        <w:t>jednotliv</w:t>
      </w:r>
      <w:r>
        <w:rPr>
          <w:sz w:val="22"/>
          <w:szCs w:val="22"/>
        </w:rPr>
        <w:t>é</w:t>
      </w:r>
      <w:r w:rsidR="002136E3" w:rsidRPr="002136E3">
        <w:rPr>
          <w:sz w:val="22"/>
          <w:szCs w:val="22"/>
        </w:rPr>
        <w:t xml:space="preserve"> NNO</w:t>
      </w:r>
      <w:r w:rsidR="004D4E65" w:rsidRPr="002136E3">
        <w:rPr>
          <w:sz w:val="22"/>
          <w:szCs w:val="22"/>
        </w:rPr>
        <w:t xml:space="preserve"> </w:t>
      </w:r>
      <w:r w:rsidR="00AE7B05" w:rsidRPr="002136E3">
        <w:rPr>
          <w:sz w:val="22"/>
          <w:szCs w:val="22"/>
        </w:rPr>
        <w:t>povinnost</w:t>
      </w:r>
      <w:r w:rsidR="00357BB9" w:rsidRPr="002136E3">
        <w:rPr>
          <w:sz w:val="22"/>
          <w:szCs w:val="22"/>
        </w:rPr>
        <w:t>i</w:t>
      </w:r>
      <w:r w:rsidR="00AE7B05" w:rsidRPr="002136E3">
        <w:rPr>
          <w:sz w:val="22"/>
          <w:szCs w:val="22"/>
        </w:rPr>
        <w:t xml:space="preserve"> </w:t>
      </w:r>
      <w:r w:rsidR="00357BB9" w:rsidRPr="002136E3">
        <w:rPr>
          <w:sz w:val="22"/>
          <w:szCs w:val="22"/>
        </w:rPr>
        <w:t>stanovené zásadami pro vedení účetnictví a vypořádání vztahů se státním rozpočtem</w:t>
      </w:r>
      <w:r w:rsidR="004D4E65" w:rsidRPr="002136E3">
        <w:rPr>
          <w:sz w:val="22"/>
          <w:szCs w:val="22"/>
        </w:rPr>
        <w:t>.</w:t>
      </w:r>
    </w:p>
    <w:p w:rsidR="004D4E65" w:rsidRPr="00E51489" w:rsidRDefault="004D4E65" w:rsidP="004D4E65">
      <w:pPr>
        <w:rPr>
          <w:rFonts w:cs="Arial"/>
          <w:sz w:val="22"/>
          <w:szCs w:val="22"/>
        </w:rPr>
      </w:pPr>
    </w:p>
    <w:p w:rsidR="00667BE0" w:rsidRPr="00E51489" w:rsidRDefault="00667BE0" w:rsidP="0020388A">
      <w:pPr>
        <w:autoSpaceDE w:val="0"/>
        <w:autoSpaceDN w:val="0"/>
        <w:adjustRightInd w:val="0"/>
        <w:spacing w:after="120"/>
        <w:ind w:left="426" w:hanging="426"/>
        <w:jc w:val="both"/>
        <w:rPr>
          <w:rFonts w:cs="Arial"/>
          <w:b/>
          <w:sz w:val="22"/>
          <w:szCs w:val="22"/>
        </w:rPr>
      </w:pPr>
      <w:r w:rsidRPr="00E51489">
        <w:rPr>
          <w:rFonts w:cs="Arial"/>
          <w:b/>
          <w:sz w:val="22"/>
          <w:szCs w:val="22"/>
        </w:rPr>
        <w:t>4.</w:t>
      </w:r>
      <w:r w:rsidR="00357BB9">
        <w:rPr>
          <w:rFonts w:cs="Arial"/>
          <w:b/>
          <w:sz w:val="22"/>
          <w:szCs w:val="22"/>
        </w:rPr>
        <w:t>4</w:t>
      </w:r>
      <w:r w:rsidRPr="00E51489">
        <w:rPr>
          <w:rFonts w:cs="Arial"/>
          <w:b/>
          <w:sz w:val="22"/>
          <w:szCs w:val="22"/>
        </w:rPr>
        <w:t xml:space="preserve"> ÚV ČR stanovil příjemcům dotace v rozhodnutích nereálné hodnoty v ukazateli celkového rozpočtu projektu</w:t>
      </w:r>
    </w:p>
    <w:p w:rsidR="00667BE0" w:rsidRPr="00E51489" w:rsidRDefault="00667BE0" w:rsidP="0020388A">
      <w:pPr>
        <w:shd w:val="clear" w:color="auto" w:fill="FFFFFF"/>
        <w:jc w:val="both"/>
        <w:rPr>
          <w:rFonts w:eastAsiaTheme="minorHAnsi" w:cs="Arial"/>
          <w:sz w:val="22"/>
          <w:szCs w:val="22"/>
        </w:rPr>
      </w:pPr>
      <w:r w:rsidRPr="00E51489">
        <w:rPr>
          <w:rFonts w:eastAsiaTheme="minorHAnsi" w:cs="Arial"/>
          <w:sz w:val="22"/>
          <w:szCs w:val="22"/>
        </w:rPr>
        <w:t xml:space="preserve">Žadatel o dotaci předkládá v rámci žádosti rozpočet nákladů projektu podle jednotlivých zdrojů financování, </w:t>
      </w:r>
      <w:r w:rsidR="003F1E28">
        <w:rPr>
          <w:rFonts w:eastAsiaTheme="minorHAnsi" w:cs="Arial"/>
          <w:sz w:val="22"/>
          <w:szCs w:val="22"/>
        </w:rPr>
        <w:t xml:space="preserve">tento rozpočet je </w:t>
      </w:r>
      <w:r w:rsidRPr="00E51489">
        <w:rPr>
          <w:rFonts w:eastAsiaTheme="minorHAnsi" w:cs="Arial"/>
          <w:sz w:val="22"/>
          <w:szCs w:val="22"/>
        </w:rPr>
        <w:t>sestav</w:t>
      </w:r>
      <w:r w:rsidR="003F1E28">
        <w:rPr>
          <w:rFonts w:eastAsiaTheme="minorHAnsi" w:cs="Arial"/>
          <w:sz w:val="22"/>
          <w:szCs w:val="22"/>
        </w:rPr>
        <w:t>ován</w:t>
      </w:r>
      <w:r w:rsidRPr="00E51489">
        <w:rPr>
          <w:rFonts w:eastAsiaTheme="minorHAnsi" w:cs="Arial"/>
          <w:sz w:val="22"/>
          <w:szCs w:val="22"/>
        </w:rPr>
        <w:t xml:space="preserve"> jako vyrovnaný. ÚV ČR v letech 2010 a</w:t>
      </w:r>
      <w:r w:rsidR="00074C9C">
        <w:rPr>
          <w:rFonts w:eastAsiaTheme="minorHAnsi" w:cs="Arial"/>
          <w:sz w:val="22"/>
          <w:szCs w:val="22"/>
        </w:rPr>
        <w:t> </w:t>
      </w:r>
      <w:r w:rsidRPr="00E51489">
        <w:rPr>
          <w:rFonts w:eastAsiaTheme="minorHAnsi" w:cs="Arial"/>
          <w:sz w:val="22"/>
          <w:szCs w:val="22"/>
        </w:rPr>
        <w:t>2</w:t>
      </w:r>
      <w:r w:rsidR="00840366">
        <w:rPr>
          <w:rFonts w:eastAsiaTheme="minorHAnsi" w:cs="Arial"/>
          <w:sz w:val="22"/>
          <w:szCs w:val="22"/>
        </w:rPr>
        <w:t>011 poskytl 265 projektům (97,8 </w:t>
      </w:r>
      <w:r w:rsidRPr="00E51489">
        <w:rPr>
          <w:rFonts w:eastAsiaTheme="minorHAnsi" w:cs="Arial"/>
          <w:sz w:val="22"/>
          <w:szCs w:val="22"/>
        </w:rPr>
        <w:t xml:space="preserve">% z celkového počtu dotovaných projektů) nižší dotaci, než </w:t>
      </w:r>
      <w:r w:rsidR="003F1E28">
        <w:rPr>
          <w:rFonts w:eastAsiaTheme="minorHAnsi" w:cs="Arial"/>
          <w:sz w:val="22"/>
          <w:szCs w:val="22"/>
        </w:rPr>
        <w:t xml:space="preserve">příjemci </w:t>
      </w:r>
      <w:r w:rsidRPr="00E51489">
        <w:rPr>
          <w:rFonts w:eastAsiaTheme="minorHAnsi" w:cs="Arial"/>
          <w:sz w:val="22"/>
          <w:szCs w:val="22"/>
        </w:rPr>
        <w:t>požadova</w:t>
      </w:r>
      <w:r w:rsidR="003F1E28">
        <w:rPr>
          <w:rFonts w:eastAsiaTheme="minorHAnsi" w:cs="Arial"/>
          <w:sz w:val="22"/>
          <w:szCs w:val="22"/>
        </w:rPr>
        <w:t>li</w:t>
      </w:r>
      <w:r w:rsidRPr="00E51489">
        <w:rPr>
          <w:rFonts w:eastAsiaTheme="minorHAnsi" w:cs="Arial"/>
          <w:sz w:val="22"/>
          <w:szCs w:val="22"/>
        </w:rPr>
        <w:t>. ÚV ČR u těchto projektů nevyzval žadatele ještě před vydáním rozhodnutí k předložení upraveného rozpočtu</w:t>
      </w:r>
      <w:r w:rsidR="003F1E28">
        <w:rPr>
          <w:rFonts w:eastAsiaTheme="minorHAnsi" w:cs="Arial"/>
          <w:sz w:val="22"/>
          <w:szCs w:val="22"/>
        </w:rPr>
        <w:t xml:space="preserve"> a</w:t>
      </w:r>
      <w:r w:rsidRPr="00E51489">
        <w:rPr>
          <w:rFonts w:eastAsiaTheme="minorHAnsi" w:cs="Arial"/>
          <w:sz w:val="22"/>
          <w:szCs w:val="22"/>
        </w:rPr>
        <w:t xml:space="preserve"> ani ve vydaných rozhodnutích nestanovil příjemci podmínku požádat v případě změny rozpočtu o změnu rozhodnutí. ÚV ČR v rozhodnutí</w:t>
      </w:r>
      <w:r w:rsidR="00A41FBD">
        <w:rPr>
          <w:rFonts w:eastAsiaTheme="minorHAnsi" w:cs="Arial"/>
          <w:sz w:val="22"/>
          <w:szCs w:val="22"/>
        </w:rPr>
        <w:t>ch</w:t>
      </w:r>
      <w:r w:rsidRPr="00E51489">
        <w:rPr>
          <w:rFonts w:eastAsiaTheme="minorHAnsi" w:cs="Arial"/>
          <w:sz w:val="22"/>
          <w:szCs w:val="22"/>
        </w:rPr>
        <w:t xml:space="preserve"> nastavil hodnot</w:t>
      </w:r>
      <w:r w:rsidR="00A41FBD">
        <w:rPr>
          <w:rFonts w:eastAsiaTheme="minorHAnsi" w:cs="Arial"/>
          <w:sz w:val="22"/>
          <w:szCs w:val="22"/>
        </w:rPr>
        <w:t>y</w:t>
      </w:r>
      <w:r w:rsidRPr="00E51489">
        <w:rPr>
          <w:rFonts w:eastAsiaTheme="minorHAnsi" w:cs="Arial"/>
          <w:sz w:val="22"/>
          <w:szCs w:val="22"/>
        </w:rPr>
        <w:t xml:space="preserve"> ukazatele celkového rozpočtu projektu </w:t>
      </w:r>
      <w:r w:rsidR="003F1E28">
        <w:rPr>
          <w:rFonts w:eastAsiaTheme="minorHAnsi" w:cs="Arial"/>
          <w:sz w:val="22"/>
          <w:szCs w:val="22"/>
        </w:rPr>
        <w:t>(</w:t>
      </w:r>
      <w:r w:rsidRPr="00E51489">
        <w:rPr>
          <w:rFonts w:eastAsiaTheme="minorHAnsi" w:cs="Arial"/>
          <w:sz w:val="22"/>
          <w:szCs w:val="22"/>
        </w:rPr>
        <w:t>převzat</w:t>
      </w:r>
      <w:r w:rsidR="00A41FBD">
        <w:rPr>
          <w:rFonts w:eastAsiaTheme="minorHAnsi" w:cs="Arial"/>
          <w:sz w:val="22"/>
          <w:szCs w:val="22"/>
        </w:rPr>
        <w:t>é</w:t>
      </w:r>
      <w:r w:rsidRPr="00E51489">
        <w:rPr>
          <w:rFonts w:eastAsiaTheme="minorHAnsi" w:cs="Arial"/>
          <w:sz w:val="22"/>
          <w:szCs w:val="22"/>
        </w:rPr>
        <w:t xml:space="preserve"> z</w:t>
      </w:r>
      <w:r w:rsidR="00A41FBD">
        <w:rPr>
          <w:rFonts w:eastAsiaTheme="minorHAnsi" w:cs="Arial"/>
          <w:sz w:val="22"/>
          <w:szCs w:val="22"/>
        </w:rPr>
        <w:t> </w:t>
      </w:r>
      <w:r w:rsidRPr="00E51489">
        <w:rPr>
          <w:rFonts w:eastAsiaTheme="minorHAnsi" w:cs="Arial"/>
          <w:sz w:val="22"/>
          <w:szCs w:val="22"/>
        </w:rPr>
        <w:t>žádost</w:t>
      </w:r>
      <w:r w:rsidR="00A41FBD">
        <w:rPr>
          <w:rFonts w:eastAsiaTheme="minorHAnsi" w:cs="Arial"/>
          <w:sz w:val="22"/>
          <w:szCs w:val="22"/>
        </w:rPr>
        <w:t>í</w:t>
      </w:r>
      <w:r w:rsidR="003F1E28">
        <w:rPr>
          <w:rFonts w:eastAsiaTheme="minorHAnsi" w:cs="Arial"/>
          <w:sz w:val="22"/>
          <w:szCs w:val="22"/>
        </w:rPr>
        <w:t>)</w:t>
      </w:r>
      <w:r w:rsidRPr="00E51489">
        <w:rPr>
          <w:rFonts w:eastAsiaTheme="minorHAnsi" w:cs="Arial"/>
          <w:sz w:val="22"/>
          <w:szCs w:val="22"/>
        </w:rPr>
        <w:t xml:space="preserve"> a hodnot</w:t>
      </w:r>
      <w:r w:rsidR="00A41FBD">
        <w:rPr>
          <w:rFonts w:eastAsiaTheme="minorHAnsi" w:cs="Arial"/>
          <w:sz w:val="22"/>
          <w:szCs w:val="22"/>
        </w:rPr>
        <w:t>y</w:t>
      </w:r>
      <w:r w:rsidRPr="00E51489">
        <w:rPr>
          <w:rFonts w:eastAsiaTheme="minorHAnsi" w:cs="Arial"/>
          <w:sz w:val="22"/>
          <w:szCs w:val="22"/>
        </w:rPr>
        <w:t xml:space="preserve"> ukazatele poskytnuté dotace nižší</w:t>
      </w:r>
      <w:r w:rsidR="003F1E28">
        <w:rPr>
          <w:rFonts w:eastAsiaTheme="minorHAnsi" w:cs="Arial"/>
          <w:sz w:val="22"/>
          <w:szCs w:val="22"/>
        </w:rPr>
        <w:t>,</w:t>
      </w:r>
      <w:r w:rsidRPr="00E51489">
        <w:rPr>
          <w:rFonts w:eastAsiaTheme="minorHAnsi" w:cs="Arial"/>
          <w:sz w:val="22"/>
          <w:szCs w:val="22"/>
        </w:rPr>
        <w:t xml:space="preserve"> než </w:t>
      </w:r>
      <w:r w:rsidR="003F1E28">
        <w:rPr>
          <w:rFonts w:eastAsiaTheme="minorHAnsi" w:cs="Arial"/>
          <w:sz w:val="22"/>
          <w:szCs w:val="22"/>
        </w:rPr>
        <w:t>byl</w:t>
      </w:r>
      <w:r w:rsidR="00A41FBD">
        <w:rPr>
          <w:rFonts w:eastAsiaTheme="minorHAnsi" w:cs="Arial"/>
          <w:sz w:val="22"/>
          <w:szCs w:val="22"/>
        </w:rPr>
        <w:t>y</w:t>
      </w:r>
      <w:r w:rsidR="003F1E28">
        <w:rPr>
          <w:rFonts w:eastAsiaTheme="minorHAnsi" w:cs="Arial"/>
          <w:sz w:val="22"/>
          <w:szCs w:val="22"/>
        </w:rPr>
        <w:t xml:space="preserve"> </w:t>
      </w:r>
      <w:r w:rsidRPr="00E51489">
        <w:rPr>
          <w:rFonts w:eastAsiaTheme="minorHAnsi" w:cs="Arial"/>
          <w:sz w:val="22"/>
          <w:szCs w:val="22"/>
        </w:rPr>
        <w:t>požadov</w:t>
      </w:r>
      <w:r w:rsidR="003F1E28">
        <w:rPr>
          <w:rFonts w:eastAsiaTheme="minorHAnsi" w:cs="Arial"/>
          <w:sz w:val="22"/>
          <w:szCs w:val="22"/>
        </w:rPr>
        <w:t>án</w:t>
      </w:r>
      <w:r w:rsidR="00A41FBD">
        <w:rPr>
          <w:rFonts w:eastAsiaTheme="minorHAnsi" w:cs="Arial"/>
          <w:sz w:val="22"/>
          <w:szCs w:val="22"/>
        </w:rPr>
        <w:t>y</w:t>
      </w:r>
      <w:r w:rsidRPr="00E51489">
        <w:rPr>
          <w:rFonts w:eastAsiaTheme="minorHAnsi" w:cs="Arial"/>
          <w:sz w:val="22"/>
          <w:szCs w:val="22"/>
        </w:rPr>
        <w:t xml:space="preserve">, </w:t>
      </w:r>
      <w:r w:rsidR="003F1E28">
        <w:rPr>
          <w:rFonts w:eastAsiaTheme="minorHAnsi" w:cs="Arial"/>
          <w:sz w:val="22"/>
          <w:szCs w:val="22"/>
        </w:rPr>
        <w:t>čímž</w:t>
      </w:r>
      <w:r w:rsidRPr="00E51489">
        <w:rPr>
          <w:rFonts w:eastAsiaTheme="minorHAnsi" w:cs="Arial"/>
          <w:sz w:val="22"/>
          <w:szCs w:val="22"/>
        </w:rPr>
        <w:t xml:space="preserve"> nastavil rozpočet jako schodkový, </w:t>
      </w:r>
      <w:r w:rsidR="003F1E28">
        <w:rPr>
          <w:rFonts w:eastAsiaTheme="minorHAnsi" w:cs="Arial"/>
          <w:sz w:val="22"/>
          <w:szCs w:val="22"/>
        </w:rPr>
        <w:t xml:space="preserve">a to </w:t>
      </w:r>
      <w:r w:rsidRPr="00E51489">
        <w:rPr>
          <w:rFonts w:eastAsiaTheme="minorHAnsi" w:cs="Arial"/>
          <w:sz w:val="22"/>
          <w:szCs w:val="22"/>
        </w:rPr>
        <w:t>se schodkem, který nebyl ničím krytý. U takto ner</w:t>
      </w:r>
      <w:r>
        <w:rPr>
          <w:rFonts w:eastAsiaTheme="minorHAnsi" w:cs="Arial"/>
          <w:sz w:val="22"/>
          <w:szCs w:val="22"/>
        </w:rPr>
        <w:t>e</w:t>
      </w:r>
      <w:r w:rsidRPr="00E51489">
        <w:rPr>
          <w:rFonts w:eastAsiaTheme="minorHAnsi" w:cs="Arial"/>
          <w:sz w:val="22"/>
          <w:szCs w:val="22"/>
        </w:rPr>
        <w:t>álně nastavených hodnot ukazatel</w:t>
      </w:r>
      <w:r w:rsidR="003F1E28">
        <w:rPr>
          <w:rFonts w:eastAsiaTheme="minorHAnsi" w:cs="Arial"/>
          <w:sz w:val="22"/>
          <w:szCs w:val="22"/>
        </w:rPr>
        <w:t>e</w:t>
      </w:r>
      <w:r w:rsidRPr="00E51489">
        <w:rPr>
          <w:rFonts w:eastAsiaTheme="minorHAnsi" w:cs="Arial"/>
          <w:sz w:val="22"/>
          <w:szCs w:val="22"/>
        </w:rPr>
        <w:t xml:space="preserve"> celkového rozpočtu projektu nelze vyhodnotit </w:t>
      </w:r>
      <w:r w:rsidR="003F1E28">
        <w:rPr>
          <w:rFonts w:eastAsiaTheme="minorHAnsi" w:cs="Arial"/>
          <w:sz w:val="22"/>
          <w:szCs w:val="22"/>
        </w:rPr>
        <w:t>jeho</w:t>
      </w:r>
      <w:r w:rsidRPr="00E51489">
        <w:rPr>
          <w:rFonts w:eastAsiaTheme="minorHAnsi" w:cs="Arial"/>
          <w:sz w:val="22"/>
          <w:szCs w:val="22"/>
        </w:rPr>
        <w:t xml:space="preserve"> splnění. ÚV ČR k odstranění tohoto nedostatku přijal opatření ve vnitřním předpisu účinném od 1. </w:t>
      </w:r>
      <w:r w:rsidR="000B0108">
        <w:rPr>
          <w:rFonts w:eastAsiaTheme="minorHAnsi" w:cs="Arial"/>
          <w:sz w:val="22"/>
          <w:szCs w:val="22"/>
        </w:rPr>
        <w:t>ř</w:t>
      </w:r>
      <w:r w:rsidR="00840366">
        <w:rPr>
          <w:rFonts w:eastAsiaTheme="minorHAnsi" w:cs="Arial"/>
          <w:sz w:val="22"/>
          <w:szCs w:val="22"/>
        </w:rPr>
        <w:t>íjna</w:t>
      </w:r>
      <w:r w:rsidR="000B0108">
        <w:rPr>
          <w:rFonts w:eastAsiaTheme="minorHAnsi" w:cs="Arial"/>
          <w:sz w:val="22"/>
          <w:szCs w:val="22"/>
        </w:rPr>
        <w:t> </w:t>
      </w:r>
      <w:r w:rsidRPr="00E51489">
        <w:rPr>
          <w:rFonts w:eastAsiaTheme="minorHAnsi" w:cs="Arial"/>
          <w:sz w:val="22"/>
          <w:szCs w:val="22"/>
        </w:rPr>
        <w:t>2011</w:t>
      </w:r>
      <w:r w:rsidR="00C21689">
        <w:rPr>
          <w:rFonts w:eastAsiaTheme="minorHAnsi" w:cs="Arial"/>
          <w:sz w:val="22"/>
          <w:szCs w:val="22"/>
        </w:rPr>
        <w:t>.</w:t>
      </w:r>
    </w:p>
    <w:p w:rsidR="004D4E65" w:rsidRDefault="004D4E65" w:rsidP="004D4E65">
      <w:pPr>
        <w:jc w:val="both"/>
        <w:rPr>
          <w:rFonts w:eastAsia="Calibri" w:cs="Arial"/>
          <w:bCs/>
          <w:sz w:val="22"/>
          <w:szCs w:val="22"/>
        </w:rPr>
      </w:pPr>
    </w:p>
    <w:p w:rsidR="006705F6" w:rsidRPr="00E51489" w:rsidRDefault="006705F6" w:rsidP="004D4E65">
      <w:pPr>
        <w:jc w:val="both"/>
        <w:rPr>
          <w:rFonts w:eastAsia="Calibri" w:cs="Arial"/>
          <w:bCs/>
          <w:sz w:val="22"/>
          <w:szCs w:val="22"/>
        </w:rPr>
      </w:pPr>
    </w:p>
    <w:p w:rsidR="004D4E65" w:rsidRPr="00E51489" w:rsidRDefault="004D4E65" w:rsidP="004D4E65">
      <w:pPr>
        <w:pStyle w:val="Obsah1"/>
      </w:pPr>
      <w:r w:rsidRPr="00E51489">
        <w:rPr>
          <w:rStyle w:val="Siln"/>
          <w:b/>
        </w:rPr>
        <w:t>IV.</w:t>
      </w:r>
      <w:r w:rsidRPr="00E51489">
        <w:rPr>
          <w:rStyle w:val="Siln"/>
        </w:rPr>
        <w:t xml:space="preserve"> </w:t>
      </w:r>
      <w:r w:rsidRPr="00E51489">
        <w:t>Nedostatky zjištěné při kontrole u příjemců dotací</w:t>
      </w:r>
    </w:p>
    <w:p w:rsidR="004D4E65" w:rsidRPr="0020388A" w:rsidRDefault="004D4E65" w:rsidP="004D4E65">
      <w:pPr>
        <w:rPr>
          <w:sz w:val="22"/>
          <w:szCs w:val="22"/>
        </w:rPr>
      </w:pPr>
    </w:p>
    <w:p w:rsidR="004D4E65" w:rsidRPr="0020388A" w:rsidRDefault="004D4E65" w:rsidP="004D4E65">
      <w:pPr>
        <w:jc w:val="both"/>
        <w:rPr>
          <w:sz w:val="22"/>
          <w:szCs w:val="22"/>
        </w:rPr>
      </w:pPr>
      <w:r w:rsidRPr="00E51489">
        <w:rPr>
          <w:sz w:val="22"/>
          <w:szCs w:val="22"/>
        </w:rPr>
        <w:t xml:space="preserve">Kontrole bylo podrobeno celkem 49 projektů, z toho u </w:t>
      </w:r>
      <w:r w:rsidR="003F1E28">
        <w:rPr>
          <w:sz w:val="22"/>
          <w:szCs w:val="22"/>
        </w:rPr>
        <w:t>čtyř</w:t>
      </w:r>
      <w:r w:rsidRPr="00E51489">
        <w:rPr>
          <w:sz w:val="22"/>
          <w:szCs w:val="22"/>
        </w:rPr>
        <w:t xml:space="preserve"> projektů bylo zjištěno porušení povinností stanovených v rozhodnutí o poskytnutí dotace. Příjemci dotace nevedli správné účetnictví o čerpání poskytnuté dotace, </w:t>
      </w:r>
      <w:r w:rsidRPr="00871159">
        <w:rPr>
          <w:sz w:val="22"/>
          <w:szCs w:val="22"/>
        </w:rPr>
        <w:t>čerpali dotaci nad limit mzdových nákladů</w:t>
      </w:r>
      <w:r w:rsidR="000C4B93">
        <w:rPr>
          <w:sz w:val="22"/>
          <w:szCs w:val="22"/>
        </w:rPr>
        <w:t>,</w:t>
      </w:r>
      <w:r w:rsidR="0020388A">
        <w:rPr>
          <w:sz w:val="22"/>
          <w:szCs w:val="22"/>
        </w:rPr>
        <w:t xml:space="preserve"> </w:t>
      </w:r>
      <w:r w:rsidR="000C4B93">
        <w:rPr>
          <w:sz w:val="22"/>
          <w:szCs w:val="22"/>
        </w:rPr>
        <w:t xml:space="preserve">překročili </w:t>
      </w:r>
      <w:r w:rsidRPr="00871159">
        <w:rPr>
          <w:sz w:val="22"/>
          <w:szCs w:val="22"/>
        </w:rPr>
        <w:t>procentuální podíl</w:t>
      </w:r>
      <w:r w:rsidR="0020388A">
        <w:rPr>
          <w:sz w:val="22"/>
          <w:szCs w:val="22"/>
        </w:rPr>
        <w:t xml:space="preserve"> </w:t>
      </w:r>
      <w:r w:rsidR="007E3D46">
        <w:rPr>
          <w:sz w:val="22"/>
          <w:szCs w:val="22"/>
        </w:rPr>
        <w:t>účasti státního rozpočtu s</w:t>
      </w:r>
      <w:r w:rsidRPr="00871159">
        <w:rPr>
          <w:sz w:val="22"/>
          <w:szCs w:val="22"/>
        </w:rPr>
        <w:t>tanovený rozhodnutím o poskytnutí dotace a ve stanoveném termínu nepředložili MŠMT podklady pro finanční vypořádání poskytnuté dotace</w:t>
      </w:r>
      <w:r w:rsidR="002005C1" w:rsidRPr="00871159">
        <w:rPr>
          <w:sz w:val="22"/>
          <w:szCs w:val="22"/>
        </w:rPr>
        <w:t>.</w:t>
      </w:r>
      <w:r w:rsidRPr="0020388A">
        <w:rPr>
          <w:sz w:val="22"/>
          <w:szCs w:val="22"/>
        </w:rPr>
        <w:t xml:space="preserve"> </w:t>
      </w:r>
    </w:p>
    <w:p w:rsidR="004D4E65" w:rsidRPr="0020388A" w:rsidRDefault="004D4E65" w:rsidP="004D4E65">
      <w:pPr>
        <w:rPr>
          <w:sz w:val="22"/>
          <w:szCs w:val="22"/>
        </w:rPr>
      </w:pPr>
      <w:bookmarkStart w:id="0" w:name="_GoBack"/>
      <w:bookmarkEnd w:id="0"/>
    </w:p>
    <w:p w:rsidR="006705F6" w:rsidRPr="0020388A" w:rsidRDefault="006705F6" w:rsidP="004D4E65">
      <w:pPr>
        <w:rPr>
          <w:sz w:val="22"/>
          <w:szCs w:val="22"/>
        </w:rPr>
      </w:pPr>
    </w:p>
    <w:p w:rsidR="004D4E65" w:rsidRPr="00E51489" w:rsidRDefault="004D4E65" w:rsidP="004D4E65">
      <w:pPr>
        <w:pStyle w:val="Nadpis5"/>
        <w:jc w:val="center"/>
        <w:rPr>
          <w:rFonts w:ascii="Arial" w:hAnsi="Arial" w:cs="Arial"/>
          <w:b/>
          <w:color w:val="auto"/>
          <w:lang w:eastAsia="en-US"/>
        </w:rPr>
      </w:pPr>
      <w:r w:rsidRPr="00E51489">
        <w:rPr>
          <w:rFonts w:ascii="Arial" w:hAnsi="Arial" w:cs="Arial"/>
          <w:b/>
          <w:color w:val="auto"/>
        </w:rPr>
        <w:t xml:space="preserve">V. </w:t>
      </w:r>
      <w:r w:rsidRPr="00E51489">
        <w:rPr>
          <w:rFonts w:ascii="Arial" w:hAnsi="Arial" w:cs="Arial"/>
          <w:b/>
          <w:color w:val="auto"/>
          <w:lang w:eastAsia="en-US"/>
        </w:rPr>
        <w:t>Shrnutí a vyhodnocení</w:t>
      </w:r>
    </w:p>
    <w:p w:rsidR="004D4E65" w:rsidRPr="0020388A" w:rsidRDefault="004D4E65" w:rsidP="004D4E65">
      <w:pPr>
        <w:rPr>
          <w:sz w:val="22"/>
          <w:szCs w:val="22"/>
          <w:lang w:eastAsia="en-US"/>
        </w:rPr>
      </w:pPr>
    </w:p>
    <w:p w:rsidR="004D4E65" w:rsidRPr="00E51489" w:rsidRDefault="004D4E65" w:rsidP="004D4E65">
      <w:pPr>
        <w:jc w:val="both"/>
        <w:rPr>
          <w:b/>
          <w:sz w:val="22"/>
          <w:szCs w:val="22"/>
          <w:lang w:eastAsia="en-US"/>
        </w:rPr>
      </w:pPr>
      <w:r w:rsidRPr="00E51489">
        <w:rPr>
          <w:b/>
          <w:sz w:val="22"/>
          <w:szCs w:val="22"/>
          <w:lang w:eastAsia="en-US"/>
        </w:rPr>
        <w:t xml:space="preserve">V roce 2010 bylo z veřejných rozpočtů vynaloženo 627,4 mil. Kč a v roce 2011 563,8 mil. Kč na financování projektů protidrogové politiky. </w:t>
      </w:r>
      <w:r w:rsidR="00A41FBD">
        <w:rPr>
          <w:b/>
          <w:sz w:val="22"/>
          <w:szCs w:val="22"/>
          <w:lang w:eastAsia="en-US"/>
        </w:rPr>
        <w:t xml:space="preserve">Z tohoto finančního objemu </w:t>
      </w:r>
      <w:r w:rsidR="00A41FBD" w:rsidRPr="00E51489">
        <w:rPr>
          <w:b/>
          <w:sz w:val="22"/>
          <w:szCs w:val="22"/>
          <w:lang w:eastAsia="en-US"/>
        </w:rPr>
        <w:t xml:space="preserve">prověřila </w:t>
      </w:r>
      <w:r w:rsidR="00A41FBD">
        <w:rPr>
          <w:b/>
          <w:sz w:val="22"/>
          <w:szCs w:val="22"/>
          <w:lang w:eastAsia="en-US"/>
        </w:rPr>
        <w:t>k</w:t>
      </w:r>
      <w:r w:rsidRPr="00E51489">
        <w:rPr>
          <w:b/>
          <w:sz w:val="22"/>
          <w:szCs w:val="22"/>
          <w:lang w:eastAsia="en-US"/>
        </w:rPr>
        <w:t>ontrolní akce peněžní prostředky v celkové výši 124,5 mil. Kč u</w:t>
      </w:r>
      <w:r w:rsidR="00783CF6">
        <w:rPr>
          <w:b/>
          <w:sz w:val="22"/>
          <w:szCs w:val="22"/>
          <w:lang w:eastAsia="en-US"/>
        </w:rPr>
        <w:t> </w:t>
      </w:r>
      <w:r w:rsidRPr="00E51489">
        <w:rPr>
          <w:b/>
          <w:sz w:val="22"/>
          <w:szCs w:val="22"/>
          <w:lang w:eastAsia="en-US"/>
        </w:rPr>
        <w:t>ústředních orgánů státní správy a 51,2 mil. Kč u příjemců těchto prostředků a</w:t>
      </w:r>
      <w:r w:rsidR="00783CF6">
        <w:rPr>
          <w:b/>
          <w:sz w:val="22"/>
          <w:szCs w:val="22"/>
          <w:lang w:eastAsia="en-US"/>
        </w:rPr>
        <w:t> </w:t>
      </w:r>
      <w:r w:rsidRPr="00E51489">
        <w:rPr>
          <w:b/>
          <w:sz w:val="22"/>
          <w:szCs w:val="22"/>
          <w:lang w:eastAsia="en-US"/>
        </w:rPr>
        <w:t xml:space="preserve">realizátorů 49 projektů protidrogové politiky. </w:t>
      </w:r>
    </w:p>
    <w:p w:rsidR="004D4E65" w:rsidRPr="0020388A" w:rsidRDefault="004D4E65" w:rsidP="004D4E65">
      <w:pPr>
        <w:jc w:val="both"/>
        <w:rPr>
          <w:b/>
          <w:sz w:val="22"/>
          <w:szCs w:val="22"/>
          <w:lang w:eastAsia="en-US"/>
        </w:rPr>
      </w:pPr>
    </w:p>
    <w:p w:rsidR="004D4E65" w:rsidRPr="00E51489" w:rsidRDefault="004D4E65" w:rsidP="004D4E65">
      <w:pPr>
        <w:jc w:val="both"/>
        <w:rPr>
          <w:rFonts w:cs="Arial"/>
          <w:b/>
          <w:sz w:val="22"/>
          <w:szCs w:val="22"/>
        </w:rPr>
      </w:pPr>
      <w:r w:rsidRPr="00E51489">
        <w:rPr>
          <w:b/>
          <w:sz w:val="22"/>
          <w:szCs w:val="22"/>
          <w:lang w:eastAsia="en-US"/>
        </w:rPr>
        <w:t xml:space="preserve">Mezi systémové nedostatky </w:t>
      </w:r>
      <w:r w:rsidR="00701682" w:rsidRPr="00E51489">
        <w:rPr>
          <w:b/>
          <w:sz w:val="22"/>
          <w:szCs w:val="22"/>
          <w:lang w:eastAsia="en-US"/>
        </w:rPr>
        <w:t xml:space="preserve">patří </w:t>
      </w:r>
      <w:r w:rsidRPr="00E51489">
        <w:rPr>
          <w:b/>
          <w:sz w:val="22"/>
          <w:szCs w:val="22"/>
          <w:lang w:eastAsia="en-US"/>
        </w:rPr>
        <w:t xml:space="preserve">na straně ústředních orgánů státní správy minimální </w:t>
      </w:r>
      <w:r w:rsidR="00E51489" w:rsidRPr="00E51489">
        <w:rPr>
          <w:b/>
          <w:sz w:val="22"/>
          <w:szCs w:val="22"/>
          <w:lang w:eastAsia="en-US"/>
        </w:rPr>
        <w:t xml:space="preserve">četnost veřejnosprávních kontrol </w:t>
      </w:r>
      <w:r w:rsidRPr="00E51489">
        <w:rPr>
          <w:b/>
          <w:sz w:val="22"/>
          <w:szCs w:val="22"/>
          <w:lang w:eastAsia="en-US"/>
        </w:rPr>
        <w:t>u příjemců dotace a nerespektování pravidel přijatých vládou</w:t>
      </w:r>
      <w:r w:rsidR="00A41FBD">
        <w:rPr>
          <w:b/>
          <w:sz w:val="22"/>
          <w:szCs w:val="22"/>
          <w:lang w:eastAsia="en-US"/>
        </w:rPr>
        <w:t xml:space="preserve"> ČR</w:t>
      </w:r>
      <w:r w:rsidRPr="00E51489">
        <w:rPr>
          <w:b/>
          <w:sz w:val="22"/>
          <w:szCs w:val="22"/>
          <w:lang w:eastAsia="en-US"/>
        </w:rPr>
        <w:t xml:space="preserve"> k zajištění koordinace této kontrolní činnosti. </w:t>
      </w:r>
      <w:r w:rsidRPr="00E51489">
        <w:rPr>
          <w:rFonts w:cs="Arial"/>
          <w:b/>
          <w:sz w:val="22"/>
          <w:szCs w:val="22"/>
        </w:rPr>
        <w:t>MZ a</w:t>
      </w:r>
      <w:r w:rsidR="00783CF6">
        <w:rPr>
          <w:rFonts w:cs="Arial"/>
          <w:b/>
          <w:sz w:val="22"/>
          <w:szCs w:val="22"/>
        </w:rPr>
        <w:t> </w:t>
      </w:r>
      <w:r w:rsidRPr="00E51489">
        <w:rPr>
          <w:rFonts w:cs="Arial"/>
          <w:b/>
          <w:sz w:val="22"/>
          <w:szCs w:val="22"/>
        </w:rPr>
        <w:t>MŠMT rovněž nerespektoval</w:t>
      </w:r>
      <w:r w:rsidR="00DD13BC">
        <w:rPr>
          <w:rFonts w:cs="Arial"/>
          <w:b/>
          <w:sz w:val="22"/>
          <w:szCs w:val="22"/>
        </w:rPr>
        <w:t>y zásady vlády, jejichž cílem bylo</w:t>
      </w:r>
      <w:r w:rsidRPr="00E51489">
        <w:rPr>
          <w:rFonts w:cs="Arial"/>
          <w:b/>
          <w:sz w:val="22"/>
          <w:szCs w:val="22"/>
        </w:rPr>
        <w:t xml:space="preserve"> urychlení dotačního procesu u NNO. </w:t>
      </w:r>
    </w:p>
    <w:p w:rsidR="004D4E65" w:rsidRPr="00E51489" w:rsidRDefault="004D4E65" w:rsidP="004D4E65">
      <w:pPr>
        <w:jc w:val="both"/>
        <w:rPr>
          <w:rFonts w:cs="Arial"/>
          <w:b/>
          <w:sz w:val="22"/>
          <w:szCs w:val="22"/>
        </w:rPr>
      </w:pPr>
    </w:p>
    <w:p w:rsidR="001466BA" w:rsidRPr="0020388A" w:rsidRDefault="0020288D" w:rsidP="0020288D">
      <w:pPr>
        <w:jc w:val="both"/>
        <w:rPr>
          <w:b/>
          <w:sz w:val="22"/>
          <w:szCs w:val="22"/>
        </w:rPr>
      </w:pPr>
      <w:r w:rsidRPr="0020388A">
        <w:rPr>
          <w:b/>
          <w:sz w:val="22"/>
          <w:szCs w:val="22"/>
        </w:rPr>
        <w:t>NKÚ při kontrole financování protidrogové politiky nezjistil skutečnosti nasvědčující nehospodárnému vynakládání peněžních prostředků státu.</w:t>
      </w:r>
    </w:p>
    <w:sectPr w:rsidR="001466BA" w:rsidRPr="0020388A" w:rsidSect="008604F5">
      <w:footerReference w:type="default" r:id="rId10"/>
      <w:pgSz w:w="11906" w:h="16838"/>
      <w:pgMar w:top="1417" w:right="1558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8A" w:rsidRDefault="0020388A">
      <w:r>
        <w:separator/>
      </w:r>
    </w:p>
  </w:endnote>
  <w:endnote w:type="continuationSeparator" w:id="0">
    <w:p w:rsidR="0020388A" w:rsidRDefault="0020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264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20388A" w:rsidRPr="002E60D3" w:rsidRDefault="0020388A">
        <w:pPr>
          <w:pStyle w:val="Zpat"/>
          <w:jc w:val="center"/>
          <w:rPr>
            <w:sz w:val="22"/>
            <w:szCs w:val="22"/>
          </w:rPr>
        </w:pPr>
        <w:r w:rsidRPr="002E60D3">
          <w:rPr>
            <w:sz w:val="22"/>
            <w:szCs w:val="22"/>
          </w:rPr>
          <w:fldChar w:fldCharType="begin"/>
        </w:r>
        <w:r w:rsidRPr="002E60D3">
          <w:rPr>
            <w:sz w:val="22"/>
            <w:szCs w:val="22"/>
          </w:rPr>
          <w:instrText xml:space="preserve"> PAGE   \* MERGEFORMAT </w:instrText>
        </w:r>
        <w:r w:rsidRPr="002E60D3">
          <w:rPr>
            <w:sz w:val="22"/>
            <w:szCs w:val="22"/>
          </w:rPr>
          <w:fldChar w:fldCharType="separate"/>
        </w:r>
        <w:r w:rsidR="007E3D46">
          <w:rPr>
            <w:noProof/>
            <w:sz w:val="22"/>
            <w:szCs w:val="22"/>
          </w:rPr>
          <w:t>6</w:t>
        </w:r>
        <w:r w:rsidRPr="002E60D3">
          <w:rPr>
            <w:noProof/>
            <w:sz w:val="22"/>
            <w:szCs w:val="22"/>
          </w:rPr>
          <w:fldChar w:fldCharType="end"/>
        </w:r>
      </w:p>
    </w:sdtContent>
  </w:sdt>
  <w:p w:rsidR="0020388A" w:rsidRDefault="002038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8A" w:rsidRDefault="0020388A">
      <w:r>
        <w:separator/>
      </w:r>
    </w:p>
  </w:footnote>
  <w:footnote w:type="continuationSeparator" w:id="0">
    <w:p w:rsidR="0020388A" w:rsidRDefault="00203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1417"/>
    <w:multiLevelType w:val="hybridMultilevel"/>
    <w:tmpl w:val="E338815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A5363"/>
    <w:multiLevelType w:val="hybridMultilevel"/>
    <w:tmpl w:val="D8CE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65"/>
    <w:rsid w:val="0006148A"/>
    <w:rsid w:val="0007399F"/>
    <w:rsid w:val="00074C9C"/>
    <w:rsid w:val="000B0108"/>
    <w:rsid w:val="000C4B93"/>
    <w:rsid w:val="00121D9E"/>
    <w:rsid w:val="001466BA"/>
    <w:rsid w:val="00150FAF"/>
    <w:rsid w:val="00176BF1"/>
    <w:rsid w:val="00195E06"/>
    <w:rsid w:val="001B3920"/>
    <w:rsid w:val="001D60C8"/>
    <w:rsid w:val="002005C1"/>
    <w:rsid w:val="0020288D"/>
    <w:rsid w:val="0020388A"/>
    <w:rsid w:val="002109AC"/>
    <w:rsid w:val="002136E3"/>
    <w:rsid w:val="00291BBB"/>
    <w:rsid w:val="002E1ADB"/>
    <w:rsid w:val="002E60D3"/>
    <w:rsid w:val="00320AE2"/>
    <w:rsid w:val="00357BB9"/>
    <w:rsid w:val="00396F93"/>
    <w:rsid w:val="003A4782"/>
    <w:rsid w:val="003F1E28"/>
    <w:rsid w:val="003F494E"/>
    <w:rsid w:val="0046416D"/>
    <w:rsid w:val="00470F3A"/>
    <w:rsid w:val="0047570E"/>
    <w:rsid w:val="00481CA5"/>
    <w:rsid w:val="004D4E65"/>
    <w:rsid w:val="00517860"/>
    <w:rsid w:val="005426AA"/>
    <w:rsid w:val="00544B02"/>
    <w:rsid w:val="005550B3"/>
    <w:rsid w:val="00556B3A"/>
    <w:rsid w:val="00583CE6"/>
    <w:rsid w:val="005C7C67"/>
    <w:rsid w:val="005D4C6B"/>
    <w:rsid w:val="005E62A0"/>
    <w:rsid w:val="00667BE0"/>
    <w:rsid w:val="006705F6"/>
    <w:rsid w:val="00701682"/>
    <w:rsid w:val="00783CF6"/>
    <w:rsid w:val="007E3551"/>
    <w:rsid w:val="007E3D46"/>
    <w:rsid w:val="00830CBA"/>
    <w:rsid w:val="00840366"/>
    <w:rsid w:val="008604F5"/>
    <w:rsid w:val="00871159"/>
    <w:rsid w:val="009B17B2"/>
    <w:rsid w:val="00A41FBD"/>
    <w:rsid w:val="00AE7B05"/>
    <w:rsid w:val="00B26BF3"/>
    <w:rsid w:val="00B54644"/>
    <w:rsid w:val="00C21689"/>
    <w:rsid w:val="00C841DE"/>
    <w:rsid w:val="00C969F3"/>
    <w:rsid w:val="00D11EE7"/>
    <w:rsid w:val="00D17367"/>
    <w:rsid w:val="00D24024"/>
    <w:rsid w:val="00D851C6"/>
    <w:rsid w:val="00DD13BC"/>
    <w:rsid w:val="00E26A2A"/>
    <w:rsid w:val="00E41135"/>
    <w:rsid w:val="00E51489"/>
    <w:rsid w:val="00E775FF"/>
    <w:rsid w:val="00EC0D90"/>
    <w:rsid w:val="00EF5CEC"/>
    <w:rsid w:val="00F42A4B"/>
    <w:rsid w:val="00F47869"/>
    <w:rsid w:val="00FA0417"/>
    <w:rsid w:val="00FA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E6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D4E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4E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4D4E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D4E6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4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D4E65"/>
    <w:rPr>
      <w:rFonts w:ascii="Cambria" w:eastAsia="Times New Roman" w:hAnsi="Cambria" w:cs="Times New Roman"/>
      <w:lang w:eastAsia="cs-CZ"/>
    </w:rPr>
  </w:style>
  <w:style w:type="paragraph" w:customStyle="1" w:styleId="Zkladn">
    <w:name w:val="Základní"/>
    <w:basedOn w:val="Normln"/>
    <w:rsid w:val="004D4E65"/>
    <w:pPr>
      <w:spacing w:before="120"/>
      <w:jc w:val="both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4D4E65"/>
    <w:pPr>
      <w:ind w:left="708"/>
    </w:pPr>
    <w:rPr>
      <w:rFonts w:ascii="Times New Roman" w:hAnsi="Times New Roman"/>
      <w:lang w:val="en-US" w:eastAsia="en-US"/>
    </w:rPr>
  </w:style>
  <w:style w:type="paragraph" w:styleId="Obsah1">
    <w:name w:val="toc 1"/>
    <w:basedOn w:val="Normln"/>
    <w:next w:val="Normln"/>
    <w:autoRedefine/>
    <w:semiHidden/>
    <w:rsid w:val="004D4E65"/>
    <w:pPr>
      <w:jc w:val="center"/>
    </w:pPr>
    <w:rPr>
      <w:rFonts w:cs="Arial"/>
      <w:b/>
      <w:bCs/>
      <w:lang w:eastAsia="en-US"/>
    </w:rPr>
  </w:style>
  <w:style w:type="paragraph" w:styleId="Bezmezer">
    <w:name w:val="No Spacing"/>
    <w:link w:val="BezmezerChar"/>
    <w:uiPriority w:val="1"/>
    <w:qFormat/>
    <w:rsid w:val="004D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4D4E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4D4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E65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D4E65"/>
    <w:rPr>
      <w:b/>
      <w:bCs/>
    </w:rPr>
  </w:style>
  <w:style w:type="table" w:styleId="Mkatabulky">
    <w:name w:val="Table Grid"/>
    <w:basedOn w:val="Normlntabulka"/>
    <w:uiPriority w:val="59"/>
    <w:rsid w:val="004D4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C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920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1D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1D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41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E6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D4E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4E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qFormat/>
    <w:rsid w:val="004D4E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D4E65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4E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D4E65"/>
    <w:rPr>
      <w:rFonts w:ascii="Cambria" w:eastAsia="Times New Roman" w:hAnsi="Cambria" w:cs="Times New Roman"/>
      <w:lang w:eastAsia="cs-CZ"/>
    </w:rPr>
  </w:style>
  <w:style w:type="paragraph" w:customStyle="1" w:styleId="Zkladn">
    <w:name w:val="Základní"/>
    <w:basedOn w:val="Normln"/>
    <w:rsid w:val="004D4E65"/>
    <w:pPr>
      <w:spacing w:before="120"/>
      <w:jc w:val="both"/>
    </w:pPr>
    <w:rPr>
      <w:lang w:eastAsia="en-US"/>
    </w:rPr>
  </w:style>
  <w:style w:type="paragraph" w:styleId="Odstavecseseznamem">
    <w:name w:val="List Paragraph"/>
    <w:basedOn w:val="Normln"/>
    <w:uiPriority w:val="34"/>
    <w:qFormat/>
    <w:rsid w:val="004D4E65"/>
    <w:pPr>
      <w:ind w:left="708"/>
    </w:pPr>
    <w:rPr>
      <w:rFonts w:ascii="Times New Roman" w:hAnsi="Times New Roman"/>
      <w:lang w:val="en-US" w:eastAsia="en-US"/>
    </w:rPr>
  </w:style>
  <w:style w:type="paragraph" w:styleId="Obsah1">
    <w:name w:val="toc 1"/>
    <w:basedOn w:val="Normln"/>
    <w:next w:val="Normln"/>
    <w:autoRedefine/>
    <w:semiHidden/>
    <w:rsid w:val="004D4E65"/>
    <w:pPr>
      <w:jc w:val="center"/>
    </w:pPr>
    <w:rPr>
      <w:rFonts w:cs="Arial"/>
      <w:b/>
      <w:bCs/>
      <w:lang w:eastAsia="en-US"/>
    </w:rPr>
  </w:style>
  <w:style w:type="paragraph" w:styleId="Bezmezer">
    <w:name w:val="No Spacing"/>
    <w:link w:val="BezmezerChar"/>
    <w:uiPriority w:val="1"/>
    <w:qFormat/>
    <w:rsid w:val="004D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mezerChar">
    <w:name w:val="Bez mezer Char"/>
    <w:basedOn w:val="Standardnpsmoodstavce"/>
    <w:link w:val="Bezmezer"/>
    <w:uiPriority w:val="1"/>
    <w:rsid w:val="004D4E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4D4E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E65"/>
    <w:rPr>
      <w:rFonts w:ascii="Arial" w:eastAsia="Times New Roman" w:hAnsi="Arial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D4E65"/>
    <w:rPr>
      <w:b/>
      <w:bCs/>
    </w:rPr>
  </w:style>
  <w:style w:type="table" w:styleId="Mkatabulky">
    <w:name w:val="Table Grid"/>
    <w:basedOn w:val="Normlntabulka"/>
    <w:uiPriority w:val="59"/>
    <w:rsid w:val="004D4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0C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39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3920"/>
    <w:rPr>
      <w:rFonts w:ascii="Arial" w:eastAsia="Times New Roman" w:hAnsi="Arial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841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1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1D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1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1D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841D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19FC1F-390F-4C4A-97C1-F33E961925E7}"/>
</file>

<file path=customXml/itemProps2.xml><?xml version="1.0" encoding="utf-8"?>
<ds:datastoreItem xmlns:ds="http://schemas.openxmlformats.org/officeDocument/2006/customXml" ds:itemID="{DAAA460D-8E64-4C47-B178-FC25431CBFA8}"/>
</file>

<file path=customXml/itemProps3.xml><?xml version="1.0" encoding="utf-8"?>
<ds:datastoreItem xmlns:ds="http://schemas.openxmlformats.org/officeDocument/2006/customXml" ds:itemID="{2B050ADA-C5E4-4936-ACBF-39EF9FEC8F51}"/>
</file>

<file path=customXml/itemProps4.xml><?xml version="1.0" encoding="utf-8"?>
<ds:datastoreItem xmlns:ds="http://schemas.openxmlformats.org/officeDocument/2006/customXml" ds:itemID="{D89C7164-78A7-4B59-8394-1595405B2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2736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12/25</dc:title>
  <dc:creator>PODRAZKÝ Miroslav</dc:creator>
  <cp:lastModifiedBy>POKORNÁ Jana</cp:lastModifiedBy>
  <cp:revision>23</cp:revision>
  <dcterms:created xsi:type="dcterms:W3CDTF">2013-04-30T08:11:00Z</dcterms:created>
  <dcterms:modified xsi:type="dcterms:W3CDTF">2013-05-14T10:42:00Z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