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AC" w:rsidRPr="00734C2E" w:rsidRDefault="0097250A" w:rsidP="0018120D">
      <w:pPr>
        <w:pStyle w:val="Nadpis9"/>
        <w:spacing w:before="0" w:after="0"/>
        <w:jc w:val="center"/>
        <w:rPr>
          <w:rFonts w:ascii="Arial" w:hAnsi="Arial" w:cs="Arial"/>
          <w:b/>
        </w:rPr>
      </w:pPr>
      <w:r w:rsidRPr="00734C2E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764D4EDD" wp14:editId="0ED76DE6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0" t="0" r="8890" b="0"/>
            <wp:wrapSquare wrapText="bothSides"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DAC" w:rsidRPr="00734C2E" w:rsidRDefault="00E47DAC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:rsidR="00E47DAC" w:rsidRPr="00734C2E" w:rsidRDefault="00E47DAC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:rsidR="00E47DAC" w:rsidRPr="00710ED3" w:rsidRDefault="00E47DAC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2706B5" w:rsidRDefault="002706B5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E47DAC" w:rsidRDefault="00E47DAC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EE300F">
        <w:rPr>
          <w:rFonts w:ascii="Arial" w:hAnsi="Arial" w:cs="Arial"/>
          <w:b/>
          <w:sz w:val="28"/>
          <w:szCs w:val="28"/>
        </w:rPr>
        <w:t>Kontrolní závěr z kontrolní akce</w:t>
      </w:r>
    </w:p>
    <w:p w:rsidR="007C5432" w:rsidRPr="00710ED3" w:rsidRDefault="007C5432" w:rsidP="00EE300F">
      <w:pPr>
        <w:rPr>
          <w:sz w:val="28"/>
          <w:szCs w:val="28"/>
        </w:rPr>
      </w:pPr>
    </w:p>
    <w:p w:rsidR="00E47DAC" w:rsidRDefault="004379AD">
      <w:pPr>
        <w:ind w:right="68"/>
        <w:jc w:val="center"/>
        <w:rPr>
          <w:rFonts w:cs="Arial"/>
          <w:b/>
          <w:bCs/>
          <w:sz w:val="28"/>
          <w:szCs w:val="28"/>
        </w:rPr>
      </w:pPr>
      <w:r w:rsidRPr="00EE300F">
        <w:rPr>
          <w:rFonts w:cs="Arial"/>
          <w:b/>
          <w:bCs/>
          <w:sz w:val="28"/>
          <w:szCs w:val="28"/>
        </w:rPr>
        <w:t>1</w:t>
      </w:r>
      <w:r w:rsidR="008409FA">
        <w:rPr>
          <w:rFonts w:cs="Arial"/>
          <w:b/>
          <w:bCs/>
          <w:sz w:val="28"/>
          <w:szCs w:val="28"/>
        </w:rPr>
        <w:t>2</w:t>
      </w:r>
      <w:r w:rsidR="00553974" w:rsidRPr="00EE300F">
        <w:rPr>
          <w:rFonts w:cs="Arial"/>
          <w:b/>
          <w:bCs/>
          <w:sz w:val="28"/>
          <w:szCs w:val="28"/>
        </w:rPr>
        <w:t>/</w:t>
      </w:r>
      <w:r w:rsidR="00E4594A">
        <w:rPr>
          <w:rFonts w:cs="Arial"/>
          <w:b/>
          <w:bCs/>
          <w:sz w:val="28"/>
          <w:szCs w:val="28"/>
        </w:rPr>
        <w:t>31</w:t>
      </w:r>
    </w:p>
    <w:p w:rsidR="007C5432" w:rsidRPr="00EE300F" w:rsidRDefault="007C5432">
      <w:pPr>
        <w:ind w:right="68"/>
        <w:jc w:val="center"/>
        <w:rPr>
          <w:rFonts w:cs="Arial"/>
          <w:b/>
          <w:bCs/>
          <w:sz w:val="28"/>
          <w:szCs w:val="28"/>
        </w:rPr>
      </w:pPr>
    </w:p>
    <w:p w:rsidR="006460C1" w:rsidRDefault="00E4594A" w:rsidP="00E4594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Majetek a p</w:t>
      </w:r>
      <w:r w:rsidR="008409FA">
        <w:rPr>
          <w:rFonts w:cs="Arial"/>
          <w:b/>
          <w:sz w:val="28"/>
          <w:szCs w:val="28"/>
        </w:rPr>
        <w:t xml:space="preserve">eněžní prostředky </w:t>
      </w:r>
      <w:r>
        <w:rPr>
          <w:rFonts w:cs="Arial"/>
          <w:b/>
          <w:sz w:val="28"/>
          <w:szCs w:val="28"/>
        </w:rPr>
        <w:t>státu, se kterými je příslušná hospodařit státní příspěvková organizace</w:t>
      </w:r>
    </w:p>
    <w:p w:rsidR="00E4594A" w:rsidRPr="006A7B8E" w:rsidRDefault="00E4594A" w:rsidP="00E4594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Ředitelství silnic a dálnic ČR</w:t>
      </w:r>
    </w:p>
    <w:p w:rsidR="00E47DAC" w:rsidRPr="00734C2E" w:rsidRDefault="00E47DAC">
      <w:pPr>
        <w:rPr>
          <w:rFonts w:cs="Arial"/>
          <w:sz w:val="22"/>
          <w:szCs w:val="22"/>
        </w:rPr>
      </w:pPr>
    </w:p>
    <w:p w:rsidR="00E47DAC" w:rsidRPr="00734C2E" w:rsidRDefault="00E47DAC">
      <w:pPr>
        <w:rPr>
          <w:rFonts w:cs="Arial"/>
          <w:sz w:val="22"/>
          <w:szCs w:val="22"/>
        </w:rPr>
      </w:pPr>
    </w:p>
    <w:p w:rsidR="00E47DAC" w:rsidRPr="00734C2E" w:rsidRDefault="00E47DAC">
      <w:pPr>
        <w:pStyle w:val="Zkladn"/>
        <w:spacing w:before="0"/>
        <w:rPr>
          <w:rFonts w:cs="Arial"/>
          <w:sz w:val="22"/>
          <w:szCs w:val="22"/>
        </w:rPr>
      </w:pPr>
      <w:r w:rsidRPr="00734C2E">
        <w:rPr>
          <w:rFonts w:cs="Arial"/>
          <w:sz w:val="22"/>
          <w:szCs w:val="22"/>
        </w:rPr>
        <w:t>Kontrolní akce byla zařazena do plánu kontrolní činnosti Nejvyššího kontrolního úřadu (dále jen „NKÚ“) na rok 20</w:t>
      </w:r>
      <w:r w:rsidR="004379AD">
        <w:rPr>
          <w:rFonts w:cs="Arial"/>
          <w:sz w:val="22"/>
          <w:szCs w:val="22"/>
        </w:rPr>
        <w:t>1</w:t>
      </w:r>
      <w:r w:rsidR="008409FA">
        <w:rPr>
          <w:rFonts w:cs="Arial"/>
          <w:sz w:val="22"/>
          <w:szCs w:val="22"/>
        </w:rPr>
        <w:t>2</w:t>
      </w:r>
      <w:r w:rsidRPr="00734C2E">
        <w:rPr>
          <w:rFonts w:cs="Arial"/>
          <w:sz w:val="22"/>
          <w:szCs w:val="22"/>
        </w:rPr>
        <w:t xml:space="preserve"> pod číslem </w:t>
      </w:r>
      <w:r w:rsidR="004379AD">
        <w:rPr>
          <w:rFonts w:cs="Arial"/>
          <w:sz w:val="22"/>
          <w:szCs w:val="22"/>
        </w:rPr>
        <w:t>1</w:t>
      </w:r>
      <w:r w:rsidR="008409FA">
        <w:rPr>
          <w:rFonts w:cs="Arial"/>
          <w:sz w:val="22"/>
          <w:szCs w:val="22"/>
        </w:rPr>
        <w:t>2</w:t>
      </w:r>
      <w:r w:rsidRPr="00734C2E">
        <w:rPr>
          <w:rFonts w:cs="Arial"/>
          <w:sz w:val="22"/>
          <w:szCs w:val="22"/>
        </w:rPr>
        <w:t>/</w:t>
      </w:r>
      <w:r w:rsidR="00E4594A">
        <w:rPr>
          <w:rFonts w:cs="Arial"/>
          <w:sz w:val="22"/>
          <w:szCs w:val="22"/>
        </w:rPr>
        <w:t>31</w:t>
      </w:r>
      <w:r w:rsidRPr="00734C2E">
        <w:rPr>
          <w:rFonts w:cs="Arial"/>
          <w:sz w:val="22"/>
          <w:szCs w:val="22"/>
        </w:rPr>
        <w:t xml:space="preserve">. Kontrolní akci řídil a kontrolní závěr vypracoval člen NKÚ Ing. Jiří </w:t>
      </w:r>
      <w:r w:rsidR="00DD1F0E" w:rsidRPr="00734C2E">
        <w:rPr>
          <w:rFonts w:cs="Arial"/>
          <w:sz w:val="22"/>
          <w:szCs w:val="22"/>
        </w:rPr>
        <w:t>Adámek</w:t>
      </w:r>
      <w:r w:rsidRPr="00734C2E">
        <w:rPr>
          <w:rFonts w:cs="Arial"/>
          <w:sz w:val="22"/>
          <w:szCs w:val="22"/>
        </w:rPr>
        <w:t xml:space="preserve">. </w:t>
      </w:r>
    </w:p>
    <w:p w:rsidR="00E47DAC" w:rsidRPr="00734C2E" w:rsidRDefault="00E47DAC">
      <w:pPr>
        <w:pStyle w:val="Zkladn"/>
        <w:spacing w:before="0"/>
        <w:rPr>
          <w:rFonts w:cs="Arial"/>
          <w:sz w:val="22"/>
          <w:szCs w:val="22"/>
        </w:rPr>
      </w:pPr>
    </w:p>
    <w:p w:rsidR="008409FA" w:rsidRDefault="00E47DAC" w:rsidP="0014414B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  <w:r w:rsidRPr="00734C2E">
        <w:rPr>
          <w:rFonts w:cs="Arial"/>
          <w:sz w:val="22"/>
          <w:szCs w:val="22"/>
        </w:rPr>
        <w:t>Cílem kontroly bylo prověřit</w:t>
      </w:r>
      <w:r w:rsidR="00E4594A">
        <w:rPr>
          <w:rFonts w:cs="Arial"/>
          <w:sz w:val="22"/>
          <w:szCs w:val="22"/>
        </w:rPr>
        <w:t xml:space="preserve"> hospodaření </w:t>
      </w:r>
      <w:r w:rsidR="00A61F35">
        <w:rPr>
          <w:rFonts w:cs="Arial"/>
          <w:sz w:val="22"/>
          <w:szCs w:val="22"/>
        </w:rPr>
        <w:t>s </w:t>
      </w:r>
      <w:r w:rsidR="00E4594A">
        <w:rPr>
          <w:rFonts w:cs="Arial"/>
          <w:sz w:val="22"/>
          <w:szCs w:val="22"/>
        </w:rPr>
        <w:t>majetkem a peněžními prostředky státu, se kterými je příslušná hospodařit státní příspěvková organizace Ředitelství silnic a dálnic ČR.</w:t>
      </w:r>
      <w:r w:rsidR="008409FA">
        <w:rPr>
          <w:rFonts w:cs="Arial"/>
          <w:sz w:val="22"/>
          <w:szCs w:val="22"/>
        </w:rPr>
        <w:t xml:space="preserve"> </w:t>
      </w:r>
    </w:p>
    <w:p w:rsidR="00E4594A" w:rsidRDefault="00E4594A" w:rsidP="0014414B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</w:p>
    <w:p w:rsidR="00DD1F0E" w:rsidRPr="00734C2E" w:rsidRDefault="008409FA" w:rsidP="0014414B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Kontrolováno bylo</w:t>
      </w:r>
      <w:r w:rsidR="00637B66">
        <w:rPr>
          <w:rFonts w:cs="Arial"/>
          <w:sz w:val="22"/>
          <w:szCs w:val="22"/>
        </w:rPr>
        <w:t xml:space="preserve"> </w:t>
      </w:r>
      <w:r w:rsidR="00E47DAC" w:rsidRPr="00734C2E">
        <w:rPr>
          <w:rFonts w:cs="Arial"/>
          <w:sz w:val="22"/>
          <w:szCs w:val="22"/>
        </w:rPr>
        <w:t>období</w:t>
      </w:r>
      <w:r w:rsidR="00E4594A">
        <w:rPr>
          <w:rFonts w:cs="Arial"/>
          <w:sz w:val="22"/>
          <w:szCs w:val="22"/>
        </w:rPr>
        <w:t xml:space="preserve"> od </w:t>
      </w:r>
      <w:r w:rsidR="00B86665">
        <w:rPr>
          <w:rFonts w:cs="Arial"/>
          <w:sz w:val="22"/>
          <w:szCs w:val="22"/>
        </w:rPr>
        <w:t xml:space="preserve">počátku </w:t>
      </w:r>
      <w:r w:rsidR="00E4594A">
        <w:rPr>
          <w:rFonts w:cs="Arial"/>
          <w:sz w:val="22"/>
          <w:szCs w:val="22"/>
        </w:rPr>
        <w:t>roku 2010</w:t>
      </w:r>
      <w:r>
        <w:rPr>
          <w:rFonts w:cs="Arial"/>
          <w:sz w:val="22"/>
          <w:szCs w:val="22"/>
        </w:rPr>
        <w:t xml:space="preserve"> do </w:t>
      </w:r>
      <w:r w:rsidR="00E4594A">
        <w:rPr>
          <w:rFonts w:cs="Arial"/>
          <w:sz w:val="22"/>
          <w:szCs w:val="22"/>
        </w:rPr>
        <w:t>března 2013</w:t>
      </w:r>
      <w:r w:rsidR="00491C48" w:rsidRPr="00734C2E">
        <w:rPr>
          <w:rFonts w:cs="Arial"/>
          <w:sz w:val="22"/>
          <w:szCs w:val="22"/>
        </w:rPr>
        <w:t>,</w:t>
      </w:r>
      <w:r w:rsidR="00E47DAC" w:rsidRPr="00734C2E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DD1F0E" w:rsidRPr="00734C2E">
        <w:rPr>
          <w:rFonts w:cs="Arial"/>
          <w:sz w:val="22"/>
          <w:szCs w:val="22"/>
        </w:rPr>
        <w:t>případě věcných souvislostí i</w:t>
      </w:r>
      <w:r>
        <w:rPr>
          <w:rFonts w:cs="Arial"/>
          <w:sz w:val="22"/>
          <w:szCs w:val="22"/>
        </w:rPr>
        <w:t> </w:t>
      </w:r>
      <w:r w:rsidR="00DD1F0E" w:rsidRPr="00734C2E">
        <w:rPr>
          <w:rFonts w:cs="Arial"/>
          <w:sz w:val="22"/>
          <w:szCs w:val="22"/>
        </w:rPr>
        <w:t>období</w:t>
      </w:r>
      <w:r w:rsidR="003F046B" w:rsidRPr="00734C2E">
        <w:rPr>
          <w:rFonts w:cs="Arial"/>
          <w:sz w:val="22"/>
          <w:szCs w:val="22"/>
        </w:rPr>
        <w:t xml:space="preserve"> předcházející a</w:t>
      </w:r>
      <w:r w:rsidR="006101EC">
        <w:rPr>
          <w:rFonts w:cs="Arial"/>
          <w:sz w:val="22"/>
          <w:szCs w:val="22"/>
        </w:rPr>
        <w:t xml:space="preserve"> </w:t>
      </w:r>
      <w:r w:rsidR="003F046B" w:rsidRPr="00734C2E">
        <w:rPr>
          <w:rFonts w:cs="Arial"/>
          <w:sz w:val="22"/>
          <w:szCs w:val="22"/>
        </w:rPr>
        <w:t>následující</w:t>
      </w:r>
      <w:r w:rsidR="00DD1F0E" w:rsidRPr="00734C2E">
        <w:rPr>
          <w:rFonts w:cs="Arial"/>
          <w:sz w:val="22"/>
          <w:szCs w:val="22"/>
        </w:rPr>
        <w:t xml:space="preserve">. </w:t>
      </w:r>
      <w:r w:rsidR="00E47DAC" w:rsidRPr="00734C2E">
        <w:rPr>
          <w:rFonts w:cs="Arial"/>
          <w:sz w:val="22"/>
          <w:szCs w:val="22"/>
        </w:rPr>
        <w:t>Kontrola byla prov</w:t>
      </w:r>
      <w:r w:rsidR="005C2A50" w:rsidRPr="00734C2E">
        <w:rPr>
          <w:rFonts w:cs="Arial"/>
          <w:sz w:val="22"/>
          <w:szCs w:val="22"/>
        </w:rPr>
        <w:t>á</w:t>
      </w:r>
      <w:r w:rsidR="00E47DAC" w:rsidRPr="00734C2E">
        <w:rPr>
          <w:rFonts w:cs="Arial"/>
          <w:sz w:val="22"/>
          <w:szCs w:val="22"/>
        </w:rPr>
        <w:t>d</w:t>
      </w:r>
      <w:r w:rsidR="005C2A50" w:rsidRPr="00734C2E">
        <w:rPr>
          <w:rFonts w:cs="Arial"/>
          <w:sz w:val="22"/>
          <w:szCs w:val="22"/>
        </w:rPr>
        <w:t>ě</w:t>
      </w:r>
      <w:r w:rsidR="00E47DAC" w:rsidRPr="00734C2E">
        <w:rPr>
          <w:rFonts w:cs="Arial"/>
          <w:sz w:val="22"/>
          <w:szCs w:val="22"/>
        </w:rPr>
        <w:t xml:space="preserve">na od </w:t>
      </w:r>
      <w:r w:rsidR="00E4594A">
        <w:rPr>
          <w:rFonts w:cs="Arial"/>
          <w:sz w:val="22"/>
          <w:szCs w:val="22"/>
        </w:rPr>
        <w:t>listopadu</w:t>
      </w:r>
      <w:r w:rsidR="00DD1F0E" w:rsidRPr="00734C2E">
        <w:rPr>
          <w:rFonts w:cs="Arial"/>
          <w:sz w:val="22"/>
          <w:szCs w:val="22"/>
        </w:rPr>
        <w:t xml:space="preserve"> 20</w:t>
      </w:r>
      <w:r w:rsidR="00BB6DBE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2</w:t>
      </w:r>
      <w:r w:rsidR="00E47DAC" w:rsidRPr="00734C2E">
        <w:rPr>
          <w:rFonts w:cs="Arial"/>
          <w:sz w:val="22"/>
          <w:szCs w:val="22"/>
        </w:rPr>
        <w:t xml:space="preserve"> do </w:t>
      </w:r>
      <w:r w:rsidR="00AC4D43">
        <w:rPr>
          <w:rFonts w:cs="Arial"/>
          <w:sz w:val="22"/>
          <w:szCs w:val="22"/>
        </w:rPr>
        <w:t>června</w:t>
      </w:r>
      <w:r w:rsidR="00E47DAC" w:rsidRPr="00734C2E">
        <w:rPr>
          <w:rFonts w:cs="Arial"/>
          <w:sz w:val="22"/>
          <w:szCs w:val="22"/>
        </w:rPr>
        <w:t xml:space="preserve"> 20</w:t>
      </w:r>
      <w:r w:rsidR="00B27B29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3</w:t>
      </w:r>
      <w:r w:rsidR="00DD1F0E" w:rsidRPr="00734C2E">
        <w:rPr>
          <w:rFonts w:cs="Arial"/>
          <w:sz w:val="22"/>
          <w:szCs w:val="22"/>
        </w:rPr>
        <w:t>.</w:t>
      </w:r>
    </w:p>
    <w:p w:rsidR="00DD1F0E" w:rsidRPr="00734C2E" w:rsidRDefault="00DD1F0E">
      <w:pPr>
        <w:pStyle w:val="Zkladn"/>
        <w:spacing w:before="0"/>
        <w:rPr>
          <w:rFonts w:cs="Arial"/>
          <w:sz w:val="22"/>
          <w:szCs w:val="22"/>
        </w:rPr>
      </w:pPr>
    </w:p>
    <w:p w:rsidR="00E47DAC" w:rsidRDefault="00E4594A">
      <w:pPr>
        <w:pStyle w:val="Zkladn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Kontrolovaná osoba</w:t>
      </w:r>
      <w:r w:rsidR="00DD1F0E" w:rsidRPr="00734C2E">
        <w:rPr>
          <w:rFonts w:cs="Arial"/>
          <w:sz w:val="22"/>
          <w:szCs w:val="22"/>
        </w:rPr>
        <w:t>:</w:t>
      </w:r>
    </w:p>
    <w:p w:rsidR="001A71B5" w:rsidRDefault="00E4594A">
      <w:pPr>
        <w:ind w:right="7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Ředitelství silnic a dálnic ČR (dále jen „ŘSD“).</w:t>
      </w:r>
    </w:p>
    <w:p w:rsidR="00E534FF" w:rsidRDefault="00E534FF">
      <w:pPr>
        <w:ind w:right="70"/>
        <w:jc w:val="both"/>
        <w:rPr>
          <w:rFonts w:cs="Arial"/>
          <w:sz w:val="22"/>
          <w:szCs w:val="22"/>
        </w:rPr>
      </w:pPr>
    </w:p>
    <w:p w:rsidR="00BD2316" w:rsidRDefault="00D11426">
      <w:pPr>
        <w:ind w:right="7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Námitky proti kontrolnímu protokolu, které podalo ŘSD – Generální ředitelství, Závod Praha a Správa Pardubice</w:t>
      </w:r>
      <w:r w:rsidR="007E3F5F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byly vypořádány vedoucími skupi</w:t>
      </w:r>
      <w:r w:rsidR="00340E78">
        <w:rPr>
          <w:rFonts w:cs="Arial"/>
          <w:sz w:val="22"/>
          <w:szCs w:val="22"/>
        </w:rPr>
        <w:t>n kontrolujících rozhodnutími o </w:t>
      </w:r>
      <w:r w:rsidR="007E6FB8">
        <w:rPr>
          <w:rFonts w:cs="Arial"/>
          <w:sz w:val="22"/>
          <w:szCs w:val="22"/>
        </w:rPr>
        <w:t>námitkách. Odvolání podána nebyla.</w:t>
      </w:r>
      <w:r>
        <w:rPr>
          <w:rFonts w:cs="Arial"/>
          <w:sz w:val="22"/>
          <w:szCs w:val="22"/>
        </w:rPr>
        <w:t xml:space="preserve"> </w:t>
      </w:r>
    </w:p>
    <w:p w:rsidR="007E6FB8" w:rsidRDefault="007E6FB8">
      <w:pPr>
        <w:ind w:right="70"/>
        <w:jc w:val="both"/>
        <w:rPr>
          <w:rFonts w:cs="Arial"/>
          <w:sz w:val="22"/>
          <w:szCs w:val="22"/>
        </w:rPr>
      </w:pPr>
    </w:p>
    <w:p w:rsidR="007E6FB8" w:rsidRPr="00734C2E" w:rsidRDefault="007E6FB8">
      <w:pPr>
        <w:ind w:right="70"/>
        <w:jc w:val="both"/>
        <w:rPr>
          <w:rFonts w:cs="Arial"/>
          <w:sz w:val="22"/>
          <w:szCs w:val="22"/>
        </w:rPr>
      </w:pPr>
    </w:p>
    <w:p w:rsidR="00E47DAC" w:rsidRPr="003E0C7C" w:rsidRDefault="00E47DAC">
      <w:pPr>
        <w:ind w:right="70"/>
        <w:jc w:val="both"/>
        <w:rPr>
          <w:rFonts w:cs="Arial"/>
          <w:sz w:val="22"/>
          <w:szCs w:val="22"/>
        </w:rPr>
      </w:pPr>
      <w:r w:rsidRPr="003E0C7C">
        <w:rPr>
          <w:rFonts w:cs="Arial"/>
          <w:b/>
          <w:bCs/>
          <w:i/>
          <w:iCs/>
          <w:sz w:val="22"/>
          <w:szCs w:val="22"/>
        </w:rPr>
        <w:t>K o l e g i u m</w:t>
      </w:r>
      <w:r w:rsidRPr="003E0C7C">
        <w:rPr>
          <w:rFonts w:cs="Arial"/>
          <w:sz w:val="22"/>
          <w:szCs w:val="22"/>
        </w:rPr>
        <w:t xml:space="preserve">   </w:t>
      </w:r>
      <w:r w:rsidRPr="003E0C7C">
        <w:rPr>
          <w:rFonts w:cs="Arial"/>
          <w:b/>
          <w:bCs/>
          <w:i/>
          <w:iCs/>
          <w:sz w:val="22"/>
          <w:szCs w:val="22"/>
        </w:rPr>
        <w:t>N</w:t>
      </w:r>
      <w:r w:rsidR="008D64F9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K</w:t>
      </w:r>
      <w:r w:rsidR="005E266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Ú</w:t>
      </w:r>
      <w:r w:rsidR="002313A4" w:rsidRPr="003E0C7C">
        <w:rPr>
          <w:rFonts w:cs="Arial"/>
          <w:b/>
          <w:bCs/>
          <w:i/>
          <w:iCs/>
          <w:sz w:val="22"/>
          <w:szCs w:val="22"/>
        </w:rPr>
        <w:t xml:space="preserve">  </w:t>
      </w:r>
      <w:r w:rsidR="00F738AA" w:rsidRPr="003E0C7C">
        <w:rPr>
          <w:rFonts w:cs="Arial"/>
          <w:b/>
          <w:bCs/>
          <w:iCs/>
          <w:sz w:val="22"/>
          <w:szCs w:val="22"/>
        </w:rPr>
        <w:t xml:space="preserve"> </w:t>
      </w:r>
      <w:r w:rsidRPr="003E0C7C">
        <w:rPr>
          <w:rFonts w:cs="Arial"/>
          <w:sz w:val="22"/>
          <w:szCs w:val="22"/>
        </w:rPr>
        <w:t>na</w:t>
      </w:r>
      <w:r w:rsidR="00F57CC9" w:rsidRPr="003E0C7C">
        <w:rPr>
          <w:rFonts w:cs="Arial"/>
          <w:sz w:val="22"/>
          <w:szCs w:val="22"/>
        </w:rPr>
        <w:t xml:space="preserve"> </w:t>
      </w:r>
      <w:r w:rsidR="00F34AD3" w:rsidRPr="003E0C7C">
        <w:rPr>
          <w:rFonts w:cs="Arial"/>
          <w:sz w:val="22"/>
          <w:szCs w:val="22"/>
        </w:rPr>
        <w:t xml:space="preserve">svém </w:t>
      </w:r>
      <w:r w:rsidR="000B17A6">
        <w:rPr>
          <w:rFonts w:cs="Arial"/>
          <w:sz w:val="22"/>
          <w:szCs w:val="22"/>
        </w:rPr>
        <w:t>XV</w:t>
      </w:r>
      <w:r w:rsidR="001418C0">
        <w:rPr>
          <w:rFonts w:cs="Arial"/>
          <w:sz w:val="22"/>
          <w:szCs w:val="22"/>
        </w:rPr>
        <w:t xml:space="preserve">. </w:t>
      </w:r>
      <w:r w:rsidRPr="003E0C7C">
        <w:rPr>
          <w:rFonts w:cs="Arial"/>
          <w:sz w:val="22"/>
          <w:szCs w:val="22"/>
        </w:rPr>
        <w:t>zasedání, konaném dne</w:t>
      </w:r>
      <w:r w:rsidR="009A12AE" w:rsidRPr="003E0C7C">
        <w:rPr>
          <w:rFonts w:cs="Arial"/>
          <w:sz w:val="22"/>
          <w:szCs w:val="22"/>
        </w:rPr>
        <w:t xml:space="preserve"> </w:t>
      </w:r>
      <w:r w:rsidR="005E13AA">
        <w:rPr>
          <w:rFonts w:cs="Arial"/>
          <w:sz w:val="22"/>
          <w:szCs w:val="22"/>
        </w:rPr>
        <w:t>16.</w:t>
      </w:r>
      <w:r w:rsidR="001418C0">
        <w:rPr>
          <w:rFonts w:cs="Arial"/>
          <w:sz w:val="22"/>
          <w:szCs w:val="22"/>
        </w:rPr>
        <w:t xml:space="preserve"> </w:t>
      </w:r>
      <w:r w:rsidR="005E13AA">
        <w:rPr>
          <w:rFonts w:cs="Arial"/>
          <w:sz w:val="22"/>
          <w:szCs w:val="22"/>
        </w:rPr>
        <w:t>září</w:t>
      </w:r>
      <w:r w:rsidR="001418C0">
        <w:rPr>
          <w:rFonts w:cs="Arial"/>
          <w:sz w:val="22"/>
          <w:szCs w:val="22"/>
        </w:rPr>
        <w:t xml:space="preserve"> </w:t>
      </w:r>
      <w:r w:rsidRPr="003E0C7C">
        <w:rPr>
          <w:rFonts w:cs="Arial"/>
          <w:sz w:val="22"/>
          <w:szCs w:val="22"/>
        </w:rPr>
        <w:t>20</w:t>
      </w:r>
      <w:r w:rsidR="00B27B29" w:rsidRPr="003E0C7C">
        <w:rPr>
          <w:rFonts w:cs="Arial"/>
          <w:sz w:val="22"/>
          <w:szCs w:val="22"/>
        </w:rPr>
        <w:t>1</w:t>
      </w:r>
      <w:r w:rsidR="004B4092">
        <w:rPr>
          <w:rFonts w:cs="Arial"/>
          <w:sz w:val="22"/>
          <w:szCs w:val="22"/>
        </w:rPr>
        <w:t>3</w:t>
      </w:r>
      <w:r w:rsidRPr="003E0C7C">
        <w:rPr>
          <w:rFonts w:cs="Arial"/>
          <w:sz w:val="22"/>
          <w:szCs w:val="22"/>
        </w:rPr>
        <w:t xml:space="preserve">, </w:t>
      </w:r>
    </w:p>
    <w:p w:rsidR="00E47DAC" w:rsidRPr="003E0C7C" w:rsidRDefault="00A427F9" w:rsidP="00A427F9">
      <w:pPr>
        <w:ind w:right="68"/>
        <w:jc w:val="both"/>
        <w:rPr>
          <w:rFonts w:cs="Arial"/>
          <w:sz w:val="22"/>
          <w:szCs w:val="22"/>
        </w:rPr>
      </w:pPr>
      <w:r w:rsidRPr="003E0C7C">
        <w:rPr>
          <w:rFonts w:cs="Arial"/>
          <w:b/>
          <w:bCs/>
          <w:i/>
          <w:iCs/>
          <w:sz w:val="22"/>
          <w:szCs w:val="22"/>
        </w:rPr>
        <w:t>s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c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h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v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á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l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i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l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o</w:t>
      </w:r>
      <w:r w:rsidR="00E47DAC" w:rsidRPr="003E0C7C">
        <w:rPr>
          <w:rFonts w:cs="Arial"/>
          <w:sz w:val="22"/>
          <w:szCs w:val="22"/>
        </w:rPr>
        <w:t xml:space="preserve"> </w:t>
      </w:r>
      <w:r w:rsidR="002313A4" w:rsidRPr="003E0C7C">
        <w:rPr>
          <w:rFonts w:cs="Arial"/>
          <w:sz w:val="22"/>
          <w:szCs w:val="22"/>
        </w:rPr>
        <w:t xml:space="preserve">  </w:t>
      </w:r>
      <w:r w:rsidR="00E47DAC" w:rsidRPr="003E0C7C">
        <w:rPr>
          <w:rFonts w:cs="Arial"/>
          <w:sz w:val="22"/>
          <w:szCs w:val="22"/>
        </w:rPr>
        <w:t>usnesením č.</w:t>
      </w:r>
      <w:r w:rsidR="009A12AE" w:rsidRPr="003E0C7C">
        <w:rPr>
          <w:rFonts w:cs="Arial"/>
          <w:sz w:val="22"/>
          <w:szCs w:val="22"/>
        </w:rPr>
        <w:t xml:space="preserve"> </w:t>
      </w:r>
      <w:r w:rsidR="00E46A73">
        <w:rPr>
          <w:rFonts w:cs="Arial"/>
          <w:sz w:val="22"/>
          <w:szCs w:val="22"/>
        </w:rPr>
        <w:t>9</w:t>
      </w:r>
      <w:r w:rsidR="00BD2316">
        <w:rPr>
          <w:rFonts w:cs="Arial"/>
          <w:sz w:val="22"/>
          <w:szCs w:val="22"/>
        </w:rPr>
        <w:t>/</w:t>
      </w:r>
      <w:r w:rsidR="000B17A6">
        <w:rPr>
          <w:rFonts w:cs="Arial"/>
          <w:sz w:val="22"/>
          <w:szCs w:val="22"/>
        </w:rPr>
        <w:t>XV</w:t>
      </w:r>
      <w:r w:rsidR="00BD2316">
        <w:rPr>
          <w:rFonts w:cs="Arial"/>
          <w:sz w:val="22"/>
          <w:szCs w:val="22"/>
        </w:rPr>
        <w:t>/201</w:t>
      </w:r>
      <w:r w:rsidR="004B4092">
        <w:rPr>
          <w:rFonts w:cs="Arial"/>
          <w:sz w:val="22"/>
          <w:szCs w:val="22"/>
        </w:rPr>
        <w:t>3</w:t>
      </w:r>
      <w:r w:rsidR="00E47DAC" w:rsidRPr="003E0C7C">
        <w:rPr>
          <w:rFonts w:cs="Arial"/>
          <w:sz w:val="22"/>
          <w:szCs w:val="22"/>
        </w:rPr>
        <w:t xml:space="preserve"> </w:t>
      </w:r>
    </w:p>
    <w:p w:rsidR="00E47DAC" w:rsidRPr="003E0C7C" w:rsidRDefault="00A427F9">
      <w:pPr>
        <w:ind w:right="70"/>
        <w:jc w:val="both"/>
        <w:rPr>
          <w:rFonts w:cs="Arial"/>
          <w:sz w:val="22"/>
          <w:szCs w:val="22"/>
        </w:rPr>
      </w:pPr>
      <w:r w:rsidRPr="003E0C7C">
        <w:rPr>
          <w:rFonts w:cs="Arial"/>
          <w:b/>
          <w:bCs/>
          <w:i/>
          <w:iCs/>
          <w:sz w:val="22"/>
          <w:szCs w:val="22"/>
        </w:rPr>
        <w:t>k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o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n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t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r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o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l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n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 xml:space="preserve">í </w:t>
      </w:r>
      <w:r w:rsidR="003E0C7C" w:rsidRP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z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á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v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ě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r</w:t>
      </w:r>
      <w:r w:rsidR="00E47DAC" w:rsidRPr="003E0C7C">
        <w:rPr>
          <w:rFonts w:cs="Arial"/>
          <w:sz w:val="22"/>
          <w:szCs w:val="22"/>
        </w:rPr>
        <w:t xml:space="preserve"> </w:t>
      </w:r>
      <w:r w:rsidR="002313A4" w:rsidRPr="003E0C7C">
        <w:rPr>
          <w:rFonts w:cs="Arial"/>
          <w:sz w:val="22"/>
          <w:szCs w:val="22"/>
        </w:rPr>
        <w:t xml:space="preserve">  </w:t>
      </w:r>
      <w:r w:rsidR="0013397D" w:rsidRPr="003E0C7C">
        <w:rPr>
          <w:rFonts w:cs="Arial"/>
          <w:sz w:val="22"/>
          <w:szCs w:val="22"/>
        </w:rPr>
        <w:t>v</w:t>
      </w:r>
      <w:r w:rsidR="006101EC" w:rsidRPr="003E0C7C">
        <w:rPr>
          <w:rFonts w:cs="Arial"/>
          <w:sz w:val="22"/>
          <w:szCs w:val="22"/>
        </w:rPr>
        <w:t xml:space="preserve"> </w:t>
      </w:r>
      <w:r w:rsidR="00E47DAC" w:rsidRPr="003E0C7C">
        <w:rPr>
          <w:rFonts w:cs="Arial"/>
          <w:sz w:val="22"/>
          <w:szCs w:val="22"/>
        </w:rPr>
        <w:t>tomto znění:</w:t>
      </w:r>
    </w:p>
    <w:p w:rsidR="003F75C8" w:rsidRDefault="003F75C8">
      <w:pPr>
        <w:ind w:right="70"/>
        <w:jc w:val="both"/>
        <w:rPr>
          <w:rFonts w:cs="Arial"/>
          <w:sz w:val="22"/>
          <w:szCs w:val="22"/>
        </w:rPr>
      </w:pPr>
    </w:p>
    <w:p w:rsidR="009154CD" w:rsidRPr="00734C2E" w:rsidRDefault="009154CD">
      <w:pPr>
        <w:ind w:right="70"/>
        <w:jc w:val="both"/>
        <w:rPr>
          <w:rFonts w:cs="Arial"/>
          <w:sz w:val="22"/>
          <w:szCs w:val="22"/>
        </w:rPr>
      </w:pPr>
    </w:p>
    <w:p w:rsidR="004C6BC7" w:rsidRPr="00734C2E" w:rsidRDefault="004C6BC7">
      <w:pPr>
        <w:ind w:right="70"/>
        <w:jc w:val="both"/>
        <w:rPr>
          <w:rFonts w:cs="Arial"/>
          <w:sz w:val="22"/>
          <w:szCs w:val="22"/>
        </w:rPr>
      </w:pPr>
    </w:p>
    <w:p w:rsidR="00E47DAC" w:rsidRDefault="005C2A50" w:rsidP="005A7722">
      <w:pPr>
        <w:pStyle w:val="Nadpis4"/>
        <w:spacing w:before="0" w:after="0"/>
        <w:jc w:val="center"/>
        <w:rPr>
          <w:rFonts w:ascii="Arial" w:hAnsi="Arial" w:cs="Arial"/>
          <w:b w:val="0"/>
          <w:sz w:val="22"/>
          <w:szCs w:val="22"/>
        </w:rPr>
      </w:pPr>
      <w:r w:rsidRPr="00EE300F">
        <w:rPr>
          <w:rFonts w:ascii="Arial" w:hAnsi="Arial" w:cs="Arial"/>
          <w:sz w:val="24"/>
          <w:szCs w:val="24"/>
        </w:rPr>
        <w:t xml:space="preserve">I. </w:t>
      </w:r>
      <w:r w:rsidR="00E47DAC" w:rsidRPr="00EE300F">
        <w:rPr>
          <w:rFonts w:ascii="Arial" w:hAnsi="Arial" w:cs="Arial"/>
          <w:sz w:val="24"/>
          <w:szCs w:val="24"/>
        </w:rPr>
        <w:t>Úvod</w:t>
      </w:r>
    </w:p>
    <w:p w:rsidR="00E4594A" w:rsidRPr="000F38F0" w:rsidRDefault="00E4594A" w:rsidP="00E4594A">
      <w:pPr>
        <w:rPr>
          <w:sz w:val="22"/>
          <w:szCs w:val="22"/>
        </w:rPr>
      </w:pPr>
    </w:p>
    <w:p w:rsidR="004B3987" w:rsidRDefault="00E4594A" w:rsidP="00E4594A">
      <w:pPr>
        <w:jc w:val="both"/>
        <w:rPr>
          <w:rFonts w:cs="Arial"/>
          <w:sz w:val="22"/>
          <w:szCs w:val="22"/>
        </w:rPr>
      </w:pPr>
      <w:r w:rsidRPr="001129E8">
        <w:rPr>
          <w:sz w:val="22"/>
          <w:szCs w:val="22"/>
        </w:rPr>
        <w:t xml:space="preserve">ŘSD je státní příspěvková organizace, která byla zřízena </w:t>
      </w:r>
      <w:r w:rsidR="001129E8" w:rsidRPr="001129E8">
        <w:rPr>
          <w:sz w:val="22"/>
          <w:szCs w:val="22"/>
        </w:rPr>
        <w:t>býv</w:t>
      </w:r>
      <w:r w:rsidR="00FE3EBB">
        <w:rPr>
          <w:sz w:val="22"/>
          <w:szCs w:val="22"/>
        </w:rPr>
        <w:t>alým Ministerstvem dopravy a </w:t>
      </w:r>
      <w:r w:rsidR="001129E8" w:rsidRPr="001129E8">
        <w:rPr>
          <w:sz w:val="22"/>
          <w:szCs w:val="22"/>
        </w:rPr>
        <w:t xml:space="preserve">spojů ke dni 1. </w:t>
      </w:r>
      <w:r w:rsidR="00773B16">
        <w:rPr>
          <w:sz w:val="22"/>
          <w:szCs w:val="22"/>
        </w:rPr>
        <w:t>ledna</w:t>
      </w:r>
      <w:r w:rsidR="001129E8" w:rsidRPr="001129E8">
        <w:rPr>
          <w:sz w:val="22"/>
          <w:szCs w:val="22"/>
        </w:rPr>
        <w:t xml:space="preserve"> 1997.</w:t>
      </w:r>
      <w:r w:rsidR="007040DC">
        <w:rPr>
          <w:sz w:val="22"/>
          <w:szCs w:val="22"/>
        </w:rPr>
        <w:t xml:space="preserve"> Jejím z</w:t>
      </w:r>
      <w:r w:rsidR="001129E8">
        <w:rPr>
          <w:sz w:val="22"/>
          <w:szCs w:val="22"/>
        </w:rPr>
        <w:t xml:space="preserve">ákladním předmětem činnosti je výkon vlastnických práv státu </w:t>
      </w:r>
      <w:r w:rsidR="00A61F35">
        <w:rPr>
          <w:sz w:val="22"/>
          <w:szCs w:val="22"/>
        </w:rPr>
        <w:t>k </w:t>
      </w:r>
      <w:r w:rsidR="001129E8">
        <w:rPr>
          <w:sz w:val="22"/>
          <w:szCs w:val="22"/>
        </w:rPr>
        <w:t>nemovitostem tvořeným dálnicemi a silnicemi I. třídy, zabezpečení jejich správy, údržby, výstavby, rozvoje a modernizace.</w:t>
      </w:r>
      <w:r w:rsidR="007040DC">
        <w:rPr>
          <w:sz w:val="22"/>
          <w:szCs w:val="22"/>
        </w:rPr>
        <w:t xml:space="preserve"> ŘSD z</w:t>
      </w:r>
      <w:r w:rsidR="001129E8">
        <w:rPr>
          <w:sz w:val="22"/>
          <w:szCs w:val="22"/>
        </w:rPr>
        <w:t xml:space="preserve">ajišťuje výkon majetkové správy (například vedení evidence, nájem </w:t>
      </w:r>
      <w:r w:rsidR="00A30364">
        <w:rPr>
          <w:sz w:val="22"/>
          <w:szCs w:val="22"/>
        </w:rPr>
        <w:t xml:space="preserve">a pronájem </w:t>
      </w:r>
      <w:r w:rsidR="001129E8">
        <w:rPr>
          <w:sz w:val="22"/>
          <w:szCs w:val="22"/>
        </w:rPr>
        <w:t>nemovitostí).</w:t>
      </w:r>
      <w:r w:rsidR="007040DC">
        <w:rPr>
          <w:sz w:val="22"/>
          <w:szCs w:val="22"/>
        </w:rPr>
        <w:t xml:space="preserve"> Jeho s</w:t>
      </w:r>
      <w:r w:rsidR="004B3987">
        <w:rPr>
          <w:rFonts w:cs="Arial"/>
          <w:sz w:val="22"/>
          <w:szCs w:val="22"/>
        </w:rPr>
        <w:t xml:space="preserve">tatutárním orgánem je generální ředitel, jmenovaný ministrem dopravy. </w:t>
      </w:r>
    </w:p>
    <w:p w:rsidR="004B3987" w:rsidRDefault="004B3987" w:rsidP="00E4594A">
      <w:pPr>
        <w:jc w:val="both"/>
        <w:rPr>
          <w:rFonts w:cs="Arial"/>
          <w:sz w:val="22"/>
          <w:szCs w:val="22"/>
        </w:rPr>
      </w:pPr>
    </w:p>
    <w:p w:rsidR="001129E8" w:rsidRDefault="004B3987" w:rsidP="00E4594A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ŘSD se člení na Generální ředitelství (dále jen „GŘ“), dva závody a 11 správ.</w:t>
      </w:r>
      <w:r w:rsidRPr="004B398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Kontrolovány byly peněžní prostředky a majetek státu, se kterým</w:t>
      </w:r>
      <w:r w:rsidR="00D96A49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 hospodaří </w:t>
      </w:r>
      <w:r w:rsidR="007040DC">
        <w:rPr>
          <w:rFonts w:cs="Arial"/>
          <w:sz w:val="22"/>
          <w:szCs w:val="22"/>
        </w:rPr>
        <w:t>GŘ</w:t>
      </w:r>
      <w:r w:rsidR="00773B16">
        <w:rPr>
          <w:rFonts w:cs="Arial"/>
          <w:sz w:val="22"/>
          <w:szCs w:val="22"/>
        </w:rPr>
        <w:t>, ředitelství závodů Brno a </w:t>
      </w:r>
      <w:r>
        <w:rPr>
          <w:rFonts w:cs="Arial"/>
          <w:sz w:val="22"/>
          <w:szCs w:val="22"/>
        </w:rPr>
        <w:t>Praha a</w:t>
      </w:r>
      <w:r w:rsidR="0047213F">
        <w:rPr>
          <w:rFonts w:cs="Arial"/>
          <w:sz w:val="22"/>
          <w:szCs w:val="22"/>
        </w:rPr>
        <w:t xml:space="preserve"> ředitelství správ Jihlava, Karlovy Vary, Pardubice a Plzeň.</w:t>
      </w:r>
      <w:r w:rsidR="007040DC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7040DC">
        <w:rPr>
          <w:rFonts w:cs="Arial"/>
          <w:sz w:val="22"/>
          <w:szCs w:val="22"/>
        </w:rPr>
        <w:t>rámci GŘ nebyl</w:t>
      </w:r>
      <w:r w:rsidR="00D96A49">
        <w:rPr>
          <w:rFonts w:cs="Arial"/>
          <w:sz w:val="22"/>
          <w:szCs w:val="22"/>
        </w:rPr>
        <w:t>a</w:t>
      </w:r>
      <w:r w:rsidR="007040DC">
        <w:rPr>
          <w:rFonts w:cs="Arial"/>
          <w:sz w:val="22"/>
          <w:szCs w:val="22"/>
        </w:rPr>
        <w:t xml:space="preserve"> kontrolován</w:t>
      </w:r>
      <w:r w:rsidR="00D96A49">
        <w:rPr>
          <w:rFonts w:cs="Arial"/>
          <w:sz w:val="22"/>
          <w:szCs w:val="22"/>
        </w:rPr>
        <w:t>a</w:t>
      </w:r>
      <w:r w:rsidR="007040DC">
        <w:rPr>
          <w:rFonts w:cs="Arial"/>
          <w:sz w:val="22"/>
          <w:szCs w:val="22"/>
        </w:rPr>
        <w:t xml:space="preserve"> střediska správ a údržby dálnic a rychlostních komunikací a</w:t>
      </w:r>
      <w:r w:rsidR="00D96A49">
        <w:rPr>
          <w:rFonts w:cs="Arial"/>
          <w:sz w:val="22"/>
          <w:szCs w:val="22"/>
        </w:rPr>
        <w:t>ni</w:t>
      </w:r>
      <w:r w:rsidR="007040DC">
        <w:rPr>
          <w:rFonts w:cs="Arial"/>
          <w:sz w:val="22"/>
          <w:szCs w:val="22"/>
        </w:rPr>
        <w:t xml:space="preserve"> Středisko </w:t>
      </w:r>
      <w:r w:rsidR="007040DC">
        <w:rPr>
          <w:rFonts w:cs="Arial"/>
          <w:sz w:val="22"/>
          <w:szCs w:val="22"/>
        </w:rPr>
        <w:lastRenderedPageBreak/>
        <w:t>mostních provizorií.</w:t>
      </w:r>
      <w:r w:rsidR="007040DC" w:rsidRPr="007040DC">
        <w:rPr>
          <w:rFonts w:cs="Arial"/>
          <w:sz w:val="22"/>
          <w:szCs w:val="22"/>
        </w:rPr>
        <w:t xml:space="preserve"> </w:t>
      </w:r>
      <w:r w:rsidR="007040DC">
        <w:rPr>
          <w:rFonts w:cs="Arial"/>
          <w:sz w:val="22"/>
          <w:szCs w:val="22"/>
        </w:rPr>
        <w:t xml:space="preserve">Kontrolovány nebyly </w:t>
      </w:r>
      <w:r w:rsidR="00D96A49">
        <w:rPr>
          <w:rFonts w:cs="Arial"/>
          <w:sz w:val="22"/>
          <w:szCs w:val="22"/>
        </w:rPr>
        <w:t>ani</w:t>
      </w:r>
      <w:r w:rsidR="007040DC">
        <w:rPr>
          <w:rFonts w:cs="Arial"/>
          <w:sz w:val="22"/>
          <w:szCs w:val="22"/>
        </w:rPr>
        <w:t xml:space="preserve"> činnosti, které se přímo týkají dálnic a</w:t>
      </w:r>
      <w:r w:rsidR="007945D9">
        <w:rPr>
          <w:rFonts w:cs="Arial"/>
          <w:sz w:val="22"/>
          <w:szCs w:val="22"/>
        </w:rPr>
        <w:t xml:space="preserve"> </w:t>
      </w:r>
      <w:r w:rsidR="007040DC">
        <w:rPr>
          <w:rFonts w:cs="Arial"/>
          <w:sz w:val="22"/>
          <w:szCs w:val="22"/>
        </w:rPr>
        <w:t>silnic I.</w:t>
      </w:r>
      <w:r w:rsidR="001F6A6B">
        <w:rPr>
          <w:rFonts w:cs="Arial"/>
          <w:sz w:val="22"/>
          <w:szCs w:val="22"/>
        </w:rPr>
        <w:t> </w:t>
      </w:r>
      <w:r w:rsidR="007040DC">
        <w:rPr>
          <w:rFonts w:cs="Arial"/>
          <w:sz w:val="22"/>
          <w:szCs w:val="22"/>
        </w:rPr>
        <w:t>třídy, jako například</w:t>
      </w:r>
      <w:r w:rsidR="004673B9">
        <w:rPr>
          <w:rFonts w:cs="Arial"/>
          <w:sz w:val="22"/>
          <w:szCs w:val="22"/>
        </w:rPr>
        <w:t xml:space="preserve"> jejich</w:t>
      </w:r>
      <w:r w:rsidR="007040DC">
        <w:rPr>
          <w:rFonts w:cs="Arial"/>
          <w:sz w:val="22"/>
          <w:szCs w:val="22"/>
        </w:rPr>
        <w:t xml:space="preserve"> údržba, opravy nebo investiční výstavba</w:t>
      </w:r>
      <w:r w:rsidR="00D96A49">
        <w:rPr>
          <w:rFonts w:cs="Arial"/>
          <w:sz w:val="22"/>
          <w:szCs w:val="22"/>
        </w:rPr>
        <w:t>.</w:t>
      </w:r>
      <w:r w:rsidR="007040DC">
        <w:rPr>
          <w:rStyle w:val="Znakapoznpodarou"/>
          <w:rFonts w:cs="Arial"/>
          <w:sz w:val="22"/>
          <w:szCs w:val="22"/>
        </w:rPr>
        <w:footnoteReference w:id="1"/>
      </w:r>
      <w:r w:rsidR="007040DC">
        <w:rPr>
          <w:rFonts w:cs="Arial"/>
          <w:sz w:val="22"/>
          <w:szCs w:val="22"/>
        </w:rPr>
        <w:t xml:space="preserve"> </w:t>
      </w:r>
    </w:p>
    <w:p w:rsidR="001129E8" w:rsidRDefault="001129E8" w:rsidP="00E4594A">
      <w:pPr>
        <w:jc w:val="both"/>
        <w:rPr>
          <w:sz w:val="22"/>
          <w:szCs w:val="22"/>
        </w:rPr>
      </w:pPr>
    </w:p>
    <w:p w:rsidR="00E93839" w:rsidRDefault="004673B9" w:rsidP="00B2425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Hospodaření </w:t>
      </w:r>
      <w:r w:rsidR="00A61F35">
        <w:rPr>
          <w:rFonts w:cs="Arial"/>
          <w:sz w:val="22"/>
          <w:szCs w:val="22"/>
        </w:rPr>
        <w:t>s </w:t>
      </w:r>
      <w:r>
        <w:rPr>
          <w:rFonts w:cs="Arial"/>
          <w:sz w:val="22"/>
          <w:szCs w:val="22"/>
        </w:rPr>
        <w:t>peněžními prostředky byl</w:t>
      </w:r>
      <w:r w:rsidR="00601894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ověřováno na vybraných nákladových položkách</w:t>
      </w:r>
      <w:r w:rsidR="00F434E4">
        <w:rPr>
          <w:rFonts w:cs="Arial"/>
          <w:sz w:val="22"/>
          <w:szCs w:val="22"/>
        </w:rPr>
        <w:t xml:space="preserve"> z oblas</w:t>
      </w:r>
      <w:r w:rsidR="00A30364">
        <w:rPr>
          <w:rFonts w:cs="Arial"/>
          <w:sz w:val="22"/>
          <w:szCs w:val="22"/>
        </w:rPr>
        <w:t>tí spotřeby materiálu, oprav a u</w:t>
      </w:r>
      <w:r w:rsidR="00F434E4">
        <w:rPr>
          <w:rFonts w:cs="Arial"/>
          <w:sz w:val="22"/>
          <w:szCs w:val="22"/>
        </w:rPr>
        <w:t>držování</w:t>
      </w:r>
      <w:r w:rsidR="00A30364">
        <w:rPr>
          <w:rFonts w:cs="Arial"/>
          <w:sz w:val="22"/>
          <w:szCs w:val="22"/>
        </w:rPr>
        <w:t xml:space="preserve">, nákupů služeb a mezd. </w:t>
      </w:r>
      <w:r w:rsidR="00A61F35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 xml:space="preserve">rámci </w:t>
      </w:r>
      <w:r w:rsidR="00A30364">
        <w:rPr>
          <w:rFonts w:cs="Arial"/>
          <w:sz w:val="22"/>
          <w:szCs w:val="22"/>
        </w:rPr>
        <w:t>hospodaření s</w:t>
      </w:r>
      <w:r w:rsidR="003379F0">
        <w:rPr>
          <w:rFonts w:cs="Arial"/>
          <w:sz w:val="22"/>
          <w:szCs w:val="22"/>
        </w:rPr>
        <w:t> majetkem státu</w:t>
      </w:r>
      <w:r w:rsidR="00E46A7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byla kontrola zaměřena</w:t>
      </w:r>
      <w:r w:rsidR="00A30364">
        <w:rPr>
          <w:rFonts w:cs="Arial"/>
          <w:sz w:val="22"/>
          <w:szCs w:val="22"/>
        </w:rPr>
        <w:t xml:space="preserve"> na eviden</w:t>
      </w:r>
      <w:r>
        <w:rPr>
          <w:rFonts w:cs="Arial"/>
          <w:sz w:val="22"/>
          <w:szCs w:val="22"/>
        </w:rPr>
        <w:t>ci, nabývání, nájmy, pronájmy a</w:t>
      </w:r>
      <w:r w:rsidR="007945D9">
        <w:rPr>
          <w:rFonts w:cs="Arial"/>
          <w:sz w:val="22"/>
          <w:szCs w:val="22"/>
        </w:rPr>
        <w:t xml:space="preserve"> </w:t>
      </w:r>
      <w:r w:rsidR="003379F0">
        <w:rPr>
          <w:rFonts w:cs="Arial"/>
          <w:sz w:val="22"/>
          <w:szCs w:val="22"/>
        </w:rPr>
        <w:t>úbytky dlouhodobého</w:t>
      </w:r>
      <w:r w:rsidR="00E93839">
        <w:rPr>
          <w:rFonts w:cs="Arial"/>
          <w:sz w:val="22"/>
          <w:szCs w:val="22"/>
        </w:rPr>
        <w:t xml:space="preserve"> </w:t>
      </w:r>
      <w:r w:rsidR="003379F0">
        <w:rPr>
          <w:rFonts w:cs="Arial"/>
          <w:sz w:val="22"/>
          <w:szCs w:val="22"/>
        </w:rPr>
        <w:t>hmotného majetku</w:t>
      </w:r>
      <w:r w:rsidR="00101EFA">
        <w:rPr>
          <w:rFonts w:cs="Arial"/>
          <w:sz w:val="22"/>
          <w:szCs w:val="22"/>
        </w:rPr>
        <w:t>.</w:t>
      </w:r>
    </w:p>
    <w:p w:rsidR="003D683E" w:rsidRDefault="003D683E" w:rsidP="00A30364">
      <w:pPr>
        <w:jc w:val="both"/>
        <w:rPr>
          <w:rFonts w:cs="Arial"/>
          <w:sz w:val="20"/>
          <w:szCs w:val="20"/>
        </w:rPr>
      </w:pPr>
    </w:p>
    <w:p w:rsidR="00830BDF" w:rsidRPr="000F38F0" w:rsidRDefault="00830BDF" w:rsidP="000F38F0">
      <w:pPr>
        <w:ind w:left="624" w:hanging="624"/>
        <w:jc w:val="both"/>
        <w:rPr>
          <w:rFonts w:cs="Arial"/>
          <w:sz w:val="18"/>
          <w:szCs w:val="18"/>
        </w:rPr>
      </w:pPr>
      <w:r w:rsidRPr="000F38F0">
        <w:rPr>
          <w:rFonts w:cs="Arial"/>
          <w:b/>
          <w:sz w:val="18"/>
          <w:szCs w:val="18"/>
        </w:rPr>
        <w:t>Pozn</w:t>
      </w:r>
      <w:r w:rsidR="00D96A49" w:rsidRPr="000F38F0">
        <w:rPr>
          <w:rFonts w:cs="Arial"/>
          <w:b/>
          <w:sz w:val="18"/>
          <w:szCs w:val="18"/>
        </w:rPr>
        <w:t>.:</w:t>
      </w:r>
      <w:r w:rsidRPr="000F38F0">
        <w:rPr>
          <w:rFonts w:cs="Arial"/>
          <w:sz w:val="18"/>
          <w:szCs w:val="18"/>
        </w:rPr>
        <w:tab/>
        <w:t xml:space="preserve">Právní předpisy uvedené </w:t>
      </w:r>
      <w:r w:rsidR="00A61F35" w:rsidRPr="000F38F0">
        <w:rPr>
          <w:rFonts w:cs="Arial"/>
          <w:sz w:val="18"/>
          <w:szCs w:val="18"/>
        </w:rPr>
        <w:t>v </w:t>
      </w:r>
      <w:r w:rsidRPr="000F38F0">
        <w:rPr>
          <w:rFonts w:cs="Arial"/>
          <w:sz w:val="18"/>
          <w:szCs w:val="18"/>
        </w:rPr>
        <w:t>tomto kontrolním závěru jsou aplikovány ve znění účinném pro kontrolované období.</w:t>
      </w:r>
    </w:p>
    <w:p w:rsidR="00830BDF" w:rsidRPr="000F38F0" w:rsidRDefault="00830BDF" w:rsidP="00830BDF">
      <w:pPr>
        <w:ind w:left="1134" w:hanging="1134"/>
        <w:jc w:val="both"/>
        <w:rPr>
          <w:rFonts w:cs="Arial"/>
          <w:sz w:val="18"/>
          <w:szCs w:val="18"/>
        </w:rPr>
      </w:pPr>
    </w:p>
    <w:p w:rsidR="00332DC7" w:rsidRDefault="00332DC7" w:rsidP="00830BDF">
      <w:pPr>
        <w:ind w:left="1134" w:hanging="1134"/>
        <w:jc w:val="both"/>
        <w:rPr>
          <w:rFonts w:cs="Arial"/>
          <w:sz w:val="22"/>
          <w:szCs w:val="22"/>
        </w:rPr>
      </w:pPr>
    </w:p>
    <w:p w:rsidR="00332DC7" w:rsidRDefault="00830BDF" w:rsidP="00830BDF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</w:rPr>
        <w:t>II. Skutečnosti zjištěn</w:t>
      </w:r>
      <w:r w:rsidR="00D96A49">
        <w:rPr>
          <w:rFonts w:cs="Arial"/>
          <w:b/>
        </w:rPr>
        <w:t>é</w:t>
      </w:r>
      <w:r>
        <w:rPr>
          <w:rFonts w:cs="Arial"/>
          <w:b/>
        </w:rPr>
        <w:t xml:space="preserve"> při kontrole</w:t>
      </w:r>
    </w:p>
    <w:p w:rsidR="00830BDF" w:rsidRDefault="00830BDF" w:rsidP="00830BDF">
      <w:pPr>
        <w:jc w:val="center"/>
        <w:rPr>
          <w:rFonts w:cs="Arial"/>
          <w:b/>
          <w:sz w:val="22"/>
          <w:szCs w:val="22"/>
        </w:rPr>
      </w:pPr>
    </w:p>
    <w:p w:rsidR="00786561" w:rsidRDefault="00A30364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1. Charakteristika hospodaření ŘSD</w:t>
      </w:r>
    </w:p>
    <w:p w:rsidR="00A30364" w:rsidRDefault="00A30364" w:rsidP="001671F8">
      <w:pPr>
        <w:jc w:val="both"/>
        <w:rPr>
          <w:rFonts w:cs="Arial"/>
          <w:sz w:val="22"/>
          <w:szCs w:val="22"/>
        </w:rPr>
      </w:pPr>
    </w:p>
    <w:p w:rsidR="0024084F" w:rsidRDefault="0000434F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hospodaření ŘSD byl </w:t>
      </w:r>
      <w:r w:rsidR="00A61F35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 xml:space="preserve">rozhodující míře závislý na finančních prostředcích poskytovaných </w:t>
      </w:r>
      <w:r w:rsidR="00A61F35">
        <w:rPr>
          <w:rFonts w:cs="Arial"/>
          <w:sz w:val="22"/>
          <w:szCs w:val="22"/>
        </w:rPr>
        <w:t>z </w:t>
      </w:r>
      <w:r>
        <w:rPr>
          <w:rFonts w:cs="Arial"/>
          <w:sz w:val="22"/>
          <w:szCs w:val="22"/>
        </w:rPr>
        <w:t xml:space="preserve">rozpočtu Státního fondu dopravní infrastruktury. </w:t>
      </w:r>
      <w:r w:rsidR="00587DDC">
        <w:rPr>
          <w:rFonts w:cs="Arial"/>
          <w:sz w:val="22"/>
          <w:szCs w:val="22"/>
        </w:rPr>
        <w:t>Podíl těchto prostředků na úh</w:t>
      </w:r>
      <w:r w:rsidR="00601894">
        <w:rPr>
          <w:rFonts w:cs="Arial"/>
          <w:sz w:val="22"/>
          <w:szCs w:val="22"/>
        </w:rPr>
        <w:t>radě nákladů ŘSD byl více než 95</w:t>
      </w:r>
      <w:r w:rsidR="00587DDC">
        <w:rPr>
          <w:rFonts w:cs="Arial"/>
          <w:sz w:val="22"/>
          <w:szCs w:val="22"/>
        </w:rPr>
        <w:t xml:space="preserve"> %. Výsled</w:t>
      </w:r>
      <w:r w:rsidR="00D96A49">
        <w:rPr>
          <w:rFonts w:cs="Arial"/>
          <w:sz w:val="22"/>
          <w:szCs w:val="22"/>
        </w:rPr>
        <w:t>ky</w:t>
      </w:r>
      <w:r w:rsidR="00587DDC">
        <w:rPr>
          <w:rFonts w:cs="Arial"/>
          <w:sz w:val="22"/>
          <w:szCs w:val="22"/>
        </w:rPr>
        <w:t xml:space="preserve"> hospoda</w:t>
      </w:r>
      <w:r w:rsidR="00DC2C69">
        <w:rPr>
          <w:rFonts w:cs="Arial"/>
          <w:sz w:val="22"/>
          <w:szCs w:val="22"/>
        </w:rPr>
        <w:t>ření ŘSD za roky 2010 až 2012 a </w:t>
      </w:r>
      <w:r w:rsidR="00587DDC">
        <w:rPr>
          <w:rFonts w:cs="Arial"/>
          <w:sz w:val="22"/>
          <w:szCs w:val="22"/>
        </w:rPr>
        <w:t xml:space="preserve">rozpočet </w:t>
      </w:r>
      <w:r w:rsidR="0024084F">
        <w:rPr>
          <w:rFonts w:cs="Arial"/>
          <w:sz w:val="22"/>
          <w:szCs w:val="22"/>
        </w:rPr>
        <w:t>hospodaření na rok 2013 j</w:t>
      </w:r>
      <w:r w:rsidR="00D96A49">
        <w:rPr>
          <w:rFonts w:cs="Arial"/>
          <w:sz w:val="22"/>
          <w:szCs w:val="22"/>
        </w:rPr>
        <w:t>sou</w:t>
      </w:r>
      <w:r w:rsidR="0024084F">
        <w:rPr>
          <w:rFonts w:cs="Arial"/>
          <w:sz w:val="22"/>
          <w:szCs w:val="22"/>
        </w:rPr>
        <w:t xml:space="preserve"> uveden</w:t>
      </w:r>
      <w:r w:rsidR="00D96A49">
        <w:rPr>
          <w:rFonts w:cs="Arial"/>
          <w:sz w:val="22"/>
          <w:szCs w:val="22"/>
        </w:rPr>
        <w:t>y</w:t>
      </w:r>
      <w:r w:rsidR="0024084F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24084F">
        <w:rPr>
          <w:rFonts w:cs="Arial"/>
          <w:sz w:val="22"/>
          <w:szCs w:val="22"/>
        </w:rPr>
        <w:t>tabulce č. 1.</w:t>
      </w:r>
    </w:p>
    <w:p w:rsidR="0024084F" w:rsidRDefault="0024084F" w:rsidP="001671F8">
      <w:pPr>
        <w:jc w:val="both"/>
        <w:rPr>
          <w:rFonts w:cs="Arial"/>
          <w:sz w:val="22"/>
          <w:szCs w:val="22"/>
        </w:rPr>
      </w:pPr>
    </w:p>
    <w:p w:rsidR="0024084F" w:rsidRPr="0024084F" w:rsidRDefault="0024084F" w:rsidP="003D40F7">
      <w:pPr>
        <w:tabs>
          <w:tab w:val="right" w:pos="9072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Tabulka č. 1 – Náklady a výnosy ŘSD</w:t>
      </w:r>
      <w:r>
        <w:rPr>
          <w:rFonts w:cs="Arial"/>
          <w:b/>
          <w:sz w:val="22"/>
          <w:szCs w:val="22"/>
        </w:rPr>
        <w:tab/>
      </w:r>
      <w:r w:rsidRPr="000F38F0">
        <w:rPr>
          <w:rFonts w:cs="Arial"/>
          <w:b/>
          <w:sz w:val="22"/>
          <w:szCs w:val="22"/>
        </w:rPr>
        <w:t>(</w:t>
      </w:r>
      <w:r w:rsidR="00A61F35" w:rsidRPr="000F38F0">
        <w:rPr>
          <w:rFonts w:cs="Arial"/>
          <w:b/>
          <w:sz w:val="22"/>
          <w:szCs w:val="22"/>
        </w:rPr>
        <w:t>v </w:t>
      </w:r>
      <w:r w:rsidRPr="000F38F0">
        <w:rPr>
          <w:rFonts w:cs="Arial"/>
          <w:b/>
          <w:sz w:val="22"/>
          <w:szCs w:val="22"/>
        </w:rPr>
        <w:t>mil. Kč)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12"/>
        <w:gridCol w:w="1213"/>
        <w:gridCol w:w="1212"/>
        <w:gridCol w:w="1213"/>
      </w:tblGrid>
      <w:tr w:rsidR="0024084F" w:rsidTr="00101EFA"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84F" w:rsidRDefault="0024084F" w:rsidP="001671F8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084F" w:rsidRPr="0024084F" w:rsidRDefault="0024084F" w:rsidP="002408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2010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084F" w:rsidRPr="0024084F" w:rsidRDefault="0024084F" w:rsidP="002408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2011</w:t>
            </w:r>
          </w:p>
        </w:tc>
        <w:tc>
          <w:tcPr>
            <w:tcW w:w="12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084F" w:rsidRPr="0024084F" w:rsidRDefault="0024084F" w:rsidP="002408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2012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</w:tcPr>
          <w:p w:rsidR="0024084F" w:rsidRPr="0024084F" w:rsidRDefault="0024084F" w:rsidP="002408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2013 rozpočet</w:t>
            </w:r>
          </w:p>
        </w:tc>
      </w:tr>
      <w:tr w:rsidR="0024084F" w:rsidTr="00101EFA"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84F" w:rsidRDefault="0024084F" w:rsidP="001671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Výnosy celkem</w:t>
            </w:r>
          </w:p>
          <w:p w:rsidR="00F63250" w:rsidRDefault="004F7C60" w:rsidP="001671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toho</w:t>
            </w:r>
            <w:r w:rsidR="00F63250">
              <w:rPr>
                <w:rFonts w:cs="Arial"/>
                <w:sz w:val="22"/>
                <w:szCs w:val="22"/>
              </w:rPr>
              <w:t>:</w:t>
            </w:r>
          </w:p>
          <w:p w:rsidR="00F63250" w:rsidRDefault="00F63250" w:rsidP="000F38F0">
            <w:pPr>
              <w:rPr>
                <w:rFonts w:eastAsia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="004F7C60">
              <w:rPr>
                <w:rFonts w:cs="Arial"/>
                <w:sz w:val="22"/>
                <w:szCs w:val="22"/>
              </w:rPr>
              <w:t xml:space="preserve">dotace ze </w:t>
            </w:r>
            <w:r w:rsidR="00D96A49">
              <w:rPr>
                <w:rFonts w:cs="Arial"/>
                <w:sz w:val="22"/>
                <w:szCs w:val="22"/>
              </w:rPr>
              <w:t>SFDI</w:t>
            </w:r>
          </w:p>
          <w:p w:rsidR="00F63250" w:rsidRDefault="00F63250" w:rsidP="001671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="004F7C60">
              <w:rPr>
                <w:rFonts w:cs="Arial"/>
                <w:sz w:val="22"/>
                <w:szCs w:val="22"/>
              </w:rPr>
              <w:t xml:space="preserve">dotace ze </w:t>
            </w:r>
            <w:r>
              <w:rPr>
                <w:rFonts w:cs="Arial"/>
                <w:sz w:val="22"/>
                <w:szCs w:val="22"/>
              </w:rPr>
              <w:t>státního rozpočtu</w:t>
            </w:r>
            <w:r w:rsidR="004F7C60">
              <w:rPr>
                <w:rFonts w:cs="Arial"/>
                <w:sz w:val="22"/>
                <w:szCs w:val="22"/>
              </w:rPr>
              <w:t xml:space="preserve"> </w:t>
            </w:r>
          </w:p>
          <w:p w:rsidR="004F7C60" w:rsidRDefault="004F7C60" w:rsidP="001671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dotace z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krajů a obcí</w:t>
            </w:r>
          </w:p>
          <w:p w:rsidR="00F63250" w:rsidRDefault="004F7C60" w:rsidP="001671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prodej</w:t>
            </w:r>
            <w:r w:rsidR="00F63250">
              <w:rPr>
                <w:rFonts w:cs="Arial"/>
                <w:sz w:val="22"/>
                <w:szCs w:val="22"/>
              </w:rPr>
              <w:t xml:space="preserve"> služeb</w:t>
            </w:r>
          </w:p>
          <w:p w:rsidR="00F63250" w:rsidRDefault="004F7C60" w:rsidP="001671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pronájem</w:t>
            </w:r>
          </w:p>
          <w:p w:rsidR="00A17FE0" w:rsidRDefault="004F7C60" w:rsidP="001671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prodej</w:t>
            </w:r>
            <w:r w:rsidR="00A17FE0">
              <w:rPr>
                <w:rFonts w:cs="Arial"/>
                <w:sz w:val="22"/>
                <w:szCs w:val="22"/>
              </w:rPr>
              <w:t xml:space="preserve"> DHM (bez pozemků)</w:t>
            </w:r>
          </w:p>
          <w:p w:rsidR="004F7C60" w:rsidRPr="00F63250" w:rsidRDefault="004F7C60" w:rsidP="001671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ostatní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084F" w:rsidRDefault="0024084F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12</w:t>
            </w:r>
            <w:r w:rsidR="007945D9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702,3</w:t>
            </w:r>
          </w:p>
          <w:p w:rsidR="00F63250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F63250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004,4</w:t>
            </w:r>
          </w:p>
          <w:p w:rsidR="00F63250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238,4</w:t>
            </w:r>
          </w:p>
          <w:p w:rsidR="00E46A73" w:rsidRDefault="004F7C6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3,9</w:t>
            </w:r>
          </w:p>
          <w:p w:rsidR="00F63250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7,6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120,7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4,3</w:t>
            </w:r>
          </w:p>
          <w:p w:rsidR="004F7C60" w:rsidRPr="00F63250" w:rsidRDefault="004F7C6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323,0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</w:tcPr>
          <w:p w:rsidR="0024084F" w:rsidRDefault="0024084F" w:rsidP="00E46A73">
            <w:pPr>
              <w:jc w:val="right"/>
              <w:rPr>
                <w:rFonts w:cs="Arial"/>
                <w:sz w:val="22"/>
                <w:szCs w:val="22"/>
              </w:rPr>
            </w:pPr>
            <w:r w:rsidRPr="0024084F">
              <w:rPr>
                <w:rFonts w:cs="Arial"/>
                <w:b/>
                <w:sz w:val="22"/>
                <w:szCs w:val="22"/>
              </w:rPr>
              <w:t>11</w:t>
            </w:r>
            <w:r w:rsidR="007945D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24084F">
              <w:rPr>
                <w:rFonts w:cs="Arial"/>
                <w:b/>
                <w:sz w:val="22"/>
                <w:szCs w:val="22"/>
              </w:rPr>
              <w:t>911,3</w:t>
            </w:r>
          </w:p>
          <w:p w:rsidR="00F63250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F63250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434,9</w:t>
            </w:r>
          </w:p>
          <w:p w:rsidR="00F63250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5,8</w:t>
            </w:r>
          </w:p>
          <w:p w:rsidR="004F7C60" w:rsidRDefault="00D96A49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</w:t>
            </w:r>
            <w:r w:rsidR="004F7C60">
              <w:rPr>
                <w:rFonts w:cs="Arial"/>
                <w:sz w:val="22"/>
                <w:szCs w:val="22"/>
              </w:rPr>
              <w:t>0</w:t>
            </w:r>
          </w:p>
          <w:p w:rsidR="00F63250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7,5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124,1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1,6</w:t>
            </w:r>
          </w:p>
          <w:p w:rsidR="004F7C60" w:rsidRPr="00F63250" w:rsidRDefault="004F7C6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337,4</w:t>
            </w:r>
          </w:p>
        </w:tc>
        <w:tc>
          <w:tcPr>
            <w:tcW w:w="1212" w:type="dxa"/>
            <w:tcBorders>
              <w:top w:val="single" w:sz="12" w:space="0" w:color="auto"/>
              <w:bottom w:val="single" w:sz="12" w:space="0" w:color="auto"/>
            </w:tcBorders>
          </w:tcPr>
          <w:p w:rsidR="0024084F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</w:t>
            </w:r>
            <w:r w:rsidR="007945D9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138,3</w:t>
            </w:r>
          </w:p>
          <w:p w:rsidR="00F63250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F63250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040,4</w:t>
            </w:r>
          </w:p>
          <w:p w:rsidR="00F63250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6,0</w:t>
            </w:r>
          </w:p>
          <w:p w:rsidR="004F7C60" w:rsidRDefault="00D96A49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</w:t>
            </w:r>
            <w:r w:rsidR="004F7C60">
              <w:rPr>
                <w:rFonts w:cs="Arial"/>
                <w:sz w:val="22"/>
                <w:szCs w:val="22"/>
              </w:rPr>
              <w:t>0</w:t>
            </w:r>
          </w:p>
          <w:p w:rsidR="00F63250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7,2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131,2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1,3</w:t>
            </w:r>
          </w:p>
          <w:p w:rsidR="004F7C60" w:rsidRPr="00F63250" w:rsidRDefault="00491017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9</w:t>
            </w:r>
            <w:r w:rsidR="004F7C60">
              <w:rPr>
                <w:rFonts w:cs="Arial"/>
                <w:sz w:val="22"/>
                <w:szCs w:val="22"/>
              </w:rPr>
              <w:t>52,2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</w:tcPr>
          <w:p w:rsidR="0024084F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4F7C60">
              <w:rPr>
                <w:rFonts w:cs="Arial"/>
                <w:b/>
                <w:sz w:val="22"/>
                <w:szCs w:val="22"/>
              </w:rPr>
              <w:t>8</w:t>
            </w:r>
            <w:r w:rsidR="007945D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F7C60">
              <w:rPr>
                <w:rFonts w:cs="Arial"/>
                <w:b/>
                <w:sz w:val="22"/>
                <w:szCs w:val="22"/>
              </w:rPr>
              <w:t>853,9</w:t>
            </w:r>
          </w:p>
          <w:p w:rsidR="00F63250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F63250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  <w:p w:rsidR="00F63250" w:rsidRDefault="00F6325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  <w:p w:rsidR="004F7C60" w:rsidRDefault="004F7C6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  <w:p w:rsidR="00AF396F" w:rsidRDefault="00AF396F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  <w:p w:rsidR="00AF396F" w:rsidRDefault="00AF396F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  <w:p w:rsidR="00AF396F" w:rsidRDefault="00AF396F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  <w:p w:rsidR="00491017" w:rsidRPr="00F63250" w:rsidRDefault="00491017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439,8</w:t>
            </w:r>
          </w:p>
        </w:tc>
      </w:tr>
      <w:tr w:rsidR="0024084F" w:rsidTr="00101EFA"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84F" w:rsidRDefault="00A17FE0" w:rsidP="001671F8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Náklady celkem</w:t>
            </w:r>
          </w:p>
          <w:p w:rsidR="00A17FE0" w:rsidRDefault="00A17FE0" w:rsidP="001671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toho:</w:t>
            </w:r>
          </w:p>
          <w:p w:rsidR="00A17FE0" w:rsidRDefault="004F7C60" w:rsidP="001671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spotřeba</w:t>
            </w:r>
            <w:r w:rsidR="00A17FE0">
              <w:rPr>
                <w:rFonts w:cs="Arial"/>
                <w:sz w:val="22"/>
                <w:szCs w:val="22"/>
              </w:rPr>
              <w:t xml:space="preserve"> materiálu</w:t>
            </w:r>
          </w:p>
          <w:p w:rsidR="00A17FE0" w:rsidRDefault="00A17FE0" w:rsidP="001671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opravy a udržování</w:t>
            </w:r>
          </w:p>
          <w:p w:rsidR="00A17FE0" w:rsidRDefault="00A17FE0" w:rsidP="001671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ostatní služby</w:t>
            </w:r>
          </w:p>
          <w:p w:rsidR="00A17FE0" w:rsidRDefault="00A17FE0" w:rsidP="001671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mzdové náklady</w:t>
            </w:r>
          </w:p>
          <w:p w:rsidR="00A17FE0" w:rsidRDefault="00A17FE0" w:rsidP="001671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odpisy</w:t>
            </w:r>
          </w:p>
          <w:p w:rsidR="00491017" w:rsidRDefault="00491017" w:rsidP="001671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zůstatková cena prodaného DHM</w:t>
            </w:r>
          </w:p>
          <w:p w:rsidR="00491017" w:rsidRPr="00A17FE0" w:rsidRDefault="00491017" w:rsidP="001671F8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ostatní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084F" w:rsidRDefault="00491017" w:rsidP="00E46A73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12</w:t>
            </w:r>
            <w:r w:rsidR="007945D9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676,9</w:t>
            </w:r>
          </w:p>
          <w:p w:rsidR="00A17FE0" w:rsidRDefault="00A17FE0" w:rsidP="00E46A73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314,5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233,1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646,2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544,8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491,0</w:t>
            </w:r>
          </w:p>
          <w:p w:rsidR="00491017" w:rsidRDefault="00491017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1,1</w:t>
            </w:r>
          </w:p>
          <w:p w:rsidR="00491017" w:rsidRPr="00A17FE0" w:rsidRDefault="00491017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446,2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</w:tcPr>
          <w:p w:rsidR="0024084F" w:rsidRDefault="00A17FE0" w:rsidP="00E46A73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11</w:t>
            </w:r>
            <w:r w:rsidR="007945D9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882,8</w:t>
            </w:r>
          </w:p>
          <w:p w:rsidR="00A17FE0" w:rsidRDefault="00A17FE0" w:rsidP="00E46A73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203,5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729,8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572,0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485,3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418,3</w:t>
            </w:r>
          </w:p>
          <w:p w:rsidR="00491017" w:rsidRDefault="00491017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0,0</w:t>
            </w:r>
          </w:p>
          <w:p w:rsidR="00491017" w:rsidRPr="00A17FE0" w:rsidRDefault="00491017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473,9</w:t>
            </w:r>
          </w:p>
        </w:tc>
        <w:tc>
          <w:tcPr>
            <w:tcW w:w="1212" w:type="dxa"/>
            <w:tcBorders>
              <w:top w:val="single" w:sz="12" w:space="0" w:color="auto"/>
              <w:bottom w:val="single" w:sz="12" w:space="0" w:color="auto"/>
            </w:tcBorders>
          </w:tcPr>
          <w:p w:rsidR="0024084F" w:rsidRDefault="00FB467A" w:rsidP="00E46A73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</w:t>
            </w:r>
            <w:r w:rsidR="007945D9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097,5</w:t>
            </w:r>
          </w:p>
          <w:p w:rsidR="00A17FE0" w:rsidRDefault="00A17FE0" w:rsidP="00E46A73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 w:rsidRPr="00A17FE0">
              <w:rPr>
                <w:rFonts w:cs="Arial"/>
                <w:sz w:val="22"/>
                <w:szCs w:val="22"/>
              </w:rPr>
              <w:t>239,0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955,5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503,7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493,6</w:t>
            </w:r>
          </w:p>
          <w:p w:rsidR="00A17FE0" w:rsidRDefault="00F608B7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113,3</w:t>
            </w:r>
          </w:p>
          <w:p w:rsidR="00491017" w:rsidRDefault="00491017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2,9</w:t>
            </w:r>
          </w:p>
          <w:p w:rsidR="00491017" w:rsidRPr="00A17FE0" w:rsidRDefault="00491017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789,5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</w:tcPr>
          <w:p w:rsidR="0024084F" w:rsidRDefault="00A17FE0" w:rsidP="00E46A73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  <w:r w:rsidR="00FB467A">
              <w:rPr>
                <w:rFonts w:cs="Arial"/>
                <w:b/>
                <w:sz w:val="22"/>
                <w:szCs w:val="22"/>
              </w:rPr>
              <w:t>8</w:t>
            </w:r>
            <w:r w:rsidR="007945D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FB467A">
              <w:rPr>
                <w:rFonts w:cs="Arial"/>
                <w:b/>
                <w:sz w:val="22"/>
                <w:szCs w:val="22"/>
              </w:rPr>
              <w:t>853,9</w:t>
            </w:r>
          </w:p>
          <w:p w:rsidR="00A17FE0" w:rsidRDefault="00A17FE0" w:rsidP="00E46A73">
            <w:pPr>
              <w:jc w:val="right"/>
              <w:rPr>
                <w:rFonts w:cs="Arial"/>
                <w:b/>
                <w:sz w:val="22"/>
                <w:szCs w:val="22"/>
              </w:rPr>
            </w:pP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61,8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936,9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712,5</w:t>
            </w:r>
          </w:p>
          <w:p w:rsidR="00A17FE0" w:rsidRDefault="00A17FE0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476,5</w:t>
            </w:r>
          </w:p>
          <w:p w:rsidR="00AF396F" w:rsidRDefault="00FB467A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414,8</w:t>
            </w:r>
          </w:p>
          <w:p w:rsidR="00FB467A" w:rsidRDefault="00D96A49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0,</w:t>
            </w:r>
            <w:r w:rsidR="00FB467A">
              <w:rPr>
                <w:rFonts w:cs="Arial"/>
                <w:sz w:val="22"/>
                <w:szCs w:val="22"/>
              </w:rPr>
              <w:t>0</w:t>
            </w:r>
          </w:p>
          <w:p w:rsidR="00FB467A" w:rsidRPr="00A17FE0" w:rsidRDefault="00FB467A" w:rsidP="00E46A7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251,4</w:t>
            </w:r>
          </w:p>
        </w:tc>
      </w:tr>
      <w:tr w:rsidR="0024084F" w:rsidTr="00101EFA"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084F" w:rsidRPr="00AF396F" w:rsidRDefault="00AF396F" w:rsidP="001671F8">
            <w:pPr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Hosp. výsledek před zdaněním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084F" w:rsidRPr="00AF396F" w:rsidRDefault="00491017" w:rsidP="00E46A73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25,4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</w:tcPr>
          <w:p w:rsidR="0024084F" w:rsidRPr="00AF396F" w:rsidRDefault="00491017" w:rsidP="00E46A73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28,5</w:t>
            </w:r>
          </w:p>
        </w:tc>
        <w:tc>
          <w:tcPr>
            <w:tcW w:w="1212" w:type="dxa"/>
            <w:tcBorders>
              <w:top w:val="single" w:sz="12" w:space="0" w:color="auto"/>
              <w:bottom w:val="single" w:sz="12" w:space="0" w:color="auto"/>
            </w:tcBorders>
          </w:tcPr>
          <w:p w:rsidR="0024084F" w:rsidRPr="00AF396F" w:rsidRDefault="00FB467A" w:rsidP="00E46A73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40,8</w:t>
            </w:r>
          </w:p>
        </w:tc>
        <w:tc>
          <w:tcPr>
            <w:tcW w:w="1213" w:type="dxa"/>
            <w:tcBorders>
              <w:top w:val="single" w:sz="12" w:space="0" w:color="auto"/>
              <w:bottom w:val="single" w:sz="12" w:space="0" w:color="auto"/>
            </w:tcBorders>
          </w:tcPr>
          <w:p w:rsidR="0024084F" w:rsidRPr="00AF396F" w:rsidRDefault="00FB467A" w:rsidP="00E46A73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</w:tr>
    </w:tbl>
    <w:p w:rsidR="00A30364" w:rsidRPr="000F38F0" w:rsidRDefault="00AF396F" w:rsidP="000F38F0">
      <w:pPr>
        <w:spacing w:before="40"/>
        <w:ind w:left="709" w:hanging="709"/>
        <w:jc w:val="both"/>
        <w:rPr>
          <w:rFonts w:cs="Arial"/>
          <w:sz w:val="18"/>
          <w:szCs w:val="18"/>
        </w:rPr>
      </w:pPr>
      <w:r w:rsidRPr="000F38F0">
        <w:rPr>
          <w:rFonts w:cs="Arial"/>
          <w:b/>
          <w:sz w:val="18"/>
          <w:szCs w:val="18"/>
        </w:rPr>
        <w:t>Zdroj:</w:t>
      </w:r>
      <w:r w:rsidRPr="000F38F0">
        <w:rPr>
          <w:rFonts w:cs="Arial"/>
          <w:sz w:val="18"/>
          <w:szCs w:val="18"/>
        </w:rPr>
        <w:t xml:space="preserve"> </w:t>
      </w:r>
      <w:r w:rsidRPr="000F38F0">
        <w:rPr>
          <w:rFonts w:cs="Arial"/>
          <w:sz w:val="18"/>
          <w:szCs w:val="18"/>
        </w:rPr>
        <w:tab/>
      </w:r>
      <w:r w:rsidR="00D96A49" w:rsidRPr="000F38F0">
        <w:rPr>
          <w:rFonts w:cs="Arial"/>
          <w:sz w:val="18"/>
          <w:szCs w:val="18"/>
        </w:rPr>
        <w:t>k</w:t>
      </w:r>
      <w:r w:rsidRPr="000F38F0">
        <w:rPr>
          <w:rFonts w:cs="Arial"/>
          <w:sz w:val="18"/>
          <w:szCs w:val="18"/>
        </w:rPr>
        <w:t xml:space="preserve">nihy analytických účtů </w:t>
      </w:r>
      <w:proofErr w:type="spellStart"/>
      <w:r w:rsidRPr="000F38F0">
        <w:rPr>
          <w:rFonts w:cs="Arial"/>
          <w:sz w:val="18"/>
          <w:szCs w:val="18"/>
        </w:rPr>
        <w:t>ŘSD</w:t>
      </w:r>
      <w:proofErr w:type="spellEnd"/>
      <w:r w:rsidRPr="000F38F0">
        <w:rPr>
          <w:rFonts w:cs="Arial"/>
          <w:sz w:val="18"/>
          <w:szCs w:val="18"/>
        </w:rPr>
        <w:t xml:space="preserve"> za roky 2010 až 2012 a </w:t>
      </w:r>
      <w:r w:rsidR="00D96A49" w:rsidRPr="000F38F0">
        <w:rPr>
          <w:rFonts w:cs="Arial"/>
          <w:sz w:val="18"/>
          <w:szCs w:val="18"/>
        </w:rPr>
        <w:t>p</w:t>
      </w:r>
      <w:r w:rsidRPr="000F38F0">
        <w:rPr>
          <w:rFonts w:cs="Arial"/>
          <w:sz w:val="18"/>
          <w:szCs w:val="18"/>
        </w:rPr>
        <w:t xml:space="preserve">řehled o rozpočtu </w:t>
      </w:r>
      <w:r w:rsidR="00987096" w:rsidRPr="000F38F0">
        <w:rPr>
          <w:rFonts w:cs="Arial"/>
          <w:sz w:val="18"/>
          <w:szCs w:val="18"/>
        </w:rPr>
        <w:t>nákladů a </w:t>
      </w:r>
      <w:r w:rsidR="0015574D" w:rsidRPr="000F38F0">
        <w:rPr>
          <w:rFonts w:cs="Arial"/>
          <w:sz w:val="18"/>
          <w:szCs w:val="18"/>
        </w:rPr>
        <w:t>výnosů</w:t>
      </w:r>
      <w:r w:rsidRPr="000F38F0">
        <w:rPr>
          <w:rFonts w:cs="Arial"/>
          <w:sz w:val="18"/>
          <w:szCs w:val="18"/>
        </w:rPr>
        <w:t xml:space="preserve"> na rok 2013.</w:t>
      </w:r>
    </w:p>
    <w:p w:rsidR="00AF396F" w:rsidRPr="000F38F0" w:rsidRDefault="00AF396F" w:rsidP="000F38F0">
      <w:pPr>
        <w:tabs>
          <w:tab w:val="left" w:pos="1276"/>
          <w:tab w:val="left" w:pos="1560"/>
        </w:tabs>
        <w:ind w:left="709" w:hanging="709"/>
        <w:jc w:val="both"/>
        <w:rPr>
          <w:rFonts w:cs="Arial"/>
          <w:sz w:val="18"/>
          <w:szCs w:val="18"/>
        </w:rPr>
      </w:pPr>
      <w:r w:rsidRPr="000F38F0">
        <w:rPr>
          <w:rFonts w:cs="Arial"/>
          <w:b/>
          <w:sz w:val="18"/>
          <w:szCs w:val="18"/>
        </w:rPr>
        <w:t>Pozn.:</w:t>
      </w:r>
      <w:r w:rsidRPr="000F38F0">
        <w:rPr>
          <w:rFonts w:cs="Arial"/>
          <w:sz w:val="18"/>
          <w:szCs w:val="18"/>
        </w:rPr>
        <w:tab/>
        <w:t xml:space="preserve">x </w:t>
      </w:r>
      <w:r w:rsidR="00CE7AA6">
        <w:rPr>
          <w:rFonts w:cs="Arial"/>
          <w:sz w:val="18"/>
          <w:szCs w:val="18"/>
        </w:rPr>
        <w:tab/>
      </w:r>
      <w:r w:rsidR="00D96A49" w:rsidRPr="000F38F0">
        <w:rPr>
          <w:rFonts w:cs="Arial"/>
          <w:sz w:val="18"/>
          <w:szCs w:val="18"/>
        </w:rPr>
        <w:t xml:space="preserve">– </w:t>
      </w:r>
      <w:r w:rsidR="00CE7AA6">
        <w:rPr>
          <w:rFonts w:cs="Arial"/>
          <w:sz w:val="18"/>
          <w:szCs w:val="18"/>
        </w:rPr>
        <w:tab/>
      </w:r>
      <w:r w:rsidRPr="000F38F0">
        <w:rPr>
          <w:rFonts w:cs="Arial"/>
          <w:sz w:val="18"/>
          <w:szCs w:val="18"/>
        </w:rPr>
        <w:t xml:space="preserve">údaj nebyl </w:t>
      </w:r>
      <w:r w:rsidR="00A61F35" w:rsidRPr="000F38F0">
        <w:rPr>
          <w:rFonts w:cs="Arial"/>
          <w:sz w:val="18"/>
          <w:szCs w:val="18"/>
        </w:rPr>
        <w:t>v </w:t>
      </w:r>
      <w:r w:rsidRPr="000F38F0">
        <w:rPr>
          <w:rFonts w:cs="Arial"/>
          <w:sz w:val="18"/>
          <w:szCs w:val="18"/>
        </w:rPr>
        <w:t>přehledu o rozpočtu uveden.</w:t>
      </w:r>
    </w:p>
    <w:p w:rsidR="00AF396F" w:rsidRPr="000F38F0" w:rsidRDefault="00AF396F" w:rsidP="000F38F0">
      <w:pPr>
        <w:tabs>
          <w:tab w:val="left" w:pos="1276"/>
          <w:tab w:val="left" w:pos="1560"/>
        </w:tabs>
        <w:ind w:left="709" w:hanging="709"/>
        <w:jc w:val="both"/>
        <w:rPr>
          <w:rFonts w:cs="Arial"/>
          <w:sz w:val="18"/>
          <w:szCs w:val="18"/>
        </w:rPr>
      </w:pPr>
      <w:r w:rsidRPr="000F38F0">
        <w:rPr>
          <w:rFonts w:cs="Arial"/>
          <w:sz w:val="18"/>
          <w:szCs w:val="18"/>
        </w:rPr>
        <w:tab/>
      </w:r>
      <w:proofErr w:type="spellStart"/>
      <w:r w:rsidRPr="000F38F0">
        <w:rPr>
          <w:rFonts w:cs="Arial"/>
          <w:sz w:val="18"/>
          <w:szCs w:val="18"/>
        </w:rPr>
        <w:t>DHM</w:t>
      </w:r>
      <w:proofErr w:type="spellEnd"/>
      <w:r w:rsidRPr="000F38F0">
        <w:rPr>
          <w:rFonts w:cs="Arial"/>
          <w:sz w:val="18"/>
          <w:szCs w:val="18"/>
        </w:rPr>
        <w:t xml:space="preserve"> </w:t>
      </w:r>
      <w:r w:rsidR="00CE7AA6">
        <w:rPr>
          <w:rFonts w:cs="Arial"/>
          <w:sz w:val="18"/>
          <w:szCs w:val="18"/>
        </w:rPr>
        <w:tab/>
      </w:r>
      <w:r w:rsidR="00D96A49" w:rsidRPr="000F38F0">
        <w:rPr>
          <w:rFonts w:cs="Arial"/>
          <w:sz w:val="18"/>
          <w:szCs w:val="18"/>
        </w:rPr>
        <w:t>–</w:t>
      </w:r>
      <w:r w:rsidRPr="000F38F0">
        <w:rPr>
          <w:rFonts w:cs="Arial"/>
          <w:sz w:val="18"/>
          <w:szCs w:val="18"/>
        </w:rPr>
        <w:t xml:space="preserve"> </w:t>
      </w:r>
      <w:r w:rsidR="00CE7AA6">
        <w:rPr>
          <w:rFonts w:cs="Arial"/>
          <w:sz w:val="18"/>
          <w:szCs w:val="18"/>
        </w:rPr>
        <w:tab/>
      </w:r>
      <w:r w:rsidRPr="000F38F0">
        <w:rPr>
          <w:rFonts w:cs="Arial"/>
          <w:sz w:val="18"/>
          <w:szCs w:val="18"/>
        </w:rPr>
        <w:t>dlouhodobý hmotný majetek.</w:t>
      </w:r>
    </w:p>
    <w:p w:rsidR="00D96A49" w:rsidRPr="000F38F0" w:rsidRDefault="00D96A49" w:rsidP="000F38F0">
      <w:pPr>
        <w:tabs>
          <w:tab w:val="left" w:pos="1276"/>
          <w:tab w:val="left" w:pos="1560"/>
        </w:tabs>
        <w:ind w:left="709" w:hanging="709"/>
        <w:jc w:val="both"/>
        <w:rPr>
          <w:rFonts w:cs="Arial"/>
          <w:sz w:val="18"/>
          <w:szCs w:val="18"/>
        </w:rPr>
      </w:pPr>
      <w:r w:rsidRPr="000F38F0">
        <w:rPr>
          <w:rFonts w:cs="Arial"/>
          <w:sz w:val="18"/>
          <w:szCs w:val="18"/>
        </w:rPr>
        <w:tab/>
        <w:t xml:space="preserve">SFDI </w:t>
      </w:r>
      <w:r w:rsidR="00CE7AA6">
        <w:rPr>
          <w:rFonts w:cs="Arial"/>
          <w:sz w:val="18"/>
          <w:szCs w:val="18"/>
        </w:rPr>
        <w:tab/>
      </w:r>
      <w:r w:rsidRPr="000F38F0">
        <w:rPr>
          <w:rFonts w:cs="Arial"/>
          <w:sz w:val="18"/>
          <w:szCs w:val="18"/>
        </w:rPr>
        <w:t xml:space="preserve">– </w:t>
      </w:r>
      <w:r w:rsidR="00CE7AA6">
        <w:rPr>
          <w:rFonts w:cs="Arial"/>
          <w:sz w:val="18"/>
          <w:szCs w:val="18"/>
        </w:rPr>
        <w:tab/>
      </w:r>
      <w:r w:rsidRPr="000F38F0">
        <w:rPr>
          <w:rFonts w:cs="Arial"/>
          <w:sz w:val="18"/>
          <w:szCs w:val="18"/>
        </w:rPr>
        <w:t>Státní fond dopravní infrastruktury.</w:t>
      </w:r>
    </w:p>
    <w:p w:rsidR="00AF396F" w:rsidRDefault="00AF396F" w:rsidP="00AF396F">
      <w:pPr>
        <w:ind w:left="709" w:hanging="709"/>
        <w:jc w:val="both"/>
        <w:rPr>
          <w:rFonts w:cs="Arial"/>
          <w:sz w:val="20"/>
          <w:szCs w:val="20"/>
        </w:rPr>
      </w:pPr>
    </w:p>
    <w:p w:rsidR="00925B8E" w:rsidRDefault="00FB467A" w:rsidP="003528D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Nárůst</w:t>
      </w:r>
      <w:r w:rsidR="003528D3">
        <w:rPr>
          <w:rFonts w:cs="Arial"/>
          <w:sz w:val="22"/>
          <w:szCs w:val="22"/>
        </w:rPr>
        <w:t xml:space="preserve"> výnosů a nákladů </w:t>
      </w:r>
      <w:r w:rsidR="00A61F35">
        <w:rPr>
          <w:rFonts w:cs="Arial"/>
          <w:sz w:val="22"/>
          <w:szCs w:val="22"/>
        </w:rPr>
        <w:t>v </w:t>
      </w:r>
      <w:r w:rsidR="003528D3">
        <w:rPr>
          <w:rFonts w:cs="Arial"/>
          <w:sz w:val="22"/>
          <w:szCs w:val="22"/>
        </w:rPr>
        <w:t>roce 2012</w:t>
      </w:r>
      <w:r w:rsidR="00925B8E">
        <w:rPr>
          <w:rFonts w:cs="Arial"/>
          <w:sz w:val="22"/>
          <w:szCs w:val="22"/>
        </w:rPr>
        <w:t xml:space="preserve"> ovlivnil </w:t>
      </w:r>
      <w:r w:rsidR="00A61F35">
        <w:rPr>
          <w:rFonts w:cs="Arial"/>
          <w:sz w:val="22"/>
          <w:szCs w:val="22"/>
        </w:rPr>
        <w:t>v </w:t>
      </w:r>
      <w:r w:rsidR="00925B8E">
        <w:rPr>
          <w:rFonts w:cs="Arial"/>
          <w:sz w:val="22"/>
          <w:szCs w:val="22"/>
        </w:rPr>
        <w:t>částce 6</w:t>
      </w:r>
      <w:r w:rsidR="007945D9">
        <w:rPr>
          <w:rFonts w:cs="Arial"/>
          <w:sz w:val="22"/>
          <w:szCs w:val="22"/>
        </w:rPr>
        <w:t xml:space="preserve"> </w:t>
      </w:r>
      <w:r w:rsidR="00925B8E">
        <w:rPr>
          <w:rFonts w:cs="Arial"/>
          <w:sz w:val="22"/>
          <w:szCs w:val="22"/>
        </w:rPr>
        <w:t xml:space="preserve">695,0 mil. Kč, tj. </w:t>
      </w:r>
      <w:r w:rsidR="00A61F35">
        <w:rPr>
          <w:rFonts w:cs="Arial"/>
          <w:sz w:val="22"/>
          <w:szCs w:val="22"/>
        </w:rPr>
        <w:t>z </w:t>
      </w:r>
      <w:r w:rsidR="003528D3">
        <w:rPr>
          <w:rFonts w:cs="Arial"/>
          <w:sz w:val="22"/>
          <w:szCs w:val="22"/>
        </w:rPr>
        <w:t>93 %</w:t>
      </w:r>
      <w:r w:rsidR="00925B8E">
        <w:rPr>
          <w:rFonts w:cs="Arial"/>
          <w:sz w:val="22"/>
          <w:szCs w:val="22"/>
        </w:rPr>
        <w:t>, odlišný způsob účtování o nekrytí fondu reprodukce majetku fin</w:t>
      </w:r>
      <w:r w:rsidR="008C7FAE">
        <w:rPr>
          <w:rFonts w:cs="Arial"/>
          <w:sz w:val="22"/>
          <w:szCs w:val="22"/>
        </w:rPr>
        <w:t>ančními prostředky. ŘSD do roku</w:t>
      </w:r>
      <w:r w:rsidR="007945D9">
        <w:rPr>
          <w:rFonts w:cs="Arial"/>
          <w:sz w:val="22"/>
          <w:szCs w:val="22"/>
        </w:rPr>
        <w:t xml:space="preserve"> </w:t>
      </w:r>
      <w:r w:rsidR="00925B8E">
        <w:rPr>
          <w:rFonts w:cs="Arial"/>
          <w:sz w:val="22"/>
          <w:szCs w:val="22"/>
        </w:rPr>
        <w:t>2011</w:t>
      </w:r>
      <w:r w:rsidR="00601894">
        <w:rPr>
          <w:rFonts w:cs="Arial"/>
          <w:sz w:val="22"/>
          <w:szCs w:val="22"/>
        </w:rPr>
        <w:t xml:space="preserve"> </w:t>
      </w:r>
      <w:r w:rsidR="00925B8E">
        <w:rPr>
          <w:rFonts w:cs="Arial"/>
          <w:sz w:val="22"/>
          <w:szCs w:val="22"/>
        </w:rPr>
        <w:t xml:space="preserve">snižovalo </w:t>
      </w:r>
      <w:r w:rsidR="00601894">
        <w:rPr>
          <w:rFonts w:cs="Arial"/>
          <w:sz w:val="22"/>
          <w:szCs w:val="22"/>
        </w:rPr>
        <w:t xml:space="preserve">o tyto finanční prostředky </w:t>
      </w:r>
      <w:r w:rsidR="00925B8E">
        <w:rPr>
          <w:rFonts w:cs="Arial"/>
          <w:sz w:val="22"/>
          <w:szCs w:val="22"/>
        </w:rPr>
        <w:t>fond reprodukce majetku a odpisy. Od roku 2012 z důvodu lepší vypovídací schopnosti odpisy nesnižovalo a finančně nekrytou částku odpisů účtovalo jako zvýšení ostatních výnosů (na účtu 649400</w:t>
      </w:r>
      <w:r w:rsidR="00704826">
        <w:rPr>
          <w:rFonts w:cs="Arial"/>
          <w:sz w:val="22"/>
          <w:szCs w:val="22"/>
        </w:rPr>
        <w:t xml:space="preserve"> –</w:t>
      </w:r>
      <w:r w:rsidR="00925B8E">
        <w:rPr>
          <w:rFonts w:cs="Arial"/>
          <w:sz w:val="22"/>
          <w:szCs w:val="22"/>
        </w:rPr>
        <w:t xml:space="preserve"> </w:t>
      </w:r>
      <w:r w:rsidR="00925B8E" w:rsidRPr="002B52DA">
        <w:rPr>
          <w:rFonts w:cs="Arial"/>
          <w:i/>
          <w:sz w:val="22"/>
          <w:szCs w:val="22"/>
        </w:rPr>
        <w:t>Finančně nekryté odpisy</w:t>
      </w:r>
      <w:r w:rsidR="00925B8E">
        <w:rPr>
          <w:rFonts w:cs="Arial"/>
          <w:sz w:val="22"/>
          <w:szCs w:val="22"/>
        </w:rPr>
        <w:t>).</w:t>
      </w:r>
    </w:p>
    <w:p w:rsidR="00F666B9" w:rsidRDefault="00F666B9" w:rsidP="003528D3">
      <w:pPr>
        <w:jc w:val="both"/>
        <w:rPr>
          <w:rFonts w:cs="Arial"/>
          <w:sz w:val="22"/>
          <w:szCs w:val="22"/>
        </w:rPr>
      </w:pPr>
    </w:p>
    <w:p w:rsidR="00B01379" w:rsidRDefault="00B01379" w:rsidP="003528D3">
      <w:pPr>
        <w:jc w:val="both"/>
        <w:rPr>
          <w:rFonts w:cs="Arial"/>
          <w:sz w:val="22"/>
          <w:szCs w:val="22"/>
        </w:rPr>
      </w:pPr>
    </w:p>
    <w:p w:rsidR="003528D3" w:rsidRDefault="00EE39F8" w:rsidP="003528D3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2. Analýza vybraných jednotkových nákladů</w:t>
      </w:r>
    </w:p>
    <w:p w:rsidR="00EE39F8" w:rsidRDefault="00EE39F8" w:rsidP="003528D3">
      <w:pPr>
        <w:jc w:val="both"/>
        <w:rPr>
          <w:rFonts w:cs="Arial"/>
          <w:b/>
          <w:sz w:val="22"/>
          <w:szCs w:val="22"/>
        </w:rPr>
      </w:pPr>
    </w:p>
    <w:p w:rsidR="00EE39F8" w:rsidRDefault="006F3D13" w:rsidP="003528D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 analýzy nebyly vzhledem ke specifičnosti činností zahrnuty náklady GŘ. </w:t>
      </w:r>
      <w:r w:rsidR="00DC2C69">
        <w:rPr>
          <w:rFonts w:cs="Arial"/>
          <w:sz w:val="22"/>
          <w:szCs w:val="22"/>
        </w:rPr>
        <w:t xml:space="preserve">Prověřovány byly </w:t>
      </w:r>
      <w:r w:rsidR="00EE39F8">
        <w:rPr>
          <w:rFonts w:cs="Arial"/>
          <w:sz w:val="22"/>
          <w:szCs w:val="22"/>
        </w:rPr>
        <w:t>tyto nákladové položky:</w:t>
      </w:r>
      <w:r>
        <w:rPr>
          <w:rFonts w:cs="Arial"/>
          <w:sz w:val="22"/>
          <w:szCs w:val="22"/>
        </w:rPr>
        <w:t xml:space="preserve"> </w:t>
      </w:r>
    </w:p>
    <w:p w:rsidR="00EE39F8" w:rsidRDefault="00EE39F8" w:rsidP="00A63802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Pr="000F38F0">
        <w:rPr>
          <w:rFonts w:cs="Arial"/>
          <w:i/>
          <w:sz w:val="22"/>
          <w:szCs w:val="22"/>
        </w:rPr>
        <w:t>S</w:t>
      </w:r>
      <w:r w:rsidR="00DC2C69" w:rsidRPr="000F38F0">
        <w:rPr>
          <w:rFonts w:cs="Arial"/>
          <w:i/>
          <w:sz w:val="22"/>
          <w:szCs w:val="22"/>
        </w:rPr>
        <w:t>potřeba materiálu</w:t>
      </w:r>
      <w:r w:rsidR="00DC2C69">
        <w:rPr>
          <w:rFonts w:cs="Arial"/>
          <w:sz w:val="22"/>
          <w:szCs w:val="22"/>
        </w:rPr>
        <w:t xml:space="preserve"> a </w:t>
      </w:r>
      <w:r w:rsidR="00A61F35">
        <w:rPr>
          <w:rFonts w:cs="Arial"/>
          <w:sz w:val="22"/>
          <w:szCs w:val="22"/>
        </w:rPr>
        <w:t>v </w:t>
      </w:r>
      <w:r w:rsidR="00DC2C69">
        <w:rPr>
          <w:rFonts w:cs="Arial"/>
          <w:sz w:val="22"/>
          <w:szCs w:val="22"/>
        </w:rPr>
        <w:t>rámci ní spotřeba</w:t>
      </w:r>
      <w:r>
        <w:rPr>
          <w:rFonts w:cs="Arial"/>
          <w:sz w:val="22"/>
          <w:szCs w:val="22"/>
        </w:rPr>
        <w:t xml:space="preserve"> drobného</w:t>
      </w:r>
      <w:r w:rsidR="003379F0">
        <w:rPr>
          <w:rFonts w:cs="Arial"/>
          <w:sz w:val="22"/>
          <w:szCs w:val="22"/>
        </w:rPr>
        <w:t xml:space="preserve"> dlouhodobého</w:t>
      </w:r>
      <w:r>
        <w:rPr>
          <w:rFonts w:cs="Arial"/>
          <w:sz w:val="22"/>
          <w:szCs w:val="22"/>
        </w:rPr>
        <w:t xml:space="preserve"> hmotného majetku</w:t>
      </w:r>
      <w:r w:rsidR="001E62D3">
        <w:rPr>
          <w:rFonts w:cs="Arial"/>
          <w:sz w:val="22"/>
          <w:szCs w:val="22"/>
        </w:rPr>
        <w:t xml:space="preserve"> (dále jen „DDHM“)</w:t>
      </w:r>
      <w:r>
        <w:rPr>
          <w:rFonts w:cs="Arial"/>
          <w:sz w:val="22"/>
          <w:szCs w:val="22"/>
        </w:rPr>
        <w:t xml:space="preserve">, </w:t>
      </w:r>
      <w:r w:rsidR="00DC2C69">
        <w:rPr>
          <w:rFonts w:cs="Arial"/>
          <w:sz w:val="22"/>
          <w:szCs w:val="22"/>
        </w:rPr>
        <w:t>spotřeba</w:t>
      </w:r>
      <w:r>
        <w:rPr>
          <w:rFonts w:cs="Arial"/>
          <w:sz w:val="22"/>
          <w:szCs w:val="22"/>
        </w:rPr>
        <w:t xml:space="preserve"> materiálu</w:t>
      </w:r>
      <w:r w:rsidR="00BF77EE">
        <w:rPr>
          <w:rFonts w:cs="Arial"/>
          <w:sz w:val="22"/>
          <w:szCs w:val="22"/>
        </w:rPr>
        <w:t xml:space="preserve"> pro výpočetní techniku</w:t>
      </w:r>
      <w:r>
        <w:rPr>
          <w:rFonts w:cs="Arial"/>
          <w:sz w:val="22"/>
          <w:szCs w:val="22"/>
        </w:rPr>
        <w:t xml:space="preserve">, </w:t>
      </w:r>
      <w:r w:rsidR="00DC2C69">
        <w:rPr>
          <w:rFonts w:cs="Arial"/>
          <w:sz w:val="22"/>
          <w:szCs w:val="22"/>
        </w:rPr>
        <w:t>spotřeba</w:t>
      </w:r>
      <w:r>
        <w:rPr>
          <w:rFonts w:cs="Arial"/>
          <w:sz w:val="22"/>
          <w:szCs w:val="22"/>
        </w:rPr>
        <w:t xml:space="preserve"> kancelářského materiálu a </w:t>
      </w:r>
      <w:r w:rsidR="00DC2C69">
        <w:rPr>
          <w:rFonts w:cs="Arial"/>
          <w:sz w:val="22"/>
          <w:szCs w:val="22"/>
        </w:rPr>
        <w:t>spotřeba</w:t>
      </w:r>
      <w:r>
        <w:rPr>
          <w:rFonts w:cs="Arial"/>
          <w:sz w:val="22"/>
          <w:szCs w:val="22"/>
        </w:rPr>
        <w:t xml:space="preserve"> tzv. ostatního materiálu</w:t>
      </w:r>
      <w:r w:rsidR="007529F7">
        <w:rPr>
          <w:rFonts w:cs="Arial"/>
          <w:sz w:val="22"/>
          <w:szCs w:val="22"/>
        </w:rPr>
        <w:t>;</w:t>
      </w:r>
    </w:p>
    <w:p w:rsidR="00EE39F8" w:rsidRDefault="003379F0" w:rsidP="00A63802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Pr="000F38F0">
        <w:rPr>
          <w:rFonts w:cs="Arial"/>
          <w:i/>
          <w:sz w:val="22"/>
          <w:szCs w:val="22"/>
        </w:rPr>
        <w:t>Opravy</w:t>
      </w:r>
      <w:r w:rsidR="00EE39F8" w:rsidRPr="000F38F0">
        <w:rPr>
          <w:rFonts w:cs="Arial"/>
          <w:i/>
          <w:sz w:val="22"/>
          <w:szCs w:val="22"/>
        </w:rPr>
        <w:t xml:space="preserve"> a udržování</w:t>
      </w:r>
      <w:r w:rsidR="00EE39F8">
        <w:rPr>
          <w:rFonts w:cs="Arial"/>
          <w:sz w:val="22"/>
          <w:szCs w:val="22"/>
        </w:rPr>
        <w:t xml:space="preserve"> a </w:t>
      </w:r>
      <w:r w:rsidR="00A61F35">
        <w:rPr>
          <w:rFonts w:cs="Arial"/>
          <w:sz w:val="22"/>
          <w:szCs w:val="22"/>
        </w:rPr>
        <w:t>v </w:t>
      </w:r>
      <w:r w:rsidR="00EE39F8">
        <w:rPr>
          <w:rFonts w:cs="Arial"/>
          <w:sz w:val="22"/>
          <w:szCs w:val="22"/>
        </w:rPr>
        <w:t>rámci ní opravy a udržování budov a osobních vozidel</w:t>
      </w:r>
      <w:r w:rsidR="007529F7">
        <w:rPr>
          <w:rFonts w:cs="Arial"/>
          <w:sz w:val="22"/>
          <w:szCs w:val="22"/>
        </w:rPr>
        <w:t>;</w:t>
      </w:r>
    </w:p>
    <w:p w:rsidR="0007175C" w:rsidRDefault="00EE39F8" w:rsidP="00A63802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Pr="000F38F0">
        <w:rPr>
          <w:rFonts w:cs="Arial"/>
          <w:i/>
          <w:sz w:val="22"/>
          <w:szCs w:val="22"/>
        </w:rPr>
        <w:t>Ostatní služby</w:t>
      </w:r>
      <w:r>
        <w:rPr>
          <w:rFonts w:cs="Arial"/>
          <w:sz w:val="22"/>
          <w:szCs w:val="22"/>
        </w:rPr>
        <w:t xml:space="preserve"> a </w:t>
      </w:r>
      <w:r w:rsidR="00A61F35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rámci nich náklady na úklidové služby,</w:t>
      </w:r>
      <w:r w:rsidR="006F3D13">
        <w:rPr>
          <w:rFonts w:cs="Arial"/>
          <w:sz w:val="22"/>
          <w:szCs w:val="22"/>
        </w:rPr>
        <w:t xml:space="preserve"> na</w:t>
      </w:r>
      <w:r>
        <w:rPr>
          <w:rFonts w:cs="Arial"/>
          <w:sz w:val="22"/>
          <w:szCs w:val="22"/>
        </w:rPr>
        <w:t xml:space="preserve"> ostrahu objektů</w:t>
      </w:r>
      <w:r w:rsidR="00DC2C69">
        <w:rPr>
          <w:rFonts w:cs="Arial"/>
          <w:sz w:val="22"/>
          <w:szCs w:val="22"/>
        </w:rPr>
        <w:t xml:space="preserve"> a</w:t>
      </w:r>
      <w:r w:rsidR="00BF77EE">
        <w:rPr>
          <w:rFonts w:cs="Arial"/>
          <w:sz w:val="22"/>
          <w:szCs w:val="22"/>
        </w:rPr>
        <w:t xml:space="preserve"> na tzv. ostatní služby</w:t>
      </w:r>
      <w:r w:rsidR="007529F7">
        <w:rPr>
          <w:rFonts w:cs="Arial"/>
          <w:sz w:val="22"/>
          <w:szCs w:val="22"/>
        </w:rPr>
        <w:t>;</w:t>
      </w:r>
    </w:p>
    <w:p w:rsidR="0007175C" w:rsidRDefault="0007175C" w:rsidP="00A63802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 w:rsidR="007529F7">
        <w:rPr>
          <w:rFonts w:cs="Arial"/>
          <w:sz w:val="22"/>
          <w:szCs w:val="22"/>
        </w:rPr>
        <w:tab/>
      </w:r>
      <w:r w:rsidRPr="000F38F0">
        <w:rPr>
          <w:rFonts w:cs="Arial"/>
          <w:i/>
          <w:sz w:val="22"/>
          <w:szCs w:val="22"/>
        </w:rPr>
        <w:t>Mzdové náklady</w:t>
      </w:r>
      <w:r>
        <w:rPr>
          <w:rFonts w:cs="Arial"/>
          <w:sz w:val="22"/>
          <w:szCs w:val="22"/>
        </w:rPr>
        <w:t>.</w:t>
      </w:r>
    </w:p>
    <w:p w:rsidR="0007175C" w:rsidRDefault="0007175C" w:rsidP="00EE39F8">
      <w:pPr>
        <w:ind w:left="142" w:hanging="142"/>
        <w:jc w:val="both"/>
        <w:rPr>
          <w:rFonts w:cs="Arial"/>
          <w:sz w:val="22"/>
          <w:szCs w:val="22"/>
        </w:rPr>
      </w:pPr>
    </w:p>
    <w:p w:rsidR="009E58DF" w:rsidRDefault="006F3D13" w:rsidP="009E58D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Celková výše sledovaných nákladů u kontrolovaných závodů a správ ŘSD za roky 2010 až 2012 je uvedena </w:t>
      </w:r>
      <w:r w:rsidR="00A61F35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 xml:space="preserve">tabulce č. 2. </w:t>
      </w:r>
    </w:p>
    <w:p w:rsidR="006F3D13" w:rsidRDefault="006F3D13" w:rsidP="009E58DF">
      <w:pPr>
        <w:jc w:val="both"/>
        <w:rPr>
          <w:rFonts w:cs="Arial"/>
          <w:sz w:val="22"/>
          <w:szCs w:val="22"/>
        </w:rPr>
      </w:pPr>
    </w:p>
    <w:p w:rsidR="009E58DF" w:rsidRPr="007E13E7" w:rsidRDefault="007E13E7" w:rsidP="003D40F7">
      <w:pPr>
        <w:tabs>
          <w:tab w:val="right" w:pos="9072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Tabulka č. 2 – </w:t>
      </w:r>
      <w:r w:rsidR="007D65BD">
        <w:rPr>
          <w:rFonts w:cs="Arial"/>
          <w:b/>
          <w:sz w:val="22"/>
          <w:szCs w:val="22"/>
        </w:rPr>
        <w:t>Výše sledovaných nákladů</w:t>
      </w:r>
      <w:r w:rsidR="007D65BD">
        <w:rPr>
          <w:rFonts w:cs="Arial"/>
          <w:b/>
          <w:sz w:val="22"/>
          <w:szCs w:val="22"/>
        </w:rPr>
        <w:tab/>
      </w:r>
      <w:r w:rsidR="007D65BD" w:rsidRPr="000F38F0">
        <w:rPr>
          <w:rFonts w:cs="Arial"/>
          <w:b/>
          <w:sz w:val="22"/>
          <w:szCs w:val="22"/>
        </w:rPr>
        <w:t>(</w:t>
      </w:r>
      <w:r w:rsidR="007529F7">
        <w:rPr>
          <w:rFonts w:cs="Arial"/>
          <w:b/>
          <w:sz w:val="22"/>
          <w:szCs w:val="22"/>
        </w:rPr>
        <w:t xml:space="preserve">v </w:t>
      </w:r>
      <w:r w:rsidR="007D65BD" w:rsidRPr="000F38F0">
        <w:rPr>
          <w:rFonts w:cs="Arial"/>
          <w:b/>
          <w:sz w:val="22"/>
          <w:szCs w:val="22"/>
        </w:rPr>
        <w:t>tis. Kč)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283"/>
        <w:gridCol w:w="1284"/>
        <w:gridCol w:w="1283"/>
        <w:gridCol w:w="1284"/>
      </w:tblGrid>
      <w:tr w:rsidR="007E13E7" w:rsidTr="003D40F7"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13E7" w:rsidRDefault="007E13E7" w:rsidP="009E58DF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13E7" w:rsidRPr="007D65BD" w:rsidRDefault="007D65BD" w:rsidP="007D65B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2010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13E7" w:rsidRPr="007D65BD" w:rsidRDefault="007D65BD" w:rsidP="007D65B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2011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3E7" w:rsidRPr="007D65BD" w:rsidRDefault="007D65BD" w:rsidP="007D65B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2012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13E7" w:rsidRPr="007D65BD" w:rsidRDefault="007D65BD" w:rsidP="007D65BD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Průměr</w:t>
            </w:r>
          </w:p>
        </w:tc>
      </w:tr>
      <w:tr w:rsidR="007E13E7" w:rsidTr="003D40F7"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</w:tcPr>
          <w:p w:rsidR="007E13E7" w:rsidRDefault="00C66EB5" w:rsidP="001E62D3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Spotřeba</w:t>
            </w:r>
            <w:r w:rsidR="007D65BD">
              <w:rPr>
                <w:rFonts w:cs="Arial"/>
                <w:sz w:val="22"/>
                <w:szCs w:val="22"/>
              </w:rPr>
              <w:t xml:space="preserve"> </w:t>
            </w:r>
            <w:r w:rsidR="001E62D3">
              <w:rPr>
                <w:rFonts w:cs="Arial"/>
                <w:sz w:val="22"/>
                <w:szCs w:val="22"/>
              </w:rPr>
              <w:t>DDHM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</w:tcBorders>
          </w:tcPr>
          <w:p w:rsidR="007E13E7" w:rsidRDefault="007D65BD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127,3</w:t>
            </w:r>
          </w:p>
        </w:tc>
        <w:tc>
          <w:tcPr>
            <w:tcW w:w="1284" w:type="dxa"/>
            <w:tcBorders>
              <w:top w:val="single" w:sz="12" w:space="0" w:color="auto"/>
            </w:tcBorders>
          </w:tcPr>
          <w:p w:rsidR="007E13E7" w:rsidRDefault="00BF77EE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134,3</w:t>
            </w:r>
          </w:p>
        </w:tc>
        <w:tc>
          <w:tcPr>
            <w:tcW w:w="1283" w:type="dxa"/>
            <w:tcBorders>
              <w:top w:val="single" w:sz="12" w:space="0" w:color="auto"/>
              <w:right w:val="single" w:sz="12" w:space="0" w:color="auto"/>
            </w:tcBorders>
          </w:tcPr>
          <w:p w:rsidR="007E13E7" w:rsidRDefault="00BF77EE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787,1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</w:tcBorders>
          </w:tcPr>
          <w:p w:rsidR="007E13E7" w:rsidRDefault="00ED76C4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349,6</w:t>
            </w:r>
          </w:p>
        </w:tc>
      </w:tr>
      <w:tr w:rsidR="007E13E7" w:rsidTr="003D40F7">
        <w:tc>
          <w:tcPr>
            <w:tcW w:w="3969" w:type="dxa"/>
            <w:tcBorders>
              <w:right w:val="single" w:sz="12" w:space="0" w:color="auto"/>
            </w:tcBorders>
          </w:tcPr>
          <w:p w:rsidR="007E13E7" w:rsidRDefault="00591447" w:rsidP="00BF77E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Spotřeba materiálu </w:t>
            </w:r>
            <w:r w:rsidR="006F3D13">
              <w:rPr>
                <w:rFonts w:cs="Arial"/>
                <w:sz w:val="22"/>
                <w:szCs w:val="22"/>
              </w:rPr>
              <w:t>pro výp</w:t>
            </w:r>
            <w:r w:rsidR="00BF77EE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 xml:space="preserve"> techn</w:t>
            </w:r>
            <w:r w:rsidR="00BF77EE">
              <w:rPr>
                <w:rFonts w:cs="Arial"/>
                <w:sz w:val="22"/>
                <w:szCs w:val="22"/>
              </w:rPr>
              <w:t>iku</w:t>
            </w:r>
          </w:p>
        </w:tc>
        <w:tc>
          <w:tcPr>
            <w:tcW w:w="1283" w:type="dxa"/>
            <w:tcBorders>
              <w:left w:val="single" w:sz="12" w:space="0" w:color="auto"/>
            </w:tcBorders>
          </w:tcPr>
          <w:p w:rsidR="007E13E7" w:rsidRDefault="00591447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709,7</w:t>
            </w:r>
          </w:p>
        </w:tc>
        <w:tc>
          <w:tcPr>
            <w:tcW w:w="1284" w:type="dxa"/>
          </w:tcPr>
          <w:p w:rsidR="007E13E7" w:rsidRDefault="00BF77EE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106,8</w:t>
            </w:r>
          </w:p>
        </w:tc>
        <w:tc>
          <w:tcPr>
            <w:tcW w:w="1283" w:type="dxa"/>
            <w:tcBorders>
              <w:right w:val="single" w:sz="12" w:space="0" w:color="auto"/>
            </w:tcBorders>
          </w:tcPr>
          <w:p w:rsidR="007E13E7" w:rsidRDefault="00201DA4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466,9</w:t>
            </w:r>
          </w:p>
        </w:tc>
        <w:tc>
          <w:tcPr>
            <w:tcW w:w="1284" w:type="dxa"/>
            <w:tcBorders>
              <w:left w:val="single" w:sz="12" w:space="0" w:color="auto"/>
            </w:tcBorders>
          </w:tcPr>
          <w:p w:rsidR="007E13E7" w:rsidRDefault="00ED76C4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427,8</w:t>
            </w:r>
          </w:p>
        </w:tc>
      </w:tr>
      <w:tr w:rsidR="007E13E7" w:rsidTr="003D40F7">
        <w:tc>
          <w:tcPr>
            <w:tcW w:w="3969" w:type="dxa"/>
            <w:tcBorders>
              <w:right w:val="single" w:sz="12" w:space="0" w:color="auto"/>
            </w:tcBorders>
          </w:tcPr>
          <w:p w:rsidR="007E13E7" w:rsidRDefault="00591447" w:rsidP="009E58D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Spotřeba kancelářského materiálu</w:t>
            </w:r>
          </w:p>
        </w:tc>
        <w:tc>
          <w:tcPr>
            <w:tcW w:w="1283" w:type="dxa"/>
            <w:tcBorders>
              <w:left w:val="single" w:sz="12" w:space="0" w:color="auto"/>
            </w:tcBorders>
          </w:tcPr>
          <w:p w:rsidR="007E13E7" w:rsidRDefault="00591447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1 330,0</w:t>
            </w:r>
          </w:p>
        </w:tc>
        <w:tc>
          <w:tcPr>
            <w:tcW w:w="1284" w:type="dxa"/>
          </w:tcPr>
          <w:p w:rsidR="007E13E7" w:rsidRDefault="00BF77EE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924,2</w:t>
            </w:r>
          </w:p>
        </w:tc>
        <w:tc>
          <w:tcPr>
            <w:tcW w:w="1283" w:type="dxa"/>
            <w:tcBorders>
              <w:right w:val="single" w:sz="12" w:space="0" w:color="auto"/>
            </w:tcBorders>
          </w:tcPr>
          <w:p w:rsidR="007E13E7" w:rsidRDefault="00201DA4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995,9</w:t>
            </w:r>
          </w:p>
        </w:tc>
        <w:tc>
          <w:tcPr>
            <w:tcW w:w="1284" w:type="dxa"/>
            <w:tcBorders>
              <w:left w:val="single" w:sz="12" w:space="0" w:color="auto"/>
            </w:tcBorders>
          </w:tcPr>
          <w:p w:rsidR="007E13E7" w:rsidRDefault="003379F0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083,4</w:t>
            </w:r>
          </w:p>
        </w:tc>
      </w:tr>
      <w:tr w:rsidR="007E13E7" w:rsidTr="003D40F7">
        <w:tc>
          <w:tcPr>
            <w:tcW w:w="3969" w:type="dxa"/>
            <w:tcBorders>
              <w:right w:val="single" w:sz="12" w:space="0" w:color="auto"/>
            </w:tcBorders>
          </w:tcPr>
          <w:p w:rsidR="007E13E7" w:rsidRDefault="00591447" w:rsidP="009E58D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Spotřeba ostatního materiálu</w:t>
            </w:r>
          </w:p>
        </w:tc>
        <w:tc>
          <w:tcPr>
            <w:tcW w:w="1283" w:type="dxa"/>
            <w:tcBorders>
              <w:left w:val="single" w:sz="12" w:space="0" w:color="auto"/>
            </w:tcBorders>
          </w:tcPr>
          <w:p w:rsidR="007E13E7" w:rsidRDefault="00591447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315,1</w:t>
            </w:r>
          </w:p>
        </w:tc>
        <w:tc>
          <w:tcPr>
            <w:tcW w:w="1284" w:type="dxa"/>
          </w:tcPr>
          <w:p w:rsidR="007E13E7" w:rsidRDefault="00BF77EE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347,6</w:t>
            </w:r>
          </w:p>
        </w:tc>
        <w:tc>
          <w:tcPr>
            <w:tcW w:w="1283" w:type="dxa"/>
            <w:tcBorders>
              <w:right w:val="single" w:sz="12" w:space="0" w:color="auto"/>
            </w:tcBorders>
          </w:tcPr>
          <w:p w:rsidR="007E13E7" w:rsidRDefault="00201DA4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190,4</w:t>
            </w:r>
          </w:p>
        </w:tc>
        <w:tc>
          <w:tcPr>
            <w:tcW w:w="1284" w:type="dxa"/>
            <w:tcBorders>
              <w:left w:val="single" w:sz="12" w:space="0" w:color="auto"/>
            </w:tcBorders>
          </w:tcPr>
          <w:p w:rsidR="007E13E7" w:rsidRDefault="00ED76C4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284,4</w:t>
            </w:r>
          </w:p>
        </w:tc>
      </w:tr>
      <w:tr w:rsidR="007E13E7" w:rsidTr="003D40F7">
        <w:tc>
          <w:tcPr>
            <w:tcW w:w="3969" w:type="dxa"/>
            <w:tcBorders>
              <w:right w:val="single" w:sz="12" w:space="0" w:color="auto"/>
            </w:tcBorders>
          </w:tcPr>
          <w:p w:rsidR="007E13E7" w:rsidRDefault="00D364B4" w:rsidP="009E58D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Opravy</w:t>
            </w:r>
            <w:r w:rsidR="00591447">
              <w:rPr>
                <w:rFonts w:cs="Arial"/>
                <w:sz w:val="22"/>
                <w:szCs w:val="22"/>
              </w:rPr>
              <w:t xml:space="preserve"> a údržba budov</w:t>
            </w:r>
          </w:p>
        </w:tc>
        <w:tc>
          <w:tcPr>
            <w:tcW w:w="1283" w:type="dxa"/>
            <w:tcBorders>
              <w:left w:val="single" w:sz="12" w:space="0" w:color="auto"/>
            </w:tcBorders>
          </w:tcPr>
          <w:p w:rsidR="007E13E7" w:rsidRDefault="00591447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343,2</w:t>
            </w:r>
          </w:p>
        </w:tc>
        <w:tc>
          <w:tcPr>
            <w:tcW w:w="1284" w:type="dxa"/>
          </w:tcPr>
          <w:p w:rsidR="007E13E7" w:rsidRDefault="00BF77EE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239,5</w:t>
            </w:r>
          </w:p>
        </w:tc>
        <w:tc>
          <w:tcPr>
            <w:tcW w:w="1283" w:type="dxa"/>
            <w:tcBorders>
              <w:right w:val="single" w:sz="12" w:space="0" w:color="auto"/>
            </w:tcBorders>
          </w:tcPr>
          <w:p w:rsidR="007E13E7" w:rsidRDefault="00201DA4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400,2</w:t>
            </w:r>
          </w:p>
        </w:tc>
        <w:tc>
          <w:tcPr>
            <w:tcW w:w="1284" w:type="dxa"/>
            <w:tcBorders>
              <w:left w:val="single" w:sz="12" w:space="0" w:color="auto"/>
            </w:tcBorders>
          </w:tcPr>
          <w:p w:rsidR="007E13E7" w:rsidRDefault="00ED76C4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994,3</w:t>
            </w:r>
          </w:p>
        </w:tc>
      </w:tr>
      <w:tr w:rsidR="007E13E7" w:rsidTr="003D40F7">
        <w:tc>
          <w:tcPr>
            <w:tcW w:w="3969" w:type="dxa"/>
            <w:tcBorders>
              <w:right w:val="single" w:sz="12" w:space="0" w:color="auto"/>
            </w:tcBorders>
          </w:tcPr>
          <w:p w:rsidR="007E13E7" w:rsidRDefault="00D364B4" w:rsidP="009E58D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Opravy</w:t>
            </w:r>
            <w:r w:rsidR="00591447">
              <w:rPr>
                <w:rFonts w:cs="Arial"/>
                <w:sz w:val="22"/>
                <w:szCs w:val="22"/>
              </w:rPr>
              <w:t xml:space="preserve"> a údržba vozidel</w:t>
            </w:r>
          </w:p>
        </w:tc>
        <w:tc>
          <w:tcPr>
            <w:tcW w:w="1283" w:type="dxa"/>
            <w:tcBorders>
              <w:left w:val="single" w:sz="12" w:space="0" w:color="auto"/>
            </w:tcBorders>
          </w:tcPr>
          <w:p w:rsidR="007E13E7" w:rsidRDefault="00591447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249,6</w:t>
            </w:r>
          </w:p>
        </w:tc>
        <w:tc>
          <w:tcPr>
            <w:tcW w:w="1284" w:type="dxa"/>
          </w:tcPr>
          <w:p w:rsidR="007E13E7" w:rsidRDefault="00BF77EE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96</w:t>
            </w:r>
            <w:r w:rsidR="004C465E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,</w:t>
            </w:r>
            <w:r w:rsidR="004C465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83" w:type="dxa"/>
            <w:tcBorders>
              <w:right w:val="single" w:sz="12" w:space="0" w:color="auto"/>
            </w:tcBorders>
          </w:tcPr>
          <w:p w:rsidR="007E13E7" w:rsidRDefault="004C465E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1 940</w:t>
            </w:r>
            <w:r w:rsidR="00201DA4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284" w:type="dxa"/>
            <w:tcBorders>
              <w:left w:val="single" w:sz="12" w:space="0" w:color="auto"/>
            </w:tcBorders>
          </w:tcPr>
          <w:p w:rsidR="007E13E7" w:rsidRDefault="00ED76C4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05</w:t>
            </w:r>
            <w:r w:rsidR="004C465E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,</w:t>
            </w:r>
            <w:r w:rsidR="004C465E">
              <w:rPr>
                <w:rFonts w:cs="Arial"/>
                <w:sz w:val="22"/>
                <w:szCs w:val="22"/>
              </w:rPr>
              <w:t>9</w:t>
            </w:r>
          </w:p>
        </w:tc>
      </w:tr>
      <w:tr w:rsidR="007E13E7" w:rsidTr="003D40F7">
        <w:tc>
          <w:tcPr>
            <w:tcW w:w="3969" w:type="dxa"/>
            <w:tcBorders>
              <w:right w:val="single" w:sz="12" w:space="0" w:color="auto"/>
            </w:tcBorders>
          </w:tcPr>
          <w:p w:rsidR="007E13E7" w:rsidRDefault="00591447" w:rsidP="009E58D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Úklidové služby</w:t>
            </w:r>
          </w:p>
        </w:tc>
        <w:tc>
          <w:tcPr>
            <w:tcW w:w="1283" w:type="dxa"/>
            <w:tcBorders>
              <w:left w:val="single" w:sz="12" w:space="0" w:color="auto"/>
            </w:tcBorders>
          </w:tcPr>
          <w:p w:rsidR="007E13E7" w:rsidRDefault="00591447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393,4</w:t>
            </w:r>
          </w:p>
        </w:tc>
        <w:tc>
          <w:tcPr>
            <w:tcW w:w="1284" w:type="dxa"/>
          </w:tcPr>
          <w:p w:rsidR="007E13E7" w:rsidRDefault="00BF77EE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256,5</w:t>
            </w:r>
          </w:p>
        </w:tc>
        <w:tc>
          <w:tcPr>
            <w:tcW w:w="1283" w:type="dxa"/>
            <w:tcBorders>
              <w:right w:val="single" w:sz="12" w:space="0" w:color="auto"/>
            </w:tcBorders>
          </w:tcPr>
          <w:p w:rsidR="007E13E7" w:rsidRDefault="00201DA4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910,9</w:t>
            </w:r>
          </w:p>
        </w:tc>
        <w:tc>
          <w:tcPr>
            <w:tcW w:w="1284" w:type="dxa"/>
            <w:tcBorders>
              <w:left w:val="single" w:sz="12" w:space="0" w:color="auto"/>
            </w:tcBorders>
          </w:tcPr>
          <w:p w:rsidR="007E13E7" w:rsidRDefault="0015574D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186,9</w:t>
            </w:r>
          </w:p>
        </w:tc>
      </w:tr>
      <w:tr w:rsidR="007E13E7" w:rsidTr="003D40F7">
        <w:tc>
          <w:tcPr>
            <w:tcW w:w="3969" w:type="dxa"/>
            <w:tcBorders>
              <w:right w:val="single" w:sz="12" w:space="0" w:color="auto"/>
            </w:tcBorders>
          </w:tcPr>
          <w:p w:rsidR="007E13E7" w:rsidRDefault="00591447" w:rsidP="009E58D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Ostraha objektů</w:t>
            </w:r>
          </w:p>
        </w:tc>
        <w:tc>
          <w:tcPr>
            <w:tcW w:w="1283" w:type="dxa"/>
            <w:tcBorders>
              <w:left w:val="single" w:sz="12" w:space="0" w:color="auto"/>
            </w:tcBorders>
          </w:tcPr>
          <w:p w:rsidR="007E13E7" w:rsidRDefault="00591447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341,5</w:t>
            </w:r>
          </w:p>
        </w:tc>
        <w:tc>
          <w:tcPr>
            <w:tcW w:w="1284" w:type="dxa"/>
          </w:tcPr>
          <w:p w:rsidR="007E13E7" w:rsidRDefault="00BF77EE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164,9</w:t>
            </w:r>
          </w:p>
        </w:tc>
        <w:tc>
          <w:tcPr>
            <w:tcW w:w="1283" w:type="dxa"/>
            <w:tcBorders>
              <w:right w:val="single" w:sz="12" w:space="0" w:color="auto"/>
            </w:tcBorders>
          </w:tcPr>
          <w:p w:rsidR="007E13E7" w:rsidRDefault="00201DA4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164,0</w:t>
            </w:r>
          </w:p>
        </w:tc>
        <w:tc>
          <w:tcPr>
            <w:tcW w:w="1284" w:type="dxa"/>
            <w:tcBorders>
              <w:left w:val="single" w:sz="12" w:space="0" w:color="auto"/>
            </w:tcBorders>
          </w:tcPr>
          <w:p w:rsidR="007E13E7" w:rsidRDefault="0015574D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556,8</w:t>
            </w:r>
          </w:p>
        </w:tc>
      </w:tr>
      <w:tr w:rsidR="00BF77EE" w:rsidTr="003D40F7">
        <w:tc>
          <w:tcPr>
            <w:tcW w:w="3969" w:type="dxa"/>
            <w:tcBorders>
              <w:right w:val="single" w:sz="12" w:space="0" w:color="auto"/>
            </w:tcBorders>
          </w:tcPr>
          <w:p w:rsidR="00BF77EE" w:rsidRDefault="00BF77EE" w:rsidP="009E58D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Ostatní služby</w:t>
            </w:r>
          </w:p>
        </w:tc>
        <w:tc>
          <w:tcPr>
            <w:tcW w:w="1283" w:type="dxa"/>
            <w:tcBorders>
              <w:left w:val="single" w:sz="12" w:space="0" w:color="auto"/>
            </w:tcBorders>
          </w:tcPr>
          <w:p w:rsidR="00BF77EE" w:rsidRDefault="00BF77EE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580,2</w:t>
            </w:r>
          </w:p>
        </w:tc>
        <w:tc>
          <w:tcPr>
            <w:tcW w:w="1284" w:type="dxa"/>
          </w:tcPr>
          <w:p w:rsidR="00BF77EE" w:rsidRDefault="00BF77EE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526,3</w:t>
            </w:r>
          </w:p>
        </w:tc>
        <w:tc>
          <w:tcPr>
            <w:tcW w:w="1283" w:type="dxa"/>
            <w:tcBorders>
              <w:right w:val="single" w:sz="12" w:space="0" w:color="auto"/>
            </w:tcBorders>
          </w:tcPr>
          <w:p w:rsidR="00BF77EE" w:rsidRDefault="00201DA4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218,1</w:t>
            </w:r>
          </w:p>
        </w:tc>
        <w:tc>
          <w:tcPr>
            <w:tcW w:w="1284" w:type="dxa"/>
            <w:tcBorders>
              <w:left w:val="single" w:sz="12" w:space="0" w:color="auto"/>
            </w:tcBorders>
          </w:tcPr>
          <w:p w:rsidR="00BF77EE" w:rsidRDefault="0015574D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108,2</w:t>
            </w:r>
          </w:p>
        </w:tc>
      </w:tr>
      <w:tr w:rsidR="007E13E7" w:rsidTr="003D40F7"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</w:tcPr>
          <w:p w:rsidR="007E13E7" w:rsidRDefault="00591447" w:rsidP="009E58D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Mzdové náklady</w:t>
            </w:r>
          </w:p>
        </w:tc>
        <w:tc>
          <w:tcPr>
            <w:tcW w:w="1283" w:type="dxa"/>
            <w:tcBorders>
              <w:left w:val="single" w:sz="12" w:space="0" w:color="auto"/>
              <w:bottom w:val="single" w:sz="12" w:space="0" w:color="auto"/>
            </w:tcBorders>
          </w:tcPr>
          <w:p w:rsidR="007E13E7" w:rsidRDefault="00BF77EE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129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604,8</w:t>
            </w: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:rsidR="007E13E7" w:rsidRDefault="00BF77EE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92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187,9</w:t>
            </w:r>
          </w:p>
        </w:tc>
        <w:tc>
          <w:tcPr>
            <w:tcW w:w="1283" w:type="dxa"/>
            <w:tcBorders>
              <w:bottom w:val="single" w:sz="12" w:space="0" w:color="auto"/>
              <w:right w:val="single" w:sz="12" w:space="0" w:color="auto"/>
            </w:tcBorders>
          </w:tcPr>
          <w:p w:rsidR="007E13E7" w:rsidRDefault="00201DA4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89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8</w:t>
            </w:r>
            <w:r w:rsidR="004C465E">
              <w:rPr>
                <w:rFonts w:cs="Arial"/>
                <w:sz w:val="22"/>
                <w:szCs w:val="22"/>
              </w:rPr>
              <w:t>69,9</w:t>
            </w:r>
          </w:p>
        </w:tc>
        <w:tc>
          <w:tcPr>
            <w:tcW w:w="1284" w:type="dxa"/>
            <w:tcBorders>
              <w:left w:val="single" w:sz="12" w:space="0" w:color="auto"/>
              <w:bottom w:val="single" w:sz="12" w:space="0" w:color="auto"/>
            </w:tcBorders>
          </w:tcPr>
          <w:p w:rsidR="007E13E7" w:rsidRDefault="004C465E" w:rsidP="00D61FB3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103</w:t>
            </w:r>
            <w:r w:rsidR="007945D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887,5</w:t>
            </w:r>
          </w:p>
        </w:tc>
      </w:tr>
      <w:tr w:rsidR="00ED76C4" w:rsidTr="003D40F7"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C4" w:rsidRPr="000F38F0" w:rsidRDefault="00ED76C4" w:rsidP="007529F7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0F38F0">
              <w:rPr>
                <w:rFonts w:cs="Arial"/>
                <w:b/>
                <w:sz w:val="22"/>
                <w:szCs w:val="22"/>
              </w:rPr>
              <w:t>Celkem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D76C4" w:rsidRPr="000F38F0" w:rsidRDefault="003379F0" w:rsidP="00D61FB3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0F38F0">
              <w:rPr>
                <w:rFonts w:cs="Arial"/>
                <w:b/>
                <w:sz w:val="22"/>
                <w:szCs w:val="22"/>
              </w:rPr>
              <w:t>155</w:t>
            </w:r>
            <w:r w:rsidR="007945D9" w:rsidRPr="000F38F0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0F38F0">
              <w:rPr>
                <w:rFonts w:cs="Arial"/>
                <w:b/>
                <w:sz w:val="22"/>
                <w:szCs w:val="22"/>
              </w:rPr>
              <w:t>9</w:t>
            </w:r>
            <w:r w:rsidR="00ED76C4" w:rsidRPr="000F38F0">
              <w:rPr>
                <w:rFonts w:cs="Arial"/>
                <w:b/>
                <w:sz w:val="22"/>
                <w:szCs w:val="22"/>
              </w:rPr>
              <w:t>94,8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12" w:space="0" w:color="auto"/>
            </w:tcBorders>
          </w:tcPr>
          <w:p w:rsidR="00ED76C4" w:rsidRPr="000F38F0" w:rsidRDefault="00ED76C4" w:rsidP="00D61FB3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0F38F0">
              <w:rPr>
                <w:rFonts w:cs="Arial"/>
                <w:b/>
                <w:sz w:val="22"/>
                <w:szCs w:val="22"/>
              </w:rPr>
              <w:t>133</w:t>
            </w:r>
            <w:r w:rsidR="007945D9" w:rsidRPr="000F38F0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0F38F0">
              <w:rPr>
                <w:rFonts w:cs="Arial"/>
                <w:b/>
                <w:sz w:val="22"/>
                <w:szCs w:val="22"/>
              </w:rPr>
              <w:t>85</w:t>
            </w:r>
            <w:r w:rsidR="004C465E" w:rsidRPr="000F38F0">
              <w:rPr>
                <w:rFonts w:cs="Arial"/>
                <w:b/>
                <w:sz w:val="22"/>
                <w:szCs w:val="22"/>
              </w:rPr>
              <w:t>0</w:t>
            </w:r>
            <w:r w:rsidRPr="000F38F0">
              <w:rPr>
                <w:rFonts w:cs="Arial"/>
                <w:b/>
                <w:sz w:val="22"/>
                <w:szCs w:val="22"/>
              </w:rPr>
              <w:t>,</w:t>
            </w:r>
            <w:r w:rsidR="004C465E" w:rsidRPr="000F38F0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C4" w:rsidRPr="000F38F0" w:rsidRDefault="00ED76C4" w:rsidP="00D61FB3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0F38F0">
              <w:rPr>
                <w:rFonts w:cs="Arial"/>
                <w:b/>
                <w:sz w:val="22"/>
                <w:szCs w:val="22"/>
              </w:rPr>
              <w:t>111</w:t>
            </w:r>
            <w:r w:rsidR="007945D9" w:rsidRPr="000F38F0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0F38F0">
              <w:rPr>
                <w:rFonts w:cs="Arial"/>
                <w:b/>
                <w:sz w:val="22"/>
                <w:szCs w:val="22"/>
              </w:rPr>
              <w:t>94</w:t>
            </w:r>
            <w:r w:rsidR="004C465E" w:rsidRPr="000F38F0">
              <w:rPr>
                <w:rFonts w:cs="Arial"/>
                <w:b/>
                <w:sz w:val="22"/>
                <w:szCs w:val="22"/>
              </w:rPr>
              <w:t>4</w:t>
            </w:r>
            <w:r w:rsidRPr="000F38F0">
              <w:rPr>
                <w:rFonts w:cs="Arial"/>
                <w:b/>
                <w:sz w:val="22"/>
                <w:szCs w:val="22"/>
              </w:rPr>
              <w:t>,</w:t>
            </w:r>
            <w:r w:rsidR="004C465E" w:rsidRPr="000F38F0"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D76C4" w:rsidRPr="000F38F0" w:rsidRDefault="003379F0" w:rsidP="00D61FB3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0F38F0">
              <w:rPr>
                <w:rFonts w:cs="Arial"/>
                <w:b/>
                <w:sz w:val="22"/>
                <w:szCs w:val="22"/>
              </w:rPr>
              <w:t>133</w:t>
            </w:r>
            <w:r w:rsidR="007945D9" w:rsidRPr="000F38F0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0F38F0">
              <w:rPr>
                <w:rFonts w:cs="Arial"/>
                <w:b/>
                <w:sz w:val="22"/>
                <w:szCs w:val="22"/>
              </w:rPr>
              <w:t>929</w:t>
            </w:r>
            <w:r w:rsidR="0015574D" w:rsidRPr="000F38F0">
              <w:rPr>
                <w:rFonts w:cs="Arial"/>
                <w:b/>
                <w:sz w:val="22"/>
                <w:szCs w:val="22"/>
              </w:rPr>
              <w:t>,</w:t>
            </w:r>
            <w:r w:rsidRPr="000F38F0">
              <w:rPr>
                <w:rFonts w:cs="Arial"/>
                <w:b/>
                <w:sz w:val="22"/>
                <w:szCs w:val="22"/>
              </w:rPr>
              <w:t>8</w:t>
            </w:r>
          </w:p>
        </w:tc>
      </w:tr>
    </w:tbl>
    <w:p w:rsidR="007E13E7" w:rsidRPr="000F38F0" w:rsidRDefault="0015574D" w:rsidP="0015574D">
      <w:pPr>
        <w:ind w:left="567" w:hanging="567"/>
        <w:jc w:val="both"/>
        <w:rPr>
          <w:rFonts w:cs="Arial"/>
          <w:sz w:val="18"/>
          <w:szCs w:val="18"/>
        </w:rPr>
      </w:pPr>
      <w:r w:rsidRPr="000F38F0">
        <w:rPr>
          <w:rFonts w:cs="Arial"/>
          <w:b/>
          <w:sz w:val="18"/>
          <w:szCs w:val="18"/>
        </w:rPr>
        <w:t>Zdroj:</w:t>
      </w:r>
      <w:r w:rsidRPr="000F38F0">
        <w:rPr>
          <w:rFonts w:cs="Arial"/>
          <w:sz w:val="18"/>
          <w:szCs w:val="18"/>
        </w:rPr>
        <w:tab/>
      </w:r>
      <w:r w:rsidR="007529F7" w:rsidRPr="000F38F0">
        <w:rPr>
          <w:rFonts w:cs="Arial"/>
          <w:sz w:val="18"/>
          <w:szCs w:val="18"/>
        </w:rPr>
        <w:t>h</w:t>
      </w:r>
      <w:r w:rsidRPr="000F38F0">
        <w:rPr>
          <w:rFonts w:cs="Arial"/>
          <w:sz w:val="18"/>
          <w:szCs w:val="18"/>
        </w:rPr>
        <w:t>lavní knihy</w:t>
      </w:r>
      <w:r w:rsidR="00670144" w:rsidRPr="000F38F0">
        <w:rPr>
          <w:rFonts w:cs="Arial"/>
          <w:sz w:val="18"/>
          <w:szCs w:val="18"/>
        </w:rPr>
        <w:t xml:space="preserve"> kontrolovaných</w:t>
      </w:r>
      <w:r w:rsidRPr="000F38F0">
        <w:rPr>
          <w:rFonts w:cs="Arial"/>
          <w:sz w:val="18"/>
          <w:szCs w:val="18"/>
        </w:rPr>
        <w:t xml:space="preserve"> </w:t>
      </w:r>
      <w:r w:rsidR="00670144" w:rsidRPr="000F38F0">
        <w:rPr>
          <w:rFonts w:cs="Arial"/>
          <w:sz w:val="18"/>
          <w:szCs w:val="18"/>
        </w:rPr>
        <w:t>závodů a správ ŘSD za roky</w:t>
      </w:r>
      <w:r w:rsidR="007529F7" w:rsidRPr="000F38F0">
        <w:rPr>
          <w:rFonts w:cs="Arial"/>
          <w:sz w:val="18"/>
          <w:szCs w:val="18"/>
        </w:rPr>
        <w:t xml:space="preserve"> </w:t>
      </w:r>
      <w:r w:rsidR="007529F7" w:rsidRPr="007529F7">
        <w:rPr>
          <w:rFonts w:cs="Arial"/>
          <w:sz w:val="18"/>
          <w:szCs w:val="18"/>
        </w:rPr>
        <w:t>2010 až 2012</w:t>
      </w:r>
      <w:r w:rsidR="00670144" w:rsidRPr="000F38F0">
        <w:rPr>
          <w:rFonts w:cs="Arial"/>
          <w:sz w:val="18"/>
          <w:szCs w:val="18"/>
        </w:rPr>
        <w:t>.</w:t>
      </w:r>
    </w:p>
    <w:p w:rsidR="0007175C" w:rsidRDefault="0007175C" w:rsidP="0007175C">
      <w:pPr>
        <w:jc w:val="both"/>
        <w:rPr>
          <w:rFonts w:cs="Arial"/>
          <w:sz w:val="22"/>
          <w:szCs w:val="22"/>
        </w:rPr>
      </w:pPr>
    </w:p>
    <w:p w:rsidR="000603E3" w:rsidRDefault="006F3D13" w:rsidP="0007175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Vybrané jednotkové náklady </w:t>
      </w:r>
      <w:r w:rsidR="00620F87">
        <w:rPr>
          <w:rFonts w:cs="Arial"/>
          <w:sz w:val="22"/>
          <w:szCs w:val="22"/>
        </w:rPr>
        <w:t xml:space="preserve">za sledované položky uvedené </w:t>
      </w:r>
      <w:r w:rsidR="00A61F35">
        <w:rPr>
          <w:rFonts w:cs="Arial"/>
          <w:sz w:val="22"/>
          <w:szCs w:val="22"/>
        </w:rPr>
        <w:t>v </w:t>
      </w:r>
      <w:r w:rsidR="00620F87">
        <w:rPr>
          <w:rFonts w:cs="Arial"/>
          <w:sz w:val="22"/>
          <w:szCs w:val="22"/>
        </w:rPr>
        <w:t>příloze č.</w:t>
      </w:r>
      <w:r w:rsidR="007945D9">
        <w:rPr>
          <w:rFonts w:cs="Arial"/>
          <w:sz w:val="22"/>
          <w:szCs w:val="22"/>
        </w:rPr>
        <w:t xml:space="preserve"> </w:t>
      </w:r>
      <w:r w:rsidR="00620F87">
        <w:rPr>
          <w:rFonts w:cs="Arial"/>
          <w:sz w:val="22"/>
          <w:szCs w:val="22"/>
        </w:rPr>
        <w:t xml:space="preserve">1 ukazují, </w:t>
      </w:r>
      <w:r w:rsidR="00620F87" w:rsidRPr="00620F87">
        <w:rPr>
          <w:rFonts w:cs="Arial"/>
          <w:sz w:val="22"/>
          <w:szCs w:val="22"/>
        </w:rPr>
        <w:t>že</w:t>
      </w:r>
      <w:r w:rsidR="00620F87" w:rsidRPr="00620F87">
        <w:rPr>
          <w:rFonts w:cs="Arial"/>
          <w:b/>
          <w:sz w:val="22"/>
          <w:szCs w:val="22"/>
        </w:rPr>
        <w:t xml:space="preserve"> mezi kontrolovanými</w:t>
      </w:r>
      <w:r w:rsidR="00620F87" w:rsidRPr="00DD34D7">
        <w:rPr>
          <w:rFonts w:cs="Arial"/>
          <w:b/>
          <w:sz w:val="22"/>
          <w:szCs w:val="22"/>
        </w:rPr>
        <w:t xml:space="preserve"> závody a správami </w:t>
      </w:r>
      <w:proofErr w:type="spellStart"/>
      <w:r w:rsidR="00620F87" w:rsidRPr="00DD34D7">
        <w:rPr>
          <w:rFonts w:cs="Arial"/>
          <w:b/>
          <w:sz w:val="22"/>
          <w:szCs w:val="22"/>
        </w:rPr>
        <w:t>ŘSD</w:t>
      </w:r>
      <w:proofErr w:type="spellEnd"/>
      <w:r w:rsidR="00620F87">
        <w:rPr>
          <w:rFonts w:cs="Arial"/>
          <w:b/>
          <w:sz w:val="22"/>
          <w:szCs w:val="22"/>
        </w:rPr>
        <w:t xml:space="preserve"> byl</w:t>
      </w:r>
      <w:r w:rsidR="00620F87" w:rsidRPr="00DD34D7">
        <w:rPr>
          <w:rFonts w:cs="Arial"/>
          <w:b/>
          <w:sz w:val="22"/>
          <w:szCs w:val="22"/>
        </w:rPr>
        <w:t xml:space="preserve"> </w:t>
      </w:r>
      <w:r w:rsidR="007529F7">
        <w:rPr>
          <w:rFonts w:cs="Arial"/>
          <w:b/>
          <w:sz w:val="22"/>
          <w:szCs w:val="22"/>
        </w:rPr>
        <w:t>velký</w:t>
      </w:r>
      <w:r w:rsidR="00DD34D7" w:rsidRPr="00DD34D7">
        <w:rPr>
          <w:rFonts w:cs="Arial"/>
          <w:b/>
          <w:sz w:val="22"/>
          <w:szCs w:val="22"/>
        </w:rPr>
        <w:t xml:space="preserve"> rozptyl hodnot</w:t>
      </w:r>
      <w:r w:rsidR="00620F87">
        <w:rPr>
          <w:rFonts w:cs="Arial"/>
          <w:b/>
          <w:sz w:val="22"/>
          <w:szCs w:val="22"/>
        </w:rPr>
        <w:t>.</w:t>
      </w:r>
      <w:r w:rsidR="00DD34D7">
        <w:rPr>
          <w:rFonts w:cs="Arial"/>
          <w:sz w:val="22"/>
          <w:szCs w:val="22"/>
        </w:rPr>
        <w:t xml:space="preserve"> </w:t>
      </w:r>
      <w:r w:rsidR="000603E3">
        <w:rPr>
          <w:rFonts w:cs="Arial"/>
          <w:sz w:val="22"/>
          <w:szCs w:val="22"/>
        </w:rPr>
        <w:t xml:space="preserve">Vysoké hodnoty nebylo možno </w:t>
      </w:r>
      <w:r w:rsidR="00A61F35">
        <w:rPr>
          <w:rFonts w:cs="Arial"/>
          <w:sz w:val="22"/>
          <w:szCs w:val="22"/>
        </w:rPr>
        <w:t>v </w:t>
      </w:r>
      <w:r w:rsidR="000603E3">
        <w:rPr>
          <w:rFonts w:cs="Arial"/>
          <w:sz w:val="22"/>
          <w:szCs w:val="22"/>
        </w:rPr>
        <w:t>některých případech vysvětlit odlišným charakterem činností nebo jinými odůvodněnými mimořádnostmi. Například</w:t>
      </w:r>
      <w:r w:rsidR="00E30C9F">
        <w:rPr>
          <w:rFonts w:cs="Arial"/>
          <w:sz w:val="22"/>
          <w:szCs w:val="22"/>
        </w:rPr>
        <w:t xml:space="preserve"> šlo o tyto případy</w:t>
      </w:r>
      <w:r w:rsidR="000603E3">
        <w:rPr>
          <w:rFonts w:cs="Arial"/>
          <w:sz w:val="22"/>
          <w:szCs w:val="22"/>
        </w:rPr>
        <w:t>:</w:t>
      </w:r>
    </w:p>
    <w:p w:rsidR="00EC3A4D" w:rsidRDefault="00DD34D7" w:rsidP="00D61FB3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 w:rsidR="00A27DB4">
        <w:rPr>
          <w:rFonts w:cs="Arial"/>
          <w:sz w:val="22"/>
          <w:szCs w:val="22"/>
        </w:rPr>
        <w:tab/>
      </w:r>
      <w:r w:rsidR="00E30C9F">
        <w:rPr>
          <w:rFonts w:cs="Arial"/>
          <w:b/>
          <w:sz w:val="22"/>
          <w:szCs w:val="22"/>
        </w:rPr>
        <w:t>Vysoké jednotkové</w:t>
      </w:r>
      <w:r w:rsidR="00E30C9F" w:rsidRPr="00392341">
        <w:rPr>
          <w:rFonts w:cs="Arial"/>
          <w:b/>
          <w:sz w:val="22"/>
          <w:szCs w:val="22"/>
        </w:rPr>
        <w:t xml:space="preserve"> náklady na materiál</w:t>
      </w:r>
      <w:r w:rsidR="00E30C9F">
        <w:rPr>
          <w:rFonts w:cs="Arial"/>
          <w:b/>
          <w:sz w:val="22"/>
          <w:szCs w:val="22"/>
        </w:rPr>
        <w:t xml:space="preserve"> pro výpočetní techniku</w:t>
      </w:r>
      <w:r w:rsidR="00E30C9F">
        <w:rPr>
          <w:rFonts w:cs="Arial"/>
          <w:sz w:val="22"/>
          <w:szCs w:val="22"/>
        </w:rPr>
        <w:t xml:space="preserve"> u</w:t>
      </w:r>
      <w:r w:rsidR="003379F0">
        <w:rPr>
          <w:rFonts w:cs="Arial"/>
          <w:sz w:val="22"/>
          <w:szCs w:val="22"/>
        </w:rPr>
        <w:t xml:space="preserve"> Závodu Brno a</w:t>
      </w:r>
      <w:r w:rsidR="00D61FB3">
        <w:rPr>
          <w:rFonts w:cs="Arial"/>
          <w:sz w:val="22"/>
          <w:szCs w:val="22"/>
        </w:rPr>
        <w:t> </w:t>
      </w:r>
      <w:r w:rsidR="00A63802">
        <w:rPr>
          <w:rFonts w:cs="Arial"/>
          <w:sz w:val="22"/>
          <w:szCs w:val="22"/>
        </w:rPr>
        <w:t>s</w:t>
      </w:r>
      <w:r w:rsidR="00E30C9F">
        <w:rPr>
          <w:rFonts w:cs="Arial"/>
          <w:sz w:val="22"/>
          <w:szCs w:val="22"/>
        </w:rPr>
        <w:t>práv</w:t>
      </w:r>
      <w:r w:rsidR="00EC3A4D">
        <w:rPr>
          <w:rFonts w:cs="Arial"/>
          <w:sz w:val="22"/>
          <w:szCs w:val="22"/>
        </w:rPr>
        <w:t xml:space="preserve"> Jihlava a Plzeň</w:t>
      </w:r>
      <w:r w:rsidR="00E30C9F">
        <w:rPr>
          <w:rFonts w:cs="Arial"/>
          <w:sz w:val="22"/>
          <w:szCs w:val="22"/>
        </w:rPr>
        <w:t xml:space="preserve"> </w:t>
      </w:r>
      <w:r w:rsidR="00A63802">
        <w:rPr>
          <w:rFonts w:cs="Arial"/>
          <w:sz w:val="22"/>
          <w:szCs w:val="22"/>
        </w:rPr>
        <w:t>o</w:t>
      </w:r>
      <w:r w:rsidR="00E30C9F">
        <w:rPr>
          <w:rFonts w:cs="Arial"/>
          <w:sz w:val="22"/>
          <w:szCs w:val="22"/>
        </w:rPr>
        <w:t xml:space="preserve">proti těmto nákladům u Závodu Praha nebo u </w:t>
      </w:r>
      <w:r w:rsidR="00A63802">
        <w:rPr>
          <w:rFonts w:cs="Arial"/>
          <w:sz w:val="22"/>
          <w:szCs w:val="22"/>
        </w:rPr>
        <w:t>s</w:t>
      </w:r>
      <w:r w:rsidR="00E30C9F">
        <w:rPr>
          <w:rFonts w:cs="Arial"/>
          <w:sz w:val="22"/>
          <w:szCs w:val="22"/>
        </w:rPr>
        <w:t>práv Karlovy Vary a</w:t>
      </w:r>
      <w:r w:rsidR="00987096">
        <w:rPr>
          <w:rFonts w:cs="Arial"/>
          <w:sz w:val="22"/>
          <w:szCs w:val="22"/>
        </w:rPr>
        <w:t> </w:t>
      </w:r>
      <w:r w:rsidR="00E30C9F">
        <w:rPr>
          <w:rFonts w:cs="Arial"/>
          <w:sz w:val="22"/>
          <w:szCs w:val="22"/>
        </w:rPr>
        <w:t>Pardubice. Jedno</w:t>
      </w:r>
      <w:r w:rsidR="00601894">
        <w:rPr>
          <w:rFonts w:cs="Arial"/>
          <w:sz w:val="22"/>
          <w:szCs w:val="22"/>
        </w:rPr>
        <w:t>u</w:t>
      </w:r>
      <w:r w:rsidR="00E30C9F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z </w:t>
      </w:r>
      <w:r w:rsidR="00E30C9F">
        <w:rPr>
          <w:rFonts w:cs="Arial"/>
          <w:sz w:val="22"/>
          <w:szCs w:val="22"/>
        </w:rPr>
        <w:t>příčin vysokých hodnot bylo velké množství pořizovaných</w:t>
      </w:r>
      <w:r w:rsidR="003A7318">
        <w:rPr>
          <w:rFonts w:cs="Arial"/>
          <w:sz w:val="22"/>
          <w:szCs w:val="22"/>
        </w:rPr>
        <w:t xml:space="preserve"> tonerů a </w:t>
      </w:r>
      <w:r w:rsidR="00372BBC" w:rsidRPr="00A63802">
        <w:rPr>
          <w:rFonts w:cs="Arial"/>
          <w:sz w:val="22"/>
          <w:szCs w:val="22"/>
        </w:rPr>
        <w:t>cart</w:t>
      </w:r>
      <w:r w:rsidR="00EC3A4D" w:rsidRPr="00A63802">
        <w:rPr>
          <w:rFonts w:cs="Arial"/>
          <w:sz w:val="22"/>
          <w:szCs w:val="22"/>
        </w:rPr>
        <w:t>ridg</w:t>
      </w:r>
      <w:r w:rsidR="00A63802">
        <w:rPr>
          <w:rFonts w:cs="Arial"/>
          <w:sz w:val="22"/>
          <w:szCs w:val="22"/>
        </w:rPr>
        <w:t>í</w:t>
      </w:r>
      <w:r w:rsidR="00EC3A4D">
        <w:rPr>
          <w:rFonts w:cs="Arial"/>
          <w:sz w:val="22"/>
          <w:szCs w:val="22"/>
        </w:rPr>
        <w:t xml:space="preserve"> pro tiskárny. </w:t>
      </w:r>
    </w:p>
    <w:p w:rsidR="006A213D" w:rsidRDefault="00EC3A4D" w:rsidP="00D61FB3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E30C9F">
        <w:rPr>
          <w:rFonts w:cs="Arial"/>
          <w:b/>
          <w:sz w:val="22"/>
          <w:szCs w:val="22"/>
        </w:rPr>
        <w:t>V</w:t>
      </w:r>
      <w:r w:rsidR="00A63802">
        <w:rPr>
          <w:rFonts w:cs="Arial"/>
          <w:b/>
          <w:sz w:val="22"/>
          <w:szCs w:val="22"/>
        </w:rPr>
        <w:t>elký</w:t>
      </w:r>
      <w:r w:rsidR="00E30C9F" w:rsidRPr="00392341">
        <w:rPr>
          <w:rFonts w:cs="Arial"/>
          <w:b/>
          <w:sz w:val="22"/>
          <w:szCs w:val="22"/>
        </w:rPr>
        <w:t xml:space="preserve"> rozptyl</w:t>
      </w:r>
      <w:r w:rsidR="006A213D">
        <w:rPr>
          <w:rFonts w:cs="Arial"/>
          <w:b/>
          <w:sz w:val="22"/>
          <w:szCs w:val="22"/>
        </w:rPr>
        <w:t xml:space="preserve"> průměrných</w:t>
      </w:r>
      <w:r w:rsidR="00E30C9F" w:rsidRPr="00392341">
        <w:rPr>
          <w:rFonts w:cs="Arial"/>
          <w:b/>
          <w:sz w:val="22"/>
          <w:szCs w:val="22"/>
        </w:rPr>
        <w:t xml:space="preserve"> ročních nákladů na opravy a údržbu</w:t>
      </w:r>
      <w:r w:rsidR="006A213D">
        <w:rPr>
          <w:rFonts w:cs="Arial"/>
          <w:b/>
          <w:sz w:val="22"/>
          <w:szCs w:val="22"/>
        </w:rPr>
        <w:t xml:space="preserve"> na jedno vozid</w:t>
      </w:r>
      <w:r w:rsidR="00E30C9F" w:rsidRPr="00392341">
        <w:rPr>
          <w:rFonts w:cs="Arial"/>
          <w:b/>
          <w:sz w:val="22"/>
          <w:szCs w:val="22"/>
        </w:rPr>
        <w:t>l</w:t>
      </w:r>
      <w:r w:rsidR="006A213D">
        <w:rPr>
          <w:rFonts w:cs="Arial"/>
          <w:b/>
          <w:sz w:val="22"/>
          <w:szCs w:val="22"/>
        </w:rPr>
        <w:t>o.</w:t>
      </w:r>
      <w:r w:rsidR="00E30C9F">
        <w:rPr>
          <w:rFonts w:cs="Arial"/>
          <w:sz w:val="22"/>
          <w:szCs w:val="22"/>
        </w:rPr>
        <w:t xml:space="preserve"> </w:t>
      </w:r>
      <w:r w:rsidR="006A213D">
        <w:rPr>
          <w:rFonts w:cs="Arial"/>
          <w:sz w:val="22"/>
          <w:szCs w:val="22"/>
        </w:rPr>
        <w:t>Rozdíl mezi nejnižší hodnotou 13</w:t>
      </w:r>
      <w:r w:rsidR="007945D9">
        <w:rPr>
          <w:rFonts w:cs="Arial"/>
          <w:sz w:val="22"/>
          <w:szCs w:val="22"/>
        </w:rPr>
        <w:t xml:space="preserve"> </w:t>
      </w:r>
      <w:r w:rsidR="006A213D">
        <w:rPr>
          <w:rFonts w:cs="Arial"/>
          <w:sz w:val="22"/>
          <w:szCs w:val="22"/>
        </w:rPr>
        <w:t>367 Kč/vozidlo u Správy Plzeň a nejvyšší hodnotou 24 752 Kč/vozidlo u Závodu Praha byl 85 %. Průměrné stář</w:t>
      </w:r>
      <w:r w:rsidR="008C7FAE">
        <w:rPr>
          <w:rFonts w:cs="Arial"/>
          <w:sz w:val="22"/>
          <w:szCs w:val="22"/>
        </w:rPr>
        <w:t>í vozidel Závodu Praha bylo 5,9 </w:t>
      </w:r>
      <w:r w:rsidR="006A213D">
        <w:rPr>
          <w:rFonts w:cs="Arial"/>
          <w:sz w:val="22"/>
          <w:szCs w:val="22"/>
        </w:rPr>
        <w:t>let a jeho vozidla</w:t>
      </w:r>
      <w:r w:rsidR="00704B79">
        <w:rPr>
          <w:rFonts w:cs="Arial"/>
          <w:sz w:val="22"/>
          <w:szCs w:val="22"/>
        </w:rPr>
        <w:t xml:space="preserve"> najela </w:t>
      </w:r>
      <w:r w:rsidR="00A61F35">
        <w:rPr>
          <w:rFonts w:cs="Arial"/>
          <w:sz w:val="22"/>
          <w:szCs w:val="22"/>
        </w:rPr>
        <w:t>v </w:t>
      </w:r>
      <w:r w:rsidR="00704B79">
        <w:rPr>
          <w:rFonts w:cs="Arial"/>
          <w:sz w:val="22"/>
          <w:szCs w:val="22"/>
        </w:rPr>
        <w:t>průměru 13</w:t>
      </w:r>
      <w:r w:rsidR="007945D9">
        <w:rPr>
          <w:rFonts w:cs="Arial"/>
          <w:sz w:val="22"/>
          <w:szCs w:val="22"/>
        </w:rPr>
        <w:t xml:space="preserve"> </w:t>
      </w:r>
      <w:r w:rsidR="00704B79">
        <w:rPr>
          <w:rFonts w:cs="Arial"/>
          <w:sz w:val="22"/>
          <w:szCs w:val="22"/>
        </w:rPr>
        <w:t>973 km/rok. Při</w:t>
      </w:r>
      <w:r w:rsidR="00A63802">
        <w:rPr>
          <w:rFonts w:cs="Arial"/>
          <w:sz w:val="22"/>
          <w:szCs w:val="22"/>
        </w:rPr>
        <w:t>tom</w:t>
      </w:r>
      <w:r w:rsidR="000E475A">
        <w:rPr>
          <w:rFonts w:cs="Arial"/>
          <w:sz w:val="22"/>
          <w:szCs w:val="22"/>
        </w:rPr>
        <w:t xml:space="preserve"> vozidla </w:t>
      </w:r>
      <w:r w:rsidR="00A63802">
        <w:rPr>
          <w:rFonts w:cs="Arial"/>
          <w:sz w:val="22"/>
          <w:szCs w:val="22"/>
        </w:rPr>
        <w:t xml:space="preserve">srovnatelného stáří provozovaná </w:t>
      </w:r>
      <w:r w:rsidR="000E475A">
        <w:rPr>
          <w:rFonts w:cs="Arial"/>
          <w:sz w:val="22"/>
          <w:szCs w:val="22"/>
        </w:rPr>
        <w:t>Správ</w:t>
      </w:r>
      <w:r w:rsidR="00A63802">
        <w:rPr>
          <w:rFonts w:cs="Arial"/>
          <w:sz w:val="22"/>
          <w:szCs w:val="22"/>
        </w:rPr>
        <w:t>ou</w:t>
      </w:r>
      <w:r w:rsidR="006A213D">
        <w:rPr>
          <w:rFonts w:cs="Arial"/>
          <w:sz w:val="22"/>
          <w:szCs w:val="22"/>
        </w:rPr>
        <w:t xml:space="preserve"> Plzeň</w:t>
      </w:r>
      <w:r w:rsidR="00704B79">
        <w:rPr>
          <w:rFonts w:cs="Arial"/>
          <w:sz w:val="22"/>
          <w:szCs w:val="22"/>
        </w:rPr>
        <w:t xml:space="preserve"> </w:t>
      </w:r>
      <w:r w:rsidR="006A213D">
        <w:rPr>
          <w:rFonts w:cs="Arial"/>
          <w:sz w:val="22"/>
          <w:szCs w:val="22"/>
        </w:rPr>
        <w:t xml:space="preserve">najela </w:t>
      </w:r>
      <w:r w:rsidR="00704B79">
        <w:rPr>
          <w:rFonts w:cs="Arial"/>
          <w:sz w:val="22"/>
          <w:szCs w:val="22"/>
        </w:rPr>
        <w:t>za rok průměrně o</w:t>
      </w:r>
      <w:r w:rsidR="007945D9">
        <w:rPr>
          <w:rFonts w:cs="Arial"/>
          <w:sz w:val="22"/>
          <w:szCs w:val="22"/>
        </w:rPr>
        <w:t xml:space="preserve"> </w:t>
      </w:r>
      <w:r w:rsidR="006A213D">
        <w:rPr>
          <w:rFonts w:cs="Arial"/>
          <w:sz w:val="22"/>
          <w:szCs w:val="22"/>
        </w:rPr>
        <w:t>2</w:t>
      </w:r>
      <w:r w:rsidR="00392F5F">
        <w:rPr>
          <w:rFonts w:cs="Arial"/>
          <w:sz w:val="22"/>
          <w:szCs w:val="22"/>
        </w:rPr>
        <w:t>4</w:t>
      </w:r>
      <w:r w:rsidR="006A213D">
        <w:rPr>
          <w:rFonts w:cs="Arial"/>
          <w:sz w:val="22"/>
          <w:szCs w:val="22"/>
        </w:rPr>
        <w:t xml:space="preserve"> %</w:t>
      </w:r>
      <w:r w:rsidR="00E0559A">
        <w:rPr>
          <w:rFonts w:cs="Arial"/>
          <w:sz w:val="22"/>
          <w:szCs w:val="22"/>
        </w:rPr>
        <w:t xml:space="preserve"> kilometrů </w:t>
      </w:r>
      <w:r w:rsidR="006A213D">
        <w:rPr>
          <w:rFonts w:cs="Arial"/>
          <w:sz w:val="22"/>
          <w:szCs w:val="22"/>
        </w:rPr>
        <w:t>více než vozidla Závodu Praha.</w:t>
      </w:r>
    </w:p>
    <w:p w:rsidR="009A0C5E" w:rsidRDefault="00F24369" w:rsidP="00D61FB3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6A213D" w:rsidRPr="006A213D">
        <w:rPr>
          <w:rFonts w:cs="Arial"/>
          <w:b/>
          <w:sz w:val="22"/>
          <w:szCs w:val="22"/>
        </w:rPr>
        <w:t>P</w:t>
      </w:r>
      <w:r w:rsidR="00E335E8" w:rsidRPr="006A213D">
        <w:rPr>
          <w:rFonts w:cs="Arial"/>
          <w:b/>
          <w:sz w:val="22"/>
          <w:szCs w:val="22"/>
        </w:rPr>
        <w:t>růměrné</w:t>
      </w:r>
      <w:r w:rsidR="006A213D" w:rsidRPr="006A213D">
        <w:rPr>
          <w:rFonts w:cs="Arial"/>
          <w:b/>
          <w:sz w:val="22"/>
          <w:szCs w:val="22"/>
        </w:rPr>
        <w:t xml:space="preserve"> měsíční</w:t>
      </w:r>
      <w:r w:rsidR="00E335E8">
        <w:rPr>
          <w:rFonts w:cs="Arial"/>
          <w:sz w:val="22"/>
          <w:szCs w:val="22"/>
        </w:rPr>
        <w:t xml:space="preserve"> </w:t>
      </w:r>
      <w:r w:rsidR="00E335E8" w:rsidRPr="00372BBC">
        <w:rPr>
          <w:rFonts w:cs="Arial"/>
          <w:b/>
          <w:sz w:val="22"/>
          <w:szCs w:val="22"/>
        </w:rPr>
        <w:t>náklady na pravidelný úklid</w:t>
      </w:r>
      <w:r w:rsidR="006A213D">
        <w:rPr>
          <w:rFonts w:cs="Arial"/>
          <w:b/>
          <w:sz w:val="22"/>
          <w:szCs w:val="22"/>
        </w:rPr>
        <w:t xml:space="preserve"> na jeden m</w:t>
      </w:r>
      <w:r w:rsidR="006A213D">
        <w:rPr>
          <w:rFonts w:cs="Arial"/>
          <w:b/>
          <w:sz w:val="22"/>
          <w:szCs w:val="22"/>
          <w:vertAlign w:val="superscript"/>
        </w:rPr>
        <w:t>2</w:t>
      </w:r>
      <w:r w:rsidR="006A213D">
        <w:rPr>
          <w:rFonts w:cs="Arial"/>
          <w:b/>
          <w:sz w:val="22"/>
          <w:szCs w:val="22"/>
        </w:rPr>
        <w:t xml:space="preserve"> úklidové plochy</w:t>
      </w:r>
      <w:r w:rsidR="00BA3D46">
        <w:rPr>
          <w:rFonts w:cs="Arial"/>
          <w:b/>
          <w:sz w:val="22"/>
          <w:szCs w:val="22"/>
        </w:rPr>
        <w:t xml:space="preserve"> </w:t>
      </w:r>
      <w:r w:rsidR="00BA3D46">
        <w:rPr>
          <w:rFonts w:cs="Arial"/>
          <w:sz w:val="22"/>
          <w:szCs w:val="22"/>
        </w:rPr>
        <w:t>u</w:t>
      </w:r>
      <w:r w:rsidR="007945D9">
        <w:rPr>
          <w:rFonts w:cs="Arial"/>
          <w:sz w:val="22"/>
          <w:szCs w:val="22"/>
        </w:rPr>
        <w:t xml:space="preserve"> </w:t>
      </w:r>
      <w:r w:rsidR="00BA3D46">
        <w:rPr>
          <w:rFonts w:cs="Arial"/>
          <w:sz w:val="22"/>
          <w:szCs w:val="22"/>
        </w:rPr>
        <w:t>Správy Karlovy Vary ve výši 25 Kč/m</w:t>
      </w:r>
      <w:r w:rsidR="00BA3D46">
        <w:rPr>
          <w:rFonts w:cs="Arial"/>
          <w:sz w:val="22"/>
          <w:szCs w:val="22"/>
          <w:vertAlign w:val="superscript"/>
        </w:rPr>
        <w:t>2</w:t>
      </w:r>
      <w:r w:rsidR="00BA3D46">
        <w:rPr>
          <w:rFonts w:cs="Arial"/>
          <w:sz w:val="22"/>
          <w:szCs w:val="22"/>
        </w:rPr>
        <w:t xml:space="preserve"> byly o 62 % vyšší než </w:t>
      </w:r>
      <w:r w:rsidR="000E475A">
        <w:rPr>
          <w:rFonts w:cs="Arial"/>
          <w:sz w:val="22"/>
          <w:szCs w:val="22"/>
        </w:rPr>
        <w:t>u</w:t>
      </w:r>
      <w:r w:rsidR="00BA3D46">
        <w:rPr>
          <w:rFonts w:cs="Arial"/>
          <w:sz w:val="22"/>
          <w:szCs w:val="22"/>
        </w:rPr>
        <w:t xml:space="preserve"> </w:t>
      </w:r>
      <w:r w:rsidR="009A0C5E">
        <w:rPr>
          <w:rFonts w:cs="Arial"/>
          <w:sz w:val="22"/>
          <w:szCs w:val="22"/>
        </w:rPr>
        <w:t>ostatní</w:t>
      </w:r>
      <w:r w:rsidR="000E475A">
        <w:rPr>
          <w:rFonts w:cs="Arial"/>
          <w:sz w:val="22"/>
          <w:szCs w:val="22"/>
        </w:rPr>
        <w:t>ch kontrolovaných závodů a správ</w:t>
      </w:r>
      <w:r w:rsidR="009A0C5E">
        <w:rPr>
          <w:rFonts w:cs="Arial"/>
          <w:sz w:val="22"/>
          <w:szCs w:val="22"/>
        </w:rPr>
        <w:t xml:space="preserve"> a o 31 % vyšší, než </w:t>
      </w:r>
      <w:r w:rsidR="00A63802">
        <w:rPr>
          <w:rFonts w:cs="Arial"/>
          <w:sz w:val="22"/>
          <w:szCs w:val="22"/>
        </w:rPr>
        <w:t xml:space="preserve">je </w:t>
      </w:r>
      <w:r w:rsidR="009A0C5E">
        <w:rPr>
          <w:rFonts w:cs="Arial"/>
          <w:sz w:val="22"/>
          <w:szCs w:val="22"/>
        </w:rPr>
        <w:t xml:space="preserve">průměrná cena zveřejněná Českým statistickým úřadem. Na pracovišti Závodu Praha </w:t>
      </w:r>
      <w:r w:rsidR="00A61F35">
        <w:rPr>
          <w:rFonts w:cs="Arial"/>
          <w:sz w:val="22"/>
          <w:szCs w:val="22"/>
        </w:rPr>
        <w:t>v </w:t>
      </w:r>
      <w:r w:rsidR="009A0C5E">
        <w:rPr>
          <w:rFonts w:cs="Arial"/>
          <w:sz w:val="22"/>
          <w:szCs w:val="22"/>
        </w:rPr>
        <w:t>Kolíně</w:t>
      </w:r>
      <w:r w:rsidR="003A7318">
        <w:rPr>
          <w:rFonts w:cs="Arial"/>
          <w:sz w:val="22"/>
          <w:szCs w:val="22"/>
        </w:rPr>
        <w:t xml:space="preserve"> však </w:t>
      </w:r>
      <w:r w:rsidR="004914E8">
        <w:rPr>
          <w:rFonts w:cs="Arial"/>
          <w:sz w:val="22"/>
          <w:szCs w:val="22"/>
        </w:rPr>
        <w:t xml:space="preserve">byly </w:t>
      </w:r>
      <w:r w:rsidR="003A7318">
        <w:rPr>
          <w:rFonts w:cs="Arial"/>
          <w:sz w:val="22"/>
          <w:szCs w:val="22"/>
        </w:rPr>
        <w:t>tyto náklady ještě vyšší. Činily 34</w:t>
      </w:r>
      <w:r w:rsidR="00A63802">
        <w:rPr>
          <w:rFonts w:cs="Arial"/>
          <w:sz w:val="22"/>
          <w:szCs w:val="22"/>
        </w:rPr>
        <w:t> </w:t>
      </w:r>
      <w:r w:rsidR="003A7318">
        <w:rPr>
          <w:rFonts w:cs="Arial"/>
          <w:sz w:val="22"/>
          <w:szCs w:val="22"/>
        </w:rPr>
        <w:t>Kč/</w:t>
      </w:r>
      <w:proofErr w:type="spellStart"/>
      <w:r w:rsidR="003A7318">
        <w:rPr>
          <w:rFonts w:cs="Arial"/>
          <w:sz w:val="22"/>
          <w:szCs w:val="22"/>
        </w:rPr>
        <w:t>m</w:t>
      </w:r>
      <w:r w:rsidR="003A7318">
        <w:rPr>
          <w:rFonts w:cs="Arial"/>
          <w:sz w:val="22"/>
          <w:szCs w:val="22"/>
          <w:vertAlign w:val="superscript"/>
        </w:rPr>
        <w:t>2</w:t>
      </w:r>
      <w:proofErr w:type="spellEnd"/>
      <w:r w:rsidR="00A63802">
        <w:rPr>
          <w:rFonts w:cs="Arial"/>
          <w:sz w:val="22"/>
          <w:szCs w:val="22"/>
        </w:rPr>
        <w:t>,</w:t>
      </w:r>
      <w:r w:rsidR="003A7318">
        <w:rPr>
          <w:rFonts w:cs="Arial"/>
          <w:sz w:val="22"/>
          <w:szCs w:val="22"/>
        </w:rPr>
        <w:t xml:space="preserve"> a</w:t>
      </w:r>
      <w:r w:rsidR="001F6A6B">
        <w:rPr>
          <w:rFonts w:cs="Arial"/>
          <w:sz w:val="22"/>
          <w:szCs w:val="22"/>
        </w:rPr>
        <w:t> </w:t>
      </w:r>
      <w:r w:rsidR="003A7318">
        <w:rPr>
          <w:rFonts w:cs="Arial"/>
          <w:sz w:val="22"/>
          <w:szCs w:val="22"/>
        </w:rPr>
        <w:t xml:space="preserve">byly tak </w:t>
      </w:r>
      <w:r w:rsidR="004914E8">
        <w:rPr>
          <w:rFonts w:cs="Arial"/>
          <w:sz w:val="22"/>
          <w:szCs w:val="22"/>
        </w:rPr>
        <w:t>o</w:t>
      </w:r>
      <w:r w:rsidR="007945D9">
        <w:rPr>
          <w:rFonts w:cs="Arial"/>
          <w:sz w:val="22"/>
          <w:szCs w:val="22"/>
        </w:rPr>
        <w:t xml:space="preserve"> </w:t>
      </w:r>
      <w:r w:rsidR="009A0C5E">
        <w:rPr>
          <w:rFonts w:cs="Arial"/>
          <w:sz w:val="22"/>
          <w:szCs w:val="22"/>
        </w:rPr>
        <w:t>36</w:t>
      </w:r>
      <w:r w:rsidR="007945D9">
        <w:rPr>
          <w:rFonts w:cs="Arial"/>
          <w:sz w:val="22"/>
          <w:szCs w:val="22"/>
        </w:rPr>
        <w:t xml:space="preserve"> </w:t>
      </w:r>
      <w:r w:rsidR="009A0C5E">
        <w:rPr>
          <w:rFonts w:cs="Arial"/>
          <w:sz w:val="22"/>
          <w:szCs w:val="22"/>
        </w:rPr>
        <w:t xml:space="preserve">% vyšší než u Správy Karlovy Vary a o 79 % vyšší, než </w:t>
      </w:r>
      <w:r w:rsidR="00A63802">
        <w:rPr>
          <w:rFonts w:cs="Arial"/>
          <w:sz w:val="22"/>
          <w:szCs w:val="22"/>
        </w:rPr>
        <w:t xml:space="preserve">je </w:t>
      </w:r>
      <w:r w:rsidR="009A0C5E">
        <w:rPr>
          <w:rFonts w:cs="Arial"/>
          <w:sz w:val="22"/>
          <w:szCs w:val="22"/>
        </w:rPr>
        <w:t>průměrná cena zveřejněná Českým statistickým úřadem.</w:t>
      </w:r>
    </w:p>
    <w:p w:rsidR="000B4502" w:rsidRDefault="000B4502" w:rsidP="00D61FB3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Pr="00372BBC">
        <w:rPr>
          <w:rFonts w:cs="Arial"/>
          <w:b/>
          <w:sz w:val="22"/>
          <w:szCs w:val="22"/>
        </w:rPr>
        <w:t>Průměrné měsíční náklady na ostrahu prostřednictvím tzv. pultu centralizované ochrany byly u Správy Pardubice více než třikrát vyšší</w:t>
      </w:r>
      <w:r>
        <w:rPr>
          <w:rFonts w:cs="Arial"/>
          <w:sz w:val="22"/>
          <w:szCs w:val="22"/>
        </w:rPr>
        <w:t xml:space="preserve"> než u jiných dvou správ, které tento způsob ochrany majetku</w:t>
      </w:r>
      <w:r w:rsidR="00060C07">
        <w:rPr>
          <w:rFonts w:cs="Arial"/>
          <w:sz w:val="22"/>
          <w:szCs w:val="22"/>
        </w:rPr>
        <w:t xml:space="preserve"> také</w:t>
      </w:r>
      <w:r>
        <w:rPr>
          <w:rFonts w:cs="Arial"/>
          <w:sz w:val="22"/>
          <w:szCs w:val="22"/>
        </w:rPr>
        <w:t xml:space="preserve"> využívaly.</w:t>
      </w:r>
    </w:p>
    <w:p w:rsidR="00A0145C" w:rsidRDefault="00A0145C" w:rsidP="000F38F0">
      <w:pPr>
        <w:jc w:val="both"/>
        <w:rPr>
          <w:rFonts w:cs="Arial"/>
          <w:sz w:val="22"/>
          <w:szCs w:val="22"/>
        </w:rPr>
      </w:pPr>
    </w:p>
    <w:p w:rsidR="00CC30AC" w:rsidRDefault="00CC30AC" w:rsidP="000F38F0">
      <w:pPr>
        <w:jc w:val="both"/>
        <w:rPr>
          <w:rFonts w:cs="Arial"/>
          <w:sz w:val="22"/>
          <w:szCs w:val="22"/>
        </w:rPr>
      </w:pPr>
    </w:p>
    <w:p w:rsidR="00CC30AC" w:rsidRDefault="00CC30AC" w:rsidP="000F38F0">
      <w:pPr>
        <w:jc w:val="both"/>
        <w:rPr>
          <w:rFonts w:cs="Arial"/>
          <w:sz w:val="22"/>
          <w:szCs w:val="22"/>
        </w:rPr>
      </w:pPr>
    </w:p>
    <w:p w:rsidR="00ED76C4" w:rsidRDefault="00ED76C4" w:rsidP="0007175C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3. </w:t>
      </w:r>
      <w:r w:rsidR="00FC02FC">
        <w:rPr>
          <w:rFonts w:cs="Arial"/>
          <w:b/>
          <w:sz w:val="22"/>
          <w:szCs w:val="22"/>
        </w:rPr>
        <w:t>Náklady ŘSD</w:t>
      </w:r>
    </w:p>
    <w:p w:rsidR="00ED76C4" w:rsidRDefault="00ED76C4" w:rsidP="0007175C">
      <w:pPr>
        <w:jc w:val="both"/>
        <w:rPr>
          <w:rFonts w:cs="Arial"/>
          <w:b/>
          <w:sz w:val="22"/>
          <w:szCs w:val="22"/>
        </w:rPr>
      </w:pPr>
    </w:p>
    <w:p w:rsidR="00A1468E" w:rsidRDefault="009D312E" w:rsidP="00A1468E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ŘSD</w:t>
      </w:r>
      <w:r w:rsidR="009B1AA2">
        <w:rPr>
          <w:rFonts w:cs="Arial"/>
          <w:sz w:val="22"/>
          <w:szCs w:val="22"/>
        </w:rPr>
        <w:t xml:space="preserve"> je podle § 53 zákona č. 218/2000 Sb.</w:t>
      </w:r>
      <w:r w:rsidR="009B1AA2">
        <w:rPr>
          <w:rStyle w:val="Znakapoznpodarou"/>
          <w:rFonts w:cs="Arial"/>
          <w:sz w:val="22"/>
          <w:szCs w:val="22"/>
        </w:rPr>
        <w:footnoteReference w:id="2"/>
      </w:r>
      <w:r w:rsidR="009B1AA2">
        <w:rPr>
          <w:rFonts w:cs="Arial"/>
          <w:sz w:val="22"/>
          <w:szCs w:val="22"/>
        </w:rPr>
        <w:t xml:space="preserve"> povinno dbát, aby plnilo určené úkoly nejhospodárnějším způsobem a používalo peněžní prostředky na krytí nezbytných potřeb, na opatření zakládající se na právních předpisech a na krytí opatření nutných </w:t>
      </w:r>
      <w:r w:rsidR="00A61F35">
        <w:rPr>
          <w:rFonts w:cs="Arial"/>
          <w:sz w:val="22"/>
          <w:szCs w:val="22"/>
        </w:rPr>
        <w:t>k </w:t>
      </w:r>
      <w:r w:rsidR="009B1AA2">
        <w:rPr>
          <w:rFonts w:cs="Arial"/>
          <w:sz w:val="22"/>
          <w:szCs w:val="22"/>
        </w:rPr>
        <w:t>zabezpeč</w:t>
      </w:r>
      <w:r w:rsidR="0073510A">
        <w:rPr>
          <w:rFonts w:cs="Arial"/>
          <w:sz w:val="22"/>
          <w:szCs w:val="22"/>
        </w:rPr>
        <w:t xml:space="preserve">ení nerušeného chodu organizace. </w:t>
      </w:r>
      <w:r w:rsidR="00495B5A">
        <w:rPr>
          <w:rFonts w:cs="Arial"/>
          <w:sz w:val="22"/>
          <w:szCs w:val="22"/>
        </w:rPr>
        <w:t>Kontrolou</w:t>
      </w:r>
      <w:r w:rsidR="0073510A">
        <w:rPr>
          <w:rFonts w:cs="Arial"/>
          <w:sz w:val="22"/>
          <w:szCs w:val="22"/>
        </w:rPr>
        <w:t xml:space="preserve"> vybraných nákladových položek bylo zjištěno, že ŘSD </w:t>
      </w:r>
      <w:r w:rsidR="00A61F35">
        <w:rPr>
          <w:rFonts w:cs="Arial"/>
          <w:sz w:val="22"/>
          <w:szCs w:val="22"/>
        </w:rPr>
        <w:t>v </w:t>
      </w:r>
      <w:r w:rsidR="0073510A">
        <w:rPr>
          <w:rFonts w:cs="Arial"/>
          <w:sz w:val="22"/>
          <w:szCs w:val="22"/>
        </w:rPr>
        <w:t>řadě případů podle tohoto ustanovení</w:t>
      </w:r>
      <w:r w:rsidR="0073510A" w:rsidRPr="0073510A">
        <w:rPr>
          <w:rFonts w:cs="Arial"/>
          <w:sz w:val="22"/>
          <w:szCs w:val="22"/>
        </w:rPr>
        <w:t xml:space="preserve"> </w:t>
      </w:r>
      <w:r w:rsidR="0073510A">
        <w:rPr>
          <w:rFonts w:cs="Arial"/>
          <w:sz w:val="22"/>
          <w:szCs w:val="22"/>
        </w:rPr>
        <w:t>nepostupovalo</w:t>
      </w:r>
      <w:r w:rsidR="00FC02FC">
        <w:rPr>
          <w:rFonts w:cs="Arial"/>
          <w:sz w:val="22"/>
          <w:szCs w:val="22"/>
        </w:rPr>
        <w:t xml:space="preserve"> a používalo peněžní prostředky na úhrady nákladů, u kterých </w:t>
      </w:r>
      <w:r w:rsidR="00495B5A">
        <w:rPr>
          <w:rFonts w:cs="Arial"/>
          <w:sz w:val="22"/>
          <w:szCs w:val="22"/>
        </w:rPr>
        <w:t>lze mít</w:t>
      </w:r>
      <w:r w:rsidR="00625740">
        <w:rPr>
          <w:rFonts w:cs="Arial"/>
          <w:sz w:val="22"/>
          <w:szCs w:val="22"/>
        </w:rPr>
        <w:t xml:space="preserve"> mj.</w:t>
      </w:r>
      <w:r w:rsidR="00FC02FC">
        <w:rPr>
          <w:rFonts w:cs="Arial"/>
          <w:sz w:val="22"/>
          <w:szCs w:val="22"/>
        </w:rPr>
        <w:t xml:space="preserve"> pochybnost o jejich hospodárnosti.</w:t>
      </w:r>
      <w:r w:rsidR="00CA50D7">
        <w:rPr>
          <w:rFonts w:cs="Arial"/>
          <w:sz w:val="22"/>
          <w:szCs w:val="22"/>
        </w:rPr>
        <w:t xml:space="preserve"> Peněžní prostředky p</w:t>
      </w:r>
      <w:r w:rsidR="00745339">
        <w:rPr>
          <w:rFonts w:cs="Arial"/>
          <w:sz w:val="22"/>
          <w:szCs w:val="22"/>
        </w:rPr>
        <w:t>oužívalo</w:t>
      </w:r>
      <w:r w:rsidR="00CA50D7">
        <w:rPr>
          <w:rFonts w:cs="Arial"/>
          <w:sz w:val="22"/>
          <w:szCs w:val="22"/>
        </w:rPr>
        <w:t xml:space="preserve"> i </w:t>
      </w:r>
      <w:r w:rsidR="00A61F35">
        <w:rPr>
          <w:rFonts w:cs="Arial"/>
          <w:sz w:val="22"/>
          <w:szCs w:val="22"/>
        </w:rPr>
        <w:t>k </w:t>
      </w:r>
      <w:r w:rsidR="00CA50D7">
        <w:rPr>
          <w:rFonts w:cs="Arial"/>
          <w:sz w:val="22"/>
          <w:szCs w:val="22"/>
        </w:rPr>
        <w:t>hrazení neoprávněných výdajů</w:t>
      </w:r>
      <w:r w:rsidR="00A1468E">
        <w:rPr>
          <w:rStyle w:val="Znakapoznpodarou"/>
          <w:rFonts w:cs="Arial"/>
          <w:sz w:val="22"/>
          <w:szCs w:val="22"/>
        </w:rPr>
        <w:footnoteReference w:id="3"/>
      </w:r>
      <w:r w:rsidR="00CA50D7">
        <w:rPr>
          <w:rFonts w:cs="Arial"/>
          <w:sz w:val="22"/>
          <w:szCs w:val="22"/>
        </w:rPr>
        <w:t>.</w:t>
      </w:r>
      <w:r w:rsidR="00A1468E">
        <w:rPr>
          <w:rFonts w:cs="Arial"/>
          <w:sz w:val="22"/>
          <w:szCs w:val="22"/>
        </w:rPr>
        <w:t xml:space="preserve"> Konkrétní příklady jsou uvedeny v následujících bodech této části kontrolního závěru.</w:t>
      </w:r>
      <w:r w:rsidR="00E46A73">
        <w:rPr>
          <w:rFonts w:cs="Arial"/>
          <w:sz w:val="22"/>
          <w:szCs w:val="22"/>
        </w:rPr>
        <w:t xml:space="preserve">  </w:t>
      </w:r>
    </w:p>
    <w:p w:rsidR="00192673" w:rsidRDefault="00192673" w:rsidP="0007175C">
      <w:pPr>
        <w:jc w:val="both"/>
        <w:rPr>
          <w:rFonts w:cs="Arial"/>
          <w:sz w:val="22"/>
          <w:szCs w:val="22"/>
        </w:rPr>
      </w:pPr>
    </w:p>
    <w:p w:rsidR="002B6EA3" w:rsidRDefault="009B1AA2" w:rsidP="003528D3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3.1</w:t>
      </w:r>
      <w:r w:rsidR="00F305C0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8C325C">
        <w:rPr>
          <w:rFonts w:cs="Arial"/>
          <w:sz w:val="22"/>
          <w:szCs w:val="22"/>
        </w:rPr>
        <w:t>roce 201</w:t>
      </w:r>
      <w:r w:rsidR="00FF613E">
        <w:rPr>
          <w:rFonts w:cs="Arial"/>
          <w:sz w:val="22"/>
          <w:szCs w:val="22"/>
        </w:rPr>
        <w:t>1</w:t>
      </w:r>
      <w:r w:rsidR="008C325C">
        <w:rPr>
          <w:rFonts w:cs="Arial"/>
          <w:sz w:val="22"/>
          <w:szCs w:val="22"/>
        </w:rPr>
        <w:t xml:space="preserve"> vzrostly </w:t>
      </w:r>
      <w:r w:rsidR="00ED492C" w:rsidRPr="00515F4E">
        <w:rPr>
          <w:rFonts w:cs="Arial"/>
          <w:sz w:val="22"/>
          <w:szCs w:val="22"/>
        </w:rPr>
        <w:t>náklady na právní služby</w:t>
      </w:r>
      <w:r w:rsidR="00ED492C">
        <w:rPr>
          <w:rFonts w:cs="Arial"/>
          <w:sz w:val="22"/>
          <w:szCs w:val="22"/>
        </w:rPr>
        <w:t xml:space="preserve"> zaúčtované GŘ na účtu 518</w:t>
      </w:r>
      <w:r w:rsidR="00081717">
        <w:rPr>
          <w:rFonts w:cs="Arial"/>
          <w:sz w:val="22"/>
          <w:szCs w:val="22"/>
        </w:rPr>
        <w:t xml:space="preserve"> – </w:t>
      </w:r>
      <w:r w:rsidR="00ED492C" w:rsidRPr="000F38F0">
        <w:rPr>
          <w:rFonts w:cs="Arial"/>
          <w:i/>
          <w:sz w:val="22"/>
          <w:szCs w:val="22"/>
        </w:rPr>
        <w:t>Ostatní</w:t>
      </w:r>
      <w:r w:rsidR="00ED492C">
        <w:rPr>
          <w:rFonts w:cs="Arial"/>
          <w:sz w:val="22"/>
          <w:szCs w:val="22"/>
        </w:rPr>
        <w:t xml:space="preserve"> </w:t>
      </w:r>
      <w:r w:rsidR="00ED492C" w:rsidRPr="000F38F0">
        <w:rPr>
          <w:rFonts w:cs="Arial"/>
          <w:i/>
          <w:sz w:val="22"/>
          <w:szCs w:val="22"/>
        </w:rPr>
        <w:t>služby</w:t>
      </w:r>
      <w:r w:rsidR="00ED492C">
        <w:rPr>
          <w:rStyle w:val="Znakapoznpodarou"/>
          <w:rFonts w:cs="Arial"/>
          <w:sz w:val="22"/>
          <w:szCs w:val="22"/>
        </w:rPr>
        <w:footnoteReference w:id="4"/>
      </w:r>
      <w:r w:rsidR="008C325C">
        <w:rPr>
          <w:rFonts w:cs="Arial"/>
          <w:sz w:val="22"/>
          <w:szCs w:val="22"/>
        </w:rPr>
        <w:t xml:space="preserve"> </w:t>
      </w:r>
      <w:r w:rsidR="00081717">
        <w:rPr>
          <w:rFonts w:cs="Arial"/>
          <w:sz w:val="22"/>
          <w:szCs w:val="22"/>
        </w:rPr>
        <w:t>o</w:t>
      </w:r>
      <w:r w:rsidR="00FF613E">
        <w:rPr>
          <w:rFonts w:cs="Arial"/>
          <w:sz w:val="22"/>
          <w:szCs w:val="22"/>
        </w:rPr>
        <w:t xml:space="preserve">proti roku 2010 </w:t>
      </w:r>
      <w:r w:rsidR="00A61F35">
        <w:rPr>
          <w:rFonts w:cs="Arial"/>
          <w:sz w:val="22"/>
          <w:szCs w:val="22"/>
        </w:rPr>
        <w:t>z </w:t>
      </w:r>
      <w:r w:rsidR="00FF613E">
        <w:rPr>
          <w:rFonts w:cs="Arial"/>
          <w:sz w:val="22"/>
          <w:szCs w:val="22"/>
        </w:rPr>
        <w:t>81</w:t>
      </w:r>
      <w:r w:rsidR="007945D9">
        <w:rPr>
          <w:rFonts w:cs="Arial"/>
          <w:sz w:val="22"/>
          <w:szCs w:val="22"/>
        </w:rPr>
        <w:t xml:space="preserve"> </w:t>
      </w:r>
      <w:r w:rsidR="00FF613E">
        <w:rPr>
          <w:rFonts w:cs="Arial"/>
          <w:sz w:val="22"/>
          <w:szCs w:val="22"/>
        </w:rPr>
        <w:t>426 tis. Kč na 131</w:t>
      </w:r>
      <w:r w:rsidR="007945D9">
        <w:rPr>
          <w:rFonts w:cs="Arial"/>
          <w:sz w:val="22"/>
          <w:szCs w:val="22"/>
        </w:rPr>
        <w:t xml:space="preserve"> </w:t>
      </w:r>
      <w:r w:rsidR="00FF613E">
        <w:rPr>
          <w:rFonts w:cs="Arial"/>
          <w:sz w:val="22"/>
          <w:szCs w:val="22"/>
        </w:rPr>
        <w:t>965 tis. Kč, tj. o 62</w:t>
      </w:r>
      <w:r w:rsidR="00ED492C">
        <w:rPr>
          <w:rFonts w:cs="Arial"/>
          <w:sz w:val="22"/>
          <w:szCs w:val="22"/>
        </w:rPr>
        <w:t xml:space="preserve"> %</w:t>
      </w:r>
      <w:r w:rsidR="008C325C">
        <w:rPr>
          <w:rFonts w:cs="Arial"/>
          <w:sz w:val="22"/>
          <w:szCs w:val="22"/>
        </w:rPr>
        <w:t>.</w:t>
      </w:r>
      <w:r w:rsidR="00FF613E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FF613E">
        <w:rPr>
          <w:rFonts w:cs="Arial"/>
          <w:sz w:val="22"/>
          <w:szCs w:val="22"/>
        </w:rPr>
        <w:t>roce 2012 vzrostly o dalších 9 % a činily 143</w:t>
      </w:r>
      <w:r w:rsidR="007945D9">
        <w:rPr>
          <w:rFonts w:cs="Arial"/>
          <w:sz w:val="22"/>
          <w:szCs w:val="22"/>
        </w:rPr>
        <w:t xml:space="preserve"> </w:t>
      </w:r>
      <w:r w:rsidR="00FF613E">
        <w:rPr>
          <w:rFonts w:cs="Arial"/>
          <w:sz w:val="22"/>
          <w:szCs w:val="22"/>
        </w:rPr>
        <w:t xml:space="preserve">916 mil. Kč. Za roky 2010 až 2012 byla celková výše těchto nákladů </w:t>
      </w:r>
      <w:r w:rsidR="00255605">
        <w:rPr>
          <w:rFonts w:cs="Arial"/>
          <w:sz w:val="22"/>
          <w:szCs w:val="22"/>
        </w:rPr>
        <w:t xml:space="preserve">357 </w:t>
      </w:r>
      <w:r w:rsidR="00ED492C">
        <w:rPr>
          <w:rFonts w:cs="Arial"/>
          <w:sz w:val="22"/>
          <w:szCs w:val="22"/>
        </w:rPr>
        <w:t>3</w:t>
      </w:r>
      <w:r w:rsidR="00255605">
        <w:rPr>
          <w:rFonts w:cs="Arial"/>
          <w:sz w:val="22"/>
          <w:szCs w:val="22"/>
        </w:rPr>
        <w:t>06 tis</w:t>
      </w:r>
      <w:r w:rsidR="00FF613E">
        <w:rPr>
          <w:rFonts w:cs="Arial"/>
          <w:sz w:val="22"/>
          <w:szCs w:val="22"/>
        </w:rPr>
        <w:t xml:space="preserve">. Kč. </w:t>
      </w:r>
      <w:r w:rsidR="00A61F35">
        <w:rPr>
          <w:rFonts w:cs="Arial"/>
          <w:sz w:val="22"/>
          <w:szCs w:val="22"/>
        </w:rPr>
        <w:t>V </w:t>
      </w:r>
      <w:r w:rsidR="00622AFE">
        <w:rPr>
          <w:rFonts w:cs="Arial"/>
          <w:sz w:val="22"/>
          <w:szCs w:val="22"/>
        </w:rPr>
        <w:t>prvním čtvr</w:t>
      </w:r>
      <w:r w:rsidR="00FF613E">
        <w:rPr>
          <w:rFonts w:cs="Arial"/>
          <w:sz w:val="22"/>
          <w:szCs w:val="22"/>
        </w:rPr>
        <w:t>tletí 2013 byly tyto náklady 9 997 tis</w:t>
      </w:r>
      <w:r w:rsidR="00622AFE">
        <w:rPr>
          <w:rFonts w:cs="Arial"/>
          <w:sz w:val="22"/>
          <w:szCs w:val="22"/>
        </w:rPr>
        <w:t>. Kč.</w:t>
      </w:r>
    </w:p>
    <w:p w:rsidR="00AD0240" w:rsidRDefault="00AD0240" w:rsidP="003528D3">
      <w:pPr>
        <w:jc w:val="both"/>
        <w:rPr>
          <w:rFonts w:cs="Arial"/>
          <w:sz w:val="22"/>
          <w:szCs w:val="22"/>
        </w:rPr>
      </w:pPr>
    </w:p>
    <w:p w:rsidR="00942484" w:rsidRDefault="008C325C" w:rsidP="003528D3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a) </w:t>
      </w:r>
      <w:r>
        <w:rPr>
          <w:rFonts w:cs="Arial"/>
          <w:sz w:val="22"/>
          <w:szCs w:val="22"/>
        </w:rPr>
        <w:t>GŘ</w:t>
      </w:r>
      <w:r w:rsidR="00032D74">
        <w:rPr>
          <w:rFonts w:cs="Arial"/>
          <w:sz w:val="22"/>
          <w:szCs w:val="22"/>
        </w:rPr>
        <w:t xml:space="preserve"> využívalo </w:t>
      </w:r>
      <w:r w:rsidR="00A61F35">
        <w:rPr>
          <w:rFonts w:cs="Arial"/>
          <w:sz w:val="22"/>
          <w:szCs w:val="22"/>
        </w:rPr>
        <w:t>v </w:t>
      </w:r>
      <w:r w:rsidR="00032D74">
        <w:rPr>
          <w:rFonts w:cs="Arial"/>
          <w:sz w:val="22"/>
          <w:szCs w:val="22"/>
        </w:rPr>
        <w:t>období od roku 2010 do března 2013</w:t>
      </w:r>
      <w:r w:rsidR="00C76F24">
        <w:rPr>
          <w:rFonts w:cs="Arial"/>
          <w:sz w:val="22"/>
          <w:szCs w:val="22"/>
        </w:rPr>
        <w:t xml:space="preserve"> pro poskytování právních služeb </w:t>
      </w:r>
      <w:r w:rsidR="00985319">
        <w:rPr>
          <w:rFonts w:cs="Arial"/>
          <w:sz w:val="22"/>
          <w:szCs w:val="22"/>
        </w:rPr>
        <w:t>především právní poradce</w:t>
      </w:r>
      <w:r w:rsidR="00985319" w:rsidRPr="00985319">
        <w:rPr>
          <w:rFonts w:cs="Arial"/>
          <w:sz w:val="22"/>
          <w:szCs w:val="22"/>
        </w:rPr>
        <w:t xml:space="preserve"> </w:t>
      </w:r>
      <w:r w:rsidR="00985319">
        <w:rPr>
          <w:rFonts w:cs="Arial"/>
          <w:sz w:val="22"/>
          <w:szCs w:val="22"/>
        </w:rPr>
        <w:t xml:space="preserve">na základě prováděcích smluv </w:t>
      </w:r>
      <w:r w:rsidR="00A61F35">
        <w:rPr>
          <w:rFonts w:cs="Arial"/>
          <w:sz w:val="22"/>
          <w:szCs w:val="22"/>
        </w:rPr>
        <w:t>k </w:t>
      </w:r>
      <w:r w:rsidR="00985319">
        <w:rPr>
          <w:rFonts w:cs="Arial"/>
          <w:sz w:val="22"/>
          <w:szCs w:val="22"/>
        </w:rPr>
        <w:t xml:space="preserve">rámcové smlouvě, </w:t>
      </w:r>
      <w:r w:rsidR="00081717">
        <w:rPr>
          <w:rFonts w:cs="Arial"/>
          <w:sz w:val="22"/>
          <w:szCs w:val="22"/>
        </w:rPr>
        <w:t xml:space="preserve">která byla </w:t>
      </w:r>
      <w:r w:rsidR="00985319">
        <w:rPr>
          <w:rFonts w:cs="Arial"/>
          <w:sz w:val="22"/>
          <w:szCs w:val="22"/>
        </w:rPr>
        <w:t>uzavřen</w:t>
      </w:r>
      <w:r w:rsidR="00081717">
        <w:rPr>
          <w:rFonts w:cs="Arial"/>
          <w:sz w:val="22"/>
          <w:szCs w:val="22"/>
        </w:rPr>
        <w:t>a</w:t>
      </w:r>
      <w:r w:rsidR="00985319">
        <w:rPr>
          <w:rFonts w:cs="Arial"/>
          <w:sz w:val="22"/>
          <w:szCs w:val="22"/>
        </w:rPr>
        <w:t xml:space="preserve"> v listopadu 2007 se čtyřmi právními poradci</w:t>
      </w:r>
      <w:r w:rsidR="00081717">
        <w:rPr>
          <w:rFonts w:cs="Arial"/>
          <w:sz w:val="22"/>
          <w:szCs w:val="22"/>
        </w:rPr>
        <w:t>.</w:t>
      </w:r>
      <w:r w:rsidR="00985319">
        <w:rPr>
          <w:rStyle w:val="Znakapoznpodarou"/>
          <w:rFonts w:cs="Arial"/>
          <w:sz w:val="22"/>
          <w:szCs w:val="22"/>
        </w:rPr>
        <w:footnoteReference w:id="5"/>
      </w:r>
      <w:r w:rsidR="00985319">
        <w:rPr>
          <w:rFonts w:cs="Arial"/>
          <w:sz w:val="22"/>
          <w:szCs w:val="22"/>
        </w:rPr>
        <w:t xml:space="preserve"> Platnost rámcové smlouvy sice skončila v listopadu 2010, avšak </w:t>
      </w:r>
      <w:r w:rsidR="00A61F35">
        <w:rPr>
          <w:rFonts w:cs="Arial"/>
          <w:sz w:val="22"/>
          <w:szCs w:val="22"/>
        </w:rPr>
        <w:t>v </w:t>
      </w:r>
      <w:r w:rsidR="0090353F">
        <w:rPr>
          <w:rFonts w:cs="Arial"/>
          <w:sz w:val="22"/>
          <w:szCs w:val="22"/>
        </w:rPr>
        <w:t>dalších letech</w:t>
      </w:r>
      <w:r w:rsidR="00985319">
        <w:rPr>
          <w:rFonts w:cs="Arial"/>
          <w:sz w:val="22"/>
          <w:szCs w:val="22"/>
        </w:rPr>
        <w:t xml:space="preserve"> </w:t>
      </w:r>
      <w:r w:rsidR="0090353F">
        <w:rPr>
          <w:rFonts w:cs="Arial"/>
          <w:sz w:val="22"/>
          <w:szCs w:val="22"/>
        </w:rPr>
        <w:t xml:space="preserve">GŘ </w:t>
      </w:r>
      <w:r w:rsidR="00985319">
        <w:rPr>
          <w:rFonts w:cs="Arial"/>
          <w:sz w:val="22"/>
          <w:szCs w:val="22"/>
        </w:rPr>
        <w:t xml:space="preserve">využívalo </w:t>
      </w:r>
      <w:r w:rsidR="0090353F">
        <w:rPr>
          <w:rFonts w:cs="Arial"/>
          <w:sz w:val="22"/>
          <w:szCs w:val="22"/>
        </w:rPr>
        <w:t xml:space="preserve">pro zadávání právních služeb prováděcí smlouvy uzavřené ještě </w:t>
      </w:r>
      <w:r w:rsidR="00A61F35">
        <w:rPr>
          <w:rFonts w:cs="Arial"/>
          <w:sz w:val="22"/>
          <w:szCs w:val="22"/>
        </w:rPr>
        <w:t>v </w:t>
      </w:r>
      <w:r w:rsidR="0090353F">
        <w:rPr>
          <w:rFonts w:cs="Arial"/>
          <w:sz w:val="22"/>
          <w:szCs w:val="22"/>
        </w:rPr>
        <w:t>době platnosti rámcové smlouvy.</w:t>
      </w:r>
      <w:r w:rsidR="00032D74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Z </w:t>
      </w:r>
      <w:r w:rsidR="00942484">
        <w:rPr>
          <w:rFonts w:cs="Arial"/>
          <w:sz w:val="22"/>
          <w:szCs w:val="22"/>
        </w:rPr>
        <w:t xml:space="preserve">celkových nákladů na právní služby zaúčtovaných </w:t>
      </w:r>
      <w:r w:rsidR="00A61F35">
        <w:rPr>
          <w:rFonts w:cs="Arial"/>
          <w:sz w:val="22"/>
          <w:szCs w:val="22"/>
        </w:rPr>
        <w:t>v </w:t>
      </w:r>
      <w:r w:rsidR="00942484">
        <w:rPr>
          <w:rFonts w:cs="Arial"/>
          <w:sz w:val="22"/>
          <w:szCs w:val="22"/>
        </w:rPr>
        <w:t xml:space="preserve">uvedeném období na účtu 518 činily náklady </w:t>
      </w:r>
      <w:r w:rsidR="00081717">
        <w:rPr>
          <w:rFonts w:cs="Arial"/>
          <w:sz w:val="22"/>
          <w:szCs w:val="22"/>
        </w:rPr>
        <w:t>n</w:t>
      </w:r>
      <w:r w:rsidR="00942484">
        <w:rPr>
          <w:rFonts w:cs="Arial"/>
          <w:sz w:val="22"/>
          <w:szCs w:val="22"/>
        </w:rPr>
        <w:t>a právní služby poskytované na základě rámcové smlouvy 272</w:t>
      </w:r>
      <w:r w:rsidR="007945D9">
        <w:rPr>
          <w:rFonts w:cs="Arial"/>
          <w:sz w:val="22"/>
          <w:szCs w:val="22"/>
        </w:rPr>
        <w:t xml:space="preserve"> </w:t>
      </w:r>
      <w:r w:rsidR="00942484">
        <w:rPr>
          <w:rFonts w:cs="Arial"/>
          <w:sz w:val="22"/>
          <w:szCs w:val="22"/>
        </w:rPr>
        <w:t>846 tis. Kč, tj. 74 %.</w:t>
      </w:r>
    </w:p>
    <w:p w:rsidR="00942484" w:rsidRDefault="00942484" w:rsidP="003528D3">
      <w:pPr>
        <w:jc w:val="both"/>
        <w:rPr>
          <w:rFonts w:cs="Arial"/>
          <w:sz w:val="22"/>
          <w:szCs w:val="22"/>
        </w:rPr>
      </w:pPr>
    </w:p>
    <w:p w:rsidR="002D726C" w:rsidRDefault="0090353F" w:rsidP="003528D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GŘ uzavřelo </w:t>
      </w:r>
      <w:r w:rsidR="00A61F35">
        <w:rPr>
          <w:rFonts w:cs="Arial"/>
          <w:sz w:val="22"/>
          <w:szCs w:val="22"/>
        </w:rPr>
        <w:t>s </w:t>
      </w:r>
      <w:r>
        <w:rPr>
          <w:rFonts w:cs="Arial"/>
          <w:sz w:val="22"/>
          <w:szCs w:val="22"/>
        </w:rPr>
        <w:t xml:space="preserve">jedním </w:t>
      </w:r>
      <w:r w:rsidR="00A61F35">
        <w:rPr>
          <w:rFonts w:cs="Arial"/>
          <w:sz w:val="22"/>
          <w:szCs w:val="22"/>
        </w:rPr>
        <w:t>z </w:t>
      </w:r>
      <w:r>
        <w:rPr>
          <w:rFonts w:cs="Arial"/>
          <w:sz w:val="22"/>
          <w:szCs w:val="22"/>
        </w:rPr>
        <w:t xml:space="preserve">právních poradců </w:t>
      </w:r>
      <w:r w:rsidR="00A61F35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 xml:space="preserve">období od dubna 2009 do listopadu 2010 </w:t>
      </w:r>
      <w:r w:rsidR="006219B6">
        <w:rPr>
          <w:rFonts w:cs="Arial"/>
          <w:sz w:val="22"/>
          <w:szCs w:val="22"/>
        </w:rPr>
        <w:t xml:space="preserve">celkem 21 prováděcích smluv, přičemž 17 </w:t>
      </w:r>
      <w:r w:rsidR="00A61F35">
        <w:rPr>
          <w:rFonts w:cs="Arial"/>
          <w:sz w:val="22"/>
          <w:szCs w:val="22"/>
        </w:rPr>
        <w:t>z </w:t>
      </w:r>
      <w:r w:rsidR="004914E8">
        <w:rPr>
          <w:rFonts w:cs="Arial"/>
          <w:sz w:val="22"/>
          <w:szCs w:val="22"/>
        </w:rPr>
        <w:t>nich</w:t>
      </w:r>
      <w:r w:rsidR="006219B6">
        <w:rPr>
          <w:rFonts w:cs="Arial"/>
          <w:sz w:val="22"/>
          <w:szCs w:val="22"/>
        </w:rPr>
        <w:t xml:space="preserve"> uzavřelo před koncem platnosti rámcové smlouvy v období od</w:t>
      </w:r>
      <w:r w:rsidR="006219B6" w:rsidRPr="007238FE">
        <w:rPr>
          <w:rFonts w:cs="Arial"/>
          <w:sz w:val="22"/>
          <w:szCs w:val="22"/>
        </w:rPr>
        <w:t xml:space="preserve"> </w:t>
      </w:r>
      <w:r w:rsidR="006219B6">
        <w:rPr>
          <w:rFonts w:cs="Arial"/>
          <w:sz w:val="22"/>
          <w:szCs w:val="22"/>
        </w:rPr>
        <w:t>září do listopadu 2010. Právní poradce posk</w:t>
      </w:r>
      <w:r w:rsidR="001B0BC2">
        <w:rPr>
          <w:rFonts w:cs="Arial"/>
          <w:sz w:val="22"/>
          <w:szCs w:val="22"/>
        </w:rPr>
        <w:t>ytoval služby až do roku 2012 a </w:t>
      </w:r>
      <w:r w:rsidR="006219B6">
        <w:rPr>
          <w:rFonts w:cs="Arial"/>
          <w:sz w:val="22"/>
          <w:szCs w:val="22"/>
        </w:rPr>
        <w:t>ŘSD mu</w:t>
      </w:r>
      <w:r w:rsidR="006158BA">
        <w:rPr>
          <w:rFonts w:cs="Arial"/>
          <w:sz w:val="22"/>
          <w:szCs w:val="22"/>
        </w:rPr>
        <w:t xml:space="preserve"> za ně</w:t>
      </w:r>
      <w:r w:rsidR="006219B6">
        <w:rPr>
          <w:rFonts w:cs="Arial"/>
          <w:sz w:val="22"/>
          <w:szCs w:val="22"/>
        </w:rPr>
        <w:t xml:space="preserve"> uhradilo celkem 109</w:t>
      </w:r>
      <w:r w:rsidR="007945D9">
        <w:rPr>
          <w:rFonts w:cs="Arial"/>
          <w:sz w:val="22"/>
          <w:szCs w:val="22"/>
        </w:rPr>
        <w:t xml:space="preserve"> </w:t>
      </w:r>
      <w:r w:rsidR="006219B6">
        <w:rPr>
          <w:rFonts w:cs="Arial"/>
          <w:sz w:val="22"/>
          <w:szCs w:val="22"/>
        </w:rPr>
        <w:t>727 tis. Kč.</w:t>
      </w:r>
      <w:r w:rsidR="002D726C">
        <w:rPr>
          <w:rFonts w:cs="Arial"/>
          <w:sz w:val="22"/>
          <w:szCs w:val="22"/>
        </w:rPr>
        <w:t xml:space="preserve"> </w:t>
      </w:r>
      <w:r w:rsidR="002D726C" w:rsidRPr="002D726C">
        <w:rPr>
          <w:rFonts w:cs="Arial"/>
          <w:b/>
          <w:sz w:val="22"/>
          <w:szCs w:val="22"/>
        </w:rPr>
        <w:t>Poskytovaná plnění</w:t>
      </w:r>
      <w:r w:rsidR="002D726C">
        <w:rPr>
          <w:rFonts w:cs="Arial"/>
          <w:b/>
          <w:sz w:val="22"/>
          <w:szCs w:val="22"/>
        </w:rPr>
        <w:t xml:space="preserve"> na základě devíti</w:t>
      </w:r>
      <w:r w:rsidR="00C92667">
        <w:rPr>
          <w:rFonts w:cs="Arial"/>
          <w:b/>
          <w:sz w:val="22"/>
          <w:szCs w:val="22"/>
        </w:rPr>
        <w:t xml:space="preserve"> </w:t>
      </w:r>
      <w:r w:rsidR="00A61F35">
        <w:rPr>
          <w:rFonts w:cs="Arial"/>
          <w:b/>
          <w:sz w:val="22"/>
          <w:szCs w:val="22"/>
        </w:rPr>
        <w:t>z </w:t>
      </w:r>
      <w:r w:rsidR="002F1091">
        <w:rPr>
          <w:rFonts w:cs="Arial"/>
          <w:b/>
          <w:sz w:val="22"/>
          <w:szCs w:val="22"/>
        </w:rPr>
        <w:t>uvedených</w:t>
      </w:r>
      <w:r w:rsidR="00C92667">
        <w:rPr>
          <w:rFonts w:cs="Arial"/>
          <w:b/>
          <w:sz w:val="22"/>
          <w:szCs w:val="22"/>
        </w:rPr>
        <w:t xml:space="preserve"> 17 </w:t>
      </w:r>
      <w:r w:rsidR="002D726C">
        <w:rPr>
          <w:rFonts w:cs="Arial"/>
          <w:b/>
          <w:sz w:val="22"/>
          <w:szCs w:val="22"/>
        </w:rPr>
        <w:t xml:space="preserve">prováděcích </w:t>
      </w:r>
      <w:r w:rsidR="002D726C" w:rsidRPr="002D726C">
        <w:rPr>
          <w:rFonts w:cs="Arial"/>
          <w:b/>
          <w:sz w:val="22"/>
          <w:szCs w:val="22"/>
        </w:rPr>
        <w:t>smluv</w:t>
      </w:r>
      <w:r w:rsidR="002D726C">
        <w:rPr>
          <w:rFonts w:cs="Arial"/>
          <w:b/>
          <w:sz w:val="22"/>
          <w:szCs w:val="22"/>
        </w:rPr>
        <w:t xml:space="preserve"> </w:t>
      </w:r>
      <w:r w:rsidR="002D726C" w:rsidRPr="002D726C">
        <w:rPr>
          <w:rFonts w:cs="Arial"/>
          <w:b/>
          <w:sz w:val="22"/>
          <w:szCs w:val="22"/>
        </w:rPr>
        <w:t xml:space="preserve">uzavřených před koncem platnosti rámcové smlouvy však neodpovídala předmětu plnění vymezenému </w:t>
      </w:r>
      <w:r w:rsidR="00A61F35">
        <w:rPr>
          <w:rFonts w:cs="Arial"/>
          <w:b/>
          <w:sz w:val="22"/>
          <w:szCs w:val="22"/>
        </w:rPr>
        <w:t>v </w:t>
      </w:r>
      <w:r w:rsidR="002D726C" w:rsidRPr="002D726C">
        <w:rPr>
          <w:rFonts w:cs="Arial"/>
          <w:b/>
          <w:sz w:val="22"/>
          <w:szCs w:val="22"/>
        </w:rPr>
        <w:t>rámcové smlouvě</w:t>
      </w:r>
      <w:r w:rsidR="004C5405">
        <w:rPr>
          <w:rFonts w:cs="Arial"/>
          <w:b/>
          <w:sz w:val="22"/>
          <w:szCs w:val="22"/>
        </w:rPr>
        <w:t xml:space="preserve"> nebo v prováděcích smlouvách</w:t>
      </w:r>
      <w:r w:rsidR="002D726C">
        <w:rPr>
          <w:rFonts w:cs="Arial"/>
          <w:b/>
          <w:sz w:val="22"/>
          <w:szCs w:val="22"/>
        </w:rPr>
        <w:t>:</w:t>
      </w:r>
    </w:p>
    <w:p w:rsidR="00D03BCF" w:rsidRDefault="008816AC" w:rsidP="00D61FB3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B80D05">
        <w:rPr>
          <w:rFonts w:cs="Arial"/>
          <w:sz w:val="22"/>
          <w:szCs w:val="22"/>
        </w:rPr>
        <w:t xml:space="preserve">Předmět plnění vymezený </w:t>
      </w:r>
      <w:r w:rsidR="00A61F35">
        <w:rPr>
          <w:rFonts w:cs="Arial"/>
          <w:sz w:val="22"/>
          <w:szCs w:val="22"/>
        </w:rPr>
        <w:t>v </w:t>
      </w:r>
      <w:r w:rsidR="00B80D05">
        <w:rPr>
          <w:rFonts w:cs="Arial"/>
          <w:sz w:val="22"/>
          <w:szCs w:val="22"/>
        </w:rPr>
        <w:t>rámcové smlouvě byl podstatným způsobem překročen u</w:t>
      </w:r>
      <w:r w:rsidR="007945D9">
        <w:rPr>
          <w:rFonts w:cs="Arial"/>
          <w:sz w:val="22"/>
          <w:szCs w:val="22"/>
        </w:rPr>
        <w:t xml:space="preserve"> </w:t>
      </w:r>
      <w:r w:rsidR="00B66466">
        <w:rPr>
          <w:rFonts w:cs="Arial"/>
          <w:sz w:val="22"/>
          <w:szCs w:val="22"/>
        </w:rPr>
        <w:t>tří prováděcích smluv</w:t>
      </w:r>
      <w:r w:rsidR="00B80D05">
        <w:rPr>
          <w:rFonts w:cs="Arial"/>
          <w:sz w:val="22"/>
          <w:szCs w:val="22"/>
        </w:rPr>
        <w:t>, které</w:t>
      </w:r>
      <w:r w:rsidR="00B66466">
        <w:rPr>
          <w:rFonts w:cs="Arial"/>
          <w:sz w:val="22"/>
          <w:szCs w:val="22"/>
        </w:rPr>
        <w:t xml:space="preserve"> se týkaly auditu organizačního řádu a vnitřních předpisů ŘSD, poradenství spojeného </w:t>
      </w:r>
      <w:r w:rsidR="00A61F35">
        <w:rPr>
          <w:rFonts w:cs="Arial"/>
          <w:sz w:val="22"/>
          <w:szCs w:val="22"/>
        </w:rPr>
        <w:t>s </w:t>
      </w:r>
      <w:r w:rsidR="00B66466">
        <w:rPr>
          <w:rFonts w:cs="Arial"/>
          <w:sz w:val="22"/>
          <w:szCs w:val="22"/>
        </w:rPr>
        <w:t>realizací nové personální politik</w:t>
      </w:r>
      <w:r w:rsidR="00B80D05">
        <w:rPr>
          <w:rFonts w:cs="Arial"/>
          <w:sz w:val="22"/>
          <w:szCs w:val="22"/>
        </w:rPr>
        <w:t>y a vytvoření systému archivace</w:t>
      </w:r>
      <w:r w:rsidR="00B66466">
        <w:rPr>
          <w:rFonts w:cs="Arial"/>
          <w:sz w:val="22"/>
          <w:szCs w:val="22"/>
        </w:rPr>
        <w:t xml:space="preserve">. </w:t>
      </w:r>
      <w:r w:rsidR="00B80D05">
        <w:rPr>
          <w:rFonts w:cs="Arial"/>
          <w:b/>
          <w:sz w:val="22"/>
          <w:szCs w:val="22"/>
        </w:rPr>
        <w:t>P</w:t>
      </w:r>
      <w:r w:rsidR="00B66466" w:rsidRPr="00B66466">
        <w:rPr>
          <w:rFonts w:cs="Arial"/>
          <w:b/>
          <w:sz w:val="22"/>
          <w:szCs w:val="22"/>
        </w:rPr>
        <w:t xml:space="preserve">oskytovaná </w:t>
      </w:r>
      <w:r w:rsidR="00B80D05">
        <w:rPr>
          <w:rFonts w:cs="Arial"/>
          <w:b/>
          <w:sz w:val="22"/>
          <w:szCs w:val="22"/>
        </w:rPr>
        <w:t>p</w:t>
      </w:r>
      <w:r w:rsidR="00B80D05" w:rsidRPr="00B66466">
        <w:rPr>
          <w:rFonts w:cs="Arial"/>
          <w:b/>
          <w:sz w:val="22"/>
          <w:szCs w:val="22"/>
        </w:rPr>
        <w:t xml:space="preserve">lnění </w:t>
      </w:r>
      <w:r w:rsidR="004914E8">
        <w:rPr>
          <w:rFonts w:cs="Arial"/>
          <w:b/>
          <w:sz w:val="22"/>
          <w:szCs w:val="22"/>
        </w:rPr>
        <w:t>se netýkala</w:t>
      </w:r>
      <w:r w:rsidR="00B66466" w:rsidRPr="00B66466">
        <w:rPr>
          <w:rFonts w:cs="Arial"/>
          <w:b/>
          <w:sz w:val="22"/>
          <w:szCs w:val="22"/>
        </w:rPr>
        <w:t xml:space="preserve"> právních služeb, za něž byla dohodnuta cena 3</w:t>
      </w:r>
      <w:r w:rsidR="00D61FB3">
        <w:rPr>
          <w:rFonts w:cs="Arial"/>
          <w:b/>
          <w:sz w:val="22"/>
          <w:szCs w:val="22"/>
        </w:rPr>
        <w:t> </w:t>
      </w:r>
      <w:r w:rsidR="00B66466" w:rsidRPr="00B66466">
        <w:rPr>
          <w:rFonts w:cs="Arial"/>
          <w:b/>
          <w:sz w:val="22"/>
          <w:szCs w:val="22"/>
        </w:rPr>
        <w:t>500</w:t>
      </w:r>
      <w:r w:rsidR="00D61FB3">
        <w:rPr>
          <w:rFonts w:cs="Arial"/>
          <w:b/>
          <w:sz w:val="22"/>
          <w:szCs w:val="22"/>
        </w:rPr>
        <w:t> </w:t>
      </w:r>
      <w:r w:rsidR="00B66466" w:rsidRPr="00B66466">
        <w:rPr>
          <w:rFonts w:cs="Arial"/>
          <w:b/>
          <w:sz w:val="22"/>
          <w:szCs w:val="22"/>
        </w:rPr>
        <w:t>Kč/hod.</w:t>
      </w:r>
      <w:r w:rsidR="00B66466">
        <w:rPr>
          <w:rFonts w:cs="Arial"/>
          <w:sz w:val="22"/>
          <w:szCs w:val="22"/>
        </w:rPr>
        <w:t xml:space="preserve"> GŘ za </w:t>
      </w:r>
      <w:r w:rsidR="00B80D05">
        <w:rPr>
          <w:rFonts w:cs="Arial"/>
          <w:sz w:val="22"/>
          <w:szCs w:val="22"/>
        </w:rPr>
        <w:t>ně</w:t>
      </w:r>
      <w:r w:rsidR="00B66466">
        <w:rPr>
          <w:rFonts w:cs="Arial"/>
          <w:sz w:val="22"/>
          <w:szCs w:val="22"/>
        </w:rPr>
        <w:t xml:space="preserve"> uhradilo</w:t>
      </w:r>
      <w:r w:rsidR="001B0BC2">
        <w:rPr>
          <w:rFonts w:cs="Arial"/>
          <w:sz w:val="22"/>
          <w:szCs w:val="22"/>
        </w:rPr>
        <w:t xml:space="preserve"> právnímu poradci celkem 16</w:t>
      </w:r>
      <w:r w:rsidR="007945D9">
        <w:rPr>
          <w:rFonts w:cs="Arial"/>
          <w:sz w:val="22"/>
          <w:szCs w:val="22"/>
        </w:rPr>
        <w:t xml:space="preserve"> </w:t>
      </w:r>
      <w:r w:rsidR="001B0BC2">
        <w:rPr>
          <w:rFonts w:cs="Arial"/>
          <w:sz w:val="22"/>
          <w:szCs w:val="22"/>
        </w:rPr>
        <w:t>040</w:t>
      </w:r>
      <w:r w:rsidR="007945D9">
        <w:rPr>
          <w:rFonts w:cs="Arial"/>
          <w:sz w:val="22"/>
          <w:szCs w:val="22"/>
        </w:rPr>
        <w:t xml:space="preserve"> </w:t>
      </w:r>
      <w:r w:rsidR="00B66466">
        <w:rPr>
          <w:rFonts w:cs="Arial"/>
          <w:sz w:val="22"/>
          <w:szCs w:val="22"/>
        </w:rPr>
        <w:t xml:space="preserve">tis. Kč. </w:t>
      </w:r>
      <w:r w:rsidR="00B66466" w:rsidRPr="00B66466">
        <w:rPr>
          <w:rFonts w:cs="Arial"/>
          <w:b/>
          <w:sz w:val="22"/>
          <w:szCs w:val="22"/>
        </w:rPr>
        <w:t>Řadu uhrazených činností a</w:t>
      </w:r>
      <w:r w:rsidR="007945D9">
        <w:rPr>
          <w:rFonts w:cs="Arial"/>
          <w:b/>
          <w:sz w:val="22"/>
          <w:szCs w:val="22"/>
        </w:rPr>
        <w:t xml:space="preserve"> </w:t>
      </w:r>
      <w:r w:rsidR="00D03BCF" w:rsidRPr="00B66466">
        <w:rPr>
          <w:rFonts w:cs="Arial"/>
          <w:b/>
          <w:sz w:val="22"/>
          <w:szCs w:val="22"/>
        </w:rPr>
        <w:t xml:space="preserve">prací by přitom mělo </w:t>
      </w:r>
      <w:r w:rsidR="00B66466" w:rsidRPr="00B66466">
        <w:rPr>
          <w:rFonts w:cs="Arial"/>
          <w:b/>
          <w:sz w:val="22"/>
          <w:szCs w:val="22"/>
        </w:rPr>
        <w:t xml:space="preserve">ŘSD </w:t>
      </w:r>
      <w:r w:rsidR="00D03BCF" w:rsidRPr="00B66466">
        <w:rPr>
          <w:rFonts w:cs="Arial"/>
          <w:b/>
          <w:sz w:val="22"/>
          <w:szCs w:val="22"/>
        </w:rPr>
        <w:t>vykonávat vlastními zaměstnanci.</w:t>
      </w:r>
      <w:r w:rsidR="00D03BCF">
        <w:rPr>
          <w:rFonts w:cs="Arial"/>
          <w:sz w:val="22"/>
          <w:szCs w:val="22"/>
        </w:rPr>
        <w:t xml:space="preserve"> </w:t>
      </w:r>
      <w:r w:rsidR="00E0014D">
        <w:rPr>
          <w:rFonts w:cs="Arial"/>
          <w:sz w:val="22"/>
          <w:szCs w:val="22"/>
        </w:rPr>
        <w:t xml:space="preserve">GŘ </w:t>
      </w:r>
      <w:r w:rsidR="00C21BA1">
        <w:rPr>
          <w:rFonts w:cs="Arial"/>
          <w:sz w:val="22"/>
          <w:szCs w:val="22"/>
        </w:rPr>
        <w:t xml:space="preserve">například </w:t>
      </w:r>
      <w:r w:rsidR="00E0014D">
        <w:rPr>
          <w:rFonts w:cs="Arial"/>
          <w:sz w:val="22"/>
          <w:szCs w:val="22"/>
        </w:rPr>
        <w:t>uhradilo</w:t>
      </w:r>
      <w:r w:rsidR="007D07A1">
        <w:rPr>
          <w:rFonts w:cs="Arial"/>
          <w:sz w:val="22"/>
          <w:szCs w:val="22"/>
        </w:rPr>
        <w:t xml:space="preserve"> </w:t>
      </w:r>
      <w:r w:rsidR="00D03BCF">
        <w:rPr>
          <w:rFonts w:cs="Arial"/>
          <w:sz w:val="22"/>
          <w:szCs w:val="22"/>
        </w:rPr>
        <w:t>tyto práce:</w:t>
      </w:r>
    </w:p>
    <w:p w:rsidR="00D03BCF" w:rsidRDefault="00081717" w:rsidP="00D61FB3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vyhotovení o</w:t>
      </w:r>
      <w:r w:rsidR="00D03BCF">
        <w:rPr>
          <w:rFonts w:cs="Arial"/>
          <w:sz w:val="22"/>
          <w:szCs w:val="22"/>
        </w:rPr>
        <w:t>bráz</w:t>
      </w:r>
      <w:r>
        <w:rPr>
          <w:rFonts w:cs="Arial"/>
          <w:sz w:val="22"/>
          <w:szCs w:val="22"/>
        </w:rPr>
        <w:t>ku</w:t>
      </w:r>
      <w:r w:rsidR="00D03BCF">
        <w:rPr>
          <w:rFonts w:cs="Arial"/>
          <w:sz w:val="22"/>
          <w:szCs w:val="22"/>
        </w:rPr>
        <w:t xml:space="preserve"> ke směrnici (2 hod. za 7</w:t>
      </w:r>
      <w:r w:rsidR="007945D9">
        <w:rPr>
          <w:rFonts w:cs="Arial"/>
          <w:sz w:val="22"/>
          <w:szCs w:val="22"/>
        </w:rPr>
        <w:t xml:space="preserve"> </w:t>
      </w:r>
      <w:r w:rsidR="00D03BCF">
        <w:rPr>
          <w:rFonts w:cs="Arial"/>
          <w:sz w:val="22"/>
          <w:szCs w:val="22"/>
        </w:rPr>
        <w:t xml:space="preserve">000 Kč), </w:t>
      </w:r>
      <w:r>
        <w:rPr>
          <w:rFonts w:cs="Arial"/>
          <w:sz w:val="22"/>
          <w:szCs w:val="22"/>
        </w:rPr>
        <w:t xml:space="preserve">vyhotovení </w:t>
      </w:r>
      <w:r w:rsidR="00D03BCF">
        <w:rPr>
          <w:rFonts w:cs="Arial"/>
          <w:sz w:val="22"/>
          <w:szCs w:val="22"/>
        </w:rPr>
        <w:t>graf</w:t>
      </w:r>
      <w:r>
        <w:rPr>
          <w:rFonts w:cs="Arial"/>
          <w:sz w:val="22"/>
          <w:szCs w:val="22"/>
        </w:rPr>
        <w:t>u</w:t>
      </w:r>
      <w:r w:rsidR="00D03BCF">
        <w:rPr>
          <w:rFonts w:cs="Arial"/>
          <w:sz w:val="22"/>
          <w:szCs w:val="22"/>
        </w:rPr>
        <w:t xml:space="preserve"> ke směrnici (0,5</w:t>
      </w:r>
      <w:r w:rsidR="001F6A6B">
        <w:rPr>
          <w:rFonts w:cs="Arial"/>
          <w:sz w:val="22"/>
          <w:szCs w:val="22"/>
        </w:rPr>
        <w:t> </w:t>
      </w:r>
      <w:r w:rsidR="00D03BCF">
        <w:rPr>
          <w:rFonts w:cs="Arial"/>
          <w:sz w:val="22"/>
          <w:szCs w:val="22"/>
        </w:rPr>
        <w:t>hod. za 1</w:t>
      </w:r>
      <w:r w:rsidR="007945D9">
        <w:rPr>
          <w:rFonts w:cs="Arial"/>
          <w:sz w:val="22"/>
          <w:szCs w:val="22"/>
        </w:rPr>
        <w:t xml:space="preserve"> </w:t>
      </w:r>
      <w:r w:rsidR="00D03BCF">
        <w:rPr>
          <w:rFonts w:cs="Arial"/>
          <w:sz w:val="22"/>
          <w:szCs w:val="22"/>
        </w:rPr>
        <w:t>750 Kč), formální úprav</w:t>
      </w:r>
      <w:r>
        <w:rPr>
          <w:rFonts w:cs="Arial"/>
          <w:sz w:val="22"/>
          <w:szCs w:val="22"/>
        </w:rPr>
        <w:t>u</w:t>
      </w:r>
      <w:r w:rsidR="00D03BCF">
        <w:rPr>
          <w:rFonts w:cs="Arial"/>
          <w:sz w:val="22"/>
          <w:szCs w:val="22"/>
        </w:rPr>
        <w:t xml:space="preserve"> směrnic (4,5 hod. za 15</w:t>
      </w:r>
      <w:r w:rsidR="007945D9">
        <w:rPr>
          <w:rFonts w:cs="Arial"/>
          <w:sz w:val="22"/>
          <w:szCs w:val="22"/>
        </w:rPr>
        <w:t xml:space="preserve"> </w:t>
      </w:r>
      <w:r w:rsidR="00D03BCF">
        <w:rPr>
          <w:rFonts w:cs="Arial"/>
          <w:sz w:val="22"/>
          <w:szCs w:val="22"/>
        </w:rPr>
        <w:t>750 Kč), archivac</w:t>
      </w:r>
      <w:r>
        <w:rPr>
          <w:rFonts w:cs="Arial"/>
          <w:sz w:val="22"/>
          <w:szCs w:val="22"/>
        </w:rPr>
        <w:t>i</w:t>
      </w:r>
      <w:r w:rsidR="00D03BCF">
        <w:rPr>
          <w:rFonts w:cs="Arial"/>
          <w:sz w:val="22"/>
          <w:szCs w:val="22"/>
        </w:rPr>
        <w:t xml:space="preserve"> smluv (44,25 hod. za 154</w:t>
      </w:r>
      <w:r w:rsidR="00D61FB3">
        <w:rPr>
          <w:rFonts w:cs="Arial"/>
          <w:sz w:val="22"/>
          <w:szCs w:val="22"/>
        </w:rPr>
        <w:t> </w:t>
      </w:r>
      <w:r w:rsidR="00D03BCF">
        <w:rPr>
          <w:rFonts w:cs="Arial"/>
          <w:sz w:val="22"/>
          <w:szCs w:val="22"/>
        </w:rPr>
        <w:t>875</w:t>
      </w:r>
      <w:r w:rsidR="00D61FB3">
        <w:rPr>
          <w:rFonts w:cs="Arial"/>
          <w:sz w:val="22"/>
          <w:szCs w:val="22"/>
        </w:rPr>
        <w:t> </w:t>
      </w:r>
      <w:r w:rsidR="00D03BCF">
        <w:rPr>
          <w:rFonts w:cs="Arial"/>
          <w:sz w:val="22"/>
          <w:szCs w:val="22"/>
        </w:rPr>
        <w:t>Kč), úprav</w:t>
      </w:r>
      <w:r>
        <w:rPr>
          <w:rFonts w:cs="Arial"/>
          <w:sz w:val="22"/>
          <w:szCs w:val="22"/>
        </w:rPr>
        <w:t>u</w:t>
      </w:r>
      <w:r w:rsidR="00D03BCF">
        <w:rPr>
          <w:rFonts w:cs="Arial"/>
          <w:sz w:val="22"/>
          <w:szCs w:val="22"/>
        </w:rPr>
        <w:t xml:space="preserve"> tabulky </w:t>
      </w:r>
      <w:r w:rsidR="00A61F35">
        <w:rPr>
          <w:rFonts w:cs="Arial"/>
          <w:sz w:val="22"/>
          <w:szCs w:val="22"/>
        </w:rPr>
        <w:t>z </w:t>
      </w:r>
      <w:r w:rsidR="00D03BCF">
        <w:rPr>
          <w:rFonts w:cs="Arial"/>
          <w:sz w:val="22"/>
          <w:szCs w:val="22"/>
        </w:rPr>
        <w:t>archivace smluv (27,25 hod. za 95</w:t>
      </w:r>
      <w:r>
        <w:rPr>
          <w:rFonts w:cs="Arial"/>
          <w:sz w:val="22"/>
          <w:szCs w:val="22"/>
        </w:rPr>
        <w:t> </w:t>
      </w:r>
      <w:r w:rsidR="00D03BCF">
        <w:rPr>
          <w:rFonts w:cs="Arial"/>
          <w:sz w:val="22"/>
          <w:szCs w:val="22"/>
        </w:rPr>
        <w:t>375 Kč), vytváření seznamu a místa uložení dokumentů (10 hod. za 35</w:t>
      </w:r>
      <w:r w:rsidR="007945D9">
        <w:rPr>
          <w:rFonts w:cs="Arial"/>
          <w:sz w:val="22"/>
          <w:szCs w:val="22"/>
        </w:rPr>
        <w:t xml:space="preserve"> </w:t>
      </w:r>
      <w:r w:rsidR="00D03BCF">
        <w:rPr>
          <w:rFonts w:cs="Arial"/>
          <w:sz w:val="22"/>
          <w:szCs w:val="22"/>
        </w:rPr>
        <w:t xml:space="preserve">000 Kč), přestěhování archivu </w:t>
      </w:r>
      <w:r w:rsidR="00A61F35">
        <w:rPr>
          <w:rFonts w:cs="Arial"/>
          <w:sz w:val="22"/>
          <w:szCs w:val="22"/>
        </w:rPr>
        <w:t>z </w:t>
      </w:r>
      <w:r w:rsidR="00D03BCF">
        <w:rPr>
          <w:rFonts w:cs="Arial"/>
          <w:sz w:val="22"/>
          <w:szCs w:val="22"/>
        </w:rPr>
        <w:t>2</w:t>
      </w:r>
      <w:r w:rsidR="00D364B4">
        <w:rPr>
          <w:rFonts w:cs="Arial"/>
          <w:sz w:val="22"/>
          <w:szCs w:val="22"/>
        </w:rPr>
        <w:t>.</w:t>
      </w:r>
      <w:r w:rsidR="00D03BCF">
        <w:rPr>
          <w:rFonts w:cs="Arial"/>
          <w:sz w:val="22"/>
          <w:szCs w:val="22"/>
        </w:rPr>
        <w:t xml:space="preserve"> do 4</w:t>
      </w:r>
      <w:r w:rsidR="00D364B4">
        <w:rPr>
          <w:rFonts w:cs="Arial"/>
          <w:sz w:val="22"/>
          <w:szCs w:val="22"/>
        </w:rPr>
        <w:t>.</w:t>
      </w:r>
      <w:r w:rsidR="00D03BCF">
        <w:rPr>
          <w:rFonts w:cs="Arial"/>
          <w:sz w:val="22"/>
          <w:szCs w:val="22"/>
        </w:rPr>
        <w:t xml:space="preserve"> patra (8,5 hod. za 29</w:t>
      </w:r>
      <w:r w:rsidR="007945D9">
        <w:rPr>
          <w:rFonts w:cs="Arial"/>
          <w:sz w:val="22"/>
          <w:szCs w:val="22"/>
        </w:rPr>
        <w:t xml:space="preserve"> </w:t>
      </w:r>
      <w:r w:rsidR="00D03BCF">
        <w:rPr>
          <w:rFonts w:cs="Arial"/>
          <w:sz w:val="22"/>
          <w:szCs w:val="22"/>
        </w:rPr>
        <w:t>750 Kč) apod.</w:t>
      </w:r>
    </w:p>
    <w:p w:rsidR="00E0014D" w:rsidRDefault="00E0014D" w:rsidP="000F38F0">
      <w:pPr>
        <w:jc w:val="both"/>
        <w:rPr>
          <w:rFonts w:cs="Arial"/>
          <w:sz w:val="22"/>
          <w:szCs w:val="22"/>
        </w:rPr>
      </w:pPr>
    </w:p>
    <w:p w:rsidR="00CC30AC" w:rsidRDefault="00CC30AC" w:rsidP="000F38F0">
      <w:pPr>
        <w:jc w:val="both"/>
        <w:rPr>
          <w:rFonts w:cs="Arial"/>
          <w:sz w:val="22"/>
          <w:szCs w:val="22"/>
        </w:rPr>
      </w:pPr>
    </w:p>
    <w:p w:rsidR="00DE7577" w:rsidRDefault="009A1C9B" w:rsidP="00D61FB3">
      <w:pPr>
        <w:ind w:left="284"/>
        <w:jc w:val="both"/>
        <w:rPr>
          <w:rFonts w:cs="Arial"/>
          <w:sz w:val="22"/>
          <w:szCs w:val="22"/>
        </w:rPr>
      </w:pPr>
      <w:proofErr w:type="spellStart"/>
      <w:r w:rsidRPr="004C5405">
        <w:rPr>
          <w:rFonts w:cs="Arial"/>
          <w:b/>
          <w:sz w:val="22"/>
          <w:szCs w:val="22"/>
        </w:rPr>
        <w:lastRenderedPageBreak/>
        <w:t>GŘ</w:t>
      </w:r>
      <w:proofErr w:type="spellEnd"/>
      <w:r>
        <w:rPr>
          <w:rFonts w:cs="Arial"/>
          <w:b/>
          <w:sz w:val="22"/>
          <w:szCs w:val="22"/>
        </w:rPr>
        <w:t xml:space="preserve"> u jedné prováděcí smlouvy </w:t>
      </w:r>
      <w:r w:rsidRPr="004C5405">
        <w:rPr>
          <w:rFonts w:cs="Arial"/>
          <w:b/>
          <w:sz w:val="22"/>
          <w:szCs w:val="22"/>
        </w:rPr>
        <w:t xml:space="preserve">nedoložilo </w:t>
      </w:r>
      <w:r>
        <w:rPr>
          <w:rFonts w:cs="Arial"/>
          <w:b/>
          <w:sz w:val="22"/>
          <w:szCs w:val="22"/>
        </w:rPr>
        <w:t>odpovídajícím</w:t>
      </w:r>
      <w:r w:rsidR="00E0014D" w:rsidRPr="004C5405">
        <w:rPr>
          <w:rFonts w:cs="Arial"/>
          <w:b/>
          <w:sz w:val="22"/>
          <w:szCs w:val="22"/>
        </w:rPr>
        <w:t xml:space="preserve"> způsobem věcná plnění</w:t>
      </w:r>
      <w:r>
        <w:rPr>
          <w:rFonts w:cs="Arial"/>
          <w:b/>
          <w:sz w:val="22"/>
          <w:szCs w:val="22"/>
        </w:rPr>
        <w:t xml:space="preserve"> a</w:t>
      </w:r>
      <w:r w:rsidR="00D61FB3">
        <w:rPr>
          <w:rFonts w:cs="Arial"/>
          <w:b/>
          <w:sz w:val="22"/>
          <w:szCs w:val="22"/>
        </w:rPr>
        <w:t> </w:t>
      </w:r>
      <w:r>
        <w:rPr>
          <w:rFonts w:cs="Arial"/>
          <w:b/>
          <w:sz w:val="22"/>
          <w:szCs w:val="22"/>
        </w:rPr>
        <w:t>u zbylých dvou prováděcích smluv je nedoložilo vůbec.</w:t>
      </w:r>
      <w:r w:rsidR="00E0014D" w:rsidRPr="004C5405">
        <w:rPr>
          <w:rFonts w:cs="Arial"/>
          <w:b/>
          <w:sz w:val="22"/>
          <w:szCs w:val="22"/>
        </w:rPr>
        <w:t xml:space="preserve"> </w:t>
      </w:r>
      <w:r w:rsidR="00E0014D">
        <w:rPr>
          <w:rFonts w:cs="Arial"/>
          <w:sz w:val="22"/>
          <w:szCs w:val="22"/>
        </w:rPr>
        <w:t xml:space="preserve">Nebylo tak možno </w:t>
      </w:r>
      <w:r w:rsidR="00DE7577">
        <w:rPr>
          <w:rFonts w:cs="Arial"/>
          <w:sz w:val="22"/>
          <w:szCs w:val="22"/>
        </w:rPr>
        <w:t xml:space="preserve">objektivně vyhodnotit využití pořízených služeb </w:t>
      </w:r>
      <w:r w:rsidR="00A61F35">
        <w:rPr>
          <w:rFonts w:cs="Arial"/>
          <w:sz w:val="22"/>
          <w:szCs w:val="22"/>
        </w:rPr>
        <w:t>v </w:t>
      </w:r>
      <w:r w:rsidR="00DE7577">
        <w:rPr>
          <w:rFonts w:cs="Arial"/>
          <w:sz w:val="22"/>
          <w:szCs w:val="22"/>
        </w:rPr>
        <w:t>ce</w:t>
      </w:r>
      <w:r w:rsidR="00255605">
        <w:rPr>
          <w:rFonts w:cs="Arial"/>
          <w:sz w:val="22"/>
          <w:szCs w:val="22"/>
        </w:rPr>
        <w:t xml:space="preserve">lkové ceně 16 </w:t>
      </w:r>
      <w:r w:rsidR="00D03BCF">
        <w:rPr>
          <w:rFonts w:cs="Arial"/>
          <w:sz w:val="22"/>
          <w:szCs w:val="22"/>
        </w:rPr>
        <w:t>0</w:t>
      </w:r>
      <w:r w:rsidR="00255605">
        <w:rPr>
          <w:rFonts w:cs="Arial"/>
          <w:sz w:val="22"/>
          <w:szCs w:val="22"/>
        </w:rPr>
        <w:t>40 tis</w:t>
      </w:r>
      <w:r w:rsidR="00D03BCF">
        <w:rPr>
          <w:rFonts w:cs="Arial"/>
          <w:sz w:val="22"/>
          <w:szCs w:val="22"/>
        </w:rPr>
        <w:t>. Kč pro ŘSD</w:t>
      </w:r>
      <w:r w:rsidR="00E0014D">
        <w:rPr>
          <w:rFonts w:cs="Arial"/>
          <w:sz w:val="22"/>
          <w:szCs w:val="22"/>
        </w:rPr>
        <w:t xml:space="preserve"> ani podíl právního poradce na zpracování příslušných dokumentů</w:t>
      </w:r>
      <w:r w:rsidR="004C5405">
        <w:rPr>
          <w:rFonts w:cs="Arial"/>
          <w:sz w:val="22"/>
          <w:szCs w:val="22"/>
        </w:rPr>
        <w:t>.</w:t>
      </w:r>
    </w:p>
    <w:p w:rsidR="00DE7577" w:rsidRDefault="00DE7577" w:rsidP="008816AC">
      <w:pPr>
        <w:ind w:left="142" w:hanging="142"/>
        <w:jc w:val="both"/>
        <w:rPr>
          <w:rFonts w:cs="Arial"/>
          <w:sz w:val="22"/>
          <w:szCs w:val="22"/>
        </w:rPr>
      </w:pPr>
    </w:p>
    <w:p w:rsidR="004C5405" w:rsidRDefault="008816AC" w:rsidP="00D61FB3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D364B4">
        <w:rPr>
          <w:rFonts w:cs="Arial"/>
          <w:sz w:val="22"/>
          <w:szCs w:val="22"/>
        </w:rPr>
        <w:t>U dalších</w:t>
      </w:r>
      <w:r w:rsidR="00D364B4" w:rsidRPr="00DE7577">
        <w:rPr>
          <w:rFonts w:cs="Arial"/>
          <w:sz w:val="22"/>
          <w:szCs w:val="22"/>
        </w:rPr>
        <w:t xml:space="preserve"> šesti</w:t>
      </w:r>
      <w:r w:rsidR="00D364B4">
        <w:rPr>
          <w:rFonts w:cs="Arial"/>
          <w:sz w:val="22"/>
          <w:szCs w:val="22"/>
        </w:rPr>
        <w:t xml:space="preserve"> prováděcích smluv, za jejichž plnění uhradilo GŘ právnímu poradci celkem 73 457 tis. Kč, nespadala </w:t>
      </w:r>
      <w:r w:rsidR="004C5405">
        <w:rPr>
          <w:rFonts w:cs="Arial"/>
          <w:sz w:val="22"/>
          <w:szCs w:val="22"/>
        </w:rPr>
        <w:t>pod</w:t>
      </w:r>
      <w:r w:rsidR="00D364B4">
        <w:rPr>
          <w:rFonts w:cs="Arial"/>
          <w:sz w:val="22"/>
          <w:szCs w:val="22"/>
        </w:rPr>
        <w:t xml:space="preserve"> jejich</w:t>
      </w:r>
      <w:r w:rsidR="004C5405">
        <w:rPr>
          <w:rFonts w:cs="Arial"/>
          <w:sz w:val="22"/>
          <w:szCs w:val="22"/>
        </w:rPr>
        <w:t xml:space="preserve"> předmět plnění ani pod předmět rámcové smlouvy</w:t>
      </w:r>
      <w:r w:rsidR="00C21BA1" w:rsidRPr="00C21BA1">
        <w:rPr>
          <w:rFonts w:cs="Arial"/>
          <w:sz w:val="22"/>
          <w:szCs w:val="22"/>
        </w:rPr>
        <w:t xml:space="preserve"> </w:t>
      </w:r>
      <w:r w:rsidR="00C21BA1">
        <w:rPr>
          <w:rFonts w:cs="Arial"/>
          <w:sz w:val="22"/>
          <w:szCs w:val="22"/>
        </w:rPr>
        <w:t>část provedených činností</w:t>
      </w:r>
      <w:r w:rsidR="004C5405">
        <w:rPr>
          <w:rFonts w:cs="Arial"/>
          <w:sz w:val="22"/>
          <w:szCs w:val="22"/>
        </w:rPr>
        <w:t>.</w:t>
      </w:r>
      <w:r w:rsidR="00B137AC">
        <w:rPr>
          <w:rFonts w:cs="Arial"/>
          <w:sz w:val="22"/>
          <w:szCs w:val="22"/>
        </w:rPr>
        <w:t xml:space="preserve"> </w:t>
      </w:r>
      <w:r w:rsidR="00B87ED1">
        <w:rPr>
          <w:rFonts w:cs="Arial"/>
          <w:sz w:val="22"/>
          <w:szCs w:val="22"/>
        </w:rPr>
        <w:t xml:space="preserve">Tyto činnosti prováděl právní poradce </w:t>
      </w:r>
      <w:r w:rsidR="00B87ED1" w:rsidRPr="00DE7577">
        <w:rPr>
          <w:rFonts w:cs="Arial"/>
          <w:sz w:val="22"/>
          <w:szCs w:val="22"/>
        </w:rPr>
        <w:t>prostřednictvím subdodavatelů a plnění na základě jimi vystavených dokladů</w:t>
      </w:r>
      <w:r w:rsidR="00B87ED1">
        <w:rPr>
          <w:rFonts w:cs="Arial"/>
          <w:sz w:val="22"/>
          <w:szCs w:val="22"/>
        </w:rPr>
        <w:t xml:space="preserve"> </w:t>
      </w:r>
      <w:r w:rsidR="009A1C9B">
        <w:rPr>
          <w:rFonts w:cs="Arial"/>
          <w:sz w:val="22"/>
          <w:szCs w:val="22"/>
        </w:rPr>
        <w:t>jen</w:t>
      </w:r>
      <w:r w:rsidR="00B87ED1">
        <w:rPr>
          <w:rFonts w:cs="Arial"/>
          <w:sz w:val="22"/>
          <w:szCs w:val="22"/>
        </w:rPr>
        <w:t xml:space="preserve"> </w:t>
      </w:r>
      <w:r w:rsidR="009A1C9B">
        <w:rPr>
          <w:rFonts w:cs="Arial"/>
          <w:sz w:val="22"/>
          <w:szCs w:val="22"/>
        </w:rPr>
        <w:t>přefakturoval</w:t>
      </w:r>
      <w:r w:rsidR="00B87ED1" w:rsidRPr="00DE7577">
        <w:rPr>
          <w:rFonts w:cs="Arial"/>
          <w:sz w:val="22"/>
          <w:szCs w:val="22"/>
        </w:rPr>
        <w:t>.</w:t>
      </w:r>
      <w:r w:rsidR="00B87ED1">
        <w:rPr>
          <w:rFonts w:cs="Arial"/>
          <w:sz w:val="22"/>
          <w:szCs w:val="22"/>
        </w:rPr>
        <w:t xml:space="preserve"> </w:t>
      </w:r>
      <w:r w:rsidR="00E36DF1">
        <w:rPr>
          <w:rFonts w:cs="Arial"/>
          <w:sz w:val="22"/>
          <w:szCs w:val="22"/>
        </w:rPr>
        <w:t>GŘ</w:t>
      </w:r>
      <w:r w:rsidR="00B87ED1">
        <w:rPr>
          <w:rFonts w:cs="Arial"/>
          <w:sz w:val="22"/>
          <w:szCs w:val="22"/>
        </w:rPr>
        <w:t xml:space="preserve"> za ně</w:t>
      </w:r>
      <w:r w:rsidR="00E36DF1">
        <w:rPr>
          <w:rFonts w:cs="Arial"/>
          <w:sz w:val="22"/>
          <w:szCs w:val="22"/>
        </w:rPr>
        <w:t xml:space="preserve"> uhradilo </w:t>
      </w:r>
      <w:r w:rsidR="00B137AC">
        <w:rPr>
          <w:rFonts w:cs="Arial"/>
          <w:sz w:val="22"/>
          <w:szCs w:val="22"/>
        </w:rPr>
        <w:t>37</w:t>
      </w:r>
      <w:r w:rsidR="007945D9">
        <w:rPr>
          <w:rFonts w:cs="Arial"/>
          <w:sz w:val="22"/>
          <w:szCs w:val="22"/>
        </w:rPr>
        <w:t xml:space="preserve"> </w:t>
      </w:r>
      <w:r w:rsidR="00B137AC">
        <w:rPr>
          <w:rFonts w:cs="Arial"/>
          <w:sz w:val="22"/>
          <w:szCs w:val="22"/>
        </w:rPr>
        <w:t>575 tis. Kč.</w:t>
      </w:r>
      <w:r w:rsidR="008503AF">
        <w:rPr>
          <w:rFonts w:cs="Arial"/>
          <w:sz w:val="22"/>
          <w:szCs w:val="22"/>
        </w:rPr>
        <w:t xml:space="preserve"> </w:t>
      </w:r>
      <w:r w:rsidR="008503AF">
        <w:rPr>
          <w:rFonts w:cs="Arial"/>
          <w:b/>
          <w:sz w:val="22"/>
          <w:szCs w:val="22"/>
        </w:rPr>
        <w:t xml:space="preserve">Některé </w:t>
      </w:r>
      <w:r w:rsidR="00A61F35">
        <w:rPr>
          <w:rFonts w:cs="Arial"/>
          <w:b/>
          <w:sz w:val="22"/>
          <w:szCs w:val="22"/>
        </w:rPr>
        <w:t>z </w:t>
      </w:r>
      <w:r w:rsidR="00B87ED1">
        <w:rPr>
          <w:rFonts w:cs="Arial"/>
          <w:b/>
          <w:sz w:val="22"/>
          <w:szCs w:val="22"/>
        </w:rPr>
        <w:t>těchto</w:t>
      </w:r>
      <w:r w:rsidR="007945D9">
        <w:rPr>
          <w:rFonts w:cs="Arial"/>
          <w:b/>
          <w:sz w:val="22"/>
          <w:szCs w:val="22"/>
        </w:rPr>
        <w:t xml:space="preserve"> </w:t>
      </w:r>
      <w:r w:rsidR="008503AF">
        <w:rPr>
          <w:rFonts w:cs="Arial"/>
          <w:b/>
          <w:sz w:val="22"/>
          <w:szCs w:val="22"/>
        </w:rPr>
        <w:t>činností</w:t>
      </w:r>
      <w:r w:rsidR="00E36DF1">
        <w:rPr>
          <w:rFonts w:cs="Arial"/>
          <w:b/>
          <w:sz w:val="22"/>
          <w:szCs w:val="22"/>
        </w:rPr>
        <w:t xml:space="preserve"> </w:t>
      </w:r>
      <w:r w:rsidR="008503AF" w:rsidRPr="008503AF">
        <w:rPr>
          <w:rFonts w:cs="Arial"/>
          <w:b/>
          <w:sz w:val="22"/>
          <w:szCs w:val="22"/>
        </w:rPr>
        <w:t>by</w:t>
      </w:r>
      <w:r w:rsidR="008503AF">
        <w:rPr>
          <w:rFonts w:cs="Arial"/>
          <w:sz w:val="22"/>
          <w:szCs w:val="22"/>
        </w:rPr>
        <w:t xml:space="preserve"> </w:t>
      </w:r>
      <w:r w:rsidR="008503AF" w:rsidRPr="00B66466">
        <w:rPr>
          <w:rFonts w:cs="Arial"/>
          <w:b/>
          <w:sz w:val="22"/>
          <w:szCs w:val="22"/>
        </w:rPr>
        <w:t>přitom mělo ŘSD</w:t>
      </w:r>
      <w:r w:rsidR="008503AF">
        <w:rPr>
          <w:rFonts w:cs="Arial"/>
          <w:b/>
          <w:sz w:val="22"/>
          <w:szCs w:val="22"/>
        </w:rPr>
        <w:t xml:space="preserve"> jako </w:t>
      </w:r>
      <w:r w:rsidR="00A61F35">
        <w:rPr>
          <w:rFonts w:cs="Arial"/>
          <w:b/>
          <w:sz w:val="22"/>
          <w:szCs w:val="22"/>
        </w:rPr>
        <w:t>v </w:t>
      </w:r>
      <w:r w:rsidR="004914E8">
        <w:rPr>
          <w:rFonts w:cs="Arial"/>
          <w:b/>
          <w:sz w:val="22"/>
          <w:szCs w:val="22"/>
        </w:rPr>
        <w:t>případě předchozích</w:t>
      </w:r>
      <w:r w:rsidR="008503AF">
        <w:rPr>
          <w:rFonts w:cs="Arial"/>
          <w:b/>
          <w:sz w:val="22"/>
          <w:szCs w:val="22"/>
        </w:rPr>
        <w:t xml:space="preserve"> tří smluv </w:t>
      </w:r>
      <w:r w:rsidR="008503AF" w:rsidRPr="00B66466">
        <w:rPr>
          <w:rFonts w:cs="Arial"/>
          <w:b/>
          <w:sz w:val="22"/>
          <w:szCs w:val="22"/>
        </w:rPr>
        <w:t xml:space="preserve">vykonávat </w:t>
      </w:r>
      <w:r w:rsidR="009A1A32">
        <w:rPr>
          <w:rFonts w:cs="Arial"/>
          <w:b/>
          <w:sz w:val="22"/>
          <w:szCs w:val="22"/>
        </w:rPr>
        <w:t>rovněž</w:t>
      </w:r>
      <w:r w:rsidR="009A1A32" w:rsidRPr="00B66466">
        <w:rPr>
          <w:rFonts w:cs="Arial"/>
          <w:b/>
          <w:sz w:val="22"/>
          <w:szCs w:val="22"/>
        </w:rPr>
        <w:t xml:space="preserve"> </w:t>
      </w:r>
      <w:r w:rsidR="008503AF" w:rsidRPr="00B66466">
        <w:rPr>
          <w:rFonts w:cs="Arial"/>
          <w:b/>
          <w:sz w:val="22"/>
          <w:szCs w:val="22"/>
        </w:rPr>
        <w:t>vlastními zaměstnanci</w:t>
      </w:r>
      <w:r w:rsidR="008503AF">
        <w:rPr>
          <w:rFonts w:cs="Arial"/>
          <w:b/>
          <w:sz w:val="22"/>
          <w:szCs w:val="22"/>
        </w:rPr>
        <w:t>.</w:t>
      </w:r>
      <w:r w:rsidR="00E36DF1">
        <w:rPr>
          <w:rFonts w:cs="Arial"/>
          <w:sz w:val="22"/>
          <w:szCs w:val="22"/>
        </w:rPr>
        <w:t xml:space="preserve"> Například se jednalo o </w:t>
      </w:r>
      <w:r w:rsidR="008503AF">
        <w:rPr>
          <w:rFonts w:cs="Arial"/>
          <w:sz w:val="22"/>
          <w:szCs w:val="22"/>
        </w:rPr>
        <w:t>tyto činnosti:</w:t>
      </w:r>
    </w:p>
    <w:p w:rsidR="00EF027B" w:rsidRDefault="00AC5E0A" w:rsidP="00D61FB3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F027B" w:rsidRPr="00EF027B">
        <w:rPr>
          <w:rFonts w:cs="Arial"/>
          <w:sz w:val="22"/>
          <w:szCs w:val="22"/>
        </w:rPr>
        <w:t xml:space="preserve">měny zakázek během výstavby </w:t>
      </w:r>
      <w:r w:rsidR="00A61F35">
        <w:rPr>
          <w:rFonts w:cs="Arial"/>
          <w:sz w:val="22"/>
          <w:szCs w:val="22"/>
        </w:rPr>
        <w:t>z </w:t>
      </w:r>
      <w:r w:rsidR="00EF027B" w:rsidRPr="00EF027B">
        <w:rPr>
          <w:rFonts w:cs="Arial"/>
          <w:sz w:val="22"/>
          <w:szCs w:val="22"/>
        </w:rPr>
        <w:t>hlediska účetní správnosti, rámcová kontrola zadávací a realizační projektové dokumentace</w:t>
      </w:r>
      <w:r w:rsidR="002F1091">
        <w:rPr>
          <w:rFonts w:cs="Arial"/>
          <w:sz w:val="22"/>
          <w:szCs w:val="22"/>
        </w:rPr>
        <w:t xml:space="preserve">, komplexní příprava podkladů </w:t>
      </w:r>
      <w:r w:rsidR="00A61F35">
        <w:rPr>
          <w:rFonts w:cs="Arial"/>
          <w:sz w:val="22"/>
          <w:szCs w:val="22"/>
        </w:rPr>
        <w:t>v </w:t>
      </w:r>
      <w:r w:rsidR="00EF027B" w:rsidRPr="00EF027B">
        <w:rPr>
          <w:rFonts w:cs="Arial"/>
          <w:sz w:val="22"/>
          <w:szCs w:val="22"/>
        </w:rPr>
        <w:t>oblasti technické, ekonomické a právní, zpracování souhrn</w:t>
      </w:r>
      <w:r w:rsidR="008503AF">
        <w:rPr>
          <w:rFonts w:cs="Arial"/>
          <w:sz w:val="22"/>
          <w:szCs w:val="22"/>
        </w:rPr>
        <w:t xml:space="preserve">ného seznamu odpočívek dálnic </w:t>
      </w:r>
      <w:r w:rsidR="008503AF" w:rsidRPr="00B87ED1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="00EF027B" w:rsidRPr="00B87ED1">
        <w:rPr>
          <w:sz w:val="22"/>
          <w:szCs w:val="22"/>
        </w:rPr>
        <w:t>uzavřených</w:t>
      </w:r>
      <w:r w:rsidR="00EF027B" w:rsidRPr="00B87ED1">
        <w:rPr>
          <w:rFonts w:cs="Arial"/>
          <w:sz w:val="22"/>
          <w:szCs w:val="22"/>
        </w:rPr>
        <w:t xml:space="preserve"> smluv</w:t>
      </w:r>
      <w:r w:rsidR="00EF027B" w:rsidRPr="00EF027B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EF027B" w:rsidRPr="00EF027B">
        <w:rPr>
          <w:rFonts w:cs="Arial"/>
          <w:sz w:val="22"/>
          <w:szCs w:val="22"/>
        </w:rPr>
        <w:t>elektronické podobě, technická pasportizace bil</w:t>
      </w:r>
      <w:r w:rsidR="006E68F2">
        <w:rPr>
          <w:rFonts w:cs="Arial"/>
          <w:sz w:val="22"/>
          <w:szCs w:val="22"/>
        </w:rPr>
        <w:t>l</w:t>
      </w:r>
      <w:r w:rsidR="00EF027B" w:rsidRPr="00EF027B">
        <w:rPr>
          <w:rFonts w:cs="Arial"/>
          <w:sz w:val="22"/>
          <w:szCs w:val="22"/>
        </w:rPr>
        <w:t>boardů</w:t>
      </w:r>
      <w:r w:rsidR="00605595">
        <w:rPr>
          <w:rFonts w:cs="Arial"/>
          <w:sz w:val="22"/>
          <w:szCs w:val="22"/>
        </w:rPr>
        <w:t>, pasportizace majetku</w:t>
      </w:r>
      <w:r w:rsidR="00EF027B" w:rsidRPr="00EF027B">
        <w:rPr>
          <w:rFonts w:cs="Arial"/>
          <w:sz w:val="22"/>
          <w:szCs w:val="22"/>
        </w:rPr>
        <w:t xml:space="preserve"> apod.</w:t>
      </w:r>
    </w:p>
    <w:p w:rsidR="00EF027B" w:rsidRDefault="00EF027B" w:rsidP="00D61FB3">
      <w:pPr>
        <w:ind w:left="284"/>
        <w:jc w:val="both"/>
        <w:rPr>
          <w:rFonts w:cs="Arial"/>
          <w:sz w:val="22"/>
          <w:szCs w:val="22"/>
        </w:rPr>
      </w:pPr>
    </w:p>
    <w:p w:rsidR="004A710E" w:rsidRPr="004A710E" w:rsidRDefault="00AC5E0A" w:rsidP="00D61FB3">
      <w:pPr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4A710E" w:rsidRPr="004A710E">
        <w:rPr>
          <w:sz w:val="22"/>
          <w:szCs w:val="22"/>
        </w:rPr>
        <w:t xml:space="preserve">rávní poradce </w:t>
      </w:r>
      <w:r>
        <w:rPr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 jednom případě </w:t>
      </w:r>
      <w:r w:rsidR="004A710E" w:rsidRPr="004A710E">
        <w:rPr>
          <w:sz w:val="22"/>
          <w:szCs w:val="22"/>
        </w:rPr>
        <w:t xml:space="preserve">při </w:t>
      </w:r>
      <w:proofErr w:type="spellStart"/>
      <w:r w:rsidR="004A710E" w:rsidRPr="004A710E">
        <w:rPr>
          <w:sz w:val="22"/>
          <w:szCs w:val="22"/>
        </w:rPr>
        <w:t>přefakturaci</w:t>
      </w:r>
      <w:proofErr w:type="spellEnd"/>
      <w:r w:rsidR="004A710E" w:rsidRPr="004A710E">
        <w:rPr>
          <w:sz w:val="22"/>
          <w:szCs w:val="22"/>
        </w:rPr>
        <w:t xml:space="preserve"> plnění </w:t>
      </w:r>
      <w:r w:rsidRPr="004A710E">
        <w:rPr>
          <w:sz w:val="22"/>
          <w:szCs w:val="22"/>
        </w:rPr>
        <w:t xml:space="preserve">stanovil </w:t>
      </w:r>
      <w:r w:rsidR="004A710E" w:rsidRPr="004A710E">
        <w:rPr>
          <w:sz w:val="22"/>
          <w:szCs w:val="22"/>
        </w:rPr>
        <w:t xml:space="preserve">nesprávně výši </w:t>
      </w:r>
      <w:r w:rsidR="004A710E">
        <w:rPr>
          <w:sz w:val="22"/>
          <w:szCs w:val="22"/>
        </w:rPr>
        <w:t xml:space="preserve">daně </w:t>
      </w:r>
      <w:r w:rsidR="00A61F35">
        <w:rPr>
          <w:sz w:val="22"/>
          <w:szCs w:val="22"/>
        </w:rPr>
        <w:t>z </w:t>
      </w:r>
      <w:r w:rsidR="004A710E">
        <w:rPr>
          <w:sz w:val="22"/>
          <w:szCs w:val="22"/>
        </w:rPr>
        <w:t>přidané hodnoty (dále jen „DPH“) a</w:t>
      </w:r>
      <w:r w:rsidR="007945D9">
        <w:rPr>
          <w:sz w:val="22"/>
          <w:szCs w:val="22"/>
        </w:rPr>
        <w:t xml:space="preserve"> </w:t>
      </w:r>
      <w:r w:rsidR="00A61F35">
        <w:rPr>
          <w:sz w:val="22"/>
          <w:szCs w:val="22"/>
        </w:rPr>
        <w:t>v </w:t>
      </w:r>
      <w:r w:rsidR="004A710E" w:rsidRPr="004A710E">
        <w:rPr>
          <w:sz w:val="22"/>
          <w:szCs w:val="22"/>
        </w:rPr>
        <w:t>důsledku toho</w:t>
      </w:r>
      <w:r w:rsidR="004A710E">
        <w:rPr>
          <w:sz w:val="22"/>
          <w:szCs w:val="22"/>
        </w:rPr>
        <w:t xml:space="preserve"> mu</w:t>
      </w:r>
      <w:r w:rsidR="004A710E" w:rsidRPr="004A710E">
        <w:rPr>
          <w:sz w:val="22"/>
          <w:szCs w:val="22"/>
        </w:rPr>
        <w:t xml:space="preserve"> ŘSD uhradilo be</w:t>
      </w:r>
      <w:r w:rsidR="00A61F35">
        <w:rPr>
          <w:sz w:val="22"/>
          <w:szCs w:val="22"/>
        </w:rPr>
        <w:t xml:space="preserve">z </w:t>
      </w:r>
      <w:r w:rsidR="004A710E" w:rsidRPr="004A710E">
        <w:rPr>
          <w:sz w:val="22"/>
          <w:szCs w:val="22"/>
        </w:rPr>
        <w:t>právního důvodu částku 91 tis. Kč.</w:t>
      </w:r>
    </w:p>
    <w:p w:rsidR="008816AC" w:rsidRPr="004A710E" w:rsidRDefault="008816AC" w:rsidP="000F38F0">
      <w:pPr>
        <w:jc w:val="both"/>
        <w:rPr>
          <w:rFonts w:cs="Arial"/>
          <w:sz w:val="22"/>
          <w:szCs w:val="22"/>
        </w:rPr>
      </w:pPr>
    </w:p>
    <w:p w:rsidR="00605595" w:rsidRDefault="0063246B" w:rsidP="00F65B76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ŘSD</w:t>
      </w:r>
      <w:r w:rsidR="00F346AD">
        <w:rPr>
          <w:rFonts w:cs="Arial"/>
          <w:b/>
          <w:sz w:val="22"/>
          <w:szCs w:val="22"/>
        </w:rPr>
        <w:t xml:space="preserve"> nevybralo </w:t>
      </w:r>
      <w:r w:rsidR="00413808">
        <w:rPr>
          <w:rFonts w:cs="Arial"/>
          <w:b/>
          <w:sz w:val="22"/>
          <w:szCs w:val="22"/>
        </w:rPr>
        <w:t>poskytovatele</w:t>
      </w:r>
      <w:r w:rsidR="00C21BA1">
        <w:rPr>
          <w:rFonts w:cs="Arial"/>
          <w:b/>
          <w:sz w:val="22"/>
          <w:szCs w:val="22"/>
        </w:rPr>
        <w:t xml:space="preserve"> uvedených</w:t>
      </w:r>
      <w:r w:rsidR="00F346AD">
        <w:rPr>
          <w:rFonts w:cs="Arial"/>
          <w:b/>
          <w:sz w:val="22"/>
          <w:szCs w:val="22"/>
        </w:rPr>
        <w:t xml:space="preserve"> služeb</w:t>
      </w:r>
      <w:r w:rsidR="00E46A73">
        <w:rPr>
          <w:rStyle w:val="Znakapoznpodarou"/>
          <w:rFonts w:cs="Arial"/>
          <w:b/>
          <w:sz w:val="22"/>
          <w:szCs w:val="22"/>
        </w:rPr>
        <w:footnoteReference w:id="6"/>
      </w:r>
      <w:r w:rsidR="00E46A73">
        <w:rPr>
          <w:rFonts w:cs="Arial"/>
          <w:b/>
          <w:sz w:val="22"/>
          <w:szCs w:val="22"/>
        </w:rPr>
        <w:t xml:space="preserve"> </w:t>
      </w:r>
      <w:r w:rsidR="00F346AD" w:rsidRPr="00B15999">
        <w:rPr>
          <w:rFonts w:cs="Arial"/>
          <w:b/>
          <w:sz w:val="22"/>
          <w:szCs w:val="22"/>
        </w:rPr>
        <w:t xml:space="preserve">žádným ze </w:t>
      </w:r>
      <w:r w:rsidR="00F346AD">
        <w:rPr>
          <w:rFonts w:cs="Arial"/>
          <w:b/>
          <w:sz w:val="22"/>
          <w:szCs w:val="22"/>
        </w:rPr>
        <w:t>způsobů stanovený</w:t>
      </w:r>
      <w:r w:rsidR="00E711EB">
        <w:rPr>
          <w:rFonts w:cs="Arial"/>
          <w:b/>
          <w:sz w:val="22"/>
          <w:szCs w:val="22"/>
        </w:rPr>
        <w:t>ch</w:t>
      </w:r>
      <w:r w:rsidR="00F346AD">
        <w:rPr>
          <w:rFonts w:cs="Arial"/>
          <w:b/>
          <w:sz w:val="22"/>
          <w:szCs w:val="22"/>
        </w:rPr>
        <w:t xml:space="preserve"> v zákoně č.</w:t>
      </w:r>
      <w:r w:rsidR="007945D9">
        <w:rPr>
          <w:rFonts w:cs="Arial"/>
          <w:b/>
          <w:sz w:val="22"/>
          <w:szCs w:val="22"/>
        </w:rPr>
        <w:t xml:space="preserve"> </w:t>
      </w:r>
      <w:r w:rsidR="00F346AD" w:rsidRPr="00B15999">
        <w:rPr>
          <w:rFonts w:cs="Arial"/>
          <w:b/>
          <w:sz w:val="22"/>
          <w:szCs w:val="22"/>
        </w:rPr>
        <w:t>137/2006 Sb.</w:t>
      </w:r>
      <w:r w:rsidR="00F346AD" w:rsidRPr="00B15999">
        <w:rPr>
          <w:rStyle w:val="Znakapoznpodarou"/>
          <w:rFonts w:cs="Arial"/>
          <w:b/>
          <w:sz w:val="22"/>
          <w:szCs w:val="22"/>
        </w:rPr>
        <w:footnoteReference w:id="7"/>
      </w:r>
      <w:r w:rsidR="001B0BC2">
        <w:rPr>
          <w:rFonts w:cs="Arial"/>
          <w:b/>
          <w:sz w:val="22"/>
          <w:szCs w:val="22"/>
        </w:rPr>
        <w:t>.</w:t>
      </w:r>
      <w:r w:rsidR="00E46A73">
        <w:rPr>
          <w:rFonts w:cs="Arial"/>
          <w:b/>
          <w:sz w:val="22"/>
          <w:szCs w:val="22"/>
        </w:rPr>
        <w:t xml:space="preserve"> </w:t>
      </w:r>
      <w:r w:rsidR="00F346AD">
        <w:rPr>
          <w:rFonts w:cs="Arial"/>
          <w:b/>
          <w:sz w:val="22"/>
          <w:szCs w:val="22"/>
        </w:rPr>
        <w:t xml:space="preserve">Za tyto služby </w:t>
      </w:r>
      <w:r w:rsidR="00413808">
        <w:rPr>
          <w:rFonts w:cs="Arial"/>
          <w:b/>
          <w:sz w:val="22"/>
          <w:szCs w:val="22"/>
        </w:rPr>
        <w:t>uhradilo právnímu poradci celkem 53</w:t>
      </w:r>
      <w:r w:rsidR="00E46A73">
        <w:rPr>
          <w:rFonts w:cs="Arial"/>
          <w:b/>
          <w:sz w:val="22"/>
          <w:szCs w:val="22"/>
        </w:rPr>
        <w:t> </w:t>
      </w:r>
      <w:r w:rsidR="00413808">
        <w:rPr>
          <w:rFonts w:cs="Arial"/>
          <w:b/>
          <w:sz w:val="22"/>
          <w:szCs w:val="22"/>
        </w:rPr>
        <w:t>615</w:t>
      </w:r>
      <w:r w:rsidR="00E46A73">
        <w:rPr>
          <w:rFonts w:cs="Arial"/>
          <w:b/>
          <w:sz w:val="22"/>
          <w:szCs w:val="22"/>
        </w:rPr>
        <w:t> </w:t>
      </w:r>
      <w:r w:rsidR="00413808">
        <w:rPr>
          <w:rFonts w:cs="Arial"/>
          <w:b/>
          <w:sz w:val="22"/>
          <w:szCs w:val="22"/>
        </w:rPr>
        <w:t>tis.</w:t>
      </w:r>
      <w:r w:rsidR="00E46A73">
        <w:rPr>
          <w:rFonts w:cs="Arial"/>
          <w:b/>
          <w:sz w:val="22"/>
          <w:szCs w:val="22"/>
        </w:rPr>
        <w:t> </w:t>
      </w:r>
      <w:r w:rsidR="00413808">
        <w:rPr>
          <w:rFonts w:cs="Arial"/>
          <w:b/>
          <w:sz w:val="22"/>
          <w:szCs w:val="22"/>
        </w:rPr>
        <w:t>Kč.</w:t>
      </w:r>
    </w:p>
    <w:p w:rsidR="00AA63A4" w:rsidRDefault="00AA63A4" w:rsidP="00F65B76">
      <w:pPr>
        <w:jc w:val="both"/>
        <w:rPr>
          <w:rFonts w:cs="Arial"/>
          <w:b/>
          <w:sz w:val="22"/>
          <w:szCs w:val="22"/>
        </w:rPr>
      </w:pPr>
    </w:p>
    <w:p w:rsidR="00AD0240" w:rsidRDefault="0063246B" w:rsidP="00F65B76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ŘSD</w:t>
      </w:r>
      <w:r w:rsidR="00E36DF1">
        <w:rPr>
          <w:rFonts w:cs="Arial"/>
          <w:b/>
          <w:sz w:val="22"/>
          <w:szCs w:val="22"/>
        </w:rPr>
        <w:t xml:space="preserve"> </w:t>
      </w:r>
      <w:r w:rsidR="00C21BA1">
        <w:rPr>
          <w:rFonts w:cs="Arial"/>
          <w:b/>
          <w:sz w:val="22"/>
          <w:szCs w:val="22"/>
        </w:rPr>
        <w:t>při</w:t>
      </w:r>
      <w:r w:rsidR="009A1A32">
        <w:rPr>
          <w:rFonts w:cs="Arial"/>
          <w:b/>
          <w:sz w:val="22"/>
          <w:szCs w:val="22"/>
        </w:rPr>
        <w:t xml:space="preserve"> jejich</w:t>
      </w:r>
      <w:r w:rsidR="00C21BA1">
        <w:rPr>
          <w:rFonts w:cs="Arial"/>
          <w:b/>
          <w:sz w:val="22"/>
          <w:szCs w:val="22"/>
        </w:rPr>
        <w:t xml:space="preserve"> pořizování </w:t>
      </w:r>
      <w:r>
        <w:rPr>
          <w:rFonts w:cs="Arial"/>
          <w:b/>
          <w:sz w:val="22"/>
          <w:szCs w:val="22"/>
        </w:rPr>
        <w:t>nepostupovalo</w:t>
      </w:r>
      <w:r w:rsidR="00E36DF1">
        <w:rPr>
          <w:rFonts w:cs="Arial"/>
          <w:b/>
          <w:sz w:val="22"/>
          <w:szCs w:val="22"/>
        </w:rPr>
        <w:t xml:space="preserve"> </w:t>
      </w:r>
      <w:r w:rsidR="00E711EB">
        <w:rPr>
          <w:rFonts w:cs="Arial"/>
          <w:b/>
          <w:sz w:val="22"/>
          <w:szCs w:val="22"/>
        </w:rPr>
        <w:t>ani</w:t>
      </w:r>
      <w:r>
        <w:rPr>
          <w:rFonts w:cs="Arial"/>
          <w:b/>
          <w:sz w:val="22"/>
          <w:szCs w:val="22"/>
        </w:rPr>
        <w:t xml:space="preserve"> podle příslušných</w:t>
      </w:r>
      <w:r w:rsidR="00D11426">
        <w:rPr>
          <w:rFonts w:cs="Arial"/>
          <w:b/>
          <w:sz w:val="22"/>
          <w:szCs w:val="22"/>
        </w:rPr>
        <w:t xml:space="preserve"> ustanovení</w:t>
      </w:r>
      <w:r w:rsidR="00C21BA1">
        <w:rPr>
          <w:rFonts w:cs="Arial"/>
          <w:b/>
          <w:sz w:val="22"/>
          <w:szCs w:val="22"/>
        </w:rPr>
        <w:t xml:space="preserve"> vyhlášky č. </w:t>
      </w:r>
      <w:r w:rsidR="00737633">
        <w:rPr>
          <w:rFonts w:cs="Arial"/>
          <w:b/>
          <w:sz w:val="22"/>
          <w:szCs w:val="22"/>
        </w:rPr>
        <w:t>416/2004 Sb.</w:t>
      </w:r>
      <w:r w:rsidR="00737633">
        <w:rPr>
          <w:rStyle w:val="Znakapoznpodarou"/>
          <w:rFonts w:cs="Arial"/>
          <w:b/>
          <w:sz w:val="22"/>
          <w:szCs w:val="22"/>
        </w:rPr>
        <w:footnoteReference w:id="8"/>
      </w:r>
      <w:r w:rsidR="00737633">
        <w:rPr>
          <w:rFonts w:cs="Arial"/>
          <w:b/>
          <w:sz w:val="22"/>
          <w:szCs w:val="22"/>
        </w:rPr>
        <w:t>, neboť příkazce operace</w:t>
      </w:r>
      <w:r w:rsidR="007C6385">
        <w:rPr>
          <w:rFonts w:cs="Arial"/>
          <w:b/>
          <w:sz w:val="22"/>
          <w:szCs w:val="22"/>
        </w:rPr>
        <w:t xml:space="preserve"> </w:t>
      </w:r>
      <w:r w:rsidR="00A61F35">
        <w:rPr>
          <w:rFonts w:cs="Arial"/>
          <w:b/>
          <w:sz w:val="22"/>
          <w:szCs w:val="22"/>
        </w:rPr>
        <w:t>v </w:t>
      </w:r>
      <w:r w:rsidR="007C6385">
        <w:rPr>
          <w:rFonts w:cs="Arial"/>
          <w:b/>
          <w:sz w:val="22"/>
          <w:szCs w:val="22"/>
        </w:rPr>
        <w:t>rámci výkonu finanční kontroly při řízení veřejných výdajů</w:t>
      </w:r>
      <w:r w:rsidR="00737633">
        <w:rPr>
          <w:rFonts w:cs="Arial"/>
          <w:b/>
          <w:sz w:val="22"/>
          <w:szCs w:val="22"/>
        </w:rPr>
        <w:t xml:space="preserve"> neprověřil </w:t>
      </w:r>
      <w:r w:rsidR="00E711EB">
        <w:rPr>
          <w:rFonts w:cs="Arial"/>
          <w:b/>
          <w:sz w:val="22"/>
          <w:szCs w:val="22"/>
        </w:rPr>
        <w:t xml:space="preserve">řádně </w:t>
      </w:r>
      <w:r w:rsidR="00737633">
        <w:rPr>
          <w:rFonts w:cs="Arial"/>
          <w:b/>
          <w:sz w:val="22"/>
          <w:szCs w:val="22"/>
        </w:rPr>
        <w:t>soula</w:t>
      </w:r>
      <w:r w:rsidR="007C6385">
        <w:rPr>
          <w:rFonts w:cs="Arial"/>
          <w:b/>
          <w:sz w:val="22"/>
          <w:szCs w:val="22"/>
        </w:rPr>
        <w:t xml:space="preserve">d operace </w:t>
      </w:r>
      <w:r w:rsidR="00A61F35">
        <w:rPr>
          <w:rFonts w:cs="Arial"/>
          <w:b/>
          <w:sz w:val="22"/>
          <w:szCs w:val="22"/>
        </w:rPr>
        <w:t>s </w:t>
      </w:r>
      <w:r w:rsidR="007C6385">
        <w:rPr>
          <w:rFonts w:cs="Arial"/>
          <w:b/>
          <w:sz w:val="22"/>
          <w:szCs w:val="22"/>
        </w:rPr>
        <w:t>rámcovou smlouvou a </w:t>
      </w:r>
      <w:r w:rsidR="00737633">
        <w:rPr>
          <w:rFonts w:cs="Arial"/>
          <w:b/>
          <w:sz w:val="22"/>
          <w:szCs w:val="22"/>
        </w:rPr>
        <w:t>prováděcími smlouvami.</w:t>
      </w:r>
      <w:r w:rsidR="00AA63A4">
        <w:rPr>
          <w:rFonts w:cs="Arial"/>
          <w:b/>
          <w:sz w:val="22"/>
          <w:szCs w:val="22"/>
        </w:rPr>
        <w:t xml:space="preserve"> </w:t>
      </w:r>
    </w:p>
    <w:p w:rsidR="00657492" w:rsidRDefault="00657492" w:rsidP="00F65B76">
      <w:pPr>
        <w:jc w:val="both"/>
        <w:rPr>
          <w:rFonts w:cs="Arial"/>
          <w:b/>
          <w:sz w:val="22"/>
          <w:szCs w:val="22"/>
        </w:rPr>
      </w:pPr>
    </w:p>
    <w:p w:rsidR="007C6385" w:rsidRDefault="009F56BB" w:rsidP="00DE7577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b)</w:t>
      </w:r>
      <w:r>
        <w:rPr>
          <w:rFonts w:cs="Arial"/>
          <w:sz w:val="22"/>
          <w:szCs w:val="22"/>
        </w:rPr>
        <w:t xml:space="preserve"> </w:t>
      </w:r>
      <w:r w:rsidR="007C6385">
        <w:rPr>
          <w:rFonts w:cs="Arial"/>
          <w:sz w:val="22"/>
          <w:szCs w:val="22"/>
        </w:rPr>
        <w:t xml:space="preserve">GŘ uhradilo </w:t>
      </w:r>
      <w:r w:rsidR="00A73A56">
        <w:rPr>
          <w:rFonts w:cs="Arial"/>
          <w:sz w:val="22"/>
          <w:szCs w:val="22"/>
        </w:rPr>
        <w:t xml:space="preserve">na základě sedmi smluv a čtyř objednávek </w:t>
      </w:r>
      <w:r w:rsidR="00A61F35">
        <w:rPr>
          <w:rFonts w:cs="Arial"/>
          <w:sz w:val="22"/>
          <w:szCs w:val="22"/>
        </w:rPr>
        <w:t>v </w:t>
      </w:r>
      <w:r w:rsidR="009A1A32">
        <w:rPr>
          <w:rFonts w:cs="Arial"/>
          <w:sz w:val="22"/>
          <w:szCs w:val="22"/>
        </w:rPr>
        <w:t>období let 2011 a 2012</w:t>
      </w:r>
      <w:r w:rsidR="00A73A56">
        <w:rPr>
          <w:rFonts w:cs="Arial"/>
          <w:sz w:val="22"/>
          <w:szCs w:val="22"/>
        </w:rPr>
        <w:t xml:space="preserve"> </w:t>
      </w:r>
      <w:r w:rsidR="007C6385">
        <w:rPr>
          <w:rFonts w:cs="Arial"/>
          <w:sz w:val="22"/>
          <w:szCs w:val="22"/>
        </w:rPr>
        <w:t>dalšímu poskytovateli právní</w:t>
      </w:r>
      <w:r w:rsidR="0012495A">
        <w:rPr>
          <w:rFonts w:cs="Arial"/>
          <w:sz w:val="22"/>
          <w:szCs w:val="22"/>
        </w:rPr>
        <w:t>ch služeb celkem 41</w:t>
      </w:r>
      <w:r w:rsidR="007945D9">
        <w:rPr>
          <w:rFonts w:cs="Arial"/>
          <w:sz w:val="22"/>
          <w:szCs w:val="22"/>
        </w:rPr>
        <w:t xml:space="preserve"> </w:t>
      </w:r>
      <w:r w:rsidR="0012495A">
        <w:rPr>
          <w:rFonts w:cs="Arial"/>
          <w:sz w:val="22"/>
          <w:szCs w:val="22"/>
        </w:rPr>
        <w:t>354 tis. Kč.</w:t>
      </w:r>
      <w:r w:rsidR="0010648B">
        <w:rPr>
          <w:rFonts w:cs="Arial"/>
          <w:sz w:val="22"/>
          <w:szCs w:val="22"/>
        </w:rPr>
        <w:t xml:space="preserve"> </w:t>
      </w:r>
      <w:r w:rsidR="00A73A56">
        <w:rPr>
          <w:rFonts w:cs="Arial"/>
          <w:sz w:val="22"/>
          <w:szCs w:val="22"/>
        </w:rPr>
        <w:t>Poskytovatele těchto 11 veřejných zakázek vyb</w:t>
      </w:r>
      <w:r w:rsidR="00675587">
        <w:rPr>
          <w:rFonts w:cs="Arial"/>
          <w:sz w:val="22"/>
          <w:szCs w:val="22"/>
        </w:rPr>
        <w:t>ralo formou výz</w:t>
      </w:r>
      <w:r w:rsidR="00A73A56">
        <w:rPr>
          <w:rFonts w:cs="Arial"/>
          <w:sz w:val="22"/>
          <w:szCs w:val="22"/>
        </w:rPr>
        <w:t>v</w:t>
      </w:r>
      <w:r w:rsidR="0012495A">
        <w:rPr>
          <w:rFonts w:cs="Arial"/>
          <w:sz w:val="22"/>
          <w:szCs w:val="22"/>
        </w:rPr>
        <w:t xml:space="preserve">y </w:t>
      </w:r>
      <w:r w:rsidR="00A73A56">
        <w:rPr>
          <w:rFonts w:cs="Arial"/>
          <w:sz w:val="22"/>
          <w:szCs w:val="22"/>
        </w:rPr>
        <w:t xml:space="preserve">třem zájemcům </w:t>
      </w:r>
      <w:r w:rsidR="00675587">
        <w:rPr>
          <w:rFonts w:cs="Arial"/>
          <w:sz w:val="22"/>
          <w:szCs w:val="22"/>
        </w:rPr>
        <w:t>nebo</w:t>
      </w:r>
      <w:r w:rsidR="008862CA">
        <w:rPr>
          <w:rFonts w:cs="Arial"/>
          <w:sz w:val="22"/>
          <w:szCs w:val="22"/>
        </w:rPr>
        <w:t xml:space="preserve"> vyzvalo přímo toho</w:t>
      </w:r>
      <w:r w:rsidR="00675587">
        <w:rPr>
          <w:rFonts w:cs="Arial"/>
          <w:sz w:val="22"/>
          <w:szCs w:val="22"/>
        </w:rPr>
        <w:t>to poskytovatel</w:t>
      </w:r>
      <w:r w:rsidR="008862CA">
        <w:rPr>
          <w:rFonts w:cs="Arial"/>
          <w:sz w:val="22"/>
          <w:szCs w:val="22"/>
        </w:rPr>
        <w:t>e</w:t>
      </w:r>
      <w:r w:rsidR="0012495A">
        <w:rPr>
          <w:rFonts w:cs="Arial"/>
          <w:sz w:val="22"/>
          <w:szCs w:val="22"/>
        </w:rPr>
        <w:t xml:space="preserve">, z toho </w:t>
      </w:r>
      <w:r w:rsidR="00A61F35">
        <w:rPr>
          <w:rFonts w:cs="Arial"/>
          <w:sz w:val="22"/>
          <w:szCs w:val="22"/>
        </w:rPr>
        <w:t>v </w:t>
      </w:r>
      <w:r w:rsidR="0012495A">
        <w:rPr>
          <w:rFonts w:cs="Arial"/>
          <w:sz w:val="22"/>
          <w:szCs w:val="22"/>
        </w:rPr>
        <w:t xml:space="preserve">jednom případě </w:t>
      </w:r>
      <w:r w:rsidR="00A61F35">
        <w:rPr>
          <w:rFonts w:cs="Arial"/>
          <w:sz w:val="22"/>
          <w:szCs w:val="22"/>
        </w:rPr>
        <w:t>s </w:t>
      </w:r>
      <w:r w:rsidR="0010648B">
        <w:rPr>
          <w:rFonts w:cs="Arial"/>
          <w:sz w:val="22"/>
          <w:szCs w:val="22"/>
        </w:rPr>
        <w:t>ním uzavřelo</w:t>
      </w:r>
      <w:r w:rsidR="0012495A">
        <w:rPr>
          <w:rFonts w:cs="Arial"/>
          <w:sz w:val="22"/>
          <w:szCs w:val="22"/>
        </w:rPr>
        <w:t xml:space="preserve"> </w:t>
      </w:r>
      <w:r w:rsidR="0010648B">
        <w:rPr>
          <w:rFonts w:cs="Arial"/>
          <w:sz w:val="22"/>
          <w:szCs w:val="22"/>
        </w:rPr>
        <w:t xml:space="preserve">smlouvu </w:t>
      </w:r>
      <w:r w:rsidR="00A61F35">
        <w:rPr>
          <w:rFonts w:cs="Arial"/>
          <w:sz w:val="22"/>
          <w:szCs w:val="22"/>
        </w:rPr>
        <w:t>v </w:t>
      </w:r>
      <w:r w:rsidR="00675587">
        <w:rPr>
          <w:rFonts w:cs="Arial"/>
          <w:sz w:val="22"/>
          <w:szCs w:val="22"/>
        </w:rPr>
        <w:t>jednacím řízení bez uveřejnění</w:t>
      </w:r>
      <w:r w:rsidR="0012495A">
        <w:rPr>
          <w:rFonts w:cs="Arial"/>
          <w:sz w:val="22"/>
          <w:szCs w:val="22"/>
        </w:rPr>
        <w:t xml:space="preserve"> s odůvodněním, že </w:t>
      </w:r>
      <w:r w:rsidR="00DC6E47">
        <w:rPr>
          <w:rFonts w:cs="Arial"/>
          <w:sz w:val="22"/>
          <w:szCs w:val="22"/>
        </w:rPr>
        <w:t>šlo</w:t>
      </w:r>
      <w:r w:rsidR="0012495A">
        <w:rPr>
          <w:rFonts w:cs="Arial"/>
          <w:sz w:val="22"/>
          <w:szCs w:val="22"/>
        </w:rPr>
        <w:t xml:space="preserve"> o krajně naléhavý případ</w:t>
      </w:r>
      <w:r w:rsidR="0010648B">
        <w:rPr>
          <w:rFonts w:cs="Arial"/>
          <w:sz w:val="22"/>
          <w:szCs w:val="22"/>
        </w:rPr>
        <w:t xml:space="preserve"> (plnění činilo 24</w:t>
      </w:r>
      <w:r w:rsidR="007945D9">
        <w:rPr>
          <w:rFonts w:cs="Arial"/>
          <w:sz w:val="22"/>
          <w:szCs w:val="22"/>
        </w:rPr>
        <w:t xml:space="preserve"> </w:t>
      </w:r>
      <w:r w:rsidR="0010648B">
        <w:rPr>
          <w:rFonts w:cs="Arial"/>
          <w:sz w:val="22"/>
          <w:szCs w:val="22"/>
        </w:rPr>
        <w:t>587 tis. Kč).</w:t>
      </w:r>
    </w:p>
    <w:p w:rsidR="007C6385" w:rsidRDefault="007C6385" w:rsidP="00DE7577">
      <w:pPr>
        <w:jc w:val="both"/>
        <w:rPr>
          <w:rFonts w:cs="Arial"/>
          <w:sz w:val="22"/>
          <w:szCs w:val="22"/>
        </w:rPr>
      </w:pPr>
    </w:p>
    <w:p w:rsidR="0078420B" w:rsidRDefault="00182135" w:rsidP="00DE7577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Dvě </w:t>
      </w:r>
      <w:r w:rsidR="00A61F35">
        <w:rPr>
          <w:rFonts w:cs="Arial"/>
          <w:sz w:val="22"/>
          <w:szCs w:val="22"/>
        </w:rPr>
        <w:t>z </w:t>
      </w:r>
      <w:r w:rsidR="00C560DA">
        <w:rPr>
          <w:rFonts w:cs="Arial"/>
          <w:sz w:val="22"/>
          <w:szCs w:val="22"/>
        </w:rPr>
        <w:t>uvedených zakázek</w:t>
      </w:r>
      <w:r w:rsidR="008F62F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se týkaly </w:t>
      </w:r>
      <w:r w:rsidR="00C560DA">
        <w:rPr>
          <w:rFonts w:cs="Arial"/>
          <w:sz w:val="22"/>
          <w:szCs w:val="22"/>
        </w:rPr>
        <w:t>právní</w:t>
      </w:r>
      <w:r>
        <w:rPr>
          <w:rFonts w:cs="Arial"/>
          <w:sz w:val="22"/>
          <w:szCs w:val="22"/>
        </w:rPr>
        <w:t>ho</w:t>
      </w:r>
      <w:r w:rsidR="00BA57D2">
        <w:rPr>
          <w:rFonts w:cs="Arial"/>
          <w:sz w:val="22"/>
          <w:szCs w:val="22"/>
        </w:rPr>
        <w:t xml:space="preserve"> poradenství </w:t>
      </w:r>
      <w:r w:rsidR="00A61F35">
        <w:rPr>
          <w:rFonts w:cs="Arial"/>
          <w:sz w:val="22"/>
          <w:szCs w:val="22"/>
        </w:rPr>
        <w:t>v </w:t>
      </w:r>
      <w:r w:rsidR="00BA57D2">
        <w:rPr>
          <w:rFonts w:cs="Arial"/>
          <w:sz w:val="22"/>
          <w:szCs w:val="22"/>
        </w:rPr>
        <w:t>daňových otázkách</w:t>
      </w:r>
      <w:r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příslušných polole</w:t>
      </w:r>
      <w:r w:rsidR="0035436B">
        <w:rPr>
          <w:rFonts w:cs="Arial"/>
          <w:sz w:val="22"/>
          <w:szCs w:val="22"/>
        </w:rPr>
        <w:t>tích roku 2011. Smlouvu na první</w:t>
      </w:r>
      <w:r>
        <w:rPr>
          <w:rFonts w:cs="Arial"/>
          <w:sz w:val="22"/>
          <w:szCs w:val="22"/>
        </w:rPr>
        <w:t xml:space="preserve"> zakázku uzavřelo GŘ </w:t>
      </w:r>
      <w:r w:rsidR="00A61F35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prosinci 2010.</w:t>
      </w:r>
      <w:r w:rsidR="0078420B">
        <w:rPr>
          <w:rFonts w:cs="Arial"/>
          <w:sz w:val="22"/>
          <w:szCs w:val="22"/>
        </w:rPr>
        <w:t xml:space="preserve"> Druhou smlouvu GŘ nepředložilo, avšak p</w:t>
      </w:r>
      <w:r w:rsidR="00BA57D2">
        <w:rPr>
          <w:rFonts w:cs="Arial"/>
          <w:sz w:val="22"/>
          <w:szCs w:val="22"/>
        </w:rPr>
        <w:t>odle</w:t>
      </w:r>
      <w:r w:rsidR="007945D9">
        <w:rPr>
          <w:rFonts w:cs="Arial"/>
          <w:sz w:val="22"/>
          <w:szCs w:val="22"/>
        </w:rPr>
        <w:t xml:space="preserve"> </w:t>
      </w:r>
      <w:r w:rsidR="00BA57D2">
        <w:rPr>
          <w:rFonts w:cs="Arial"/>
          <w:sz w:val="22"/>
          <w:szCs w:val="22"/>
        </w:rPr>
        <w:t>dokladů o</w:t>
      </w:r>
      <w:r w:rsidR="007945D9">
        <w:rPr>
          <w:rFonts w:cs="Arial"/>
          <w:sz w:val="22"/>
          <w:szCs w:val="22"/>
        </w:rPr>
        <w:t xml:space="preserve"> </w:t>
      </w:r>
      <w:r w:rsidR="00BA57D2">
        <w:rPr>
          <w:rFonts w:cs="Arial"/>
          <w:sz w:val="22"/>
          <w:szCs w:val="22"/>
        </w:rPr>
        <w:t xml:space="preserve">úhradě za poskytnutá plnění byla smlouva uzavřena </w:t>
      </w:r>
      <w:r w:rsidR="00A61F35">
        <w:rPr>
          <w:rFonts w:cs="Arial"/>
          <w:sz w:val="22"/>
          <w:szCs w:val="22"/>
        </w:rPr>
        <w:t>v </w:t>
      </w:r>
      <w:r w:rsidR="00BA57D2">
        <w:rPr>
          <w:rFonts w:cs="Arial"/>
          <w:sz w:val="22"/>
          <w:szCs w:val="22"/>
        </w:rPr>
        <w:t>červnu 2011</w:t>
      </w:r>
      <w:r w:rsidR="0078420B">
        <w:rPr>
          <w:rFonts w:cs="Arial"/>
          <w:sz w:val="22"/>
          <w:szCs w:val="22"/>
        </w:rPr>
        <w:t xml:space="preserve"> </w:t>
      </w:r>
      <w:r w:rsidR="00E711EB">
        <w:rPr>
          <w:rFonts w:cs="Arial"/>
          <w:sz w:val="22"/>
          <w:szCs w:val="22"/>
        </w:rPr>
        <w:t>s </w:t>
      </w:r>
      <w:r w:rsidR="0078420B">
        <w:rPr>
          <w:rFonts w:cs="Arial"/>
          <w:sz w:val="22"/>
          <w:szCs w:val="22"/>
        </w:rPr>
        <w:t>dob</w:t>
      </w:r>
      <w:r w:rsidR="00E711EB">
        <w:rPr>
          <w:rFonts w:cs="Arial"/>
          <w:sz w:val="22"/>
          <w:szCs w:val="22"/>
        </w:rPr>
        <w:t>ou</w:t>
      </w:r>
      <w:r w:rsidR="00BA57D2">
        <w:rPr>
          <w:rFonts w:cs="Arial"/>
          <w:sz w:val="22"/>
          <w:szCs w:val="22"/>
        </w:rPr>
        <w:t xml:space="preserve"> plnění od července do prosince 2011.</w:t>
      </w:r>
      <w:r w:rsidR="0078420B">
        <w:rPr>
          <w:rFonts w:cs="Arial"/>
          <w:sz w:val="22"/>
          <w:szCs w:val="22"/>
        </w:rPr>
        <w:t xml:space="preserve"> Za plnění na zákl</w:t>
      </w:r>
      <w:r w:rsidR="008F62F7">
        <w:rPr>
          <w:rFonts w:cs="Arial"/>
          <w:sz w:val="22"/>
          <w:szCs w:val="22"/>
        </w:rPr>
        <w:t>adě každé smlouvy uhradilo GŘ 2</w:t>
      </w:r>
      <w:r w:rsidR="007945D9">
        <w:rPr>
          <w:rFonts w:cs="Arial"/>
          <w:sz w:val="22"/>
          <w:szCs w:val="22"/>
        </w:rPr>
        <w:t xml:space="preserve"> </w:t>
      </w:r>
      <w:r w:rsidR="008F62F7">
        <w:rPr>
          <w:rFonts w:cs="Arial"/>
          <w:sz w:val="22"/>
          <w:szCs w:val="22"/>
        </w:rPr>
        <w:t>000</w:t>
      </w:r>
      <w:r w:rsidR="007945D9">
        <w:rPr>
          <w:rFonts w:cs="Arial"/>
          <w:sz w:val="22"/>
          <w:szCs w:val="22"/>
        </w:rPr>
        <w:t xml:space="preserve"> </w:t>
      </w:r>
      <w:r w:rsidR="008F62F7">
        <w:rPr>
          <w:rFonts w:cs="Arial"/>
          <w:sz w:val="22"/>
          <w:szCs w:val="22"/>
        </w:rPr>
        <w:t>t</w:t>
      </w:r>
      <w:r w:rsidR="0078420B">
        <w:rPr>
          <w:rFonts w:cs="Arial"/>
          <w:sz w:val="22"/>
          <w:szCs w:val="22"/>
        </w:rPr>
        <w:t>i</w:t>
      </w:r>
      <w:r w:rsidR="008F62F7">
        <w:rPr>
          <w:rFonts w:cs="Arial"/>
          <w:sz w:val="22"/>
          <w:szCs w:val="22"/>
        </w:rPr>
        <w:t>s</w:t>
      </w:r>
      <w:r w:rsidR="0078420B">
        <w:rPr>
          <w:rFonts w:cs="Arial"/>
          <w:sz w:val="22"/>
          <w:szCs w:val="22"/>
        </w:rPr>
        <w:t>. Kč bez DPH, celkem tedy uhradilo 4</w:t>
      </w:r>
      <w:r w:rsidR="007945D9">
        <w:rPr>
          <w:rFonts w:cs="Arial"/>
          <w:sz w:val="22"/>
          <w:szCs w:val="22"/>
        </w:rPr>
        <w:t xml:space="preserve"> </w:t>
      </w:r>
      <w:r w:rsidR="00BA57D2">
        <w:rPr>
          <w:rFonts w:cs="Arial"/>
          <w:sz w:val="22"/>
          <w:szCs w:val="22"/>
        </w:rPr>
        <w:t>000 tis. Kč bez DPH.</w:t>
      </w:r>
      <w:r w:rsidR="008A2605">
        <w:rPr>
          <w:rFonts w:cs="Arial"/>
          <w:sz w:val="22"/>
          <w:szCs w:val="22"/>
        </w:rPr>
        <w:t xml:space="preserve"> </w:t>
      </w:r>
      <w:r w:rsidR="00BA57D2" w:rsidRPr="00B77B5A">
        <w:rPr>
          <w:rFonts w:cs="Arial"/>
          <w:b/>
          <w:sz w:val="22"/>
          <w:szCs w:val="22"/>
        </w:rPr>
        <w:t>GŘ</w:t>
      </w:r>
      <w:r w:rsidR="0078420B">
        <w:rPr>
          <w:rFonts w:cs="Arial"/>
          <w:b/>
          <w:sz w:val="22"/>
          <w:szCs w:val="22"/>
        </w:rPr>
        <w:t xml:space="preserve"> </w:t>
      </w:r>
      <w:r w:rsidR="00BA57D2" w:rsidRPr="00B77B5A">
        <w:rPr>
          <w:rFonts w:cs="Arial"/>
          <w:b/>
          <w:sz w:val="22"/>
          <w:szCs w:val="22"/>
        </w:rPr>
        <w:t>nepředložilo žádné dok</w:t>
      </w:r>
      <w:r w:rsidR="00453D23" w:rsidRPr="00B77B5A">
        <w:rPr>
          <w:rFonts w:cs="Arial"/>
          <w:b/>
          <w:sz w:val="22"/>
          <w:szCs w:val="22"/>
        </w:rPr>
        <w:t>lady, které by prokazoval</w:t>
      </w:r>
      <w:r w:rsidR="00CC77A2">
        <w:rPr>
          <w:rFonts w:cs="Arial"/>
          <w:b/>
          <w:sz w:val="22"/>
          <w:szCs w:val="22"/>
        </w:rPr>
        <w:t>y, jaké</w:t>
      </w:r>
      <w:r w:rsidR="0078420B">
        <w:rPr>
          <w:rFonts w:cs="Arial"/>
          <w:b/>
          <w:sz w:val="22"/>
          <w:szCs w:val="22"/>
        </w:rPr>
        <w:t xml:space="preserve"> konkrétní</w:t>
      </w:r>
      <w:r w:rsidR="00CC77A2">
        <w:rPr>
          <w:rFonts w:cs="Arial"/>
          <w:b/>
          <w:sz w:val="22"/>
          <w:szCs w:val="22"/>
        </w:rPr>
        <w:t xml:space="preserve"> úkony byly</w:t>
      </w:r>
      <w:r w:rsidR="0078420B">
        <w:rPr>
          <w:rFonts w:cs="Arial"/>
          <w:b/>
          <w:sz w:val="22"/>
          <w:szCs w:val="22"/>
        </w:rPr>
        <w:t xml:space="preserve"> v rámci plnění</w:t>
      </w:r>
      <w:r w:rsidR="008F62F7">
        <w:rPr>
          <w:rFonts w:cs="Arial"/>
          <w:b/>
          <w:sz w:val="22"/>
          <w:szCs w:val="22"/>
        </w:rPr>
        <w:t xml:space="preserve"> obou smluv uskutečněny. </w:t>
      </w:r>
      <w:r w:rsidR="00F346AD">
        <w:rPr>
          <w:rFonts w:cs="Arial"/>
          <w:b/>
          <w:sz w:val="22"/>
          <w:szCs w:val="22"/>
        </w:rPr>
        <w:t xml:space="preserve">Nepředložilo ani </w:t>
      </w:r>
      <w:r w:rsidR="00F346AD" w:rsidRPr="00B77B5A">
        <w:rPr>
          <w:rFonts w:cs="Arial"/>
          <w:b/>
          <w:sz w:val="22"/>
          <w:szCs w:val="22"/>
        </w:rPr>
        <w:t>žádnou dokumentaci</w:t>
      </w:r>
      <w:r w:rsidR="00F346AD">
        <w:rPr>
          <w:rFonts w:cs="Arial"/>
          <w:b/>
          <w:sz w:val="22"/>
          <w:szCs w:val="22"/>
        </w:rPr>
        <w:t xml:space="preserve">, </w:t>
      </w:r>
      <w:r w:rsidR="00A61F35">
        <w:rPr>
          <w:rFonts w:cs="Arial"/>
          <w:b/>
          <w:sz w:val="22"/>
          <w:szCs w:val="22"/>
        </w:rPr>
        <w:t>z </w:t>
      </w:r>
      <w:r w:rsidR="00F346AD">
        <w:rPr>
          <w:rFonts w:cs="Arial"/>
          <w:b/>
          <w:sz w:val="22"/>
          <w:szCs w:val="22"/>
        </w:rPr>
        <w:t>níž by bylo možn</w:t>
      </w:r>
      <w:r w:rsidR="00E711EB">
        <w:rPr>
          <w:rFonts w:cs="Arial"/>
          <w:b/>
          <w:sz w:val="22"/>
          <w:szCs w:val="22"/>
        </w:rPr>
        <w:t>é</w:t>
      </w:r>
      <w:r w:rsidR="00F346AD">
        <w:rPr>
          <w:rFonts w:cs="Arial"/>
          <w:b/>
          <w:sz w:val="22"/>
          <w:szCs w:val="22"/>
        </w:rPr>
        <w:t xml:space="preserve"> ověřit, zda provedlo výběr poskytovatele</w:t>
      </w:r>
      <w:r w:rsidR="00F346AD" w:rsidRPr="008F62F7">
        <w:rPr>
          <w:rFonts w:cs="Arial"/>
          <w:b/>
          <w:sz w:val="22"/>
          <w:szCs w:val="22"/>
        </w:rPr>
        <w:t xml:space="preserve"> </w:t>
      </w:r>
      <w:r w:rsidR="0035436B">
        <w:rPr>
          <w:rFonts w:cs="Arial"/>
          <w:b/>
          <w:sz w:val="22"/>
          <w:szCs w:val="22"/>
        </w:rPr>
        <w:t xml:space="preserve">těchto dvou veřejných zakázek </w:t>
      </w:r>
      <w:r w:rsidR="00A61F35">
        <w:rPr>
          <w:rFonts w:cs="Arial"/>
          <w:b/>
          <w:sz w:val="22"/>
          <w:szCs w:val="22"/>
        </w:rPr>
        <w:t>v </w:t>
      </w:r>
      <w:r w:rsidR="0035436B">
        <w:rPr>
          <w:rFonts w:cs="Arial"/>
          <w:b/>
          <w:sz w:val="22"/>
          <w:szCs w:val="22"/>
        </w:rPr>
        <w:t xml:space="preserve">celkové hodnotě 4 mil. Kč bez DPH </w:t>
      </w:r>
      <w:r w:rsidR="00A61F35">
        <w:rPr>
          <w:rFonts w:cs="Arial"/>
          <w:b/>
          <w:sz w:val="22"/>
          <w:szCs w:val="22"/>
        </w:rPr>
        <w:t>v </w:t>
      </w:r>
      <w:r w:rsidR="00F346AD" w:rsidRPr="00B77B5A">
        <w:rPr>
          <w:rFonts w:cs="Arial"/>
          <w:b/>
          <w:sz w:val="22"/>
          <w:szCs w:val="22"/>
        </w:rPr>
        <w:t>souladu se zákonem č.</w:t>
      </w:r>
      <w:r w:rsidR="007945D9">
        <w:rPr>
          <w:rFonts w:cs="Arial"/>
          <w:b/>
          <w:sz w:val="22"/>
          <w:szCs w:val="22"/>
        </w:rPr>
        <w:t xml:space="preserve"> </w:t>
      </w:r>
      <w:r w:rsidR="00F346AD" w:rsidRPr="00B77B5A">
        <w:rPr>
          <w:rFonts w:cs="Arial"/>
          <w:b/>
          <w:sz w:val="22"/>
          <w:szCs w:val="22"/>
        </w:rPr>
        <w:t>137/2006</w:t>
      </w:r>
      <w:r w:rsidR="00F346AD">
        <w:rPr>
          <w:rFonts w:cs="Arial"/>
          <w:b/>
          <w:sz w:val="22"/>
          <w:szCs w:val="22"/>
        </w:rPr>
        <w:t xml:space="preserve"> Sb.</w:t>
      </w:r>
    </w:p>
    <w:p w:rsidR="008F62F7" w:rsidRDefault="008F62F7" w:rsidP="00DE7577">
      <w:pPr>
        <w:jc w:val="both"/>
        <w:rPr>
          <w:rFonts w:cs="Arial"/>
          <w:b/>
          <w:sz w:val="22"/>
          <w:szCs w:val="22"/>
        </w:rPr>
      </w:pPr>
    </w:p>
    <w:p w:rsidR="005D29F2" w:rsidRDefault="00945278" w:rsidP="003528D3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3.2 </w:t>
      </w:r>
      <w:r w:rsidR="005D29F2">
        <w:rPr>
          <w:rFonts w:cs="Arial"/>
          <w:sz w:val="22"/>
          <w:szCs w:val="22"/>
        </w:rPr>
        <w:t xml:space="preserve">GŘ uzavřelo </w:t>
      </w:r>
      <w:r w:rsidR="00A61F35">
        <w:rPr>
          <w:rFonts w:cs="Arial"/>
          <w:sz w:val="22"/>
          <w:szCs w:val="22"/>
        </w:rPr>
        <w:t>v </w:t>
      </w:r>
      <w:r w:rsidR="005D29F2">
        <w:rPr>
          <w:rFonts w:cs="Arial"/>
          <w:sz w:val="22"/>
          <w:szCs w:val="22"/>
        </w:rPr>
        <w:t xml:space="preserve">červnu 2009 </w:t>
      </w:r>
      <w:r w:rsidR="00A61F35">
        <w:rPr>
          <w:rFonts w:cs="Arial"/>
          <w:sz w:val="22"/>
          <w:szCs w:val="22"/>
        </w:rPr>
        <w:t>s </w:t>
      </w:r>
      <w:r w:rsidR="007C0515">
        <w:rPr>
          <w:rFonts w:cs="Arial"/>
          <w:sz w:val="22"/>
          <w:szCs w:val="22"/>
        </w:rPr>
        <w:t>poskytovatelem</w:t>
      </w:r>
      <w:r w:rsidR="005D29F2">
        <w:rPr>
          <w:rFonts w:cs="Arial"/>
          <w:sz w:val="22"/>
          <w:szCs w:val="22"/>
        </w:rPr>
        <w:t xml:space="preserve"> poradenských a</w:t>
      </w:r>
      <w:r w:rsidR="007945D9">
        <w:rPr>
          <w:rFonts w:cs="Arial"/>
          <w:sz w:val="22"/>
          <w:szCs w:val="22"/>
        </w:rPr>
        <w:t xml:space="preserve"> </w:t>
      </w:r>
      <w:r w:rsidR="005D29F2">
        <w:rPr>
          <w:rFonts w:cs="Arial"/>
          <w:sz w:val="22"/>
          <w:szCs w:val="22"/>
        </w:rPr>
        <w:t xml:space="preserve">marketingových služeb smlouvu </w:t>
      </w:r>
      <w:r w:rsidR="007C0515">
        <w:rPr>
          <w:rFonts w:cs="Arial"/>
          <w:sz w:val="22"/>
          <w:szCs w:val="22"/>
        </w:rPr>
        <w:t>na</w:t>
      </w:r>
      <w:r w:rsidR="005D29F2">
        <w:rPr>
          <w:rFonts w:cs="Arial"/>
          <w:sz w:val="22"/>
          <w:szCs w:val="22"/>
        </w:rPr>
        <w:t xml:space="preserve"> dobu neurčitou </w:t>
      </w:r>
      <w:r w:rsidR="00A61F35">
        <w:rPr>
          <w:rFonts w:cs="Arial"/>
          <w:sz w:val="22"/>
          <w:szCs w:val="22"/>
        </w:rPr>
        <w:t>s </w:t>
      </w:r>
      <w:r w:rsidR="005D29F2">
        <w:rPr>
          <w:rFonts w:cs="Arial"/>
          <w:sz w:val="22"/>
          <w:szCs w:val="22"/>
        </w:rPr>
        <w:t>měsíční odměnou 119 tis. Kč.</w:t>
      </w:r>
      <w:r w:rsidR="000F4999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0F4999">
        <w:rPr>
          <w:rFonts w:cs="Arial"/>
          <w:sz w:val="22"/>
          <w:szCs w:val="22"/>
        </w:rPr>
        <w:t>letech 2010 až 2012 za její plnění uhradilo celkem 4</w:t>
      </w:r>
      <w:r w:rsidR="007945D9">
        <w:rPr>
          <w:rFonts w:cs="Arial"/>
          <w:sz w:val="22"/>
          <w:szCs w:val="22"/>
        </w:rPr>
        <w:t xml:space="preserve"> </w:t>
      </w:r>
      <w:r w:rsidR="000F4999">
        <w:rPr>
          <w:rFonts w:cs="Arial"/>
          <w:sz w:val="22"/>
          <w:szCs w:val="22"/>
        </w:rPr>
        <w:t>926 tis. Kč.</w:t>
      </w:r>
      <w:r w:rsidR="007C0515">
        <w:rPr>
          <w:rFonts w:cs="Arial"/>
          <w:sz w:val="22"/>
          <w:szCs w:val="22"/>
        </w:rPr>
        <w:t xml:space="preserve"> </w:t>
      </w:r>
      <w:r w:rsidR="00A35952">
        <w:rPr>
          <w:rFonts w:cs="Arial"/>
          <w:sz w:val="22"/>
          <w:szCs w:val="22"/>
        </w:rPr>
        <w:t>P</w:t>
      </w:r>
      <w:r w:rsidR="000F4999">
        <w:rPr>
          <w:rFonts w:cs="Arial"/>
          <w:sz w:val="22"/>
          <w:szCs w:val="22"/>
        </w:rPr>
        <w:t xml:space="preserve">ředpokládaná hodnota této veřejné zakázky </w:t>
      </w:r>
      <w:r w:rsidR="00A35952">
        <w:rPr>
          <w:rFonts w:cs="Arial"/>
          <w:sz w:val="22"/>
          <w:szCs w:val="22"/>
        </w:rPr>
        <w:t xml:space="preserve">byla </w:t>
      </w:r>
      <w:r w:rsidR="000F4999">
        <w:rPr>
          <w:rFonts w:cs="Arial"/>
          <w:sz w:val="22"/>
          <w:szCs w:val="22"/>
        </w:rPr>
        <w:t>5</w:t>
      </w:r>
      <w:r w:rsidR="00A35952">
        <w:rPr>
          <w:rFonts w:cs="Arial"/>
          <w:sz w:val="22"/>
          <w:szCs w:val="22"/>
        </w:rPr>
        <w:t> </w:t>
      </w:r>
      <w:r w:rsidR="000F4999">
        <w:rPr>
          <w:rFonts w:cs="Arial"/>
          <w:sz w:val="22"/>
          <w:szCs w:val="22"/>
        </w:rPr>
        <w:t>712 tis. Kč</w:t>
      </w:r>
      <w:r w:rsidR="00E711EB">
        <w:rPr>
          <w:rFonts w:cs="Arial"/>
          <w:sz w:val="22"/>
          <w:szCs w:val="22"/>
        </w:rPr>
        <w:t>,</w:t>
      </w:r>
      <w:r w:rsidR="007C0515">
        <w:rPr>
          <w:rFonts w:cs="Arial"/>
          <w:sz w:val="22"/>
          <w:szCs w:val="22"/>
        </w:rPr>
        <w:t xml:space="preserve"> a š</w:t>
      </w:r>
      <w:r w:rsidR="001C108F">
        <w:rPr>
          <w:rFonts w:cs="Arial"/>
          <w:sz w:val="22"/>
          <w:szCs w:val="22"/>
        </w:rPr>
        <w:t xml:space="preserve">lo </w:t>
      </w:r>
      <w:r w:rsidR="00E711EB">
        <w:rPr>
          <w:rFonts w:cs="Arial"/>
          <w:sz w:val="22"/>
          <w:szCs w:val="22"/>
        </w:rPr>
        <w:t>tedy</w:t>
      </w:r>
      <w:r w:rsidR="001C108F">
        <w:rPr>
          <w:rFonts w:cs="Arial"/>
          <w:sz w:val="22"/>
          <w:szCs w:val="22"/>
        </w:rPr>
        <w:t xml:space="preserve"> </w:t>
      </w:r>
      <w:r w:rsidR="00A35952">
        <w:rPr>
          <w:rFonts w:cs="Arial"/>
          <w:sz w:val="22"/>
          <w:szCs w:val="22"/>
        </w:rPr>
        <w:t xml:space="preserve">podle zákona č. 137/2006 Sb. o </w:t>
      </w:r>
      <w:r w:rsidR="001C108F">
        <w:rPr>
          <w:rFonts w:cs="Arial"/>
          <w:sz w:val="22"/>
          <w:szCs w:val="22"/>
        </w:rPr>
        <w:t>nadlimitní veřejnou z</w:t>
      </w:r>
      <w:r w:rsidR="000F4999">
        <w:rPr>
          <w:rFonts w:cs="Arial"/>
          <w:sz w:val="22"/>
          <w:szCs w:val="22"/>
        </w:rPr>
        <w:t>akáz</w:t>
      </w:r>
      <w:r w:rsidR="001C108F">
        <w:rPr>
          <w:rFonts w:cs="Arial"/>
          <w:sz w:val="22"/>
          <w:szCs w:val="22"/>
        </w:rPr>
        <w:t xml:space="preserve">ku, která </w:t>
      </w:r>
      <w:r w:rsidR="000F4999">
        <w:rPr>
          <w:rFonts w:cs="Arial"/>
          <w:sz w:val="22"/>
          <w:szCs w:val="22"/>
        </w:rPr>
        <w:lastRenderedPageBreak/>
        <w:t xml:space="preserve">měla </w:t>
      </w:r>
      <w:r w:rsidR="001C108F">
        <w:rPr>
          <w:rFonts w:cs="Arial"/>
          <w:sz w:val="22"/>
          <w:szCs w:val="22"/>
        </w:rPr>
        <w:t xml:space="preserve">být zadána </w:t>
      </w:r>
      <w:r w:rsidR="00A61F35">
        <w:rPr>
          <w:rFonts w:cs="Arial"/>
          <w:sz w:val="22"/>
          <w:szCs w:val="22"/>
        </w:rPr>
        <w:t>v </w:t>
      </w:r>
      <w:r w:rsidR="001C108F">
        <w:rPr>
          <w:rFonts w:cs="Arial"/>
          <w:sz w:val="22"/>
          <w:szCs w:val="22"/>
        </w:rPr>
        <w:t xml:space="preserve">příslušném zadávacím řízení. </w:t>
      </w:r>
      <w:r w:rsidR="001C108F" w:rsidRPr="000660F8">
        <w:rPr>
          <w:rFonts w:cs="Arial"/>
          <w:b/>
          <w:sz w:val="22"/>
          <w:szCs w:val="22"/>
        </w:rPr>
        <w:t xml:space="preserve">GŘ však </w:t>
      </w:r>
      <w:r w:rsidR="001C108F">
        <w:rPr>
          <w:rFonts w:cs="Arial"/>
          <w:b/>
          <w:sz w:val="22"/>
          <w:szCs w:val="22"/>
        </w:rPr>
        <w:t>nedoložilo</w:t>
      </w:r>
      <w:r w:rsidR="001C108F" w:rsidRPr="000660F8">
        <w:rPr>
          <w:rFonts w:cs="Arial"/>
          <w:b/>
          <w:sz w:val="22"/>
          <w:szCs w:val="22"/>
        </w:rPr>
        <w:t xml:space="preserve"> žádné doklady, které by prokazovaly, že</w:t>
      </w:r>
      <w:r w:rsidR="001C108F">
        <w:rPr>
          <w:rFonts w:cs="Arial"/>
          <w:b/>
          <w:sz w:val="22"/>
          <w:szCs w:val="22"/>
        </w:rPr>
        <w:t xml:space="preserve"> vybralo</w:t>
      </w:r>
      <w:r w:rsidR="001C108F" w:rsidRPr="000660F8">
        <w:rPr>
          <w:rFonts w:cs="Arial"/>
          <w:b/>
          <w:sz w:val="22"/>
          <w:szCs w:val="22"/>
        </w:rPr>
        <w:t xml:space="preserve"> </w:t>
      </w:r>
      <w:r w:rsidR="007C0515">
        <w:rPr>
          <w:rFonts w:cs="Arial"/>
          <w:b/>
          <w:sz w:val="22"/>
          <w:szCs w:val="22"/>
        </w:rPr>
        <w:t>poskytovatele</w:t>
      </w:r>
      <w:r w:rsidR="001C108F" w:rsidRPr="000660F8">
        <w:rPr>
          <w:rFonts w:cs="Arial"/>
          <w:b/>
          <w:sz w:val="22"/>
          <w:szCs w:val="22"/>
        </w:rPr>
        <w:t xml:space="preserve"> této veřejné zakázky </w:t>
      </w:r>
      <w:r w:rsidR="00A61F35">
        <w:rPr>
          <w:rFonts w:cs="Arial"/>
          <w:b/>
          <w:sz w:val="22"/>
          <w:szCs w:val="22"/>
        </w:rPr>
        <w:t>v </w:t>
      </w:r>
      <w:r w:rsidR="001C108F" w:rsidRPr="000660F8">
        <w:rPr>
          <w:rFonts w:cs="Arial"/>
          <w:b/>
          <w:sz w:val="22"/>
          <w:szCs w:val="22"/>
        </w:rPr>
        <w:t>zadávacím řízení</w:t>
      </w:r>
      <w:r w:rsidR="001C108F">
        <w:rPr>
          <w:rFonts w:cs="Arial"/>
          <w:b/>
          <w:sz w:val="22"/>
          <w:szCs w:val="22"/>
        </w:rPr>
        <w:t xml:space="preserve"> podle zákona č. 137/2006 Sb.</w:t>
      </w:r>
    </w:p>
    <w:p w:rsidR="001C108F" w:rsidRDefault="001C108F" w:rsidP="003528D3">
      <w:pPr>
        <w:jc w:val="both"/>
        <w:rPr>
          <w:rFonts w:cs="Arial"/>
          <w:b/>
          <w:sz w:val="22"/>
          <w:szCs w:val="22"/>
        </w:rPr>
      </w:pPr>
    </w:p>
    <w:p w:rsidR="00CE7681" w:rsidRDefault="005D29F2" w:rsidP="003528D3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3.3</w:t>
      </w:r>
      <w:r w:rsidR="00C825A9">
        <w:rPr>
          <w:rFonts w:cs="Arial"/>
          <w:b/>
          <w:sz w:val="22"/>
          <w:szCs w:val="22"/>
        </w:rPr>
        <w:t xml:space="preserve"> </w:t>
      </w:r>
      <w:r w:rsidR="00515F4E">
        <w:rPr>
          <w:rFonts w:cs="Arial"/>
          <w:sz w:val="22"/>
          <w:szCs w:val="22"/>
        </w:rPr>
        <w:t>GŘ</w:t>
      </w:r>
      <w:r w:rsidR="0073510A">
        <w:rPr>
          <w:rFonts w:cs="Arial"/>
          <w:sz w:val="22"/>
          <w:szCs w:val="22"/>
        </w:rPr>
        <w:t xml:space="preserve"> zadalo </w:t>
      </w:r>
      <w:r w:rsidR="00A61F35">
        <w:rPr>
          <w:rFonts w:cs="Arial"/>
          <w:sz w:val="22"/>
          <w:szCs w:val="22"/>
        </w:rPr>
        <w:t>v </w:t>
      </w:r>
      <w:r w:rsidR="0073510A">
        <w:rPr>
          <w:rFonts w:cs="Arial"/>
          <w:sz w:val="22"/>
          <w:szCs w:val="22"/>
        </w:rPr>
        <w:t>období od září 2009 do září 2012</w:t>
      </w:r>
      <w:r w:rsidR="00B15BB2">
        <w:rPr>
          <w:rFonts w:cs="Arial"/>
          <w:sz w:val="22"/>
          <w:szCs w:val="22"/>
        </w:rPr>
        <w:t xml:space="preserve"> </w:t>
      </w:r>
      <w:r w:rsidR="00CE7681">
        <w:rPr>
          <w:rFonts w:cs="Arial"/>
          <w:sz w:val="22"/>
          <w:szCs w:val="22"/>
        </w:rPr>
        <w:t xml:space="preserve">poskytovateli poradenských služeb </w:t>
      </w:r>
      <w:r w:rsidR="00A61F35">
        <w:rPr>
          <w:rFonts w:cs="Arial"/>
          <w:sz w:val="22"/>
          <w:szCs w:val="22"/>
        </w:rPr>
        <w:t>v </w:t>
      </w:r>
      <w:r w:rsidR="00CE7681">
        <w:rPr>
          <w:rFonts w:cs="Arial"/>
          <w:sz w:val="22"/>
          <w:szCs w:val="22"/>
        </w:rPr>
        <w:t xml:space="preserve">oblasti krizového řízení </w:t>
      </w:r>
      <w:r w:rsidR="008E7613">
        <w:rPr>
          <w:rFonts w:cs="Arial"/>
          <w:sz w:val="22"/>
          <w:szCs w:val="22"/>
        </w:rPr>
        <w:t xml:space="preserve">(fyzické osobě) </w:t>
      </w:r>
      <w:r w:rsidR="00CE7681">
        <w:rPr>
          <w:rFonts w:cs="Arial"/>
          <w:sz w:val="22"/>
          <w:szCs w:val="22"/>
        </w:rPr>
        <w:t xml:space="preserve">sedm veřejných zakázek malého rozsahu, za něž uhradilo celkem 4 884 tis. Kč. Předměty plnění </w:t>
      </w:r>
      <w:r w:rsidR="007C0515">
        <w:rPr>
          <w:rFonts w:cs="Arial"/>
          <w:sz w:val="22"/>
          <w:szCs w:val="22"/>
        </w:rPr>
        <w:t>těchto</w:t>
      </w:r>
      <w:r w:rsidR="00CE7681">
        <w:rPr>
          <w:rFonts w:cs="Arial"/>
          <w:sz w:val="22"/>
          <w:szCs w:val="22"/>
        </w:rPr>
        <w:t xml:space="preserve"> veřejných zakázek</w:t>
      </w:r>
      <w:r w:rsidR="007C0515">
        <w:rPr>
          <w:rFonts w:cs="Arial"/>
          <w:sz w:val="22"/>
          <w:szCs w:val="22"/>
        </w:rPr>
        <w:t xml:space="preserve"> </w:t>
      </w:r>
      <w:r w:rsidR="00CE7681">
        <w:rPr>
          <w:rFonts w:cs="Arial"/>
          <w:sz w:val="22"/>
          <w:szCs w:val="22"/>
        </w:rPr>
        <w:t xml:space="preserve">spolu věcně souvisely a tvořily jeden funkční celek. </w:t>
      </w:r>
      <w:r w:rsidR="00513FDB">
        <w:rPr>
          <w:rFonts w:cs="Arial"/>
          <w:sz w:val="22"/>
          <w:szCs w:val="22"/>
        </w:rPr>
        <w:t>Jednalo se</w:t>
      </w:r>
      <w:r w:rsidR="00CE7681">
        <w:rPr>
          <w:rFonts w:cs="Arial"/>
          <w:sz w:val="22"/>
          <w:szCs w:val="22"/>
        </w:rPr>
        <w:t xml:space="preserve"> tak o jednu veřejnou zakázku</w:t>
      </w:r>
      <w:r w:rsidR="00513FDB">
        <w:rPr>
          <w:rFonts w:cs="Arial"/>
          <w:sz w:val="22"/>
          <w:szCs w:val="22"/>
        </w:rPr>
        <w:t xml:space="preserve">, která měla být zadána </w:t>
      </w:r>
      <w:r w:rsidR="00A61F35">
        <w:rPr>
          <w:rFonts w:cs="Arial"/>
          <w:sz w:val="22"/>
          <w:szCs w:val="22"/>
        </w:rPr>
        <w:t>v </w:t>
      </w:r>
      <w:r w:rsidR="00513FDB">
        <w:rPr>
          <w:rFonts w:cs="Arial"/>
          <w:sz w:val="22"/>
          <w:szCs w:val="22"/>
        </w:rPr>
        <w:t>zadávacím řízení podle zákona č. 137/2006 Sb.</w:t>
      </w:r>
      <w:r w:rsidR="00CE7681">
        <w:rPr>
          <w:rFonts w:cs="Arial"/>
          <w:sz w:val="22"/>
          <w:szCs w:val="22"/>
        </w:rPr>
        <w:t xml:space="preserve"> </w:t>
      </w:r>
      <w:r w:rsidR="00CE7681" w:rsidRPr="00CE7681">
        <w:rPr>
          <w:rFonts w:cs="Arial"/>
          <w:b/>
          <w:sz w:val="22"/>
          <w:szCs w:val="22"/>
        </w:rPr>
        <w:t xml:space="preserve">GŘ však </w:t>
      </w:r>
      <w:r w:rsidR="00A61F35">
        <w:rPr>
          <w:rFonts w:cs="Arial"/>
          <w:b/>
          <w:sz w:val="22"/>
          <w:szCs w:val="22"/>
        </w:rPr>
        <w:t>v </w:t>
      </w:r>
      <w:r w:rsidR="00CE7681" w:rsidRPr="00CE7681">
        <w:rPr>
          <w:rFonts w:cs="Arial"/>
          <w:b/>
          <w:sz w:val="22"/>
          <w:szCs w:val="22"/>
        </w:rPr>
        <w:t>rozporu se zákonem č.</w:t>
      </w:r>
      <w:r w:rsidR="007945D9">
        <w:rPr>
          <w:rFonts w:cs="Arial"/>
          <w:b/>
          <w:sz w:val="22"/>
          <w:szCs w:val="22"/>
        </w:rPr>
        <w:t xml:space="preserve"> </w:t>
      </w:r>
      <w:r w:rsidR="00CE7681" w:rsidRPr="00CE7681">
        <w:rPr>
          <w:rFonts w:cs="Arial"/>
          <w:b/>
          <w:sz w:val="22"/>
          <w:szCs w:val="22"/>
        </w:rPr>
        <w:t>137/2006 Sb. rozdělilo předmět veřejné zakázky do sedmi zakázek, čímž snížilo jejich předpokládané hodnoty</w:t>
      </w:r>
      <w:r w:rsidR="0009144C">
        <w:rPr>
          <w:rFonts w:cs="Arial"/>
          <w:b/>
          <w:sz w:val="22"/>
          <w:szCs w:val="22"/>
        </w:rPr>
        <w:t>,</w:t>
      </w:r>
      <w:r w:rsidR="00CE7681" w:rsidRPr="00CE7681">
        <w:rPr>
          <w:rFonts w:cs="Arial"/>
          <w:b/>
          <w:sz w:val="22"/>
          <w:szCs w:val="22"/>
        </w:rPr>
        <w:t xml:space="preserve"> a</w:t>
      </w:r>
      <w:r w:rsidR="00CE7681" w:rsidRPr="000F38F0">
        <w:rPr>
          <w:rFonts w:cs="Arial"/>
          <w:b/>
          <w:sz w:val="22"/>
          <w:szCs w:val="22"/>
        </w:rPr>
        <w:t xml:space="preserve"> </w:t>
      </w:r>
      <w:r w:rsidR="00CE7681">
        <w:rPr>
          <w:rFonts w:cs="Arial"/>
          <w:b/>
          <w:sz w:val="22"/>
          <w:szCs w:val="22"/>
        </w:rPr>
        <w:t xml:space="preserve">zakázky </w:t>
      </w:r>
      <w:r w:rsidR="009A1A32">
        <w:rPr>
          <w:rFonts w:cs="Arial"/>
          <w:b/>
          <w:sz w:val="22"/>
          <w:szCs w:val="22"/>
        </w:rPr>
        <w:t>zadáva</w:t>
      </w:r>
      <w:r w:rsidR="00513FDB">
        <w:rPr>
          <w:rFonts w:cs="Arial"/>
          <w:b/>
          <w:sz w:val="22"/>
          <w:szCs w:val="22"/>
        </w:rPr>
        <w:t>lo</w:t>
      </w:r>
      <w:r w:rsidR="00CE7681" w:rsidRPr="000660F8">
        <w:rPr>
          <w:rFonts w:cs="Arial"/>
          <w:b/>
          <w:sz w:val="22"/>
          <w:szCs w:val="22"/>
        </w:rPr>
        <w:t xml:space="preserve"> </w:t>
      </w:r>
      <w:r w:rsidR="00CE7681">
        <w:rPr>
          <w:rFonts w:cs="Arial"/>
          <w:b/>
          <w:sz w:val="22"/>
          <w:szCs w:val="22"/>
        </w:rPr>
        <w:t>poskytovateli</w:t>
      </w:r>
      <w:r w:rsidR="001D4A36">
        <w:rPr>
          <w:rFonts w:cs="Arial"/>
          <w:b/>
          <w:sz w:val="22"/>
          <w:szCs w:val="22"/>
        </w:rPr>
        <w:t xml:space="preserve"> služeb</w:t>
      </w:r>
      <w:r w:rsidR="00CE7681" w:rsidRPr="000660F8">
        <w:rPr>
          <w:rFonts w:cs="Arial"/>
          <w:b/>
          <w:sz w:val="22"/>
          <w:szCs w:val="22"/>
        </w:rPr>
        <w:t xml:space="preserve"> jako veřejné zakázky malého rozsah</w:t>
      </w:r>
      <w:r w:rsidR="00CE7681" w:rsidRPr="00CE7681">
        <w:rPr>
          <w:rFonts w:cs="Arial"/>
          <w:b/>
          <w:sz w:val="22"/>
          <w:szCs w:val="22"/>
        </w:rPr>
        <w:t>u.</w:t>
      </w:r>
    </w:p>
    <w:p w:rsidR="00DD6052" w:rsidRDefault="00DD6052" w:rsidP="003528D3">
      <w:pPr>
        <w:jc w:val="both"/>
        <w:rPr>
          <w:rFonts w:cs="Arial"/>
          <w:sz w:val="22"/>
          <w:szCs w:val="22"/>
        </w:rPr>
      </w:pPr>
    </w:p>
    <w:p w:rsidR="001D4A36" w:rsidRDefault="00DD6052" w:rsidP="003528D3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  <w:r w:rsidR="005D29F2"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 xml:space="preserve"> </w:t>
      </w:r>
      <w:r w:rsidR="001D4A36" w:rsidRPr="001D4A36">
        <w:rPr>
          <w:rFonts w:cs="Arial"/>
          <w:sz w:val="22"/>
          <w:szCs w:val="22"/>
        </w:rPr>
        <w:t xml:space="preserve">Závod Brno uhradil </w:t>
      </w:r>
      <w:r w:rsidR="00A61F35">
        <w:rPr>
          <w:rFonts w:cs="Arial"/>
          <w:sz w:val="22"/>
          <w:szCs w:val="22"/>
        </w:rPr>
        <w:t>v </w:t>
      </w:r>
      <w:r w:rsidR="001D4A36" w:rsidRPr="001D4A36">
        <w:rPr>
          <w:rFonts w:cs="Arial"/>
          <w:sz w:val="22"/>
          <w:szCs w:val="22"/>
        </w:rPr>
        <w:t>roce 2011</w:t>
      </w:r>
      <w:r w:rsidR="001D4A36">
        <w:rPr>
          <w:rFonts w:cs="Arial"/>
          <w:sz w:val="22"/>
          <w:szCs w:val="22"/>
        </w:rPr>
        <w:t xml:space="preserve"> dodavateli 1</w:t>
      </w:r>
      <w:r w:rsidR="007945D9">
        <w:rPr>
          <w:rFonts w:cs="Arial"/>
          <w:sz w:val="22"/>
          <w:szCs w:val="22"/>
        </w:rPr>
        <w:t xml:space="preserve"> </w:t>
      </w:r>
      <w:r w:rsidR="001D4A36">
        <w:rPr>
          <w:rFonts w:cs="Arial"/>
          <w:sz w:val="22"/>
          <w:szCs w:val="22"/>
        </w:rPr>
        <w:t xml:space="preserve">180 tis. Kč za zpracování podkladů pro závěrečná vyhodnocení některých stavebních akcí na pozemních komunikacích. </w:t>
      </w:r>
      <w:r w:rsidR="001D4A36" w:rsidRPr="001D4A36">
        <w:rPr>
          <w:rFonts w:cs="Arial"/>
          <w:b/>
          <w:sz w:val="22"/>
          <w:szCs w:val="22"/>
        </w:rPr>
        <w:t xml:space="preserve">Tyto podklady by </w:t>
      </w:r>
      <w:r w:rsidR="001D4A36">
        <w:rPr>
          <w:rFonts w:cs="Arial"/>
          <w:b/>
          <w:sz w:val="22"/>
          <w:szCs w:val="22"/>
        </w:rPr>
        <w:t>však</w:t>
      </w:r>
      <w:r w:rsidR="001D4A36" w:rsidRPr="001D4A36">
        <w:rPr>
          <w:rFonts w:cs="Arial"/>
          <w:b/>
          <w:sz w:val="22"/>
          <w:szCs w:val="22"/>
        </w:rPr>
        <w:t xml:space="preserve"> měl Závod Brno zabezpečovat</w:t>
      </w:r>
      <w:r w:rsidR="001D4A36">
        <w:rPr>
          <w:rFonts w:cs="Arial"/>
          <w:sz w:val="22"/>
          <w:szCs w:val="22"/>
        </w:rPr>
        <w:t xml:space="preserve"> </w:t>
      </w:r>
      <w:r w:rsidR="001D4A36" w:rsidRPr="00DD6052">
        <w:rPr>
          <w:rFonts w:cs="Arial"/>
          <w:b/>
          <w:sz w:val="22"/>
          <w:szCs w:val="22"/>
        </w:rPr>
        <w:t>vlastními zaměstnanci</w:t>
      </w:r>
      <w:r w:rsidR="001D4A36">
        <w:rPr>
          <w:rFonts w:cs="Arial"/>
          <w:b/>
          <w:sz w:val="22"/>
          <w:szCs w:val="22"/>
        </w:rPr>
        <w:t>.</w:t>
      </w:r>
    </w:p>
    <w:p w:rsidR="001D4A36" w:rsidRDefault="001D4A36" w:rsidP="003528D3">
      <w:pPr>
        <w:jc w:val="both"/>
        <w:rPr>
          <w:rFonts w:cs="Arial"/>
          <w:b/>
          <w:sz w:val="22"/>
          <w:szCs w:val="22"/>
        </w:rPr>
      </w:pPr>
    </w:p>
    <w:p w:rsidR="00752D4C" w:rsidRDefault="000660F8" w:rsidP="003528D3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  <w:r w:rsidR="005D29F2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 xml:space="preserve"> </w:t>
      </w:r>
      <w:r w:rsidR="001D4A36">
        <w:rPr>
          <w:rFonts w:cs="Arial"/>
          <w:sz w:val="22"/>
          <w:szCs w:val="22"/>
        </w:rPr>
        <w:t xml:space="preserve">GŘ převzalo </w:t>
      </w:r>
      <w:r w:rsidR="00A61F35">
        <w:rPr>
          <w:rFonts w:cs="Arial"/>
          <w:sz w:val="22"/>
          <w:szCs w:val="22"/>
        </w:rPr>
        <w:t>v </w:t>
      </w:r>
      <w:r w:rsidR="00B3143A">
        <w:rPr>
          <w:rFonts w:cs="Arial"/>
          <w:sz w:val="22"/>
          <w:szCs w:val="22"/>
        </w:rPr>
        <w:t xml:space="preserve">březnu 2011 </w:t>
      </w:r>
      <w:r w:rsidR="001D4A36">
        <w:rPr>
          <w:rFonts w:cs="Arial"/>
          <w:sz w:val="22"/>
          <w:szCs w:val="22"/>
        </w:rPr>
        <w:t xml:space="preserve">od Správy Plzeň správu areálu dálničního přechodu Rozvadov. </w:t>
      </w:r>
      <w:r w:rsidR="00EB41C2">
        <w:rPr>
          <w:rFonts w:cs="Arial"/>
          <w:sz w:val="22"/>
          <w:szCs w:val="22"/>
        </w:rPr>
        <w:t xml:space="preserve">Správu areálu by mělo vykonávat Středisko správy a údržby dálnic Rozvadov, které je vnitřní organizační jednotkou </w:t>
      </w:r>
      <w:r w:rsidR="00A61F35">
        <w:rPr>
          <w:rFonts w:cs="Arial"/>
          <w:sz w:val="22"/>
          <w:szCs w:val="22"/>
        </w:rPr>
        <w:t>v </w:t>
      </w:r>
      <w:r w:rsidR="00EB41C2">
        <w:rPr>
          <w:rFonts w:cs="Arial"/>
          <w:sz w:val="22"/>
          <w:szCs w:val="22"/>
        </w:rPr>
        <w:t>působnosti GŘ. To její zajišťování podle sdělení GŘ trvale odmítá. GŘ tak č</w:t>
      </w:r>
      <w:r w:rsidR="001D4A36">
        <w:rPr>
          <w:rFonts w:cs="Arial"/>
          <w:sz w:val="22"/>
          <w:szCs w:val="22"/>
        </w:rPr>
        <w:t>innosti spojené se správou areálu zabezpečovalo</w:t>
      </w:r>
      <w:r w:rsidR="00EB41C2">
        <w:rPr>
          <w:rFonts w:cs="Arial"/>
          <w:sz w:val="22"/>
          <w:szCs w:val="22"/>
        </w:rPr>
        <w:t xml:space="preserve"> prostřednictvím dodavatele.</w:t>
      </w:r>
      <w:r w:rsidR="00470466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470466">
        <w:rPr>
          <w:rFonts w:cs="Arial"/>
          <w:sz w:val="22"/>
          <w:szCs w:val="22"/>
        </w:rPr>
        <w:t>období</w:t>
      </w:r>
      <w:r w:rsidR="00EB41C2">
        <w:rPr>
          <w:rFonts w:cs="Arial"/>
          <w:sz w:val="22"/>
          <w:szCs w:val="22"/>
        </w:rPr>
        <w:t xml:space="preserve"> </w:t>
      </w:r>
      <w:r w:rsidR="00470466">
        <w:rPr>
          <w:rFonts w:cs="Arial"/>
          <w:sz w:val="22"/>
          <w:szCs w:val="22"/>
        </w:rPr>
        <w:t xml:space="preserve">od března 2011 do března 2012 </w:t>
      </w:r>
      <w:r w:rsidR="00EB41C2">
        <w:rPr>
          <w:rFonts w:cs="Arial"/>
          <w:sz w:val="22"/>
          <w:szCs w:val="22"/>
        </w:rPr>
        <w:t xml:space="preserve">jím byl stejný </w:t>
      </w:r>
      <w:r w:rsidR="001D4A36">
        <w:rPr>
          <w:rFonts w:cs="Arial"/>
          <w:sz w:val="22"/>
          <w:szCs w:val="22"/>
        </w:rPr>
        <w:t>dodavatel</w:t>
      </w:r>
      <w:r w:rsidR="00EB41C2">
        <w:rPr>
          <w:rFonts w:cs="Arial"/>
          <w:sz w:val="22"/>
          <w:szCs w:val="22"/>
        </w:rPr>
        <w:t>, který správu areálu vykonával pro</w:t>
      </w:r>
      <w:r w:rsidR="001D4A36">
        <w:rPr>
          <w:rFonts w:cs="Arial"/>
          <w:sz w:val="22"/>
          <w:szCs w:val="22"/>
        </w:rPr>
        <w:t xml:space="preserve"> </w:t>
      </w:r>
      <w:r w:rsidR="00EB41C2">
        <w:rPr>
          <w:rFonts w:cs="Arial"/>
          <w:sz w:val="22"/>
          <w:szCs w:val="22"/>
        </w:rPr>
        <w:t>Správu</w:t>
      </w:r>
      <w:r w:rsidR="001D4A36">
        <w:rPr>
          <w:rFonts w:cs="Arial"/>
          <w:sz w:val="22"/>
          <w:szCs w:val="22"/>
        </w:rPr>
        <w:t xml:space="preserve"> Plzeň</w:t>
      </w:r>
      <w:r w:rsidR="000462F4">
        <w:rPr>
          <w:rFonts w:cs="Arial"/>
          <w:sz w:val="22"/>
          <w:szCs w:val="22"/>
        </w:rPr>
        <w:t>. GŘ mu uhradilo celkem 2</w:t>
      </w:r>
      <w:r w:rsidR="007945D9">
        <w:rPr>
          <w:rFonts w:cs="Arial"/>
          <w:sz w:val="22"/>
          <w:szCs w:val="22"/>
        </w:rPr>
        <w:t xml:space="preserve"> </w:t>
      </w:r>
      <w:r w:rsidR="000462F4">
        <w:rPr>
          <w:rFonts w:cs="Arial"/>
          <w:sz w:val="22"/>
          <w:szCs w:val="22"/>
        </w:rPr>
        <w:t xml:space="preserve">110 tis. Kč, což představuje 162 tis. Kč/měs. </w:t>
      </w:r>
      <w:r w:rsidR="009A1A32">
        <w:rPr>
          <w:rFonts w:cs="Arial"/>
          <w:sz w:val="22"/>
          <w:szCs w:val="22"/>
        </w:rPr>
        <w:t>D</w:t>
      </w:r>
      <w:r w:rsidR="008A2605">
        <w:rPr>
          <w:rFonts w:cs="Arial"/>
          <w:sz w:val="22"/>
          <w:szCs w:val="22"/>
        </w:rPr>
        <w:t>odavatel</w:t>
      </w:r>
      <w:r w:rsidR="009A1A32">
        <w:rPr>
          <w:rFonts w:cs="Arial"/>
          <w:sz w:val="22"/>
          <w:szCs w:val="22"/>
        </w:rPr>
        <w:t xml:space="preserve"> </w:t>
      </w:r>
      <w:r w:rsidR="008A2605">
        <w:rPr>
          <w:rFonts w:cs="Arial"/>
          <w:sz w:val="22"/>
          <w:szCs w:val="22"/>
        </w:rPr>
        <w:t>vykonával příslušné činnosti prostřednictvím subdodavatele</w:t>
      </w:r>
      <w:r w:rsidR="000462F4">
        <w:rPr>
          <w:rFonts w:cs="Arial"/>
          <w:sz w:val="22"/>
          <w:szCs w:val="22"/>
        </w:rPr>
        <w:t>.</w:t>
      </w:r>
      <w:r w:rsidR="009A1A32">
        <w:rPr>
          <w:rFonts w:cs="Arial"/>
          <w:sz w:val="22"/>
          <w:szCs w:val="22"/>
        </w:rPr>
        <w:t xml:space="preserve"> </w:t>
      </w:r>
    </w:p>
    <w:p w:rsidR="00752D4C" w:rsidRDefault="00752D4C" w:rsidP="003528D3">
      <w:pPr>
        <w:jc w:val="both"/>
        <w:rPr>
          <w:rFonts w:cs="Arial"/>
          <w:sz w:val="22"/>
          <w:szCs w:val="22"/>
        </w:rPr>
      </w:pPr>
    </w:p>
    <w:p w:rsidR="008D7CE5" w:rsidRDefault="003D2A86" w:rsidP="003528D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 dubna 2012</w:t>
      </w:r>
      <w:r w:rsidR="00470466">
        <w:rPr>
          <w:rFonts w:cs="Arial"/>
          <w:sz w:val="22"/>
          <w:szCs w:val="22"/>
        </w:rPr>
        <w:t xml:space="preserve"> do října 2012 </w:t>
      </w:r>
      <w:r>
        <w:rPr>
          <w:rFonts w:cs="Arial"/>
          <w:sz w:val="22"/>
          <w:szCs w:val="22"/>
        </w:rPr>
        <w:t xml:space="preserve">zadávalo </w:t>
      </w:r>
      <w:proofErr w:type="spellStart"/>
      <w:r>
        <w:rPr>
          <w:rFonts w:cs="Arial"/>
          <w:sz w:val="22"/>
          <w:szCs w:val="22"/>
        </w:rPr>
        <w:t>GŘ</w:t>
      </w:r>
      <w:proofErr w:type="spellEnd"/>
      <w:r>
        <w:rPr>
          <w:rFonts w:cs="Arial"/>
          <w:sz w:val="22"/>
          <w:szCs w:val="22"/>
        </w:rPr>
        <w:t xml:space="preserve"> </w:t>
      </w:r>
      <w:r w:rsidR="00513FDB">
        <w:rPr>
          <w:rFonts w:cs="Arial"/>
          <w:sz w:val="22"/>
          <w:szCs w:val="22"/>
        </w:rPr>
        <w:t>uvedené</w:t>
      </w:r>
      <w:r>
        <w:rPr>
          <w:rFonts w:cs="Arial"/>
          <w:sz w:val="22"/>
          <w:szCs w:val="22"/>
        </w:rPr>
        <w:t xml:space="preserve"> činnosti</w:t>
      </w:r>
      <w:r w:rsidR="008D7CE5">
        <w:rPr>
          <w:rFonts w:cs="Arial"/>
          <w:sz w:val="22"/>
          <w:szCs w:val="22"/>
        </w:rPr>
        <w:t xml:space="preserve"> objednávkami</w:t>
      </w:r>
      <w:r w:rsidR="000462F4">
        <w:rPr>
          <w:rFonts w:cs="Arial"/>
          <w:sz w:val="22"/>
          <w:szCs w:val="22"/>
        </w:rPr>
        <w:t xml:space="preserve"> již</w:t>
      </w:r>
      <w:r>
        <w:rPr>
          <w:rFonts w:cs="Arial"/>
          <w:sz w:val="22"/>
          <w:szCs w:val="22"/>
        </w:rPr>
        <w:t xml:space="preserve"> </w:t>
      </w:r>
      <w:r w:rsidR="00752D4C">
        <w:rPr>
          <w:rFonts w:cs="Arial"/>
          <w:sz w:val="22"/>
          <w:szCs w:val="22"/>
        </w:rPr>
        <w:t>přímo subdodavateli</w:t>
      </w:r>
      <w:r w:rsidR="008D7CE5">
        <w:rPr>
          <w:rFonts w:cs="Arial"/>
          <w:sz w:val="22"/>
          <w:szCs w:val="22"/>
        </w:rPr>
        <w:t>.</w:t>
      </w:r>
      <w:r w:rsidR="00470466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470466">
        <w:rPr>
          <w:rFonts w:cs="Arial"/>
          <w:sz w:val="22"/>
          <w:szCs w:val="22"/>
        </w:rPr>
        <w:t>tomto období</w:t>
      </w:r>
      <w:r w:rsidR="008D7CE5">
        <w:rPr>
          <w:rFonts w:cs="Arial"/>
          <w:sz w:val="22"/>
          <w:szCs w:val="22"/>
        </w:rPr>
        <w:t xml:space="preserve"> mu uhradilo</w:t>
      </w:r>
      <w:r w:rsidR="00470466">
        <w:rPr>
          <w:rFonts w:cs="Arial"/>
          <w:sz w:val="22"/>
          <w:szCs w:val="22"/>
        </w:rPr>
        <w:t xml:space="preserve"> celkem</w:t>
      </w:r>
      <w:r w:rsidR="00C17ABD">
        <w:rPr>
          <w:rFonts w:cs="Arial"/>
          <w:sz w:val="22"/>
          <w:szCs w:val="22"/>
        </w:rPr>
        <w:t xml:space="preserve"> 695 tis. Kč, c</w:t>
      </w:r>
      <w:r w:rsidR="00401062">
        <w:rPr>
          <w:rFonts w:cs="Arial"/>
          <w:sz w:val="22"/>
          <w:szCs w:val="22"/>
        </w:rPr>
        <w:t>ož představuje 99 tis. </w:t>
      </w:r>
      <w:r w:rsidR="008D7CE5">
        <w:rPr>
          <w:rFonts w:cs="Arial"/>
          <w:sz w:val="22"/>
          <w:szCs w:val="22"/>
        </w:rPr>
        <w:t xml:space="preserve">Kč/měs. </w:t>
      </w:r>
      <w:r w:rsidR="00A61F35">
        <w:rPr>
          <w:rFonts w:cs="Arial"/>
          <w:sz w:val="22"/>
          <w:szCs w:val="22"/>
        </w:rPr>
        <w:t>V </w:t>
      </w:r>
      <w:r w:rsidR="008D7CE5">
        <w:rPr>
          <w:rFonts w:cs="Arial"/>
          <w:sz w:val="22"/>
          <w:szCs w:val="22"/>
        </w:rPr>
        <w:t xml:space="preserve">dalším období </w:t>
      </w:r>
      <w:r w:rsidR="00513FDB">
        <w:rPr>
          <w:rFonts w:cs="Arial"/>
          <w:sz w:val="22"/>
          <w:szCs w:val="22"/>
        </w:rPr>
        <w:t xml:space="preserve">od listopadu 2012 do února 2013 </w:t>
      </w:r>
      <w:r w:rsidR="008D7CE5">
        <w:rPr>
          <w:rFonts w:cs="Arial"/>
          <w:sz w:val="22"/>
          <w:szCs w:val="22"/>
        </w:rPr>
        <w:t>mu je zadávalo na základě výsledku zadání veřejné zakázky malého rozsahu</w:t>
      </w:r>
      <w:r w:rsidR="00513FDB">
        <w:rPr>
          <w:rFonts w:cs="Arial"/>
          <w:sz w:val="22"/>
          <w:szCs w:val="22"/>
        </w:rPr>
        <w:t xml:space="preserve"> a </w:t>
      </w:r>
      <w:r w:rsidR="00EB41C2">
        <w:rPr>
          <w:rFonts w:cs="Arial"/>
          <w:sz w:val="22"/>
          <w:szCs w:val="22"/>
        </w:rPr>
        <w:t>uhradilo</w:t>
      </w:r>
      <w:r w:rsidR="00470466">
        <w:rPr>
          <w:rFonts w:cs="Arial"/>
          <w:sz w:val="22"/>
          <w:szCs w:val="22"/>
        </w:rPr>
        <w:t xml:space="preserve"> mu celkem </w:t>
      </w:r>
      <w:r w:rsidR="00EB41C2">
        <w:rPr>
          <w:rFonts w:cs="Arial"/>
          <w:sz w:val="22"/>
          <w:szCs w:val="22"/>
        </w:rPr>
        <w:t xml:space="preserve">379 tis. Kč, což představuje 95 tis. Kč/měs. </w:t>
      </w:r>
      <w:r w:rsidR="004302E4">
        <w:rPr>
          <w:rFonts w:cs="Arial"/>
          <w:sz w:val="22"/>
          <w:szCs w:val="22"/>
        </w:rPr>
        <w:t>Náklady na správu areálu tak byly o</w:t>
      </w:r>
      <w:r w:rsidR="007945D9">
        <w:rPr>
          <w:rFonts w:cs="Arial"/>
          <w:sz w:val="22"/>
          <w:szCs w:val="22"/>
        </w:rPr>
        <w:t xml:space="preserve"> </w:t>
      </w:r>
      <w:r w:rsidR="004302E4">
        <w:rPr>
          <w:rFonts w:cs="Arial"/>
          <w:sz w:val="22"/>
          <w:szCs w:val="22"/>
        </w:rPr>
        <w:t>41</w:t>
      </w:r>
      <w:r w:rsidR="007945D9">
        <w:rPr>
          <w:rFonts w:cs="Arial"/>
          <w:sz w:val="22"/>
          <w:szCs w:val="22"/>
        </w:rPr>
        <w:t xml:space="preserve"> </w:t>
      </w:r>
      <w:r w:rsidR="004302E4">
        <w:rPr>
          <w:rFonts w:cs="Arial"/>
          <w:sz w:val="22"/>
          <w:szCs w:val="22"/>
        </w:rPr>
        <w:t xml:space="preserve">% nižší než </w:t>
      </w:r>
      <w:r w:rsidR="00A61F35">
        <w:rPr>
          <w:rFonts w:cs="Arial"/>
          <w:sz w:val="22"/>
          <w:szCs w:val="22"/>
        </w:rPr>
        <w:t>v </w:t>
      </w:r>
      <w:r w:rsidR="004302E4">
        <w:rPr>
          <w:rFonts w:cs="Arial"/>
          <w:sz w:val="22"/>
          <w:szCs w:val="22"/>
        </w:rPr>
        <w:t xml:space="preserve">době, kdy </w:t>
      </w:r>
      <w:proofErr w:type="spellStart"/>
      <w:r w:rsidR="004302E4">
        <w:rPr>
          <w:rFonts w:cs="Arial"/>
          <w:sz w:val="22"/>
          <w:szCs w:val="22"/>
        </w:rPr>
        <w:t>GŘ</w:t>
      </w:r>
      <w:proofErr w:type="spellEnd"/>
      <w:r w:rsidR="004302E4">
        <w:rPr>
          <w:rFonts w:cs="Arial"/>
          <w:sz w:val="22"/>
          <w:szCs w:val="22"/>
        </w:rPr>
        <w:t xml:space="preserve"> jeho správu převzalo.</w:t>
      </w:r>
    </w:p>
    <w:p w:rsidR="008D7CE5" w:rsidRDefault="008D7CE5" w:rsidP="003528D3">
      <w:pPr>
        <w:jc w:val="both"/>
        <w:rPr>
          <w:rFonts w:cs="Arial"/>
          <w:sz w:val="22"/>
          <w:szCs w:val="22"/>
        </w:rPr>
      </w:pPr>
    </w:p>
    <w:p w:rsidR="00C17ABD" w:rsidRDefault="00B3143A" w:rsidP="003528D3">
      <w:pPr>
        <w:jc w:val="both"/>
        <w:rPr>
          <w:rFonts w:cs="Arial"/>
          <w:sz w:val="22"/>
          <w:szCs w:val="22"/>
        </w:rPr>
      </w:pPr>
      <w:r w:rsidRPr="00B3143A">
        <w:rPr>
          <w:rFonts w:cs="Arial"/>
          <w:b/>
          <w:sz w:val="22"/>
          <w:szCs w:val="22"/>
        </w:rPr>
        <w:t>Pokud by se</w:t>
      </w:r>
      <w:r w:rsidR="007E54A4">
        <w:rPr>
          <w:rFonts w:cs="Arial"/>
          <w:b/>
          <w:sz w:val="22"/>
          <w:szCs w:val="22"/>
        </w:rPr>
        <w:t xml:space="preserve"> Správa Plzeň a následně GŘ zabývaly hospodárností </w:t>
      </w:r>
      <w:r>
        <w:rPr>
          <w:rFonts w:cs="Arial"/>
          <w:b/>
          <w:sz w:val="22"/>
          <w:szCs w:val="22"/>
        </w:rPr>
        <w:t>správy areálu</w:t>
      </w:r>
      <w:r w:rsidR="004302E4">
        <w:rPr>
          <w:rFonts w:cs="Arial"/>
          <w:b/>
          <w:sz w:val="22"/>
          <w:szCs w:val="22"/>
        </w:rPr>
        <w:t xml:space="preserve"> již</w:t>
      </w:r>
      <w:r w:rsidR="007E54A4" w:rsidRPr="007E54A4">
        <w:rPr>
          <w:rFonts w:cs="Arial"/>
          <w:b/>
          <w:sz w:val="22"/>
          <w:szCs w:val="22"/>
        </w:rPr>
        <w:t xml:space="preserve"> </w:t>
      </w:r>
      <w:r w:rsidR="007E54A4">
        <w:rPr>
          <w:rFonts w:cs="Arial"/>
          <w:b/>
          <w:sz w:val="22"/>
          <w:szCs w:val="22"/>
        </w:rPr>
        <w:t>dříve,</w:t>
      </w:r>
      <w:r w:rsidRPr="00B3143A">
        <w:rPr>
          <w:rFonts w:cs="Arial"/>
          <w:b/>
          <w:sz w:val="22"/>
          <w:szCs w:val="22"/>
        </w:rPr>
        <w:t xml:space="preserve"> </w:t>
      </w:r>
      <w:r w:rsidR="007E54A4">
        <w:rPr>
          <w:rFonts w:cs="Arial"/>
          <w:b/>
          <w:sz w:val="22"/>
          <w:szCs w:val="22"/>
        </w:rPr>
        <w:t>mohly být</w:t>
      </w:r>
      <w:r w:rsidR="00E51D7D">
        <w:rPr>
          <w:rFonts w:cs="Arial"/>
          <w:b/>
          <w:sz w:val="22"/>
          <w:szCs w:val="22"/>
        </w:rPr>
        <w:t xml:space="preserve"> do března 2012</w:t>
      </w:r>
      <w:r w:rsidR="007E54A4">
        <w:rPr>
          <w:rFonts w:cs="Arial"/>
          <w:b/>
          <w:sz w:val="22"/>
          <w:szCs w:val="22"/>
        </w:rPr>
        <w:t xml:space="preserve"> roční náklady na jeho správu o téměř 800 tis. Kč nižší.</w:t>
      </w:r>
    </w:p>
    <w:p w:rsidR="007E54A4" w:rsidRDefault="007E54A4" w:rsidP="003528D3">
      <w:pPr>
        <w:jc w:val="both"/>
        <w:rPr>
          <w:rFonts w:cs="Arial"/>
          <w:sz w:val="22"/>
          <w:szCs w:val="22"/>
        </w:rPr>
      </w:pPr>
    </w:p>
    <w:p w:rsidR="00441145" w:rsidRDefault="008657EF" w:rsidP="003528D3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  <w:r w:rsidR="005D29F2">
        <w:rPr>
          <w:rFonts w:cs="Arial"/>
          <w:b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</w:t>
      </w:r>
      <w:r w:rsidR="00F076D2">
        <w:rPr>
          <w:rFonts w:cs="Arial"/>
          <w:sz w:val="22"/>
          <w:szCs w:val="22"/>
        </w:rPr>
        <w:t>GŘ</w:t>
      </w:r>
      <w:r w:rsidR="00791A30">
        <w:rPr>
          <w:rFonts w:cs="Arial"/>
          <w:sz w:val="22"/>
          <w:szCs w:val="22"/>
        </w:rPr>
        <w:t xml:space="preserve"> sídlí od roku 2004 </w:t>
      </w:r>
      <w:r w:rsidR="00A61F35">
        <w:rPr>
          <w:rFonts w:cs="Arial"/>
          <w:sz w:val="22"/>
          <w:szCs w:val="22"/>
        </w:rPr>
        <w:t>v </w:t>
      </w:r>
      <w:r w:rsidR="00791A30">
        <w:rPr>
          <w:rFonts w:cs="Arial"/>
          <w:sz w:val="22"/>
          <w:szCs w:val="22"/>
        </w:rPr>
        <w:t xml:space="preserve">najaté budově </w:t>
      </w:r>
      <w:r w:rsidR="00A61F35">
        <w:rPr>
          <w:rFonts w:cs="Arial"/>
          <w:sz w:val="22"/>
          <w:szCs w:val="22"/>
        </w:rPr>
        <w:t>v </w:t>
      </w:r>
      <w:r w:rsidR="00791A30">
        <w:rPr>
          <w:rFonts w:cs="Arial"/>
          <w:sz w:val="22"/>
          <w:szCs w:val="22"/>
        </w:rPr>
        <w:t>Praze na Kačerově</w:t>
      </w:r>
      <w:r w:rsidR="0009144C">
        <w:rPr>
          <w:rFonts w:cs="Arial"/>
          <w:sz w:val="22"/>
          <w:szCs w:val="22"/>
        </w:rPr>
        <w:t>.</w:t>
      </w:r>
      <w:r w:rsidR="0035436B">
        <w:rPr>
          <w:rStyle w:val="Znakapoznpodarou"/>
          <w:rFonts w:cs="Arial"/>
          <w:sz w:val="22"/>
          <w:szCs w:val="22"/>
        </w:rPr>
        <w:footnoteReference w:id="9"/>
      </w:r>
      <w:r w:rsidR="00AA4123">
        <w:rPr>
          <w:rFonts w:cs="Arial"/>
          <w:sz w:val="22"/>
          <w:szCs w:val="22"/>
        </w:rPr>
        <w:t xml:space="preserve"> Například </w:t>
      </w:r>
      <w:r w:rsidR="00A61F35">
        <w:rPr>
          <w:rFonts w:cs="Arial"/>
          <w:sz w:val="22"/>
          <w:szCs w:val="22"/>
        </w:rPr>
        <w:t>v </w:t>
      </w:r>
      <w:r w:rsidR="001F6CD4">
        <w:rPr>
          <w:rFonts w:cs="Arial"/>
          <w:sz w:val="22"/>
          <w:szCs w:val="22"/>
        </w:rPr>
        <w:t xml:space="preserve">roce 2012 za </w:t>
      </w:r>
      <w:r w:rsidR="00441145">
        <w:rPr>
          <w:rFonts w:cs="Arial"/>
          <w:sz w:val="22"/>
          <w:szCs w:val="22"/>
        </w:rPr>
        <w:t xml:space="preserve">nájem nebytových prostor pro 167 zaměstnanců </w:t>
      </w:r>
      <w:r w:rsidR="001F6CD4">
        <w:rPr>
          <w:rFonts w:cs="Arial"/>
          <w:sz w:val="22"/>
          <w:szCs w:val="22"/>
        </w:rPr>
        <w:t>uhradilo</w:t>
      </w:r>
      <w:r w:rsidR="00943AC6">
        <w:rPr>
          <w:rFonts w:cs="Arial"/>
          <w:sz w:val="22"/>
          <w:szCs w:val="22"/>
        </w:rPr>
        <w:t xml:space="preserve"> celkem 46</w:t>
      </w:r>
      <w:r w:rsidR="007945D9">
        <w:rPr>
          <w:rFonts w:cs="Arial"/>
          <w:sz w:val="22"/>
          <w:szCs w:val="22"/>
        </w:rPr>
        <w:t xml:space="preserve"> </w:t>
      </w:r>
      <w:r w:rsidR="00943AC6">
        <w:rPr>
          <w:rFonts w:cs="Arial"/>
          <w:sz w:val="22"/>
          <w:szCs w:val="22"/>
        </w:rPr>
        <w:t>456 tis. Kč,</w:t>
      </w:r>
      <w:r w:rsidR="00441145">
        <w:rPr>
          <w:rFonts w:cs="Arial"/>
          <w:sz w:val="22"/>
          <w:szCs w:val="22"/>
        </w:rPr>
        <w:t xml:space="preserve"> </w:t>
      </w:r>
      <w:r w:rsidR="00943AC6">
        <w:rPr>
          <w:rFonts w:cs="Arial"/>
          <w:sz w:val="22"/>
          <w:szCs w:val="22"/>
        </w:rPr>
        <w:t>což bylo 7</w:t>
      </w:r>
      <w:r w:rsidR="001F6A6B">
        <w:rPr>
          <w:rFonts w:cs="Arial"/>
          <w:sz w:val="22"/>
          <w:szCs w:val="22"/>
        </w:rPr>
        <w:t> </w:t>
      </w:r>
      <w:r w:rsidR="00943AC6">
        <w:rPr>
          <w:rFonts w:cs="Arial"/>
          <w:sz w:val="22"/>
          <w:szCs w:val="22"/>
        </w:rPr>
        <w:t>265 Kč/</w:t>
      </w:r>
      <w:proofErr w:type="spellStart"/>
      <w:r w:rsidR="00943AC6">
        <w:rPr>
          <w:rFonts w:cs="Arial"/>
          <w:sz w:val="22"/>
          <w:szCs w:val="22"/>
        </w:rPr>
        <w:t>m</w:t>
      </w:r>
      <w:r w:rsidR="00943AC6">
        <w:rPr>
          <w:rFonts w:cs="Arial"/>
          <w:sz w:val="22"/>
          <w:szCs w:val="22"/>
          <w:vertAlign w:val="superscript"/>
        </w:rPr>
        <w:t>2</w:t>
      </w:r>
      <w:proofErr w:type="spellEnd"/>
      <w:r w:rsidR="00943AC6">
        <w:rPr>
          <w:rFonts w:cs="Arial"/>
          <w:sz w:val="22"/>
          <w:szCs w:val="22"/>
        </w:rPr>
        <w:t xml:space="preserve"> </w:t>
      </w:r>
      <w:r w:rsidR="006964A3">
        <w:rPr>
          <w:rFonts w:cs="Arial"/>
          <w:sz w:val="22"/>
          <w:szCs w:val="22"/>
        </w:rPr>
        <w:t>a</w:t>
      </w:r>
      <w:r w:rsidR="00943AC6">
        <w:rPr>
          <w:rFonts w:cs="Arial"/>
          <w:sz w:val="22"/>
          <w:szCs w:val="22"/>
        </w:rPr>
        <w:t xml:space="preserve"> 278 tis. Kč na jednoho zaměstnance. Uvedená částka zahrnovala i </w:t>
      </w:r>
      <w:r w:rsidR="00441145">
        <w:rPr>
          <w:rFonts w:cs="Arial"/>
          <w:sz w:val="22"/>
          <w:szCs w:val="22"/>
        </w:rPr>
        <w:t>nájem</w:t>
      </w:r>
      <w:r w:rsidR="00943AC6">
        <w:rPr>
          <w:rFonts w:cs="Arial"/>
          <w:sz w:val="22"/>
          <w:szCs w:val="22"/>
        </w:rPr>
        <w:t xml:space="preserve"> za</w:t>
      </w:r>
      <w:r w:rsidR="00441145">
        <w:rPr>
          <w:rFonts w:cs="Arial"/>
          <w:sz w:val="22"/>
          <w:szCs w:val="22"/>
        </w:rPr>
        <w:t xml:space="preserve"> vybavení nebytových prostor</w:t>
      </w:r>
      <w:r w:rsidR="00943AC6">
        <w:rPr>
          <w:rFonts w:cs="Arial"/>
          <w:sz w:val="22"/>
          <w:szCs w:val="22"/>
        </w:rPr>
        <w:t xml:space="preserve"> ve výši</w:t>
      </w:r>
      <w:r w:rsidR="00441145">
        <w:rPr>
          <w:rFonts w:cs="Arial"/>
          <w:sz w:val="22"/>
          <w:szCs w:val="22"/>
        </w:rPr>
        <w:t xml:space="preserve"> 4</w:t>
      </w:r>
      <w:r w:rsidR="007945D9">
        <w:rPr>
          <w:rFonts w:cs="Arial"/>
          <w:sz w:val="22"/>
          <w:szCs w:val="22"/>
        </w:rPr>
        <w:t xml:space="preserve"> </w:t>
      </w:r>
      <w:r w:rsidR="00441145">
        <w:rPr>
          <w:rFonts w:cs="Arial"/>
          <w:sz w:val="22"/>
          <w:szCs w:val="22"/>
        </w:rPr>
        <w:t>492 tis. Kč</w:t>
      </w:r>
      <w:r w:rsidR="00943AC6">
        <w:rPr>
          <w:rFonts w:cs="Arial"/>
          <w:sz w:val="22"/>
          <w:szCs w:val="22"/>
        </w:rPr>
        <w:t xml:space="preserve"> a činnosti související se správou budovy ve výši 3</w:t>
      </w:r>
      <w:r w:rsidR="007945D9">
        <w:rPr>
          <w:rFonts w:cs="Arial"/>
          <w:sz w:val="22"/>
          <w:szCs w:val="22"/>
        </w:rPr>
        <w:t xml:space="preserve"> </w:t>
      </w:r>
      <w:r w:rsidR="00943AC6">
        <w:rPr>
          <w:rFonts w:cs="Arial"/>
          <w:sz w:val="22"/>
          <w:szCs w:val="22"/>
        </w:rPr>
        <w:t>384 tis. Kč</w:t>
      </w:r>
      <w:r w:rsidR="00441145">
        <w:rPr>
          <w:rFonts w:cs="Arial"/>
          <w:sz w:val="22"/>
          <w:szCs w:val="22"/>
        </w:rPr>
        <w:t>.</w:t>
      </w:r>
      <w:r w:rsidR="0089788A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89788A">
        <w:rPr>
          <w:rFonts w:cs="Arial"/>
          <w:sz w:val="22"/>
          <w:szCs w:val="22"/>
        </w:rPr>
        <w:t>případě činností souvisejících se správou budovy š</w:t>
      </w:r>
      <w:r w:rsidR="008337D6">
        <w:rPr>
          <w:rFonts w:cs="Arial"/>
          <w:sz w:val="22"/>
          <w:szCs w:val="22"/>
        </w:rPr>
        <w:t>lo o</w:t>
      </w:r>
      <w:r w:rsidR="007945D9">
        <w:rPr>
          <w:rFonts w:cs="Arial"/>
          <w:sz w:val="22"/>
          <w:szCs w:val="22"/>
        </w:rPr>
        <w:t xml:space="preserve"> </w:t>
      </w:r>
      <w:r w:rsidR="008337D6">
        <w:rPr>
          <w:rFonts w:cs="Arial"/>
          <w:sz w:val="22"/>
          <w:szCs w:val="22"/>
        </w:rPr>
        <w:t>recepční služby, technické služby, ostrahu, úklid, péč</w:t>
      </w:r>
      <w:r w:rsidR="0009144C">
        <w:rPr>
          <w:rFonts w:cs="Arial"/>
          <w:sz w:val="22"/>
          <w:szCs w:val="22"/>
        </w:rPr>
        <w:t>i</w:t>
      </w:r>
      <w:r w:rsidR="008337D6">
        <w:rPr>
          <w:rFonts w:cs="Arial"/>
          <w:sz w:val="22"/>
          <w:szCs w:val="22"/>
        </w:rPr>
        <w:t xml:space="preserve"> o</w:t>
      </w:r>
      <w:r w:rsidR="007945D9">
        <w:rPr>
          <w:rFonts w:cs="Arial"/>
          <w:sz w:val="22"/>
          <w:szCs w:val="22"/>
        </w:rPr>
        <w:t xml:space="preserve"> </w:t>
      </w:r>
      <w:r w:rsidR="008337D6">
        <w:rPr>
          <w:rFonts w:cs="Arial"/>
          <w:sz w:val="22"/>
          <w:szCs w:val="22"/>
        </w:rPr>
        <w:t>zel</w:t>
      </w:r>
      <w:r w:rsidR="005B0C2A">
        <w:rPr>
          <w:rFonts w:cs="Arial"/>
          <w:sz w:val="22"/>
          <w:szCs w:val="22"/>
        </w:rPr>
        <w:t>eň, stravování zaměstnanců a </w:t>
      </w:r>
      <w:r w:rsidR="008337D6">
        <w:rPr>
          <w:rFonts w:cs="Arial"/>
          <w:sz w:val="22"/>
          <w:szCs w:val="22"/>
        </w:rPr>
        <w:t>dále o</w:t>
      </w:r>
      <w:r w:rsidR="00E4434D">
        <w:rPr>
          <w:rFonts w:cs="Arial"/>
          <w:sz w:val="22"/>
          <w:szCs w:val="22"/>
        </w:rPr>
        <w:t> </w:t>
      </w:r>
      <w:r w:rsidR="008337D6">
        <w:rPr>
          <w:rFonts w:cs="Arial"/>
          <w:sz w:val="22"/>
          <w:szCs w:val="22"/>
        </w:rPr>
        <w:t xml:space="preserve">činnosti správce objektu. </w:t>
      </w:r>
      <w:r w:rsidR="008337D6" w:rsidRPr="00791A30">
        <w:rPr>
          <w:rFonts w:cs="Arial"/>
          <w:b/>
          <w:sz w:val="22"/>
          <w:szCs w:val="22"/>
        </w:rPr>
        <w:t>Hospodárnost a účelnost nákladů</w:t>
      </w:r>
      <w:r w:rsidR="008337D6">
        <w:rPr>
          <w:rFonts w:cs="Arial"/>
          <w:b/>
          <w:sz w:val="22"/>
          <w:szCs w:val="22"/>
        </w:rPr>
        <w:t xml:space="preserve"> spojených se správou</w:t>
      </w:r>
      <w:r w:rsidR="008337D6" w:rsidRPr="00791A30">
        <w:rPr>
          <w:rFonts w:cs="Arial"/>
          <w:b/>
          <w:sz w:val="22"/>
          <w:szCs w:val="22"/>
        </w:rPr>
        <w:t xml:space="preserve"> nebylo možné ověřit, neboť poskytované služby </w:t>
      </w:r>
      <w:r w:rsidR="008337D6">
        <w:rPr>
          <w:rFonts w:cs="Arial"/>
          <w:b/>
          <w:sz w:val="22"/>
          <w:szCs w:val="22"/>
        </w:rPr>
        <w:t>byly oceněny pouze jako celek a</w:t>
      </w:r>
      <w:r w:rsidR="00E4434D">
        <w:rPr>
          <w:rFonts w:cs="Arial"/>
          <w:b/>
          <w:sz w:val="22"/>
          <w:szCs w:val="22"/>
        </w:rPr>
        <w:t> </w:t>
      </w:r>
      <w:r w:rsidR="008337D6">
        <w:rPr>
          <w:rFonts w:cs="Arial"/>
          <w:b/>
          <w:sz w:val="22"/>
          <w:szCs w:val="22"/>
        </w:rPr>
        <w:t>č</w:t>
      </w:r>
      <w:r w:rsidR="008337D6" w:rsidRPr="00791A30">
        <w:rPr>
          <w:rFonts w:cs="Arial"/>
          <w:b/>
          <w:sz w:val="22"/>
          <w:szCs w:val="22"/>
        </w:rPr>
        <w:t>innost správce objektu nebyla blíže specifikována</w:t>
      </w:r>
      <w:r w:rsidR="008337D6" w:rsidRPr="000F38F0">
        <w:rPr>
          <w:rFonts w:cs="Arial"/>
          <w:b/>
          <w:sz w:val="22"/>
          <w:szCs w:val="22"/>
        </w:rPr>
        <w:t>.</w:t>
      </w:r>
    </w:p>
    <w:p w:rsidR="008F0147" w:rsidRDefault="008F0147" w:rsidP="003528D3">
      <w:pPr>
        <w:jc w:val="both"/>
        <w:rPr>
          <w:rFonts w:cs="Arial"/>
          <w:sz w:val="22"/>
          <w:szCs w:val="22"/>
        </w:rPr>
      </w:pPr>
    </w:p>
    <w:p w:rsidR="008337D6" w:rsidRDefault="008337D6" w:rsidP="003528D3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GŘ dále od rok</w:t>
      </w:r>
      <w:r w:rsidR="006430EB">
        <w:rPr>
          <w:rFonts w:cs="Arial"/>
          <w:sz w:val="22"/>
          <w:szCs w:val="22"/>
        </w:rPr>
        <w:t>u 2005 hradilo nájemné za nájem prostor</w:t>
      </w:r>
      <w:r>
        <w:rPr>
          <w:rFonts w:cs="Arial"/>
          <w:sz w:val="22"/>
          <w:szCs w:val="22"/>
        </w:rPr>
        <w:t xml:space="preserve"> pro úsek provo</w:t>
      </w:r>
      <w:r w:rsidR="00AA4123">
        <w:rPr>
          <w:rFonts w:cs="Arial"/>
          <w:sz w:val="22"/>
          <w:szCs w:val="22"/>
        </w:rPr>
        <w:t xml:space="preserve">zovatele elektronického mýta. Například </w:t>
      </w:r>
      <w:r w:rsidR="00A61F35">
        <w:rPr>
          <w:rFonts w:cs="Arial"/>
          <w:sz w:val="22"/>
          <w:szCs w:val="22"/>
        </w:rPr>
        <w:t>v </w:t>
      </w:r>
      <w:r w:rsidR="00AA4123">
        <w:rPr>
          <w:rFonts w:cs="Arial"/>
          <w:sz w:val="22"/>
          <w:szCs w:val="22"/>
        </w:rPr>
        <w:t xml:space="preserve">roce 2012 za nájem nebytových prostor </w:t>
      </w:r>
      <w:r w:rsidR="00A61F35">
        <w:rPr>
          <w:rFonts w:cs="Arial"/>
          <w:sz w:val="22"/>
          <w:szCs w:val="22"/>
        </w:rPr>
        <w:t>v </w:t>
      </w:r>
      <w:r w:rsidR="00AA4123">
        <w:rPr>
          <w:rFonts w:cs="Arial"/>
          <w:sz w:val="22"/>
          <w:szCs w:val="22"/>
        </w:rPr>
        <w:t>Praze 4 – Zelený pruh pro 31 zaměstnanců uhradilo</w:t>
      </w:r>
      <w:r w:rsidR="00943AC6">
        <w:rPr>
          <w:rFonts w:cs="Arial"/>
          <w:sz w:val="22"/>
          <w:szCs w:val="22"/>
        </w:rPr>
        <w:t xml:space="preserve"> celkem</w:t>
      </w:r>
      <w:r w:rsidR="00AA4123">
        <w:rPr>
          <w:rFonts w:cs="Arial"/>
          <w:sz w:val="22"/>
          <w:szCs w:val="22"/>
        </w:rPr>
        <w:t xml:space="preserve"> 6</w:t>
      </w:r>
      <w:r w:rsidR="007945D9">
        <w:rPr>
          <w:rFonts w:cs="Arial"/>
          <w:sz w:val="22"/>
          <w:szCs w:val="22"/>
        </w:rPr>
        <w:t xml:space="preserve"> </w:t>
      </w:r>
      <w:r w:rsidR="00AA4123">
        <w:rPr>
          <w:rFonts w:cs="Arial"/>
          <w:sz w:val="22"/>
          <w:szCs w:val="22"/>
        </w:rPr>
        <w:t>506 tis. Kč, což bylo 9</w:t>
      </w:r>
      <w:r w:rsidR="007945D9">
        <w:rPr>
          <w:rFonts w:cs="Arial"/>
          <w:sz w:val="22"/>
          <w:szCs w:val="22"/>
        </w:rPr>
        <w:t xml:space="preserve"> </w:t>
      </w:r>
      <w:r w:rsidR="00AA4123">
        <w:rPr>
          <w:rFonts w:cs="Arial"/>
          <w:sz w:val="22"/>
          <w:szCs w:val="22"/>
        </w:rPr>
        <w:t>539 Kč/m</w:t>
      </w:r>
      <w:r w:rsidR="00AA4123">
        <w:rPr>
          <w:rFonts w:cs="Arial"/>
          <w:sz w:val="22"/>
          <w:szCs w:val="22"/>
          <w:vertAlign w:val="superscript"/>
        </w:rPr>
        <w:t>2</w:t>
      </w:r>
      <w:r w:rsidR="00AA4123">
        <w:rPr>
          <w:rFonts w:cs="Arial"/>
          <w:sz w:val="22"/>
          <w:szCs w:val="22"/>
        </w:rPr>
        <w:t xml:space="preserve"> </w:t>
      </w:r>
      <w:r w:rsidR="006964A3">
        <w:rPr>
          <w:rFonts w:cs="Arial"/>
          <w:sz w:val="22"/>
          <w:szCs w:val="22"/>
        </w:rPr>
        <w:t>a</w:t>
      </w:r>
      <w:r w:rsidR="00AA4123">
        <w:rPr>
          <w:rFonts w:cs="Arial"/>
          <w:sz w:val="22"/>
          <w:szCs w:val="22"/>
        </w:rPr>
        <w:t xml:space="preserve"> 210 tis. Kč na jednoho zaměstnance. </w:t>
      </w:r>
      <w:r w:rsidR="0089788A">
        <w:rPr>
          <w:rFonts w:cs="Arial"/>
          <w:sz w:val="22"/>
          <w:szCs w:val="22"/>
        </w:rPr>
        <w:t xml:space="preserve">Součástí uvedené částky byly i služby spojené </w:t>
      </w:r>
      <w:r w:rsidR="00A61F35">
        <w:rPr>
          <w:rFonts w:cs="Arial"/>
          <w:sz w:val="22"/>
          <w:szCs w:val="22"/>
        </w:rPr>
        <w:t>s </w:t>
      </w:r>
      <w:r w:rsidR="0089788A">
        <w:rPr>
          <w:rFonts w:cs="Arial"/>
          <w:sz w:val="22"/>
          <w:szCs w:val="22"/>
        </w:rPr>
        <w:t xml:space="preserve">nájmem, včetně dodávek médií (voda, teplo, elektrická energie) a odvozu odpadů. </w:t>
      </w:r>
      <w:r w:rsidR="0089788A" w:rsidRPr="00791A30">
        <w:rPr>
          <w:rFonts w:cs="Arial"/>
          <w:b/>
          <w:sz w:val="22"/>
          <w:szCs w:val="22"/>
        </w:rPr>
        <w:t xml:space="preserve">Rovněž </w:t>
      </w:r>
      <w:r w:rsidR="00A61F35">
        <w:rPr>
          <w:rFonts w:cs="Arial"/>
          <w:b/>
          <w:sz w:val="22"/>
          <w:szCs w:val="22"/>
        </w:rPr>
        <w:t>v </w:t>
      </w:r>
      <w:r w:rsidR="0089788A" w:rsidRPr="00791A30">
        <w:rPr>
          <w:rFonts w:cs="Arial"/>
          <w:b/>
          <w:sz w:val="22"/>
          <w:szCs w:val="22"/>
        </w:rPr>
        <w:t>tomto případě byly poskytované služby oceněny pouze jako celek</w:t>
      </w:r>
      <w:r w:rsidR="0089788A">
        <w:rPr>
          <w:rFonts w:cs="Arial"/>
          <w:b/>
          <w:sz w:val="22"/>
          <w:szCs w:val="22"/>
        </w:rPr>
        <w:t xml:space="preserve"> </w:t>
      </w:r>
      <w:r w:rsidR="00A61F35">
        <w:rPr>
          <w:rFonts w:cs="Arial"/>
          <w:b/>
          <w:sz w:val="22"/>
          <w:szCs w:val="22"/>
        </w:rPr>
        <w:t>v </w:t>
      </w:r>
      <w:r w:rsidR="0089788A">
        <w:rPr>
          <w:rFonts w:cs="Arial"/>
          <w:b/>
          <w:sz w:val="22"/>
          <w:szCs w:val="22"/>
        </w:rPr>
        <w:t>měsíční výši 79 tis. Kč</w:t>
      </w:r>
      <w:r w:rsidR="002D0C01">
        <w:rPr>
          <w:rFonts w:cs="Arial"/>
          <w:b/>
          <w:sz w:val="22"/>
          <w:szCs w:val="22"/>
        </w:rPr>
        <w:t>,</w:t>
      </w:r>
      <w:r w:rsidR="0089788A" w:rsidRPr="00791A30">
        <w:rPr>
          <w:rFonts w:cs="Arial"/>
          <w:b/>
          <w:sz w:val="22"/>
          <w:szCs w:val="22"/>
        </w:rPr>
        <w:t xml:space="preserve"> a nebylo tak možn</w:t>
      </w:r>
      <w:r w:rsidR="002D0C01">
        <w:rPr>
          <w:rFonts w:cs="Arial"/>
          <w:b/>
          <w:sz w:val="22"/>
          <w:szCs w:val="22"/>
        </w:rPr>
        <w:t>é</w:t>
      </w:r>
      <w:r w:rsidR="0089788A" w:rsidRPr="00791A30">
        <w:rPr>
          <w:rFonts w:cs="Arial"/>
          <w:b/>
          <w:sz w:val="22"/>
          <w:szCs w:val="22"/>
        </w:rPr>
        <w:t xml:space="preserve"> ověřit hospodárnost a účelnost nákladů na jednotlivé služby</w:t>
      </w:r>
      <w:r w:rsidR="0089788A" w:rsidRPr="000F38F0">
        <w:rPr>
          <w:rFonts w:cs="Arial"/>
          <w:b/>
          <w:sz w:val="22"/>
          <w:szCs w:val="22"/>
        </w:rPr>
        <w:t>.</w:t>
      </w:r>
    </w:p>
    <w:p w:rsidR="008337D6" w:rsidRDefault="008337D6" w:rsidP="003528D3">
      <w:pPr>
        <w:jc w:val="both"/>
        <w:rPr>
          <w:rFonts w:cs="Arial"/>
          <w:sz w:val="22"/>
          <w:szCs w:val="22"/>
        </w:rPr>
      </w:pPr>
    </w:p>
    <w:p w:rsidR="008E3422" w:rsidRDefault="00791A30" w:rsidP="003528D3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3.</w:t>
      </w:r>
      <w:r w:rsidR="005D29F2">
        <w:rPr>
          <w:rFonts w:cs="Arial"/>
          <w:b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 </w:t>
      </w:r>
      <w:r w:rsidR="007F377F" w:rsidRPr="008E3422">
        <w:rPr>
          <w:rFonts w:cs="Arial"/>
          <w:b/>
          <w:sz w:val="22"/>
          <w:szCs w:val="22"/>
        </w:rPr>
        <w:t>ŘSD</w:t>
      </w:r>
      <w:r w:rsidR="008E3422" w:rsidRPr="008E3422">
        <w:rPr>
          <w:rFonts w:cs="Arial"/>
          <w:b/>
          <w:sz w:val="22"/>
          <w:szCs w:val="22"/>
        </w:rPr>
        <w:t xml:space="preserve"> hradilo náklady za nájem </w:t>
      </w:r>
      <w:r w:rsidR="007F377F" w:rsidRPr="008E3422">
        <w:rPr>
          <w:rFonts w:cs="Arial"/>
          <w:b/>
          <w:sz w:val="22"/>
          <w:szCs w:val="22"/>
        </w:rPr>
        <w:t>parkovací</w:t>
      </w:r>
      <w:r w:rsidR="008E3422" w:rsidRPr="008E3422">
        <w:rPr>
          <w:rFonts w:cs="Arial"/>
          <w:b/>
          <w:sz w:val="22"/>
          <w:szCs w:val="22"/>
        </w:rPr>
        <w:t>ch</w:t>
      </w:r>
      <w:r w:rsidR="007F377F" w:rsidRPr="008E3422">
        <w:rPr>
          <w:rFonts w:cs="Arial"/>
          <w:b/>
          <w:sz w:val="22"/>
          <w:szCs w:val="22"/>
        </w:rPr>
        <w:t xml:space="preserve"> stání</w:t>
      </w:r>
      <w:r w:rsidR="008E3422" w:rsidRPr="008E3422">
        <w:rPr>
          <w:rFonts w:cs="Arial"/>
          <w:b/>
          <w:sz w:val="22"/>
          <w:szCs w:val="22"/>
        </w:rPr>
        <w:t xml:space="preserve"> pro služební vozidla</w:t>
      </w:r>
      <w:r w:rsidR="008E3422">
        <w:rPr>
          <w:rFonts w:cs="Arial"/>
          <w:b/>
          <w:sz w:val="22"/>
          <w:szCs w:val="22"/>
        </w:rPr>
        <w:t xml:space="preserve"> </w:t>
      </w:r>
      <w:r w:rsidR="00A61F35">
        <w:rPr>
          <w:rFonts w:cs="Arial"/>
          <w:b/>
          <w:sz w:val="22"/>
          <w:szCs w:val="22"/>
        </w:rPr>
        <w:t>v </w:t>
      </w:r>
      <w:r w:rsidR="008E3422">
        <w:rPr>
          <w:rFonts w:cs="Arial"/>
          <w:b/>
          <w:sz w:val="22"/>
          <w:szCs w:val="22"/>
        </w:rPr>
        <w:t>místech</w:t>
      </w:r>
      <w:r w:rsidR="007F377F" w:rsidRPr="008E3422">
        <w:rPr>
          <w:rFonts w:cs="Arial"/>
          <w:b/>
          <w:sz w:val="22"/>
          <w:szCs w:val="22"/>
        </w:rPr>
        <w:t xml:space="preserve"> bydliště svých zaměstnanců</w:t>
      </w:r>
      <w:r w:rsidR="008E3422" w:rsidRPr="008E3422">
        <w:rPr>
          <w:rFonts w:cs="Arial"/>
          <w:b/>
          <w:sz w:val="22"/>
          <w:szCs w:val="22"/>
        </w:rPr>
        <w:t xml:space="preserve">, ačkoliv pro tato vozidla </w:t>
      </w:r>
      <w:r w:rsidR="0037646E">
        <w:rPr>
          <w:rFonts w:cs="Arial"/>
          <w:b/>
          <w:sz w:val="22"/>
          <w:szCs w:val="22"/>
        </w:rPr>
        <w:t>byla</w:t>
      </w:r>
      <w:r w:rsidR="008E3422" w:rsidRPr="008E3422">
        <w:rPr>
          <w:rFonts w:cs="Arial"/>
          <w:b/>
          <w:sz w:val="22"/>
          <w:szCs w:val="22"/>
        </w:rPr>
        <w:t xml:space="preserve"> zajištěna parkovací stání v </w:t>
      </w:r>
      <w:r w:rsidR="008E3422">
        <w:rPr>
          <w:rFonts w:cs="Arial"/>
          <w:b/>
          <w:sz w:val="22"/>
          <w:szCs w:val="22"/>
        </w:rPr>
        <w:t>místech</w:t>
      </w:r>
      <w:r w:rsidR="008E3422" w:rsidRPr="008E3422">
        <w:rPr>
          <w:rFonts w:cs="Arial"/>
          <w:b/>
          <w:sz w:val="22"/>
          <w:szCs w:val="22"/>
        </w:rPr>
        <w:t xml:space="preserve"> </w:t>
      </w:r>
      <w:r w:rsidR="008E3422">
        <w:rPr>
          <w:rFonts w:cs="Arial"/>
          <w:b/>
          <w:sz w:val="22"/>
          <w:szCs w:val="22"/>
        </w:rPr>
        <w:t>sídel</w:t>
      </w:r>
      <w:r w:rsidR="008E3422" w:rsidRPr="008E3422">
        <w:rPr>
          <w:rFonts w:cs="Arial"/>
          <w:b/>
          <w:sz w:val="22"/>
          <w:szCs w:val="22"/>
        </w:rPr>
        <w:t xml:space="preserve"> příslušných ředitelství</w:t>
      </w:r>
      <w:r w:rsidR="008E3422" w:rsidRPr="000F38F0">
        <w:rPr>
          <w:rFonts w:cs="Arial"/>
          <w:b/>
          <w:sz w:val="22"/>
          <w:szCs w:val="22"/>
        </w:rPr>
        <w:t>.</w:t>
      </w:r>
      <w:r w:rsidR="008E3422">
        <w:rPr>
          <w:rFonts w:cs="Arial"/>
          <w:sz w:val="22"/>
          <w:szCs w:val="22"/>
        </w:rPr>
        <w:t xml:space="preserve"> Šlo</w:t>
      </w:r>
      <w:r w:rsidR="00A43769">
        <w:rPr>
          <w:rFonts w:cs="Arial"/>
          <w:sz w:val="22"/>
          <w:szCs w:val="22"/>
        </w:rPr>
        <w:t xml:space="preserve"> především</w:t>
      </w:r>
      <w:r w:rsidR="008E3422">
        <w:rPr>
          <w:rFonts w:cs="Arial"/>
          <w:sz w:val="22"/>
          <w:szCs w:val="22"/>
        </w:rPr>
        <w:t xml:space="preserve"> o vozidla, která mohli zaměstnanci využívat i</w:t>
      </w:r>
      <w:r w:rsidR="007945D9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k </w:t>
      </w:r>
      <w:r w:rsidR="008E3422">
        <w:rPr>
          <w:rFonts w:cs="Arial"/>
          <w:sz w:val="22"/>
          <w:szCs w:val="22"/>
        </w:rPr>
        <w:t>soukromým účelům</w:t>
      </w:r>
      <w:r w:rsidR="000462F4">
        <w:rPr>
          <w:rFonts w:cs="Arial"/>
          <w:sz w:val="22"/>
          <w:szCs w:val="22"/>
        </w:rPr>
        <w:t xml:space="preserve"> (viz bod 4.1a</w:t>
      </w:r>
      <w:r w:rsidR="004302E4">
        <w:rPr>
          <w:rFonts w:cs="Arial"/>
          <w:sz w:val="22"/>
          <w:szCs w:val="22"/>
        </w:rPr>
        <w:t xml:space="preserve"> kontrolního závěru)</w:t>
      </w:r>
      <w:r w:rsidR="008E3422">
        <w:rPr>
          <w:rFonts w:cs="Arial"/>
          <w:sz w:val="22"/>
          <w:szCs w:val="22"/>
        </w:rPr>
        <w:t>. Například:</w:t>
      </w:r>
    </w:p>
    <w:p w:rsidR="008E3422" w:rsidRDefault="0037646E" w:rsidP="000F38F0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proofErr w:type="spellStart"/>
      <w:r w:rsidR="008E3422">
        <w:rPr>
          <w:rFonts w:cs="Arial"/>
          <w:sz w:val="22"/>
          <w:szCs w:val="22"/>
        </w:rPr>
        <w:t>GŘ</w:t>
      </w:r>
      <w:proofErr w:type="spellEnd"/>
      <w:r w:rsidR="008E3422">
        <w:rPr>
          <w:rFonts w:cs="Arial"/>
          <w:sz w:val="22"/>
          <w:szCs w:val="22"/>
        </w:rPr>
        <w:t xml:space="preserve"> uzavřelo</w:t>
      </w:r>
      <w:r w:rsidR="00E51D7D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E51D7D">
        <w:rPr>
          <w:rFonts w:cs="Arial"/>
          <w:sz w:val="22"/>
          <w:szCs w:val="22"/>
        </w:rPr>
        <w:t>roce 2009</w:t>
      </w:r>
      <w:r w:rsidR="008E3422">
        <w:rPr>
          <w:rFonts w:cs="Arial"/>
          <w:sz w:val="22"/>
          <w:szCs w:val="22"/>
        </w:rPr>
        <w:t xml:space="preserve"> </w:t>
      </w:r>
      <w:r w:rsidR="007C1B69">
        <w:rPr>
          <w:rFonts w:cs="Arial"/>
          <w:sz w:val="22"/>
          <w:szCs w:val="22"/>
        </w:rPr>
        <w:t xml:space="preserve">pro vozidlo, které bylo využíváno i </w:t>
      </w:r>
      <w:r w:rsidR="00A61F35">
        <w:rPr>
          <w:rFonts w:cs="Arial"/>
          <w:sz w:val="22"/>
          <w:szCs w:val="22"/>
        </w:rPr>
        <w:t>k </w:t>
      </w:r>
      <w:r w:rsidR="007C1B69">
        <w:rPr>
          <w:rFonts w:cs="Arial"/>
          <w:sz w:val="22"/>
          <w:szCs w:val="22"/>
        </w:rPr>
        <w:t xml:space="preserve">soukromým účelům, </w:t>
      </w:r>
      <w:proofErr w:type="gramStart"/>
      <w:r w:rsidR="008E3422">
        <w:rPr>
          <w:rFonts w:cs="Arial"/>
          <w:sz w:val="22"/>
          <w:szCs w:val="22"/>
        </w:rPr>
        <w:t>smlouvu</w:t>
      </w:r>
      <w:proofErr w:type="gramEnd"/>
      <w:r w:rsidR="008E3422">
        <w:rPr>
          <w:rFonts w:cs="Arial"/>
          <w:sz w:val="22"/>
          <w:szCs w:val="22"/>
        </w:rPr>
        <w:t xml:space="preserve"> na nájem parkovacího místa </w:t>
      </w:r>
      <w:r w:rsidR="00A61F35">
        <w:rPr>
          <w:rFonts w:cs="Arial"/>
          <w:sz w:val="22"/>
          <w:szCs w:val="22"/>
        </w:rPr>
        <w:t>v </w:t>
      </w:r>
      <w:r w:rsidR="008E3422">
        <w:rPr>
          <w:rFonts w:cs="Arial"/>
          <w:sz w:val="22"/>
          <w:szCs w:val="22"/>
        </w:rPr>
        <w:t xml:space="preserve">Praze 2 </w:t>
      </w:r>
      <w:r w:rsidR="00A61F35">
        <w:rPr>
          <w:rFonts w:cs="Arial"/>
          <w:sz w:val="22"/>
          <w:szCs w:val="22"/>
        </w:rPr>
        <w:t>s </w:t>
      </w:r>
      <w:r w:rsidR="008E3422">
        <w:rPr>
          <w:rFonts w:cs="Arial"/>
          <w:sz w:val="22"/>
          <w:szCs w:val="22"/>
        </w:rPr>
        <w:t>měsíčním nájemným 2</w:t>
      </w:r>
      <w:r w:rsidR="007945D9">
        <w:rPr>
          <w:rFonts w:cs="Arial"/>
          <w:sz w:val="22"/>
          <w:szCs w:val="22"/>
        </w:rPr>
        <w:t xml:space="preserve"> </w:t>
      </w:r>
      <w:r w:rsidR="008E3422">
        <w:rPr>
          <w:rFonts w:cs="Arial"/>
          <w:sz w:val="22"/>
          <w:szCs w:val="22"/>
        </w:rPr>
        <w:t>650 Kč.</w:t>
      </w:r>
      <w:r w:rsidR="00E51D7D">
        <w:rPr>
          <w:rFonts w:cs="Arial"/>
          <w:sz w:val="22"/>
          <w:szCs w:val="22"/>
        </w:rPr>
        <w:t xml:space="preserve"> Za tento nájem uhradilo o</w:t>
      </w:r>
      <w:r w:rsidR="005B0C2A">
        <w:rPr>
          <w:rFonts w:cs="Arial"/>
          <w:sz w:val="22"/>
          <w:szCs w:val="22"/>
        </w:rPr>
        <w:t>d roku 2010 do března 2013</w:t>
      </w:r>
      <w:r w:rsidR="008E3422">
        <w:rPr>
          <w:rFonts w:cs="Arial"/>
          <w:sz w:val="22"/>
          <w:szCs w:val="22"/>
        </w:rPr>
        <w:t xml:space="preserve"> celkem 94</w:t>
      </w:r>
      <w:r w:rsidR="007945D9">
        <w:rPr>
          <w:rFonts w:cs="Arial"/>
          <w:sz w:val="22"/>
          <w:szCs w:val="22"/>
        </w:rPr>
        <w:t xml:space="preserve"> </w:t>
      </w:r>
      <w:r w:rsidR="008E3422">
        <w:rPr>
          <w:rFonts w:cs="Arial"/>
          <w:sz w:val="22"/>
          <w:szCs w:val="22"/>
        </w:rPr>
        <w:t>635 Kč.</w:t>
      </w:r>
    </w:p>
    <w:p w:rsidR="008E3422" w:rsidRDefault="0037646E" w:rsidP="000F38F0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84344C">
        <w:rPr>
          <w:rFonts w:cs="Arial"/>
          <w:sz w:val="22"/>
          <w:szCs w:val="22"/>
        </w:rPr>
        <w:t>Správa Plzeň</w:t>
      </w:r>
      <w:r w:rsidR="00A43769">
        <w:rPr>
          <w:rFonts w:cs="Arial"/>
          <w:sz w:val="22"/>
          <w:szCs w:val="22"/>
        </w:rPr>
        <w:t xml:space="preserve"> si </w:t>
      </w:r>
      <w:r w:rsidR="0084344C">
        <w:rPr>
          <w:rFonts w:cs="Arial"/>
          <w:sz w:val="22"/>
          <w:szCs w:val="22"/>
        </w:rPr>
        <w:t>najala</w:t>
      </w:r>
      <w:r w:rsidR="00A43769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E51D7D">
        <w:rPr>
          <w:rFonts w:cs="Arial"/>
          <w:sz w:val="22"/>
          <w:szCs w:val="22"/>
        </w:rPr>
        <w:t>letech</w:t>
      </w:r>
      <w:r w:rsidR="00A43769">
        <w:rPr>
          <w:rFonts w:cs="Arial"/>
          <w:sz w:val="22"/>
          <w:szCs w:val="22"/>
        </w:rPr>
        <w:t xml:space="preserve"> 199</w:t>
      </w:r>
      <w:r w:rsidR="007C1B69">
        <w:rPr>
          <w:rFonts w:cs="Arial"/>
          <w:sz w:val="22"/>
          <w:szCs w:val="22"/>
        </w:rPr>
        <w:t>3</w:t>
      </w:r>
      <w:r w:rsidR="00A43769">
        <w:rPr>
          <w:rFonts w:cs="Arial"/>
          <w:sz w:val="22"/>
          <w:szCs w:val="22"/>
        </w:rPr>
        <w:t xml:space="preserve"> a 2006</w:t>
      </w:r>
      <w:r w:rsidR="0084344C">
        <w:rPr>
          <w:rFonts w:cs="Arial"/>
          <w:sz w:val="22"/>
          <w:szCs w:val="22"/>
        </w:rPr>
        <w:t xml:space="preserve"> dvě garáže</w:t>
      </w:r>
      <w:r w:rsidR="00A43769">
        <w:rPr>
          <w:rFonts w:cs="Arial"/>
          <w:sz w:val="22"/>
          <w:szCs w:val="22"/>
        </w:rPr>
        <w:t xml:space="preserve"> </w:t>
      </w:r>
      <w:r w:rsidR="00E51D7D">
        <w:rPr>
          <w:rFonts w:cs="Arial"/>
          <w:sz w:val="22"/>
          <w:szCs w:val="22"/>
        </w:rPr>
        <w:t xml:space="preserve">od svých zaměstnanců </w:t>
      </w:r>
      <w:r w:rsidR="00A43769">
        <w:rPr>
          <w:rFonts w:cs="Arial"/>
          <w:sz w:val="22"/>
          <w:szCs w:val="22"/>
        </w:rPr>
        <w:t>(</w:t>
      </w:r>
      <w:r w:rsidR="007C1B69">
        <w:rPr>
          <w:rFonts w:cs="Arial"/>
          <w:sz w:val="22"/>
          <w:szCs w:val="22"/>
        </w:rPr>
        <w:t>první</w:t>
      </w:r>
      <w:r w:rsidR="00A43769">
        <w:rPr>
          <w:rFonts w:cs="Arial"/>
          <w:sz w:val="22"/>
          <w:szCs w:val="22"/>
        </w:rPr>
        <w:t xml:space="preserve"> </w:t>
      </w:r>
      <w:r w:rsidR="007C1B69">
        <w:rPr>
          <w:rFonts w:cs="Arial"/>
          <w:sz w:val="22"/>
          <w:szCs w:val="22"/>
        </w:rPr>
        <w:t xml:space="preserve">pro vozidlo, </w:t>
      </w:r>
      <w:r w:rsidR="00A61F35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e </w:t>
      </w:r>
      <w:r w:rsidR="007C1B69">
        <w:rPr>
          <w:rFonts w:cs="Arial"/>
          <w:sz w:val="22"/>
          <w:szCs w:val="22"/>
        </w:rPr>
        <w:t xml:space="preserve">kterým jezdil její zaměstnanec na pozici řidiče, a druhou </w:t>
      </w:r>
      <w:r w:rsidR="00A43769">
        <w:rPr>
          <w:rFonts w:cs="Arial"/>
          <w:sz w:val="22"/>
          <w:szCs w:val="22"/>
        </w:rPr>
        <w:t xml:space="preserve">pro vozidlo, které bylo </w:t>
      </w:r>
      <w:r w:rsidR="007C1B69">
        <w:rPr>
          <w:rFonts w:cs="Arial"/>
          <w:sz w:val="22"/>
          <w:szCs w:val="22"/>
        </w:rPr>
        <w:t>využíváno</w:t>
      </w:r>
      <w:r w:rsidR="00A43769">
        <w:rPr>
          <w:rFonts w:cs="Arial"/>
          <w:sz w:val="22"/>
          <w:szCs w:val="22"/>
        </w:rPr>
        <w:t xml:space="preserve"> i pro soukromé účely). Výše měsíčního nájmu za každou garáž byla 495</w:t>
      </w:r>
      <w:r>
        <w:rPr>
          <w:rFonts w:cs="Arial"/>
          <w:sz w:val="22"/>
          <w:szCs w:val="22"/>
        </w:rPr>
        <w:t> </w:t>
      </w:r>
      <w:r w:rsidR="00A43769">
        <w:rPr>
          <w:rFonts w:cs="Arial"/>
          <w:sz w:val="22"/>
          <w:szCs w:val="22"/>
        </w:rPr>
        <w:t xml:space="preserve">Kč, přičemž u </w:t>
      </w:r>
      <w:r w:rsidR="007C1B69">
        <w:rPr>
          <w:rFonts w:cs="Arial"/>
          <w:sz w:val="22"/>
          <w:szCs w:val="22"/>
        </w:rPr>
        <w:t>druhé</w:t>
      </w:r>
      <w:r w:rsidR="00A43769">
        <w:rPr>
          <w:rFonts w:cs="Arial"/>
          <w:sz w:val="22"/>
          <w:szCs w:val="22"/>
        </w:rPr>
        <w:t xml:space="preserve"> garáže hradila správa </w:t>
      </w:r>
      <w:r w:rsidR="00BD728F">
        <w:rPr>
          <w:rFonts w:cs="Arial"/>
          <w:sz w:val="22"/>
          <w:szCs w:val="22"/>
        </w:rPr>
        <w:t>pronajímateli j</w:t>
      </w:r>
      <w:r w:rsidR="00A43769">
        <w:rPr>
          <w:rFonts w:cs="Arial"/>
          <w:sz w:val="22"/>
          <w:szCs w:val="22"/>
        </w:rPr>
        <w:t xml:space="preserve">eště podíl na elektrické energii </w:t>
      </w:r>
      <w:r w:rsidR="00A61F35">
        <w:rPr>
          <w:rFonts w:cs="Arial"/>
          <w:sz w:val="22"/>
          <w:szCs w:val="22"/>
        </w:rPr>
        <w:t>v </w:t>
      </w:r>
      <w:r w:rsidR="00A43769">
        <w:rPr>
          <w:rFonts w:cs="Arial"/>
          <w:sz w:val="22"/>
          <w:szCs w:val="22"/>
        </w:rPr>
        <w:t xml:space="preserve">měsíční výši 50 Kč. </w:t>
      </w:r>
      <w:r w:rsidR="00A61F35">
        <w:rPr>
          <w:rFonts w:cs="Arial"/>
          <w:sz w:val="22"/>
          <w:szCs w:val="22"/>
        </w:rPr>
        <w:t>V </w:t>
      </w:r>
      <w:r w:rsidR="007C1B69">
        <w:rPr>
          <w:rFonts w:cs="Arial"/>
          <w:sz w:val="22"/>
          <w:szCs w:val="22"/>
        </w:rPr>
        <w:t xml:space="preserve">letech 2010 až 2012 uhradila </w:t>
      </w:r>
      <w:r w:rsidR="00A43769">
        <w:rPr>
          <w:rFonts w:cs="Arial"/>
          <w:sz w:val="22"/>
          <w:szCs w:val="22"/>
        </w:rPr>
        <w:t xml:space="preserve">Správa Plzeň za </w:t>
      </w:r>
      <w:r w:rsidR="005B0C2A">
        <w:rPr>
          <w:rFonts w:cs="Arial"/>
          <w:sz w:val="22"/>
          <w:szCs w:val="22"/>
        </w:rPr>
        <w:t xml:space="preserve">nájem těchto </w:t>
      </w:r>
      <w:r w:rsidR="00A43769">
        <w:rPr>
          <w:rFonts w:cs="Arial"/>
          <w:sz w:val="22"/>
          <w:szCs w:val="22"/>
        </w:rPr>
        <w:t>garáží</w:t>
      </w:r>
      <w:r w:rsidR="00F46D29">
        <w:rPr>
          <w:rFonts w:cs="Arial"/>
          <w:sz w:val="22"/>
          <w:szCs w:val="22"/>
        </w:rPr>
        <w:t xml:space="preserve"> </w:t>
      </w:r>
      <w:r w:rsidR="005B0C2A">
        <w:rPr>
          <w:rFonts w:cs="Arial"/>
          <w:sz w:val="22"/>
          <w:szCs w:val="22"/>
        </w:rPr>
        <w:t>celkem 3</w:t>
      </w:r>
      <w:r w:rsidR="00A43769">
        <w:rPr>
          <w:rFonts w:cs="Arial"/>
          <w:sz w:val="22"/>
          <w:szCs w:val="22"/>
        </w:rPr>
        <w:t>7</w:t>
      </w:r>
      <w:r w:rsidR="007945D9">
        <w:rPr>
          <w:rFonts w:cs="Arial"/>
          <w:sz w:val="22"/>
          <w:szCs w:val="22"/>
        </w:rPr>
        <w:t xml:space="preserve"> </w:t>
      </w:r>
      <w:r w:rsidR="00A43769">
        <w:rPr>
          <w:rFonts w:cs="Arial"/>
          <w:sz w:val="22"/>
          <w:szCs w:val="22"/>
        </w:rPr>
        <w:t>440</w:t>
      </w:r>
      <w:r w:rsidR="00F46D29">
        <w:rPr>
          <w:rFonts w:cs="Arial"/>
          <w:sz w:val="22"/>
          <w:szCs w:val="22"/>
        </w:rPr>
        <w:t xml:space="preserve"> Kč.</w:t>
      </w:r>
    </w:p>
    <w:p w:rsidR="00F46D29" w:rsidRDefault="00F46D29" w:rsidP="008E3422">
      <w:pPr>
        <w:ind w:left="709"/>
        <w:jc w:val="both"/>
        <w:rPr>
          <w:rFonts w:cs="Arial"/>
          <w:sz w:val="22"/>
          <w:szCs w:val="22"/>
        </w:rPr>
      </w:pPr>
    </w:p>
    <w:p w:rsidR="00A67A88" w:rsidRDefault="00F46D29" w:rsidP="00F46D29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  <w:r w:rsidR="005D29F2">
        <w:rPr>
          <w:rFonts w:cs="Arial"/>
          <w:b/>
          <w:sz w:val="22"/>
          <w:szCs w:val="22"/>
        </w:rPr>
        <w:t>8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Správa Pardubice </w:t>
      </w:r>
      <w:r w:rsidRPr="00A67A88">
        <w:rPr>
          <w:rFonts w:cs="Arial"/>
          <w:b/>
          <w:sz w:val="22"/>
          <w:szCs w:val="22"/>
        </w:rPr>
        <w:t xml:space="preserve">uhradila </w:t>
      </w:r>
      <w:r w:rsidR="00A67A88" w:rsidRPr="00A67A88">
        <w:rPr>
          <w:rFonts w:cs="Arial"/>
          <w:b/>
          <w:sz w:val="22"/>
          <w:szCs w:val="22"/>
        </w:rPr>
        <w:t xml:space="preserve">93,3 tis. Kč </w:t>
      </w:r>
      <w:r w:rsidR="00A61F35">
        <w:rPr>
          <w:rFonts w:cs="Arial"/>
          <w:b/>
          <w:sz w:val="22"/>
          <w:szCs w:val="22"/>
        </w:rPr>
        <w:t>v </w:t>
      </w:r>
      <w:r w:rsidRPr="00A67A88">
        <w:rPr>
          <w:rFonts w:cs="Arial"/>
          <w:b/>
          <w:sz w:val="22"/>
          <w:szCs w:val="22"/>
        </w:rPr>
        <w:t xml:space="preserve">říjnu 2012 za opravu místnosti </w:t>
      </w:r>
      <w:r w:rsidR="00A61F35">
        <w:rPr>
          <w:rFonts w:cs="Arial"/>
          <w:b/>
          <w:sz w:val="22"/>
          <w:szCs w:val="22"/>
        </w:rPr>
        <w:t>v </w:t>
      </w:r>
      <w:r w:rsidRPr="00A67A88">
        <w:rPr>
          <w:rFonts w:cs="Arial"/>
          <w:b/>
          <w:sz w:val="22"/>
          <w:szCs w:val="22"/>
        </w:rPr>
        <w:t>objektu školy</w:t>
      </w:r>
      <w:r w:rsidR="00A67A88" w:rsidRPr="00A67A88">
        <w:rPr>
          <w:rFonts w:cs="Arial"/>
          <w:b/>
          <w:sz w:val="22"/>
          <w:szCs w:val="22"/>
        </w:rPr>
        <w:t>, se kterou neměla uzavřen žádný smluvní vztah</w:t>
      </w:r>
      <w:r w:rsidR="00A67A88" w:rsidRPr="000F38F0">
        <w:rPr>
          <w:rFonts w:cs="Arial"/>
          <w:b/>
          <w:sz w:val="22"/>
          <w:szCs w:val="22"/>
        </w:rPr>
        <w:t>.</w:t>
      </w:r>
      <w:r w:rsidR="00A67A8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Správa</w:t>
      </w:r>
      <w:r w:rsidR="00A67A88">
        <w:rPr>
          <w:rFonts w:cs="Arial"/>
          <w:sz w:val="22"/>
          <w:szCs w:val="22"/>
        </w:rPr>
        <w:t xml:space="preserve"> měla </w:t>
      </w:r>
      <w:r w:rsidR="00A61F35">
        <w:rPr>
          <w:rFonts w:cs="Arial"/>
          <w:sz w:val="22"/>
          <w:szCs w:val="22"/>
        </w:rPr>
        <w:t>v </w:t>
      </w:r>
      <w:r w:rsidR="00A67A88">
        <w:rPr>
          <w:rFonts w:cs="Arial"/>
          <w:sz w:val="22"/>
          <w:szCs w:val="22"/>
        </w:rPr>
        <w:t xml:space="preserve">místnosti umístěno informační centrum dopravních staveb. </w:t>
      </w:r>
      <w:r w:rsidR="007C1B69">
        <w:rPr>
          <w:rFonts w:cs="Arial"/>
          <w:sz w:val="22"/>
          <w:szCs w:val="22"/>
        </w:rPr>
        <w:t>S</w:t>
      </w:r>
      <w:r w:rsidR="00A67A88">
        <w:rPr>
          <w:rFonts w:cs="Arial"/>
          <w:sz w:val="22"/>
          <w:szCs w:val="22"/>
        </w:rPr>
        <w:t xml:space="preserve">mlouvu na užívání prostor </w:t>
      </w:r>
      <w:r w:rsidR="00A61F35">
        <w:rPr>
          <w:rFonts w:cs="Arial"/>
          <w:sz w:val="22"/>
          <w:szCs w:val="22"/>
        </w:rPr>
        <w:t>v </w:t>
      </w:r>
      <w:r w:rsidR="00A67A88">
        <w:rPr>
          <w:rFonts w:cs="Arial"/>
          <w:sz w:val="22"/>
          <w:szCs w:val="22"/>
        </w:rPr>
        <w:t>budově školy o výměře 84,4 m</w:t>
      </w:r>
      <w:r w:rsidR="00A67A88">
        <w:rPr>
          <w:rFonts w:cs="Arial"/>
          <w:sz w:val="22"/>
          <w:szCs w:val="22"/>
          <w:vertAlign w:val="superscript"/>
        </w:rPr>
        <w:t>2</w:t>
      </w:r>
      <w:r w:rsidR="00A67A88">
        <w:rPr>
          <w:rFonts w:cs="Arial"/>
          <w:sz w:val="22"/>
          <w:szCs w:val="22"/>
        </w:rPr>
        <w:t xml:space="preserve"> uzavřela až </w:t>
      </w:r>
      <w:r w:rsidR="00A61F35">
        <w:rPr>
          <w:rFonts w:cs="Arial"/>
          <w:sz w:val="22"/>
          <w:szCs w:val="22"/>
        </w:rPr>
        <w:t>v </w:t>
      </w:r>
      <w:r w:rsidR="00A67A88">
        <w:rPr>
          <w:rFonts w:cs="Arial"/>
          <w:sz w:val="22"/>
          <w:szCs w:val="22"/>
        </w:rPr>
        <w:t>květnu 2013.</w:t>
      </w:r>
    </w:p>
    <w:p w:rsidR="00A67A88" w:rsidRDefault="00A67A88" w:rsidP="00F46D29">
      <w:pPr>
        <w:jc w:val="both"/>
        <w:rPr>
          <w:rFonts w:cs="Arial"/>
          <w:sz w:val="22"/>
          <w:szCs w:val="22"/>
        </w:rPr>
      </w:pPr>
    </w:p>
    <w:p w:rsidR="0057687B" w:rsidRDefault="00A67A88" w:rsidP="00F46D29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  <w:r w:rsidR="005D29F2">
        <w:rPr>
          <w:rFonts w:cs="Arial"/>
          <w:b/>
          <w:sz w:val="22"/>
          <w:szCs w:val="22"/>
        </w:rPr>
        <w:t>9</w:t>
      </w:r>
      <w:r w:rsidR="00DD6052">
        <w:rPr>
          <w:rFonts w:cs="Arial"/>
          <w:sz w:val="22"/>
          <w:szCs w:val="22"/>
        </w:rPr>
        <w:t xml:space="preserve"> </w:t>
      </w:r>
      <w:r w:rsidR="00A90B4A">
        <w:rPr>
          <w:rFonts w:cs="Arial"/>
          <w:sz w:val="22"/>
          <w:szCs w:val="22"/>
        </w:rPr>
        <w:t>Závod Praha</w:t>
      </w:r>
      <w:r w:rsidR="00495FA8">
        <w:rPr>
          <w:rFonts w:cs="Arial"/>
          <w:sz w:val="22"/>
          <w:szCs w:val="22"/>
        </w:rPr>
        <w:t xml:space="preserve"> uhradil</w:t>
      </w:r>
      <w:r w:rsidR="00A90B4A">
        <w:rPr>
          <w:rFonts w:cs="Arial"/>
          <w:sz w:val="22"/>
          <w:szCs w:val="22"/>
        </w:rPr>
        <w:t xml:space="preserve"> za opravy a údržbu vozidla Škoda Fabia </w:t>
      </w:r>
      <w:r w:rsidR="00A61F35">
        <w:rPr>
          <w:rFonts w:cs="Arial"/>
          <w:sz w:val="22"/>
          <w:szCs w:val="22"/>
        </w:rPr>
        <w:t>v </w:t>
      </w:r>
      <w:r w:rsidR="00A90B4A">
        <w:rPr>
          <w:rFonts w:cs="Arial"/>
          <w:sz w:val="22"/>
          <w:szCs w:val="22"/>
        </w:rPr>
        <w:t xml:space="preserve">roce 2010 </w:t>
      </w:r>
      <w:r w:rsidR="00495FA8">
        <w:rPr>
          <w:rFonts w:cs="Arial"/>
          <w:sz w:val="22"/>
          <w:szCs w:val="22"/>
        </w:rPr>
        <w:t>částku</w:t>
      </w:r>
      <w:r w:rsidR="000C40F4">
        <w:rPr>
          <w:rFonts w:cs="Arial"/>
          <w:sz w:val="22"/>
          <w:szCs w:val="22"/>
        </w:rPr>
        <w:t xml:space="preserve"> 77,2 tis. </w:t>
      </w:r>
      <w:r w:rsidR="00A90B4A">
        <w:rPr>
          <w:rFonts w:cs="Arial"/>
          <w:sz w:val="22"/>
          <w:szCs w:val="22"/>
        </w:rPr>
        <w:t xml:space="preserve">Kč a </w:t>
      </w:r>
      <w:r w:rsidR="00A61F35">
        <w:rPr>
          <w:rFonts w:cs="Arial"/>
          <w:sz w:val="22"/>
          <w:szCs w:val="22"/>
        </w:rPr>
        <w:t>v </w:t>
      </w:r>
      <w:r w:rsidR="00A90B4A">
        <w:rPr>
          <w:rFonts w:cs="Arial"/>
          <w:sz w:val="22"/>
          <w:szCs w:val="22"/>
        </w:rPr>
        <w:t xml:space="preserve">roce 2011 </w:t>
      </w:r>
      <w:r w:rsidR="00495FA8">
        <w:rPr>
          <w:rFonts w:cs="Arial"/>
          <w:sz w:val="22"/>
          <w:szCs w:val="22"/>
        </w:rPr>
        <w:t>částku</w:t>
      </w:r>
      <w:r w:rsidR="00A90B4A">
        <w:rPr>
          <w:rFonts w:cs="Arial"/>
          <w:sz w:val="22"/>
          <w:szCs w:val="22"/>
        </w:rPr>
        <w:t xml:space="preserve"> 38,1 tis. Kč. </w:t>
      </w:r>
      <w:r w:rsidR="00A90B4A" w:rsidRPr="00B84DD0">
        <w:rPr>
          <w:rFonts w:cs="Arial"/>
          <w:b/>
          <w:sz w:val="22"/>
          <w:szCs w:val="22"/>
        </w:rPr>
        <w:t>Tyto náklady byly o 145 %, resp.</w:t>
      </w:r>
      <w:r w:rsidR="00495FA8">
        <w:rPr>
          <w:rFonts w:cs="Arial"/>
          <w:b/>
          <w:sz w:val="22"/>
          <w:szCs w:val="22"/>
        </w:rPr>
        <w:t xml:space="preserve"> o</w:t>
      </w:r>
      <w:r w:rsidR="00A90B4A" w:rsidRPr="00B84DD0">
        <w:rPr>
          <w:rFonts w:cs="Arial"/>
          <w:b/>
          <w:sz w:val="22"/>
          <w:szCs w:val="22"/>
        </w:rPr>
        <w:t xml:space="preserve"> 58 %</w:t>
      </w:r>
      <w:r w:rsidR="0037646E">
        <w:rPr>
          <w:rFonts w:cs="Arial"/>
          <w:b/>
          <w:sz w:val="22"/>
          <w:szCs w:val="22"/>
        </w:rPr>
        <w:t>,</w:t>
      </w:r>
      <w:r w:rsidR="00A90B4A" w:rsidRPr="00B84DD0">
        <w:rPr>
          <w:rFonts w:cs="Arial"/>
          <w:b/>
          <w:sz w:val="22"/>
          <w:szCs w:val="22"/>
        </w:rPr>
        <w:t xml:space="preserve"> vyšší než průměrné </w:t>
      </w:r>
      <w:r w:rsidR="0037646E">
        <w:rPr>
          <w:rFonts w:cs="Arial"/>
          <w:b/>
          <w:sz w:val="22"/>
          <w:szCs w:val="22"/>
        </w:rPr>
        <w:t xml:space="preserve">výdaje </w:t>
      </w:r>
      <w:r w:rsidR="00A90B4A" w:rsidRPr="00B84DD0">
        <w:rPr>
          <w:rFonts w:cs="Arial"/>
          <w:b/>
          <w:sz w:val="22"/>
          <w:szCs w:val="22"/>
        </w:rPr>
        <w:t>za ostatní vozidla provozovan</w:t>
      </w:r>
      <w:r w:rsidR="0037646E">
        <w:rPr>
          <w:rFonts w:cs="Arial"/>
          <w:b/>
          <w:sz w:val="22"/>
          <w:szCs w:val="22"/>
        </w:rPr>
        <w:t>á</w:t>
      </w:r>
      <w:r w:rsidR="00A90B4A" w:rsidRPr="00B84DD0">
        <w:rPr>
          <w:rFonts w:cs="Arial"/>
          <w:b/>
          <w:sz w:val="22"/>
          <w:szCs w:val="22"/>
        </w:rPr>
        <w:t xml:space="preserve"> tímto závodem</w:t>
      </w:r>
      <w:r w:rsidR="00A90B4A" w:rsidRPr="000F38F0">
        <w:rPr>
          <w:rFonts w:cs="Arial"/>
          <w:b/>
          <w:sz w:val="22"/>
          <w:szCs w:val="22"/>
        </w:rPr>
        <w:t>.</w:t>
      </w:r>
      <w:r w:rsidR="00A90B4A">
        <w:rPr>
          <w:rFonts w:cs="Arial"/>
          <w:sz w:val="22"/>
          <w:szCs w:val="22"/>
        </w:rPr>
        <w:t xml:space="preserve"> </w:t>
      </w:r>
      <w:r w:rsidR="00B84DD0">
        <w:rPr>
          <w:rFonts w:cs="Arial"/>
          <w:sz w:val="22"/>
          <w:szCs w:val="22"/>
        </w:rPr>
        <w:t xml:space="preserve">U vozidla byly například vyměněny </w:t>
      </w:r>
      <w:r w:rsidR="00A61F35">
        <w:rPr>
          <w:rFonts w:cs="Arial"/>
          <w:sz w:val="22"/>
          <w:szCs w:val="22"/>
        </w:rPr>
        <w:t>v </w:t>
      </w:r>
      <w:r w:rsidR="00495FA8">
        <w:rPr>
          <w:rFonts w:cs="Arial"/>
          <w:sz w:val="22"/>
          <w:szCs w:val="22"/>
        </w:rPr>
        <w:t xml:space="preserve">srpnu 2010 </w:t>
      </w:r>
      <w:r w:rsidR="00B84DD0">
        <w:rPr>
          <w:rFonts w:cs="Arial"/>
          <w:sz w:val="22"/>
          <w:szCs w:val="22"/>
        </w:rPr>
        <w:t>po ujetí 13,3 tis. km</w:t>
      </w:r>
      <w:r w:rsidR="0057687B">
        <w:rPr>
          <w:rFonts w:cs="Arial"/>
          <w:sz w:val="22"/>
          <w:szCs w:val="22"/>
        </w:rPr>
        <w:t xml:space="preserve"> zapalovací svíčky,</w:t>
      </w:r>
      <w:r w:rsidR="00FC02FC">
        <w:rPr>
          <w:rFonts w:cs="Arial"/>
          <w:sz w:val="22"/>
          <w:szCs w:val="22"/>
        </w:rPr>
        <w:t xml:space="preserve"> motorový olej a </w:t>
      </w:r>
      <w:r w:rsidR="0057687B">
        <w:rPr>
          <w:rFonts w:cs="Arial"/>
          <w:sz w:val="22"/>
          <w:szCs w:val="22"/>
        </w:rPr>
        <w:t xml:space="preserve">příslušné filtry. Tyto součásti byly opětovně měněny </w:t>
      </w:r>
      <w:r w:rsidR="00A61F35">
        <w:rPr>
          <w:rFonts w:cs="Arial"/>
          <w:sz w:val="22"/>
          <w:szCs w:val="22"/>
        </w:rPr>
        <w:t>v </w:t>
      </w:r>
      <w:r w:rsidR="0057687B">
        <w:rPr>
          <w:rFonts w:cs="Arial"/>
          <w:sz w:val="22"/>
          <w:szCs w:val="22"/>
        </w:rPr>
        <w:t>říjnu 2010 po odhadovaném</w:t>
      </w:r>
      <w:r w:rsidR="0057687B">
        <w:rPr>
          <w:rStyle w:val="Znakapoznpodarou"/>
          <w:rFonts w:cs="Arial"/>
          <w:sz w:val="22"/>
          <w:szCs w:val="22"/>
        </w:rPr>
        <w:footnoteReference w:id="10"/>
      </w:r>
      <w:r w:rsidR="0057687B">
        <w:rPr>
          <w:rFonts w:cs="Arial"/>
          <w:sz w:val="22"/>
          <w:szCs w:val="22"/>
        </w:rPr>
        <w:t xml:space="preserve"> ujetí 6,6 tis. km. </w:t>
      </w:r>
      <w:r w:rsidR="004302E4">
        <w:rPr>
          <w:rFonts w:cs="Arial"/>
          <w:sz w:val="22"/>
          <w:szCs w:val="22"/>
        </w:rPr>
        <w:t>Pro toto vozidlo byl p</w:t>
      </w:r>
      <w:r w:rsidR="0057687B">
        <w:rPr>
          <w:rFonts w:cs="Arial"/>
          <w:sz w:val="22"/>
          <w:szCs w:val="22"/>
        </w:rPr>
        <w:t>rovozní cyklus zapalovacích svíček 60 tis. km</w:t>
      </w:r>
      <w:r w:rsidR="00FC02FC">
        <w:rPr>
          <w:rFonts w:cs="Arial"/>
          <w:sz w:val="22"/>
          <w:szCs w:val="22"/>
        </w:rPr>
        <w:t xml:space="preserve"> a motorového oleje a filtrů 15 tis. km nebo jeden rok.</w:t>
      </w:r>
      <w:r w:rsidR="00E46A73">
        <w:rPr>
          <w:rFonts w:cs="Arial"/>
          <w:sz w:val="22"/>
          <w:szCs w:val="22"/>
        </w:rPr>
        <w:t xml:space="preserve">   </w:t>
      </w:r>
    </w:p>
    <w:p w:rsidR="0057687B" w:rsidRDefault="0057687B" w:rsidP="00F46D29">
      <w:pPr>
        <w:jc w:val="both"/>
        <w:rPr>
          <w:rFonts w:cs="Arial"/>
          <w:sz w:val="22"/>
          <w:szCs w:val="22"/>
        </w:rPr>
      </w:pPr>
    </w:p>
    <w:p w:rsidR="00684ECC" w:rsidRDefault="007D13DE" w:rsidP="00F46D2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 tohoto vozidla byly zjištěny také rozdíly mezi stavy tachometru uvedenými </w:t>
      </w:r>
      <w:r w:rsidR="00A61F35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měsíčních</w:t>
      </w:r>
      <w:r w:rsidR="000462F4">
        <w:rPr>
          <w:rFonts w:cs="Arial"/>
          <w:sz w:val="22"/>
          <w:szCs w:val="22"/>
        </w:rPr>
        <w:t xml:space="preserve"> a </w:t>
      </w:r>
      <w:r>
        <w:rPr>
          <w:rFonts w:cs="Arial"/>
          <w:sz w:val="22"/>
          <w:szCs w:val="22"/>
        </w:rPr>
        <w:t xml:space="preserve">denních výkazech o provozu vozidla. Například </w:t>
      </w:r>
      <w:r w:rsidR="00A61F35">
        <w:rPr>
          <w:rFonts w:cs="Arial"/>
          <w:sz w:val="22"/>
          <w:szCs w:val="22"/>
        </w:rPr>
        <w:t>k </w:t>
      </w:r>
      <w:r>
        <w:rPr>
          <w:rFonts w:cs="Arial"/>
          <w:sz w:val="22"/>
          <w:szCs w:val="22"/>
        </w:rPr>
        <w:t xml:space="preserve">30. </w:t>
      </w:r>
      <w:r w:rsidR="00F42BC1">
        <w:rPr>
          <w:rFonts w:cs="Arial"/>
          <w:sz w:val="22"/>
          <w:szCs w:val="22"/>
        </w:rPr>
        <w:t>dubnu</w:t>
      </w:r>
      <w:r>
        <w:rPr>
          <w:rFonts w:cs="Arial"/>
          <w:sz w:val="22"/>
          <w:szCs w:val="22"/>
        </w:rPr>
        <w:t xml:space="preserve"> 2010 bylo </w:t>
      </w:r>
      <w:r w:rsidR="00A61F35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denním výkaz</w:t>
      </w:r>
      <w:r w:rsidR="0037646E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 zapsáno o 1</w:t>
      </w:r>
      <w:r w:rsidR="007945D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434 km více, než</w:t>
      </w:r>
      <w:r w:rsidR="00495FA8">
        <w:rPr>
          <w:rFonts w:cs="Arial"/>
          <w:sz w:val="22"/>
          <w:szCs w:val="22"/>
        </w:rPr>
        <w:t xml:space="preserve"> byl konečný stav</w:t>
      </w:r>
      <w:r>
        <w:rPr>
          <w:rFonts w:cs="Arial"/>
          <w:sz w:val="22"/>
          <w:szCs w:val="22"/>
        </w:rPr>
        <w:t xml:space="preserve"> v</w:t>
      </w:r>
      <w:r w:rsidR="00495FA8">
        <w:rPr>
          <w:rFonts w:cs="Arial"/>
          <w:sz w:val="22"/>
          <w:szCs w:val="22"/>
        </w:rPr>
        <w:t>e</w:t>
      </w:r>
      <w:r w:rsidR="007945D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výkaz</w:t>
      </w:r>
      <w:r w:rsidR="0037646E">
        <w:rPr>
          <w:rFonts w:cs="Arial"/>
          <w:sz w:val="22"/>
          <w:szCs w:val="22"/>
        </w:rPr>
        <w:t>u</w:t>
      </w:r>
      <w:r w:rsidR="00495FA8">
        <w:rPr>
          <w:rFonts w:cs="Arial"/>
          <w:sz w:val="22"/>
          <w:szCs w:val="22"/>
        </w:rPr>
        <w:t xml:space="preserve"> za měsíc duben 2010.</w:t>
      </w:r>
      <w:r w:rsidR="00E46A73">
        <w:rPr>
          <w:rFonts w:cs="Arial"/>
          <w:sz w:val="22"/>
          <w:szCs w:val="22"/>
        </w:rPr>
        <w:t xml:space="preserve"> </w:t>
      </w:r>
    </w:p>
    <w:p w:rsidR="006671FB" w:rsidRDefault="006671FB" w:rsidP="00F46D29">
      <w:pPr>
        <w:jc w:val="both"/>
        <w:rPr>
          <w:rFonts w:cs="Arial"/>
          <w:sz w:val="22"/>
          <w:szCs w:val="22"/>
        </w:rPr>
      </w:pPr>
    </w:p>
    <w:p w:rsidR="00277D22" w:rsidRDefault="00737A4D" w:rsidP="00F46D29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  <w:r w:rsidR="005D29F2">
        <w:rPr>
          <w:rFonts w:cs="Arial"/>
          <w:b/>
          <w:sz w:val="22"/>
          <w:szCs w:val="22"/>
        </w:rPr>
        <w:t>10</w:t>
      </w:r>
      <w:r w:rsidR="00684ECC">
        <w:rPr>
          <w:rFonts w:cs="Arial"/>
          <w:b/>
          <w:sz w:val="22"/>
          <w:szCs w:val="22"/>
        </w:rPr>
        <w:t xml:space="preserve"> </w:t>
      </w:r>
      <w:r w:rsidR="00242739" w:rsidRPr="00242739">
        <w:rPr>
          <w:rFonts w:cs="Arial"/>
          <w:sz w:val="22"/>
          <w:szCs w:val="22"/>
        </w:rPr>
        <w:t>Většina</w:t>
      </w:r>
      <w:r w:rsidR="00242739">
        <w:rPr>
          <w:rFonts w:cs="Arial"/>
          <w:sz w:val="22"/>
          <w:szCs w:val="22"/>
        </w:rPr>
        <w:t xml:space="preserve"> </w:t>
      </w:r>
      <w:r w:rsidR="000D3114">
        <w:rPr>
          <w:rFonts w:cs="Arial"/>
          <w:sz w:val="22"/>
          <w:szCs w:val="22"/>
        </w:rPr>
        <w:t>z</w:t>
      </w:r>
      <w:r w:rsidR="00242739">
        <w:rPr>
          <w:rFonts w:cs="Arial"/>
          <w:sz w:val="22"/>
          <w:szCs w:val="22"/>
        </w:rPr>
        <w:t>ávodů a správ využívala</w:t>
      </w:r>
      <w:r w:rsidR="0075783C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75783C">
        <w:rPr>
          <w:rFonts w:cs="Arial"/>
          <w:sz w:val="22"/>
          <w:szCs w:val="22"/>
        </w:rPr>
        <w:t>rámci své činnosti pro výkon</w:t>
      </w:r>
      <w:r w:rsidR="00266115">
        <w:rPr>
          <w:rFonts w:cs="Arial"/>
          <w:sz w:val="22"/>
          <w:szCs w:val="22"/>
        </w:rPr>
        <w:t xml:space="preserve"> technického dozoru investora i</w:t>
      </w:r>
      <w:r w:rsidR="007945D9">
        <w:rPr>
          <w:rFonts w:cs="Arial"/>
          <w:sz w:val="22"/>
          <w:szCs w:val="22"/>
        </w:rPr>
        <w:t xml:space="preserve"> </w:t>
      </w:r>
      <w:r w:rsidR="0075783C">
        <w:rPr>
          <w:rFonts w:cs="Arial"/>
          <w:sz w:val="22"/>
          <w:szCs w:val="22"/>
        </w:rPr>
        <w:t>osobní vozidla poskytovaná dodavateli stavebních akcí na pozemn</w:t>
      </w:r>
      <w:r w:rsidR="00266115">
        <w:rPr>
          <w:rFonts w:cs="Arial"/>
          <w:sz w:val="22"/>
          <w:szCs w:val="22"/>
        </w:rPr>
        <w:t>ích komunikacích</w:t>
      </w:r>
      <w:r w:rsidR="0075783C">
        <w:rPr>
          <w:rFonts w:cs="Arial"/>
          <w:sz w:val="22"/>
          <w:szCs w:val="22"/>
        </w:rPr>
        <w:t xml:space="preserve">. </w:t>
      </w:r>
      <w:r w:rsidR="00266115">
        <w:rPr>
          <w:rFonts w:cs="Arial"/>
          <w:sz w:val="22"/>
          <w:szCs w:val="22"/>
        </w:rPr>
        <w:t>Veškeré n</w:t>
      </w:r>
      <w:r w:rsidR="0075783C">
        <w:rPr>
          <w:rFonts w:cs="Arial"/>
          <w:sz w:val="22"/>
          <w:szCs w:val="22"/>
        </w:rPr>
        <w:t xml:space="preserve">áklady na ně </w:t>
      </w:r>
      <w:r w:rsidR="00266115">
        <w:rPr>
          <w:rFonts w:cs="Arial"/>
          <w:sz w:val="22"/>
          <w:szCs w:val="22"/>
        </w:rPr>
        <w:t xml:space="preserve">byly zahrnuty </w:t>
      </w:r>
      <w:r w:rsidR="00A61F35">
        <w:rPr>
          <w:rFonts w:cs="Arial"/>
          <w:sz w:val="22"/>
          <w:szCs w:val="22"/>
        </w:rPr>
        <w:t>v </w:t>
      </w:r>
      <w:r w:rsidR="00266115">
        <w:rPr>
          <w:rFonts w:cs="Arial"/>
          <w:sz w:val="22"/>
          <w:szCs w:val="22"/>
        </w:rPr>
        <w:t>ceně příslušných</w:t>
      </w:r>
      <w:r w:rsidR="0075783C">
        <w:rPr>
          <w:rFonts w:cs="Arial"/>
          <w:sz w:val="22"/>
          <w:szCs w:val="22"/>
        </w:rPr>
        <w:t xml:space="preserve"> stavebních akcí.</w:t>
      </w:r>
      <w:r w:rsidR="00242739">
        <w:rPr>
          <w:rFonts w:cs="Arial"/>
          <w:sz w:val="22"/>
          <w:szCs w:val="22"/>
        </w:rPr>
        <w:t xml:space="preserve"> </w:t>
      </w:r>
      <w:r w:rsidR="00277D22">
        <w:rPr>
          <w:rFonts w:cs="Arial"/>
          <w:sz w:val="22"/>
          <w:szCs w:val="22"/>
        </w:rPr>
        <w:t>Z evidence o provozu těchto vozidel</w:t>
      </w:r>
      <w:r w:rsidR="00242739">
        <w:rPr>
          <w:rFonts w:cs="Arial"/>
          <w:sz w:val="22"/>
          <w:szCs w:val="22"/>
        </w:rPr>
        <w:t xml:space="preserve"> </w:t>
      </w:r>
      <w:r w:rsidR="00277D22">
        <w:rPr>
          <w:rFonts w:cs="Arial"/>
          <w:sz w:val="22"/>
          <w:szCs w:val="22"/>
        </w:rPr>
        <w:t>bylo zjištěno</w:t>
      </w:r>
      <w:r w:rsidR="009C2A74">
        <w:rPr>
          <w:rFonts w:cs="Arial"/>
          <w:sz w:val="22"/>
          <w:szCs w:val="22"/>
        </w:rPr>
        <w:t xml:space="preserve">, že </w:t>
      </w:r>
      <w:r w:rsidR="00495FA8">
        <w:rPr>
          <w:rFonts w:cs="Arial"/>
          <w:b/>
          <w:sz w:val="22"/>
          <w:szCs w:val="22"/>
        </w:rPr>
        <w:t>uplatňovaný</w:t>
      </w:r>
      <w:r w:rsidR="009C2A74" w:rsidRPr="00495FA8">
        <w:rPr>
          <w:rFonts w:cs="Arial"/>
          <w:b/>
          <w:sz w:val="22"/>
          <w:szCs w:val="22"/>
        </w:rPr>
        <w:t xml:space="preserve"> způsob zabezpečování vozidel </w:t>
      </w:r>
      <w:r w:rsidR="00495FA8" w:rsidRPr="00495FA8">
        <w:rPr>
          <w:rFonts w:cs="Arial"/>
          <w:b/>
          <w:sz w:val="22"/>
          <w:szCs w:val="22"/>
        </w:rPr>
        <w:t>nebyl</w:t>
      </w:r>
      <w:r w:rsidR="00495FA8">
        <w:rPr>
          <w:rFonts w:cs="Arial"/>
          <w:b/>
          <w:sz w:val="22"/>
          <w:szCs w:val="22"/>
        </w:rPr>
        <w:t xml:space="preserve"> </w:t>
      </w:r>
      <w:r w:rsidR="009C2A74" w:rsidRPr="00495FA8">
        <w:rPr>
          <w:rFonts w:cs="Arial"/>
          <w:b/>
          <w:sz w:val="22"/>
          <w:szCs w:val="22"/>
        </w:rPr>
        <w:t>hospodárný</w:t>
      </w:r>
      <w:r w:rsidR="00277D22" w:rsidRPr="00495FA8">
        <w:rPr>
          <w:rFonts w:cs="Arial"/>
          <w:b/>
          <w:sz w:val="22"/>
          <w:szCs w:val="22"/>
        </w:rPr>
        <w:t>:</w:t>
      </w:r>
      <w:r w:rsidR="00495FA8">
        <w:rPr>
          <w:rFonts w:cs="Arial"/>
          <w:sz w:val="22"/>
          <w:szCs w:val="22"/>
        </w:rPr>
        <w:t xml:space="preserve"> </w:t>
      </w:r>
    </w:p>
    <w:p w:rsidR="00242739" w:rsidRDefault="0037646E" w:rsidP="000F38F0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277D22">
        <w:rPr>
          <w:rFonts w:cs="Arial"/>
          <w:sz w:val="22"/>
          <w:szCs w:val="22"/>
        </w:rPr>
        <w:t xml:space="preserve">Správa Pardubice </w:t>
      </w:r>
      <w:r w:rsidR="009C2A74">
        <w:rPr>
          <w:rFonts w:cs="Arial"/>
          <w:sz w:val="22"/>
          <w:szCs w:val="22"/>
        </w:rPr>
        <w:t xml:space="preserve">uhradila </w:t>
      </w:r>
      <w:r w:rsidR="00A61F35">
        <w:rPr>
          <w:rFonts w:cs="Arial"/>
          <w:sz w:val="22"/>
          <w:szCs w:val="22"/>
        </w:rPr>
        <w:t>v </w:t>
      </w:r>
      <w:r w:rsidR="009C2A74">
        <w:rPr>
          <w:rFonts w:cs="Arial"/>
          <w:sz w:val="22"/>
          <w:szCs w:val="22"/>
        </w:rPr>
        <w:t xml:space="preserve">ceně stavební akce jejímu dodavateli </w:t>
      </w:r>
      <w:r w:rsidR="00277D22">
        <w:rPr>
          <w:rFonts w:cs="Arial"/>
          <w:sz w:val="22"/>
          <w:szCs w:val="22"/>
        </w:rPr>
        <w:t xml:space="preserve">za užívání vozidla Suzuki SWIFT 1,3 GLX </w:t>
      </w:r>
      <w:r w:rsidR="00A61F35">
        <w:rPr>
          <w:rFonts w:cs="Arial"/>
          <w:sz w:val="22"/>
          <w:szCs w:val="22"/>
        </w:rPr>
        <w:t>v </w:t>
      </w:r>
      <w:r w:rsidR="00277D22">
        <w:rPr>
          <w:rFonts w:cs="Arial"/>
          <w:sz w:val="22"/>
          <w:szCs w:val="22"/>
        </w:rPr>
        <w:t>období od dubna do prosince 2010</w:t>
      </w:r>
      <w:r w:rsidR="009C2A74">
        <w:rPr>
          <w:rFonts w:cs="Arial"/>
          <w:sz w:val="22"/>
          <w:szCs w:val="22"/>
        </w:rPr>
        <w:t>, tj. za devět měsíců, 225,7</w:t>
      </w:r>
      <w:r w:rsidR="00D61FB3">
        <w:rPr>
          <w:rFonts w:cs="Arial"/>
          <w:sz w:val="22"/>
          <w:szCs w:val="22"/>
        </w:rPr>
        <w:t> </w:t>
      </w:r>
      <w:r w:rsidR="009C2A74">
        <w:rPr>
          <w:rFonts w:cs="Arial"/>
          <w:sz w:val="22"/>
          <w:szCs w:val="22"/>
        </w:rPr>
        <w:t xml:space="preserve">tis. Kč. </w:t>
      </w:r>
      <w:r w:rsidR="00A61F35">
        <w:rPr>
          <w:rFonts w:cs="Arial"/>
          <w:sz w:val="22"/>
          <w:szCs w:val="22"/>
        </w:rPr>
        <w:t>V </w:t>
      </w:r>
      <w:r w:rsidR="009C2A74">
        <w:rPr>
          <w:rFonts w:cs="Arial"/>
          <w:sz w:val="22"/>
          <w:szCs w:val="22"/>
        </w:rPr>
        <w:t>ceně stavby byly kalkulovány náklady na ujetí 3</w:t>
      </w:r>
      <w:r w:rsidR="007945D9">
        <w:rPr>
          <w:rFonts w:cs="Arial"/>
          <w:sz w:val="22"/>
          <w:szCs w:val="22"/>
        </w:rPr>
        <w:t xml:space="preserve"> </w:t>
      </w:r>
      <w:r w:rsidR="009C2A74">
        <w:rPr>
          <w:rFonts w:cs="Arial"/>
          <w:sz w:val="22"/>
          <w:szCs w:val="22"/>
        </w:rPr>
        <w:t>000 km za měsíc.</w:t>
      </w:r>
      <w:r w:rsidR="00E46A73">
        <w:rPr>
          <w:rFonts w:cs="Arial"/>
          <w:sz w:val="22"/>
          <w:szCs w:val="22"/>
        </w:rPr>
        <w:t xml:space="preserve"> </w:t>
      </w:r>
      <w:r w:rsidR="009C2A74">
        <w:rPr>
          <w:rFonts w:cs="Arial"/>
          <w:sz w:val="22"/>
          <w:szCs w:val="22"/>
        </w:rPr>
        <w:t>Vozidlo však za uvedenou dobu najelo 14</w:t>
      </w:r>
      <w:r w:rsidR="007945D9">
        <w:rPr>
          <w:rFonts w:cs="Arial"/>
          <w:sz w:val="22"/>
          <w:szCs w:val="22"/>
        </w:rPr>
        <w:t xml:space="preserve"> </w:t>
      </w:r>
      <w:r w:rsidR="009C2A74">
        <w:rPr>
          <w:rFonts w:cs="Arial"/>
          <w:sz w:val="22"/>
          <w:szCs w:val="22"/>
        </w:rPr>
        <w:t xml:space="preserve">671 km, tj. </w:t>
      </w:r>
      <w:r w:rsidR="00A61F35">
        <w:rPr>
          <w:rFonts w:cs="Arial"/>
          <w:sz w:val="22"/>
          <w:szCs w:val="22"/>
        </w:rPr>
        <w:t>v </w:t>
      </w:r>
      <w:r w:rsidR="009C2A74">
        <w:rPr>
          <w:rFonts w:cs="Arial"/>
          <w:sz w:val="22"/>
          <w:szCs w:val="22"/>
        </w:rPr>
        <w:t>průměru 1</w:t>
      </w:r>
      <w:r w:rsidR="007945D9">
        <w:rPr>
          <w:rFonts w:cs="Arial"/>
          <w:sz w:val="22"/>
          <w:szCs w:val="22"/>
        </w:rPr>
        <w:t xml:space="preserve"> </w:t>
      </w:r>
      <w:r w:rsidR="009C2A74">
        <w:rPr>
          <w:rFonts w:cs="Arial"/>
          <w:sz w:val="22"/>
          <w:szCs w:val="22"/>
        </w:rPr>
        <w:t>630 km za měsíc.</w:t>
      </w:r>
    </w:p>
    <w:p w:rsidR="00D54119" w:rsidRDefault="0037646E" w:rsidP="000F38F0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D54119">
        <w:rPr>
          <w:rFonts w:cs="Arial"/>
          <w:sz w:val="22"/>
          <w:szCs w:val="22"/>
        </w:rPr>
        <w:t xml:space="preserve">Dodavatel akce uplatnil náklady </w:t>
      </w:r>
      <w:r w:rsidR="004302E4">
        <w:rPr>
          <w:rFonts w:cs="Arial"/>
          <w:sz w:val="22"/>
          <w:szCs w:val="22"/>
        </w:rPr>
        <w:t>1</w:t>
      </w:r>
      <w:r w:rsidR="007945D9">
        <w:rPr>
          <w:rFonts w:cs="Arial"/>
          <w:sz w:val="22"/>
          <w:szCs w:val="22"/>
        </w:rPr>
        <w:t xml:space="preserve"> </w:t>
      </w:r>
      <w:r w:rsidR="004302E4">
        <w:rPr>
          <w:rFonts w:cs="Arial"/>
          <w:sz w:val="22"/>
          <w:szCs w:val="22"/>
        </w:rPr>
        <w:t xml:space="preserve">276 tis. Kč </w:t>
      </w:r>
      <w:r w:rsidR="00D54119">
        <w:rPr>
          <w:rFonts w:cs="Arial"/>
          <w:sz w:val="22"/>
          <w:szCs w:val="22"/>
        </w:rPr>
        <w:t>za provoz vozidla Škoda Oc</w:t>
      </w:r>
      <w:r w:rsidR="004A710E">
        <w:rPr>
          <w:rFonts w:cs="Arial"/>
          <w:sz w:val="22"/>
          <w:szCs w:val="22"/>
        </w:rPr>
        <w:t xml:space="preserve">tavia </w:t>
      </w:r>
      <w:proofErr w:type="spellStart"/>
      <w:r w:rsidR="004A710E">
        <w:rPr>
          <w:rFonts w:cs="Arial"/>
          <w:sz w:val="22"/>
          <w:szCs w:val="22"/>
        </w:rPr>
        <w:t>Combi</w:t>
      </w:r>
      <w:proofErr w:type="spellEnd"/>
      <w:r w:rsidR="004A710E">
        <w:rPr>
          <w:rFonts w:cs="Arial"/>
          <w:sz w:val="22"/>
          <w:szCs w:val="22"/>
        </w:rPr>
        <w:t>, kter</w:t>
      </w:r>
      <w:r>
        <w:rPr>
          <w:rFonts w:cs="Arial"/>
          <w:sz w:val="22"/>
          <w:szCs w:val="22"/>
        </w:rPr>
        <w:t>é</w:t>
      </w:r>
      <w:r w:rsidR="004A710E">
        <w:rPr>
          <w:rFonts w:cs="Arial"/>
          <w:sz w:val="22"/>
          <w:szCs w:val="22"/>
        </w:rPr>
        <w:t xml:space="preserve"> poskytl Správě</w:t>
      </w:r>
      <w:r w:rsidR="00D54119">
        <w:rPr>
          <w:rFonts w:cs="Arial"/>
          <w:sz w:val="22"/>
          <w:szCs w:val="22"/>
        </w:rPr>
        <w:t xml:space="preserve"> Karlovy Vary </w:t>
      </w:r>
      <w:r>
        <w:rPr>
          <w:rFonts w:cs="Arial"/>
          <w:sz w:val="22"/>
          <w:szCs w:val="22"/>
        </w:rPr>
        <w:t xml:space="preserve">na období </w:t>
      </w:r>
      <w:r w:rsidR="00D54119">
        <w:rPr>
          <w:rFonts w:cs="Arial"/>
          <w:sz w:val="22"/>
          <w:szCs w:val="22"/>
        </w:rPr>
        <w:t>od prosince 2009 do října 2012</w:t>
      </w:r>
      <w:r w:rsidR="004302E4">
        <w:rPr>
          <w:rFonts w:cs="Arial"/>
          <w:sz w:val="22"/>
          <w:szCs w:val="22"/>
        </w:rPr>
        <w:t xml:space="preserve"> </w:t>
      </w:r>
      <w:r w:rsidR="00D54119">
        <w:rPr>
          <w:rFonts w:cs="Arial"/>
          <w:sz w:val="22"/>
          <w:szCs w:val="22"/>
        </w:rPr>
        <w:t xml:space="preserve">(správa zatím uhradila 1 008 tis. Kč, neboť akce nebyla </w:t>
      </w:r>
      <w:r w:rsidR="00A61F35">
        <w:rPr>
          <w:rFonts w:cs="Arial"/>
          <w:sz w:val="22"/>
          <w:szCs w:val="22"/>
        </w:rPr>
        <w:t>v </w:t>
      </w:r>
      <w:r w:rsidR="00D54119">
        <w:rPr>
          <w:rFonts w:cs="Arial"/>
          <w:sz w:val="22"/>
          <w:szCs w:val="22"/>
        </w:rPr>
        <w:t>době kontroly ještě finančně ukončena). Vozidlo najelo necelých 80 tis. km.</w:t>
      </w:r>
    </w:p>
    <w:p w:rsidR="00242739" w:rsidRDefault="00242739" w:rsidP="000F38F0">
      <w:pPr>
        <w:jc w:val="both"/>
        <w:rPr>
          <w:rFonts w:cs="Arial"/>
          <w:sz w:val="22"/>
          <w:szCs w:val="22"/>
        </w:rPr>
      </w:pPr>
    </w:p>
    <w:p w:rsidR="00242739" w:rsidRDefault="00242739" w:rsidP="0024273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Některé závody a správy </w:t>
      </w:r>
      <w:r w:rsidRPr="00277D22">
        <w:rPr>
          <w:rFonts w:cs="Arial"/>
          <w:b/>
          <w:sz w:val="22"/>
          <w:szCs w:val="22"/>
        </w:rPr>
        <w:t>nevedly žádnou evidenci o provozu těchto vozidel a</w:t>
      </w:r>
      <w:r w:rsidR="007945D9">
        <w:rPr>
          <w:rFonts w:cs="Arial"/>
          <w:b/>
          <w:sz w:val="22"/>
          <w:szCs w:val="22"/>
        </w:rPr>
        <w:t xml:space="preserve"> </w:t>
      </w:r>
      <w:r w:rsidRPr="00277D22">
        <w:rPr>
          <w:rFonts w:cs="Arial"/>
          <w:b/>
          <w:sz w:val="22"/>
          <w:szCs w:val="22"/>
        </w:rPr>
        <w:t>skutečně ujetých kilometrech</w:t>
      </w:r>
      <w:r>
        <w:rPr>
          <w:rFonts w:cs="Arial"/>
          <w:b/>
          <w:sz w:val="22"/>
          <w:szCs w:val="22"/>
        </w:rPr>
        <w:t xml:space="preserve"> </w:t>
      </w:r>
      <w:r w:rsidRPr="000D3114">
        <w:rPr>
          <w:rFonts w:cs="Arial"/>
          <w:sz w:val="22"/>
          <w:szCs w:val="22"/>
        </w:rPr>
        <w:t xml:space="preserve">(například Závod Praha, který </w:t>
      </w:r>
      <w:r w:rsidR="00A61F35">
        <w:rPr>
          <w:rFonts w:cs="Arial"/>
          <w:sz w:val="22"/>
          <w:szCs w:val="22"/>
        </w:rPr>
        <w:t>v </w:t>
      </w:r>
      <w:r w:rsidR="000E7705">
        <w:rPr>
          <w:rFonts w:cs="Arial"/>
          <w:sz w:val="22"/>
          <w:szCs w:val="22"/>
        </w:rPr>
        <w:t>letech 2010 až 2012 využíval v </w:t>
      </w:r>
      <w:r w:rsidRPr="000D3114">
        <w:rPr>
          <w:rFonts w:cs="Arial"/>
          <w:sz w:val="22"/>
          <w:szCs w:val="22"/>
        </w:rPr>
        <w:t>průměru 21 těchto vozidel</w:t>
      </w:r>
      <w:r w:rsidR="000E7705" w:rsidRPr="000E7705">
        <w:rPr>
          <w:rFonts w:cs="Arial"/>
          <w:sz w:val="22"/>
          <w:szCs w:val="22"/>
        </w:rPr>
        <w:t xml:space="preserve"> </w:t>
      </w:r>
      <w:r w:rsidR="000E7705" w:rsidRPr="000D3114">
        <w:rPr>
          <w:rFonts w:cs="Arial"/>
          <w:sz w:val="22"/>
          <w:szCs w:val="22"/>
        </w:rPr>
        <w:t>ročně</w:t>
      </w:r>
      <w:r w:rsidRPr="000D3114">
        <w:rPr>
          <w:rFonts w:cs="Arial"/>
          <w:sz w:val="22"/>
          <w:szCs w:val="22"/>
        </w:rPr>
        <w:t>)</w:t>
      </w:r>
      <w:r w:rsidR="00495FA8">
        <w:rPr>
          <w:rFonts w:cs="Arial"/>
          <w:sz w:val="22"/>
          <w:szCs w:val="22"/>
        </w:rPr>
        <w:t xml:space="preserve">, což znemožnilo </w:t>
      </w:r>
      <w:r>
        <w:rPr>
          <w:rFonts w:cs="Arial"/>
          <w:sz w:val="22"/>
          <w:szCs w:val="22"/>
        </w:rPr>
        <w:t>ověřit hospodárnost</w:t>
      </w:r>
      <w:r w:rsidR="00021D46">
        <w:rPr>
          <w:rFonts w:cs="Arial"/>
          <w:sz w:val="22"/>
          <w:szCs w:val="22"/>
        </w:rPr>
        <w:t xml:space="preserve"> jejich</w:t>
      </w:r>
      <w:r>
        <w:rPr>
          <w:rFonts w:cs="Arial"/>
          <w:sz w:val="22"/>
          <w:szCs w:val="22"/>
        </w:rPr>
        <w:t xml:space="preserve"> </w:t>
      </w:r>
      <w:r w:rsidR="00021D46">
        <w:rPr>
          <w:rFonts w:cs="Arial"/>
          <w:sz w:val="22"/>
          <w:szCs w:val="22"/>
        </w:rPr>
        <w:t>provozování</w:t>
      </w:r>
      <w:r>
        <w:rPr>
          <w:rFonts w:cs="Arial"/>
          <w:sz w:val="22"/>
          <w:szCs w:val="22"/>
        </w:rPr>
        <w:t>.</w:t>
      </w:r>
      <w:r w:rsidR="00E46A73">
        <w:rPr>
          <w:rFonts w:cs="Arial"/>
          <w:sz w:val="22"/>
          <w:szCs w:val="22"/>
        </w:rPr>
        <w:t xml:space="preserve"> </w:t>
      </w:r>
    </w:p>
    <w:p w:rsidR="00A90B4A" w:rsidRDefault="00A90B4A" w:rsidP="000F38F0">
      <w:pPr>
        <w:jc w:val="both"/>
        <w:rPr>
          <w:rFonts w:cs="Arial"/>
          <w:sz w:val="22"/>
          <w:szCs w:val="22"/>
        </w:rPr>
      </w:pPr>
    </w:p>
    <w:p w:rsidR="00CC30AC" w:rsidRDefault="00CC30AC" w:rsidP="000F38F0">
      <w:pPr>
        <w:jc w:val="both"/>
        <w:rPr>
          <w:rFonts w:cs="Arial"/>
          <w:sz w:val="22"/>
          <w:szCs w:val="22"/>
        </w:rPr>
      </w:pPr>
    </w:p>
    <w:p w:rsidR="00CC30AC" w:rsidRDefault="00CC30AC" w:rsidP="000F38F0">
      <w:pPr>
        <w:jc w:val="both"/>
        <w:rPr>
          <w:rFonts w:cs="Arial"/>
          <w:sz w:val="22"/>
          <w:szCs w:val="22"/>
        </w:rPr>
      </w:pPr>
    </w:p>
    <w:p w:rsidR="00CC30AC" w:rsidRDefault="00CC30AC" w:rsidP="000F38F0">
      <w:pPr>
        <w:jc w:val="both"/>
        <w:rPr>
          <w:rFonts w:cs="Arial"/>
          <w:sz w:val="22"/>
          <w:szCs w:val="22"/>
        </w:rPr>
      </w:pPr>
    </w:p>
    <w:p w:rsidR="00CC30AC" w:rsidRDefault="00CC30AC" w:rsidP="000F38F0">
      <w:pPr>
        <w:jc w:val="both"/>
        <w:rPr>
          <w:rFonts w:cs="Arial"/>
          <w:sz w:val="22"/>
          <w:szCs w:val="22"/>
        </w:rPr>
      </w:pPr>
    </w:p>
    <w:p w:rsidR="00FC02FC" w:rsidRDefault="00FC02FC" w:rsidP="00F46D29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4. </w:t>
      </w:r>
      <w:r w:rsidR="00B971B7">
        <w:rPr>
          <w:rFonts w:cs="Arial"/>
          <w:b/>
          <w:sz w:val="22"/>
          <w:szCs w:val="22"/>
        </w:rPr>
        <w:t>Hospodaření</w:t>
      </w:r>
      <w:r>
        <w:rPr>
          <w:rFonts w:cs="Arial"/>
          <w:b/>
          <w:sz w:val="22"/>
          <w:szCs w:val="22"/>
        </w:rPr>
        <w:t xml:space="preserve"> ŘSD</w:t>
      </w:r>
      <w:r w:rsidR="00B971B7">
        <w:rPr>
          <w:rFonts w:cs="Arial"/>
          <w:b/>
          <w:sz w:val="22"/>
          <w:szCs w:val="22"/>
        </w:rPr>
        <w:t xml:space="preserve"> </w:t>
      </w:r>
      <w:r w:rsidR="00A61F35">
        <w:rPr>
          <w:rFonts w:cs="Arial"/>
          <w:b/>
          <w:sz w:val="22"/>
          <w:szCs w:val="22"/>
        </w:rPr>
        <w:t>s </w:t>
      </w:r>
      <w:r w:rsidR="00B971B7">
        <w:rPr>
          <w:rFonts w:cs="Arial"/>
          <w:b/>
          <w:sz w:val="22"/>
          <w:szCs w:val="22"/>
        </w:rPr>
        <w:t>majetkem státu</w:t>
      </w:r>
    </w:p>
    <w:p w:rsidR="00B971B7" w:rsidRDefault="00B971B7" w:rsidP="00F46D29">
      <w:pPr>
        <w:jc w:val="both"/>
        <w:rPr>
          <w:rFonts w:cs="Arial"/>
          <w:sz w:val="22"/>
          <w:szCs w:val="22"/>
        </w:rPr>
      </w:pPr>
    </w:p>
    <w:p w:rsidR="00B971B7" w:rsidRDefault="0037671A" w:rsidP="00F46D2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971B7">
        <w:rPr>
          <w:rFonts w:cs="Arial"/>
          <w:sz w:val="22"/>
          <w:szCs w:val="22"/>
        </w:rPr>
        <w:t xml:space="preserve">ákladní povinnosti při hospodaření </w:t>
      </w:r>
      <w:r w:rsidR="00A61F35">
        <w:rPr>
          <w:rFonts w:cs="Arial"/>
          <w:sz w:val="22"/>
          <w:szCs w:val="22"/>
        </w:rPr>
        <w:t>s </w:t>
      </w:r>
      <w:r w:rsidR="00B971B7">
        <w:rPr>
          <w:rFonts w:cs="Arial"/>
          <w:sz w:val="22"/>
          <w:szCs w:val="22"/>
        </w:rPr>
        <w:t>majetkem státu</w:t>
      </w:r>
      <w:r>
        <w:rPr>
          <w:rFonts w:cs="Arial"/>
          <w:sz w:val="22"/>
          <w:szCs w:val="22"/>
        </w:rPr>
        <w:t xml:space="preserve"> upravuje </w:t>
      </w:r>
      <w:r w:rsidR="00B971B7">
        <w:rPr>
          <w:rFonts w:cs="Arial"/>
          <w:sz w:val="22"/>
          <w:szCs w:val="22"/>
        </w:rPr>
        <w:t>§ 14 zákona č. 219/2000</w:t>
      </w:r>
      <w:r w:rsidR="00D61FB3">
        <w:rPr>
          <w:rFonts w:cs="Arial"/>
          <w:sz w:val="22"/>
          <w:szCs w:val="22"/>
        </w:rPr>
        <w:t> </w:t>
      </w:r>
      <w:r w:rsidR="00B971B7">
        <w:rPr>
          <w:rFonts w:cs="Arial"/>
          <w:sz w:val="22"/>
          <w:szCs w:val="22"/>
        </w:rPr>
        <w:t>Sb.</w:t>
      </w:r>
      <w:r w:rsidR="00B971B7">
        <w:rPr>
          <w:rStyle w:val="Znakapoznpodarou"/>
          <w:rFonts w:cs="Arial"/>
          <w:sz w:val="22"/>
          <w:szCs w:val="22"/>
        </w:rPr>
        <w:footnoteReference w:id="11"/>
      </w:r>
      <w:r w:rsidR="00B971B7">
        <w:rPr>
          <w:rFonts w:cs="Arial"/>
          <w:sz w:val="22"/>
          <w:szCs w:val="22"/>
        </w:rPr>
        <w:t>. ŘSD tak mj.:</w:t>
      </w:r>
    </w:p>
    <w:p w:rsidR="00B971B7" w:rsidRDefault="00B971B7" w:rsidP="00D61FB3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  <w:t xml:space="preserve">musí využívat majetek účelně a hospodárně </w:t>
      </w:r>
      <w:r w:rsidR="00A61F35">
        <w:rPr>
          <w:rFonts w:cs="Arial"/>
          <w:sz w:val="22"/>
          <w:szCs w:val="22"/>
        </w:rPr>
        <w:t>k </w:t>
      </w:r>
      <w:r>
        <w:rPr>
          <w:rFonts w:cs="Arial"/>
          <w:sz w:val="22"/>
          <w:szCs w:val="22"/>
        </w:rPr>
        <w:t xml:space="preserve">plnění funkcí státu a </w:t>
      </w:r>
      <w:r w:rsidR="00A61F35">
        <w:rPr>
          <w:rFonts w:cs="Arial"/>
          <w:sz w:val="22"/>
          <w:szCs w:val="22"/>
        </w:rPr>
        <w:t>k </w:t>
      </w:r>
      <w:r>
        <w:rPr>
          <w:rFonts w:cs="Arial"/>
          <w:sz w:val="22"/>
          <w:szCs w:val="22"/>
        </w:rPr>
        <w:t>výkonu stanovených činností,</w:t>
      </w:r>
    </w:p>
    <w:p w:rsidR="00B971B7" w:rsidRDefault="00B971B7" w:rsidP="00D61FB3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C13A97">
        <w:rPr>
          <w:rFonts w:cs="Arial"/>
          <w:sz w:val="22"/>
          <w:szCs w:val="22"/>
        </w:rPr>
        <w:t>musí</w:t>
      </w:r>
      <w:r>
        <w:rPr>
          <w:rFonts w:cs="Arial"/>
          <w:sz w:val="22"/>
          <w:szCs w:val="22"/>
        </w:rPr>
        <w:t xml:space="preserve"> si počínat tak, aby svým jednáním maj</w:t>
      </w:r>
      <w:r w:rsidR="00C13A97">
        <w:rPr>
          <w:rFonts w:cs="Arial"/>
          <w:sz w:val="22"/>
          <w:szCs w:val="22"/>
        </w:rPr>
        <w:t>etek nepoškozovalo a neodůvodněně nesnižovalo</w:t>
      </w:r>
      <w:r>
        <w:rPr>
          <w:rFonts w:cs="Arial"/>
          <w:sz w:val="22"/>
          <w:szCs w:val="22"/>
        </w:rPr>
        <w:t xml:space="preserve"> jeho rozsah a hodnotu anebo výnos </w:t>
      </w:r>
      <w:r w:rsidR="00A61F35">
        <w:rPr>
          <w:rFonts w:cs="Arial"/>
          <w:sz w:val="22"/>
          <w:szCs w:val="22"/>
        </w:rPr>
        <w:t>z </w:t>
      </w:r>
      <w:r>
        <w:rPr>
          <w:rFonts w:cs="Arial"/>
          <w:sz w:val="22"/>
          <w:szCs w:val="22"/>
        </w:rPr>
        <w:t>tohoto majetku,</w:t>
      </w:r>
    </w:p>
    <w:p w:rsidR="00684ECC" w:rsidRDefault="00B971B7" w:rsidP="00D61FB3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684ECC">
        <w:rPr>
          <w:rFonts w:cs="Arial"/>
          <w:sz w:val="22"/>
          <w:szCs w:val="22"/>
        </w:rPr>
        <w:t xml:space="preserve">vede majetek </w:t>
      </w:r>
      <w:r w:rsidR="00A61F35">
        <w:rPr>
          <w:rFonts w:cs="Arial"/>
          <w:sz w:val="22"/>
          <w:szCs w:val="22"/>
        </w:rPr>
        <w:t>v </w:t>
      </w:r>
      <w:r w:rsidR="00684ECC">
        <w:rPr>
          <w:rFonts w:cs="Arial"/>
          <w:sz w:val="22"/>
          <w:szCs w:val="22"/>
        </w:rPr>
        <w:t>účetnictví a provádí jeho inventarizace,</w:t>
      </w:r>
    </w:p>
    <w:p w:rsidR="00684ECC" w:rsidRDefault="00684ECC" w:rsidP="00D61FB3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  <w:t>sleduje, zda dlužníci plní své závazky</w:t>
      </w:r>
      <w:r w:rsidR="00E25480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 požaduje</w:t>
      </w:r>
      <w:r w:rsidR="002713F4">
        <w:rPr>
          <w:rFonts w:cs="Arial"/>
          <w:sz w:val="22"/>
          <w:szCs w:val="22"/>
        </w:rPr>
        <w:t xml:space="preserve"> od dlužník</w:t>
      </w:r>
      <w:r w:rsidR="00E25480">
        <w:rPr>
          <w:rFonts w:cs="Arial"/>
          <w:sz w:val="22"/>
          <w:szCs w:val="22"/>
        </w:rPr>
        <w:t>ů</w:t>
      </w:r>
      <w:r w:rsidR="002713F4">
        <w:rPr>
          <w:rFonts w:cs="Arial"/>
          <w:sz w:val="22"/>
          <w:szCs w:val="22"/>
        </w:rPr>
        <w:t xml:space="preserve"> úroky </w:t>
      </w:r>
      <w:r w:rsidR="00A61F35">
        <w:rPr>
          <w:rFonts w:cs="Arial"/>
          <w:sz w:val="22"/>
          <w:szCs w:val="22"/>
        </w:rPr>
        <w:t>z </w:t>
      </w:r>
      <w:r w:rsidR="002713F4">
        <w:rPr>
          <w:rFonts w:cs="Arial"/>
          <w:sz w:val="22"/>
          <w:szCs w:val="22"/>
        </w:rPr>
        <w:t>prodlení a</w:t>
      </w:r>
      <w:r w:rsidR="007945D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smluvní sankce.</w:t>
      </w:r>
    </w:p>
    <w:p w:rsidR="00684ECC" w:rsidRDefault="00684ECC" w:rsidP="000F38F0">
      <w:pPr>
        <w:jc w:val="both"/>
        <w:rPr>
          <w:rFonts w:cs="Arial"/>
          <w:sz w:val="22"/>
          <w:szCs w:val="22"/>
        </w:rPr>
      </w:pPr>
    </w:p>
    <w:p w:rsidR="00B971B7" w:rsidRDefault="00684ECC" w:rsidP="00684EC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ŘSD</w:t>
      </w:r>
      <w:r w:rsidR="0037671A">
        <w:rPr>
          <w:rFonts w:cs="Arial"/>
          <w:sz w:val="22"/>
          <w:szCs w:val="22"/>
        </w:rPr>
        <w:t xml:space="preserve"> však</w:t>
      </w:r>
      <w:r w:rsidR="00B971B7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některých případech</w:t>
      </w:r>
      <w:r w:rsidR="0037671A">
        <w:rPr>
          <w:rFonts w:cs="Arial"/>
          <w:sz w:val="22"/>
          <w:szCs w:val="22"/>
        </w:rPr>
        <w:t xml:space="preserve"> povinnosti vyplývající ze zákona č. 219/2000 Sb. neplnilo</w:t>
      </w:r>
      <w:r w:rsidR="00F42BC1">
        <w:rPr>
          <w:rFonts w:cs="Arial"/>
          <w:sz w:val="22"/>
          <w:szCs w:val="22"/>
        </w:rPr>
        <w:t xml:space="preserve">, jak ukazují příklady uvedené </w:t>
      </w:r>
      <w:r w:rsidR="00A61F35">
        <w:rPr>
          <w:rFonts w:cs="Arial"/>
          <w:sz w:val="22"/>
          <w:szCs w:val="22"/>
        </w:rPr>
        <w:t>v </w:t>
      </w:r>
      <w:r w:rsidR="00F42BC1">
        <w:rPr>
          <w:rFonts w:cs="Arial"/>
          <w:sz w:val="22"/>
          <w:szCs w:val="22"/>
        </w:rPr>
        <w:t>následujících bodech této části kontrolního závěru.</w:t>
      </w:r>
    </w:p>
    <w:p w:rsidR="00684ECC" w:rsidRDefault="00684ECC" w:rsidP="00684ECC">
      <w:pPr>
        <w:jc w:val="both"/>
        <w:rPr>
          <w:rFonts w:cs="Arial"/>
          <w:sz w:val="22"/>
          <w:szCs w:val="22"/>
        </w:rPr>
      </w:pPr>
    </w:p>
    <w:p w:rsidR="0037671A" w:rsidRDefault="00684ECC" w:rsidP="00560B0E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4.1</w:t>
      </w:r>
      <w:r w:rsidR="0037671A">
        <w:rPr>
          <w:rFonts w:cs="Arial"/>
          <w:b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A54D0F">
        <w:rPr>
          <w:rFonts w:cs="Arial"/>
          <w:sz w:val="22"/>
          <w:szCs w:val="22"/>
        </w:rPr>
        <w:t>oblasti</w:t>
      </w:r>
      <w:r w:rsidR="007945D9">
        <w:rPr>
          <w:rFonts w:cs="Arial"/>
          <w:sz w:val="22"/>
          <w:szCs w:val="22"/>
        </w:rPr>
        <w:t xml:space="preserve"> </w:t>
      </w:r>
      <w:r w:rsidR="00A54D0F">
        <w:rPr>
          <w:rFonts w:cs="Arial"/>
          <w:sz w:val="22"/>
          <w:szCs w:val="22"/>
        </w:rPr>
        <w:t xml:space="preserve">hospodaření </w:t>
      </w:r>
      <w:r w:rsidR="00A61F35">
        <w:rPr>
          <w:rFonts w:cs="Arial"/>
          <w:sz w:val="22"/>
          <w:szCs w:val="22"/>
        </w:rPr>
        <w:t>s </w:t>
      </w:r>
      <w:r w:rsidR="00A54D0F">
        <w:rPr>
          <w:rFonts w:cs="Arial"/>
          <w:sz w:val="22"/>
          <w:szCs w:val="22"/>
        </w:rPr>
        <w:t>osobními vozidly bylo zjištěno:</w:t>
      </w:r>
    </w:p>
    <w:p w:rsidR="00A54D0F" w:rsidRDefault="00A54D0F" w:rsidP="00560B0E">
      <w:pPr>
        <w:jc w:val="both"/>
        <w:rPr>
          <w:rFonts w:cs="Arial"/>
          <w:sz w:val="22"/>
          <w:szCs w:val="22"/>
        </w:rPr>
      </w:pPr>
    </w:p>
    <w:p w:rsidR="00A54D0F" w:rsidRDefault="00A54D0F" w:rsidP="00A54D0F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a) </w:t>
      </w:r>
      <w:r>
        <w:rPr>
          <w:rFonts w:cs="Arial"/>
          <w:sz w:val="22"/>
          <w:szCs w:val="22"/>
        </w:rPr>
        <w:t>ŘSD umožňovalo zaměstnancům využívat služební vozidla na základě smluv i</w:t>
      </w:r>
      <w:r w:rsidR="007945D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pro soukromé účely. Na GŘ se to týkalo </w:t>
      </w:r>
      <w:r w:rsidR="00A61F35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 xml:space="preserve">průměru 22 vozidel </w:t>
      </w:r>
      <w:r w:rsidR="000E7705">
        <w:rPr>
          <w:rFonts w:cs="Arial"/>
          <w:sz w:val="22"/>
          <w:szCs w:val="22"/>
        </w:rPr>
        <w:t xml:space="preserve">ročně </w:t>
      </w:r>
      <w:r>
        <w:rPr>
          <w:rFonts w:cs="Arial"/>
          <w:sz w:val="22"/>
          <w:szCs w:val="22"/>
        </w:rPr>
        <w:t>a u kontrolovaných závodů a správ</w:t>
      </w:r>
      <w:r w:rsidR="000E7705">
        <w:rPr>
          <w:rFonts w:cs="Arial"/>
          <w:sz w:val="22"/>
          <w:szCs w:val="22"/>
        </w:rPr>
        <w:t xml:space="preserve"> celkem</w:t>
      </w:r>
      <w:r>
        <w:rPr>
          <w:rFonts w:cs="Arial"/>
          <w:sz w:val="22"/>
          <w:szCs w:val="22"/>
        </w:rPr>
        <w:t xml:space="preserve"> 31 vozide</w:t>
      </w:r>
      <w:r w:rsidR="000E7705">
        <w:rPr>
          <w:rFonts w:cs="Arial"/>
          <w:sz w:val="22"/>
          <w:szCs w:val="22"/>
        </w:rPr>
        <w:t>l ročně</w:t>
      </w:r>
      <w:r>
        <w:rPr>
          <w:rFonts w:cs="Arial"/>
          <w:sz w:val="22"/>
          <w:szCs w:val="22"/>
        </w:rPr>
        <w:t xml:space="preserve">. </w:t>
      </w:r>
      <w:r w:rsidRPr="00DD3124">
        <w:rPr>
          <w:rFonts w:cs="Arial"/>
          <w:b/>
          <w:sz w:val="22"/>
          <w:szCs w:val="22"/>
        </w:rPr>
        <w:t>Tato osobní vozidla ŘSD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nevyužívalo</w:t>
      </w:r>
      <w:r w:rsidR="005D5CF8">
        <w:rPr>
          <w:rFonts w:cs="Arial"/>
          <w:b/>
          <w:sz w:val="22"/>
          <w:szCs w:val="22"/>
        </w:rPr>
        <w:t xml:space="preserve"> </w:t>
      </w:r>
      <w:r w:rsidR="00A61F35">
        <w:rPr>
          <w:rFonts w:cs="Arial"/>
          <w:b/>
          <w:sz w:val="22"/>
          <w:szCs w:val="22"/>
        </w:rPr>
        <w:t>v </w:t>
      </w:r>
      <w:r w:rsidR="008862CA">
        <w:rPr>
          <w:rFonts w:cs="Arial"/>
          <w:b/>
          <w:sz w:val="22"/>
          <w:szCs w:val="22"/>
        </w:rPr>
        <w:t xml:space="preserve">souladu </w:t>
      </w:r>
      <w:r w:rsidR="00A61F35">
        <w:rPr>
          <w:rFonts w:cs="Arial"/>
          <w:b/>
          <w:sz w:val="22"/>
          <w:szCs w:val="22"/>
        </w:rPr>
        <w:t>s </w:t>
      </w:r>
      <w:r w:rsidR="005D5CF8">
        <w:rPr>
          <w:rFonts w:cs="Arial"/>
          <w:b/>
          <w:sz w:val="22"/>
          <w:szCs w:val="22"/>
        </w:rPr>
        <w:t>§ 14 zákona č. 219/2000 Sb.</w:t>
      </w:r>
      <w:r>
        <w:rPr>
          <w:rFonts w:cs="Arial"/>
          <w:b/>
          <w:sz w:val="22"/>
          <w:szCs w:val="22"/>
        </w:rPr>
        <w:t xml:space="preserve"> </w:t>
      </w:r>
      <w:r w:rsidRPr="002427B3">
        <w:rPr>
          <w:rFonts w:cs="Arial"/>
          <w:b/>
          <w:sz w:val="22"/>
          <w:szCs w:val="22"/>
        </w:rPr>
        <w:t>hospodárně</w:t>
      </w:r>
      <w:r w:rsidR="00DD3124">
        <w:rPr>
          <w:rFonts w:cs="Arial"/>
          <w:b/>
          <w:sz w:val="22"/>
          <w:szCs w:val="22"/>
        </w:rPr>
        <w:t xml:space="preserve"> </w:t>
      </w:r>
      <w:r w:rsidR="00A61F35">
        <w:rPr>
          <w:rFonts w:cs="Arial"/>
          <w:b/>
          <w:sz w:val="22"/>
          <w:szCs w:val="22"/>
        </w:rPr>
        <w:t>k </w:t>
      </w:r>
      <w:r w:rsidR="00DD3124">
        <w:rPr>
          <w:rFonts w:cs="Arial"/>
          <w:b/>
          <w:sz w:val="22"/>
          <w:szCs w:val="22"/>
        </w:rPr>
        <w:t xml:space="preserve">plnění funkcí </w:t>
      </w:r>
      <w:r w:rsidRPr="002427B3">
        <w:rPr>
          <w:rFonts w:cs="Arial"/>
          <w:b/>
          <w:sz w:val="22"/>
          <w:szCs w:val="22"/>
        </w:rPr>
        <w:t>státu a</w:t>
      </w:r>
      <w:r>
        <w:rPr>
          <w:rFonts w:cs="Arial"/>
          <w:b/>
          <w:sz w:val="22"/>
          <w:szCs w:val="22"/>
        </w:rPr>
        <w:t xml:space="preserve"> </w:t>
      </w:r>
      <w:r w:rsidR="00A61F35">
        <w:rPr>
          <w:rFonts w:cs="Arial"/>
          <w:b/>
          <w:sz w:val="22"/>
          <w:szCs w:val="22"/>
        </w:rPr>
        <w:t>v </w:t>
      </w:r>
      <w:r>
        <w:rPr>
          <w:rFonts w:cs="Arial"/>
          <w:b/>
          <w:sz w:val="22"/>
          <w:szCs w:val="22"/>
        </w:rPr>
        <w:t xml:space="preserve">případě soukromých jízd je nevyužívalo </w:t>
      </w:r>
      <w:r w:rsidR="00A61F35">
        <w:rPr>
          <w:rFonts w:cs="Arial"/>
          <w:b/>
          <w:sz w:val="22"/>
          <w:szCs w:val="22"/>
        </w:rPr>
        <w:t>k </w:t>
      </w:r>
      <w:r w:rsidRPr="002427B3">
        <w:rPr>
          <w:rFonts w:cs="Arial"/>
          <w:b/>
          <w:sz w:val="22"/>
          <w:szCs w:val="22"/>
        </w:rPr>
        <w:t>výkonu stanovených činností</w:t>
      </w:r>
      <w:r w:rsidRPr="00A54D0F">
        <w:rPr>
          <w:rFonts w:cs="Arial"/>
          <w:b/>
          <w:sz w:val="22"/>
          <w:szCs w:val="22"/>
        </w:rPr>
        <w:t>.</w:t>
      </w:r>
      <w:r w:rsidR="005D5CF8">
        <w:rPr>
          <w:rFonts w:cs="Arial"/>
          <w:b/>
          <w:sz w:val="22"/>
          <w:szCs w:val="22"/>
        </w:rPr>
        <w:t xml:space="preserve"> Nebyly ani naplněny podmínky stanovené </w:t>
      </w:r>
      <w:r w:rsidR="00A61F35">
        <w:rPr>
          <w:rFonts w:cs="Arial"/>
          <w:b/>
          <w:sz w:val="22"/>
          <w:szCs w:val="22"/>
        </w:rPr>
        <w:t>v </w:t>
      </w:r>
      <w:r w:rsidR="005D5CF8">
        <w:rPr>
          <w:rFonts w:cs="Arial"/>
          <w:b/>
          <w:sz w:val="22"/>
          <w:szCs w:val="22"/>
        </w:rPr>
        <w:t>§ 27 zákona č.</w:t>
      </w:r>
      <w:r w:rsidR="007945D9">
        <w:rPr>
          <w:rFonts w:cs="Arial"/>
          <w:b/>
          <w:sz w:val="22"/>
          <w:szCs w:val="22"/>
        </w:rPr>
        <w:t xml:space="preserve"> </w:t>
      </w:r>
      <w:r w:rsidR="005D5CF8">
        <w:rPr>
          <w:rFonts w:cs="Arial"/>
          <w:b/>
          <w:sz w:val="22"/>
          <w:szCs w:val="22"/>
        </w:rPr>
        <w:t xml:space="preserve">219/2000 Sb. pro jiné způsoby nakládání </w:t>
      </w:r>
      <w:r w:rsidR="00A61F35">
        <w:rPr>
          <w:rFonts w:cs="Arial"/>
          <w:b/>
          <w:sz w:val="22"/>
          <w:szCs w:val="22"/>
        </w:rPr>
        <w:t>s </w:t>
      </w:r>
      <w:r w:rsidR="005D5CF8">
        <w:rPr>
          <w:rFonts w:cs="Arial"/>
          <w:b/>
          <w:sz w:val="22"/>
          <w:szCs w:val="22"/>
        </w:rPr>
        <w:t>majetkem státu, především</w:t>
      </w:r>
      <w:r w:rsidR="008F5B47">
        <w:rPr>
          <w:rFonts w:cs="Arial"/>
          <w:b/>
          <w:sz w:val="22"/>
          <w:szCs w:val="22"/>
        </w:rPr>
        <w:t xml:space="preserve"> tím</w:t>
      </w:r>
      <w:r w:rsidR="005D5CF8">
        <w:rPr>
          <w:rFonts w:cs="Arial"/>
          <w:b/>
          <w:sz w:val="22"/>
          <w:szCs w:val="22"/>
        </w:rPr>
        <w:t xml:space="preserve"> nebylo dosaženo účelnějšího a hospodárnějšího využití vozidel a za jejich užívání nebylo sjednáno odpovídající nájemné. </w:t>
      </w:r>
      <w:r w:rsidR="00DD3124">
        <w:rPr>
          <w:rFonts w:cs="Arial"/>
          <w:sz w:val="22"/>
          <w:szCs w:val="22"/>
        </w:rPr>
        <w:t>Na tento nedostatek již NKÚ upozornil při minulých kontrolách zaměřených na hospodaření ŘSD</w:t>
      </w:r>
      <w:r w:rsidR="00E25480">
        <w:rPr>
          <w:rFonts w:cs="Arial"/>
          <w:sz w:val="22"/>
          <w:szCs w:val="22"/>
        </w:rPr>
        <w:t>.</w:t>
      </w:r>
      <w:r w:rsidR="00DD3124">
        <w:rPr>
          <w:rStyle w:val="Znakapoznpodarou"/>
          <w:rFonts w:cs="Arial"/>
          <w:sz w:val="22"/>
          <w:szCs w:val="22"/>
        </w:rPr>
        <w:footnoteReference w:id="12"/>
      </w:r>
    </w:p>
    <w:p w:rsidR="00A54D0F" w:rsidRDefault="00A54D0F" w:rsidP="00A54D0F">
      <w:pPr>
        <w:jc w:val="both"/>
        <w:rPr>
          <w:rFonts w:cs="Arial"/>
          <w:sz w:val="22"/>
          <w:szCs w:val="22"/>
        </w:rPr>
      </w:pPr>
    </w:p>
    <w:p w:rsidR="00A54D0F" w:rsidRDefault="00DD3124" w:rsidP="00A54D0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A54D0F">
        <w:rPr>
          <w:rFonts w:cs="Arial"/>
          <w:sz w:val="22"/>
          <w:szCs w:val="22"/>
        </w:rPr>
        <w:t>odíl vykázaných ujetých kilometrů pro soukromé účely na celkovém počtu ujetých kilometrů</w:t>
      </w:r>
      <w:r>
        <w:rPr>
          <w:rFonts w:cs="Arial"/>
          <w:sz w:val="22"/>
          <w:szCs w:val="22"/>
        </w:rPr>
        <w:t xml:space="preserve"> byl u GŘ</w:t>
      </w:r>
      <w:r w:rsidR="00A54D0F">
        <w:rPr>
          <w:rFonts w:cs="Arial"/>
          <w:sz w:val="22"/>
          <w:szCs w:val="22"/>
        </w:rPr>
        <w:t xml:space="preserve"> 36 % a u závodů a správ 25 %.</w:t>
      </w:r>
      <w:r w:rsidR="008F5B47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8F5B47">
        <w:rPr>
          <w:rFonts w:cs="Arial"/>
          <w:sz w:val="22"/>
          <w:szCs w:val="22"/>
        </w:rPr>
        <w:t>jednotlivých případech však byl tento podíl mnohem vyšší. Například u</w:t>
      </w:r>
      <w:r w:rsidR="00A54D0F">
        <w:rPr>
          <w:rFonts w:cs="Arial"/>
          <w:sz w:val="22"/>
          <w:szCs w:val="22"/>
        </w:rPr>
        <w:t xml:space="preserve"> dvou vozidel Závo</w:t>
      </w:r>
      <w:r>
        <w:rPr>
          <w:rFonts w:cs="Arial"/>
          <w:sz w:val="22"/>
          <w:szCs w:val="22"/>
        </w:rPr>
        <w:t>du Brno</w:t>
      </w:r>
      <w:r w:rsidR="008F5B47">
        <w:rPr>
          <w:rFonts w:cs="Arial"/>
          <w:sz w:val="22"/>
          <w:szCs w:val="22"/>
        </w:rPr>
        <w:t xml:space="preserve"> byl tento podíl </w:t>
      </w:r>
      <w:r>
        <w:rPr>
          <w:rFonts w:cs="Arial"/>
          <w:sz w:val="22"/>
          <w:szCs w:val="22"/>
        </w:rPr>
        <w:t>85</w:t>
      </w:r>
      <w:r w:rsidR="00E25480">
        <w:rPr>
          <w:rFonts w:cs="Arial"/>
          <w:sz w:val="22"/>
          <w:szCs w:val="22"/>
        </w:rPr>
        <w:t xml:space="preserve"> % </w:t>
      </w:r>
      <w:r w:rsidR="00A54D0F">
        <w:rPr>
          <w:rFonts w:cs="Arial"/>
          <w:sz w:val="22"/>
          <w:szCs w:val="22"/>
        </w:rPr>
        <w:t>a 73</w:t>
      </w:r>
      <w:r w:rsidR="00E25480">
        <w:rPr>
          <w:rFonts w:cs="Arial"/>
          <w:sz w:val="22"/>
          <w:szCs w:val="22"/>
        </w:rPr>
        <w:t> </w:t>
      </w:r>
      <w:r w:rsidR="00A54D0F">
        <w:rPr>
          <w:rFonts w:cs="Arial"/>
          <w:sz w:val="22"/>
          <w:szCs w:val="22"/>
        </w:rPr>
        <w:t xml:space="preserve">%. Správnost </w:t>
      </w:r>
      <w:r>
        <w:rPr>
          <w:rFonts w:cs="Arial"/>
          <w:sz w:val="22"/>
          <w:szCs w:val="22"/>
        </w:rPr>
        <w:t xml:space="preserve">zaměstnanci ŘSD </w:t>
      </w:r>
      <w:r w:rsidR="00A54D0F">
        <w:rPr>
          <w:rFonts w:cs="Arial"/>
          <w:sz w:val="22"/>
          <w:szCs w:val="22"/>
        </w:rPr>
        <w:t>vykazovaných u</w:t>
      </w:r>
      <w:r>
        <w:rPr>
          <w:rFonts w:cs="Arial"/>
          <w:sz w:val="22"/>
          <w:szCs w:val="22"/>
        </w:rPr>
        <w:t>jetých kilometrů pro služební a</w:t>
      </w:r>
      <w:r w:rsidR="007945D9">
        <w:rPr>
          <w:rFonts w:cs="Arial"/>
          <w:sz w:val="22"/>
          <w:szCs w:val="22"/>
        </w:rPr>
        <w:t xml:space="preserve"> </w:t>
      </w:r>
      <w:r w:rsidR="00A54D0F">
        <w:rPr>
          <w:rFonts w:cs="Arial"/>
          <w:sz w:val="22"/>
          <w:szCs w:val="22"/>
        </w:rPr>
        <w:t xml:space="preserve">soukromé účely </w:t>
      </w:r>
      <w:r w:rsidR="00A61F35">
        <w:rPr>
          <w:rFonts w:cs="Arial"/>
          <w:sz w:val="22"/>
          <w:szCs w:val="22"/>
        </w:rPr>
        <w:t>v </w:t>
      </w:r>
      <w:r w:rsidR="00A54D0F">
        <w:rPr>
          <w:rFonts w:cs="Arial"/>
          <w:sz w:val="22"/>
          <w:szCs w:val="22"/>
        </w:rPr>
        <w:t>knihách jízd nebylo možn</w:t>
      </w:r>
      <w:r w:rsidR="00E25480">
        <w:rPr>
          <w:rFonts w:cs="Arial"/>
          <w:sz w:val="22"/>
          <w:szCs w:val="22"/>
        </w:rPr>
        <w:t>é</w:t>
      </w:r>
      <w:r w:rsidR="00A54D0F">
        <w:rPr>
          <w:rFonts w:cs="Arial"/>
          <w:sz w:val="22"/>
          <w:szCs w:val="22"/>
        </w:rPr>
        <w:t xml:space="preserve"> objektivně ověřit.</w:t>
      </w:r>
      <w:r>
        <w:rPr>
          <w:rFonts w:cs="Arial"/>
          <w:sz w:val="22"/>
          <w:szCs w:val="22"/>
        </w:rPr>
        <w:t xml:space="preserve"> </w:t>
      </w:r>
      <w:r w:rsidR="00A54D0F" w:rsidRPr="00F327E9">
        <w:rPr>
          <w:rFonts w:cs="Arial"/>
          <w:b/>
          <w:sz w:val="22"/>
          <w:szCs w:val="22"/>
        </w:rPr>
        <w:t>Příslušní zaměstnanci hradili jen náklady</w:t>
      </w:r>
      <w:r>
        <w:rPr>
          <w:rFonts w:cs="Arial"/>
          <w:b/>
          <w:sz w:val="22"/>
          <w:szCs w:val="22"/>
        </w:rPr>
        <w:t xml:space="preserve"> na pohonné hmoty</w:t>
      </w:r>
      <w:r w:rsidR="00A54D0F" w:rsidRPr="00F327E9">
        <w:rPr>
          <w:rFonts w:cs="Arial"/>
          <w:b/>
          <w:sz w:val="22"/>
          <w:szCs w:val="22"/>
        </w:rPr>
        <w:t xml:space="preserve"> za vykázané ujeté kilometry pro soukromé účely</w:t>
      </w:r>
      <w:r w:rsidR="00E25480">
        <w:rPr>
          <w:rFonts w:cs="Arial"/>
          <w:b/>
          <w:sz w:val="22"/>
          <w:szCs w:val="22"/>
        </w:rPr>
        <w:t>.</w:t>
      </w:r>
      <w:r w:rsidR="00A54D0F">
        <w:rPr>
          <w:rStyle w:val="Znakapoznpodarou"/>
          <w:rFonts w:cs="Arial"/>
          <w:b/>
          <w:sz w:val="22"/>
          <w:szCs w:val="22"/>
        </w:rPr>
        <w:footnoteReference w:id="13"/>
      </w:r>
      <w:r w:rsidR="00A54D0F" w:rsidRPr="00F327E9">
        <w:rPr>
          <w:rFonts w:cs="Arial"/>
          <w:b/>
          <w:sz w:val="22"/>
          <w:szCs w:val="22"/>
        </w:rPr>
        <w:t xml:space="preserve"> Ostatní náklady</w:t>
      </w:r>
      <w:r w:rsidR="00A54D0F">
        <w:rPr>
          <w:rFonts w:cs="Arial"/>
          <w:b/>
          <w:sz w:val="22"/>
          <w:szCs w:val="22"/>
        </w:rPr>
        <w:t>, především náklady na opravy a údržbu,</w:t>
      </w:r>
      <w:r w:rsidR="00A54D0F" w:rsidRPr="00F327E9">
        <w:rPr>
          <w:rFonts w:cs="Arial"/>
          <w:b/>
          <w:sz w:val="22"/>
          <w:szCs w:val="22"/>
        </w:rPr>
        <w:t xml:space="preserve"> hradilo ŘSD</w:t>
      </w:r>
      <w:r w:rsidR="00A54D0F" w:rsidRPr="000F38F0">
        <w:rPr>
          <w:rFonts w:cs="Arial"/>
          <w:b/>
          <w:sz w:val="22"/>
          <w:szCs w:val="22"/>
        </w:rPr>
        <w:t>.</w:t>
      </w:r>
      <w:r w:rsidR="00A54D0F">
        <w:rPr>
          <w:rFonts w:cs="Arial"/>
          <w:sz w:val="22"/>
          <w:szCs w:val="22"/>
        </w:rPr>
        <w:t xml:space="preserve"> </w:t>
      </w:r>
      <w:r w:rsidR="00E25480">
        <w:rPr>
          <w:rFonts w:cs="Arial"/>
          <w:sz w:val="22"/>
          <w:szCs w:val="22"/>
        </w:rPr>
        <w:t>N</w:t>
      </w:r>
      <w:r w:rsidR="00A54D0F">
        <w:rPr>
          <w:rFonts w:cs="Arial"/>
          <w:sz w:val="22"/>
          <w:szCs w:val="22"/>
        </w:rPr>
        <w:t>apříklad:</w:t>
      </w:r>
    </w:p>
    <w:p w:rsidR="00A54D0F" w:rsidRDefault="00E25480" w:rsidP="000F38F0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  <w:t>U</w:t>
      </w:r>
      <w:r w:rsidR="00A54D0F">
        <w:rPr>
          <w:rFonts w:cs="Arial"/>
          <w:sz w:val="22"/>
          <w:szCs w:val="22"/>
        </w:rPr>
        <w:t xml:space="preserve"> jednoho vozidla </w:t>
      </w:r>
      <w:proofErr w:type="spellStart"/>
      <w:r w:rsidR="00A54D0F">
        <w:rPr>
          <w:rFonts w:cs="Arial"/>
          <w:sz w:val="22"/>
          <w:szCs w:val="22"/>
        </w:rPr>
        <w:t>GŘ</w:t>
      </w:r>
      <w:proofErr w:type="spellEnd"/>
      <w:r w:rsidR="00A54D0F">
        <w:rPr>
          <w:rFonts w:cs="Arial"/>
          <w:sz w:val="22"/>
          <w:szCs w:val="22"/>
        </w:rPr>
        <w:t xml:space="preserve"> </w:t>
      </w:r>
      <w:r w:rsidR="00DD3124">
        <w:rPr>
          <w:rFonts w:cs="Arial"/>
          <w:sz w:val="22"/>
          <w:szCs w:val="22"/>
        </w:rPr>
        <w:t xml:space="preserve">využívaného </w:t>
      </w:r>
      <w:r w:rsidR="00A54D0F">
        <w:rPr>
          <w:rFonts w:cs="Arial"/>
          <w:sz w:val="22"/>
          <w:szCs w:val="22"/>
        </w:rPr>
        <w:t xml:space="preserve">pro soukromé účely </w:t>
      </w:r>
      <w:r w:rsidR="00A61F35">
        <w:rPr>
          <w:rFonts w:cs="Arial"/>
          <w:sz w:val="22"/>
          <w:szCs w:val="22"/>
        </w:rPr>
        <w:t>z </w:t>
      </w:r>
      <w:r w:rsidR="00A54D0F">
        <w:rPr>
          <w:rFonts w:cs="Arial"/>
          <w:sz w:val="22"/>
          <w:szCs w:val="22"/>
        </w:rPr>
        <w:t>56</w:t>
      </w:r>
      <w:r w:rsidR="007945D9">
        <w:rPr>
          <w:rFonts w:cs="Arial"/>
          <w:sz w:val="22"/>
          <w:szCs w:val="22"/>
        </w:rPr>
        <w:t xml:space="preserve"> </w:t>
      </w:r>
      <w:r w:rsidR="00A54D0F">
        <w:rPr>
          <w:rFonts w:cs="Arial"/>
          <w:sz w:val="22"/>
          <w:szCs w:val="22"/>
        </w:rPr>
        <w:t xml:space="preserve">% </w:t>
      </w:r>
      <w:r>
        <w:rPr>
          <w:rFonts w:cs="Arial"/>
          <w:sz w:val="22"/>
          <w:szCs w:val="22"/>
        </w:rPr>
        <w:t>činily</w:t>
      </w:r>
      <w:r w:rsidR="00A54D0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průměrné roční náklady na opravy a údržbu </w:t>
      </w:r>
      <w:r w:rsidR="00DD3124">
        <w:rPr>
          <w:rFonts w:cs="Arial"/>
          <w:sz w:val="22"/>
          <w:szCs w:val="22"/>
        </w:rPr>
        <w:t>139,2 tis. Kč, u</w:t>
      </w:r>
      <w:r w:rsidR="007945D9">
        <w:rPr>
          <w:rFonts w:cs="Arial"/>
          <w:sz w:val="22"/>
          <w:szCs w:val="22"/>
        </w:rPr>
        <w:t xml:space="preserve"> </w:t>
      </w:r>
      <w:r w:rsidR="00A54D0F">
        <w:rPr>
          <w:rFonts w:cs="Arial"/>
          <w:sz w:val="22"/>
          <w:szCs w:val="22"/>
        </w:rPr>
        <w:t xml:space="preserve">dalších dvou vozidel </w:t>
      </w:r>
      <w:proofErr w:type="spellStart"/>
      <w:r w:rsidR="00A54D0F">
        <w:rPr>
          <w:rFonts w:cs="Arial"/>
          <w:sz w:val="22"/>
          <w:szCs w:val="22"/>
        </w:rPr>
        <w:t>GŘ</w:t>
      </w:r>
      <w:proofErr w:type="spellEnd"/>
      <w:r w:rsidR="00A54D0F">
        <w:rPr>
          <w:rFonts w:cs="Arial"/>
          <w:sz w:val="22"/>
          <w:szCs w:val="22"/>
        </w:rPr>
        <w:t xml:space="preserve"> </w:t>
      </w:r>
      <w:r w:rsidR="00DD3124">
        <w:rPr>
          <w:rFonts w:cs="Arial"/>
          <w:sz w:val="22"/>
          <w:szCs w:val="22"/>
        </w:rPr>
        <w:t>využívaných</w:t>
      </w:r>
      <w:r w:rsidR="00A54D0F">
        <w:rPr>
          <w:rFonts w:cs="Arial"/>
          <w:sz w:val="22"/>
          <w:szCs w:val="22"/>
        </w:rPr>
        <w:t xml:space="preserve"> pro soukromé účely ze</w:t>
      </w:r>
      <w:r w:rsidR="007945D9">
        <w:rPr>
          <w:rFonts w:cs="Arial"/>
          <w:sz w:val="22"/>
          <w:szCs w:val="22"/>
        </w:rPr>
        <w:t xml:space="preserve"> </w:t>
      </w:r>
      <w:r w:rsidR="00A54D0F">
        <w:rPr>
          <w:rFonts w:cs="Arial"/>
          <w:sz w:val="22"/>
          <w:szCs w:val="22"/>
        </w:rPr>
        <w:t>42</w:t>
      </w:r>
      <w:r>
        <w:rPr>
          <w:rFonts w:cs="Arial"/>
          <w:sz w:val="22"/>
          <w:szCs w:val="22"/>
        </w:rPr>
        <w:t xml:space="preserve"> % </w:t>
      </w:r>
      <w:r w:rsidR="00A54D0F">
        <w:rPr>
          <w:rFonts w:cs="Arial"/>
          <w:sz w:val="22"/>
          <w:szCs w:val="22"/>
        </w:rPr>
        <w:t xml:space="preserve">a 37 % byly tyto náklady 35,9 tis. Kč a 170,0 tis. Kč. </w:t>
      </w:r>
    </w:p>
    <w:p w:rsidR="00A54D0F" w:rsidRDefault="00E25480" w:rsidP="000F38F0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A54D0F">
        <w:rPr>
          <w:rFonts w:cs="Arial"/>
          <w:sz w:val="22"/>
          <w:szCs w:val="22"/>
        </w:rPr>
        <w:t>U</w:t>
      </w:r>
      <w:r w:rsidR="007945D9">
        <w:rPr>
          <w:rFonts w:cs="Arial"/>
          <w:sz w:val="22"/>
          <w:szCs w:val="22"/>
        </w:rPr>
        <w:t xml:space="preserve"> </w:t>
      </w:r>
      <w:r w:rsidR="00A54D0F">
        <w:rPr>
          <w:rFonts w:cs="Arial"/>
          <w:sz w:val="22"/>
          <w:szCs w:val="22"/>
        </w:rPr>
        <w:t xml:space="preserve">Správy Pardubice byla pro soukromé účely využívána čtyři vozidla </w:t>
      </w:r>
      <w:r w:rsidR="00A61F35">
        <w:rPr>
          <w:rFonts w:cs="Arial"/>
          <w:sz w:val="22"/>
          <w:szCs w:val="22"/>
        </w:rPr>
        <w:t>v </w:t>
      </w:r>
      <w:r w:rsidR="00A54D0F">
        <w:rPr>
          <w:rFonts w:cs="Arial"/>
          <w:sz w:val="22"/>
          <w:szCs w:val="22"/>
        </w:rPr>
        <w:t xml:space="preserve">průměru </w:t>
      </w:r>
      <w:r w:rsidR="00A61F35">
        <w:rPr>
          <w:rFonts w:cs="Arial"/>
          <w:sz w:val="22"/>
          <w:szCs w:val="22"/>
        </w:rPr>
        <w:t>z </w:t>
      </w:r>
      <w:r w:rsidR="00A54D0F">
        <w:rPr>
          <w:rFonts w:cs="Arial"/>
          <w:sz w:val="22"/>
          <w:szCs w:val="22"/>
        </w:rPr>
        <w:t>30</w:t>
      </w:r>
      <w:r w:rsidR="001F6A6B">
        <w:rPr>
          <w:rFonts w:cs="Arial"/>
          <w:sz w:val="22"/>
          <w:szCs w:val="22"/>
        </w:rPr>
        <w:t> </w:t>
      </w:r>
      <w:r w:rsidR="00A54D0F">
        <w:rPr>
          <w:rFonts w:cs="Arial"/>
          <w:sz w:val="22"/>
          <w:szCs w:val="22"/>
        </w:rPr>
        <w:t>% a</w:t>
      </w:r>
      <w:r w:rsidR="00D61FB3">
        <w:rPr>
          <w:rFonts w:cs="Arial"/>
          <w:sz w:val="22"/>
          <w:szCs w:val="22"/>
        </w:rPr>
        <w:t> </w:t>
      </w:r>
      <w:r w:rsidR="00A54D0F">
        <w:rPr>
          <w:rFonts w:cs="Arial"/>
          <w:sz w:val="22"/>
          <w:szCs w:val="22"/>
        </w:rPr>
        <w:t>průměrné roční náklady na opravy a údržbu jednoho vozidla byly 41,0 tis. Kč.</w:t>
      </w:r>
    </w:p>
    <w:p w:rsidR="00321169" w:rsidRDefault="00321169" w:rsidP="00560B0E">
      <w:pPr>
        <w:jc w:val="both"/>
        <w:rPr>
          <w:rFonts w:cs="Arial"/>
          <w:b/>
          <w:sz w:val="22"/>
          <w:szCs w:val="22"/>
        </w:rPr>
      </w:pPr>
    </w:p>
    <w:p w:rsidR="00A77AB4" w:rsidRDefault="00321169" w:rsidP="00560B0E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</w:t>
      </w:r>
      <w:r w:rsidR="00B222F0">
        <w:rPr>
          <w:rFonts w:cs="Arial"/>
          <w:b/>
          <w:sz w:val="22"/>
          <w:szCs w:val="22"/>
        </w:rPr>
        <w:t>)</w:t>
      </w:r>
      <w:r w:rsidR="00684ECC">
        <w:rPr>
          <w:rFonts w:cs="Arial"/>
          <w:sz w:val="22"/>
          <w:szCs w:val="22"/>
        </w:rPr>
        <w:t xml:space="preserve"> </w:t>
      </w:r>
      <w:r w:rsidR="00560B0E">
        <w:rPr>
          <w:rFonts w:cs="Arial"/>
          <w:sz w:val="22"/>
          <w:szCs w:val="22"/>
        </w:rPr>
        <w:t>Na GŘ připadalo</w:t>
      </w:r>
      <w:r w:rsidR="00A77AB4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F9368A">
        <w:rPr>
          <w:rFonts w:cs="Arial"/>
          <w:sz w:val="22"/>
          <w:szCs w:val="22"/>
        </w:rPr>
        <w:t>letech</w:t>
      </w:r>
      <w:r w:rsidR="00A77AB4">
        <w:rPr>
          <w:rFonts w:cs="Arial"/>
          <w:sz w:val="22"/>
          <w:szCs w:val="22"/>
        </w:rPr>
        <w:t xml:space="preserve"> 2010 až 2012</w:t>
      </w:r>
      <w:r>
        <w:rPr>
          <w:rFonts w:cs="Arial"/>
          <w:sz w:val="22"/>
          <w:szCs w:val="22"/>
        </w:rPr>
        <w:t xml:space="preserve"> </w:t>
      </w:r>
      <w:r w:rsidR="00560B0E">
        <w:rPr>
          <w:rFonts w:cs="Arial"/>
          <w:sz w:val="22"/>
          <w:szCs w:val="22"/>
        </w:rPr>
        <w:t>na jedn</w:t>
      </w:r>
      <w:r w:rsidR="00A77AB4">
        <w:rPr>
          <w:rFonts w:cs="Arial"/>
          <w:sz w:val="22"/>
          <w:szCs w:val="22"/>
        </w:rPr>
        <w:t>o</w:t>
      </w:r>
      <w:r w:rsidR="0091488D">
        <w:rPr>
          <w:rFonts w:cs="Arial"/>
          <w:sz w:val="22"/>
          <w:szCs w:val="22"/>
        </w:rPr>
        <w:t xml:space="preserve"> vozidlo</w:t>
      </w:r>
      <w:r w:rsidR="00A77AB4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2133BA">
        <w:rPr>
          <w:rFonts w:cs="Arial"/>
          <w:sz w:val="22"/>
          <w:szCs w:val="22"/>
        </w:rPr>
        <w:t xml:space="preserve">průměru </w:t>
      </w:r>
      <w:r w:rsidR="00F9368A">
        <w:rPr>
          <w:rFonts w:cs="Arial"/>
          <w:sz w:val="22"/>
          <w:szCs w:val="22"/>
        </w:rPr>
        <w:t xml:space="preserve">3,7 </w:t>
      </w:r>
      <w:r w:rsidR="0091488D">
        <w:rPr>
          <w:rFonts w:cs="Arial"/>
          <w:sz w:val="22"/>
          <w:szCs w:val="22"/>
        </w:rPr>
        <w:t>zaměstnanc</w:t>
      </w:r>
      <w:r w:rsidR="00403A70">
        <w:rPr>
          <w:rFonts w:cs="Arial"/>
          <w:sz w:val="22"/>
          <w:szCs w:val="22"/>
        </w:rPr>
        <w:t>e</w:t>
      </w:r>
      <w:r w:rsidR="00F9368A">
        <w:rPr>
          <w:rFonts w:cs="Arial"/>
          <w:sz w:val="22"/>
          <w:szCs w:val="22"/>
        </w:rPr>
        <w:t xml:space="preserve"> a </w:t>
      </w:r>
      <w:r w:rsidR="00A77AB4">
        <w:rPr>
          <w:rFonts w:cs="Arial"/>
          <w:sz w:val="22"/>
          <w:szCs w:val="22"/>
        </w:rPr>
        <w:t>u </w:t>
      </w:r>
      <w:r w:rsidR="00560B0E">
        <w:rPr>
          <w:rFonts w:cs="Arial"/>
          <w:sz w:val="22"/>
          <w:szCs w:val="22"/>
        </w:rPr>
        <w:t>kontrolovaných závodů a správ 2,</w:t>
      </w:r>
      <w:r w:rsidR="007C1B69">
        <w:rPr>
          <w:rFonts w:cs="Arial"/>
          <w:sz w:val="22"/>
          <w:szCs w:val="22"/>
        </w:rPr>
        <w:t>5</w:t>
      </w:r>
      <w:r w:rsidR="00560B0E">
        <w:rPr>
          <w:rFonts w:cs="Arial"/>
          <w:sz w:val="22"/>
          <w:szCs w:val="22"/>
        </w:rPr>
        <w:t xml:space="preserve"> </w:t>
      </w:r>
      <w:r w:rsidR="0091488D">
        <w:rPr>
          <w:rFonts w:cs="Arial"/>
          <w:sz w:val="22"/>
          <w:szCs w:val="22"/>
        </w:rPr>
        <w:t>zaměstnanc</w:t>
      </w:r>
      <w:r w:rsidR="00403A70">
        <w:rPr>
          <w:rFonts w:cs="Arial"/>
          <w:sz w:val="22"/>
          <w:szCs w:val="22"/>
        </w:rPr>
        <w:t>e</w:t>
      </w:r>
      <w:r w:rsidR="00560B0E">
        <w:rPr>
          <w:rFonts w:cs="Arial"/>
          <w:sz w:val="22"/>
          <w:szCs w:val="22"/>
        </w:rPr>
        <w:t>.</w:t>
      </w:r>
      <w:r w:rsidR="00A77AB4">
        <w:rPr>
          <w:rFonts w:cs="Arial"/>
          <w:sz w:val="22"/>
          <w:szCs w:val="22"/>
        </w:rPr>
        <w:t xml:space="preserve"> </w:t>
      </w:r>
      <w:r w:rsidR="00E66159">
        <w:rPr>
          <w:rFonts w:cs="Arial"/>
          <w:sz w:val="22"/>
          <w:szCs w:val="22"/>
        </w:rPr>
        <w:t>N</w:t>
      </w:r>
      <w:r w:rsidR="00A77AB4">
        <w:rPr>
          <w:rFonts w:cs="Arial"/>
          <w:sz w:val="22"/>
          <w:szCs w:val="22"/>
        </w:rPr>
        <w:t xml:space="preserve">apříklad u Závodu Praha </w:t>
      </w:r>
      <w:r w:rsidR="00E66159">
        <w:rPr>
          <w:rFonts w:cs="Arial"/>
          <w:sz w:val="22"/>
          <w:szCs w:val="22"/>
        </w:rPr>
        <w:t>však</w:t>
      </w:r>
      <w:r>
        <w:rPr>
          <w:rFonts w:cs="Arial"/>
          <w:sz w:val="22"/>
          <w:szCs w:val="22"/>
        </w:rPr>
        <w:t xml:space="preserve"> byla vybavenost osobními vozidly podstatně vyšší. Závod disponoval</w:t>
      </w:r>
      <w:r w:rsidR="002133BA">
        <w:rPr>
          <w:rFonts w:cs="Arial"/>
          <w:sz w:val="22"/>
          <w:szCs w:val="22"/>
        </w:rPr>
        <w:t xml:space="preserve"> ročně</w:t>
      </w:r>
      <w:r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 xml:space="preserve">průměru </w:t>
      </w:r>
      <w:r w:rsidR="002713F4">
        <w:rPr>
          <w:rFonts w:cs="Arial"/>
          <w:sz w:val="22"/>
          <w:szCs w:val="22"/>
        </w:rPr>
        <w:t>32 </w:t>
      </w:r>
      <w:r w:rsidR="002133BA">
        <w:rPr>
          <w:rFonts w:cs="Arial"/>
          <w:sz w:val="22"/>
          <w:szCs w:val="22"/>
        </w:rPr>
        <w:t>vlastními</w:t>
      </w:r>
      <w:r>
        <w:rPr>
          <w:rFonts w:cs="Arial"/>
          <w:sz w:val="22"/>
          <w:szCs w:val="22"/>
        </w:rPr>
        <w:t xml:space="preserve"> vozidly</w:t>
      </w:r>
      <w:r w:rsidR="002133BA">
        <w:rPr>
          <w:rFonts w:cs="Arial"/>
          <w:sz w:val="22"/>
          <w:szCs w:val="22"/>
        </w:rPr>
        <w:t xml:space="preserve"> a 21 najatými vozidly od dodavatelů staveb. N</w:t>
      </w:r>
      <w:r w:rsidR="0091488D">
        <w:rPr>
          <w:rFonts w:cs="Arial"/>
          <w:sz w:val="22"/>
          <w:szCs w:val="22"/>
        </w:rPr>
        <w:t>a jedno vozidlo</w:t>
      </w:r>
      <w:r w:rsidR="002133BA">
        <w:rPr>
          <w:rFonts w:cs="Arial"/>
          <w:sz w:val="22"/>
          <w:szCs w:val="22"/>
        </w:rPr>
        <w:t xml:space="preserve"> tak</w:t>
      </w:r>
      <w:r>
        <w:rPr>
          <w:rFonts w:cs="Arial"/>
          <w:sz w:val="22"/>
          <w:szCs w:val="22"/>
        </w:rPr>
        <w:t xml:space="preserve"> připadalo </w:t>
      </w:r>
      <w:r w:rsidR="00E66159">
        <w:rPr>
          <w:rFonts w:cs="Arial"/>
          <w:sz w:val="22"/>
          <w:szCs w:val="22"/>
        </w:rPr>
        <w:t xml:space="preserve">1,9 </w:t>
      </w:r>
      <w:r w:rsidR="0091488D">
        <w:rPr>
          <w:rFonts w:cs="Arial"/>
          <w:sz w:val="22"/>
          <w:szCs w:val="22"/>
        </w:rPr>
        <w:t>zaměstnanc</w:t>
      </w:r>
      <w:r w:rsidR="00403A70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.</w:t>
      </w:r>
      <w:r w:rsidR="00E66159">
        <w:rPr>
          <w:rFonts w:cs="Arial"/>
          <w:sz w:val="22"/>
          <w:szCs w:val="22"/>
        </w:rPr>
        <w:t xml:space="preserve"> </w:t>
      </w:r>
      <w:r w:rsidR="006671FB">
        <w:rPr>
          <w:rFonts w:cs="Arial"/>
          <w:sz w:val="22"/>
          <w:szCs w:val="22"/>
        </w:rPr>
        <w:t>J</w:t>
      </w:r>
      <w:r w:rsidR="00E66159">
        <w:rPr>
          <w:rFonts w:cs="Arial"/>
          <w:sz w:val="22"/>
          <w:szCs w:val="22"/>
        </w:rPr>
        <w:t>edno</w:t>
      </w:r>
      <w:r w:rsidR="0091488D">
        <w:rPr>
          <w:rFonts w:cs="Arial"/>
          <w:sz w:val="22"/>
          <w:szCs w:val="22"/>
        </w:rPr>
        <w:t xml:space="preserve"> vlastní</w:t>
      </w:r>
      <w:r w:rsidR="002133BA">
        <w:rPr>
          <w:rFonts w:cs="Arial"/>
          <w:sz w:val="22"/>
          <w:szCs w:val="22"/>
        </w:rPr>
        <w:t xml:space="preserve"> </w:t>
      </w:r>
      <w:r w:rsidR="00E66159">
        <w:rPr>
          <w:rFonts w:cs="Arial"/>
          <w:sz w:val="22"/>
          <w:szCs w:val="22"/>
        </w:rPr>
        <w:t>vozidlo</w:t>
      </w:r>
      <w:r w:rsidR="0091488D">
        <w:rPr>
          <w:rFonts w:cs="Arial"/>
          <w:sz w:val="22"/>
          <w:szCs w:val="22"/>
        </w:rPr>
        <w:t xml:space="preserve"> Závodu Praha</w:t>
      </w:r>
      <w:r w:rsidR="00E66159">
        <w:rPr>
          <w:rFonts w:cs="Arial"/>
          <w:sz w:val="22"/>
          <w:szCs w:val="22"/>
        </w:rPr>
        <w:t xml:space="preserve"> najelo </w:t>
      </w:r>
      <w:r w:rsidR="00A61F35">
        <w:rPr>
          <w:rFonts w:cs="Arial"/>
          <w:sz w:val="22"/>
          <w:szCs w:val="22"/>
        </w:rPr>
        <w:t>v </w:t>
      </w:r>
      <w:r w:rsidR="00E66159">
        <w:rPr>
          <w:rFonts w:cs="Arial"/>
          <w:sz w:val="22"/>
          <w:szCs w:val="22"/>
        </w:rPr>
        <w:t>průměru 13</w:t>
      </w:r>
      <w:r w:rsidR="008E7613">
        <w:rPr>
          <w:rFonts w:cs="Arial"/>
          <w:sz w:val="22"/>
          <w:szCs w:val="22"/>
        </w:rPr>
        <w:t> </w:t>
      </w:r>
      <w:r w:rsidR="00E66159">
        <w:rPr>
          <w:rFonts w:cs="Arial"/>
          <w:sz w:val="22"/>
          <w:szCs w:val="22"/>
        </w:rPr>
        <w:t>973</w:t>
      </w:r>
      <w:r w:rsidR="008E7613">
        <w:rPr>
          <w:rFonts w:cs="Arial"/>
          <w:sz w:val="22"/>
          <w:szCs w:val="22"/>
        </w:rPr>
        <w:t> </w:t>
      </w:r>
      <w:r w:rsidR="00E66159">
        <w:rPr>
          <w:rFonts w:cs="Arial"/>
          <w:sz w:val="22"/>
          <w:szCs w:val="22"/>
        </w:rPr>
        <w:t>km</w:t>
      </w:r>
      <w:r w:rsidR="006671FB" w:rsidRPr="006671FB">
        <w:rPr>
          <w:rFonts w:cs="Arial"/>
          <w:sz w:val="22"/>
          <w:szCs w:val="22"/>
        </w:rPr>
        <w:t xml:space="preserve"> </w:t>
      </w:r>
      <w:r w:rsidR="006671FB">
        <w:rPr>
          <w:rFonts w:cs="Arial"/>
          <w:sz w:val="22"/>
          <w:szCs w:val="22"/>
        </w:rPr>
        <w:t>za rok</w:t>
      </w:r>
      <w:r w:rsidR="00E66159">
        <w:rPr>
          <w:rFonts w:cs="Arial"/>
          <w:sz w:val="22"/>
          <w:szCs w:val="22"/>
        </w:rPr>
        <w:t xml:space="preserve">, avšak </w:t>
      </w:r>
      <w:r w:rsidR="00E0559A">
        <w:rPr>
          <w:rFonts w:cs="Arial"/>
          <w:b/>
          <w:sz w:val="22"/>
          <w:szCs w:val="22"/>
        </w:rPr>
        <w:t>28 %</w:t>
      </w:r>
      <w:r w:rsidR="00E66159" w:rsidRPr="00B222F0">
        <w:rPr>
          <w:rFonts w:cs="Arial"/>
          <w:b/>
          <w:sz w:val="22"/>
          <w:szCs w:val="22"/>
        </w:rPr>
        <w:t xml:space="preserve"> </w:t>
      </w:r>
      <w:r w:rsidR="00B222F0" w:rsidRPr="00B222F0">
        <w:rPr>
          <w:rFonts w:cs="Arial"/>
          <w:b/>
          <w:sz w:val="22"/>
          <w:szCs w:val="22"/>
        </w:rPr>
        <w:t>vozidel</w:t>
      </w:r>
      <w:r w:rsidR="00E0559A">
        <w:rPr>
          <w:rFonts w:cs="Arial"/>
          <w:b/>
          <w:sz w:val="22"/>
          <w:szCs w:val="22"/>
        </w:rPr>
        <w:t xml:space="preserve"> najelo</w:t>
      </w:r>
      <w:r w:rsidR="00E66159" w:rsidRPr="00B222F0">
        <w:rPr>
          <w:rFonts w:cs="Arial"/>
          <w:b/>
          <w:sz w:val="22"/>
          <w:szCs w:val="22"/>
        </w:rPr>
        <w:t xml:space="preserve"> méně než 6</w:t>
      </w:r>
      <w:r w:rsidR="007945D9">
        <w:rPr>
          <w:rFonts w:cs="Arial"/>
          <w:b/>
          <w:sz w:val="22"/>
          <w:szCs w:val="22"/>
        </w:rPr>
        <w:t xml:space="preserve"> </w:t>
      </w:r>
      <w:r w:rsidR="00E66159" w:rsidRPr="00B222F0">
        <w:rPr>
          <w:rFonts w:cs="Arial"/>
          <w:b/>
          <w:sz w:val="22"/>
          <w:szCs w:val="22"/>
        </w:rPr>
        <w:t>000 km</w:t>
      </w:r>
      <w:r w:rsidR="00E66159" w:rsidRPr="000F38F0">
        <w:rPr>
          <w:rFonts w:cs="Arial"/>
          <w:b/>
          <w:sz w:val="22"/>
          <w:szCs w:val="22"/>
        </w:rPr>
        <w:t>.</w:t>
      </w:r>
    </w:p>
    <w:p w:rsidR="00A77AB4" w:rsidRDefault="00A77AB4" w:rsidP="00560B0E">
      <w:pPr>
        <w:jc w:val="both"/>
        <w:rPr>
          <w:rFonts w:cs="Arial"/>
          <w:sz w:val="22"/>
          <w:szCs w:val="22"/>
        </w:rPr>
      </w:pPr>
    </w:p>
    <w:p w:rsidR="00737A4D" w:rsidRDefault="00B222F0" w:rsidP="003528D3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c)</w:t>
      </w:r>
      <w:r w:rsidR="00700ADC">
        <w:rPr>
          <w:rFonts w:cs="Arial"/>
          <w:b/>
          <w:sz w:val="22"/>
          <w:szCs w:val="22"/>
        </w:rPr>
        <w:t xml:space="preserve"> </w:t>
      </w:r>
      <w:r w:rsidR="00737A4D" w:rsidRPr="00127658">
        <w:rPr>
          <w:rFonts w:cs="Arial"/>
          <w:b/>
          <w:sz w:val="22"/>
          <w:szCs w:val="22"/>
        </w:rPr>
        <w:t xml:space="preserve">GŘ zadávalo </w:t>
      </w:r>
      <w:r w:rsidR="00A61F35">
        <w:rPr>
          <w:rFonts w:cs="Arial"/>
          <w:b/>
          <w:sz w:val="22"/>
          <w:szCs w:val="22"/>
        </w:rPr>
        <w:t>v </w:t>
      </w:r>
      <w:r w:rsidR="00737A4D" w:rsidRPr="00127658">
        <w:rPr>
          <w:rFonts w:cs="Arial"/>
          <w:b/>
          <w:sz w:val="22"/>
          <w:szCs w:val="22"/>
        </w:rPr>
        <w:t>letech 2010 a 2011 provádění servisních prohlídek a opra</w:t>
      </w:r>
      <w:r w:rsidR="00A61F35">
        <w:rPr>
          <w:rFonts w:cs="Arial"/>
          <w:b/>
          <w:sz w:val="22"/>
          <w:szCs w:val="22"/>
        </w:rPr>
        <w:t xml:space="preserve">v </w:t>
      </w:r>
      <w:r w:rsidR="00737A4D" w:rsidRPr="00127658">
        <w:rPr>
          <w:rFonts w:cs="Arial"/>
          <w:b/>
          <w:sz w:val="22"/>
          <w:szCs w:val="22"/>
        </w:rPr>
        <w:t xml:space="preserve">některých vozidel, která byla </w:t>
      </w:r>
      <w:r w:rsidR="00A61F35">
        <w:rPr>
          <w:rFonts w:cs="Arial"/>
          <w:b/>
          <w:sz w:val="22"/>
          <w:szCs w:val="22"/>
        </w:rPr>
        <w:t>v </w:t>
      </w:r>
      <w:r w:rsidR="00737A4D" w:rsidRPr="00127658">
        <w:rPr>
          <w:rFonts w:cs="Arial"/>
          <w:b/>
          <w:sz w:val="22"/>
          <w:szCs w:val="22"/>
        </w:rPr>
        <w:t>záručních lhůtách, neautorizovanému servisu</w:t>
      </w:r>
      <w:r w:rsidR="00737A4D" w:rsidRPr="000F38F0">
        <w:rPr>
          <w:rFonts w:cs="Arial"/>
          <w:b/>
          <w:sz w:val="22"/>
          <w:szCs w:val="22"/>
        </w:rPr>
        <w:t>.</w:t>
      </w:r>
      <w:r w:rsidR="00737A4D">
        <w:rPr>
          <w:rFonts w:cs="Arial"/>
          <w:sz w:val="22"/>
          <w:szCs w:val="22"/>
        </w:rPr>
        <w:t xml:space="preserve"> Tím porušilo záruční podmínky a ztratilo možnost uplatnění záruk </w:t>
      </w:r>
      <w:r w:rsidR="00A61F35">
        <w:rPr>
          <w:rFonts w:cs="Arial"/>
          <w:sz w:val="22"/>
          <w:szCs w:val="22"/>
        </w:rPr>
        <w:t>v </w:t>
      </w:r>
      <w:r w:rsidR="00737A4D">
        <w:rPr>
          <w:rFonts w:cs="Arial"/>
          <w:sz w:val="22"/>
          <w:szCs w:val="22"/>
        </w:rPr>
        <w:t xml:space="preserve">případě poruch a vad vozidel. </w:t>
      </w:r>
    </w:p>
    <w:p w:rsidR="00737A4D" w:rsidRDefault="00737A4D" w:rsidP="003528D3">
      <w:pPr>
        <w:jc w:val="both"/>
        <w:rPr>
          <w:rFonts w:cs="Arial"/>
          <w:sz w:val="22"/>
          <w:szCs w:val="22"/>
        </w:rPr>
      </w:pPr>
    </w:p>
    <w:p w:rsidR="000D6AC9" w:rsidRDefault="00B222F0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d)</w:t>
      </w:r>
      <w:r w:rsidR="00737A4D">
        <w:rPr>
          <w:rFonts w:cs="Arial"/>
          <w:b/>
          <w:sz w:val="22"/>
          <w:szCs w:val="22"/>
        </w:rPr>
        <w:t xml:space="preserve"> </w:t>
      </w:r>
      <w:r w:rsidR="00737A4D">
        <w:rPr>
          <w:rFonts w:cs="Arial"/>
          <w:sz w:val="22"/>
          <w:szCs w:val="22"/>
        </w:rPr>
        <w:t xml:space="preserve">GŘ </w:t>
      </w:r>
      <w:r w:rsidR="00127658">
        <w:rPr>
          <w:rFonts w:cs="Arial"/>
          <w:sz w:val="22"/>
          <w:szCs w:val="22"/>
        </w:rPr>
        <w:t xml:space="preserve">nepředložilo pojišťovně veškeré požadované doklady </w:t>
      </w:r>
      <w:r w:rsidR="00A61F35">
        <w:rPr>
          <w:rFonts w:cs="Arial"/>
          <w:sz w:val="22"/>
          <w:szCs w:val="22"/>
        </w:rPr>
        <w:t>k </w:t>
      </w:r>
      <w:r w:rsidR="00127658">
        <w:rPr>
          <w:rFonts w:cs="Arial"/>
          <w:sz w:val="22"/>
          <w:szCs w:val="22"/>
        </w:rPr>
        <w:t xml:space="preserve">pojistné události </w:t>
      </w:r>
      <w:r w:rsidR="00A61F35">
        <w:rPr>
          <w:rFonts w:cs="Arial"/>
          <w:sz w:val="22"/>
          <w:szCs w:val="22"/>
        </w:rPr>
        <w:t>z </w:t>
      </w:r>
      <w:r w:rsidR="00127658">
        <w:rPr>
          <w:rFonts w:cs="Arial"/>
          <w:sz w:val="22"/>
          <w:szCs w:val="22"/>
        </w:rPr>
        <w:t xml:space="preserve">října 2010 (škoda na vozidle). Ty předložilo až </w:t>
      </w:r>
      <w:r w:rsidR="00A61F35">
        <w:rPr>
          <w:rFonts w:cs="Arial"/>
          <w:sz w:val="22"/>
          <w:szCs w:val="22"/>
        </w:rPr>
        <w:t>v </w:t>
      </w:r>
      <w:r w:rsidR="00127658">
        <w:rPr>
          <w:rFonts w:cs="Arial"/>
          <w:sz w:val="22"/>
          <w:szCs w:val="22"/>
        </w:rPr>
        <w:t xml:space="preserve">době kontroly NKÚ. Pojistné plnění 71,9 tis. Kč tak obdrželo až </w:t>
      </w:r>
      <w:r w:rsidR="00A61F35">
        <w:rPr>
          <w:rFonts w:cs="Arial"/>
          <w:sz w:val="22"/>
          <w:szCs w:val="22"/>
        </w:rPr>
        <w:t>v </w:t>
      </w:r>
      <w:r w:rsidR="00127658">
        <w:rPr>
          <w:rFonts w:cs="Arial"/>
          <w:sz w:val="22"/>
          <w:szCs w:val="22"/>
        </w:rPr>
        <w:t>červnu 2013.</w:t>
      </w:r>
    </w:p>
    <w:p w:rsidR="00127658" w:rsidRDefault="00127658" w:rsidP="001671F8">
      <w:pPr>
        <w:jc w:val="both"/>
        <w:rPr>
          <w:rFonts w:cs="Arial"/>
          <w:sz w:val="22"/>
          <w:szCs w:val="22"/>
        </w:rPr>
      </w:pPr>
    </w:p>
    <w:p w:rsidR="00B222F0" w:rsidRDefault="006B3FF0" w:rsidP="006B3FF0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4.</w:t>
      </w:r>
      <w:r w:rsidR="00B222F0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Výnosy </w:t>
      </w:r>
      <w:r w:rsidR="00A61F35">
        <w:rPr>
          <w:rFonts w:cs="Arial"/>
          <w:sz w:val="22"/>
          <w:szCs w:val="22"/>
        </w:rPr>
        <w:t>z </w:t>
      </w:r>
      <w:r>
        <w:rPr>
          <w:rFonts w:cs="Arial"/>
          <w:sz w:val="22"/>
          <w:szCs w:val="22"/>
        </w:rPr>
        <w:t>pronájmů majetku státu činily</w:t>
      </w:r>
      <w:r w:rsidR="00DD225B">
        <w:rPr>
          <w:rFonts w:cs="Arial"/>
          <w:sz w:val="22"/>
          <w:szCs w:val="22"/>
        </w:rPr>
        <w:t xml:space="preserve"> u ŘSD</w:t>
      </w:r>
      <w:r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F9368A">
        <w:rPr>
          <w:rFonts w:cs="Arial"/>
          <w:sz w:val="22"/>
          <w:szCs w:val="22"/>
        </w:rPr>
        <w:t>letech</w:t>
      </w:r>
      <w:r>
        <w:rPr>
          <w:rFonts w:cs="Arial"/>
          <w:sz w:val="22"/>
          <w:szCs w:val="22"/>
        </w:rPr>
        <w:t xml:space="preserve"> 2010 až 2012 celkem 376 mil. Kč (viz tabulka č. 1).</w:t>
      </w:r>
      <w:r w:rsidR="00DD225B">
        <w:rPr>
          <w:rFonts w:cs="Arial"/>
          <w:sz w:val="22"/>
          <w:szCs w:val="22"/>
        </w:rPr>
        <w:t xml:space="preserve"> Podstatnou měrou byly</w:t>
      </w:r>
      <w:r w:rsidR="00F9368A">
        <w:rPr>
          <w:rFonts w:cs="Arial"/>
          <w:sz w:val="22"/>
          <w:szCs w:val="22"/>
        </w:rPr>
        <w:t xml:space="preserve"> tyto</w:t>
      </w:r>
      <w:r w:rsidR="00DD225B">
        <w:rPr>
          <w:rFonts w:cs="Arial"/>
          <w:sz w:val="22"/>
          <w:szCs w:val="22"/>
        </w:rPr>
        <w:t xml:space="preserve"> výnosy tvořeny pronájmem pozemků a ploch k provozování obchodních aktivit nájemců. Např. u </w:t>
      </w:r>
      <w:r w:rsidR="00A178EE">
        <w:rPr>
          <w:rFonts w:cs="Arial"/>
          <w:sz w:val="22"/>
          <w:szCs w:val="22"/>
        </w:rPr>
        <w:t xml:space="preserve">GŘ </w:t>
      </w:r>
      <w:r w:rsidR="0012031D">
        <w:rPr>
          <w:rFonts w:cs="Arial"/>
          <w:sz w:val="22"/>
          <w:szCs w:val="22"/>
        </w:rPr>
        <w:t xml:space="preserve">činily </w:t>
      </w:r>
      <w:r w:rsidR="00DD225B">
        <w:rPr>
          <w:rFonts w:cs="Arial"/>
          <w:sz w:val="22"/>
          <w:szCs w:val="22"/>
        </w:rPr>
        <w:t>tyto pronájmy</w:t>
      </w:r>
      <w:r w:rsidR="00A178EE">
        <w:rPr>
          <w:rFonts w:cs="Arial"/>
          <w:sz w:val="22"/>
          <w:szCs w:val="22"/>
        </w:rPr>
        <w:t xml:space="preserve"> </w:t>
      </w:r>
      <w:r w:rsidR="0012031D">
        <w:rPr>
          <w:rFonts w:cs="Arial"/>
          <w:sz w:val="22"/>
          <w:szCs w:val="22"/>
        </w:rPr>
        <w:t xml:space="preserve">161 mil. Kč, což bylo 77 % </w:t>
      </w:r>
      <w:r w:rsidR="00A61F35">
        <w:rPr>
          <w:rFonts w:cs="Arial"/>
          <w:sz w:val="22"/>
          <w:szCs w:val="22"/>
        </w:rPr>
        <w:t>z </w:t>
      </w:r>
      <w:r w:rsidR="0012031D">
        <w:rPr>
          <w:rFonts w:cs="Arial"/>
          <w:sz w:val="22"/>
          <w:szCs w:val="22"/>
        </w:rPr>
        <w:t>jeho</w:t>
      </w:r>
      <w:r w:rsidR="0028140E">
        <w:rPr>
          <w:rFonts w:cs="Arial"/>
          <w:sz w:val="22"/>
          <w:szCs w:val="22"/>
        </w:rPr>
        <w:t xml:space="preserve"> celkových</w:t>
      </w:r>
      <w:r w:rsidR="0012031D">
        <w:rPr>
          <w:rFonts w:cs="Arial"/>
          <w:sz w:val="22"/>
          <w:szCs w:val="22"/>
        </w:rPr>
        <w:t xml:space="preserve"> výnosů </w:t>
      </w:r>
      <w:r w:rsidR="00A61F35">
        <w:rPr>
          <w:rFonts w:cs="Arial"/>
          <w:sz w:val="22"/>
          <w:szCs w:val="22"/>
        </w:rPr>
        <w:t>z </w:t>
      </w:r>
      <w:r w:rsidR="0012031D">
        <w:rPr>
          <w:rFonts w:cs="Arial"/>
          <w:sz w:val="22"/>
          <w:szCs w:val="22"/>
        </w:rPr>
        <w:t>pronájmů majetku státu</w:t>
      </w:r>
      <w:r w:rsidR="00DD225B">
        <w:rPr>
          <w:rFonts w:cs="Arial"/>
          <w:sz w:val="22"/>
          <w:szCs w:val="22"/>
        </w:rPr>
        <w:t>.</w:t>
      </w:r>
      <w:r w:rsidR="0012031D">
        <w:rPr>
          <w:rFonts w:cs="Arial"/>
          <w:sz w:val="22"/>
          <w:szCs w:val="22"/>
        </w:rPr>
        <w:t xml:space="preserve"> </w:t>
      </w:r>
    </w:p>
    <w:p w:rsidR="00DD225B" w:rsidRDefault="00DD225B" w:rsidP="006B3FF0">
      <w:pPr>
        <w:jc w:val="both"/>
        <w:rPr>
          <w:rFonts w:cs="Arial"/>
          <w:sz w:val="22"/>
          <w:szCs w:val="22"/>
        </w:rPr>
      </w:pPr>
    </w:p>
    <w:p w:rsidR="00DD225B" w:rsidRPr="001347E3" w:rsidRDefault="001347E3" w:rsidP="006B3FF0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 pronájmů pozemků a ploch </w:t>
      </w:r>
      <w:r w:rsidR="00A61F35">
        <w:rPr>
          <w:rFonts w:cs="Arial"/>
          <w:sz w:val="22"/>
          <w:szCs w:val="22"/>
        </w:rPr>
        <w:t>k </w:t>
      </w:r>
      <w:r>
        <w:rPr>
          <w:rFonts w:cs="Arial"/>
          <w:sz w:val="22"/>
          <w:szCs w:val="22"/>
        </w:rPr>
        <w:t xml:space="preserve">provozování obchodních aktivit nájemců byl zjištěn </w:t>
      </w:r>
      <w:r w:rsidR="005D33A8">
        <w:rPr>
          <w:rFonts w:cs="Arial"/>
          <w:sz w:val="22"/>
          <w:szCs w:val="22"/>
        </w:rPr>
        <w:t>velký</w:t>
      </w:r>
      <w:r w:rsidRPr="006365CE">
        <w:rPr>
          <w:rFonts w:cs="Arial"/>
          <w:b/>
          <w:sz w:val="22"/>
          <w:szCs w:val="22"/>
        </w:rPr>
        <w:t xml:space="preserve"> rozptyl cen za roční nájem jednoho m</w:t>
      </w:r>
      <w:r w:rsidRPr="006365CE">
        <w:rPr>
          <w:rFonts w:cs="Arial"/>
          <w:b/>
          <w:sz w:val="22"/>
          <w:szCs w:val="22"/>
          <w:vertAlign w:val="superscript"/>
        </w:rPr>
        <w:t>2</w:t>
      </w:r>
      <w:r w:rsidRPr="006365CE">
        <w:rPr>
          <w:rFonts w:cs="Arial"/>
          <w:b/>
          <w:sz w:val="22"/>
          <w:szCs w:val="22"/>
        </w:rPr>
        <w:t xml:space="preserve"> pozemků</w:t>
      </w:r>
      <w:r w:rsidRPr="001347E3">
        <w:rPr>
          <w:rFonts w:cs="Arial"/>
          <w:b/>
          <w:sz w:val="22"/>
          <w:szCs w:val="22"/>
        </w:rPr>
        <w:t xml:space="preserve"> nebo ploch.</w:t>
      </w:r>
      <w:r>
        <w:rPr>
          <w:rFonts w:cs="Arial"/>
          <w:b/>
          <w:sz w:val="22"/>
          <w:szCs w:val="22"/>
        </w:rPr>
        <w:t xml:space="preserve"> </w:t>
      </w:r>
      <w:r w:rsidRPr="001347E3">
        <w:rPr>
          <w:rFonts w:cs="Arial"/>
          <w:sz w:val="22"/>
          <w:szCs w:val="22"/>
        </w:rPr>
        <w:t>Například:</w:t>
      </w:r>
    </w:p>
    <w:p w:rsidR="001347E3" w:rsidRDefault="005D33A8" w:rsidP="000F38F0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proofErr w:type="spellStart"/>
      <w:r w:rsidR="001347E3">
        <w:rPr>
          <w:rFonts w:cs="Arial"/>
          <w:sz w:val="22"/>
          <w:szCs w:val="22"/>
        </w:rPr>
        <w:t>GŘ</w:t>
      </w:r>
      <w:proofErr w:type="spellEnd"/>
      <w:r w:rsidR="001347E3">
        <w:rPr>
          <w:rFonts w:cs="Arial"/>
          <w:sz w:val="22"/>
          <w:szCs w:val="22"/>
        </w:rPr>
        <w:t xml:space="preserve"> uzavřelo </w:t>
      </w:r>
      <w:r w:rsidR="00A61F35">
        <w:rPr>
          <w:rFonts w:cs="Arial"/>
          <w:sz w:val="22"/>
          <w:szCs w:val="22"/>
        </w:rPr>
        <w:t>v </w:t>
      </w:r>
      <w:r w:rsidR="001347E3">
        <w:rPr>
          <w:rFonts w:cs="Arial"/>
          <w:sz w:val="22"/>
          <w:szCs w:val="22"/>
        </w:rPr>
        <w:t>letech 1992 až 2012 tři smlouvy na pronájem pozemků za účelem provozování čerpacích stanic</w:t>
      </w:r>
      <w:r w:rsidR="001F3714">
        <w:rPr>
          <w:rFonts w:cs="Arial"/>
          <w:sz w:val="22"/>
          <w:szCs w:val="22"/>
        </w:rPr>
        <w:t xml:space="preserve"> u dálnic</w:t>
      </w:r>
      <w:r w:rsidR="001347E3">
        <w:rPr>
          <w:rFonts w:cs="Arial"/>
          <w:sz w:val="22"/>
          <w:szCs w:val="22"/>
        </w:rPr>
        <w:t>.</w:t>
      </w:r>
      <w:r w:rsidR="001347E3" w:rsidRPr="001347E3">
        <w:rPr>
          <w:rFonts w:cs="Arial"/>
          <w:sz w:val="22"/>
          <w:szCs w:val="22"/>
        </w:rPr>
        <w:t xml:space="preserve"> </w:t>
      </w:r>
      <w:r w:rsidR="001347E3">
        <w:rPr>
          <w:rFonts w:cs="Arial"/>
          <w:sz w:val="22"/>
          <w:szCs w:val="22"/>
        </w:rPr>
        <w:t>Roční nájemné jednoho m</w:t>
      </w:r>
      <w:r w:rsidR="001347E3">
        <w:rPr>
          <w:rFonts w:cs="Arial"/>
          <w:sz w:val="22"/>
          <w:szCs w:val="22"/>
          <w:vertAlign w:val="superscript"/>
        </w:rPr>
        <w:t>2</w:t>
      </w:r>
      <w:r w:rsidR="001347E3">
        <w:rPr>
          <w:rFonts w:cs="Arial"/>
          <w:sz w:val="22"/>
          <w:szCs w:val="22"/>
        </w:rPr>
        <w:t xml:space="preserve"> pozemku se </w:t>
      </w:r>
      <w:r w:rsidR="00A61F35">
        <w:rPr>
          <w:rFonts w:cs="Arial"/>
          <w:sz w:val="22"/>
          <w:szCs w:val="22"/>
        </w:rPr>
        <w:t>v </w:t>
      </w:r>
      <w:r w:rsidR="001347E3">
        <w:rPr>
          <w:rFonts w:cs="Arial"/>
          <w:sz w:val="22"/>
          <w:szCs w:val="22"/>
        </w:rPr>
        <w:t>době kontroly pohybovalo od 37,30 Kč do 86,02 K</w:t>
      </w:r>
      <w:r w:rsidR="0000690B">
        <w:rPr>
          <w:rFonts w:cs="Arial"/>
          <w:sz w:val="22"/>
          <w:szCs w:val="22"/>
        </w:rPr>
        <w:t>č, přičemž:</w:t>
      </w:r>
    </w:p>
    <w:p w:rsidR="0000690B" w:rsidRPr="000F38F0" w:rsidRDefault="0000690B" w:rsidP="000F38F0">
      <w:pPr>
        <w:pStyle w:val="Odstavecseseznamem"/>
        <w:numPr>
          <w:ilvl w:val="0"/>
          <w:numId w:val="37"/>
        </w:numPr>
        <w:ind w:left="567" w:hanging="283"/>
        <w:jc w:val="both"/>
        <w:rPr>
          <w:rFonts w:cs="Arial"/>
          <w:sz w:val="22"/>
          <w:szCs w:val="22"/>
        </w:rPr>
      </w:pPr>
      <w:r w:rsidRPr="000F38F0">
        <w:rPr>
          <w:rFonts w:cs="Arial"/>
          <w:sz w:val="22"/>
          <w:szCs w:val="22"/>
        </w:rPr>
        <w:t xml:space="preserve">Jednu smlouvu na pronájem pozemku </w:t>
      </w:r>
      <w:r w:rsidR="00A61F35" w:rsidRPr="000F38F0">
        <w:rPr>
          <w:rFonts w:cs="Arial"/>
          <w:sz w:val="22"/>
          <w:szCs w:val="22"/>
        </w:rPr>
        <w:t>v </w:t>
      </w:r>
      <w:r w:rsidRPr="000F38F0">
        <w:rPr>
          <w:rFonts w:cs="Arial"/>
          <w:sz w:val="22"/>
          <w:szCs w:val="22"/>
        </w:rPr>
        <w:t xml:space="preserve">Praze </w:t>
      </w:r>
      <w:r w:rsidR="005D33A8">
        <w:rPr>
          <w:rFonts w:cs="Arial"/>
          <w:sz w:val="22"/>
          <w:szCs w:val="22"/>
        </w:rPr>
        <w:t xml:space="preserve">– </w:t>
      </w:r>
      <w:r w:rsidRPr="000F38F0">
        <w:rPr>
          <w:rFonts w:cs="Arial"/>
          <w:sz w:val="22"/>
          <w:szCs w:val="22"/>
        </w:rPr>
        <w:t>Horních Počernicích uzavřelo</w:t>
      </w:r>
      <w:r w:rsidR="005D33A8">
        <w:rPr>
          <w:rFonts w:cs="Arial"/>
          <w:sz w:val="22"/>
          <w:szCs w:val="22"/>
        </w:rPr>
        <w:t xml:space="preserve"> GŘ</w:t>
      </w:r>
      <w:r w:rsidRPr="000F38F0">
        <w:rPr>
          <w:rFonts w:cs="Arial"/>
          <w:sz w:val="22"/>
          <w:szCs w:val="22"/>
        </w:rPr>
        <w:t xml:space="preserve"> s platností na 50 let </w:t>
      </w:r>
      <w:r w:rsidR="00A61F35" w:rsidRPr="000F38F0">
        <w:rPr>
          <w:rFonts w:cs="Arial"/>
          <w:sz w:val="22"/>
          <w:szCs w:val="22"/>
        </w:rPr>
        <w:t>v </w:t>
      </w:r>
      <w:r w:rsidRPr="000F38F0">
        <w:rPr>
          <w:rFonts w:cs="Arial"/>
          <w:sz w:val="22"/>
          <w:szCs w:val="22"/>
        </w:rPr>
        <w:t>roce 1992. Sjednané roční nájemné jednoho m</w:t>
      </w:r>
      <w:r w:rsidRPr="000F38F0">
        <w:rPr>
          <w:rFonts w:cs="Arial"/>
          <w:sz w:val="22"/>
          <w:szCs w:val="22"/>
          <w:vertAlign w:val="superscript"/>
        </w:rPr>
        <w:t>2</w:t>
      </w:r>
      <w:r w:rsidRPr="000F38F0">
        <w:rPr>
          <w:rFonts w:cs="Arial"/>
          <w:sz w:val="22"/>
          <w:szCs w:val="22"/>
        </w:rPr>
        <w:t xml:space="preserve"> pozemku 83,92</w:t>
      </w:r>
      <w:r w:rsidR="00D61FB3" w:rsidRPr="000F38F0">
        <w:rPr>
          <w:rFonts w:cs="Arial"/>
          <w:sz w:val="22"/>
          <w:szCs w:val="22"/>
        </w:rPr>
        <w:t> </w:t>
      </w:r>
      <w:r w:rsidRPr="000F38F0">
        <w:rPr>
          <w:rFonts w:cs="Arial"/>
          <w:sz w:val="22"/>
          <w:szCs w:val="22"/>
        </w:rPr>
        <w:t xml:space="preserve">Kč </w:t>
      </w:r>
      <w:r w:rsidRPr="000F38F0">
        <w:rPr>
          <w:rFonts w:cs="Arial"/>
          <w:b/>
          <w:sz w:val="22"/>
          <w:szCs w:val="22"/>
        </w:rPr>
        <w:t>upravilo za dosavadní více než dvacetiletou dobu trvání smlouvy jen jednou</w:t>
      </w:r>
      <w:r w:rsidR="005D33A8">
        <w:rPr>
          <w:rFonts w:cs="Arial"/>
          <w:b/>
          <w:sz w:val="22"/>
          <w:szCs w:val="22"/>
        </w:rPr>
        <w:t>,</w:t>
      </w:r>
      <w:r w:rsidRPr="000F38F0">
        <w:rPr>
          <w:rFonts w:cs="Arial"/>
          <w:sz w:val="22"/>
          <w:szCs w:val="22"/>
        </w:rPr>
        <w:t xml:space="preserve"> a to </w:t>
      </w:r>
      <w:r w:rsidR="00A61F35" w:rsidRPr="000F38F0">
        <w:rPr>
          <w:rFonts w:cs="Arial"/>
          <w:sz w:val="22"/>
          <w:szCs w:val="22"/>
        </w:rPr>
        <w:t>v </w:t>
      </w:r>
      <w:r w:rsidRPr="000F38F0">
        <w:rPr>
          <w:rFonts w:cs="Arial"/>
          <w:sz w:val="22"/>
          <w:szCs w:val="22"/>
        </w:rPr>
        <w:t>roce 2011, kdy zvýšilo roční nájemné o 2,5 % na 86,0</w:t>
      </w:r>
      <w:r w:rsidR="00BA441E">
        <w:rPr>
          <w:rFonts w:cs="Arial"/>
          <w:sz w:val="22"/>
          <w:szCs w:val="22"/>
        </w:rPr>
        <w:t>2</w:t>
      </w:r>
      <w:r w:rsidRPr="000F38F0">
        <w:rPr>
          <w:rFonts w:cs="Arial"/>
          <w:sz w:val="22"/>
          <w:szCs w:val="22"/>
        </w:rPr>
        <w:t xml:space="preserve"> Kč/</w:t>
      </w:r>
      <w:proofErr w:type="spellStart"/>
      <w:r w:rsidRPr="000F38F0">
        <w:rPr>
          <w:rFonts w:cs="Arial"/>
          <w:sz w:val="22"/>
          <w:szCs w:val="22"/>
        </w:rPr>
        <w:t>m</w:t>
      </w:r>
      <w:r w:rsidRPr="000F38F0">
        <w:rPr>
          <w:rFonts w:cs="Arial"/>
          <w:sz w:val="22"/>
          <w:szCs w:val="22"/>
          <w:vertAlign w:val="superscript"/>
        </w:rPr>
        <w:t>2</w:t>
      </w:r>
      <w:proofErr w:type="spellEnd"/>
      <w:r w:rsidRPr="000F38F0">
        <w:rPr>
          <w:rFonts w:cs="Arial"/>
          <w:sz w:val="22"/>
          <w:szCs w:val="22"/>
        </w:rPr>
        <w:t xml:space="preserve">. </w:t>
      </w:r>
    </w:p>
    <w:p w:rsidR="0000690B" w:rsidRPr="007522C1" w:rsidRDefault="0000690B" w:rsidP="000F38F0">
      <w:pPr>
        <w:pStyle w:val="Odstavecseseznamem"/>
        <w:numPr>
          <w:ilvl w:val="0"/>
          <w:numId w:val="37"/>
        </w:numPr>
        <w:ind w:left="567" w:hanging="283"/>
        <w:jc w:val="both"/>
        <w:rPr>
          <w:rFonts w:cs="Arial"/>
          <w:sz w:val="22"/>
          <w:szCs w:val="22"/>
        </w:rPr>
      </w:pPr>
      <w:r w:rsidRPr="007522C1">
        <w:rPr>
          <w:rFonts w:cs="Arial"/>
          <w:sz w:val="22"/>
          <w:szCs w:val="22"/>
        </w:rPr>
        <w:t xml:space="preserve">Druhou smlouvu na pronájem pozemku </w:t>
      </w:r>
      <w:r w:rsidR="00A61F35" w:rsidRPr="007522C1">
        <w:rPr>
          <w:rFonts w:cs="Arial"/>
          <w:sz w:val="22"/>
          <w:szCs w:val="22"/>
        </w:rPr>
        <w:t>v </w:t>
      </w:r>
      <w:r w:rsidRPr="007522C1">
        <w:rPr>
          <w:rFonts w:cs="Arial"/>
          <w:sz w:val="22"/>
          <w:szCs w:val="22"/>
        </w:rPr>
        <w:t xml:space="preserve">Rokycanech uzavřelo </w:t>
      </w:r>
      <w:r w:rsidR="005D33A8" w:rsidRPr="007522C1">
        <w:rPr>
          <w:rFonts w:cs="Arial"/>
          <w:sz w:val="22"/>
          <w:szCs w:val="22"/>
        </w:rPr>
        <w:t xml:space="preserve">GŘ v roce 1994 </w:t>
      </w:r>
      <w:r w:rsidR="00A61F35" w:rsidRPr="007522C1">
        <w:rPr>
          <w:rFonts w:cs="Arial"/>
          <w:sz w:val="22"/>
          <w:szCs w:val="22"/>
        </w:rPr>
        <w:t>s </w:t>
      </w:r>
      <w:r w:rsidRPr="007522C1">
        <w:rPr>
          <w:rFonts w:cs="Arial"/>
          <w:sz w:val="22"/>
          <w:szCs w:val="22"/>
        </w:rPr>
        <w:t>platností na 50</w:t>
      </w:r>
      <w:r w:rsidR="005D33A8" w:rsidRPr="007522C1">
        <w:rPr>
          <w:rFonts w:cs="Arial"/>
          <w:sz w:val="22"/>
          <w:szCs w:val="22"/>
        </w:rPr>
        <w:t> </w:t>
      </w:r>
      <w:r w:rsidRPr="007522C1">
        <w:rPr>
          <w:sz w:val="22"/>
          <w:szCs w:val="22"/>
        </w:rPr>
        <w:t>let. Sjednané roční nájemné jednoho m</w:t>
      </w:r>
      <w:r w:rsidRPr="007522C1">
        <w:rPr>
          <w:sz w:val="22"/>
          <w:szCs w:val="22"/>
          <w:vertAlign w:val="superscript"/>
        </w:rPr>
        <w:t>2</w:t>
      </w:r>
      <w:r w:rsidRPr="007522C1">
        <w:rPr>
          <w:sz w:val="22"/>
          <w:szCs w:val="22"/>
        </w:rPr>
        <w:t xml:space="preserve"> pozemku 112,90 Kč zvýšilo </w:t>
      </w:r>
      <w:r w:rsidR="00A61F35" w:rsidRPr="007522C1">
        <w:rPr>
          <w:sz w:val="22"/>
          <w:szCs w:val="22"/>
        </w:rPr>
        <w:t>v </w:t>
      </w:r>
      <w:r w:rsidRPr="007522C1">
        <w:rPr>
          <w:sz w:val="22"/>
          <w:szCs w:val="22"/>
        </w:rPr>
        <w:t xml:space="preserve">roce 1996 na 140,32 Kč, přičemž </w:t>
      </w:r>
      <w:r w:rsidR="00A61F35" w:rsidRPr="007522C1">
        <w:rPr>
          <w:sz w:val="22"/>
          <w:szCs w:val="22"/>
        </w:rPr>
        <w:t>v </w:t>
      </w:r>
      <w:r w:rsidRPr="007522C1">
        <w:rPr>
          <w:sz w:val="22"/>
          <w:szCs w:val="22"/>
        </w:rPr>
        <w:t xml:space="preserve">roce 1997 ho snížilo na 108,06 Kč a </w:t>
      </w:r>
      <w:r w:rsidR="00A61F35" w:rsidRPr="007522C1">
        <w:rPr>
          <w:sz w:val="22"/>
          <w:szCs w:val="22"/>
        </w:rPr>
        <w:t>v </w:t>
      </w:r>
      <w:r w:rsidRPr="007522C1">
        <w:rPr>
          <w:sz w:val="22"/>
          <w:szCs w:val="22"/>
        </w:rPr>
        <w:t xml:space="preserve">roce 2004, kdy byla </w:t>
      </w:r>
      <w:r w:rsidR="005D33A8" w:rsidRPr="007522C1">
        <w:rPr>
          <w:rFonts w:cs="Arial"/>
          <w:sz w:val="22"/>
          <w:szCs w:val="22"/>
        </w:rPr>
        <w:t>zmenšena</w:t>
      </w:r>
      <w:r w:rsidRPr="007522C1">
        <w:rPr>
          <w:rFonts w:cs="Arial"/>
          <w:sz w:val="22"/>
          <w:szCs w:val="22"/>
        </w:rPr>
        <w:t xml:space="preserve"> pronajímaná plocha o 14 %, jej </w:t>
      </w:r>
      <w:r w:rsidR="001F3714" w:rsidRPr="007522C1">
        <w:rPr>
          <w:rFonts w:cs="Arial"/>
          <w:sz w:val="22"/>
          <w:szCs w:val="22"/>
        </w:rPr>
        <w:t>dále</w:t>
      </w:r>
      <w:r w:rsidRPr="007522C1">
        <w:rPr>
          <w:rFonts w:cs="Arial"/>
          <w:sz w:val="22"/>
          <w:szCs w:val="22"/>
        </w:rPr>
        <w:t xml:space="preserve"> snížilo</w:t>
      </w:r>
      <w:r w:rsidR="001F3714" w:rsidRPr="007522C1">
        <w:rPr>
          <w:rFonts w:cs="Arial"/>
          <w:sz w:val="22"/>
          <w:szCs w:val="22"/>
        </w:rPr>
        <w:t xml:space="preserve"> </w:t>
      </w:r>
      <w:r w:rsidRPr="007522C1">
        <w:rPr>
          <w:rFonts w:cs="Arial"/>
          <w:sz w:val="22"/>
          <w:szCs w:val="22"/>
        </w:rPr>
        <w:t>na 37,30 Kč.</w:t>
      </w:r>
      <w:r w:rsidR="001F3714" w:rsidRPr="007522C1">
        <w:rPr>
          <w:rFonts w:cs="Arial"/>
          <w:sz w:val="22"/>
          <w:szCs w:val="22"/>
        </w:rPr>
        <w:t xml:space="preserve"> </w:t>
      </w:r>
      <w:r w:rsidR="00A61F35" w:rsidRPr="007522C1">
        <w:rPr>
          <w:rFonts w:cs="Arial"/>
          <w:b/>
          <w:sz w:val="22"/>
          <w:szCs w:val="22"/>
        </w:rPr>
        <w:t>V </w:t>
      </w:r>
      <w:r w:rsidR="001F3714" w:rsidRPr="007522C1">
        <w:rPr>
          <w:rFonts w:cs="Arial"/>
          <w:b/>
          <w:sz w:val="22"/>
          <w:szCs w:val="22"/>
        </w:rPr>
        <w:t xml:space="preserve">době kontroly tak bylo nájemné o 67 % nižší než </w:t>
      </w:r>
      <w:r w:rsidR="00A61F35" w:rsidRPr="007522C1">
        <w:rPr>
          <w:rFonts w:cs="Arial"/>
          <w:b/>
          <w:sz w:val="22"/>
          <w:szCs w:val="22"/>
        </w:rPr>
        <w:t>v </w:t>
      </w:r>
      <w:r w:rsidR="001F3714" w:rsidRPr="007522C1">
        <w:rPr>
          <w:rFonts w:cs="Arial"/>
          <w:b/>
          <w:sz w:val="22"/>
          <w:szCs w:val="22"/>
        </w:rPr>
        <w:t xml:space="preserve">době uzavření smlouvy </w:t>
      </w:r>
      <w:r w:rsidR="00A61F35" w:rsidRPr="007522C1">
        <w:rPr>
          <w:rFonts w:cs="Arial"/>
          <w:b/>
          <w:sz w:val="22"/>
          <w:szCs w:val="22"/>
        </w:rPr>
        <w:t>v </w:t>
      </w:r>
      <w:r w:rsidR="001F3714" w:rsidRPr="007522C1">
        <w:rPr>
          <w:rFonts w:cs="Arial"/>
          <w:b/>
          <w:sz w:val="22"/>
          <w:szCs w:val="22"/>
        </w:rPr>
        <w:t>roce 1994.</w:t>
      </w:r>
    </w:p>
    <w:p w:rsidR="00EC27BB" w:rsidRPr="000F38F0" w:rsidRDefault="00EC27BB" w:rsidP="000F38F0">
      <w:pPr>
        <w:pStyle w:val="Odstavecseseznamem"/>
        <w:numPr>
          <w:ilvl w:val="0"/>
          <w:numId w:val="37"/>
        </w:numPr>
        <w:ind w:left="567" w:hanging="283"/>
        <w:jc w:val="both"/>
        <w:rPr>
          <w:rFonts w:cs="Arial"/>
          <w:sz w:val="22"/>
          <w:szCs w:val="22"/>
        </w:rPr>
      </w:pPr>
      <w:r w:rsidRPr="000F38F0">
        <w:rPr>
          <w:rFonts w:cs="Arial"/>
          <w:sz w:val="22"/>
          <w:szCs w:val="22"/>
        </w:rPr>
        <w:t xml:space="preserve">Třetí smlouvu </w:t>
      </w:r>
      <w:r w:rsidR="001F3714" w:rsidRPr="000F38F0">
        <w:rPr>
          <w:rFonts w:cs="Arial"/>
          <w:sz w:val="22"/>
          <w:szCs w:val="22"/>
        </w:rPr>
        <w:t xml:space="preserve">na pronájem pozemku ve Vrbové Lhotě </w:t>
      </w:r>
      <w:r w:rsidRPr="000F38F0">
        <w:rPr>
          <w:rFonts w:cs="Arial"/>
          <w:sz w:val="22"/>
          <w:szCs w:val="22"/>
        </w:rPr>
        <w:t xml:space="preserve">uzavřelo </w:t>
      </w:r>
      <w:r w:rsidR="005D33A8">
        <w:rPr>
          <w:rFonts w:cs="Arial"/>
          <w:sz w:val="22"/>
          <w:szCs w:val="22"/>
        </w:rPr>
        <w:t xml:space="preserve">GŘ </w:t>
      </w:r>
      <w:r w:rsidR="00A61F35" w:rsidRPr="000F38F0">
        <w:rPr>
          <w:rFonts w:cs="Arial"/>
          <w:sz w:val="22"/>
          <w:szCs w:val="22"/>
        </w:rPr>
        <w:t>v </w:t>
      </w:r>
      <w:r w:rsidRPr="000F38F0">
        <w:rPr>
          <w:rFonts w:cs="Arial"/>
          <w:sz w:val="22"/>
          <w:szCs w:val="22"/>
        </w:rPr>
        <w:t xml:space="preserve">roce 2012 </w:t>
      </w:r>
      <w:r w:rsidR="00A61F35" w:rsidRPr="000F38F0">
        <w:rPr>
          <w:rFonts w:cs="Arial"/>
          <w:sz w:val="22"/>
          <w:szCs w:val="22"/>
        </w:rPr>
        <w:t>s </w:t>
      </w:r>
      <w:r w:rsidRPr="000F38F0">
        <w:rPr>
          <w:rFonts w:cs="Arial"/>
          <w:sz w:val="22"/>
          <w:szCs w:val="22"/>
        </w:rPr>
        <w:t>ročním nájemným jednoho m</w:t>
      </w:r>
      <w:r w:rsidRPr="000F38F0">
        <w:rPr>
          <w:rFonts w:cs="Arial"/>
          <w:sz w:val="22"/>
          <w:szCs w:val="22"/>
          <w:vertAlign w:val="superscript"/>
        </w:rPr>
        <w:t>2</w:t>
      </w:r>
      <w:r w:rsidRPr="000F38F0">
        <w:rPr>
          <w:rFonts w:cs="Arial"/>
          <w:sz w:val="22"/>
          <w:szCs w:val="22"/>
        </w:rPr>
        <w:t xml:space="preserve"> pozemku 83,92 Kč. </w:t>
      </w:r>
    </w:p>
    <w:p w:rsidR="00EC27BB" w:rsidRDefault="00EC27BB" w:rsidP="000F38F0">
      <w:pPr>
        <w:jc w:val="both"/>
        <w:rPr>
          <w:rFonts w:cs="Arial"/>
          <w:sz w:val="22"/>
          <w:szCs w:val="22"/>
        </w:rPr>
      </w:pPr>
    </w:p>
    <w:p w:rsidR="001F3714" w:rsidRDefault="00E344F8" w:rsidP="000F38F0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1F3714">
        <w:rPr>
          <w:rFonts w:cs="Arial"/>
          <w:sz w:val="22"/>
          <w:szCs w:val="22"/>
        </w:rPr>
        <w:t xml:space="preserve">Závod Praha pronajal </w:t>
      </w:r>
      <w:r w:rsidR="00A61F35">
        <w:rPr>
          <w:rFonts w:cs="Arial"/>
          <w:sz w:val="22"/>
          <w:szCs w:val="22"/>
        </w:rPr>
        <w:t>v </w:t>
      </w:r>
      <w:r w:rsidR="001F3714">
        <w:rPr>
          <w:rFonts w:cs="Arial"/>
          <w:sz w:val="22"/>
          <w:szCs w:val="22"/>
        </w:rPr>
        <w:t xml:space="preserve">jednom případě od roku 2002 pozemek za účelem provozování čerpací stanice </w:t>
      </w:r>
      <w:r w:rsidR="00A61F35">
        <w:rPr>
          <w:rFonts w:cs="Arial"/>
          <w:sz w:val="22"/>
          <w:szCs w:val="22"/>
        </w:rPr>
        <w:t>v </w:t>
      </w:r>
      <w:r w:rsidR="001F3714">
        <w:rPr>
          <w:rFonts w:cs="Arial"/>
          <w:sz w:val="22"/>
          <w:szCs w:val="22"/>
        </w:rPr>
        <w:t>Liš</w:t>
      </w:r>
      <w:r w:rsidR="0012031D">
        <w:rPr>
          <w:rFonts w:cs="Arial"/>
          <w:sz w:val="22"/>
          <w:szCs w:val="22"/>
        </w:rPr>
        <w:t>n</w:t>
      </w:r>
      <w:r w:rsidR="001F3714">
        <w:rPr>
          <w:rFonts w:cs="Arial"/>
          <w:sz w:val="22"/>
          <w:szCs w:val="22"/>
        </w:rPr>
        <w:t>icích u Prahy za roční nájemné 245,38 Kč/m</w:t>
      </w:r>
      <w:r w:rsidR="001F3714">
        <w:rPr>
          <w:rFonts w:cs="Arial"/>
          <w:sz w:val="22"/>
          <w:szCs w:val="22"/>
          <w:vertAlign w:val="superscript"/>
        </w:rPr>
        <w:t>2</w:t>
      </w:r>
      <w:r w:rsidR="001F3714">
        <w:rPr>
          <w:rFonts w:cs="Arial"/>
          <w:sz w:val="22"/>
          <w:szCs w:val="22"/>
        </w:rPr>
        <w:t xml:space="preserve">. </w:t>
      </w:r>
      <w:r w:rsidR="00A61F35">
        <w:rPr>
          <w:rFonts w:cs="Arial"/>
          <w:sz w:val="22"/>
          <w:szCs w:val="22"/>
        </w:rPr>
        <w:t>V </w:t>
      </w:r>
      <w:r w:rsidR="001F3714">
        <w:rPr>
          <w:rFonts w:cs="Arial"/>
          <w:sz w:val="22"/>
          <w:szCs w:val="22"/>
        </w:rPr>
        <w:t xml:space="preserve">dalších případech pronájmů pozemků </w:t>
      </w:r>
      <w:r w:rsidR="00A61F35">
        <w:rPr>
          <w:rFonts w:cs="Arial"/>
          <w:sz w:val="22"/>
          <w:szCs w:val="22"/>
        </w:rPr>
        <w:t>v </w:t>
      </w:r>
      <w:r w:rsidR="001F3714">
        <w:rPr>
          <w:rFonts w:cs="Arial"/>
          <w:sz w:val="22"/>
          <w:szCs w:val="22"/>
        </w:rPr>
        <w:t xml:space="preserve">Mladé Boleslavi a </w:t>
      </w:r>
      <w:r w:rsidR="00A61F35">
        <w:rPr>
          <w:rFonts w:cs="Arial"/>
          <w:sz w:val="22"/>
          <w:szCs w:val="22"/>
        </w:rPr>
        <w:t>v </w:t>
      </w:r>
      <w:r w:rsidR="001F3714">
        <w:rPr>
          <w:rFonts w:cs="Arial"/>
          <w:sz w:val="22"/>
          <w:szCs w:val="22"/>
        </w:rPr>
        <w:t>Kolešově za stejným účelem činilo roční nájemné 83,46 Kč/</w:t>
      </w:r>
      <w:proofErr w:type="spellStart"/>
      <w:r w:rsidR="001F3714">
        <w:rPr>
          <w:rFonts w:cs="Arial"/>
          <w:sz w:val="22"/>
          <w:szCs w:val="22"/>
        </w:rPr>
        <w:t>m</w:t>
      </w:r>
      <w:r w:rsidR="001F3714">
        <w:rPr>
          <w:rFonts w:cs="Arial"/>
          <w:sz w:val="22"/>
          <w:szCs w:val="22"/>
          <w:vertAlign w:val="superscript"/>
        </w:rPr>
        <w:t>2</w:t>
      </w:r>
      <w:proofErr w:type="spellEnd"/>
      <w:r w:rsidR="001F3714">
        <w:rPr>
          <w:rFonts w:cs="Arial"/>
          <w:sz w:val="22"/>
          <w:szCs w:val="22"/>
        </w:rPr>
        <w:t xml:space="preserve"> a 72,49 Kč/</w:t>
      </w:r>
      <w:proofErr w:type="spellStart"/>
      <w:r w:rsidR="001F3714">
        <w:rPr>
          <w:rFonts w:cs="Arial"/>
          <w:sz w:val="22"/>
          <w:szCs w:val="22"/>
        </w:rPr>
        <w:t>m</w:t>
      </w:r>
      <w:r w:rsidR="001F3714">
        <w:rPr>
          <w:rFonts w:cs="Arial"/>
          <w:sz w:val="22"/>
          <w:szCs w:val="22"/>
          <w:vertAlign w:val="superscript"/>
        </w:rPr>
        <w:t>2</w:t>
      </w:r>
      <w:proofErr w:type="spellEnd"/>
      <w:r w:rsidR="001F3714">
        <w:rPr>
          <w:rFonts w:cs="Arial"/>
          <w:sz w:val="22"/>
          <w:szCs w:val="22"/>
        </w:rPr>
        <w:t>.</w:t>
      </w:r>
    </w:p>
    <w:p w:rsidR="001F3714" w:rsidRDefault="00E344F8" w:rsidP="000F38F0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1F3714">
        <w:rPr>
          <w:rFonts w:cs="Arial"/>
          <w:sz w:val="22"/>
          <w:szCs w:val="22"/>
        </w:rPr>
        <w:t>Obdobn</w:t>
      </w:r>
      <w:r>
        <w:rPr>
          <w:rFonts w:cs="Arial"/>
          <w:sz w:val="22"/>
          <w:szCs w:val="22"/>
        </w:rPr>
        <w:t>ý</w:t>
      </w:r>
      <w:r w:rsidR="001F3714">
        <w:rPr>
          <w:rFonts w:cs="Arial"/>
          <w:sz w:val="22"/>
          <w:szCs w:val="22"/>
        </w:rPr>
        <w:t xml:space="preserve"> rozptyl </w:t>
      </w:r>
      <w:r>
        <w:rPr>
          <w:rFonts w:cs="Arial"/>
          <w:sz w:val="22"/>
          <w:szCs w:val="22"/>
        </w:rPr>
        <w:t xml:space="preserve">ve výši </w:t>
      </w:r>
      <w:r w:rsidR="001F3714">
        <w:rPr>
          <w:rFonts w:cs="Arial"/>
          <w:sz w:val="22"/>
          <w:szCs w:val="22"/>
        </w:rPr>
        <w:t>nájemného byl zjištěn u pronájmů ploch za účelem provozování stravovacích a občerstvovacích</w:t>
      </w:r>
      <w:r w:rsidR="006903B8">
        <w:rPr>
          <w:rFonts w:cs="Arial"/>
          <w:sz w:val="22"/>
          <w:szCs w:val="22"/>
        </w:rPr>
        <w:t xml:space="preserve"> služeb. </w:t>
      </w:r>
    </w:p>
    <w:p w:rsidR="001F3714" w:rsidRDefault="001F3714" w:rsidP="00B32467">
      <w:pPr>
        <w:ind w:left="709"/>
        <w:jc w:val="both"/>
        <w:rPr>
          <w:rFonts w:cs="Arial"/>
          <w:sz w:val="22"/>
          <w:szCs w:val="22"/>
        </w:rPr>
      </w:pPr>
    </w:p>
    <w:p w:rsidR="002E0746" w:rsidRDefault="007D62BF" w:rsidP="007D62B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ŘSD přitom neprokázalo, že by při stanovování výše nájemného </w:t>
      </w:r>
      <w:r w:rsidR="00A61F35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příslušných lokalitách vycházelo například ze zájmu o</w:t>
      </w:r>
      <w:r w:rsidR="007945D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provozování obchodních aktivit nebo </w:t>
      </w:r>
      <w:r w:rsidR="00A61F35">
        <w:rPr>
          <w:rFonts w:cs="Arial"/>
          <w:sz w:val="22"/>
          <w:szCs w:val="22"/>
        </w:rPr>
        <w:t>z </w:t>
      </w:r>
      <w:r>
        <w:rPr>
          <w:rFonts w:cs="Arial"/>
          <w:sz w:val="22"/>
          <w:szCs w:val="22"/>
        </w:rPr>
        <w:t xml:space="preserve">odůvodněné potřebnosti zajištění příslušných služeb motoristům. </w:t>
      </w:r>
      <w:r w:rsidR="002E0746">
        <w:rPr>
          <w:rFonts w:cs="Arial"/>
          <w:sz w:val="22"/>
          <w:szCs w:val="22"/>
        </w:rPr>
        <w:t>Například Správa Jihlava</w:t>
      </w:r>
      <w:r w:rsidR="00F076D2">
        <w:rPr>
          <w:rFonts w:cs="Arial"/>
          <w:sz w:val="22"/>
          <w:szCs w:val="22"/>
        </w:rPr>
        <w:t xml:space="preserve"> </w:t>
      </w:r>
      <w:r w:rsidR="002E0746">
        <w:rPr>
          <w:rFonts w:cs="Arial"/>
          <w:sz w:val="22"/>
          <w:szCs w:val="22"/>
        </w:rPr>
        <w:t xml:space="preserve">odůvodnila </w:t>
      </w:r>
      <w:r w:rsidR="00F076D2">
        <w:rPr>
          <w:rFonts w:cs="Arial"/>
          <w:sz w:val="22"/>
          <w:szCs w:val="22"/>
        </w:rPr>
        <w:t xml:space="preserve">nižší nájemné </w:t>
      </w:r>
      <w:r w:rsidR="002E0746">
        <w:rPr>
          <w:rFonts w:cs="Arial"/>
          <w:sz w:val="22"/>
          <w:szCs w:val="22"/>
        </w:rPr>
        <w:t>u</w:t>
      </w:r>
      <w:r w:rsidR="007945D9">
        <w:rPr>
          <w:rFonts w:cs="Arial"/>
          <w:sz w:val="22"/>
          <w:szCs w:val="22"/>
        </w:rPr>
        <w:t xml:space="preserve"> </w:t>
      </w:r>
      <w:r w:rsidR="002E0746">
        <w:rPr>
          <w:rFonts w:cs="Arial"/>
          <w:sz w:val="22"/>
          <w:szCs w:val="22"/>
        </w:rPr>
        <w:t>pozemků</w:t>
      </w:r>
      <w:r w:rsidR="00F076D2">
        <w:rPr>
          <w:rFonts w:cs="Arial"/>
          <w:sz w:val="22"/>
          <w:szCs w:val="22"/>
        </w:rPr>
        <w:t xml:space="preserve"> pronajatých</w:t>
      </w:r>
      <w:r w:rsidR="002E0746">
        <w:rPr>
          <w:rFonts w:cs="Arial"/>
          <w:sz w:val="22"/>
          <w:szCs w:val="22"/>
        </w:rPr>
        <w:t xml:space="preserve"> </w:t>
      </w:r>
      <w:r w:rsidR="00F076D2">
        <w:rPr>
          <w:rFonts w:cs="Arial"/>
          <w:sz w:val="22"/>
          <w:szCs w:val="22"/>
        </w:rPr>
        <w:t xml:space="preserve">pro umístění reklamních zařízení reklamní společnosti </w:t>
      </w:r>
      <w:r w:rsidR="002E0746">
        <w:rPr>
          <w:rFonts w:cs="Arial"/>
          <w:sz w:val="22"/>
          <w:szCs w:val="22"/>
        </w:rPr>
        <w:t>o</w:t>
      </w:r>
      <w:r w:rsidR="00E344F8">
        <w:rPr>
          <w:rFonts w:cs="Arial"/>
          <w:sz w:val="22"/>
          <w:szCs w:val="22"/>
        </w:rPr>
        <w:t> </w:t>
      </w:r>
      <w:r w:rsidR="002E0746">
        <w:rPr>
          <w:rFonts w:cs="Arial"/>
          <w:sz w:val="22"/>
          <w:szCs w:val="22"/>
        </w:rPr>
        <w:t xml:space="preserve">38 % </w:t>
      </w:r>
      <w:r w:rsidR="00E344F8">
        <w:rPr>
          <w:rFonts w:cs="Arial"/>
          <w:sz w:val="22"/>
          <w:szCs w:val="22"/>
        </w:rPr>
        <w:t>o</w:t>
      </w:r>
      <w:r w:rsidR="002E0746">
        <w:rPr>
          <w:rFonts w:cs="Arial"/>
          <w:sz w:val="22"/>
          <w:szCs w:val="22"/>
        </w:rPr>
        <w:t xml:space="preserve">proti nájemnému </w:t>
      </w:r>
      <w:r w:rsidR="00E344F8">
        <w:rPr>
          <w:rFonts w:cs="Arial"/>
          <w:sz w:val="22"/>
          <w:szCs w:val="22"/>
        </w:rPr>
        <w:t xml:space="preserve">požadovanému po </w:t>
      </w:r>
      <w:r w:rsidR="002E0746">
        <w:rPr>
          <w:rFonts w:cs="Arial"/>
          <w:sz w:val="22"/>
          <w:szCs w:val="22"/>
        </w:rPr>
        <w:t>podnikateli, který</w:t>
      </w:r>
      <w:r w:rsidR="00C12734">
        <w:rPr>
          <w:rFonts w:cs="Arial"/>
          <w:sz w:val="22"/>
          <w:szCs w:val="22"/>
        </w:rPr>
        <w:t xml:space="preserve"> na reklamním zařízení</w:t>
      </w:r>
      <w:r w:rsidR="002E0746">
        <w:rPr>
          <w:rFonts w:cs="Arial"/>
          <w:sz w:val="22"/>
          <w:szCs w:val="22"/>
        </w:rPr>
        <w:t xml:space="preserve"> propagoval své výrobky,</w:t>
      </w:r>
      <w:r w:rsidR="00C12734">
        <w:rPr>
          <w:rFonts w:cs="Arial"/>
          <w:sz w:val="22"/>
          <w:szCs w:val="22"/>
        </w:rPr>
        <w:t xml:space="preserve"> nedostatečně</w:t>
      </w:r>
      <w:r w:rsidR="002E0746">
        <w:rPr>
          <w:rFonts w:cs="Arial"/>
          <w:sz w:val="22"/>
          <w:szCs w:val="22"/>
        </w:rPr>
        <w:t xml:space="preserve"> tím, že by navýšení nájmu mělo pro </w:t>
      </w:r>
      <w:r w:rsidR="00C12734">
        <w:rPr>
          <w:rFonts w:cs="Arial"/>
          <w:sz w:val="22"/>
          <w:szCs w:val="22"/>
        </w:rPr>
        <w:t>reklamní společnost</w:t>
      </w:r>
      <w:r w:rsidR="002E0746">
        <w:rPr>
          <w:rFonts w:cs="Arial"/>
          <w:sz w:val="22"/>
          <w:szCs w:val="22"/>
        </w:rPr>
        <w:t xml:space="preserve"> negativní ekonomický dopad.</w:t>
      </w:r>
    </w:p>
    <w:p w:rsidR="002E0746" w:rsidRDefault="002E0746" w:rsidP="007D62BF">
      <w:pPr>
        <w:jc w:val="both"/>
        <w:rPr>
          <w:rFonts w:cs="Arial"/>
          <w:sz w:val="22"/>
          <w:szCs w:val="22"/>
        </w:rPr>
      </w:pPr>
    </w:p>
    <w:p w:rsidR="006B3FF0" w:rsidRDefault="00550CA9" w:rsidP="006B3FF0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4.3 </w:t>
      </w:r>
      <w:r w:rsidR="006B3FF0" w:rsidRPr="007511CF">
        <w:rPr>
          <w:rFonts w:cs="Arial"/>
          <w:b/>
          <w:sz w:val="22"/>
          <w:szCs w:val="22"/>
        </w:rPr>
        <w:t xml:space="preserve">Správa Plzeň </w:t>
      </w:r>
      <w:r w:rsidR="006B3FF0">
        <w:rPr>
          <w:rFonts w:cs="Arial"/>
          <w:b/>
          <w:sz w:val="22"/>
          <w:szCs w:val="22"/>
        </w:rPr>
        <w:t xml:space="preserve">nesjednala </w:t>
      </w:r>
      <w:r w:rsidR="00A61F35">
        <w:rPr>
          <w:rFonts w:cs="Arial"/>
          <w:b/>
          <w:sz w:val="22"/>
          <w:szCs w:val="22"/>
        </w:rPr>
        <w:t>v </w:t>
      </w:r>
      <w:r w:rsidR="006B3FF0">
        <w:rPr>
          <w:rFonts w:cs="Arial"/>
          <w:b/>
          <w:sz w:val="22"/>
          <w:szCs w:val="22"/>
        </w:rPr>
        <w:t xml:space="preserve">nájemních smlouvách na </w:t>
      </w:r>
      <w:r w:rsidR="006B3FF0" w:rsidRPr="007511CF">
        <w:rPr>
          <w:rFonts w:cs="Arial"/>
          <w:b/>
          <w:sz w:val="22"/>
          <w:szCs w:val="22"/>
        </w:rPr>
        <w:t>pr</w:t>
      </w:r>
      <w:r w:rsidR="006B3FF0">
        <w:rPr>
          <w:rFonts w:cs="Arial"/>
          <w:b/>
          <w:sz w:val="22"/>
          <w:szCs w:val="22"/>
        </w:rPr>
        <w:t>oná</w:t>
      </w:r>
      <w:r w:rsidR="006B3FF0" w:rsidRPr="007511CF">
        <w:rPr>
          <w:rFonts w:cs="Arial"/>
          <w:b/>
          <w:sz w:val="22"/>
          <w:szCs w:val="22"/>
        </w:rPr>
        <w:t>j</w:t>
      </w:r>
      <w:r w:rsidR="006B3FF0">
        <w:rPr>
          <w:rFonts w:cs="Arial"/>
          <w:b/>
          <w:sz w:val="22"/>
          <w:szCs w:val="22"/>
        </w:rPr>
        <w:t xml:space="preserve">em </w:t>
      </w:r>
      <w:r w:rsidR="006B3FF0" w:rsidRPr="007511CF">
        <w:rPr>
          <w:rFonts w:cs="Arial"/>
          <w:b/>
          <w:sz w:val="22"/>
          <w:szCs w:val="22"/>
        </w:rPr>
        <w:t>kanceláří</w:t>
      </w:r>
      <w:r w:rsidR="006B3FF0">
        <w:rPr>
          <w:rFonts w:cs="Arial"/>
          <w:sz w:val="22"/>
          <w:szCs w:val="22"/>
        </w:rPr>
        <w:t xml:space="preserve"> </w:t>
      </w:r>
      <w:r w:rsidR="006B3FF0">
        <w:rPr>
          <w:rFonts w:cs="Arial"/>
          <w:b/>
          <w:sz w:val="22"/>
          <w:szCs w:val="22"/>
        </w:rPr>
        <w:t xml:space="preserve">valorizaci nájemného. </w:t>
      </w:r>
      <w:r w:rsidR="006B3FF0">
        <w:rPr>
          <w:rFonts w:cs="Arial"/>
          <w:sz w:val="22"/>
          <w:szCs w:val="22"/>
        </w:rPr>
        <w:t xml:space="preserve">Tím snížila výnosy </w:t>
      </w:r>
      <w:r w:rsidR="00A61F35">
        <w:rPr>
          <w:rFonts w:cs="Arial"/>
          <w:sz w:val="22"/>
          <w:szCs w:val="22"/>
        </w:rPr>
        <w:t>z </w:t>
      </w:r>
      <w:r w:rsidR="006B3FF0">
        <w:rPr>
          <w:rFonts w:cs="Arial"/>
          <w:sz w:val="22"/>
          <w:szCs w:val="22"/>
        </w:rPr>
        <w:t>pronajímaného majetku za</w:t>
      </w:r>
      <w:r w:rsidR="000C40F4">
        <w:rPr>
          <w:rFonts w:cs="Arial"/>
          <w:sz w:val="22"/>
          <w:szCs w:val="22"/>
        </w:rPr>
        <w:t xml:space="preserve"> období platnosti smluv o 165,6</w:t>
      </w:r>
      <w:r w:rsidR="00F666B9">
        <w:rPr>
          <w:rFonts w:cs="Arial"/>
          <w:sz w:val="22"/>
          <w:szCs w:val="22"/>
        </w:rPr>
        <w:t> </w:t>
      </w:r>
      <w:r w:rsidR="006B3FF0">
        <w:rPr>
          <w:rFonts w:cs="Arial"/>
          <w:sz w:val="22"/>
          <w:szCs w:val="22"/>
        </w:rPr>
        <w:t>tis.</w:t>
      </w:r>
      <w:r w:rsidR="001F6A6B">
        <w:rPr>
          <w:rFonts w:cs="Arial"/>
          <w:sz w:val="22"/>
          <w:szCs w:val="22"/>
        </w:rPr>
        <w:t> </w:t>
      </w:r>
      <w:r w:rsidR="006B3FF0">
        <w:rPr>
          <w:rFonts w:cs="Arial"/>
          <w:sz w:val="22"/>
          <w:szCs w:val="22"/>
        </w:rPr>
        <w:t xml:space="preserve">Kč. </w:t>
      </w:r>
    </w:p>
    <w:p w:rsidR="006B3FF0" w:rsidRDefault="006B3FF0" w:rsidP="001671F8">
      <w:pPr>
        <w:jc w:val="both"/>
        <w:rPr>
          <w:rFonts w:cs="Arial"/>
          <w:b/>
          <w:sz w:val="22"/>
          <w:szCs w:val="22"/>
        </w:rPr>
      </w:pPr>
    </w:p>
    <w:p w:rsidR="00127658" w:rsidRDefault="00550CA9" w:rsidP="001671F8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4.4 </w:t>
      </w:r>
      <w:r w:rsidR="00127658" w:rsidRPr="00127658">
        <w:rPr>
          <w:rFonts w:cs="Arial"/>
          <w:b/>
          <w:sz w:val="22"/>
          <w:szCs w:val="22"/>
        </w:rPr>
        <w:t>GŘ neuplatnilo sankci</w:t>
      </w:r>
      <w:r w:rsidR="00127658">
        <w:rPr>
          <w:rFonts w:cs="Arial"/>
          <w:sz w:val="22"/>
          <w:szCs w:val="22"/>
        </w:rPr>
        <w:t xml:space="preserve"> </w:t>
      </w:r>
      <w:r w:rsidR="00A61F35">
        <w:rPr>
          <w:rFonts w:cs="Arial"/>
          <w:sz w:val="22"/>
          <w:szCs w:val="22"/>
        </w:rPr>
        <w:t>v </w:t>
      </w:r>
      <w:r w:rsidR="00127658">
        <w:rPr>
          <w:rFonts w:cs="Arial"/>
          <w:sz w:val="22"/>
          <w:szCs w:val="22"/>
        </w:rPr>
        <w:t>celkové výši 25,5 tis. Kč vůči nájemci, který uhradil dlužné nájemné za dva roky ve výši 2</w:t>
      </w:r>
      <w:r w:rsidR="007945D9">
        <w:rPr>
          <w:rFonts w:cs="Arial"/>
          <w:sz w:val="22"/>
          <w:szCs w:val="22"/>
        </w:rPr>
        <w:t xml:space="preserve"> </w:t>
      </w:r>
      <w:r w:rsidR="00127658">
        <w:rPr>
          <w:rFonts w:cs="Arial"/>
          <w:sz w:val="22"/>
          <w:szCs w:val="22"/>
        </w:rPr>
        <w:t xml:space="preserve">317 tis. Kč </w:t>
      </w:r>
      <w:r w:rsidR="00A61F35">
        <w:rPr>
          <w:rFonts w:cs="Arial"/>
          <w:sz w:val="22"/>
          <w:szCs w:val="22"/>
        </w:rPr>
        <w:t>s </w:t>
      </w:r>
      <w:r w:rsidR="00127658">
        <w:rPr>
          <w:rFonts w:cs="Arial"/>
          <w:sz w:val="22"/>
          <w:szCs w:val="22"/>
        </w:rPr>
        <w:t>prodlením 22 dnů.</w:t>
      </w:r>
    </w:p>
    <w:p w:rsidR="006068B1" w:rsidRDefault="006068B1" w:rsidP="001671F8">
      <w:pPr>
        <w:jc w:val="both"/>
        <w:rPr>
          <w:rFonts w:cs="Arial"/>
          <w:sz w:val="22"/>
          <w:szCs w:val="22"/>
        </w:rPr>
      </w:pPr>
    </w:p>
    <w:p w:rsidR="00E01C18" w:rsidRDefault="00E01C18" w:rsidP="001671F8">
      <w:pPr>
        <w:jc w:val="both"/>
        <w:rPr>
          <w:rFonts w:cs="Arial"/>
          <w:sz w:val="22"/>
          <w:szCs w:val="22"/>
        </w:rPr>
      </w:pPr>
    </w:p>
    <w:p w:rsidR="007522C1" w:rsidRDefault="007522C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2A31B4" w:rsidRPr="00EE300F" w:rsidRDefault="009C1291" w:rsidP="00F1578B">
      <w:pPr>
        <w:jc w:val="center"/>
        <w:rPr>
          <w:rFonts w:cs="Arial"/>
        </w:rPr>
      </w:pPr>
      <w:r w:rsidRPr="00EE300F">
        <w:rPr>
          <w:rFonts w:cs="Arial"/>
          <w:b/>
        </w:rPr>
        <w:lastRenderedPageBreak/>
        <w:t>III. Shrnutí a vyhodnocení</w:t>
      </w:r>
    </w:p>
    <w:p w:rsidR="00CA4CC3" w:rsidRDefault="00CA4CC3" w:rsidP="002041DA">
      <w:pPr>
        <w:jc w:val="both"/>
        <w:rPr>
          <w:rFonts w:cs="Arial"/>
          <w:sz w:val="22"/>
          <w:szCs w:val="22"/>
        </w:rPr>
      </w:pPr>
    </w:p>
    <w:p w:rsidR="0047213F" w:rsidRPr="0047213F" w:rsidRDefault="00FA6ABB" w:rsidP="0047213F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Kontrolováno bylo hospodaření </w:t>
      </w:r>
      <w:r w:rsidR="00A61F35">
        <w:rPr>
          <w:rFonts w:cs="Arial"/>
          <w:b/>
          <w:sz w:val="22"/>
          <w:szCs w:val="22"/>
        </w:rPr>
        <w:t>s </w:t>
      </w:r>
      <w:r>
        <w:rPr>
          <w:rFonts w:cs="Arial"/>
          <w:b/>
          <w:sz w:val="22"/>
          <w:szCs w:val="22"/>
        </w:rPr>
        <w:t xml:space="preserve">peněžními prostředky a majetkem státu u ŘSD </w:t>
      </w:r>
      <w:r w:rsidR="00F946C5">
        <w:rPr>
          <w:rFonts w:cs="Arial"/>
          <w:b/>
          <w:sz w:val="22"/>
          <w:szCs w:val="22"/>
        </w:rPr>
        <w:t xml:space="preserve">v činnostech, které přímo nesouvisí </w:t>
      </w:r>
      <w:r w:rsidR="00A61F35">
        <w:rPr>
          <w:rFonts w:cs="Arial"/>
          <w:b/>
          <w:sz w:val="22"/>
          <w:szCs w:val="22"/>
        </w:rPr>
        <w:t>s </w:t>
      </w:r>
      <w:r w:rsidR="00F946C5">
        <w:rPr>
          <w:rFonts w:cs="Arial"/>
          <w:b/>
          <w:sz w:val="22"/>
          <w:szCs w:val="22"/>
        </w:rPr>
        <w:t>činnostmi na dálnicích a silnicích I. třídy.</w:t>
      </w:r>
      <w:r>
        <w:rPr>
          <w:rFonts w:cs="Arial"/>
          <w:b/>
          <w:sz w:val="22"/>
          <w:szCs w:val="22"/>
        </w:rPr>
        <w:t xml:space="preserve"> Kontrola byla provedena u </w:t>
      </w:r>
      <w:r w:rsidR="00E344F8">
        <w:rPr>
          <w:rFonts w:cs="Arial"/>
          <w:b/>
          <w:sz w:val="22"/>
          <w:szCs w:val="22"/>
        </w:rPr>
        <w:t>sedmi ze čtrnácti</w:t>
      </w:r>
      <w:r>
        <w:rPr>
          <w:rFonts w:cs="Arial"/>
          <w:b/>
          <w:sz w:val="22"/>
          <w:szCs w:val="22"/>
        </w:rPr>
        <w:t xml:space="preserve"> samostatných vnitřních organizačních složek </w:t>
      </w:r>
      <w:proofErr w:type="spellStart"/>
      <w:r>
        <w:rPr>
          <w:rFonts w:cs="Arial"/>
          <w:b/>
          <w:sz w:val="22"/>
          <w:szCs w:val="22"/>
        </w:rPr>
        <w:t>ŘSD</w:t>
      </w:r>
      <w:proofErr w:type="spellEnd"/>
      <w:r>
        <w:rPr>
          <w:rFonts w:cs="Arial"/>
          <w:b/>
          <w:sz w:val="22"/>
          <w:szCs w:val="22"/>
        </w:rPr>
        <w:t xml:space="preserve">, konkrétně na </w:t>
      </w:r>
      <w:proofErr w:type="spellStart"/>
      <w:r>
        <w:rPr>
          <w:rFonts w:cs="Arial"/>
          <w:b/>
          <w:sz w:val="22"/>
          <w:szCs w:val="22"/>
        </w:rPr>
        <w:t>GŘ</w:t>
      </w:r>
      <w:proofErr w:type="spellEnd"/>
      <w:r>
        <w:rPr>
          <w:rFonts w:cs="Arial"/>
          <w:b/>
          <w:sz w:val="22"/>
          <w:szCs w:val="22"/>
        </w:rPr>
        <w:t xml:space="preserve"> a ředitelstvích závodů Brno a Praha a ředitelstvích správ Jihlava, Karlovy Vary, Pardubice a Plzeň. Prověřovány </w:t>
      </w:r>
      <w:r w:rsidR="0047213F" w:rsidRPr="0047213F">
        <w:rPr>
          <w:rFonts w:cs="Arial"/>
          <w:b/>
          <w:sz w:val="22"/>
          <w:szCs w:val="22"/>
        </w:rPr>
        <w:t>byly</w:t>
      </w:r>
      <w:r>
        <w:rPr>
          <w:rFonts w:cs="Arial"/>
          <w:b/>
          <w:sz w:val="22"/>
          <w:szCs w:val="22"/>
        </w:rPr>
        <w:t xml:space="preserve"> </w:t>
      </w:r>
      <w:r w:rsidR="0047213F" w:rsidRPr="0047213F">
        <w:rPr>
          <w:rFonts w:cs="Arial"/>
          <w:b/>
          <w:sz w:val="22"/>
          <w:szCs w:val="22"/>
        </w:rPr>
        <w:t>vybrané nákladové položky z oblas</w:t>
      </w:r>
      <w:r w:rsidR="0047213F">
        <w:rPr>
          <w:rFonts w:cs="Arial"/>
          <w:b/>
          <w:sz w:val="22"/>
          <w:szCs w:val="22"/>
        </w:rPr>
        <w:t>tí spotřeby materiálu, oprav a</w:t>
      </w:r>
      <w:r w:rsidR="007945D9">
        <w:rPr>
          <w:rFonts w:cs="Arial"/>
          <w:b/>
          <w:sz w:val="22"/>
          <w:szCs w:val="22"/>
        </w:rPr>
        <w:t xml:space="preserve"> </w:t>
      </w:r>
      <w:r w:rsidR="0047213F" w:rsidRPr="0047213F">
        <w:rPr>
          <w:rFonts w:cs="Arial"/>
          <w:b/>
          <w:sz w:val="22"/>
          <w:szCs w:val="22"/>
        </w:rPr>
        <w:t>udržování</w:t>
      </w:r>
      <w:r w:rsidR="0047213F">
        <w:rPr>
          <w:rFonts w:cs="Arial"/>
          <w:b/>
          <w:sz w:val="22"/>
          <w:szCs w:val="22"/>
        </w:rPr>
        <w:t>, nákupů služeb a mezd a</w:t>
      </w:r>
      <w:r w:rsidR="00BA441E">
        <w:rPr>
          <w:rFonts w:cs="Arial"/>
          <w:b/>
          <w:sz w:val="22"/>
          <w:szCs w:val="22"/>
        </w:rPr>
        <w:t xml:space="preserve"> dále </w:t>
      </w:r>
      <w:r w:rsidR="0047213F" w:rsidRPr="0047213F">
        <w:rPr>
          <w:rFonts w:cs="Arial"/>
          <w:b/>
          <w:sz w:val="22"/>
          <w:szCs w:val="22"/>
        </w:rPr>
        <w:t xml:space="preserve">hospodaření </w:t>
      </w:r>
      <w:r w:rsidR="00A61F35">
        <w:rPr>
          <w:rFonts w:cs="Arial"/>
          <w:b/>
          <w:sz w:val="22"/>
          <w:szCs w:val="22"/>
        </w:rPr>
        <w:t>s </w:t>
      </w:r>
      <w:r w:rsidR="0012031D">
        <w:rPr>
          <w:rFonts w:cs="Arial"/>
          <w:b/>
          <w:sz w:val="22"/>
          <w:szCs w:val="22"/>
        </w:rPr>
        <w:t>dlouhodobým</w:t>
      </w:r>
      <w:r w:rsidR="007945D9">
        <w:rPr>
          <w:rFonts w:cs="Arial"/>
          <w:b/>
          <w:sz w:val="22"/>
          <w:szCs w:val="22"/>
        </w:rPr>
        <w:t xml:space="preserve"> </w:t>
      </w:r>
      <w:r w:rsidR="0047213F" w:rsidRPr="0047213F">
        <w:rPr>
          <w:rFonts w:cs="Arial"/>
          <w:b/>
          <w:sz w:val="22"/>
          <w:szCs w:val="22"/>
        </w:rPr>
        <w:t>hmotným majetkem</w:t>
      </w:r>
      <w:r w:rsidR="00E344F8">
        <w:rPr>
          <w:rFonts w:cs="Arial"/>
          <w:b/>
          <w:sz w:val="22"/>
          <w:szCs w:val="22"/>
        </w:rPr>
        <w:t>, přičemž</w:t>
      </w:r>
      <w:r w:rsidR="0047213F" w:rsidRPr="0047213F">
        <w:rPr>
          <w:rFonts w:cs="Arial"/>
          <w:b/>
          <w:sz w:val="22"/>
          <w:szCs w:val="22"/>
        </w:rPr>
        <w:t xml:space="preserve"> se</w:t>
      </w:r>
      <w:r w:rsidR="00E344F8">
        <w:rPr>
          <w:rFonts w:cs="Arial"/>
          <w:b/>
          <w:sz w:val="22"/>
          <w:szCs w:val="22"/>
        </w:rPr>
        <w:t xml:space="preserve"> NKÚ</w:t>
      </w:r>
      <w:r w:rsidR="0047213F" w:rsidRPr="0047213F">
        <w:rPr>
          <w:rFonts w:cs="Arial"/>
          <w:b/>
          <w:sz w:val="22"/>
          <w:szCs w:val="22"/>
        </w:rPr>
        <w:t xml:space="preserve"> zaměř</w:t>
      </w:r>
      <w:r w:rsidR="00E344F8">
        <w:rPr>
          <w:rFonts w:cs="Arial"/>
          <w:b/>
          <w:sz w:val="22"/>
          <w:szCs w:val="22"/>
        </w:rPr>
        <w:t>il</w:t>
      </w:r>
      <w:r w:rsidR="0047213F" w:rsidRPr="0047213F">
        <w:rPr>
          <w:rFonts w:cs="Arial"/>
          <w:b/>
          <w:sz w:val="22"/>
          <w:szCs w:val="22"/>
        </w:rPr>
        <w:t xml:space="preserve"> na jeho evidenci, na</w:t>
      </w:r>
      <w:r>
        <w:rPr>
          <w:rFonts w:cs="Arial"/>
          <w:b/>
          <w:sz w:val="22"/>
          <w:szCs w:val="22"/>
        </w:rPr>
        <w:t>bývání, nájmy, pronájmy a</w:t>
      </w:r>
      <w:r w:rsidR="007945D9">
        <w:rPr>
          <w:rFonts w:cs="Arial"/>
          <w:b/>
          <w:sz w:val="22"/>
          <w:szCs w:val="22"/>
        </w:rPr>
        <w:t xml:space="preserve"> </w:t>
      </w:r>
      <w:r w:rsidR="0012031D">
        <w:rPr>
          <w:rFonts w:cs="Arial"/>
          <w:b/>
          <w:sz w:val="22"/>
          <w:szCs w:val="22"/>
        </w:rPr>
        <w:t>úbytky</w:t>
      </w:r>
      <w:r w:rsidR="0047213F" w:rsidRPr="0047213F">
        <w:rPr>
          <w:rFonts w:cs="Arial"/>
          <w:b/>
          <w:sz w:val="22"/>
          <w:szCs w:val="22"/>
        </w:rPr>
        <w:t>.</w:t>
      </w:r>
      <w:r w:rsidR="00E46A73">
        <w:rPr>
          <w:rFonts w:cs="Arial"/>
          <w:b/>
          <w:sz w:val="22"/>
          <w:szCs w:val="22"/>
        </w:rPr>
        <w:t xml:space="preserve"> </w:t>
      </w:r>
    </w:p>
    <w:p w:rsidR="0047213F" w:rsidRDefault="0047213F" w:rsidP="002041DA">
      <w:pPr>
        <w:jc w:val="both"/>
        <w:rPr>
          <w:rFonts w:cs="Arial"/>
          <w:b/>
          <w:sz w:val="22"/>
          <w:szCs w:val="22"/>
        </w:rPr>
      </w:pPr>
    </w:p>
    <w:p w:rsidR="00B80842" w:rsidRDefault="00B80842" w:rsidP="00F97BCD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ŘSD nedodržovalo povinnosti stanovené pro hospodaření </w:t>
      </w:r>
      <w:r w:rsidR="00A61F35">
        <w:rPr>
          <w:rFonts w:cs="Arial"/>
          <w:b/>
          <w:sz w:val="22"/>
          <w:szCs w:val="22"/>
        </w:rPr>
        <w:t>s </w:t>
      </w:r>
      <w:r>
        <w:rPr>
          <w:rFonts w:cs="Arial"/>
          <w:b/>
          <w:sz w:val="22"/>
          <w:szCs w:val="22"/>
        </w:rPr>
        <w:t>peněžními prostředky v </w:t>
      </w:r>
      <w:r w:rsidR="0028140E">
        <w:rPr>
          <w:rFonts w:cs="Arial"/>
          <w:b/>
          <w:sz w:val="22"/>
          <w:szCs w:val="22"/>
        </w:rPr>
        <w:t>zákoně</w:t>
      </w:r>
      <w:r w:rsidRPr="00495B5A">
        <w:rPr>
          <w:rFonts w:cs="Arial"/>
          <w:b/>
          <w:sz w:val="22"/>
          <w:szCs w:val="22"/>
        </w:rPr>
        <w:t xml:space="preserve"> č. 218/2000 Sb.</w:t>
      </w:r>
      <w:r>
        <w:rPr>
          <w:rFonts w:cs="Arial"/>
          <w:b/>
          <w:sz w:val="22"/>
          <w:szCs w:val="22"/>
        </w:rPr>
        <w:t xml:space="preserve"> a pro hospodaření </w:t>
      </w:r>
      <w:r w:rsidR="00A61F35">
        <w:rPr>
          <w:rFonts w:cs="Arial"/>
          <w:b/>
          <w:sz w:val="22"/>
          <w:szCs w:val="22"/>
        </w:rPr>
        <w:t>s </w:t>
      </w:r>
      <w:r>
        <w:rPr>
          <w:rFonts w:cs="Arial"/>
          <w:b/>
          <w:sz w:val="22"/>
          <w:szCs w:val="22"/>
        </w:rPr>
        <w:t xml:space="preserve">majetkem státu </w:t>
      </w:r>
      <w:r w:rsidR="00A61F35">
        <w:rPr>
          <w:rFonts w:cs="Arial"/>
          <w:b/>
          <w:sz w:val="22"/>
          <w:szCs w:val="22"/>
        </w:rPr>
        <w:t>v </w:t>
      </w:r>
      <w:r w:rsidR="0028140E">
        <w:rPr>
          <w:rFonts w:cs="Arial"/>
          <w:b/>
          <w:sz w:val="22"/>
          <w:szCs w:val="22"/>
        </w:rPr>
        <w:t>zákoně</w:t>
      </w:r>
      <w:r w:rsidRPr="00C76D39">
        <w:rPr>
          <w:rFonts w:cs="Arial"/>
          <w:b/>
          <w:sz w:val="22"/>
          <w:szCs w:val="22"/>
        </w:rPr>
        <w:t xml:space="preserve"> č.</w:t>
      </w:r>
      <w:r w:rsidR="007945D9">
        <w:rPr>
          <w:rFonts w:cs="Arial"/>
          <w:b/>
          <w:sz w:val="22"/>
          <w:szCs w:val="22"/>
        </w:rPr>
        <w:t xml:space="preserve"> </w:t>
      </w:r>
      <w:r w:rsidRPr="00C76D39">
        <w:rPr>
          <w:rFonts w:cs="Arial"/>
          <w:b/>
          <w:sz w:val="22"/>
          <w:szCs w:val="22"/>
        </w:rPr>
        <w:t>219/2000 Sb.</w:t>
      </w:r>
    </w:p>
    <w:p w:rsidR="00B80842" w:rsidRDefault="00B80842" w:rsidP="00F97BCD">
      <w:pPr>
        <w:jc w:val="both"/>
        <w:rPr>
          <w:rFonts w:cs="Arial"/>
          <w:b/>
          <w:sz w:val="22"/>
          <w:szCs w:val="22"/>
        </w:rPr>
      </w:pPr>
    </w:p>
    <w:p w:rsidR="0018385F" w:rsidRDefault="00A61F35" w:rsidP="00F97BCD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 </w:t>
      </w:r>
      <w:r w:rsidR="00B80842">
        <w:rPr>
          <w:rFonts w:cs="Arial"/>
          <w:b/>
          <w:sz w:val="22"/>
          <w:szCs w:val="22"/>
        </w:rPr>
        <w:t xml:space="preserve">oblasti hospodaření </w:t>
      </w:r>
      <w:r>
        <w:rPr>
          <w:rFonts w:cs="Arial"/>
          <w:b/>
          <w:sz w:val="22"/>
          <w:szCs w:val="22"/>
        </w:rPr>
        <w:t>s </w:t>
      </w:r>
      <w:r w:rsidR="00B80842">
        <w:rPr>
          <w:rFonts w:cs="Arial"/>
          <w:b/>
          <w:sz w:val="22"/>
          <w:szCs w:val="22"/>
        </w:rPr>
        <w:t>peněžními prostředky</w:t>
      </w:r>
      <w:r w:rsidR="00C3774C">
        <w:rPr>
          <w:rFonts w:cs="Arial"/>
          <w:b/>
          <w:sz w:val="22"/>
          <w:szCs w:val="22"/>
        </w:rPr>
        <w:t xml:space="preserve"> se zjištěné nedostatky týkaly nákladů </w:t>
      </w:r>
      <w:r>
        <w:rPr>
          <w:rFonts w:cs="Arial"/>
          <w:b/>
          <w:sz w:val="22"/>
          <w:szCs w:val="22"/>
        </w:rPr>
        <w:t>v </w:t>
      </w:r>
      <w:r w:rsidR="00C3774C">
        <w:rPr>
          <w:rFonts w:cs="Arial"/>
          <w:b/>
          <w:sz w:val="22"/>
          <w:szCs w:val="22"/>
        </w:rPr>
        <w:t xml:space="preserve">celkovém objemu </w:t>
      </w:r>
      <w:r w:rsidR="00C140D8">
        <w:rPr>
          <w:rFonts w:cs="Arial"/>
          <w:b/>
          <w:sz w:val="22"/>
          <w:szCs w:val="22"/>
        </w:rPr>
        <w:t xml:space="preserve">minimálně 86 mil. Kč, což představovalo </w:t>
      </w:r>
      <w:r w:rsidR="00634AE2">
        <w:rPr>
          <w:rFonts w:cs="Arial"/>
          <w:b/>
          <w:sz w:val="22"/>
          <w:szCs w:val="22"/>
        </w:rPr>
        <w:t>14</w:t>
      </w:r>
      <w:r w:rsidR="00C140D8">
        <w:rPr>
          <w:rFonts w:cs="Arial"/>
          <w:b/>
          <w:sz w:val="22"/>
          <w:szCs w:val="22"/>
        </w:rPr>
        <w:t xml:space="preserve"> % </w:t>
      </w:r>
      <w:r>
        <w:rPr>
          <w:rFonts w:cs="Arial"/>
          <w:b/>
          <w:sz w:val="22"/>
          <w:szCs w:val="22"/>
        </w:rPr>
        <w:t>z </w:t>
      </w:r>
      <w:r w:rsidR="00C140D8">
        <w:rPr>
          <w:rFonts w:cs="Arial"/>
          <w:b/>
          <w:sz w:val="22"/>
          <w:szCs w:val="22"/>
        </w:rPr>
        <w:t xml:space="preserve">prověřovaných nákladových položek bez mzdových nákladů. Nedostatky se především týkaly hospodárnosti a </w:t>
      </w:r>
      <w:r w:rsidR="00C91304">
        <w:rPr>
          <w:rFonts w:cs="Arial"/>
          <w:b/>
          <w:sz w:val="22"/>
          <w:szCs w:val="22"/>
        </w:rPr>
        <w:t>nezbytnosti</w:t>
      </w:r>
      <w:r w:rsidR="00C140D8">
        <w:rPr>
          <w:rFonts w:cs="Arial"/>
          <w:b/>
          <w:sz w:val="22"/>
          <w:szCs w:val="22"/>
        </w:rPr>
        <w:t xml:space="preserve"> použití peněžních prostředků na z</w:t>
      </w:r>
      <w:r w:rsidR="00C91304">
        <w:rPr>
          <w:rFonts w:cs="Arial"/>
          <w:b/>
          <w:sz w:val="22"/>
          <w:szCs w:val="22"/>
        </w:rPr>
        <w:t>abezpečování plnění úkolů ŘSD. Byl</w:t>
      </w:r>
      <w:r w:rsidR="00E46A73">
        <w:rPr>
          <w:rFonts w:cs="Arial"/>
          <w:b/>
          <w:sz w:val="22"/>
          <w:szCs w:val="22"/>
        </w:rPr>
        <w:t>a</w:t>
      </w:r>
      <w:r w:rsidR="00C91304">
        <w:rPr>
          <w:rFonts w:cs="Arial"/>
          <w:b/>
          <w:sz w:val="22"/>
          <w:szCs w:val="22"/>
        </w:rPr>
        <w:t xml:space="preserve"> zjištěn</w:t>
      </w:r>
      <w:r w:rsidR="00E46A73">
        <w:rPr>
          <w:rFonts w:cs="Arial"/>
          <w:b/>
          <w:sz w:val="22"/>
          <w:szCs w:val="22"/>
        </w:rPr>
        <w:t>a</w:t>
      </w:r>
      <w:r w:rsidR="00C91304">
        <w:rPr>
          <w:rFonts w:cs="Arial"/>
          <w:b/>
          <w:sz w:val="22"/>
          <w:szCs w:val="22"/>
        </w:rPr>
        <w:t xml:space="preserve"> i neoprávněná použití peněžních prostředků.</w:t>
      </w:r>
      <w:r w:rsidR="00E46A73">
        <w:rPr>
          <w:rFonts w:cs="Arial"/>
          <w:b/>
          <w:sz w:val="22"/>
          <w:szCs w:val="22"/>
        </w:rPr>
        <w:t xml:space="preserve"> </w:t>
      </w:r>
      <w:r w:rsidR="00C91304">
        <w:rPr>
          <w:rFonts w:cs="Arial"/>
          <w:b/>
          <w:sz w:val="22"/>
          <w:szCs w:val="22"/>
        </w:rPr>
        <w:t xml:space="preserve"> </w:t>
      </w:r>
    </w:p>
    <w:p w:rsidR="00FA6ABB" w:rsidRDefault="00FA6ABB" w:rsidP="00F97BCD">
      <w:pPr>
        <w:jc w:val="both"/>
        <w:rPr>
          <w:rFonts w:cs="Arial"/>
          <w:b/>
          <w:sz w:val="22"/>
          <w:szCs w:val="22"/>
        </w:rPr>
      </w:pPr>
    </w:p>
    <w:p w:rsidR="00873A55" w:rsidRDefault="00F97BCD" w:rsidP="00F97BCD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Nejzáva</w:t>
      </w:r>
      <w:r w:rsidR="007E6FB8">
        <w:rPr>
          <w:rFonts w:cs="Arial"/>
          <w:b/>
          <w:sz w:val="22"/>
          <w:szCs w:val="22"/>
        </w:rPr>
        <w:t xml:space="preserve">žnější nedostatky byly </w:t>
      </w:r>
      <w:r w:rsidR="00A61F35">
        <w:rPr>
          <w:rFonts w:cs="Arial"/>
          <w:b/>
          <w:sz w:val="22"/>
          <w:szCs w:val="22"/>
        </w:rPr>
        <w:t>v </w:t>
      </w:r>
      <w:r w:rsidR="007E6FB8">
        <w:rPr>
          <w:rFonts w:cs="Arial"/>
          <w:b/>
          <w:sz w:val="22"/>
          <w:szCs w:val="22"/>
        </w:rPr>
        <w:t xml:space="preserve">oblasti nákladů na </w:t>
      </w:r>
      <w:r>
        <w:rPr>
          <w:rFonts w:cs="Arial"/>
          <w:b/>
          <w:sz w:val="22"/>
          <w:szCs w:val="22"/>
        </w:rPr>
        <w:t>právní a poradenské služby. Šlo především o</w:t>
      </w:r>
      <w:r w:rsidR="00873A55">
        <w:rPr>
          <w:rFonts w:cs="Arial"/>
          <w:b/>
          <w:sz w:val="22"/>
          <w:szCs w:val="22"/>
        </w:rPr>
        <w:t>:</w:t>
      </w:r>
    </w:p>
    <w:p w:rsidR="00873A55" w:rsidRDefault="00873A55" w:rsidP="00D61FB3">
      <w:pPr>
        <w:ind w:left="284" w:hanging="28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</w:t>
      </w:r>
      <w:r>
        <w:rPr>
          <w:rFonts w:cs="Arial"/>
          <w:b/>
          <w:sz w:val="22"/>
          <w:szCs w:val="22"/>
        </w:rPr>
        <w:tab/>
      </w:r>
      <w:r w:rsidR="00F97BCD">
        <w:rPr>
          <w:rFonts w:cs="Arial"/>
          <w:b/>
          <w:sz w:val="22"/>
          <w:szCs w:val="22"/>
        </w:rPr>
        <w:t xml:space="preserve">nedodržování zákona č. 137/2006 Sb. při výběru </w:t>
      </w:r>
      <w:r w:rsidR="00272772">
        <w:rPr>
          <w:rFonts w:cs="Arial"/>
          <w:b/>
          <w:sz w:val="22"/>
          <w:szCs w:val="22"/>
        </w:rPr>
        <w:t>poskytovatelů těchto služeb</w:t>
      </w:r>
      <w:r w:rsidR="00F97BCD">
        <w:rPr>
          <w:rFonts w:cs="Arial"/>
          <w:b/>
          <w:sz w:val="22"/>
          <w:szCs w:val="22"/>
        </w:rPr>
        <w:t>,</w:t>
      </w:r>
    </w:p>
    <w:p w:rsidR="00873A55" w:rsidRDefault="00873A55" w:rsidP="00D61FB3">
      <w:pPr>
        <w:ind w:left="284" w:hanging="28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</w:t>
      </w:r>
      <w:r>
        <w:rPr>
          <w:rFonts w:cs="Arial"/>
          <w:b/>
          <w:sz w:val="22"/>
          <w:szCs w:val="22"/>
        </w:rPr>
        <w:tab/>
      </w:r>
      <w:r w:rsidR="00F97BCD">
        <w:rPr>
          <w:rFonts w:cs="Arial"/>
          <w:b/>
          <w:sz w:val="22"/>
          <w:szCs w:val="22"/>
        </w:rPr>
        <w:t>zadávání prací nad rá</w:t>
      </w:r>
      <w:r w:rsidR="008E21D8">
        <w:rPr>
          <w:rFonts w:cs="Arial"/>
          <w:b/>
          <w:sz w:val="22"/>
          <w:szCs w:val="22"/>
        </w:rPr>
        <w:t>mec předmětů smluv</w:t>
      </w:r>
      <w:r>
        <w:rPr>
          <w:rFonts w:cs="Arial"/>
          <w:b/>
          <w:sz w:val="22"/>
          <w:szCs w:val="22"/>
        </w:rPr>
        <w:t>,</w:t>
      </w:r>
    </w:p>
    <w:p w:rsidR="00873A55" w:rsidRDefault="00873A55" w:rsidP="00D61FB3">
      <w:pPr>
        <w:ind w:left="284" w:hanging="28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</w:t>
      </w:r>
      <w:r>
        <w:rPr>
          <w:rFonts w:cs="Arial"/>
          <w:b/>
          <w:sz w:val="22"/>
          <w:szCs w:val="22"/>
        </w:rPr>
        <w:tab/>
      </w:r>
      <w:r w:rsidR="008E21D8">
        <w:rPr>
          <w:rFonts w:cs="Arial"/>
          <w:b/>
          <w:sz w:val="22"/>
          <w:szCs w:val="22"/>
        </w:rPr>
        <w:t>nedostatečná doložení věcných</w:t>
      </w:r>
      <w:r>
        <w:rPr>
          <w:rFonts w:cs="Arial"/>
          <w:b/>
          <w:sz w:val="22"/>
          <w:szCs w:val="22"/>
        </w:rPr>
        <w:t xml:space="preserve"> plnění,</w:t>
      </w:r>
    </w:p>
    <w:p w:rsidR="00873A55" w:rsidRDefault="00873A55" w:rsidP="00D61FB3">
      <w:pPr>
        <w:ind w:left="284" w:hanging="28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</w:t>
      </w:r>
      <w:r>
        <w:rPr>
          <w:rFonts w:cs="Arial"/>
          <w:b/>
          <w:sz w:val="22"/>
          <w:szCs w:val="22"/>
        </w:rPr>
        <w:tab/>
        <w:t>zadávání činností a prací, které by ŘSD mělo zabezpečit vlastními zaměstnanci.</w:t>
      </w:r>
      <w:r w:rsidR="00C76D39">
        <w:rPr>
          <w:rFonts w:cs="Arial"/>
          <w:b/>
          <w:sz w:val="22"/>
          <w:szCs w:val="22"/>
        </w:rPr>
        <w:t xml:space="preserve"> </w:t>
      </w:r>
    </w:p>
    <w:p w:rsidR="00873A55" w:rsidRDefault="00873A55" w:rsidP="000F38F0">
      <w:pPr>
        <w:jc w:val="both"/>
        <w:rPr>
          <w:rFonts w:cs="Arial"/>
          <w:b/>
          <w:sz w:val="22"/>
          <w:szCs w:val="22"/>
        </w:rPr>
      </w:pPr>
    </w:p>
    <w:p w:rsidR="00873A55" w:rsidRDefault="00873A55" w:rsidP="00873A55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Dále byly mj. zjištěny nehospodárnosti při vynakládání peněžních prostředků na správu areálu dálničn</w:t>
      </w:r>
      <w:r w:rsidR="00B80842">
        <w:rPr>
          <w:rFonts w:cs="Arial"/>
          <w:b/>
          <w:sz w:val="22"/>
          <w:szCs w:val="22"/>
        </w:rPr>
        <w:t xml:space="preserve">ího přechodu Rozvadov </w:t>
      </w:r>
      <w:r w:rsidR="00A61F35">
        <w:rPr>
          <w:rFonts w:cs="Arial"/>
          <w:b/>
          <w:sz w:val="22"/>
          <w:szCs w:val="22"/>
        </w:rPr>
        <w:t>v </w:t>
      </w:r>
      <w:r w:rsidR="00B80842">
        <w:rPr>
          <w:rFonts w:cs="Arial"/>
          <w:b/>
          <w:sz w:val="22"/>
          <w:szCs w:val="22"/>
        </w:rPr>
        <w:t>období</w:t>
      </w:r>
      <w:r>
        <w:rPr>
          <w:rFonts w:cs="Arial"/>
          <w:b/>
          <w:sz w:val="22"/>
          <w:szCs w:val="22"/>
        </w:rPr>
        <w:t xml:space="preserve"> do </w:t>
      </w:r>
      <w:r w:rsidR="0028140E">
        <w:rPr>
          <w:rFonts w:cs="Arial"/>
          <w:b/>
          <w:sz w:val="22"/>
          <w:szCs w:val="22"/>
        </w:rPr>
        <w:t>října</w:t>
      </w:r>
      <w:r>
        <w:rPr>
          <w:rFonts w:cs="Arial"/>
          <w:b/>
          <w:sz w:val="22"/>
          <w:szCs w:val="22"/>
        </w:rPr>
        <w:t xml:space="preserve"> 2012 a </w:t>
      </w:r>
      <w:r w:rsidR="00A61F35">
        <w:rPr>
          <w:rFonts w:cs="Arial"/>
          <w:b/>
          <w:sz w:val="22"/>
          <w:szCs w:val="22"/>
        </w:rPr>
        <w:t>v </w:t>
      </w:r>
      <w:r>
        <w:rPr>
          <w:rFonts w:cs="Arial"/>
          <w:b/>
          <w:sz w:val="22"/>
          <w:szCs w:val="22"/>
        </w:rPr>
        <w:t xml:space="preserve">oblasti provozování osobních vozidel. </w:t>
      </w:r>
    </w:p>
    <w:p w:rsidR="00B80842" w:rsidRDefault="00B80842" w:rsidP="00581A59">
      <w:pPr>
        <w:jc w:val="both"/>
        <w:rPr>
          <w:rFonts w:cs="Arial"/>
          <w:b/>
          <w:sz w:val="22"/>
          <w:szCs w:val="22"/>
        </w:rPr>
      </w:pPr>
    </w:p>
    <w:p w:rsidR="004270ED" w:rsidRDefault="00A61F35" w:rsidP="00581A59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 </w:t>
      </w:r>
      <w:r w:rsidR="00C76D39">
        <w:rPr>
          <w:rFonts w:cs="Arial"/>
          <w:b/>
          <w:sz w:val="22"/>
          <w:szCs w:val="22"/>
        </w:rPr>
        <w:t xml:space="preserve">oblasti hospodaření </w:t>
      </w:r>
      <w:r>
        <w:rPr>
          <w:rFonts w:cs="Arial"/>
          <w:b/>
          <w:sz w:val="22"/>
          <w:szCs w:val="22"/>
        </w:rPr>
        <w:t>s </w:t>
      </w:r>
      <w:r w:rsidR="00C76D39">
        <w:rPr>
          <w:rFonts w:cs="Arial"/>
          <w:b/>
          <w:sz w:val="22"/>
          <w:szCs w:val="22"/>
        </w:rPr>
        <w:t>majetkem státu</w:t>
      </w:r>
      <w:r w:rsidR="00C91304">
        <w:rPr>
          <w:rFonts w:cs="Arial"/>
          <w:b/>
          <w:sz w:val="22"/>
          <w:szCs w:val="22"/>
        </w:rPr>
        <w:t xml:space="preserve"> </w:t>
      </w:r>
      <w:r w:rsidR="004270ED">
        <w:rPr>
          <w:rFonts w:cs="Arial"/>
          <w:b/>
          <w:sz w:val="22"/>
          <w:szCs w:val="22"/>
        </w:rPr>
        <w:t>se zjištěné</w:t>
      </w:r>
      <w:r w:rsidR="00C91304">
        <w:rPr>
          <w:rFonts w:cs="Arial"/>
          <w:b/>
          <w:sz w:val="22"/>
          <w:szCs w:val="22"/>
        </w:rPr>
        <w:t xml:space="preserve"> nedostatky</w:t>
      </w:r>
      <w:r w:rsidR="004270ED">
        <w:rPr>
          <w:rFonts w:cs="Arial"/>
          <w:b/>
          <w:sz w:val="22"/>
          <w:szCs w:val="22"/>
        </w:rPr>
        <w:t xml:space="preserve"> týkaly především účelnosti a hospodárnosti využívání osobních vozidel </w:t>
      </w:r>
      <w:r>
        <w:rPr>
          <w:rFonts w:cs="Arial"/>
          <w:b/>
          <w:sz w:val="22"/>
          <w:szCs w:val="22"/>
        </w:rPr>
        <w:t>k </w:t>
      </w:r>
      <w:r w:rsidR="004270ED">
        <w:rPr>
          <w:rFonts w:cs="Arial"/>
          <w:b/>
          <w:sz w:val="22"/>
          <w:szCs w:val="22"/>
        </w:rPr>
        <w:t>výkonu stanovených činností ŘSD. Například šlo o umožnění používání služebních vozidel i</w:t>
      </w:r>
      <w:r w:rsidR="007945D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k </w:t>
      </w:r>
      <w:r w:rsidR="004270ED">
        <w:rPr>
          <w:rFonts w:cs="Arial"/>
          <w:b/>
          <w:sz w:val="22"/>
          <w:szCs w:val="22"/>
        </w:rPr>
        <w:t>soukromým jízdám</w:t>
      </w:r>
      <w:r w:rsidR="004270ED" w:rsidRPr="004270ED">
        <w:rPr>
          <w:rFonts w:cs="Arial"/>
          <w:b/>
          <w:sz w:val="22"/>
          <w:szCs w:val="22"/>
        </w:rPr>
        <w:t xml:space="preserve"> </w:t>
      </w:r>
      <w:r w:rsidR="004270ED">
        <w:rPr>
          <w:rFonts w:cs="Arial"/>
          <w:b/>
          <w:sz w:val="22"/>
          <w:szCs w:val="22"/>
        </w:rPr>
        <w:t xml:space="preserve">zaměstnanců bez odpovídající úhrady </w:t>
      </w:r>
      <w:r w:rsidR="00E20762">
        <w:rPr>
          <w:rFonts w:cs="Arial"/>
          <w:b/>
          <w:sz w:val="22"/>
          <w:szCs w:val="22"/>
        </w:rPr>
        <w:t xml:space="preserve">za toto používání. Dále byl zjištěn </w:t>
      </w:r>
      <w:r w:rsidR="00E344F8">
        <w:rPr>
          <w:rFonts w:cs="Arial"/>
          <w:b/>
          <w:sz w:val="22"/>
          <w:szCs w:val="22"/>
        </w:rPr>
        <w:t>velký</w:t>
      </w:r>
      <w:r w:rsidR="00E20762">
        <w:rPr>
          <w:rFonts w:cs="Arial"/>
          <w:b/>
          <w:sz w:val="22"/>
          <w:szCs w:val="22"/>
        </w:rPr>
        <w:t xml:space="preserve"> rozptyl cen za nájem jednoho čtverečního metru pozemků a ploch </w:t>
      </w:r>
      <w:r>
        <w:rPr>
          <w:rFonts w:cs="Arial"/>
          <w:b/>
          <w:sz w:val="22"/>
          <w:szCs w:val="22"/>
        </w:rPr>
        <w:t>k </w:t>
      </w:r>
      <w:r w:rsidR="00E20762">
        <w:rPr>
          <w:rFonts w:cs="Arial"/>
          <w:b/>
          <w:sz w:val="22"/>
          <w:szCs w:val="22"/>
        </w:rPr>
        <w:t xml:space="preserve">provozování obchodních aktivit nájemců, </w:t>
      </w:r>
      <w:r w:rsidR="00E344F8">
        <w:rPr>
          <w:rFonts w:cs="Arial"/>
          <w:b/>
          <w:sz w:val="22"/>
          <w:szCs w:val="22"/>
        </w:rPr>
        <w:t>přičemž</w:t>
      </w:r>
      <w:r w:rsidR="00E20762">
        <w:rPr>
          <w:rFonts w:cs="Arial"/>
          <w:b/>
          <w:sz w:val="22"/>
          <w:szCs w:val="22"/>
        </w:rPr>
        <w:t xml:space="preserve"> ŘSD </w:t>
      </w:r>
      <w:r w:rsidR="00E344F8">
        <w:rPr>
          <w:rFonts w:cs="Arial"/>
          <w:b/>
          <w:sz w:val="22"/>
          <w:szCs w:val="22"/>
        </w:rPr>
        <w:t xml:space="preserve">tyto cenové rozdíly </w:t>
      </w:r>
      <w:r w:rsidR="00E20762">
        <w:rPr>
          <w:rFonts w:cs="Arial"/>
          <w:b/>
          <w:sz w:val="22"/>
          <w:szCs w:val="22"/>
        </w:rPr>
        <w:t>dostatečně neodůvodnilo.</w:t>
      </w:r>
    </w:p>
    <w:p w:rsidR="004270ED" w:rsidRDefault="004270ED" w:rsidP="00581A59">
      <w:pPr>
        <w:jc w:val="both"/>
        <w:rPr>
          <w:rFonts w:cs="Arial"/>
          <w:b/>
          <w:sz w:val="22"/>
          <w:szCs w:val="22"/>
        </w:rPr>
      </w:pPr>
    </w:p>
    <w:p w:rsidR="00FB5F06" w:rsidRDefault="00FB5F06" w:rsidP="00581A59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Na možné zdroje úspor nákladů ŘSD ukazuje i </w:t>
      </w:r>
      <w:r w:rsidR="0072366C">
        <w:rPr>
          <w:rFonts w:cs="Arial"/>
          <w:b/>
          <w:sz w:val="22"/>
          <w:szCs w:val="22"/>
        </w:rPr>
        <w:t>velký</w:t>
      </w:r>
      <w:r>
        <w:rPr>
          <w:rFonts w:cs="Arial"/>
          <w:b/>
          <w:sz w:val="22"/>
          <w:szCs w:val="22"/>
        </w:rPr>
        <w:t xml:space="preserve"> rozptyl </w:t>
      </w:r>
      <w:r w:rsidR="0072366C">
        <w:rPr>
          <w:rFonts w:cs="Arial"/>
          <w:b/>
          <w:sz w:val="22"/>
          <w:szCs w:val="22"/>
        </w:rPr>
        <w:t xml:space="preserve">hodnot </w:t>
      </w:r>
      <w:r>
        <w:rPr>
          <w:rFonts w:cs="Arial"/>
          <w:b/>
          <w:sz w:val="22"/>
          <w:szCs w:val="22"/>
        </w:rPr>
        <w:t xml:space="preserve">některých jednotkových nákladů na činnosti mezi kontrolovanými závody a správami. </w:t>
      </w:r>
      <w:r w:rsidR="00A61F35">
        <w:rPr>
          <w:rFonts w:cs="Arial"/>
          <w:b/>
          <w:sz w:val="22"/>
          <w:szCs w:val="22"/>
        </w:rPr>
        <w:t>V </w:t>
      </w:r>
      <w:r>
        <w:rPr>
          <w:rFonts w:cs="Arial"/>
          <w:b/>
          <w:sz w:val="22"/>
          <w:szCs w:val="22"/>
        </w:rPr>
        <w:t>řadě případů nebylo možn</w:t>
      </w:r>
      <w:r w:rsidR="00BD728F">
        <w:rPr>
          <w:rFonts w:cs="Arial"/>
          <w:b/>
          <w:sz w:val="22"/>
          <w:szCs w:val="22"/>
        </w:rPr>
        <w:t>é</w:t>
      </w:r>
      <w:r>
        <w:rPr>
          <w:rFonts w:cs="Arial"/>
          <w:b/>
          <w:sz w:val="22"/>
          <w:szCs w:val="22"/>
        </w:rPr>
        <w:t xml:space="preserve"> vysvětlit </w:t>
      </w:r>
      <w:r w:rsidR="00BD728F">
        <w:rPr>
          <w:rFonts w:cs="Arial"/>
          <w:b/>
          <w:sz w:val="22"/>
          <w:szCs w:val="22"/>
        </w:rPr>
        <w:t xml:space="preserve">tento rozptyl </w:t>
      </w:r>
      <w:r>
        <w:rPr>
          <w:rFonts w:cs="Arial"/>
          <w:b/>
          <w:sz w:val="22"/>
          <w:szCs w:val="22"/>
        </w:rPr>
        <w:t>odlišným charakterem činností nebo jinými odůvodněnými mimořádnostmi.</w:t>
      </w:r>
    </w:p>
    <w:p w:rsidR="00FB5F06" w:rsidRDefault="00FB5F06" w:rsidP="00581A59">
      <w:pPr>
        <w:jc w:val="both"/>
        <w:rPr>
          <w:rFonts w:cs="Arial"/>
          <w:b/>
          <w:sz w:val="22"/>
          <w:szCs w:val="22"/>
        </w:rPr>
      </w:pPr>
    </w:p>
    <w:p w:rsidR="00C71519" w:rsidRDefault="00C71519" w:rsidP="00495B5A">
      <w:pPr>
        <w:jc w:val="both"/>
        <w:rPr>
          <w:rFonts w:cs="Arial"/>
          <w:b/>
          <w:sz w:val="22"/>
          <w:szCs w:val="22"/>
        </w:rPr>
      </w:pPr>
    </w:p>
    <w:p w:rsidR="00291A7D" w:rsidRDefault="00291A7D" w:rsidP="00495B5A">
      <w:pPr>
        <w:jc w:val="both"/>
        <w:rPr>
          <w:rFonts w:cs="Arial"/>
          <w:b/>
          <w:sz w:val="22"/>
          <w:szCs w:val="22"/>
        </w:rPr>
      </w:pPr>
    </w:p>
    <w:p w:rsidR="00E60EBF" w:rsidRDefault="00E60EBF" w:rsidP="00495B5A">
      <w:pPr>
        <w:jc w:val="both"/>
        <w:rPr>
          <w:rFonts w:cs="Arial"/>
          <w:b/>
          <w:sz w:val="22"/>
          <w:szCs w:val="22"/>
        </w:rPr>
      </w:pPr>
    </w:p>
    <w:p w:rsidR="00D61FB3" w:rsidRDefault="00D61FB3" w:rsidP="00E344F8">
      <w:pPr>
        <w:spacing w:after="240"/>
        <w:rPr>
          <w:rFonts w:eastAsia="Calibri" w:cs="Arial"/>
          <w:bCs/>
          <w:sz w:val="22"/>
          <w:szCs w:val="22"/>
        </w:rPr>
      </w:pPr>
    </w:p>
    <w:p w:rsidR="00E344F8" w:rsidRDefault="00E344F8">
      <w:pPr>
        <w:rPr>
          <w:rFonts w:eastAsia="Calibri" w:cs="Arial"/>
          <w:bCs/>
          <w:sz w:val="22"/>
          <w:szCs w:val="22"/>
        </w:rPr>
      </w:pPr>
      <w:r>
        <w:rPr>
          <w:rFonts w:eastAsia="Calibri" w:cs="Arial"/>
          <w:bCs/>
          <w:sz w:val="22"/>
          <w:szCs w:val="22"/>
        </w:rPr>
        <w:br w:type="page"/>
      </w:r>
    </w:p>
    <w:p w:rsidR="00541261" w:rsidRPr="000F38F0" w:rsidRDefault="002E0746" w:rsidP="00541261">
      <w:pPr>
        <w:spacing w:after="240"/>
        <w:jc w:val="right"/>
        <w:rPr>
          <w:rFonts w:eastAsia="Calibri" w:cs="Arial"/>
          <w:b/>
          <w:bCs/>
          <w:sz w:val="22"/>
          <w:szCs w:val="22"/>
        </w:rPr>
      </w:pPr>
      <w:r w:rsidRPr="000F38F0">
        <w:rPr>
          <w:rFonts w:eastAsia="Calibri" w:cs="Arial"/>
          <w:b/>
          <w:bCs/>
          <w:sz w:val="22"/>
          <w:szCs w:val="22"/>
        </w:rPr>
        <w:lastRenderedPageBreak/>
        <w:t>P</w:t>
      </w:r>
      <w:r w:rsidR="00541261" w:rsidRPr="000F38F0">
        <w:rPr>
          <w:rFonts w:eastAsia="Calibri" w:cs="Arial"/>
          <w:b/>
          <w:bCs/>
          <w:sz w:val="22"/>
          <w:szCs w:val="22"/>
        </w:rPr>
        <w:t>říloha č. 1</w:t>
      </w:r>
    </w:p>
    <w:p w:rsidR="00541261" w:rsidRPr="000F38F0" w:rsidRDefault="00541261" w:rsidP="00541261">
      <w:pPr>
        <w:contextualSpacing/>
        <w:jc w:val="center"/>
        <w:rPr>
          <w:rFonts w:eastAsia="Calibri" w:cs="Arial"/>
          <w:b/>
          <w:bCs/>
        </w:rPr>
      </w:pPr>
      <w:r w:rsidRPr="000F38F0">
        <w:rPr>
          <w:rFonts w:eastAsia="Calibri" w:cs="Arial"/>
          <w:b/>
          <w:bCs/>
        </w:rPr>
        <w:t xml:space="preserve">Vybrané jednotkové náklady </w:t>
      </w:r>
    </w:p>
    <w:p w:rsidR="00541261" w:rsidRPr="00541261" w:rsidRDefault="00541261" w:rsidP="00541261">
      <w:pPr>
        <w:contextualSpacing/>
        <w:jc w:val="center"/>
        <w:rPr>
          <w:rFonts w:eastAsia="Calibri" w:cs="Arial"/>
          <w:b/>
          <w:bCs/>
          <w:sz w:val="22"/>
          <w:szCs w:val="22"/>
        </w:rPr>
      </w:pPr>
      <w:r w:rsidRPr="000F38F0">
        <w:rPr>
          <w:rFonts w:eastAsia="Calibri" w:cs="Arial"/>
          <w:b/>
          <w:bCs/>
        </w:rPr>
        <w:t>kontrolovaných závodů a správ ŘSD</w:t>
      </w:r>
    </w:p>
    <w:p w:rsidR="00541261" w:rsidRPr="00541261" w:rsidRDefault="00541261" w:rsidP="00541261">
      <w:pPr>
        <w:contextualSpacing/>
        <w:jc w:val="both"/>
        <w:rPr>
          <w:rFonts w:eastAsia="Calibri" w:cs="Arial"/>
          <w:bCs/>
          <w:sz w:val="22"/>
          <w:szCs w:val="22"/>
        </w:rPr>
      </w:pPr>
    </w:p>
    <w:p w:rsidR="00541261" w:rsidRPr="00541261" w:rsidRDefault="00541261" w:rsidP="00541261">
      <w:pPr>
        <w:contextualSpacing/>
        <w:jc w:val="both"/>
        <w:rPr>
          <w:rFonts w:eastAsia="Calibri" w:cs="Arial"/>
          <w:bCs/>
          <w:sz w:val="22"/>
          <w:szCs w:val="22"/>
        </w:rPr>
      </w:pPr>
    </w:p>
    <w:p w:rsidR="00541261" w:rsidRPr="00541261" w:rsidRDefault="00541261" w:rsidP="007975EC">
      <w:pPr>
        <w:tabs>
          <w:tab w:val="right" w:pos="9072"/>
        </w:tabs>
        <w:contextualSpacing/>
        <w:jc w:val="both"/>
        <w:rPr>
          <w:rFonts w:eastAsia="Calibri" w:cs="Arial"/>
          <w:bCs/>
          <w:sz w:val="22"/>
          <w:szCs w:val="22"/>
        </w:rPr>
      </w:pPr>
      <w:r w:rsidRPr="00541261">
        <w:rPr>
          <w:rFonts w:eastAsia="Calibri" w:cs="Arial"/>
          <w:b/>
          <w:bCs/>
          <w:sz w:val="22"/>
          <w:szCs w:val="22"/>
        </w:rPr>
        <w:t>1.1 Spotřeba mate</w:t>
      </w:r>
      <w:r w:rsidR="004673B9">
        <w:rPr>
          <w:rFonts w:eastAsia="Calibri" w:cs="Arial"/>
          <w:b/>
          <w:bCs/>
          <w:sz w:val="22"/>
          <w:szCs w:val="22"/>
        </w:rPr>
        <w:t xml:space="preserve">riálu – náklady na </w:t>
      </w:r>
      <w:r w:rsidR="001E62D3">
        <w:rPr>
          <w:rFonts w:eastAsia="Calibri" w:cs="Arial"/>
          <w:b/>
          <w:bCs/>
          <w:sz w:val="22"/>
          <w:szCs w:val="22"/>
        </w:rPr>
        <w:t>DDHM</w:t>
      </w:r>
      <w:r w:rsidRPr="00541261">
        <w:rPr>
          <w:rFonts w:eastAsia="Calibri" w:cs="Arial"/>
          <w:b/>
          <w:bCs/>
          <w:sz w:val="22"/>
          <w:szCs w:val="22"/>
        </w:rPr>
        <w:t xml:space="preserve"> nad 3</w:t>
      </w:r>
      <w:r w:rsidR="007945D9">
        <w:rPr>
          <w:rFonts w:eastAsia="Calibri" w:cs="Arial"/>
          <w:b/>
          <w:bCs/>
          <w:sz w:val="22"/>
          <w:szCs w:val="22"/>
        </w:rPr>
        <w:t xml:space="preserve"> </w:t>
      </w:r>
      <w:r w:rsidRPr="00541261">
        <w:rPr>
          <w:rFonts w:eastAsia="Calibri" w:cs="Arial"/>
          <w:b/>
          <w:bCs/>
          <w:sz w:val="22"/>
          <w:szCs w:val="22"/>
        </w:rPr>
        <w:t>000 Kč</w:t>
      </w:r>
      <w:r w:rsidR="004673B9">
        <w:rPr>
          <w:rFonts w:eastAsia="Calibri" w:cs="Arial"/>
          <w:bCs/>
          <w:sz w:val="22"/>
          <w:szCs w:val="22"/>
        </w:rPr>
        <w:t xml:space="preserve"> </w:t>
      </w:r>
      <w:r w:rsidR="007975EC">
        <w:rPr>
          <w:rFonts w:eastAsia="Calibri" w:cs="Arial"/>
          <w:bCs/>
          <w:sz w:val="22"/>
          <w:szCs w:val="22"/>
        </w:rPr>
        <w:tab/>
      </w:r>
      <w:r w:rsidRPr="000F38F0">
        <w:rPr>
          <w:rFonts w:eastAsia="Calibri" w:cs="Arial"/>
          <w:b/>
          <w:bCs/>
          <w:sz w:val="22"/>
          <w:szCs w:val="22"/>
        </w:rPr>
        <w:t>(v Kč/</w:t>
      </w:r>
      <w:proofErr w:type="spellStart"/>
      <w:r w:rsidRPr="000F38F0">
        <w:rPr>
          <w:rFonts w:eastAsia="Calibri" w:cs="Arial"/>
          <w:b/>
          <w:bCs/>
          <w:sz w:val="22"/>
          <w:szCs w:val="22"/>
        </w:rPr>
        <w:t>zam</w:t>
      </w:r>
      <w:proofErr w:type="spellEnd"/>
      <w:r w:rsidR="00B01379">
        <w:rPr>
          <w:rFonts w:eastAsia="Calibri" w:cs="Arial"/>
          <w:b/>
          <w:bCs/>
          <w:sz w:val="22"/>
          <w:szCs w:val="22"/>
        </w:rPr>
        <w:t>.*</w:t>
      </w:r>
      <w:r w:rsidRPr="000F38F0">
        <w:rPr>
          <w:rFonts w:eastAsia="Calibri" w:cs="Arial"/>
          <w:b/>
          <w:bCs/>
          <w:sz w:val="22"/>
          <w:szCs w:val="2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541261" w:rsidRPr="00541261" w:rsidTr="00541261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Průměr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Brno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5 746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11 824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9 423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8 998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Praha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32 625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126 213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10 028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56 289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Jihlava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4 067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1 822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Karlovy Vary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3 274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1 086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1 656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Pardubice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4 449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2 913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3 090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3 484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Plzeň</w:t>
            </w: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2 922</w:t>
            </w: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1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1 875</w:t>
            </w: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2 017</w:t>
            </w:r>
          </w:p>
        </w:tc>
      </w:tr>
    </w:tbl>
    <w:p w:rsidR="00541261" w:rsidRPr="00541261" w:rsidRDefault="00541261" w:rsidP="00541261">
      <w:pPr>
        <w:contextualSpacing/>
        <w:jc w:val="both"/>
        <w:rPr>
          <w:rFonts w:eastAsia="Calibri" w:cs="Arial"/>
          <w:bCs/>
          <w:sz w:val="22"/>
          <w:szCs w:val="22"/>
        </w:rPr>
      </w:pPr>
    </w:p>
    <w:p w:rsidR="00541261" w:rsidRPr="00541261" w:rsidRDefault="00541261" w:rsidP="007975EC">
      <w:pPr>
        <w:tabs>
          <w:tab w:val="right" w:pos="9072"/>
        </w:tabs>
        <w:contextualSpacing/>
        <w:jc w:val="both"/>
        <w:rPr>
          <w:rFonts w:eastAsia="Calibri" w:cs="Arial"/>
          <w:bCs/>
          <w:sz w:val="22"/>
          <w:szCs w:val="22"/>
        </w:rPr>
      </w:pPr>
      <w:r w:rsidRPr="00541261">
        <w:rPr>
          <w:rFonts w:eastAsia="Calibri" w:cs="Arial"/>
          <w:b/>
          <w:bCs/>
          <w:sz w:val="22"/>
          <w:szCs w:val="22"/>
        </w:rPr>
        <w:t>1.2 Spotřeba materiálu – náklady na</w:t>
      </w:r>
      <w:r w:rsidR="004673B9">
        <w:rPr>
          <w:rFonts w:eastAsia="Calibri" w:cs="Arial"/>
          <w:b/>
          <w:bCs/>
          <w:sz w:val="22"/>
          <w:szCs w:val="22"/>
        </w:rPr>
        <w:t xml:space="preserve"> materiál týkající se </w:t>
      </w:r>
      <w:proofErr w:type="spellStart"/>
      <w:r w:rsidR="004673B9">
        <w:rPr>
          <w:rFonts w:eastAsia="Calibri" w:cs="Arial"/>
          <w:b/>
          <w:bCs/>
          <w:sz w:val="22"/>
          <w:szCs w:val="22"/>
        </w:rPr>
        <w:t>výp</w:t>
      </w:r>
      <w:proofErr w:type="spellEnd"/>
      <w:r w:rsidR="004673B9">
        <w:rPr>
          <w:rFonts w:eastAsia="Calibri" w:cs="Arial"/>
          <w:b/>
          <w:bCs/>
          <w:sz w:val="22"/>
          <w:szCs w:val="22"/>
        </w:rPr>
        <w:t>.</w:t>
      </w:r>
      <w:r w:rsidRPr="00541261">
        <w:rPr>
          <w:rFonts w:eastAsia="Calibri" w:cs="Arial"/>
          <w:b/>
          <w:bCs/>
          <w:sz w:val="22"/>
          <w:szCs w:val="22"/>
        </w:rPr>
        <w:t xml:space="preserve"> techniky</w:t>
      </w:r>
      <w:r w:rsidR="004673B9">
        <w:rPr>
          <w:rFonts w:eastAsia="Calibri" w:cs="Arial"/>
          <w:bCs/>
          <w:sz w:val="22"/>
          <w:szCs w:val="22"/>
        </w:rPr>
        <w:t xml:space="preserve"> </w:t>
      </w:r>
      <w:r w:rsidR="007975EC">
        <w:rPr>
          <w:rFonts w:eastAsia="Calibri" w:cs="Arial"/>
          <w:bCs/>
          <w:sz w:val="22"/>
          <w:szCs w:val="22"/>
        </w:rPr>
        <w:tab/>
      </w:r>
      <w:r w:rsidRPr="000F38F0">
        <w:rPr>
          <w:rFonts w:eastAsia="Calibri" w:cs="Arial"/>
          <w:b/>
          <w:bCs/>
          <w:sz w:val="22"/>
          <w:szCs w:val="22"/>
        </w:rPr>
        <w:t>(v Kč</w:t>
      </w:r>
      <w:r w:rsidR="00F63E14">
        <w:rPr>
          <w:rFonts w:eastAsia="Calibri" w:cs="Arial"/>
          <w:b/>
          <w:bCs/>
          <w:sz w:val="22"/>
          <w:szCs w:val="22"/>
        </w:rPr>
        <w:t>/</w:t>
      </w:r>
      <w:proofErr w:type="spellStart"/>
      <w:r w:rsidR="00F63E14" w:rsidRPr="000F38F0">
        <w:rPr>
          <w:rFonts w:eastAsia="Calibri" w:cs="Arial"/>
          <w:b/>
          <w:bCs/>
          <w:sz w:val="22"/>
          <w:szCs w:val="22"/>
        </w:rPr>
        <w:t>zam</w:t>
      </w:r>
      <w:proofErr w:type="spellEnd"/>
      <w:r w:rsidR="00B01379">
        <w:rPr>
          <w:rFonts w:eastAsia="Calibri" w:cs="Arial"/>
          <w:b/>
          <w:bCs/>
          <w:sz w:val="22"/>
          <w:szCs w:val="22"/>
        </w:rPr>
        <w:t>.*</w:t>
      </w:r>
      <w:r w:rsidR="00F63E14">
        <w:rPr>
          <w:rFonts w:eastAsia="Calibri" w:cs="Arial"/>
          <w:b/>
          <w:bCs/>
          <w:sz w:val="22"/>
          <w:szCs w:val="2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541261" w:rsidRPr="00541261" w:rsidTr="00541261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Průměr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Brno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4 801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5 811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7 705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6 106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Praha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2 461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2 895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3 326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2 894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Jihlava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14 990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2 249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6 727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7 988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Karlovy Vary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2 859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1 615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3 033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2 502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Pardubice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2 948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3 384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5 462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3 931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Plzeň</w:t>
            </w: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5 382</w:t>
            </w: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6 163</w:t>
            </w:r>
          </w:p>
        </w:tc>
        <w:tc>
          <w:tcPr>
            <w:tcW w:w="1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6 714</w:t>
            </w: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7975EC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6 086</w:t>
            </w:r>
          </w:p>
        </w:tc>
      </w:tr>
    </w:tbl>
    <w:p w:rsidR="00541261" w:rsidRPr="00541261" w:rsidRDefault="00541261" w:rsidP="00541261">
      <w:pPr>
        <w:contextualSpacing/>
        <w:jc w:val="both"/>
        <w:rPr>
          <w:rFonts w:eastAsia="Calibri" w:cs="Arial"/>
          <w:bCs/>
          <w:sz w:val="22"/>
          <w:szCs w:val="22"/>
        </w:rPr>
      </w:pPr>
    </w:p>
    <w:p w:rsidR="00541261" w:rsidRPr="00541261" w:rsidRDefault="00541261" w:rsidP="007975EC">
      <w:pPr>
        <w:tabs>
          <w:tab w:val="right" w:pos="9072"/>
        </w:tabs>
        <w:contextualSpacing/>
        <w:jc w:val="both"/>
        <w:rPr>
          <w:rFonts w:eastAsia="Calibri" w:cs="Arial"/>
          <w:bCs/>
          <w:sz w:val="22"/>
          <w:szCs w:val="22"/>
        </w:rPr>
      </w:pPr>
      <w:r w:rsidRPr="00541261">
        <w:rPr>
          <w:rFonts w:eastAsia="Calibri" w:cs="Arial"/>
          <w:b/>
          <w:bCs/>
          <w:sz w:val="22"/>
          <w:szCs w:val="22"/>
        </w:rPr>
        <w:t>1.3 Spotřeba materiálu – náklady na kancelářsk</w:t>
      </w:r>
      <w:r w:rsidR="005A6356">
        <w:rPr>
          <w:rFonts w:eastAsia="Calibri" w:cs="Arial"/>
          <w:b/>
          <w:bCs/>
          <w:sz w:val="22"/>
          <w:szCs w:val="22"/>
        </w:rPr>
        <w:t>ý</w:t>
      </w:r>
      <w:r w:rsidRPr="00541261">
        <w:rPr>
          <w:rFonts w:eastAsia="Calibri" w:cs="Arial"/>
          <w:b/>
          <w:bCs/>
          <w:sz w:val="22"/>
          <w:szCs w:val="22"/>
        </w:rPr>
        <w:t xml:space="preserve"> materiál </w:t>
      </w:r>
      <w:r w:rsidR="007975EC">
        <w:rPr>
          <w:rFonts w:eastAsia="Calibri" w:cs="Arial"/>
          <w:b/>
          <w:bCs/>
          <w:sz w:val="22"/>
          <w:szCs w:val="22"/>
        </w:rPr>
        <w:tab/>
      </w:r>
      <w:r w:rsidRPr="000F38F0">
        <w:rPr>
          <w:rFonts w:eastAsia="Calibri" w:cs="Arial"/>
          <w:b/>
          <w:bCs/>
          <w:sz w:val="22"/>
          <w:szCs w:val="22"/>
        </w:rPr>
        <w:t>(v Kč/</w:t>
      </w:r>
      <w:proofErr w:type="spellStart"/>
      <w:r w:rsidR="00F63E14" w:rsidRPr="000F38F0">
        <w:rPr>
          <w:rFonts w:eastAsia="Calibri" w:cs="Arial"/>
          <w:b/>
          <w:bCs/>
          <w:sz w:val="22"/>
          <w:szCs w:val="22"/>
        </w:rPr>
        <w:t>zam</w:t>
      </w:r>
      <w:proofErr w:type="spellEnd"/>
      <w:r w:rsidR="00B01379">
        <w:rPr>
          <w:rFonts w:eastAsia="Calibri" w:cs="Arial"/>
          <w:b/>
          <w:bCs/>
          <w:sz w:val="22"/>
          <w:szCs w:val="22"/>
        </w:rPr>
        <w:t>.*</w:t>
      </w:r>
      <w:r w:rsidRPr="000F38F0">
        <w:rPr>
          <w:rFonts w:eastAsia="Calibri" w:cs="Arial"/>
          <w:b/>
          <w:bCs/>
          <w:sz w:val="22"/>
          <w:szCs w:val="2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541261" w:rsidRPr="00541261" w:rsidTr="00541261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Průměr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Brno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3 106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2 231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2 450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2 596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Praha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2 266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2 659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3 437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2 787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Jihlava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3 899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3 817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5 145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4 287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Karlovy Vary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6 556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5 663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5 670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5 963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Pardubice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3 750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2 742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4 969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3 820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Plzeň</w:t>
            </w: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6 285</w:t>
            </w: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5 780</w:t>
            </w:r>
          </w:p>
        </w:tc>
        <w:tc>
          <w:tcPr>
            <w:tcW w:w="1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3 612</w:t>
            </w: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5 226</w:t>
            </w:r>
          </w:p>
        </w:tc>
      </w:tr>
    </w:tbl>
    <w:p w:rsidR="00541261" w:rsidRPr="00541261" w:rsidRDefault="00541261" w:rsidP="00541261">
      <w:pPr>
        <w:contextualSpacing/>
        <w:jc w:val="both"/>
        <w:rPr>
          <w:rFonts w:eastAsia="Calibri" w:cs="Arial"/>
          <w:bCs/>
          <w:sz w:val="22"/>
          <w:szCs w:val="22"/>
        </w:rPr>
      </w:pPr>
    </w:p>
    <w:p w:rsidR="00541261" w:rsidRPr="00541261" w:rsidRDefault="00541261" w:rsidP="00650865">
      <w:pPr>
        <w:tabs>
          <w:tab w:val="right" w:pos="9072"/>
        </w:tabs>
        <w:contextualSpacing/>
        <w:jc w:val="both"/>
        <w:rPr>
          <w:rFonts w:eastAsia="Calibri" w:cs="Arial"/>
          <w:b/>
          <w:bCs/>
          <w:sz w:val="22"/>
          <w:szCs w:val="22"/>
        </w:rPr>
      </w:pPr>
      <w:r w:rsidRPr="00541261">
        <w:rPr>
          <w:rFonts w:eastAsia="Calibri" w:cs="Arial"/>
          <w:b/>
          <w:bCs/>
          <w:sz w:val="22"/>
          <w:szCs w:val="22"/>
        </w:rPr>
        <w:t>2.1 Opravy a údržba – náklady na opravy a údržbu budov</w:t>
      </w:r>
      <w:r w:rsidRPr="00541261">
        <w:rPr>
          <w:rFonts w:eastAsia="Calibri" w:cs="Arial"/>
          <w:bCs/>
          <w:sz w:val="22"/>
          <w:szCs w:val="22"/>
        </w:rPr>
        <w:t xml:space="preserve"> </w:t>
      </w:r>
      <w:r w:rsidR="00650865">
        <w:rPr>
          <w:rFonts w:eastAsia="Calibri" w:cs="Arial"/>
          <w:bCs/>
          <w:sz w:val="22"/>
          <w:szCs w:val="22"/>
        </w:rPr>
        <w:tab/>
      </w:r>
      <w:r w:rsidRPr="000F38F0">
        <w:rPr>
          <w:rFonts w:eastAsia="Calibri" w:cs="Arial"/>
          <w:b/>
          <w:bCs/>
          <w:sz w:val="22"/>
          <w:szCs w:val="22"/>
        </w:rPr>
        <w:t>(v Kč/m</w:t>
      </w:r>
      <w:r w:rsidRPr="000F38F0">
        <w:rPr>
          <w:rFonts w:eastAsia="Calibri" w:cs="Arial"/>
          <w:b/>
          <w:bCs/>
          <w:sz w:val="22"/>
          <w:szCs w:val="22"/>
          <w:vertAlign w:val="superscript"/>
        </w:rPr>
        <w:t>2</w:t>
      </w:r>
      <w:r w:rsidRPr="000F38F0">
        <w:rPr>
          <w:rFonts w:eastAsia="Calibri" w:cs="Arial"/>
          <w:b/>
          <w:bCs/>
          <w:sz w:val="22"/>
          <w:szCs w:val="2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541261" w:rsidRPr="00541261" w:rsidTr="00541261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Průměr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Brno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139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983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1 266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796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Praha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41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1 322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395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586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Jihlava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0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2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1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Karlovy Vary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8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3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26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12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Pardubice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291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156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223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223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Plzeň</w:t>
            </w: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30</w:t>
            </w: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0</w:t>
            </w:r>
          </w:p>
        </w:tc>
        <w:tc>
          <w:tcPr>
            <w:tcW w:w="1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181</w:t>
            </w: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70</w:t>
            </w:r>
          </w:p>
        </w:tc>
      </w:tr>
    </w:tbl>
    <w:p w:rsidR="00541261" w:rsidRPr="00541261" w:rsidRDefault="00541261" w:rsidP="00541261">
      <w:pPr>
        <w:contextualSpacing/>
        <w:jc w:val="both"/>
        <w:rPr>
          <w:rFonts w:eastAsia="Calibri" w:cs="Arial"/>
          <w:b/>
          <w:bCs/>
          <w:sz w:val="22"/>
          <w:szCs w:val="22"/>
        </w:rPr>
      </w:pPr>
    </w:p>
    <w:p w:rsidR="00541261" w:rsidRPr="00541261" w:rsidRDefault="00541261" w:rsidP="00650865">
      <w:pPr>
        <w:tabs>
          <w:tab w:val="right" w:pos="9072"/>
        </w:tabs>
        <w:contextualSpacing/>
        <w:jc w:val="both"/>
        <w:rPr>
          <w:rFonts w:eastAsia="Calibri" w:cs="Arial"/>
          <w:b/>
          <w:bCs/>
          <w:sz w:val="22"/>
          <w:szCs w:val="22"/>
        </w:rPr>
      </w:pPr>
      <w:r w:rsidRPr="00541261">
        <w:rPr>
          <w:rFonts w:eastAsia="Calibri" w:cs="Arial"/>
          <w:b/>
          <w:bCs/>
          <w:sz w:val="22"/>
          <w:szCs w:val="22"/>
        </w:rPr>
        <w:t>2.2 Opravy a údržba – náklady na opravy a údržbu vozidel</w:t>
      </w:r>
      <w:r w:rsidRPr="00541261">
        <w:rPr>
          <w:rFonts w:eastAsia="Calibri" w:cs="Arial"/>
          <w:bCs/>
          <w:sz w:val="22"/>
          <w:szCs w:val="22"/>
        </w:rPr>
        <w:t xml:space="preserve"> </w:t>
      </w:r>
      <w:r w:rsidR="004673B9">
        <w:rPr>
          <w:rFonts w:eastAsia="Calibri" w:cs="Arial"/>
          <w:bCs/>
          <w:sz w:val="22"/>
          <w:szCs w:val="22"/>
        </w:rPr>
        <w:tab/>
      </w:r>
      <w:r w:rsidRPr="000F38F0">
        <w:rPr>
          <w:rFonts w:eastAsia="Calibri" w:cs="Arial"/>
          <w:b/>
          <w:bCs/>
          <w:sz w:val="22"/>
          <w:szCs w:val="22"/>
        </w:rPr>
        <w:t>(v Kč/vozidlo)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541261" w:rsidRPr="00541261" w:rsidTr="00541261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Průměr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Brno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18 346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19 723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24 246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tabs>
                <w:tab w:val="right" w:pos="1090"/>
              </w:tabs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20 772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Praha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31 449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24 058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18 750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24 752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Jihlava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16 802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16 367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19 202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17 457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Karlovy Vary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15 505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22 090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20 671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19 422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Pardubice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26 516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16 538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20 226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21 093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Plzeň</w:t>
            </w: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12 317</w:t>
            </w: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12 452</w:t>
            </w:r>
          </w:p>
        </w:tc>
        <w:tc>
          <w:tcPr>
            <w:tcW w:w="1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15 332</w:t>
            </w: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13 367</w:t>
            </w:r>
          </w:p>
        </w:tc>
      </w:tr>
    </w:tbl>
    <w:p w:rsidR="00541261" w:rsidRPr="00B01379" w:rsidRDefault="00541261" w:rsidP="00541261">
      <w:pPr>
        <w:contextualSpacing/>
        <w:jc w:val="both"/>
        <w:rPr>
          <w:rFonts w:eastAsia="Calibri" w:cs="Arial"/>
          <w:b/>
          <w:bCs/>
          <w:sz w:val="18"/>
          <w:szCs w:val="18"/>
        </w:rPr>
      </w:pPr>
    </w:p>
    <w:p w:rsidR="00F63E14" w:rsidRPr="00541261" w:rsidRDefault="00F63E14" w:rsidP="00541261">
      <w:pPr>
        <w:contextualSpacing/>
        <w:jc w:val="both"/>
        <w:rPr>
          <w:rFonts w:eastAsia="Calibri" w:cs="Arial"/>
          <w:b/>
          <w:bCs/>
          <w:sz w:val="22"/>
          <w:szCs w:val="22"/>
        </w:rPr>
      </w:pPr>
    </w:p>
    <w:p w:rsidR="00541261" w:rsidRDefault="00541261" w:rsidP="00541261">
      <w:pPr>
        <w:contextualSpacing/>
        <w:jc w:val="both"/>
        <w:rPr>
          <w:rFonts w:eastAsia="Calibri" w:cs="Arial"/>
          <w:b/>
          <w:bCs/>
          <w:sz w:val="22"/>
          <w:szCs w:val="22"/>
        </w:rPr>
      </w:pPr>
    </w:p>
    <w:p w:rsidR="00BD728F" w:rsidRDefault="00BD728F" w:rsidP="00541261">
      <w:pPr>
        <w:contextualSpacing/>
        <w:jc w:val="both"/>
        <w:rPr>
          <w:rFonts w:eastAsia="Calibri" w:cs="Arial"/>
          <w:b/>
          <w:bCs/>
          <w:sz w:val="22"/>
          <w:szCs w:val="22"/>
        </w:rPr>
      </w:pPr>
      <w:bookmarkStart w:id="0" w:name="_GoBack"/>
      <w:bookmarkEnd w:id="0"/>
    </w:p>
    <w:p w:rsidR="00541261" w:rsidRPr="00541261" w:rsidRDefault="00541261" w:rsidP="00650865">
      <w:pPr>
        <w:tabs>
          <w:tab w:val="right" w:pos="9072"/>
        </w:tabs>
        <w:contextualSpacing/>
        <w:jc w:val="both"/>
        <w:rPr>
          <w:rFonts w:eastAsia="Calibri" w:cs="Arial"/>
          <w:bCs/>
          <w:sz w:val="22"/>
          <w:szCs w:val="22"/>
        </w:rPr>
      </w:pPr>
      <w:r w:rsidRPr="00541261">
        <w:rPr>
          <w:rFonts w:eastAsia="Calibri" w:cs="Arial"/>
          <w:b/>
          <w:bCs/>
          <w:sz w:val="22"/>
          <w:szCs w:val="22"/>
        </w:rPr>
        <w:lastRenderedPageBreak/>
        <w:t xml:space="preserve">3.1 Ostatní služby – náklady na úklid </w:t>
      </w:r>
      <w:r w:rsidR="004673B9">
        <w:rPr>
          <w:rFonts w:eastAsia="Calibri" w:cs="Arial"/>
          <w:b/>
          <w:bCs/>
          <w:sz w:val="22"/>
          <w:szCs w:val="22"/>
        </w:rPr>
        <w:tab/>
      </w:r>
      <w:r w:rsidRPr="000F38F0">
        <w:rPr>
          <w:rFonts w:eastAsia="Calibri" w:cs="Arial"/>
          <w:b/>
          <w:bCs/>
          <w:sz w:val="22"/>
          <w:szCs w:val="22"/>
        </w:rPr>
        <w:t>(</w:t>
      </w:r>
      <w:r w:rsidR="005A6356" w:rsidRPr="000F38F0">
        <w:rPr>
          <w:rFonts w:eastAsia="Calibri" w:cs="Arial"/>
          <w:b/>
          <w:bCs/>
          <w:sz w:val="22"/>
          <w:szCs w:val="22"/>
        </w:rPr>
        <w:t>v </w:t>
      </w:r>
      <w:r w:rsidRPr="000F38F0">
        <w:rPr>
          <w:rFonts w:eastAsia="Calibri" w:cs="Arial"/>
          <w:b/>
          <w:bCs/>
          <w:sz w:val="22"/>
          <w:szCs w:val="22"/>
        </w:rPr>
        <w:t>Kč</w:t>
      </w:r>
      <w:r w:rsidR="005A6356" w:rsidRPr="000F38F0">
        <w:rPr>
          <w:rFonts w:eastAsia="Calibri" w:cs="Arial"/>
          <w:b/>
          <w:bCs/>
          <w:sz w:val="16"/>
          <w:szCs w:val="16"/>
          <w:vertAlign w:val="superscript"/>
        </w:rPr>
        <w:t> </w:t>
      </w:r>
      <w:r w:rsidRPr="000F38F0">
        <w:rPr>
          <w:rFonts w:eastAsia="Calibri" w:cs="Arial"/>
          <w:b/>
          <w:bCs/>
          <w:sz w:val="22"/>
          <w:szCs w:val="22"/>
        </w:rPr>
        <w:t>/</w:t>
      </w:r>
      <w:r w:rsidR="005A6356" w:rsidRPr="000F38F0">
        <w:rPr>
          <w:rFonts w:eastAsia="Calibri" w:cs="Arial"/>
          <w:b/>
          <w:bCs/>
          <w:sz w:val="16"/>
          <w:szCs w:val="16"/>
          <w:vertAlign w:val="superscript"/>
        </w:rPr>
        <w:t> </w:t>
      </w:r>
      <w:proofErr w:type="spellStart"/>
      <w:r w:rsidRPr="000F38F0">
        <w:rPr>
          <w:rFonts w:eastAsia="Calibri" w:cs="Arial"/>
          <w:b/>
          <w:bCs/>
          <w:sz w:val="22"/>
          <w:szCs w:val="22"/>
        </w:rPr>
        <w:t>m</w:t>
      </w:r>
      <w:r w:rsidRPr="000F38F0">
        <w:rPr>
          <w:rFonts w:eastAsia="Calibri" w:cs="Arial"/>
          <w:b/>
          <w:bCs/>
          <w:sz w:val="22"/>
          <w:szCs w:val="22"/>
          <w:vertAlign w:val="superscript"/>
        </w:rPr>
        <w:t>2</w:t>
      </w:r>
      <w:proofErr w:type="spellEnd"/>
      <w:r w:rsidRPr="000F38F0">
        <w:rPr>
          <w:rFonts w:eastAsia="Calibri" w:cs="Arial"/>
          <w:b/>
          <w:bCs/>
          <w:sz w:val="22"/>
          <w:szCs w:val="22"/>
        </w:rPr>
        <w:t xml:space="preserve"> úklidové plochy</w:t>
      </w:r>
      <w:r w:rsidR="00B01379" w:rsidRPr="00B01379">
        <w:rPr>
          <w:rFonts w:eastAsia="Calibri" w:cs="Arial"/>
          <w:b/>
          <w:bCs/>
          <w:sz w:val="16"/>
          <w:szCs w:val="16"/>
          <w:vertAlign w:val="superscript"/>
        </w:rPr>
        <w:t xml:space="preserve"> </w:t>
      </w:r>
      <w:r w:rsidRPr="000F38F0">
        <w:rPr>
          <w:rFonts w:eastAsia="Calibri" w:cs="Arial"/>
          <w:b/>
          <w:bCs/>
          <w:sz w:val="22"/>
          <w:szCs w:val="22"/>
        </w:rPr>
        <w:t>/</w:t>
      </w:r>
      <w:r w:rsidR="00B01379" w:rsidRPr="00B01379">
        <w:rPr>
          <w:rFonts w:eastAsia="Calibri" w:cs="Arial"/>
          <w:b/>
          <w:bCs/>
          <w:sz w:val="16"/>
          <w:szCs w:val="16"/>
          <w:vertAlign w:val="superscript"/>
        </w:rPr>
        <w:t xml:space="preserve"> </w:t>
      </w:r>
      <w:proofErr w:type="spellStart"/>
      <w:r w:rsidRPr="000F38F0">
        <w:rPr>
          <w:rFonts w:eastAsia="Calibri" w:cs="Arial"/>
          <w:b/>
          <w:bCs/>
          <w:sz w:val="22"/>
          <w:szCs w:val="22"/>
        </w:rPr>
        <w:t>měs</w:t>
      </w:r>
      <w:proofErr w:type="spellEnd"/>
      <w:r w:rsidRPr="000F38F0">
        <w:rPr>
          <w:rFonts w:eastAsia="Calibri" w:cs="Arial"/>
          <w:b/>
          <w:bCs/>
          <w:sz w:val="22"/>
          <w:szCs w:val="22"/>
        </w:rPr>
        <w:t>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541261" w:rsidRPr="00541261" w:rsidTr="00541261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Průměr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Brno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12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9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5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9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Praha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19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19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19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19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Jihlava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13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14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13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Karlovy Vary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20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28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27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25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Pardubice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16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17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17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17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Plzeň</w:t>
            </w: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18</w:t>
            </w: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19</w:t>
            </w:r>
          </w:p>
        </w:tc>
        <w:tc>
          <w:tcPr>
            <w:tcW w:w="1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19</w:t>
            </w: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19</w:t>
            </w:r>
          </w:p>
        </w:tc>
      </w:tr>
    </w:tbl>
    <w:p w:rsidR="00541261" w:rsidRPr="00541261" w:rsidRDefault="00541261" w:rsidP="00541261">
      <w:pPr>
        <w:contextualSpacing/>
        <w:jc w:val="both"/>
        <w:rPr>
          <w:rFonts w:eastAsia="Calibri" w:cs="Arial"/>
          <w:bCs/>
          <w:sz w:val="22"/>
          <w:szCs w:val="22"/>
        </w:rPr>
      </w:pPr>
    </w:p>
    <w:p w:rsidR="00541261" w:rsidRPr="00541261" w:rsidRDefault="00541261" w:rsidP="00650865">
      <w:pPr>
        <w:tabs>
          <w:tab w:val="right" w:pos="9072"/>
        </w:tabs>
        <w:contextualSpacing/>
        <w:jc w:val="both"/>
        <w:rPr>
          <w:rFonts w:eastAsia="Calibri" w:cs="Arial"/>
          <w:bCs/>
          <w:sz w:val="22"/>
          <w:szCs w:val="22"/>
        </w:rPr>
      </w:pPr>
      <w:r w:rsidRPr="00541261">
        <w:rPr>
          <w:rFonts w:eastAsia="Calibri" w:cs="Arial"/>
          <w:b/>
          <w:bCs/>
          <w:sz w:val="22"/>
          <w:szCs w:val="22"/>
        </w:rPr>
        <w:t xml:space="preserve">3.2 Ostatní služby – náklady na ostrahu prostřednictvím </w:t>
      </w:r>
      <w:proofErr w:type="spellStart"/>
      <w:r w:rsidRPr="00541261">
        <w:rPr>
          <w:rFonts w:eastAsia="Calibri" w:cs="Arial"/>
          <w:b/>
          <w:bCs/>
          <w:sz w:val="22"/>
          <w:szCs w:val="22"/>
        </w:rPr>
        <w:t>PCO</w:t>
      </w:r>
      <w:proofErr w:type="spellEnd"/>
      <w:r w:rsidRPr="00541261">
        <w:rPr>
          <w:rFonts w:eastAsia="Calibri" w:cs="Arial"/>
          <w:b/>
          <w:bCs/>
          <w:sz w:val="22"/>
          <w:szCs w:val="22"/>
        </w:rPr>
        <w:t xml:space="preserve"> </w:t>
      </w:r>
      <w:r w:rsidR="00650865">
        <w:rPr>
          <w:rFonts w:eastAsia="Calibri" w:cs="Arial"/>
          <w:b/>
          <w:bCs/>
          <w:sz w:val="22"/>
          <w:szCs w:val="22"/>
        </w:rPr>
        <w:tab/>
      </w:r>
      <w:r w:rsidRPr="000F38F0">
        <w:rPr>
          <w:rFonts w:eastAsia="Calibri" w:cs="Arial"/>
          <w:b/>
          <w:bCs/>
          <w:sz w:val="22"/>
          <w:szCs w:val="22"/>
        </w:rPr>
        <w:t>(</w:t>
      </w:r>
      <w:r w:rsidR="005A6356" w:rsidRPr="000F38F0">
        <w:rPr>
          <w:rFonts w:eastAsia="Calibri" w:cs="Arial"/>
          <w:b/>
          <w:bCs/>
          <w:sz w:val="22"/>
          <w:szCs w:val="22"/>
        </w:rPr>
        <w:t>v </w:t>
      </w:r>
      <w:r w:rsidRPr="000F38F0">
        <w:rPr>
          <w:rFonts w:eastAsia="Calibri" w:cs="Arial"/>
          <w:b/>
          <w:bCs/>
          <w:sz w:val="22"/>
          <w:szCs w:val="22"/>
        </w:rPr>
        <w:t>Kč/</w:t>
      </w:r>
      <w:proofErr w:type="spellStart"/>
      <w:r w:rsidRPr="000F38F0">
        <w:rPr>
          <w:rFonts w:eastAsia="Calibri" w:cs="Arial"/>
          <w:b/>
          <w:bCs/>
          <w:sz w:val="22"/>
          <w:szCs w:val="22"/>
        </w:rPr>
        <w:t>měs</w:t>
      </w:r>
      <w:proofErr w:type="spellEnd"/>
      <w:r w:rsidRPr="000F38F0">
        <w:rPr>
          <w:rFonts w:eastAsia="Calibri" w:cs="Arial"/>
          <w:b/>
          <w:bCs/>
          <w:sz w:val="22"/>
          <w:szCs w:val="22"/>
        </w:rPr>
        <w:t>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541261" w:rsidRPr="00541261" w:rsidTr="00541261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Průměr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Brno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6" w:type="dxa"/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Praha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6" w:type="dxa"/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Jihlava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1 350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1 350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1 350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1 350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Karlovy Vary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1 950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1 800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1 800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1 850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Pardubice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5 273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5 273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 w:rsidRPr="00541261">
              <w:rPr>
                <w:rFonts w:eastAsia="Times New Roman" w:cs="Arial"/>
                <w:bCs/>
                <w:sz w:val="22"/>
                <w:szCs w:val="22"/>
              </w:rPr>
              <w:t>4 833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5 126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Plzeň</w:t>
            </w: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</w:tr>
    </w:tbl>
    <w:p w:rsidR="00541261" w:rsidRPr="000F38F0" w:rsidRDefault="00541261" w:rsidP="000F38F0">
      <w:pPr>
        <w:tabs>
          <w:tab w:val="left" w:pos="709"/>
        </w:tabs>
        <w:contextualSpacing/>
        <w:jc w:val="both"/>
        <w:rPr>
          <w:rFonts w:eastAsia="Calibri" w:cs="Arial"/>
          <w:bCs/>
          <w:sz w:val="18"/>
          <w:szCs w:val="18"/>
        </w:rPr>
      </w:pPr>
      <w:r w:rsidRPr="000F38F0">
        <w:rPr>
          <w:rFonts w:eastAsia="Calibri" w:cs="Arial"/>
          <w:b/>
          <w:bCs/>
          <w:sz w:val="18"/>
          <w:szCs w:val="18"/>
        </w:rPr>
        <w:t>Pozn.:</w:t>
      </w:r>
      <w:r w:rsidRPr="000F38F0">
        <w:rPr>
          <w:rFonts w:eastAsia="Calibri" w:cs="Arial"/>
          <w:bCs/>
          <w:sz w:val="18"/>
          <w:szCs w:val="18"/>
        </w:rPr>
        <w:t xml:space="preserve"> </w:t>
      </w:r>
      <w:r w:rsidR="005A6356" w:rsidRPr="000F38F0">
        <w:rPr>
          <w:rFonts w:eastAsia="Calibri" w:cs="Arial"/>
          <w:bCs/>
          <w:sz w:val="18"/>
          <w:szCs w:val="18"/>
        </w:rPr>
        <w:tab/>
      </w:r>
      <w:proofErr w:type="spellStart"/>
      <w:r w:rsidRPr="000F38F0">
        <w:rPr>
          <w:rFonts w:eastAsia="Calibri" w:cs="Arial"/>
          <w:bCs/>
          <w:sz w:val="18"/>
          <w:szCs w:val="18"/>
        </w:rPr>
        <w:t>PCO</w:t>
      </w:r>
      <w:proofErr w:type="spellEnd"/>
      <w:r w:rsidRPr="000F38F0">
        <w:rPr>
          <w:rFonts w:eastAsia="Calibri" w:cs="Arial"/>
          <w:bCs/>
          <w:sz w:val="18"/>
          <w:szCs w:val="18"/>
        </w:rPr>
        <w:t xml:space="preserve"> </w:t>
      </w:r>
      <w:r w:rsidR="005A6356" w:rsidRPr="000F38F0">
        <w:rPr>
          <w:rFonts w:eastAsia="Calibri" w:cs="Arial"/>
          <w:bCs/>
          <w:sz w:val="18"/>
          <w:szCs w:val="18"/>
        </w:rPr>
        <w:t>–</w:t>
      </w:r>
      <w:r w:rsidRPr="000F38F0">
        <w:rPr>
          <w:rFonts w:eastAsia="Calibri" w:cs="Arial"/>
          <w:bCs/>
          <w:sz w:val="18"/>
          <w:szCs w:val="18"/>
        </w:rPr>
        <w:t xml:space="preserve"> pult centralizované ochrany</w:t>
      </w:r>
      <w:r w:rsidR="005A6356" w:rsidRPr="000F38F0">
        <w:rPr>
          <w:rFonts w:eastAsia="Calibri" w:cs="Arial"/>
          <w:bCs/>
          <w:sz w:val="18"/>
          <w:szCs w:val="18"/>
        </w:rPr>
        <w:t>.</w:t>
      </w:r>
    </w:p>
    <w:p w:rsidR="004673B9" w:rsidRPr="00541261" w:rsidRDefault="005A6356" w:rsidP="000F38F0">
      <w:pPr>
        <w:tabs>
          <w:tab w:val="left" w:pos="709"/>
        </w:tabs>
        <w:contextualSpacing/>
        <w:jc w:val="both"/>
        <w:rPr>
          <w:rFonts w:eastAsia="Calibri" w:cs="Arial"/>
          <w:bCs/>
          <w:sz w:val="20"/>
          <w:szCs w:val="20"/>
        </w:rPr>
      </w:pPr>
      <w:r w:rsidRPr="000F38F0">
        <w:rPr>
          <w:rFonts w:eastAsia="Calibri" w:cs="Arial"/>
          <w:bCs/>
          <w:sz w:val="18"/>
          <w:szCs w:val="18"/>
        </w:rPr>
        <w:tab/>
      </w:r>
      <w:r w:rsidR="004673B9" w:rsidRPr="000F38F0">
        <w:rPr>
          <w:rFonts w:eastAsia="Calibri" w:cs="Arial"/>
          <w:bCs/>
          <w:sz w:val="18"/>
          <w:szCs w:val="18"/>
        </w:rPr>
        <w:t xml:space="preserve">Závody Brno a Praha a Správa Plzeň </w:t>
      </w:r>
      <w:r w:rsidR="00DC2C69" w:rsidRPr="000F38F0">
        <w:rPr>
          <w:rFonts w:eastAsia="Calibri" w:cs="Arial"/>
          <w:bCs/>
          <w:sz w:val="18"/>
          <w:szCs w:val="18"/>
        </w:rPr>
        <w:t xml:space="preserve">nevykazovaly </w:t>
      </w:r>
      <w:r w:rsidR="004673B9" w:rsidRPr="000F38F0">
        <w:rPr>
          <w:rFonts w:eastAsia="Calibri" w:cs="Arial"/>
          <w:bCs/>
          <w:sz w:val="18"/>
          <w:szCs w:val="18"/>
        </w:rPr>
        <w:t>náklady na tento typ ostrahy.</w:t>
      </w:r>
      <w:r w:rsidR="00DC2C69">
        <w:rPr>
          <w:rFonts w:eastAsia="Calibri" w:cs="Arial"/>
          <w:bCs/>
          <w:sz w:val="20"/>
          <w:szCs w:val="20"/>
        </w:rPr>
        <w:t xml:space="preserve"> </w:t>
      </w:r>
    </w:p>
    <w:p w:rsidR="00541261" w:rsidRPr="00541261" w:rsidRDefault="00541261" w:rsidP="00541261">
      <w:pPr>
        <w:contextualSpacing/>
        <w:jc w:val="both"/>
        <w:rPr>
          <w:rFonts w:eastAsia="Calibri" w:cs="Arial"/>
          <w:bCs/>
          <w:sz w:val="22"/>
          <w:szCs w:val="22"/>
        </w:rPr>
      </w:pPr>
    </w:p>
    <w:p w:rsidR="00541261" w:rsidRPr="00541261" w:rsidRDefault="00541261" w:rsidP="00650865">
      <w:pPr>
        <w:tabs>
          <w:tab w:val="right" w:pos="9072"/>
        </w:tabs>
        <w:contextualSpacing/>
        <w:jc w:val="both"/>
        <w:rPr>
          <w:rFonts w:eastAsia="Calibri" w:cs="Arial"/>
          <w:bCs/>
          <w:sz w:val="22"/>
          <w:szCs w:val="22"/>
        </w:rPr>
      </w:pPr>
      <w:r w:rsidRPr="00541261">
        <w:rPr>
          <w:rFonts w:eastAsia="Calibri" w:cs="Arial"/>
          <w:b/>
          <w:bCs/>
          <w:sz w:val="22"/>
          <w:szCs w:val="22"/>
        </w:rPr>
        <w:t xml:space="preserve">3.3 Ostatní služby – náklady na ostrahu prostřednictvím fyzické ostrahy </w:t>
      </w:r>
      <w:r w:rsidR="00650865">
        <w:rPr>
          <w:rFonts w:eastAsia="Calibri" w:cs="Arial"/>
          <w:b/>
          <w:bCs/>
          <w:sz w:val="22"/>
          <w:szCs w:val="22"/>
        </w:rPr>
        <w:tab/>
      </w:r>
      <w:r w:rsidRPr="000F38F0">
        <w:rPr>
          <w:rFonts w:eastAsia="Calibri" w:cs="Arial"/>
          <w:b/>
          <w:bCs/>
          <w:sz w:val="22"/>
          <w:szCs w:val="22"/>
        </w:rPr>
        <w:t>(</w:t>
      </w:r>
      <w:r w:rsidR="005A6356">
        <w:rPr>
          <w:rFonts w:eastAsia="Calibri" w:cs="Arial"/>
          <w:b/>
          <w:bCs/>
          <w:sz w:val="22"/>
          <w:szCs w:val="22"/>
        </w:rPr>
        <w:t>v </w:t>
      </w:r>
      <w:r w:rsidRPr="000F38F0">
        <w:rPr>
          <w:rFonts w:eastAsia="Calibri" w:cs="Arial"/>
          <w:b/>
          <w:bCs/>
          <w:sz w:val="22"/>
          <w:szCs w:val="22"/>
        </w:rPr>
        <w:t>Kč/hod.)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541261" w:rsidRPr="00541261" w:rsidTr="00541261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Průměr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Brno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6" w:type="dxa"/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120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Praha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121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Jihlava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6" w:type="dxa"/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Karlovy Vary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6" w:type="dxa"/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bCs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Pardubice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6" w:type="dxa"/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Plzeň</w:t>
            </w: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650865" w:rsidP="00EF7011">
            <w:pPr>
              <w:keepNext/>
              <w:ind w:right="284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</w:rPr>
              <w:t>–</w:t>
            </w:r>
          </w:p>
        </w:tc>
      </w:tr>
    </w:tbl>
    <w:p w:rsidR="00541261" w:rsidRPr="000F38F0" w:rsidRDefault="004673B9" w:rsidP="000F38F0">
      <w:pPr>
        <w:ind w:left="709" w:hanging="709"/>
        <w:contextualSpacing/>
        <w:rPr>
          <w:rFonts w:eastAsia="Calibri" w:cs="Arial"/>
          <w:bCs/>
          <w:sz w:val="18"/>
          <w:szCs w:val="18"/>
        </w:rPr>
      </w:pPr>
      <w:r w:rsidRPr="000F38F0">
        <w:rPr>
          <w:rFonts w:eastAsia="Calibri" w:cs="Arial"/>
          <w:b/>
          <w:bCs/>
          <w:sz w:val="18"/>
          <w:szCs w:val="18"/>
        </w:rPr>
        <w:t>Pozn.:</w:t>
      </w:r>
      <w:r w:rsidRPr="000F38F0">
        <w:rPr>
          <w:rFonts w:eastAsia="Calibri" w:cs="Arial"/>
          <w:bCs/>
          <w:sz w:val="18"/>
          <w:szCs w:val="18"/>
        </w:rPr>
        <w:t xml:space="preserve"> </w:t>
      </w:r>
      <w:r w:rsidR="005A6356" w:rsidRPr="000F38F0">
        <w:rPr>
          <w:rFonts w:eastAsia="Calibri" w:cs="Arial"/>
          <w:bCs/>
          <w:sz w:val="18"/>
          <w:szCs w:val="18"/>
        </w:rPr>
        <w:tab/>
      </w:r>
      <w:r w:rsidR="00DC2C69" w:rsidRPr="000F38F0">
        <w:rPr>
          <w:rFonts w:eastAsia="Calibri" w:cs="Arial"/>
          <w:bCs/>
          <w:sz w:val="18"/>
          <w:szCs w:val="18"/>
        </w:rPr>
        <w:t xml:space="preserve">Závod Brno v letech 2011 a 2012 a </w:t>
      </w:r>
      <w:r w:rsidR="005A6356" w:rsidRPr="000F38F0">
        <w:rPr>
          <w:rFonts w:eastAsia="Calibri" w:cs="Arial"/>
          <w:bCs/>
          <w:sz w:val="18"/>
          <w:szCs w:val="18"/>
        </w:rPr>
        <w:t xml:space="preserve">kontrolované </w:t>
      </w:r>
      <w:r w:rsidR="00DC2C69" w:rsidRPr="000F38F0">
        <w:rPr>
          <w:rFonts w:eastAsia="Calibri" w:cs="Arial"/>
          <w:bCs/>
          <w:sz w:val="18"/>
          <w:szCs w:val="18"/>
        </w:rPr>
        <w:t>správy</w:t>
      </w:r>
      <w:r w:rsidR="005A6356" w:rsidRPr="000F38F0">
        <w:rPr>
          <w:rFonts w:eastAsia="Calibri" w:cs="Arial"/>
          <w:bCs/>
          <w:sz w:val="18"/>
          <w:szCs w:val="18"/>
        </w:rPr>
        <w:t xml:space="preserve"> v letech 2010–2012</w:t>
      </w:r>
      <w:r w:rsidR="00DC2C69" w:rsidRPr="000F38F0">
        <w:rPr>
          <w:rFonts w:eastAsia="Calibri" w:cs="Arial"/>
          <w:bCs/>
          <w:sz w:val="18"/>
          <w:szCs w:val="18"/>
        </w:rPr>
        <w:t xml:space="preserve"> nevykazovaly náklady na tento typ ostrahy.</w:t>
      </w:r>
    </w:p>
    <w:p w:rsidR="004673B9" w:rsidRPr="00541261" w:rsidRDefault="004673B9" w:rsidP="00541261">
      <w:pPr>
        <w:contextualSpacing/>
        <w:jc w:val="both"/>
        <w:rPr>
          <w:rFonts w:eastAsia="Calibri" w:cs="Arial"/>
          <w:bCs/>
          <w:sz w:val="22"/>
          <w:szCs w:val="22"/>
        </w:rPr>
      </w:pPr>
    </w:p>
    <w:p w:rsidR="00541261" w:rsidRPr="00541261" w:rsidRDefault="00541261" w:rsidP="00650865">
      <w:pPr>
        <w:tabs>
          <w:tab w:val="right" w:pos="9072"/>
        </w:tabs>
        <w:contextualSpacing/>
        <w:jc w:val="both"/>
        <w:rPr>
          <w:rFonts w:eastAsia="Calibri" w:cs="Arial"/>
          <w:bCs/>
          <w:sz w:val="22"/>
          <w:szCs w:val="22"/>
        </w:rPr>
      </w:pPr>
      <w:r w:rsidRPr="00541261">
        <w:rPr>
          <w:rFonts w:eastAsia="Calibri" w:cs="Arial"/>
          <w:b/>
          <w:bCs/>
          <w:sz w:val="22"/>
          <w:szCs w:val="22"/>
        </w:rPr>
        <w:t>4.1 Mzdové n</w:t>
      </w:r>
      <w:r w:rsidR="00650865">
        <w:rPr>
          <w:rFonts w:eastAsia="Calibri" w:cs="Arial"/>
          <w:b/>
          <w:bCs/>
          <w:sz w:val="22"/>
          <w:szCs w:val="22"/>
        </w:rPr>
        <w:t>áklady – měsíční mzdové náklady</w:t>
      </w:r>
      <w:r w:rsidR="00CC30AC">
        <w:rPr>
          <w:rFonts w:eastAsia="Calibri" w:cs="Arial"/>
          <w:b/>
          <w:bCs/>
          <w:sz w:val="22"/>
          <w:szCs w:val="22"/>
        </w:rPr>
        <w:tab/>
      </w:r>
      <w:r w:rsidRPr="000F38F0">
        <w:rPr>
          <w:rFonts w:eastAsia="Calibri" w:cs="Arial"/>
          <w:b/>
          <w:bCs/>
          <w:sz w:val="22"/>
          <w:szCs w:val="22"/>
        </w:rPr>
        <w:t>(</w:t>
      </w:r>
      <w:r w:rsidR="005A6356">
        <w:rPr>
          <w:rFonts w:eastAsia="Calibri" w:cs="Arial"/>
          <w:b/>
          <w:bCs/>
          <w:sz w:val="22"/>
          <w:szCs w:val="22"/>
        </w:rPr>
        <w:t>v </w:t>
      </w:r>
      <w:r w:rsidRPr="000F38F0">
        <w:rPr>
          <w:rFonts w:eastAsia="Calibri" w:cs="Arial"/>
          <w:b/>
          <w:bCs/>
          <w:sz w:val="22"/>
          <w:szCs w:val="22"/>
        </w:rPr>
        <w:t>Kč/</w:t>
      </w:r>
      <w:proofErr w:type="spellStart"/>
      <w:r w:rsidR="00CC30AC" w:rsidRPr="000F38F0">
        <w:rPr>
          <w:rFonts w:eastAsia="Calibri" w:cs="Arial"/>
          <w:b/>
          <w:bCs/>
          <w:sz w:val="22"/>
          <w:szCs w:val="22"/>
        </w:rPr>
        <w:t>zam</w:t>
      </w:r>
      <w:proofErr w:type="spellEnd"/>
      <w:r w:rsidR="00B01379">
        <w:rPr>
          <w:rFonts w:eastAsia="Calibri" w:cs="Arial"/>
          <w:b/>
          <w:bCs/>
          <w:sz w:val="22"/>
          <w:szCs w:val="22"/>
        </w:rPr>
        <w:t>.*</w:t>
      </w:r>
      <w:r w:rsidR="00CC30AC">
        <w:rPr>
          <w:rFonts w:eastAsia="Calibri" w:cs="Arial"/>
          <w:b/>
          <w:bCs/>
          <w:sz w:val="22"/>
          <w:szCs w:val="22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1496"/>
        <w:gridCol w:w="1496"/>
        <w:gridCol w:w="1496"/>
        <w:gridCol w:w="1497"/>
      </w:tblGrid>
      <w:tr w:rsidR="00541261" w:rsidRPr="00541261" w:rsidTr="00541261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541261">
            <w:pPr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541261">
              <w:rPr>
                <w:rFonts w:cs="Arial"/>
                <w:b/>
                <w:bCs/>
                <w:sz w:val="22"/>
                <w:szCs w:val="22"/>
              </w:rPr>
              <w:t>Průměr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Brno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28 635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27 203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27 151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27 663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Závod Praha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28 999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28 135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sz w:val="22"/>
                <w:szCs w:val="22"/>
              </w:rPr>
            </w:pPr>
            <w:r w:rsidRPr="00541261">
              <w:rPr>
                <w:rFonts w:eastAsia="Times New Roman" w:cs="Arial"/>
                <w:sz w:val="22"/>
                <w:szCs w:val="22"/>
              </w:rPr>
              <w:t>28 385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sz w:val="22"/>
                <w:szCs w:val="22"/>
              </w:rPr>
              <w:t>28 506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Jihlava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28 676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28 002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28 817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28 498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Karlovy Vary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27 789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27 225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27 145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27 386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Pardubice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28 522</w:t>
            </w:r>
          </w:p>
        </w:tc>
        <w:tc>
          <w:tcPr>
            <w:tcW w:w="1496" w:type="dxa"/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28 005</w:t>
            </w:r>
          </w:p>
        </w:tc>
        <w:tc>
          <w:tcPr>
            <w:tcW w:w="1496" w:type="dxa"/>
            <w:tcBorders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28 222</w:t>
            </w:r>
          </w:p>
        </w:tc>
        <w:tc>
          <w:tcPr>
            <w:tcW w:w="1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28 250</w:t>
            </w:r>
          </w:p>
        </w:tc>
      </w:tr>
      <w:tr w:rsidR="00541261" w:rsidRPr="00541261" w:rsidTr="00541261"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261" w:rsidRPr="00541261" w:rsidRDefault="00541261" w:rsidP="00541261">
            <w:pPr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541261">
              <w:rPr>
                <w:rFonts w:cs="Arial"/>
                <w:bCs/>
                <w:sz w:val="22"/>
                <w:szCs w:val="22"/>
              </w:rPr>
              <w:t>Správa Plzeň</w:t>
            </w:r>
          </w:p>
        </w:tc>
        <w:tc>
          <w:tcPr>
            <w:tcW w:w="1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28 775</w:t>
            </w:r>
          </w:p>
        </w:tc>
        <w:tc>
          <w:tcPr>
            <w:tcW w:w="1496" w:type="dxa"/>
            <w:tcBorders>
              <w:bottom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27 352</w:t>
            </w:r>
          </w:p>
        </w:tc>
        <w:tc>
          <w:tcPr>
            <w:tcW w:w="1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color w:val="000000"/>
                <w:sz w:val="22"/>
                <w:szCs w:val="22"/>
              </w:rPr>
              <w:t>28 440</w:t>
            </w:r>
          </w:p>
        </w:tc>
        <w:tc>
          <w:tcPr>
            <w:tcW w:w="1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261" w:rsidRPr="00541261" w:rsidRDefault="00541261" w:rsidP="00650865">
            <w:pPr>
              <w:keepNext/>
              <w:ind w:right="227"/>
              <w:jc w:val="right"/>
              <w:rPr>
                <w:rFonts w:eastAsia="Times New Roman" w:cs="Arial"/>
                <w:iCs/>
                <w:color w:val="000000"/>
                <w:sz w:val="22"/>
                <w:szCs w:val="22"/>
              </w:rPr>
            </w:pPr>
            <w:r w:rsidRPr="00541261">
              <w:rPr>
                <w:rFonts w:eastAsia="Times New Roman" w:cs="Arial"/>
                <w:iCs/>
                <w:color w:val="000000"/>
                <w:sz w:val="22"/>
                <w:szCs w:val="22"/>
              </w:rPr>
              <w:t>28 189</w:t>
            </w:r>
          </w:p>
        </w:tc>
      </w:tr>
    </w:tbl>
    <w:p w:rsidR="00B01379" w:rsidRDefault="00B01379" w:rsidP="00541261">
      <w:pPr>
        <w:contextualSpacing/>
        <w:jc w:val="both"/>
        <w:rPr>
          <w:rFonts w:eastAsia="Calibri" w:cs="Arial"/>
          <w:b/>
          <w:bCs/>
          <w:sz w:val="18"/>
          <w:szCs w:val="18"/>
        </w:rPr>
      </w:pPr>
    </w:p>
    <w:p w:rsidR="00541261" w:rsidRDefault="00541261" w:rsidP="00541261">
      <w:pPr>
        <w:contextualSpacing/>
        <w:jc w:val="both"/>
        <w:rPr>
          <w:rFonts w:eastAsia="Calibri" w:cs="Arial"/>
          <w:bCs/>
          <w:sz w:val="18"/>
          <w:szCs w:val="18"/>
        </w:rPr>
      </w:pPr>
      <w:r w:rsidRPr="00D61FB3">
        <w:rPr>
          <w:rFonts w:eastAsia="Calibri" w:cs="Arial"/>
          <w:b/>
          <w:bCs/>
          <w:sz w:val="18"/>
          <w:szCs w:val="18"/>
        </w:rPr>
        <w:t>Zdroj:</w:t>
      </w:r>
      <w:r w:rsidRPr="00D61FB3">
        <w:rPr>
          <w:rFonts w:eastAsia="Calibri" w:cs="Arial"/>
          <w:bCs/>
          <w:sz w:val="18"/>
          <w:szCs w:val="18"/>
        </w:rPr>
        <w:t xml:space="preserve"> Hodnoty byly vypočteny NKÚ z údajů </w:t>
      </w:r>
      <w:r w:rsidR="00410499">
        <w:rPr>
          <w:rFonts w:eastAsia="Calibri" w:cs="Arial"/>
          <w:bCs/>
          <w:sz w:val="18"/>
          <w:szCs w:val="18"/>
        </w:rPr>
        <w:t xml:space="preserve">uvedených </w:t>
      </w:r>
      <w:r w:rsidR="00A61F35">
        <w:rPr>
          <w:rFonts w:eastAsia="Calibri" w:cs="Arial"/>
          <w:bCs/>
          <w:sz w:val="18"/>
          <w:szCs w:val="18"/>
        </w:rPr>
        <w:t>v </w:t>
      </w:r>
      <w:r w:rsidRPr="00D61FB3">
        <w:rPr>
          <w:rFonts w:eastAsia="Calibri" w:cs="Arial"/>
          <w:bCs/>
          <w:sz w:val="18"/>
          <w:szCs w:val="18"/>
        </w:rPr>
        <w:t xml:space="preserve">účetnictví a </w:t>
      </w:r>
      <w:r w:rsidR="00A61F35">
        <w:rPr>
          <w:rFonts w:eastAsia="Calibri" w:cs="Arial"/>
          <w:bCs/>
          <w:sz w:val="18"/>
          <w:szCs w:val="18"/>
        </w:rPr>
        <w:t>v </w:t>
      </w:r>
      <w:r w:rsidRPr="00D61FB3">
        <w:rPr>
          <w:rFonts w:eastAsia="Calibri" w:cs="Arial"/>
          <w:bCs/>
          <w:sz w:val="18"/>
          <w:szCs w:val="18"/>
        </w:rPr>
        <w:t xml:space="preserve">příslušných evidencích ŘSD. </w:t>
      </w:r>
    </w:p>
    <w:p w:rsidR="00BD728F" w:rsidRDefault="00BD728F" w:rsidP="00541261">
      <w:pPr>
        <w:contextualSpacing/>
        <w:jc w:val="both"/>
        <w:rPr>
          <w:rFonts w:eastAsia="Calibri" w:cs="Arial"/>
          <w:bCs/>
          <w:sz w:val="18"/>
          <w:szCs w:val="18"/>
        </w:rPr>
      </w:pPr>
    </w:p>
    <w:p w:rsidR="00BD728F" w:rsidRPr="00B01379" w:rsidRDefault="00BD728F" w:rsidP="00BD728F">
      <w:pPr>
        <w:contextualSpacing/>
        <w:jc w:val="both"/>
        <w:rPr>
          <w:rFonts w:eastAsia="Calibri" w:cs="Arial"/>
          <w:bCs/>
          <w:sz w:val="18"/>
          <w:szCs w:val="18"/>
        </w:rPr>
      </w:pPr>
      <w:r w:rsidRPr="00B01379">
        <w:rPr>
          <w:rFonts w:eastAsia="Calibri" w:cs="Arial"/>
          <w:bCs/>
          <w:sz w:val="18"/>
          <w:szCs w:val="18"/>
        </w:rPr>
        <w:t>*</w:t>
      </w:r>
      <w:r>
        <w:rPr>
          <w:rFonts w:eastAsia="Calibri" w:cs="Arial"/>
          <w:bCs/>
          <w:sz w:val="18"/>
          <w:szCs w:val="18"/>
        </w:rPr>
        <w:t xml:space="preserve"> </w:t>
      </w:r>
      <w:proofErr w:type="spellStart"/>
      <w:r w:rsidRPr="00B01379">
        <w:rPr>
          <w:rFonts w:eastAsia="Calibri" w:cs="Arial"/>
          <w:bCs/>
          <w:sz w:val="18"/>
          <w:szCs w:val="18"/>
        </w:rPr>
        <w:t>zam</w:t>
      </w:r>
      <w:proofErr w:type="spellEnd"/>
      <w:r w:rsidRPr="00B01379">
        <w:rPr>
          <w:rFonts w:eastAsia="Calibri" w:cs="Arial"/>
          <w:bCs/>
          <w:sz w:val="18"/>
          <w:szCs w:val="18"/>
        </w:rPr>
        <w:t>. – 1 zaměstnanec</w:t>
      </w:r>
    </w:p>
    <w:p w:rsidR="00BD728F" w:rsidRPr="00D61FB3" w:rsidRDefault="00BD728F" w:rsidP="00541261">
      <w:pPr>
        <w:contextualSpacing/>
        <w:jc w:val="both"/>
        <w:rPr>
          <w:rFonts w:eastAsia="Calibri" w:cs="Arial"/>
          <w:bCs/>
          <w:sz w:val="18"/>
          <w:szCs w:val="18"/>
        </w:rPr>
      </w:pPr>
    </w:p>
    <w:sectPr w:rsidR="00BD728F" w:rsidRPr="00D61FB3" w:rsidSect="00BD2316">
      <w:footerReference w:type="default" r:id="rId10"/>
      <w:pgSz w:w="11907" w:h="16839" w:code="9"/>
      <w:pgMar w:top="1276" w:right="1418" w:bottom="1135" w:left="1418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AC" w:rsidRDefault="00CC30AC">
      <w:r>
        <w:separator/>
      </w:r>
    </w:p>
  </w:endnote>
  <w:endnote w:type="continuationSeparator" w:id="0">
    <w:p w:rsidR="00CC30AC" w:rsidRDefault="00CC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AC" w:rsidRPr="009A12AE" w:rsidRDefault="00CC30AC" w:rsidP="009A12AE">
    <w:pPr>
      <w:pStyle w:val="Zpat"/>
      <w:jc w:val="center"/>
      <w:rPr>
        <w:rFonts w:cs="Arial"/>
        <w:sz w:val="22"/>
        <w:szCs w:val="22"/>
      </w:rPr>
    </w:pPr>
    <w:r w:rsidRPr="009A12AE">
      <w:rPr>
        <w:rFonts w:cs="Arial"/>
        <w:sz w:val="22"/>
        <w:szCs w:val="22"/>
      </w:rPr>
      <w:fldChar w:fldCharType="begin"/>
    </w:r>
    <w:r w:rsidRPr="009A12AE">
      <w:rPr>
        <w:rFonts w:cs="Arial"/>
        <w:sz w:val="22"/>
        <w:szCs w:val="22"/>
      </w:rPr>
      <w:instrText xml:space="preserve"> PAGE   \* MERGEFORMAT </w:instrText>
    </w:r>
    <w:r w:rsidRPr="009A12AE">
      <w:rPr>
        <w:rFonts w:cs="Arial"/>
        <w:sz w:val="22"/>
        <w:szCs w:val="22"/>
      </w:rPr>
      <w:fldChar w:fldCharType="separate"/>
    </w:r>
    <w:r w:rsidR="00BD728F">
      <w:rPr>
        <w:rFonts w:cs="Arial"/>
        <w:noProof/>
        <w:sz w:val="22"/>
        <w:szCs w:val="22"/>
      </w:rPr>
      <w:t>12</w:t>
    </w:r>
    <w:r w:rsidRPr="009A12AE">
      <w:rPr>
        <w:rFonts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AC" w:rsidRDefault="00CC30AC">
      <w:r>
        <w:separator/>
      </w:r>
    </w:p>
  </w:footnote>
  <w:footnote w:type="continuationSeparator" w:id="0">
    <w:p w:rsidR="00CC30AC" w:rsidRDefault="00CC30AC">
      <w:r>
        <w:continuationSeparator/>
      </w:r>
    </w:p>
  </w:footnote>
  <w:footnote w:id="1">
    <w:p w:rsidR="00CC30AC" w:rsidRPr="00F666B9" w:rsidRDefault="00CC30AC" w:rsidP="007040DC">
      <w:pPr>
        <w:pStyle w:val="Textpoznpodarou"/>
        <w:ind w:left="284" w:hanging="284"/>
        <w:jc w:val="both"/>
        <w:rPr>
          <w:sz w:val="18"/>
          <w:szCs w:val="18"/>
        </w:rPr>
      </w:pPr>
      <w:r w:rsidRPr="00F666B9">
        <w:rPr>
          <w:rStyle w:val="Znakapoznpodarou"/>
          <w:sz w:val="18"/>
          <w:szCs w:val="18"/>
        </w:rPr>
        <w:footnoteRef/>
      </w:r>
      <w:r w:rsidRPr="00F666B9">
        <w:rPr>
          <w:sz w:val="18"/>
          <w:szCs w:val="18"/>
        </w:rPr>
        <w:t xml:space="preserve"> </w:t>
      </w:r>
      <w:r w:rsidRPr="00F666B9">
        <w:rPr>
          <w:sz w:val="18"/>
          <w:szCs w:val="18"/>
        </w:rPr>
        <w:tab/>
        <w:t xml:space="preserve">Tyto činnosti jsou NKÚ prověřovány samostatnými kontrolními akcemi. </w:t>
      </w:r>
    </w:p>
  </w:footnote>
  <w:footnote w:id="2">
    <w:p w:rsidR="00CC30AC" w:rsidRPr="00F666B9" w:rsidRDefault="00CC30AC" w:rsidP="009B1AA2">
      <w:pPr>
        <w:pStyle w:val="Textpoznpodarou"/>
        <w:ind w:left="284" w:hanging="284"/>
        <w:jc w:val="both"/>
        <w:rPr>
          <w:sz w:val="18"/>
          <w:szCs w:val="18"/>
        </w:rPr>
      </w:pPr>
      <w:r w:rsidRPr="00F666B9">
        <w:rPr>
          <w:rStyle w:val="Znakapoznpodarou"/>
          <w:sz w:val="18"/>
          <w:szCs w:val="18"/>
        </w:rPr>
        <w:footnoteRef/>
      </w:r>
      <w:r w:rsidRPr="00F666B9">
        <w:rPr>
          <w:sz w:val="18"/>
          <w:szCs w:val="18"/>
        </w:rPr>
        <w:tab/>
        <w:t xml:space="preserve">Zákon č. 218/2000 Sb., </w:t>
      </w:r>
      <w:r w:rsidRPr="000F38F0">
        <w:rPr>
          <w:sz w:val="18"/>
          <w:szCs w:val="18"/>
        </w:rPr>
        <w:t>o rozpočtových pravidlech a o změně některých souvisejících zákonů (rozpočtová pravidla)</w:t>
      </w:r>
      <w:r w:rsidRPr="00022EB8">
        <w:rPr>
          <w:sz w:val="18"/>
          <w:szCs w:val="18"/>
        </w:rPr>
        <w:t>.</w:t>
      </w:r>
    </w:p>
  </w:footnote>
  <w:footnote w:id="3">
    <w:p w:rsidR="00CC30AC" w:rsidRPr="00F666B9" w:rsidRDefault="00CC30AC" w:rsidP="00A1468E">
      <w:pPr>
        <w:ind w:left="284" w:hanging="284"/>
        <w:jc w:val="both"/>
        <w:rPr>
          <w:sz w:val="18"/>
          <w:szCs w:val="18"/>
        </w:rPr>
      </w:pPr>
      <w:r w:rsidRPr="00F666B9">
        <w:rPr>
          <w:rStyle w:val="Znakapoznpodarou"/>
          <w:sz w:val="18"/>
          <w:szCs w:val="18"/>
        </w:rPr>
        <w:footnoteRef/>
      </w:r>
      <w:r w:rsidRPr="00F666B9">
        <w:rPr>
          <w:sz w:val="18"/>
          <w:szCs w:val="18"/>
        </w:rPr>
        <w:t xml:space="preserve"> </w:t>
      </w:r>
      <w:r w:rsidRPr="00F666B9">
        <w:rPr>
          <w:sz w:val="18"/>
          <w:szCs w:val="18"/>
        </w:rPr>
        <w:tab/>
      </w:r>
      <w:r w:rsidRPr="00F666B9">
        <w:rPr>
          <w:rFonts w:cs="Arial"/>
          <w:sz w:val="18"/>
          <w:szCs w:val="18"/>
        </w:rPr>
        <w:t xml:space="preserve">Neoprávněným použitím peněžních prostředků státního rozpočtu a státního fondu jejich příjemcem se podle § 3 zákona č. 218/2000 Sb. rozumí jejich výdej, jehož provedením byla porušena povinnost stanovená právním předpisem, </w:t>
      </w:r>
      <w:r w:rsidR="00BD728F">
        <w:rPr>
          <w:rFonts w:cs="Arial"/>
          <w:sz w:val="18"/>
          <w:szCs w:val="18"/>
        </w:rPr>
        <w:t xml:space="preserve">případně </w:t>
      </w:r>
      <w:r w:rsidRPr="00F666B9">
        <w:rPr>
          <w:rFonts w:cs="Arial"/>
          <w:sz w:val="18"/>
          <w:szCs w:val="18"/>
        </w:rPr>
        <w:t>rozhodnutím</w:t>
      </w:r>
      <w:r w:rsidR="00BD728F">
        <w:rPr>
          <w:rFonts w:cs="Arial"/>
          <w:sz w:val="18"/>
          <w:szCs w:val="18"/>
        </w:rPr>
        <w:t xml:space="preserve">, </w:t>
      </w:r>
      <w:r w:rsidRPr="00F666B9">
        <w:rPr>
          <w:rFonts w:cs="Arial"/>
          <w:sz w:val="18"/>
          <w:szCs w:val="18"/>
        </w:rPr>
        <w:t>nebo porušení podmínek, za kterých byly peněžní prostředky poskytnuty, a dále to</w:t>
      </w:r>
      <w:r w:rsidR="008002CC">
        <w:rPr>
          <w:rFonts w:cs="Arial"/>
          <w:sz w:val="18"/>
          <w:szCs w:val="18"/>
        </w:rPr>
        <w:t>,</w:t>
      </w:r>
      <w:r w:rsidRPr="00F666B9">
        <w:rPr>
          <w:rFonts w:cs="Arial"/>
          <w:sz w:val="18"/>
          <w:szCs w:val="18"/>
        </w:rPr>
        <w:t xml:space="preserve"> nelze-li prokázat, jak byly peněžní prostředky použity. Podle § 44 uvedeného zákona je neoprávněné použití peněžních prostředků porušením rozpočtové kázně. </w:t>
      </w:r>
    </w:p>
  </w:footnote>
  <w:footnote w:id="4">
    <w:p w:rsidR="00CC30AC" w:rsidRPr="00F666B9" w:rsidRDefault="00CC30AC" w:rsidP="002B6EA3">
      <w:pPr>
        <w:pStyle w:val="Textpoznpodarou"/>
        <w:ind w:left="284" w:hanging="284"/>
        <w:jc w:val="both"/>
        <w:rPr>
          <w:sz w:val="18"/>
          <w:szCs w:val="18"/>
        </w:rPr>
      </w:pPr>
      <w:r w:rsidRPr="00F666B9">
        <w:rPr>
          <w:rStyle w:val="Znakapoznpodarou"/>
          <w:sz w:val="18"/>
          <w:szCs w:val="18"/>
        </w:rPr>
        <w:footnoteRef/>
      </w:r>
      <w:r w:rsidRPr="00F666B9">
        <w:rPr>
          <w:sz w:val="18"/>
          <w:szCs w:val="18"/>
        </w:rPr>
        <w:t xml:space="preserve"> </w:t>
      </w:r>
      <w:r w:rsidRPr="00F666B9">
        <w:rPr>
          <w:sz w:val="18"/>
          <w:szCs w:val="18"/>
        </w:rPr>
        <w:tab/>
        <w:t xml:space="preserve">Jde o část nákladů ŘSD na právní služby, které nejsou součástí nákladů týkajících se konkrétních akcí na dálnicích a silnicích I. třídy.  </w:t>
      </w:r>
    </w:p>
  </w:footnote>
  <w:footnote w:id="5">
    <w:p w:rsidR="00CC30AC" w:rsidRPr="00F666B9" w:rsidRDefault="00CC30AC" w:rsidP="00985319">
      <w:pPr>
        <w:pStyle w:val="Textpoznpodarou"/>
        <w:ind w:left="284" w:hanging="284"/>
        <w:jc w:val="both"/>
        <w:rPr>
          <w:sz w:val="18"/>
          <w:szCs w:val="18"/>
        </w:rPr>
      </w:pPr>
      <w:r w:rsidRPr="00F666B9">
        <w:rPr>
          <w:rStyle w:val="Znakapoznpodarou"/>
          <w:sz w:val="18"/>
          <w:szCs w:val="18"/>
        </w:rPr>
        <w:footnoteRef/>
      </w:r>
      <w:r w:rsidRPr="00F666B9">
        <w:rPr>
          <w:sz w:val="18"/>
          <w:szCs w:val="18"/>
        </w:rPr>
        <w:t xml:space="preserve"> </w:t>
      </w:r>
      <w:r w:rsidRPr="00F666B9">
        <w:rPr>
          <w:sz w:val="18"/>
          <w:szCs w:val="18"/>
        </w:rPr>
        <w:tab/>
        <w:t xml:space="preserve">Rámcovou smlouvu uzavřelo Ministerstvo dopravy, Ředitelství vodních cest, ŘSD a Správa železniční dopravní cesty. ŘSD uhradilo právním poradcům na základě prováděcích smluv uzavřených k této rámcové smlouvě v letech 2010 až 2012 celkem 334 299 tis. Kč (částka zahrnuje i plnění týkající se konkrétních akcí na dálnicích a silnicích I. třídy). </w:t>
      </w:r>
    </w:p>
  </w:footnote>
  <w:footnote w:id="6">
    <w:p w:rsidR="00CC30AC" w:rsidRPr="00D61FB3" w:rsidRDefault="00CC30AC" w:rsidP="00E46A73">
      <w:pPr>
        <w:pStyle w:val="Textpoznpodarou"/>
        <w:ind w:left="284" w:hanging="284"/>
        <w:rPr>
          <w:sz w:val="18"/>
          <w:szCs w:val="18"/>
        </w:rPr>
      </w:pPr>
      <w:r w:rsidRPr="00D61FB3">
        <w:rPr>
          <w:rStyle w:val="Znakapoznpodarou"/>
          <w:sz w:val="18"/>
          <w:szCs w:val="18"/>
        </w:rPr>
        <w:footnoteRef/>
      </w:r>
      <w:r w:rsidRPr="00D61FB3">
        <w:rPr>
          <w:sz w:val="18"/>
          <w:szCs w:val="18"/>
        </w:rPr>
        <w:t xml:space="preserve"> </w:t>
      </w:r>
      <w:r w:rsidRPr="00D61FB3">
        <w:rPr>
          <w:sz w:val="18"/>
          <w:szCs w:val="18"/>
        </w:rPr>
        <w:tab/>
        <w:t>Jde o služby, které neodpovídaly předmětu prováděcích smluv nebo rámcové smlouvy.</w:t>
      </w:r>
    </w:p>
  </w:footnote>
  <w:footnote w:id="7">
    <w:p w:rsidR="00CC30AC" w:rsidRPr="00D61FB3" w:rsidRDefault="00CC30AC" w:rsidP="00F346AD">
      <w:pPr>
        <w:pStyle w:val="Textpoznpodarou"/>
        <w:ind w:left="284" w:hanging="284"/>
        <w:rPr>
          <w:sz w:val="18"/>
          <w:szCs w:val="18"/>
        </w:rPr>
      </w:pPr>
      <w:r w:rsidRPr="00D61FB3">
        <w:rPr>
          <w:rStyle w:val="Znakapoznpodarou"/>
          <w:sz w:val="18"/>
          <w:szCs w:val="18"/>
        </w:rPr>
        <w:footnoteRef/>
      </w:r>
      <w:r w:rsidRPr="00D61FB3">
        <w:rPr>
          <w:sz w:val="18"/>
          <w:szCs w:val="18"/>
        </w:rPr>
        <w:t xml:space="preserve"> </w:t>
      </w:r>
      <w:r w:rsidRPr="00D61FB3">
        <w:rPr>
          <w:sz w:val="18"/>
          <w:szCs w:val="18"/>
        </w:rPr>
        <w:tab/>
        <w:t xml:space="preserve">Zákon č. 137/2006 Sb., </w:t>
      </w:r>
      <w:r w:rsidRPr="000F38F0">
        <w:rPr>
          <w:sz w:val="18"/>
          <w:szCs w:val="18"/>
        </w:rPr>
        <w:t>o veřejných zakázkách</w:t>
      </w:r>
      <w:r w:rsidRPr="00D61FB3">
        <w:rPr>
          <w:sz w:val="18"/>
          <w:szCs w:val="18"/>
        </w:rPr>
        <w:t>.</w:t>
      </w:r>
    </w:p>
  </w:footnote>
  <w:footnote w:id="8">
    <w:p w:rsidR="00CC30AC" w:rsidRPr="00022EB8" w:rsidRDefault="00CC30AC" w:rsidP="00737633">
      <w:pPr>
        <w:pStyle w:val="Textpoznpodarou"/>
        <w:ind w:left="284" w:hanging="284"/>
        <w:jc w:val="both"/>
      </w:pPr>
      <w:r w:rsidRPr="00D61FB3">
        <w:rPr>
          <w:rStyle w:val="Znakapoznpodarou"/>
          <w:sz w:val="18"/>
          <w:szCs w:val="18"/>
        </w:rPr>
        <w:footnoteRef/>
      </w:r>
      <w:r w:rsidRPr="00D61FB3">
        <w:rPr>
          <w:sz w:val="18"/>
          <w:szCs w:val="18"/>
        </w:rPr>
        <w:t xml:space="preserve"> </w:t>
      </w:r>
      <w:r w:rsidRPr="00D61FB3">
        <w:rPr>
          <w:sz w:val="18"/>
          <w:szCs w:val="18"/>
        </w:rPr>
        <w:tab/>
        <w:t>Vyhláška č. 416/2004 Sb</w:t>
      </w:r>
      <w:r w:rsidRPr="000F38F0">
        <w:rPr>
          <w:i/>
          <w:sz w:val="18"/>
          <w:szCs w:val="18"/>
        </w:rPr>
        <w:t xml:space="preserve">., </w:t>
      </w:r>
      <w:r w:rsidRPr="000F38F0">
        <w:rPr>
          <w:sz w:val="18"/>
          <w:szCs w:val="18"/>
        </w:rPr>
        <w:t>kterou se provádí zákon č. 320/2001 Sb., o finanční kontrole ve veřejné správě a o změně některých zákonů (zákon o finanční kontrole), ve znění zákona č. 309/2002 Sb., zákona č. 320/2002 Sb. a zákona č. 123/2003 Sb.</w:t>
      </w:r>
    </w:p>
  </w:footnote>
  <w:footnote w:id="9">
    <w:p w:rsidR="00CC30AC" w:rsidRPr="00D61FB3" w:rsidRDefault="00CC30AC" w:rsidP="0035436B">
      <w:pPr>
        <w:pStyle w:val="Textpoznpodarou"/>
        <w:ind w:left="284" w:hanging="284"/>
        <w:jc w:val="both"/>
        <w:rPr>
          <w:sz w:val="18"/>
          <w:szCs w:val="18"/>
        </w:rPr>
      </w:pPr>
      <w:r w:rsidRPr="00D61FB3">
        <w:rPr>
          <w:rStyle w:val="Znakapoznpodarou"/>
          <w:sz w:val="18"/>
          <w:szCs w:val="18"/>
        </w:rPr>
        <w:footnoteRef/>
      </w:r>
      <w:r w:rsidRPr="00D61FB3">
        <w:rPr>
          <w:sz w:val="18"/>
          <w:szCs w:val="18"/>
        </w:rPr>
        <w:t xml:space="preserve"> </w:t>
      </w:r>
      <w:r w:rsidRPr="00D61FB3">
        <w:rPr>
          <w:sz w:val="18"/>
          <w:szCs w:val="18"/>
        </w:rPr>
        <w:tab/>
        <w:t xml:space="preserve">Ekonomické předpoklady nájmu budovy, jejich naplnění a výběr budovy byly prověřovány NKÚ v kontrolních akcích č. 04/24 (kontrolní závěr byl zveřejněn </w:t>
      </w:r>
      <w:r>
        <w:rPr>
          <w:sz w:val="18"/>
          <w:szCs w:val="18"/>
        </w:rPr>
        <w:t>v částce</w:t>
      </w:r>
      <w:r w:rsidRPr="00D61FB3">
        <w:rPr>
          <w:sz w:val="18"/>
          <w:szCs w:val="18"/>
        </w:rPr>
        <w:t xml:space="preserve"> 2/2005</w:t>
      </w:r>
      <w:r>
        <w:rPr>
          <w:sz w:val="18"/>
          <w:szCs w:val="18"/>
        </w:rPr>
        <w:t xml:space="preserve"> </w:t>
      </w:r>
      <w:r w:rsidRPr="000F38F0">
        <w:rPr>
          <w:i/>
          <w:sz w:val="18"/>
          <w:szCs w:val="18"/>
        </w:rPr>
        <w:t>Věstníku NKÚ</w:t>
      </w:r>
      <w:r w:rsidRPr="00D61FB3">
        <w:rPr>
          <w:sz w:val="18"/>
          <w:szCs w:val="18"/>
        </w:rPr>
        <w:t xml:space="preserve">) a č. 06/37 (kontrolní závěr byl zveřejněn </w:t>
      </w:r>
      <w:r>
        <w:rPr>
          <w:sz w:val="18"/>
          <w:szCs w:val="18"/>
        </w:rPr>
        <w:t>v částce</w:t>
      </w:r>
      <w:r w:rsidRPr="00D61FB3">
        <w:rPr>
          <w:sz w:val="18"/>
          <w:szCs w:val="18"/>
        </w:rPr>
        <w:t xml:space="preserve"> 3/2007</w:t>
      </w:r>
      <w:r>
        <w:rPr>
          <w:sz w:val="18"/>
          <w:szCs w:val="18"/>
        </w:rPr>
        <w:t xml:space="preserve"> </w:t>
      </w:r>
      <w:r w:rsidRPr="000F38F0">
        <w:rPr>
          <w:i/>
          <w:sz w:val="18"/>
          <w:szCs w:val="18"/>
        </w:rPr>
        <w:t>Věstníku NKÚ</w:t>
      </w:r>
      <w:r w:rsidRPr="00D61FB3">
        <w:rPr>
          <w:sz w:val="18"/>
          <w:szCs w:val="18"/>
        </w:rPr>
        <w:t xml:space="preserve">). </w:t>
      </w:r>
    </w:p>
  </w:footnote>
  <w:footnote w:id="10">
    <w:p w:rsidR="00CC30AC" w:rsidRPr="00D61FB3" w:rsidRDefault="00CC30AC" w:rsidP="0057687B">
      <w:pPr>
        <w:pStyle w:val="Textpoznpodarou"/>
        <w:ind w:left="284" w:hanging="284"/>
        <w:jc w:val="both"/>
        <w:rPr>
          <w:sz w:val="18"/>
          <w:szCs w:val="18"/>
        </w:rPr>
      </w:pPr>
      <w:r w:rsidRPr="00D61FB3">
        <w:rPr>
          <w:rStyle w:val="Znakapoznpodarou"/>
          <w:sz w:val="18"/>
          <w:szCs w:val="18"/>
        </w:rPr>
        <w:footnoteRef/>
      </w:r>
      <w:r w:rsidRPr="00D61FB3">
        <w:rPr>
          <w:sz w:val="18"/>
          <w:szCs w:val="18"/>
        </w:rPr>
        <w:t xml:space="preserve"> </w:t>
      </w:r>
      <w:r w:rsidRPr="00D61FB3">
        <w:rPr>
          <w:sz w:val="18"/>
          <w:szCs w:val="18"/>
        </w:rPr>
        <w:tab/>
        <w:t>Závod Praha nepředložil výkaz o provozu vozidla za měsíc říjen 2010. Za září 2010 ujelo vozidlo 2 108 km. Za</w:t>
      </w:r>
      <w:r>
        <w:rPr>
          <w:sz w:val="18"/>
          <w:szCs w:val="18"/>
        </w:rPr>
        <w:t> </w:t>
      </w:r>
      <w:r w:rsidRPr="00D61FB3">
        <w:rPr>
          <w:sz w:val="18"/>
          <w:szCs w:val="18"/>
        </w:rPr>
        <w:t xml:space="preserve">říjen 2010 byla použita hodnota 4 530 km, která byla nejvyšší hodnotou počtu ujetých kilometrů za měsíc v roce 2010. </w:t>
      </w:r>
    </w:p>
  </w:footnote>
  <w:footnote w:id="11">
    <w:p w:rsidR="00CC30AC" w:rsidRPr="00D61FB3" w:rsidRDefault="00CC30AC" w:rsidP="00B971B7">
      <w:pPr>
        <w:pStyle w:val="Textpoznpodarou"/>
        <w:ind w:left="284" w:hanging="284"/>
        <w:jc w:val="both"/>
        <w:rPr>
          <w:sz w:val="18"/>
          <w:szCs w:val="18"/>
        </w:rPr>
      </w:pPr>
      <w:r w:rsidRPr="00D61FB3">
        <w:rPr>
          <w:rStyle w:val="Znakapoznpodarou"/>
          <w:sz w:val="18"/>
          <w:szCs w:val="18"/>
        </w:rPr>
        <w:footnoteRef/>
      </w:r>
      <w:r w:rsidRPr="00D61FB3">
        <w:rPr>
          <w:sz w:val="18"/>
          <w:szCs w:val="18"/>
        </w:rPr>
        <w:t xml:space="preserve"> </w:t>
      </w:r>
      <w:r w:rsidRPr="00D61FB3">
        <w:rPr>
          <w:sz w:val="18"/>
          <w:szCs w:val="18"/>
        </w:rPr>
        <w:tab/>
        <w:t xml:space="preserve">Zákon č. 219/2000 Sb., </w:t>
      </w:r>
      <w:r w:rsidRPr="000F38F0">
        <w:rPr>
          <w:sz w:val="18"/>
          <w:szCs w:val="18"/>
        </w:rPr>
        <w:t>o majetku České republiky a jejím vystupování v právních vztazích</w:t>
      </w:r>
      <w:r w:rsidRPr="00D61FB3">
        <w:rPr>
          <w:sz w:val="18"/>
          <w:szCs w:val="18"/>
        </w:rPr>
        <w:t>.</w:t>
      </w:r>
    </w:p>
  </w:footnote>
  <w:footnote w:id="12">
    <w:p w:rsidR="00CC30AC" w:rsidRPr="00D61FB3" w:rsidRDefault="00CC30AC" w:rsidP="00DD3124">
      <w:pPr>
        <w:pStyle w:val="Textpoznpodarou"/>
        <w:ind w:left="284" w:hanging="284"/>
        <w:jc w:val="both"/>
        <w:rPr>
          <w:sz w:val="18"/>
          <w:szCs w:val="18"/>
        </w:rPr>
      </w:pPr>
      <w:r w:rsidRPr="00D61FB3">
        <w:rPr>
          <w:rStyle w:val="Znakapoznpodarou"/>
          <w:sz w:val="18"/>
          <w:szCs w:val="18"/>
        </w:rPr>
        <w:footnoteRef/>
      </w:r>
      <w:r w:rsidRPr="00D61FB3">
        <w:rPr>
          <w:sz w:val="18"/>
          <w:szCs w:val="18"/>
        </w:rPr>
        <w:t xml:space="preserve"> </w:t>
      </w:r>
      <w:r w:rsidRPr="00D61FB3">
        <w:rPr>
          <w:sz w:val="18"/>
          <w:szCs w:val="18"/>
        </w:rPr>
        <w:tab/>
        <w:t>Jde o kontrolní akce č. 04/24 (kontrolní závěr byl zveřejněn v</w:t>
      </w:r>
      <w:r>
        <w:rPr>
          <w:sz w:val="18"/>
          <w:szCs w:val="18"/>
        </w:rPr>
        <w:t> částce</w:t>
      </w:r>
      <w:r w:rsidRPr="00D61FB3">
        <w:rPr>
          <w:sz w:val="18"/>
          <w:szCs w:val="18"/>
        </w:rPr>
        <w:t xml:space="preserve"> 2/2005</w:t>
      </w:r>
      <w:r>
        <w:rPr>
          <w:sz w:val="18"/>
          <w:szCs w:val="18"/>
        </w:rPr>
        <w:t xml:space="preserve"> </w:t>
      </w:r>
      <w:r w:rsidRPr="000F38F0">
        <w:rPr>
          <w:i/>
          <w:sz w:val="18"/>
          <w:szCs w:val="18"/>
        </w:rPr>
        <w:t>Věstníku NKÚ</w:t>
      </w:r>
      <w:r w:rsidRPr="00D61FB3">
        <w:rPr>
          <w:sz w:val="18"/>
          <w:szCs w:val="18"/>
        </w:rPr>
        <w:t>) a č.</w:t>
      </w:r>
      <w:r>
        <w:rPr>
          <w:sz w:val="18"/>
          <w:szCs w:val="18"/>
        </w:rPr>
        <w:t> </w:t>
      </w:r>
      <w:r w:rsidRPr="00D61FB3">
        <w:rPr>
          <w:sz w:val="18"/>
          <w:szCs w:val="18"/>
        </w:rPr>
        <w:t>06/37 (kontrolní závěr byl zveřejněn v</w:t>
      </w:r>
      <w:r>
        <w:rPr>
          <w:sz w:val="18"/>
          <w:szCs w:val="18"/>
        </w:rPr>
        <w:t> částce</w:t>
      </w:r>
      <w:r w:rsidRPr="00D61FB3">
        <w:rPr>
          <w:sz w:val="18"/>
          <w:szCs w:val="18"/>
        </w:rPr>
        <w:t xml:space="preserve"> 3/2007</w:t>
      </w:r>
      <w:r>
        <w:rPr>
          <w:sz w:val="18"/>
          <w:szCs w:val="18"/>
        </w:rPr>
        <w:t xml:space="preserve"> </w:t>
      </w:r>
      <w:r w:rsidRPr="000F38F0">
        <w:rPr>
          <w:i/>
          <w:sz w:val="18"/>
          <w:szCs w:val="18"/>
        </w:rPr>
        <w:t>Věstníku NKÚ</w:t>
      </w:r>
      <w:r w:rsidRPr="00D61FB3">
        <w:rPr>
          <w:sz w:val="18"/>
          <w:szCs w:val="18"/>
        </w:rPr>
        <w:t xml:space="preserve">). </w:t>
      </w:r>
    </w:p>
  </w:footnote>
  <w:footnote w:id="13">
    <w:p w:rsidR="00CC30AC" w:rsidRPr="00F327E9" w:rsidRDefault="00CC30AC" w:rsidP="00A54D0F">
      <w:pPr>
        <w:pStyle w:val="Textpoznpodarou"/>
        <w:ind w:left="284" w:hanging="284"/>
        <w:jc w:val="both"/>
      </w:pPr>
      <w:r w:rsidRPr="00D61FB3">
        <w:rPr>
          <w:rStyle w:val="Znakapoznpodarou"/>
          <w:sz w:val="18"/>
          <w:szCs w:val="18"/>
        </w:rPr>
        <w:footnoteRef/>
      </w:r>
      <w:r w:rsidRPr="00D61FB3">
        <w:rPr>
          <w:sz w:val="18"/>
          <w:szCs w:val="18"/>
        </w:rPr>
        <w:t xml:space="preserve"> </w:t>
      </w:r>
      <w:r w:rsidRPr="00D61FB3">
        <w:rPr>
          <w:sz w:val="18"/>
          <w:szCs w:val="18"/>
        </w:rPr>
        <w:tab/>
        <w:t xml:space="preserve">Tito zaměstnanci </w:t>
      </w:r>
      <w:r w:rsidRPr="00D61FB3">
        <w:rPr>
          <w:rFonts w:cs="Arial"/>
          <w:sz w:val="18"/>
          <w:szCs w:val="18"/>
        </w:rPr>
        <w:t>mají také povinnost zahrnout 1 % z pořizovací ceny vozidla za každý měsíc používání do základu daně.</w:t>
      </w:r>
      <w:r>
        <w:rPr>
          <w:rFonts w:cs="Arial"/>
        </w:rPr>
        <w:t xml:space="preserve"> </w:t>
      </w:r>
      <w:r w:rsidRPr="00F327E9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23B1"/>
    <w:multiLevelType w:val="hybridMultilevel"/>
    <w:tmpl w:val="F66C19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2E0770"/>
    <w:multiLevelType w:val="hybridMultilevel"/>
    <w:tmpl w:val="E738EBB4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8432D"/>
    <w:multiLevelType w:val="hybridMultilevel"/>
    <w:tmpl w:val="8A62476E"/>
    <w:lvl w:ilvl="0" w:tplc="149C25E0">
      <w:start w:val="8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731B7"/>
    <w:multiLevelType w:val="hybridMultilevel"/>
    <w:tmpl w:val="05EEDE6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61115"/>
    <w:multiLevelType w:val="hybridMultilevel"/>
    <w:tmpl w:val="B84A7988"/>
    <w:lvl w:ilvl="0" w:tplc="7514F81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35C74D3"/>
    <w:multiLevelType w:val="hybridMultilevel"/>
    <w:tmpl w:val="503EB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C70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47176"/>
    <w:multiLevelType w:val="hybridMultilevel"/>
    <w:tmpl w:val="6D0836B2"/>
    <w:lvl w:ilvl="0" w:tplc="326CAC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8342631"/>
    <w:multiLevelType w:val="hybridMultilevel"/>
    <w:tmpl w:val="C382EE6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45634D4"/>
    <w:multiLevelType w:val="hybridMultilevel"/>
    <w:tmpl w:val="C610C8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55B62"/>
    <w:multiLevelType w:val="hybridMultilevel"/>
    <w:tmpl w:val="0AD4EA34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B4D70"/>
    <w:multiLevelType w:val="hybridMultilevel"/>
    <w:tmpl w:val="0DFE1682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65532"/>
    <w:multiLevelType w:val="hybridMultilevel"/>
    <w:tmpl w:val="641A913C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628CB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15C03"/>
    <w:multiLevelType w:val="hybridMultilevel"/>
    <w:tmpl w:val="794CEED4"/>
    <w:lvl w:ilvl="0" w:tplc="E71E0C04">
      <w:start w:val="213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5431729"/>
    <w:multiLevelType w:val="hybridMultilevel"/>
    <w:tmpl w:val="663A1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37367"/>
    <w:multiLevelType w:val="hybridMultilevel"/>
    <w:tmpl w:val="2FA8A592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E5171A"/>
    <w:multiLevelType w:val="hybridMultilevel"/>
    <w:tmpl w:val="F382606A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51ACF"/>
    <w:multiLevelType w:val="hybridMultilevel"/>
    <w:tmpl w:val="76B699B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E1B5C85"/>
    <w:multiLevelType w:val="hybridMultilevel"/>
    <w:tmpl w:val="204A35A2"/>
    <w:lvl w:ilvl="0" w:tplc="040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D730D060">
      <w:numFmt w:val="bullet"/>
      <w:lvlText w:val=""/>
      <w:lvlJc w:val="left"/>
      <w:pPr>
        <w:tabs>
          <w:tab w:val="num" w:pos="1670"/>
        </w:tabs>
        <w:ind w:left="1670" w:hanging="4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>
    <w:nsid w:val="3E6D2D64"/>
    <w:multiLevelType w:val="hybridMultilevel"/>
    <w:tmpl w:val="B3C41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30A1F"/>
    <w:multiLevelType w:val="hybridMultilevel"/>
    <w:tmpl w:val="11CAC51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6AF6044"/>
    <w:multiLevelType w:val="hybridMultilevel"/>
    <w:tmpl w:val="A5F8A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63FEA"/>
    <w:multiLevelType w:val="hybridMultilevel"/>
    <w:tmpl w:val="A6E29592"/>
    <w:lvl w:ilvl="0" w:tplc="1C181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05241"/>
    <w:multiLevelType w:val="hybridMultilevel"/>
    <w:tmpl w:val="018CBCF8"/>
    <w:lvl w:ilvl="0" w:tplc="50C622A2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A7A3576"/>
    <w:multiLevelType w:val="hybridMultilevel"/>
    <w:tmpl w:val="3ED0058C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3544B"/>
    <w:multiLevelType w:val="hybridMultilevel"/>
    <w:tmpl w:val="F880E046"/>
    <w:lvl w:ilvl="0" w:tplc="7E9E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F13CD"/>
    <w:multiLevelType w:val="hybridMultilevel"/>
    <w:tmpl w:val="8E329716"/>
    <w:lvl w:ilvl="0" w:tplc="814CD9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FC1D27"/>
    <w:multiLevelType w:val="hybridMultilevel"/>
    <w:tmpl w:val="2BE8CB08"/>
    <w:lvl w:ilvl="0" w:tplc="4FF61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42E15"/>
    <w:multiLevelType w:val="hybridMultilevel"/>
    <w:tmpl w:val="2E3C165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75E99"/>
    <w:multiLevelType w:val="hybridMultilevel"/>
    <w:tmpl w:val="D95ACE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664646B"/>
    <w:multiLevelType w:val="hybridMultilevel"/>
    <w:tmpl w:val="47F030BC"/>
    <w:lvl w:ilvl="0" w:tplc="E3BA1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9812FF"/>
    <w:multiLevelType w:val="hybridMultilevel"/>
    <w:tmpl w:val="15629028"/>
    <w:lvl w:ilvl="0" w:tplc="687CE4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2A6C09"/>
    <w:multiLevelType w:val="hybridMultilevel"/>
    <w:tmpl w:val="C6A08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74B99"/>
    <w:multiLevelType w:val="hybridMultilevel"/>
    <w:tmpl w:val="D40682D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D5910"/>
    <w:multiLevelType w:val="hybridMultilevel"/>
    <w:tmpl w:val="B3149166"/>
    <w:lvl w:ilvl="0" w:tplc="6BF04F3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A490F27"/>
    <w:multiLevelType w:val="hybridMultilevel"/>
    <w:tmpl w:val="FFB45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A152B"/>
    <w:multiLevelType w:val="hybridMultilevel"/>
    <w:tmpl w:val="13EA6EAC"/>
    <w:lvl w:ilvl="0" w:tplc="5906B534">
      <w:start w:val="58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6">
    <w:nsid w:val="7BEC4F84"/>
    <w:multiLevelType w:val="hybridMultilevel"/>
    <w:tmpl w:val="4C803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55B04"/>
    <w:multiLevelType w:val="hybridMultilevel"/>
    <w:tmpl w:val="C1020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4"/>
  </w:num>
  <w:num w:numId="4">
    <w:abstractNumId w:val="11"/>
  </w:num>
  <w:num w:numId="5">
    <w:abstractNumId w:val="8"/>
  </w:num>
  <w:num w:numId="6">
    <w:abstractNumId w:val="24"/>
  </w:num>
  <w:num w:numId="7">
    <w:abstractNumId w:val="21"/>
  </w:num>
  <w:num w:numId="8">
    <w:abstractNumId w:val="26"/>
  </w:num>
  <w:num w:numId="9">
    <w:abstractNumId w:val="29"/>
  </w:num>
  <w:num w:numId="10">
    <w:abstractNumId w:val="36"/>
  </w:num>
  <w:num w:numId="11">
    <w:abstractNumId w:val="18"/>
  </w:num>
  <w:num w:numId="12">
    <w:abstractNumId w:val="31"/>
  </w:num>
  <w:num w:numId="13">
    <w:abstractNumId w:val="37"/>
  </w:num>
  <w:num w:numId="14">
    <w:abstractNumId w:val="6"/>
  </w:num>
  <w:num w:numId="15">
    <w:abstractNumId w:val="13"/>
  </w:num>
  <w:num w:numId="16">
    <w:abstractNumId w:val="20"/>
  </w:num>
  <w:num w:numId="17">
    <w:abstractNumId w:val="25"/>
  </w:num>
  <w:num w:numId="18">
    <w:abstractNumId w:val="35"/>
  </w:num>
  <w:num w:numId="19">
    <w:abstractNumId w:val="30"/>
  </w:num>
  <w:num w:numId="20">
    <w:abstractNumId w:val="0"/>
  </w:num>
  <w:num w:numId="21">
    <w:abstractNumId w:val="33"/>
  </w:num>
  <w:num w:numId="22">
    <w:abstractNumId w:val="22"/>
  </w:num>
  <w:num w:numId="23">
    <w:abstractNumId w:val="2"/>
  </w:num>
  <w:num w:numId="24">
    <w:abstractNumId w:val="12"/>
  </w:num>
  <w:num w:numId="25">
    <w:abstractNumId w:val="7"/>
  </w:num>
  <w:num w:numId="26">
    <w:abstractNumId w:val="17"/>
  </w:num>
  <w:num w:numId="27">
    <w:abstractNumId w:val="23"/>
  </w:num>
  <w:num w:numId="28">
    <w:abstractNumId w:val="10"/>
  </w:num>
  <w:num w:numId="29">
    <w:abstractNumId w:val="27"/>
  </w:num>
  <w:num w:numId="30">
    <w:abstractNumId w:val="32"/>
  </w:num>
  <w:num w:numId="31">
    <w:abstractNumId w:val="15"/>
  </w:num>
  <w:num w:numId="32">
    <w:abstractNumId w:val="1"/>
  </w:num>
  <w:num w:numId="33">
    <w:abstractNumId w:val="3"/>
  </w:num>
  <w:num w:numId="34">
    <w:abstractNumId w:val="9"/>
  </w:num>
  <w:num w:numId="35">
    <w:abstractNumId w:val="16"/>
  </w:num>
  <w:num w:numId="36">
    <w:abstractNumId w:val="28"/>
  </w:num>
  <w:num w:numId="37">
    <w:abstractNumId w:val="1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932"/>
    <w:rsid w:val="00000ADF"/>
    <w:rsid w:val="00000F96"/>
    <w:rsid w:val="00001B91"/>
    <w:rsid w:val="00002073"/>
    <w:rsid w:val="0000330E"/>
    <w:rsid w:val="000033DB"/>
    <w:rsid w:val="00003D20"/>
    <w:rsid w:val="0000434F"/>
    <w:rsid w:val="000044CF"/>
    <w:rsid w:val="00004DB0"/>
    <w:rsid w:val="00005220"/>
    <w:rsid w:val="0000580F"/>
    <w:rsid w:val="00005C3E"/>
    <w:rsid w:val="00005C47"/>
    <w:rsid w:val="00005C6C"/>
    <w:rsid w:val="000066B9"/>
    <w:rsid w:val="00006886"/>
    <w:rsid w:val="0000690B"/>
    <w:rsid w:val="00006B02"/>
    <w:rsid w:val="00007773"/>
    <w:rsid w:val="00010D13"/>
    <w:rsid w:val="0001113E"/>
    <w:rsid w:val="000112F9"/>
    <w:rsid w:val="00013006"/>
    <w:rsid w:val="000131C6"/>
    <w:rsid w:val="00013507"/>
    <w:rsid w:val="00014603"/>
    <w:rsid w:val="000152B0"/>
    <w:rsid w:val="0001567E"/>
    <w:rsid w:val="00015CCB"/>
    <w:rsid w:val="00015F28"/>
    <w:rsid w:val="000163B7"/>
    <w:rsid w:val="000172AE"/>
    <w:rsid w:val="00017EC7"/>
    <w:rsid w:val="00020A05"/>
    <w:rsid w:val="00020DE5"/>
    <w:rsid w:val="00021026"/>
    <w:rsid w:val="000218CA"/>
    <w:rsid w:val="00021D46"/>
    <w:rsid w:val="000225B8"/>
    <w:rsid w:val="00022EB8"/>
    <w:rsid w:val="00023D6D"/>
    <w:rsid w:val="00023EA1"/>
    <w:rsid w:val="0002450C"/>
    <w:rsid w:val="00024A45"/>
    <w:rsid w:val="00024E81"/>
    <w:rsid w:val="000254CB"/>
    <w:rsid w:val="0002588D"/>
    <w:rsid w:val="00025A70"/>
    <w:rsid w:val="00025E01"/>
    <w:rsid w:val="00026AFA"/>
    <w:rsid w:val="00027D3C"/>
    <w:rsid w:val="00030098"/>
    <w:rsid w:val="00030772"/>
    <w:rsid w:val="000307C5"/>
    <w:rsid w:val="0003087F"/>
    <w:rsid w:val="00030DD7"/>
    <w:rsid w:val="0003111A"/>
    <w:rsid w:val="000314CC"/>
    <w:rsid w:val="00031A57"/>
    <w:rsid w:val="00031C8A"/>
    <w:rsid w:val="00031D26"/>
    <w:rsid w:val="00032482"/>
    <w:rsid w:val="000326DA"/>
    <w:rsid w:val="00032D74"/>
    <w:rsid w:val="00033741"/>
    <w:rsid w:val="000342ED"/>
    <w:rsid w:val="000343CF"/>
    <w:rsid w:val="000343E1"/>
    <w:rsid w:val="00034844"/>
    <w:rsid w:val="00037363"/>
    <w:rsid w:val="000406B5"/>
    <w:rsid w:val="000407CE"/>
    <w:rsid w:val="000408C4"/>
    <w:rsid w:val="00041909"/>
    <w:rsid w:val="00041943"/>
    <w:rsid w:val="000419A7"/>
    <w:rsid w:val="00041F40"/>
    <w:rsid w:val="00041F64"/>
    <w:rsid w:val="0004223E"/>
    <w:rsid w:val="000423CF"/>
    <w:rsid w:val="00042D81"/>
    <w:rsid w:val="00042F15"/>
    <w:rsid w:val="000437B0"/>
    <w:rsid w:val="00043891"/>
    <w:rsid w:val="00043B34"/>
    <w:rsid w:val="00043D8A"/>
    <w:rsid w:val="0004440E"/>
    <w:rsid w:val="000459C2"/>
    <w:rsid w:val="00045E0B"/>
    <w:rsid w:val="000462F4"/>
    <w:rsid w:val="000465B1"/>
    <w:rsid w:val="00046CD6"/>
    <w:rsid w:val="00050E1F"/>
    <w:rsid w:val="00051EBF"/>
    <w:rsid w:val="00052837"/>
    <w:rsid w:val="00052F4A"/>
    <w:rsid w:val="000530F1"/>
    <w:rsid w:val="00054517"/>
    <w:rsid w:val="00054696"/>
    <w:rsid w:val="00054BBC"/>
    <w:rsid w:val="000550B4"/>
    <w:rsid w:val="000551FF"/>
    <w:rsid w:val="000557A5"/>
    <w:rsid w:val="000558EC"/>
    <w:rsid w:val="000559BB"/>
    <w:rsid w:val="00055A17"/>
    <w:rsid w:val="000569A4"/>
    <w:rsid w:val="00056F50"/>
    <w:rsid w:val="00057193"/>
    <w:rsid w:val="00057577"/>
    <w:rsid w:val="00057A70"/>
    <w:rsid w:val="00057CBE"/>
    <w:rsid w:val="000603E3"/>
    <w:rsid w:val="00060C07"/>
    <w:rsid w:val="00060C32"/>
    <w:rsid w:val="000613C2"/>
    <w:rsid w:val="00061429"/>
    <w:rsid w:val="0006260B"/>
    <w:rsid w:val="00063316"/>
    <w:rsid w:val="00064144"/>
    <w:rsid w:val="000641DB"/>
    <w:rsid w:val="000642CE"/>
    <w:rsid w:val="00064524"/>
    <w:rsid w:val="0006454E"/>
    <w:rsid w:val="000647BD"/>
    <w:rsid w:val="00064DEF"/>
    <w:rsid w:val="00065CE1"/>
    <w:rsid w:val="000660F8"/>
    <w:rsid w:val="0006671D"/>
    <w:rsid w:val="00066725"/>
    <w:rsid w:val="00066D9F"/>
    <w:rsid w:val="00070408"/>
    <w:rsid w:val="0007064B"/>
    <w:rsid w:val="000706B4"/>
    <w:rsid w:val="00071622"/>
    <w:rsid w:val="0007175C"/>
    <w:rsid w:val="00071B68"/>
    <w:rsid w:val="00071FA4"/>
    <w:rsid w:val="00072445"/>
    <w:rsid w:val="000732F3"/>
    <w:rsid w:val="00074954"/>
    <w:rsid w:val="00074A01"/>
    <w:rsid w:val="0007532D"/>
    <w:rsid w:val="00075C06"/>
    <w:rsid w:val="00076806"/>
    <w:rsid w:val="00077196"/>
    <w:rsid w:val="00077727"/>
    <w:rsid w:val="00080987"/>
    <w:rsid w:val="00080C12"/>
    <w:rsid w:val="00081221"/>
    <w:rsid w:val="000813FB"/>
    <w:rsid w:val="00081717"/>
    <w:rsid w:val="0008264D"/>
    <w:rsid w:val="000828E4"/>
    <w:rsid w:val="00082FB7"/>
    <w:rsid w:val="000839E5"/>
    <w:rsid w:val="000843F6"/>
    <w:rsid w:val="00084EF4"/>
    <w:rsid w:val="00084F19"/>
    <w:rsid w:val="000855DB"/>
    <w:rsid w:val="00087183"/>
    <w:rsid w:val="00087884"/>
    <w:rsid w:val="00087A8A"/>
    <w:rsid w:val="00087ABD"/>
    <w:rsid w:val="000903FF"/>
    <w:rsid w:val="0009092D"/>
    <w:rsid w:val="0009144C"/>
    <w:rsid w:val="00091459"/>
    <w:rsid w:val="0009188C"/>
    <w:rsid w:val="000927F6"/>
    <w:rsid w:val="0009286D"/>
    <w:rsid w:val="000928EE"/>
    <w:rsid w:val="0009336C"/>
    <w:rsid w:val="00093E2F"/>
    <w:rsid w:val="00095329"/>
    <w:rsid w:val="00095904"/>
    <w:rsid w:val="000959E9"/>
    <w:rsid w:val="00095ED9"/>
    <w:rsid w:val="0009635C"/>
    <w:rsid w:val="00096F81"/>
    <w:rsid w:val="0009709F"/>
    <w:rsid w:val="000979E8"/>
    <w:rsid w:val="000A0A28"/>
    <w:rsid w:val="000A0E63"/>
    <w:rsid w:val="000A1503"/>
    <w:rsid w:val="000A15CA"/>
    <w:rsid w:val="000A2538"/>
    <w:rsid w:val="000A41A3"/>
    <w:rsid w:val="000A446F"/>
    <w:rsid w:val="000A46D3"/>
    <w:rsid w:val="000A4816"/>
    <w:rsid w:val="000A53CC"/>
    <w:rsid w:val="000A58F6"/>
    <w:rsid w:val="000A7392"/>
    <w:rsid w:val="000B04BE"/>
    <w:rsid w:val="000B114F"/>
    <w:rsid w:val="000B1348"/>
    <w:rsid w:val="000B17A6"/>
    <w:rsid w:val="000B1C04"/>
    <w:rsid w:val="000B25C3"/>
    <w:rsid w:val="000B2B9A"/>
    <w:rsid w:val="000B2DD6"/>
    <w:rsid w:val="000B3145"/>
    <w:rsid w:val="000B3978"/>
    <w:rsid w:val="000B3B08"/>
    <w:rsid w:val="000B4502"/>
    <w:rsid w:val="000B49FB"/>
    <w:rsid w:val="000B5FE2"/>
    <w:rsid w:val="000B710A"/>
    <w:rsid w:val="000B7411"/>
    <w:rsid w:val="000C1234"/>
    <w:rsid w:val="000C1C55"/>
    <w:rsid w:val="000C1DFD"/>
    <w:rsid w:val="000C2190"/>
    <w:rsid w:val="000C28BB"/>
    <w:rsid w:val="000C3130"/>
    <w:rsid w:val="000C320D"/>
    <w:rsid w:val="000C3566"/>
    <w:rsid w:val="000C40E9"/>
    <w:rsid w:val="000C40F4"/>
    <w:rsid w:val="000C4C9A"/>
    <w:rsid w:val="000C5338"/>
    <w:rsid w:val="000C5FCE"/>
    <w:rsid w:val="000C64AC"/>
    <w:rsid w:val="000C6DA4"/>
    <w:rsid w:val="000C7BDF"/>
    <w:rsid w:val="000D0088"/>
    <w:rsid w:val="000D0135"/>
    <w:rsid w:val="000D01D6"/>
    <w:rsid w:val="000D05D4"/>
    <w:rsid w:val="000D0ED6"/>
    <w:rsid w:val="000D17BB"/>
    <w:rsid w:val="000D18A3"/>
    <w:rsid w:val="000D18F3"/>
    <w:rsid w:val="000D199C"/>
    <w:rsid w:val="000D1CB4"/>
    <w:rsid w:val="000D202F"/>
    <w:rsid w:val="000D225C"/>
    <w:rsid w:val="000D225E"/>
    <w:rsid w:val="000D3114"/>
    <w:rsid w:val="000D350B"/>
    <w:rsid w:val="000D5E89"/>
    <w:rsid w:val="000D62D0"/>
    <w:rsid w:val="000D6416"/>
    <w:rsid w:val="000D6AC9"/>
    <w:rsid w:val="000D6EB0"/>
    <w:rsid w:val="000D6EB6"/>
    <w:rsid w:val="000D702C"/>
    <w:rsid w:val="000D7D68"/>
    <w:rsid w:val="000E04BC"/>
    <w:rsid w:val="000E1099"/>
    <w:rsid w:val="000E123D"/>
    <w:rsid w:val="000E196A"/>
    <w:rsid w:val="000E1C21"/>
    <w:rsid w:val="000E1CA1"/>
    <w:rsid w:val="000E1E4B"/>
    <w:rsid w:val="000E23CC"/>
    <w:rsid w:val="000E4219"/>
    <w:rsid w:val="000E475A"/>
    <w:rsid w:val="000E5022"/>
    <w:rsid w:val="000E5071"/>
    <w:rsid w:val="000E53AF"/>
    <w:rsid w:val="000E5629"/>
    <w:rsid w:val="000E5967"/>
    <w:rsid w:val="000E5CA3"/>
    <w:rsid w:val="000E62B1"/>
    <w:rsid w:val="000E650F"/>
    <w:rsid w:val="000E661B"/>
    <w:rsid w:val="000E711E"/>
    <w:rsid w:val="000E7705"/>
    <w:rsid w:val="000F0258"/>
    <w:rsid w:val="000F0864"/>
    <w:rsid w:val="000F1FF6"/>
    <w:rsid w:val="000F272E"/>
    <w:rsid w:val="000F31D0"/>
    <w:rsid w:val="000F3776"/>
    <w:rsid w:val="000F37A0"/>
    <w:rsid w:val="000F38F0"/>
    <w:rsid w:val="000F3957"/>
    <w:rsid w:val="000F4618"/>
    <w:rsid w:val="000F4999"/>
    <w:rsid w:val="000F4E31"/>
    <w:rsid w:val="000F5FE2"/>
    <w:rsid w:val="000F5FF1"/>
    <w:rsid w:val="000F6159"/>
    <w:rsid w:val="000F659A"/>
    <w:rsid w:val="000F6E30"/>
    <w:rsid w:val="000F7CC7"/>
    <w:rsid w:val="001002B8"/>
    <w:rsid w:val="0010034C"/>
    <w:rsid w:val="0010048A"/>
    <w:rsid w:val="0010159A"/>
    <w:rsid w:val="001019FC"/>
    <w:rsid w:val="00101EFA"/>
    <w:rsid w:val="001021F7"/>
    <w:rsid w:val="0010231F"/>
    <w:rsid w:val="00102B37"/>
    <w:rsid w:val="0010304D"/>
    <w:rsid w:val="0010376B"/>
    <w:rsid w:val="00103A3A"/>
    <w:rsid w:val="00104BDC"/>
    <w:rsid w:val="00105AD0"/>
    <w:rsid w:val="00106174"/>
    <w:rsid w:val="0010648B"/>
    <w:rsid w:val="0010688E"/>
    <w:rsid w:val="00106D02"/>
    <w:rsid w:val="0010734A"/>
    <w:rsid w:val="00110594"/>
    <w:rsid w:val="00110FFD"/>
    <w:rsid w:val="0011171A"/>
    <w:rsid w:val="00111936"/>
    <w:rsid w:val="00111E71"/>
    <w:rsid w:val="001129E8"/>
    <w:rsid w:val="001129ED"/>
    <w:rsid w:val="00112B51"/>
    <w:rsid w:val="001135CA"/>
    <w:rsid w:val="0011376D"/>
    <w:rsid w:val="00113B93"/>
    <w:rsid w:val="001140CF"/>
    <w:rsid w:val="00115CEF"/>
    <w:rsid w:val="00115E25"/>
    <w:rsid w:val="0011637B"/>
    <w:rsid w:val="00116982"/>
    <w:rsid w:val="00117DC9"/>
    <w:rsid w:val="0012031D"/>
    <w:rsid w:val="001208DD"/>
    <w:rsid w:val="0012129B"/>
    <w:rsid w:val="00121642"/>
    <w:rsid w:val="00121B6F"/>
    <w:rsid w:val="00122D95"/>
    <w:rsid w:val="00122F13"/>
    <w:rsid w:val="00124136"/>
    <w:rsid w:val="0012495A"/>
    <w:rsid w:val="0012511E"/>
    <w:rsid w:val="00125B7B"/>
    <w:rsid w:val="00126303"/>
    <w:rsid w:val="001265E7"/>
    <w:rsid w:val="00126713"/>
    <w:rsid w:val="00127658"/>
    <w:rsid w:val="00127E65"/>
    <w:rsid w:val="001302F2"/>
    <w:rsid w:val="001325AD"/>
    <w:rsid w:val="00132A7F"/>
    <w:rsid w:val="0013397D"/>
    <w:rsid w:val="001347E3"/>
    <w:rsid w:val="00134C4E"/>
    <w:rsid w:val="0013587A"/>
    <w:rsid w:val="00135B64"/>
    <w:rsid w:val="00135E06"/>
    <w:rsid w:val="001360A2"/>
    <w:rsid w:val="001368E7"/>
    <w:rsid w:val="00137C8D"/>
    <w:rsid w:val="00137D95"/>
    <w:rsid w:val="001402EC"/>
    <w:rsid w:val="00140B7F"/>
    <w:rsid w:val="00140D10"/>
    <w:rsid w:val="00141355"/>
    <w:rsid w:val="001415FD"/>
    <w:rsid w:val="0014163E"/>
    <w:rsid w:val="001418C0"/>
    <w:rsid w:val="00141C97"/>
    <w:rsid w:val="00141D91"/>
    <w:rsid w:val="00141FA2"/>
    <w:rsid w:val="00141FDE"/>
    <w:rsid w:val="00142073"/>
    <w:rsid w:val="001422A6"/>
    <w:rsid w:val="001425AD"/>
    <w:rsid w:val="00142B1D"/>
    <w:rsid w:val="00143C9D"/>
    <w:rsid w:val="0014414B"/>
    <w:rsid w:val="001442C8"/>
    <w:rsid w:val="00144332"/>
    <w:rsid w:val="00144916"/>
    <w:rsid w:val="0014548A"/>
    <w:rsid w:val="001456CE"/>
    <w:rsid w:val="00145861"/>
    <w:rsid w:val="001468BA"/>
    <w:rsid w:val="00146E18"/>
    <w:rsid w:val="00147599"/>
    <w:rsid w:val="00147A69"/>
    <w:rsid w:val="00147EAF"/>
    <w:rsid w:val="00151B47"/>
    <w:rsid w:val="00151D94"/>
    <w:rsid w:val="001523C1"/>
    <w:rsid w:val="00152479"/>
    <w:rsid w:val="00152B55"/>
    <w:rsid w:val="001531E3"/>
    <w:rsid w:val="0015334F"/>
    <w:rsid w:val="00153700"/>
    <w:rsid w:val="00153BF0"/>
    <w:rsid w:val="00154178"/>
    <w:rsid w:val="001550CC"/>
    <w:rsid w:val="0015511A"/>
    <w:rsid w:val="0015574D"/>
    <w:rsid w:val="00155CDC"/>
    <w:rsid w:val="00155DE6"/>
    <w:rsid w:val="00156C62"/>
    <w:rsid w:val="0016027D"/>
    <w:rsid w:val="00160429"/>
    <w:rsid w:val="00160905"/>
    <w:rsid w:val="00160D42"/>
    <w:rsid w:val="00160E9D"/>
    <w:rsid w:val="00160F69"/>
    <w:rsid w:val="00161005"/>
    <w:rsid w:val="001616E0"/>
    <w:rsid w:val="00161978"/>
    <w:rsid w:val="0016199E"/>
    <w:rsid w:val="00161C93"/>
    <w:rsid w:val="001625D9"/>
    <w:rsid w:val="00162A88"/>
    <w:rsid w:val="00162B1D"/>
    <w:rsid w:val="00162C1D"/>
    <w:rsid w:val="00163354"/>
    <w:rsid w:val="001642A9"/>
    <w:rsid w:val="001645EF"/>
    <w:rsid w:val="00164813"/>
    <w:rsid w:val="00166EAC"/>
    <w:rsid w:val="001671F8"/>
    <w:rsid w:val="001702DE"/>
    <w:rsid w:val="00170BEB"/>
    <w:rsid w:val="00171086"/>
    <w:rsid w:val="00171371"/>
    <w:rsid w:val="001715AC"/>
    <w:rsid w:val="00171A28"/>
    <w:rsid w:val="00171A41"/>
    <w:rsid w:val="001725CE"/>
    <w:rsid w:val="00172804"/>
    <w:rsid w:val="0017338A"/>
    <w:rsid w:val="00173420"/>
    <w:rsid w:val="00173BFF"/>
    <w:rsid w:val="00173EA1"/>
    <w:rsid w:val="0017418E"/>
    <w:rsid w:val="001742A7"/>
    <w:rsid w:val="00174783"/>
    <w:rsid w:val="00174F59"/>
    <w:rsid w:val="00175157"/>
    <w:rsid w:val="0017558B"/>
    <w:rsid w:val="00176033"/>
    <w:rsid w:val="001766BF"/>
    <w:rsid w:val="00176AE7"/>
    <w:rsid w:val="00177D39"/>
    <w:rsid w:val="00177E1E"/>
    <w:rsid w:val="00180090"/>
    <w:rsid w:val="00180600"/>
    <w:rsid w:val="0018067B"/>
    <w:rsid w:val="00180B46"/>
    <w:rsid w:val="00180F3B"/>
    <w:rsid w:val="0018120D"/>
    <w:rsid w:val="00181918"/>
    <w:rsid w:val="00182135"/>
    <w:rsid w:val="001826FC"/>
    <w:rsid w:val="00182F04"/>
    <w:rsid w:val="0018385F"/>
    <w:rsid w:val="00184724"/>
    <w:rsid w:val="00186068"/>
    <w:rsid w:val="001862F0"/>
    <w:rsid w:val="0018767F"/>
    <w:rsid w:val="0019012B"/>
    <w:rsid w:val="00190D5F"/>
    <w:rsid w:val="0019126D"/>
    <w:rsid w:val="001922FC"/>
    <w:rsid w:val="00192304"/>
    <w:rsid w:val="00192673"/>
    <w:rsid w:val="00192BC2"/>
    <w:rsid w:val="00193533"/>
    <w:rsid w:val="0019357D"/>
    <w:rsid w:val="00194005"/>
    <w:rsid w:val="00194298"/>
    <w:rsid w:val="00194F87"/>
    <w:rsid w:val="0019536B"/>
    <w:rsid w:val="00195A5C"/>
    <w:rsid w:val="00195B7C"/>
    <w:rsid w:val="0019670B"/>
    <w:rsid w:val="001A03F3"/>
    <w:rsid w:val="001A08A9"/>
    <w:rsid w:val="001A094E"/>
    <w:rsid w:val="001A0BD8"/>
    <w:rsid w:val="001A0E1F"/>
    <w:rsid w:val="001A1518"/>
    <w:rsid w:val="001A15D3"/>
    <w:rsid w:val="001A1AAC"/>
    <w:rsid w:val="001A1CBF"/>
    <w:rsid w:val="001A1F1B"/>
    <w:rsid w:val="001A3388"/>
    <w:rsid w:val="001A360C"/>
    <w:rsid w:val="001A37F7"/>
    <w:rsid w:val="001A3FD4"/>
    <w:rsid w:val="001A4061"/>
    <w:rsid w:val="001A40D3"/>
    <w:rsid w:val="001A4FFF"/>
    <w:rsid w:val="001A50E5"/>
    <w:rsid w:val="001A5628"/>
    <w:rsid w:val="001A5D01"/>
    <w:rsid w:val="001A71B5"/>
    <w:rsid w:val="001B0BC2"/>
    <w:rsid w:val="001B0CFC"/>
    <w:rsid w:val="001B12AA"/>
    <w:rsid w:val="001B1A8D"/>
    <w:rsid w:val="001B2131"/>
    <w:rsid w:val="001B2A38"/>
    <w:rsid w:val="001B2B19"/>
    <w:rsid w:val="001B2B2B"/>
    <w:rsid w:val="001B2F10"/>
    <w:rsid w:val="001B5134"/>
    <w:rsid w:val="001B537D"/>
    <w:rsid w:val="001B57E8"/>
    <w:rsid w:val="001B679F"/>
    <w:rsid w:val="001B69B3"/>
    <w:rsid w:val="001B6DAD"/>
    <w:rsid w:val="001C108F"/>
    <w:rsid w:val="001C1BE9"/>
    <w:rsid w:val="001C422A"/>
    <w:rsid w:val="001C43C9"/>
    <w:rsid w:val="001C43FA"/>
    <w:rsid w:val="001C561C"/>
    <w:rsid w:val="001C6A32"/>
    <w:rsid w:val="001C6A88"/>
    <w:rsid w:val="001C78EE"/>
    <w:rsid w:val="001C7DEA"/>
    <w:rsid w:val="001D03FD"/>
    <w:rsid w:val="001D0FC2"/>
    <w:rsid w:val="001D37E1"/>
    <w:rsid w:val="001D4A36"/>
    <w:rsid w:val="001D61A3"/>
    <w:rsid w:val="001D727C"/>
    <w:rsid w:val="001E1988"/>
    <w:rsid w:val="001E1BDA"/>
    <w:rsid w:val="001E2767"/>
    <w:rsid w:val="001E31FA"/>
    <w:rsid w:val="001E41B1"/>
    <w:rsid w:val="001E464B"/>
    <w:rsid w:val="001E62D3"/>
    <w:rsid w:val="001E666E"/>
    <w:rsid w:val="001E71A6"/>
    <w:rsid w:val="001F0078"/>
    <w:rsid w:val="001F0576"/>
    <w:rsid w:val="001F071B"/>
    <w:rsid w:val="001F0D00"/>
    <w:rsid w:val="001F28F7"/>
    <w:rsid w:val="001F32ED"/>
    <w:rsid w:val="001F3714"/>
    <w:rsid w:val="001F398B"/>
    <w:rsid w:val="001F47D9"/>
    <w:rsid w:val="001F57C1"/>
    <w:rsid w:val="001F60FB"/>
    <w:rsid w:val="001F619F"/>
    <w:rsid w:val="001F633D"/>
    <w:rsid w:val="001F6A6B"/>
    <w:rsid w:val="001F6CD4"/>
    <w:rsid w:val="001F6CE7"/>
    <w:rsid w:val="00201C5B"/>
    <w:rsid w:val="00201DA4"/>
    <w:rsid w:val="00201E5D"/>
    <w:rsid w:val="00202300"/>
    <w:rsid w:val="002026C0"/>
    <w:rsid w:val="00203DCE"/>
    <w:rsid w:val="00203FDA"/>
    <w:rsid w:val="002041DA"/>
    <w:rsid w:val="0020444C"/>
    <w:rsid w:val="002053B9"/>
    <w:rsid w:val="002055CF"/>
    <w:rsid w:val="00206604"/>
    <w:rsid w:val="00210221"/>
    <w:rsid w:val="00210672"/>
    <w:rsid w:val="00210DAC"/>
    <w:rsid w:val="002112BF"/>
    <w:rsid w:val="00211AB9"/>
    <w:rsid w:val="002120C1"/>
    <w:rsid w:val="002125EB"/>
    <w:rsid w:val="00212868"/>
    <w:rsid w:val="00212FBB"/>
    <w:rsid w:val="002133BA"/>
    <w:rsid w:val="0021353D"/>
    <w:rsid w:val="00216138"/>
    <w:rsid w:val="0021632E"/>
    <w:rsid w:val="002178C3"/>
    <w:rsid w:val="00220899"/>
    <w:rsid w:val="0022140D"/>
    <w:rsid w:val="00222068"/>
    <w:rsid w:val="0022207C"/>
    <w:rsid w:val="00222D47"/>
    <w:rsid w:val="002231C0"/>
    <w:rsid w:val="0022321D"/>
    <w:rsid w:val="0022430D"/>
    <w:rsid w:val="00224385"/>
    <w:rsid w:val="00225082"/>
    <w:rsid w:val="00225295"/>
    <w:rsid w:val="00225A49"/>
    <w:rsid w:val="00225AD3"/>
    <w:rsid w:val="00225AEE"/>
    <w:rsid w:val="00226524"/>
    <w:rsid w:val="002268E1"/>
    <w:rsid w:val="0022754A"/>
    <w:rsid w:val="00230AF7"/>
    <w:rsid w:val="002313A4"/>
    <w:rsid w:val="00231891"/>
    <w:rsid w:val="00233586"/>
    <w:rsid w:val="00233848"/>
    <w:rsid w:val="00233994"/>
    <w:rsid w:val="00233B2D"/>
    <w:rsid w:val="00234734"/>
    <w:rsid w:val="00235288"/>
    <w:rsid w:val="00235671"/>
    <w:rsid w:val="00235DB4"/>
    <w:rsid w:val="00236071"/>
    <w:rsid w:val="00236495"/>
    <w:rsid w:val="002364A9"/>
    <w:rsid w:val="0023655C"/>
    <w:rsid w:val="0023666E"/>
    <w:rsid w:val="00236DAD"/>
    <w:rsid w:val="0024031A"/>
    <w:rsid w:val="002404C4"/>
    <w:rsid w:val="0024071F"/>
    <w:rsid w:val="0024084F"/>
    <w:rsid w:val="00241158"/>
    <w:rsid w:val="0024175C"/>
    <w:rsid w:val="00242739"/>
    <w:rsid w:val="002427B3"/>
    <w:rsid w:val="00242A4C"/>
    <w:rsid w:val="002433C3"/>
    <w:rsid w:val="00244A9F"/>
    <w:rsid w:val="00244C66"/>
    <w:rsid w:val="00245685"/>
    <w:rsid w:val="00245B80"/>
    <w:rsid w:val="002460FB"/>
    <w:rsid w:val="00250598"/>
    <w:rsid w:val="002506B7"/>
    <w:rsid w:val="00251810"/>
    <w:rsid w:val="00251995"/>
    <w:rsid w:val="00251B25"/>
    <w:rsid w:val="002521DD"/>
    <w:rsid w:val="00252631"/>
    <w:rsid w:val="00252CFD"/>
    <w:rsid w:val="002538C5"/>
    <w:rsid w:val="00254047"/>
    <w:rsid w:val="00254AE9"/>
    <w:rsid w:val="00255605"/>
    <w:rsid w:val="00255EB1"/>
    <w:rsid w:val="00256320"/>
    <w:rsid w:val="00256572"/>
    <w:rsid w:val="00256EFA"/>
    <w:rsid w:val="00257267"/>
    <w:rsid w:val="00257504"/>
    <w:rsid w:val="002602FB"/>
    <w:rsid w:val="00260848"/>
    <w:rsid w:val="002609EA"/>
    <w:rsid w:val="002611AB"/>
    <w:rsid w:val="00261540"/>
    <w:rsid w:val="0026274F"/>
    <w:rsid w:val="00262AD6"/>
    <w:rsid w:val="00262B21"/>
    <w:rsid w:val="00262DC1"/>
    <w:rsid w:val="00262DF8"/>
    <w:rsid w:val="00262E38"/>
    <w:rsid w:val="002634F2"/>
    <w:rsid w:val="00263EAF"/>
    <w:rsid w:val="00264E84"/>
    <w:rsid w:val="00265587"/>
    <w:rsid w:val="00265970"/>
    <w:rsid w:val="00266115"/>
    <w:rsid w:val="00266517"/>
    <w:rsid w:val="0026712E"/>
    <w:rsid w:val="00267306"/>
    <w:rsid w:val="002675B4"/>
    <w:rsid w:val="00267B5B"/>
    <w:rsid w:val="002701B7"/>
    <w:rsid w:val="002706B5"/>
    <w:rsid w:val="002713F4"/>
    <w:rsid w:val="00271D19"/>
    <w:rsid w:val="00272772"/>
    <w:rsid w:val="0027334D"/>
    <w:rsid w:val="0027368D"/>
    <w:rsid w:val="002740E9"/>
    <w:rsid w:val="0027414F"/>
    <w:rsid w:val="00274894"/>
    <w:rsid w:val="00274CA4"/>
    <w:rsid w:val="002752AF"/>
    <w:rsid w:val="00275A7A"/>
    <w:rsid w:val="00275B1E"/>
    <w:rsid w:val="00275C51"/>
    <w:rsid w:val="00276B87"/>
    <w:rsid w:val="00276F6C"/>
    <w:rsid w:val="0027708C"/>
    <w:rsid w:val="0027715A"/>
    <w:rsid w:val="0027732A"/>
    <w:rsid w:val="00277434"/>
    <w:rsid w:val="00277D22"/>
    <w:rsid w:val="0028011C"/>
    <w:rsid w:val="00280D14"/>
    <w:rsid w:val="0028140E"/>
    <w:rsid w:val="00281932"/>
    <w:rsid w:val="0028216D"/>
    <w:rsid w:val="00283650"/>
    <w:rsid w:val="00283969"/>
    <w:rsid w:val="00285FA7"/>
    <w:rsid w:val="00285FBA"/>
    <w:rsid w:val="002867B7"/>
    <w:rsid w:val="00286C01"/>
    <w:rsid w:val="00286C26"/>
    <w:rsid w:val="00287824"/>
    <w:rsid w:val="00287A57"/>
    <w:rsid w:val="00287D23"/>
    <w:rsid w:val="002906F9"/>
    <w:rsid w:val="00291500"/>
    <w:rsid w:val="00291A7D"/>
    <w:rsid w:val="00291E7B"/>
    <w:rsid w:val="00292390"/>
    <w:rsid w:val="00292459"/>
    <w:rsid w:val="002928DA"/>
    <w:rsid w:val="002932D8"/>
    <w:rsid w:val="002935A5"/>
    <w:rsid w:val="00293C31"/>
    <w:rsid w:val="0029441E"/>
    <w:rsid w:val="002955AE"/>
    <w:rsid w:val="00295758"/>
    <w:rsid w:val="00295FE9"/>
    <w:rsid w:val="00296193"/>
    <w:rsid w:val="002961A0"/>
    <w:rsid w:val="002964AD"/>
    <w:rsid w:val="002970F8"/>
    <w:rsid w:val="00297590"/>
    <w:rsid w:val="002975F0"/>
    <w:rsid w:val="002979E6"/>
    <w:rsid w:val="002A028B"/>
    <w:rsid w:val="002A08E4"/>
    <w:rsid w:val="002A094F"/>
    <w:rsid w:val="002A097F"/>
    <w:rsid w:val="002A0F56"/>
    <w:rsid w:val="002A1F47"/>
    <w:rsid w:val="002A23C8"/>
    <w:rsid w:val="002A31B4"/>
    <w:rsid w:val="002A3666"/>
    <w:rsid w:val="002A38AB"/>
    <w:rsid w:val="002A3B7E"/>
    <w:rsid w:val="002A4B86"/>
    <w:rsid w:val="002A546C"/>
    <w:rsid w:val="002A5E06"/>
    <w:rsid w:val="002A60F6"/>
    <w:rsid w:val="002A62ED"/>
    <w:rsid w:val="002A7DC1"/>
    <w:rsid w:val="002B023D"/>
    <w:rsid w:val="002B0259"/>
    <w:rsid w:val="002B1B19"/>
    <w:rsid w:val="002B2032"/>
    <w:rsid w:val="002B40EE"/>
    <w:rsid w:val="002B449A"/>
    <w:rsid w:val="002B452A"/>
    <w:rsid w:val="002B49C3"/>
    <w:rsid w:val="002B52DA"/>
    <w:rsid w:val="002B5587"/>
    <w:rsid w:val="002B5B65"/>
    <w:rsid w:val="002B6023"/>
    <w:rsid w:val="002B64F0"/>
    <w:rsid w:val="002B667A"/>
    <w:rsid w:val="002B6EA3"/>
    <w:rsid w:val="002B706F"/>
    <w:rsid w:val="002B71FA"/>
    <w:rsid w:val="002B77AD"/>
    <w:rsid w:val="002B7D05"/>
    <w:rsid w:val="002C01D0"/>
    <w:rsid w:val="002C052C"/>
    <w:rsid w:val="002C1910"/>
    <w:rsid w:val="002C1E06"/>
    <w:rsid w:val="002C2AC4"/>
    <w:rsid w:val="002C2D4B"/>
    <w:rsid w:val="002C321C"/>
    <w:rsid w:val="002C43D4"/>
    <w:rsid w:val="002C475D"/>
    <w:rsid w:val="002C4CBB"/>
    <w:rsid w:val="002C4CEF"/>
    <w:rsid w:val="002C5128"/>
    <w:rsid w:val="002C5723"/>
    <w:rsid w:val="002C60C3"/>
    <w:rsid w:val="002C62BA"/>
    <w:rsid w:val="002C6584"/>
    <w:rsid w:val="002C69F1"/>
    <w:rsid w:val="002C6AF1"/>
    <w:rsid w:val="002C7AB8"/>
    <w:rsid w:val="002C7C29"/>
    <w:rsid w:val="002D0280"/>
    <w:rsid w:val="002D0C01"/>
    <w:rsid w:val="002D0E06"/>
    <w:rsid w:val="002D15C9"/>
    <w:rsid w:val="002D2772"/>
    <w:rsid w:val="002D3D19"/>
    <w:rsid w:val="002D3D44"/>
    <w:rsid w:val="002D5E03"/>
    <w:rsid w:val="002D6044"/>
    <w:rsid w:val="002D726C"/>
    <w:rsid w:val="002E0186"/>
    <w:rsid w:val="002E0746"/>
    <w:rsid w:val="002E0973"/>
    <w:rsid w:val="002E0A3E"/>
    <w:rsid w:val="002E15B2"/>
    <w:rsid w:val="002E3346"/>
    <w:rsid w:val="002E35D3"/>
    <w:rsid w:val="002E3C7D"/>
    <w:rsid w:val="002E3D05"/>
    <w:rsid w:val="002E4445"/>
    <w:rsid w:val="002E51F0"/>
    <w:rsid w:val="002E5898"/>
    <w:rsid w:val="002E5B89"/>
    <w:rsid w:val="002E62DF"/>
    <w:rsid w:val="002E7555"/>
    <w:rsid w:val="002E7D5C"/>
    <w:rsid w:val="002F0581"/>
    <w:rsid w:val="002F0F7A"/>
    <w:rsid w:val="002F1091"/>
    <w:rsid w:val="002F1F14"/>
    <w:rsid w:val="002F1F30"/>
    <w:rsid w:val="002F2131"/>
    <w:rsid w:val="002F2767"/>
    <w:rsid w:val="002F295F"/>
    <w:rsid w:val="002F375C"/>
    <w:rsid w:val="002F39A5"/>
    <w:rsid w:val="002F3D42"/>
    <w:rsid w:val="002F564D"/>
    <w:rsid w:val="002F5868"/>
    <w:rsid w:val="002F61D6"/>
    <w:rsid w:val="002F68DF"/>
    <w:rsid w:val="002F6A21"/>
    <w:rsid w:val="002F6B67"/>
    <w:rsid w:val="002F70C5"/>
    <w:rsid w:val="002F71ED"/>
    <w:rsid w:val="002F723B"/>
    <w:rsid w:val="002F745A"/>
    <w:rsid w:val="002F7E73"/>
    <w:rsid w:val="003002FF"/>
    <w:rsid w:val="003007B2"/>
    <w:rsid w:val="00301A10"/>
    <w:rsid w:val="00302053"/>
    <w:rsid w:val="00302146"/>
    <w:rsid w:val="00304520"/>
    <w:rsid w:val="003059F1"/>
    <w:rsid w:val="00306F79"/>
    <w:rsid w:val="003073C5"/>
    <w:rsid w:val="0030741C"/>
    <w:rsid w:val="00310BDA"/>
    <w:rsid w:val="003110B8"/>
    <w:rsid w:val="0031110D"/>
    <w:rsid w:val="00311871"/>
    <w:rsid w:val="0031325B"/>
    <w:rsid w:val="003137B1"/>
    <w:rsid w:val="00314BCF"/>
    <w:rsid w:val="00315100"/>
    <w:rsid w:val="00315B4B"/>
    <w:rsid w:val="00315C2F"/>
    <w:rsid w:val="003166A9"/>
    <w:rsid w:val="0031679F"/>
    <w:rsid w:val="00316E13"/>
    <w:rsid w:val="00316F80"/>
    <w:rsid w:val="00317254"/>
    <w:rsid w:val="00320241"/>
    <w:rsid w:val="00320B18"/>
    <w:rsid w:val="00320C8C"/>
    <w:rsid w:val="00321169"/>
    <w:rsid w:val="003214CE"/>
    <w:rsid w:val="003217BE"/>
    <w:rsid w:val="0032182E"/>
    <w:rsid w:val="00321AF2"/>
    <w:rsid w:val="0032236E"/>
    <w:rsid w:val="003231D6"/>
    <w:rsid w:val="0032329B"/>
    <w:rsid w:val="00323725"/>
    <w:rsid w:val="00323CC7"/>
    <w:rsid w:val="00323F1A"/>
    <w:rsid w:val="003241F1"/>
    <w:rsid w:val="00325BF4"/>
    <w:rsid w:val="0032616D"/>
    <w:rsid w:val="003262A8"/>
    <w:rsid w:val="00327081"/>
    <w:rsid w:val="0033001F"/>
    <w:rsid w:val="003317CA"/>
    <w:rsid w:val="00331BE4"/>
    <w:rsid w:val="00331F06"/>
    <w:rsid w:val="003325F1"/>
    <w:rsid w:val="003329C3"/>
    <w:rsid w:val="00332DC7"/>
    <w:rsid w:val="00332FAF"/>
    <w:rsid w:val="003341E0"/>
    <w:rsid w:val="0033422D"/>
    <w:rsid w:val="00334643"/>
    <w:rsid w:val="00336063"/>
    <w:rsid w:val="00336171"/>
    <w:rsid w:val="00337293"/>
    <w:rsid w:val="003379F0"/>
    <w:rsid w:val="003405F5"/>
    <w:rsid w:val="003409EE"/>
    <w:rsid w:val="00340E78"/>
    <w:rsid w:val="00342486"/>
    <w:rsid w:val="003432FA"/>
    <w:rsid w:val="0034365F"/>
    <w:rsid w:val="00343F6F"/>
    <w:rsid w:val="0034444D"/>
    <w:rsid w:val="0034446D"/>
    <w:rsid w:val="00344D8C"/>
    <w:rsid w:val="00345B02"/>
    <w:rsid w:val="00345C6E"/>
    <w:rsid w:val="00346154"/>
    <w:rsid w:val="00346ED1"/>
    <w:rsid w:val="0034711D"/>
    <w:rsid w:val="00347495"/>
    <w:rsid w:val="00347E78"/>
    <w:rsid w:val="00347F22"/>
    <w:rsid w:val="003501FD"/>
    <w:rsid w:val="003516A8"/>
    <w:rsid w:val="00351CCE"/>
    <w:rsid w:val="00352769"/>
    <w:rsid w:val="003527E5"/>
    <w:rsid w:val="003528D3"/>
    <w:rsid w:val="00352FDD"/>
    <w:rsid w:val="003530D9"/>
    <w:rsid w:val="003532A3"/>
    <w:rsid w:val="00353B0A"/>
    <w:rsid w:val="0035436B"/>
    <w:rsid w:val="003554C0"/>
    <w:rsid w:val="00357E3F"/>
    <w:rsid w:val="0036027C"/>
    <w:rsid w:val="0036057B"/>
    <w:rsid w:val="003609B2"/>
    <w:rsid w:val="00361034"/>
    <w:rsid w:val="00361986"/>
    <w:rsid w:val="003620C5"/>
    <w:rsid w:val="0036238B"/>
    <w:rsid w:val="00362B4C"/>
    <w:rsid w:val="003632BC"/>
    <w:rsid w:val="0036343D"/>
    <w:rsid w:val="00363DD0"/>
    <w:rsid w:val="00364037"/>
    <w:rsid w:val="003654BF"/>
    <w:rsid w:val="00367296"/>
    <w:rsid w:val="00367ED2"/>
    <w:rsid w:val="00367EF5"/>
    <w:rsid w:val="00370161"/>
    <w:rsid w:val="00370D8B"/>
    <w:rsid w:val="00370EEE"/>
    <w:rsid w:val="00370F52"/>
    <w:rsid w:val="003710CA"/>
    <w:rsid w:val="0037139B"/>
    <w:rsid w:val="00371A1A"/>
    <w:rsid w:val="00371B53"/>
    <w:rsid w:val="00372011"/>
    <w:rsid w:val="00372BBC"/>
    <w:rsid w:val="003730DF"/>
    <w:rsid w:val="003734EE"/>
    <w:rsid w:val="00374B2E"/>
    <w:rsid w:val="00374DED"/>
    <w:rsid w:val="00374E61"/>
    <w:rsid w:val="00375005"/>
    <w:rsid w:val="00375947"/>
    <w:rsid w:val="00376323"/>
    <w:rsid w:val="0037646E"/>
    <w:rsid w:val="0037666E"/>
    <w:rsid w:val="0037671A"/>
    <w:rsid w:val="00376D6B"/>
    <w:rsid w:val="003773C8"/>
    <w:rsid w:val="00377735"/>
    <w:rsid w:val="00377AB5"/>
    <w:rsid w:val="00377EF8"/>
    <w:rsid w:val="00380A3C"/>
    <w:rsid w:val="00380E69"/>
    <w:rsid w:val="00380E77"/>
    <w:rsid w:val="00381031"/>
    <w:rsid w:val="003817CB"/>
    <w:rsid w:val="00382C5D"/>
    <w:rsid w:val="00382C98"/>
    <w:rsid w:val="00382D65"/>
    <w:rsid w:val="00382FF4"/>
    <w:rsid w:val="00383DA1"/>
    <w:rsid w:val="0038550A"/>
    <w:rsid w:val="00385642"/>
    <w:rsid w:val="00386336"/>
    <w:rsid w:val="0038635C"/>
    <w:rsid w:val="00386617"/>
    <w:rsid w:val="00387A5A"/>
    <w:rsid w:val="00390646"/>
    <w:rsid w:val="00390D42"/>
    <w:rsid w:val="003913FF"/>
    <w:rsid w:val="00392341"/>
    <w:rsid w:val="00392F5F"/>
    <w:rsid w:val="003935E8"/>
    <w:rsid w:val="00393B90"/>
    <w:rsid w:val="00395135"/>
    <w:rsid w:val="00396DA8"/>
    <w:rsid w:val="00397981"/>
    <w:rsid w:val="0039799D"/>
    <w:rsid w:val="00397F99"/>
    <w:rsid w:val="003A022D"/>
    <w:rsid w:val="003A0581"/>
    <w:rsid w:val="003A0932"/>
    <w:rsid w:val="003A0EBC"/>
    <w:rsid w:val="003A142D"/>
    <w:rsid w:val="003A1A1E"/>
    <w:rsid w:val="003A27F3"/>
    <w:rsid w:val="003A2BA0"/>
    <w:rsid w:val="003A2D57"/>
    <w:rsid w:val="003A3681"/>
    <w:rsid w:val="003A4000"/>
    <w:rsid w:val="003A40C3"/>
    <w:rsid w:val="003A4481"/>
    <w:rsid w:val="003A4B8E"/>
    <w:rsid w:val="003A6650"/>
    <w:rsid w:val="003A6F58"/>
    <w:rsid w:val="003A7318"/>
    <w:rsid w:val="003A732C"/>
    <w:rsid w:val="003A7746"/>
    <w:rsid w:val="003B0FC5"/>
    <w:rsid w:val="003B1208"/>
    <w:rsid w:val="003B1653"/>
    <w:rsid w:val="003B1F73"/>
    <w:rsid w:val="003B247C"/>
    <w:rsid w:val="003B287C"/>
    <w:rsid w:val="003B29E1"/>
    <w:rsid w:val="003B3007"/>
    <w:rsid w:val="003B4908"/>
    <w:rsid w:val="003B490B"/>
    <w:rsid w:val="003B509B"/>
    <w:rsid w:val="003B6D0E"/>
    <w:rsid w:val="003B789C"/>
    <w:rsid w:val="003B7AD3"/>
    <w:rsid w:val="003B7ED7"/>
    <w:rsid w:val="003C01C4"/>
    <w:rsid w:val="003C0538"/>
    <w:rsid w:val="003C0EB0"/>
    <w:rsid w:val="003C12E8"/>
    <w:rsid w:val="003C1C3D"/>
    <w:rsid w:val="003C33D4"/>
    <w:rsid w:val="003C3C0D"/>
    <w:rsid w:val="003C3CE6"/>
    <w:rsid w:val="003C4D47"/>
    <w:rsid w:val="003C56C7"/>
    <w:rsid w:val="003C5C52"/>
    <w:rsid w:val="003C6486"/>
    <w:rsid w:val="003C7688"/>
    <w:rsid w:val="003D1391"/>
    <w:rsid w:val="003D27CF"/>
    <w:rsid w:val="003D2A86"/>
    <w:rsid w:val="003D40F7"/>
    <w:rsid w:val="003D4269"/>
    <w:rsid w:val="003D4507"/>
    <w:rsid w:val="003D51A0"/>
    <w:rsid w:val="003D683E"/>
    <w:rsid w:val="003D778D"/>
    <w:rsid w:val="003D79D3"/>
    <w:rsid w:val="003E0542"/>
    <w:rsid w:val="003E0C7C"/>
    <w:rsid w:val="003E11C3"/>
    <w:rsid w:val="003E1EF4"/>
    <w:rsid w:val="003E2019"/>
    <w:rsid w:val="003E2576"/>
    <w:rsid w:val="003E2F16"/>
    <w:rsid w:val="003E32D4"/>
    <w:rsid w:val="003E37A1"/>
    <w:rsid w:val="003E3EED"/>
    <w:rsid w:val="003E436A"/>
    <w:rsid w:val="003E4602"/>
    <w:rsid w:val="003E60A1"/>
    <w:rsid w:val="003E61C3"/>
    <w:rsid w:val="003E64F1"/>
    <w:rsid w:val="003E67F9"/>
    <w:rsid w:val="003E6877"/>
    <w:rsid w:val="003F0277"/>
    <w:rsid w:val="003F046B"/>
    <w:rsid w:val="003F18CF"/>
    <w:rsid w:val="003F22E7"/>
    <w:rsid w:val="003F3594"/>
    <w:rsid w:val="003F38E8"/>
    <w:rsid w:val="003F4DE4"/>
    <w:rsid w:val="003F4E96"/>
    <w:rsid w:val="003F6CB9"/>
    <w:rsid w:val="003F6D77"/>
    <w:rsid w:val="003F72F2"/>
    <w:rsid w:val="003F75C8"/>
    <w:rsid w:val="003F77BE"/>
    <w:rsid w:val="003F7B5D"/>
    <w:rsid w:val="003F7C6A"/>
    <w:rsid w:val="00400393"/>
    <w:rsid w:val="00401062"/>
    <w:rsid w:val="00401605"/>
    <w:rsid w:val="00402464"/>
    <w:rsid w:val="00402BE6"/>
    <w:rsid w:val="00402D68"/>
    <w:rsid w:val="00402D91"/>
    <w:rsid w:val="004030D0"/>
    <w:rsid w:val="0040374F"/>
    <w:rsid w:val="00403A70"/>
    <w:rsid w:val="00404632"/>
    <w:rsid w:val="004064FE"/>
    <w:rsid w:val="004066D6"/>
    <w:rsid w:val="00407431"/>
    <w:rsid w:val="00410499"/>
    <w:rsid w:val="0041094C"/>
    <w:rsid w:val="00411CB8"/>
    <w:rsid w:val="00411DDC"/>
    <w:rsid w:val="00412A45"/>
    <w:rsid w:val="00412D07"/>
    <w:rsid w:val="00412F8F"/>
    <w:rsid w:val="004131AD"/>
    <w:rsid w:val="00413808"/>
    <w:rsid w:val="00413C47"/>
    <w:rsid w:val="004145D4"/>
    <w:rsid w:val="00414ABF"/>
    <w:rsid w:val="00414B15"/>
    <w:rsid w:val="00414D3A"/>
    <w:rsid w:val="00415098"/>
    <w:rsid w:val="00415771"/>
    <w:rsid w:val="00416193"/>
    <w:rsid w:val="00417C8E"/>
    <w:rsid w:val="004205B3"/>
    <w:rsid w:val="00421448"/>
    <w:rsid w:val="004218CB"/>
    <w:rsid w:val="00421E08"/>
    <w:rsid w:val="0042347F"/>
    <w:rsid w:val="00423D11"/>
    <w:rsid w:val="00423FF0"/>
    <w:rsid w:val="00424C2D"/>
    <w:rsid w:val="00425014"/>
    <w:rsid w:val="004254AE"/>
    <w:rsid w:val="00425BAA"/>
    <w:rsid w:val="004270ED"/>
    <w:rsid w:val="004279DB"/>
    <w:rsid w:val="00430278"/>
    <w:rsid w:val="004302E4"/>
    <w:rsid w:val="00430F1D"/>
    <w:rsid w:val="00431190"/>
    <w:rsid w:val="0043270E"/>
    <w:rsid w:val="00432BEE"/>
    <w:rsid w:val="00433443"/>
    <w:rsid w:val="004334D9"/>
    <w:rsid w:val="00434336"/>
    <w:rsid w:val="004357F7"/>
    <w:rsid w:val="00436C29"/>
    <w:rsid w:val="00436FE4"/>
    <w:rsid w:val="00437689"/>
    <w:rsid w:val="004379AD"/>
    <w:rsid w:val="00437D19"/>
    <w:rsid w:val="0044076A"/>
    <w:rsid w:val="00440A71"/>
    <w:rsid w:val="00440E58"/>
    <w:rsid w:val="00440F95"/>
    <w:rsid w:val="00441145"/>
    <w:rsid w:val="0044156E"/>
    <w:rsid w:val="00441767"/>
    <w:rsid w:val="004420AF"/>
    <w:rsid w:val="0044225D"/>
    <w:rsid w:val="004423DF"/>
    <w:rsid w:val="0044248E"/>
    <w:rsid w:val="00443032"/>
    <w:rsid w:val="0044382A"/>
    <w:rsid w:val="00443949"/>
    <w:rsid w:val="00443C05"/>
    <w:rsid w:val="00444832"/>
    <w:rsid w:val="00444854"/>
    <w:rsid w:val="00446FF8"/>
    <w:rsid w:val="004476A7"/>
    <w:rsid w:val="0044798F"/>
    <w:rsid w:val="004502BA"/>
    <w:rsid w:val="00450560"/>
    <w:rsid w:val="004505F8"/>
    <w:rsid w:val="00452318"/>
    <w:rsid w:val="00452559"/>
    <w:rsid w:val="004528D2"/>
    <w:rsid w:val="00452A25"/>
    <w:rsid w:val="00452BDA"/>
    <w:rsid w:val="00453835"/>
    <w:rsid w:val="00453B39"/>
    <w:rsid w:val="00453D23"/>
    <w:rsid w:val="00453D50"/>
    <w:rsid w:val="004541FF"/>
    <w:rsid w:val="00455704"/>
    <w:rsid w:val="00455A18"/>
    <w:rsid w:val="00455C05"/>
    <w:rsid w:val="004563AF"/>
    <w:rsid w:val="00457503"/>
    <w:rsid w:val="004577A3"/>
    <w:rsid w:val="00457A63"/>
    <w:rsid w:val="00457C80"/>
    <w:rsid w:val="00457E68"/>
    <w:rsid w:val="0046040B"/>
    <w:rsid w:val="00460687"/>
    <w:rsid w:val="00461010"/>
    <w:rsid w:val="00461467"/>
    <w:rsid w:val="004617F4"/>
    <w:rsid w:val="00461BC3"/>
    <w:rsid w:val="00461BDC"/>
    <w:rsid w:val="004621FE"/>
    <w:rsid w:val="0046306C"/>
    <w:rsid w:val="0046326E"/>
    <w:rsid w:val="00463B09"/>
    <w:rsid w:val="00463EFE"/>
    <w:rsid w:val="0046403D"/>
    <w:rsid w:val="0046417E"/>
    <w:rsid w:val="00464DC0"/>
    <w:rsid w:val="00464E56"/>
    <w:rsid w:val="00465DFE"/>
    <w:rsid w:val="004660EA"/>
    <w:rsid w:val="004666F5"/>
    <w:rsid w:val="00466B44"/>
    <w:rsid w:val="00467297"/>
    <w:rsid w:val="004673B9"/>
    <w:rsid w:val="00467C75"/>
    <w:rsid w:val="0047020D"/>
    <w:rsid w:val="00470466"/>
    <w:rsid w:val="00470A1F"/>
    <w:rsid w:val="00470ADE"/>
    <w:rsid w:val="0047213F"/>
    <w:rsid w:val="00472692"/>
    <w:rsid w:val="0047280B"/>
    <w:rsid w:val="00473324"/>
    <w:rsid w:val="0047371F"/>
    <w:rsid w:val="00473FD7"/>
    <w:rsid w:val="0047425E"/>
    <w:rsid w:val="00475654"/>
    <w:rsid w:val="00477441"/>
    <w:rsid w:val="00477687"/>
    <w:rsid w:val="00477B72"/>
    <w:rsid w:val="0048021D"/>
    <w:rsid w:val="00480434"/>
    <w:rsid w:val="00480A9C"/>
    <w:rsid w:val="004826A3"/>
    <w:rsid w:val="004827C3"/>
    <w:rsid w:val="004837AA"/>
    <w:rsid w:val="00483E99"/>
    <w:rsid w:val="00484A43"/>
    <w:rsid w:val="00485900"/>
    <w:rsid w:val="00485B34"/>
    <w:rsid w:val="00485CB1"/>
    <w:rsid w:val="00486AA2"/>
    <w:rsid w:val="00486E91"/>
    <w:rsid w:val="00487375"/>
    <w:rsid w:val="004879EE"/>
    <w:rsid w:val="00490D8F"/>
    <w:rsid w:val="00491017"/>
    <w:rsid w:val="00491482"/>
    <w:rsid w:val="004914E8"/>
    <w:rsid w:val="00491C48"/>
    <w:rsid w:val="0049213C"/>
    <w:rsid w:val="004927A0"/>
    <w:rsid w:val="00492930"/>
    <w:rsid w:val="00492B9C"/>
    <w:rsid w:val="00492E74"/>
    <w:rsid w:val="00493528"/>
    <w:rsid w:val="00493B5B"/>
    <w:rsid w:val="00494608"/>
    <w:rsid w:val="00494B16"/>
    <w:rsid w:val="00494FD7"/>
    <w:rsid w:val="00495B5A"/>
    <w:rsid w:val="00495FA8"/>
    <w:rsid w:val="00496AB7"/>
    <w:rsid w:val="00497D13"/>
    <w:rsid w:val="00497D33"/>
    <w:rsid w:val="004A0235"/>
    <w:rsid w:val="004A1078"/>
    <w:rsid w:val="004A1233"/>
    <w:rsid w:val="004A1725"/>
    <w:rsid w:val="004A1BA8"/>
    <w:rsid w:val="004A2CA9"/>
    <w:rsid w:val="004A4673"/>
    <w:rsid w:val="004A4AF5"/>
    <w:rsid w:val="004A5560"/>
    <w:rsid w:val="004A6B78"/>
    <w:rsid w:val="004A6E29"/>
    <w:rsid w:val="004A710E"/>
    <w:rsid w:val="004A76A1"/>
    <w:rsid w:val="004A7D52"/>
    <w:rsid w:val="004B0149"/>
    <w:rsid w:val="004B07DF"/>
    <w:rsid w:val="004B0F26"/>
    <w:rsid w:val="004B270B"/>
    <w:rsid w:val="004B2742"/>
    <w:rsid w:val="004B2E60"/>
    <w:rsid w:val="004B3500"/>
    <w:rsid w:val="004B3987"/>
    <w:rsid w:val="004B4092"/>
    <w:rsid w:val="004B4192"/>
    <w:rsid w:val="004B4655"/>
    <w:rsid w:val="004B48CE"/>
    <w:rsid w:val="004B5553"/>
    <w:rsid w:val="004B5FDA"/>
    <w:rsid w:val="004B61A5"/>
    <w:rsid w:val="004B6E5E"/>
    <w:rsid w:val="004B7281"/>
    <w:rsid w:val="004C076A"/>
    <w:rsid w:val="004C08A0"/>
    <w:rsid w:val="004C09D0"/>
    <w:rsid w:val="004C0AB6"/>
    <w:rsid w:val="004C0C18"/>
    <w:rsid w:val="004C1221"/>
    <w:rsid w:val="004C146D"/>
    <w:rsid w:val="004C2BA4"/>
    <w:rsid w:val="004C2DA2"/>
    <w:rsid w:val="004C3573"/>
    <w:rsid w:val="004C3661"/>
    <w:rsid w:val="004C3B8C"/>
    <w:rsid w:val="004C40C7"/>
    <w:rsid w:val="004C4189"/>
    <w:rsid w:val="004C465E"/>
    <w:rsid w:val="004C4C23"/>
    <w:rsid w:val="004C4E36"/>
    <w:rsid w:val="004C5379"/>
    <w:rsid w:val="004C5405"/>
    <w:rsid w:val="004C54FC"/>
    <w:rsid w:val="004C5EA3"/>
    <w:rsid w:val="004C6238"/>
    <w:rsid w:val="004C6991"/>
    <w:rsid w:val="004C6B00"/>
    <w:rsid w:val="004C6BC7"/>
    <w:rsid w:val="004C7B1A"/>
    <w:rsid w:val="004C7EB2"/>
    <w:rsid w:val="004D0421"/>
    <w:rsid w:val="004D0A8E"/>
    <w:rsid w:val="004D0B8D"/>
    <w:rsid w:val="004D1154"/>
    <w:rsid w:val="004D2EB4"/>
    <w:rsid w:val="004D3193"/>
    <w:rsid w:val="004D3406"/>
    <w:rsid w:val="004D3796"/>
    <w:rsid w:val="004D3D5C"/>
    <w:rsid w:val="004D7280"/>
    <w:rsid w:val="004D72A8"/>
    <w:rsid w:val="004D7484"/>
    <w:rsid w:val="004E07C4"/>
    <w:rsid w:val="004E1577"/>
    <w:rsid w:val="004E1BEC"/>
    <w:rsid w:val="004E1DF2"/>
    <w:rsid w:val="004E2588"/>
    <w:rsid w:val="004E2685"/>
    <w:rsid w:val="004E2735"/>
    <w:rsid w:val="004E27FD"/>
    <w:rsid w:val="004E408D"/>
    <w:rsid w:val="004E42B9"/>
    <w:rsid w:val="004E4693"/>
    <w:rsid w:val="004E474A"/>
    <w:rsid w:val="004E4964"/>
    <w:rsid w:val="004E5B5E"/>
    <w:rsid w:val="004E5B8C"/>
    <w:rsid w:val="004E5FF9"/>
    <w:rsid w:val="004E647E"/>
    <w:rsid w:val="004E7035"/>
    <w:rsid w:val="004E71C3"/>
    <w:rsid w:val="004E725A"/>
    <w:rsid w:val="004E779A"/>
    <w:rsid w:val="004F088C"/>
    <w:rsid w:val="004F0C9A"/>
    <w:rsid w:val="004F0D80"/>
    <w:rsid w:val="004F187D"/>
    <w:rsid w:val="004F54B3"/>
    <w:rsid w:val="004F566B"/>
    <w:rsid w:val="004F5F98"/>
    <w:rsid w:val="004F5FC7"/>
    <w:rsid w:val="004F6F8B"/>
    <w:rsid w:val="004F7254"/>
    <w:rsid w:val="004F7C60"/>
    <w:rsid w:val="004F7D98"/>
    <w:rsid w:val="005006B5"/>
    <w:rsid w:val="00500C69"/>
    <w:rsid w:val="0050124D"/>
    <w:rsid w:val="005012C0"/>
    <w:rsid w:val="005014F5"/>
    <w:rsid w:val="0050184D"/>
    <w:rsid w:val="00502D63"/>
    <w:rsid w:val="00503447"/>
    <w:rsid w:val="00503941"/>
    <w:rsid w:val="00503952"/>
    <w:rsid w:val="00503C3B"/>
    <w:rsid w:val="005040C1"/>
    <w:rsid w:val="0050428D"/>
    <w:rsid w:val="00504691"/>
    <w:rsid w:val="005056D7"/>
    <w:rsid w:val="00505A53"/>
    <w:rsid w:val="00505B30"/>
    <w:rsid w:val="0050623D"/>
    <w:rsid w:val="0050734A"/>
    <w:rsid w:val="00510023"/>
    <w:rsid w:val="00510863"/>
    <w:rsid w:val="00510E6B"/>
    <w:rsid w:val="005113AD"/>
    <w:rsid w:val="00512231"/>
    <w:rsid w:val="00512C66"/>
    <w:rsid w:val="0051333D"/>
    <w:rsid w:val="0051386E"/>
    <w:rsid w:val="00513B71"/>
    <w:rsid w:val="00513FDB"/>
    <w:rsid w:val="0051468D"/>
    <w:rsid w:val="0051494D"/>
    <w:rsid w:val="0051518E"/>
    <w:rsid w:val="0051542A"/>
    <w:rsid w:val="00515F4E"/>
    <w:rsid w:val="00517530"/>
    <w:rsid w:val="00517A19"/>
    <w:rsid w:val="005207E0"/>
    <w:rsid w:val="00521127"/>
    <w:rsid w:val="005211B2"/>
    <w:rsid w:val="00522C42"/>
    <w:rsid w:val="00522D42"/>
    <w:rsid w:val="00523275"/>
    <w:rsid w:val="00523A52"/>
    <w:rsid w:val="00524F8D"/>
    <w:rsid w:val="00525331"/>
    <w:rsid w:val="00525945"/>
    <w:rsid w:val="00525B84"/>
    <w:rsid w:val="00526192"/>
    <w:rsid w:val="005262A9"/>
    <w:rsid w:val="005262E4"/>
    <w:rsid w:val="005264BD"/>
    <w:rsid w:val="00527595"/>
    <w:rsid w:val="00527671"/>
    <w:rsid w:val="005276F9"/>
    <w:rsid w:val="0052771A"/>
    <w:rsid w:val="0053112F"/>
    <w:rsid w:val="00531385"/>
    <w:rsid w:val="00531952"/>
    <w:rsid w:val="00531B8F"/>
    <w:rsid w:val="00532930"/>
    <w:rsid w:val="00532984"/>
    <w:rsid w:val="00533040"/>
    <w:rsid w:val="005336C9"/>
    <w:rsid w:val="00533E8B"/>
    <w:rsid w:val="00534BFA"/>
    <w:rsid w:val="005356ED"/>
    <w:rsid w:val="00536AE4"/>
    <w:rsid w:val="00536B10"/>
    <w:rsid w:val="00536F52"/>
    <w:rsid w:val="0053747C"/>
    <w:rsid w:val="0053761C"/>
    <w:rsid w:val="005378B0"/>
    <w:rsid w:val="00537EB3"/>
    <w:rsid w:val="00537EFC"/>
    <w:rsid w:val="005402D7"/>
    <w:rsid w:val="00540573"/>
    <w:rsid w:val="00540E91"/>
    <w:rsid w:val="00541261"/>
    <w:rsid w:val="00541D5C"/>
    <w:rsid w:val="005421A2"/>
    <w:rsid w:val="005422D6"/>
    <w:rsid w:val="00542554"/>
    <w:rsid w:val="00542591"/>
    <w:rsid w:val="00542D05"/>
    <w:rsid w:val="00543CEA"/>
    <w:rsid w:val="0054437F"/>
    <w:rsid w:val="005446DE"/>
    <w:rsid w:val="00544718"/>
    <w:rsid w:val="00544765"/>
    <w:rsid w:val="00544FA1"/>
    <w:rsid w:val="005467F0"/>
    <w:rsid w:val="0054695B"/>
    <w:rsid w:val="00546F15"/>
    <w:rsid w:val="005477A2"/>
    <w:rsid w:val="00550320"/>
    <w:rsid w:val="005504A5"/>
    <w:rsid w:val="00550CA9"/>
    <w:rsid w:val="00550E46"/>
    <w:rsid w:val="00551243"/>
    <w:rsid w:val="00551769"/>
    <w:rsid w:val="005519B7"/>
    <w:rsid w:val="00551C9A"/>
    <w:rsid w:val="0055235B"/>
    <w:rsid w:val="00553974"/>
    <w:rsid w:val="00554650"/>
    <w:rsid w:val="00554CA3"/>
    <w:rsid w:val="00554FF2"/>
    <w:rsid w:val="0055560D"/>
    <w:rsid w:val="005559E9"/>
    <w:rsid w:val="00555A4F"/>
    <w:rsid w:val="005570BE"/>
    <w:rsid w:val="00557D62"/>
    <w:rsid w:val="00557EF0"/>
    <w:rsid w:val="005607B9"/>
    <w:rsid w:val="00560B0E"/>
    <w:rsid w:val="00560B85"/>
    <w:rsid w:val="0056233B"/>
    <w:rsid w:val="00562A51"/>
    <w:rsid w:val="00562B73"/>
    <w:rsid w:val="00562D96"/>
    <w:rsid w:val="00563402"/>
    <w:rsid w:val="005642F4"/>
    <w:rsid w:val="00564313"/>
    <w:rsid w:val="00564978"/>
    <w:rsid w:val="00564EBB"/>
    <w:rsid w:val="00565D6A"/>
    <w:rsid w:val="00566787"/>
    <w:rsid w:val="00566A8C"/>
    <w:rsid w:val="00566C7E"/>
    <w:rsid w:val="0056717F"/>
    <w:rsid w:val="00567B17"/>
    <w:rsid w:val="00570B82"/>
    <w:rsid w:val="00570E53"/>
    <w:rsid w:val="00571073"/>
    <w:rsid w:val="005720E6"/>
    <w:rsid w:val="005724C3"/>
    <w:rsid w:val="00572525"/>
    <w:rsid w:val="005729C7"/>
    <w:rsid w:val="00572E82"/>
    <w:rsid w:val="00572F77"/>
    <w:rsid w:val="0057347B"/>
    <w:rsid w:val="0057357B"/>
    <w:rsid w:val="00573718"/>
    <w:rsid w:val="00574EA9"/>
    <w:rsid w:val="005753A1"/>
    <w:rsid w:val="005760AF"/>
    <w:rsid w:val="005762B6"/>
    <w:rsid w:val="0057687B"/>
    <w:rsid w:val="00576987"/>
    <w:rsid w:val="005774CE"/>
    <w:rsid w:val="00577A7B"/>
    <w:rsid w:val="00581A59"/>
    <w:rsid w:val="0058326E"/>
    <w:rsid w:val="00583329"/>
    <w:rsid w:val="005834B1"/>
    <w:rsid w:val="0058352B"/>
    <w:rsid w:val="005838B7"/>
    <w:rsid w:val="00583A41"/>
    <w:rsid w:val="00585028"/>
    <w:rsid w:val="0058521E"/>
    <w:rsid w:val="0058663A"/>
    <w:rsid w:val="00586B32"/>
    <w:rsid w:val="00587524"/>
    <w:rsid w:val="00587679"/>
    <w:rsid w:val="00587DDC"/>
    <w:rsid w:val="0059015E"/>
    <w:rsid w:val="00590661"/>
    <w:rsid w:val="00591447"/>
    <w:rsid w:val="005919CC"/>
    <w:rsid w:val="005923E7"/>
    <w:rsid w:val="005926FF"/>
    <w:rsid w:val="005927B6"/>
    <w:rsid w:val="00592FDE"/>
    <w:rsid w:val="00592FE6"/>
    <w:rsid w:val="00593A13"/>
    <w:rsid w:val="00593FEF"/>
    <w:rsid w:val="005954D3"/>
    <w:rsid w:val="00596199"/>
    <w:rsid w:val="005966C3"/>
    <w:rsid w:val="005972F4"/>
    <w:rsid w:val="005A2B90"/>
    <w:rsid w:val="005A2D77"/>
    <w:rsid w:val="005A2E40"/>
    <w:rsid w:val="005A3180"/>
    <w:rsid w:val="005A38A2"/>
    <w:rsid w:val="005A39D0"/>
    <w:rsid w:val="005A3D43"/>
    <w:rsid w:val="005A4010"/>
    <w:rsid w:val="005A4CC6"/>
    <w:rsid w:val="005A564F"/>
    <w:rsid w:val="005A6356"/>
    <w:rsid w:val="005A7722"/>
    <w:rsid w:val="005B009E"/>
    <w:rsid w:val="005B0A49"/>
    <w:rsid w:val="005B0C2A"/>
    <w:rsid w:val="005B1875"/>
    <w:rsid w:val="005B1BC4"/>
    <w:rsid w:val="005B1D52"/>
    <w:rsid w:val="005B2922"/>
    <w:rsid w:val="005B2F76"/>
    <w:rsid w:val="005B3624"/>
    <w:rsid w:val="005B3903"/>
    <w:rsid w:val="005B4B4D"/>
    <w:rsid w:val="005B4E81"/>
    <w:rsid w:val="005B56E2"/>
    <w:rsid w:val="005B69B1"/>
    <w:rsid w:val="005C0398"/>
    <w:rsid w:val="005C0D9C"/>
    <w:rsid w:val="005C105E"/>
    <w:rsid w:val="005C1082"/>
    <w:rsid w:val="005C1434"/>
    <w:rsid w:val="005C2A50"/>
    <w:rsid w:val="005C3502"/>
    <w:rsid w:val="005C4F27"/>
    <w:rsid w:val="005C5203"/>
    <w:rsid w:val="005C560C"/>
    <w:rsid w:val="005C5697"/>
    <w:rsid w:val="005C7158"/>
    <w:rsid w:val="005C75C9"/>
    <w:rsid w:val="005D0527"/>
    <w:rsid w:val="005D0641"/>
    <w:rsid w:val="005D0D84"/>
    <w:rsid w:val="005D1278"/>
    <w:rsid w:val="005D1A73"/>
    <w:rsid w:val="005D29F2"/>
    <w:rsid w:val="005D33A8"/>
    <w:rsid w:val="005D4151"/>
    <w:rsid w:val="005D5494"/>
    <w:rsid w:val="005D5691"/>
    <w:rsid w:val="005D5CF8"/>
    <w:rsid w:val="005D6267"/>
    <w:rsid w:val="005D6FF9"/>
    <w:rsid w:val="005D77BD"/>
    <w:rsid w:val="005E0230"/>
    <w:rsid w:val="005E04B5"/>
    <w:rsid w:val="005E05E5"/>
    <w:rsid w:val="005E0A06"/>
    <w:rsid w:val="005E0AB8"/>
    <w:rsid w:val="005E13AA"/>
    <w:rsid w:val="005E199B"/>
    <w:rsid w:val="005E1E7B"/>
    <w:rsid w:val="005E2246"/>
    <w:rsid w:val="005E2660"/>
    <w:rsid w:val="005E273B"/>
    <w:rsid w:val="005E30C8"/>
    <w:rsid w:val="005E44FA"/>
    <w:rsid w:val="005E7C04"/>
    <w:rsid w:val="005F061D"/>
    <w:rsid w:val="005F0C85"/>
    <w:rsid w:val="005F0CDE"/>
    <w:rsid w:val="005F0FFB"/>
    <w:rsid w:val="005F1E84"/>
    <w:rsid w:val="005F2181"/>
    <w:rsid w:val="005F2A54"/>
    <w:rsid w:val="005F3755"/>
    <w:rsid w:val="005F37A5"/>
    <w:rsid w:val="005F3C9F"/>
    <w:rsid w:val="005F4C42"/>
    <w:rsid w:val="005F4CA5"/>
    <w:rsid w:val="005F543F"/>
    <w:rsid w:val="005F5D8A"/>
    <w:rsid w:val="005F5D8E"/>
    <w:rsid w:val="005F5E17"/>
    <w:rsid w:val="005F62A6"/>
    <w:rsid w:val="005F63B8"/>
    <w:rsid w:val="005F6C7F"/>
    <w:rsid w:val="005F7203"/>
    <w:rsid w:val="005F7753"/>
    <w:rsid w:val="006001FF"/>
    <w:rsid w:val="00601894"/>
    <w:rsid w:val="00601D92"/>
    <w:rsid w:val="00601E41"/>
    <w:rsid w:val="00602760"/>
    <w:rsid w:val="0060284B"/>
    <w:rsid w:val="006037AB"/>
    <w:rsid w:val="0060510F"/>
    <w:rsid w:val="00605595"/>
    <w:rsid w:val="00605650"/>
    <w:rsid w:val="006061D6"/>
    <w:rsid w:val="006068B1"/>
    <w:rsid w:val="00607473"/>
    <w:rsid w:val="00607D7B"/>
    <w:rsid w:val="006101EC"/>
    <w:rsid w:val="00610D3B"/>
    <w:rsid w:val="00612F76"/>
    <w:rsid w:val="0061318B"/>
    <w:rsid w:val="006134F1"/>
    <w:rsid w:val="006136B6"/>
    <w:rsid w:val="006138C2"/>
    <w:rsid w:val="0061444E"/>
    <w:rsid w:val="00614EF9"/>
    <w:rsid w:val="006158BA"/>
    <w:rsid w:val="006165E7"/>
    <w:rsid w:val="006170C0"/>
    <w:rsid w:val="006177A1"/>
    <w:rsid w:val="00617A2C"/>
    <w:rsid w:val="00620F87"/>
    <w:rsid w:val="0062143E"/>
    <w:rsid w:val="006219B6"/>
    <w:rsid w:val="00621A46"/>
    <w:rsid w:val="006229AA"/>
    <w:rsid w:val="00622AFE"/>
    <w:rsid w:val="00622F5C"/>
    <w:rsid w:val="00623A07"/>
    <w:rsid w:val="00624315"/>
    <w:rsid w:val="00624D07"/>
    <w:rsid w:val="00625684"/>
    <w:rsid w:val="00625740"/>
    <w:rsid w:val="00625B88"/>
    <w:rsid w:val="00625CFB"/>
    <w:rsid w:val="00625E35"/>
    <w:rsid w:val="00626BC6"/>
    <w:rsid w:val="0062715B"/>
    <w:rsid w:val="00630BAC"/>
    <w:rsid w:val="00630BDC"/>
    <w:rsid w:val="0063110C"/>
    <w:rsid w:val="006312D5"/>
    <w:rsid w:val="00631481"/>
    <w:rsid w:val="00631F00"/>
    <w:rsid w:val="00631FF2"/>
    <w:rsid w:val="0063224C"/>
    <w:rsid w:val="0063246B"/>
    <w:rsid w:val="00632F91"/>
    <w:rsid w:val="00633E0D"/>
    <w:rsid w:val="0063422C"/>
    <w:rsid w:val="006344F8"/>
    <w:rsid w:val="0063489F"/>
    <w:rsid w:val="006348B6"/>
    <w:rsid w:val="006348B8"/>
    <w:rsid w:val="00634A5D"/>
    <w:rsid w:val="00634AE2"/>
    <w:rsid w:val="00635682"/>
    <w:rsid w:val="006358AE"/>
    <w:rsid w:val="00635A2D"/>
    <w:rsid w:val="006365CE"/>
    <w:rsid w:val="0063668C"/>
    <w:rsid w:val="006368F7"/>
    <w:rsid w:val="00636B55"/>
    <w:rsid w:val="00636C61"/>
    <w:rsid w:val="00636E0B"/>
    <w:rsid w:val="006373ED"/>
    <w:rsid w:val="00637493"/>
    <w:rsid w:val="00637967"/>
    <w:rsid w:val="00637B30"/>
    <w:rsid w:val="00637B66"/>
    <w:rsid w:val="00637E06"/>
    <w:rsid w:val="006417AE"/>
    <w:rsid w:val="00641F85"/>
    <w:rsid w:val="00642731"/>
    <w:rsid w:val="00642870"/>
    <w:rsid w:val="006430EB"/>
    <w:rsid w:val="0064383B"/>
    <w:rsid w:val="00643891"/>
    <w:rsid w:val="00643A2A"/>
    <w:rsid w:val="00644499"/>
    <w:rsid w:val="0064482E"/>
    <w:rsid w:val="006460C1"/>
    <w:rsid w:val="006462DB"/>
    <w:rsid w:val="00647767"/>
    <w:rsid w:val="00650865"/>
    <w:rsid w:val="00650C0C"/>
    <w:rsid w:val="00650EAA"/>
    <w:rsid w:val="00651C20"/>
    <w:rsid w:val="0065276A"/>
    <w:rsid w:val="00652998"/>
    <w:rsid w:val="00652B7E"/>
    <w:rsid w:val="00652FC8"/>
    <w:rsid w:val="00654441"/>
    <w:rsid w:val="00655A73"/>
    <w:rsid w:val="00655C7B"/>
    <w:rsid w:val="00655EA0"/>
    <w:rsid w:val="00657492"/>
    <w:rsid w:val="00657DF3"/>
    <w:rsid w:val="0066205D"/>
    <w:rsid w:val="00663026"/>
    <w:rsid w:val="00663112"/>
    <w:rsid w:val="00663CAD"/>
    <w:rsid w:val="00664453"/>
    <w:rsid w:val="00664ADF"/>
    <w:rsid w:val="006655F7"/>
    <w:rsid w:val="006656B4"/>
    <w:rsid w:val="00665C19"/>
    <w:rsid w:val="006660AE"/>
    <w:rsid w:val="00666B65"/>
    <w:rsid w:val="00666EC5"/>
    <w:rsid w:val="00666F3C"/>
    <w:rsid w:val="006671FB"/>
    <w:rsid w:val="00667772"/>
    <w:rsid w:val="0066790E"/>
    <w:rsid w:val="00670144"/>
    <w:rsid w:val="00670891"/>
    <w:rsid w:val="00671F70"/>
    <w:rsid w:val="00672956"/>
    <w:rsid w:val="006734B0"/>
    <w:rsid w:val="0067366E"/>
    <w:rsid w:val="006753D6"/>
    <w:rsid w:val="00675587"/>
    <w:rsid w:val="0067564A"/>
    <w:rsid w:val="00675842"/>
    <w:rsid w:val="00675B05"/>
    <w:rsid w:val="00675E97"/>
    <w:rsid w:val="00675FD2"/>
    <w:rsid w:val="00676869"/>
    <w:rsid w:val="00676E77"/>
    <w:rsid w:val="00677DFC"/>
    <w:rsid w:val="00677F37"/>
    <w:rsid w:val="00680A9F"/>
    <w:rsid w:val="00680DEA"/>
    <w:rsid w:val="006811F6"/>
    <w:rsid w:val="0068148F"/>
    <w:rsid w:val="0068158B"/>
    <w:rsid w:val="00681B0D"/>
    <w:rsid w:val="006823EA"/>
    <w:rsid w:val="00682A8B"/>
    <w:rsid w:val="00682AAD"/>
    <w:rsid w:val="00682D13"/>
    <w:rsid w:val="006832E6"/>
    <w:rsid w:val="0068424C"/>
    <w:rsid w:val="00684A34"/>
    <w:rsid w:val="00684E7E"/>
    <w:rsid w:val="00684ECC"/>
    <w:rsid w:val="006854E7"/>
    <w:rsid w:val="006854F4"/>
    <w:rsid w:val="00686C5D"/>
    <w:rsid w:val="00686E78"/>
    <w:rsid w:val="00687035"/>
    <w:rsid w:val="00687072"/>
    <w:rsid w:val="00687651"/>
    <w:rsid w:val="00687738"/>
    <w:rsid w:val="00687815"/>
    <w:rsid w:val="006879AF"/>
    <w:rsid w:val="00687F8E"/>
    <w:rsid w:val="006903B8"/>
    <w:rsid w:val="0069058A"/>
    <w:rsid w:val="00691AF7"/>
    <w:rsid w:val="00692D9C"/>
    <w:rsid w:val="00693C56"/>
    <w:rsid w:val="00694207"/>
    <w:rsid w:val="00694496"/>
    <w:rsid w:val="00694B7F"/>
    <w:rsid w:val="00695257"/>
    <w:rsid w:val="006957AB"/>
    <w:rsid w:val="00695D02"/>
    <w:rsid w:val="00695DC0"/>
    <w:rsid w:val="00695F71"/>
    <w:rsid w:val="006964A3"/>
    <w:rsid w:val="00696759"/>
    <w:rsid w:val="0069771F"/>
    <w:rsid w:val="006A190C"/>
    <w:rsid w:val="006A213D"/>
    <w:rsid w:val="006A4744"/>
    <w:rsid w:val="006A4F47"/>
    <w:rsid w:val="006A6CF0"/>
    <w:rsid w:val="006A7430"/>
    <w:rsid w:val="006A7B8E"/>
    <w:rsid w:val="006B0092"/>
    <w:rsid w:val="006B123D"/>
    <w:rsid w:val="006B1452"/>
    <w:rsid w:val="006B1790"/>
    <w:rsid w:val="006B1946"/>
    <w:rsid w:val="006B1DC1"/>
    <w:rsid w:val="006B285F"/>
    <w:rsid w:val="006B305C"/>
    <w:rsid w:val="006B3797"/>
    <w:rsid w:val="006B3865"/>
    <w:rsid w:val="006B3FF0"/>
    <w:rsid w:val="006B475E"/>
    <w:rsid w:val="006B497B"/>
    <w:rsid w:val="006B4CBD"/>
    <w:rsid w:val="006B5CC1"/>
    <w:rsid w:val="006B5DE6"/>
    <w:rsid w:val="006B6130"/>
    <w:rsid w:val="006B696C"/>
    <w:rsid w:val="006B6E06"/>
    <w:rsid w:val="006B6F29"/>
    <w:rsid w:val="006B787F"/>
    <w:rsid w:val="006C155E"/>
    <w:rsid w:val="006C2094"/>
    <w:rsid w:val="006C2365"/>
    <w:rsid w:val="006C2486"/>
    <w:rsid w:val="006C25E5"/>
    <w:rsid w:val="006C2F3A"/>
    <w:rsid w:val="006C3DC4"/>
    <w:rsid w:val="006C4B12"/>
    <w:rsid w:val="006C53E6"/>
    <w:rsid w:val="006C56D2"/>
    <w:rsid w:val="006C5943"/>
    <w:rsid w:val="006C5B48"/>
    <w:rsid w:val="006C664B"/>
    <w:rsid w:val="006C6EEA"/>
    <w:rsid w:val="006C6FF3"/>
    <w:rsid w:val="006C711A"/>
    <w:rsid w:val="006C7215"/>
    <w:rsid w:val="006C75E1"/>
    <w:rsid w:val="006C7992"/>
    <w:rsid w:val="006C7D39"/>
    <w:rsid w:val="006C7E76"/>
    <w:rsid w:val="006D024A"/>
    <w:rsid w:val="006D07EA"/>
    <w:rsid w:val="006D0A26"/>
    <w:rsid w:val="006D0E1E"/>
    <w:rsid w:val="006D11E2"/>
    <w:rsid w:val="006D17D9"/>
    <w:rsid w:val="006D1CC1"/>
    <w:rsid w:val="006D206A"/>
    <w:rsid w:val="006D4195"/>
    <w:rsid w:val="006D460E"/>
    <w:rsid w:val="006D47C3"/>
    <w:rsid w:val="006D568B"/>
    <w:rsid w:val="006D5F7B"/>
    <w:rsid w:val="006D5FB1"/>
    <w:rsid w:val="006D6507"/>
    <w:rsid w:val="006D700C"/>
    <w:rsid w:val="006D7B49"/>
    <w:rsid w:val="006E0102"/>
    <w:rsid w:val="006E0E9F"/>
    <w:rsid w:val="006E18E3"/>
    <w:rsid w:val="006E21E6"/>
    <w:rsid w:val="006E2276"/>
    <w:rsid w:val="006E318F"/>
    <w:rsid w:val="006E3703"/>
    <w:rsid w:val="006E45E7"/>
    <w:rsid w:val="006E4676"/>
    <w:rsid w:val="006E52AF"/>
    <w:rsid w:val="006E5D2E"/>
    <w:rsid w:val="006E61F3"/>
    <w:rsid w:val="006E68F2"/>
    <w:rsid w:val="006E6B7E"/>
    <w:rsid w:val="006E74AD"/>
    <w:rsid w:val="006E7724"/>
    <w:rsid w:val="006F055A"/>
    <w:rsid w:val="006F0733"/>
    <w:rsid w:val="006F0A85"/>
    <w:rsid w:val="006F1468"/>
    <w:rsid w:val="006F1605"/>
    <w:rsid w:val="006F1FF7"/>
    <w:rsid w:val="006F2FFF"/>
    <w:rsid w:val="006F3A71"/>
    <w:rsid w:val="006F3D13"/>
    <w:rsid w:val="006F3F3F"/>
    <w:rsid w:val="006F4053"/>
    <w:rsid w:val="006F4786"/>
    <w:rsid w:val="006F47BA"/>
    <w:rsid w:val="006F5CA0"/>
    <w:rsid w:val="006F5F53"/>
    <w:rsid w:val="006F69D6"/>
    <w:rsid w:val="006F6BA9"/>
    <w:rsid w:val="006F77E2"/>
    <w:rsid w:val="007000AC"/>
    <w:rsid w:val="00700ADC"/>
    <w:rsid w:val="00701076"/>
    <w:rsid w:val="00701276"/>
    <w:rsid w:val="0070181F"/>
    <w:rsid w:val="0070196F"/>
    <w:rsid w:val="00701AF0"/>
    <w:rsid w:val="00703E8A"/>
    <w:rsid w:val="007040DC"/>
    <w:rsid w:val="00704509"/>
    <w:rsid w:val="00704826"/>
    <w:rsid w:val="00704B79"/>
    <w:rsid w:val="007062DB"/>
    <w:rsid w:val="007066AD"/>
    <w:rsid w:val="0070699C"/>
    <w:rsid w:val="00706B0D"/>
    <w:rsid w:val="00706EDD"/>
    <w:rsid w:val="00707737"/>
    <w:rsid w:val="007077E9"/>
    <w:rsid w:val="00710ED3"/>
    <w:rsid w:val="0071110D"/>
    <w:rsid w:val="007134D1"/>
    <w:rsid w:val="00714162"/>
    <w:rsid w:val="00714812"/>
    <w:rsid w:val="00714EE0"/>
    <w:rsid w:val="007161D7"/>
    <w:rsid w:val="007164A8"/>
    <w:rsid w:val="007164FB"/>
    <w:rsid w:val="00717757"/>
    <w:rsid w:val="00717B5E"/>
    <w:rsid w:val="00720389"/>
    <w:rsid w:val="007203DF"/>
    <w:rsid w:val="00720C60"/>
    <w:rsid w:val="00720E75"/>
    <w:rsid w:val="00722439"/>
    <w:rsid w:val="007227A3"/>
    <w:rsid w:val="00722DE9"/>
    <w:rsid w:val="0072366C"/>
    <w:rsid w:val="007238FE"/>
    <w:rsid w:val="00723950"/>
    <w:rsid w:val="00723983"/>
    <w:rsid w:val="007249AC"/>
    <w:rsid w:val="0072524F"/>
    <w:rsid w:val="007261F2"/>
    <w:rsid w:val="0073131D"/>
    <w:rsid w:val="00731802"/>
    <w:rsid w:val="0073196A"/>
    <w:rsid w:val="00731B0C"/>
    <w:rsid w:val="00731D56"/>
    <w:rsid w:val="0073317A"/>
    <w:rsid w:val="0073329F"/>
    <w:rsid w:val="00733A39"/>
    <w:rsid w:val="00733B11"/>
    <w:rsid w:val="00734414"/>
    <w:rsid w:val="00734578"/>
    <w:rsid w:val="00734C2E"/>
    <w:rsid w:val="0073510A"/>
    <w:rsid w:val="0073599E"/>
    <w:rsid w:val="00735E7A"/>
    <w:rsid w:val="007362A7"/>
    <w:rsid w:val="00737633"/>
    <w:rsid w:val="00737A4D"/>
    <w:rsid w:val="0074053E"/>
    <w:rsid w:val="0074076E"/>
    <w:rsid w:val="00740A31"/>
    <w:rsid w:val="00740DA7"/>
    <w:rsid w:val="007414A8"/>
    <w:rsid w:val="00741516"/>
    <w:rsid w:val="00743007"/>
    <w:rsid w:val="007438F4"/>
    <w:rsid w:val="00743912"/>
    <w:rsid w:val="00743A44"/>
    <w:rsid w:val="00745339"/>
    <w:rsid w:val="00745FAC"/>
    <w:rsid w:val="0074618B"/>
    <w:rsid w:val="00746908"/>
    <w:rsid w:val="00746DF4"/>
    <w:rsid w:val="007477ED"/>
    <w:rsid w:val="007506FC"/>
    <w:rsid w:val="007508EA"/>
    <w:rsid w:val="00750CE3"/>
    <w:rsid w:val="007511CF"/>
    <w:rsid w:val="0075155A"/>
    <w:rsid w:val="007522C1"/>
    <w:rsid w:val="007527B9"/>
    <w:rsid w:val="007529F7"/>
    <w:rsid w:val="00752D4C"/>
    <w:rsid w:val="007530C6"/>
    <w:rsid w:val="007534FC"/>
    <w:rsid w:val="00754418"/>
    <w:rsid w:val="0075463A"/>
    <w:rsid w:val="007552A7"/>
    <w:rsid w:val="0075538F"/>
    <w:rsid w:val="0075560F"/>
    <w:rsid w:val="00755804"/>
    <w:rsid w:val="007558B2"/>
    <w:rsid w:val="007561CC"/>
    <w:rsid w:val="00756312"/>
    <w:rsid w:val="00756562"/>
    <w:rsid w:val="00757034"/>
    <w:rsid w:val="0075783C"/>
    <w:rsid w:val="00757897"/>
    <w:rsid w:val="007615AC"/>
    <w:rsid w:val="00761E48"/>
    <w:rsid w:val="00762030"/>
    <w:rsid w:val="00762A2A"/>
    <w:rsid w:val="00762DF4"/>
    <w:rsid w:val="007633F2"/>
    <w:rsid w:val="007637EC"/>
    <w:rsid w:val="007640A4"/>
    <w:rsid w:val="00764685"/>
    <w:rsid w:val="00764A74"/>
    <w:rsid w:val="007668F3"/>
    <w:rsid w:val="00766C04"/>
    <w:rsid w:val="00766F80"/>
    <w:rsid w:val="00766FAF"/>
    <w:rsid w:val="007677F9"/>
    <w:rsid w:val="00767971"/>
    <w:rsid w:val="0077108F"/>
    <w:rsid w:val="00772362"/>
    <w:rsid w:val="00772D75"/>
    <w:rsid w:val="007731C0"/>
    <w:rsid w:val="00773B16"/>
    <w:rsid w:val="00774FD1"/>
    <w:rsid w:val="0077539F"/>
    <w:rsid w:val="00775A4B"/>
    <w:rsid w:val="00776040"/>
    <w:rsid w:val="00776523"/>
    <w:rsid w:val="00780745"/>
    <w:rsid w:val="00781014"/>
    <w:rsid w:val="007816A1"/>
    <w:rsid w:val="0078175A"/>
    <w:rsid w:val="00781AD5"/>
    <w:rsid w:val="0078265F"/>
    <w:rsid w:val="0078374C"/>
    <w:rsid w:val="0078420B"/>
    <w:rsid w:val="00784232"/>
    <w:rsid w:val="007847A7"/>
    <w:rsid w:val="00785E9B"/>
    <w:rsid w:val="00786561"/>
    <w:rsid w:val="007905C9"/>
    <w:rsid w:val="00790DA6"/>
    <w:rsid w:val="00791A30"/>
    <w:rsid w:val="0079312A"/>
    <w:rsid w:val="0079344E"/>
    <w:rsid w:val="007939F2"/>
    <w:rsid w:val="007945D9"/>
    <w:rsid w:val="007948FA"/>
    <w:rsid w:val="007956E7"/>
    <w:rsid w:val="00796C4C"/>
    <w:rsid w:val="00797103"/>
    <w:rsid w:val="007975EC"/>
    <w:rsid w:val="007A0D4D"/>
    <w:rsid w:val="007A20EE"/>
    <w:rsid w:val="007A35C4"/>
    <w:rsid w:val="007A368C"/>
    <w:rsid w:val="007A387D"/>
    <w:rsid w:val="007A3B72"/>
    <w:rsid w:val="007A4D6B"/>
    <w:rsid w:val="007A516F"/>
    <w:rsid w:val="007A5196"/>
    <w:rsid w:val="007A57ED"/>
    <w:rsid w:val="007A5BCD"/>
    <w:rsid w:val="007A5CE0"/>
    <w:rsid w:val="007A6634"/>
    <w:rsid w:val="007A67F8"/>
    <w:rsid w:val="007A693D"/>
    <w:rsid w:val="007A6C55"/>
    <w:rsid w:val="007A75BD"/>
    <w:rsid w:val="007A7F4A"/>
    <w:rsid w:val="007B05B5"/>
    <w:rsid w:val="007B0A7E"/>
    <w:rsid w:val="007B14D0"/>
    <w:rsid w:val="007B1BA3"/>
    <w:rsid w:val="007B2294"/>
    <w:rsid w:val="007B2554"/>
    <w:rsid w:val="007B3D05"/>
    <w:rsid w:val="007B40AA"/>
    <w:rsid w:val="007B40BB"/>
    <w:rsid w:val="007B498A"/>
    <w:rsid w:val="007B49FE"/>
    <w:rsid w:val="007B5259"/>
    <w:rsid w:val="007B601D"/>
    <w:rsid w:val="007B68CC"/>
    <w:rsid w:val="007B6CC8"/>
    <w:rsid w:val="007B78BD"/>
    <w:rsid w:val="007B7A9C"/>
    <w:rsid w:val="007C0203"/>
    <w:rsid w:val="007C0515"/>
    <w:rsid w:val="007C0573"/>
    <w:rsid w:val="007C13EB"/>
    <w:rsid w:val="007C1B69"/>
    <w:rsid w:val="007C23FF"/>
    <w:rsid w:val="007C2A01"/>
    <w:rsid w:val="007C3291"/>
    <w:rsid w:val="007C3BFD"/>
    <w:rsid w:val="007C4325"/>
    <w:rsid w:val="007C45EB"/>
    <w:rsid w:val="007C5222"/>
    <w:rsid w:val="007C5432"/>
    <w:rsid w:val="007C5AF5"/>
    <w:rsid w:val="007C5D42"/>
    <w:rsid w:val="007C6385"/>
    <w:rsid w:val="007C7F32"/>
    <w:rsid w:val="007D006F"/>
    <w:rsid w:val="007D00E0"/>
    <w:rsid w:val="007D07A1"/>
    <w:rsid w:val="007D10FE"/>
    <w:rsid w:val="007D13DE"/>
    <w:rsid w:val="007D1AAC"/>
    <w:rsid w:val="007D24DA"/>
    <w:rsid w:val="007D3BDE"/>
    <w:rsid w:val="007D427E"/>
    <w:rsid w:val="007D62BF"/>
    <w:rsid w:val="007D65BD"/>
    <w:rsid w:val="007D6A4A"/>
    <w:rsid w:val="007D6DC4"/>
    <w:rsid w:val="007D7508"/>
    <w:rsid w:val="007D7C50"/>
    <w:rsid w:val="007E0756"/>
    <w:rsid w:val="007E13E7"/>
    <w:rsid w:val="007E1976"/>
    <w:rsid w:val="007E1980"/>
    <w:rsid w:val="007E3210"/>
    <w:rsid w:val="007E33E4"/>
    <w:rsid w:val="007E382B"/>
    <w:rsid w:val="007E3F5F"/>
    <w:rsid w:val="007E4515"/>
    <w:rsid w:val="007E4E7C"/>
    <w:rsid w:val="007E54A4"/>
    <w:rsid w:val="007E681F"/>
    <w:rsid w:val="007E6ACA"/>
    <w:rsid w:val="007E6FB8"/>
    <w:rsid w:val="007E7695"/>
    <w:rsid w:val="007F0283"/>
    <w:rsid w:val="007F08E3"/>
    <w:rsid w:val="007F1057"/>
    <w:rsid w:val="007F1ED9"/>
    <w:rsid w:val="007F31DA"/>
    <w:rsid w:val="007F377F"/>
    <w:rsid w:val="007F3BC0"/>
    <w:rsid w:val="007F3FE2"/>
    <w:rsid w:val="007F47F5"/>
    <w:rsid w:val="007F6A60"/>
    <w:rsid w:val="007F718D"/>
    <w:rsid w:val="007F7E38"/>
    <w:rsid w:val="008002CC"/>
    <w:rsid w:val="00801731"/>
    <w:rsid w:val="0080248B"/>
    <w:rsid w:val="00802614"/>
    <w:rsid w:val="00803A70"/>
    <w:rsid w:val="00804518"/>
    <w:rsid w:val="0080487E"/>
    <w:rsid w:val="0080513F"/>
    <w:rsid w:val="0080593D"/>
    <w:rsid w:val="00806E1B"/>
    <w:rsid w:val="008072A8"/>
    <w:rsid w:val="008075BE"/>
    <w:rsid w:val="00810B35"/>
    <w:rsid w:val="00810C83"/>
    <w:rsid w:val="008110EB"/>
    <w:rsid w:val="008110F7"/>
    <w:rsid w:val="00811182"/>
    <w:rsid w:val="008117B2"/>
    <w:rsid w:val="00811833"/>
    <w:rsid w:val="0081188F"/>
    <w:rsid w:val="008121BE"/>
    <w:rsid w:val="0081264C"/>
    <w:rsid w:val="00813008"/>
    <w:rsid w:val="008137B3"/>
    <w:rsid w:val="00813F25"/>
    <w:rsid w:val="00814D33"/>
    <w:rsid w:val="00814EDD"/>
    <w:rsid w:val="00816029"/>
    <w:rsid w:val="0081614C"/>
    <w:rsid w:val="00816894"/>
    <w:rsid w:val="00816933"/>
    <w:rsid w:val="00817AC6"/>
    <w:rsid w:val="00817AE6"/>
    <w:rsid w:val="00817F11"/>
    <w:rsid w:val="00820060"/>
    <w:rsid w:val="0082071B"/>
    <w:rsid w:val="008207B5"/>
    <w:rsid w:val="00820B56"/>
    <w:rsid w:val="00820E5E"/>
    <w:rsid w:val="00820F12"/>
    <w:rsid w:val="0082126D"/>
    <w:rsid w:val="00821483"/>
    <w:rsid w:val="008216FE"/>
    <w:rsid w:val="00821D98"/>
    <w:rsid w:val="00822BB3"/>
    <w:rsid w:val="00822F87"/>
    <w:rsid w:val="00823B2D"/>
    <w:rsid w:val="00824476"/>
    <w:rsid w:val="0082459C"/>
    <w:rsid w:val="00824EE4"/>
    <w:rsid w:val="00825727"/>
    <w:rsid w:val="008258B5"/>
    <w:rsid w:val="00825903"/>
    <w:rsid w:val="00825D60"/>
    <w:rsid w:val="00825F29"/>
    <w:rsid w:val="00825FFE"/>
    <w:rsid w:val="00826EEB"/>
    <w:rsid w:val="00826F64"/>
    <w:rsid w:val="0082771D"/>
    <w:rsid w:val="00827934"/>
    <w:rsid w:val="0083095F"/>
    <w:rsid w:val="00830BDF"/>
    <w:rsid w:val="00830CA0"/>
    <w:rsid w:val="00832192"/>
    <w:rsid w:val="008324C9"/>
    <w:rsid w:val="00832F74"/>
    <w:rsid w:val="008337D6"/>
    <w:rsid w:val="00833ED1"/>
    <w:rsid w:val="0083582D"/>
    <w:rsid w:val="00836B00"/>
    <w:rsid w:val="00837499"/>
    <w:rsid w:val="00837D4C"/>
    <w:rsid w:val="00837F48"/>
    <w:rsid w:val="00840771"/>
    <w:rsid w:val="008409FA"/>
    <w:rsid w:val="00840DED"/>
    <w:rsid w:val="0084142C"/>
    <w:rsid w:val="00841BA1"/>
    <w:rsid w:val="00842297"/>
    <w:rsid w:val="008425D8"/>
    <w:rsid w:val="00842C0B"/>
    <w:rsid w:val="0084344C"/>
    <w:rsid w:val="008437A8"/>
    <w:rsid w:val="00843ADC"/>
    <w:rsid w:val="00844463"/>
    <w:rsid w:val="0084483E"/>
    <w:rsid w:val="00844C99"/>
    <w:rsid w:val="008453ED"/>
    <w:rsid w:val="00845EEE"/>
    <w:rsid w:val="008500C4"/>
    <w:rsid w:val="008501F9"/>
    <w:rsid w:val="008503AF"/>
    <w:rsid w:val="00850DCF"/>
    <w:rsid w:val="00851217"/>
    <w:rsid w:val="008516EF"/>
    <w:rsid w:val="00852643"/>
    <w:rsid w:val="00852FD0"/>
    <w:rsid w:val="00853250"/>
    <w:rsid w:val="008534E4"/>
    <w:rsid w:val="0085415B"/>
    <w:rsid w:val="00854741"/>
    <w:rsid w:val="00854D3B"/>
    <w:rsid w:val="00855E50"/>
    <w:rsid w:val="00856AE5"/>
    <w:rsid w:val="00856D75"/>
    <w:rsid w:val="0085708B"/>
    <w:rsid w:val="008578CD"/>
    <w:rsid w:val="00857B15"/>
    <w:rsid w:val="0086017B"/>
    <w:rsid w:val="00860DC3"/>
    <w:rsid w:val="00861C9F"/>
    <w:rsid w:val="008632A6"/>
    <w:rsid w:val="0086390D"/>
    <w:rsid w:val="00864DC3"/>
    <w:rsid w:val="00864ECB"/>
    <w:rsid w:val="008657EF"/>
    <w:rsid w:val="008666C6"/>
    <w:rsid w:val="00867B06"/>
    <w:rsid w:val="00870936"/>
    <w:rsid w:val="008712C1"/>
    <w:rsid w:val="00871332"/>
    <w:rsid w:val="00871963"/>
    <w:rsid w:val="008727C7"/>
    <w:rsid w:val="00872CE1"/>
    <w:rsid w:val="0087328F"/>
    <w:rsid w:val="008732AA"/>
    <w:rsid w:val="00873436"/>
    <w:rsid w:val="00873A55"/>
    <w:rsid w:val="00873D0B"/>
    <w:rsid w:val="0087444C"/>
    <w:rsid w:val="00874C86"/>
    <w:rsid w:val="00874EA8"/>
    <w:rsid w:val="00874F7B"/>
    <w:rsid w:val="00874FA6"/>
    <w:rsid w:val="00875253"/>
    <w:rsid w:val="008753ED"/>
    <w:rsid w:val="00875432"/>
    <w:rsid w:val="00876278"/>
    <w:rsid w:val="0087692D"/>
    <w:rsid w:val="008770CD"/>
    <w:rsid w:val="00877352"/>
    <w:rsid w:val="0087748D"/>
    <w:rsid w:val="008777F8"/>
    <w:rsid w:val="0087783C"/>
    <w:rsid w:val="008807FD"/>
    <w:rsid w:val="008809F3"/>
    <w:rsid w:val="008816AC"/>
    <w:rsid w:val="00881899"/>
    <w:rsid w:val="00882036"/>
    <w:rsid w:val="00882518"/>
    <w:rsid w:val="00883218"/>
    <w:rsid w:val="0088349B"/>
    <w:rsid w:val="0088350A"/>
    <w:rsid w:val="00883F9B"/>
    <w:rsid w:val="0088486D"/>
    <w:rsid w:val="00885045"/>
    <w:rsid w:val="00885097"/>
    <w:rsid w:val="00885946"/>
    <w:rsid w:val="00885A29"/>
    <w:rsid w:val="008862CA"/>
    <w:rsid w:val="00886699"/>
    <w:rsid w:val="00886EE9"/>
    <w:rsid w:val="0088709D"/>
    <w:rsid w:val="00890076"/>
    <w:rsid w:val="008905E0"/>
    <w:rsid w:val="008911E4"/>
    <w:rsid w:val="00893184"/>
    <w:rsid w:val="008931C9"/>
    <w:rsid w:val="00893379"/>
    <w:rsid w:val="00893535"/>
    <w:rsid w:val="00894660"/>
    <w:rsid w:val="00894886"/>
    <w:rsid w:val="0089568E"/>
    <w:rsid w:val="008958C0"/>
    <w:rsid w:val="0089788A"/>
    <w:rsid w:val="00897B69"/>
    <w:rsid w:val="008A0110"/>
    <w:rsid w:val="008A049C"/>
    <w:rsid w:val="008A066D"/>
    <w:rsid w:val="008A0CC1"/>
    <w:rsid w:val="008A0FDD"/>
    <w:rsid w:val="008A1059"/>
    <w:rsid w:val="008A1C6F"/>
    <w:rsid w:val="008A2261"/>
    <w:rsid w:val="008A2427"/>
    <w:rsid w:val="008A2605"/>
    <w:rsid w:val="008A318B"/>
    <w:rsid w:val="008A5649"/>
    <w:rsid w:val="008A6084"/>
    <w:rsid w:val="008A6C63"/>
    <w:rsid w:val="008A6D36"/>
    <w:rsid w:val="008A702A"/>
    <w:rsid w:val="008A7203"/>
    <w:rsid w:val="008B074B"/>
    <w:rsid w:val="008B085A"/>
    <w:rsid w:val="008B2EB8"/>
    <w:rsid w:val="008B3092"/>
    <w:rsid w:val="008B3266"/>
    <w:rsid w:val="008B35D4"/>
    <w:rsid w:val="008B4684"/>
    <w:rsid w:val="008B503C"/>
    <w:rsid w:val="008B5262"/>
    <w:rsid w:val="008B54A0"/>
    <w:rsid w:val="008B55D7"/>
    <w:rsid w:val="008B611E"/>
    <w:rsid w:val="008B646A"/>
    <w:rsid w:val="008B72CB"/>
    <w:rsid w:val="008B7405"/>
    <w:rsid w:val="008C0580"/>
    <w:rsid w:val="008C0685"/>
    <w:rsid w:val="008C090E"/>
    <w:rsid w:val="008C0A0C"/>
    <w:rsid w:val="008C1077"/>
    <w:rsid w:val="008C11F0"/>
    <w:rsid w:val="008C1D9F"/>
    <w:rsid w:val="008C2DDC"/>
    <w:rsid w:val="008C325C"/>
    <w:rsid w:val="008C38B5"/>
    <w:rsid w:val="008C4E4E"/>
    <w:rsid w:val="008C4FA8"/>
    <w:rsid w:val="008C521F"/>
    <w:rsid w:val="008C55E2"/>
    <w:rsid w:val="008C5669"/>
    <w:rsid w:val="008C62D2"/>
    <w:rsid w:val="008C6332"/>
    <w:rsid w:val="008C665E"/>
    <w:rsid w:val="008C71A2"/>
    <w:rsid w:val="008C72EC"/>
    <w:rsid w:val="008C7FAE"/>
    <w:rsid w:val="008D05D4"/>
    <w:rsid w:val="008D06D2"/>
    <w:rsid w:val="008D1DB8"/>
    <w:rsid w:val="008D2496"/>
    <w:rsid w:val="008D2E5B"/>
    <w:rsid w:val="008D366C"/>
    <w:rsid w:val="008D3C28"/>
    <w:rsid w:val="008D464C"/>
    <w:rsid w:val="008D4821"/>
    <w:rsid w:val="008D496B"/>
    <w:rsid w:val="008D505D"/>
    <w:rsid w:val="008D568F"/>
    <w:rsid w:val="008D628C"/>
    <w:rsid w:val="008D64F9"/>
    <w:rsid w:val="008D7CE5"/>
    <w:rsid w:val="008E0901"/>
    <w:rsid w:val="008E10A4"/>
    <w:rsid w:val="008E1B8F"/>
    <w:rsid w:val="008E1EE5"/>
    <w:rsid w:val="008E21D8"/>
    <w:rsid w:val="008E2949"/>
    <w:rsid w:val="008E2BC9"/>
    <w:rsid w:val="008E3422"/>
    <w:rsid w:val="008E4B95"/>
    <w:rsid w:val="008E5422"/>
    <w:rsid w:val="008E6536"/>
    <w:rsid w:val="008E71B4"/>
    <w:rsid w:val="008E7491"/>
    <w:rsid w:val="008E7613"/>
    <w:rsid w:val="008F0017"/>
    <w:rsid w:val="008F0147"/>
    <w:rsid w:val="008F0DDE"/>
    <w:rsid w:val="008F1361"/>
    <w:rsid w:val="008F245A"/>
    <w:rsid w:val="008F25C8"/>
    <w:rsid w:val="008F2B10"/>
    <w:rsid w:val="008F2DEC"/>
    <w:rsid w:val="008F3676"/>
    <w:rsid w:val="008F3757"/>
    <w:rsid w:val="008F3794"/>
    <w:rsid w:val="008F3796"/>
    <w:rsid w:val="008F3F86"/>
    <w:rsid w:val="008F4458"/>
    <w:rsid w:val="008F5167"/>
    <w:rsid w:val="008F5B47"/>
    <w:rsid w:val="008F62F7"/>
    <w:rsid w:val="008F6808"/>
    <w:rsid w:val="008F6B69"/>
    <w:rsid w:val="009004DB"/>
    <w:rsid w:val="0090060E"/>
    <w:rsid w:val="00900FA8"/>
    <w:rsid w:val="00901164"/>
    <w:rsid w:val="009013C1"/>
    <w:rsid w:val="00902843"/>
    <w:rsid w:val="0090325B"/>
    <w:rsid w:val="00903288"/>
    <w:rsid w:val="0090353F"/>
    <w:rsid w:val="00903D12"/>
    <w:rsid w:val="0090533A"/>
    <w:rsid w:val="00905B1E"/>
    <w:rsid w:val="00905C0B"/>
    <w:rsid w:val="00906E55"/>
    <w:rsid w:val="00907005"/>
    <w:rsid w:val="0090746C"/>
    <w:rsid w:val="009078EF"/>
    <w:rsid w:val="0091051D"/>
    <w:rsid w:val="00910D55"/>
    <w:rsid w:val="009111DA"/>
    <w:rsid w:val="00911B42"/>
    <w:rsid w:val="00912D0D"/>
    <w:rsid w:val="00913104"/>
    <w:rsid w:val="009136EF"/>
    <w:rsid w:val="00913DA4"/>
    <w:rsid w:val="0091488D"/>
    <w:rsid w:val="00914BF8"/>
    <w:rsid w:val="009154CD"/>
    <w:rsid w:val="00915F86"/>
    <w:rsid w:val="0091678E"/>
    <w:rsid w:val="00917B99"/>
    <w:rsid w:val="00917C21"/>
    <w:rsid w:val="00917E99"/>
    <w:rsid w:val="00920574"/>
    <w:rsid w:val="0092090D"/>
    <w:rsid w:val="00920C5D"/>
    <w:rsid w:val="0092161B"/>
    <w:rsid w:val="00922431"/>
    <w:rsid w:val="00922983"/>
    <w:rsid w:val="00922C87"/>
    <w:rsid w:val="00923283"/>
    <w:rsid w:val="0092344D"/>
    <w:rsid w:val="00924C13"/>
    <w:rsid w:val="00924EAF"/>
    <w:rsid w:val="00924ECB"/>
    <w:rsid w:val="00925B8E"/>
    <w:rsid w:val="00926207"/>
    <w:rsid w:val="009267D1"/>
    <w:rsid w:val="00926E74"/>
    <w:rsid w:val="00927207"/>
    <w:rsid w:val="009272FA"/>
    <w:rsid w:val="00927DD9"/>
    <w:rsid w:val="0093035C"/>
    <w:rsid w:val="00930613"/>
    <w:rsid w:val="009319C5"/>
    <w:rsid w:val="00931BD8"/>
    <w:rsid w:val="00933300"/>
    <w:rsid w:val="009341DC"/>
    <w:rsid w:val="0093472F"/>
    <w:rsid w:val="00934EF4"/>
    <w:rsid w:val="00934FB4"/>
    <w:rsid w:val="00935502"/>
    <w:rsid w:val="009355AD"/>
    <w:rsid w:val="0094111C"/>
    <w:rsid w:val="009413DF"/>
    <w:rsid w:val="00941EA2"/>
    <w:rsid w:val="00942077"/>
    <w:rsid w:val="00942484"/>
    <w:rsid w:val="0094307C"/>
    <w:rsid w:val="00943AC6"/>
    <w:rsid w:val="00943B93"/>
    <w:rsid w:val="00944526"/>
    <w:rsid w:val="00944ECF"/>
    <w:rsid w:val="00945278"/>
    <w:rsid w:val="00945AB1"/>
    <w:rsid w:val="00946BE2"/>
    <w:rsid w:val="00947143"/>
    <w:rsid w:val="009476B5"/>
    <w:rsid w:val="00947A5E"/>
    <w:rsid w:val="00950B5D"/>
    <w:rsid w:val="00951EAE"/>
    <w:rsid w:val="0095209D"/>
    <w:rsid w:val="0095213B"/>
    <w:rsid w:val="00952224"/>
    <w:rsid w:val="00952490"/>
    <w:rsid w:val="009527A5"/>
    <w:rsid w:val="00952FBC"/>
    <w:rsid w:val="0095318B"/>
    <w:rsid w:val="00953D0A"/>
    <w:rsid w:val="0095401D"/>
    <w:rsid w:val="009540B0"/>
    <w:rsid w:val="009569A7"/>
    <w:rsid w:val="00956B22"/>
    <w:rsid w:val="0095777D"/>
    <w:rsid w:val="00960242"/>
    <w:rsid w:val="009619F0"/>
    <w:rsid w:val="009619FE"/>
    <w:rsid w:val="009623B6"/>
    <w:rsid w:val="00963178"/>
    <w:rsid w:val="009633AA"/>
    <w:rsid w:val="009643EC"/>
    <w:rsid w:val="0096484B"/>
    <w:rsid w:val="00964FA6"/>
    <w:rsid w:val="0096718D"/>
    <w:rsid w:val="009672DC"/>
    <w:rsid w:val="009676A0"/>
    <w:rsid w:val="00971964"/>
    <w:rsid w:val="00971AF8"/>
    <w:rsid w:val="00971C25"/>
    <w:rsid w:val="0097250A"/>
    <w:rsid w:val="009727F9"/>
    <w:rsid w:val="00972B03"/>
    <w:rsid w:val="00972E21"/>
    <w:rsid w:val="00972E84"/>
    <w:rsid w:val="00973081"/>
    <w:rsid w:val="0097699F"/>
    <w:rsid w:val="009777CF"/>
    <w:rsid w:val="00977EDB"/>
    <w:rsid w:val="00977EE4"/>
    <w:rsid w:val="00977FBC"/>
    <w:rsid w:val="009801C9"/>
    <w:rsid w:val="00980595"/>
    <w:rsid w:val="009808CA"/>
    <w:rsid w:val="00982AF5"/>
    <w:rsid w:val="009832E5"/>
    <w:rsid w:val="00983786"/>
    <w:rsid w:val="009847DC"/>
    <w:rsid w:val="00984AC1"/>
    <w:rsid w:val="00985319"/>
    <w:rsid w:val="00986619"/>
    <w:rsid w:val="00986728"/>
    <w:rsid w:val="009868A7"/>
    <w:rsid w:val="00987096"/>
    <w:rsid w:val="0098792A"/>
    <w:rsid w:val="00990CA5"/>
    <w:rsid w:val="00990D6E"/>
    <w:rsid w:val="009910C0"/>
    <w:rsid w:val="00991331"/>
    <w:rsid w:val="009928A3"/>
    <w:rsid w:val="009928BA"/>
    <w:rsid w:val="0099292A"/>
    <w:rsid w:val="00992B42"/>
    <w:rsid w:val="00992EA9"/>
    <w:rsid w:val="00994AC1"/>
    <w:rsid w:val="0099546D"/>
    <w:rsid w:val="009959D3"/>
    <w:rsid w:val="00995C8D"/>
    <w:rsid w:val="00995E6A"/>
    <w:rsid w:val="00995F6C"/>
    <w:rsid w:val="00995FD6"/>
    <w:rsid w:val="00997866"/>
    <w:rsid w:val="009A00DD"/>
    <w:rsid w:val="009A06F7"/>
    <w:rsid w:val="009A0C5E"/>
    <w:rsid w:val="009A1173"/>
    <w:rsid w:val="009A11D0"/>
    <w:rsid w:val="009A1212"/>
    <w:rsid w:val="009A12AE"/>
    <w:rsid w:val="009A1A32"/>
    <w:rsid w:val="009A1C9B"/>
    <w:rsid w:val="009A1E1E"/>
    <w:rsid w:val="009A33DA"/>
    <w:rsid w:val="009A4A40"/>
    <w:rsid w:val="009A4F6D"/>
    <w:rsid w:val="009A54F1"/>
    <w:rsid w:val="009A557B"/>
    <w:rsid w:val="009A5821"/>
    <w:rsid w:val="009A5AA7"/>
    <w:rsid w:val="009A670E"/>
    <w:rsid w:val="009A72FE"/>
    <w:rsid w:val="009B029C"/>
    <w:rsid w:val="009B1811"/>
    <w:rsid w:val="009B1A55"/>
    <w:rsid w:val="009B1AA2"/>
    <w:rsid w:val="009B1FC5"/>
    <w:rsid w:val="009B2541"/>
    <w:rsid w:val="009B2A5D"/>
    <w:rsid w:val="009B4BE6"/>
    <w:rsid w:val="009B5407"/>
    <w:rsid w:val="009B5435"/>
    <w:rsid w:val="009B575C"/>
    <w:rsid w:val="009B5EA9"/>
    <w:rsid w:val="009B69D1"/>
    <w:rsid w:val="009B6DF3"/>
    <w:rsid w:val="009B7709"/>
    <w:rsid w:val="009B792B"/>
    <w:rsid w:val="009C0062"/>
    <w:rsid w:val="009C02D8"/>
    <w:rsid w:val="009C0D71"/>
    <w:rsid w:val="009C0DAD"/>
    <w:rsid w:val="009C1291"/>
    <w:rsid w:val="009C1637"/>
    <w:rsid w:val="009C1D01"/>
    <w:rsid w:val="009C20CC"/>
    <w:rsid w:val="009C2A74"/>
    <w:rsid w:val="009C2BEC"/>
    <w:rsid w:val="009C368F"/>
    <w:rsid w:val="009C4C95"/>
    <w:rsid w:val="009C4EE5"/>
    <w:rsid w:val="009C5448"/>
    <w:rsid w:val="009C6725"/>
    <w:rsid w:val="009C680D"/>
    <w:rsid w:val="009C6DDD"/>
    <w:rsid w:val="009C7D11"/>
    <w:rsid w:val="009D0503"/>
    <w:rsid w:val="009D0692"/>
    <w:rsid w:val="009D0B05"/>
    <w:rsid w:val="009D0F4C"/>
    <w:rsid w:val="009D13E9"/>
    <w:rsid w:val="009D14BC"/>
    <w:rsid w:val="009D17D3"/>
    <w:rsid w:val="009D203E"/>
    <w:rsid w:val="009D292A"/>
    <w:rsid w:val="009D312E"/>
    <w:rsid w:val="009D364B"/>
    <w:rsid w:val="009D3793"/>
    <w:rsid w:val="009D3E26"/>
    <w:rsid w:val="009D421D"/>
    <w:rsid w:val="009D42AC"/>
    <w:rsid w:val="009D452F"/>
    <w:rsid w:val="009D4E80"/>
    <w:rsid w:val="009D52A0"/>
    <w:rsid w:val="009D5642"/>
    <w:rsid w:val="009D57D5"/>
    <w:rsid w:val="009D63E2"/>
    <w:rsid w:val="009D68FB"/>
    <w:rsid w:val="009D732B"/>
    <w:rsid w:val="009E1CB2"/>
    <w:rsid w:val="009E1F16"/>
    <w:rsid w:val="009E2450"/>
    <w:rsid w:val="009E24A5"/>
    <w:rsid w:val="009E31AA"/>
    <w:rsid w:val="009E412D"/>
    <w:rsid w:val="009E4181"/>
    <w:rsid w:val="009E444E"/>
    <w:rsid w:val="009E58DF"/>
    <w:rsid w:val="009E61EE"/>
    <w:rsid w:val="009E65E3"/>
    <w:rsid w:val="009E660A"/>
    <w:rsid w:val="009E71FE"/>
    <w:rsid w:val="009F00EB"/>
    <w:rsid w:val="009F0167"/>
    <w:rsid w:val="009F04BC"/>
    <w:rsid w:val="009F0BE1"/>
    <w:rsid w:val="009F1684"/>
    <w:rsid w:val="009F356F"/>
    <w:rsid w:val="009F36AD"/>
    <w:rsid w:val="009F3A73"/>
    <w:rsid w:val="009F3FFB"/>
    <w:rsid w:val="009F439A"/>
    <w:rsid w:val="009F4AA3"/>
    <w:rsid w:val="009F4D8D"/>
    <w:rsid w:val="009F53BD"/>
    <w:rsid w:val="009F550C"/>
    <w:rsid w:val="009F56BB"/>
    <w:rsid w:val="009F57C8"/>
    <w:rsid w:val="009F63B2"/>
    <w:rsid w:val="009F6942"/>
    <w:rsid w:val="00A005EE"/>
    <w:rsid w:val="00A008E8"/>
    <w:rsid w:val="00A00905"/>
    <w:rsid w:val="00A01409"/>
    <w:rsid w:val="00A0145C"/>
    <w:rsid w:val="00A01CC1"/>
    <w:rsid w:val="00A03D23"/>
    <w:rsid w:val="00A04ABD"/>
    <w:rsid w:val="00A04EA5"/>
    <w:rsid w:val="00A051A6"/>
    <w:rsid w:val="00A05690"/>
    <w:rsid w:val="00A05DD3"/>
    <w:rsid w:val="00A06675"/>
    <w:rsid w:val="00A10C16"/>
    <w:rsid w:val="00A11898"/>
    <w:rsid w:val="00A120FB"/>
    <w:rsid w:val="00A12244"/>
    <w:rsid w:val="00A127FC"/>
    <w:rsid w:val="00A13C71"/>
    <w:rsid w:val="00A142D1"/>
    <w:rsid w:val="00A1468E"/>
    <w:rsid w:val="00A148A0"/>
    <w:rsid w:val="00A14D9D"/>
    <w:rsid w:val="00A155BA"/>
    <w:rsid w:val="00A158CC"/>
    <w:rsid w:val="00A1592C"/>
    <w:rsid w:val="00A15A27"/>
    <w:rsid w:val="00A1675E"/>
    <w:rsid w:val="00A16920"/>
    <w:rsid w:val="00A16E48"/>
    <w:rsid w:val="00A171B6"/>
    <w:rsid w:val="00A178EE"/>
    <w:rsid w:val="00A17F05"/>
    <w:rsid w:val="00A17FE0"/>
    <w:rsid w:val="00A201CB"/>
    <w:rsid w:val="00A204D8"/>
    <w:rsid w:val="00A207D5"/>
    <w:rsid w:val="00A21096"/>
    <w:rsid w:val="00A22242"/>
    <w:rsid w:val="00A22264"/>
    <w:rsid w:val="00A22570"/>
    <w:rsid w:val="00A22E51"/>
    <w:rsid w:val="00A23A00"/>
    <w:rsid w:val="00A23F99"/>
    <w:rsid w:val="00A24140"/>
    <w:rsid w:val="00A24C93"/>
    <w:rsid w:val="00A24DD4"/>
    <w:rsid w:val="00A2552E"/>
    <w:rsid w:val="00A25751"/>
    <w:rsid w:val="00A25B5E"/>
    <w:rsid w:val="00A25E02"/>
    <w:rsid w:val="00A25FC5"/>
    <w:rsid w:val="00A27672"/>
    <w:rsid w:val="00A27DB4"/>
    <w:rsid w:val="00A30364"/>
    <w:rsid w:val="00A30584"/>
    <w:rsid w:val="00A30E44"/>
    <w:rsid w:val="00A314B2"/>
    <w:rsid w:val="00A3180D"/>
    <w:rsid w:val="00A32050"/>
    <w:rsid w:val="00A32209"/>
    <w:rsid w:val="00A3265F"/>
    <w:rsid w:val="00A32ADA"/>
    <w:rsid w:val="00A32AE1"/>
    <w:rsid w:val="00A339D3"/>
    <w:rsid w:val="00A342F9"/>
    <w:rsid w:val="00A34E2C"/>
    <w:rsid w:val="00A34F96"/>
    <w:rsid w:val="00A3547A"/>
    <w:rsid w:val="00A35952"/>
    <w:rsid w:val="00A35D62"/>
    <w:rsid w:val="00A3616A"/>
    <w:rsid w:val="00A3653C"/>
    <w:rsid w:val="00A36914"/>
    <w:rsid w:val="00A36950"/>
    <w:rsid w:val="00A37278"/>
    <w:rsid w:val="00A3741A"/>
    <w:rsid w:val="00A400E1"/>
    <w:rsid w:val="00A4065E"/>
    <w:rsid w:val="00A40D07"/>
    <w:rsid w:val="00A410FB"/>
    <w:rsid w:val="00A41A09"/>
    <w:rsid w:val="00A4272B"/>
    <w:rsid w:val="00A427F9"/>
    <w:rsid w:val="00A428D5"/>
    <w:rsid w:val="00A42B46"/>
    <w:rsid w:val="00A42EFA"/>
    <w:rsid w:val="00A4301B"/>
    <w:rsid w:val="00A43769"/>
    <w:rsid w:val="00A43D61"/>
    <w:rsid w:val="00A445F6"/>
    <w:rsid w:val="00A45FB6"/>
    <w:rsid w:val="00A46081"/>
    <w:rsid w:val="00A4691B"/>
    <w:rsid w:val="00A47EBA"/>
    <w:rsid w:val="00A47FFA"/>
    <w:rsid w:val="00A504A0"/>
    <w:rsid w:val="00A5142F"/>
    <w:rsid w:val="00A51932"/>
    <w:rsid w:val="00A52229"/>
    <w:rsid w:val="00A524C8"/>
    <w:rsid w:val="00A53BD6"/>
    <w:rsid w:val="00A53D94"/>
    <w:rsid w:val="00A54D0F"/>
    <w:rsid w:val="00A551AC"/>
    <w:rsid w:val="00A552E4"/>
    <w:rsid w:val="00A5596A"/>
    <w:rsid w:val="00A55A29"/>
    <w:rsid w:val="00A561CE"/>
    <w:rsid w:val="00A5633F"/>
    <w:rsid w:val="00A5641B"/>
    <w:rsid w:val="00A56775"/>
    <w:rsid w:val="00A56A18"/>
    <w:rsid w:val="00A6023B"/>
    <w:rsid w:val="00A61A50"/>
    <w:rsid w:val="00A61F35"/>
    <w:rsid w:val="00A63108"/>
    <w:rsid w:val="00A63802"/>
    <w:rsid w:val="00A6388A"/>
    <w:rsid w:val="00A63AD2"/>
    <w:rsid w:val="00A63CDA"/>
    <w:rsid w:val="00A63EB5"/>
    <w:rsid w:val="00A6456A"/>
    <w:rsid w:val="00A64DA5"/>
    <w:rsid w:val="00A674DD"/>
    <w:rsid w:val="00A67910"/>
    <w:rsid w:val="00A67A2B"/>
    <w:rsid w:val="00A67A88"/>
    <w:rsid w:val="00A67EAE"/>
    <w:rsid w:val="00A7009F"/>
    <w:rsid w:val="00A7024A"/>
    <w:rsid w:val="00A70277"/>
    <w:rsid w:val="00A70768"/>
    <w:rsid w:val="00A70D2A"/>
    <w:rsid w:val="00A716C6"/>
    <w:rsid w:val="00A7209C"/>
    <w:rsid w:val="00A729AF"/>
    <w:rsid w:val="00A729F7"/>
    <w:rsid w:val="00A73374"/>
    <w:rsid w:val="00A73A56"/>
    <w:rsid w:val="00A7403F"/>
    <w:rsid w:val="00A741F2"/>
    <w:rsid w:val="00A74B17"/>
    <w:rsid w:val="00A7525E"/>
    <w:rsid w:val="00A75975"/>
    <w:rsid w:val="00A7607E"/>
    <w:rsid w:val="00A7754B"/>
    <w:rsid w:val="00A77AB4"/>
    <w:rsid w:val="00A80ED8"/>
    <w:rsid w:val="00A81B3A"/>
    <w:rsid w:val="00A81C21"/>
    <w:rsid w:val="00A81D98"/>
    <w:rsid w:val="00A82174"/>
    <w:rsid w:val="00A82D0F"/>
    <w:rsid w:val="00A82FD2"/>
    <w:rsid w:val="00A8351D"/>
    <w:rsid w:val="00A836DB"/>
    <w:rsid w:val="00A83D88"/>
    <w:rsid w:val="00A842B7"/>
    <w:rsid w:val="00A853AB"/>
    <w:rsid w:val="00A85939"/>
    <w:rsid w:val="00A86DF7"/>
    <w:rsid w:val="00A870E9"/>
    <w:rsid w:val="00A87AF6"/>
    <w:rsid w:val="00A87B32"/>
    <w:rsid w:val="00A87F27"/>
    <w:rsid w:val="00A9032C"/>
    <w:rsid w:val="00A90AA9"/>
    <w:rsid w:val="00A90B4A"/>
    <w:rsid w:val="00A9126B"/>
    <w:rsid w:val="00A91550"/>
    <w:rsid w:val="00A91777"/>
    <w:rsid w:val="00A919B2"/>
    <w:rsid w:val="00A91BB7"/>
    <w:rsid w:val="00A92204"/>
    <w:rsid w:val="00A927F1"/>
    <w:rsid w:val="00A93399"/>
    <w:rsid w:val="00A946D0"/>
    <w:rsid w:val="00A94CFF"/>
    <w:rsid w:val="00A95018"/>
    <w:rsid w:val="00A9515E"/>
    <w:rsid w:val="00AA023A"/>
    <w:rsid w:val="00AA0639"/>
    <w:rsid w:val="00AA0D62"/>
    <w:rsid w:val="00AA12FB"/>
    <w:rsid w:val="00AA26D8"/>
    <w:rsid w:val="00AA2D89"/>
    <w:rsid w:val="00AA367F"/>
    <w:rsid w:val="00AA3695"/>
    <w:rsid w:val="00AA3A1A"/>
    <w:rsid w:val="00AA3B5D"/>
    <w:rsid w:val="00AA4033"/>
    <w:rsid w:val="00AA4123"/>
    <w:rsid w:val="00AA4402"/>
    <w:rsid w:val="00AA48ED"/>
    <w:rsid w:val="00AA5329"/>
    <w:rsid w:val="00AA5530"/>
    <w:rsid w:val="00AA5697"/>
    <w:rsid w:val="00AA5A86"/>
    <w:rsid w:val="00AA5CC6"/>
    <w:rsid w:val="00AA63A4"/>
    <w:rsid w:val="00AA7044"/>
    <w:rsid w:val="00AA7239"/>
    <w:rsid w:val="00AA7D06"/>
    <w:rsid w:val="00AA7D36"/>
    <w:rsid w:val="00AA7F82"/>
    <w:rsid w:val="00AB04A4"/>
    <w:rsid w:val="00AB25D0"/>
    <w:rsid w:val="00AB3E19"/>
    <w:rsid w:val="00AB4D59"/>
    <w:rsid w:val="00AB55F9"/>
    <w:rsid w:val="00AB6614"/>
    <w:rsid w:val="00AB662B"/>
    <w:rsid w:val="00AB6A9C"/>
    <w:rsid w:val="00AB7D51"/>
    <w:rsid w:val="00AB7D98"/>
    <w:rsid w:val="00AC0903"/>
    <w:rsid w:val="00AC0A12"/>
    <w:rsid w:val="00AC0F4F"/>
    <w:rsid w:val="00AC1136"/>
    <w:rsid w:val="00AC161B"/>
    <w:rsid w:val="00AC16A4"/>
    <w:rsid w:val="00AC19AB"/>
    <w:rsid w:val="00AC2755"/>
    <w:rsid w:val="00AC2BC3"/>
    <w:rsid w:val="00AC3133"/>
    <w:rsid w:val="00AC32E7"/>
    <w:rsid w:val="00AC3338"/>
    <w:rsid w:val="00AC33D2"/>
    <w:rsid w:val="00AC3842"/>
    <w:rsid w:val="00AC4496"/>
    <w:rsid w:val="00AC45DF"/>
    <w:rsid w:val="00AC47F7"/>
    <w:rsid w:val="00AC4D43"/>
    <w:rsid w:val="00AC5E0A"/>
    <w:rsid w:val="00AC6184"/>
    <w:rsid w:val="00AC6E23"/>
    <w:rsid w:val="00AC7AE9"/>
    <w:rsid w:val="00AC7E07"/>
    <w:rsid w:val="00AD0240"/>
    <w:rsid w:val="00AD25B0"/>
    <w:rsid w:val="00AD2E20"/>
    <w:rsid w:val="00AD3995"/>
    <w:rsid w:val="00AD39A2"/>
    <w:rsid w:val="00AD47DD"/>
    <w:rsid w:val="00AD4B4E"/>
    <w:rsid w:val="00AD4B83"/>
    <w:rsid w:val="00AD62A2"/>
    <w:rsid w:val="00AD6E24"/>
    <w:rsid w:val="00AE05F5"/>
    <w:rsid w:val="00AE0984"/>
    <w:rsid w:val="00AE1799"/>
    <w:rsid w:val="00AE19E9"/>
    <w:rsid w:val="00AE204C"/>
    <w:rsid w:val="00AE2095"/>
    <w:rsid w:val="00AE26A2"/>
    <w:rsid w:val="00AE28B1"/>
    <w:rsid w:val="00AE28EB"/>
    <w:rsid w:val="00AE2F24"/>
    <w:rsid w:val="00AE3C96"/>
    <w:rsid w:val="00AE5206"/>
    <w:rsid w:val="00AE5248"/>
    <w:rsid w:val="00AE5D74"/>
    <w:rsid w:val="00AE6432"/>
    <w:rsid w:val="00AE6818"/>
    <w:rsid w:val="00AE69DE"/>
    <w:rsid w:val="00AE6AE6"/>
    <w:rsid w:val="00AE7192"/>
    <w:rsid w:val="00AF040E"/>
    <w:rsid w:val="00AF042F"/>
    <w:rsid w:val="00AF05D4"/>
    <w:rsid w:val="00AF0D54"/>
    <w:rsid w:val="00AF0DBC"/>
    <w:rsid w:val="00AF1325"/>
    <w:rsid w:val="00AF1340"/>
    <w:rsid w:val="00AF1459"/>
    <w:rsid w:val="00AF1907"/>
    <w:rsid w:val="00AF1B7F"/>
    <w:rsid w:val="00AF22E3"/>
    <w:rsid w:val="00AF258E"/>
    <w:rsid w:val="00AF3197"/>
    <w:rsid w:val="00AF3280"/>
    <w:rsid w:val="00AF375C"/>
    <w:rsid w:val="00AF396F"/>
    <w:rsid w:val="00AF3B03"/>
    <w:rsid w:val="00AF4C84"/>
    <w:rsid w:val="00AF4C9B"/>
    <w:rsid w:val="00AF4DE8"/>
    <w:rsid w:val="00AF5033"/>
    <w:rsid w:val="00AF5169"/>
    <w:rsid w:val="00AF5229"/>
    <w:rsid w:val="00AF5CC7"/>
    <w:rsid w:val="00AF5D3E"/>
    <w:rsid w:val="00AF6858"/>
    <w:rsid w:val="00AF6CB6"/>
    <w:rsid w:val="00AF6CF7"/>
    <w:rsid w:val="00AF749B"/>
    <w:rsid w:val="00AF7B5D"/>
    <w:rsid w:val="00B00307"/>
    <w:rsid w:val="00B00891"/>
    <w:rsid w:val="00B00949"/>
    <w:rsid w:val="00B00B62"/>
    <w:rsid w:val="00B01014"/>
    <w:rsid w:val="00B01379"/>
    <w:rsid w:val="00B0169E"/>
    <w:rsid w:val="00B01889"/>
    <w:rsid w:val="00B02275"/>
    <w:rsid w:val="00B02657"/>
    <w:rsid w:val="00B03363"/>
    <w:rsid w:val="00B03FD1"/>
    <w:rsid w:val="00B06538"/>
    <w:rsid w:val="00B07C9D"/>
    <w:rsid w:val="00B104F1"/>
    <w:rsid w:val="00B1070F"/>
    <w:rsid w:val="00B10E04"/>
    <w:rsid w:val="00B116F9"/>
    <w:rsid w:val="00B119DA"/>
    <w:rsid w:val="00B11C91"/>
    <w:rsid w:val="00B12444"/>
    <w:rsid w:val="00B1294A"/>
    <w:rsid w:val="00B129E8"/>
    <w:rsid w:val="00B12A8C"/>
    <w:rsid w:val="00B13230"/>
    <w:rsid w:val="00B13304"/>
    <w:rsid w:val="00B137AC"/>
    <w:rsid w:val="00B14069"/>
    <w:rsid w:val="00B143B3"/>
    <w:rsid w:val="00B145FC"/>
    <w:rsid w:val="00B1476B"/>
    <w:rsid w:val="00B14EBE"/>
    <w:rsid w:val="00B15999"/>
    <w:rsid w:val="00B15BB2"/>
    <w:rsid w:val="00B15C49"/>
    <w:rsid w:val="00B1694C"/>
    <w:rsid w:val="00B1705E"/>
    <w:rsid w:val="00B17DD0"/>
    <w:rsid w:val="00B17E3C"/>
    <w:rsid w:val="00B20265"/>
    <w:rsid w:val="00B20B8A"/>
    <w:rsid w:val="00B21368"/>
    <w:rsid w:val="00B21520"/>
    <w:rsid w:val="00B21ABA"/>
    <w:rsid w:val="00B21D15"/>
    <w:rsid w:val="00B21ED4"/>
    <w:rsid w:val="00B21F67"/>
    <w:rsid w:val="00B222F0"/>
    <w:rsid w:val="00B22532"/>
    <w:rsid w:val="00B22B40"/>
    <w:rsid w:val="00B241A3"/>
    <w:rsid w:val="00B2425C"/>
    <w:rsid w:val="00B24319"/>
    <w:rsid w:val="00B24337"/>
    <w:rsid w:val="00B24BDD"/>
    <w:rsid w:val="00B25202"/>
    <w:rsid w:val="00B25853"/>
    <w:rsid w:val="00B2732A"/>
    <w:rsid w:val="00B27432"/>
    <w:rsid w:val="00B27B29"/>
    <w:rsid w:val="00B27B2D"/>
    <w:rsid w:val="00B3011F"/>
    <w:rsid w:val="00B3037B"/>
    <w:rsid w:val="00B30CAC"/>
    <w:rsid w:val="00B3143A"/>
    <w:rsid w:val="00B31491"/>
    <w:rsid w:val="00B315AF"/>
    <w:rsid w:val="00B32467"/>
    <w:rsid w:val="00B324BD"/>
    <w:rsid w:val="00B332A6"/>
    <w:rsid w:val="00B33386"/>
    <w:rsid w:val="00B334D3"/>
    <w:rsid w:val="00B3415C"/>
    <w:rsid w:val="00B34FED"/>
    <w:rsid w:val="00B356C1"/>
    <w:rsid w:val="00B35884"/>
    <w:rsid w:val="00B3604B"/>
    <w:rsid w:val="00B36068"/>
    <w:rsid w:val="00B36517"/>
    <w:rsid w:val="00B36868"/>
    <w:rsid w:val="00B36872"/>
    <w:rsid w:val="00B36F71"/>
    <w:rsid w:val="00B374DF"/>
    <w:rsid w:val="00B3766B"/>
    <w:rsid w:val="00B37A03"/>
    <w:rsid w:val="00B37A43"/>
    <w:rsid w:val="00B37E03"/>
    <w:rsid w:val="00B404FF"/>
    <w:rsid w:val="00B405DA"/>
    <w:rsid w:val="00B4097F"/>
    <w:rsid w:val="00B40CBB"/>
    <w:rsid w:val="00B41527"/>
    <w:rsid w:val="00B416F4"/>
    <w:rsid w:val="00B425B3"/>
    <w:rsid w:val="00B43C85"/>
    <w:rsid w:val="00B43DF6"/>
    <w:rsid w:val="00B43F83"/>
    <w:rsid w:val="00B442FD"/>
    <w:rsid w:val="00B44791"/>
    <w:rsid w:val="00B44B4E"/>
    <w:rsid w:val="00B44BEF"/>
    <w:rsid w:val="00B44C6B"/>
    <w:rsid w:val="00B44F8C"/>
    <w:rsid w:val="00B450C6"/>
    <w:rsid w:val="00B46D2B"/>
    <w:rsid w:val="00B4766E"/>
    <w:rsid w:val="00B50D31"/>
    <w:rsid w:val="00B50D62"/>
    <w:rsid w:val="00B51775"/>
    <w:rsid w:val="00B51B3E"/>
    <w:rsid w:val="00B5464E"/>
    <w:rsid w:val="00B547E8"/>
    <w:rsid w:val="00B547F8"/>
    <w:rsid w:val="00B555D6"/>
    <w:rsid w:val="00B56634"/>
    <w:rsid w:val="00B56953"/>
    <w:rsid w:val="00B57F3E"/>
    <w:rsid w:val="00B6033F"/>
    <w:rsid w:val="00B60B57"/>
    <w:rsid w:val="00B60CEB"/>
    <w:rsid w:val="00B614E8"/>
    <w:rsid w:val="00B6268E"/>
    <w:rsid w:val="00B62D4B"/>
    <w:rsid w:val="00B637DD"/>
    <w:rsid w:val="00B638D6"/>
    <w:rsid w:val="00B639E6"/>
    <w:rsid w:val="00B63B13"/>
    <w:rsid w:val="00B63C59"/>
    <w:rsid w:val="00B6413C"/>
    <w:rsid w:val="00B6517F"/>
    <w:rsid w:val="00B65500"/>
    <w:rsid w:val="00B66466"/>
    <w:rsid w:val="00B664DA"/>
    <w:rsid w:val="00B666B6"/>
    <w:rsid w:val="00B667E8"/>
    <w:rsid w:val="00B71185"/>
    <w:rsid w:val="00B71532"/>
    <w:rsid w:val="00B72579"/>
    <w:rsid w:val="00B734E8"/>
    <w:rsid w:val="00B73897"/>
    <w:rsid w:val="00B73C95"/>
    <w:rsid w:val="00B73E87"/>
    <w:rsid w:val="00B740A4"/>
    <w:rsid w:val="00B74221"/>
    <w:rsid w:val="00B746A9"/>
    <w:rsid w:val="00B74D55"/>
    <w:rsid w:val="00B7569D"/>
    <w:rsid w:val="00B75D2E"/>
    <w:rsid w:val="00B75F16"/>
    <w:rsid w:val="00B76A91"/>
    <w:rsid w:val="00B77201"/>
    <w:rsid w:val="00B77B5A"/>
    <w:rsid w:val="00B80842"/>
    <w:rsid w:val="00B809F8"/>
    <w:rsid w:val="00B80D05"/>
    <w:rsid w:val="00B81DEB"/>
    <w:rsid w:val="00B81F07"/>
    <w:rsid w:val="00B82C95"/>
    <w:rsid w:val="00B831A1"/>
    <w:rsid w:val="00B83771"/>
    <w:rsid w:val="00B83A62"/>
    <w:rsid w:val="00B83ECD"/>
    <w:rsid w:val="00B84034"/>
    <w:rsid w:val="00B84293"/>
    <w:rsid w:val="00B84DD0"/>
    <w:rsid w:val="00B8504F"/>
    <w:rsid w:val="00B86665"/>
    <w:rsid w:val="00B8667B"/>
    <w:rsid w:val="00B867F7"/>
    <w:rsid w:val="00B869A1"/>
    <w:rsid w:val="00B869DE"/>
    <w:rsid w:val="00B86F5C"/>
    <w:rsid w:val="00B874EA"/>
    <w:rsid w:val="00B87ED1"/>
    <w:rsid w:val="00B90DB2"/>
    <w:rsid w:val="00B919F3"/>
    <w:rsid w:val="00B91A8A"/>
    <w:rsid w:val="00B94668"/>
    <w:rsid w:val="00B947A2"/>
    <w:rsid w:val="00B94B65"/>
    <w:rsid w:val="00B95CFE"/>
    <w:rsid w:val="00B96307"/>
    <w:rsid w:val="00B965AE"/>
    <w:rsid w:val="00B96B55"/>
    <w:rsid w:val="00B96CBA"/>
    <w:rsid w:val="00B971B7"/>
    <w:rsid w:val="00B977A9"/>
    <w:rsid w:val="00B977CF"/>
    <w:rsid w:val="00B97828"/>
    <w:rsid w:val="00B97EC5"/>
    <w:rsid w:val="00BA1E84"/>
    <w:rsid w:val="00BA1FCB"/>
    <w:rsid w:val="00BA2038"/>
    <w:rsid w:val="00BA25A7"/>
    <w:rsid w:val="00BA2948"/>
    <w:rsid w:val="00BA2CC3"/>
    <w:rsid w:val="00BA30CE"/>
    <w:rsid w:val="00BA33DD"/>
    <w:rsid w:val="00BA3D46"/>
    <w:rsid w:val="00BA4119"/>
    <w:rsid w:val="00BA441E"/>
    <w:rsid w:val="00BA449C"/>
    <w:rsid w:val="00BA4559"/>
    <w:rsid w:val="00BA57D2"/>
    <w:rsid w:val="00BA6D57"/>
    <w:rsid w:val="00BA709C"/>
    <w:rsid w:val="00BA73E5"/>
    <w:rsid w:val="00BA79E1"/>
    <w:rsid w:val="00BA7A53"/>
    <w:rsid w:val="00BA7A55"/>
    <w:rsid w:val="00BA7A92"/>
    <w:rsid w:val="00BB006E"/>
    <w:rsid w:val="00BB0305"/>
    <w:rsid w:val="00BB035E"/>
    <w:rsid w:val="00BB054A"/>
    <w:rsid w:val="00BB0DB8"/>
    <w:rsid w:val="00BB16CF"/>
    <w:rsid w:val="00BB1E0D"/>
    <w:rsid w:val="00BB2409"/>
    <w:rsid w:val="00BB27AA"/>
    <w:rsid w:val="00BB2CF6"/>
    <w:rsid w:val="00BB3056"/>
    <w:rsid w:val="00BB396F"/>
    <w:rsid w:val="00BB423A"/>
    <w:rsid w:val="00BB5EA1"/>
    <w:rsid w:val="00BB674A"/>
    <w:rsid w:val="00BB6DBE"/>
    <w:rsid w:val="00BB72D2"/>
    <w:rsid w:val="00BB789F"/>
    <w:rsid w:val="00BC0A0C"/>
    <w:rsid w:val="00BC24EC"/>
    <w:rsid w:val="00BC2904"/>
    <w:rsid w:val="00BC296A"/>
    <w:rsid w:val="00BC3CD5"/>
    <w:rsid w:val="00BC3F4A"/>
    <w:rsid w:val="00BC407B"/>
    <w:rsid w:val="00BC49D1"/>
    <w:rsid w:val="00BC4F19"/>
    <w:rsid w:val="00BC585A"/>
    <w:rsid w:val="00BC5B22"/>
    <w:rsid w:val="00BC5BBB"/>
    <w:rsid w:val="00BC5BD1"/>
    <w:rsid w:val="00BC6A61"/>
    <w:rsid w:val="00BC6E7B"/>
    <w:rsid w:val="00BC75EC"/>
    <w:rsid w:val="00BC7805"/>
    <w:rsid w:val="00BD031F"/>
    <w:rsid w:val="00BD1315"/>
    <w:rsid w:val="00BD1470"/>
    <w:rsid w:val="00BD2316"/>
    <w:rsid w:val="00BD3289"/>
    <w:rsid w:val="00BD377C"/>
    <w:rsid w:val="00BD3C9A"/>
    <w:rsid w:val="00BD403A"/>
    <w:rsid w:val="00BD413F"/>
    <w:rsid w:val="00BD45CA"/>
    <w:rsid w:val="00BD4C23"/>
    <w:rsid w:val="00BD55CB"/>
    <w:rsid w:val="00BD5BDC"/>
    <w:rsid w:val="00BD5D56"/>
    <w:rsid w:val="00BD61AE"/>
    <w:rsid w:val="00BD630D"/>
    <w:rsid w:val="00BD66A1"/>
    <w:rsid w:val="00BD7124"/>
    <w:rsid w:val="00BD728F"/>
    <w:rsid w:val="00BD736B"/>
    <w:rsid w:val="00BD737D"/>
    <w:rsid w:val="00BD743C"/>
    <w:rsid w:val="00BE015B"/>
    <w:rsid w:val="00BE046B"/>
    <w:rsid w:val="00BE04B5"/>
    <w:rsid w:val="00BE0BB4"/>
    <w:rsid w:val="00BE0E92"/>
    <w:rsid w:val="00BE1CD3"/>
    <w:rsid w:val="00BE217C"/>
    <w:rsid w:val="00BE2380"/>
    <w:rsid w:val="00BE25B9"/>
    <w:rsid w:val="00BE2612"/>
    <w:rsid w:val="00BE2954"/>
    <w:rsid w:val="00BE2AA4"/>
    <w:rsid w:val="00BE3635"/>
    <w:rsid w:val="00BE376A"/>
    <w:rsid w:val="00BE3799"/>
    <w:rsid w:val="00BE38AC"/>
    <w:rsid w:val="00BE4E7E"/>
    <w:rsid w:val="00BE55C5"/>
    <w:rsid w:val="00BE617B"/>
    <w:rsid w:val="00BE6403"/>
    <w:rsid w:val="00BE656D"/>
    <w:rsid w:val="00BE676D"/>
    <w:rsid w:val="00BE67AB"/>
    <w:rsid w:val="00BE6998"/>
    <w:rsid w:val="00BE7C52"/>
    <w:rsid w:val="00BF031B"/>
    <w:rsid w:val="00BF05F3"/>
    <w:rsid w:val="00BF154E"/>
    <w:rsid w:val="00BF1CA4"/>
    <w:rsid w:val="00BF2FE2"/>
    <w:rsid w:val="00BF3DB8"/>
    <w:rsid w:val="00BF4996"/>
    <w:rsid w:val="00BF6099"/>
    <w:rsid w:val="00BF6129"/>
    <w:rsid w:val="00BF77EE"/>
    <w:rsid w:val="00BF7E75"/>
    <w:rsid w:val="00C00405"/>
    <w:rsid w:val="00C04CDB"/>
    <w:rsid w:val="00C0546A"/>
    <w:rsid w:val="00C05BCF"/>
    <w:rsid w:val="00C05F41"/>
    <w:rsid w:val="00C066D8"/>
    <w:rsid w:val="00C06C99"/>
    <w:rsid w:val="00C10ECE"/>
    <w:rsid w:val="00C11055"/>
    <w:rsid w:val="00C1134F"/>
    <w:rsid w:val="00C12734"/>
    <w:rsid w:val="00C12CB7"/>
    <w:rsid w:val="00C13A97"/>
    <w:rsid w:val="00C140D8"/>
    <w:rsid w:val="00C14FAF"/>
    <w:rsid w:val="00C151B7"/>
    <w:rsid w:val="00C152B8"/>
    <w:rsid w:val="00C1579C"/>
    <w:rsid w:val="00C16FF4"/>
    <w:rsid w:val="00C17ABD"/>
    <w:rsid w:val="00C20BB3"/>
    <w:rsid w:val="00C21610"/>
    <w:rsid w:val="00C21781"/>
    <w:rsid w:val="00C21BA1"/>
    <w:rsid w:val="00C226D7"/>
    <w:rsid w:val="00C22AC8"/>
    <w:rsid w:val="00C22BF9"/>
    <w:rsid w:val="00C23B4D"/>
    <w:rsid w:val="00C23E01"/>
    <w:rsid w:val="00C24D9B"/>
    <w:rsid w:val="00C25482"/>
    <w:rsid w:val="00C25556"/>
    <w:rsid w:val="00C25E2B"/>
    <w:rsid w:val="00C26F99"/>
    <w:rsid w:val="00C27078"/>
    <w:rsid w:val="00C270C6"/>
    <w:rsid w:val="00C2790C"/>
    <w:rsid w:val="00C27EA4"/>
    <w:rsid w:val="00C302C6"/>
    <w:rsid w:val="00C30B75"/>
    <w:rsid w:val="00C30FD5"/>
    <w:rsid w:val="00C310F9"/>
    <w:rsid w:val="00C318E5"/>
    <w:rsid w:val="00C31BBF"/>
    <w:rsid w:val="00C31D2E"/>
    <w:rsid w:val="00C31DF0"/>
    <w:rsid w:val="00C32C9F"/>
    <w:rsid w:val="00C332E7"/>
    <w:rsid w:val="00C33C54"/>
    <w:rsid w:val="00C33C67"/>
    <w:rsid w:val="00C345E4"/>
    <w:rsid w:val="00C34A52"/>
    <w:rsid w:val="00C35155"/>
    <w:rsid w:val="00C3522D"/>
    <w:rsid w:val="00C359F0"/>
    <w:rsid w:val="00C35D93"/>
    <w:rsid w:val="00C36336"/>
    <w:rsid w:val="00C36D8C"/>
    <w:rsid w:val="00C37159"/>
    <w:rsid w:val="00C374E1"/>
    <w:rsid w:val="00C3774C"/>
    <w:rsid w:val="00C37B67"/>
    <w:rsid w:val="00C400E9"/>
    <w:rsid w:val="00C4037A"/>
    <w:rsid w:val="00C406B4"/>
    <w:rsid w:val="00C41263"/>
    <w:rsid w:val="00C417AA"/>
    <w:rsid w:val="00C417AE"/>
    <w:rsid w:val="00C41D2F"/>
    <w:rsid w:val="00C420B7"/>
    <w:rsid w:val="00C4244C"/>
    <w:rsid w:val="00C42497"/>
    <w:rsid w:val="00C428C4"/>
    <w:rsid w:val="00C42A5D"/>
    <w:rsid w:val="00C42C95"/>
    <w:rsid w:val="00C430C9"/>
    <w:rsid w:val="00C43F54"/>
    <w:rsid w:val="00C44681"/>
    <w:rsid w:val="00C44978"/>
    <w:rsid w:val="00C455BF"/>
    <w:rsid w:val="00C45925"/>
    <w:rsid w:val="00C461FB"/>
    <w:rsid w:val="00C465F9"/>
    <w:rsid w:val="00C466ED"/>
    <w:rsid w:val="00C47091"/>
    <w:rsid w:val="00C470F0"/>
    <w:rsid w:val="00C47254"/>
    <w:rsid w:val="00C4774E"/>
    <w:rsid w:val="00C478A4"/>
    <w:rsid w:val="00C4794F"/>
    <w:rsid w:val="00C479A3"/>
    <w:rsid w:val="00C50670"/>
    <w:rsid w:val="00C50C26"/>
    <w:rsid w:val="00C52231"/>
    <w:rsid w:val="00C52569"/>
    <w:rsid w:val="00C52898"/>
    <w:rsid w:val="00C52F0D"/>
    <w:rsid w:val="00C53016"/>
    <w:rsid w:val="00C5410C"/>
    <w:rsid w:val="00C5500D"/>
    <w:rsid w:val="00C5505E"/>
    <w:rsid w:val="00C5592C"/>
    <w:rsid w:val="00C55A92"/>
    <w:rsid w:val="00C55E70"/>
    <w:rsid w:val="00C560DA"/>
    <w:rsid w:val="00C56F36"/>
    <w:rsid w:val="00C57425"/>
    <w:rsid w:val="00C577FA"/>
    <w:rsid w:val="00C602FB"/>
    <w:rsid w:val="00C61166"/>
    <w:rsid w:val="00C6168C"/>
    <w:rsid w:val="00C62235"/>
    <w:rsid w:val="00C63352"/>
    <w:rsid w:val="00C63CA7"/>
    <w:rsid w:val="00C6469C"/>
    <w:rsid w:val="00C64C3A"/>
    <w:rsid w:val="00C64CB6"/>
    <w:rsid w:val="00C6513C"/>
    <w:rsid w:val="00C654ED"/>
    <w:rsid w:val="00C66028"/>
    <w:rsid w:val="00C66B7F"/>
    <w:rsid w:val="00C66EB5"/>
    <w:rsid w:val="00C66F1F"/>
    <w:rsid w:val="00C66F6B"/>
    <w:rsid w:val="00C67A91"/>
    <w:rsid w:val="00C67BE1"/>
    <w:rsid w:val="00C70B3A"/>
    <w:rsid w:val="00C71265"/>
    <w:rsid w:val="00C71519"/>
    <w:rsid w:val="00C71CD7"/>
    <w:rsid w:val="00C7201B"/>
    <w:rsid w:val="00C73F00"/>
    <w:rsid w:val="00C740B1"/>
    <w:rsid w:val="00C74C83"/>
    <w:rsid w:val="00C75C46"/>
    <w:rsid w:val="00C75FC0"/>
    <w:rsid w:val="00C76256"/>
    <w:rsid w:val="00C76537"/>
    <w:rsid w:val="00C76D39"/>
    <w:rsid w:val="00C76F24"/>
    <w:rsid w:val="00C76F9D"/>
    <w:rsid w:val="00C77661"/>
    <w:rsid w:val="00C7778D"/>
    <w:rsid w:val="00C77A99"/>
    <w:rsid w:val="00C77B0D"/>
    <w:rsid w:val="00C80F06"/>
    <w:rsid w:val="00C82495"/>
    <w:rsid w:val="00C825A9"/>
    <w:rsid w:val="00C82621"/>
    <w:rsid w:val="00C82F60"/>
    <w:rsid w:val="00C82FDF"/>
    <w:rsid w:val="00C83066"/>
    <w:rsid w:val="00C831B6"/>
    <w:rsid w:val="00C83966"/>
    <w:rsid w:val="00C83F96"/>
    <w:rsid w:val="00C85617"/>
    <w:rsid w:val="00C85ABF"/>
    <w:rsid w:val="00C85D9A"/>
    <w:rsid w:val="00C85FF3"/>
    <w:rsid w:val="00C8672F"/>
    <w:rsid w:val="00C86DEA"/>
    <w:rsid w:val="00C8749E"/>
    <w:rsid w:val="00C90227"/>
    <w:rsid w:val="00C91216"/>
    <w:rsid w:val="00C9126E"/>
    <w:rsid w:val="00C91304"/>
    <w:rsid w:val="00C92667"/>
    <w:rsid w:val="00C93533"/>
    <w:rsid w:val="00C93CE7"/>
    <w:rsid w:val="00C967D1"/>
    <w:rsid w:val="00C96A43"/>
    <w:rsid w:val="00C979D8"/>
    <w:rsid w:val="00CA00F8"/>
    <w:rsid w:val="00CA0421"/>
    <w:rsid w:val="00CA0B25"/>
    <w:rsid w:val="00CA1030"/>
    <w:rsid w:val="00CA131D"/>
    <w:rsid w:val="00CA18AC"/>
    <w:rsid w:val="00CA1B35"/>
    <w:rsid w:val="00CA2326"/>
    <w:rsid w:val="00CA2D27"/>
    <w:rsid w:val="00CA301C"/>
    <w:rsid w:val="00CA30D6"/>
    <w:rsid w:val="00CA3A21"/>
    <w:rsid w:val="00CA4CC3"/>
    <w:rsid w:val="00CA50D7"/>
    <w:rsid w:val="00CA5C8F"/>
    <w:rsid w:val="00CA5E93"/>
    <w:rsid w:val="00CA5FD8"/>
    <w:rsid w:val="00CA60A2"/>
    <w:rsid w:val="00CA647A"/>
    <w:rsid w:val="00CA6518"/>
    <w:rsid w:val="00CA67FD"/>
    <w:rsid w:val="00CA6867"/>
    <w:rsid w:val="00CA6DB2"/>
    <w:rsid w:val="00CA73A4"/>
    <w:rsid w:val="00CA787B"/>
    <w:rsid w:val="00CB04B2"/>
    <w:rsid w:val="00CB061C"/>
    <w:rsid w:val="00CB2B98"/>
    <w:rsid w:val="00CB2D83"/>
    <w:rsid w:val="00CB31B2"/>
    <w:rsid w:val="00CB38CF"/>
    <w:rsid w:val="00CB4450"/>
    <w:rsid w:val="00CB4EE1"/>
    <w:rsid w:val="00CB514A"/>
    <w:rsid w:val="00CB55AF"/>
    <w:rsid w:val="00CB5BFA"/>
    <w:rsid w:val="00CB5E8A"/>
    <w:rsid w:val="00CB6902"/>
    <w:rsid w:val="00CB6F14"/>
    <w:rsid w:val="00CB7B25"/>
    <w:rsid w:val="00CB7C83"/>
    <w:rsid w:val="00CC17AE"/>
    <w:rsid w:val="00CC1D97"/>
    <w:rsid w:val="00CC2532"/>
    <w:rsid w:val="00CC30AC"/>
    <w:rsid w:val="00CC4753"/>
    <w:rsid w:val="00CC479A"/>
    <w:rsid w:val="00CC4E1C"/>
    <w:rsid w:val="00CC59FB"/>
    <w:rsid w:val="00CC5F10"/>
    <w:rsid w:val="00CC6193"/>
    <w:rsid w:val="00CC6B3E"/>
    <w:rsid w:val="00CC6BC7"/>
    <w:rsid w:val="00CC6C16"/>
    <w:rsid w:val="00CC6C2B"/>
    <w:rsid w:val="00CC76A9"/>
    <w:rsid w:val="00CC7709"/>
    <w:rsid w:val="00CC77A2"/>
    <w:rsid w:val="00CC7923"/>
    <w:rsid w:val="00CC7A76"/>
    <w:rsid w:val="00CC7A77"/>
    <w:rsid w:val="00CD0075"/>
    <w:rsid w:val="00CD0FDF"/>
    <w:rsid w:val="00CD1357"/>
    <w:rsid w:val="00CD163E"/>
    <w:rsid w:val="00CD17F8"/>
    <w:rsid w:val="00CD1D0A"/>
    <w:rsid w:val="00CD2295"/>
    <w:rsid w:val="00CD338F"/>
    <w:rsid w:val="00CD33C4"/>
    <w:rsid w:val="00CD38D3"/>
    <w:rsid w:val="00CD3938"/>
    <w:rsid w:val="00CD3B88"/>
    <w:rsid w:val="00CD4DB8"/>
    <w:rsid w:val="00CD5388"/>
    <w:rsid w:val="00CD5C6C"/>
    <w:rsid w:val="00CD5F6F"/>
    <w:rsid w:val="00CD60C0"/>
    <w:rsid w:val="00CD6700"/>
    <w:rsid w:val="00CD70A7"/>
    <w:rsid w:val="00CD787B"/>
    <w:rsid w:val="00CD7AE6"/>
    <w:rsid w:val="00CD7F4A"/>
    <w:rsid w:val="00CE0261"/>
    <w:rsid w:val="00CE1045"/>
    <w:rsid w:val="00CE1192"/>
    <w:rsid w:val="00CE1CB7"/>
    <w:rsid w:val="00CE3288"/>
    <w:rsid w:val="00CE3568"/>
    <w:rsid w:val="00CE3F00"/>
    <w:rsid w:val="00CE409D"/>
    <w:rsid w:val="00CE48AE"/>
    <w:rsid w:val="00CE4955"/>
    <w:rsid w:val="00CE4F4A"/>
    <w:rsid w:val="00CE51C2"/>
    <w:rsid w:val="00CE5939"/>
    <w:rsid w:val="00CE615B"/>
    <w:rsid w:val="00CE6695"/>
    <w:rsid w:val="00CE764E"/>
    <w:rsid w:val="00CE7681"/>
    <w:rsid w:val="00CE7AA6"/>
    <w:rsid w:val="00CE7FCF"/>
    <w:rsid w:val="00CF0EE2"/>
    <w:rsid w:val="00CF11CF"/>
    <w:rsid w:val="00CF1289"/>
    <w:rsid w:val="00CF16CB"/>
    <w:rsid w:val="00CF1ACA"/>
    <w:rsid w:val="00CF44B3"/>
    <w:rsid w:val="00CF4560"/>
    <w:rsid w:val="00CF4930"/>
    <w:rsid w:val="00CF54EC"/>
    <w:rsid w:val="00CF5E40"/>
    <w:rsid w:val="00CF62CF"/>
    <w:rsid w:val="00CF6FB0"/>
    <w:rsid w:val="00CF72AE"/>
    <w:rsid w:val="00CF7D7A"/>
    <w:rsid w:val="00D005A6"/>
    <w:rsid w:val="00D00670"/>
    <w:rsid w:val="00D0132F"/>
    <w:rsid w:val="00D01C2E"/>
    <w:rsid w:val="00D01F19"/>
    <w:rsid w:val="00D01FE3"/>
    <w:rsid w:val="00D02485"/>
    <w:rsid w:val="00D039F9"/>
    <w:rsid w:val="00D03BCF"/>
    <w:rsid w:val="00D04971"/>
    <w:rsid w:val="00D05440"/>
    <w:rsid w:val="00D0582E"/>
    <w:rsid w:val="00D05ADB"/>
    <w:rsid w:val="00D10AAD"/>
    <w:rsid w:val="00D10BDA"/>
    <w:rsid w:val="00D11351"/>
    <w:rsid w:val="00D1139F"/>
    <w:rsid w:val="00D11426"/>
    <w:rsid w:val="00D115EB"/>
    <w:rsid w:val="00D12414"/>
    <w:rsid w:val="00D124AF"/>
    <w:rsid w:val="00D124C9"/>
    <w:rsid w:val="00D127B4"/>
    <w:rsid w:val="00D12ECA"/>
    <w:rsid w:val="00D13C51"/>
    <w:rsid w:val="00D14196"/>
    <w:rsid w:val="00D14707"/>
    <w:rsid w:val="00D14E0B"/>
    <w:rsid w:val="00D14FB8"/>
    <w:rsid w:val="00D15759"/>
    <w:rsid w:val="00D15835"/>
    <w:rsid w:val="00D1636D"/>
    <w:rsid w:val="00D16452"/>
    <w:rsid w:val="00D16A5D"/>
    <w:rsid w:val="00D16C09"/>
    <w:rsid w:val="00D175FA"/>
    <w:rsid w:val="00D17B20"/>
    <w:rsid w:val="00D17B52"/>
    <w:rsid w:val="00D200A9"/>
    <w:rsid w:val="00D20A68"/>
    <w:rsid w:val="00D20F99"/>
    <w:rsid w:val="00D22039"/>
    <w:rsid w:val="00D22F9B"/>
    <w:rsid w:val="00D23606"/>
    <w:rsid w:val="00D23706"/>
    <w:rsid w:val="00D23B8B"/>
    <w:rsid w:val="00D242A2"/>
    <w:rsid w:val="00D24480"/>
    <w:rsid w:val="00D24938"/>
    <w:rsid w:val="00D24AC0"/>
    <w:rsid w:val="00D24CDC"/>
    <w:rsid w:val="00D250D0"/>
    <w:rsid w:val="00D25968"/>
    <w:rsid w:val="00D2608A"/>
    <w:rsid w:val="00D2651A"/>
    <w:rsid w:val="00D2697F"/>
    <w:rsid w:val="00D270EC"/>
    <w:rsid w:val="00D27B09"/>
    <w:rsid w:val="00D27C16"/>
    <w:rsid w:val="00D27D61"/>
    <w:rsid w:val="00D30A1A"/>
    <w:rsid w:val="00D3109E"/>
    <w:rsid w:val="00D31312"/>
    <w:rsid w:val="00D327E3"/>
    <w:rsid w:val="00D32ECF"/>
    <w:rsid w:val="00D33B6D"/>
    <w:rsid w:val="00D33F7F"/>
    <w:rsid w:val="00D34218"/>
    <w:rsid w:val="00D344B2"/>
    <w:rsid w:val="00D35484"/>
    <w:rsid w:val="00D35AF7"/>
    <w:rsid w:val="00D36366"/>
    <w:rsid w:val="00D364B4"/>
    <w:rsid w:val="00D36547"/>
    <w:rsid w:val="00D36F5B"/>
    <w:rsid w:val="00D37ADD"/>
    <w:rsid w:val="00D37B0A"/>
    <w:rsid w:val="00D37C79"/>
    <w:rsid w:val="00D40E6B"/>
    <w:rsid w:val="00D41E85"/>
    <w:rsid w:val="00D422B0"/>
    <w:rsid w:val="00D424D0"/>
    <w:rsid w:val="00D425B9"/>
    <w:rsid w:val="00D42DDB"/>
    <w:rsid w:val="00D449FD"/>
    <w:rsid w:val="00D4548B"/>
    <w:rsid w:val="00D45997"/>
    <w:rsid w:val="00D46525"/>
    <w:rsid w:val="00D469C0"/>
    <w:rsid w:val="00D47645"/>
    <w:rsid w:val="00D50408"/>
    <w:rsid w:val="00D50902"/>
    <w:rsid w:val="00D50BDC"/>
    <w:rsid w:val="00D52251"/>
    <w:rsid w:val="00D5262C"/>
    <w:rsid w:val="00D52757"/>
    <w:rsid w:val="00D52A61"/>
    <w:rsid w:val="00D52F55"/>
    <w:rsid w:val="00D52FA1"/>
    <w:rsid w:val="00D5332E"/>
    <w:rsid w:val="00D534B5"/>
    <w:rsid w:val="00D535DB"/>
    <w:rsid w:val="00D53A27"/>
    <w:rsid w:val="00D54119"/>
    <w:rsid w:val="00D54236"/>
    <w:rsid w:val="00D56265"/>
    <w:rsid w:val="00D57D86"/>
    <w:rsid w:val="00D57D9E"/>
    <w:rsid w:val="00D6070B"/>
    <w:rsid w:val="00D6118C"/>
    <w:rsid w:val="00D61FB3"/>
    <w:rsid w:val="00D62779"/>
    <w:rsid w:val="00D629EA"/>
    <w:rsid w:val="00D641EB"/>
    <w:rsid w:val="00D64ECB"/>
    <w:rsid w:val="00D64F27"/>
    <w:rsid w:val="00D6567D"/>
    <w:rsid w:val="00D659A1"/>
    <w:rsid w:val="00D65EF1"/>
    <w:rsid w:val="00D66B1F"/>
    <w:rsid w:val="00D67E02"/>
    <w:rsid w:val="00D711D8"/>
    <w:rsid w:val="00D7158C"/>
    <w:rsid w:val="00D7173B"/>
    <w:rsid w:val="00D7204E"/>
    <w:rsid w:val="00D72257"/>
    <w:rsid w:val="00D728B8"/>
    <w:rsid w:val="00D729D5"/>
    <w:rsid w:val="00D73F03"/>
    <w:rsid w:val="00D741C2"/>
    <w:rsid w:val="00D759F1"/>
    <w:rsid w:val="00D761EE"/>
    <w:rsid w:val="00D76B4E"/>
    <w:rsid w:val="00D77226"/>
    <w:rsid w:val="00D8170D"/>
    <w:rsid w:val="00D81EC8"/>
    <w:rsid w:val="00D84514"/>
    <w:rsid w:val="00D847D0"/>
    <w:rsid w:val="00D84BFD"/>
    <w:rsid w:val="00D84E21"/>
    <w:rsid w:val="00D861CD"/>
    <w:rsid w:val="00D86C17"/>
    <w:rsid w:val="00D872D2"/>
    <w:rsid w:val="00D87357"/>
    <w:rsid w:val="00D90608"/>
    <w:rsid w:val="00D90A53"/>
    <w:rsid w:val="00D920FB"/>
    <w:rsid w:val="00D922F1"/>
    <w:rsid w:val="00D9248A"/>
    <w:rsid w:val="00D9353A"/>
    <w:rsid w:val="00D9375D"/>
    <w:rsid w:val="00D93A38"/>
    <w:rsid w:val="00D94131"/>
    <w:rsid w:val="00D950C8"/>
    <w:rsid w:val="00D95CF6"/>
    <w:rsid w:val="00D9622C"/>
    <w:rsid w:val="00D9629F"/>
    <w:rsid w:val="00D96A49"/>
    <w:rsid w:val="00D97542"/>
    <w:rsid w:val="00DA0091"/>
    <w:rsid w:val="00DA01B2"/>
    <w:rsid w:val="00DA0328"/>
    <w:rsid w:val="00DA0443"/>
    <w:rsid w:val="00DA05B3"/>
    <w:rsid w:val="00DA23FC"/>
    <w:rsid w:val="00DA2589"/>
    <w:rsid w:val="00DA2782"/>
    <w:rsid w:val="00DA2BEF"/>
    <w:rsid w:val="00DA401C"/>
    <w:rsid w:val="00DA427E"/>
    <w:rsid w:val="00DA42A9"/>
    <w:rsid w:val="00DA51D8"/>
    <w:rsid w:val="00DA5232"/>
    <w:rsid w:val="00DA75DB"/>
    <w:rsid w:val="00DA780C"/>
    <w:rsid w:val="00DA7998"/>
    <w:rsid w:val="00DA7AF8"/>
    <w:rsid w:val="00DA7B97"/>
    <w:rsid w:val="00DB0142"/>
    <w:rsid w:val="00DB01EC"/>
    <w:rsid w:val="00DB0BBB"/>
    <w:rsid w:val="00DB1189"/>
    <w:rsid w:val="00DB1DB6"/>
    <w:rsid w:val="00DB23ED"/>
    <w:rsid w:val="00DB2515"/>
    <w:rsid w:val="00DB275F"/>
    <w:rsid w:val="00DB2A31"/>
    <w:rsid w:val="00DB3727"/>
    <w:rsid w:val="00DB39DE"/>
    <w:rsid w:val="00DB44A6"/>
    <w:rsid w:val="00DB528D"/>
    <w:rsid w:val="00DB5B26"/>
    <w:rsid w:val="00DB5E62"/>
    <w:rsid w:val="00DB6644"/>
    <w:rsid w:val="00DB66DB"/>
    <w:rsid w:val="00DB7327"/>
    <w:rsid w:val="00DB79F8"/>
    <w:rsid w:val="00DB7F76"/>
    <w:rsid w:val="00DC0769"/>
    <w:rsid w:val="00DC0D8A"/>
    <w:rsid w:val="00DC0E52"/>
    <w:rsid w:val="00DC115F"/>
    <w:rsid w:val="00DC1775"/>
    <w:rsid w:val="00DC1DC8"/>
    <w:rsid w:val="00DC272B"/>
    <w:rsid w:val="00DC284A"/>
    <w:rsid w:val="00DC2C69"/>
    <w:rsid w:val="00DC33A4"/>
    <w:rsid w:val="00DC3581"/>
    <w:rsid w:val="00DC3B4E"/>
    <w:rsid w:val="00DC47C7"/>
    <w:rsid w:val="00DC53AC"/>
    <w:rsid w:val="00DC53BA"/>
    <w:rsid w:val="00DC5D44"/>
    <w:rsid w:val="00DC6D51"/>
    <w:rsid w:val="00DC6E47"/>
    <w:rsid w:val="00DC7C7A"/>
    <w:rsid w:val="00DC7DF7"/>
    <w:rsid w:val="00DD0129"/>
    <w:rsid w:val="00DD0992"/>
    <w:rsid w:val="00DD0EE2"/>
    <w:rsid w:val="00DD18C9"/>
    <w:rsid w:val="00DD1F0E"/>
    <w:rsid w:val="00DD225B"/>
    <w:rsid w:val="00DD2BE6"/>
    <w:rsid w:val="00DD3124"/>
    <w:rsid w:val="00DD31A7"/>
    <w:rsid w:val="00DD34D7"/>
    <w:rsid w:val="00DD4C0D"/>
    <w:rsid w:val="00DD4C9B"/>
    <w:rsid w:val="00DD4D18"/>
    <w:rsid w:val="00DD563E"/>
    <w:rsid w:val="00DD5C29"/>
    <w:rsid w:val="00DD6052"/>
    <w:rsid w:val="00DD68F8"/>
    <w:rsid w:val="00DE1471"/>
    <w:rsid w:val="00DE189A"/>
    <w:rsid w:val="00DE1BB2"/>
    <w:rsid w:val="00DE2042"/>
    <w:rsid w:val="00DE2194"/>
    <w:rsid w:val="00DE2AB6"/>
    <w:rsid w:val="00DE400F"/>
    <w:rsid w:val="00DE44F7"/>
    <w:rsid w:val="00DE4962"/>
    <w:rsid w:val="00DE5B80"/>
    <w:rsid w:val="00DE5DE4"/>
    <w:rsid w:val="00DE6583"/>
    <w:rsid w:val="00DE6D99"/>
    <w:rsid w:val="00DE709F"/>
    <w:rsid w:val="00DE7313"/>
    <w:rsid w:val="00DE7577"/>
    <w:rsid w:val="00DE774A"/>
    <w:rsid w:val="00DF0D66"/>
    <w:rsid w:val="00DF0DB7"/>
    <w:rsid w:val="00DF0E3D"/>
    <w:rsid w:val="00DF1A4B"/>
    <w:rsid w:val="00DF21A4"/>
    <w:rsid w:val="00DF23F1"/>
    <w:rsid w:val="00DF2922"/>
    <w:rsid w:val="00DF3B01"/>
    <w:rsid w:val="00DF43F9"/>
    <w:rsid w:val="00DF458D"/>
    <w:rsid w:val="00DF4A4A"/>
    <w:rsid w:val="00DF519A"/>
    <w:rsid w:val="00DF5FBE"/>
    <w:rsid w:val="00DF61D0"/>
    <w:rsid w:val="00DF6C8A"/>
    <w:rsid w:val="00DF715D"/>
    <w:rsid w:val="00DF76D1"/>
    <w:rsid w:val="00DF7A18"/>
    <w:rsid w:val="00DF7DCC"/>
    <w:rsid w:val="00E0012D"/>
    <w:rsid w:val="00E0014D"/>
    <w:rsid w:val="00E00326"/>
    <w:rsid w:val="00E00B9C"/>
    <w:rsid w:val="00E014C0"/>
    <w:rsid w:val="00E0152A"/>
    <w:rsid w:val="00E0192D"/>
    <w:rsid w:val="00E01C18"/>
    <w:rsid w:val="00E038D0"/>
    <w:rsid w:val="00E03FB5"/>
    <w:rsid w:val="00E04842"/>
    <w:rsid w:val="00E0496B"/>
    <w:rsid w:val="00E0559A"/>
    <w:rsid w:val="00E05DB7"/>
    <w:rsid w:val="00E0637B"/>
    <w:rsid w:val="00E06505"/>
    <w:rsid w:val="00E0680E"/>
    <w:rsid w:val="00E06933"/>
    <w:rsid w:val="00E06BC9"/>
    <w:rsid w:val="00E078AE"/>
    <w:rsid w:val="00E101AC"/>
    <w:rsid w:val="00E10EB5"/>
    <w:rsid w:val="00E1223C"/>
    <w:rsid w:val="00E14167"/>
    <w:rsid w:val="00E15335"/>
    <w:rsid w:val="00E1611B"/>
    <w:rsid w:val="00E1630E"/>
    <w:rsid w:val="00E16312"/>
    <w:rsid w:val="00E1664C"/>
    <w:rsid w:val="00E16B59"/>
    <w:rsid w:val="00E16FEC"/>
    <w:rsid w:val="00E17D38"/>
    <w:rsid w:val="00E20656"/>
    <w:rsid w:val="00E20762"/>
    <w:rsid w:val="00E20780"/>
    <w:rsid w:val="00E218BA"/>
    <w:rsid w:val="00E21A9E"/>
    <w:rsid w:val="00E21DBE"/>
    <w:rsid w:val="00E22683"/>
    <w:rsid w:val="00E232AE"/>
    <w:rsid w:val="00E23372"/>
    <w:rsid w:val="00E238EC"/>
    <w:rsid w:val="00E24A16"/>
    <w:rsid w:val="00E24DEA"/>
    <w:rsid w:val="00E24EE7"/>
    <w:rsid w:val="00E252F0"/>
    <w:rsid w:val="00E25480"/>
    <w:rsid w:val="00E25F2A"/>
    <w:rsid w:val="00E2783C"/>
    <w:rsid w:val="00E3003E"/>
    <w:rsid w:val="00E3022B"/>
    <w:rsid w:val="00E306DA"/>
    <w:rsid w:val="00E30C9F"/>
    <w:rsid w:val="00E3124F"/>
    <w:rsid w:val="00E316D9"/>
    <w:rsid w:val="00E32A09"/>
    <w:rsid w:val="00E32E67"/>
    <w:rsid w:val="00E330C5"/>
    <w:rsid w:val="00E33560"/>
    <w:rsid w:val="00E335E8"/>
    <w:rsid w:val="00E3413B"/>
    <w:rsid w:val="00E344F8"/>
    <w:rsid w:val="00E347E7"/>
    <w:rsid w:val="00E353E9"/>
    <w:rsid w:val="00E3589F"/>
    <w:rsid w:val="00E35F3B"/>
    <w:rsid w:val="00E36DF1"/>
    <w:rsid w:val="00E36EA9"/>
    <w:rsid w:val="00E373A0"/>
    <w:rsid w:val="00E37959"/>
    <w:rsid w:val="00E40299"/>
    <w:rsid w:val="00E40F41"/>
    <w:rsid w:val="00E41393"/>
    <w:rsid w:val="00E43879"/>
    <w:rsid w:val="00E44044"/>
    <w:rsid w:val="00E441BF"/>
    <w:rsid w:val="00E4434D"/>
    <w:rsid w:val="00E451DB"/>
    <w:rsid w:val="00E4592C"/>
    <w:rsid w:val="00E4594A"/>
    <w:rsid w:val="00E46A73"/>
    <w:rsid w:val="00E47864"/>
    <w:rsid w:val="00E47BD0"/>
    <w:rsid w:val="00E47DAC"/>
    <w:rsid w:val="00E501A6"/>
    <w:rsid w:val="00E501EB"/>
    <w:rsid w:val="00E5076A"/>
    <w:rsid w:val="00E50DBB"/>
    <w:rsid w:val="00E50E83"/>
    <w:rsid w:val="00E51D7D"/>
    <w:rsid w:val="00E52403"/>
    <w:rsid w:val="00E534FF"/>
    <w:rsid w:val="00E55777"/>
    <w:rsid w:val="00E56B33"/>
    <w:rsid w:val="00E56C37"/>
    <w:rsid w:val="00E57138"/>
    <w:rsid w:val="00E60643"/>
    <w:rsid w:val="00E60CD7"/>
    <w:rsid w:val="00E60EBF"/>
    <w:rsid w:val="00E61322"/>
    <w:rsid w:val="00E61F75"/>
    <w:rsid w:val="00E636AB"/>
    <w:rsid w:val="00E643C2"/>
    <w:rsid w:val="00E64808"/>
    <w:rsid w:val="00E64C3E"/>
    <w:rsid w:val="00E64E56"/>
    <w:rsid w:val="00E6576C"/>
    <w:rsid w:val="00E65F0D"/>
    <w:rsid w:val="00E66159"/>
    <w:rsid w:val="00E666D7"/>
    <w:rsid w:val="00E6756B"/>
    <w:rsid w:val="00E679D3"/>
    <w:rsid w:val="00E70AE1"/>
    <w:rsid w:val="00E70C20"/>
    <w:rsid w:val="00E70D73"/>
    <w:rsid w:val="00E71169"/>
    <w:rsid w:val="00E711EB"/>
    <w:rsid w:val="00E711F0"/>
    <w:rsid w:val="00E71D09"/>
    <w:rsid w:val="00E7374D"/>
    <w:rsid w:val="00E73D04"/>
    <w:rsid w:val="00E745B4"/>
    <w:rsid w:val="00E7461B"/>
    <w:rsid w:val="00E7484B"/>
    <w:rsid w:val="00E750A5"/>
    <w:rsid w:val="00E761A1"/>
    <w:rsid w:val="00E76BCC"/>
    <w:rsid w:val="00E7793F"/>
    <w:rsid w:val="00E77F8B"/>
    <w:rsid w:val="00E80EAC"/>
    <w:rsid w:val="00E811CA"/>
    <w:rsid w:val="00E81863"/>
    <w:rsid w:val="00E81B68"/>
    <w:rsid w:val="00E81FD0"/>
    <w:rsid w:val="00E823CA"/>
    <w:rsid w:val="00E826FF"/>
    <w:rsid w:val="00E8284D"/>
    <w:rsid w:val="00E82BD9"/>
    <w:rsid w:val="00E83082"/>
    <w:rsid w:val="00E83F2D"/>
    <w:rsid w:val="00E83F55"/>
    <w:rsid w:val="00E841DA"/>
    <w:rsid w:val="00E846ED"/>
    <w:rsid w:val="00E84760"/>
    <w:rsid w:val="00E8476C"/>
    <w:rsid w:val="00E856C5"/>
    <w:rsid w:val="00E86030"/>
    <w:rsid w:val="00E86DD1"/>
    <w:rsid w:val="00E872BC"/>
    <w:rsid w:val="00E876E4"/>
    <w:rsid w:val="00E90DE0"/>
    <w:rsid w:val="00E928DA"/>
    <w:rsid w:val="00E93839"/>
    <w:rsid w:val="00E94DEB"/>
    <w:rsid w:val="00E950BB"/>
    <w:rsid w:val="00E95263"/>
    <w:rsid w:val="00E95A51"/>
    <w:rsid w:val="00E96D01"/>
    <w:rsid w:val="00E973CA"/>
    <w:rsid w:val="00E97504"/>
    <w:rsid w:val="00EA04E4"/>
    <w:rsid w:val="00EA0A7C"/>
    <w:rsid w:val="00EA0C40"/>
    <w:rsid w:val="00EA1C34"/>
    <w:rsid w:val="00EA20F1"/>
    <w:rsid w:val="00EA2978"/>
    <w:rsid w:val="00EA2F88"/>
    <w:rsid w:val="00EA3450"/>
    <w:rsid w:val="00EA437D"/>
    <w:rsid w:val="00EA4D9E"/>
    <w:rsid w:val="00EA4EE5"/>
    <w:rsid w:val="00EA5879"/>
    <w:rsid w:val="00EA5895"/>
    <w:rsid w:val="00EA5C4C"/>
    <w:rsid w:val="00EA6ABD"/>
    <w:rsid w:val="00EA7311"/>
    <w:rsid w:val="00EA7784"/>
    <w:rsid w:val="00EA7A80"/>
    <w:rsid w:val="00EB06C3"/>
    <w:rsid w:val="00EB0B3A"/>
    <w:rsid w:val="00EB102E"/>
    <w:rsid w:val="00EB29FE"/>
    <w:rsid w:val="00EB2F66"/>
    <w:rsid w:val="00EB3012"/>
    <w:rsid w:val="00EB3E72"/>
    <w:rsid w:val="00EB41C2"/>
    <w:rsid w:val="00EB54FC"/>
    <w:rsid w:val="00EB6414"/>
    <w:rsid w:val="00EB643C"/>
    <w:rsid w:val="00EB6C92"/>
    <w:rsid w:val="00EB6E9A"/>
    <w:rsid w:val="00EB718C"/>
    <w:rsid w:val="00EB7472"/>
    <w:rsid w:val="00EB757A"/>
    <w:rsid w:val="00EB7667"/>
    <w:rsid w:val="00EC03AB"/>
    <w:rsid w:val="00EC0BF9"/>
    <w:rsid w:val="00EC12B7"/>
    <w:rsid w:val="00EC27BB"/>
    <w:rsid w:val="00EC2E5B"/>
    <w:rsid w:val="00EC321D"/>
    <w:rsid w:val="00EC3531"/>
    <w:rsid w:val="00EC3A4D"/>
    <w:rsid w:val="00EC3FF3"/>
    <w:rsid w:val="00EC438F"/>
    <w:rsid w:val="00EC45EB"/>
    <w:rsid w:val="00EC48D1"/>
    <w:rsid w:val="00EC5A39"/>
    <w:rsid w:val="00EC5E74"/>
    <w:rsid w:val="00EC6532"/>
    <w:rsid w:val="00EC6D5D"/>
    <w:rsid w:val="00EC71CC"/>
    <w:rsid w:val="00EC71E5"/>
    <w:rsid w:val="00EC7404"/>
    <w:rsid w:val="00EC7ECE"/>
    <w:rsid w:val="00ED0A9A"/>
    <w:rsid w:val="00ED13C7"/>
    <w:rsid w:val="00ED1871"/>
    <w:rsid w:val="00ED1A4B"/>
    <w:rsid w:val="00ED1C10"/>
    <w:rsid w:val="00ED1DAC"/>
    <w:rsid w:val="00ED2717"/>
    <w:rsid w:val="00ED2CAF"/>
    <w:rsid w:val="00ED2DAA"/>
    <w:rsid w:val="00ED3218"/>
    <w:rsid w:val="00ED32B8"/>
    <w:rsid w:val="00ED3581"/>
    <w:rsid w:val="00ED3A9B"/>
    <w:rsid w:val="00ED44B0"/>
    <w:rsid w:val="00ED492C"/>
    <w:rsid w:val="00ED4951"/>
    <w:rsid w:val="00ED6065"/>
    <w:rsid w:val="00ED63EC"/>
    <w:rsid w:val="00ED6A52"/>
    <w:rsid w:val="00ED701C"/>
    <w:rsid w:val="00ED76C4"/>
    <w:rsid w:val="00ED7815"/>
    <w:rsid w:val="00EE05C0"/>
    <w:rsid w:val="00EE0737"/>
    <w:rsid w:val="00EE0CAD"/>
    <w:rsid w:val="00EE206D"/>
    <w:rsid w:val="00EE28AB"/>
    <w:rsid w:val="00EE300F"/>
    <w:rsid w:val="00EE39F8"/>
    <w:rsid w:val="00EE3AAE"/>
    <w:rsid w:val="00EE5052"/>
    <w:rsid w:val="00EE590D"/>
    <w:rsid w:val="00EE5923"/>
    <w:rsid w:val="00EE5EFB"/>
    <w:rsid w:val="00EE62E5"/>
    <w:rsid w:val="00EE7084"/>
    <w:rsid w:val="00EE7633"/>
    <w:rsid w:val="00EF0149"/>
    <w:rsid w:val="00EF027B"/>
    <w:rsid w:val="00EF08AC"/>
    <w:rsid w:val="00EF08AD"/>
    <w:rsid w:val="00EF23B6"/>
    <w:rsid w:val="00EF2C4B"/>
    <w:rsid w:val="00EF3356"/>
    <w:rsid w:val="00EF33BE"/>
    <w:rsid w:val="00EF37FB"/>
    <w:rsid w:val="00EF3FDC"/>
    <w:rsid w:val="00EF40A5"/>
    <w:rsid w:val="00EF4214"/>
    <w:rsid w:val="00EF4EE1"/>
    <w:rsid w:val="00EF57CE"/>
    <w:rsid w:val="00EF5AB2"/>
    <w:rsid w:val="00EF6409"/>
    <w:rsid w:val="00EF658A"/>
    <w:rsid w:val="00EF690E"/>
    <w:rsid w:val="00EF7011"/>
    <w:rsid w:val="00EF73D4"/>
    <w:rsid w:val="00EF791F"/>
    <w:rsid w:val="00EF7998"/>
    <w:rsid w:val="00EF7A22"/>
    <w:rsid w:val="00EF7CC1"/>
    <w:rsid w:val="00F0086F"/>
    <w:rsid w:val="00F0183A"/>
    <w:rsid w:val="00F01E16"/>
    <w:rsid w:val="00F02DD4"/>
    <w:rsid w:val="00F02DFD"/>
    <w:rsid w:val="00F02F78"/>
    <w:rsid w:val="00F03025"/>
    <w:rsid w:val="00F0307C"/>
    <w:rsid w:val="00F037E7"/>
    <w:rsid w:val="00F03A20"/>
    <w:rsid w:val="00F03BD3"/>
    <w:rsid w:val="00F0404B"/>
    <w:rsid w:val="00F045AD"/>
    <w:rsid w:val="00F04602"/>
    <w:rsid w:val="00F05BAB"/>
    <w:rsid w:val="00F060B8"/>
    <w:rsid w:val="00F062AB"/>
    <w:rsid w:val="00F0674E"/>
    <w:rsid w:val="00F076D2"/>
    <w:rsid w:val="00F07CBF"/>
    <w:rsid w:val="00F07E79"/>
    <w:rsid w:val="00F107C8"/>
    <w:rsid w:val="00F10B18"/>
    <w:rsid w:val="00F10C36"/>
    <w:rsid w:val="00F10CF4"/>
    <w:rsid w:val="00F1226D"/>
    <w:rsid w:val="00F126A3"/>
    <w:rsid w:val="00F12763"/>
    <w:rsid w:val="00F13AFC"/>
    <w:rsid w:val="00F13EB3"/>
    <w:rsid w:val="00F13F08"/>
    <w:rsid w:val="00F14678"/>
    <w:rsid w:val="00F14CF1"/>
    <w:rsid w:val="00F14F12"/>
    <w:rsid w:val="00F1578B"/>
    <w:rsid w:val="00F15893"/>
    <w:rsid w:val="00F15CBB"/>
    <w:rsid w:val="00F1755B"/>
    <w:rsid w:val="00F17F70"/>
    <w:rsid w:val="00F20438"/>
    <w:rsid w:val="00F20FEC"/>
    <w:rsid w:val="00F216C6"/>
    <w:rsid w:val="00F229AB"/>
    <w:rsid w:val="00F2334B"/>
    <w:rsid w:val="00F242C4"/>
    <w:rsid w:val="00F24369"/>
    <w:rsid w:val="00F2491C"/>
    <w:rsid w:val="00F24E37"/>
    <w:rsid w:val="00F251A9"/>
    <w:rsid w:val="00F2523C"/>
    <w:rsid w:val="00F25282"/>
    <w:rsid w:val="00F2548A"/>
    <w:rsid w:val="00F26123"/>
    <w:rsid w:val="00F26336"/>
    <w:rsid w:val="00F264C3"/>
    <w:rsid w:val="00F26767"/>
    <w:rsid w:val="00F2698F"/>
    <w:rsid w:val="00F26D89"/>
    <w:rsid w:val="00F270F4"/>
    <w:rsid w:val="00F27730"/>
    <w:rsid w:val="00F300CE"/>
    <w:rsid w:val="00F305C0"/>
    <w:rsid w:val="00F31384"/>
    <w:rsid w:val="00F316EA"/>
    <w:rsid w:val="00F326E3"/>
    <w:rsid w:val="00F327E9"/>
    <w:rsid w:val="00F32855"/>
    <w:rsid w:val="00F32DA9"/>
    <w:rsid w:val="00F33658"/>
    <w:rsid w:val="00F33718"/>
    <w:rsid w:val="00F346AD"/>
    <w:rsid w:val="00F34AD3"/>
    <w:rsid w:val="00F3577A"/>
    <w:rsid w:val="00F36260"/>
    <w:rsid w:val="00F365CD"/>
    <w:rsid w:val="00F36743"/>
    <w:rsid w:val="00F37CF5"/>
    <w:rsid w:val="00F40533"/>
    <w:rsid w:val="00F4058F"/>
    <w:rsid w:val="00F40725"/>
    <w:rsid w:val="00F4099A"/>
    <w:rsid w:val="00F41805"/>
    <w:rsid w:val="00F41923"/>
    <w:rsid w:val="00F41A88"/>
    <w:rsid w:val="00F42BC1"/>
    <w:rsid w:val="00F434E4"/>
    <w:rsid w:val="00F43763"/>
    <w:rsid w:val="00F441B7"/>
    <w:rsid w:val="00F45495"/>
    <w:rsid w:val="00F46D29"/>
    <w:rsid w:val="00F46FA3"/>
    <w:rsid w:val="00F477AF"/>
    <w:rsid w:val="00F47B42"/>
    <w:rsid w:val="00F47F8D"/>
    <w:rsid w:val="00F50043"/>
    <w:rsid w:val="00F52A59"/>
    <w:rsid w:val="00F52B30"/>
    <w:rsid w:val="00F52D8B"/>
    <w:rsid w:val="00F53749"/>
    <w:rsid w:val="00F54616"/>
    <w:rsid w:val="00F54B05"/>
    <w:rsid w:val="00F557C3"/>
    <w:rsid w:val="00F559D1"/>
    <w:rsid w:val="00F5630D"/>
    <w:rsid w:val="00F56708"/>
    <w:rsid w:val="00F56712"/>
    <w:rsid w:val="00F56EA2"/>
    <w:rsid w:val="00F56F50"/>
    <w:rsid w:val="00F57AFD"/>
    <w:rsid w:val="00F57CC9"/>
    <w:rsid w:val="00F57EC4"/>
    <w:rsid w:val="00F60285"/>
    <w:rsid w:val="00F6029F"/>
    <w:rsid w:val="00F608B7"/>
    <w:rsid w:val="00F618C5"/>
    <w:rsid w:val="00F620C7"/>
    <w:rsid w:val="00F63232"/>
    <w:rsid w:val="00F63250"/>
    <w:rsid w:val="00F63C24"/>
    <w:rsid w:val="00F63DFE"/>
    <w:rsid w:val="00F63E14"/>
    <w:rsid w:val="00F641BE"/>
    <w:rsid w:val="00F65334"/>
    <w:rsid w:val="00F65B68"/>
    <w:rsid w:val="00F65B76"/>
    <w:rsid w:val="00F65BAD"/>
    <w:rsid w:val="00F6615F"/>
    <w:rsid w:val="00F666B9"/>
    <w:rsid w:val="00F67157"/>
    <w:rsid w:val="00F6780B"/>
    <w:rsid w:val="00F67B77"/>
    <w:rsid w:val="00F710A0"/>
    <w:rsid w:val="00F71216"/>
    <w:rsid w:val="00F71757"/>
    <w:rsid w:val="00F71ABB"/>
    <w:rsid w:val="00F72B96"/>
    <w:rsid w:val="00F72BB7"/>
    <w:rsid w:val="00F72CD7"/>
    <w:rsid w:val="00F72E25"/>
    <w:rsid w:val="00F734B3"/>
    <w:rsid w:val="00F737AD"/>
    <w:rsid w:val="00F738AA"/>
    <w:rsid w:val="00F73C18"/>
    <w:rsid w:val="00F73C38"/>
    <w:rsid w:val="00F745B5"/>
    <w:rsid w:val="00F7481E"/>
    <w:rsid w:val="00F748D8"/>
    <w:rsid w:val="00F7508B"/>
    <w:rsid w:val="00F750CE"/>
    <w:rsid w:val="00F7586D"/>
    <w:rsid w:val="00F762FA"/>
    <w:rsid w:val="00F771D5"/>
    <w:rsid w:val="00F7725C"/>
    <w:rsid w:val="00F77D60"/>
    <w:rsid w:val="00F803C0"/>
    <w:rsid w:val="00F80489"/>
    <w:rsid w:val="00F817A0"/>
    <w:rsid w:val="00F827ED"/>
    <w:rsid w:val="00F82A8E"/>
    <w:rsid w:val="00F82E95"/>
    <w:rsid w:val="00F83456"/>
    <w:rsid w:val="00F83628"/>
    <w:rsid w:val="00F83875"/>
    <w:rsid w:val="00F83D7F"/>
    <w:rsid w:val="00F843D3"/>
    <w:rsid w:val="00F847A5"/>
    <w:rsid w:val="00F84D77"/>
    <w:rsid w:val="00F866AD"/>
    <w:rsid w:val="00F87171"/>
    <w:rsid w:val="00F87DAF"/>
    <w:rsid w:val="00F87E05"/>
    <w:rsid w:val="00F87FA1"/>
    <w:rsid w:val="00F91080"/>
    <w:rsid w:val="00F91294"/>
    <w:rsid w:val="00F92D19"/>
    <w:rsid w:val="00F930B6"/>
    <w:rsid w:val="00F9368A"/>
    <w:rsid w:val="00F9384D"/>
    <w:rsid w:val="00F946C5"/>
    <w:rsid w:val="00F94A2A"/>
    <w:rsid w:val="00F956E6"/>
    <w:rsid w:val="00F96407"/>
    <w:rsid w:val="00F966DF"/>
    <w:rsid w:val="00F96874"/>
    <w:rsid w:val="00F9704E"/>
    <w:rsid w:val="00F97721"/>
    <w:rsid w:val="00F97BCD"/>
    <w:rsid w:val="00F97CD4"/>
    <w:rsid w:val="00F97DC5"/>
    <w:rsid w:val="00FA023A"/>
    <w:rsid w:val="00FA0DE0"/>
    <w:rsid w:val="00FA15FD"/>
    <w:rsid w:val="00FA34D5"/>
    <w:rsid w:val="00FA3896"/>
    <w:rsid w:val="00FA4994"/>
    <w:rsid w:val="00FA5199"/>
    <w:rsid w:val="00FA5E8A"/>
    <w:rsid w:val="00FA6ABB"/>
    <w:rsid w:val="00FA6BB1"/>
    <w:rsid w:val="00FA6FD7"/>
    <w:rsid w:val="00FA7508"/>
    <w:rsid w:val="00FA7EDB"/>
    <w:rsid w:val="00FB0E34"/>
    <w:rsid w:val="00FB0EAF"/>
    <w:rsid w:val="00FB2DE2"/>
    <w:rsid w:val="00FB4389"/>
    <w:rsid w:val="00FB467A"/>
    <w:rsid w:val="00FB50FD"/>
    <w:rsid w:val="00FB524C"/>
    <w:rsid w:val="00FB5316"/>
    <w:rsid w:val="00FB59EA"/>
    <w:rsid w:val="00FB5F06"/>
    <w:rsid w:val="00FB633A"/>
    <w:rsid w:val="00FB6B8B"/>
    <w:rsid w:val="00FB6C55"/>
    <w:rsid w:val="00FB706D"/>
    <w:rsid w:val="00FB70B5"/>
    <w:rsid w:val="00FB74D5"/>
    <w:rsid w:val="00FB77DD"/>
    <w:rsid w:val="00FB7993"/>
    <w:rsid w:val="00FC02FC"/>
    <w:rsid w:val="00FC0F42"/>
    <w:rsid w:val="00FC1028"/>
    <w:rsid w:val="00FC315C"/>
    <w:rsid w:val="00FC3EDF"/>
    <w:rsid w:val="00FC4453"/>
    <w:rsid w:val="00FC4981"/>
    <w:rsid w:val="00FC6653"/>
    <w:rsid w:val="00FD008B"/>
    <w:rsid w:val="00FD0C3C"/>
    <w:rsid w:val="00FD0E12"/>
    <w:rsid w:val="00FD140C"/>
    <w:rsid w:val="00FD1762"/>
    <w:rsid w:val="00FD2000"/>
    <w:rsid w:val="00FD215A"/>
    <w:rsid w:val="00FD2665"/>
    <w:rsid w:val="00FD39BE"/>
    <w:rsid w:val="00FD3D98"/>
    <w:rsid w:val="00FD40D8"/>
    <w:rsid w:val="00FD447D"/>
    <w:rsid w:val="00FD461F"/>
    <w:rsid w:val="00FD50A4"/>
    <w:rsid w:val="00FD520B"/>
    <w:rsid w:val="00FD5B60"/>
    <w:rsid w:val="00FD5F3A"/>
    <w:rsid w:val="00FD6D5F"/>
    <w:rsid w:val="00FD7198"/>
    <w:rsid w:val="00FD74A7"/>
    <w:rsid w:val="00FE015D"/>
    <w:rsid w:val="00FE023F"/>
    <w:rsid w:val="00FE0E7A"/>
    <w:rsid w:val="00FE190B"/>
    <w:rsid w:val="00FE218F"/>
    <w:rsid w:val="00FE2DDD"/>
    <w:rsid w:val="00FE3C3F"/>
    <w:rsid w:val="00FE3D8E"/>
    <w:rsid w:val="00FE3EBB"/>
    <w:rsid w:val="00FE3F3A"/>
    <w:rsid w:val="00FE4629"/>
    <w:rsid w:val="00FE490F"/>
    <w:rsid w:val="00FE517A"/>
    <w:rsid w:val="00FE5F1E"/>
    <w:rsid w:val="00FE6954"/>
    <w:rsid w:val="00FE6A6E"/>
    <w:rsid w:val="00FE6B87"/>
    <w:rsid w:val="00FF2154"/>
    <w:rsid w:val="00FF2716"/>
    <w:rsid w:val="00FF32F9"/>
    <w:rsid w:val="00FF340F"/>
    <w:rsid w:val="00FF344D"/>
    <w:rsid w:val="00FF44A2"/>
    <w:rsid w:val="00FF554B"/>
    <w:rsid w:val="00FF5DE6"/>
    <w:rsid w:val="00FF5FF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E6DAAB-E31B-47B3-BB9E-68E07054D3C5}"/>
</file>

<file path=customXml/itemProps2.xml><?xml version="1.0" encoding="utf-8"?>
<ds:datastoreItem xmlns:ds="http://schemas.openxmlformats.org/officeDocument/2006/customXml" ds:itemID="{F4668BF8-BA0B-4D10-A13D-77E44AF57C33}"/>
</file>

<file path=customXml/itemProps3.xml><?xml version="1.0" encoding="utf-8"?>
<ds:datastoreItem xmlns:ds="http://schemas.openxmlformats.org/officeDocument/2006/customXml" ds:itemID="{F4AB8A97-F309-453A-9934-14A0E288FA64}"/>
</file>

<file path=customXml/itemProps4.xml><?xml version="1.0" encoding="utf-8"?>
<ds:datastoreItem xmlns:ds="http://schemas.openxmlformats.org/officeDocument/2006/customXml" ds:itemID="{2556DA5D-83EC-485C-B6F2-8AA02011CBF0}"/>
</file>

<file path=docProps/app.xml><?xml version="1.0" encoding="utf-8"?>
<Properties xmlns="http://schemas.openxmlformats.org/officeDocument/2006/extended-properties" xmlns:vt="http://schemas.openxmlformats.org/officeDocument/2006/docPropsVTypes">
  <Template>DAC300AB</Template>
  <TotalTime>91</TotalTime>
  <Pages>12</Pages>
  <Words>4796</Words>
  <Characters>28301</Characters>
  <Application>Microsoft Office Word</Application>
  <DocSecurity>0</DocSecurity>
  <Lines>235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33031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12/31</dc:title>
  <dc:creator>HLUSICKOVA</dc:creator>
  <cp:lastModifiedBy>GREŠOVÁ Romana</cp:lastModifiedBy>
  <cp:revision>9</cp:revision>
  <cp:lastPrinted>2013-09-19T07:21:00Z</cp:lastPrinted>
  <dcterms:created xsi:type="dcterms:W3CDTF">2013-09-19T09:38:00Z</dcterms:created>
  <dcterms:modified xsi:type="dcterms:W3CDTF">2013-09-20T07:03:00Z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08/14-30/318/08</vt:lpwstr>
  </property>
  <property fmtid="{D5CDD505-2E9C-101B-9397-08002B2CF9AE}" pid="3" name="SZ_Spis_Pisemnost">
    <vt:lpwstr>08/14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*B000054401*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08-12715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</Properties>
</file>