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16690" w14:textId="77777777" w:rsidR="00E92B94" w:rsidRPr="00BF0801" w:rsidRDefault="00E92B94" w:rsidP="0070324C">
      <w:pPr>
        <w:rPr>
          <w:rFonts w:ascii="Arial" w:hAnsi="Arial" w:cs="Arial"/>
          <w:sz w:val="2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8016756" wp14:editId="78016757">
            <wp:simplePos x="0" y="0"/>
            <wp:positionH relativeFrom="column">
              <wp:posOffset>2524125</wp:posOffset>
            </wp:positionH>
            <wp:positionV relativeFrom="paragraph">
              <wp:posOffset>-152400</wp:posOffset>
            </wp:positionV>
            <wp:extent cx="791210" cy="559435"/>
            <wp:effectExtent l="0" t="0" r="889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16691" w14:textId="77777777" w:rsidR="00E92B94" w:rsidRPr="00BF0801" w:rsidRDefault="00E92B94" w:rsidP="0070324C">
      <w:pPr>
        <w:rPr>
          <w:rFonts w:ascii="Arial" w:hAnsi="Arial" w:cs="Arial"/>
          <w:sz w:val="22"/>
        </w:rPr>
      </w:pPr>
    </w:p>
    <w:p w14:paraId="78016692" w14:textId="77777777" w:rsidR="00E92B94" w:rsidRDefault="00E92B94" w:rsidP="0070324C">
      <w:pPr>
        <w:jc w:val="center"/>
        <w:rPr>
          <w:rFonts w:ascii="Arial" w:hAnsi="Arial" w:cs="Arial"/>
          <w:b/>
        </w:rPr>
      </w:pPr>
    </w:p>
    <w:p w14:paraId="78016693" w14:textId="77777777" w:rsidR="00E92B94" w:rsidRDefault="00E92B94" w:rsidP="0070324C">
      <w:pPr>
        <w:rPr>
          <w:rFonts w:ascii="Arial" w:hAnsi="Arial" w:cs="Arial"/>
          <w:b/>
        </w:rPr>
      </w:pPr>
    </w:p>
    <w:p w14:paraId="78016694" w14:textId="77777777" w:rsidR="00E92B94" w:rsidRPr="00395C6A" w:rsidRDefault="00E92B94" w:rsidP="0070324C">
      <w:pPr>
        <w:jc w:val="center"/>
        <w:rPr>
          <w:rFonts w:ascii="Arial" w:hAnsi="Arial" w:cs="Arial"/>
          <w:b/>
          <w:sz w:val="28"/>
          <w:szCs w:val="28"/>
        </w:rPr>
      </w:pPr>
      <w:r w:rsidRPr="00395C6A">
        <w:rPr>
          <w:rFonts w:ascii="Arial" w:hAnsi="Arial" w:cs="Arial"/>
          <w:b/>
          <w:sz w:val="28"/>
          <w:szCs w:val="28"/>
        </w:rPr>
        <w:t>Kontrolní závěr z kontrolní akce</w:t>
      </w:r>
    </w:p>
    <w:p w14:paraId="78016695" w14:textId="77777777" w:rsidR="00E92B94" w:rsidRPr="00395C6A" w:rsidRDefault="00E92B94" w:rsidP="0070324C">
      <w:pPr>
        <w:jc w:val="center"/>
        <w:rPr>
          <w:rFonts w:ascii="Arial" w:hAnsi="Arial" w:cs="Arial"/>
          <w:b/>
          <w:sz w:val="28"/>
          <w:szCs w:val="28"/>
        </w:rPr>
      </w:pPr>
    </w:p>
    <w:p w14:paraId="78016696" w14:textId="77777777" w:rsidR="00E92B94" w:rsidRPr="00395C6A" w:rsidRDefault="00E92B94" w:rsidP="0070324C">
      <w:pPr>
        <w:jc w:val="center"/>
        <w:rPr>
          <w:rFonts w:ascii="Arial" w:hAnsi="Arial" w:cs="Arial"/>
          <w:b/>
          <w:sz w:val="28"/>
          <w:szCs w:val="28"/>
        </w:rPr>
      </w:pPr>
      <w:r w:rsidRPr="00395C6A">
        <w:rPr>
          <w:rFonts w:ascii="Arial" w:hAnsi="Arial" w:cs="Arial"/>
          <w:b/>
          <w:sz w:val="28"/>
          <w:szCs w:val="28"/>
        </w:rPr>
        <w:t>13/08</w:t>
      </w:r>
    </w:p>
    <w:p w14:paraId="78016697" w14:textId="77777777" w:rsidR="00E92B94" w:rsidRPr="00395C6A" w:rsidRDefault="00E92B94" w:rsidP="0070324C">
      <w:pPr>
        <w:jc w:val="center"/>
        <w:rPr>
          <w:rFonts w:ascii="Arial" w:hAnsi="Arial" w:cs="Arial"/>
          <w:b/>
          <w:sz w:val="28"/>
          <w:szCs w:val="28"/>
        </w:rPr>
      </w:pPr>
    </w:p>
    <w:p w14:paraId="78016698" w14:textId="77777777" w:rsidR="003C7130" w:rsidRPr="00D03CD0" w:rsidRDefault="003C7130" w:rsidP="0070324C">
      <w:pPr>
        <w:jc w:val="center"/>
        <w:rPr>
          <w:rFonts w:ascii="Arial" w:hAnsi="Arial" w:cs="Arial"/>
          <w:b/>
        </w:rPr>
      </w:pPr>
      <w:r w:rsidRPr="00395C6A">
        <w:rPr>
          <w:rFonts w:ascii="Arial" w:hAnsi="Arial" w:cs="Arial"/>
          <w:b/>
          <w:sz w:val="28"/>
          <w:szCs w:val="28"/>
        </w:rPr>
        <w:t xml:space="preserve">Peněžní prostředky určené na účelovou podporu zemědělského výzkumu, vývoje a inovací prostřednictvím rozpočtové kapitoly </w:t>
      </w:r>
      <w:bookmarkStart w:id="0" w:name="_GoBack"/>
      <w:r w:rsidRPr="008C620B">
        <w:rPr>
          <w:rFonts w:ascii="Arial" w:hAnsi="Arial" w:cs="Arial"/>
          <w:b/>
          <w:i/>
          <w:sz w:val="28"/>
          <w:szCs w:val="28"/>
        </w:rPr>
        <w:t>Ministerstvo zemědělství</w:t>
      </w:r>
      <w:bookmarkEnd w:id="0"/>
    </w:p>
    <w:p w14:paraId="78016699" w14:textId="77777777" w:rsidR="00E92B94" w:rsidRPr="0067416A" w:rsidRDefault="00E92B94" w:rsidP="0070324C">
      <w:pPr>
        <w:rPr>
          <w:rFonts w:ascii="Arial" w:hAnsi="Arial" w:cs="Arial"/>
          <w:sz w:val="22"/>
        </w:rPr>
      </w:pPr>
    </w:p>
    <w:p w14:paraId="7801669A" w14:textId="77777777" w:rsidR="003F0EE5" w:rsidRPr="0067416A" w:rsidRDefault="003F0EE5" w:rsidP="0070324C">
      <w:pPr>
        <w:rPr>
          <w:rFonts w:ascii="Arial" w:hAnsi="Arial" w:cs="Arial"/>
          <w:sz w:val="22"/>
        </w:rPr>
      </w:pPr>
    </w:p>
    <w:p w14:paraId="7801669B" w14:textId="77777777" w:rsidR="00E92B94" w:rsidRDefault="00E92B94" w:rsidP="00395C6A">
      <w:pPr>
        <w:jc w:val="both"/>
        <w:rPr>
          <w:rFonts w:ascii="Arial" w:hAnsi="Arial" w:cs="Arial"/>
          <w:sz w:val="22"/>
        </w:rPr>
      </w:pPr>
      <w:r w:rsidRPr="00BF0801">
        <w:rPr>
          <w:rFonts w:ascii="Arial" w:hAnsi="Arial" w:cs="Arial"/>
          <w:sz w:val="22"/>
        </w:rPr>
        <w:t xml:space="preserve">Kontrolní akce byla zařazena do plánu kontrolní činnosti Nejvyššího kontrolního úřadu (dále </w:t>
      </w:r>
      <w:r>
        <w:rPr>
          <w:rFonts w:ascii="Arial" w:hAnsi="Arial" w:cs="Arial"/>
          <w:sz w:val="22"/>
        </w:rPr>
        <w:t xml:space="preserve">také </w:t>
      </w:r>
      <w:r w:rsidRPr="00BF0801">
        <w:rPr>
          <w:rFonts w:ascii="Arial" w:hAnsi="Arial" w:cs="Arial"/>
          <w:sz w:val="22"/>
        </w:rPr>
        <w:t>„NKÚ“) na rok 201</w:t>
      </w:r>
      <w:r w:rsidR="003C7130">
        <w:rPr>
          <w:rFonts w:ascii="Arial" w:hAnsi="Arial" w:cs="Arial"/>
          <w:sz w:val="22"/>
        </w:rPr>
        <w:t>3</w:t>
      </w:r>
      <w:r w:rsidRPr="00BF0801">
        <w:rPr>
          <w:rFonts w:ascii="Arial" w:hAnsi="Arial" w:cs="Arial"/>
          <w:sz w:val="22"/>
        </w:rPr>
        <w:t xml:space="preserve"> pod číslem 1</w:t>
      </w:r>
      <w:r w:rsidR="003C7130">
        <w:rPr>
          <w:rFonts w:ascii="Arial" w:hAnsi="Arial" w:cs="Arial"/>
          <w:sz w:val="22"/>
        </w:rPr>
        <w:t>3</w:t>
      </w:r>
      <w:r w:rsidRPr="00BF0801">
        <w:rPr>
          <w:rFonts w:ascii="Arial" w:hAnsi="Arial" w:cs="Arial"/>
          <w:sz w:val="22"/>
        </w:rPr>
        <w:t>/</w:t>
      </w:r>
      <w:r>
        <w:rPr>
          <w:rFonts w:ascii="Arial" w:hAnsi="Arial" w:cs="Arial"/>
          <w:sz w:val="22"/>
        </w:rPr>
        <w:t>0</w:t>
      </w:r>
      <w:r w:rsidR="003C7130">
        <w:rPr>
          <w:rFonts w:ascii="Arial" w:hAnsi="Arial" w:cs="Arial"/>
          <w:sz w:val="22"/>
        </w:rPr>
        <w:t>8</w:t>
      </w:r>
      <w:r w:rsidRPr="00BF0801">
        <w:rPr>
          <w:rFonts w:ascii="Arial" w:hAnsi="Arial" w:cs="Arial"/>
          <w:sz w:val="22"/>
        </w:rPr>
        <w:t xml:space="preserve">. Kontrolní akci řídil a kontrolní závěr vypracoval člen </w:t>
      </w:r>
      <w:r w:rsidR="00136B5A">
        <w:rPr>
          <w:rFonts w:ascii="Arial" w:hAnsi="Arial" w:cs="Arial"/>
          <w:sz w:val="22"/>
        </w:rPr>
        <w:t>NKÚ RNDr. Petr Neuvirt.</w:t>
      </w:r>
    </w:p>
    <w:p w14:paraId="7801669C" w14:textId="77777777" w:rsidR="003F0EE5" w:rsidRDefault="003F0EE5" w:rsidP="00395C6A">
      <w:pPr>
        <w:jc w:val="both"/>
        <w:rPr>
          <w:rFonts w:ascii="Arial" w:hAnsi="Arial" w:cs="Arial"/>
          <w:sz w:val="22"/>
        </w:rPr>
      </w:pPr>
    </w:p>
    <w:p w14:paraId="7801669D" w14:textId="77777777" w:rsidR="00E92B94" w:rsidRDefault="00E92B94" w:rsidP="00395C6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Cílem kontroly bylo p</w:t>
      </w:r>
      <w:r w:rsidRPr="00F03D17">
        <w:rPr>
          <w:rFonts w:ascii="Arial" w:hAnsi="Arial" w:cs="Arial"/>
          <w:sz w:val="22"/>
        </w:rPr>
        <w:t xml:space="preserve">rověřit </w:t>
      </w:r>
      <w:r w:rsidR="003C7130" w:rsidRPr="003C7130">
        <w:rPr>
          <w:rFonts w:ascii="Arial" w:hAnsi="Arial" w:cs="Arial"/>
          <w:sz w:val="22"/>
        </w:rPr>
        <w:t>poskytování, čerpání a užití peněžních prostředků určených na účelovou podporu zemědělského výzkumu, vývoje a inovací a systém hodnocení</w:t>
      </w:r>
      <w:r w:rsidR="00136B5A">
        <w:rPr>
          <w:rFonts w:ascii="Arial" w:hAnsi="Arial" w:cs="Arial"/>
          <w:sz w:val="22"/>
        </w:rPr>
        <w:t xml:space="preserve"> přínosů z poskytnutých podpor.</w:t>
      </w:r>
    </w:p>
    <w:p w14:paraId="7801669E" w14:textId="77777777" w:rsidR="003F0EE5" w:rsidRDefault="003F0EE5" w:rsidP="00395C6A">
      <w:pPr>
        <w:jc w:val="both"/>
        <w:rPr>
          <w:rFonts w:ascii="Arial" w:hAnsi="Arial" w:cs="Arial"/>
          <w:sz w:val="22"/>
        </w:rPr>
      </w:pPr>
    </w:p>
    <w:p w14:paraId="7801669F" w14:textId="77777777" w:rsidR="00E92B94" w:rsidRDefault="00E92B94" w:rsidP="00395C6A">
      <w:pPr>
        <w:jc w:val="both"/>
        <w:rPr>
          <w:rFonts w:ascii="Arial" w:hAnsi="Arial" w:cs="Arial"/>
          <w:sz w:val="22"/>
        </w:rPr>
      </w:pPr>
      <w:r w:rsidRPr="00BF0801">
        <w:rPr>
          <w:rFonts w:ascii="Arial" w:hAnsi="Arial" w:cs="Arial"/>
          <w:sz w:val="22"/>
        </w:rPr>
        <w:t>Kontrolovaným obdobím byl</w:t>
      </w:r>
      <w:r>
        <w:rPr>
          <w:rFonts w:ascii="Arial" w:hAnsi="Arial" w:cs="Arial"/>
          <w:sz w:val="22"/>
        </w:rPr>
        <w:t>y</w:t>
      </w:r>
      <w:r w:rsidRPr="00BF0801">
        <w:rPr>
          <w:rFonts w:ascii="Arial" w:hAnsi="Arial" w:cs="Arial"/>
          <w:sz w:val="22"/>
        </w:rPr>
        <w:t xml:space="preserve"> rok</w:t>
      </w:r>
      <w:r>
        <w:rPr>
          <w:rFonts w:ascii="Arial" w:hAnsi="Arial" w:cs="Arial"/>
          <w:sz w:val="22"/>
        </w:rPr>
        <w:t>y</w:t>
      </w:r>
      <w:r w:rsidRPr="00BF0801">
        <w:rPr>
          <w:rFonts w:ascii="Arial" w:hAnsi="Arial" w:cs="Arial"/>
          <w:sz w:val="22"/>
        </w:rPr>
        <w:t xml:space="preserve"> 20</w:t>
      </w:r>
      <w:r w:rsidR="003C7130">
        <w:rPr>
          <w:rFonts w:ascii="Arial" w:hAnsi="Arial" w:cs="Arial"/>
          <w:sz w:val="22"/>
        </w:rPr>
        <w:t>1</w:t>
      </w:r>
      <w:r w:rsidRPr="00BF0801">
        <w:rPr>
          <w:rFonts w:ascii="Arial" w:hAnsi="Arial" w:cs="Arial"/>
          <w:sz w:val="22"/>
        </w:rPr>
        <w:t xml:space="preserve">0 </w:t>
      </w:r>
      <w:r>
        <w:rPr>
          <w:rFonts w:ascii="Arial" w:hAnsi="Arial" w:cs="Arial"/>
          <w:sz w:val="22"/>
        </w:rPr>
        <w:t>až</w:t>
      </w:r>
      <w:r w:rsidRPr="00BF0801">
        <w:rPr>
          <w:rFonts w:ascii="Arial" w:hAnsi="Arial" w:cs="Arial"/>
          <w:sz w:val="22"/>
        </w:rPr>
        <w:t xml:space="preserve"> 201</w:t>
      </w:r>
      <w:r w:rsidR="003C7130">
        <w:rPr>
          <w:rFonts w:ascii="Arial" w:hAnsi="Arial" w:cs="Arial"/>
          <w:sz w:val="22"/>
        </w:rPr>
        <w:t>2</w:t>
      </w:r>
      <w:r w:rsidRPr="00BF0801">
        <w:rPr>
          <w:rFonts w:ascii="Arial" w:hAnsi="Arial" w:cs="Arial"/>
          <w:sz w:val="22"/>
        </w:rPr>
        <w:t xml:space="preserve">, </w:t>
      </w:r>
      <w:r w:rsidR="00BF036A">
        <w:rPr>
          <w:rFonts w:ascii="Arial" w:hAnsi="Arial" w:cs="Arial"/>
          <w:sz w:val="22"/>
        </w:rPr>
        <w:t>v </w:t>
      </w:r>
      <w:r w:rsidRPr="00BF0801">
        <w:rPr>
          <w:rFonts w:ascii="Arial" w:hAnsi="Arial" w:cs="Arial"/>
          <w:sz w:val="22"/>
        </w:rPr>
        <w:t>případě věcných souvislostí i</w:t>
      </w:r>
      <w:r>
        <w:rPr>
          <w:rFonts w:ascii="Arial" w:hAnsi="Arial" w:cs="Arial"/>
          <w:sz w:val="22"/>
        </w:rPr>
        <w:t xml:space="preserve"> </w:t>
      </w:r>
      <w:r w:rsidRPr="00BF0801">
        <w:rPr>
          <w:rFonts w:ascii="Arial" w:hAnsi="Arial" w:cs="Arial"/>
          <w:sz w:val="22"/>
        </w:rPr>
        <w:t>období předch</w:t>
      </w:r>
      <w:r>
        <w:rPr>
          <w:rFonts w:ascii="Arial" w:hAnsi="Arial" w:cs="Arial"/>
          <w:sz w:val="22"/>
        </w:rPr>
        <w:t>ázející</w:t>
      </w:r>
      <w:r w:rsidRPr="00BF0801">
        <w:rPr>
          <w:rFonts w:ascii="Arial" w:hAnsi="Arial" w:cs="Arial"/>
          <w:sz w:val="22"/>
        </w:rPr>
        <w:t xml:space="preserve"> a</w:t>
      </w:r>
      <w:r>
        <w:rPr>
          <w:rFonts w:ascii="Arial" w:hAnsi="Arial" w:cs="Arial"/>
          <w:sz w:val="22"/>
        </w:rPr>
        <w:t xml:space="preserve"> </w:t>
      </w:r>
      <w:r w:rsidRPr="00BF0801">
        <w:rPr>
          <w:rFonts w:ascii="Arial" w:hAnsi="Arial" w:cs="Arial"/>
          <w:sz w:val="22"/>
        </w:rPr>
        <w:t>následující.</w:t>
      </w:r>
      <w:r w:rsidRPr="000065F2">
        <w:rPr>
          <w:rFonts w:ascii="Arial" w:hAnsi="Arial" w:cs="Arial"/>
          <w:sz w:val="22"/>
        </w:rPr>
        <w:t xml:space="preserve"> </w:t>
      </w:r>
      <w:r w:rsidRPr="00BF0801">
        <w:rPr>
          <w:rFonts w:ascii="Arial" w:hAnsi="Arial" w:cs="Arial"/>
          <w:sz w:val="22"/>
        </w:rPr>
        <w:t xml:space="preserve">Kontrola byla prováděna </w:t>
      </w:r>
      <w:r w:rsidR="00BF036A">
        <w:rPr>
          <w:rFonts w:ascii="Arial" w:hAnsi="Arial" w:cs="Arial"/>
          <w:sz w:val="22"/>
        </w:rPr>
        <w:t>v </w:t>
      </w:r>
      <w:r w:rsidRPr="00BF0801">
        <w:rPr>
          <w:rFonts w:ascii="Arial" w:hAnsi="Arial" w:cs="Arial"/>
          <w:sz w:val="22"/>
        </w:rPr>
        <w:t xml:space="preserve">době od </w:t>
      </w:r>
      <w:r w:rsidR="003C7130">
        <w:rPr>
          <w:rFonts w:ascii="Arial" w:hAnsi="Arial" w:cs="Arial"/>
          <w:sz w:val="22"/>
        </w:rPr>
        <w:t>únor</w:t>
      </w:r>
      <w:r>
        <w:rPr>
          <w:rFonts w:ascii="Arial" w:hAnsi="Arial" w:cs="Arial"/>
          <w:sz w:val="22"/>
        </w:rPr>
        <w:t>a 201</w:t>
      </w:r>
      <w:r w:rsidR="003C7130">
        <w:rPr>
          <w:rFonts w:ascii="Arial" w:hAnsi="Arial" w:cs="Arial"/>
          <w:sz w:val="22"/>
        </w:rPr>
        <w:t>3</w:t>
      </w:r>
      <w:r>
        <w:rPr>
          <w:rFonts w:ascii="Arial" w:hAnsi="Arial" w:cs="Arial"/>
          <w:sz w:val="22"/>
        </w:rPr>
        <w:t xml:space="preserve"> </w:t>
      </w:r>
      <w:r w:rsidRPr="00BF0801">
        <w:rPr>
          <w:rFonts w:ascii="Arial" w:hAnsi="Arial" w:cs="Arial"/>
          <w:sz w:val="22"/>
        </w:rPr>
        <w:t xml:space="preserve">do </w:t>
      </w:r>
      <w:r w:rsidR="003C7130">
        <w:rPr>
          <w:rFonts w:ascii="Arial" w:hAnsi="Arial" w:cs="Arial"/>
          <w:sz w:val="22"/>
        </w:rPr>
        <w:t>srp</w:t>
      </w:r>
      <w:r>
        <w:rPr>
          <w:rFonts w:ascii="Arial" w:hAnsi="Arial" w:cs="Arial"/>
          <w:sz w:val="22"/>
        </w:rPr>
        <w:t>na 201</w:t>
      </w:r>
      <w:r w:rsidR="003C7130">
        <w:rPr>
          <w:rFonts w:ascii="Arial" w:hAnsi="Arial" w:cs="Arial"/>
          <w:sz w:val="22"/>
        </w:rPr>
        <w:t>3</w:t>
      </w:r>
      <w:r w:rsidRPr="00BF0801">
        <w:rPr>
          <w:rFonts w:ascii="Arial" w:hAnsi="Arial" w:cs="Arial"/>
          <w:sz w:val="22"/>
        </w:rPr>
        <w:t>.</w:t>
      </w:r>
    </w:p>
    <w:p w14:paraId="780166A0" w14:textId="77777777" w:rsidR="003F0EE5" w:rsidRDefault="003F0EE5" w:rsidP="00395C6A">
      <w:pPr>
        <w:jc w:val="both"/>
        <w:rPr>
          <w:rFonts w:ascii="Arial" w:hAnsi="Arial" w:cs="Arial"/>
          <w:sz w:val="22"/>
        </w:rPr>
      </w:pPr>
    </w:p>
    <w:p w14:paraId="780166A1" w14:textId="77777777" w:rsidR="00D22C00" w:rsidRDefault="00E92B94" w:rsidP="00395C6A">
      <w:pPr>
        <w:jc w:val="both"/>
        <w:rPr>
          <w:rFonts w:ascii="Arial" w:hAnsi="Arial" w:cs="Arial"/>
          <w:sz w:val="22"/>
        </w:rPr>
      </w:pPr>
      <w:r w:rsidRPr="00BF0801">
        <w:rPr>
          <w:rFonts w:ascii="Arial" w:hAnsi="Arial" w:cs="Arial"/>
          <w:sz w:val="22"/>
        </w:rPr>
        <w:t>Kontrolovan</w:t>
      </w:r>
      <w:r>
        <w:rPr>
          <w:rFonts w:ascii="Arial" w:hAnsi="Arial" w:cs="Arial"/>
          <w:sz w:val="22"/>
        </w:rPr>
        <w:t>é</w:t>
      </w:r>
      <w:r w:rsidRPr="00BF0801">
        <w:rPr>
          <w:rFonts w:ascii="Arial" w:hAnsi="Arial" w:cs="Arial"/>
          <w:sz w:val="22"/>
        </w:rPr>
        <w:t xml:space="preserve"> osob</w:t>
      </w:r>
      <w:r>
        <w:rPr>
          <w:rFonts w:ascii="Arial" w:hAnsi="Arial" w:cs="Arial"/>
          <w:sz w:val="22"/>
        </w:rPr>
        <w:t>y:</w:t>
      </w:r>
      <w:r w:rsidRPr="00BF0801">
        <w:rPr>
          <w:rFonts w:ascii="Arial" w:hAnsi="Arial" w:cs="Arial"/>
          <w:sz w:val="22"/>
        </w:rPr>
        <w:t xml:space="preserve"> </w:t>
      </w:r>
    </w:p>
    <w:p w14:paraId="780166A2" w14:textId="77777777" w:rsidR="00D03CD0" w:rsidRDefault="00D03CD0" w:rsidP="00395C6A">
      <w:pPr>
        <w:jc w:val="both"/>
        <w:rPr>
          <w:rFonts w:ascii="Arial" w:hAnsi="Arial" w:cs="Arial"/>
          <w:sz w:val="22"/>
        </w:rPr>
      </w:pPr>
      <w:r w:rsidRPr="00D03CD0">
        <w:rPr>
          <w:rFonts w:ascii="Arial" w:hAnsi="Arial" w:cs="Arial"/>
          <w:sz w:val="22"/>
        </w:rPr>
        <w:t xml:space="preserve">Ministerstvo zemědělství; Česká zemědělská univerzita </w:t>
      </w:r>
      <w:r w:rsidR="00BF036A">
        <w:rPr>
          <w:rFonts w:ascii="Arial" w:hAnsi="Arial" w:cs="Arial"/>
          <w:sz w:val="22"/>
        </w:rPr>
        <w:t>v </w:t>
      </w:r>
      <w:r w:rsidRPr="00D03CD0">
        <w:rPr>
          <w:rFonts w:ascii="Arial" w:hAnsi="Arial" w:cs="Arial"/>
          <w:sz w:val="22"/>
        </w:rPr>
        <w:t>Praze; GaREP, spol. s r.o., Brno; VÝZKUMNÝ A ŠLECHTITELSKÝ ÚSTAV OVOCNÁŘSKÝ HOLOVOUSY s.r.o., okres Jičín; Výzkumný ústav bramborářský Havlíčkův Brod, s.r.o., Havlíčkův Brod; Zemědělský výzkum,</w:t>
      </w:r>
      <w:r w:rsidR="00693EA1">
        <w:rPr>
          <w:rFonts w:ascii="Arial" w:hAnsi="Arial" w:cs="Arial"/>
          <w:sz w:val="22"/>
        </w:rPr>
        <w:t> </w:t>
      </w:r>
      <w:r w:rsidRPr="00D03CD0">
        <w:rPr>
          <w:rFonts w:ascii="Arial" w:hAnsi="Arial" w:cs="Arial"/>
          <w:sz w:val="22"/>
        </w:rPr>
        <w:t>spol. s r.o., Troubsko; Biologické centrum AV ČR, v.</w:t>
      </w:r>
      <w:r>
        <w:rPr>
          <w:rFonts w:ascii="Arial" w:hAnsi="Arial" w:cs="Arial"/>
          <w:sz w:val="22"/>
        </w:rPr>
        <w:t> </w:t>
      </w:r>
      <w:r w:rsidRPr="00D03CD0">
        <w:rPr>
          <w:rFonts w:ascii="Arial" w:hAnsi="Arial" w:cs="Arial"/>
          <w:sz w:val="22"/>
        </w:rPr>
        <w:t>v.</w:t>
      </w:r>
      <w:r>
        <w:rPr>
          <w:rFonts w:ascii="Arial" w:hAnsi="Arial" w:cs="Arial"/>
          <w:sz w:val="22"/>
        </w:rPr>
        <w:t> </w:t>
      </w:r>
      <w:r w:rsidRPr="00D03CD0">
        <w:rPr>
          <w:rFonts w:ascii="Arial" w:hAnsi="Arial" w:cs="Arial"/>
          <w:sz w:val="22"/>
        </w:rPr>
        <w:t xml:space="preserve">i., České Budějovice; </w:t>
      </w:r>
      <w:r w:rsidRPr="00693EA1">
        <w:rPr>
          <w:rFonts w:ascii="Arial" w:hAnsi="Arial" w:cs="Arial"/>
          <w:spacing w:val="4"/>
          <w:sz w:val="22"/>
        </w:rPr>
        <w:t>Výzkumný ústav potravinářský Praha, v.</w:t>
      </w:r>
      <w:r w:rsidR="00693EA1">
        <w:rPr>
          <w:rFonts w:ascii="Arial" w:hAnsi="Arial" w:cs="Arial"/>
          <w:spacing w:val="4"/>
          <w:sz w:val="22"/>
        </w:rPr>
        <w:t> </w:t>
      </w:r>
      <w:r w:rsidRPr="00693EA1">
        <w:rPr>
          <w:rFonts w:ascii="Arial" w:hAnsi="Arial" w:cs="Arial"/>
          <w:spacing w:val="4"/>
          <w:sz w:val="22"/>
        </w:rPr>
        <w:t>v.</w:t>
      </w:r>
      <w:r w:rsidR="00693EA1">
        <w:rPr>
          <w:rFonts w:ascii="Arial" w:hAnsi="Arial" w:cs="Arial"/>
          <w:spacing w:val="4"/>
          <w:sz w:val="22"/>
        </w:rPr>
        <w:t> </w:t>
      </w:r>
      <w:r w:rsidRPr="00693EA1">
        <w:rPr>
          <w:rFonts w:ascii="Arial" w:hAnsi="Arial" w:cs="Arial"/>
          <w:spacing w:val="4"/>
          <w:sz w:val="22"/>
        </w:rPr>
        <w:t>i., Praha; Výzkumný ústav rostlinné</w:t>
      </w:r>
      <w:r w:rsidRPr="00D03CD0">
        <w:rPr>
          <w:rFonts w:ascii="Arial" w:hAnsi="Arial" w:cs="Arial"/>
          <w:sz w:val="22"/>
        </w:rPr>
        <w:t xml:space="preserve"> výroby,</w:t>
      </w:r>
      <w:r w:rsidR="00693EA1">
        <w:rPr>
          <w:rFonts w:ascii="Arial" w:hAnsi="Arial" w:cs="Arial"/>
          <w:sz w:val="22"/>
        </w:rPr>
        <w:t> </w:t>
      </w:r>
      <w:r w:rsidRPr="00D03CD0">
        <w:rPr>
          <w:rFonts w:ascii="Arial" w:hAnsi="Arial" w:cs="Arial"/>
          <w:sz w:val="22"/>
        </w:rPr>
        <w:t>v.</w:t>
      </w:r>
      <w:r w:rsidR="00693EA1">
        <w:rPr>
          <w:rFonts w:ascii="Arial" w:hAnsi="Arial" w:cs="Arial"/>
          <w:sz w:val="22"/>
        </w:rPr>
        <w:t> </w:t>
      </w:r>
      <w:r w:rsidRPr="00D03CD0">
        <w:rPr>
          <w:rFonts w:ascii="Arial" w:hAnsi="Arial" w:cs="Arial"/>
          <w:sz w:val="22"/>
        </w:rPr>
        <w:t>v.</w:t>
      </w:r>
      <w:r w:rsidR="00693EA1">
        <w:rPr>
          <w:rFonts w:ascii="Arial" w:hAnsi="Arial" w:cs="Arial"/>
          <w:sz w:val="22"/>
        </w:rPr>
        <w:t> </w:t>
      </w:r>
      <w:r w:rsidRPr="00D03CD0">
        <w:rPr>
          <w:rFonts w:ascii="Arial" w:hAnsi="Arial" w:cs="Arial"/>
          <w:sz w:val="22"/>
        </w:rPr>
        <w:t xml:space="preserve">i., Praha; Výzkumný ústav veterinárního lékařství, v. v. i., Brno; Výzkumný ústav živočišné výroby, v. v. i., Praha; Veterinární a farmaceutická univerzita Brno; Vysoké učení technické </w:t>
      </w:r>
      <w:r w:rsidR="00BF036A">
        <w:rPr>
          <w:rFonts w:ascii="Arial" w:hAnsi="Arial" w:cs="Arial"/>
          <w:sz w:val="22"/>
        </w:rPr>
        <w:t>v </w:t>
      </w:r>
      <w:r w:rsidRPr="00D03CD0">
        <w:rPr>
          <w:rFonts w:ascii="Arial" w:hAnsi="Arial" w:cs="Arial"/>
          <w:sz w:val="22"/>
        </w:rPr>
        <w:t>Brně; Ústav zemědělské ekonomiky a informací, Praha</w:t>
      </w:r>
      <w:r w:rsidR="00693EA1">
        <w:rPr>
          <w:rFonts w:ascii="Arial" w:hAnsi="Arial" w:cs="Arial"/>
          <w:sz w:val="22"/>
        </w:rPr>
        <w:t>.</w:t>
      </w:r>
    </w:p>
    <w:p w14:paraId="780166A3" w14:textId="77777777" w:rsidR="00D03CD0" w:rsidRDefault="00D03CD0" w:rsidP="00D03CD0">
      <w:pPr>
        <w:jc w:val="both"/>
        <w:rPr>
          <w:rFonts w:ascii="Arial" w:hAnsi="Arial" w:cs="Arial"/>
          <w:sz w:val="22"/>
        </w:rPr>
      </w:pPr>
    </w:p>
    <w:p w14:paraId="780166A4" w14:textId="77777777" w:rsidR="00E92B94" w:rsidRDefault="00E92B94" w:rsidP="00D03CD0">
      <w:pPr>
        <w:jc w:val="both"/>
        <w:rPr>
          <w:rFonts w:ascii="Arial" w:hAnsi="Arial" w:cs="Arial"/>
          <w:sz w:val="22"/>
        </w:rPr>
      </w:pPr>
      <w:r w:rsidRPr="00156EB8">
        <w:rPr>
          <w:rFonts w:ascii="Arial" w:hAnsi="Arial" w:cs="Arial"/>
          <w:sz w:val="22"/>
        </w:rPr>
        <w:t>Námitky</w:t>
      </w:r>
      <w:r>
        <w:rPr>
          <w:rFonts w:ascii="Arial" w:hAnsi="Arial" w:cs="Arial"/>
          <w:sz w:val="22"/>
        </w:rPr>
        <w:t>, které</w:t>
      </w:r>
      <w:r w:rsidRPr="00156EB8">
        <w:rPr>
          <w:rFonts w:ascii="Arial" w:hAnsi="Arial" w:cs="Arial"/>
          <w:sz w:val="22"/>
        </w:rPr>
        <w:t xml:space="preserve"> proti kontrolnímu protokolu poda</w:t>
      </w:r>
      <w:r>
        <w:rPr>
          <w:rFonts w:ascii="Arial" w:hAnsi="Arial" w:cs="Arial"/>
          <w:sz w:val="22"/>
        </w:rPr>
        <w:t>lo</w:t>
      </w:r>
      <w:r w:rsidRPr="00156EB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Ministerstvo</w:t>
      </w:r>
      <w:r w:rsidRPr="00F03D17">
        <w:rPr>
          <w:rFonts w:ascii="Arial" w:hAnsi="Arial" w:cs="Arial"/>
          <w:sz w:val="22"/>
        </w:rPr>
        <w:t xml:space="preserve"> </w:t>
      </w:r>
      <w:r w:rsidR="00FE3C29" w:rsidRPr="00FE3C29">
        <w:rPr>
          <w:rFonts w:ascii="Arial" w:hAnsi="Arial" w:cs="Arial"/>
          <w:sz w:val="22"/>
          <w:szCs w:val="22"/>
        </w:rPr>
        <w:t>zemědělství</w:t>
      </w:r>
      <w:r w:rsidR="00FE3C2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 w:rsidR="00FE3C29" w:rsidRPr="00FE3C29">
        <w:rPr>
          <w:rFonts w:ascii="Arial" w:hAnsi="Arial" w:cs="Arial"/>
          <w:sz w:val="22"/>
        </w:rPr>
        <w:t xml:space="preserve"> </w:t>
      </w:r>
      <w:r w:rsidR="00693EA1">
        <w:rPr>
          <w:rFonts w:ascii="Arial" w:hAnsi="Arial" w:cs="Arial"/>
          <w:sz w:val="22"/>
        </w:rPr>
        <w:t xml:space="preserve">společnost </w:t>
      </w:r>
      <w:r w:rsidR="00FE3C29" w:rsidRPr="00FE3C29">
        <w:rPr>
          <w:rFonts w:ascii="Arial" w:hAnsi="Arial" w:cs="Arial"/>
          <w:sz w:val="22"/>
        </w:rPr>
        <w:t>GaREP, spol. s</w:t>
      </w:r>
      <w:r w:rsidR="00FE3C29">
        <w:rPr>
          <w:rFonts w:ascii="Arial" w:hAnsi="Arial" w:cs="Arial"/>
          <w:sz w:val="22"/>
        </w:rPr>
        <w:t> </w:t>
      </w:r>
      <w:r w:rsidR="00FE3C29" w:rsidRPr="00FE3C29">
        <w:rPr>
          <w:rFonts w:ascii="Arial" w:hAnsi="Arial" w:cs="Arial"/>
          <w:sz w:val="22"/>
        </w:rPr>
        <w:t>r.o.</w:t>
      </w:r>
      <w:r w:rsidR="00D03CD0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byly vypořádány vedoucími skupin kontrolujících rozhodnutími o</w:t>
      </w:r>
      <w:r w:rsidR="00693EA1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 xml:space="preserve">námitkách. </w:t>
      </w:r>
    </w:p>
    <w:p w14:paraId="780166A5" w14:textId="77777777" w:rsidR="00D03CD0" w:rsidRDefault="00D03CD0" w:rsidP="00D03CD0">
      <w:pPr>
        <w:jc w:val="both"/>
        <w:rPr>
          <w:rFonts w:ascii="Arial" w:hAnsi="Arial" w:cs="Arial"/>
          <w:sz w:val="22"/>
        </w:rPr>
      </w:pPr>
    </w:p>
    <w:p w14:paraId="780166A6" w14:textId="77777777" w:rsidR="003F0EE5" w:rsidRDefault="003F0EE5" w:rsidP="00D03CD0">
      <w:pPr>
        <w:jc w:val="both"/>
        <w:rPr>
          <w:rFonts w:ascii="Arial" w:hAnsi="Arial" w:cs="Arial"/>
          <w:sz w:val="22"/>
        </w:rPr>
      </w:pPr>
    </w:p>
    <w:p w14:paraId="780166A7" w14:textId="77777777" w:rsidR="00E92B94" w:rsidRDefault="00E92B94" w:rsidP="00D03CD0">
      <w:pPr>
        <w:rPr>
          <w:rFonts w:ascii="Arial" w:hAnsi="Arial" w:cs="Arial"/>
          <w:sz w:val="22"/>
        </w:rPr>
      </w:pPr>
      <w:r w:rsidRPr="00395C6A">
        <w:rPr>
          <w:rFonts w:ascii="Arial" w:hAnsi="Arial" w:cs="Arial"/>
          <w:b/>
          <w:i/>
          <w:spacing w:val="40"/>
          <w:sz w:val="22"/>
        </w:rPr>
        <w:t>Kolegium NKÚ</w:t>
      </w:r>
      <w:r w:rsidRPr="00BF0801">
        <w:rPr>
          <w:rFonts w:ascii="Arial" w:hAnsi="Arial" w:cs="Arial"/>
          <w:sz w:val="22"/>
        </w:rPr>
        <w:t xml:space="preserve">   na svém</w:t>
      </w:r>
      <w:r>
        <w:rPr>
          <w:rFonts w:ascii="Arial" w:hAnsi="Arial" w:cs="Arial"/>
          <w:sz w:val="22"/>
        </w:rPr>
        <w:t xml:space="preserve"> </w:t>
      </w:r>
      <w:r w:rsidR="008C5BAF">
        <w:rPr>
          <w:rFonts w:ascii="Arial" w:hAnsi="Arial" w:cs="Arial"/>
          <w:sz w:val="22"/>
        </w:rPr>
        <w:t>XV</w:t>
      </w:r>
      <w:r w:rsidR="008A5823">
        <w:rPr>
          <w:rFonts w:ascii="Arial" w:hAnsi="Arial" w:cs="Arial"/>
          <w:sz w:val="22"/>
        </w:rPr>
        <w:t>I</w:t>
      </w:r>
      <w:r w:rsidR="008C5BAF">
        <w:rPr>
          <w:rFonts w:ascii="Arial" w:hAnsi="Arial" w:cs="Arial"/>
          <w:sz w:val="22"/>
        </w:rPr>
        <w:t xml:space="preserve">II. </w:t>
      </w:r>
      <w:r>
        <w:rPr>
          <w:rFonts w:ascii="Arial" w:hAnsi="Arial" w:cs="Arial"/>
          <w:sz w:val="22"/>
        </w:rPr>
        <w:t>z</w:t>
      </w:r>
      <w:r w:rsidRPr="00BF0801">
        <w:rPr>
          <w:rFonts w:ascii="Arial" w:hAnsi="Arial" w:cs="Arial"/>
          <w:sz w:val="22"/>
        </w:rPr>
        <w:t>asedání, konaném dne</w:t>
      </w:r>
      <w:r w:rsidR="008C5BAF">
        <w:rPr>
          <w:rFonts w:ascii="Arial" w:hAnsi="Arial" w:cs="Arial"/>
          <w:sz w:val="22"/>
        </w:rPr>
        <w:t xml:space="preserve"> 4. listopadu 2013</w:t>
      </w:r>
      <w:r w:rsidRPr="00BF0801">
        <w:rPr>
          <w:rFonts w:ascii="Arial" w:hAnsi="Arial" w:cs="Arial"/>
          <w:sz w:val="22"/>
        </w:rPr>
        <w:t>,</w:t>
      </w:r>
    </w:p>
    <w:p w14:paraId="780166A8" w14:textId="77777777" w:rsidR="00E92B94" w:rsidRDefault="00E92B94" w:rsidP="00D03CD0">
      <w:pPr>
        <w:rPr>
          <w:rFonts w:ascii="Arial" w:hAnsi="Arial" w:cs="Arial"/>
          <w:sz w:val="22"/>
        </w:rPr>
      </w:pPr>
      <w:r w:rsidRPr="00395C6A">
        <w:rPr>
          <w:rFonts w:ascii="Arial" w:hAnsi="Arial" w:cs="Arial"/>
          <w:b/>
          <w:i/>
          <w:spacing w:val="40"/>
          <w:sz w:val="22"/>
        </w:rPr>
        <w:t>schválilo</w:t>
      </w:r>
      <w:r w:rsidRPr="00BF0801">
        <w:rPr>
          <w:rFonts w:ascii="Arial" w:hAnsi="Arial" w:cs="Arial"/>
          <w:sz w:val="22"/>
        </w:rPr>
        <w:t xml:space="preserve">   usnesením č</w:t>
      </w:r>
      <w:r w:rsidRPr="006E1931">
        <w:rPr>
          <w:rFonts w:ascii="Arial" w:hAnsi="Arial" w:cs="Arial"/>
          <w:sz w:val="22"/>
        </w:rPr>
        <w:t xml:space="preserve">. </w:t>
      </w:r>
      <w:r w:rsidR="0013221F">
        <w:rPr>
          <w:rFonts w:ascii="Arial" w:hAnsi="Arial" w:cs="Arial"/>
          <w:sz w:val="22"/>
        </w:rPr>
        <w:t>8</w:t>
      </w:r>
      <w:r w:rsidR="00D03CD0">
        <w:rPr>
          <w:rFonts w:ascii="Arial" w:hAnsi="Arial" w:cs="Arial"/>
          <w:sz w:val="22"/>
        </w:rPr>
        <w:t>/</w:t>
      </w:r>
      <w:r w:rsidR="008A5823">
        <w:rPr>
          <w:rFonts w:ascii="Arial" w:hAnsi="Arial" w:cs="Arial"/>
          <w:sz w:val="22"/>
        </w:rPr>
        <w:t>XVIII</w:t>
      </w:r>
      <w:r w:rsidR="00D03CD0">
        <w:rPr>
          <w:rFonts w:ascii="Arial" w:hAnsi="Arial" w:cs="Arial"/>
          <w:sz w:val="22"/>
        </w:rPr>
        <w:t>/2013</w:t>
      </w:r>
    </w:p>
    <w:p w14:paraId="780166A9" w14:textId="77777777" w:rsidR="00E92B94" w:rsidRPr="00136B5A" w:rsidRDefault="00E92B94" w:rsidP="00D03CD0">
      <w:pPr>
        <w:rPr>
          <w:rFonts w:ascii="Arial" w:hAnsi="Arial" w:cs="Arial"/>
          <w:sz w:val="22"/>
        </w:rPr>
      </w:pPr>
      <w:r w:rsidRPr="00395C6A">
        <w:rPr>
          <w:rFonts w:ascii="Arial" w:hAnsi="Arial" w:cs="Arial"/>
          <w:b/>
          <w:i/>
          <w:spacing w:val="40"/>
          <w:sz w:val="22"/>
        </w:rPr>
        <w:t>kontrolní</w:t>
      </w:r>
      <w:r w:rsidRPr="00395C6A">
        <w:rPr>
          <w:rFonts w:ascii="Arial" w:hAnsi="Arial" w:cs="Arial"/>
          <w:spacing w:val="40"/>
          <w:sz w:val="22"/>
        </w:rPr>
        <w:t xml:space="preserve"> </w:t>
      </w:r>
      <w:r w:rsidRPr="00395C6A">
        <w:rPr>
          <w:rFonts w:ascii="Arial" w:hAnsi="Arial" w:cs="Arial"/>
          <w:b/>
          <w:i/>
          <w:spacing w:val="40"/>
          <w:sz w:val="22"/>
        </w:rPr>
        <w:t>závěr</w:t>
      </w:r>
      <w:r w:rsidRPr="00BF0801">
        <w:rPr>
          <w:rFonts w:ascii="Arial" w:hAnsi="Arial" w:cs="Arial"/>
          <w:sz w:val="22"/>
        </w:rPr>
        <w:t xml:space="preserve">   v tomto znění:</w:t>
      </w:r>
    </w:p>
    <w:p w14:paraId="780166AA" w14:textId="77777777" w:rsidR="00D72B93" w:rsidRDefault="00D72B93" w:rsidP="00395C6A">
      <w:pPr>
        <w:jc w:val="center"/>
        <w:rPr>
          <w:rFonts w:ascii="Arial" w:hAnsi="Arial" w:cs="Arial"/>
          <w:b/>
          <w:sz w:val="22"/>
          <w:szCs w:val="22"/>
        </w:rPr>
      </w:pPr>
    </w:p>
    <w:p w14:paraId="780166AB" w14:textId="77777777" w:rsidR="003F0EE5" w:rsidRDefault="003F0EE5" w:rsidP="00395C6A">
      <w:pPr>
        <w:jc w:val="center"/>
        <w:rPr>
          <w:rFonts w:ascii="Arial" w:hAnsi="Arial" w:cs="Arial"/>
          <w:b/>
          <w:sz w:val="22"/>
          <w:szCs w:val="22"/>
        </w:rPr>
      </w:pPr>
    </w:p>
    <w:p w14:paraId="780166AC" w14:textId="77777777" w:rsidR="00651753" w:rsidRPr="00395C6A" w:rsidRDefault="00651753" w:rsidP="00395C6A">
      <w:pPr>
        <w:jc w:val="center"/>
        <w:rPr>
          <w:rFonts w:ascii="Arial" w:hAnsi="Arial" w:cs="Arial"/>
          <w:b/>
        </w:rPr>
      </w:pPr>
      <w:r w:rsidRPr="00395C6A">
        <w:rPr>
          <w:rFonts w:ascii="Arial" w:hAnsi="Arial" w:cs="Arial"/>
          <w:b/>
        </w:rPr>
        <w:t>I. Úvod</w:t>
      </w:r>
    </w:p>
    <w:p w14:paraId="780166AD" w14:textId="77777777" w:rsidR="003F0EE5" w:rsidRDefault="003F0EE5" w:rsidP="00395C6A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80166AE" w14:textId="77777777" w:rsidR="00651753" w:rsidRPr="00651753" w:rsidRDefault="00651753" w:rsidP="00395C6A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iCs/>
          <w:sz w:val="22"/>
          <w:szCs w:val="22"/>
        </w:rPr>
      </w:pPr>
      <w:r w:rsidRPr="00651753">
        <w:rPr>
          <w:rFonts w:ascii="Arial" w:hAnsi="Arial" w:cs="Arial"/>
          <w:b/>
          <w:bCs/>
          <w:iCs/>
          <w:sz w:val="22"/>
          <w:szCs w:val="22"/>
        </w:rPr>
        <w:t>Ministerstvo zemědělství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 (dále </w:t>
      </w:r>
      <w:r w:rsidR="00693EA1">
        <w:rPr>
          <w:rFonts w:ascii="Arial" w:hAnsi="Arial" w:cs="Arial"/>
          <w:bCs/>
          <w:iCs/>
          <w:sz w:val="22"/>
          <w:szCs w:val="22"/>
        </w:rPr>
        <w:t>také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 </w:t>
      </w:r>
      <w:r w:rsidR="00951A01">
        <w:rPr>
          <w:rFonts w:ascii="Arial" w:hAnsi="Arial" w:cs="Arial"/>
          <w:sz w:val="22"/>
        </w:rPr>
        <w:t>„MZe</w:t>
      </w:r>
      <w:r w:rsidR="009E05EF">
        <w:rPr>
          <w:rFonts w:ascii="Arial" w:hAnsi="Arial" w:cs="Arial"/>
          <w:sz w:val="22"/>
        </w:rPr>
        <w:t>“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) </w:t>
      </w:r>
      <w:r w:rsidR="00AF40A4">
        <w:rPr>
          <w:rFonts w:ascii="Arial" w:hAnsi="Arial" w:cs="Arial"/>
          <w:bCs/>
          <w:iCs/>
          <w:sz w:val="22"/>
          <w:szCs w:val="22"/>
        </w:rPr>
        <w:t>o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dpovídá </w:t>
      </w:r>
      <w:r w:rsidR="00695E4D">
        <w:rPr>
          <w:rFonts w:ascii="Arial" w:hAnsi="Arial" w:cs="Arial"/>
          <w:bCs/>
          <w:iCs/>
          <w:sz w:val="22"/>
          <w:szCs w:val="22"/>
        </w:rPr>
        <w:t>mj.</w:t>
      </w:r>
      <w:r w:rsidR="00CC31FE">
        <w:rPr>
          <w:rFonts w:ascii="Arial" w:hAnsi="Arial" w:cs="Arial"/>
          <w:bCs/>
          <w:iCs/>
          <w:sz w:val="22"/>
          <w:szCs w:val="22"/>
        </w:rPr>
        <w:t xml:space="preserve"> </w:t>
      </w:r>
      <w:r w:rsidR="002D4FA0">
        <w:rPr>
          <w:rFonts w:ascii="Arial" w:hAnsi="Arial" w:cs="Arial"/>
          <w:bCs/>
          <w:iCs/>
          <w:sz w:val="22"/>
          <w:szCs w:val="22"/>
        </w:rPr>
        <w:t xml:space="preserve">za </w:t>
      </w:r>
      <w:r w:rsidRPr="00651753">
        <w:rPr>
          <w:rFonts w:ascii="Arial" w:hAnsi="Arial" w:cs="Arial"/>
          <w:bCs/>
          <w:iCs/>
          <w:sz w:val="22"/>
          <w:szCs w:val="22"/>
        </w:rPr>
        <w:t>výzkum, experimentální vývoj a</w:t>
      </w:r>
      <w:r w:rsidR="00D03CD0">
        <w:rPr>
          <w:rFonts w:ascii="Arial" w:hAnsi="Arial" w:cs="Arial"/>
          <w:bCs/>
          <w:iCs/>
          <w:sz w:val="22"/>
          <w:szCs w:val="22"/>
        </w:rPr>
        <w:t> 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inovace </w:t>
      </w:r>
      <w:r w:rsidR="00B805B6" w:rsidRPr="00651753">
        <w:rPr>
          <w:rFonts w:ascii="Arial" w:hAnsi="Arial" w:cs="Arial"/>
          <w:bCs/>
          <w:iCs/>
          <w:sz w:val="22"/>
          <w:szCs w:val="22"/>
        </w:rPr>
        <w:t>(dále také „VaVaI“)</w:t>
      </w:r>
      <w:r w:rsidR="00B805B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51753">
        <w:rPr>
          <w:rFonts w:ascii="Arial" w:hAnsi="Arial" w:cs="Arial"/>
          <w:bCs/>
          <w:iCs/>
          <w:sz w:val="22"/>
          <w:szCs w:val="22"/>
        </w:rPr>
        <w:t>ve smyslu</w:t>
      </w:r>
      <w:r w:rsidR="009B0DAE" w:rsidRPr="009B0DAE">
        <w:rPr>
          <w:rFonts w:ascii="Arial" w:hAnsi="Arial" w:cs="Arial"/>
          <w:bCs/>
          <w:iCs/>
          <w:sz w:val="18"/>
          <w:szCs w:val="18"/>
        </w:rPr>
        <w:t xml:space="preserve"> </w:t>
      </w:r>
      <w:r w:rsidR="009B0DAE" w:rsidRPr="009B0DAE">
        <w:rPr>
          <w:rFonts w:ascii="Arial" w:hAnsi="Arial" w:cs="Arial"/>
          <w:bCs/>
          <w:iCs/>
          <w:sz w:val="22"/>
          <w:szCs w:val="22"/>
        </w:rPr>
        <w:t>§ 2</w:t>
      </w:r>
      <w:r w:rsidR="009B0DAE">
        <w:rPr>
          <w:rFonts w:ascii="Arial" w:hAnsi="Arial" w:cs="Arial"/>
          <w:bCs/>
          <w:iCs/>
          <w:sz w:val="18"/>
          <w:szCs w:val="18"/>
        </w:rPr>
        <w:t xml:space="preserve"> </w:t>
      </w:r>
      <w:r w:rsidR="009B0DAE" w:rsidRPr="009B0DAE">
        <w:rPr>
          <w:rFonts w:ascii="Arial" w:hAnsi="Arial" w:cs="Arial"/>
          <w:bCs/>
          <w:iCs/>
          <w:sz w:val="22"/>
          <w:szCs w:val="22"/>
        </w:rPr>
        <w:t>zákona č.</w:t>
      </w:r>
      <w:r w:rsidR="00353E86">
        <w:rPr>
          <w:rFonts w:ascii="Arial" w:hAnsi="Arial" w:cs="Arial"/>
          <w:bCs/>
          <w:iCs/>
          <w:sz w:val="22"/>
          <w:szCs w:val="22"/>
        </w:rPr>
        <w:t xml:space="preserve"> </w:t>
      </w:r>
      <w:r w:rsidR="009B0DAE" w:rsidRPr="009B0DAE">
        <w:rPr>
          <w:rFonts w:ascii="Arial" w:hAnsi="Arial" w:cs="Arial"/>
          <w:bCs/>
          <w:iCs/>
          <w:sz w:val="22"/>
          <w:szCs w:val="22"/>
        </w:rPr>
        <w:t>130/2002 Sb.</w:t>
      </w:r>
      <w:r w:rsidR="009B0DAE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1"/>
      </w:r>
      <w:r w:rsidR="002D4FA0">
        <w:rPr>
          <w:rFonts w:ascii="Arial" w:hAnsi="Arial" w:cs="Arial"/>
          <w:bCs/>
          <w:iCs/>
          <w:sz w:val="22"/>
          <w:szCs w:val="22"/>
        </w:rPr>
        <w:t>,</w:t>
      </w:r>
      <w:r w:rsidR="009E05EF">
        <w:rPr>
          <w:rFonts w:ascii="Arial" w:hAnsi="Arial" w:cs="Arial"/>
          <w:bCs/>
          <w:iCs/>
          <w:sz w:val="22"/>
          <w:szCs w:val="22"/>
        </w:rPr>
        <w:t xml:space="preserve"> </w:t>
      </w:r>
      <w:r w:rsidR="00BF036A">
        <w:rPr>
          <w:rFonts w:ascii="Arial" w:hAnsi="Arial" w:cs="Arial"/>
          <w:bCs/>
          <w:iCs/>
          <w:sz w:val="22"/>
          <w:szCs w:val="22"/>
        </w:rPr>
        <w:t>v </w:t>
      </w:r>
      <w:r w:rsidR="009E05EF">
        <w:rPr>
          <w:rFonts w:ascii="Arial" w:hAnsi="Arial" w:cs="Arial"/>
          <w:bCs/>
          <w:iCs/>
          <w:sz w:val="22"/>
          <w:szCs w:val="22"/>
        </w:rPr>
        <w:t>tomto případě</w:t>
      </w:r>
      <w:r w:rsidR="002D4FA0" w:rsidRPr="002D4FA0">
        <w:rPr>
          <w:rFonts w:ascii="Arial" w:hAnsi="Arial" w:cs="Arial"/>
          <w:bCs/>
          <w:iCs/>
          <w:sz w:val="22"/>
          <w:szCs w:val="22"/>
        </w:rPr>
        <w:t xml:space="preserve"> </w:t>
      </w:r>
      <w:r w:rsidR="009E05EF">
        <w:rPr>
          <w:rFonts w:ascii="Arial" w:hAnsi="Arial" w:cs="Arial"/>
          <w:bCs/>
          <w:iCs/>
          <w:sz w:val="22"/>
          <w:szCs w:val="22"/>
        </w:rPr>
        <w:t xml:space="preserve">se </w:t>
      </w:r>
      <w:r w:rsidR="002D4FA0">
        <w:rPr>
          <w:rFonts w:ascii="Arial" w:hAnsi="Arial" w:cs="Arial"/>
          <w:bCs/>
          <w:iCs/>
          <w:sz w:val="22"/>
          <w:szCs w:val="22"/>
        </w:rPr>
        <w:t xml:space="preserve">jedná o zemědělský, </w:t>
      </w:r>
      <w:r w:rsidR="002D4FA0" w:rsidRPr="00651753">
        <w:rPr>
          <w:rFonts w:ascii="Arial" w:hAnsi="Arial" w:cs="Arial"/>
          <w:bCs/>
          <w:iCs/>
          <w:sz w:val="22"/>
          <w:szCs w:val="22"/>
        </w:rPr>
        <w:t>především aplikovaný</w:t>
      </w:r>
      <w:r w:rsidR="009B0DAE">
        <w:rPr>
          <w:rFonts w:ascii="Arial" w:hAnsi="Arial" w:cs="Arial"/>
          <w:bCs/>
          <w:iCs/>
          <w:sz w:val="22"/>
          <w:szCs w:val="22"/>
        </w:rPr>
        <w:t xml:space="preserve"> </w:t>
      </w:r>
      <w:r w:rsidR="002D4FA0" w:rsidRPr="00951A01">
        <w:rPr>
          <w:rFonts w:ascii="Arial" w:hAnsi="Arial" w:cs="Arial"/>
          <w:bCs/>
          <w:iCs/>
          <w:sz w:val="22"/>
          <w:szCs w:val="22"/>
        </w:rPr>
        <w:t xml:space="preserve">výzkum. </w:t>
      </w:r>
      <w:r w:rsidRPr="00951A01">
        <w:rPr>
          <w:rFonts w:ascii="Arial" w:hAnsi="Arial" w:cs="Arial"/>
          <w:bCs/>
          <w:iCs/>
          <w:sz w:val="22"/>
          <w:szCs w:val="22"/>
        </w:rPr>
        <w:t xml:space="preserve">Navrhuje </w:t>
      </w:r>
      <w:r w:rsidR="00951A01" w:rsidRPr="00951A01">
        <w:rPr>
          <w:rFonts w:ascii="Arial" w:hAnsi="Arial" w:cs="Arial"/>
          <w:bCs/>
          <w:iCs/>
          <w:sz w:val="22"/>
          <w:szCs w:val="22"/>
        </w:rPr>
        <w:t xml:space="preserve">a zajišťuje realizaci </w:t>
      </w:r>
      <w:r w:rsidRPr="00951A01">
        <w:rPr>
          <w:rFonts w:ascii="Arial" w:hAnsi="Arial" w:cs="Arial"/>
          <w:bCs/>
          <w:iCs/>
          <w:sz w:val="22"/>
          <w:szCs w:val="22"/>
        </w:rPr>
        <w:t>koncepc</w:t>
      </w:r>
      <w:r w:rsidR="00951A01" w:rsidRPr="00951A01">
        <w:rPr>
          <w:rFonts w:ascii="Arial" w:hAnsi="Arial" w:cs="Arial"/>
          <w:bCs/>
          <w:iCs/>
          <w:sz w:val="22"/>
          <w:szCs w:val="22"/>
        </w:rPr>
        <w:t>í</w:t>
      </w:r>
      <w:r w:rsidRPr="00951A01">
        <w:rPr>
          <w:rFonts w:ascii="Arial" w:hAnsi="Arial" w:cs="Arial"/>
          <w:bCs/>
          <w:iCs/>
          <w:sz w:val="22"/>
          <w:szCs w:val="22"/>
        </w:rPr>
        <w:t xml:space="preserve"> výzku</w:t>
      </w:r>
      <w:r w:rsidR="00EC3DFB" w:rsidRPr="00951A01">
        <w:rPr>
          <w:rFonts w:ascii="Arial" w:hAnsi="Arial" w:cs="Arial"/>
          <w:bCs/>
          <w:iCs/>
          <w:sz w:val="22"/>
          <w:szCs w:val="22"/>
        </w:rPr>
        <w:t xml:space="preserve">mu </w:t>
      </w:r>
      <w:r w:rsidR="00BF036A">
        <w:rPr>
          <w:rFonts w:ascii="Arial" w:hAnsi="Arial" w:cs="Arial"/>
          <w:bCs/>
          <w:iCs/>
          <w:sz w:val="22"/>
          <w:szCs w:val="22"/>
        </w:rPr>
        <w:t>v </w:t>
      </w:r>
      <w:r w:rsidR="007C66AE" w:rsidRPr="00951A01">
        <w:rPr>
          <w:rFonts w:ascii="Arial" w:hAnsi="Arial" w:cs="Arial"/>
          <w:bCs/>
          <w:iCs/>
          <w:sz w:val="22"/>
          <w:szCs w:val="22"/>
        </w:rPr>
        <w:t xml:space="preserve">agrárním sektoru </w:t>
      </w:r>
      <w:r w:rsidR="00AF40A4" w:rsidRPr="00951A01">
        <w:rPr>
          <w:rFonts w:ascii="Arial" w:hAnsi="Arial" w:cs="Arial"/>
          <w:bCs/>
          <w:iCs/>
          <w:sz w:val="22"/>
          <w:szCs w:val="22"/>
        </w:rPr>
        <w:t>a</w:t>
      </w:r>
      <w:r w:rsidRPr="00951A01">
        <w:rPr>
          <w:rFonts w:ascii="Arial" w:hAnsi="Arial" w:cs="Arial"/>
          <w:bCs/>
          <w:iCs/>
          <w:sz w:val="22"/>
          <w:szCs w:val="22"/>
        </w:rPr>
        <w:t xml:space="preserve"> </w:t>
      </w:r>
      <w:r w:rsidR="00AF40A4" w:rsidRPr="00951A01">
        <w:rPr>
          <w:rFonts w:ascii="Arial" w:hAnsi="Arial" w:cs="Arial"/>
          <w:bCs/>
          <w:iCs/>
          <w:sz w:val="22"/>
          <w:szCs w:val="22"/>
        </w:rPr>
        <w:t>j</w:t>
      </w:r>
      <w:r w:rsidR="007C66AE" w:rsidRPr="00951A01">
        <w:rPr>
          <w:rFonts w:ascii="Arial" w:hAnsi="Arial" w:cs="Arial"/>
          <w:bCs/>
          <w:iCs/>
          <w:sz w:val="22"/>
          <w:szCs w:val="22"/>
        </w:rPr>
        <w:t>e p</w:t>
      </w:r>
      <w:r w:rsidR="00617F50" w:rsidRPr="00951A01">
        <w:rPr>
          <w:rFonts w:ascii="Arial" w:hAnsi="Arial" w:cs="Arial"/>
          <w:bCs/>
          <w:iCs/>
          <w:sz w:val="22"/>
          <w:szCs w:val="22"/>
        </w:rPr>
        <w:t>oskyt</w:t>
      </w:r>
      <w:r w:rsidR="007C66AE" w:rsidRPr="00951A01">
        <w:rPr>
          <w:rFonts w:ascii="Arial" w:hAnsi="Arial" w:cs="Arial"/>
          <w:bCs/>
          <w:iCs/>
          <w:sz w:val="22"/>
          <w:szCs w:val="22"/>
        </w:rPr>
        <w:t>ovatelem</w:t>
      </w:r>
      <w:r w:rsidR="001011E1" w:rsidRPr="00951A01">
        <w:rPr>
          <w:rFonts w:ascii="Arial" w:hAnsi="Arial" w:cs="Arial"/>
          <w:bCs/>
          <w:iCs/>
          <w:sz w:val="22"/>
          <w:szCs w:val="22"/>
        </w:rPr>
        <w:t xml:space="preserve"> </w:t>
      </w:r>
      <w:r w:rsidR="009E05EF" w:rsidRPr="00951A01">
        <w:rPr>
          <w:rFonts w:ascii="Arial" w:hAnsi="Arial" w:cs="Arial"/>
          <w:bCs/>
          <w:iCs/>
          <w:sz w:val="22"/>
          <w:szCs w:val="22"/>
        </w:rPr>
        <w:t xml:space="preserve">dotací na </w:t>
      </w:r>
      <w:r w:rsidR="00617F50" w:rsidRPr="00951A01">
        <w:rPr>
          <w:rFonts w:ascii="Arial" w:hAnsi="Arial" w:cs="Arial"/>
          <w:bCs/>
          <w:iCs/>
          <w:sz w:val="22"/>
          <w:szCs w:val="22"/>
        </w:rPr>
        <w:t>podpor</w:t>
      </w:r>
      <w:r w:rsidR="009E05EF" w:rsidRPr="00951A01">
        <w:rPr>
          <w:rFonts w:ascii="Arial" w:hAnsi="Arial" w:cs="Arial"/>
          <w:bCs/>
          <w:iCs/>
          <w:sz w:val="22"/>
          <w:szCs w:val="22"/>
        </w:rPr>
        <w:t>u</w:t>
      </w:r>
      <w:r w:rsidR="00617F50" w:rsidRPr="00951A01">
        <w:rPr>
          <w:rFonts w:ascii="Arial" w:hAnsi="Arial" w:cs="Arial"/>
          <w:bCs/>
          <w:iCs/>
          <w:sz w:val="22"/>
          <w:szCs w:val="22"/>
        </w:rPr>
        <w:t xml:space="preserve"> </w:t>
      </w:r>
      <w:r w:rsidR="00617F50">
        <w:rPr>
          <w:rFonts w:ascii="Arial" w:hAnsi="Arial" w:cs="Arial"/>
          <w:bCs/>
          <w:iCs/>
          <w:sz w:val="22"/>
          <w:szCs w:val="22"/>
        </w:rPr>
        <w:t>řešení projektů.</w:t>
      </w:r>
    </w:p>
    <w:p w14:paraId="780166AF" w14:textId="77777777" w:rsidR="003F0EE5" w:rsidRDefault="003F0EE5" w:rsidP="00395C6A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780166B0" w14:textId="77777777" w:rsidR="00651753" w:rsidRPr="00651753" w:rsidRDefault="00651753" w:rsidP="00395C6A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iCs/>
          <w:sz w:val="22"/>
          <w:szCs w:val="22"/>
        </w:rPr>
      </w:pPr>
      <w:r w:rsidRPr="00651753">
        <w:rPr>
          <w:rFonts w:ascii="Arial" w:hAnsi="Arial" w:cs="Arial"/>
          <w:bCs/>
          <w:iCs/>
          <w:sz w:val="22"/>
          <w:szCs w:val="22"/>
        </w:rPr>
        <w:t>P</w:t>
      </w:r>
      <w:r w:rsidR="00EE0E9B">
        <w:rPr>
          <w:rFonts w:ascii="Arial" w:hAnsi="Arial" w:cs="Arial"/>
          <w:bCs/>
          <w:iCs/>
          <w:sz w:val="22"/>
          <w:szCs w:val="22"/>
        </w:rPr>
        <w:t>rostředky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 </w:t>
      </w:r>
      <w:r w:rsidR="00B805B6">
        <w:rPr>
          <w:rFonts w:ascii="Arial" w:hAnsi="Arial" w:cs="Arial"/>
          <w:bCs/>
          <w:iCs/>
          <w:sz w:val="22"/>
          <w:szCs w:val="22"/>
        </w:rPr>
        <w:t>na</w:t>
      </w:r>
      <w:r w:rsidR="00B805B6" w:rsidRPr="00B805B6">
        <w:rPr>
          <w:rFonts w:ascii="Arial" w:hAnsi="Arial" w:cs="Arial"/>
          <w:bCs/>
          <w:iCs/>
          <w:sz w:val="22"/>
          <w:szCs w:val="22"/>
        </w:rPr>
        <w:t xml:space="preserve"> </w:t>
      </w:r>
      <w:r w:rsidR="00CE3BE8">
        <w:rPr>
          <w:rFonts w:ascii="Arial" w:hAnsi="Arial" w:cs="Arial"/>
          <w:bCs/>
          <w:iCs/>
          <w:sz w:val="22"/>
          <w:szCs w:val="22"/>
        </w:rPr>
        <w:t xml:space="preserve">účelový </w:t>
      </w:r>
      <w:r w:rsidR="00502B8B">
        <w:rPr>
          <w:rFonts w:ascii="Arial" w:hAnsi="Arial" w:cs="Arial"/>
          <w:bCs/>
          <w:iCs/>
          <w:sz w:val="22"/>
          <w:szCs w:val="22"/>
        </w:rPr>
        <w:t>aplikovaný</w:t>
      </w:r>
      <w:r w:rsidR="00B805B6" w:rsidRPr="00651753">
        <w:rPr>
          <w:rFonts w:ascii="Arial" w:hAnsi="Arial" w:cs="Arial"/>
          <w:bCs/>
          <w:iCs/>
          <w:sz w:val="22"/>
          <w:szCs w:val="22"/>
        </w:rPr>
        <w:t xml:space="preserve"> </w:t>
      </w:r>
      <w:r w:rsidR="00B805B6">
        <w:rPr>
          <w:rFonts w:ascii="Arial" w:hAnsi="Arial" w:cs="Arial"/>
          <w:bCs/>
          <w:iCs/>
          <w:sz w:val="22"/>
          <w:szCs w:val="22"/>
        </w:rPr>
        <w:t>výzkum</w:t>
      </w:r>
      <w:r w:rsidR="00B805B6" w:rsidRPr="00651753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51753">
        <w:rPr>
          <w:rFonts w:ascii="Arial" w:hAnsi="Arial" w:cs="Arial"/>
          <w:bCs/>
          <w:iCs/>
          <w:sz w:val="22"/>
          <w:szCs w:val="22"/>
        </w:rPr>
        <w:t>j</w:t>
      </w:r>
      <w:r w:rsidR="00EE0E9B">
        <w:rPr>
          <w:rFonts w:ascii="Arial" w:hAnsi="Arial" w:cs="Arial"/>
          <w:bCs/>
          <w:iCs/>
          <w:sz w:val="22"/>
          <w:szCs w:val="22"/>
        </w:rPr>
        <w:t>sou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 </w:t>
      </w:r>
      <w:r w:rsidR="00B805B6" w:rsidRPr="00651753">
        <w:rPr>
          <w:rFonts w:ascii="Arial" w:hAnsi="Arial" w:cs="Arial"/>
          <w:bCs/>
          <w:iCs/>
          <w:sz w:val="22"/>
          <w:szCs w:val="22"/>
        </w:rPr>
        <w:t>závazn</w:t>
      </w:r>
      <w:r w:rsidR="002A6746">
        <w:rPr>
          <w:rFonts w:ascii="Arial" w:hAnsi="Arial" w:cs="Arial"/>
          <w:bCs/>
          <w:iCs/>
          <w:sz w:val="22"/>
          <w:szCs w:val="22"/>
        </w:rPr>
        <w:t>ým</w:t>
      </w:r>
      <w:r w:rsidR="00B805B6" w:rsidRPr="00651753">
        <w:rPr>
          <w:rFonts w:ascii="Arial" w:hAnsi="Arial" w:cs="Arial"/>
          <w:bCs/>
          <w:iCs/>
          <w:sz w:val="22"/>
          <w:szCs w:val="22"/>
        </w:rPr>
        <w:t xml:space="preserve"> ukazatel</w:t>
      </w:r>
      <w:r w:rsidR="002A6746">
        <w:rPr>
          <w:rFonts w:ascii="Arial" w:hAnsi="Arial" w:cs="Arial"/>
          <w:bCs/>
          <w:iCs/>
          <w:sz w:val="22"/>
          <w:szCs w:val="22"/>
        </w:rPr>
        <w:t xml:space="preserve">em 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kapitoly státního rozpočtu </w:t>
      </w:r>
      <w:r w:rsidR="00693EA1">
        <w:rPr>
          <w:rFonts w:ascii="Arial" w:hAnsi="Arial" w:cs="Arial"/>
          <w:bCs/>
          <w:iCs/>
          <w:sz w:val="22"/>
          <w:szCs w:val="22"/>
        </w:rPr>
        <w:t xml:space="preserve">329 – </w:t>
      </w:r>
      <w:r w:rsidRPr="00395C6A">
        <w:rPr>
          <w:rFonts w:ascii="Arial" w:hAnsi="Arial" w:cs="Arial"/>
          <w:bCs/>
          <w:i/>
          <w:iCs/>
          <w:sz w:val="22"/>
          <w:szCs w:val="22"/>
        </w:rPr>
        <w:t>Ministerstvo zemědělství</w:t>
      </w:r>
      <w:r w:rsidR="00A31E77">
        <w:rPr>
          <w:rFonts w:ascii="Arial" w:hAnsi="Arial" w:cs="Arial"/>
          <w:bCs/>
          <w:iCs/>
          <w:sz w:val="22"/>
          <w:szCs w:val="22"/>
        </w:rPr>
        <w:t>, a to v</w:t>
      </w:r>
      <w:r w:rsidR="00BF036A">
        <w:rPr>
          <w:rFonts w:ascii="Arial" w:hAnsi="Arial" w:cs="Arial"/>
          <w:bCs/>
          <w:iCs/>
          <w:sz w:val="22"/>
          <w:szCs w:val="22"/>
        </w:rPr>
        <w:t> </w:t>
      </w:r>
      <w:r w:rsidR="00A31E77">
        <w:rPr>
          <w:rFonts w:ascii="Arial" w:hAnsi="Arial" w:cs="Arial"/>
          <w:bCs/>
          <w:iCs/>
          <w:sz w:val="22"/>
          <w:szCs w:val="22"/>
        </w:rPr>
        <w:t>rámci výdajů na VaVaI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. </w:t>
      </w:r>
      <w:r w:rsidR="00B805B6">
        <w:rPr>
          <w:rFonts w:ascii="Arial" w:hAnsi="Arial" w:cs="Arial"/>
          <w:bCs/>
          <w:iCs/>
          <w:sz w:val="22"/>
          <w:szCs w:val="22"/>
        </w:rPr>
        <w:t>P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odpora </w:t>
      </w:r>
      <w:r w:rsidR="005C1846">
        <w:rPr>
          <w:rFonts w:ascii="Arial" w:hAnsi="Arial" w:cs="Arial"/>
          <w:bCs/>
          <w:iCs/>
          <w:sz w:val="22"/>
          <w:szCs w:val="22"/>
        </w:rPr>
        <w:t xml:space="preserve">byla kontrolovaným </w:t>
      </w:r>
      <w:r w:rsidR="00EE0E9B">
        <w:rPr>
          <w:rFonts w:ascii="Arial" w:hAnsi="Arial" w:cs="Arial"/>
          <w:bCs/>
          <w:iCs/>
          <w:sz w:val="22"/>
          <w:szCs w:val="22"/>
        </w:rPr>
        <w:t>příjemců</w:t>
      </w:r>
      <w:r w:rsidR="005C1846">
        <w:rPr>
          <w:rFonts w:ascii="Arial" w:hAnsi="Arial" w:cs="Arial"/>
          <w:bCs/>
          <w:iCs/>
          <w:sz w:val="22"/>
          <w:szCs w:val="22"/>
        </w:rPr>
        <w:t>m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 poskytována formou dotace právnickým osobám</w:t>
      </w:r>
      <w:r w:rsidR="00951A01">
        <w:rPr>
          <w:rFonts w:ascii="Arial" w:hAnsi="Arial" w:cs="Arial"/>
          <w:bCs/>
          <w:iCs/>
          <w:sz w:val="22"/>
          <w:szCs w:val="22"/>
        </w:rPr>
        <w:t xml:space="preserve"> a</w:t>
      </w:r>
      <w:r w:rsidR="005C1846">
        <w:rPr>
          <w:rFonts w:ascii="Arial" w:hAnsi="Arial" w:cs="Arial"/>
          <w:bCs/>
          <w:iCs/>
          <w:sz w:val="22"/>
          <w:szCs w:val="22"/>
        </w:rPr>
        <w:t xml:space="preserve"> </w:t>
      </w:r>
      <w:r w:rsidR="00BF036A">
        <w:rPr>
          <w:rFonts w:ascii="Arial" w:hAnsi="Arial" w:cs="Arial"/>
          <w:bCs/>
          <w:iCs/>
          <w:sz w:val="22"/>
          <w:szCs w:val="22"/>
        </w:rPr>
        <w:t>v </w:t>
      </w:r>
      <w:r w:rsidR="005C1846">
        <w:rPr>
          <w:rFonts w:ascii="Arial" w:hAnsi="Arial" w:cs="Arial"/>
          <w:bCs/>
          <w:iCs/>
          <w:sz w:val="22"/>
          <w:szCs w:val="22"/>
        </w:rPr>
        <w:t xml:space="preserve">případě příspěvkové organizace </w:t>
      </w:r>
      <w:r w:rsidR="00844DA0">
        <w:rPr>
          <w:rFonts w:ascii="Arial" w:hAnsi="Arial" w:cs="Arial"/>
          <w:bCs/>
          <w:iCs/>
          <w:sz w:val="22"/>
          <w:szCs w:val="22"/>
        </w:rPr>
        <w:t>jako</w:t>
      </w:r>
      <w:r w:rsidR="005C1846" w:rsidRPr="00651753">
        <w:rPr>
          <w:rFonts w:ascii="Arial" w:hAnsi="Arial" w:cs="Arial"/>
          <w:bCs/>
          <w:iCs/>
          <w:sz w:val="22"/>
          <w:szCs w:val="22"/>
        </w:rPr>
        <w:t xml:space="preserve"> </w:t>
      </w:r>
      <w:r w:rsidR="005C1846">
        <w:rPr>
          <w:rFonts w:ascii="Arial" w:hAnsi="Arial" w:cs="Arial"/>
          <w:bCs/>
          <w:iCs/>
          <w:sz w:val="22"/>
          <w:szCs w:val="22"/>
        </w:rPr>
        <w:t>účelov</w:t>
      </w:r>
      <w:r w:rsidR="00844DA0">
        <w:rPr>
          <w:rFonts w:ascii="Arial" w:hAnsi="Arial" w:cs="Arial"/>
          <w:bCs/>
          <w:iCs/>
          <w:sz w:val="22"/>
          <w:szCs w:val="22"/>
        </w:rPr>
        <w:t>ý</w:t>
      </w:r>
      <w:r w:rsidR="005C1846">
        <w:rPr>
          <w:rFonts w:ascii="Arial" w:hAnsi="Arial" w:cs="Arial"/>
          <w:bCs/>
          <w:iCs/>
          <w:sz w:val="22"/>
          <w:szCs w:val="22"/>
        </w:rPr>
        <w:t xml:space="preserve"> příspěv</w:t>
      </w:r>
      <w:r w:rsidR="00844DA0">
        <w:rPr>
          <w:rFonts w:ascii="Arial" w:hAnsi="Arial" w:cs="Arial"/>
          <w:bCs/>
          <w:iCs/>
          <w:sz w:val="22"/>
          <w:szCs w:val="22"/>
        </w:rPr>
        <w:t>e</w:t>
      </w:r>
      <w:r w:rsidR="005C1846">
        <w:rPr>
          <w:rFonts w:ascii="Arial" w:hAnsi="Arial" w:cs="Arial"/>
          <w:bCs/>
          <w:iCs/>
          <w:sz w:val="22"/>
          <w:szCs w:val="22"/>
        </w:rPr>
        <w:t>k</w:t>
      </w:r>
      <w:r w:rsidRPr="00651753">
        <w:rPr>
          <w:rFonts w:ascii="Arial" w:hAnsi="Arial" w:cs="Arial"/>
          <w:bCs/>
          <w:iCs/>
          <w:sz w:val="22"/>
          <w:szCs w:val="22"/>
        </w:rPr>
        <w:t>.</w:t>
      </w:r>
      <w:r w:rsidR="002A6746">
        <w:rPr>
          <w:rFonts w:ascii="Arial" w:hAnsi="Arial" w:cs="Arial"/>
          <w:bCs/>
          <w:iCs/>
          <w:sz w:val="22"/>
          <w:szCs w:val="22"/>
        </w:rPr>
        <w:t xml:space="preserve"> Projekty jsou financovány </w:t>
      </w:r>
      <w:r w:rsidR="00BF036A">
        <w:rPr>
          <w:rFonts w:ascii="Arial" w:hAnsi="Arial" w:cs="Arial"/>
          <w:bCs/>
          <w:iCs/>
          <w:sz w:val="22"/>
          <w:szCs w:val="22"/>
        </w:rPr>
        <w:t>z </w:t>
      </w:r>
      <w:r w:rsidR="002A6746">
        <w:rPr>
          <w:rFonts w:ascii="Arial" w:hAnsi="Arial" w:cs="Arial"/>
          <w:bCs/>
          <w:iCs/>
          <w:sz w:val="22"/>
          <w:szCs w:val="22"/>
        </w:rPr>
        <w:t xml:space="preserve">prostředků státního rozpočtu, u většiny </w:t>
      </w:r>
      <w:r w:rsidR="00BF036A">
        <w:rPr>
          <w:rFonts w:ascii="Arial" w:hAnsi="Arial" w:cs="Arial"/>
          <w:bCs/>
          <w:iCs/>
          <w:sz w:val="22"/>
          <w:szCs w:val="22"/>
        </w:rPr>
        <w:t>z </w:t>
      </w:r>
      <w:r w:rsidR="002A6746">
        <w:rPr>
          <w:rFonts w:ascii="Arial" w:hAnsi="Arial" w:cs="Arial"/>
          <w:bCs/>
          <w:iCs/>
          <w:sz w:val="22"/>
          <w:szCs w:val="22"/>
        </w:rPr>
        <w:t>nich je stanovena spoluúčast příjemce na uznaných nákladech</w:t>
      </w:r>
      <w:r w:rsidR="0003487C">
        <w:rPr>
          <w:rFonts w:ascii="Arial" w:hAnsi="Arial" w:cs="Arial"/>
          <w:bCs/>
          <w:iCs/>
          <w:sz w:val="22"/>
          <w:szCs w:val="22"/>
        </w:rPr>
        <w:t xml:space="preserve">, která se pohybuje </w:t>
      </w:r>
      <w:r w:rsidR="00BF036A">
        <w:rPr>
          <w:rFonts w:ascii="Arial" w:hAnsi="Arial" w:cs="Arial"/>
          <w:bCs/>
          <w:iCs/>
          <w:sz w:val="22"/>
          <w:szCs w:val="22"/>
        </w:rPr>
        <w:t>v </w:t>
      </w:r>
      <w:r w:rsidR="0003487C">
        <w:rPr>
          <w:rFonts w:ascii="Arial" w:hAnsi="Arial" w:cs="Arial"/>
          <w:bCs/>
          <w:iCs/>
          <w:sz w:val="22"/>
          <w:szCs w:val="22"/>
        </w:rPr>
        <w:t>rozmezí 0,2</w:t>
      </w:r>
      <w:r w:rsidR="00FB52B4">
        <w:rPr>
          <w:rFonts w:ascii="Arial" w:hAnsi="Arial" w:cs="Arial"/>
          <w:bCs/>
          <w:iCs/>
          <w:sz w:val="22"/>
          <w:szCs w:val="22"/>
        </w:rPr>
        <w:t>–</w:t>
      </w:r>
      <w:r w:rsidR="0003487C">
        <w:rPr>
          <w:rFonts w:ascii="Arial" w:hAnsi="Arial" w:cs="Arial"/>
          <w:bCs/>
          <w:iCs/>
          <w:sz w:val="22"/>
          <w:szCs w:val="22"/>
        </w:rPr>
        <w:t>10</w:t>
      </w:r>
      <w:r w:rsidR="00FB52B4">
        <w:rPr>
          <w:rFonts w:ascii="Arial" w:hAnsi="Arial" w:cs="Arial"/>
          <w:bCs/>
          <w:iCs/>
          <w:sz w:val="22"/>
          <w:szCs w:val="22"/>
        </w:rPr>
        <w:t>,0</w:t>
      </w:r>
      <w:r w:rsidR="0003487C">
        <w:rPr>
          <w:rFonts w:ascii="Arial" w:hAnsi="Arial" w:cs="Arial"/>
          <w:bCs/>
          <w:iCs/>
          <w:sz w:val="22"/>
          <w:szCs w:val="22"/>
        </w:rPr>
        <w:t xml:space="preserve"> %</w:t>
      </w:r>
      <w:r w:rsidR="002A6746">
        <w:rPr>
          <w:rFonts w:ascii="Arial" w:hAnsi="Arial" w:cs="Arial"/>
          <w:bCs/>
          <w:iCs/>
          <w:sz w:val="22"/>
          <w:szCs w:val="22"/>
        </w:rPr>
        <w:t>.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 Podpora je určena na programové projekty ve</w:t>
      </w:r>
      <w:r w:rsidR="00353E8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výzkumných programech </w:t>
      </w:r>
      <w:r w:rsidR="00811AE0" w:rsidRPr="00651753">
        <w:rPr>
          <w:rFonts w:ascii="Arial" w:hAnsi="Arial" w:cs="Arial"/>
          <w:bCs/>
          <w:iCs/>
          <w:sz w:val="22"/>
          <w:szCs w:val="22"/>
        </w:rPr>
        <w:t>schvál</w:t>
      </w:r>
      <w:r w:rsidR="00811AE0">
        <w:rPr>
          <w:rFonts w:ascii="Arial" w:hAnsi="Arial" w:cs="Arial"/>
          <w:bCs/>
          <w:iCs/>
          <w:sz w:val="22"/>
          <w:szCs w:val="22"/>
        </w:rPr>
        <w:t>ených</w:t>
      </w:r>
      <w:r w:rsidR="00811AE0" w:rsidRPr="00651753">
        <w:rPr>
          <w:rFonts w:ascii="Arial" w:hAnsi="Arial" w:cs="Arial"/>
          <w:bCs/>
          <w:iCs/>
          <w:sz w:val="22"/>
          <w:szCs w:val="22"/>
        </w:rPr>
        <w:t xml:space="preserve"> vlád</w:t>
      </w:r>
      <w:r w:rsidR="00811AE0">
        <w:rPr>
          <w:rFonts w:ascii="Arial" w:hAnsi="Arial" w:cs="Arial"/>
          <w:bCs/>
          <w:iCs/>
          <w:sz w:val="22"/>
          <w:szCs w:val="22"/>
        </w:rPr>
        <w:t>ou</w:t>
      </w:r>
      <w:r w:rsidR="00811AE0" w:rsidRPr="00651753">
        <w:rPr>
          <w:rFonts w:ascii="Arial" w:hAnsi="Arial" w:cs="Arial"/>
          <w:bCs/>
          <w:iCs/>
          <w:sz w:val="22"/>
          <w:szCs w:val="22"/>
        </w:rPr>
        <w:t xml:space="preserve"> ČR </w:t>
      </w:r>
      <w:r w:rsidR="00D71F76">
        <w:rPr>
          <w:rFonts w:ascii="Arial" w:hAnsi="Arial" w:cs="Arial"/>
          <w:bCs/>
          <w:iCs/>
          <w:sz w:val="22"/>
          <w:szCs w:val="22"/>
        </w:rPr>
        <w:t xml:space="preserve">a přiznána je </w:t>
      </w:r>
      <w:r w:rsidR="00811AE0" w:rsidRPr="00651753">
        <w:rPr>
          <w:rFonts w:ascii="Arial" w:hAnsi="Arial" w:cs="Arial"/>
          <w:bCs/>
          <w:iCs/>
          <w:sz w:val="22"/>
          <w:szCs w:val="22"/>
        </w:rPr>
        <w:t xml:space="preserve">na </w:t>
      </w:r>
      <w:r w:rsidR="00811AE0">
        <w:rPr>
          <w:rFonts w:ascii="Arial" w:hAnsi="Arial" w:cs="Arial"/>
          <w:bCs/>
          <w:iCs/>
          <w:sz w:val="22"/>
          <w:szCs w:val="22"/>
        </w:rPr>
        <w:t xml:space="preserve">základě </w:t>
      </w:r>
      <w:r w:rsidR="00811AE0" w:rsidRPr="00651753">
        <w:rPr>
          <w:rFonts w:ascii="Arial" w:hAnsi="Arial" w:cs="Arial"/>
          <w:bCs/>
          <w:iCs/>
          <w:sz w:val="22"/>
          <w:szCs w:val="22"/>
        </w:rPr>
        <w:t>návrh</w:t>
      </w:r>
      <w:r w:rsidR="00811AE0">
        <w:rPr>
          <w:rFonts w:ascii="Arial" w:hAnsi="Arial" w:cs="Arial"/>
          <w:bCs/>
          <w:iCs/>
          <w:sz w:val="22"/>
          <w:szCs w:val="22"/>
        </w:rPr>
        <w:t>u</w:t>
      </w:r>
      <w:r w:rsidR="00811AE0" w:rsidRPr="00651753">
        <w:rPr>
          <w:rFonts w:ascii="Arial" w:hAnsi="Arial" w:cs="Arial"/>
          <w:bCs/>
          <w:iCs/>
          <w:sz w:val="22"/>
          <w:szCs w:val="22"/>
        </w:rPr>
        <w:t xml:space="preserve"> MZe</w:t>
      </w:r>
      <w:r w:rsidR="00811AE0">
        <w:rPr>
          <w:rFonts w:ascii="Arial" w:hAnsi="Arial" w:cs="Arial"/>
          <w:bCs/>
          <w:iCs/>
          <w:sz w:val="22"/>
          <w:szCs w:val="22"/>
        </w:rPr>
        <w:t xml:space="preserve"> a</w:t>
      </w:r>
      <w:r w:rsidR="00353E86">
        <w:rPr>
          <w:rFonts w:ascii="Arial" w:hAnsi="Arial" w:cs="Arial"/>
          <w:bCs/>
          <w:iCs/>
          <w:sz w:val="22"/>
          <w:szCs w:val="22"/>
        </w:rPr>
        <w:t xml:space="preserve"> </w:t>
      </w:r>
      <w:r w:rsidR="00811AE0" w:rsidRPr="00651753">
        <w:rPr>
          <w:rFonts w:ascii="Arial" w:hAnsi="Arial" w:cs="Arial"/>
          <w:bCs/>
          <w:iCs/>
          <w:sz w:val="22"/>
          <w:szCs w:val="22"/>
        </w:rPr>
        <w:t>kladn</w:t>
      </w:r>
      <w:r w:rsidR="00811AE0">
        <w:rPr>
          <w:rFonts w:ascii="Arial" w:hAnsi="Arial" w:cs="Arial"/>
          <w:bCs/>
          <w:iCs/>
          <w:sz w:val="22"/>
          <w:szCs w:val="22"/>
        </w:rPr>
        <w:t>ého</w:t>
      </w:r>
      <w:r w:rsidR="00811AE0" w:rsidRPr="00651753">
        <w:rPr>
          <w:rFonts w:ascii="Arial" w:hAnsi="Arial" w:cs="Arial"/>
          <w:bCs/>
          <w:iCs/>
          <w:sz w:val="22"/>
          <w:szCs w:val="22"/>
        </w:rPr>
        <w:t xml:space="preserve"> vyjádř</w:t>
      </w:r>
      <w:r w:rsidR="00811AE0">
        <w:rPr>
          <w:rFonts w:ascii="Arial" w:hAnsi="Arial" w:cs="Arial"/>
          <w:bCs/>
          <w:iCs/>
          <w:sz w:val="22"/>
          <w:szCs w:val="22"/>
        </w:rPr>
        <w:t>ení</w:t>
      </w:r>
      <w:r w:rsidR="00811AE0" w:rsidRPr="00651753">
        <w:rPr>
          <w:rFonts w:ascii="Arial" w:hAnsi="Arial" w:cs="Arial"/>
          <w:bCs/>
          <w:iCs/>
          <w:sz w:val="22"/>
          <w:szCs w:val="22"/>
        </w:rPr>
        <w:t xml:space="preserve"> Rad</w:t>
      </w:r>
      <w:r w:rsidR="00811AE0">
        <w:rPr>
          <w:rFonts w:ascii="Arial" w:hAnsi="Arial" w:cs="Arial"/>
          <w:bCs/>
          <w:iCs/>
          <w:sz w:val="22"/>
          <w:szCs w:val="22"/>
        </w:rPr>
        <w:t>y</w:t>
      </w:r>
      <w:r w:rsidR="00811AE0" w:rsidRPr="00651753">
        <w:rPr>
          <w:rFonts w:ascii="Arial" w:hAnsi="Arial" w:cs="Arial"/>
          <w:bCs/>
          <w:iCs/>
          <w:sz w:val="22"/>
          <w:szCs w:val="22"/>
        </w:rPr>
        <w:t xml:space="preserve"> pro výzkum, vývoj a</w:t>
      </w:r>
      <w:r w:rsidR="00D71F76">
        <w:rPr>
          <w:rFonts w:ascii="Arial" w:hAnsi="Arial" w:cs="Arial"/>
          <w:bCs/>
          <w:iCs/>
          <w:sz w:val="22"/>
          <w:szCs w:val="22"/>
        </w:rPr>
        <w:t> </w:t>
      </w:r>
      <w:r w:rsidR="00811AE0" w:rsidRPr="00651753">
        <w:rPr>
          <w:rFonts w:ascii="Arial" w:hAnsi="Arial" w:cs="Arial"/>
          <w:bCs/>
          <w:iCs/>
          <w:sz w:val="22"/>
          <w:szCs w:val="22"/>
        </w:rPr>
        <w:t xml:space="preserve">inovace </w:t>
      </w:r>
      <w:r w:rsidR="00811AE0">
        <w:rPr>
          <w:rFonts w:ascii="Arial" w:hAnsi="Arial" w:cs="Arial"/>
          <w:bCs/>
          <w:iCs/>
          <w:sz w:val="22"/>
          <w:szCs w:val="22"/>
        </w:rPr>
        <w:t>ustavené podle § 35 zákona č.</w:t>
      </w:r>
      <w:r w:rsidR="00D71F76">
        <w:rPr>
          <w:rFonts w:ascii="Arial" w:hAnsi="Arial" w:cs="Arial"/>
          <w:bCs/>
          <w:iCs/>
          <w:sz w:val="22"/>
          <w:szCs w:val="22"/>
        </w:rPr>
        <w:t> </w:t>
      </w:r>
      <w:r w:rsidR="00811AE0">
        <w:rPr>
          <w:rFonts w:ascii="Arial" w:hAnsi="Arial" w:cs="Arial"/>
          <w:bCs/>
          <w:iCs/>
          <w:sz w:val="22"/>
          <w:szCs w:val="22"/>
        </w:rPr>
        <w:t>130/2002 Sb.</w:t>
      </w:r>
      <w:r w:rsidR="00811AE0" w:rsidRPr="00651753">
        <w:rPr>
          <w:rFonts w:ascii="Arial" w:hAnsi="Arial" w:cs="Arial"/>
          <w:bCs/>
          <w:iCs/>
          <w:sz w:val="22"/>
          <w:szCs w:val="22"/>
        </w:rPr>
        <w:t xml:space="preserve"> (dále také „Rada pro výzkum“)</w:t>
      </w:r>
      <w:r w:rsidR="00811AE0"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780166B1" w14:textId="77777777" w:rsidR="003F0EE5" w:rsidRDefault="003F0EE5" w:rsidP="00395C6A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780166B2" w14:textId="77777777" w:rsidR="00651753" w:rsidRPr="00651753" w:rsidRDefault="00651753" w:rsidP="00395C6A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iCs/>
          <w:sz w:val="22"/>
          <w:szCs w:val="22"/>
        </w:rPr>
      </w:pPr>
      <w:r w:rsidRPr="00651753">
        <w:rPr>
          <w:rFonts w:ascii="Arial" w:hAnsi="Arial" w:cs="Arial"/>
          <w:bCs/>
          <w:iCs/>
          <w:sz w:val="22"/>
          <w:szCs w:val="22"/>
        </w:rPr>
        <w:t xml:space="preserve">Součástí MZe je </w:t>
      </w:r>
      <w:r w:rsidRPr="00617F50">
        <w:rPr>
          <w:rFonts w:ascii="Arial" w:hAnsi="Arial" w:cs="Arial"/>
          <w:b/>
          <w:bCs/>
          <w:iCs/>
          <w:sz w:val="22"/>
          <w:szCs w:val="22"/>
        </w:rPr>
        <w:t>Národní agentura pro zemědělský výzkum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 (dále také „</w:t>
      </w:r>
      <w:r w:rsidR="00951A01">
        <w:rPr>
          <w:rFonts w:ascii="Arial" w:hAnsi="Arial" w:cs="Arial"/>
          <w:bCs/>
          <w:iCs/>
          <w:sz w:val="22"/>
          <w:szCs w:val="22"/>
        </w:rPr>
        <w:t>A</w:t>
      </w:r>
      <w:r w:rsidR="009E05EF" w:rsidRPr="009E05EF">
        <w:rPr>
          <w:rFonts w:ascii="Arial" w:hAnsi="Arial" w:cs="Arial"/>
          <w:bCs/>
          <w:iCs/>
          <w:sz w:val="22"/>
          <w:szCs w:val="22"/>
        </w:rPr>
        <w:t>gentura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“), která zpracovává </w:t>
      </w:r>
      <w:r w:rsidR="00B805B6">
        <w:rPr>
          <w:rFonts w:ascii="Arial" w:hAnsi="Arial" w:cs="Arial"/>
          <w:bCs/>
          <w:iCs/>
          <w:sz w:val="22"/>
          <w:szCs w:val="22"/>
        </w:rPr>
        <w:t>materiály pro schválení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 </w:t>
      </w:r>
      <w:r w:rsidR="00B805B6" w:rsidRPr="00651753">
        <w:rPr>
          <w:rFonts w:ascii="Arial" w:hAnsi="Arial" w:cs="Arial"/>
          <w:bCs/>
          <w:iCs/>
          <w:sz w:val="22"/>
          <w:szCs w:val="22"/>
        </w:rPr>
        <w:t xml:space="preserve">a 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notifikaci výzkumných programů. </w:t>
      </w:r>
      <w:r w:rsidR="005248F5" w:rsidRPr="00651753">
        <w:rPr>
          <w:rFonts w:ascii="Arial" w:hAnsi="Arial" w:cs="Arial"/>
          <w:bCs/>
          <w:iCs/>
          <w:sz w:val="22"/>
          <w:szCs w:val="22"/>
        </w:rPr>
        <w:t>Připravuje a zajišťuje veřejné soutěže v</w:t>
      </w:r>
      <w:r w:rsidR="00D71F76">
        <w:rPr>
          <w:rFonts w:ascii="Arial" w:hAnsi="Arial" w:cs="Arial"/>
          <w:bCs/>
          <w:iCs/>
          <w:sz w:val="22"/>
          <w:szCs w:val="22"/>
        </w:rPr>
        <w:t> oblasti</w:t>
      </w:r>
      <w:r w:rsidR="005248F5" w:rsidRPr="00651753">
        <w:rPr>
          <w:rFonts w:ascii="Arial" w:hAnsi="Arial" w:cs="Arial"/>
          <w:bCs/>
          <w:iCs/>
          <w:sz w:val="22"/>
          <w:szCs w:val="22"/>
        </w:rPr>
        <w:t xml:space="preserve"> VaVaI </w:t>
      </w:r>
      <w:r w:rsidR="005248F5">
        <w:rPr>
          <w:rFonts w:ascii="Arial" w:hAnsi="Arial" w:cs="Arial"/>
          <w:bCs/>
          <w:iCs/>
          <w:sz w:val="22"/>
          <w:szCs w:val="22"/>
        </w:rPr>
        <w:t>společně</w:t>
      </w:r>
      <w:r w:rsidR="005248F5" w:rsidRPr="00651753">
        <w:rPr>
          <w:rFonts w:ascii="Arial" w:hAnsi="Arial" w:cs="Arial"/>
          <w:bCs/>
          <w:iCs/>
          <w:sz w:val="22"/>
          <w:szCs w:val="22"/>
        </w:rPr>
        <w:t xml:space="preserve"> </w:t>
      </w:r>
      <w:r w:rsidR="00BF036A">
        <w:rPr>
          <w:rFonts w:ascii="Arial" w:hAnsi="Arial" w:cs="Arial"/>
          <w:bCs/>
          <w:iCs/>
          <w:sz w:val="22"/>
          <w:szCs w:val="22"/>
        </w:rPr>
        <w:t>s </w:t>
      </w:r>
      <w:r w:rsidR="005248F5" w:rsidRPr="00651753">
        <w:rPr>
          <w:rFonts w:ascii="Arial" w:hAnsi="Arial" w:cs="Arial"/>
          <w:bCs/>
          <w:iCs/>
          <w:sz w:val="22"/>
          <w:szCs w:val="22"/>
        </w:rPr>
        <w:t xml:space="preserve">odbornými poradními orgány. </w:t>
      </w:r>
      <w:r w:rsidR="004B1F81">
        <w:rPr>
          <w:rFonts w:ascii="Arial" w:hAnsi="Arial" w:cs="Arial"/>
          <w:bCs/>
          <w:iCs/>
          <w:sz w:val="22"/>
          <w:szCs w:val="22"/>
        </w:rPr>
        <w:t>Ve s</w:t>
      </w:r>
      <w:r w:rsidR="005248F5">
        <w:rPr>
          <w:rFonts w:ascii="Arial" w:hAnsi="Arial" w:cs="Arial"/>
          <w:bCs/>
          <w:iCs/>
          <w:sz w:val="22"/>
          <w:szCs w:val="22"/>
        </w:rPr>
        <w:t>pol</w:t>
      </w:r>
      <w:r w:rsidR="004B1F81">
        <w:rPr>
          <w:rFonts w:ascii="Arial" w:hAnsi="Arial" w:cs="Arial"/>
          <w:bCs/>
          <w:iCs/>
          <w:sz w:val="22"/>
          <w:szCs w:val="22"/>
        </w:rPr>
        <w:t>upráci</w:t>
      </w:r>
      <w:r w:rsidR="005248F5">
        <w:rPr>
          <w:rFonts w:ascii="Arial" w:hAnsi="Arial" w:cs="Arial"/>
          <w:bCs/>
          <w:iCs/>
          <w:sz w:val="22"/>
          <w:szCs w:val="22"/>
        </w:rPr>
        <w:t xml:space="preserve"> s</w:t>
      </w:r>
      <w:r w:rsidR="00D71F76">
        <w:rPr>
          <w:rFonts w:ascii="Arial" w:hAnsi="Arial" w:cs="Arial"/>
          <w:bCs/>
          <w:iCs/>
          <w:sz w:val="22"/>
          <w:szCs w:val="22"/>
        </w:rPr>
        <w:t> </w:t>
      </w:r>
      <w:r w:rsidR="005248F5">
        <w:rPr>
          <w:rFonts w:ascii="Arial" w:hAnsi="Arial" w:cs="Arial"/>
          <w:bCs/>
          <w:iCs/>
          <w:sz w:val="22"/>
          <w:szCs w:val="22"/>
        </w:rPr>
        <w:t xml:space="preserve">útvarem interního auditu </w:t>
      </w:r>
      <w:r w:rsidR="008E529A">
        <w:rPr>
          <w:rFonts w:ascii="Arial" w:hAnsi="Arial" w:cs="Arial"/>
          <w:bCs/>
          <w:iCs/>
          <w:sz w:val="22"/>
          <w:szCs w:val="22"/>
        </w:rPr>
        <w:t xml:space="preserve">MZe </w:t>
      </w:r>
      <w:r w:rsidR="005248F5">
        <w:rPr>
          <w:rFonts w:ascii="Arial" w:hAnsi="Arial" w:cs="Arial"/>
          <w:bCs/>
          <w:iCs/>
          <w:sz w:val="22"/>
          <w:szCs w:val="22"/>
        </w:rPr>
        <w:t>p</w:t>
      </w:r>
      <w:r w:rsidR="005248F5" w:rsidRPr="00651753">
        <w:rPr>
          <w:rFonts w:ascii="Arial" w:hAnsi="Arial" w:cs="Arial"/>
          <w:bCs/>
          <w:iCs/>
          <w:sz w:val="22"/>
          <w:szCs w:val="22"/>
        </w:rPr>
        <w:t>rovádí</w:t>
      </w:r>
      <w:r w:rsidR="005248F5">
        <w:rPr>
          <w:rFonts w:ascii="Arial" w:hAnsi="Arial" w:cs="Arial"/>
          <w:bCs/>
          <w:iCs/>
          <w:sz w:val="22"/>
          <w:szCs w:val="22"/>
        </w:rPr>
        <w:t xml:space="preserve"> </w:t>
      </w:r>
      <w:r w:rsidR="005248F5" w:rsidRPr="00651753">
        <w:rPr>
          <w:rFonts w:ascii="Arial" w:hAnsi="Arial" w:cs="Arial"/>
          <w:bCs/>
          <w:iCs/>
          <w:sz w:val="22"/>
          <w:szCs w:val="22"/>
        </w:rPr>
        <w:t xml:space="preserve">finanční kontroly vybraných projektů </w:t>
      </w:r>
      <w:r w:rsidR="005248F5">
        <w:rPr>
          <w:rFonts w:ascii="Arial" w:hAnsi="Arial" w:cs="Arial"/>
          <w:bCs/>
          <w:iCs/>
          <w:sz w:val="22"/>
          <w:szCs w:val="22"/>
        </w:rPr>
        <w:t>podle</w:t>
      </w:r>
      <w:r w:rsidR="005248F5" w:rsidRPr="00651753">
        <w:rPr>
          <w:rFonts w:ascii="Arial" w:hAnsi="Arial" w:cs="Arial"/>
          <w:bCs/>
          <w:iCs/>
          <w:sz w:val="22"/>
          <w:szCs w:val="22"/>
        </w:rPr>
        <w:t xml:space="preserve"> zákon</w:t>
      </w:r>
      <w:r w:rsidR="005248F5">
        <w:rPr>
          <w:rFonts w:ascii="Arial" w:hAnsi="Arial" w:cs="Arial"/>
          <w:bCs/>
          <w:iCs/>
          <w:sz w:val="22"/>
          <w:szCs w:val="22"/>
        </w:rPr>
        <w:t>a</w:t>
      </w:r>
      <w:r w:rsidR="005248F5" w:rsidRPr="00651753">
        <w:rPr>
          <w:rFonts w:ascii="Arial" w:hAnsi="Arial" w:cs="Arial"/>
          <w:bCs/>
          <w:iCs/>
          <w:sz w:val="22"/>
          <w:szCs w:val="22"/>
        </w:rPr>
        <w:t xml:space="preserve"> č.</w:t>
      </w:r>
      <w:r w:rsidR="008A5823">
        <w:rPr>
          <w:rFonts w:ascii="Arial" w:hAnsi="Arial" w:cs="Arial"/>
          <w:bCs/>
          <w:iCs/>
          <w:sz w:val="22"/>
          <w:szCs w:val="22"/>
        </w:rPr>
        <w:t> </w:t>
      </w:r>
      <w:r w:rsidR="005248F5" w:rsidRPr="00651753">
        <w:rPr>
          <w:rFonts w:ascii="Arial" w:hAnsi="Arial" w:cs="Arial"/>
          <w:bCs/>
          <w:iCs/>
          <w:sz w:val="22"/>
          <w:szCs w:val="22"/>
        </w:rPr>
        <w:t>320/2001</w:t>
      </w:r>
      <w:r w:rsidR="008A5823">
        <w:rPr>
          <w:rFonts w:ascii="Arial" w:hAnsi="Arial" w:cs="Arial"/>
          <w:bCs/>
          <w:iCs/>
          <w:sz w:val="22"/>
          <w:szCs w:val="22"/>
        </w:rPr>
        <w:t> </w:t>
      </w:r>
      <w:r w:rsidR="005248F5" w:rsidRPr="00651753">
        <w:rPr>
          <w:rFonts w:ascii="Arial" w:hAnsi="Arial" w:cs="Arial"/>
          <w:bCs/>
          <w:iCs/>
          <w:sz w:val="22"/>
          <w:szCs w:val="22"/>
        </w:rPr>
        <w:t>Sb.</w:t>
      </w:r>
      <w:r w:rsidR="00D374F9">
        <w:rPr>
          <w:rStyle w:val="Znakapoznpodarou"/>
          <w:rFonts w:ascii="Arial" w:hAnsi="Arial" w:cs="Arial"/>
          <w:bCs/>
          <w:iCs/>
          <w:sz w:val="22"/>
          <w:szCs w:val="22"/>
        </w:rPr>
        <w:footnoteReference w:id="2"/>
      </w:r>
      <w:r w:rsidR="005248F5" w:rsidRPr="00651753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51753">
        <w:rPr>
          <w:rFonts w:ascii="Arial" w:hAnsi="Arial" w:cs="Arial"/>
          <w:bCs/>
          <w:iCs/>
          <w:sz w:val="22"/>
          <w:szCs w:val="22"/>
        </w:rPr>
        <w:t>Organizačně za</w:t>
      </w:r>
      <w:r w:rsidR="001D6248">
        <w:rPr>
          <w:rFonts w:ascii="Arial" w:hAnsi="Arial" w:cs="Arial"/>
          <w:bCs/>
          <w:iCs/>
          <w:sz w:val="22"/>
          <w:szCs w:val="22"/>
        </w:rPr>
        <w:t>jišť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uje </w:t>
      </w:r>
      <w:r w:rsidR="004B1F81">
        <w:rPr>
          <w:rFonts w:ascii="Arial" w:hAnsi="Arial" w:cs="Arial"/>
          <w:bCs/>
          <w:iCs/>
          <w:sz w:val="22"/>
          <w:szCs w:val="22"/>
        </w:rPr>
        <w:t xml:space="preserve">průběžné i </w:t>
      </w:r>
      <w:r w:rsidR="004B1F81" w:rsidRPr="00651753">
        <w:rPr>
          <w:rFonts w:ascii="Arial" w:hAnsi="Arial" w:cs="Arial"/>
          <w:bCs/>
          <w:iCs/>
          <w:sz w:val="22"/>
          <w:szCs w:val="22"/>
        </w:rPr>
        <w:t>závěrečn</w:t>
      </w:r>
      <w:r w:rsidR="004B1F81">
        <w:rPr>
          <w:rFonts w:ascii="Arial" w:hAnsi="Arial" w:cs="Arial"/>
          <w:bCs/>
          <w:iCs/>
          <w:sz w:val="22"/>
          <w:szCs w:val="22"/>
        </w:rPr>
        <w:t>é</w:t>
      </w:r>
      <w:r w:rsidR="004B1F81" w:rsidRPr="00651753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hodnocení řešení projektů. </w:t>
      </w:r>
      <w:r w:rsidR="005248F5" w:rsidRPr="00651753">
        <w:rPr>
          <w:rFonts w:ascii="Arial" w:hAnsi="Arial" w:cs="Arial"/>
          <w:bCs/>
          <w:iCs/>
          <w:sz w:val="22"/>
          <w:szCs w:val="22"/>
        </w:rPr>
        <w:t xml:space="preserve">Zabezpečuje dokumentaci </w:t>
      </w:r>
      <w:r w:rsidR="00811AE0" w:rsidRPr="00651753">
        <w:rPr>
          <w:rFonts w:ascii="Arial" w:hAnsi="Arial" w:cs="Arial"/>
          <w:bCs/>
          <w:iCs/>
          <w:sz w:val="22"/>
          <w:szCs w:val="22"/>
        </w:rPr>
        <w:t>programov</w:t>
      </w:r>
      <w:r w:rsidR="00811AE0">
        <w:rPr>
          <w:rFonts w:ascii="Arial" w:hAnsi="Arial" w:cs="Arial"/>
          <w:bCs/>
          <w:iCs/>
          <w:sz w:val="22"/>
          <w:szCs w:val="22"/>
        </w:rPr>
        <w:t>ých</w:t>
      </w:r>
      <w:r w:rsidR="00811AE0" w:rsidRPr="00651753">
        <w:rPr>
          <w:rFonts w:ascii="Arial" w:hAnsi="Arial" w:cs="Arial"/>
          <w:bCs/>
          <w:iCs/>
          <w:sz w:val="22"/>
          <w:szCs w:val="22"/>
        </w:rPr>
        <w:t xml:space="preserve"> </w:t>
      </w:r>
      <w:r w:rsidR="005248F5" w:rsidRPr="00651753">
        <w:rPr>
          <w:rFonts w:ascii="Arial" w:hAnsi="Arial" w:cs="Arial"/>
          <w:bCs/>
          <w:iCs/>
          <w:sz w:val="22"/>
          <w:szCs w:val="22"/>
        </w:rPr>
        <w:t xml:space="preserve">projektů financovaných </w:t>
      </w:r>
      <w:r w:rsidR="00BF036A">
        <w:rPr>
          <w:rFonts w:ascii="Arial" w:hAnsi="Arial" w:cs="Arial"/>
          <w:bCs/>
          <w:iCs/>
          <w:sz w:val="22"/>
          <w:szCs w:val="22"/>
        </w:rPr>
        <w:t>z </w:t>
      </w:r>
      <w:r w:rsidR="005248F5" w:rsidRPr="00651753">
        <w:rPr>
          <w:rFonts w:ascii="Arial" w:hAnsi="Arial" w:cs="Arial"/>
          <w:bCs/>
          <w:iCs/>
          <w:sz w:val="22"/>
          <w:szCs w:val="22"/>
        </w:rPr>
        <w:t>prostředků MZe.</w:t>
      </w:r>
    </w:p>
    <w:p w14:paraId="780166B3" w14:textId="77777777" w:rsidR="003F0EE5" w:rsidRDefault="003F0EE5" w:rsidP="00395C6A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780166B4" w14:textId="77777777" w:rsidR="00651753" w:rsidRPr="00651753" w:rsidRDefault="00651753" w:rsidP="00395C6A">
      <w:pPr>
        <w:pStyle w:val="Normlnweb"/>
        <w:spacing w:before="0" w:beforeAutospacing="0" w:after="0" w:afterAutospacing="0"/>
        <w:jc w:val="both"/>
        <w:rPr>
          <w:rFonts w:ascii="Arial" w:hAnsi="Arial" w:cs="Arial"/>
          <w:bCs/>
          <w:iCs/>
          <w:sz w:val="22"/>
          <w:szCs w:val="22"/>
        </w:rPr>
      </w:pPr>
      <w:r w:rsidRPr="00651753">
        <w:rPr>
          <w:rFonts w:ascii="Arial" w:hAnsi="Arial" w:cs="Arial"/>
          <w:b/>
          <w:bCs/>
          <w:iCs/>
          <w:sz w:val="22"/>
          <w:szCs w:val="22"/>
        </w:rPr>
        <w:t>Příjemci podpory</w:t>
      </w:r>
      <w:r w:rsidR="007234C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234C3" w:rsidRPr="007234C3">
        <w:rPr>
          <w:rFonts w:ascii="Arial" w:hAnsi="Arial" w:cs="Arial"/>
          <w:bCs/>
          <w:iCs/>
          <w:sz w:val="22"/>
          <w:szCs w:val="22"/>
        </w:rPr>
        <w:t>jsou subjekty, které se ucházely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 o podporu </w:t>
      </w:r>
      <w:r w:rsidR="00BF036A">
        <w:rPr>
          <w:rFonts w:ascii="Arial" w:hAnsi="Arial" w:cs="Arial"/>
          <w:bCs/>
          <w:iCs/>
          <w:sz w:val="22"/>
          <w:szCs w:val="22"/>
        </w:rPr>
        <w:t>v </w:t>
      </w:r>
      <w:r w:rsidRPr="00651753">
        <w:rPr>
          <w:rFonts w:ascii="Arial" w:hAnsi="Arial" w:cs="Arial"/>
          <w:bCs/>
          <w:iCs/>
          <w:sz w:val="22"/>
          <w:szCs w:val="22"/>
        </w:rPr>
        <w:t>rámci veřejné soutěže v</w:t>
      </w:r>
      <w:r w:rsidR="00D71F76">
        <w:rPr>
          <w:rFonts w:ascii="Arial" w:hAnsi="Arial" w:cs="Arial"/>
          <w:bCs/>
          <w:iCs/>
          <w:sz w:val="22"/>
          <w:szCs w:val="22"/>
        </w:rPr>
        <w:t> oblasti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 VaVaI, </w:t>
      </w:r>
      <w:r w:rsidR="00BF036A">
        <w:rPr>
          <w:rFonts w:ascii="Arial" w:hAnsi="Arial" w:cs="Arial"/>
          <w:bCs/>
          <w:iCs/>
          <w:sz w:val="22"/>
          <w:szCs w:val="22"/>
        </w:rPr>
        <w:t>v </w:t>
      </w:r>
      <w:r w:rsidRPr="00651753">
        <w:rPr>
          <w:rFonts w:ascii="Arial" w:hAnsi="Arial" w:cs="Arial"/>
          <w:bCs/>
          <w:iCs/>
          <w:sz w:val="22"/>
          <w:szCs w:val="22"/>
        </w:rPr>
        <w:t>jejichž prospěch MZe rozhodlo o poskytnutí podpory a</w:t>
      </w:r>
      <w:r w:rsidR="00353E86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51753">
        <w:rPr>
          <w:rFonts w:ascii="Arial" w:hAnsi="Arial" w:cs="Arial"/>
          <w:bCs/>
          <w:iCs/>
          <w:sz w:val="22"/>
          <w:szCs w:val="22"/>
        </w:rPr>
        <w:t>které schválené projekty realizují neb</w:t>
      </w:r>
      <w:r w:rsidR="002A6746">
        <w:rPr>
          <w:rFonts w:ascii="Arial" w:hAnsi="Arial" w:cs="Arial"/>
          <w:bCs/>
          <w:iCs/>
          <w:sz w:val="22"/>
          <w:szCs w:val="22"/>
        </w:rPr>
        <w:t>o již vlastní realizaci ukončily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. </w:t>
      </w:r>
      <w:r w:rsidR="00BF036A">
        <w:rPr>
          <w:rFonts w:ascii="Arial" w:hAnsi="Arial" w:cs="Arial"/>
          <w:bCs/>
          <w:iCs/>
          <w:sz w:val="22"/>
          <w:szCs w:val="22"/>
        </w:rPr>
        <w:t>V 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případě více příjemců účastnících se jediného projektu je jeden </w:t>
      </w:r>
      <w:r w:rsidR="00BF036A">
        <w:rPr>
          <w:rFonts w:ascii="Arial" w:hAnsi="Arial" w:cs="Arial"/>
          <w:bCs/>
          <w:iCs/>
          <w:sz w:val="22"/>
          <w:szCs w:val="22"/>
        </w:rPr>
        <w:t>z </w:t>
      </w:r>
      <w:r w:rsidRPr="00651753">
        <w:rPr>
          <w:rFonts w:ascii="Arial" w:hAnsi="Arial" w:cs="Arial"/>
          <w:bCs/>
          <w:iCs/>
          <w:sz w:val="22"/>
          <w:szCs w:val="22"/>
        </w:rPr>
        <w:t>nich hlavní</w:t>
      </w:r>
      <w:r w:rsidR="00FE40D8">
        <w:rPr>
          <w:rFonts w:ascii="Arial" w:hAnsi="Arial" w:cs="Arial"/>
          <w:bCs/>
          <w:iCs/>
          <w:sz w:val="22"/>
          <w:szCs w:val="22"/>
        </w:rPr>
        <w:t>,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 </w:t>
      </w:r>
      <w:r w:rsidR="00FE40D8">
        <w:rPr>
          <w:rFonts w:ascii="Arial" w:hAnsi="Arial" w:cs="Arial"/>
          <w:bCs/>
          <w:iCs/>
          <w:sz w:val="22"/>
          <w:szCs w:val="22"/>
        </w:rPr>
        <w:t xml:space="preserve">tzv. </w:t>
      </w:r>
      <w:r w:rsidRPr="00651753">
        <w:rPr>
          <w:rFonts w:ascii="Arial" w:hAnsi="Arial" w:cs="Arial"/>
          <w:bCs/>
          <w:iCs/>
          <w:sz w:val="22"/>
          <w:szCs w:val="22"/>
        </w:rPr>
        <w:t>koordinátor</w:t>
      </w:r>
      <w:r w:rsidR="008D048E">
        <w:rPr>
          <w:rFonts w:ascii="Arial" w:hAnsi="Arial" w:cs="Arial"/>
          <w:bCs/>
          <w:iCs/>
          <w:sz w:val="22"/>
          <w:szCs w:val="22"/>
        </w:rPr>
        <w:t xml:space="preserve">. </w:t>
      </w:r>
      <w:r w:rsidRPr="00651753">
        <w:rPr>
          <w:rFonts w:ascii="Arial" w:hAnsi="Arial" w:cs="Arial"/>
          <w:bCs/>
          <w:iCs/>
          <w:sz w:val="22"/>
          <w:szCs w:val="22"/>
        </w:rPr>
        <w:t>Příjemci podpory j</w:t>
      </w:r>
      <w:r w:rsidR="0022418F">
        <w:rPr>
          <w:rFonts w:ascii="Arial" w:hAnsi="Arial" w:cs="Arial"/>
          <w:bCs/>
          <w:iCs/>
          <w:sz w:val="22"/>
          <w:szCs w:val="22"/>
        </w:rPr>
        <w:t>sou povinni dodržovat podmínky</w:t>
      </w:r>
      <w:r w:rsidR="00353E86">
        <w:rPr>
          <w:rFonts w:ascii="Arial" w:hAnsi="Arial" w:cs="Arial"/>
          <w:bCs/>
          <w:iCs/>
          <w:sz w:val="22"/>
          <w:szCs w:val="22"/>
        </w:rPr>
        <w:t xml:space="preserve"> </w:t>
      </w:r>
      <w:r w:rsidR="00AE4A2C">
        <w:rPr>
          <w:rFonts w:ascii="Arial" w:hAnsi="Arial" w:cs="Arial"/>
          <w:bCs/>
          <w:iCs/>
          <w:sz w:val="22"/>
          <w:szCs w:val="22"/>
        </w:rPr>
        <w:t>s</w:t>
      </w:r>
      <w:r w:rsidRPr="00651753">
        <w:rPr>
          <w:rFonts w:ascii="Arial" w:hAnsi="Arial" w:cs="Arial"/>
          <w:bCs/>
          <w:iCs/>
          <w:sz w:val="22"/>
          <w:szCs w:val="22"/>
        </w:rPr>
        <w:t>mlouvy</w:t>
      </w:r>
      <w:r w:rsidRPr="00651753">
        <w:rPr>
          <w:rFonts w:ascii="Arial" w:hAnsi="Arial" w:cs="Arial"/>
          <w:sz w:val="22"/>
          <w:szCs w:val="22"/>
        </w:rPr>
        <w:t xml:space="preserve"> </w:t>
      </w:r>
      <w:r w:rsidRPr="00651753">
        <w:rPr>
          <w:rFonts w:ascii="Arial" w:hAnsi="Arial" w:cs="Arial"/>
          <w:bCs/>
          <w:iCs/>
          <w:sz w:val="22"/>
          <w:szCs w:val="22"/>
        </w:rPr>
        <w:t>o</w:t>
      </w:r>
      <w:r w:rsidR="008D048E">
        <w:rPr>
          <w:rFonts w:ascii="Arial" w:hAnsi="Arial" w:cs="Arial"/>
          <w:bCs/>
          <w:iCs/>
          <w:sz w:val="22"/>
          <w:szCs w:val="22"/>
        </w:rPr>
        <w:t> 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poskytnutí </w:t>
      </w:r>
      <w:r w:rsidR="004E34F7">
        <w:rPr>
          <w:rFonts w:ascii="Arial" w:hAnsi="Arial" w:cs="Arial"/>
          <w:bCs/>
          <w:iCs/>
          <w:sz w:val="22"/>
          <w:szCs w:val="22"/>
        </w:rPr>
        <w:t xml:space="preserve">dotace na </w:t>
      </w:r>
      <w:r w:rsidRPr="00651753">
        <w:rPr>
          <w:rFonts w:ascii="Arial" w:hAnsi="Arial" w:cs="Arial"/>
          <w:bCs/>
          <w:iCs/>
          <w:sz w:val="22"/>
          <w:szCs w:val="22"/>
        </w:rPr>
        <w:t>podpor</w:t>
      </w:r>
      <w:r w:rsidR="004E34F7">
        <w:rPr>
          <w:rFonts w:ascii="Arial" w:hAnsi="Arial" w:cs="Arial"/>
          <w:bCs/>
          <w:iCs/>
          <w:sz w:val="22"/>
          <w:szCs w:val="22"/>
        </w:rPr>
        <w:t>u</w:t>
      </w:r>
      <w:r w:rsidRPr="00651753">
        <w:rPr>
          <w:rFonts w:ascii="Arial" w:hAnsi="Arial" w:cs="Arial"/>
          <w:bCs/>
          <w:iCs/>
          <w:sz w:val="22"/>
          <w:szCs w:val="22"/>
        </w:rPr>
        <w:t xml:space="preserve"> řešení projektu (dále také „</w:t>
      </w:r>
      <w:r w:rsidR="00D71F76">
        <w:rPr>
          <w:rFonts w:ascii="Arial" w:hAnsi="Arial" w:cs="Arial"/>
          <w:bCs/>
          <w:iCs/>
          <w:sz w:val="22"/>
          <w:szCs w:val="22"/>
        </w:rPr>
        <w:t>s</w:t>
      </w:r>
      <w:r w:rsidRPr="00651753">
        <w:rPr>
          <w:rFonts w:ascii="Arial" w:hAnsi="Arial" w:cs="Arial"/>
          <w:bCs/>
          <w:iCs/>
          <w:sz w:val="22"/>
          <w:szCs w:val="22"/>
        </w:rPr>
        <w:t>mlouva o</w:t>
      </w:r>
      <w:r w:rsidR="008A5823">
        <w:rPr>
          <w:rFonts w:ascii="Arial" w:hAnsi="Arial" w:cs="Arial"/>
          <w:bCs/>
          <w:iCs/>
          <w:sz w:val="22"/>
          <w:szCs w:val="22"/>
        </w:rPr>
        <w:t> </w:t>
      </w:r>
      <w:r w:rsidRPr="00651753">
        <w:rPr>
          <w:rFonts w:ascii="Arial" w:hAnsi="Arial" w:cs="Arial"/>
          <w:bCs/>
          <w:iCs/>
          <w:sz w:val="22"/>
          <w:szCs w:val="22"/>
        </w:rPr>
        <w:t>podpoře“).</w:t>
      </w:r>
    </w:p>
    <w:p w14:paraId="780166B5" w14:textId="77777777" w:rsidR="003F0EE5" w:rsidRPr="00395C6A" w:rsidRDefault="003F0EE5" w:rsidP="00395C6A">
      <w:pPr>
        <w:autoSpaceDE w:val="0"/>
        <w:autoSpaceDN w:val="0"/>
        <w:adjustRightInd w:val="0"/>
        <w:ind w:left="1134" w:hanging="1134"/>
        <w:jc w:val="both"/>
        <w:rPr>
          <w:rFonts w:ascii="Arial" w:hAnsi="Arial" w:cs="Arial"/>
          <w:iCs/>
          <w:sz w:val="22"/>
          <w:szCs w:val="22"/>
        </w:rPr>
      </w:pPr>
    </w:p>
    <w:p w14:paraId="780166B6" w14:textId="77777777" w:rsidR="00651753" w:rsidRPr="003E4935" w:rsidRDefault="00651753" w:rsidP="00395C6A">
      <w:pPr>
        <w:autoSpaceDE w:val="0"/>
        <w:autoSpaceDN w:val="0"/>
        <w:adjustRightInd w:val="0"/>
        <w:ind w:left="624" w:hanging="624"/>
        <w:jc w:val="both"/>
        <w:rPr>
          <w:rFonts w:ascii="Arial" w:hAnsi="Arial" w:cs="Arial"/>
          <w:i/>
          <w:iCs/>
          <w:sz w:val="18"/>
          <w:szCs w:val="18"/>
        </w:rPr>
      </w:pPr>
      <w:r w:rsidRPr="00395C6A">
        <w:rPr>
          <w:rFonts w:ascii="Arial" w:hAnsi="Arial" w:cs="Arial"/>
          <w:b/>
          <w:iCs/>
          <w:sz w:val="18"/>
          <w:szCs w:val="18"/>
        </w:rPr>
        <w:t>Pozn</w:t>
      </w:r>
      <w:r w:rsidR="00D71F76" w:rsidRPr="00395C6A">
        <w:rPr>
          <w:rFonts w:ascii="Arial" w:hAnsi="Arial" w:cs="Arial"/>
          <w:b/>
          <w:iCs/>
          <w:sz w:val="18"/>
          <w:szCs w:val="18"/>
        </w:rPr>
        <w:t>.:</w:t>
      </w:r>
      <w:r w:rsidR="003E4935">
        <w:rPr>
          <w:rFonts w:ascii="Arial" w:hAnsi="Arial" w:cs="Arial"/>
          <w:iCs/>
          <w:sz w:val="18"/>
          <w:szCs w:val="18"/>
        </w:rPr>
        <w:tab/>
      </w:r>
      <w:r w:rsidRPr="003E4935">
        <w:rPr>
          <w:rFonts w:ascii="Arial" w:hAnsi="Arial" w:cs="Arial"/>
          <w:iCs/>
          <w:sz w:val="18"/>
          <w:szCs w:val="18"/>
        </w:rPr>
        <w:t xml:space="preserve">Právní předpisy uvedené </w:t>
      </w:r>
      <w:r w:rsidR="00BF036A">
        <w:rPr>
          <w:rFonts w:ascii="Arial" w:hAnsi="Arial" w:cs="Arial"/>
          <w:iCs/>
          <w:sz w:val="18"/>
          <w:szCs w:val="18"/>
        </w:rPr>
        <w:t>v </w:t>
      </w:r>
      <w:r w:rsidRPr="003E4935">
        <w:rPr>
          <w:rFonts w:ascii="Arial" w:hAnsi="Arial" w:cs="Arial"/>
          <w:iCs/>
          <w:sz w:val="18"/>
          <w:szCs w:val="18"/>
        </w:rPr>
        <w:t>tomto kontrolním závěru jsou aplikovány ve znění účinném pro kontrolované období.</w:t>
      </w:r>
      <w:r w:rsidRPr="003E4935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780166B7" w14:textId="77777777" w:rsidR="00D03CD0" w:rsidRDefault="00D03CD0" w:rsidP="00D03CD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80166B8" w14:textId="77777777" w:rsidR="00D03CD0" w:rsidRDefault="00D03CD0" w:rsidP="00D03CD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780166B9" w14:textId="77777777" w:rsidR="00651753" w:rsidRPr="00395C6A" w:rsidRDefault="00651753" w:rsidP="00D03CD0">
      <w:pPr>
        <w:jc w:val="center"/>
        <w:rPr>
          <w:rFonts w:ascii="Arial" w:hAnsi="Arial" w:cs="Arial"/>
          <w:b/>
        </w:rPr>
      </w:pPr>
      <w:r w:rsidRPr="00395C6A">
        <w:rPr>
          <w:rFonts w:ascii="Arial" w:hAnsi="Arial" w:cs="Arial"/>
          <w:b/>
        </w:rPr>
        <w:t>II. Skutečnosti zjištěné při kontrole</w:t>
      </w:r>
    </w:p>
    <w:p w14:paraId="780166BA" w14:textId="77777777" w:rsidR="003F0EE5" w:rsidRDefault="003F0EE5" w:rsidP="00D03CD0">
      <w:pPr>
        <w:jc w:val="center"/>
        <w:rPr>
          <w:rFonts w:ascii="Arial" w:hAnsi="Arial" w:cs="Arial"/>
          <w:b/>
          <w:sz w:val="22"/>
          <w:szCs w:val="22"/>
        </w:rPr>
      </w:pPr>
    </w:p>
    <w:p w14:paraId="780166BB" w14:textId="77777777" w:rsidR="00087273" w:rsidRPr="009A7BFB" w:rsidRDefault="00087273" w:rsidP="00395C6A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2"/>
          <w:szCs w:val="22"/>
        </w:rPr>
      </w:pPr>
      <w:r w:rsidRPr="009A7BFB">
        <w:rPr>
          <w:rFonts w:ascii="Arial" w:hAnsi="Arial" w:cs="Arial"/>
          <w:b/>
          <w:sz w:val="22"/>
          <w:szCs w:val="22"/>
        </w:rPr>
        <w:t>Koncepce</w:t>
      </w:r>
      <w:r w:rsidRPr="009A7BFB">
        <w:rPr>
          <w:rFonts w:ascii="Arial" w:hAnsi="Arial" w:cs="Arial"/>
          <w:b/>
          <w:bCs/>
          <w:sz w:val="22"/>
          <w:szCs w:val="22"/>
        </w:rPr>
        <w:t xml:space="preserve"> zemědělského výzkumu</w:t>
      </w:r>
      <w:r w:rsidRPr="009A7BFB">
        <w:rPr>
          <w:rFonts w:ascii="Arial" w:hAnsi="Arial" w:cs="Arial"/>
          <w:b/>
          <w:sz w:val="22"/>
          <w:szCs w:val="22"/>
        </w:rPr>
        <w:t xml:space="preserve">, </w:t>
      </w:r>
      <w:r w:rsidRPr="009A7BFB">
        <w:rPr>
          <w:rFonts w:ascii="Arial" w:hAnsi="Arial" w:cs="Arial"/>
          <w:b/>
          <w:bCs/>
          <w:sz w:val="22"/>
          <w:szCs w:val="22"/>
        </w:rPr>
        <w:t>výzkumné</w:t>
      </w:r>
      <w:r w:rsidRPr="009A7BFB">
        <w:rPr>
          <w:rFonts w:ascii="Arial" w:hAnsi="Arial" w:cs="Arial"/>
          <w:b/>
          <w:sz w:val="22"/>
          <w:szCs w:val="22"/>
        </w:rPr>
        <w:t xml:space="preserve"> programy a jejich cíle</w:t>
      </w:r>
    </w:p>
    <w:p w14:paraId="780166BC" w14:textId="77777777" w:rsidR="003F0EE5" w:rsidRDefault="003F0EE5" w:rsidP="00395C6A">
      <w:pPr>
        <w:jc w:val="both"/>
        <w:rPr>
          <w:rFonts w:ascii="Arial" w:hAnsi="Arial" w:cs="Arial"/>
          <w:bCs/>
          <w:sz w:val="22"/>
          <w:szCs w:val="22"/>
        </w:rPr>
      </w:pPr>
    </w:p>
    <w:p w14:paraId="780166BD" w14:textId="77777777" w:rsidR="00087273" w:rsidRPr="00087273" w:rsidRDefault="00087273" w:rsidP="00395C6A">
      <w:pPr>
        <w:jc w:val="both"/>
        <w:rPr>
          <w:rFonts w:ascii="Arial" w:hAnsi="Arial" w:cs="Arial"/>
          <w:sz w:val="22"/>
          <w:szCs w:val="22"/>
        </w:rPr>
      </w:pPr>
      <w:r w:rsidRPr="00087273">
        <w:rPr>
          <w:rFonts w:ascii="Arial" w:hAnsi="Arial" w:cs="Arial"/>
          <w:bCs/>
          <w:sz w:val="22"/>
          <w:szCs w:val="22"/>
        </w:rPr>
        <w:t xml:space="preserve">Vláda </w:t>
      </w:r>
      <w:r w:rsidRPr="00087273">
        <w:rPr>
          <w:rFonts w:ascii="Arial" w:hAnsi="Arial" w:cs="Arial"/>
          <w:sz w:val="22"/>
          <w:szCs w:val="22"/>
        </w:rPr>
        <w:t xml:space="preserve">ČR </w:t>
      </w:r>
      <w:r w:rsidRPr="00087273">
        <w:rPr>
          <w:rFonts w:ascii="Arial" w:hAnsi="Arial" w:cs="Arial"/>
          <w:bCs/>
          <w:sz w:val="22"/>
          <w:szCs w:val="22"/>
        </w:rPr>
        <w:t xml:space="preserve">usnesením ze dne 26. ledna 2009 č. 113 schválila </w:t>
      </w:r>
      <w:r w:rsidRPr="00395C6A">
        <w:rPr>
          <w:rFonts w:ascii="Arial" w:hAnsi="Arial" w:cs="Arial"/>
          <w:bCs/>
          <w:i/>
          <w:sz w:val="22"/>
          <w:szCs w:val="22"/>
        </w:rPr>
        <w:t>Koncepci zemědělského aplikovaného výzkumu a vývoje do roku 2015</w:t>
      </w:r>
      <w:r w:rsidRPr="00087273">
        <w:rPr>
          <w:rFonts w:ascii="Arial" w:hAnsi="Arial" w:cs="Arial"/>
          <w:bCs/>
          <w:sz w:val="22"/>
          <w:szCs w:val="22"/>
        </w:rPr>
        <w:t xml:space="preserve"> (dále též „</w:t>
      </w:r>
      <w:r w:rsidRPr="00087273">
        <w:rPr>
          <w:rFonts w:ascii="Arial" w:hAnsi="Arial" w:cs="Arial"/>
          <w:sz w:val="22"/>
          <w:szCs w:val="22"/>
        </w:rPr>
        <w:t>Koncepce“)</w:t>
      </w:r>
      <w:r w:rsidRPr="00087273">
        <w:rPr>
          <w:rFonts w:ascii="Arial" w:hAnsi="Arial" w:cs="Arial"/>
          <w:bCs/>
          <w:sz w:val="22"/>
          <w:szCs w:val="22"/>
        </w:rPr>
        <w:t xml:space="preserve">. </w:t>
      </w:r>
      <w:r w:rsidRPr="00087273">
        <w:rPr>
          <w:rFonts w:ascii="Arial" w:hAnsi="Arial" w:cs="Arial"/>
          <w:sz w:val="22"/>
          <w:szCs w:val="22"/>
        </w:rPr>
        <w:t xml:space="preserve">Koncepce </w:t>
      </w:r>
      <w:r w:rsidR="008F09DF" w:rsidRPr="00087273">
        <w:rPr>
          <w:rFonts w:ascii="Arial" w:hAnsi="Arial" w:cs="Arial"/>
          <w:sz w:val="22"/>
          <w:szCs w:val="22"/>
        </w:rPr>
        <w:t>vychází</w:t>
      </w:r>
      <w:r w:rsidR="00353E86">
        <w:rPr>
          <w:rFonts w:ascii="Arial" w:hAnsi="Arial" w:cs="Arial"/>
          <w:sz w:val="22"/>
          <w:szCs w:val="22"/>
        </w:rPr>
        <w:t xml:space="preserve"> </w:t>
      </w:r>
      <w:r w:rsidR="008F09DF" w:rsidRPr="00087273">
        <w:rPr>
          <w:rFonts w:ascii="Arial" w:hAnsi="Arial" w:cs="Arial"/>
          <w:sz w:val="22"/>
          <w:szCs w:val="22"/>
        </w:rPr>
        <w:t>z</w:t>
      </w:r>
      <w:r w:rsidR="006C12EC">
        <w:rPr>
          <w:rFonts w:ascii="Arial" w:hAnsi="Arial" w:cs="Arial"/>
          <w:sz w:val="22"/>
          <w:szCs w:val="22"/>
        </w:rPr>
        <w:t> </w:t>
      </w:r>
      <w:r w:rsidRPr="00395C6A">
        <w:rPr>
          <w:rFonts w:ascii="Arial" w:hAnsi="Arial" w:cs="Arial"/>
          <w:i/>
          <w:sz w:val="22"/>
          <w:szCs w:val="22"/>
        </w:rPr>
        <w:t>Reform</w:t>
      </w:r>
      <w:r w:rsidR="008F09DF" w:rsidRPr="00395C6A">
        <w:rPr>
          <w:rFonts w:ascii="Arial" w:hAnsi="Arial" w:cs="Arial"/>
          <w:i/>
          <w:sz w:val="22"/>
          <w:szCs w:val="22"/>
        </w:rPr>
        <w:t>y</w:t>
      </w:r>
      <w:r w:rsidRPr="00395C6A">
        <w:rPr>
          <w:rFonts w:ascii="Arial" w:hAnsi="Arial" w:cs="Arial"/>
          <w:i/>
          <w:sz w:val="22"/>
          <w:szCs w:val="22"/>
        </w:rPr>
        <w:t xml:space="preserve"> systému výzkumu, vývoje a inovací </w:t>
      </w:r>
      <w:r w:rsidR="00BF036A">
        <w:rPr>
          <w:rFonts w:ascii="Arial" w:hAnsi="Arial" w:cs="Arial"/>
          <w:i/>
          <w:sz w:val="22"/>
          <w:szCs w:val="22"/>
        </w:rPr>
        <w:t>v </w:t>
      </w:r>
      <w:r w:rsidRPr="00395C6A">
        <w:rPr>
          <w:rFonts w:ascii="Arial" w:hAnsi="Arial" w:cs="Arial"/>
          <w:i/>
          <w:sz w:val="22"/>
          <w:szCs w:val="22"/>
        </w:rPr>
        <w:t>ČR</w:t>
      </w:r>
      <w:r w:rsidRPr="00087273">
        <w:rPr>
          <w:rFonts w:ascii="Arial" w:hAnsi="Arial" w:cs="Arial"/>
          <w:sz w:val="22"/>
          <w:szCs w:val="22"/>
        </w:rPr>
        <w:t>, schválen</w:t>
      </w:r>
      <w:r w:rsidR="008F09DF">
        <w:rPr>
          <w:rFonts w:ascii="Arial" w:hAnsi="Arial" w:cs="Arial"/>
          <w:sz w:val="22"/>
          <w:szCs w:val="22"/>
        </w:rPr>
        <w:t>é</w:t>
      </w:r>
      <w:r w:rsidRPr="00087273">
        <w:rPr>
          <w:rFonts w:ascii="Arial" w:hAnsi="Arial" w:cs="Arial"/>
          <w:sz w:val="22"/>
          <w:szCs w:val="22"/>
        </w:rPr>
        <w:t xml:space="preserve"> usnesením vlády ČR ze dne 26. března 2008 č.</w:t>
      </w:r>
      <w:r w:rsidR="00353E86">
        <w:rPr>
          <w:rFonts w:ascii="Arial" w:hAnsi="Arial" w:cs="Arial"/>
          <w:sz w:val="22"/>
          <w:szCs w:val="22"/>
        </w:rPr>
        <w:t xml:space="preserve"> </w:t>
      </w:r>
      <w:r w:rsidRPr="00087273">
        <w:rPr>
          <w:rFonts w:ascii="Arial" w:hAnsi="Arial" w:cs="Arial"/>
          <w:sz w:val="22"/>
          <w:szCs w:val="22"/>
        </w:rPr>
        <w:t>287</w:t>
      </w:r>
      <w:r w:rsidR="00D71F76">
        <w:rPr>
          <w:rFonts w:ascii="Arial" w:hAnsi="Arial" w:cs="Arial"/>
          <w:sz w:val="22"/>
          <w:szCs w:val="22"/>
        </w:rPr>
        <w:t>,</w:t>
      </w:r>
      <w:r w:rsidR="008F09DF">
        <w:rPr>
          <w:rFonts w:ascii="Arial" w:hAnsi="Arial" w:cs="Arial"/>
          <w:sz w:val="22"/>
          <w:szCs w:val="22"/>
        </w:rPr>
        <w:t xml:space="preserve"> a</w:t>
      </w:r>
      <w:r w:rsidRPr="00087273">
        <w:rPr>
          <w:rFonts w:ascii="Arial" w:hAnsi="Arial" w:cs="Arial"/>
          <w:sz w:val="22"/>
          <w:szCs w:val="22"/>
        </w:rPr>
        <w:t xml:space="preserve"> </w:t>
      </w:r>
      <w:r w:rsidR="008F09DF" w:rsidRPr="00087273">
        <w:rPr>
          <w:rFonts w:ascii="Arial" w:hAnsi="Arial" w:cs="Arial"/>
          <w:sz w:val="22"/>
          <w:szCs w:val="22"/>
        </w:rPr>
        <w:t xml:space="preserve">je </w:t>
      </w:r>
      <w:r w:rsidR="00BF036A">
        <w:rPr>
          <w:rFonts w:ascii="Arial" w:hAnsi="Arial" w:cs="Arial"/>
          <w:sz w:val="22"/>
          <w:szCs w:val="22"/>
        </w:rPr>
        <w:t>v </w:t>
      </w:r>
      <w:r w:rsidR="008F09DF" w:rsidRPr="00087273">
        <w:rPr>
          <w:rFonts w:ascii="Arial" w:hAnsi="Arial" w:cs="Arial"/>
          <w:sz w:val="22"/>
          <w:szCs w:val="22"/>
        </w:rPr>
        <w:t>souladu</w:t>
      </w:r>
      <w:r w:rsidR="00353E86">
        <w:rPr>
          <w:rFonts w:ascii="Arial" w:hAnsi="Arial" w:cs="Arial"/>
          <w:sz w:val="22"/>
          <w:szCs w:val="22"/>
        </w:rPr>
        <w:t xml:space="preserve"> </w:t>
      </w:r>
      <w:r w:rsidR="00BF036A">
        <w:rPr>
          <w:rFonts w:ascii="Arial" w:hAnsi="Arial" w:cs="Arial"/>
          <w:sz w:val="22"/>
          <w:szCs w:val="22"/>
        </w:rPr>
        <w:t>s </w:t>
      </w:r>
      <w:r w:rsidRPr="00087273">
        <w:rPr>
          <w:rFonts w:ascii="Arial" w:hAnsi="Arial" w:cs="Arial"/>
          <w:sz w:val="22"/>
          <w:szCs w:val="22"/>
        </w:rPr>
        <w:t>další</w:t>
      </w:r>
      <w:r w:rsidR="008F09DF">
        <w:rPr>
          <w:rFonts w:ascii="Arial" w:hAnsi="Arial" w:cs="Arial"/>
          <w:sz w:val="22"/>
          <w:szCs w:val="22"/>
        </w:rPr>
        <w:t>mi</w:t>
      </w:r>
      <w:r w:rsidRPr="00087273">
        <w:rPr>
          <w:rFonts w:ascii="Arial" w:hAnsi="Arial" w:cs="Arial"/>
          <w:sz w:val="22"/>
          <w:szCs w:val="22"/>
        </w:rPr>
        <w:t xml:space="preserve"> rámcový</w:t>
      </w:r>
      <w:r w:rsidR="008F09DF">
        <w:rPr>
          <w:rFonts w:ascii="Arial" w:hAnsi="Arial" w:cs="Arial"/>
          <w:sz w:val="22"/>
          <w:szCs w:val="22"/>
        </w:rPr>
        <w:t>mi</w:t>
      </w:r>
      <w:r w:rsidRPr="00087273">
        <w:rPr>
          <w:rFonts w:ascii="Arial" w:hAnsi="Arial" w:cs="Arial"/>
          <w:sz w:val="22"/>
          <w:szCs w:val="22"/>
        </w:rPr>
        <w:t xml:space="preserve"> dokument</w:t>
      </w:r>
      <w:r w:rsidR="008F09DF">
        <w:rPr>
          <w:rFonts w:ascii="Arial" w:hAnsi="Arial" w:cs="Arial"/>
          <w:sz w:val="22"/>
          <w:szCs w:val="22"/>
        </w:rPr>
        <w:t>y</w:t>
      </w:r>
      <w:r w:rsidRPr="00087273">
        <w:rPr>
          <w:rFonts w:ascii="Arial" w:hAnsi="Arial" w:cs="Arial"/>
          <w:sz w:val="22"/>
          <w:szCs w:val="22"/>
        </w:rPr>
        <w:t xml:space="preserve"> schválený</w:t>
      </w:r>
      <w:r w:rsidR="008F09DF">
        <w:rPr>
          <w:rFonts w:ascii="Arial" w:hAnsi="Arial" w:cs="Arial"/>
          <w:sz w:val="22"/>
          <w:szCs w:val="22"/>
        </w:rPr>
        <w:t>mi</w:t>
      </w:r>
      <w:r w:rsidR="006C12EC">
        <w:rPr>
          <w:rFonts w:ascii="Arial" w:hAnsi="Arial" w:cs="Arial"/>
          <w:sz w:val="22"/>
          <w:szCs w:val="22"/>
        </w:rPr>
        <w:t xml:space="preserve"> vládou ČR</w:t>
      </w:r>
      <w:r w:rsidRPr="00087273">
        <w:rPr>
          <w:rFonts w:ascii="Arial" w:hAnsi="Arial" w:cs="Arial"/>
          <w:sz w:val="22"/>
          <w:szCs w:val="22"/>
        </w:rPr>
        <w:t>.</w:t>
      </w:r>
    </w:p>
    <w:p w14:paraId="780166BE" w14:textId="77777777" w:rsidR="003F0EE5" w:rsidRDefault="003F0EE5" w:rsidP="00395C6A">
      <w:pPr>
        <w:jc w:val="both"/>
        <w:rPr>
          <w:rFonts w:ascii="Arial" w:hAnsi="Arial" w:cs="Arial"/>
          <w:sz w:val="22"/>
          <w:szCs w:val="22"/>
        </w:rPr>
      </w:pPr>
    </w:p>
    <w:p w14:paraId="780166BF" w14:textId="77777777" w:rsidR="00087273" w:rsidRPr="00087273" w:rsidRDefault="00087273" w:rsidP="00395C6A">
      <w:pPr>
        <w:jc w:val="both"/>
        <w:rPr>
          <w:rFonts w:ascii="Arial" w:hAnsi="Arial" w:cs="Arial"/>
          <w:sz w:val="22"/>
          <w:szCs w:val="22"/>
        </w:rPr>
      </w:pPr>
      <w:r w:rsidRPr="00087273">
        <w:rPr>
          <w:rFonts w:ascii="Arial" w:hAnsi="Arial" w:cs="Arial"/>
          <w:sz w:val="22"/>
          <w:szCs w:val="22"/>
        </w:rPr>
        <w:t xml:space="preserve">Účelovou podporu </w:t>
      </w:r>
      <w:r w:rsidR="00D71F76">
        <w:rPr>
          <w:rFonts w:ascii="Arial" w:hAnsi="Arial" w:cs="Arial"/>
          <w:sz w:val="22"/>
          <w:szCs w:val="22"/>
        </w:rPr>
        <w:t xml:space="preserve">na </w:t>
      </w:r>
      <w:r w:rsidRPr="00087273">
        <w:rPr>
          <w:rFonts w:ascii="Arial" w:hAnsi="Arial" w:cs="Arial"/>
          <w:sz w:val="22"/>
          <w:szCs w:val="22"/>
        </w:rPr>
        <w:t xml:space="preserve">VaVaI poskytovalo MZe </w:t>
      </w:r>
      <w:r w:rsidR="00BF036A">
        <w:rPr>
          <w:rFonts w:ascii="Arial" w:hAnsi="Arial" w:cs="Arial"/>
          <w:sz w:val="22"/>
          <w:szCs w:val="22"/>
        </w:rPr>
        <w:t>v </w:t>
      </w:r>
      <w:r w:rsidRPr="00087273">
        <w:rPr>
          <w:rFonts w:ascii="Arial" w:hAnsi="Arial" w:cs="Arial"/>
          <w:sz w:val="22"/>
          <w:szCs w:val="22"/>
        </w:rPr>
        <w:t xml:space="preserve">letech 2010–2012 </w:t>
      </w:r>
      <w:r w:rsidR="00DF1FF8">
        <w:rPr>
          <w:rFonts w:ascii="Arial" w:hAnsi="Arial" w:cs="Arial"/>
          <w:sz w:val="22"/>
          <w:szCs w:val="22"/>
        </w:rPr>
        <w:t xml:space="preserve">prostřednictvím těchto </w:t>
      </w:r>
      <w:r w:rsidRPr="00087273">
        <w:rPr>
          <w:rFonts w:ascii="Arial" w:hAnsi="Arial" w:cs="Arial"/>
          <w:sz w:val="22"/>
          <w:szCs w:val="22"/>
        </w:rPr>
        <w:t>program</w:t>
      </w:r>
      <w:r w:rsidR="00DF1FF8">
        <w:rPr>
          <w:rFonts w:ascii="Arial" w:hAnsi="Arial" w:cs="Arial"/>
          <w:sz w:val="22"/>
          <w:szCs w:val="22"/>
        </w:rPr>
        <w:t>ů</w:t>
      </w:r>
      <w:r w:rsidRPr="00087273">
        <w:rPr>
          <w:rFonts w:ascii="Arial" w:hAnsi="Arial" w:cs="Arial"/>
          <w:sz w:val="22"/>
          <w:szCs w:val="22"/>
        </w:rPr>
        <w:t>:</w:t>
      </w:r>
    </w:p>
    <w:p w14:paraId="780166C0" w14:textId="77777777" w:rsidR="00087273" w:rsidRPr="00087273" w:rsidRDefault="00087273" w:rsidP="00D71F7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95C6A">
        <w:rPr>
          <w:rFonts w:ascii="Arial" w:hAnsi="Arial" w:cs="Arial"/>
          <w:i/>
          <w:sz w:val="22"/>
          <w:szCs w:val="22"/>
        </w:rPr>
        <w:t xml:space="preserve">Program výzkumu </w:t>
      </w:r>
      <w:r w:rsidR="00BF036A">
        <w:rPr>
          <w:rFonts w:ascii="Arial" w:hAnsi="Arial" w:cs="Arial"/>
          <w:i/>
          <w:sz w:val="22"/>
          <w:szCs w:val="22"/>
        </w:rPr>
        <w:t>v </w:t>
      </w:r>
      <w:r w:rsidRPr="00395C6A">
        <w:rPr>
          <w:rFonts w:ascii="Arial" w:hAnsi="Arial" w:cs="Arial"/>
          <w:i/>
          <w:sz w:val="22"/>
          <w:szCs w:val="22"/>
        </w:rPr>
        <w:t>agrár</w:t>
      </w:r>
      <w:r w:rsidR="007234C3" w:rsidRPr="00395C6A">
        <w:rPr>
          <w:rFonts w:ascii="Arial" w:hAnsi="Arial" w:cs="Arial"/>
          <w:i/>
          <w:sz w:val="22"/>
          <w:szCs w:val="22"/>
        </w:rPr>
        <w:t>ním sektoru 2007</w:t>
      </w:r>
      <w:r w:rsidR="00D03CD0" w:rsidRPr="00395C6A">
        <w:rPr>
          <w:rFonts w:ascii="Arial" w:hAnsi="Arial" w:cs="Arial"/>
          <w:i/>
          <w:sz w:val="22"/>
          <w:szCs w:val="22"/>
        </w:rPr>
        <w:t>–</w:t>
      </w:r>
      <w:r w:rsidR="007234C3" w:rsidRPr="00395C6A">
        <w:rPr>
          <w:rFonts w:ascii="Arial" w:hAnsi="Arial" w:cs="Arial"/>
          <w:i/>
          <w:sz w:val="22"/>
          <w:szCs w:val="22"/>
        </w:rPr>
        <w:t>2012</w:t>
      </w:r>
      <w:r w:rsidR="007234C3">
        <w:rPr>
          <w:rFonts w:ascii="Arial" w:hAnsi="Arial" w:cs="Arial"/>
          <w:sz w:val="22"/>
          <w:szCs w:val="22"/>
        </w:rPr>
        <w:t>, kód QH,</w:t>
      </w:r>
    </w:p>
    <w:p w14:paraId="780166C1" w14:textId="77777777" w:rsidR="00087273" w:rsidRPr="00087273" w:rsidRDefault="00087273" w:rsidP="00D71F7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95C6A">
        <w:rPr>
          <w:rFonts w:ascii="Arial" w:hAnsi="Arial" w:cs="Arial"/>
          <w:i/>
          <w:sz w:val="22"/>
          <w:szCs w:val="22"/>
        </w:rPr>
        <w:t xml:space="preserve">Výzkum </w:t>
      </w:r>
      <w:r w:rsidR="00BF036A">
        <w:rPr>
          <w:rFonts w:ascii="Arial" w:hAnsi="Arial" w:cs="Arial"/>
          <w:i/>
          <w:sz w:val="22"/>
          <w:szCs w:val="22"/>
        </w:rPr>
        <w:t>v </w:t>
      </w:r>
      <w:r w:rsidRPr="00395C6A">
        <w:rPr>
          <w:rFonts w:ascii="Arial" w:hAnsi="Arial" w:cs="Arial"/>
          <w:i/>
          <w:sz w:val="22"/>
          <w:szCs w:val="22"/>
        </w:rPr>
        <w:t>agrárním komplexu</w:t>
      </w:r>
      <w:r w:rsidRPr="00087273">
        <w:rPr>
          <w:rFonts w:ascii="Arial" w:hAnsi="Arial" w:cs="Arial"/>
          <w:sz w:val="22"/>
          <w:szCs w:val="22"/>
        </w:rPr>
        <w:t xml:space="preserve"> (VAK), kód QI (určen pro období 2009–2014)</w:t>
      </w:r>
      <w:r w:rsidR="007234C3">
        <w:rPr>
          <w:rFonts w:ascii="Arial" w:hAnsi="Arial" w:cs="Arial"/>
          <w:sz w:val="22"/>
          <w:szCs w:val="22"/>
        </w:rPr>
        <w:t>,</w:t>
      </w:r>
    </w:p>
    <w:p w14:paraId="780166C2" w14:textId="77777777" w:rsidR="00087273" w:rsidRDefault="00087273" w:rsidP="00D71F7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95C6A">
        <w:rPr>
          <w:rFonts w:ascii="Arial" w:hAnsi="Arial" w:cs="Arial"/>
          <w:i/>
          <w:sz w:val="22"/>
          <w:szCs w:val="22"/>
        </w:rPr>
        <w:t xml:space="preserve">Komplexní udržitelné systémy </w:t>
      </w:r>
      <w:r w:rsidR="00BF036A">
        <w:rPr>
          <w:rFonts w:ascii="Arial" w:hAnsi="Arial" w:cs="Arial"/>
          <w:i/>
          <w:sz w:val="22"/>
          <w:szCs w:val="22"/>
        </w:rPr>
        <w:t>v </w:t>
      </w:r>
      <w:r w:rsidRPr="00395C6A">
        <w:rPr>
          <w:rFonts w:ascii="Arial" w:hAnsi="Arial" w:cs="Arial"/>
          <w:i/>
          <w:sz w:val="22"/>
          <w:szCs w:val="22"/>
        </w:rPr>
        <w:t>zemědě</w:t>
      </w:r>
      <w:r w:rsidR="007234C3" w:rsidRPr="00395C6A">
        <w:rPr>
          <w:rFonts w:ascii="Arial" w:hAnsi="Arial" w:cs="Arial"/>
          <w:i/>
          <w:sz w:val="22"/>
          <w:szCs w:val="22"/>
        </w:rPr>
        <w:t>lství 2012–2018</w:t>
      </w:r>
      <w:r w:rsidR="007234C3">
        <w:rPr>
          <w:rFonts w:ascii="Arial" w:hAnsi="Arial" w:cs="Arial"/>
          <w:sz w:val="22"/>
          <w:szCs w:val="22"/>
        </w:rPr>
        <w:t xml:space="preserve"> (KUS), kód QJ.</w:t>
      </w:r>
    </w:p>
    <w:p w14:paraId="780166C3" w14:textId="77777777" w:rsidR="003F0EE5" w:rsidRDefault="003F0EE5" w:rsidP="00395C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80166C4" w14:textId="77777777" w:rsidR="00DF1FF8" w:rsidRDefault="00DF1FF8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80166C5" w14:textId="77777777" w:rsidR="00087273" w:rsidRPr="00970C1A" w:rsidRDefault="00D03CD0" w:rsidP="00395C6A">
      <w:pPr>
        <w:autoSpaceDE w:val="0"/>
        <w:autoSpaceDN w:val="0"/>
        <w:adjustRightInd w:val="0"/>
        <w:spacing w:after="20"/>
        <w:jc w:val="both"/>
        <w:rPr>
          <w:rFonts w:ascii="Arial" w:hAnsi="Arial" w:cs="Arial"/>
          <w:b/>
          <w:sz w:val="22"/>
          <w:szCs w:val="22"/>
        </w:rPr>
      </w:pPr>
      <w:r w:rsidRPr="00970C1A">
        <w:rPr>
          <w:rFonts w:ascii="Arial" w:hAnsi="Arial" w:cs="Arial"/>
          <w:b/>
          <w:sz w:val="22"/>
          <w:szCs w:val="22"/>
        </w:rPr>
        <w:lastRenderedPageBreak/>
        <w:t xml:space="preserve">Tabulka č. 1 </w:t>
      </w:r>
      <w:r w:rsidR="00DF1FF8">
        <w:rPr>
          <w:rFonts w:ascii="Arial" w:hAnsi="Arial" w:cs="Arial"/>
          <w:b/>
          <w:sz w:val="22"/>
          <w:szCs w:val="22"/>
        </w:rPr>
        <w:t xml:space="preserve">– </w:t>
      </w:r>
      <w:r w:rsidR="00087273" w:rsidRPr="00970C1A">
        <w:rPr>
          <w:rFonts w:ascii="Arial" w:hAnsi="Arial" w:cs="Arial"/>
          <w:b/>
          <w:sz w:val="22"/>
          <w:szCs w:val="22"/>
        </w:rPr>
        <w:t xml:space="preserve">Počet projektů a </w:t>
      </w:r>
      <w:r w:rsidR="00844DA0" w:rsidRPr="00970C1A">
        <w:rPr>
          <w:rFonts w:ascii="Arial" w:hAnsi="Arial" w:cs="Arial"/>
          <w:b/>
          <w:sz w:val="22"/>
          <w:szCs w:val="22"/>
        </w:rPr>
        <w:t xml:space="preserve">účelová </w:t>
      </w:r>
      <w:r w:rsidR="00087273" w:rsidRPr="00970C1A">
        <w:rPr>
          <w:rFonts w:ascii="Arial" w:hAnsi="Arial" w:cs="Arial"/>
          <w:b/>
          <w:sz w:val="22"/>
          <w:szCs w:val="22"/>
        </w:rPr>
        <w:t>podpora</w:t>
      </w:r>
    </w:p>
    <w:tbl>
      <w:tblPr>
        <w:tblW w:w="9161" w:type="dxa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1056"/>
        <w:gridCol w:w="1057"/>
        <w:gridCol w:w="1057"/>
        <w:gridCol w:w="1056"/>
        <w:gridCol w:w="1057"/>
        <w:gridCol w:w="1057"/>
        <w:gridCol w:w="1771"/>
      </w:tblGrid>
      <w:tr w:rsidR="00087273" w:rsidRPr="00D72B93" w14:paraId="780166CC" w14:textId="77777777" w:rsidTr="00395C6A">
        <w:trPr>
          <w:trHeight w:val="20"/>
          <w:jc w:val="center"/>
        </w:trPr>
        <w:tc>
          <w:tcPr>
            <w:tcW w:w="1050" w:type="dxa"/>
            <w:vMerge w:val="restart"/>
            <w:shd w:val="clear" w:color="auto" w:fill="C6D9F1" w:themeFill="text2" w:themeFillTint="33"/>
            <w:vAlign w:val="center"/>
          </w:tcPr>
          <w:p w14:paraId="780166C6" w14:textId="77777777" w:rsidR="00087273" w:rsidRPr="00D03CD0" w:rsidRDefault="00087273" w:rsidP="00395C6A">
            <w:pPr>
              <w:spacing w:before="120"/>
              <w:ind w:left="-25" w:right="-5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Program</w:t>
            </w:r>
          </w:p>
        </w:tc>
        <w:tc>
          <w:tcPr>
            <w:tcW w:w="2113" w:type="dxa"/>
            <w:gridSpan w:val="2"/>
            <w:shd w:val="clear" w:color="auto" w:fill="C6D9F1" w:themeFill="text2" w:themeFillTint="33"/>
            <w:noWrap/>
            <w:vAlign w:val="center"/>
            <w:hideMark/>
          </w:tcPr>
          <w:p w14:paraId="780166C7" w14:textId="77777777" w:rsidR="00087273" w:rsidRPr="00D03CD0" w:rsidRDefault="00087273" w:rsidP="00395C6A">
            <w:pPr>
              <w:spacing w:before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2010</w:t>
            </w:r>
          </w:p>
        </w:tc>
        <w:tc>
          <w:tcPr>
            <w:tcW w:w="2113" w:type="dxa"/>
            <w:gridSpan w:val="2"/>
            <w:shd w:val="clear" w:color="auto" w:fill="C6D9F1" w:themeFill="text2" w:themeFillTint="33"/>
            <w:noWrap/>
            <w:vAlign w:val="center"/>
            <w:hideMark/>
          </w:tcPr>
          <w:p w14:paraId="780166C8" w14:textId="77777777" w:rsidR="00087273" w:rsidRPr="00D03CD0" w:rsidRDefault="00087273" w:rsidP="00395C6A">
            <w:pPr>
              <w:spacing w:before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2011</w:t>
            </w:r>
          </w:p>
        </w:tc>
        <w:tc>
          <w:tcPr>
            <w:tcW w:w="2114" w:type="dxa"/>
            <w:gridSpan w:val="2"/>
            <w:shd w:val="clear" w:color="auto" w:fill="C6D9F1" w:themeFill="text2" w:themeFillTint="33"/>
            <w:noWrap/>
            <w:vAlign w:val="center"/>
            <w:hideMark/>
          </w:tcPr>
          <w:p w14:paraId="780166C9" w14:textId="77777777" w:rsidR="00087273" w:rsidRPr="00D03CD0" w:rsidRDefault="00087273" w:rsidP="00395C6A">
            <w:pPr>
              <w:spacing w:before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2012</w:t>
            </w:r>
          </w:p>
        </w:tc>
        <w:tc>
          <w:tcPr>
            <w:tcW w:w="1771" w:type="dxa"/>
            <w:vMerge w:val="restart"/>
            <w:shd w:val="clear" w:color="auto" w:fill="C6D9F1" w:themeFill="text2" w:themeFillTint="33"/>
            <w:vAlign w:val="center"/>
          </w:tcPr>
          <w:p w14:paraId="780166CA" w14:textId="77777777" w:rsidR="00087273" w:rsidRDefault="00844DA0" w:rsidP="00395C6A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Účelová podpora</w:t>
            </w:r>
            <w:r w:rsidRPr="00D03C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87273" w:rsidRPr="00D03CD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 kontrolovaném období</w:t>
            </w:r>
          </w:p>
          <w:p w14:paraId="780166CB" w14:textId="77777777" w:rsidR="00F35A89" w:rsidRPr="00D03CD0" w:rsidRDefault="00F35A89" w:rsidP="00395C6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B2F91">
              <w:rPr>
                <w:rFonts w:ascii="Arial" w:hAnsi="Arial" w:cs="Arial"/>
                <w:bCs/>
                <w:color w:val="000000"/>
                <w:sz w:val="18"/>
                <w:szCs w:val="18"/>
                <w:lang w:eastAsia="cs-CZ"/>
              </w:rPr>
              <w:t>(v tis. Kč)</w:t>
            </w:r>
          </w:p>
        </w:tc>
      </w:tr>
      <w:tr w:rsidR="00087273" w:rsidRPr="00D72B93" w14:paraId="780166D8" w14:textId="77777777" w:rsidTr="00395C6A">
        <w:trPr>
          <w:trHeight w:val="20"/>
          <w:jc w:val="center"/>
        </w:trPr>
        <w:tc>
          <w:tcPr>
            <w:tcW w:w="1050" w:type="dxa"/>
            <w:vMerge/>
            <w:vAlign w:val="center"/>
          </w:tcPr>
          <w:p w14:paraId="780166CD" w14:textId="77777777" w:rsidR="00087273" w:rsidRPr="00D03CD0" w:rsidRDefault="00087273" w:rsidP="00D8752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56" w:type="dxa"/>
            <w:shd w:val="clear" w:color="auto" w:fill="C6D9F1" w:themeFill="text2" w:themeFillTint="33"/>
            <w:vAlign w:val="center"/>
            <w:hideMark/>
          </w:tcPr>
          <w:p w14:paraId="780166CE" w14:textId="77777777" w:rsidR="00F35A89" w:rsidRPr="00D03CD0" w:rsidRDefault="00087273" w:rsidP="00F35A8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057" w:type="dxa"/>
            <w:shd w:val="clear" w:color="auto" w:fill="C6D9F1" w:themeFill="text2" w:themeFillTint="33"/>
            <w:vAlign w:val="center"/>
            <w:hideMark/>
          </w:tcPr>
          <w:p w14:paraId="780166CF" w14:textId="77777777" w:rsidR="00087273" w:rsidRDefault="00087273" w:rsidP="00D875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Podpora</w:t>
            </w:r>
          </w:p>
          <w:p w14:paraId="780166D0" w14:textId="77777777" w:rsidR="00F35A89" w:rsidRPr="00395C6A" w:rsidRDefault="00F35A89" w:rsidP="00D8752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395C6A">
              <w:rPr>
                <w:rFonts w:ascii="Arial" w:hAnsi="Arial" w:cs="Arial"/>
                <w:bCs/>
                <w:color w:val="000000"/>
                <w:sz w:val="18"/>
                <w:szCs w:val="18"/>
                <w:lang w:eastAsia="cs-CZ"/>
              </w:rPr>
              <w:t>(v tis. Kč)</w:t>
            </w:r>
          </w:p>
        </w:tc>
        <w:tc>
          <w:tcPr>
            <w:tcW w:w="1057" w:type="dxa"/>
            <w:shd w:val="clear" w:color="auto" w:fill="C6D9F1" w:themeFill="text2" w:themeFillTint="33"/>
            <w:vAlign w:val="center"/>
            <w:hideMark/>
          </w:tcPr>
          <w:p w14:paraId="780166D1" w14:textId="77777777" w:rsidR="00087273" w:rsidRPr="00D03CD0" w:rsidRDefault="00087273" w:rsidP="00D875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056" w:type="dxa"/>
            <w:shd w:val="clear" w:color="auto" w:fill="C6D9F1" w:themeFill="text2" w:themeFillTint="33"/>
            <w:vAlign w:val="center"/>
            <w:hideMark/>
          </w:tcPr>
          <w:p w14:paraId="780166D2" w14:textId="77777777" w:rsidR="00087273" w:rsidRDefault="00087273" w:rsidP="00D875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Podpora</w:t>
            </w:r>
          </w:p>
          <w:p w14:paraId="780166D3" w14:textId="77777777" w:rsidR="00F35A89" w:rsidRPr="00D03CD0" w:rsidRDefault="00F35A89" w:rsidP="00D875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B2F91">
              <w:rPr>
                <w:rFonts w:ascii="Arial" w:hAnsi="Arial" w:cs="Arial"/>
                <w:bCs/>
                <w:color w:val="000000"/>
                <w:sz w:val="18"/>
                <w:szCs w:val="18"/>
                <w:lang w:eastAsia="cs-CZ"/>
              </w:rPr>
              <w:t>(v tis. Kč)</w:t>
            </w:r>
          </w:p>
        </w:tc>
        <w:tc>
          <w:tcPr>
            <w:tcW w:w="1057" w:type="dxa"/>
            <w:shd w:val="clear" w:color="auto" w:fill="C6D9F1" w:themeFill="text2" w:themeFillTint="33"/>
            <w:vAlign w:val="center"/>
            <w:hideMark/>
          </w:tcPr>
          <w:p w14:paraId="780166D4" w14:textId="77777777" w:rsidR="00087273" w:rsidRPr="00D03CD0" w:rsidRDefault="00087273" w:rsidP="00D875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Počet</w:t>
            </w:r>
          </w:p>
        </w:tc>
        <w:tc>
          <w:tcPr>
            <w:tcW w:w="1057" w:type="dxa"/>
            <w:shd w:val="clear" w:color="auto" w:fill="C6D9F1" w:themeFill="text2" w:themeFillTint="33"/>
            <w:vAlign w:val="center"/>
            <w:hideMark/>
          </w:tcPr>
          <w:p w14:paraId="780166D5" w14:textId="77777777" w:rsidR="00087273" w:rsidRDefault="00087273" w:rsidP="00D875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Podpora</w:t>
            </w:r>
          </w:p>
          <w:p w14:paraId="780166D6" w14:textId="77777777" w:rsidR="00F35A89" w:rsidRPr="00D03CD0" w:rsidRDefault="00F35A89" w:rsidP="00D875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DB2F91">
              <w:rPr>
                <w:rFonts w:ascii="Arial" w:hAnsi="Arial" w:cs="Arial"/>
                <w:bCs/>
                <w:color w:val="000000"/>
                <w:sz w:val="18"/>
                <w:szCs w:val="18"/>
                <w:lang w:eastAsia="cs-CZ"/>
              </w:rPr>
              <w:t>(v tis. Kč)</w:t>
            </w:r>
          </w:p>
        </w:tc>
        <w:tc>
          <w:tcPr>
            <w:tcW w:w="1771" w:type="dxa"/>
            <w:vMerge/>
            <w:vAlign w:val="center"/>
          </w:tcPr>
          <w:p w14:paraId="780166D7" w14:textId="77777777" w:rsidR="00087273" w:rsidRPr="00D03CD0" w:rsidRDefault="00087273" w:rsidP="00D8752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087273" w:rsidRPr="00D72B93" w14:paraId="780166E1" w14:textId="77777777" w:rsidTr="00395C6A">
        <w:trPr>
          <w:trHeight w:val="20"/>
          <w:jc w:val="center"/>
        </w:trPr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80166D9" w14:textId="77777777" w:rsidR="00087273" w:rsidRPr="00D03CD0" w:rsidRDefault="00087273" w:rsidP="00D8752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bCs/>
                <w:color w:val="000000"/>
                <w:sz w:val="18"/>
                <w:szCs w:val="18"/>
                <w:lang w:eastAsia="cs-CZ"/>
              </w:rPr>
              <w:t>QH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80166DA" w14:textId="77777777" w:rsidR="00087273" w:rsidRPr="00D03CD0" w:rsidRDefault="00087273" w:rsidP="00F35A89">
            <w:pPr>
              <w:ind w:right="57"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201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780166DB" w14:textId="77777777" w:rsidR="00087273" w:rsidRPr="00D03CD0" w:rsidRDefault="00087273" w:rsidP="00F35A89">
            <w:pPr>
              <w:ind w:right="57"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317 026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780166DC" w14:textId="77777777" w:rsidR="00087273" w:rsidRPr="00D03CD0" w:rsidRDefault="00087273" w:rsidP="00F35A89">
            <w:pPr>
              <w:ind w:right="57"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190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80166DD" w14:textId="77777777" w:rsidR="00087273" w:rsidRPr="00D03CD0" w:rsidRDefault="00087273" w:rsidP="00F35A89">
            <w:pPr>
              <w:ind w:right="57"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258 903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780166DE" w14:textId="77777777" w:rsidR="00087273" w:rsidRPr="00D03CD0" w:rsidRDefault="00087273" w:rsidP="00F35A89">
            <w:pPr>
              <w:ind w:right="57"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68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780166DF" w14:textId="77777777" w:rsidR="00087273" w:rsidRPr="00D03CD0" w:rsidRDefault="00087273" w:rsidP="00F35A89">
            <w:pPr>
              <w:ind w:right="57"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93</w:t>
            </w:r>
            <w:r w:rsidR="00353E86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391</w:t>
            </w:r>
          </w:p>
        </w:tc>
        <w:tc>
          <w:tcPr>
            <w:tcW w:w="1771" w:type="dxa"/>
            <w:vAlign w:val="center"/>
          </w:tcPr>
          <w:p w14:paraId="780166E0" w14:textId="77777777" w:rsidR="00087273" w:rsidRPr="00D03CD0" w:rsidRDefault="00087273" w:rsidP="00F35A89">
            <w:pPr>
              <w:ind w:right="57"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669 320</w:t>
            </w:r>
          </w:p>
        </w:tc>
      </w:tr>
      <w:tr w:rsidR="00087273" w:rsidRPr="00D72B93" w14:paraId="780166EA" w14:textId="77777777" w:rsidTr="00395C6A">
        <w:trPr>
          <w:trHeight w:val="20"/>
          <w:jc w:val="center"/>
        </w:trPr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80166E2" w14:textId="77777777" w:rsidR="00087273" w:rsidRPr="00D03CD0" w:rsidRDefault="00087273" w:rsidP="00D8752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bCs/>
                <w:color w:val="000000"/>
                <w:sz w:val="18"/>
                <w:szCs w:val="18"/>
                <w:lang w:eastAsia="cs-CZ"/>
              </w:rPr>
              <w:t>QI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80166E3" w14:textId="77777777" w:rsidR="00087273" w:rsidRPr="00D03CD0" w:rsidRDefault="00087273" w:rsidP="00F35A89">
            <w:pPr>
              <w:ind w:right="57"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780166E4" w14:textId="77777777" w:rsidR="00087273" w:rsidRPr="00D03CD0" w:rsidRDefault="00087273" w:rsidP="00F35A89">
            <w:pPr>
              <w:ind w:right="57"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100 059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780166E5" w14:textId="77777777" w:rsidR="00087273" w:rsidRPr="00D03CD0" w:rsidRDefault="00087273" w:rsidP="00F35A89">
            <w:pPr>
              <w:ind w:right="57"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80166E6" w14:textId="77777777" w:rsidR="00087273" w:rsidRPr="00D03CD0" w:rsidRDefault="00087273" w:rsidP="00F35A89">
            <w:pPr>
              <w:ind w:right="57"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141 270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780166E7" w14:textId="77777777" w:rsidR="00087273" w:rsidRPr="00D03CD0" w:rsidRDefault="00087273" w:rsidP="00F35A89">
            <w:pPr>
              <w:ind w:right="57"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79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780166E8" w14:textId="77777777" w:rsidR="00087273" w:rsidRPr="00D03CD0" w:rsidRDefault="00087273" w:rsidP="00F35A89">
            <w:pPr>
              <w:ind w:right="57"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156</w:t>
            </w:r>
            <w:r w:rsidR="00353E86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918</w:t>
            </w:r>
          </w:p>
        </w:tc>
        <w:tc>
          <w:tcPr>
            <w:tcW w:w="1771" w:type="dxa"/>
            <w:vAlign w:val="center"/>
          </w:tcPr>
          <w:p w14:paraId="780166E9" w14:textId="77777777" w:rsidR="00087273" w:rsidRPr="00D03CD0" w:rsidRDefault="00087273" w:rsidP="00F35A89">
            <w:pPr>
              <w:ind w:right="57"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398</w:t>
            </w:r>
            <w:r w:rsidR="00353E86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247</w:t>
            </w:r>
          </w:p>
        </w:tc>
      </w:tr>
      <w:tr w:rsidR="00087273" w:rsidRPr="00D72B93" w14:paraId="780166F3" w14:textId="77777777" w:rsidTr="00395C6A">
        <w:trPr>
          <w:trHeight w:val="20"/>
          <w:jc w:val="center"/>
        </w:trPr>
        <w:tc>
          <w:tcPr>
            <w:tcW w:w="1050" w:type="dxa"/>
            <w:shd w:val="clear" w:color="auto" w:fill="auto"/>
            <w:noWrap/>
            <w:vAlign w:val="center"/>
            <w:hideMark/>
          </w:tcPr>
          <w:p w14:paraId="780166EB" w14:textId="77777777" w:rsidR="00087273" w:rsidRPr="00D03CD0" w:rsidRDefault="00087273" w:rsidP="00D87522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bCs/>
                <w:color w:val="000000"/>
                <w:sz w:val="18"/>
                <w:szCs w:val="18"/>
                <w:lang w:eastAsia="cs-CZ"/>
              </w:rPr>
              <w:t>QJ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80166EC" w14:textId="77777777" w:rsidR="00087273" w:rsidRPr="00D03CD0" w:rsidRDefault="00087273" w:rsidP="00F35A89">
            <w:pPr>
              <w:ind w:right="57"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780166ED" w14:textId="77777777" w:rsidR="00087273" w:rsidRPr="00D03CD0" w:rsidRDefault="00087273" w:rsidP="00F35A89">
            <w:pPr>
              <w:ind w:right="57"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780166EE" w14:textId="77777777" w:rsidR="00087273" w:rsidRPr="00D03CD0" w:rsidRDefault="00087273" w:rsidP="00F35A89">
            <w:pPr>
              <w:ind w:right="57"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80166EF" w14:textId="77777777" w:rsidR="00087273" w:rsidRPr="00D03CD0" w:rsidRDefault="00087273" w:rsidP="00F35A89">
            <w:pPr>
              <w:ind w:right="57"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780166F0" w14:textId="77777777" w:rsidR="00087273" w:rsidRPr="00D03CD0" w:rsidRDefault="00087273" w:rsidP="00F35A89">
            <w:pPr>
              <w:ind w:right="57"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1057" w:type="dxa"/>
            <w:shd w:val="clear" w:color="auto" w:fill="auto"/>
            <w:noWrap/>
            <w:vAlign w:val="center"/>
            <w:hideMark/>
          </w:tcPr>
          <w:p w14:paraId="780166F1" w14:textId="77777777" w:rsidR="00087273" w:rsidRPr="00D03CD0" w:rsidRDefault="00087273" w:rsidP="00F35A89">
            <w:pPr>
              <w:ind w:right="57"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148</w:t>
            </w:r>
            <w:r w:rsidR="00353E86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900</w:t>
            </w:r>
          </w:p>
        </w:tc>
        <w:tc>
          <w:tcPr>
            <w:tcW w:w="1771" w:type="dxa"/>
            <w:vAlign w:val="center"/>
          </w:tcPr>
          <w:p w14:paraId="780166F2" w14:textId="77777777" w:rsidR="00087273" w:rsidRPr="00D03CD0" w:rsidRDefault="00087273" w:rsidP="00F35A89">
            <w:pPr>
              <w:ind w:right="57"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D03CD0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148 900</w:t>
            </w:r>
          </w:p>
        </w:tc>
      </w:tr>
      <w:tr w:rsidR="00087273" w:rsidRPr="00D72B93" w14:paraId="780166FC" w14:textId="77777777" w:rsidTr="00395C6A">
        <w:trPr>
          <w:trHeight w:val="20"/>
          <w:jc w:val="center"/>
        </w:trPr>
        <w:tc>
          <w:tcPr>
            <w:tcW w:w="1050" w:type="dxa"/>
            <w:shd w:val="clear" w:color="auto" w:fill="FFFFFF" w:themeFill="background1"/>
            <w:noWrap/>
            <w:vAlign w:val="center"/>
            <w:hideMark/>
          </w:tcPr>
          <w:p w14:paraId="780166F4" w14:textId="77777777" w:rsidR="00087273" w:rsidRPr="00395C6A" w:rsidRDefault="00087273" w:rsidP="00D8752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95C6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  <w:hideMark/>
          </w:tcPr>
          <w:p w14:paraId="780166F5" w14:textId="77777777" w:rsidR="00087273" w:rsidRPr="00395C6A" w:rsidRDefault="00087273" w:rsidP="00395C6A">
            <w:pPr>
              <w:ind w:right="57" w:firstLineChars="100" w:firstLine="181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395C6A"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256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center"/>
            <w:hideMark/>
          </w:tcPr>
          <w:p w14:paraId="780166F6" w14:textId="77777777" w:rsidR="00087273" w:rsidRPr="00395C6A" w:rsidRDefault="00087273" w:rsidP="00395C6A">
            <w:pPr>
              <w:ind w:right="57" w:firstLineChars="100" w:firstLine="181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395C6A"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417 085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center"/>
            <w:hideMark/>
          </w:tcPr>
          <w:p w14:paraId="780166F7" w14:textId="77777777" w:rsidR="00087273" w:rsidRPr="00395C6A" w:rsidRDefault="00087273" w:rsidP="00395C6A">
            <w:pPr>
              <w:ind w:right="57" w:firstLineChars="100" w:firstLine="181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395C6A"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269</w:t>
            </w:r>
          </w:p>
        </w:tc>
        <w:tc>
          <w:tcPr>
            <w:tcW w:w="1056" w:type="dxa"/>
            <w:shd w:val="clear" w:color="auto" w:fill="FFFFFF" w:themeFill="background1"/>
            <w:noWrap/>
            <w:vAlign w:val="center"/>
            <w:hideMark/>
          </w:tcPr>
          <w:p w14:paraId="780166F8" w14:textId="77777777" w:rsidR="00087273" w:rsidRPr="00395C6A" w:rsidRDefault="00087273" w:rsidP="00395C6A">
            <w:pPr>
              <w:ind w:right="57" w:firstLineChars="100" w:firstLine="181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395C6A"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400 173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center"/>
            <w:hideMark/>
          </w:tcPr>
          <w:p w14:paraId="780166F9" w14:textId="77777777" w:rsidR="00087273" w:rsidRPr="00395C6A" w:rsidRDefault="00087273" w:rsidP="00395C6A">
            <w:pPr>
              <w:ind w:right="57" w:firstLineChars="100" w:firstLine="181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395C6A"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211</w:t>
            </w:r>
          </w:p>
        </w:tc>
        <w:tc>
          <w:tcPr>
            <w:tcW w:w="1057" w:type="dxa"/>
            <w:shd w:val="clear" w:color="auto" w:fill="FFFFFF" w:themeFill="background1"/>
            <w:noWrap/>
            <w:vAlign w:val="center"/>
            <w:hideMark/>
          </w:tcPr>
          <w:p w14:paraId="780166FA" w14:textId="77777777" w:rsidR="00087273" w:rsidRPr="00395C6A" w:rsidRDefault="00087273" w:rsidP="00395C6A">
            <w:pPr>
              <w:ind w:right="57" w:firstLineChars="100" w:firstLine="181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395C6A"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399</w:t>
            </w:r>
            <w:r w:rsidR="00353E86" w:rsidRPr="00395C6A"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395C6A"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209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780166FB" w14:textId="77777777" w:rsidR="00087273" w:rsidRPr="00395C6A" w:rsidRDefault="00087273" w:rsidP="00395C6A">
            <w:pPr>
              <w:ind w:right="57" w:firstLineChars="100" w:firstLine="181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395C6A"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1 216 467</w:t>
            </w:r>
          </w:p>
        </w:tc>
      </w:tr>
    </w:tbl>
    <w:p w14:paraId="780166FD" w14:textId="77777777" w:rsidR="00087273" w:rsidRPr="00D03CD0" w:rsidRDefault="00087273" w:rsidP="00395C6A">
      <w:pPr>
        <w:spacing w:before="20"/>
        <w:jc w:val="both"/>
        <w:rPr>
          <w:rFonts w:ascii="Arial" w:hAnsi="Arial" w:cs="Arial"/>
          <w:color w:val="000000"/>
          <w:sz w:val="18"/>
          <w:szCs w:val="18"/>
          <w:lang w:eastAsia="cs-CZ"/>
        </w:rPr>
      </w:pPr>
      <w:r w:rsidRPr="00D03CD0">
        <w:rPr>
          <w:rFonts w:ascii="Arial" w:hAnsi="Arial" w:cs="Arial"/>
          <w:b/>
          <w:color w:val="000000"/>
          <w:sz w:val="18"/>
          <w:szCs w:val="18"/>
          <w:lang w:eastAsia="cs-CZ"/>
        </w:rPr>
        <w:t>Zdroj</w:t>
      </w:r>
      <w:r w:rsidRPr="00395C6A">
        <w:rPr>
          <w:rFonts w:ascii="Arial" w:hAnsi="Arial" w:cs="Arial"/>
          <w:b/>
          <w:color w:val="000000"/>
          <w:sz w:val="18"/>
          <w:szCs w:val="18"/>
          <w:lang w:eastAsia="cs-CZ"/>
        </w:rPr>
        <w:t>:</w:t>
      </w:r>
      <w:r w:rsidRPr="00D03CD0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  <w:r w:rsidR="00DF1FF8">
        <w:rPr>
          <w:rFonts w:ascii="Arial" w:hAnsi="Arial" w:cs="Arial"/>
          <w:color w:val="000000"/>
          <w:sz w:val="18"/>
          <w:szCs w:val="18"/>
          <w:lang w:eastAsia="cs-CZ"/>
        </w:rPr>
        <w:t>i</w:t>
      </w:r>
      <w:r w:rsidRPr="00D03CD0">
        <w:rPr>
          <w:rFonts w:ascii="Arial" w:hAnsi="Arial" w:cs="Arial"/>
          <w:color w:val="000000"/>
          <w:sz w:val="18"/>
          <w:szCs w:val="18"/>
          <w:lang w:eastAsia="cs-CZ"/>
        </w:rPr>
        <w:t>nformační systém VaVaI ke dni 22. 7. 2013</w:t>
      </w:r>
      <w:r w:rsidR="00DF1FF8">
        <w:rPr>
          <w:rFonts w:ascii="Arial" w:hAnsi="Arial" w:cs="Arial"/>
          <w:color w:val="000000"/>
          <w:sz w:val="18"/>
          <w:szCs w:val="18"/>
          <w:lang w:eastAsia="cs-CZ"/>
        </w:rPr>
        <w:t>.</w:t>
      </w:r>
      <w:r w:rsidR="00B76BE5" w:rsidRPr="00D03CD0">
        <w:rPr>
          <w:rFonts w:ascii="Arial" w:hAnsi="Arial" w:cs="Arial"/>
          <w:color w:val="000000"/>
          <w:sz w:val="18"/>
          <w:szCs w:val="18"/>
          <w:lang w:eastAsia="cs-CZ"/>
        </w:rPr>
        <w:t xml:space="preserve"> </w:t>
      </w:r>
    </w:p>
    <w:p w14:paraId="780166FE" w14:textId="77777777" w:rsidR="003F0EE5" w:rsidRDefault="003F0EE5" w:rsidP="00395C6A">
      <w:pPr>
        <w:jc w:val="both"/>
        <w:rPr>
          <w:rFonts w:ascii="Arial" w:hAnsi="Arial" w:cs="Arial"/>
          <w:bCs/>
          <w:sz w:val="22"/>
          <w:szCs w:val="22"/>
        </w:rPr>
      </w:pPr>
    </w:p>
    <w:p w14:paraId="780166FF" w14:textId="77777777" w:rsidR="00502B8B" w:rsidRDefault="00DF1FF8" w:rsidP="00395C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502B8B">
        <w:rPr>
          <w:rFonts w:ascii="Arial" w:hAnsi="Arial" w:cs="Arial"/>
          <w:sz w:val="22"/>
          <w:szCs w:val="22"/>
        </w:rPr>
        <w:t xml:space="preserve">ystémovým nedostatkem </w:t>
      </w:r>
      <w:r>
        <w:rPr>
          <w:rFonts w:ascii="Arial" w:hAnsi="Arial" w:cs="Arial"/>
          <w:bCs/>
          <w:sz w:val="22"/>
          <w:szCs w:val="22"/>
        </w:rPr>
        <w:t xml:space="preserve">zjištěným u MZe </w:t>
      </w:r>
      <w:r w:rsidR="00502B8B">
        <w:rPr>
          <w:rFonts w:ascii="Arial" w:hAnsi="Arial" w:cs="Arial"/>
          <w:sz w:val="22"/>
          <w:szCs w:val="22"/>
        </w:rPr>
        <w:t>je obecná formulace</w:t>
      </w:r>
      <w:r w:rsidR="00502B8B" w:rsidRPr="00375066">
        <w:rPr>
          <w:rFonts w:ascii="Arial" w:hAnsi="Arial" w:cs="Arial"/>
          <w:sz w:val="22"/>
          <w:szCs w:val="22"/>
        </w:rPr>
        <w:t xml:space="preserve"> některých cílů, výsledků a</w:t>
      </w:r>
      <w:r w:rsidR="008A5823">
        <w:rPr>
          <w:rFonts w:ascii="Arial" w:hAnsi="Arial" w:cs="Arial"/>
          <w:sz w:val="22"/>
          <w:szCs w:val="22"/>
        </w:rPr>
        <w:t> </w:t>
      </w:r>
      <w:r w:rsidR="00502B8B" w:rsidRPr="00375066">
        <w:rPr>
          <w:rFonts w:ascii="Arial" w:hAnsi="Arial" w:cs="Arial"/>
          <w:sz w:val="22"/>
          <w:szCs w:val="22"/>
        </w:rPr>
        <w:t xml:space="preserve">přínosů výzkumných programů využívaných </w:t>
      </w:r>
      <w:r w:rsidR="00BF036A">
        <w:rPr>
          <w:rFonts w:ascii="Arial" w:hAnsi="Arial" w:cs="Arial"/>
          <w:sz w:val="22"/>
          <w:szCs w:val="22"/>
        </w:rPr>
        <w:t>v </w:t>
      </w:r>
      <w:r w:rsidR="00502B8B" w:rsidRPr="00375066">
        <w:rPr>
          <w:rFonts w:ascii="Arial" w:hAnsi="Arial" w:cs="Arial"/>
          <w:sz w:val="22"/>
          <w:szCs w:val="22"/>
        </w:rPr>
        <w:t>letech 2010</w:t>
      </w:r>
      <w:r w:rsidR="00502B8B">
        <w:rPr>
          <w:rFonts w:ascii="Arial" w:hAnsi="Arial" w:cs="Arial"/>
          <w:sz w:val="22"/>
          <w:szCs w:val="22"/>
        </w:rPr>
        <w:t xml:space="preserve">–2012, což </w:t>
      </w:r>
      <w:r w:rsidR="00D71D3C">
        <w:rPr>
          <w:rFonts w:ascii="Arial" w:hAnsi="Arial" w:cs="Arial"/>
          <w:sz w:val="22"/>
          <w:szCs w:val="22"/>
        </w:rPr>
        <w:t xml:space="preserve">vede k problémům při </w:t>
      </w:r>
      <w:r w:rsidR="00502B8B" w:rsidRPr="00375066">
        <w:rPr>
          <w:rFonts w:ascii="Arial" w:hAnsi="Arial" w:cs="Arial"/>
          <w:sz w:val="22"/>
          <w:szCs w:val="22"/>
        </w:rPr>
        <w:t xml:space="preserve">hodnocení </w:t>
      </w:r>
      <w:r w:rsidR="00D71D3C">
        <w:rPr>
          <w:rFonts w:ascii="Arial" w:hAnsi="Arial" w:cs="Arial"/>
          <w:sz w:val="22"/>
          <w:szCs w:val="22"/>
        </w:rPr>
        <w:t xml:space="preserve">dosažených výsledků </w:t>
      </w:r>
      <w:r w:rsidR="00502B8B" w:rsidRPr="00375066">
        <w:rPr>
          <w:rFonts w:ascii="Arial" w:hAnsi="Arial" w:cs="Arial"/>
          <w:sz w:val="22"/>
          <w:szCs w:val="22"/>
        </w:rPr>
        <w:t xml:space="preserve">a </w:t>
      </w:r>
      <w:r w:rsidR="00D71D3C">
        <w:rPr>
          <w:rFonts w:ascii="Arial" w:hAnsi="Arial" w:cs="Arial"/>
          <w:sz w:val="22"/>
          <w:szCs w:val="22"/>
        </w:rPr>
        <w:t>při jejic</w:t>
      </w:r>
      <w:r w:rsidR="0011149A">
        <w:rPr>
          <w:rFonts w:ascii="Arial" w:hAnsi="Arial" w:cs="Arial"/>
          <w:sz w:val="22"/>
          <w:szCs w:val="22"/>
        </w:rPr>
        <w:t>h</w:t>
      </w:r>
      <w:r w:rsidR="00D71D3C" w:rsidRPr="00375066">
        <w:rPr>
          <w:rFonts w:ascii="Arial" w:hAnsi="Arial" w:cs="Arial"/>
          <w:sz w:val="22"/>
          <w:szCs w:val="22"/>
        </w:rPr>
        <w:t xml:space="preserve"> </w:t>
      </w:r>
      <w:r w:rsidR="00502B8B" w:rsidRPr="00375066">
        <w:rPr>
          <w:rFonts w:ascii="Arial" w:hAnsi="Arial" w:cs="Arial"/>
          <w:sz w:val="22"/>
          <w:szCs w:val="22"/>
        </w:rPr>
        <w:t>využití</w:t>
      </w:r>
      <w:r w:rsidR="00502B8B">
        <w:rPr>
          <w:rFonts w:ascii="Arial" w:hAnsi="Arial" w:cs="Arial"/>
          <w:sz w:val="22"/>
          <w:szCs w:val="22"/>
        </w:rPr>
        <w:t xml:space="preserve"> v praxi.</w:t>
      </w:r>
      <w:r w:rsidR="00502B8B" w:rsidRPr="00375066">
        <w:rPr>
          <w:rFonts w:ascii="Arial" w:hAnsi="Arial" w:cs="Arial"/>
          <w:sz w:val="22"/>
          <w:szCs w:val="22"/>
        </w:rPr>
        <w:t xml:space="preserve"> </w:t>
      </w:r>
    </w:p>
    <w:p w14:paraId="78016700" w14:textId="77777777" w:rsidR="003F0EE5" w:rsidRDefault="003F0EE5" w:rsidP="00395C6A">
      <w:pPr>
        <w:jc w:val="both"/>
        <w:rPr>
          <w:rFonts w:ascii="Arial" w:hAnsi="Arial" w:cs="Arial"/>
          <w:sz w:val="22"/>
          <w:szCs w:val="22"/>
        </w:rPr>
      </w:pPr>
    </w:p>
    <w:p w14:paraId="78016701" w14:textId="77777777" w:rsidR="0011149A" w:rsidRDefault="0068314E" w:rsidP="00395C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500F2">
        <w:rPr>
          <w:rFonts w:ascii="Arial" w:hAnsi="Arial" w:cs="Arial"/>
          <w:sz w:val="22"/>
          <w:szCs w:val="22"/>
        </w:rPr>
        <w:t xml:space="preserve"> programech využívaných </w:t>
      </w:r>
      <w:r w:rsidR="00BF036A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 xml:space="preserve">kontrolovaném období byly zjištěny </w:t>
      </w:r>
      <w:r w:rsidR="0011149A" w:rsidRPr="00087273">
        <w:rPr>
          <w:rFonts w:ascii="Arial" w:hAnsi="Arial" w:cs="Arial"/>
          <w:sz w:val="22"/>
          <w:szCs w:val="22"/>
        </w:rPr>
        <w:t>obecn</w:t>
      </w:r>
      <w:r>
        <w:rPr>
          <w:rFonts w:ascii="Arial" w:hAnsi="Arial" w:cs="Arial"/>
          <w:sz w:val="22"/>
          <w:szCs w:val="22"/>
        </w:rPr>
        <w:t>ě</w:t>
      </w:r>
      <w:r w:rsidR="0011149A" w:rsidRPr="000872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formulované a</w:t>
      </w:r>
      <w:r w:rsidR="008A5823">
        <w:rPr>
          <w:rFonts w:ascii="Arial" w:hAnsi="Arial" w:cs="Arial"/>
          <w:sz w:val="22"/>
          <w:szCs w:val="22"/>
        </w:rPr>
        <w:t> </w:t>
      </w:r>
      <w:r w:rsidRPr="00087273">
        <w:rPr>
          <w:rFonts w:ascii="Arial" w:hAnsi="Arial" w:cs="Arial"/>
          <w:sz w:val="22"/>
          <w:szCs w:val="22"/>
        </w:rPr>
        <w:t>velmi podobn</w:t>
      </w:r>
      <w:r>
        <w:rPr>
          <w:rFonts w:ascii="Arial" w:hAnsi="Arial" w:cs="Arial"/>
          <w:sz w:val="22"/>
          <w:szCs w:val="22"/>
        </w:rPr>
        <w:t>é</w:t>
      </w:r>
      <w:r w:rsidRPr="00087273">
        <w:rPr>
          <w:rFonts w:ascii="Arial" w:hAnsi="Arial" w:cs="Arial"/>
          <w:sz w:val="22"/>
          <w:szCs w:val="22"/>
        </w:rPr>
        <w:t xml:space="preserve"> cíl</w:t>
      </w:r>
      <w:r>
        <w:rPr>
          <w:rFonts w:ascii="Arial" w:hAnsi="Arial" w:cs="Arial"/>
          <w:sz w:val="22"/>
          <w:szCs w:val="22"/>
        </w:rPr>
        <w:t>e, např.</w:t>
      </w:r>
      <w:r w:rsidR="0011149A">
        <w:rPr>
          <w:rFonts w:ascii="Arial" w:hAnsi="Arial" w:cs="Arial"/>
          <w:sz w:val="22"/>
          <w:szCs w:val="22"/>
        </w:rPr>
        <w:t>:</w:t>
      </w:r>
      <w:r w:rsidR="0011149A" w:rsidRPr="00087273">
        <w:rPr>
          <w:rFonts w:ascii="Arial" w:hAnsi="Arial" w:cs="Arial"/>
          <w:sz w:val="22"/>
          <w:szCs w:val="22"/>
        </w:rPr>
        <w:t xml:space="preserve"> </w:t>
      </w:r>
      <w:r w:rsidR="0011149A" w:rsidRPr="00395C6A">
        <w:rPr>
          <w:rFonts w:ascii="Arial" w:hAnsi="Arial" w:cs="Arial"/>
          <w:sz w:val="22"/>
          <w:szCs w:val="22"/>
        </w:rPr>
        <w:t>„</w:t>
      </w:r>
      <w:r w:rsidR="0011149A" w:rsidRPr="00087273">
        <w:rPr>
          <w:rFonts w:ascii="Arial" w:hAnsi="Arial" w:cs="Arial"/>
          <w:i/>
          <w:sz w:val="22"/>
          <w:szCs w:val="22"/>
        </w:rPr>
        <w:t>optimalizovat hospodaření s vodou se zřetelem na udržení funkcí</w:t>
      </w:r>
      <w:r w:rsidR="00D90605">
        <w:rPr>
          <w:rFonts w:ascii="Arial" w:hAnsi="Arial" w:cs="Arial"/>
          <w:i/>
          <w:sz w:val="22"/>
          <w:szCs w:val="22"/>
        </w:rPr>
        <w:t xml:space="preserve"> </w:t>
      </w:r>
      <w:r w:rsidR="0011149A" w:rsidRPr="00087273">
        <w:rPr>
          <w:rFonts w:ascii="Arial" w:hAnsi="Arial" w:cs="Arial"/>
          <w:i/>
          <w:sz w:val="22"/>
          <w:szCs w:val="22"/>
        </w:rPr>
        <w:t>krajiny</w:t>
      </w:r>
      <w:r w:rsidR="0011149A" w:rsidRPr="00087273">
        <w:rPr>
          <w:rFonts w:ascii="Arial" w:hAnsi="Arial" w:cs="Arial"/>
          <w:sz w:val="22"/>
          <w:szCs w:val="22"/>
        </w:rPr>
        <w:t>“ a zároveň „</w:t>
      </w:r>
      <w:r w:rsidR="0011149A" w:rsidRPr="00087273">
        <w:rPr>
          <w:rFonts w:ascii="Arial" w:hAnsi="Arial" w:cs="Arial"/>
          <w:i/>
          <w:sz w:val="22"/>
          <w:szCs w:val="22"/>
        </w:rPr>
        <w:t>zdokonalit systémy hospodaření s vodou v krajině</w:t>
      </w:r>
      <w:r w:rsidR="0011149A">
        <w:rPr>
          <w:rFonts w:ascii="Arial" w:hAnsi="Arial" w:cs="Arial"/>
          <w:sz w:val="22"/>
          <w:szCs w:val="22"/>
        </w:rPr>
        <w:t>“</w:t>
      </w:r>
      <w:r w:rsidR="003267AB">
        <w:rPr>
          <w:rFonts w:ascii="Arial" w:hAnsi="Arial" w:cs="Arial"/>
          <w:sz w:val="22"/>
          <w:szCs w:val="22"/>
        </w:rPr>
        <w:t>.</w:t>
      </w:r>
      <w:r w:rsidR="0011149A" w:rsidRPr="00087273">
        <w:rPr>
          <w:rFonts w:ascii="Arial" w:hAnsi="Arial" w:cs="Arial"/>
          <w:sz w:val="22"/>
          <w:szCs w:val="22"/>
        </w:rPr>
        <w:t xml:space="preserve"> </w:t>
      </w:r>
      <w:r w:rsidR="003267AB">
        <w:rPr>
          <w:rFonts w:ascii="Arial" w:hAnsi="Arial" w:cs="Arial"/>
          <w:sz w:val="22"/>
          <w:szCs w:val="22"/>
        </w:rPr>
        <w:t>Rovněž</w:t>
      </w:r>
      <w:r w:rsidR="0011149A" w:rsidRPr="00087273">
        <w:rPr>
          <w:rFonts w:ascii="Arial" w:hAnsi="Arial" w:cs="Arial"/>
          <w:sz w:val="22"/>
          <w:szCs w:val="22"/>
        </w:rPr>
        <w:t xml:space="preserve"> některé očekávané přínosy </w:t>
      </w:r>
      <w:r w:rsidR="0011149A">
        <w:rPr>
          <w:rFonts w:ascii="Arial" w:hAnsi="Arial" w:cs="Arial"/>
          <w:sz w:val="22"/>
          <w:szCs w:val="22"/>
        </w:rPr>
        <w:t>jsou uvedeny v obecné rovině, n</w:t>
      </w:r>
      <w:r w:rsidR="0011149A" w:rsidRPr="00087273">
        <w:rPr>
          <w:rFonts w:ascii="Arial" w:hAnsi="Arial" w:cs="Arial"/>
          <w:sz w:val="22"/>
          <w:szCs w:val="22"/>
        </w:rPr>
        <w:t>apř. „</w:t>
      </w:r>
      <w:r w:rsidR="0011149A" w:rsidRPr="00087273">
        <w:rPr>
          <w:rFonts w:ascii="Arial" w:hAnsi="Arial" w:cs="Arial"/>
          <w:i/>
          <w:sz w:val="22"/>
          <w:szCs w:val="22"/>
        </w:rPr>
        <w:t>zlepšení zdravotního stavu zemědělských plodin, hospodářských zvířat nebo lesů</w:t>
      </w:r>
      <w:r w:rsidR="0011149A" w:rsidRPr="00087273">
        <w:rPr>
          <w:rFonts w:ascii="Arial" w:hAnsi="Arial" w:cs="Arial"/>
          <w:sz w:val="22"/>
          <w:szCs w:val="22"/>
        </w:rPr>
        <w:t>“.</w:t>
      </w:r>
      <w:r w:rsidR="00D90605">
        <w:rPr>
          <w:rFonts w:ascii="Arial" w:hAnsi="Arial" w:cs="Arial"/>
          <w:sz w:val="22"/>
          <w:szCs w:val="22"/>
        </w:rPr>
        <w:t xml:space="preserve"> </w:t>
      </w:r>
      <w:r w:rsidR="003267AB" w:rsidRPr="00087273">
        <w:rPr>
          <w:rFonts w:ascii="Arial" w:hAnsi="Arial" w:cs="Arial"/>
          <w:sz w:val="22"/>
          <w:szCs w:val="22"/>
        </w:rPr>
        <w:t>T</w:t>
      </w:r>
      <w:r w:rsidR="0011149A" w:rsidRPr="00087273">
        <w:rPr>
          <w:rFonts w:ascii="Arial" w:hAnsi="Arial" w:cs="Arial"/>
          <w:sz w:val="22"/>
          <w:szCs w:val="22"/>
        </w:rPr>
        <w:t>ako</w:t>
      </w:r>
      <w:r w:rsidR="003267AB">
        <w:rPr>
          <w:rFonts w:ascii="Arial" w:hAnsi="Arial" w:cs="Arial"/>
          <w:sz w:val="22"/>
          <w:szCs w:val="22"/>
        </w:rPr>
        <w:t xml:space="preserve">vé </w:t>
      </w:r>
      <w:r w:rsidR="0011149A">
        <w:rPr>
          <w:rFonts w:ascii="Arial" w:hAnsi="Arial" w:cs="Arial"/>
          <w:sz w:val="22"/>
          <w:szCs w:val="22"/>
        </w:rPr>
        <w:t>přínos</w:t>
      </w:r>
      <w:r w:rsidR="003267AB">
        <w:rPr>
          <w:rFonts w:ascii="Arial" w:hAnsi="Arial" w:cs="Arial"/>
          <w:sz w:val="22"/>
          <w:szCs w:val="22"/>
        </w:rPr>
        <w:t>y</w:t>
      </w:r>
      <w:r w:rsidR="0011149A">
        <w:rPr>
          <w:rFonts w:ascii="Arial" w:hAnsi="Arial" w:cs="Arial"/>
          <w:sz w:val="22"/>
          <w:szCs w:val="22"/>
        </w:rPr>
        <w:t xml:space="preserve"> </w:t>
      </w:r>
      <w:r w:rsidR="003267AB">
        <w:rPr>
          <w:rFonts w:ascii="Arial" w:hAnsi="Arial" w:cs="Arial"/>
          <w:sz w:val="22"/>
          <w:szCs w:val="22"/>
        </w:rPr>
        <w:t xml:space="preserve">jsou </w:t>
      </w:r>
      <w:r w:rsidR="0011149A" w:rsidRPr="00087273">
        <w:rPr>
          <w:rFonts w:ascii="Arial" w:hAnsi="Arial" w:cs="Arial"/>
          <w:sz w:val="22"/>
          <w:szCs w:val="22"/>
        </w:rPr>
        <w:t>obtížně ověřiteln</w:t>
      </w:r>
      <w:r w:rsidR="003267AB">
        <w:rPr>
          <w:rFonts w:ascii="Arial" w:hAnsi="Arial" w:cs="Arial"/>
          <w:sz w:val="22"/>
          <w:szCs w:val="22"/>
        </w:rPr>
        <w:t>é</w:t>
      </w:r>
      <w:r w:rsidR="0011149A" w:rsidRPr="00087273">
        <w:rPr>
          <w:rFonts w:ascii="Arial" w:hAnsi="Arial" w:cs="Arial"/>
          <w:sz w:val="22"/>
          <w:szCs w:val="22"/>
        </w:rPr>
        <w:t xml:space="preserve"> a </w:t>
      </w:r>
      <w:r w:rsidR="0011149A">
        <w:rPr>
          <w:rFonts w:ascii="Arial" w:hAnsi="Arial" w:cs="Arial"/>
          <w:sz w:val="22"/>
          <w:szCs w:val="22"/>
        </w:rPr>
        <w:t>použiteln</w:t>
      </w:r>
      <w:r w:rsidR="003267AB">
        <w:rPr>
          <w:rFonts w:ascii="Arial" w:hAnsi="Arial" w:cs="Arial"/>
          <w:sz w:val="22"/>
          <w:szCs w:val="22"/>
        </w:rPr>
        <w:t>é</w:t>
      </w:r>
      <w:r w:rsidR="0011149A" w:rsidRPr="00087273">
        <w:rPr>
          <w:rFonts w:ascii="Arial" w:hAnsi="Arial" w:cs="Arial"/>
          <w:sz w:val="22"/>
          <w:szCs w:val="22"/>
        </w:rPr>
        <w:t xml:space="preserve"> k hodnocení efektivnosti programu. </w:t>
      </w:r>
    </w:p>
    <w:p w14:paraId="78016702" w14:textId="77777777" w:rsidR="003F0EE5" w:rsidRDefault="003F0EE5" w:rsidP="00395C6A">
      <w:pPr>
        <w:jc w:val="both"/>
        <w:rPr>
          <w:rFonts w:ascii="Arial" w:hAnsi="Arial" w:cs="Arial"/>
          <w:sz w:val="22"/>
          <w:szCs w:val="22"/>
        </w:rPr>
      </w:pPr>
    </w:p>
    <w:p w14:paraId="78016703" w14:textId="77777777" w:rsidR="00087273" w:rsidRPr="009A7BFB" w:rsidRDefault="00087273" w:rsidP="00395C6A">
      <w:pPr>
        <w:pStyle w:val="Odstavecseseznamem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9A7BFB">
        <w:rPr>
          <w:rFonts w:ascii="Arial" w:hAnsi="Arial" w:cs="Arial"/>
          <w:b/>
          <w:sz w:val="22"/>
          <w:szCs w:val="22"/>
        </w:rPr>
        <w:t>Vybran</w:t>
      </w:r>
      <w:r w:rsidR="00D90605">
        <w:rPr>
          <w:rFonts w:ascii="Arial" w:hAnsi="Arial" w:cs="Arial"/>
          <w:b/>
          <w:sz w:val="22"/>
          <w:szCs w:val="22"/>
        </w:rPr>
        <w:t>é</w:t>
      </w:r>
      <w:r w:rsidRPr="009A7BFB">
        <w:rPr>
          <w:rFonts w:ascii="Arial" w:hAnsi="Arial" w:cs="Arial"/>
          <w:b/>
          <w:sz w:val="22"/>
          <w:szCs w:val="22"/>
        </w:rPr>
        <w:t xml:space="preserve"> veřejn</w:t>
      </w:r>
      <w:r w:rsidR="00D90605">
        <w:rPr>
          <w:rFonts w:ascii="Arial" w:hAnsi="Arial" w:cs="Arial"/>
          <w:b/>
          <w:sz w:val="22"/>
          <w:szCs w:val="22"/>
        </w:rPr>
        <w:t>é</w:t>
      </w:r>
      <w:r w:rsidRPr="009A7BFB">
        <w:rPr>
          <w:rFonts w:ascii="Arial" w:hAnsi="Arial" w:cs="Arial"/>
          <w:b/>
          <w:sz w:val="22"/>
          <w:szCs w:val="22"/>
        </w:rPr>
        <w:t xml:space="preserve"> soutěž</w:t>
      </w:r>
      <w:r w:rsidR="00D90605">
        <w:rPr>
          <w:rFonts w:ascii="Arial" w:hAnsi="Arial" w:cs="Arial"/>
          <w:b/>
          <w:sz w:val="22"/>
          <w:szCs w:val="22"/>
        </w:rPr>
        <w:t>e</w:t>
      </w:r>
    </w:p>
    <w:p w14:paraId="78016704" w14:textId="77777777" w:rsidR="003F0EE5" w:rsidRDefault="003F0EE5" w:rsidP="00395C6A">
      <w:pPr>
        <w:jc w:val="both"/>
        <w:rPr>
          <w:rFonts w:ascii="Arial" w:hAnsi="Arial" w:cs="Arial"/>
          <w:sz w:val="22"/>
          <w:szCs w:val="22"/>
        </w:rPr>
      </w:pPr>
    </w:p>
    <w:p w14:paraId="78016705" w14:textId="77777777" w:rsidR="00355BF0" w:rsidRDefault="00502B8B" w:rsidP="00395C6A">
      <w:pPr>
        <w:jc w:val="both"/>
        <w:rPr>
          <w:rFonts w:ascii="Arial" w:hAnsi="Arial" w:cs="Arial"/>
          <w:sz w:val="22"/>
          <w:szCs w:val="22"/>
        </w:rPr>
      </w:pPr>
      <w:r w:rsidRPr="00502B8B">
        <w:rPr>
          <w:rFonts w:ascii="Arial" w:hAnsi="Arial" w:cs="Arial"/>
          <w:sz w:val="22"/>
          <w:szCs w:val="22"/>
        </w:rPr>
        <w:t>MZe každým rokem organizovalo jednu veřejnou soutěž v</w:t>
      </w:r>
      <w:r w:rsidR="00D90605">
        <w:rPr>
          <w:rFonts w:ascii="Arial" w:hAnsi="Arial" w:cs="Arial"/>
          <w:sz w:val="22"/>
          <w:szCs w:val="22"/>
        </w:rPr>
        <w:t> oblasti</w:t>
      </w:r>
      <w:r w:rsidRPr="00502B8B">
        <w:rPr>
          <w:rFonts w:ascii="Arial" w:hAnsi="Arial" w:cs="Arial"/>
          <w:sz w:val="22"/>
          <w:szCs w:val="22"/>
        </w:rPr>
        <w:t xml:space="preserve"> </w:t>
      </w:r>
      <w:r w:rsidRPr="00502B8B">
        <w:rPr>
          <w:rFonts w:ascii="Arial" w:hAnsi="Arial" w:cs="Arial"/>
          <w:color w:val="000000"/>
          <w:sz w:val="22"/>
          <w:szCs w:val="22"/>
        </w:rPr>
        <w:t>výzkumu, vývoj</w:t>
      </w:r>
      <w:r w:rsidR="00D90605">
        <w:rPr>
          <w:rFonts w:ascii="Arial" w:hAnsi="Arial" w:cs="Arial"/>
          <w:color w:val="000000"/>
          <w:sz w:val="22"/>
          <w:szCs w:val="22"/>
        </w:rPr>
        <w:t>e</w:t>
      </w:r>
      <w:r w:rsidRPr="00502B8B">
        <w:rPr>
          <w:rFonts w:ascii="Arial" w:hAnsi="Arial" w:cs="Arial"/>
          <w:color w:val="000000"/>
          <w:sz w:val="22"/>
          <w:szCs w:val="22"/>
        </w:rPr>
        <w:t xml:space="preserve"> a</w:t>
      </w:r>
      <w:r w:rsidR="00D90605">
        <w:rPr>
          <w:rFonts w:ascii="Arial" w:hAnsi="Arial" w:cs="Arial"/>
          <w:color w:val="000000"/>
          <w:sz w:val="22"/>
          <w:szCs w:val="22"/>
        </w:rPr>
        <w:t> </w:t>
      </w:r>
      <w:r w:rsidRPr="00502B8B">
        <w:rPr>
          <w:rFonts w:ascii="Arial" w:hAnsi="Arial" w:cs="Arial"/>
          <w:color w:val="000000"/>
          <w:sz w:val="22"/>
          <w:szCs w:val="22"/>
        </w:rPr>
        <w:t>inovací</w:t>
      </w:r>
      <w:r w:rsidRPr="00502B8B">
        <w:rPr>
          <w:rFonts w:ascii="Arial" w:hAnsi="Arial" w:cs="Arial"/>
          <w:sz w:val="22"/>
          <w:szCs w:val="22"/>
        </w:rPr>
        <w:t xml:space="preserve">. </w:t>
      </w:r>
      <w:r w:rsidR="00087273" w:rsidRPr="00087273">
        <w:rPr>
          <w:rFonts w:ascii="Arial" w:hAnsi="Arial" w:cs="Arial"/>
          <w:sz w:val="22"/>
          <w:szCs w:val="22"/>
        </w:rPr>
        <w:t xml:space="preserve">Ke kontrole byla vybrána veřejná soutěž programu </w:t>
      </w:r>
      <w:r w:rsidR="00B76BE5">
        <w:rPr>
          <w:rFonts w:ascii="Arial" w:hAnsi="Arial" w:cs="Arial"/>
          <w:sz w:val="22"/>
          <w:szCs w:val="22"/>
        </w:rPr>
        <w:t xml:space="preserve">QI </w:t>
      </w:r>
      <w:r w:rsidR="00BF036A">
        <w:rPr>
          <w:rFonts w:ascii="Arial" w:hAnsi="Arial" w:cs="Arial"/>
          <w:sz w:val="22"/>
          <w:szCs w:val="22"/>
        </w:rPr>
        <w:t>s </w:t>
      </w:r>
      <w:r w:rsidR="00087273" w:rsidRPr="00087273">
        <w:rPr>
          <w:rFonts w:ascii="Arial" w:hAnsi="Arial" w:cs="Arial"/>
          <w:sz w:val="22"/>
          <w:szCs w:val="22"/>
        </w:rPr>
        <w:t xml:space="preserve">počátkem řešení projektů </w:t>
      </w:r>
      <w:r w:rsidR="00BF036A">
        <w:rPr>
          <w:rFonts w:ascii="Arial" w:hAnsi="Arial" w:cs="Arial"/>
          <w:sz w:val="22"/>
          <w:szCs w:val="22"/>
        </w:rPr>
        <w:t>v </w:t>
      </w:r>
      <w:r w:rsidR="00087273" w:rsidRPr="00087273">
        <w:rPr>
          <w:rFonts w:ascii="Arial" w:hAnsi="Arial" w:cs="Arial"/>
          <w:sz w:val="22"/>
          <w:szCs w:val="22"/>
        </w:rPr>
        <w:t xml:space="preserve">roce 2011. MZe ji vyhlásilo </w:t>
      </w:r>
      <w:r w:rsidR="00BF036A">
        <w:rPr>
          <w:rFonts w:ascii="Arial" w:hAnsi="Arial" w:cs="Arial"/>
          <w:sz w:val="22"/>
          <w:szCs w:val="22"/>
        </w:rPr>
        <w:t>v </w:t>
      </w:r>
      <w:r w:rsidR="00087273" w:rsidRPr="00087273">
        <w:rPr>
          <w:rFonts w:ascii="Arial" w:hAnsi="Arial" w:cs="Arial"/>
          <w:sz w:val="22"/>
          <w:szCs w:val="22"/>
        </w:rPr>
        <w:t xml:space="preserve">roce 2010 </w:t>
      </w:r>
      <w:r w:rsidR="00BF036A">
        <w:rPr>
          <w:rFonts w:ascii="Arial" w:hAnsi="Arial" w:cs="Arial"/>
          <w:sz w:val="22"/>
          <w:szCs w:val="22"/>
        </w:rPr>
        <w:t>v </w:t>
      </w:r>
      <w:r w:rsidR="00087273" w:rsidRPr="00087273">
        <w:rPr>
          <w:rFonts w:ascii="Arial" w:hAnsi="Arial" w:cs="Arial"/>
          <w:sz w:val="22"/>
          <w:szCs w:val="22"/>
        </w:rPr>
        <w:t xml:space="preserve">souladu </w:t>
      </w:r>
      <w:r w:rsidR="00BF036A">
        <w:rPr>
          <w:rFonts w:ascii="Arial" w:hAnsi="Arial" w:cs="Arial"/>
          <w:sz w:val="22"/>
          <w:szCs w:val="22"/>
        </w:rPr>
        <w:t>s </w:t>
      </w:r>
      <w:r w:rsidR="00087273" w:rsidRPr="00087273">
        <w:rPr>
          <w:rFonts w:ascii="Arial" w:hAnsi="Arial" w:cs="Arial"/>
          <w:sz w:val="22"/>
          <w:szCs w:val="22"/>
        </w:rPr>
        <w:t>podmínkami § 17</w:t>
      </w:r>
      <w:r w:rsidR="00A359F9">
        <w:rPr>
          <w:rFonts w:ascii="Arial" w:hAnsi="Arial" w:cs="Arial"/>
          <w:sz w:val="22"/>
          <w:szCs w:val="22"/>
        </w:rPr>
        <w:t xml:space="preserve"> </w:t>
      </w:r>
      <w:r w:rsidR="00A359F9" w:rsidRPr="00087273">
        <w:rPr>
          <w:rFonts w:ascii="Arial" w:hAnsi="Arial" w:cs="Arial"/>
          <w:sz w:val="22"/>
          <w:szCs w:val="22"/>
        </w:rPr>
        <w:t>odst. 2 zákona</w:t>
      </w:r>
      <w:r w:rsidR="00ED5C42">
        <w:rPr>
          <w:rFonts w:ascii="Arial" w:hAnsi="Arial" w:cs="Arial"/>
          <w:sz w:val="22"/>
          <w:szCs w:val="22"/>
        </w:rPr>
        <w:t xml:space="preserve"> č. 130/2002 </w:t>
      </w:r>
      <w:r w:rsidR="00087273" w:rsidRPr="00087273">
        <w:rPr>
          <w:rFonts w:ascii="Arial" w:hAnsi="Arial" w:cs="Arial"/>
          <w:sz w:val="22"/>
          <w:szCs w:val="22"/>
        </w:rPr>
        <w:t>Sb</w:t>
      </w:r>
      <w:r w:rsidR="0068314E">
        <w:rPr>
          <w:rFonts w:ascii="Arial" w:hAnsi="Arial" w:cs="Arial"/>
          <w:sz w:val="22"/>
          <w:szCs w:val="22"/>
        </w:rPr>
        <w:t>.</w:t>
      </w:r>
      <w:r w:rsidR="00355BF0">
        <w:rPr>
          <w:rFonts w:ascii="Arial" w:hAnsi="Arial" w:cs="Arial"/>
          <w:sz w:val="22"/>
          <w:szCs w:val="22"/>
        </w:rPr>
        <w:t xml:space="preserve"> Nedostatky zjištěné </w:t>
      </w:r>
      <w:r w:rsidR="00D90605">
        <w:rPr>
          <w:rFonts w:ascii="Arial" w:hAnsi="Arial" w:cs="Arial"/>
          <w:sz w:val="22"/>
          <w:szCs w:val="22"/>
        </w:rPr>
        <w:t>u</w:t>
      </w:r>
      <w:r w:rsidR="00355BF0">
        <w:rPr>
          <w:rFonts w:ascii="Arial" w:hAnsi="Arial" w:cs="Arial"/>
          <w:sz w:val="22"/>
          <w:szCs w:val="22"/>
        </w:rPr>
        <w:t xml:space="preserve"> vybrané soutěže byly namátkově ověřeny na soutěžích, které </w:t>
      </w:r>
      <w:r w:rsidR="00D90605">
        <w:rPr>
          <w:rFonts w:ascii="Arial" w:hAnsi="Arial" w:cs="Arial"/>
          <w:sz w:val="22"/>
          <w:szCs w:val="22"/>
        </w:rPr>
        <w:t xml:space="preserve">ministerstvo </w:t>
      </w:r>
      <w:r w:rsidR="00355BF0">
        <w:rPr>
          <w:rFonts w:ascii="Arial" w:hAnsi="Arial" w:cs="Arial"/>
          <w:sz w:val="22"/>
          <w:szCs w:val="22"/>
        </w:rPr>
        <w:t>organizovalo v letech 2011 a 2012.</w:t>
      </w:r>
    </w:p>
    <w:p w14:paraId="78016706" w14:textId="77777777" w:rsidR="003F0EE5" w:rsidRDefault="003F0EE5" w:rsidP="00395C6A">
      <w:pPr>
        <w:jc w:val="both"/>
        <w:rPr>
          <w:rFonts w:ascii="Arial" w:hAnsi="Arial" w:cs="Arial"/>
          <w:sz w:val="22"/>
          <w:szCs w:val="22"/>
        </w:rPr>
      </w:pPr>
    </w:p>
    <w:p w14:paraId="78016707" w14:textId="77777777" w:rsidR="006C02FF" w:rsidRDefault="00355BF0" w:rsidP="00395C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MZe v kontrolovaném období nestanovilo </w:t>
      </w:r>
      <w:r w:rsidR="00D90605">
        <w:rPr>
          <w:rFonts w:ascii="Arial" w:hAnsi="Arial" w:cs="Arial"/>
          <w:sz w:val="22"/>
          <w:szCs w:val="22"/>
        </w:rPr>
        <w:t xml:space="preserve">závazně </w:t>
      </w:r>
      <w:r>
        <w:rPr>
          <w:rFonts w:ascii="Arial" w:hAnsi="Arial" w:cs="Arial"/>
          <w:sz w:val="22"/>
          <w:szCs w:val="22"/>
        </w:rPr>
        <w:t>pravidla pro p</w:t>
      </w:r>
      <w:r w:rsidRPr="00502B8B">
        <w:rPr>
          <w:rFonts w:ascii="Arial" w:hAnsi="Arial" w:cs="Arial"/>
          <w:sz w:val="22"/>
          <w:szCs w:val="22"/>
        </w:rPr>
        <w:t xml:space="preserve">rovedení </w:t>
      </w:r>
      <w:r>
        <w:rPr>
          <w:rFonts w:ascii="Arial" w:hAnsi="Arial" w:cs="Arial"/>
          <w:sz w:val="22"/>
          <w:szCs w:val="22"/>
        </w:rPr>
        <w:t xml:space="preserve">veřejné </w:t>
      </w:r>
      <w:r w:rsidRPr="00502B8B">
        <w:rPr>
          <w:rFonts w:ascii="Arial" w:hAnsi="Arial" w:cs="Arial"/>
          <w:sz w:val="22"/>
          <w:szCs w:val="22"/>
        </w:rPr>
        <w:t xml:space="preserve">soutěže </w:t>
      </w:r>
      <w:r w:rsidR="00D90605">
        <w:rPr>
          <w:rFonts w:ascii="Arial" w:hAnsi="Arial" w:cs="Arial"/>
          <w:sz w:val="22"/>
          <w:szCs w:val="22"/>
        </w:rPr>
        <w:t>a</w:t>
      </w:r>
      <w:r w:rsidR="000266A9">
        <w:rPr>
          <w:rFonts w:ascii="Arial" w:hAnsi="Arial" w:cs="Arial"/>
          <w:sz w:val="22"/>
          <w:szCs w:val="22"/>
        </w:rPr>
        <w:t> </w:t>
      </w:r>
      <w:r w:rsidR="00D90605">
        <w:rPr>
          <w:rFonts w:ascii="Arial" w:hAnsi="Arial" w:cs="Arial"/>
          <w:sz w:val="22"/>
          <w:szCs w:val="22"/>
        </w:rPr>
        <w:t>neurčilo ani</w:t>
      </w:r>
      <w:r w:rsidRPr="00502B8B">
        <w:rPr>
          <w:rFonts w:ascii="Arial" w:hAnsi="Arial" w:cs="Arial"/>
          <w:sz w:val="22"/>
          <w:szCs w:val="22"/>
        </w:rPr>
        <w:t xml:space="preserve"> struktur</w:t>
      </w:r>
      <w:r w:rsidR="00D90605">
        <w:rPr>
          <w:rFonts w:ascii="Arial" w:hAnsi="Arial" w:cs="Arial"/>
          <w:sz w:val="22"/>
          <w:szCs w:val="22"/>
        </w:rPr>
        <w:t>u</w:t>
      </w:r>
      <w:r w:rsidRPr="00502B8B">
        <w:rPr>
          <w:rFonts w:ascii="Arial" w:hAnsi="Arial" w:cs="Arial"/>
          <w:sz w:val="22"/>
          <w:szCs w:val="22"/>
        </w:rPr>
        <w:t xml:space="preserve"> odborných poradních orgánů</w:t>
      </w:r>
      <w:r>
        <w:rPr>
          <w:rFonts w:ascii="Arial" w:hAnsi="Arial" w:cs="Arial"/>
          <w:sz w:val="22"/>
          <w:szCs w:val="22"/>
        </w:rPr>
        <w:t xml:space="preserve"> MZe.</w:t>
      </w:r>
      <w:r w:rsidRPr="00502B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Poradní </w:t>
      </w:r>
      <w:r w:rsidRPr="00502B8B">
        <w:rPr>
          <w:rFonts w:ascii="Arial" w:hAnsi="Arial" w:cs="Arial"/>
          <w:sz w:val="22"/>
          <w:szCs w:val="22"/>
        </w:rPr>
        <w:t xml:space="preserve">orgány ani jejich předsedové nebyli řádně ustaveni, nebyla vyjasněna jejich odpovědnost ani omezení. </w:t>
      </w:r>
      <w:r>
        <w:rPr>
          <w:rFonts w:ascii="Arial" w:hAnsi="Arial" w:cs="Arial"/>
          <w:sz w:val="22"/>
          <w:szCs w:val="22"/>
        </w:rPr>
        <w:t>MZe ne</w:t>
      </w:r>
      <w:r w:rsidRPr="00502B8B">
        <w:rPr>
          <w:rFonts w:ascii="Arial" w:hAnsi="Arial" w:cs="Arial"/>
          <w:sz w:val="22"/>
          <w:szCs w:val="22"/>
        </w:rPr>
        <w:t>prokáza</w:t>
      </w:r>
      <w:r>
        <w:rPr>
          <w:rFonts w:ascii="Arial" w:hAnsi="Arial" w:cs="Arial"/>
          <w:sz w:val="22"/>
          <w:szCs w:val="22"/>
        </w:rPr>
        <w:t xml:space="preserve">lo </w:t>
      </w:r>
      <w:r w:rsidRPr="00502B8B">
        <w:rPr>
          <w:rFonts w:ascii="Arial" w:hAnsi="Arial" w:cs="Arial"/>
          <w:sz w:val="22"/>
          <w:szCs w:val="22"/>
        </w:rPr>
        <w:t xml:space="preserve">doručení soutěžních návrhů </w:t>
      </w:r>
      <w:r w:rsidR="00BF036A">
        <w:rPr>
          <w:rFonts w:ascii="Arial" w:hAnsi="Arial" w:cs="Arial"/>
          <w:sz w:val="22"/>
          <w:szCs w:val="22"/>
        </w:rPr>
        <w:t>v </w:t>
      </w:r>
      <w:r w:rsidRPr="00502B8B">
        <w:rPr>
          <w:rFonts w:ascii="Arial" w:hAnsi="Arial" w:cs="Arial"/>
          <w:sz w:val="22"/>
          <w:szCs w:val="22"/>
        </w:rPr>
        <w:t>určeném čase na určené místo. Návrhy projektů hodnotily odborné poradní orgány nad rámec kritérií, se kterými byli uchazeči seznámeni.</w:t>
      </w:r>
      <w:r w:rsidR="00CB3A0C">
        <w:rPr>
          <w:rFonts w:ascii="Arial" w:hAnsi="Arial" w:cs="Arial"/>
          <w:sz w:val="22"/>
          <w:szCs w:val="22"/>
        </w:rPr>
        <w:t xml:space="preserve"> V procesu výběru projektů k financování z prostředků státního rozpočtu docházelo k častým </w:t>
      </w:r>
      <w:r w:rsidR="000C085D">
        <w:rPr>
          <w:rFonts w:ascii="Arial" w:hAnsi="Arial" w:cs="Arial"/>
          <w:sz w:val="22"/>
          <w:szCs w:val="22"/>
        </w:rPr>
        <w:t>změnám v</w:t>
      </w:r>
      <w:r w:rsidR="008A5823">
        <w:rPr>
          <w:rFonts w:ascii="Arial" w:hAnsi="Arial" w:cs="Arial"/>
          <w:sz w:val="22"/>
          <w:szCs w:val="22"/>
        </w:rPr>
        <w:t> </w:t>
      </w:r>
      <w:r w:rsidR="000C085D">
        <w:rPr>
          <w:rFonts w:ascii="Arial" w:hAnsi="Arial" w:cs="Arial"/>
          <w:sz w:val="22"/>
          <w:szCs w:val="22"/>
        </w:rPr>
        <w:t xml:space="preserve">pořadí </w:t>
      </w:r>
      <w:r w:rsidR="00CB3A0C">
        <w:rPr>
          <w:rFonts w:ascii="Arial" w:hAnsi="Arial" w:cs="Arial"/>
          <w:sz w:val="22"/>
          <w:szCs w:val="22"/>
        </w:rPr>
        <w:t xml:space="preserve">i po </w:t>
      </w:r>
      <w:r w:rsidR="000C085D">
        <w:rPr>
          <w:rFonts w:ascii="Arial" w:hAnsi="Arial" w:cs="Arial"/>
          <w:sz w:val="22"/>
          <w:szCs w:val="22"/>
        </w:rPr>
        <w:t xml:space="preserve">bodovém </w:t>
      </w:r>
      <w:r w:rsidR="00CB3A0C">
        <w:rPr>
          <w:rFonts w:ascii="Arial" w:hAnsi="Arial" w:cs="Arial"/>
          <w:sz w:val="22"/>
          <w:szCs w:val="22"/>
        </w:rPr>
        <w:t>hodnocení</w:t>
      </w:r>
      <w:r w:rsidR="00D90605">
        <w:rPr>
          <w:rFonts w:ascii="Arial" w:hAnsi="Arial" w:cs="Arial"/>
          <w:sz w:val="22"/>
          <w:szCs w:val="22"/>
        </w:rPr>
        <w:t>.</w:t>
      </w:r>
      <w:r w:rsidR="00CB3A0C">
        <w:rPr>
          <w:rFonts w:ascii="Arial" w:hAnsi="Arial" w:cs="Arial"/>
          <w:sz w:val="22"/>
          <w:szCs w:val="22"/>
        </w:rPr>
        <w:t xml:space="preserve"> </w:t>
      </w:r>
      <w:r w:rsidR="00D90605">
        <w:rPr>
          <w:rFonts w:ascii="Arial" w:hAnsi="Arial" w:cs="Arial"/>
          <w:sz w:val="22"/>
          <w:szCs w:val="22"/>
        </w:rPr>
        <w:t>Změny</w:t>
      </w:r>
      <w:r w:rsidR="00CB3A0C">
        <w:rPr>
          <w:rFonts w:ascii="Arial" w:hAnsi="Arial" w:cs="Arial"/>
          <w:sz w:val="22"/>
          <w:szCs w:val="22"/>
        </w:rPr>
        <w:t xml:space="preserve"> byly zdůvodněny předem neuvedenými </w:t>
      </w:r>
      <w:r w:rsidR="006C02FF">
        <w:rPr>
          <w:rFonts w:ascii="Arial" w:hAnsi="Arial" w:cs="Arial"/>
          <w:sz w:val="22"/>
          <w:szCs w:val="22"/>
        </w:rPr>
        <w:t xml:space="preserve">účelově zvolenými </w:t>
      </w:r>
      <w:r w:rsidR="00CB3A0C">
        <w:rPr>
          <w:rFonts w:ascii="Arial" w:hAnsi="Arial" w:cs="Arial"/>
          <w:sz w:val="22"/>
          <w:szCs w:val="22"/>
        </w:rPr>
        <w:t>důvody</w:t>
      </w:r>
      <w:r w:rsidR="006C02FF">
        <w:rPr>
          <w:rFonts w:ascii="Arial" w:hAnsi="Arial" w:cs="Arial"/>
          <w:sz w:val="22"/>
          <w:szCs w:val="22"/>
        </w:rPr>
        <w:t>. MZe nepo</w:t>
      </w:r>
      <w:r w:rsidRPr="00502B8B">
        <w:rPr>
          <w:rFonts w:ascii="Arial" w:hAnsi="Arial" w:cs="Arial"/>
          <w:sz w:val="22"/>
          <w:szCs w:val="22"/>
        </w:rPr>
        <w:t>stup</w:t>
      </w:r>
      <w:r w:rsidR="006C02FF">
        <w:rPr>
          <w:rFonts w:ascii="Arial" w:hAnsi="Arial" w:cs="Arial"/>
          <w:sz w:val="22"/>
          <w:szCs w:val="22"/>
        </w:rPr>
        <w:t>ovalo při veřejných soutěžích v období 2010</w:t>
      </w:r>
      <w:r w:rsidR="008A5823">
        <w:rPr>
          <w:rFonts w:ascii="Arial" w:hAnsi="Arial" w:cs="Arial"/>
          <w:sz w:val="22"/>
          <w:szCs w:val="22"/>
        </w:rPr>
        <w:t>–</w:t>
      </w:r>
      <w:r w:rsidR="006C02FF">
        <w:rPr>
          <w:rFonts w:ascii="Arial" w:hAnsi="Arial" w:cs="Arial"/>
          <w:sz w:val="22"/>
          <w:szCs w:val="22"/>
        </w:rPr>
        <w:t>2012</w:t>
      </w:r>
      <w:r w:rsidR="003F0EE5">
        <w:rPr>
          <w:rFonts w:ascii="Arial" w:hAnsi="Arial" w:cs="Arial"/>
          <w:sz w:val="22"/>
          <w:szCs w:val="22"/>
        </w:rPr>
        <w:t xml:space="preserve"> </w:t>
      </w:r>
      <w:r w:rsidRPr="00502B8B">
        <w:rPr>
          <w:rFonts w:ascii="Arial" w:hAnsi="Arial" w:cs="Arial"/>
          <w:sz w:val="22"/>
          <w:szCs w:val="22"/>
        </w:rPr>
        <w:t>transparentn</w:t>
      </w:r>
      <w:r w:rsidR="006C02FF">
        <w:rPr>
          <w:rFonts w:ascii="Arial" w:hAnsi="Arial" w:cs="Arial"/>
          <w:sz w:val="22"/>
          <w:szCs w:val="22"/>
        </w:rPr>
        <w:t>ě.</w:t>
      </w:r>
    </w:p>
    <w:p w14:paraId="78016708" w14:textId="77777777" w:rsidR="003F0EE5" w:rsidRDefault="003F0EE5" w:rsidP="00395C6A">
      <w:pPr>
        <w:jc w:val="both"/>
        <w:rPr>
          <w:rFonts w:ascii="Arial" w:hAnsi="Arial" w:cs="Arial"/>
          <w:sz w:val="22"/>
          <w:szCs w:val="22"/>
        </w:rPr>
      </w:pPr>
    </w:p>
    <w:p w14:paraId="78016709" w14:textId="77777777" w:rsidR="006C02FF" w:rsidRPr="00087273" w:rsidRDefault="006C02FF" w:rsidP="00395C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355BF0" w:rsidRPr="00502B8B">
        <w:rPr>
          <w:rFonts w:ascii="Arial" w:hAnsi="Arial" w:cs="Arial"/>
          <w:sz w:val="22"/>
          <w:szCs w:val="22"/>
        </w:rPr>
        <w:t xml:space="preserve">ále </w:t>
      </w:r>
      <w:r>
        <w:rPr>
          <w:rFonts w:ascii="Arial" w:hAnsi="Arial" w:cs="Arial"/>
          <w:sz w:val="22"/>
          <w:szCs w:val="22"/>
        </w:rPr>
        <w:t>MZe nezajistil</w:t>
      </w:r>
      <w:r w:rsidR="00355BF0" w:rsidRPr="00502B8B">
        <w:rPr>
          <w:rFonts w:ascii="Arial" w:hAnsi="Arial" w:cs="Arial"/>
          <w:sz w:val="22"/>
          <w:szCs w:val="22"/>
        </w:rPr>
        <w:t>o vyloučení zainteresovaných odborníků z hodnocení projektů</w:t>
      </w:r>
      <w:r w:rsidR="00D90605">
        <w:rPr>
          <w:rFonts w:ascii="Arial" w:hAnsi="Arial" w:cs="Arial"/>
          <w:sz w:val="22"/>
          <w:szCs w:val="22"/>
        </w:rPr>
        <w:t>,</w:t>
      </w:r>
      <w:r w:rsidR="000C085D">
        <w:rPr>
          <w:rFonts w:ascii="Arial" w:hAnsi="Arial" w:cs="Arial"/>
          <w:sz w:val="22"/>
          <w:szCs w:val="22"/>
        </w:rPr>
        <w:t xml:space="preserve"> a</w:t>
      </w:r>
      <w:r w:rsidR="008A5823">
        <w:rPr>
          <w:rFonts w:ascii="Arial" w:hAnsi="Arial" w:cs="Arial"/>
          <w:sz w:val="22"/>
          <w:szCs w:val="22"/>
        </w:rPr>
        <w:t> </w:t>
      </w:r>
      <w:r w:rsidR="000C085D">
        <w:rPr>
          <w:rFonts w:ascii="Arial" w:hAnsi="Arial" w:cs="Arial"/>
          <w:sz w:val="22"/>
          <w:szCs w:val="22"/>
        </w:rPr>
        <w:t xml:space="preserve">nepostupovalo tak v souladu </w:t>
      </w:r>
      <w:r w:rsidR="00BF036A">
        <w:rPr>
          <w:rFonts w:ascii="Arial" w:hAnsi="Arial" w:cs="Arial"/>
          <w:sz w:val="22"/>
          <w:szCs w:val="22"/>
        </w:rPr>
        <w:t>s </w:t>
      </w:r>
      <w:r w:rsidRPr="00087273">
        <w:rPr>
          <w:rFonts w:ascii="Arial" w:hAnsi="Arial" w:cs="Arial"/>
          <w:sz w:val="22"/>
          <w:szCs w:val="22"/>
        </w:rPr>
        <w:t>§ 21</w:t>
      </w:r>
      <w:r>
        <w:rPr>
          <w:rFonts w:ascii="Arial" w:hAnsi="Arial" w:cs="Arial"/>
          <w:sz w:val="22"/>
          <w:szCs w:val="22"/>
        </w:rPr>
        <w:t xml:space="preserve"> </w:t>
      </w:r>
      <w:r w:rsidRPr="00087273">
        <w:rPr>
          <w:rFonts w:ascii="Arial" w:hAnsi="Arial" w:cs="Arial"/>
          <w:sz w:val="22"/>
          <w:szCs w:val="22"/>
        </w:rPr>
        <w:t>odst. 4 zákona č. 130/2002 Sb. v návaznosti na odst.</w:t>
      </w:r>
      <w:r w:rsidR="000266A9">
        <w:rPr>
          <w:rFonts w:ascii="Arial" w:hAnsi="Arial" w:cs="Arial"/>
          <w:sz w:val="22"/>
          <w:szCs w:val="22"/>
        </w:rPr>
        <w:t> </w:t>
      </w:r>
      <w:r w:rsidRPr="00087273">
        <w:rPr>
          <w:rFonts w:ascii="Arial" w:hAnsi="Arial" w:cs="Arial"/>
          <w:sz w:val="22"/>
          <w:szCs w:val="22"/>
        </w:rPr>
        <w:t>1</w:t>
      </w:r>
      <w:r w:rsidR="000266A9">
        <w:rPr>
          <w:rFonts w:ascii="Arial" w:hAnsi="Arial" w:cs="Arial"/>
          <w:sz w:val="22"/>
          <w:szCs w:val="22"/>
        </w:rPr>
        <w:t> </w:t>
      </w:r>
      <w:r w:rsidRPr="00087273">
        <w:rPr>
          <w:rFonts w:ascii="Arial" w:hAnsi="Arial" w:cs="Arial"/>
          <w:sz w:val="22"/>
          <w:szCs w:val="22"/>
        </w:rPr>
        <w:t xml:space="preserve">větu třetí: </w:t>
      </w:r>
      <w:r w:rsidRPr="00395C6A">
        <w:rPr>
          <w:rFonts w:ascii="Arial" w:hAnsi="Arial" w:cs="Arial"/>
          <w:sz w:val="22"/>
          <w:szCs w:val="22"/>
        </w:rPr>
        <w:t>„</w:t>
      </w:r>
      <w:r w:rsidRPr="00087273">
        <w:rPr>
          <w:rFonts w:ascii="Arial" w:hAnsi="Arial" w:cs="Arial"/>
          <w:i/>
          <w:sz w:val="22"/>
          <w:szCs w:val="22"/>
        </w:rPr>
        <w:t xml:space="preserve">Členové komise nesmí být ve vztahu </w:t>
      </w:r>
      <w:r w:rsidR="00BF036A">
        <w:rPr>
          <w:rFonts w:ascii="Arial" w:hAnsi="Arial" w:cs="Arial"/>
          <w:i/>
          <w:sz w:val="22"/>
          <w:szCs w:val="22"/>
        </w:rPr>
        <w:t>k </w:t>
      </w:r>
      <w:r w:rsidRPr="00087273">
        <w:rPr>
          <w:rFonts w:ascii="Arial" w:hAnsi="Arial" w:cs="Arial"/>
          <w:i/>
          <w:sz w:val="22"/>
          <w:szCs w:val="22"/>
        </w:rPr>
        <w:t xml:space="preserve">předmětu veřejné soutěže ve výzkumu, vývoji a inovacích nebo </w:t>
      </w:r>
      <w:r w:rsidR="00BF036A">
        <w:rPr>
          <w:rFonts w:ascii="Arial" w:hAnsi="Arial" w:cs="Arial"/>
          <w:i/>
          <w:sz w:val="22"/>
          <w:szCs w:val="22"/>
        </w:rPr>
        <w:t>k </w:t>
      </w:r>
      <w:r w:rsidRPr="00087273">
        <w:rPr>
          <w:rFonts w:ascii="Arial" w:hAnsi="Arial" w:cs="Arial"/>
          <w:i/>
          <w:sz w:val="22"/>
          <w:szCs w:val="22"/>
        </w:rPr>
        <w:t>uchazečům podjati, zejména se nesmí podílet na zpracování projektu, nesmí mít osobní zájem na rozhodnutí o poskytnutí podpory určitému projektu a</w:t>
      </w:r>
      <w:r w:rsidR="008A5823">
        <w:rPr>
          <w:rFonts w:ascii="Arial" w:hAnsi="Arial" w:cs="Arial"/>
          <w:i/>
          <w:sz w:val="22"/>
          <w:szCs w:val="22"/>
        </w:rPr>
        <w:t> </w:t>
      </w:r>
      <w:r w:rsidRPr="00087273">
        <w:rPr>
          <w:rFonts w:ascii="Arial" w:hAnsi="Arial" w:cs="Arial"/>
          <w:i/>
          <w:sz w:val="22"/>
          <w:szCs w:val="22"/>
        </w:rPr>
        <w:t>s</w:t>
      </w:r>
      <w:r w:rsidR="008A5823">
        <w:rPr>
          <w:rFonts w:ascii="Arial" w:hAnsi="Arial" w:cs="Arial"/>
          <w:i/>
          <w:sz w:val="22"/>
          <w:szCs w:val="22"/>
        </w:rPr>
        <w:t> </w:t>
      </w:r>
      <w:r w:rsidRPr="00087273">
        <w:rPr>
          <w:rFonts w:ascii="Arial" w:hAnsi="Arial" w:cs="Arial"/>
          <w:i/>
          <w:sz w:val="22"/>
          <w:szCs w:val="22"/>
        </w:rPr>
        <w:t>uchazeči je nesmí spojovat osobní ani pracovní či jiný obdobný poměr</w:t>
      </w:r>
      <w:r w:rsidRPr="00087273">
        <w:rPr>
          <w:rFonts w:ascii="Arial" w:hAnsi="Arial" w:cs="Arial"/>
          <w:sz w:val="22"/>
          <w:szCs w:val="22"/>
        </w:rPr>
        <w:t>.“</w:t>
      </w:r>
    </w:p>
    <w:p w14:paraId="7801670A" w14:textId="77777777" w:rsidR="003F0EE5" w:rsidRDefault="003F0EE5" w:rsidP="00395C6A">
      <w:pPr>
        <w:jc w:val="both"/>
        <w:rPr>
          <w:rFonts w:ascii="Arial" w:hAnsi="Arial" w:cs="Arial"/>
          <w:sz w:val="22"/>
          <w:szCs w:val="22"/>
        </w:rPr>
      </w:pPr>
    </w:p>
    <w:p w14:paraId="7801670B" w14:textId="77777777" w:rsidR="00355BF0" w:rsidRPr="00502B8B" w:rsidRDefault="006C02FF" w:rsidP="00395C6A">
      <w:pPr>
        <w:jc w:val="both"/>
        <w:rPr>
          <w:rFonts w:ascii="Arial" w:hAnsi="Arial" w:cs="Arial"/>
          <w:sz w:val="22"/>
          <w:szCs w:val="22"/>
        </w:rPr>
      </w:pPr>
      <w:r w:rsidRPr="00087273">
        <w:rPr>
          <w:rFonts w:ascii="Arial" w:hAnsi="Arial" w:cs="Arial"/>
          <w:sz w:val="22"/>
          <w:szCs w:val="22"/>
        </w:rPr>
        <w:t>Kontrolou bylo zjištěno,</w:t>
      </w:r>
      <w:r>
        <w:rPr>
          <w:rFonts w:ascii="Arial" w:hAnsi="Arial" w:cs="Arial"/>
          <w:sz w:val="22"/>
          <w:szCs w:val="22"/>
        </w:rPr>
        <w:t xml:space="preserve"> že</w:t>
      </w:r>
      <w:r w:rsidRPr="00087273">
        <w:rPr>
          <w:rFonts w:ascii="Arial" w:hAnsi="Arial" w:cs="Arial"/>
          <w:sz w:val="22"/>
          <w:szCs w:val="22"/>
        </w:rPr>
        <w:t xml:space="preserve"> členem </w:t>
      </w:r>
      <w:r w:rsidR="00CD45BC">
        <w:rPr>
          <w:rFonts w:ascii="Arial" w:hAnsi="Arial" w:cs="Arial"/>
          <w:sz w:val="22"/>
          <w:szCs w:val="22"/>
        </w:rPr>
        <w:t xml:space="preserve">odborného poradního orgánu </w:t>
      </w:r>
      <w:r w:rsidRPr="00087273">
        <w:rPr>
          <w:rFonts w:ascii="Arial" w:hAnsi="Arial" w:cs="Arial"/>
          <w:sz w:val="22"/>
          <w:szCs w:val="22"/>
        </w:rPr>
        <w:t>byl statutární zástupce organizace, j</w:t>
      </w:r>
      <w:r>
        <w:rPr>
          <w:rFonts w:ascii="Arial" w:hAnsi="Arial" w:cs="Arial"/>
          <w:sz w:val="22"/>
          <w:szCs w:val="22"/>
        </w:rPr>
        <w:t xml:space="preserve">ejíž projekt byl </w:t>
      </w:r>
      <w:r w:rsidRPr="00087273">
        <w:rPr>
          <w:rFonts w:ascii="Arial" w:hAnsi="Arial" w:cs="Arial"/>
          <w:sz w:val="22"/>
          <w:szCs w:val="22"/>
        </w:rPr>
        <w:t>hodnocen</w:t>
      </w:r>
      <w:r>
        <w:rPr>
          <w:rFonts w:ascii="Arial" w:hAnsi="Arial" w:cs="Arial"/>
          <w:sz w:val="22"/>
          <w:szCs w:val="22"/>
        </w:rPr>
        <w:t>, a sice</w:t>
      </w:r>
      <w:r w:rsidRPr="00087273">
        <w:rPr>
          <w:rFonts w:ascii="Arial" w:hAnsi="Arial" w:cs="Arial"/>
          <w:sz w:val="22"/>
          <w:szCs w:val="22"/>
        </w:rPr>
        <w:t xml:space="preserve"> plným počtem bodů. Projekt</w:t>
      </w:r>
      <w:r>
        <w:rPr>
          <w:rFonts w:ascii="Arial" w:hAnsi="Arial" w:cs="Arial"/>
          <w:sz w:val="22"/>
          <w:szCs w:val="22"/>
        </w:rPr>
        <w:t xml:space="preserve"> byl</w:t>
      </w:r>
      <w:r w:rsidRPr="000872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doporučen</w:t>
      </w:r>
      <w:r w:rsidRPr="000872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8A582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posléze schválen </w:t>
      </w:r>
      <w:r w:rsidRPr="0008727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</w:t>
      </w:r>
      <w:r w:rsidRPr="00087273">
        <w:rPr>
          <w:rFonts w:ascii="Arial" w:hAnsi="Arial" w:cs="Arial"/>
          <w:sz w:val="22"/>
          <w:szCs w:val="22"/>
        </w:rPr>
        <w:t>financování</w:t>
      </w:r>
      <w:r>
        <w:rPr>
          <w:rFonts w:ascii="Arial" w:hAnsi="Arial" w:cs="Arial"/>
          <w:sz w:val="22"/>
          <w:szCs w:val="22"/>
        </w:rPr>
        <w:t>.</w:t>
      </w:r>
      <w:r w:rsidRPr="00087273">
        <w:rPr>
          <w:rFonts w:ascii="Arial" w:hAnsi="Arial" w:cs="Arial"/>
          <w:sz w:val="22"/>
          <w:szCs w:val="22"/>
        </w:rPr>
        <w:t xml:space="preserve"> </w:t>
      </w:r>
      <w:r w:rsidR="00CE3BE8">
        <w:rPr>
          <w:rFonts w:ascii="Arial" w:hAnsi="Arial" w:cs="Arial"/>
          <w:sz w:val="22"/>
          <w:szCs w:val="22"/>
        </w:rPr>
        <w:t xml:space="preserve">Jiný </w:t>
      </w:r>
      <w:r w:rsidRPr="00087273">
        <w:rPr>
          <w:rFonts w:ascii="Arial" w:hAnsi="Arial" w:cs="Arial"/>
          <w:sz w:val="22"/>
          <w:szCs w:val="22"/>
        </w:rPr>
        <w:t xml:space="preserve">člen </w:t>
      </w:r>
      <w:r w:rsidR="00CD45BC">
        <w:rPr>
          <w:rFonts w:ascii="Arial" w:hAnsi="Arial" w:cs="Arial"/>
          <w:sz w:val="22"/>
          <w:szCs w:val="22"/>
        </w:rPr>
        <w:t>odborného orgánu</w:t>
      </w:r>
      <w:r>
        <w:rPr>
          <w:rFonts w:ascii="Arial" w:hAnsi="Arial" w:cs="Arial"/>
          <w:sz w:val="22"/>
          <w:szCs w:val="22"/>
        </w:rPr>
        <w:t xml:space="preserve">, který je zároveň řešitelem </w:t>
      </w:r>
      <w:r w:rsidR="00CE3BE8">
        <w:rPr>
          <w:rFonts w:ascii="Arial" w:hAnsi="Arial" w:cs="Arial"/>
          <w:sz w:val="22"/>
          <w:szCs w:val="22"/>
        </w:rPr>
        <w:t>d</w:t>
      </w:r>
      <w:r w:rsidR="00CE3BE8" w:rsidRPr="00087273">
        <w:rPr>
          <w:rFonts w:ascii="Arial" w:hAnsi="Arial" w:cs="Arial"/>
          <w:sz w:val="22"/>
          <w:szCs w:val="22"/>
        </w:rPr>
        <w:t>alší</w:t>
      </w:r>
      <w:r w:rsidR="00CE3BE8">
        <w:rPr>
          <w:rFonts w:ascii="Arial" w:hAnsi="Arial" w:cs="Arial"/>
          <w:sz w:val="22"/>
          <w:szCs w:val="22"/>
        </w:rPr>
        <w:t>ho</w:t>
      </w:r>
      <w:r w:rsidR="00CE3BE8" w:rsidRPr="000872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projektu,</w:t>
      </w:r>
      <w:r w:rsidRPr="00087273">
        <w:rPr>
          <w:rFonts w:ascii="Arial" w:hAnsi="Arial" w:cs="Arial"/>
          <w:sz w:val="22"/>
          <w:szCs w:val="22"/>
        </w:rPr>
        <w:t xml:space="preserve"> je podepsán pod</w:t>
      </w:r>
      <w:r>
        <w:rPr>
          <w:rFonts w:ascii="Arial" w:hAnsi="Arial" w:cs="Arial"/>
          <w:sz w:val="22"/>
          <w:szCs w:val="22"/>
        </w:rPr>
        <w:t xml:space="preserve"> jeho</w:t>
      </w:r>
      <w:r w:rsidRPr="00087273">
        <w:rPr>
          <w:rFonts w:ascii="Arial" w:hAnsi="Arial" w:cs="Arial"/>
          <w:sz w:val="22"/>
          <w:szCs w:val="22"/>
        </w:rPr>
        <w:t xml:space="preserve"> hodnocení</w:t>
      </w:r>
      <w:r>
        <w:rPr>
          <w:rFonts w:ascii="Arial" w:hAnsi="Arial" w:cs="Arial"/>
          <w:sz w:val="22"/>
          <w:szCs w:val="22"/>
        </w:rPr>
        <w:t>m. I tento projekt byl doporučen a</w:t>
      </w:r>
      <w:r w:rsidR="008A582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následně zařazen </w:t>
      </w:r>
      <w:r w:rsidR="00BF036A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financovaným</w:t>
      </w:r>
      <w:r w:rsidRPr="00087273">
        <w:rPr>
          <w:rFonts w:ascii="Arial" w:hAnsi="Arial" w:cs="Arial"/>
          <w:sz w:val="22"/>
          <w:szCs w:val="22"/>
        </w:rPr>
        <w:t xml:space="preserve">. MZe tyto vztahy eviduje a podle jeho údajů je potenciální podjatost členů </w:t>
      </w:r>
      <w:r w:rsidR="006F23C4">
        <w:rPr>
          <w:rFonts w:ascii="Arial" w:hAnsi="Arial" w:cs="Arial"/>
          <w:sz w:val="22"/>
          <w:szCs w:val="22"/>
        </w:rPr>
        <w:t>odborných poradních orgánů značná.</w:t>
      </w:r>
      <w:r w:rsidRPr="00087273">
        <w:rPr>
          <w:rFonts w:ascii="Arial" w:hAnsi="Arial" w:cs="Arial"/>
          <w:color w:val="0070C0"/>
          <w:sz w:val="22"/>
          <w:szCs w:val="22"/>
        </w:rPr>
        <w:t xml:space="preserve"> </w:t>
      </w:r>
      <w:r w:rsidRPr="00087273">
        <w:rPr>
          <w:rFonts w:ascii="Arial" w:hAnsi="Arial" w:cs="Arial"/>
          <w:sz w:val="22"/>
          <w:szCs w:val="22"/>
        </w:rPr>
        <w:t xml:space="preserve">Ze seznamu pro veřejnou soutěž na rok 2011 vyplývá, že většina členů </w:t>
      </w:r>
      <w:r w:rsidR="006F23C4">
        <w:rPr>
          <w:rFonts w:ascii="Arial" w:hAnsi="Arial" w:cs="Arial"/>
          <w:sz w:val="22"/>
          <w:szCs w:val="22"/>
        </w:rPr>
        <w:t>poradního orgánu</w:t>
      </w:r>
      <w:r w:rsidRPr="00087273">
        <w:rPr>
          <w:rFonts w:ascii="Arial" w:hAnsi="Arial" w:cs="Arial"/>
          <w:sz w:val="22"/>
          <w:szCs w:val="22"/>
        </w:rPr>
        <w:t xml:space="preserve"> měla vztah </w:t>
      </w:r>
      <w:r w:rsidR="00BF036A">
        <w:rPr>
          <w:rFonts w:ascii="Arial" w:hAnsi="Arial" w:cs="Arial"/>
          <w:sz w:val="22"/>
          <w:szCs w:val="22"/>
        </w:rPr>
        <w:t>k </w:t>
      </w:r>
      <w:r w:rsidRPr="00087273">
        <w:rPr>
          <w:rFonts w:ascii="Arial" w:hAnsi="Arial" w:cs="Arial"/>
          <w:sz w:val="22"/>
          <w:szCs w:val="22"/>
        </w:rPr>
        <w:t xml:space="preserve">některým projednávaným </w:t>
      </w:r>
      <w:r w:rsidR="006F23C4">
        <w:rPr>
          <w:rFonts w:ascii="Arial" w:hAnsi="Arial" w:cs="Arial"/>
          <w:sz w:val="22"/>
          <w:szCs w:val="22"/>
        </w:rPr>
        <w:t xml:space="preserve">projektům. </w:t>
      </w:r>
    </w:p>
    <w:p w14:paraId="7801670C" w14:textId="77777777" w:rsidR="003F0EE5" w:rsidRDefault="003F0EE5" w:rsidP="00395C6A">
      <w:pPr>
        <w:jc w:val="both"/>
        <w:rPr>
          <w:rFonts w:ascii="Arial" w:hAnsi="Arial" w:cs="Arial"/>
          <w:sz w:val="22"/>
          <w:szCs w:val="22"/>
        </w:rPr>
      </w:pPr>
    </w:p>
    <w:p w14:paraId="7801670D" w14:textId="77777777" w:rsidR="00087273" w:rsidRDefault="00087273" w:rsidP="00395C6A">
      <w:pPr>
        <w:jc w:val="both"/>
        <w:rPr>
          <w:rFonts w:ascii="Arial" w:hAnsi="Arial" w:cs="Arial"/>
          <w:sz w:val="22"/>
          <w:szCs w:val="22"/>
        </w:rPr>
      </w:pPr>
      <w:r w:rsidRPr="00087273">
        <w:rPr>
          <w:rFonts w:ascii="Arial" w:hAnsi="Arial" w:cs="Arial"/>
          <w:sz w:val="22"/>
          <w:szCs w:val="22"/>
        </w:rPr>
        <w:lastRenderedPageBreak/>
        <w:t>Podle § 21</w:t>
      </w:r>
      <w:r w:rsidR="00A359F9">
        <w:rPr>
          <w:rFonts w:ascii="Arial" w:hAnsi="Arial" w:cs="Arial"/>
          <w:sz w:val="22"/>
          <w:szCs w:val="22"/>
        </w:rPr>
        <w:t xml:space="preserve"> </w:t>
      </w:r>
      <w:r w:rsidR="00A359F9" w:rsidRPr="00087273">
        <w:rPr>
          <w:rFonts w:ascii="Arial" w:hAnsi="Arial" w:cs="Arial"/>
          <w:sz w:val="22"/>
          <w:szCs w:val="22"/>
        </w:rPr>
        <w:t>odst. 5 zákona</w:t>
      </w:r>
      <w:r w:rsidRPr="00087273">
        <w:rPr>
          <w:rFonts w:ascii="Arial" w:hAnsi="Arial" w:cs="Arial"/>
          <w:sz w:val="22"/>
          <w:szCs w:val="22"/>
        </w:rPr>
        <w:t xml:space="preserve"> č. 130/2002 Sb. je </w:t>
      </w:r>
      <w:r w:rsidR="00377C54">
        <w:rPr>
          <w:rFonts w:ascii="Arial" w:hAnsi="Arial" w:cs="Arial"/>
          <w:sz w:val="22"/>
          <w:szCs w:val="22"/>
        </w:rPr>
        <w:t xml:space="preserve">poskytovatel </w:t>
      </w:r>
      <w:r w:rsidRPr="00087273">
        <w:rPr>
          <w:rFonts w:ascii="Arial" w:hAnsi="Arial" w:cs="Arial"/>
          <w:sz w:val="22"/>
          <w:szCs w:val="22"/>
        </w:rPr>
        <w:t>povin</w:t>
      </w:r>
      <w:r w:rsidR="00377C54">
        <w:rPr>
          <w:rFonts w:ascii="Arial" w:hAnsi="Arial" w:cs="Arial"/>
          <w:sz w:val="22"/>
          <w:szCs w:val="22"/>
        </w:rPr>
        <w:t>e</w:t>
      </w:r>
      <w:r w:rsidRPr="00087273">
        <w:rPr>
          <w:rFonts w:ascii="Arial" w:hAnsi="Arial" w:cs="Arial"/>
          <w:sz w:val="22"/>
          <w:szCs w:val="22"/>
        </w:rPr>
        <w:t xml:space="preserve">n ke každému návrhu projektu zajistit nejméně dva posudky oponentů. </w:t>
      </w:r>
      <w:r w:rsidR="00C27AA9">
        <w:rPr>
          <w:rFonts w:ascii="Arial" w:hAnsi="Arial" w:cs="Arial"/>
          <w:sz w:val="22"/>
          <w:szCs w:val="22"/>
        </w:rPr>
        <w:t xml:space="preserve">MZe nezajistilo další odborné posudky v případech, kdy byla vyjádření </w:t>
      </w:r>
      <w:r w:rsidR="009F6E99">
        <w:rPr>
          <w:rFonts w:ascii="Arial" w:hAnsi="Arial" w:cs="Arial"/>
          <w:sz w:val="22"/>
          <w:szCs w:val="22"/>
        </w:rPr>
        <w:t xml:space="preserve">dvou </w:t>
      </w:r>
      <w:r w:rsidR="00C27AA9">
        <w:rPr>
          <w:rFonts w:ascii="Arial" w:hAnsi="Arial" w:cs="Arial"/>
          <w:sz w:val="22"/>
          <w:szCs w:val="22"/>
        </w:rPr>
        <w:t xml:space="preserve">oponentů zásadně odlišná. </w:t>
      </w:r>
    </w:p>
    <w:p w14:paraId="7801670E" w14:textId="77777777" w:rsidR="003F0EE5" w:rsidRDefault="003F0EE5" w:rsidP="00395C6A">
      <w:pPr>
        <w:jc w:val="both"/>
        <w:rPr>
          <w:rFonts w:ascii="Arial" w:hAnsi="Arial" w:cs="Arial"/>
          <w:sz w:val="22"/>
          <w:szCs w:val="22"/>
        </w:rPr>
      </w:pPr>
    </w:p>
    <w:p w14:paraId="7801670F" w14:textId="77777777" w:rsidR="00A949AE" w:rsidRPr="008939E9" w:rsidRDefault="0022418F" w:rsidP="00395C6A">
      <w:pPr>
        <w:pStyle w:val="Default"/>
        <w:numPr>
          <w:ilvl w:val="0"/>
          <w:numId w:val="1"/>
        </w:numPr>
        <w:ind w:left="284" w:hanging="284"/>
        <w:jc w:val="both"/>
        <w:rPr>
          <w:rFonts w:eastAsia="Times New Roman"/>
          <w:b/>
          <w:color w:val="auto"/>
          <w:sz w:val="22"/>
          <w:szCs w:val="22"/>
        </w:rPr>
      </w:pPr>
      <w:r>
        <w:rPr>
          <w:rFonts w:eastAsia="Times New Roman"/>
          <w:b/>
          <w:color w:val="auto"/>
          <w:sz w:val="22"/>
          <w:szCs w:val="22"/>
        </w:rPr>
        <w:t xml:space="preserve">Smlouvy o podpoře, </w:t>
      </w:r>
      <w:r w:rsidR="00D90605">
        <w:rPr>
          <w:rFonts w:eastAsia="Times New Roman"/>
          <w:b/>
          <w:color w:val="auto"/>
          <w:sz w:val="22"/>
          <w:szCs w:val="22"/>
        </w:rPr>
        <w:t>s</w:t>
      </w:r>
      <w:r w:rsidR="00A949AE" w:rsidRPr="008939E9">
        <w:rPr>
          <w:rFonts w:eastAsia="Times New Roman"/>
          <w:b/>
          <w:color w:val="auto"/>
          <w:sz w:val="22"/>
          <w:szCs w:val="22"/>
        </w:rPr>
        <w:t>mlouvy o využití výsledků, informační systém VaVaI</w:t>
      </w:r>
      <w:r w:rsidR="00782111" w:rsidRPr="008939E9">
        <w:rPr>
          <w:rFonts w:eastAsia="Times New Roman"/>
          <w:b/>
          <w:color w:val="auto"/>
          <w:sz w:val="22"/>
          <w:szCs w:val="22"/>
        </w:rPr>
        <w:t xml:space="preserve"> MZe</w:t>
      </w:r>
    </w:p>
    <w:p w14:paraId="78016710" w14:textId="77777777" w:rsidR="003F0EE5" w:rsidRDefault="003F0EE5" w:rsidP="00395C6A">
      <w:pPr>
        <w:pStyle w:val="Default"/>
        <w:jc w:val="both"/>
        <w:rPr>
          <w:sz w:val="22"/>
          <w:szCs w:val="22"/>
        </w:rPr>
      </w:pPr>
    </w:p>
    <w:p w14:paraId="78016711" w14:textId="77777777" w:rsidR="00A949AE" w:rsidRPr="001D7677" w:rsidRDefault="00CD45BC" w:rsidP="00395C6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 základě veřejné soutěže jsou s</w:t>
      </w:r>
      <w:r w:rsidR="001A072A">
        <w:rPr>
          <w:sz w:val="22"/>
          <w:szCs w:val="22"/>
        </w:rPr>
        <w:t xml:space="preserve"> vybranými uchazeči uzavírány </w:t>
      </w:r>
      <w:r w:rsidR="00D90605">
        <w:rPr>
          <w:sz w:val="22"/>
          <w:szCs w:val="22"/>
        </w:rPr>
        <w:t>s</w:t>
      </w:r>
      <w:r w:rsidR="001A072A">
        <w:rPr>
          <w:sz w:val="22"/>
          <w:szCs w:val="22"/>
        </w:rPr>
        <w:t xml:space="preserve">mlouvy o podpoře. </w:t>
      </w:r>
      <w:r w:rsidR="002A5EA9">
        <w:rPr>
          <w:sz w:val="22"/>
          <w:szCs w:val="22"/>
        </w:rPr>
        <w:t>Náklady</w:t>
      </w:r>
      <w:r w:rsidR="001A072A">
        <w:rPr>
          <w:sz w:val="22"/>
          <w:szCs w:val="22"/>
        </w:rPr>
        <w:t xml:space="preserve"> projekt</w:t>
      </w:r>
      <w:r w:rsidR="00D90605">
        <w:rPr>
          <w:sz w:val="22"/>
          <w:szCs w:val="22"/>
        </w:rPr>
        <w:t>u</w:t>
      </w:r>
      <w:r w:rsidR="002A5EA9">
        <w:rPr>
          <w:sz w:val="22"/>
          <w:szCs w:val="22"/>
        </w:rPr>
        <w:t xml:space="preserve"> jsou ve </w:t>
      </w:r>
      <w:r w:rsidR="00D90605">
        <w:rPr>
          <w:sz w:val="22"/>
          <w:szCs w:val="22"/>
        </w:rPr>
        <w:t>s</w:t>
      </w:r>
      <w:r w:rsidR="002A5EA9">
        <w:rPr>
          <w:sz w:val="22"/>
          <w:szCs w:val="22"/>
        </w:rPr>
        <w:t>mlouvě</w:t>
      </w:r>
      <w:r w:rsidR="002A5EA9" w:rsidRPr="00716F86">
        <w:rPr>
          <w:sz w:val="22"/>
          <w:szCs w:val="22"/>
        </w:rPr>
        <w:t xml:space="preserve"> o podpoře stanoveny jako pevné</w:t>
      </w:r>
      <w:r w:rsidR="002A5EA9">
        <w:rPr>
          <w:sz w:val="22"/>
          <w:szCs w:val="22"/>
        </w:rPr>
        <w:t>,</w:t>
      </w:r>
      <w:r w:rsidR="002A5EA9" w:rsidRPr="001D7677">
        <w:rPr>
          <w:sz w:val="22"/>
          <w:szCs w:val="22"/>
        </w:rPr>
        <w:t xml:space="preserve"> </w:t>
      </w:r>
      <w:r w:rsidR="002A5EA9">
        <w:rPr>
          <w:sz w:val="22"/>
          <w:szCs w:val="22"/>
        </w:rPr>
        <w:t>příjemce tak</w:t>
      </w:r>
      <w:r w:rsidR="00A949AE" w:rsidRPr="001D7677">
        <w:rPr>
          <w:sz w:val="22"/>
          <w:szCs w:val="22"/>
        </w:rPr>
        <w:t xml:space="preserve"> není motivován k úspornému řešení projektu</w:t>
      </w:r>
      <w:r w:rsidR="0068314E">
        <w:rPr>
          <w:sz w:val="22"/>
          <w:szCs w:val="22"/>
        </w:rPr>
        <w:t>,</w:t>
      </w:r>
      <w:r w:rsidR="00A949AE" w:rsidRPr="001D7677">
        <w:rPr>
          <w:sz w:val="22"/>
          <w:szCs w:val="22"/>
        </w:rPr>
        <w:t xml:space="preserve"> </w:t>
      </w:r>
      <w:r w:rsidR="00F06F44">
        <w:rPr>
          <w:sz w:val="22"/>
          <w:szCs w:val="22"/>
        </w:rPr>
        <w:t>tj.</w:t>
      </w:r>
      <w:r w:rsidR="00A949AE" w:rsidRPr="001D7677">
        <w:rPr>
          <w:sz w:val="22"/>
          <w:szCs w:val="22"/>
        </w:rPr>
        <w:t xml:space="preserve"> </w:t>
      </w:r>
      <w:r w:rsidR="00F06F44">
        <w:rPr>
          <w:sz w:val="22"/>
          <w:szCs w:val="22"/>
        </w:rPr>
        <w:t>k </w:t>
      </w:r>
      <w:r w:rsidR="00A949AE" w:rsidRPr="001D7677">
        <w:rPr>
          <w:sz w:val="22"/>
          <w:szCs w:val="22"/>
        </w:rPr>
        <w:t xml:space="preserve">dosažení stanovených cílů </w:t>
      </w:r>
      <w:r w:rsidR="00BF036A">
        <w:rPr>
          <w:sz w:val="22"/>
          <w:szCs w:val="22"/>
        </w:rPr>
        <w:t>s </w:t>
      </w:r>
      <w:r w:rsidR="00A949AE" w:rsidRPr="001D7677">
        <w:rPr>
          <w:sz w:val="22"/>
          <w:szCs w:val="22"/>
        </w:rPr>
        <w:t xml:space="preserve">nižšími náklady. Na druhé straně by neměl použít vlastní zdroje </w:t>
      </w:r>
      <w:r w:rsidR="00F06F44">
        <w:rPr>
          <w:sz w:val="22"/>
          <w:szCs w:val="22"/>
        </w:rPr>
        <w:t xml:space="preserve">v částce </w:t>
      </w:r>
      <w:r w:rsidR="00A949AE" w:rsidRPr="001D7677">
        <w:rPr>
          <w:sz w:val="22"/>
          <w:szCs w:val="22"/>
        </w:rPr>
        <w:t xml:space="preserve">vyšší než schválené, </w:t>
      </w:r>
      <w:r w:rsidR="00F06F44">
        <w:rPr>
          <w:sz w:val="22"/>
          <w:szCs w:val="22"/>
        </w:rPr>
        <w:t xml:space="preserve">a to </w:t>
      </w:r>
      <w:r w:rsidR="00A949AE" w:rsidRPr="001D7677">
        <w:rPr>
          <w:sz w:val="22"/>
          <w:szCs w:val="22"/>
        </w:rPr>
        <w:t xml:space="preserve">ani </w:t>
      </w:r>
      <w:r w:rsidR="00F06F44">
        <w:rPr>
          <w:sz w:val="22"/>
          <w:szCs w:val="22"/>
        </w:rPr>
        <w:t xml:space="preserve">v případech, </w:t>
      </w:r>
      <w:r w:rsidR="00A949AE" w:rsidRPr="001D7677">
        <w:rPr>
          <w:sz w:val="22"/>
          <w:szCs w:val="22"/>
        </w:rPr>
        <w:t>kdy</w:t>
      </w:r>
      <w:r w:rsidR="00F06F44">
        <w:rPr>
          <w:sz w:val="22"/>
          <w:szCs w:val="22"/>
        </w:rPr>
        <w:t xml:space="preserve"> </w:t>
      </w:r>
      <w:r w:rsidR="00A949AE" w:rsidRPr="001D7677">
        <w:rPr>
          <w:sz w:val="22"/>
          <w:szCs w:val="22"/>
        </w:rPr>
        <w:t>by to znamenalo zkvalitnění</w:t>
      </w:r>
      <w:r w:rsidR="00353E86">
        <w:rPr>
          <w:sz w:val="22"/>
          <w:szCs w:val="22"/>
        </w:rPr>
        <w:t xml:space="preserve"> </w:t>
      </w:r>
      <w:r w:rsidR="00A949AE" w:rsidRPr="001D7677">
        <w:rPr>
          <w:sz w:val="22"/>
          <w:szCs w:val="22"/>
        </w:rPr>
        <w:t>řeše</w:t>
      </w:r>
      <w:r w:rsidR="002A5EA9">
        <w:rPr>
          <w:sz w:val="22"/>
          <w:szCs w:val="22"/>
        </w:rPr>
        <w:t>ní projektu. V</w:t>
      </w:r>
      <w:r w:rsidR="00A949AE" w:rsidRPr="001D7677">
        <w:rPr>
          <w:sz w:val="22"/>
          <w:szCs w:val="22"/>
        </w:rPr>
        <w:t xml:space="preserve">ysvětlení </w:t>
      </w:r>
      <w:r w:rsidR="002A5EA9">
        <w:rPr>
          <w:sz w:val="22"/>
          <w:szCs w:val="22"/>
        </w:rPr>
        <w:t xml:space="preserve">MZe, </w:t>
      </w:r>
      <w:r w:rsidR="00872D5F">
        <w:rPr>
          <w:sz w:val="22"/>
          <w:szCs w:val="22"/>
        </w:rPr>
        <w:t xml:space="preserve">které smlouvy připravuje, </w:t>
      </w:r>
      <w:r w:rsidR="00F06F44">
        <w:rPr>
          <w:sz w:val="22"/>
          <w:szCs w:val="22"/>
        </w:rPr>
        <w:t>že provádění</w:t>
      </w:r>
      <w:r w:rsidR="00A949AE" w:rsidRPr="001D7677">
        <w:rPr>
          <w:sz w:val="22"/>
          <w:szCs w:val="22"/>
        </w:rPr>
        <w:t xml:space="preserve"> změn v</w:t>
      </w:r>
      <w:r w:rsidR="002A5EA9">
        <w:rPr>
          <w:sz w:val="22"/>
          <w:szCs w:val="22"/>
        </w:rPr>
        <w:t> </w:t>
      </w:r>
      <w:r w:rsidR="00A949AE" w:rsidRPr="001D7677">
        <w:rPr>
          <w:sz w:val="22"/>
          <w:szCs w:val="22"/>
        </w:rPr>
        <w:t>nákladech</w:t>
      </w:r>
      <w:r w:rsidR="002A5EA9">
        <w:rPr>
          <w:sz w:val="22"/>
          <w:szCs w:val="22"/>
        </w:rPr>
        <w:t xml:space="preserve"> </w:t>
      </w:r>
      <w:r w:rsidR="00F06F44">
        <w:rPr>
          <w:sz w:val="22"/>
          <w:szCs w:val="22"/>
        </w:rPr>
        <w:t>je administrativně náročné a způsobuje</w:t>
      </w:r>
      <w:r w:rsidR="002A5EA9">
        <w:rPr>
          <w:sz w:val="22"/>
          <w:szCs w:val="22"/>
        </w:rPr>
        <w:t xml:space="preserve"> komplikace při schvalování veřejné podpory ze strany </w:t>
      </w:r>
      <w:r w:rsidR="0022418F">
        <w:rPr>
          <w:sz w:val="22"/>
          <w:szCs w:val="22"/>
        </w:rPr>
        <w:t xml:space="preserve">EU, </w:t>
      </w:r>
      <w:r w:rsidR="0022418F" w:rsidRPr="001D7677">
        <w:rPr>
          <w:sz w:val="22"/>
          <w:szCs w:val="22"/>
        </w:rPr>
        <w:t>není</w:t>
      </w:r>
      <w:r w:rsidR="00A949AE" w:rsidRPr="001D7677">
        <w:rPr>
          <w:sz w:val="22"/>
          <w:szCs w:val="22"/>
        </w:rPr>
        <w:t xml:space="preserve"> možné akceptovat.</w:t>
      </w:r>
    </w:p>
    <w:p w14:paraId="78016712" w14:textId="77777777" w:rsidR="003F0EE5" w:rsidRDefault="003F0EE5" w:rsidP="00395C6A">
      <w:pPr>
        <w:pStyle w:val="Default"/>
        <w:jc w:val="both"/>
        <w:rPr>
          <w:sz w:val="22"/>
          <w:szCs w:val="22"/>
        </w:rPr>
      </w:pPr>
    </w:p>
    <w:p w14:paraId="78016713" w14:textId="77777777" w:rsidR="000966C8" w:rsidRDefault="001A072A" w:rsidP="00395C6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Následně p</w:t>
      </w:r>
      <w:r w:rsidR="00510262">
        <w:rPr>
          <w:sz w:val="22"/>
          <w:szCs w:val="22"/>
        </w:rPr>
        <w:t xml:space="preserve">odle </w:t>
      </w:r>
      <w:r w:rsidR="00A949AE" w:rsidRPr="00716F86">
        <w:rPr>
          <w:sz w:val="22"/>
          <w:szCs w:val="22"/>
        </w:rPr>
        <w:t>§ 11 odst. 1 zákona č.</w:t>
      </w:r>
      <w:r w:rsidR="00353E86">
        <w:rPr>
          <w:sz w:val="22"/>
          <w:szCs w:val="22"/>
        </w:rPr>
        <w:t xml:space="preserve"> </w:t>
      </w:r>
      <w:r w:rsidR="00A949AE" w:rsidRPr="00716F86">
        <w:rPr>
          <w:sz w:val="22"/>
          <w:szCs w:val="22"/>
        </w:rPr>
        <w:t>130/2002 Sb.</w:t>
      </w:r>
      <w:r w:rsidR="00A949AE" w:rsidRPr="00716F86">
        <w:rPr>
          <w:i/>
          <w:sz w:val="22"/>
          <w:szCs w:val="22"/>
        </w:rPr>
        <w:t xml:space="preserve"> </w:t>
      </w:r>
      <w:r w:rsidR="00510262" w:rsidRPr="00510262">
        <w:rPr>
          <w:sz w:val="22"/>
          <w:szCs w:val="22"/>
        </w:rPr>
        <w:t>má být mezi poskytovatelem a</w:t>
      </w:r>
      <w:r w:rsidR="008A5823">
        <w:rPr>
          <w:sz w:val="22"/>
          <w:szCs w:val="22"/>
        </w:rPr>
        <w:t> </w:t>
      </w:r>
      <w:r w:rsidR="00510262" w:rsidRPr="00510262">
        <w:rPr>
          <w:sz w:val="22"/>
          <w:szCs w:val="22"/>
        </w:rPr>
        <w:t xml:space="preserve">příjemcem uzavřena </w:t>
      </w:r>
      <w:r w:rsidR="00F06F44">
        <w:rPr>
          <w:sz w:val="22"/>
          <w:szCs w:val="22"/>
        </w:rPr>
        <w:t>s</w:t>
      </w:r>
      <w:r w:rsidR="00A949AE" w:rsidRPr="00510262">
        <w:rPr>
          <w:sz w:val="22"/>
          <w:szCs w:val="22"/>
        </w:rPr>
        <w:t>mlouv</w:t>
      </w:r>
      <w:r w:rsidR="00510262" w:rsidRPr="00510262">
        <w:rPr>
          <w:sz w:val="22"/>
          <w:szCs w:val="22"/>
        </w:rPr>
        <w:t>a</w:t>
      </w:r>
      <w:r w:rsidR="00A949AE" w:rsidRPr="00510262">
        <w:rPr>
          <w:sz w:val="22"/>
          <w:szCs w:val="22"/>
        </w:rPr>
        <w:t xml:space="preserve"> o využití výsledků. </w:t>
      </w:r>
      <w:r w:rsidR="00A949AE" w:rsidRPr="00716F86">
        <w:rPr>
          <w:sz w:val="22"/>
          <w:szCs w:val="22"/>
        </w:rPr>
        <w:t xml:space="preserve">Způsob využití výsledků a doba, </w:t>
      </w:r>
      <w:r w:rsidR="00F06F44">
        <w:rPr>
          <w:sz w:val="22"/>
          <w:szCs w:val="22"/>
        </w:rPr>
        <w:t>po</w:t>
      </w:r>
      <w:r w:rsidR="00A949AE">
        <w:rPr>
          <w:sz w:val="22"/>
          <w:szCs w:val="22"/>
        </w:rPr>
        <w:t xml:space="preserve"> kter</w:t>
      </w:r>
      <w:r w:rsidR="00F06F44">
        <w:rPr>
          <w:sz w:val="22"/>
          <w:szCs w:val="22"/>
        </w:rPr>
        <w:t>ou</w:t>
      </w:r>
      <w:r w:rsidR="00A949AE">
        <w:rPr>
          <w:sz w:val="22"/>
          <w:szCs w:val="22"/>
        </w:rPr>
        <w:t xml:space="preserve"> budou výsledky využ</w:t>
      </w:r>
      <w:r w:rsidR="00F06F44">
        <w:rPr>
          <w:sz w:val="22"/>
          <w:szCs w:val="22"/>
        </w:rPr>
        <w:t>ívány</w:t>
      </w:r>
      <w:r w:rsidR="00A949AE">
        <w:rPr>
          <w:sz w:val="22"/>
          <w:szCs w:val="22"/>
        </w:rPr>
        <w:t xml:space="preserve">, se </w:t>
      </w:r>
      <w:r w:rsidR="00A949AE" w:rsidRPr="00716F86">
        <w:rPr>
          <w:sz w:val="22"/>
          <w:szCs w:val="22"/>
        </w:rPr>
        <w:t>řeš</w:t>
      </w:r>
      <w:r w:rsidR="00600A62">
        <w:rPr>
          <w:sz w:val="22"/>
          <w:szCs w:val="22"/>
        </w:rPr>
        <w:t>í</w:t>
      </w:r>
      <w:r w:rsidR="00353E86">
        <w:rPr>
          <w:sz w:val="22"/>
          <w:szCs w:val="22"/>
        </w:rPr>
        <w:t xml:space="preserve"> </w:t>
      </w:r>
      <w:r w:rsidR="00600A62">
        <w:rPr>
          <w:sz w:val="22"/>
          <w:szCs w:val="22"/>
        </w:rPr>
        <w:t>v</w:t>
      </w:r>
      <w:r w:rsidR="00F06F44">
        <w:rPr>
          <w:sz w:val="22"/>
          <w:szCs w:val="22"/>
        </w:rPr>
        <w:t> </w:t>
      </w:r>
      <w:r w:rsidR="00F06F44" w:rsidRPr="00395C6A">
        <w:rPr>
          <w:i/>
          <w:sz w:val="22"/>
          <w:szCs w:val="22"/>
        </w:rPr>
        <w:t>p</w:t>
      </w:r>
      <w:r w:rsidR="0022418F" w:rsidRPr="00395C6A">
        <w:rPr>
          <w:i/>
          <w:sz w:val="22"/>
          <w:szCs w:val="22"/>
        </w:rPr>
        <w:t>lánu na uplatnění výsledků</w:t>
      </w:r>
      <w:r w:rsidR="0022418F">
        <w:rPr>
          <w:sz w:val="22"/>
          <w:szCs w:val="22"/>
        </w:rPr>
        <w:t xml:space="preserve">, který je nedílnou součástí </w:t>
      </w:r>
      <w:r w:rsidR="00F06F44">
        <w:rPr>
          <w:sz w:val="22"/>
          <w:szCs w:val="22"/>
        </w:rPr>
        <w:t>s</w:t>
      </w:r>
      <w:r w:rsidR="00A949AE" w:rsidRPr="00716F86">
        <w:rPr>
          <w:sz w:val="22"/>
          <w:szCs w:val="22"/>
        </w:rPr>
        <w:t>mlouvy o</w:t>
      </w:r>
      <w:r w:rsidR="004D3C6A">
        <w:rPr>
          <w:sz w:val="22"/>
          <w:szCs w:val="22"/>
        </w:rPr>
        <w:t> </w:t>
      </w:r>
      <w:r w:rsidR="00A949AE" w:rsidRPr="00716F86">
        <w:rPr>
          <w:sz w:val="22"/>
          <w:szCs w:val="22"/>
        </w:rPr>
        <w:t xml:space="preserve">využití výsledků. </w:t>
      </w:r>
      <w:r w:rsidR="0022418F">
        <w:rPr>
          <w:sz w:val="22"/>
          <w:szCs w:val="22"/>
        </w:rPr>
        <w:t xml:space="preserve">Podle </w:t>
      </w:r>
      <w:r w:rsidR="00F06F44">
        <w:rPr>
          <w:sz w:val="22"/>
          <w:szCs w:val="22"/>
        </w:rPr>
        <w:t>s</w:t>
      </w:r>
      <w:r w:rsidR="00A949AE" w:rsidRPr="00716F86">
        <w:rPr>
          <w:sz w:val="22"/>
          <w:szCs w:val="22"/>
        </w:rPr>
        <w:t xml:space="preserve">mlouvy o využití výsledků </w:t>
      </w:r>
      <w:r w:rsidR="00A949AE">
        <w:rPr>
          <w:sz w:val="22"/>
          <w:szCs w:val="22"/>
        </w:rPr>
        <w:t>je</w:t>
      </w:r>
      <w:r w:rsidR="00A949AE" w:rsidRPr="00716F86">
        <w:rPr>
          <w:sz w:val="22"/>
          <w:szCs w:val="22"/>
        </w:rPr>
        <w:t xml:space="preserve"> příjemce povin</w:t>
      </w:r>
      <w:r w:rsidR="00A949AE">
        <w:rPr>
          <w:sz w:val="22"/>
          <w:szCs w:val="22"/>
        </w:rPr>
        <w:t>en</w:t>
      </w:r>
      <w:r w:rsidR="00A949AE" w:rsidRPr="00716F86">
        <w:rPr>
          <w:sz w:val="22"/>
          <w:szCs w:val="22"/>
        </w:rPr>
        <w:t xml:space="preserve"> inform</w:t>
      </w:r>
      <w:r w:rsidR="00A949AE">
        <w:rPr>
          <w:sz w:val="22"/>
          <w:szCs w:val="22"/>
        </w:rPr>
        <w:t>ovat</w:t>
      </w:r>
      <w:r w:rsidR="00A949AE" w:rsidRPr="00716F86">
        <w:rPr>
          <w:sz w:val="22"/>
          <w:szCs w:val="22"/>
        </w:rPr>
        <w:t xml:space="preserve"> MZe o plnění jednotlivých etap </w:t>
      </w:r>
      <w:r w:rsidR="00F06F44">
        <w:rPr>
          <w:sz w:val="22"/>
          <w:szCs w:val="22"/>
        </w:rPr>
        <w:t>p</w:t>
      </w:r>
      <w:r w:rsidR="0022418F">
        <w:rPr>
          <w:sz w:val="22"/>
          <w:szCs w:val="22"/>
        </w:rPr>
        <w:t>lánu na uplatnění v</w:t>
      </w:r>
      <w:r w:rsidR="00C06747">
        <w:rPr>
          <w:sz w:val="22"/>
          <w:szCs w:val="22"/>
        </w:rPr>
        <w:t>ý</w:t>
      </w:r>
      <w:r w:rsidR="0022418F">
        <w:rPr>
          <w:sz w:val="22"/>
          <w:szCs w:val="22"/>
        </w:rPr>
        <w:t>sledků</w:t>
      </w:r>
      <w:r>
        <w:rPr>
          <w:sz w:val="22"/>
          <w:szCs w:val="22"/>
        </w:rPr>
        <w:t xml:space="preserve">. </w:t>
      </w:r>
      <w:r w:rsidR="0022418F">
        <w:rPr>
          <w:sz w:val="22"/>
          <w:szCs w:val="22"/>
        </w:rPr>
        <w:t xml:space="preserve">Sankcí za porušení závazků </w:t>
      </w:r>
      <w:r w:rsidR="00A520A2">
        <w:rPr>
          <w:sz w:val="22"/>
          <w:szCs w:val="22"/>
        </w:rPr>
        <w:t xml:space="preserve">plynoucích </w:t>
      </w:r>
      <w:r w:rsidR="0022418F">
        <w:rPr>
          <w:sz w:val="22"/>
          <w:szCs w:val="22"/>
        </w:rPr>
        <w:t xml:space="preserve">ze </w:t>
      </w:r>
      <w:r w:rsidR="00F06F44">
        <w:rPr>
          <w:sz w:val="22"/>
          <w:szCs w:val="22"/>
        </w:rPr>
        <w:t>s</w:t>
      </w:r>
      <w:r w:rsidR="00A949AE" w:rsidRPr="00716F86">
        <w:rPr>
          <w:sz w:val="22"/>
          <w:szCs w:val="22"/>
        </w:rPr>
        <w:t xml:space="preserve">mlouvy o využití výsledků je </w:t>
      </w:r>
      <w:r w:rsidR="00A520A2">
        <w:rPr>
          <w:sz w:val="22"/>
          <w:szCs w:val="22"/>
        </w:rPr>
        <w:t>nepřipuštění</w:t>
      </w:r>
      <w:r w:rsidR="00A949AE" w:rsidRPr="00716F86">
        <w:rPr>
          <w:sz w:val="22"/>
          <w:szCs w:val="22"/>
        </w:rPr>
        <w:t xml:space="preserve"> případného dalšího návrhu příjemce do veřejné soutěže </w:t>
      </w:r>
      <w:r w:rsidR="00A520A2">
        <w:rPr>
          <w:sz w:val="22"/>
          <w:szCs w:val="22"/>
        </w:rPr>
        <w:t xml:space="preserve">v oblasti </w:t>
      </w:r>
      <w:r w:rsidR="00A949AE" w:rsidRPr="00716F86">
        <w:rPr>
          <w:sz w:val="22"/>
          <w:szCs w:val="22"/>
        </w:rPr>
        <w:t>VaV</w:t>
      </w:r>
      <w:r w:rsidR="00A949AE">
        <w:rPr>
          <w:sz w:val="22"/>
          <w:szCs w:val="22"/>
        </w:rPr>
        <w:t>aI</w:t>
      </w:r>
      <w:r w:rsidR="00A949AE" w:rsidRPr="00716F86">
        <w:rPr>
          <w:sz w:val="22"/>
          <w:szCs w:val="22"/>
        </w:rPr>
        <w:t xml:space="preserve"> po stanovenou dobu. </w:t>
      </w:r>
      <w:r w:rsidR="00C86610">
        <w:rPr>
          <w:sz w:val="22"/>
          <w:szCs w:val="22"/>
        </w:rPr>
        <w:t xml:space="preserve">Jiná sankce, například vrácení části dotace, neexistuje. </w:t>
      </w:r>
      <w:r w:rsidR="00A949AE">
        <w:rPr>
          <w:sz w:val="22"/>
          <w:szCs w:val="22"/>
        </w:rPr>
        <w:t xml:space="preserve">Všichni kontrolovaní </w:t>
      </w:r>
      <w:r w:rsidR="00A949AE" w:rsidRPr="00716F86">
        <w:rPr>
          <w:sz w:val="22"/>
          <w:szCs w:val="22"/>
        </w:rPr>
        <w:t>příjemci, kteří ukončili řešení projektu na konci roku 2012</w:t>
      </w:r>
      <w:r w:rsidR="00A949AE">
        <w:rPr>
          <w:sz w:val="22"/>
          <w:szCs w:val="22"/>
        </w:rPr>
        <w:t>,</w:t>
      </w:r>
      <w:r w:rsidR="00A949AE" w:rsidRPr="00716F86">
        <w:rPr>
          <w:sz w:val="22"/>
          <w:szCs w:val="22"/>
        </w:rPr>
        <w:t xml:space="preserve"> předložili</w:t>
      </w:r>
      <w:r w:rsidR="00A949AE">
        <w:rPr>
          <w:sz w:val="22"/>
          <w:szCs w:val="22"/>
        </w:rPr>
        <w:t xml:space="preserve"> MZe</w:t>
      </w:r>
      <w:r w:rsidR="0022418F">
        <w:rPr>
          <w:sz w:val="22"/>
          <w:szCs w:val="22"/>
        </w:rPr>
        <w:t xml:space="preserve"> návrh </w:t>
      </w:r>
      <w:r w:rsidR="00A520A2">
        <w:rPr>
          <w:sz w:val="22"/>
          <w:szCs w:val="22"/>
        </w:rPr>
        <w:t>s</w:t>
      </w:r>
      <w:r w:rsidR="00A949AE" w:rsidRPr="00716F86">
        <w:rPr>
          <w:sz w:val="22"/>
          <w:szCs w:val="22"/>
        </w:rPr>
        <w:t xml:space="preserve">mlouvy o využití výsledků včetně </w:t>
      </w:r>
      <w:r w:rsidR="00A520A2">
        <w:rPr>
          <w:sz w:val="22"/>
          <w:szCs w:val="22"/>
        </w:rPr>
        <w:t>p</w:t>
      </w:r>
      <w:r w:rsidR="0022418F">
        <w:rPr>
          <w:sz w:val="22"/>
          <w:szCs w:val="22"/>
        </w:rPr>
        <w:t>lánu na uplatnění výsledků</w:t>
      </w:r>
      <w:r w:rsidR="00A949AE">
        <w:rPr>
          <w:sz w:val="22"/>
          <w:szCs w:val="22"/>
        </w:rPr>
        <w:t>.</w:t>
      </w:r>
      <w:r w:rsidR="00A949AE" w:rsidRPr="00716F86">
        <w:rPr>
          <w:sz w:val="22"/>
          <w:szCs w:val="22"/>
        </w:rPr>
        <w:t xml:space="preserve"> Do</w:t>
      </w:r>
      <w:r w:rsidR="00A949AE">
        <w:rPr>
          <w:sz w:val="22"/>
          <w:szCs w:val="22"/>
        </w:rPr>
        <w:t xml:space="preserve"> </w:t>
      </w:r>
      <w:r w:rsidR="00A949AE" w:rsidRPr="00716F86">
        <w:rPr>
          <w:sz w:val="22"/>
          <w:szCs w:val="22"/>
        </w:rPr>
        <w:t xml:space="preserve">konce července 2013 </w:t>
      </w:r>
      <w:r w:rsidR="00A949AE">
        <w:rPr>
          <w:sz w:val="22"/>
          <w:szCs w:val="22"/>
        </w:rPr>
        <w:t xml:space="preserve">však </w:t>
      </w:r>
      <w:r w:rsidR="00B56D8B" w:rsidRPr="00716F86">
        <w:rPr>
          <w:sz w:val="22"/>
          <w:szCs w:val="22"/>
        </w:rPr>
        <w:t>smlouv</w:t>
      </w:r>
      <w:r w:rsidR="00A520A2">
        <w:rPr>
          <w:sz w:val="22"/>
          <w:szCs w:val="22"/>
        </w:rPr>
        <w:t>y</w:t>
      </w:r>
      <w:r w:rsidR="00B56D8B">
        <w:rPr>
          <w:sz w:val="22"/>
          <w:szCs w:val="22"/>
        </w:rPr>
        <w:t xml:space="preserve"> většinou nebyl</w:t>
      </w:r>
      <w:r w:rsidR="00A520A2">
        <w:rPr>
          <w:sz w:val="22"/>
          <w:szCs w:val="22"/>
        </w:rPr>
        <w:t>y</w:t>
      </w:r>
      <w:r w:rsidR="00B56D8B" w:rsidRPr="00716F86">
        <w:rPr>
          <w:sz w:val="22"/>
          <w:szCs w:val="22"/>
        </w:rPr>
        <w:t xml:space="preserve"> podeps</w:t>
      </w:r>
      <w:r w:rsidR="00B56D8B">
        <w:rPr>
          <w:sz w:val="22"/>
          <w:szCs w:val="22"/>
        </w:rPr>
        <w:t>án</w:t>
      </w:r>
      <w:r w:rsidR="00A520A2">
        <w:rPr>
          <w:sz w:val="22"/>
          <w:szCs w:val="22"/>
        </w:rPr>
        <w:t>y, a to</w:t>
      </w:r>
      <w:r w:rsidR="00B56D8B">
        <w:rPr>
          <w:sz w:val="22"/>
          <w:szCs w:val="22"/>
        </w:rPr>
        <w:t xml:space="preserve"> ze strany</w:t>
      </w:r>
      <w:r w:rsidR="00B56D8B" w:rsidRPr="00716F86">
        <w:rPr>
          <w:sz w:val="22"/>
          <w:szCs w:val="22"/>
        </w:rPr>
        <w:t xml:space="preserve"> </w:t>
      </w:r>
      <w:r w:rsidR="00A949AE" w:rsidRPr="00716F86">
        <w:rPr>
          <w:sz w:val="22"/>
          <w:szCs w:val="22"/>
        </w:rPr>
        <w:t xml:space="preserve">MZe. </w:t>
      </w:r>
    </w:p>
    <w:p w14:paraId="78016714" w14:textId="77777777" w:rsidR="003F0EE5" w:rsidRDefault="003F0EE5" w:rsidP="00395C6A">
      <w:pPr>
        <w:pStyle w:val="Default"/>
        <w:jc w:val="both"/>
        <w:rPr>
          <w:sz w:val="22"/>
          <w:szCs w:val="22"/>
        </w:rPr>
      </w:pPr>
    </w:p>
    <w:p w14:paraId="78016715" w14:textId="77777777" w:rsidR="000966C8" w:rsidRDefault="0068314E" w:rsidP="00395C6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949AE">
        <w:rPr>
          <w:sz w:val="22"/>
          <w:szCs w:val="22"/>
        </w:rPr>
        <w:t>říčinou</w:t>
      </w:r>
      <w:r>
        <w:rPr>
          <w:sz w:val="22"/>
          <w:szCs w:val="22"/>
        </w:rPr>
        <w:t xml:space="preserve"> </w:t>
      </w:r>
      <w:r w:rsidR="0014451D">
        <w:rPr>
          <w:sz w:val="22"/>
          <w:szCs w:val="22"/>
        </w:rPr>
        <w:t xml:space="preserve">tohoto stavu </w:t>
      </w:r>
      <w:r w:rsidR="00A949AE">
        <w:rPr>
          <w:sz w:val="22"/>
          <w:szCs w:val="22"/>
        </w:rPr>
        <w:t>je</w:t>
      </w:r>
      <w:r w:rsidR="00353E86">
        <w:rPr>
          <w:sz w:val="22"/>
          <w:szCs w:val="22"/>
        </w:rPr>
        <w:t xml:space="preserve"> </w:t>
      </w:r>
      <w:r w:rsidR="00A949AE" w:rsidRPr="00716F86">
        <w:rPr>
          <w:sz w:val="22"/>
          <w:szCs w:val="22"/>
        </w:rPr>
        <w:t xml:space="preserve">nefunkčnost </w:t>
      </w:r>
      <w:r w:rsidR="00934599">
        <w:rPr>
          <w:sz w:val="22"/>
          <w:szCs w:val="22"/>
        </w:rPr>
        <w:t>některých částí</w:t>
      </w:r>
      <w:r w:rsidR="00A949AE" w:rsidRPr="00716F86">
        <w:rPr>
          <w:sz w:val="22"/>
          <w:szCs w:val="22"/>
        </w:rPr>
        <w:t xml:space="preserve"> podpory </w:t>
      </w:r>
      <w:r w:rsidR="00A949AE">
        <w:rPr>
          <w:sz w:val="22"/>
          <w:szCs w:val="22"/>
        </w:rPr>
        <w:t>informačního systému</w:t>
      </w:r>
      <w:r w:rsidR="00A949AE" w:rsidRPr="00716F86">
        <w:rPr>
          <w:sz w:val="22"/>
          <w:szCs w:val="22"/>
        </w:rPr>
        <w:t xml:space="preserve"> VaV</w:t>
      </w:r>
      <w:r w:rsidR="00A949AE">
        <w:rPr>
          <w:sz w:val="22"/>
          <w:szCs w:val="22"/>
        </w:rPr>
        <w:t>aI</w:t>
      </w:r>
      <w:r w:rsidR="000266A9">
        <w:rPr>
          <w:sz w:val="22"/>
          <w:szCs w:val="22"/>
        </w:rPr>
        <w:t> </w:t>
      </w:r>
      <w:r w:rsidR="00934599">
        <w:rPr>
          <w:sz w:val="22"/>
          <w:szCs w:val="22"/>
        </w:rPr>
        <w:t>MZe</w:t>
      </w:r>
      <w:r w:rsidR="00A949AE">
        <w:rPr>
          <w:sz w:val="22"/>
          <w:szCs w:val="22"/>
        </w:rPr>
        <w:t>,</w:t>
      </w:r>
      <w:r w:rsidR="00A949AE" w:rsidRPr="00716F86">
        <w:rPr>
          <w:sz w:val="22"/>
          <w:szCs w:val="22"/>
        </w:rPr>
        <w:t xml:space="preserve"> </w:t>
      </w:r>
      <w:r w:rsidR="00A949AE">
        <w:rPr>
          <w:sz w:val="22"/>
          <w:szCs w:val="22"/>
        </w:rPr>
        <w:t xml:space="preserve">provozované </w:t>
      </w:r>
      <w:r w:rsidR="00A949AE" w:rsidRPr="00716F86">
        <w:rPr>
          <w:sz w:val="22"/>
          <w:szCs w:val="22"/>
        </w:rPr>
        <w:t>externí</w:t>
      </w:r>
      <w:r w:rsidR="00A949AE">
        <w:rPr>
          <w:sz w:val="22"/>
          <w:szCs w:val="22"/>
        </w:rPr>
        <w:t>m</w:t>
      </w:r>
      <w:r w:rsidR="00A949AE" w:rsidRPr="00716F86">
        <w:rPr>
          <w:sz w:val="22"/>
          <w:szCs w:val="22"/>
        </w:rPr>
        <w:t xml:space="preserve"> dodavatele</w:t>
      </w:r>
      <w:r w:rsidR="00A949AE">
        <w:rPr>
          <w:sz w:val="22"/>
          <w:szCs w:val="22"/>
        </w:rPr>
        <w:t>m.</w:t>
      </w:r>
      <w:r w:rsidR="00934599">
        <w:rPr>
          <w:sz w:val="22"/>
          <w:szCs w:val="22"/>
        </w:rPr>
        <w:t xml:space="preserve"> MZe nezajistilo</w:t>
      </w:r>
      <w:r w:rsidR="00A949AE" w:rsidRPr="00716F86">
        <w:rPr>
          <w:sz w:val="22"/>
          <w:szCs w:val="22"/>
        </w:rPr>
        <w:t xml:space="preserve"> podporu administrace projektů VaVaI </w:t>
      </w:r>
      <w:r w:rsidR="001A072A">
        <w:rPr>
          <w:sz w:val="22"/>
          <w:szCs w:val="22"/>
        </w:rPr>
        <w:t>jiným způsobem</w:t>
      </w:r>
      <w:r w:rsidR="00A949AE" w:rsidRPr="00716F86">
        <w:rPr>
          <w:sz w:val="22"/>
          <w:szCs w:val="22"/>
        </w:rPr>
        <w:t>, aby při výpadku</w:t>
      </w:r>
      <w:r w:rsidR="00393D0C">
        <w:rPr>
          <w:sz w:val="22"/>
          <w:szCs w:val="22"/>
        </w:rPr>
        <w:t xml:space="preserve"> informačního systému mohlo</w:t>
      </w:r>
      <w:r w:rsidR="001A072A">
        <w:rPr>
          <w:sz w:val="22"/>
          <w:szCs w:val="22"/>
        </w:rPr>
        <w:t xml:space="preserve"> </w:t>
      </w:r>
      <w:r w:rsidR="00393D0C">
        <w:rPr>
          <w:sz w:val="22"/>
          <w:szCs w:val="22"/>
        </w:rPr>
        <w:t>uzavírat</w:t>
      </w:r>
      <w:r w:rsidR="001A072A">
        <w:rPr>
          <w:sz w:val="22"/>
          <w:szCs w:val="22"/>
        </w:rPr>
        <w:t xml:space="preserve"> </w:t>
      </w:r>
      <w:r w:rsidR="00D30D68">
        <w:rPr>
          <w:sz w:val="22"/>
          <w:szCs w:val="22"/>
        </w:rPr>
        <w:t>s</w:t>
      </w:r>
      <w:r w:rsidR="001A072A">
        <w:rPr>
          <w:sz w:val="22"/>
          <w:szCs w:val="22"/>
        </w:rPr>
        <w:t>mlouvy o</w:t>
      </w:r>
      <w:r w:rsidR="008A5823">
        <w:rPr>
          <w:sz w:val="22"/>
          <w:szCs w:val="22"/>
        </w:rPr>
        <w:t> </w:t>
      </w:r>
      <w:r w:rsidR="00DE399F">
        <w:rPr>
          <w:sz w:val="22"/>
          <w:szCs w:val="22"/>
        </w:rPr>
        <w:t>vy</w:t>
      </w:r>
      <w:r w:rsidR="001A072A">
        <w:rPr>
          <w:sz w:val="22"/>
          <w:szCs w:val="22"/>
        </w:rPr>
        <w:t>užití výsledků</w:t>
      </w:r>
      <w:r w:rsidR="00C04322">
        <w:rPr>
          <w:sz w:val="22"/>
          <w:szCs w:val="22"/>
        </w:rPr>
        <w:t xml:space="preserve"> a sledovat plnění jednotlivých</w:t>
      </w:r>
      <w:r w:rsidR="00393D0C">
        <w:rPr>
          <w:sz w:val="22"/>
          <w:szCs w:val="22"/>
        </w:rPr>
        <w:t xml:space="preserve"> etap</w:t>
      </w:r>
      <w:r w:rsidR="00C04322">
        <w:rPr>
          <w:sz w:val="22"/>
          <w:szCs w:val="22"/>
        </w:rPr>
        <w:t xml:space="preserve"> </w:t>
      </w:r>
      <w:r w:rsidR="00D30D68">
        <w:rPr>
          <w:sz w:val="22"/>
          <w:szCs w:val="22"/>
        </w:rPr>
        <w:t>p</w:t>
      </w:r>
      <w:r w:rsidR="00C04322">
        <w:rPr>
          <w:sz w:val="22"/>
          <w:szCs w:val="22"/>
        </w:rPr>
        <w:t>lánů na uplatnění výsledků. V době kontroly nepodávali příjemci prostředků státního rozpočtu zprávy o plnění</w:t>
      </w:r>
      <w:r w:rsidR="00A949AE" w:rsidRPr="00716F86">
        <w:rPr>
          <w:sz w:val="22"/>
          <w:szCs w:val="22"/>
        </w:rPr>
        <w:t xml:space="preserve"> </w:t>
      </w:r>
      <w:r w:rsidR="00C04322">
        <w:rPr>
          <w:sz w:val="22"/>
          <w:szCs w:val="22"/>
        </w:rPr>
        <w:t xml:space="preserve">nasmlouvaného </w:t>
      </w:r>
      <w:r w:rsidR="00D30D68">
        <w:rPr>
          <w:sz w:val="22"/>
          <w:szCs w:val="22"/>
        </w:rPr>
        <w:t>p</w:t>
      </w:r>
      <w:r w:rsidR="00C04322">
        <w:rPr>
          <w:sz w:val="22"/>
          <w:szCs w:val="22"/>
        </w:rPr>
        <w:t>lánu</w:t>
      </w:r>
      <w:r w:rsidR="0022418F">
        <w:rPr>
          <w:sz w:val="22"/>
          <w:szCs w:val="22"/>
        </w:rPr>
        <w:t xml:space="preserve"> na uplatnění výsledků</w:t>
      </w:r>
      <w:r w:rsidR="00C04322">
        <w:rPr>
          <w:sz w:val="22"/>
          <w:szCs w:val="22"/>
        </w:rPr>
        <w:t xml:space="preserve"> ani náhradním způsobem. </w:t>
      </w:r>
      <w:r w:rsidR="00A949AE" w:rsidRPr="00716F86">
        <w:rPr>
          <w:sz w:val="22"/>
          <w:szCs w:val="22"/>
        </w:rPr>
        <w:t xml:space="preserve">Omezení funkčnosti trvá cca od </w:t>
      </w:r>
      <w:r w:rsidR="00970C1A">
        <w:rPr>
          <w:sz w:val="22"/>
          <w:szCs w:val="22"/>
        </w:rPr>
        <w:t xml:space="preserve">října </w:t>
      </w:r>
      <w:r w:rsidR="00A949AE" w:rsidRPr="00716F86">
        <w:rPr>
          <w:sz w:val="22"/>
          <w:szCs w:val="22"/>
        </w:rPr>
        <w:t>2012</w:t>
      </w:r>
      <w:r w:rsidR="00D30D68">
        <w:rPr>
          <w:sz w:val="22"/>
          <w:szCs w:val="22"/>
        </w:rPr>
        <w:t xml:space="preserve"> a</w:t>
      </w:r>
      <w:r w:rsidR="009F6E99" w:rsidRPr="00375066">
        <w:rPr>
          <w:sz w:val="22"/>
          <w:szCs w:val="22"/>
        </w:rPr>
        <w:t xml:space="preserve"> týká se </w:t>
      </w:r>
      <w:r w:rsidR="009F6E99">
        <w:rPr>
          <w:sz w:val="22"/>
          <w:szCs w:val="22"/>
        </w:rPr>
        <w:t>i dalších</w:t>
      </w:r>
      <w:r w:rsidR="009F6E99" w:rsidRPr="00375066">
        <w:rPr>
          <w:sz w:val="22"/>
          <w:szCs w:val="22"/>
        </w:rPr>
        <w:t xml:space="preserve"> softwarových aplikací </w:t>
      </w:r>
      <w:r w:rsidR="009F6E99">
        <w:rPr>
          <w:sz w:val="22"/>
          <w:szCs w:val="22"/>
        </w:rPr>
        <w:t xml:space="preserve">VaVaI </w:t>
      </w:r>
      <w:r w:rsidR="009F6E99" w:rsidRPr="00375066">
        <w:rPr>
          <w:sz w:val="22"/>
          <w:szCs w:val="22"/>
        </w:rPr>
        <w:t xml:space="preserve">a také stránek </w:t>
      </w:r>
      <w:r w:rsidR="009F6E99">
        <w:rPr>
          <w:sz w:val="22"/>
          <w:szCs w:val="22"/>
        </w:rPr>
        <w:t>A</w:t>
      </w:r>
      <w:r w:rsidR="009F6E99" w:rsidRPr="00375066">
        <w:rPr>
          <w:sz w:val="22"/>
          <w:szCs w:val="22"/>
        </w:rPr>
        <w:t>gentury</w:t>
      </w:r>
      <w:r w:rsidR="009F6E99">
        <w:rPr>
          <w:sz w:val="22"/>
          <w:szCs w:val="22"/>
        </w:rPr>
        <w:t>.</w:t>
      </w:r>
    </w:p>
    <w:p w14:paraId="78016716" w14:textId="77777777" w:rsidR="003F0EE5" w:rsidRPr="000966C8" w:rsidRDefault="003F0EE5" w:rsidP="00395C6A">
      <w:pPr>
        <w:pStyle w:val="Default"/>
        <w:jc w:val="both"/>
        <w:rPr>
          <w:rFonts w:eastAsia="Times New Roman"/>
          <w:b/>
          <w:color w:val="auto"/>
          <w:sz w:val="22"/>
          <w:szCs w:val="22"/>
        </w:rPr>
      </w:pPr>
    </w:p>
    <w:p w14:paraId="78016717" w14:textId="77777777" w:rsidR="00087273" w:rsidRPr="009A7BFB" w:rsidRDefault="005C1846" w:rsidP="00395C6A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eastAsia="Times New Roman"/>
          <w:b/>
          <w:color w:val="auto"/>
          <w:sz w:val="22"/>
          <w:szCs w:val="22"/>
        </w:rPr>
      </w:pPr>
      <w:r w:rsidRPr="009A7BFB">
        <w:rPr>
          <w:rFonts w:eastAsia="Times New Roman"/>
          <w:b/>
          <w:color w:val="auto"/>
          <w:sz w:val="22"/>
          <w:szCs w:val="22"/>
        </w:rPr>
        <w:t>Způsob</w:t>
      </w:r>
      <w:r w:rsidR="00087273" w:rsidRPr="009A7BFB">
        <w:rPr>
          <w:rFonts w:eastAsia="Times New Roman"/>
          <w:b/>
          <w:color w:val="auto"/>
          <w:sz w:val="22"/>
          <w:szCs w:val="22"/>
        </w:rPr>
        <w:t>y</w:t>
      </w:r>
      <w:r w:rsidRPr="009A7BFB">
        <w:rPr>
          <w:rFonts w:eastAsia="Times New Roman"/>
          <w:b/>
          <w:color w:val="auto"/>
          <w:sz w:val="22"/>
          <w:szCs w:val="22"/>
        </w:rPr>
        <w:t xml:space="preserve"> </w:t>
      </w:r>
      <w:r w:rsidR="00087273" w:rsidRPr="009A7BFB">
        <w:rPr>
          <w:rFonts w:eastAsia="Times New Roman"/>
          <w:b/>
          <w:color w:val="auto"/>
          <w:sz w:val="22"/>
          <w:szCs w:val="22"/>
        </w:rPr>
        <w:t xml:space="preserve">hodnocení přínosů projektů </w:t>
      </w:r>
      <w:r w:rsidR="005C0592" w:rsidRPr="009A7BFB">
        <w:rPr>
          <w:rFonts w:eastAsia="Times New Roman"/>
          <w:b/>
          <w:color w:val="auto"/>
          <w:sz w:val="22"/>
          <w:szCs w:val="22"/>
        </w:rPr>
        <w:t>a</w:t>
      </w:r>
      <w:r w:rsidR="00F37B85" w:rsidRPr="009A7BFB">
        <w:rPr>
          <w:rFonts w:eastAsia="Times New Roman"/>
          <w:b/>
          <w:color w:val="auto"/>
          <w:sz w:val="22"/>
          <w:szCs w:val="22"/>
        </w:rPr>
        <w:t xml:space="preserve"> programů</w:t>
      </w:r>
    </w:p>
    <w:p w14:paraId="78016718" w14:textId="77777777" w:rsidR="003F0EE5" w:rsidRDefault="003F0EE5" w:rsidP="00395C6A">
      <w:pPr>
        <w:pStyle w:val="Default"/>
        <w:jc w:val="both"/>
        <w:rPr>
          <w:sz w:val="22"/>
          <w:szCs w:val="22"/>
        </w:rPr>
      </w:pPr>
    </w:p>
    <w:p w14:paraId="78016719" w14:textId="77777777" w:rsidR="001C430D" w:rsidRPr="001C430D" w:rsidRDefault="001C430D" w:rsidP="00395C6A">
      <w:pPr>
        <w:pStyle w:val="Default"/>
        <w:jc w:val="both"/>
        <w:rPr>
          <w:sz w:val="22"/>
          <w:szCs w:val="22"/>
        </w:rPr>
      </w:pPr>
      <w:r w:rsidRPr="001C430D">
        <w:rPr>
          <w:sz w:val="22"/>
          <w:szCs w:val="22"/>
        </w:rPr>
        <w:t>Významným problémem je nedodržování zásad pro vyhodnocování přínosů</w:t>
      </w:r>
      <w:r w:rsidR="00393D0C">
        <w:rPr>
          <w:sz w:val="22"/>
          <w:szCs w:val="22"/>
        </w:rPr>
        <w:t xml:space="preserve"> řešiteli</w:t>
      </w:r>
      <w:r w:rsidRPr="001C430D">
        <w:rPr>
          <w:sz w:val="22"/>
          <w:szCs w:val="22"/>
        </w:rPr>
        <w:t xml:space="preserve"> a</w:t>
      </w:r>
      <w:r w:rsidR="008A5823">
        <w:rPr>
          <w:sz w:val="22"/>
          <w:szCs w:val="22"/>
        </w:rPr>
        <w:t> </w:t>
      </w:r>
      <w:r w:rsidRPr="001C430D">
        <w:rPr>
          <w:sz w:val="22"/>
          <w:szCs w:val="22"/>
        </w:rPr>
        <w:t xml:space="preserve">kontrola údajů </w:t>
      </w:r>
      <w:r w:rsidR="008D2CDC">
        <w:rPr>
          <w:sz w:val="22"/>
          <w:szCs w:val="22"/>
        </w:rPr>
        <w:t xml:space="preserve">ze strany </w:t>
      </w:r>
      <w:r w:rsidR="00393D0C">
        <w:rPr>
          <w:sz w:val="22"/>
          <w:szCs w:val="22"/>
        </w:rPr>
        <w:t>MZe</w:t>
      </w:r>
      <w:r w:rsidRPr="001C430D">
        <w:rPr>
          <w:sz w:val="22"/>
          <w:szCs w:val="22"/>
        </w:rPr>
        <w:t xml:space="preserve">. </w:t>
      </w:r>
      <w:r w:rsidRPr="00CE3BE8">
        <w:rPr>
          <w:sz w:val="22"/>
          <w:szCs w:val="22"/>
        </w:rPr>
        <w:t xml:space="preserve">Kontrolou byla zjištěna řada </w:t>
      </w:r>
      <w:r w:rsidR="008D2CDC" w:rsidRPr="00CE3BE8">
        <w:rPr>
          <w:sz w:val="22"/>
          <w:szCs w:val="22"/>
        </w:rPr>
        <w:t>nedostatků</w:t>
      </w:r>
      <w:r w:rsidR="008D2CDC">
        <w:rPr>
          <w:sz w:val="22"/>
          <w:szCs w:val="22"/>
        </w:rPr>
        <w:t xml:space="preserve"> </w:t>
      </w:r>
      <w:r w:rsidR="008D2CDC" w:rsidRPr="00CE3BE8">
        <w:rPr>
          <w:sz w:val="22"/>
          <w:szCs w:val="22"/>
        </w:rPr>
        <w:t xml:space="preserve">a </w:t>
      </w:r>
      <w:r w:rsidRPr="00CE3BE8">
        <w:rPr>
          <w:sz w:val="22"/>
          <w:szCs w:val="22"/>
        </w:rPr>
        <w:t>problematických míst, např. některé hodnoty ve výpočtu přínosů nejsou podložené a ověřitelné</w:t>
      </w:r>
      <w:r w:rsidRPr="001C430D">
        <w:rPr>
          <w:sz w:val="22"/>
          <w:szCs w:val="22"/>
        </w:rPr>
        <w:t>, odhady reálné</w:t>
      </w:r>
      <w:r w:rsidR="008D2CDC">
        <w:rPr>
          <w:sz w:val="22"/>
          <w:szCs w:val="22"/>
        </w:rPr>
        <w:t>ho</w:t>
      </w:r>
      <w:r w:rsidRPr="001C430D">
        <w:rPr>
          <w:sz w:val="22"/>
          <w:szCs w:val="22"/>
        </w:rPr>
        <w:t xml:space="preserve"> využití jsou nejisté a závisí na přístupu zpracovatele. </w:t>
      </w:r>
      <w:r w:rsidR="00BF036A">
        <w:rPr>
          <w:sz w:val="22"/>
          <w:szCs w:val="22"/>
        </w:rPr>
        <w:t>V </w:t>
      </w:r>
      <w:r w:rsidRPr="001C430D">
        <w:rPr>
          <w:sz w:val="22"/>
          <w:szCs w:val="22"/>
        </w:rPr>
        <w:t>důsledku toho zatím není vykazování přínosů projektů spolehlivé</w:t>
      </w:r>
      <w:r w:rsidR="0011149A">
        <w:rPr>
          <w:sz w:val="22"/>
          <w:szCs w:val="22"/>
        </w:rPr>
        <w:t xml:space="preserve"> a</w:t>
      </w:r>
      <w:r w:rsidR="0048684A">
        <w:rPr>
          <w:sz w:val="22"/>
          <w:szCs w:val="22"/>
        </w:rPr>
        <w:t xml:space="preserve"> </w:t>
      </w:r>
      <w:r w:rsidR="0011149A">
        <w:rPr>
          <w:sz w:val="22"/>
          <w:szCs w:val="22"/>
        </w:rPr>
        <w:t>ú</w:t>
      </w:r>
      <w:r w:rsidRPr="001C430D">
        <w:rPr>
          <w:sz w:val="22"/>
          <w:szCs w:val="22"/>
        </w:rPr>
        <w:t>spěšnost</w:t>
      </w:r>
      <w:r w:rsidR="0048684A">
        <w:rPr>
          <w:sz w:val="22"/>
          <w:szCs w:val="22"/>
        </w:rPr>
        <w:t xml:space="preserve"> projektů a </w:t>
      </w:r>
      <w:r w:rsidR="0048684A" w:rsidRPr="001C430D">
        <w:rPr>
          <w:sz w:val="22"/>
          <w:szCs w:val="22"/>
        </w:rPr>
        <w:t>programů</w:t>
      </w:r>
      <w:r w:rsidR="0048684A">
        <w:rPr>
          <w:sz w:val="22"/>
          <w:szCs w:val="22"/>
        </w:rPr>
        <w:t xml:space="preserve"> lze </w:t>
      </w:r>
      <w:r w:rsidR="008D2CDC">
        <w:rPr>
          <w:sz w:val="22"/>
          <w:szCs w:val="22"/>
        </w:rPr>
        <w:t xml:space="preserve">jen </w:t>
      </w:r>
      <w:r w:rsidR="0048684A">
        <w:rPr>
          <w:sz w:val="22"/>
          <w:szCs w:val="22"/>
        </w:rPr>
        <w:t>obtížně vyhodnotit.</w:t>
      </w:r>
    </w:p>
    <w:p w14:paraId="7801671A" w14:textId="77777777" w:rsidR="003F0EE5" w:rsidRDefault="003F0EE5" w:rsidP="00395C6A">
      <w:pPr>
        <w:pStyle w:val="Default"/>
        <w:jc w:val="both"/>
        <w:rPr>
          <w:sz w:val="22"/>
          <w:szCs w:val="22"/>
        </w:rPr>
      </w:pPr>
    </w:p>
    <w:p w14:paraId="7801671B" w14:textId="77777777" w:rsidR="00087273" w:rsidRPr="00087273" w:rsidRDefault="00FF7DC9" w:rsidP="00395C6A">
      <w:pPr>
        <w:pStyle w:val="Default"/>
        <w:jc w:val="both"/>
        <w:rPr>
          <w:sz w:val="22"/>
          <w:szCs w:val="22"/>
        </w:rPr>
      </w:pPr>
      <w:r w:rsidRPr="00087273">
        <w:rPr>
          <w:sz w:val="22"/>
          <w:szCs w:val="22"/>
        </w:rPr>
        <w:t>Od</w:t>
      </w:r>
      <w:r>
        <w:rPr>
          <w:sz w:val="22"/>
          <w:szCs w:val="22"/>
        </w:rPr>
        <w:t xml:space="preserve"> </w:t>
      </w:r>
      <w:r w:rsidRPr="00087273">
        <w:rPr>
          <w:sz w:val="22"/>
          <w:szCs w:val="22"/>
        </w:rPr>
        <w:t xml:space="preserve">projektů ukončených </w:t>
      </w:r>
      <w:r w:rsidR="00BF036A">
        <w:rPr>
          <w:sz w:val="22"/>
          <w:szCs w:val="22"/>
        </w:rPr>
        <w:t>v </w:t>
      </w:r>
      <w:r w:rsidRPr="00087273">
        <w:rPr>
          <w:sz w:val="22"/>
          <w:szCs w:val="22"/>
        </w:rPr>
        <w:t>roce 2010</w:t>
      </w:r>
      <w:r>
        <w:rPr>
          <w:sz w:val="22"/>
          <w:szCs w:val="22"/>
        </w:rPr>
        <w:t xml:space="preserve"> </w:t>
      </w:r>
      <w:r w:rsidR="00B56D8B" w:rsidRPr="00087273">
        <w:rPr>
          <w:sz w:val="22"/>
          <w:szCs w:val="22"/>
        </w:rPr>
        <w:t xml:space="preserve">MZe </w:t>
      </w:r>
      <w:r w:rsidRPr="00087273">
        <w:rPr>
          <w:sz w:val="22"/>
          <w:szCs w:val="22"/>
        </w:rPr>
        <w:t>zavedlo hodnocení příno</w:t>
      </w:r>
      <w:r w:rsidR="00934599">
        <w:rPr>
          <w:sz w:val="22"/>
          <w:szCs w:val="22"/>
        </w:rPr>
        <w:t>sů ukončených projektů pomocí softwarového</w:t>
      </w:r>
      <w:r w:rsidRPr="00087273">
        <w:rPr>
          <w:sz w:val="22"/>
          <w:szCs w:val="22"/>
        </w:rPr>
        <w:t xml:space="preserve"> nástroje </w:t>
      </w:r>
      <w:r w:rsidRPr="00395C6A">
        <w:rPr>
          <w:i/>
          <w:sz w:val="22"/>
          <w:szCs w:val="22"/>
        </w:rPr>
        <w:t>e-prinosy</w:t>
      </w:r>
      <w:r w:rsidR="00087273" w:rsidRPr="00087273">
        <w:rPr>
          <w:sz w:val="22"/>
          <w:szCs w:val="22"/>
        </w:rPr>
        <w:t xml:space="preserve">. Následně aplikaci doplnilo </w:t>
      </w:r>
      <w:r w:rsidR="00087273" w:rsidRPr="00395C6A">
        <w:rPr>
          <w:i/>
          <w:sz w:val="22"/>
          <w:szCs w:val="22"/>
        </w:rPr>
        <w:t>Metodikou hodnocení očekávaných přínosů projektů výzkumných programů MZe</w:t>
      </w:r>
      <w:r w:rsidR="008D2CDC">
        <w:rPr>
          <w:sz w:val="22"/>
          <w:szCs w:val="22"/>
        </w:rPr>
        <w:t xml:space="preserve"> – jedná se o</w:t>
      </w:r>
      <w:r w:rsidR="00087273" w:rsidRPr="00087273">
        <w:rPr>
          <w:sz w:val="22"/>
          <w:szCs w:val="22"/>
        </w:rPr>
        <w:t xml:space="preserve"> pomůcku pro vyplňování elektronického formuláře. </w:t>
      </w:r>
      <w:r w:rsidR="0048684A">
        <w:rPr>
          <w:sz w:val="22"/>
          <w:szCs w:val="22"/>
        </w:rPr>
        <w:t xml:space="preserve">Metodické postupy však nejsou </w:t>
      </w:r>
      <w:r w:rsidR="00CE3BE8">
        <w:rPr>
          <w:sz w:val="22"/>
          <w:szCs w:val="22"/>
        </w:rPr>
        <w:t>řešiteli</w:t>
      </w:r>
      <w:r w:rsidR="0048684A">
        <w:rPr>
          <w:sz w:val="22"/>
          <w:szCs w:val="22"/>
        </w:rPr>
        <w:t xml:space="preserve"> dodržovány</w:t>
      </w:r>
      <w:r w:rsidR="00CE3BE8">
        <w:rPr>
          <w:sz w:val="22"/>
          <w:szCs w:val="22"/>
        </w:rPr>
        <w:t xml:space="preserve"> a</w:t>
      </w:r>
      <w:r w:rsidR="008D2CDC">
        <w:rPr>
          <w:sz w:val="22"/>
          <w:szCs w:val="22"/>
        </w:rPr>
        <w:t> </w:t>
      </w:r>
      <w:r w:rsidR="00CE3BE8">
        <w:rPr>
          <w:sz w:val="22"/>
          <w:szCs w:val="22"/>
        </w:rPr>
        <w:t>MZe tuto situaci neřeší</w:t>
      </w:r>
      <w:r w:rsidR="0048684A">
        <w:rPr>
          <w:sz w:val="22"/>
          <w:szCs w:val="22"/>
        </w:rPr>
        <w:t xml:space="preserve">. </w:t>
      </w:r>
    </w:p>
    <w:p w14:paraId="7801671C" w14:textId="77777777" w:rsidR="003F0EE5" w:rsidRDefault="003F0EE5" w:rsidP="00395C6A">
      <w:pPr>
        <w:pStyle w:val="Default"/>
        <w:jc w:val="both"/>
        <w:rPr>
          <w:sz w:val="22"/>
          <w:szCs w:val="22"/>
        </w:rPr>
      </w:pPr>
    </w:p>
    <w:p w14:paraId="7801671D" w14:textId="77777777" w:rsidR="00934599" w:rsidRDefault="00087273" w:rsidP="00395C6A">
      <w:pPr>
        <w:pStyle w:val="Default"/>
        <w:jc w:val="both"/>
        <w:rPr>
          <w:sz w:val="22"/>
          <w:szCs w:val="22"/>
        </w:rPr>
      </w:pPr>
      <w:r w:rsidRPr="00087273">
        <w:rPr>
          <w:sz w:val="22"/>
          <w:szCs w:val="22"/>
        </w:rPr>
        <w:t>Převážná většina přínosů má být generována u</w:t>
      </w:r>
      <w:r w:rsidR="00353E86">
        <w:rPr>
          <w:sz w:val="22"/>
          <w:szCs w:val="22"/>
        </w:rPr>
        <w:t xml:space="preserve"> </w:t>
      </w:r>
      <w:r w:rsidRPr="00087273">
        <w:rPr>
          <w:sz w:val="22"/>
          <w:szCs w:val="22"/>
        </w:rPr>
        <w:t>uživatelů,</w:t>
      </w:r>
      <w:r w:rsidR="00934599">
        <w:rPr>
          <w:sz w:val="22"/>
          <w:szCs w:val="22"/>
        </w:rPr>
        <w:t xml:space="preserve"> ale </w:t>
      </w:r>
      <w:r w:rsidRPr="00087273">
        <w:rPr>
          <w:sz w:val="22"/>
          <w:szCs w:val="22"/>
        </w:rPr>
        <w:t xml:space="preserve">kolik uživatelů předmětného okruhu opravdu nabízenou znalost </w:t>
      </w:r>
      <w:r w:rsidR="00BF036A">
        <w:rPr>
          <w:sz w:val="22"/>
          <w:szCs w:val="22"/>
        </w:rPr>
        <w:t>v </w:t>
      </w:r>
      <w:r w:rsidRPr="00087273">
        <w:rPr>
          <w:sz w:val="22"/>
          <w:szCs w:val="22"/>
        </w:rPr>
        <w:t>praxi využije</w:t>
      </w:r>
      <w:r w:rsidR="00CE3BE8">
        <w:rPr>
          <w:sz w:val="22"/>
          <w:szCs w:val="22"/>
        </w:rPr>
        <w:t xml:space="preserve">, </w:t>
      </w:r>
      <w:r w:rsidR="008D2CDC">
        <w:rPr>
          <w:sz w:val="22"/>
          <w:szCs w:val="22"/>
        </w:rPr>
        <w:t xml:space="preserve">to </w:t>
      </w:r>
      <w:r w:rsidR="00CE3BE8">
        <w:rPr>
          <w:sz w:val="22"/>
          <w:szCs w:val="22"/>
        </w:rPr>
        <w:t>vychází z tipů řešitelů</w:t>
      </w:r>
      <w:r w:rsidRPr="00087273">
        <w:rPr>
          <w:sz w:val="22"/>
          <w:szCs w:val="22"/>
        </w:rPr>
        <w:t>. Odhady provedené řešiteli mají značný rozptyl, přičemž projekty s nejvyšší vykázanou úspěšností p</w:t>
      </w:r>
      <w:r w:rsidR="00ED5C42">
        <w:rPr>
          <w:sz w:val="22"/>
          <w:szCs w:val="22"/>
        </w:rPr>
        <w:t>očítají s</w:t>
      </w:r>
      <w:r w:rsidR="00CE3BE8">
        <w:rPr>
          <w:sz w:val="22"/>
          <w:szCs w:val="22"/>
        </w:rPr>
        <w:t> </w:t>
      </w:r>
      <w:r w:rsidR="00ED5C42">
        <w:rPr>
          <w:sz w:val="22"/>
          <w:szCs w:val="22"/>
        </w:rPr>
        <w:t>uplatněním výsledků a</w:t>
      </w:r>
      <w:r w:rsidR="00353E86">
        <w:rPr>
          <w:sz w:val="22"/>
          <w:szCs w:val="22"/>
        </w:rPr>
        <w:t xml:space="preserve"> </w:t>
      </w:r>
      <w:r w:rsidRPr="00087273">
        <w:rPr>
          <w:sz w:val="22"/>
          <w:szCs w:val="22"/>
        </w:rPr>
        <w:t>dosažením odpovídajících přínosů na všech plochách osetých určitou plodinou, u</w:t>
      </w:r>
      <w:r w:rsidR="00353E86">
        <w:rPr>
          <w:sz w:val="22"/>
          <w:szCs w:val="22"/>
        </w:rPr>
        <w:t xml:space="preserve"> </w:t>
      </w:r>
      <w:r w:rsidRPr="00087273">
        <w:rPr>
          <w:sz w:val="22"/>
          <w:szCs w:val="22"/>
        </w:rPr>
        <w:t xml:space="preserve">všech zemědělců </w:t>
      </w:r>
      <w:r w:rsidR="00BF036A">
        <w:rPr>
          <w:sz w:val="22"/>
          <w:szCs w:val="22"/>
        </w:rPr>
        <w:t>v </w:t>
      </w:r>
      <w:r w:rsidRPr="00087273">
        <w:rPr>
          <w:sz w:val="22"/>
          <w:szCs w:val="22"/>
        </w:rPr>
        <w:t xml:space="preserve">určitém typu oblasti, na celkové ploše </w:t>
      </w:r>
      <w:r w:rsidRPr="00087273">
        <w:rPr>
          <w:sz w:val="22"/>
          <w:szCs w:val="22"/>
        </w:rPr>
        <w:lastRenderedPageBreak/>
        <w:t xml:space="preserve">specifikovaných lesů ap. </w:t>
      </w:r>
      <w:r w:rsidR="00EA10A8">
        <w:rPr>
          <w:sz w:val="22"/>
          <w:szCs w:val="22"/>
        </w:rPr>
        <w:t>Řešitelé tak</w:t>
      </w:r>
      <w:r w:rsidRPr="00087273">
        <w:rPr>
          <w:sz w:val="22"/>
          <w:szCs w:val="22"/>
        </w:rPr>
        <w:t xml:space="preserve"> vyčí</w:t>
      </w:r>
      <w:r w:rsidR="007E179E">
        <w:rPr>
          <w:sz w:val="22"/>
          <w:szCs w:val="22"/>
        </w:rPr>
        <w:t>sl</w:t>
      </w:r>
      <w:r w:rsidR="00EA10A8">
        <w:rPr>
          <w:sz w:val="22"/>
          <w:szCs w:val="22"/>
        </w:rPr>
        <w:t>ují</w:t>
      </w:r>
      <w:r w:rsidRPr="00087273">
        <w:rPr>
          <w:sz w:val="22"/>
          <w:szCs w:val="22"/>
        </w:rPr>
        <w:t xml:space="preserve"> až desetimiliardové přínosy projektů </w:t>
      </w:r>
      <w:r w:rsidR="00BF036A">
        <w:rPr>
          <w:sz w:val="22"/>
          <w:szCs w:val="22"/>
        </w:rPr>
        <w:t>s </w:t>
      </w:r>
      <w:r w:rsidRPr="00087273">
        <w:rPr>
          <w:sz w:val="22"/>
          <w:szCs w:val="22"/>
        </w:rPr>
        <w:t>nák</w:t>
      </w:r>
      <w:r w:rsidR="00934599">
        <w:rPr>
          <w:sz w:val="22"/>
          <w:szCs w:val="22"/>
        </w:rPr>
        <w:t xml:space="preserve">lady na řešení </w:t>
      </w:r>
      <w:r w:rsidR="00BF036A">
        <w:rPr>
          <w:sz w:val="22"/>
          <w:szCs w:val="22"/>
        </w:rPr>
        <w:t>v </w:t>
      </w:r>
      <w:r w:rsidR="00934599">
        <w:rPr>
          <w:sz w:val="22"/>
          <w:szCs w:val="22"/>
        </w:rPr>
        <w:t xml:space="preserve">řádu </w:t>
      </w:r>
      <w:r w:rsidR="008D2CDC">
        <w:rPr>
          <w:sz w:val="22"/>
          <w:szCs w:val="22"/>
        </w:rPr>
        <w:t>milionů korun</w:t>
      </w:r>
      <w:r w:rsidR="00934599">
        <w:rPr>
          <w:sz w:val="22"/>
          <w:szCs w:val="22"/>
        </w:rPr>
        <w:t xml:space="preserve">. </w:t>
      </w:r>
      <w:r w:rsidRPr="00087273">
        <w:rPr>
          <w:sz w:val="22"/>
          <w:szCs w:val="22"/>
        </w:rPr>
        <w:t xml:space="preserve">Jiní řešitelé své výpočty vztahují jen </w:t>
      </w:r>
      <w:r w:rsidR="00BF036A">
        <w:rPr>
          <w:sz w:val="22"/>
          <w:szCs w:val="22"/>
        </w:rPr>
        <w:t>k </w:t>
      </w:r>
      <w:r w:rsidRPr="00087273">
        <w:rPr>
          <w:sz w:val="22"/>
          <w:szCs w:val="22"/>
        </w:rPr>
        <w:t xml:space="preserve">modelovému území, na kterém nový poznatek ověřovali. </w:t>
      </w:r>
    </w:p>
    <w:p w14:paraId="7801671E" w14:textId="77777777" w:rsidR="003F0EE5" w:rsidRDefault="003F0EE5" w:rsidP="00395C6A">
      <w:pPr>
        <w:pStyle w:val="Default"/>
        <w:jc w:val="both"/>
        <w:rPr>
          <w:sz w:val="22"/>
          <w:szCs w:val="22"/>
        </w:rPr>
      </w:pPr>
    </w:p>
    <w:p w14:paraId="7801671F" w14:textId="77777777" w:rsidR="00AD7AE5" w:rsidRDefault="00087273" w:rsidP="00395C6A">
      <w:pPr>
        <w:pStyle w:val="Default"/>
        <w:jc w:val="both"/>
        <w:rPr>
          <w:sz w:val="22"/>
          <w:szCs w:val="22"/>
        </w:rPr>
      </w:pPr>
      <w:r w:rsidRPr="00087273">
        <w:rPr>
          <w:sz w:val="22"/>
          <w:szCs w:val="22"/>
        </w:rPr>
        <w:t xml:space="preserve">Zřejmý je </w:t>
      </w:r>
      <w:r w:rsidR="00A0493B">
        <w:rPr>
          <w:sz w:val="22"/>
          <w:szCs w:val="22"/>
        </w:rPr>
        <w:t xml:space="preserve">i </w:t>
      </w:r>
      <w:r w:rsidRPr="00087273">
        <w:rPr>
          <w:sz w:val="22"/>
          <w:szCs w:val="22"/>
        </w:rPr>
        <w:t xml:space="preserve">rozdílný přístup řešitelů </w:t>
      </w:r>
      <w:r w:rsidR="00BF036A">
        <w:rPr>
          <w:sz w:val="22"/>
          <w:szCs w:val="22"/>
        </w:rPr>
        <w:t>k </w:t>
      </w:r>
      <w:r w:rsidRPr="00087273">
        <w:rPr>
          <w:sz w:val="22"/>
          <w:szCs w:val="22"/>
        </w:rPr>
        <w:t>sam</w:t>
      </w:r>
      <w:r w:rsidR="00934599">
        <w:rPr>
          <w:sz w:val="22"/>
          <w:szCs w:val="22"/>
        </w:rPr>
        <w:t>otnému principu výpočtu. N</w:t>
      </w:r>
      <w:r w:rsidRPr="00087273">
        <w:rPr>
          <w:sz w:val="22"/>
          <w:szCs w:val="22"/>
        </w:rPr>
        <w:t xml:space="preserve">ěkteří řešitelé, kteří vyvinuli zdokonalené analytické metody, stanovují jejich přínos pouze </w:t>
      </w:r>
      <w:r w:rsidR="00BF036A">
        <w:rPr>
          <w:sz w:val="22"/>
          <w:szCs w:val="22"/>
        </w:rPr>
        <w:t>v </w:t>
      </w:r>
      <w:r w:rsidRPr="00087273">
        <w:rPr>
          <w:sz w:val="22"/>
          <w:szCs w:val="22"/>
        </w:rPr>
        <w:t>oblasti laboratorní praxe, což dokáží poměrně přesně spočítat. Takto pojaté přínosy jsou pak samozřejmě nízké, avšak ověřitelné</w:t>
      </w:r>
      <w:r w:rsidR="00934599">
        <w:rPr>
          <w:sz w:val="22"/>
          <w:szCs w:val="22"/>
        </w:rPr>
        <w:t>.</w:t>
      </w:r>
      <w:r w:rsidRPr="00087273">
        <w:rPr>
          <w:sz w:val="22"/>
          <w:szCs w:val="22"/>
        </w:rPr>
        <w:t xml:space="preserve"> </w:t>
      </w:r>
      <w:r w:rsidR="00934599">
        <w:rPr>
          <w:sz w:val="22"/>
          <w:szCs w:val="22"/>
        </w:rPr>
        <w:t>Jiní</w:t>
      </w:r>
      <w:r w:rsidRPr="00087273">
        <w:rPr>
          <w:sz w:val="22"/>
          <w:szCs w:val="22"/>
        </w:rPr>
        <w:t xml:space="preserve"> </w:t>
      </w:r>
      <w:r w:rsidR="00AD7AE5">
        <w:rPr>
          <w:sz w:val="22"/>
          <w:szCs w:val="22"/>
        </w:rPr>
        <w:t xml:space="preserve">řešitelé </w:t>
      </w:r>
      <w:r w:rsidR="00AD7AE5" w:rsidRPr="00087273">
        <w:rPr>
          <w:sz w:val="22"/>
          <w:szCs w:val="22"/>
        </w:rPr>
        <w:t xml:space="preserve">se </w:t>
      </w:r>
      <w:r w:rsidRPr="00087273">
        <w:rPr>
          <w:sz w:val="22"/>
          <w:szCs w:val="22"/>
        </w:rPr>
        <w:t xml:space="preserve">pouštějí do odhadů, jaké může mít nová </w:t>
      </w:r>
      <w:r w:rsidR="00C06747">
        <w:rPr>
          <w:sz w:val="22"/>
          <w:szCs w:val="22"/>
        </w:rPr>
        <w:t xml:space="preserve">znalost, </w:t>
      </w:r>
      <w:r w:rsidRPr="00087273">
        <w:rPr>
          <w:sz w:val="22"/>
          <w:szCs w:val="22"/>
        </w:rPr>
        <w:t>metoda</w:t>
      </w:r>
      <w:r w:rsidR="00C06747">
        <w:rPr>
          <w:sz w:val="22"/>
          <w:szCs w:val="22"/>
        </w:rPr>
        <w:t xml:space="preserve">, </w:t>
      </w:r>
      <w:r w:rsidR="00DA1F62">
        <w:rPr>
          <w:sz w:val="22"/>
          <w:szCs w:val="22"/>
        </w:rPr>
        <w:t>nástroj ap.</w:t>
      </w:r>
      <w:r w:rsidRPr="00087273">
        <w:rPr>
          <w:sz w:val="22"/>
          <w:szCs w:val="22"/>
        </w:rPr>
        <w:t xml:space="preserve"> </w:t>
      </w:r>
      <w:r w:rsidR="007E179E">
        <w:rPr>
          <w:sz w:val="22"/>
          <w:szCs w:val="22"/>
        </w:rPr>
        <w:t xml:space="preserve">díky svým vlastnostem </w:t>
      </w:r>
      <w:r w:rsidRPr="00087273">
        <w:rPr>
          <w:sz w:val="22"/>
          <w:szCs w:val="22"/>
        </w:rPr>
        <w:t xml:space="preserve">dopady </w:t>
      </w:r>
      <w:r w:rsidR="00BF036A">
        <w:rPr>
          <w:sz w:val="22"/>
          <w:szCs w:val="22"/>
        </w:rPr>
        <w:t>v </w:t>
      </w:r>
      <w:r w:rsidRPr="00087273">
        <w:rPr>
          <w:sz w:val="22"/>
          <w:szCs w:val="22"/>
        </w:rPr>
        <w:t>zemědělské produkci</w:t>
      </w:r>
      <w:r w:rsidR="001C430D">
        <w:rPr>
          <w:sz w:val="22"/>
          <w:szCs w:val="22"/>
        </w:rPr>
        <w:t xml:space="preserve">. </w:t>
      </w:r>
      <w:r w:rsidRPr="00CE3BE8">
        <w:rPr>
          <w:sz w:val="22"/>
          <w:szCs w:val="22"/>
        </w:rPr>
        <w:t>Některé výpočty jsou neúplné,</w:t>
      </w:r>
      <w:r w:rsidRPr="00087273">
        <w:rPr>
          <w:sz w:val="22"/>
          <w:szCs w:val="22"/>
        </w:rPr>
        <w:t xml:space="preserve"> řešitelé zdůrazňují např. vyšší tržby </w:t>
      </w:r>
      <w:r w:rsidR="00BF036A">
        <w:rPr>
          <w:sz w:val="22"/>
          <w:szCs w:val="22"/>
        </w:rPr>
        <w:t>v </w:t>
      </w:r>
      <w:r w:rsidRPr="00087273">
        <w:rPr>
          <w:sz w:val="22"/>
          <w:szCs w:val="22"/>
        </w:rPr>
        <w:t xml:space="preserve">důsledku zvýšení kvality </w:t>
      </w:r>
      <w:r w:rsidR="00C06747">
        <w:rPr>
          <w:sz w:val="22"/>
          <w:szCs w:val="22"/>
        </w:rPr>
        <w:t xml:space="preserve">a množství </w:t>
      </w:r>
      <w:r w:rsidRPr="00087273">
        <w:rPr>
          <w:sz w:val="22"/>
          <w:szCs w:val="22"/>
        </w:rPr>
        <w:t xml:space="preserve">produkce, avšak nekonkretizují náklady potřebné </w:t>
      </w:r>
      <w:r w:rsidR="00BF036A">
        <w:rPr>
          <w:sz w:val="22"/>
          <w:szCs w:val="22"/>
        </w:rPr>
        <w:t>k </w:t>
      </w:r>
      <w:r w:rsidRPr="00087273">
        <w:rPr>
          <w:sz w:val="22"/>
          <w:szCs w:val="22"/>
        </w:rPr>
        <w:t xml:space="preserve">zavedení nové technologie. </w:t>
      </w:r>
    </w:p>
    <w:p w14:paraId="78016720" w14:textId="77777777" w:rsidR="00B0728F" w:rsidRDefault="00B0728F" w:rsidP="00395C6A">
      <w:pPr>
        <w:pStyle w:val="Default"/>
        <w:jc w:val="both"/>
        <w:rPr>
          <w:sz w:val="22"/>
          <w:szCs w:val="22"/>
        </w:rPr>
      </w:pPr>
    </w:p>
    <w:p w14:paraId="78016721" w14:textId="77777777" w:rsidR="00A949AE" w:rsidRPr="00E43BBE" w:rsidRDefault="000D0A27" w:rsidP="00395C6A">
      <w:pPr>
        <w:pStyle w:val="Odstavecseseznamem"/>
        <w:numPr>
          <w:ilvl w:val="0"/>
          <w:numId w:val="6"/>
        </w:numPr>
        <w:tabs>
          <w:tab w:val="left" w:pos="284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E43BBE">
        <w:rPr>
          <w:rFonts w:ascii="Arial" w:hAnsi="Arial" w:cs="Arial"/>
          <w:b/>
          <w:sz w:val="22"/>
          <w:szCs w:val="22"/>
        </w:rPr>
        <w:t xml:space="preserve">Plnění povinností MZe při </w:t>
      </w:r>
      <w:r w:rsidRPr="00E43BBE">
        <w:rPr>
          <w:rFonts w:ascii="Arial" w:hAnsi="Arial" w:cs="Arial"/>
          <w:b/>
          <w:color w:val="000000"/>
          <w:sz w:val="22"/>
          <w:szCs w:val="22"/>
        </w:rPr>
        <w:t>před</w:t>
      </w:r>
      <w:r w:rsidR="00782111" w:rsidRPr="00E43BBE">
        <w:rPr>
          <w:rFonts w:ascii="Arial" w:hAnsi="Arial" w:cs="Arial"/>
          <w:b/>
          <w:color w:val="000000"/>
          <w:sz w:val="22"/>
          <w:szCs w:val="22"/>
        </w:rPr>
        <w:t>áv</w:t>
      </w:r>
      <w:r w:rsidR="00D4023F">
        <w:rPr>
          <w:rFonts w:ascii="Arial" w:hAnsi="Arial" w:cs="Arial"/>
          <w:b/>
          <w:color w:val="000000"/>
          <w:sz w:val="22"/>
          <w:szCs w:val="22"/>
        </w:rPr>
        <w:t>á</w:t>
      </w:r>
      <w:r w:rsidR="00782111" w:rsidRPr="00E43BBE">
        <w:rPr>
          <w:rFonts w:ascii="Arial" w:hAnsi="Arial" w:cs="Arial"/>
          <w:b/>
          <w:color w:val="000000"/>
          <w:sz w:val="22"/>
          <w:szCs w:val="22"/>
        </w:rPr>
        <w:t>ní údajů</w:t>
      </w:r>
      <w:r w:rsidRPr="00E43BB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82111" w:rsidRPr="00E43BBE">
        <w:rPr>
          <w:rFonts w:ascii="Arial" w:hAnsi="Arial" w:cs="Arial"/>
          <w:b/>
          <w:color w:val="000000"/>
          <w:sz w:val="22"/>
          <w:szCs w:val="22"/>
        </w:rPr>
        <w:t>do</w:t>
      </w:r>
      <w:r w:rsidRPr="00E43BB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82111" w:rsidRPr="00E43BBE">
        <w:rPr>
          <w:rFonts w:ascii="Arial" w:hAnsi="Arial" w:cs="Arial"/>
          <w:b/>
          <w:color w:val="000000"/>
          <w:sz w:val="22"/>
          <w:szCs w:val="22"/>
        </w:rPr>
        <w:t>informačního systému</w:t>
      </w:r>
      <w:r w:rsidRPr="00E43BBE">
        <w:rPr>
          <w:rFonts w:ascii="Arial" w:hAnsi="Arial" w:cs="Arial"/>
          <w:b/>
          <w:color w:val="000000"/>
          <w:sz w:val="22"/>
          <w:szCs w:val="22"/>
        </w:rPr>
        <w:t xml:space="preserve"> VaVaI</w:t>
      </w:r>
    </w:p>
    <w:p w14:paraId="78016722" w14:textId="77777777" w:rsidR="00B0728F" w:rsidRDefault="00B0728F" w:rsidP="00395C6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016723" w14:textId="77777777" w:rsidR="00A2405F" w:rsidRDefault="003B1F1E" w:rsidP="00395C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87273">
        <w:rPr>
          <w:rFonts w:ascii="Arial" w:hAnsi="Arial" w:cs="Arial"/>
          <w:sz w:val="22"/>
          <w:szCs w:val="22"/>
        </w:rPr>
        <w:t>Očekávané výsledky jsou uvedeny ve strukt</w:t>
      </w:r>
      <w:r>
        <w:rPr>
          <w:rFonts w:ascii="Arial" w:hAnsi="Arial" w:cs="Arial"/>
          <w:sz w:val="22"/>
          <w:szCs w:val="22"/>
        </w:rPr>
        <w:t xml:space="preserve">uře podle rejstříku informací o </w:t>
      </w:r>
      <w:r w:rsidRPr="00087273">
        <w:rPr>
          <w:rFonts w:ascii="Arial" w:hAnsi="Arial" w:cs="Arial"/>
          <w:sz w:val="22"/>
          <w:szCs w:val="22"/>
        </w:rPr>
        <w:t>výsledcích (dále t</w:t>
      </w:r>
      <w:r w:rsidR="00D4023F">
        <w:rPr>
          <w:rFonts w:ascii="Arial" w:hAnsi="Arial" w:cs="Arial"/>
          <w:sz w:val="22"/>
          <w:szCs w:val="22"/>
        </w:rPr>
        <w:t>aké</w:t>
      </w:r>
      <w:r w:rsidRPr="00087273">
        <w:rPr>
          <w:rFonts w:ascii="Arial" w:hAnsi="Arial" w:cs="Arial"/>
          <w:sz w:val="22"/>
          <w:szCs w:val="22"/>
        </w:rPr>
        <w:t xml:space="preserve"> „RIV“) </w:t>
      </w:r>
      <w:r>
        <w:rPr>
          <w:rFonts w:ascii="Arial" w:hAnsi="Arial" w:cs="Arial"/>
          <w:sz w:val="22"/>
          <w:szCs w:val="22"/>
        </w:rPr>
        <w:t xml:space="preserve">podle zákona č. 130/2002 Sb. </w:t>
      </w:r>
      <w:r w:rsidRPr="00087273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087273">
        <w:rPr>
          <w:rFonts w:ascii="Arial" w:hAnsi="Arial" w:cs="Arial"/>
          <w:sz w:val="22"/>
          <w:szCs w:val="22"/>
        </w:rPr>
        <w:t>metodik</w:t>
      </w:r>
      <w:r>
        <w:rPr>
          <w:rFonts w:ascii="Arial" w:hAnsi="Arial" w:cs="Arial"/>
          <w:sz w:val="22"/>
          <w:szCs w:val="22"/>
        </w:rPr>
        <w:t>y</w:t>
      </w:r>
      <w:r w:rsidRPr="00087273">
        <w:rPr>
          <w:rFonts w:ascii="Arial" w:hAnsi="Arial" w:cs="Arial"/>
          <w:sz w:val="22"/>
          <w:szCs w:val="22"/>
        </w:rPr>
        <w:t>, patent</w:t>
      </w:r>
      <w:r>
        <w:rPr>
          <w:rFonts w:ascii="Arial" w:hAnsi="Arial" w:cs="Arial"/>
          <w:sz w:val="22"/>
          <w:szCs w:val="22"/>
        </w:rPr>
        <w:t>y, ověřené</w:t>
      </w:r>
      <w:r w:rsidRPr="00087273">
        <w:rPr>
          <w:rFonts w:ascii="Arial" w:hAnsi="Arial" w:cs="Arial"/>
          <w:sz w:val="22"/>
          <w:szCs w:val="22"/>
        </w:rPr>
        <w:t xml:space="preserve"> technologi</w:t>
      </w:r>
      <w:r>
        <w:rPr>
          <w:rFonts w:ascii="Arial" w:hAnsi="Arial" w:cs="Arial"/>
          <w:sz w:val="22"/>
          <w:szCs w:val="22"/>
        </w:rPr>
        <w:t>e</w:t>
      </w:r>
      <w:r w:rsidRPr="00087273">
        <w:rPr>
          <w:rFonts w:ascii="Arial" w:hAnsi="Arial" w:cs="Arial"/>
          <w:sz w:val="22"/>
          <w:szCs w:val="22"/>
        </w:rPr>
        <w:t>, článk</w:t>
      </w:r>
      <w:r>
        <w:rPr>
          <w:rFonts w:ascii="Arial" w:hAnsi="Arial" w:cs="Arial"/>
          <w:sz w:val="22"/>
          <w:szCs w:val="22"/>
        </w:rPr>
        <w:t>y</w:t>
      </w:r>
      <w:r w:rsidRPr="00087273">
        <w:rPr>
          <w:rFonts w:ascii="Arial" w:hAnsi="Arial" w:cs="Arial"/>
          <w:sz w:val="22"/>
          <w:szCs w:val="22"/>
        </w:rPr>
        <w:t xml:space="preserve"> ap.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A2405F" w:rsidRPr="00A949AE">
        <w:rPr>
          <w:rFonts w:ascii="Arial" w:hAnsi="Arial" w:cs="Arial"/>
          <w:color w:val="000000"/>
          <w:sz w:val="22"/>
          <w:szCs w:val="22"/>
        </w:rPr>
        <w:t>Kontrolou vybraných záznamů, které MZe jako poskytovatel předal</w:t>
      </w:r>
      <w:r w:rsidR="00D4023F">
        <w:rPr>
          <w:rFonts w:ascii="Arial" w:hAnsi="Arial" w:cs="Arial"/>
          <w:color w:val="000000"/>
          <w:sz w:val="22"/>
          <w:szCs w:val="22"/>
        </w:rPr>
        <w:t>o</w:t>
      </w:r>
      <w:r w:rsidR="00A2405F" w:rsidRPr="00A949AE">
        <w:rPr>
          <w:rFonts w:ascii="Arial" w:hAnsi="Arial" w:cs="Arial"/>
          <w:color w:val="000000"/>
          <w:sz w:val="22"/>
          <w:szCs w:val="22"/>
        </w:rPr>
        <w:t xml:space="preserve"> provozovateli </w:t>
      </w:r>
      <w:r w:rsidR="00A2405F" w:rsidRPr="007B37AE">
        <w:rPr>
          <w:rFonts w:ascii="Arial" w:hAnsi="Arial" w:cs="Arial"/>
          <w:color w:val="000000"/>
          <w:sz w:val="22"/>
          <w:szCs w:val="22"/>
        </w:rPr>
        <w:t xml:space="preserve">informačního systému VaVaI, bylo zjištěno, že </w:t>
      </w:r>
      <w:r w:rsidR="00BF036A">
        <w:rPr>
          <w:rFonts w:ascii="Arial" w:hAnsi="Arial" w:cs="Arial"/>
          <w:color w:val="000000"/>
          <w:sz w:val="22"/>
          <w:szCs w:val="22"/>
        </w:rPr>
        <w:t>v </w:t>
      </w:r>
      <w:r w:rsidR="00A2405F" w:rsidRPr="007B37AE">
        <w:rPr>
          <w:rFonts w:ascii="Arial" w:hAnsi="Arial" w:cs="Arial"/>
          <w:color w:val="000000"/>
          <w:sz w:val="22"/>
          <w:szCs w:val="22"/>
        </w:rPr>
        <w:t>RIV jsou uvedeny některé</w:t>
      </w:r>
      <w:r w:rsidR="00A2405F" w:rsidRPr="00A949AE">
        <w:rPr>
          <w:rFonts w:ascii="Arial" w:hAnsi="Arial" w:cs="Arial"/>
          <w:color w:val="000000"/>
          <w:sz w:val="22"/>
          <w:szCs w:val="22"/>
        </w:rPr>
        <w:t xml:space="preserve"> </w:t>
      </w:r>
      <w:r w:rsidR="00A2405F" w:rsidRPr="007B37AE">
        <w:rPr>
          <w:rFonts w:ascii="Arial" w:hAnsi="Arial" w:cs="Arial"/>
          <w:color w:val="000000"/>
          <w:sz w:val="22"/>
          <w:szCs w:val="22"/>
        </w:rPr>
        <w:t>výsledky</w:t>
      </w:r>
      <w:r w:rsidR="00A2405F" w:rsidRPr="00A949AE">
        <w:rPr>
          <w:rFonts w:ascii="Arial" w:hAnsi="Arial" w:cs="Arial"/>
          <w:color w:val="000000"/>
          <w:sz w:val="22"/>
          <w:szCs w:val="22"/>
        </w:rPr>
        <w:t xml:space="preserve">, které souvisejí </w:t>
      </w:r>
      <w:r w:rsidR="00BF036A">
        <w:rPr>
          <w:rFonts w:ascii="Arial" w:hAnsi="Arial" w:cs="Arial"/>
          <w:color w:val="000000"/>
          <w:sz w:val="22"/>
          <w:szCs w:val="22"/>
        </w:rPr>
        <w:t>s </w:t>
      </w:r>
      <w:r w:rsidR="00A2405F" w:rsidRPr="00A949AE">
        <w:rPr>
          <w:rFonts w:ascii="Arial" w:hAnsi="Arial" w:cs="Arial"/>
          <w:color w:val="000000"/>
          <w:sz w:val="22"/>
          <w:szCs w:val="22"/>
        </w:rPr>
        <w:t xml:space="preserve">řešením daného projektu nanejvýš jen okrajově nebo </w:t>
      </w:r>
      <w:r w:rsidR="00BF036A">
        <w:rPr>
          <w:rFonts w:ascii="Arial" w:hAnsi="Arial" w:cs="Arial"/>
          <w:color w:val="000000"/>
          <w:sz w:val="22"/>
          <w:szCs w:val="22"/>
        </w:rPr>
        <w:t>v </w:t>
      </w:r>
      <w:r w:rsidR="00A2405F" w:rsidRPr="00A949AE">
        <w:rPr>
          <w:rFonts w:ascii="Arial" w:hAnsi="Arial" w:cs="Arial"/>
          <w:color w:val="000000"/>
          <w:sz w:val="22"/>
          <w:szCs w:val="22"/>
        </w:rPr>
        <w:t xml:space="preserve">obecné rovině. </w:t>
      </w:r>
    </w:p>
    <w:p w14:paraId="78016724" w14:textId="77777777" w:rsidR="00B0728F" w:rsidRDefault="00B0728F" w:rsidP="00395C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8016725" w14:textId="77777777" w:rsidR="00A2405F" w:rsidRDefault="00A2405F" w:rsidP="00395C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949AE">
        <w:rPr>
          <w:rFonts w:ascii="Arial" w:hAnsi="Arial" w:cs="Arial"/>
          <w:color w:val="000000"/>
          <w:sz w:val="22"/>
          <w:szCs w:val="22"/>
        </w:rPr>
        <w:t xml:space="preserve">Např. projekt </w:t>
      </w:r>
      <w:r>
        <w:rPr>
          <w:rFonts w:ascii="Arial" w:hAnsi="Arial" w:cs="Arial"/>
          <w:color w:val="000000"/>
          <w:sz w:val="22"/>
          <w:szCs w:val="22"/>
        </w:rPr>
        <w:t>zaměře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ný </w:t>
      </w:r>
      <w:r>
        <w:rPr>
          <w:rFonts w:ascii="Arial" w:hAnsi="Arial" w:cs="Arial"/>
          <w:color w:val="000000"/>
          <w:sz w:val="22"/>
          <w:szCs w:val="22"/>
        </w:rPr>
        <w:t xml:space="preserve">na </w:t>
      </w:r>
      <w:r w:rsidRPr="00A949AE">
        <w:rPr>
          <w:rFonts w:ascii="Arial" w:hAnsi="Arial" w:cs="Arial"/>
          <w:color w:val="000000"/>
          <w:sz w:val="22"/>
          <w:szCs w:val="22"/>
        </w:rPr>
        <w:t>charakteristi</w:t>
      </w:r>
      <w:r>
        <w:rPr>
          <w:rFonts w:ascii="Arial" w:hAnsi="Arial" w:cs="Arial"/>
          <w:color w:val="000000"/>
          <w:sz w:val="22"/>
          <w:szCs w:val="22"/>
        </w:rPr>
        <w:t>ku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 biologického potenciálu produktu český kapr měl 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datu 7. </w:t>
      </w:r>
      <w:r w:rsidR="00970C1A">
        <w:rPr>
          <w:rFonts w:ascii="Arial" w:hAnsi="Arial" w:cs="Arial"/>
          <w:color w:val="000000"/>
          <w:sz w:val="22"/>
          <w:szCs w:val="22"/>
        </w:rPr>
        <w:t xml:space="preserve">května 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2013 </w:t>
      </w:r>
      <w:r>
        <w:rPr>
          <w:rFonts w:ascii="Arial" w:hAnsi="Arial" w:cs="Arial"/>
          <w:color w:val="000000"/>
          <w:sz w:val="22"/>
          <w:szCs w:val="22"/>
        </w:rPr>
        <w:t>deset výsledků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 </w:t>
      </w:r>
      <w:r w:rsidR="00BF036A">
        <w:rPr>
          <w:rFonts w:ascii="Arial" w:hAnsi="Arial" w:cs="Arial"/>
          <w:color w:val="000000"/>
          <w:sz w:val="22"/>
          <w:szCs w:val="22"/>
        </w:rPr>
        <w:t>v 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RIV. Jeden </w:t>
      </w:r>
      <w:r w:rsidR="00BF036A">
        <w:rPr>
          <w:rFonts w:ascii="Arial" w:hAnsi="Arial" w:cs="Arial"/>
          <w:color w:val="000000"/>
          <w:sz w:val="22"/>
          <w:szCs w:val="22"/>
        </w:rPr>
        <w:t>z </w:t>
      </w:r>
      <w:r>
        <w:rPr>
          <w:rFonts w:ascii="Arial" w:hAnsi="Arial" w:cs="Arial"/>
          <w:color w:val="000000"/>
          <w:sz w:val="22"/>
          <w:szCs w:val="22"/>
        </w:rPr>
        <w:t xml:space="preserve">nich </w:t>
      </w:r>
      <w:r w:rsidR="00F23D7B">
        <w:rPr>
          <w:rFonts w:ascii="Arial" w:hAnsi="Arial" w:cs="Arial"/>
          <w:color w:val="000000"/>
          <w:sz w:val="22"/>
          <w:szCs w:val="22"/>
        </w:rPr>
        <w:t xml:space="preserve">je </w:t>
      </w:r>
      <w:r w:rsidRPr="00A949AE">
        <w:rPr>
          <w:rFonts w:ascii="Arial" w:hAnsi="Arial" w:cs="Arial"/>
          <w:color w:val="000000"/>
          <w:sz w:val="22"/>
          <w:szCs w:val="22"/>
        </w:rPr>
        <w:t>podle popi</w:t>
      </w:r>
      <w:r>
        <w:rPr>
          <w:rFonts w:ascii="Arial" w:hAnsi="Arial" w:cs="Arial"/>
          <w:color w:val="000000"/>
          <w:sz w:val="22"/>
          <w:szCs w:val="22"/>
        </w:rPr>
        <w:t>su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 </w:t>
      </w:r>
      <w:r w:rsidR="00F23D7B">
        <w:rPr>
          <w:rFonts w:ascii="Arial" w:hAnsi="Arial" w:cs="Arial"/>
          <w:color w:val="000000"/>
          <w:sz w:val="22"/>
          <w:szCs w:val="22"/>
        </w:rPr>
        <w:t>tvořen pojednáním</w:t>
      </w:r>
      <w:r w:rsidR="00F23D7B" w:rsidRPr="00A949A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49AE">
        <w:rPr>
          <w:rFonts w:ascii="Arial" w:hAnsi="Arial" w:cs="Arial"/>
          <w:color w:val="000000"/>
          <w:sz w:val="22"/>
          <w:szCs w:val="22"/>
        </w:rPr>
        <w:t>výhradně</w:t>
      </w:r>
      <w:r w:rsidR="00F23D7B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49AE">
        <w:rPr>
          <w:rFonts w:ascii="Arial" w:hAnsi="Arial" w:cs="Arial"/>
          <w:color w:val="000000"/>
          <w:sz w:val="22"/>
          <w:szCs w:val="22"/>
        </w:rPr>
        <w:t>o</w:t>
      </w:r>
      <w:r w:rsidR="00A1538B">
        <w:rPr>
          <w:rFonts w:ascii="Arial" w:hAnsi="Arial" w:cs="Arial"/>
          <w:color w:val="000000"/>
          <w:sz w:val="22"/>
          <w:szCs w:val="22"/>
        </w:rPr>
        <w:t> </w:t>
      </w:r>
      <w:r w:rsidRPr="00A949AE">
        <w:rPr>
          <w:rFonts w:ascii="Arial" w:hAnsi="Arial" w:cs="Arial"/>
          <w:color w:val="000000"/>
          <w:sz w:val="22"/>
          <w:szCs w:val="22"/>
        </w:rPr>
        <w:t>výživě sumc</w:t>
      </w:r>
      <w:r>
        <w:rPr>
          <w:rFonts w:ascii="Arial" w:hAnsi="Arial" w:cs="Arial"/>
          <w:color w:val="000000"/>
          <w:sz w:val="22"/>
          <w:szCs w:val="22"/>
        </w:rPr>
        <w:t>e velkého. Další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 řeší problematiku mastných kyselin v</w:t>
      </w:r>
      <w:r w:rsidR="00F23D7B">
        <w:rPr>
          <w:rFonts w:ascii="Arial" w:hAnsi="Arial" w:cs="Arial"/>
          <w:color w:val="000000"/>
          <w:sz w:val="22"/>
          <w:szCs w:val="22"/>
        </w:rPr>
        <w:t> </w:t>
      </w:r>
      <w:r w:rsidRPr="00A949AE">
        <w:rPr>
          <w:rFonts w:ascii="Arial" w:hAnsi="Arial" w:cs="Arial"/>
          <w:color w:val="000000"/>
          <w:sz w:val="22"/>
          <w:szCs w:val="22"/>
        </w:rPr>
        <w:t>mase okouna říčního v závislosti na výživě.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8016726" w14:textId="77777777" w:rsidR="00B0728F" w:rsidRDefault="00B0728F" w:rsidP="00395C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8016727" w14:textId="77777777" w:rsidR="00A2405F" w:rsidRDefault="00A2405F" w:rsidP="00395C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949AE">
        <w:rPr>
          <w:rFonts w:ascii="Arial" w:hAnsi="Arial" w:cs="Arial"/>
          <w:color w:val="000000"/>
          <w:sz w:val="22"/>
          <w:szCs w:val="22"/>
        </w:rPr>
        <w:t>Projekt zaměřený na výzkum opatření k</w:t>
      </w:r>
      <w:r w:rsidR="00C927B6">
        <w:rPr>
          <w:rFonts w:ascii="Arial" w:hAnsi="Arial" w:cs="Arial"/>
          <w:color w:val="000000"/>
          <w:sz w:val="22"/>
          <w:szCs w:val="22"/>
        </w:rPr>
        <w:t> 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zajištění zásobování pitnou vodou </w:t>
      </w:r>
      <w:r w:rsidR="00BF036A">
        <w:rPr>
          <w:rFonts w:ascii="Arial" w:hAnsi="Arial" w:cs="Arial"/>
          <w:color w:val="000000"/>
          <w:sz w:val="22"/>
          <w:szCs w:val="22"/>
        </w:rPr>
        <w:t>v </w:t>
      </w:r>
      <w:r w:rsidRPr="00A949AE">
        <w:rPr>
          <w:rFonts w:ascii="Arial" w:hAnsi="Arial" w:cs="Arial"/>
          <w:color w:val="000000"/>
          <w:sz w:val="22"/>
          <w:szCs w:val="22"/>
        </w:rPr>
        <w:t>období klimatických změn měl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949AE">
        <w:rPr>
          <w:rFonts w:ascii="Arial" w:hAnsi="Arial" w:cs="Arial"/>
          <w:color w:val="000000"/>
          <w:sz w:val="22"/>
          <w:szCs w:val="22"/>
        </w:rPr>
        <w:t>ke stejnému datu</w:t>
      </w:r>
      <w:r w:rsidR="00353E86">
        <w:rPr>
          <w:rFonts w:ascii="Arial" w:hAnsi="Arial" w:cs="Arial"/>
          <w:color w:val="000000"/>
          <w:sz w:val="22"/>
          <w:szCs w:val="22"/>
        </w:rPr>
        <w:t xml:space="preserve"> </w:t>
      </w:r>
      <w:r w:rsidR="00BF036A">
        <w:rPr>
          <w:rFonts w:ascii="Arial" w:hAnsi="Arial" w:cs="Arial"/>
          <w:color w:val="000000"/>
          <w:sz w:val="22"/>
          <w:szCs w:val="22"/>
        </w:rPr>
        <w:t>v </w:t>
      </w:r>
      <w:r>
        <w:rPr>
          <w:rFonts w:ascii="Arial" w:hAnsi="Arial" w:cs="Arial"/>
          <w:color w:val="000000"/>
          <w:sz w:val="22"/>
          <w:szCs w:val="22"/>
        </w:rPr>
        <w:t>RIV šest výsledků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. Některé </w:t>
      </w:r>
      <w:r w:rsidR="00BF036A">
        <w:rPr>
          <w:rFonts w:ascii="Arial" w:hAnsi="Arial" w:cs="Arial"/>
          <w:color w:val="000000"/>
          <w:sz w:val="22"/>
          <w:szCs w:val="22"/>
        </w:rPr>
        <w:t>z </w:t>
      </w:r>
      <w:r>
        <w:rPr>
          <w:rFonts w:ascii="Arial" w:hAnsi="Arial" w:cs="Arial"/>
          <w:color w:val="000000"/>
          <w:sz w:val="22"/>
          <w:szCs w:val="22"/>
        </w:rPr>
        <w:t xml:space="preserve">nich 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se </w:t>
      </w:r>
      <w:r>
        <w:rPr>
          <w:rFonts w:ascii="Arial" w:hAnsi="Arial" w:cs="Arial"/>
          <w:color w:val="000000"/>
          <w:sz w:val="22"/>
          <w:szCs w:val="22"/>
        </w:rPr>
        <w:t xml:space="preserve">ale 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týkají vlivu těžby hnědého uhlí na životní prostředí. </w:t>
      </w:r>
      <w:r>
        <w:rPr>
          <w:rFonts w:ascii="Arial" w:hAnsi="Arial" w:cs="Arial"/>
          <w:color w:val="000000"/>
          <w:sz w:val="22"/>
          <w:szCs w:val="22"/>
        </w:rPr>
        <w:t xml:space="preserve">Jiný výsledek </w:t>
      </w:r>
      <w:r w:rsidR="00F23D7B">
        <w:rPr>
          <w:rFonts w:ascii="Arial" w:hAnsi="Arial" w:cs="Arial"/>
          <w:color w:val="000000"/>
          <w:sz w:val="22"/>
          <w:szCs w:val="22"/>
        </w:rPr>
        <w:t xml:space="preserve">tvoří </w:t>
      </w:r>
      <w:r>
        <w:rPr>
          <w:rFonts w:ascii="Arial" w:hAnsi="Arial" w:cs="Arial"/>
          <w:color w:val="000000"/>
          <w:sz w:val="22"/>
          <w:szCs w:val="22"/>
        </w:rPr>
        <w:t>pojedná</w:t>
      </w:r>
      <w:r w:rsidR="00F23D7B">
        <w:rPr>
          <w:rFonts w:ascii="Arial" w:hAnsi="Arial" w:cs="Arial"/>
          <w:color w:val="000000"/>
          <w:sz w:val="22"/>
          <w:szCs w:val="22"/>
        </w:rPr>
        <w:t>ní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 o bioplynových stanicích a jej</w:t>
      </w:r>
      <w:r>
        <w:rPr>
          <w:rFonts w:ascii="Arial" w:hAnsi="Arial" w:cs="Arial"/>
          <w:color w:val="000000"/>
          <w:sz w:val="22"/>
          <w:szCs w:val="22"/>
        </w:rPr>
        <w:t xml:space="preserve">ich vlivu na životní prostředí a další </w:t>
      </w:r>
      <w:r w:rsidR="00F23D7B">
        <w:rPr>
          <w:rFonts w:ascii="Arial" w:hAnsi="Arial" w:cs="Arial"/>
          <w:color w:val="000000"/>
          <w:sz w:val="22"/>
          <w:szCs w:val="22"/>
        </w:rPr>
        <w:t>má podobu analýzy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 vliv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 větrných elek</w:t>
      </w:r>
      <w:r>
        <w:rPr>
          <w:rFonts w:ascii="Arial" w:hAnsi="Arial" w:cs="Arial"/>
          <w:color w:val="000000"/>
          <w:sz w:val="22"/>
          <w:szCs w:val="22"/>
        </w:rPr>
        <w:t>tráren na životní prostředí a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 </w:t>
      </w:r>
      <w:r w:rsidR="00F23D7B">
        <w:rPr>
          <w:rFonts w:ascii="Arial" w:hAnsi="Arial" w:cs="Arial"/>
          <w:color w:val="000000"/>
          <w:sz w:val="22"/>
          <w:szCs w:val="22"/>
        </w:rPr>
        <w:t xml:space="preserve">současně </w:t>
      </w:r>
      <w:r w:rsidRPr="00A949AE">
        <w:rPr>
          <w:rFonts w:ascii="Arial" w:hAnsi="Arial" w:cs="Arial"/>
          <w:color w:val="000000"/>
          <w:sz w:val="22"/>
          <w:szCs w:val="22"/>
        </w:rPr>
        <w:t>oceň</w:t>
      </w:r>
      <w:r w:rsidR="00F23D7B">
        <w:rPr>
          <w:rFonts w:ascii="Arial" w:hAnsi="Arial" w:cs="Arial"/>
          <w:color w:val="000000"/>
          <w:sz w:val="22"/>
          <w:szCs w:val="22"/>
        </w:rPr>
        <w:t>uje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 antropogenní vliv</w:t>
      </w:r>
      <w:r w:rsidR="00F23D7B">
        <w:rPr>
          <w:rFonts w:ascii="Arial" w:hAnsi="Arial" w:cs="Arial"/>
          <w:color w:val="000000"/>
          <w:sz w:val="22"/>
          <w:szCs w:val="22"/>
        </w:rPr>
        <w:t>y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 na životní prostředí.</w:t>
      </w:r>
    </w:p>
    <w:p w14:paraId="78016728" w14:textId="77777777" w:rsidR="00B0728F" w:rsidRDefault="00B0728F" w:rsidP="00395C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8016729" w14:textId="77777777" w:rsidR="00A2405F" w:rsidRDefault="00A2405F" w:rsidP="00395C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A949AE">
        <w:rPr>
          <w:rFonts w:ascii="Arial" w:hAnsi="Arial" w:cs="Arial"/>
          <w:color w:val="000000"/>
          <w:sz w:val="22"/>
          <w:szCs w:val="22"/>
        </w:rPr>
        <w:t>MZe kontroluje výsledky</w:t>
      </w:r>
      <w:r w:rsidR="00DA6F71">
        <w:rPr>
          <w:rFonts w:ascii="Arial" w:hAnsi="Arial" w:cs="Arial"/>
          <w:color w:val="000000"/>
          <w:sz w:val="22"/>
          <w:szCs w:val="22"/>
        </w:rPr>
        <w:t>, o nichž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 </w:t>
      </w:r>
      <w:r w:rsidR="00DA6F71" w:rsidRPr="00A949AE">
        <w:rPr>
          <w:rFonts w:ascii="Arial" w:hAnsi="Arial" w:cs="Arial"/>
          <w:color w:val="000000"/>
          <w:sz w:val="22"/>
          <w:szCs w:val="22"/>
        </w:rPr>
        <w:t xml:space="preserve">příjemci </w:t>
      </w:r>
      <w:r w:rsidR="00DA6F71">
        <w:rPr>
          <w:rFonts w:ascii="Arial" w:hAnsi="Arial" w:cs="Arial"/>
          <w:color w:val="000000"/>
          <w:sz w:val="22"/>
          <w:szCs w:val="22"/>
        </w:rPr>
        <w:t>po</w:t>
      </w:r>
      <w:r w:rsidR="00DA6F71" w:rsidRPr="00A949AE">
        <w:rPr>
          <w:rFonts w:ascii="Arial" w:hAnsi="Arial" w:cs="Arial"/>
          <w:color w:val="000000"/>
          <w:sz w:val="22"/>
          <w:szCs w:val="22"/>
        </w:rPr>
        <w:t>dáva</w:t>
      </w:r>
      <w:r w:rsidR="00DA6F71">
        <w:rPr>
          <w:rFonts w:ascii="Arial" w:hAnsi="Arial" w:cs="Arial"/>
          <w:color w:val="000000"/>
          <w:sz w:val="22"/>
          <w:szCs w:val="22"/>
        </w:rPr>
        <w:t>jí informace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 do RIV</w:t>
      </w:r>
      <w:r w:rsidR="00DA6F71">
        <w:rPr>
          <w:rFonts w:ascii="Arial" w:hAnsi="Arial" w:cs="Arial"/>
          <w:color w:val="000000"/>
          <w:sz w:val="22"/>
          <w:szCs w:val="22"/>
        </w:rPr>
        <w:t>,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pouze </w:t>
      </w:r>
      <w:r w:rsidRPr="00A949AE">
        <w:rPr>
          <w:rFonts w:ascii="Arial" w:hAnsi="Arial" w:cs="Arial"/>
          <w:color w:val="000000"/>
          <w:sz w:val="22"/>
          <w:szCs w:val="22"/>
        </w:rPr>
        <w:t>po formální stránce, věcn</w:t>
      </w:r>
      <w:r w:rsidR="00177184">
        <w:rPr>
          <w:rFonts w:ascii="Arial" w:hAnsi="Arial" w:cs="Arial"/>
          <w:color w:val="000000"/>
          <w:sz w:val="22"/>
          <w:szCs w:val="22"/>
        </w:rPr>
        <w:t>á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 kontrol</w:t>
      </w:r>
      <w:r w:rsidR="00177184">
        <w:rPr>
          <w:rFonts w:ascii="Arial" w:hAnsi="Arial" w:cs="Arial"/>
          <w:color w:val="000000"/>
          <w:sz w:val="22"/>
          <w:szCs w:val="22"/>
        </w:rPr>
        <w:t>a není z jeho strany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 provád</w:t>
      </w:r>
      <w:r w:rsidR="00177184">
        <w:rPr>
          <w:rFonts w:ascii="Arial" w:hAnsi="Arial" w:cs="Arial"/>
          <w:color w:val="000000"/>
          <w:sz w:val="22"/>
          <w:szCs w:val="22"/>
        </w:rPr>
        <w:t>ěna</w:t>
      </w:r>
      <w:r w:rsidRPr="00A949AE">
        <w:rPr>
          <w:rFonts w:ascii="Arial" w:hAnsi="Arial" w:cs="Arial"/>
          <w:color w:val="000000"/>
          <w:sz w:val="22"/>
          <w:szCs w:val="22"/>
        </w:rPr>
        <w:t>. Počet vykázaných záznamů v</w:t>
      </w:r>
      <w:r w:rsidR="00C927B6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centrální 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databázi RIV tak </w:t>
      </w:r>
      <w:r w:rsidR="00664226" w:rsidRPr="00A949AE">
        <w:rPr>
          <w:rFonts w:ascii="Arial" w:hAnsi="Arial" w:cs="Arial"/>
          <w:color w:val="000000"/>
          <w:sz w:val="22"/>
          <w:szCs w:val="22"/>
        </w:rPr>
        <w:t>převyš</w:t>
      </w:r>
      <w:r w:rsidR="00664226">
        <w:rPr>
          <w:rFonts w:ascii="Arial" w:hAnsi="Arial" w:cs="Arial"/>
          <w:color w:val="000000"/>
          <w:sz w:val="22"/>
          <w:szCs w:val="22"/>
        </w:rPr>
        <w:t>uje</w:t>
      </w:r>
      <w:r w:rsidR="00664226" w:rsidRPr="00A949A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49AE">
        <w:rPr>
          <w:rFonts w:ascii="Arial" w:hAnsi="Arial" w:cs="Arial"/>
          <w:color w:val="000000"/>
          <w:sz w:val="22"/>
          <w:szCs w:val="22"/>
        </w:rPr>
        <w:t xml:space="preserve">počet výsledků, které skutečně vycházejí </w:t>
      </w:r>
      <w:r w:rsidR="00BF036A">
        <w:rPr>
          <w:rFonts w:ascii="Arial" w:hAnsi="Arial" w:cs="Arial"/>
          <w:color w:val="000000"/>
          <w:sz w:val="22"/>
          <w:szCs w:val="22"/>
        </w:rPr>
        <w:t>z </w:t>
      </w:r>
      <w:r w:rsidRPr="00A949AE">
        <w:rPr>
          <w:rFonts w:ascii="Arial" w:hAnsi="Arial" w:cs="Arial"/>
          <w:color w:val="000000"/>
          <w:sz w:val="22"/>
          <w:szCs w:val="22"/>
        </w:rPr>
        <w:t>řešení projektů.</w:t>
      </w:r>
    </w:p>
    <w:p w14:paraId="7801672A" w14:textId="77777777" w:rsidR="00B0728F" w:rsidRPr="0056633B" w:rsidRDefault="00B0728F" w:rsidP="00395C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801672B" w14:textId="77777777" w:rsidR="00A949AE" w:rsidRPr="00E43BBE" w:rsidRDefault="00A949AE" w:rsidP="00395C6A">
      <w:pPr>
        <w:pStyle w:val="Odstavecseseznamem"/>
        <w:numPr>
          <w:ilvl w:val="0"/>
          <w:numId w:val="6"/>
        </w:numPr>
        <w:tabs>
          <w:tab w:val="left" w:pos="284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E43BBE">
        <w:rPr>
          <w:rFonts w:ascii="Arial" w:hAnsi="Arial" w:cs="Arial"/>
          <w:b/>
          <w:sz w:val="22"/>
          <w:szCs w:val="22"/>
        </w:rPr>
        <w:t>Kontrola</w:t>
      </w:r>
      <w:r w:rsidR="00782111" w:rsidRPr="00E43BBE">
        <w:rPr>
          <w:rFonts w:ascii="Arial" w:hAnsi="Arial" w:cs="Arial"/>
          <w:b/>
          <w:sz w:val="22"/>
          <w:szCs w:val="22"/>
        </w:rPr>
        <w:t xml:space="preserve"> prováděná MZe podle zákona č. 130/2002 Sb.</w:t>
      </w:r>
    </w:p>
    <w:p w14:paraId="7801672C" w14:textId="77777777" w:rsidR="00B0728F" w:rsidRDefault="00B0728F" w:rsidP="00395C6A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14:paraId="7801672D" w14:textId="77777777" w:rsidR="00A2405F" w:rsidRDefault="00DA6F71" w:rsidP="00395C6A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A949AE" w:rsidRPr="00A949AE">
        <w:rPr>
          <w:rFonts w:ascii="Arial" w:hAnsi="Arial" w:cs="Arial"/>
          <w:sz w:val="22"/>
          <w:szCs w:val="22"/>
        </w:rPr>
        <w:t>§ 13</w:t>
      </w:r>
      <w:r w:rsidR="00A359F9">
        <w:rPr>
          <w:rFonts w:ascii="Arial" w:hAnsi="Arial" w:cs="Arial"/>
          <w:sz w:val="22"/>
          <w:szCs w:val="22"/>
        </w:rPr>
        <w:t xml:space="preserve"> </w:t>
      </w:r>
      <w:r w:rsidR="00A359F9" w:rsidRPr="00A949AE">
        <w:rPr>
          <w:rFonts w:ascii="Arial" w:hAnsi="Arial" w:cs="Arial"/>
          <w:sz w:val="22"/>
          <w:szCs w:val="22"/>
        </w:rPr>
        <w:t>odst. 3 zákona</w:t>
      </w:r>
      <w:r w:rsidR="00A949AE" w:rsidRPr="00A949AE">
        <w:rPr>
          <w:rFonts w:ascii="Arial" w:hAnsi="Arial" w:cs="Arial"/>
          <w:sz w:val="22"/>
          <w:szCs w:val="22"/>
        </w:rPr>
        <w:t xml:space="preserve"> č. 130/2002 Sb. </w:t>
      </w:r>
      <w:r>
        <w:rPr>
          <w:rFonts w:ascii="Arial" w:hAnsi="Arial" w:cs="Arial"/>
          <w:sz w:val="22"/>
          <w:szCs w:val="22"/>
        </w:rPr>
        <w:t xml:space="preserve">je stanoveno: </w:t>
      </w:r>
      <w:r w:rsidR="00A949AE" w:rsidRPr="00A949AE">
        <w:rPr>
          <w:rFonts w:ascii="Arial" w:hAnsi="Arial" w:cs="Arial"/>
          <w:sz w:val="22"/>
          <w:szCs w:val="22"/>
        </w:rPr>
        <w:t>„</w:t>
      </w:r>
      <w:r w:rsidR="00A949AE" w:rsidRPr="00A949AE">
        <w:rPr>
          <w:rFonts w:ascii="Arial" w:hAnsi="Arial" w:cs="Arial"/>
          <w:i/>
          <w:sz w:val="22"/>
          <w:szCs w:val="22"/>
        </w:rPr>
        <w:t>Poskytovatel je povinen provádět finanční kontrolu u</w:t>
      </w:r>
      <w:r w:rsidR="00353E86">
        <w:rPr>
          <w:rFonts w:ascii="Arial" w:hAnsi="Arial" w:cs="Arial"/>
          <w:i/>
          <w:sz w:val="22"/>
          <w:szCs w:val="22"/>
        </w:rPr>
        <w:t xml:space="preserve"> </w:t>
      </w:r>
      <w:r w:rsidR="00A949AE" w:rsidRPr="00A949AE">
        <w:rPr>
          <w:rFonts w:ascii="Arial" w:hAnsi="Arial" w:cs="Arial"/>
          <w:i/>
          <w:sz w:val="22"/>
          <w:szCs w:val="22"/>
        </w:rPr>
        <w:t>příjemců podpory podle</w:t>
      </w:r>
      <w:r w:rsidR="007234C3">
        <w:rPr>
          <w:rFonts w:ascii="Arial" w:hAnsi="Arial" w:cs="Arial"/>
          <w:i/>
          <w:sz w:val="22"/>
          <w:szCs w:val="22"/>
        </w:rPr>
        <w:t xml:space="preserve"> zvláštních právních předpisů</w:t>
      </w:r>
      <w:r w:rsidR="00A949AE" w:rsidRPr="00A949AE">
        <w:rPr>
          <w:rFonts w:ascii="Arial" w:hAnsi="Arial" w:cs="Arial"/>
          <w:i/>
          <w:sz w:val="22"/>
          <w:szCs w:val="22"/>
        </w:rPr>
        <w:t xml:space="preserve"> nejméně u 5</w:t>
      </w:r>
      <w:r w:rsidR="000266A9">
        <w:rPr>
          <w:rFonts w:ascii="Arial" w:hAnsi="Arial" w:cs="Arial"/>
          <w:i/>
          <w:sz w:val="22"/>
          <w:szCs w:val="22"/>
        </w:rPr>
        <w:t> </w:t>
      </w:r>
      <w:r w:rsidR="00A949AE" w:rsidRPr="00A949AE">
        <w:rPr>
          <w:rFonts w:ascii="Arial" w:hAnsi="Arial" w:cs="Arial"/>
          <w:i/>
          <w:sz w:val="22"/>
          <w:szCs w:val="22"/>
        </w:rPr>
        <w:t>% objemu účelové a</w:t>
      </w:r>
      <w:r w:rsidR="00353E86">
        <w:rPr>
          <w:rFonts w:ascii="Arial" w:hAnsi="Arial" w:cs="Arial"/>
          <w:i/>
          <w:sz w:val="22"/>
          <w:szCs w:val="22"/>
        </w:rPr>
        <w:t xml:space="preserve"> </w:t>
      </w:r>
      <w:r w:rsidR="00A949AE" w:rsidRPr="00A949AE">
        <w:rPr>
          <w:rFonts w:ascii="Arial" w:hAnsi="Arial" w:cs="Arial"/>
          <w:i/>
          <w:sz w:val="22"/>
          <w:szCs w:val="22"/>
        </w:rPr>
        <w:t>institucionální podpory poskytnuté poskytovatelem v</w:t>
      </w:r>
      <w:r w:rsidR="00C927B6">
        <w:rPr>
          <w:rFonts w:ascii="Arial" w:hAnsi="Arial" w:cs="Arial"/>
          <w:i/>
          <w:sz w:val="22"/>
          <w:szCs w:val="22"/>
        </w:rPr>
        <w:t> </w:t>
      </w:r>
      <w:r w:rsidR="00A949AE" w:rsidRPr="00A949AE">
        <w:rPr>
          <w:rFonts w:ascii="Arial" w:hAnsi="Arial" w:cs="Arial"/>
          <w:i/>
          <w:sz w:val="22"/>
          <w:szCs w:val="22"/>
        </w:rPr>
        <w:t>daném kalendářním roce.</w:t>
      </w:r>
      <w:r w:rsidR="00A949AE" w:rsidRPr="00395C6A">
        <w:rPr>
          <w:rFonts w:ascii="Arial" w:hAnsi="Arial" w:cs="Arial"/>
          <w:sz w:val="22"/>
          <w:szCs w:val="22"/>
        </w:rPr>
        <w:t>“</w:t>
      </w:r>
      <w:r w:rsidR="00A949AE" w:rsidRPr="00A949AE">
        <w:rPr>
          <w:rFonts w:ascii="Arial" w:hAnsi="Arial" w:cs="Arial"/>
          <w:i/>
          <w:sz w:val="22"/>
          <w:szCs w:val="22"/>
        </w:rPr>
        <w:t xml:space="preserve"> </w:t>
      </w:r>
      <w:r w:rsidR="00F37DAF" w:rsidRPr="00F37DAF">
        <w:rPr>
          <w:rFonts w:ascii="Arial" w:hAnsi="Arial" w:cs="Arial"/>
          <w:sz w:val="22"/>
          <w:szCs w:val="22"/>
        </w:rPr>
        <w:t xml:space="preserve">Zvláštním právním předpisem </w:t>
      </w:r>
      <w:r w:rsidR="00F37DAF">
        <w:rPr>
          <w:rFonts w:ascii="Arial" w:hAnsi="Arial" w:cs="Arial"/>
          <w:sz w:val="22"/>
          <w:szCs w:val="22"/>
        </w:rPr>
        <w:t>j</w:t>
      </w:r>
      <w:r w:rsidR="00F37DAF" w:rsidRPr="00F37DAF">
        <w:rPr>
          <w:rFonts w:ascii="Arial" w:hAnsi="Arial" w:cs="Arial"/>
          <w:sz w:val="22"/>
          <w:szCs w:val="22"/>
        </w:rPr>
        <w:t xml:space="preserve">e </w:t>
      </w:r>
      <w:r w:rsidR="00F37DAF">
        <w:rPr>
          <w:rFonts w:ascii="Arial" w:hAnsi="Arial" w:cs="Arial"/>
          <w:sz w:val="22"/>
          <w:szCs w:val="22"/>
        </w:rPr>
        <w:t xml:space="preserve">zákon č. </w:t>
      </w:r>
      <w:r w:rsidR="00F37DAF" w:rsidRPr="00651753">
        <w:rPr>
          <w:rFonts w:ascii="Arial" w:hAnsi="Arial" w:cs="Arial"/>
          <w:bCs/>
          <w:iCs/>
          <w:sz w:val="22"/>
          <w:szCs w:val="22"/>
        </w:rPr>
        <w:t>320/2001 Sb</w:t>
      </w:r>
      <w:r w:rsidR="00F37DAF">
        <w:rPr>
          <w:rFonts w:ascii="Arial" w:hAnsi="Arial" w:cs="Arial"/>
          <w:bCs/>
          <w:iCs/>
          <w:sz w:val="22"/>
          <w:szCs w:val="22"/>
        </w:rPr>
        <w:t>.</w:t>
      </w:r>
      <w:r w:rsidR="00F37DAF" w:rsidRPr="00F37D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Ten upravuje pravidla pro</w:t>
      </w:r>
      <w:r w:rsidR="00353E86">
        <w:rPr>
          <w:rFonts w:ascii="Arial" w:hAnsi="Arial" w:cs="Arial"/>
          <w:sz w:val="22"/>
          <w:szCs w:val="22"/>
        </w:rPr>
        <w:t xml:space="preserve"> </w:t>
      </w:r>
      <w:r w:rsidR="00A949AE" w:rsidRPr="00A949AE">
        <w:rPr>
          <w:rFonts w:ascii="Arial" w:hAnsi="Arial" w:cs="Arial"/>
          <w:sz w:val="22"/>
          <w:szCs w:val="22"/>
        </w:rPr>
        <w:t>veřejnosprávní kontrol</w:t>
      </w:r>
      <w:r>
        <w:rPr>
          <w:rFonts w:ascii="Arial" w:hAnsi="Arial" w:cs="Arial"/>
          <w:sz w:val="22"/>
          <w:szCs w:val="22"/>
        </w:rPr>
        <w:t>u</w:t>
      </w:r>
      <w:r w:rsidR="00A949AE" w:rsidRPr="00A949AE">
        <w:rPr>
          <w:rFonts w:ascii="Arial" w:hAnsi="Arial" w:cs="Arial"/>
          <w:sz w:val="22"/>
          <w:szCs w:val="22"/>
        </w:rPr>
        <w:t xml:space="preserve"> prováděn</w:t>
      </w:r>
      <w:r>
        <w:rPr>
          <w:rFonts w:ascii="Arial" w:hAnsi="Arial" w:cs="Arial"/>
          <w:sz w:val="22"/>
          <w:szCs w:val="22"/>
        </w:rPr>
        <w:t>ou</w:t>
      </w:r>
      <w:r w:rsidR="00A949AE" w:rsidRPr="00A949AE">
        <w:rPr>
          <w:rFonts w:ascii="Arial" w:hAnsi="Arial" w:cs="Arial"/>
          <w:sz w:val="22"/>
          <w:szCs w:val="22"/>
        </w:rPr>
        <w:t xml:space="preserve"> </w:t>
      </w:r>
      <w:r w:rsidR="006D63D3">
        <w:rPr>
          <w:rFonts w:ascii="Arial" w:hAnsi="Arial" w:cs="Arial"/>
          <w:sz w:val="22"/>
          <w:szCs w:val="22"/>
        </w:rPr>
        <w:t>Agenturou</w:t>
      </w:r>
      <w:r w:rsidR="00A949AE" w:rsidRPr="00A949AE">
        <w:rPr>
          <w:rFonts w:ascii="Arial" w:hAnsi="Arial" w:cs="Arial"/>
          <w:sz w:val="22"/>
          <w:szCs w:val="22"/>
        </w:rPr>
        <w:t xml:space="preserve"> a </w:t>
      </w:r>
      <w:r w:rsidR="00F37DAF">
        <w:rPr>
          <w:rFonts w:ascii="Arial" w:hAnsi="Arial" w:cs="Arial"/>
          <w:sz w:val="22"/>
          <w:szCs w:val="22"/>
        </w:rPr>
        <w:t>útva</w:t>
      </w:r>
      <w:r w:rsidR="00A949AE" w:rsidRPr="00A949AE">
        <w:rPr>
          <w:rFonts w:ascii="Arial" w:hAnsi="Arial" w:cs="Arial"/>
          <w:sz w:val="22"/>
          <w:szCs w:val="22"/>
        </w:rPr>
        <w:t xml:space="preserve">rem </w:t>
      </w:r>
      <w:r w:rsidR="00F37DAF">
        <w:rPr>
          <w:rFonts w:ascii="Arial" w:hAnsi="Arial" w:cs="Arial"/>
          <w:sz w:val="22"/>
          <w:szCs w:val="22"/>
        </w:rPr>
        <w:t xml:space="preserve">interního </w:t>
      </w:r>
      <w:r w:rsidR="00A949AE" w:rsidRPr="00A949AE">
        <w:rPr>
          <w:rFonts w:ascii="Arial" w:hAnsi="Arial" w:cs="Arial"/>
          <w:sz w:val="22"/>
          <w:szCs w:val="22"/>
        </w:rPr>
        <w:t>auditu.</w:t>
      </w:r>
    </w:p>
    <w:p w14:paraId="7801672E" w14:textId="77777777" w:rsidR="00B0728F" w:rsidRDefault="00B0728F" w:rsidP="00395C6A">
      <w:pPr>
        <w:tabs>
          <w:tab w:val="left" w:pos="142"/>
        </w:tabs>
        <w:jc w:val="both"/>
        <w:rPr>
          <w:rFonts w:ascii="Arial" w:hAnsi="Arial" w:cs="Arial"/>
          <w:bCs/>
          <w:sz w:val="22"/>
          <w:szCs w:val="22"/>
        </w:rPr>
      </w:pPr>
    </w:p>
    <w:p w14:paraId="7801672F" w14:textId="77777777" w:rsidR="003B498A" w:rsidRDefault="00A2405F" w:rsidP="00395C6A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005BF4">
        <w:rPr>
          <w:rFonts w:ascii="Arial" w:hAnsi="Arial" w:cs="Arial"/>
          <w:bCs/>
          <w:sz w:val="22"/>
          <w:szCs w:val="22"/>
        </w:rPr>
        <w:t>MZe</w:t>
      </w:r>
      <w:r w:rsidR="00C86610">
        <w:rPr>
          <w:rFonts w:ascii="Arial" w:hAnsi="Arial" w:cs="Arial"/>
          <w:bCs/>
          <w:sz w:val="22"/>
          <w:szCs w:val="22"/>
        </w:rPr>
        <w:t xml:space="preserve"> </w:t>
      </w:r>
      <w:r w:rsidR="00BF036A">
        <w:rPr>
          <w:rFonts w:ascii="Arial" w:hAnsi="Arial" w:cs="Arial"/>
          <w:bCs/>
          <w:sz w:val="22"/>
          <w:szCs w:val="22"/>
        </w:rPr>
        <w:t>v </w:t>
      </w:r>
      <w:r w:rsidR="00C86610">
        <w:rPr>
          <w:rFonts w:ascii="Arial" w:hAnsi="Arial" w:cs="Arial"/>
          <w:bCs/>
          <w:sz w:val="22"/>
          <w:szCs w:val="22"/>
        </w:rPr>
        <w:t>kontrolovaném období každoročně provedlo</w:t>
      </w:r>
      <w:r w:rsidRPr="00005BF4">
        <w:rPr>
          <w:rFonts w:ascii="Arial" w:hAnsi="Arial" w:cs="Arial"/>
          <w:bCs/>
          <w:sz w:val="22"/>
          <w:szCs w:val="22"/>
        </w:rPr>
        <w:t xml:space="preserve"> 12–19 </w:t>
      </w:r>
      <w:r w:rsidRPr="00005BF4">
        <w:rPr>
          <w:rFonts w:ascii="Arial" w:hAnsi="Arial" w:cs="Arial"/>
          <w:sz w:val="22"/>
          <w:szCs w:val="22"/>
        </w:rPr>
        <w:t>veřejnosprávních kontrol u</w:t>
      </w:r>
      <w:r w:rsidR="00D03CD0">
        <w:rPr>
          <w:rFonts w:ascii="Arial" w:hAnsi="Arial" w:cs="Arial"/>
          <w:sz w:val="22"/>
          <w:szCs w:val="22"/>
        </w:rPr>
        <w:t> </w:t>
      </w:r>
      <w:r w:rsidRPr="00005BF4">
        <w:rPr>
          <w:rFonts w:ascii="Arial" w:hAnsi="Arial" w:cs="Arial"/>
          <w:sz w:val="22"/>
          <w:szCs w:val="22"/>
        </w:rPr>
        <w:t>příjemců dotací</w:t>
      </w:r>
      <w:r w:rsidR="00C86610">
        <w:rPr>
          <w:rFonts w:ascii="Arial" w:hAnsi="Arial" w:cs="Arial"/>
          <w:sz w:val="22"/>
          <w:szCs w:val="22"/>
        </w:rPr>
        <w:t>.</w:t>
      </w:r>
      <w:r w:rsidRPr="00005BF4">
        <w:rPr>
          <w:rFonts w:ascii="Arial" w:hAnsi="Arial" w:cs="Arial"/>
          <w:sz w:val="22"/>
          <w:szCs w:val="22"/>
        </w:rPr>
        <w:t xml:space="preserve"> </w:t>
      </w:r>
      <w:r w:rsidR="00C86610">
        <w:rPr>
          <w:rFonts w:ascii="Arial" w:hAnsi="Arial" w:cs="Arial"/>
          <w:sz w:val="22"/>
          <w:szCs w:val="22"/>
        </w:rPr>
        <w:t>V</w:t>
      </w:r>
      <w:r w:rsidR="00C927B6">
        <w:rPr>
          <w:rFonts w:ascii="Arial" w:hAnsi="Arial" w:cs="Arial"/>
          <w:sz w:val="22"/>
          <w:szCs w:val="22"/>
        </w:rPr>
        <w:t> </w:t>
      </w:r>
      <w:r w:rsidR="00C86610">
        <w:rPr>
          <w:rFonts w:ascii="Arial" w:hAnsi="Arial" w:cs="Arial"/>
          <w:sz w:val="22"/>
          <w:szCs w:val="22"/>
        </w:rPr>
        <w:t xml:space="preserve">roce 2010 zkontrolovalo </w:t>
      </w:r>
      <w:r w:rsidR="000F44BD">
        <w:rPr>
          <w:rFonts w:ascii="Arial" w:hAnsi="Arial" w:cs="Arial"/>
          <w:sz w:val="22"/>
          <w:szCs w:val="22"/>
        </w:rPr>
        <w:t>dvě procenta</w:t>
      </w:r>
      <w:r w:rsidR="00C86610">
        <w:rPr>
          <w:rFonts w:ascii="Arial" w:hAnsi="Arial" w:cs="Arial"/>
          <w:sz w:val="22"/>
          <w:szCs w:val="22"/>
        </w:rPr>
        <w:t xml:space="preserve">, </w:t>
      </w:r>
      <w:r w:rsidR="00BF036A">
        <w:rPr>
          <w:rFonts w:ascii="Arial" w:hAnsi="Arial" w:cs="Arial"/>
          <w:sz w:val="22"/>
          <w:szCs w:val="22"/>
        </w:rPr>
        <w:t>v </w:t>
      </w:r>
      <w:r w:rsidR="00C86610">
        <w:rPr>
          <w:rFonts w:ascii="Arial" w:hAnsi="Arial" w:cs="Arial"/>
          <w:sz w:val="22"/>
          <w:szCs w:val="22"/>
        </w:rPr>
        <w:t xml:space="preserve">roce 2011 </w:t>
      </w:r>
      <w:r w:rsidR="00DA6F71">
        <w:rPr>
          <w:rFonts w:ascii="Arial" w:hAnsi="Arial" w:cs="Arial"/>
          <w:sz w:val="22"/>
          <w:szCs w:val="22"/>
        </w:rPr>
        <w:t>pět procent</w:t>
      </w:r>
      <w:r w:rsidR="00C86610">
        <w:rPr>
          <w:rFonts w:ascii="Arial" w:hAnsi="Arial" w:cs="Arial"/>
          <w:sz w:val="22"/>
          <w:szCs w:val="22"/>
        </w:rPr>
        <w:t xml:space="preserve"> a v</w:t>
      </w:r>
      <w:r w:rsidR="00C927B6">
        <w:rPr>
          <w:rFonts w:ascii="Arial" w:hAnsi="Arial" w:cs="Arial"/>
          <w:sz w:val="22"/>
          <w:szCs w:val="22"/>
        </w:rPr>
        <w:t> </w:t>
      </w:r>
      <w:r w:rsidR="00C86610">
        <w:rPr>
          <w:rFonts w:ascii="Arial" w:hAnsi="Arial" w:cs="Arial"/>
          <w:sz w:val="22"/>
          <w:szCs w:val="22"/>
        </w:rPr>
        <w:t xml:space="preserve">roce 2012 </w:t>
      </w:r>
      <w:r w:rsidR="00DA6F71">
        <w:rPr>
          <w:rFonts w:ascii="Arial" w:hAnsi="Arial" w:cs="Arial"/>
          <w:sz w:val="22"/>
          <w:szCs w:val="22"/>
        </w:rPr>
        <w:t xml:space="preserve">jedno procento </w:t>
      </w:r>
      <w:r w:rsidR="00C86610">
        <w:rPr>
          <w:rFonts w:ascii="Arial" w:hAnsi="Arial" w:cs="Arial"/>
          <w:sz w:val="22"/>
          <w:szCs w:val="22"/>
        </w:rPr>
        <w:t>objemu vynaložené účelové podpory</w:t>
      </w:r>
      <w:r w:rsidRPr="00005BF4">
        <w:rPr>
          <w:rFonts w:ascii="Arial" w:hAnsi="Arial" w:cs="Arial"/>
          <w:sz w:val="22"/>
          <w:szCs w:val="22"/>
        </w:rPr>
        <w:t>.</w:t>
      </w:r>
      <w:r w:rsidR="003B498A">
        <w:rPr>
          <w:rFonts w:ascii="Arial" w:hAnsi="Arial" w:cs="Arial"/>
          <w:sz w:val="22"/>
          <w:szCs w:val="22"/>
        </w:rPr>
        <w:t xml:space="preserve"> </w:t>
      </w:r>
      <w:r w:rsidR="00EF0FA1">
        <w:rPr>
          <w:rFonts w:ascii="Arial" w:hAnsi="Arial" w:cs="Arial"/>
          <w:sz w:val="22"/>
          <w:szCs w:val="22"/>
        </w:rPr>
        <w:t>MZe</w:t>
      </w:r>
      <w:r>
        <w:rPr>
          <w:rFonts w:ascii="Arial" w:hAnsi="Arial" w:cs="Arial"/>
          <w:sz w:val="22"/>
          <w:szCs w:val="22"/>
        </w:rPr>
        <w:t xml:space="preserve"> tak</w:t>
      </w:r>
      <w:r w:rsidR="00A949AE" w:rsidRPr="00A949AE">
        <w:rPr>
          <w:rFonts w:ascii="Arial" w:hAnsi="Arial" w:cs="Arial"/>
          <w:sz w:val="22"/>
          <w:szCs w:val="22"/>
        </w:rPr>
        <w:t xml:space="preserve"> </w:t>
      </w:r>
      <w:r w:rsidR="00C903D9">
        <w:rPr>
          <w:rFonts w:ascii="Arial" w:hAnsi="Arial" w:cs="Arial"/>
          <w:sz w:val="22"/>
          <w:szCs w:val="22"/>
        </w:rPr>
        <w:t>v</w:t>
      </w:r>
      <w:r w:rsidR="00BF036A">
        <w:rPr>
          <w:rFonts w:ascii="Arial" w:hAnsi="Arial" w:cs="Arial"/>
          <w:sz w:val="22"/>
          <w:szCs w:val="22"/>
        </w:rPr>
        <w:t> </w:t>
      </w:r>
      <w:r w:rsidR="00C903D9">
        <w:rPr>
          <w:rFonts w:ascii="Arial" w:hAnsi="Arial" w:cs="Arial"/>
          <w:sz w:val="22"/>
          <w:szCs w:val="22"/>
        </w:rPr>
        <w:t xml:space="preserve">roce 2010 a 2012 </w:t>
      </w:r>
      <w:r w:rsidR="00A949AE" w:rsidRPr="00A949AE">
        <w:rPr>
          <w:rFonts w:ascii="Arial" w:hAnsi="Arial" w:cs="Arial"/>
          <w:sz w:val="22"/>
          <w:szCs w:val="22"/>
        </w:rPr>
        <w:t>nepln</w:t>
      </w:r>
      <w:r w:rsidR="00EF0FA1">
        <w:rPr>
          <w:rFonts w:ascii="Arial" w:hAnsi="Arial" w:cs="Arial"/>
          <w:sz w:val="22"/>
          <w:szCs w:val="22"/>
        </w:rPr>
        <w:t>ilo</w:t>
      </w:r>
      <w:r w:rsidR="00A949AE" w:rsidRPr="00A949AE">
        <w:rPr>
          <w:rFonts w:ascii="Arial" w:hAnsi="Arial" w:cs="Arial"/>
          <w:sz w:val="22"/>
          <w:szCs w:val="22"/>
        </w:rPr>
        <w:t xml:space="preserve"> ukazatel podle citovaného ustanovení, tedy </w:t>
      </w:r>
      <w:r w:rsidR="00C903D9">
        <w:rPr>
          <w:rFonts w:ascii="Arial" w:hAnsi="Arial" w:cs="Arial"/>
          <w:sz w:val="22"/>
          <w:szCs w:val="22"/>
        </w:rPr>
        <w:t xml:space="preserve">prověřit finanční kontrolou </w:t>
      </w:r>
      <w:r w:rsidR="00A949AE" w:rsidRPr="00A949AE">
        <w:rPr>
          <w:rFonts w:ascii="Arial" w:hAnsi="Arial" w:cs="Arial"/>
          <w:sz w:val="22"/>
          <w:szCs w:val="22"/>
        </w:rPr>
        <w:t>5 % objemu účelové podpory</w:t>
      </w:r>
      <w:r w:rsidR="00C903D9">
        <w:rPr>
          <w:rFonts w:ascii="Arial" w:hAnsi="Arial" w:cs="Arial"/>
          <w:sz w:val="22"/>
          <w:szCs w:val="22"/>
        </w:rPr>
        <w:t>.</w:t>
      </w:r>
    </w:p>
    <w:p w14:paraId="78016730" w14:textId="77777777" w:rsidR="00B0728F" w:rsidRDefault="00B0728F" w:rsidP="00395C6A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14:paraId="78016731" w14:textId="77777777" w:rsidR="001C2E4F" w:rsidRDefault="00C903D9" w:rsidP="00395C6A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A949AE" w:rsidRPr="00A949AE">
        <w:rPr>
          <w:rFonts w:ascii="Arial" w:hAnsi="Arial" w:cs="Arial"/>
          <w:sz w:val="22"/>
          <w:szCs w:val="22"/>
        </w:rPr>
        <w:t>§ 13</w:t>
      </w:r>
      <w:r w:rsidR="00A359F9">
        <w:rPr>
          <w:rFonts w:ascii="Arial" w:hAnsi="Arial" w:cs="Arial"/>
          <w:sz w:val="22"/>
          <w:szCs w:val="22"/>
        </w:rPr>
        <w:t xml:space="preserve"> </w:t>
      </w:r>
      <w:r w:rsidR="00A359F9" w:rsidRPr="00A949AE">
        <w:rPr>
          <w:rFonts w:ascii="Arial" w:hAnsi="Arial" w:cs="Arial"/>
          <w:sz w:val="22"/>
          <w:szCs w:val="22"/>
        </w:rPr>
        <w:t>odst. 1 zákona</w:t>
      </w:r>
      <w:r w:rsidR="00A949AE" w:rsidRPr="00A949AE">
        <w:rPr>
          <w:rFonts w:ascii="Arial" w:hAnsi="Arial" w:cs="Arial"/>
          <w:sz w:val="22"/>
          <w:szCs w:val="22"/>
        </w:rPr>
        <w:t xml:space="preserve"> č. 130/2002 Sb.</w:t>
      </w:r>
      <w:r>
        <w:rPr>
          <w:rFonts w:ascii="Arial" w:hAnsi="Arial" w:cs="Arial"/>
          <w:sz w:val="22"/>
          <w:szCs w:val="22"/>
        </w:rPr>
        <w:t xml:space="preserve"> je stanoveno:</w:t>
      </w:r>
      <w:r w:rsidR="00A949AE" w:rsidRPr="00A949AE">
        <w:rPr>
          <w:rFonts w:ascii="Arial" w:hAnsi="Arial" w:cs="Arial"/>
          <w:sz w:val="22"/>
          <w:szCs w:val="22"/>
        </w:rPr>
        <w:t xml:space="preserve"> </w:t>
      </w:r>
      <w:r w:rsidR="00A949AE" w:rsidRPr="00395C6A">
        <w:rPr>
          <w:rFonts w:ascii="Arial" w:hAnsi="Arial" w:cs="Arial"/>
          <w:sz w:val="22"/>
          <w:szCs w:val="22"/>
        </w:rPr>
        <w:t>„</w:t>
      </w:r>
      <w:r w:rsidR="00A949AE" w:rsidRPr="00A949AE">
        <w:rPr>
          <w:rFonts w:ascii="Arial" w:hAnsi="Arial" w:cs="Arial"/>
          <w:i/>
          <w:sz w:val="22"/>
          <w:szCs w:val="22"/>
        </w:rPr>
        <w:t>Poskytovatel je povinen provádět kontrolu plnění cílů projektu, včetně kontroly čerpání a využívání podpory, účelnosti vynaložených nákladů projektu podle uzavřené smlouvy o poskytnutí podpory</w:t>
      </w:r>
      <w:r>
        <w:rPr>
          <w:rFonts w:ascii="Arial" w:hAnsi="Arial" w:cs="Arial"/>
          <w:i/>
          <w:sz w:val="22"/>
          <w:szCs w:val="22"/>
        </w:rPr>
        <w:t xml:space="preserve"> …</w:t>
      </w:r>
      <w:r w:rsidR="00A949AE" w:rsidRPr="00395C6A">
        <w:rPr>
          <w:rFonts w:ascii="Arial" w:hAnsi="Arial" w:cs="Arial"/>
          <w:sz w:val="22"/>
          <w:szCs w:val="22"/>
        </w:rPr>
        <w:t>“</w:t>
      </w:r>
      <w:r w:rsidR="00A949AE" w:rsidRPr="00A949AE">
        <w:rPr>
          <w:rFonts w:ascii="Arial" w:hAnsi="Arial" w:cs="Arial"/>
          <w:i/>
          <w:sz w:val="22"/>
          <w:szCs w:val="22"/>
        </w:rPr>
        <w:t xml:space="preserve"> </w:t>
      </w:r>
      <w:r w:rsidR="00A949AE" w:rsidRPr="00A949AE">
        <w:rPr>
          <w:rFonts w:ascii="Arial" w:hAnsi="Arial" w:cs="Arial"/>
          <w:sz w:val="22"/>
          <w:szCs w:val="22"/>
        </w:rPr>
        <w:t xml:space="preserve">Kontrolou bylo zjištěno, že tuto kontrolní činnost provádí MZe </w:t>
      </w:r>
      <w:r w:rsidR="00512C2E">
        <w:rPr>
          <w:rFonts w:ascii="Arial" w:hAnsi="Arial" w:cs="Arial"/>
          <w:sz w:val="22"/>
          <w:szCs w:val="22"/>
        </w:rPr>
        <w:t xml:space="preserve">pouze </w:t>
      </w:r>
      <w:r w:rsidR="00A949AE" w:rsidRPr="00A949AE">
        <w:rPr>
          <w:rFonts w:ascii="Arial" w:hAnsi="Arial" w:cs="Arial"/>
          <w:sz w:val="22"/>
          <w:szCs w:val="22"/>
        </w:rPr>
        <w:t xml:space="preserve">formou hodnocení ročních periodických zpráv. </w:t>
      </w:r>
      <w:r w:rsidR="000B375A">
        <w:rPr>
          <w:rFonts w:ascii="Arial" w:hAnsi="Arial" w:cs="Arial"/>
          <w:sz w:val="22"/>
          <w:szCs w:val="22"/>
        </w:rPr>
        <w:t xml:space="preserve">Podle </w:t>
      </w:r>
      <w:r>
        <w:rPr>
          <w:rFonts w:ascii="Arial" w:hAnsi="Arial" w:cs="Arial"/>
          <w:sz w:val="22"/>
          <w:szCs w:val="22"/>
        </w:rPr>
        <w:t>s</w:t>
      </w:r>
      <w:r w:rsidR="00A949AE" w:rsidRPr="00A949AE">
        <w:rPr>
          <w:rFonts w:ascii="Arial" w:hAnsi="Arial" w:cs="Arial"/>
          <w:sz w:val="22"/>
          <w:szCs w:val="22"/>
        </w:rPr>
        <w:t xml:space="preserve">mluv o podpoře </w:t>
      </w:r>
      <w:r w:rsidR="000B375A">
        <w:rPr>
          <w:rFonts w:ascii="Arial" w:hAnsi="Arial" w:cs="Arial"/>
          <w:sz w:val="22"/>
          <w:szCs w:val="22"/>
        </w:rPr>
        <w:t>m</w:t>
      </w:r>
      <w:r w:rsidR="00A949AE" w:rsidRPr="00A949AE">
        <w:rPr>
          <w:rFonts w:ascii="Arial" w:hAnsi="Arial" w:cs="Arial"/>
          <w:sz w:val="22"/>
          <w:szCs w:val="22"/>
        </w:rPr>
        <w:t>ají příjemc</w:t>
      </w:r>
      <w:r w:rsidR="000B375A">
        <w:rPr>
          <w:rFonts w:ascii="Arial" w:hAnsi="Arial" w:cs="Arial"/>
          <w:sz w:val="22"/>
          <w:szCs w:val="22"/>
        </w:rPr>
        <w:t>i</w:t>
      </w:r>
      <w:r w:rsidR="00A949AE" w:rsidRPr="00A949AE">
        <w:rPr>
          <w:rFonts w:ascii="Arial" w:hAnsi="Arial" w:cs="Arial"/>
          <w:sz w:val="22"/>
          <w:szCs w:val="22"/>
        </w:rPr>
        <w:t xml:space="preserve"> povinnost předkládat MZe </w:t>
      </w:r>
      <w:r w:rsidR="00A949AE" w:rsidRPr="00A949AE">
        <w:rPr>
          <w:rFonts w:ascii="Arial" w:hAnsi="Arial" w:cs="Arial"/>
          <w:sz w:val="22"/>
          <w:szCs w:val="22"/>
        </w:rPr>
        <w:lastRenderedPageBreak/>
        <w:t>periodickou zprávu za uplynulý rok vč. informace o vynaložených finančních prostředcích</w:t>
      </w:r>
      <w:r w:rsidR="00027F7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avšak</w:t>
      </w:r>
      <w:r w:rsidR="00027F70">
        <w:rPr>
          <w:rFonts w:ascii="Arial" w:hAnsi="Arial" w:cs="Arial"/>
          <w:sz w:val="22"/>
          <w:szCs w:val="22"/>
        </w:rPr>
        <w:t xml:space="preserve"> konkrétní podobu</w:t>
      </w:r>
      <w:r>
        <w:rPr>
          <w:rFonts w:ascii="Arial" w:hAnsi="Arial" w:cs="Arial"/>
          <w:sz w:val="22"/>
          <w:szCs w:val="22"/>
        </w:rPr>
        <w:t xml:space="preserve"> této zprávy Ministerstvo zemědělství</w:t>
      </w:r>
      <w:r w:rsidR="00027F70">
        <w:rPr>
          <w:rFonts w:ascii="Arial" w:hAnsi="Arial" w:cs="Arial"/>
          <w:sz w:val="22"/>
          <w:szCs w:val="22"/>
        </w:rPr>
        <w:t xml:space="preserve"> nespe</w:t>
      </w:r>
      <w:r w:rsidR="00024CE9">
        <w:rPr>
          <w:rFonts w:ascii="Arial" w:hAnsi="Arial" w:cs="Arial"/>
          <w:sz w:val="22"/>
          <w:szCs w:val="22"/>
        </w:rPr>
        <w:t>ci</w:t>
      </w:r>
      <w:r w:rsidR="00027F70">
        <w:rPr>
          <w:rFonts w:ascii="Arial" w:hAnsi="Arial" w:cs="Arial"/>
          <w:sz w:val="22"/>
          <w:szCs w:val="22"/>
        </w:rPr>
        <w:t>fikovalo</w:t>
      </w:r>
      <w:r w:rsidR="00A949AE" w:rsidRPr="00A949AE">
        <w:rPr>
          <w:rFonts w:ascii="Arial" w:hAnsi="Arial" w:cs="Arial"/>
          <w:sz w:val="22"/>
          <w:szCs w:val="22"/>
        </w:rPr>
        <w:t>. V</w:t>
      </w:r>
      <w:r w:rsidR="00C927B6">
        <w:rPr>
          <w:rFonts w:ascii="Arial" w:hAnsi="Arial" w:cs="Arial"/>
          <w:sz w:val="22"/>
          <w:szCs w:val="22"/>
        </w:rPr>
        <w:t> </w:t>
      </w:r>
      <w:r w:rsidR="00A949AE" w:rsidRPr="00A949AE">
        <w:rPr>
          <w:rFonts w:ascii="Arial" w:hAnsi="Arial" w:cs="Arial"/>
          <w:sz w:val="22"/>
          <w:szCs w:val="22"/>
        </w:rPr>
        <w:t>praxi příjemci do periodické zprávy uvádějí náklady souhrnně podle položkového členění a dále textový komentář k</w:t>
      </w:r>
      <w:r w:rsidR="0011149A">
        <w:rPr>
          <w:rFonts w:ascii="Arial" w:hAnsi="Arial" w:cs="Arial"/>
          <w:sz w:val="22"/>
          <w:szCs w:val="22"/>
        </w:rPr>
        <w:t> </w:t>
      </w:r>
      <w:r w:rsidR="00A949AE" w:rsidRPr="00A949AE">
        <w:rPr>
          <w:rFonts w:ascii="Arial" w:hAnsi="Arial" w:cs="Arial"/>
          <w:sz w:val="22"/>
          <w:szCs w:val="22"/>
        </w:rPr>
        <w:t>některým</w:t>
      </w:r>
      <w:r w:rsidR="0011149A">
        <w:rPr>
          <w:rFonts w:ascii="Arial" w:hAnsi="Arial" w:cs="Arial"/>
          <w:sz w:val="22"/>
          <w:szCs w:val="22"/>
        </w:rPr>
        <w:t xml:space="preserve"> jimi vybraným</w:t>
      </w:r>
      <w:r w:rsidR="00A949AE" w:rsidRPr="00A949AE">
        <w:rPr>
          <w:rFonts w:ascii="Arial" w:hAnsi="Arial" w:cs="Arial"/>
          <w:sz w:val="22"/>
          <w:szCs w:val="22"/>
        </w:rPr>
        <w:t xml:space="preserve"> výdajům. </w:t>
      </w:r>
      <w:r w:rsidR="00F37DAF" w:rsidRPr="00A949AE">
        <w:rPr>
          <w:rFonts w:ascii="Arial" w:hAnsi="Arial" w:cs="Arial"/>
          <w:sz w:val="22"/>
          <w:szCs w:val="22"/>
        </w:rPr>
        <w:t>K</w:t>
      </w:r>
      <w:r w:rsidR="00A949AE" w:rsidRPr="00A949AE">
        <w:rPr>
          <w:rFonts w:ascii="Arial" w:hAnsi="Arial" w:cs="Arial"/>
          <w:sz w:val="22"/>
          <w:szCs w:val="22"/>
        </w:rPr>
        <w:t>ontrol</w:t>
      </w:r>
      <w:r w:rsidR="00F37DAF">
        <w:rPr>
          <w:rFonts w:ascii="Arial" w:hAnsi="Arial" w:cs="Arial"/>
          <w:sz w:val="22"/>
          <w:szCs w:val="22"/>
        </w:rPr>
        <w:t xml:space="preserve">a </w:t>
      </w:r>
      <w:r w:rsidR="00A949AE" w:rsidRPr="00A949AE">
        <w:rPr>
          <w:rFonts w:ascii="Arial" w:hAnsi="Arial" w:cs="Arial"/>
          <w:sz w:val="22"/>
          <w:szCs w:val="22"/>
        </w:rPr>
        <w:t>prováděn</w:t>
      </w:r>
      <w:r w:rsidR="00F37DAF">
        <w:rPr>
          <w:rFonts w:ascii="Arial" w:hAnsi="Arial" w:cs="Arial"/>
          <w:sz w:val="22"/>
          <w:szCs w:val="22"/>
        </w:rPr>
        <w:t>á</w:t>
      </w:r>
      <w:r w:rsidR="00A949AE" w:rsidRPr="00A949AE">
        <w:rPr>
          <w:rFonts w:ascii="Arial" w:hAnsi="Arial" w:cs="Arial"/>
          <w:sz w:val="22"/>
          <w:szCs w:val="22"/>
        </w:rPr>
        <w:t xml:space="preserve"> poskytovatelem na základě periodických zpráv </w:t>
      </w:r>
      <w:r w:rsidR="00F37DAF">
        <w:rPr>
          <w:rFonts w:ascii="Arial" w:hAnsi="Arial" w:cs="Arial"/>
          <w:sz w:val="22"/>
          <w:szCs w:val="22"/>
        </w:rPr>
        <w:t>má své</w:t>
      </w:r>
      <w:r w:rsidR="00A949AE" w:rsidRPr="00A949AE">
        <w:rPr>
          <w:rFonts w:ascii="Arial" w:hAnsi="Arial" w:cs="Arial"/>
          <w:sz w:val="22"/>
          <w:szCs w:val="22"/>
        </w:rPr>
        <w:t xml:space="preserve"> </w:t>
      </w:r>
      <w:r w:rsidR="006F713D">
        <w:rPr>
          <w:rFonts w:ascii="Arial" w:hAnsi="Arial" w:cs="Arial"/>
          <w:sz w:val="22"/>
          <w:szCs w:val="22"/>
        </w:rPr>
        <w:t>o</w:t>
      </w:r>
      <w:r w:rsidR="00F37DAF" w:rsidRPr="00A949AE">
        <w:rPr>
          <w:rFonts w:ascii="Arial" w:hAnsi="Arial" w:cs="Arial"/>
          <w:sz w:val="22"/>
          <w:szCs w:val="22"/>
        </w:rPr>
        <w:t>mezení</w:t>
      </w:r>
      <w:r w:rsidR="00CE3BE8">
        <w:rPr>
          <w:rFonts w:ascii="Arial" w:hAnsi="Arial" w:cs="Arial"/>
          <w:sz w:val="22"/>
          <w:szCs w:val="22"/>
        </w:rPr>
        <w:t>, neboť</w:t>
      </w:r>
      <w:r w:rsidR="006F713D">
        <w:rPr>
          <w:rFonts w:ascii="Arial" w:hAnsi="Arial" w:cs="Arial"/>
          <w:sz w:val="22"/>
          <w:szCs w:val="22"/>
        </w:rPr>
        <w:t xml:space="preserve"> </w:t>
      </w:r>
      <w:r w:rsidR="00A949AE" w:rsidRPr="00A949AE">
        <w:rPr>
          <w:rFonts w:ascii="Arial" w:hAnsi="Arial" w:cs="Arial"/>
          <w:sz w:val="22"/>
          <w:szCs w:val="22"/>
        </w:rPr>
        <w:t>MZe nemá kompletní přehled o výdajích, ale jenom o</w:t>
      </w:r>
      <w:r w:rsidR="00353E86">
        <w:rPr>
          <w:rFonts w:ascii="Arial" w:hAnsi="Arial" w:cs="Arial"/>
          <w:sz w:val="22"/>
          <w:szCs w:val="22"/>
        </w:rPr>
        <w:t xml:space="preserve"> </w:t>
      </w:r>
      <w:r w:rsidR="00A949AE" w:rsidRPr="00A949AE">
        <w:rPr>
          <w:rFonts w:ascii="Arial" w:hAnsi="Arial" w:cs="Arial"/>
          <w:sz w:val="22"/>
          <w:szCs w:val="22"/>
        </w:rPr>
        <w:t>těch, o</w:t>
      </w:r>
      <w:r w:rsidR="003E4935">
        <w:rPr>
          <w:rFonts w:ascii="Arial" w:hAnsi="Arial" w:cs="Arial"/>
          <w:sz w:val="22"/>
          <w:szCs w:val="22"/>
        </w:rPr>
        <w:t> </w:t>
      </w:r>
      <w:r w:rsidR="00A949AE" w:rsidRPr="00A949AE">
        <w:rPr>
          <w:rFonts w:ascii="Arial" w:hAnsi="Arial" w:cs="Arial"/>
          <w:sz w:val="22"/>
          <w:szCs w:val="22"/>
        </w:rPr>
        <w:t>kterých se příjemce rozhodl podat informaci</w:t>
      </w:r>
      <w:r w:rsidR="00512C2E">
        <w:rPr>
          <w:rFonts w:ascii="Arial" w:hAnsi="Arial" w:cs="Arial"/>
          <w:sz w:val="22"/>
          <w:szCs w:val="22"/>
        </w:rPr>
        <w:t>.</w:t>
      </w:r>
      <w:r w:rsidR="00A949AE" w:rsidRPr="00A949AE">
        <w:rPr>
          <w:rFonts w:ascii="Arial" w:hAnsi="Arial" w:cs="Arial"/>
          <w:sz w:val="22"/>
          <w:szCs w:val="22"/>
        </w:rPr>
        <w:t xml:space="preserve"> </w:t>
      </w:r>
    </w:p>
    <w:p w14:paraId="78016732" w14:textId="77777777" w:rsidR="00B0728F" w:rsidRDefault="00B0728F" w:rsidP="00395C6A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14:paraId="78016733" w14:textId="77777777" w:rsidR="005236BB" w:rsidRPr="000B375A" w:rsidRDefault="005C0592" w:rsidP="00395C6A">
      <w:pPr>
        <w:pStyle w:val="Odstavecseseznamem"/>
        <w:numPr>
          <w:ilvl w:val="0"/>
          <w:numId w:val="6"/>
        </w:numPr>
        <w:tabs>
          <w:tab w:val="left" w:pos="284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0B375A">
        <w:rPr>
          <w:rFonts w:ascii="Arial" w:hAnsi="Arial" w:cs="Arial"/>
          <w:b/>
          <w:sz w:val="22"/>
          <w:szCs w:val="22"/>
        </w:rPr>
        <w:t>Zjištění u příjemců podpory</w:t>
      </w:r>
      <w:r w:rsidR="005236BB" w:rsidRPr="000B375A">
        <w:rPr>
          <w:rFonts w:ascii="Arial" w:hAnsi="Arial" w:cs="Arial"/>
          <w:b/>
          <w:sz w:val="22"/>
          <w:szCs w:val="22"/>
        </w:rPr>
        <w:t xml:space="preserve"> </w:t>
      </w:r>
    </w:p>
    <w:p w14:paraId="78016734" w14:textId="77777777" w:rsidR="00B0728F" w:rsidRDefault="00B0728F" w:rsidP="00395C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8016735" w14:textId="77777777" w:rsidR="00D555D1" w:rsidRPr="007F047F" w:rsidRDefault="00D555D1" w:rsidP="00395C6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D555D1">
        <w:rPr>
          <w:rFonts w:ascii="Arial" w:hAnsi="Arial" w:cs="Arial"/>
          <w:color w:val="000000"/>
          <w:sz w:val="22"/>
          <w:szCs w:val="22"/>
        </w:rPr>
        <w:t>Ke kontrole u příjemců dotací na podporu řešení projektů bylo vybráno 2</w:t>
      </w:r>
      <w:r w:rsidR="00DD45A0">
        <w:rPr>
          <w:rFonts w:ascii="Arial" w:hAnsi="Arial" w:cs="Arial"/>
          <w:color w:val="000000"/>
          <w:sz w:val="22"/>
          <w:szCs w:val="22"/>
        </w:rPr>
        <w:t>3</w:t>
      </w:r>
      <w:r w:rsidRPr="00D555D1">
        <w:rPr>
          <w:rFonts w:ascii="Arial" w:hAnsi="Arial" w:cs="Arial"/>
          <w:color w:val="000000"/>
          <w:sz w:val="22"/>
          <w:szCs w:val="22"/>
        </w:rPr>
        <w:t xml:space="preserve"> projektů </w:t>
      </w:r>
      <w:r w:rsidR="001C6BE3">
        <w:rPr>
          <w:rFonts w:ascii="Arial" w:hAnsi="Arial" w:cs="Arial"/>
          <w:color w:val="000000"/>
          <w:sz w:val="22"/>
          <w:szCs w:val="22"/>
        </w:rPr>
        <w:t xml:space="preserve">třinácti </w:t>
      </w:r>
      <w:r w:rsidRPr="00D555D1">
        <w:rPr>
          <w:rFonts w:ascii="Arial" w:hAnsi="Arial" w:cs="Arial"/>
          <w:color w:val="000000"/>
          <w:sz w:val="22"/>
          <w:szCs w:val="22"/>
        </w:rPr>
        <w:t>příjemců.</w:t>
      </w:r>
      <w:r w:rsidR="00BE140C">
        <w:rPr>
          <w:rFonts w:ascii="Arial" w:hAnsi="Arial" w:cs="Arial"/>
          <w:color w:val="000000"/>
          <w:sz w:val="22"/>
          <w:szCs w:val="22"/>
        </w:rPr>
        <w:t xml:space="preserve"> V</w:t>
      </w:r>
      <w:r w:rsidRPr="00D555D1">
        <w:rPr>
          <w:rFonts w:ascii="Arial" w:hAnsi="Arial" w:cs="Arial"/>
          <w:color w:val="000000"/>
          <w:sz w:val="22"/>
          <w:szCs w:val="22"/>
        </w:rPr>
        <w:t>ybrány</w:t>
      </w:r>
      <w:r w:rsidR="00BE140C">
        <w:rPr>
          <w:rFonts w:ascii="Arial" w:hAnsi="Arial" w:cs="Arial"/>
          <w:color w:val="000000"/>
          <w:sz w:val="22"/>
          <w:szCs w:val="22"/>
        </w:rPr>
        <w:t xml:space="preserve"> byly</w:t>
      </w:r>
      <w:r w:rsidRPr="00D555D1">
        <w:rPr>
          <w:rFonts w:ascii="Arial" w:hAnsi="Arial" w:cs="Arial"/>
          <w:color w:val="000000"/>
          <w:sz w:val="22"/>
          <w:szCs w:val="22"/>
        </w:rPr>
        <w:t xml:space="preserve"> projekty ukončené </w:t>
      </w:r>
      <w:r w:rsidR="00BF036A">
        <w:rPr>
          <w:rFonts w:ascii="Arial" w:hAnsi="Arial" w:cs="Arial"/>
          <w:color w:val="000000"/>
          <w:sz w:val="22"/>
          <w:szCs w:val="22"/>
        </w:rPr>
        <w:t>v </w:t>
      </w:r>
      <w:r w:rsidRPr="00D555D1">
        <w:rPr>
          <w:rFonts w:ascii="Arial" w:hAnsi="Arial" w:cs="Arial"/>
          <w:color w:val="000000"/>
          <w:sz w:val="22"/>
          <w:szCs w:val="22"/>
        </w:rPr>
        <w:t xml:space="preserve">kontrolovaném období, aby bylo možné vyhodnotit splnění účelu projektu, dosažení cílů a předání stanovených výsledků. Většina kontrolovaných projektů patřila do programu QH, menší část </w:t>
      </w:r>
      <w:r w:rsidR="003B498A">
        <w:rPr>
          <w:rFonts w:ascii="Arial" w:hAnsi="Arial" w:cs="Arial"/>
          <w:color w:val="000000"/>
          <w:sz w:val="22"/>
          <w:szCs w:val="22"/>
        </w:rPr>
        <w:t>do</w:t>
      </w:r>
      <w:r w:rsidR="00353E86">
        <w:rPr>
          <w:rFonts w:ascii="Arial" w:hAnsi="Arial" w:cs="Arial"/>
          <w:color w:val="000000"/>
          <w:sz w:val="22"/>
          <w:szCs w:val="22"/>
        </w:rPr>
        <w:t xml:space="preserve"> </w:t>
      </w:r>
      <w:r w:rsidRPr="00D555D1">
        <w:rPr>
          <w:rFonts w:ascii="Arial" w:hAnsi="Arial" w:cs="Arial"/>
          <w:color w:val="000000"/>
          <w:sz w:val="22"/>
          <w:szCs w:val="22"/>
        </w:rPr>
        <w:t>programu QI.</w:t>
      </w:r>
      <w:r w:rsidR="00846068">
        <w:rPr>
          <w:rFonts w:ascii="Arial" w:hAnsi="Arial" w:cs="Arial"/>
          <w:color w:val="000000"/>
          <w:sz w:val="22"/>
          <w:szCs w:val="22"/>
        </w:rPr>
        <w:t xml:space="preserve"> </w:t>
      </w:r>
      <w:r w:rsidR="00846068" w:rsidRPr="007F047F">
        <w:rPr>
          <w:rFonts w:ascii="Arial" w:hAnsi="Arial" w:cs="Arial"/>
          <w:color w:val="000000"/>
          <w:sz w:val="22"/>
          <w:szCs w:val="22"/>
        </w:rPr>
        <w:t xml:space="preserve">Kontrolovaný objem byl </w:t>
      </w:r>
      <w:r w:rsidR="007F047F" w:rsidRPr="007F047F">
        <w:rPr>
          <w:rFonts w:ascii="Arial" w:hAnsi="Arial" w:cs="Arial"/>
          <w:color w:val="000000"/>
          <w:sz w:val="22"/>
          <w:szCs w:val="22"/>
        </w:rPr>
        <w:t>98 282 tis. Kč.</w:t>
      </w:r>
    </w:p>
    <w:p w14:paraId="78016736" w14:textId="77777777" w:rsidR="00B0728F" w:rsidRDefault="00B0728F" w:rsidP="00395C6A">
      <w:pPr>
        <w:jc w:val="both"/>
        <w:rPr>
          <w:rFonts w:ascii="Arial" w:hAnsi="Arial" w:cs="Arial"/>
          <w:sz w:val="22"/>
          <w:szCs w:val="22"/>
        </w:rPr>
      </w:pPr>
    </w:p>
    <w:p w14:paraId="78016737" w14:textId="77777777" w:rsidR="00BE140C" w:rsidRPr="00BE140C" w:rsidRDefault="001C6BE3" w:rsidP="00395C6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D555D1" w:rsidRPr="00D555D1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9</w:t>
      </w:r>
      <w:r w:rsidR="00D555D1" w:rsidRPr="00D555D1">
        <w:rPr>
          <w:rFonts w:ascii="Arial" w:hAnsi="Arial" w:cs="Arial"/>
          <w:sz w:val="22"/>
          <w:szCs w:val="22"/>
        </w:rPr>
        <w:t xml:space="preserve"> odst. 4 zákona č. 130/2002 Sb.</w:t>
      </w:r>
      <w:r>
        <w:rPr>
          <w:rFonts w:ascii="Arial" w:hAnsi="Arial" w:cs="Arial"/>
          <w:sz w:val="22"/>
          <w:szCs w:val="22"/>
        </w:rPr>
        <w:t xml:space="preserve"> je stanoveno:</w:t>
      </w:r>
      <w:r w:rsidR="00D555D1" w:rsidRPr="00D555D1">
        <w:rPr>
          <w:rFonts w:ascii="Arial" w:hAnsi="Arial" w:cs="Arial"/>
          <w:sz w:val="22"/>
          <w:szCs w:val="22"/>
        </w:rPr>
        <w:t xml:space="preserve"> </w:t>
      </w:r>
      <w:r w:rsidR="007234C3" w:rsidRPr="00395C6A">
        <w:rPr>
          <w:rFonts w:ascii="Arial" w:hAnsi="Arial" w:cs="Arial"/>
          <w:sz w:val="22"/>
          <w:szCs w:val="22"/>
        </w:rPr>
        <w:t>„</w:t>
      </w:r>
      <w:r w:rsidR="00D555D1" w:rsidRPr="00D555D1">
        <w:rPr>
          <w:rFonts w:ascii="Arial" w:hAnsi="Arial" w:cs="Arial"/>
          <w:i/>
          <w:sz w:val="22"/>
          <w:szCs w:val="22"/>
        </w:rPr>
        <w:t xml:space="preserve">Smlouvu o poskytnutí podpory lze uzavřít </w:t>
      </w:r>
      <w:r w:rsidR="00BF036A">
        <w:rPr>
          <w:rFonts w:ascii="Arial" w:hAnsi="Arial" w:cs="Arial"/>
          <w:i/>
          <w:sz w:val="22"/>
          <w:szCs w:val="22"/>
        </w:rPr>
        <w:t>s </w:t>
      </w:r>
      <w:r w:rsidR="00D555D1" w:rsidRPr="00D555D1">
        <w:rPr>
          <w:rFonts w:ascii="Arial" w:hAnsi="Arial" w:cs="Arial"/>
          <w:i/>
          <w:sz w:val="22"/>
          <w:szCs w:val="22"/>
        </w:rPr>
        <w:t xml:space="preserve">více příjemci současně </w:t>
      </w:r>
      <w:r w:rsidR="00BF036A">
        <w:rPr>
          <w:rFonts w:ascii="Arial" w:hAnsi="Arial" w:cs="Arial"/>
          <w:i/>
          <w:sz w:val="22"/>
          <w:szCs w:val="22"/>
        </w:rPr>
        <w:t>s </w:t>
      </w:r>
      <w:r w:rsidR="00D555D1" w:rsidRPr="00D555D1">
        <w:rPr>
          <w:rFonts w:ascii="Arial" w:hAnsi="Arial" w:cs="Arial"/>
          <w:i/>
          <w:sz w:val="22"/>
          <w:szCs w:val="22"/>
        </w:rPr>
        <w:t>tím, že jejich vzájemné vztahy budou smluvně upraveny jako nedílná součást smlouvy.</w:t>
      </w:r>
      <w:r w:rsidR="00D555D1" w:rsidRPr="00395C6A">
        <w:rPr>
          <w:rFonts w:ascii="Arial" w:hAnsi="Arial" w:cs="Arial"/>
          <w:sz w:val="22"/>
          <w:szCs w:val="22"/>
        </w:rPr>
        <w:t>“</w:t>
      </w:r>
      <w:r w:rsidR="00D555D1" w:rsidRPr="00D555D1">
        <w:rPr>
          <w:rFonts w:ascii="Arial" w:hAnsi="Arial" w:cs="Arial"/>
          <w:i/>
          <w:sz w:val="22"/>
          <w:szCs w:val="22"/>
        </w:rPr>
        <w:t xml:space="preserve"> </w:t>
      </w:r>
      <w:r w:rsidR="00BF036A">
        <w:rPr>
          <w:rFonts w:ascii="Arial" w:hAnsi="Arial" w:cs="Arial"/>
          <w:sz w:val="22"/>
          <w:szCs w:val="22"/>
        </w:rPr>
        <w:t>V </w:t>
      </w:r>
      <w:r w:rsidR="00BE140C">
        <w:rPr>
          <w:rFonts w:ascii="Arial" w:hAnsi="Arial" w:cs="Arial"/>
          <w:sz w:val="22"/>
          <w:szCs w:val="22"/>
        </w:rPr>
        <w:t>11 případech</w:t>
      </w:r>
      <w:r w:rsidR="00D555D1" w:rsidRPr="00D555D1">
        <w:rPr>
          <w:rFonts w:ascii="Arial" w:hAnsi="Arial" w:cs="Arial"/>
          <w:sz w:val="22"/>
          <w:szCs w:val="22"/>
        </w:rPr>
        <w:t xml:space="preserve"> z </w:t>
      </w:r>
      <w:r w:rsidR="00DD45A0">
        <w:rPr>
          <w:rFonts w:ascii="Arial" w:hAnsi="Arial" w:cs="Arial"/>
          <w:sz w:val="22"/>
          <w:szCs w:val="22"/>
        </w:rPr>
        <w:t>13</w:t>
      </w:r>
      <w:r w:rsidR="00970C1A">
        <w:rPr>
          <w:rFonts w:ascii="Arial" w:hAnsi="Arial" w:cs="Arial"/>
          <w:sz w:val="22"/>
          <w:szCs w:val="22"/>
        </w:rPr>
        <w:t> </w:t>
      </w:r>
      <w:r w:rsidR="00D555D1" w:rsidRPr="00D555D1">
        <w:rPr>
          <w:rFonts w:ascii="Arial" w:hAnsi="Arial" w:cs="Arial"/>
          <w:sz w:val="22"/>
          <w:szCs w:val="22"/>
        </w:rPr>
        <w:t xml:space="preserve">kontrolovaných projektů, kterých se účastnilo více příjemců, </w:t>
      </w:r>
      <w:r w:rsidR="00BE140C">
        <w:rPr>
          <w:rFonts w:ascii="Arial" w:hAnsi="Arial" w:cs="Arial"/>
          <w:sz w:val="22"/>
          <w:szCs w:val="22"/>
        </w:rPr>
        <w:t>ne</w:t>
      </w:r>
      <w:r w:rsidR="00D555D1" w:rsidRPr="00D555D1">
        <w:rPr>
          <w:rFonts w:ascii="Arial" w:hAnsi="Arial" w:cs="Arial"/>
          <w:sz w:val="22"/>
          <w:szCs w:val="22"/>
        </w:rPr>
        <w:t xml:space="preserve">byly uzavřeny písemné </w:t>
      </w:r>
      <w:r w:rsidR="00005793">
        <w:rPr>
          <w:rFonts w:ascii="Arial" w:hAnsi="Arial" w:cs="Arial"/>
          <w:sz w:val="22"/>
          <w:szCs w:val="22"/>
        </w:rPr>
        <w:t>smlouvy</w:t>
      </w:r>
      <w:r w:rsidR="00005793" w:rsidRPr="00D555D1">
        <w:rPr>
          <w:rFonts w:ascii="Arial" w:hAnsi="Arial" w:cs="Arial"/>
          <w:color w:val="000000"/>
          <w:sz w:val="22"/>
          <w:szCs w:val="22"/>
        </w:rPr>
        <w:t xml:space="preserve"> </w:t>
      </w:r>
      <w:r w:rsidR="00D555D1" w:rsidRPr="00D555D1">
        <w:rPr>
          <w:rFonts w:ascii="Arial" w:hAnsi="Arial" w:cs="Arial"/>
          <w:color w:val="000000"/>
          <w:sz w:val="22"/>
          <w:szCs w:val="22"/>
        </w:rPr>
        <w:t>m</w:t>
      </w:r>
      <w:r w:rsidR="00ED5C42">
        <w:rPr>
          <w:rFonts w:ascii="Arial" w:hAnsi="Arial" w:cs="Arial"/>
          <w:color w:val="000000"/>
          <w:sz w:val="22"/>
          <w:szCs w:val="22"/>
        </w:rPr>
        <w:t>ezi příjemcem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="00ED5C42">
        <w:rPr>
          <w:rFonts w:ascii="Arial" w:hAnsi="Arial" w:cs="Arial"/>
          <w:color w:val="000000"/>
          <w:sz w:val="22"/>
          <w:szCs w:val="22"/>
        </w:rPr>
        <w:t>koordinátorem a</w:t>
      </w:r>
      <w:r w:rsidR="000266A9">
        <w:rPr>
          <w:rFonts w:ascii="Arial" w:hAnsi="Arial" w:cs="Arial"/>
          <w:color w:val="000000"/>
          <w:sz w:val="22"/>
          <w:szCs w:val="22"/>
        </w:rPr>
        <w:t> </w:t>
      </w:r>
      <w:r w:rsidR="00D555D1" w:rsidRPr="00D555D1">
        <w:rPr>
          <w:rFonts w:ascii="Arial" w:hAnsi="Arial" w:cs="Arial"/>
          <w:color w:val="000000"/>
          <w:sz w:val="22"/>
          <w:szCs w:val="22"/>
        </w:rPr>
        <w:t>dalším příjemcem nebo příjemci.</w:t>
      </w:r>
    </w:p>
    <w:p w14:paraId="78016738" w14:textId="77777777" w:rsidR="00B0728F" w:rsidRDefault="00B0728F" w:rsidP="00395C6A">
      <w:pPr>
        <w:jc w:val="both"/>
        <w:rPr>
          <w:rFonts w:ascii="Arial" w:hAnsi="Arial" w:cs="Arial"/>
          <w:sz w:val="22"/>
          <w:szCs w:val="22"/>
        </w:rPr>
      </w:pPr>
    </w:p>
    <w:p w14:paraId="78016739" w14:textId="77777777" w:rsidR="00D555D1" w:rsidRPr="00375066" w:rsidRDefault="00D555D1" w:rsidP="00395C6A">
      <w:pPr>
        <w:jc w:val="both"/>
        <w:rPr>
          <w:rFonts w:ascii="Arial" w:hAnsi="Arial" w:cs="Arial"/>
          <w:sz w:val="22"/>
          <w:szCs w:val="22"/>
        </w:rPr>
      </w:pPr>
      <w:r w:rsidRPr="00375066">
        <w:rPr>
          <w:rFonts w:ascii="Arial" w:hAnsi="Arial" w:cs="Arial"/>
          <w:sz w:val="22"/>
          <w:szCs w:val="22"/>
        </w:rPr>
        <w:t>MZe</w:t>
      </w:r>
      <w:r w:rsidR="00375066" w:rsidRPr="00375066">
        <w:rPr>
          <w:rFonts w:ascii="Arial" w:hAnsi="Arial" w:cs="Arial"/>
          <w:sz w:val="22"/>
          <w:szCs w:val="22"/>
        </w:rPr>
        <w:t xml:space="preserve"> </w:t>
      </w:r>
      <w:r w:rsidRPr="00375066">
        <w:rPr>
          <w:rFonts w:ascii="Arial" w:hAnsi="Arial" w:cs="Arial"/>
          <w:sz w:val="22"/>
          <w:szCs w:val="22"/>
        </w:rPr>
        <w:t>nevyžaduje sml</w:t>
      </w:r>
      <w:r w:rsidR="000966C8">
        <w:rPr>
          <w:rFonts w:ascii="Arial" w:hAnsi="Arial" w:cs="Arial"/>
          <w:sz w:val="22"/>
          <w:szCs w:val="22"/>
        </w:rPr>
        <w:t>u</w:t>
      </w:r>
      <w:r w:rsidR="006526A8">
        <w:rPr>
          <w:rFonts w:ascii="Arial" w:hAnsi="Arial" w:cs="Arial"/>
          <w:sz w:val="22"/>
          <w:szCs w:val="22"/>
        </w:rPr>
        <w:t>vní</w:t>
      </w:r>
      <w:r w:rsidRPr="00375066">
        <w:rPr>
          <w:rFonts w:ascii="Arial" w:hAnsi="Arial" w:cs="Arial"/>
          <w:sz w:val="22"/>
          <w:szCs w:val="22"/>
        </w:rPr>
        <w:t xml:space="preserve"> </w:t>
      </w:r>
      <w:r w:rsidR="006526A8">
        <w:rPr>
          <w:rFonts w:ascii="Arial" w:hAnsi="Arial" w:cs="Arial"/>
          <w:sz w:val="22"/>
          <w:szCs w:val="22"/>
        </w:rPr>
        <w:t>úpravu</w:t>
      </w:r>
      <w:r w:rsidR="006526A8" w:rsidRPr="00375066">
        <w:rPr>
          <w:rFonts w:ascii="Arial" w:hAnsi="Arial" w:cs="Arial"/>
          <w:sz w:val="22"/>
          <w:szCs w:val="22"/>
        </w:rPr>
        <w:t xml:space="preserve"> vzájemn</w:t>
      </w:r>
      <w:r w:rsidR="006526A8">
        <w:rPr>
          <w:rFonts w:ascii="Arial" w:hAnsi="Arial" w:cs="Arial"/>
          <w:sz w:val="22"/>
          <w:szCs w:val="22"/>
        </w:rPr>
        <w:t>ých</w:t>
      </w:r>
      <w:r w:rsidR="006526A8" w:rsidRPr="00375066">
        <w:rPr>
          <w:rFonts w:ascii="Arial" w:hAnsi="Arial" w:cs="Arial"/>
          <w:sz w:val="22"/>
          <w:szCs w:val="22"/>
        </w:rPr>
        <w:t xml:space="preserve"> vztah</w:t>
      </w:r>
      <w:r w:rsidR="006526A8">
        <w:rPr>
          <w:rFonts w:ascii="Arial" w:hAnsi="Arial" w:cs="Arial"/>
          <w:sz w:val="22"/>
          <w:szCs w:val="22"/>
        </w:rPr>
        <w:t>ů</w:t>
      </w:r>
      <w:r w:rsidRPr="00375066">
        <w:rPr>
          <w:rFonts w:ascii="Arial" w:hAnsi="Arial" w:cs="Arial"/>
          <w:sz w:val="22"/>
          <w:szCs w:val="22"/>
        </w:rPr>
        <w:t xml:space="preserve">, protože podle </w:t>
      </w:r>
      <w:r w:rsidR="00F21D00">
        <w:rPr>
          <w:rFonts w:ascii="Arial" w:hAnsi="Arial" w:cs="Arial"/>
          <w:sz w:val="22"/>
          <w:szCs w:val="22"/>
        </w:rPr>
        <w:t>jeho mínění</w:t>
      </w:r>
      <w:r w:rsidRPr="00375066">
        <w:rPr>
          <w:rFonts w:ascii="Arial" w:hAnsi="Arial" w:cs="Arial"/>
          <w:sz w:val="22"/>
          <w:szCs w:val="22"/>
        </w:rPr>
        <w:t xml:space="preserve"> tuto roli plní samotná </w:t>
      </w:r>
      <w:r w:rsidR="00F21D00">
        <w:rPr>
          <w:rFonts w:ascii="Arial" w:hAnsi="Arial" w:cs="Arial"/>
          <w:sz w:val="22"/>
          <w:szCs w:val="22"/>
        </w:rPr>
        <w:t>s</w:t>
      </w:r>
      <w:r w:rsidRPr="00375066">
        <w:rPr>
          <w:rFonts w:ascii="Arial" w:hAnsi="Arial" w:cs="Arial"/>
          <w:sz w:val="22"/>
          <w:szCs w:val="22"/>
        </w:rPr>
        <w:t>mlouva o podpoře. Závazná úprava některých věcných</w:t>
      </w:r>
      <w:r w:rsidR="00BE140C" w:rsidRPr="00375066">
        <w:rPr>
          <w:rFonts w:ascii="Arial" w:hAnsi="Arial" w:cs="Arial"/>
          <w:sz w:val="22"/>
          <w:szCs w:val="22"/>
        </w:rPr>
        <w:t xml:space="preserve"> vztahů mezi </w:t>
      </w:r>
      <w:r w:rsidR="00BE140C" w:rsidRPr="00395C6A">
        <w:rPr>
          <w:rFonts w:ascii="Arial" w:hAnsi="Arial" w:cs="Arial"/>
          <w:spacing w:val="-2"/>
          <w:sz w:val="22"/>
          <w:szCs w:val="22"/>
        </w:rPr>
        <w:t>příjemci je však nezbytná</w:t>
      </w:r>
      <w:r w:rsidRPr="00395C6A">
        <w:rPr>
          <w:rFonts w:ascii="Arial" w:hAnsi="Arial" w:cs="Arial"/>
          <w:spacing w:val="-2"/>
          <w:sz w:val="22"/>
          <w:szCs w:val="22"/>
        </w:rPr>
        <w:t xml:space="preserve"> – </w:t>
      </w:r>
      <w:r w:rsidR="00F21D00" w:rsidRPr="00395C6A">
        <w:rPr>
          <w:rFonts w:ascii="Arial" w:hAnsi="Arial" w:cs="Arial"/>
          <w:spacing w:val="-2"/>
          <w:sz w:val="22"/>
          <w:szCs w:val="22"/>
        </w:rPr>
        <w:t xml:space="preserve">musí </w:t>
      </w:r>
      <w:r w:rsidRPr="00395C6A">
        <w:rPr>
          <w:rFonts w:ascii="Arial" w:hAnsi="Arial" w:cs="Arial"/>
          <w:spacing w:val="-2"/>
          <w:sz w:val="22"/>
          <w:szCs w:val="22"/>
        </w:rPr>
        <w:t xml:space="preserve">např. </w:t>
      </w:r>
      <w:r w:rsidR="00F21D00" w:rsidRPr="00395C6A">
        <w:rPr>
          <w:rFonts w:ascii="Arial" w:hAnsi="Arial" w:cs="Arial"/>
          <w:spacing w:val="-2"/>
          <w:sz w:val="22"/>
          <w:szCs w:val="22"/>
        </w:rPr>
        <w:t xml:space="preserve">stanovit, </w:t>
      </w:r>
      <w:r w:rsidRPr="00395C6A">
        <w:rPr>
          <w:rFonts w:ascii="Arial" w:hAnsi="Arial" w:cs="Arial"/>
          <w:spacing w:val="-2"/>
          <w:sz w:val="22"/>
          <w:szCs w:val="22"/>
        </w:rPr>
        <w:t>kdo se bude na řešení projektu podílet</w:t>
      </w:r>
      <w:r w:rsidR="00F21D00" w:rsidRPr="00395C6A">
        <w:rPr>
          <w:rFonts w:ascii="Arial" w:hAnsi="Arial" w:cs="Arial"/>
          <w:spacing w:val="-2"/>
          <w:sz w:val="22"/>
          <w:szCs w:val="22"/>
        </w:rPr>
        <w:t xml:space="preserve"> </w:t>
      </w:r>
      <w:r w:rsidRPr="00395C6A">
        <w:rPr>
          <w:rFonts w:ascii="Arial" w:hAnsi="Arial" w:cs="Arial"/>
          <w:spacing w:val="-2"/>
          <w:sz w:val="22"/>
          <w:szCs w:val="22"/>
        </w:rPr>
        <w:t>jakými</w:t>
      </w:r>
      <w:r w:rsidRPr="00375066">
        <w:rPr>
          <w:rFonts w:ascii="Arial" w:hAnsi="Arial" w:cs="Arial"/>
          <w:sz w:val="22"/>
          <w:szCs w:val="22"/>
        </w:rPr>
        <w:t xml:space="preserve"> pracemi, termíny pro předávání materiálů, úprav</w:t>
      </w:r>
      <w:r w:rsidR="00F21D00">
        <w:rPr>
          <w:rFonts w:ascii="Arial" w:hAnsi="Arial" w:cs="Arial"/>
          <w:sz w:val="22"/>
          <w:szCs w:val="22"/>
        </w:rPr>
        <w:t>u</w:t>
      </w:r>
      <w:r w:rsidRPr="00375066">
        <w:rPr>
          <w:rFonts w:ascii="Arial" w:hAnsi="Arial" w:cs="Arial"/>
          <w:sz w:val="22"/>
          <w:szCs w:val="22"/>
        </w:rPr>
        <w:t xml:space="preserve"> kontrol ze strany příjemce-koordinátora, odpovědnost za jednotlivé výsledky, sankc</w:t>
      </w:r>
      <w:r w:rsidR="00F21D00">
        <w:rPr>
          <w:rFonts w:ascii="Arial" w:hAnsi="Arial" w:cs="Arial"/>
          <w:sz w:val="22"/>
          <w:szCs w:val="22"/>
        </w:rPr>
        <w:t>e</w:t>
      </w:r>
      <w:r w:rsidRPr="00375066">
        <w:rPr>
          <w:rFonts w:ascii="Arial" w:hAnsi="Arial" w:cs="Arial"/>
          <w:sz w:val="22"/>
          <w:szCs w:val="22"/>
        </w:rPr>
        <w:t xml:space="preserve"> za neplnění dohodnutých úkolů apod. Zjištěný stav tak neodpovídá </w:t>
      </w:r>
      <w:r w:rsidR="006526A8" w:rsidRPr="00D555D1">
        <w:rPr>
          <w:rFonts w:ascii="Arial" w:hAnsi="Arial" w:cs="Arial"/>
          <w:sz w:val="22"/>
          <w:szCs w:val="22"/>
        </w:rPr>
        <w:t xml:space="preserve">§ </w:t>
      </w:r>
      <w:r w:rsidR="002C6FDE">
        <w:rPr>
          <w:rFonts w:ascii="Arial" w:hAnsi="Arial" w:cs="Arial"/>
          <w:sz w:val="22"/>
          <w:szCs w:val="22"/>
        </w:rPr>
        <w:t>9</w:t>
      </w:r>
      <w:r w:rsidR="006526A8" w:rsidRPr="00D555D1">
        <w:rPr>
          <w:rFonts w:ascii="Arial" w:hAnsi="Arial" w:cs="Arial"/>
          <w:sz w:val="22"/>
          <w:szCs w:val="22"/>
        </w:rPr>
        <w:t xml:space="preserve"> odst. 4 </w:t>
      </w:r>
      <w:r w:rsidR="006526A8" w:rsidRPr="00375066">
        <w:rPr>
          <w:rFonts w:ascii="Arial" w:hAnsi="Arial" w:cs="Arial"/>
          <w:sz w:val="22"/>
          <w:szCs w:val="22"/>
        </w:rPr>
        <w:t>zákon</w:t>
      </w:r>
      <w:r w:rsidR="006526A8">
        <w:rPr>
          <w:rFonts w:ascii="Arial" w:hAnsi="Arial" w:cs="Arial"/>
          <w:sz w:val="22"/>
          <w:szCs w:val="22"/>
        </w:rPr>
        <w:t>a</w:t>
      </w:r>
      <w:r w:rsidR="006526A8" w:rsidRPr="00375066">
        <w:rPr>
          <w:rFonts w:ascii="Arial" w:hAnsi="Arial" w:cs="Arial"/>
          <w:sz w:val="22"/>
          <w:szCs w:val="22"/>
        </w:rPr>
        <w:t xml:space="preserve"> </w:t>
      </w:r>
      <w:r w:rsidRPr="00375066">
        <w:rPr>
          <w:rFonts w:ascii="Arial" w:hAnsi="Arial" w:cs="Arial"/>
          <w:sz w:val="22"/>
          <w:szCs w:val="22"/>
        </w:rPr>
        <w:t xml:space="preserve">č. 130/2002 Sb. ani </w:t>
      </w:r>
      <w:r w:rsidR="002C6FDE">
        <w:rPr>
          <w:rFonts w:ascii="Arial" w:hAnsi="Arial" w:cs="Arial"/>
          <w:sz w:val="22"/>
          <w:szCs w:val="22"/>
        </w:rPr>
        <w:t>s</w:t>
      </w:r>
      <w:r w:rsidRPr="00375066">
        <w:rPr>
          <w:rFonts w:ascii="Arial" w:hAnsi="Arial" w:cs="Arial"/>
          <w:sz w:val="22"/>
          <w:szCs w:val="22"/>
        </w:rPr>
        <w:t>mlouvě o podpoře.</w:t>
      </w:r>
    </w:p>
    <w:p w14:paraId="7801673A" w14:textId="77777777" w:rsidR="00B0728F" w:rsidRDefault="00B0728F" w:rsidP="00395C6A">
      <w:pPr>
        <w:jc w:val="both"/>
        <w:rPr>
          <w:rFonts w:ascii="Arial" w:hAnsi="Arial" w:cs="Arial"/>
          <w:sz w:val="22"/>
        </w:rPr>
      </w:pPr>
    </w:p>
    <w:p w14:paraId="7801673B" w14:textId="77777777" w:rsidR="002A5A35" w:rsidRDefault="001C430D" w:rsidP="00395C6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E4B8A">
        <w:rPr>
          <w:rFonts w:ascii="Arial" w:hAnsi="Arial" w:cs="Arial"/>
          <w:sz w:val="22"/>
        </w:rPr>
        <w:t>NKÚ</w:t>
      </w:r>
      <w:r>
        <w:rPr>
          <w:rFonts w:ascii="Arial" w:hAnsi="Arial" w:cs="Arial"/>
          <w:sz w:val="22"/>
        </w:rPr>
        <w:t xml:space="preserve"> vycházel i </w:t>
      </w:r>
      <w:r w:rsidR="00BF036A">
        <w:rPr>
          <w:rFonts w:ascii="Arial" w:hAnsi="Arial" w:cs="Arial"/>
          <w:sz w:val="22"/>
        </w:rPr>
        <w:t>z </w:t>
      </w:r>
      <w:r w:rsidRPr="00FE4B8A">
        <w:rPr>
          <w:rFonts w:ascii="Arial" w:hAnsi="Arial" w:cs="Arial"/>
          <w:sz w:val="22"/>
        </w:rPr>
        <w:t xml:space="preserve">hodnocení přínosů </w:t>
      </w:r>
      <w:r w:rsidR="001700A1">
        <w:rPr>
          <w:rFonts w:ascii="Arial" w:hAnsi="Arial" w:cs="Arial"/>
          <w:sz w:val="22"/>
        </w:rPr>
        <w:t xml:space="preserve">konkrétních </w:t>
      </w:r>
      <w:r w:rsidRPr="00FE4B8A">
        <w:rPr>
          <w:rFonts w:ascii="Arial" w:hAnsi="Arial" w:cs="Arial"/>
          <w:sz w:val="22"/>
        </w:rPr>
        <w:t>projektů, jak je zpracovali</w:t>
      </w:r>
      <w:r>
        <w:rPr>
          <w:rFonts w:ascii="Arial" w:hAnsi="Arial" w:cs="Arial"/>
          <w:sz w:val="22"/>
        </w:rPr>
        <w:t xml:space="preserve"> kontrolovaní</w:t>
      </w:r>
      <w:r w:rsidRPr="00FE4B8A">
        <w:rPr>
          <w:rFonts w:ascii="Arial" w:hAnsi="Arial" w:cs="Arial"/>
          <w:sz w:val="22"/>
        </w:rPr>
        <w:t xml:space="preserve"> příjemci. Ve většině případů </w:t>
      </w:r>
      <w:r w:rsidR="002D520F">
        <w:rPr>
          <w:rFonts w:ascii="Arial" w:hAnsi="Arial" w:cs="Arial"/>
          <w:sz w:val="22"/>
        </w:rPr>
        <w:t>považuje NKÚ</w:t>
      </w:r>
      <w:r w:rsidRPr="00D555D1">
        <w:rPr>
          <w:rFonts w:ascii="Arial" w:hAnsi="Arial" w:cs="Arial"/>
          <w:color w:val="000000"/>
          <w:sz w:val="22"/>
          <w:szCs w:val="22"/>
        </w:rPr>
        <w:t xml:space="preserve"> p</w:t>
      </w:r>
      <w:r>
        <w:rPr>
          <w:rFonts w:ascii="Arial" w:hAnsi="Arial" w:cs="Arial"/>
          <w:color w:val="000000"/>
          <w:sz w:val="22"/>
          <w:szCs w:val="22"/>
        </w:rPr>
        <w:t xml:space="preserve">rovedený výzkum </w:t>
      </w:r>
      <w:r w:rsidR="002D520F">
        <w:rPr>
          <w:rFonts w:ascii="Arial" w:hAnsi="Arial" w:cs="Arial"/>
          <w:color w:val="000000"/>
          <w:sz w:val="22"/>
          <w:szCs w:val="22"/>
        </w:rPr>
        <w:t xml:space="preserve">za </w:t>
      </w:r>
      <w:r>
        <w:rPr>
          <w:rFonts w:ascii="Arial" w:hAnsi="Arial" w:cs="Arial"/>
          <w:color w:val="000000"/>
          <w:sz w:val="22"/>
          <w:szCs w:val="22"/>
        </w:rPr>
        <w:t xml:space="preserve">smysluplný </w:t>
      </w:r>
      <w:r w:rsidR="00BF036A">
        <w:rPr>
          <w:rFonts w:ascii="Arial" w:hAnsi="Arial" w:cs="Arial"/>
          <w:color w:val="000000"/>
          <w:sz w:val="22"/>
          <w:szCs w:val="22"/>
        </w:rPr>
        <w:t>s </w:t>
      </w:r>
      <w:r w:rsidRPr="00D555D1">
        <w:rPr>
          <w:rFonts w:ascii="Arial" w:hAnsi="Arial" w:cs="Arial"/>
          <w:color w:val="000000"/>
          <w:sz w:val="22"/>
          <w:szCs w:val="22"/>
        </w:rPr>
        <w:t>konkrétní</w:t>
      </w:r>
      <w:r>
        <w:rPr>
          <w:rFonts w:ascii="Arial" w:hAnsi="Arial" w:cs="Arial"/>
          <w:color w:val="000000"/>
          <w:sz w:val="22"/>
          <w:szCs w:val="22"/>
        </w:rPr>
        <w:t>mi</w:t>
      </w:r>
      <w:r w:rsidRPr="00D555D1">
        <w:rPr>
          <w:rFonts w:ascii="Arial" w:hAnsi="Arial" w:cs="Arial"/>
          <w:color w:val="000000"/>
          <w:sz w:val="22"/>
          <w:szCs w:val="22"/>
        </w:rPr>
        <w:t xml:space="preserve"> přínosy. </w:t>
      </w:r>
    </w:p>
    <w:p w14:paraId="7801673C" w14:textId="77777777" w:rsidR="00B0728F" w:rsidRDefault="00B0728F" w:rsidP="00395C6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801673D" w14:textId="77777777" w:rsidR="001C430D" w:rsidRDefault="00BF036A" w:rsidP="00395C6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</w:t>
      </w:r>
      <w:r w:rsidR="002A5A35">
        <w:rPr>
          <w:rFonts w:ascii="Arial" w:hAnsi="Arial" w:cs="Arial"/>
          <w:color w:val="000000"/>
          <w:sz w:val="22"/>
          <w:szCs w:val="22"/>
        </w:rPr>
        <w:t>případě</w:t>
      </w:r>
      <w:r w:rsidR="001C430D" w:rsidRPr="00D555D1">
        <w:rPr>
          <w:rFonts w:ascii="Arial" w:hAnsi="Arial" w:cs="Arial"/>
          <w:color w:val="000000"/>
          <w:sz w:val="22"/>
          <w:szCs w:val="22"/>
        </w:rPr>
        <w:t xml:space="preserve"> projektu typu studie </w:t>
      </w:r>
      <w:r>
        <w:rPr>
          <w:rFonts w:ascii="Arial" w:hAnsi="Arial" w:cs="Arial"/>
          <w:color w:val="000000"/>
          <w:sz w:val="22"/>
          <w:szCs w:val="22"/>
        </w:rPr>
        <w:t>s </w:t>
      </w:r>
      <w:r w:rsidR="001C430D" w:rsidRPr="00D555D1">
        <w:rPr>
          <w:rFonts w:ascii="Arial" w:hAnsi="Arial" w:cs="Arial"/>
          <w:color w:val="000000"/>
          <w:sz w:val="22"/>
          <w:szCs w:val="22"/>
        </w:rPr>
        <w:t xml:space="preserve">názvem </w:t>
      </w:r>
      <w:r w:rsidR="001C430D" w:rsidRPr="00D555D1">
        <w:rPr>
          <w:rFonts w:ascii="Arial" w:hAnsi="Arial" w:cs="Arial"/>
          <w:i/>
          <w:color w:val="000000"/>
          <w:sz w:val="22"/>
          <w:szCs w:val="22"/>
        </w:rPr>
        <w:t xml:space="preserve">Synergie </w:t>
      </w:r>
      <w:r>
        <w:rPr>
          <w:rFonts w:ascii="Arial" w:hAnsi="Arial" w:cs="Arial"/>
          <w:i/>
          <w:color w:val="000000"/>
          <w:sz w:val="22"/>
          <w:szCs w:val="22"/>
        </w:rPr>
        <w:t>v </w:t>
      </w:r>
      <w:r w:rsidR="001C430D" w:rsidRPr="00D555D1">
        <w:rPr>
          <w:rFonts w:ascii="Arial" w:hAnsi="Arial" w:cs="Arial"/>
          <w:i/>
          <w:color w:val="000000"/>
          <w:sz w:val="22"/>
          <w:szCs w:val="22"/>
        </w:rPr>
        <w:t xml:space="preserve">přístupu </w:t>
      </w:r>
      <w:r>
        <w:rPr>
          <w:rFonts w:ascii="Arial" w:hAnsi="Arial" w:cs="Arial"/>
          <w:i/>
          <w:color w:val="000000"/>
          <w:sz w:val="22"/>
          <w:szCs w:val="22"/>
        </w:rPr>
        <w:t>k </w:t>
      </w:r>
      <w:r w:rsidR="001C430D" w:rsidRPr="00D555D1">
        <w:rPr>
          <w:rFonts w:ascii="Arial" w:hAnsi="Arial" w:cs="Arial"/>
          <w:i/>
          <w:color w:val="000000"/>
          <w:sz w:val="22"/>
          <w:szCs w:val="22"/>
        </w:rPr>
        <w:t xml:space="preserve">rozvoji venkova: návrh strukturovaného komplexu postupů, opatření a nástrojů </w:t>
      </w:r>
      <w:r>
        <w:rPr>
          <w:rFonts w:ascii="Arial" w:hAnsi="Arial" w:cs="Arial"/>
          <w:i/>
          <w:color w:val="000000"/>
          <w:sz w:val="22"/>
          <w:szCs w:val="22"/>
        </w:rPr>
        <w:t>k </w:t>
      </w:r>
      <w:r w:rsidR="001C430D" w:rsidRPr="00D555D1">
        <w:rPr>
          <w:rFonts w:ascii="Arial" w:hAnsi="Arial" w:cs="Arial"/>
          <w:i/>
          <w:color w:val="000000"/>
          <w:sz w:val="22"/>
          <w:szCs w:val="22"/>
        </w:rPr>
        <w:t xml:space="preserve">podpoře vyšší kvality života na venkově a podnikání </w:t>
      </w:r>
      <w:r>
        <w:rPr>
          <w:rFonts w:ascii="Arial" w:hAnsi="Arial" w:cs="Arial"/>
          <w:i/>
          <w:color w:val="000000"/>
          <w:sz w:val="22"/>
          <w:szCs w:val="22"/>
        </w:rPr>
        <w:t>v </w:t>
      </w:r>
      <w:r w:rsidR="001C430D" w:rsidRPr="00D555D1">
        <w:rPr>
          <w:rFonts w:ascii="Arial" w:hAnsi="Arial" w:cs="Arial"/>
          <w:i/>
          <w:color w:val="000000"/>
          <w:sz w:val="22"/>
          <w:szCs w:val="22"/>
        </w:rPr>
        <w:t>agrárním sektoru zkvalitněním činnosti institucí ovlivňujících tento rozvoj</w:t>
      </w:r>
      <w:r w:rsidR="001C430D" w:rsidRPr="00D555D1">
        <w:rPr>
          <w:rFonts w:ascii="Arial" w:hAnsi="Arial" w:cs="Arial"/>
          <w:color w:val="000000"/>
          <w:sz w:val="22"/>
          <w:szCs w:val="22"/>
        </w:rPr>
        <w:t xml:space="preserve"> NKÚ označil přínos</w:t>
      </w:r>
      <w:r w:rsidR="001C430D">
        <w:rPr>
          <w:rFonts w:ascii="Arial" w:hAnsi="Arial" w:cs="Arial"/>
          <w:color w:val="000000"/>
          <w:sz w:val="22"/>
          <w:szCs w:val="22"/>
        </w:rPr>
        <w:t>y</w:t>
      </w:r>
      <w:r w:rsidR="001C430D" w:rsidRPr="00D555D1">
        <w:rPr>
          <w:rFonts w:ascii="Arial" w:hAnsi="Arial" w:cs="Arial"/>
          <w:color w:val="000000"/>
          <w:sz w:val="22"/>
          <w:szCs w:val="22"/>
        </w:rPr>
        <w:t xml:space="preserve"> </w:t>
      </w:r>
      <w:r w:rsidR="00EF0FA1">
        <w:rPr>
          <w:rFonts w:ascii="Arial" w:hAnsi="Arial" w:cs="Arial"/>
          <w:color w:val="000000"/>
          <w:sz w:val="22"/>
          <w:szCs w:val="22"/>
        </w:rPr>
        <w:t xml:space="preserve">tohoto aplikovaného výzkumu </w:t>
      </w:r>
      <w:r w:rsidR="001C430D">
        <w:rPr>
          <w:rFonts w:ascii="Arial" w:hAnsi="Arial" w:cs="Arial"/>
          <w:color w:val="000000"/>
          <w:sz w:val="22"/>
          <w:szCs w:val="22"/>
        </w:rPr>
        <w:t xml:space="preserve">většinou </w:t>
      </w:r>
      <w:r w:rsidR="001C430D" w:rsidRPr="00D555D1">
        <w:rPr>
          <w:rFonts w:ascii="Arial" w:hAnsi="Arial" w:cs="Arial"/>
          <w:color w:val="000000"/>
          <w:sz w:val="22"/>
          <w:szCs w:val="22"/>
        </w:rPr>
        <w:t>za abstraktní</w:t>
      </w:r>
      <w:r w:rsidR="001C430D">
        <w:rPr>
          <w:rFonts w:ascii="Arial" w:hAnsi="Arial" w:cs="Arial"/>
          <w:color w:val="000000"/>
          <w:sz w:val="22"/>
          <w:szCs w:val="22"/>
        </w:rPr>
        <w:t xml:space="preserve"> a</w:t>
      </w:r>
      <w:r w:rsidR="008A5823">
        <w:rPr>
          <w:rFonts w:ascii="Arial" w:hAnsi="Arial" w:cs="Arial"/>
          <w:color w:val="000000"/>
          <w:sz w:val="22"/>
          <w:szCs w:val="22"/>
        </w:rPr>
        <w:t> </w:t>
      </w:r>
      <w:r w:rsidR="001C430D">
        <w:rPr>
          <w:rFonts w:ascii="Arial" w:hAnsi="Arial" w:cs="Arial"/>
          <w:color w:val="000000"/>
          <w:sz w:val="22"/>
          <w:szCs w:val="22"/>
        </w:rPr>
        <w:t>teoretické.</w:t>
      </w:r>
      <w:r w:rsidR="001C430D" w:rsidRPr="00D555D1">
        <w:rPr>
          <w:rFonts w:ascii="Arial" w:hAnsi="Arial" w:cs="Arial"/>
          <w:color w:val="000000"/>
          <w:sz w:val="22"/>
          <w:szCs w:val="22"/>
        </w:rPr>
        <w:t xml:space="preserve"> Dotace činila </w:t>
      </w:r>
      <w:r w:rsidR="001C430D">
        <w:rPr>
          <w:rFonts w:ascii="Arial" w:hAnsi="Arial" w:cs="Arial"/>
          <w:color w:val="000000"/>
          <w:sz w:val="22"/>
          <w:szCs w:val="22"/>
        </w:rPr>
        <w:t>4 843</w:t>
      </w:r>
      <w:r w:rsidR="001C430D" w:rsidRPr="00D555D1">
        <w:rPr>
          <w:rFonts w:ascii="Arial" w:hAnsi="Arial" w:cs="Arial"/>
          <w:color w:val="000000"/>
          <w:sz w:val="22"/>
          <w:szCs w:val="22"/>
        </w:rPr>
        <w:t xml:space="preserve"> tis. Kč a </w:t>
      </w:r>
      <w:r w:rsidR="008E529A">
        <w:rPr>
          <w:rFonts w:ascii="Arial" w:hAnsi="Arial" w:cs="Arial"/>
          <w:color w:val="000000"/>
          <w:sz w:val="22"/>
          <w:szCs w:val="22"/>
        </w:rPr>
        <w:t>kontrolou</w:t>
      </w:r>
      <w:r w:rsidR="008E529A" w:rsidRPr="00D555D1">
        <w:rPr>
          <w:rFonts w:ascii="Arial" w:hAnsi="Arial" w:cs="Arial"/>
          <w:color w:val="000000"/>
          <w:sz w:val="22"/>
          <w:szCs w:val="22"/>
        </w:rPr>
        <w:t xml:space="preserve"> </w:t>
      </w:r>
      <w:r w:rsidR="001C430D" w:rsidRPr="00D555D1">
        <w:rPr>
          <w:rFonts w:ascii="Arial" w:hAnsi="Arial" w:cs="Arial"/>
          <w:color w:val="000000"/>
          <w:sz w:val="22"/>
          <w:szCs w:val="22"/>
        </w:rPr>
        <w:t xml:space="preserve">NKÚ nebylo možné ověřit, zda </w:t>
      </w:r>
      <w:r w:rsidR="002A5A35">
        <w:rPr>
          <w:rFonts w:ascii="Arial" w:hAnsi="Arial" w:cs="Arial"/>
          <w:color w:val="000000"/>
          <w:sz w:val="22"/>
          <w:szCs w:val="22"/>
        </w:rPr>
        <w:t xml:space="preserve">byl </w:t>
      </w:r>
      <w:r w:rsidR="008122E0">
        <w:rPr>
          <w:rFonts w:ascii="Arial" w:hAnsi="Arial" w:cs="Arial"/>
          <w:color w:val="000000"/>
          <w:sz w:val="22"/>
          <w:szCs w:val="22"/>
        </w:rPr>
        <w:t>s</w:t>
      </w:r>
      <w:r w:rsidR="002A5A35">
        <w:rPr>
          <w:rFonts w:ascii="Arial" w:hAnsi="Arial" w:cs="Arial"/>
          <w:color w:val="000000"/>
          <w:sz w:val="22"/>
          <w:szCs w:val="22"/>
        </w:rPr>
        <w:t xml:space="preserve">plněn cíl projektu a zda jeho </w:t>
      </w:r>
      <w:r w:rsidR="001C430D" w:rsidRPr="00D555D1">
        <w:rPr>
          <w:rFonts w:ascii="Arial" w:hAnsi="Arial" w:cs="Arial"/>
          <w:color w:val="000000"/>
          <w:sz w:val="22"/>
          <w:szCs w:val="22"/>
        </w:rPr>
        <w:t xml:space="preserve">výsledky </w:t>
      </w:r>
      <w:r w:rsidR="001C430D">
        <w:rPr>
          <w:rFonts w:ascii="Arial" w:hAnsi="Arial" w:cs="Arial"/>
          <w:sz w:val="22"/>
          <w:szCs w:val="22"/>
        </w:rPr>
        <w:t>vedly prokazatelně</w:t>
      </w:r>
      <w:r w:rsidR="001C430D" w:rsidRPr="00D555D1">
        <w:rPr>
          <w:rFonts w:ascii="Arial" w:hAnsi="Arial" w:cs="Arial"/>
          <w:sz w:val="22"/>
          <w:szCs w:val="22"/>
        </w:rPr>
        <w:t xml:space="preserve"> ke z</w:t>
      </w:r>
      <w:r w:rsidR="001C430D">
        <w:rPr>
          <w:rFonts w:ascii="Arial" w:hAnsi="Arial" w:cs="Arial"/>
          <w:sz w:val="22"/>
          <w:szCs w:val="22"/>
        </w:rPr>
        <w:t>lep</w:t>
      </w:r>
      <w:r w:rsidR="001C430D" w:rsidRPr="00D555D1">
        <w:rPr>
          <w:rFonts w:ascii="Arial" w:hAnsi="Arial" w:cs="Arial"/>
          <w:sz w:val="22"/>
          <w:szCs w:val="22"/>
        </w:rPr>
        <w:t xml:space="preserve">šení </w:t>
      </w:r>
      <w:r w:rsidR="001C430D">
        <w:rPr>
          <w:rFonts w:ascii="Arial" w:hAnsi="Arial" w:cs="Arial"/>
          <w:sz w:val="22"/>
          <w:szCs w:val="22"/>
        </w:rPr>
        <w:t xml:space="preserve">podmínek pro kvalitní život na </w:t>
      </w:r>
      <w:r w:rsidR="001C430D" w:rsidRPr="00D555D1">
        <w:rPr>
          <w:rFonts w:ascii="Arial" w:hAnsi="Arial" w:cs="Arial"/>
          <w:sz w:val="22"/>
          <w:szCs w:val="22"/>
        </w:rPr>
        <w:t>venkov</w:t>
      </w:r>
      <w:r w:rsidR="001C430D">
        <w:rPr>
          <w:rFonts w:ascii="Arial" w:hAnsi="Arial" w:cs="Arial"/>
          <w:sz w:val="22"/>
          <w:szCs w:val="22"/>
        </w:rPr>
        <w:t xml:space="preserve">ě, </w:t>
      </w:r>
      <w:r>
        <w:rPr>
          <w:rFonts w:ascii="Arial" w:hAnsi="Arial" w:cs="Arial"/>
          <w:sz w:val="22"/>
          <w:szCs w:val="22"/>
        </w:rPr>
        <w:t>k </w:t>
      </w:r>
      <w:r w:rsidR="001C430D">
        <w:rPr>
          <w:rFonts w:ascii="Arial" w:hAnsi="Arial" w:cs="Arial"/>
          <w:sz w:val="22"/>
          <w:szCs w:val="22"/>
        </w:rPr>
        <w:t xml:space="preserve">rozvinutí možností podnikání </w:t>
      </w:r>
      <w:r>
        <w:rPr>
          <w:rFonts w:ascii="Arial" w:hAnsi="Arial" w:cs="Arial"/>
          <w:sz w:val="22"/>
          <w:szCs w:val="22"/>
        </w:rPr>
        <w:t>v </w:t>
      </w:r>
      <w:r w:rsidR="001C430D">
        <w:rPr>
          <w:rFonts w:ascii="Arial" w:hAnsi="Arial" w:cs="Arial"/>
          <w:sz w:val="22"/>
          <w:szCs w:val="22"/>
        </w:rPr>
        <w:t>agrárním sektoru při zlepšení dopadu hospodářských činností na krajinu, zvýšení</w:t>
      </w:r>
      <w:r w:rsidR="001C430D" w:rsidRPr="00D555D1">
        <w:rPr>
          <w:rFonts w:ascii="Arial" w:hAnsi="Arial" w:cs="Arial"/>
          <w:sz w:val="22"/>
          <w:szCs w:val="22"/>
        </w:rPr>
        <w:t xml:space="preserve"> efektivity využívání místních i vnějších zdrojů venkov</w:t>
      </w:r>
      <w:r w:rsidR="001C430D">
        <w:rPr>
          <w:rFonts w:ascii="Arial" w:hAnsi="Arial" w:cs="Arial"/>
          <w:sz w:val="22"/>
          <w:szCs w:val="22"/>
        </w:rPr>
        <w:t>ského</w:t>
      </w:r>
      <w:r w:rsidR="001C430D" w:rsidRPr="00D555D1">
        <w:rPr>
          <w:rFonts w:ascii="Arial" w:hAnsi="Arial" w:cs="Arial"/>
          <w:sz w:val="22"/>
          <w:szCs w:val="22"/>
        </w:rPr>
        <w:t xml:space="preserve"> prostoru</w:t>
      </w:r>
      <w:r w:rsidR="001C430D">
        <w:rPr>
          <w:rFonts w:ascii="Arial" w:hAnsi="Arial" w:cs="Arial"/>
          <w:sz w:val="22"/>
          <w:szCs w:val="22"/>
        </w:rPr>
        <w:t xml:space="preserve"> i</w:t>
      </w:r>
      <w:r w:rsidR="001C430D" w:rsidRPr="00D555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 </w:t>
      </w:r>
      <w:r w:rsidR="001C430D" w:rsidRPr="00D555D1">
        <w:rPr>
          <w:rFonts w:ascii="Arial" w:hAnsi="Arial" w:cs="Arial"/>
          <w:sz w:val="22"/>
          <w:szCs w:val="22"/>
        </w:rPr>
        <w:t>překonání re</w:t>
      </w:r>
      <w:r w:rsidR="002C6FDE">
        <w:rPr>
          <w:rFonts w:ascii="Arial" w:hAnsi="Arial" w:cs="Arial"/>
          <w:sz w:val="22"/>
          <w:szCs w:val="22"/>
        </w:rPr>
        <w:t>s</w:t>
      </w:r>
      <w:r w:rsidR="001C430D" w:rsidRPr="00D555D1">
        <w:rPr>
          <w:rFonts w:ascii="Arial" w:hAnsi="Arial" w:cs="Arial"/>
          <w:sz w:val="22"/>
          <w:szCs w:val="22"/>
        </w:rPr>
        <w:t xml:space="preserve">ortních přístupů </w:t>
      </w:r>
      <w:r>
        <w:rPr>
          <w:rFonts w:ascii="Arial" w:hAnsi="Arial" w:cs="Arial"/>
          <w:sz w:val="22"/>
          <w:szCs w:val="22"/>
        </w:rPr>
        <w:t>k </w:t>
      </w:r>
      <w:r w:rsidR="001C430D" w:rsidRPr="00D555D1">
        <w:rPr>
          <w:rFonts w:ascii="Arial" w:hAnsi="Arial" w:cs="Arial"/>
          <w:sz w:val="22"/>
          <w:szCs w:val="22"/>
        </w:rPr>
        <w:t>vytváření a naplňování podmínek pro udržitelný rozvoj venkova a šetrný způsob hospodaření.</w:t>
      </w:r>
      <w:r w:rsidR="001C430D" w:rsidRPr="00D555D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801673E" w14:textId="77777777" w:rsidR="00B0728F" w:rsidRDefault="00B0728F" w:rsidP="00395C6A">
      <w:pPr>
        <w:jc w:val="both"/>
        <w:rPr>
          <w:rFonts w:ascii="Arial" w:hAnsi="Arial" w:cs="Arial"/>
          <w:sz w:val="22"/>
          <w:szCs w:val="22"/>
        </w:rPr>
      </w:pPr>
    </w:p>
    <w:p w14:paraId="7801673F" w14:textId="77777777" w:rsidR="001700A1" w:rsidRPr="00A949AE" w:rsidRDefault="002A39D7" w:rsidP="00395C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NKÚ prověřil</w:t>
      </w:r>
      <w:r w:rsidR="001700A1">
        <w:rPr>
          <w:rFonts w:ascii="Arial" w:hAnsi="Arial" w:cs="Arial"/>
          <w:sz w:val="22"/>
          <w:szCs w:val="22"/>
        </w:rPr>
        <w:t xml:space="preserve"> rovněž </w:t>
      </w:r>
      <w:r>
        <w:rPr>
          <w:rFonts w:ascii="Arial" w:hAnsi="Arial" w:cs="Arial"/>
          <w:sz w:val="22"/>
          <w:szCs w:val="22"/>
        </w:rPr>
        <w:t>podklady</w:t>
      </w:r>
      <w:r w:rsidR="001700A1">
        <w:rPr>
          <w:rFonts w:ascii="Arial" w:hAnsi="Arial" w:cs="Arial"/>
          <w:sz w:val="22"/>
          <w:szCs w:val="22"/>
        </w:rPr>
        <w:t xml:space="preserve"> </w:t>
      </w:r>
      <w:r w:rsidR="00BF036A">
        <w:rPr>
          <w:rFonts w:ascii="Arial" w:hAnsi="Arial" w:cs="Arial"/>
          <w:sz w:val="22"/>
          <w:szCs w:val="22"/>
        </w:rPr>
        <w:t>k </w:t>
      </w:r>
      <w:r w:rsidR="001700A1" w:rsidRPr="00A949AE">
        <w:rPr>
          <w:rFonts w:ascii="Arial" w:hAnsi="Arial" w:cs="Arial"/>
          <w:sz w:val="22"/>
          <w:szCs w:val="22"/>
        </w:rPr>
        <w:t xml:space="preserve">projektům, </w:t>
      </w:r>
      <w:r>
        <w:rPr>
          <w:rFonts w:ascii="Arial" w:hAnsi="Arial" w:cs="Arial"/>
          <w:sz w:val="22"/>
          <w:szCs w:val="22"/>
        </w:rPr>
        <w:t>u nichž</w:t>
      </w:r>
      <w:r w:rsidR="001700A1" w:rsidRPr="00A949AE">
        <w:rPr>
          <w:rFonts w:ascii="Arial" w:hAnsi="Arial" w:cs="Arial"/>
          <w:sz w:val="22"/>
          <w:szCs w:val="22"/>
        </w:rPr>
        <w:t xml:space="preserve"> došlo </w:t>
      </w:r>
      <w:r w:rsidR="00BF036A">
        <w:rPr>
          <w:rFonts w:ascii="Arial" w:hAnsi="Arial" w:cs="Arial"/>
          <w:sz w:val="22"/>
          <w:szCs w:val="22"/>
        </w:rPr>
        <w:t>k </w:t>
      </w:r>
      <w:r w:rsidR="001700A1" w:rsidRPr="00A949AE">
        <w:rPr>
          <w:rFonts w:ascii="Arial" w:hAnsi="Arial" w:cs="Arial"/>
          <w:sz w:val="22"/>
          <w:szCs w:val="22"/>
        </w:rPr>
        <w:t xml:space="preserve">zastavení podpory příjemcům. </w:t>
      </w:r>
      <w:r w:rsidR="008122E0" w:rsidRPr="00A949AE">
        <w:rPr>
          <w:rFonts w:ascii="Arial" w:hAnsi="Arial" w:cs="Arial"/>
          <w:sz w:val="22"/>
          <w:szCs w:val="22"/>
        </w:rPr>
        <w:t xml:space="preserve">MZe </w:t>
      </w:r>
      <w:r w:rsidR="008122E0">
        <w:rPr>
          <w:rFonts w:ascii="Arial" w:hAnsi="Arial" w:cs="Arial"/>
          <w:sz w:val="22"/>
          <w:szCs w:val="22"/>
        </w:rPr>
        <w:t xml:space="preserve">např. </w:t>
      </w:r>
      <w:r w:rsidR="008122E0" w:rsidRPr="00A949AE">
        <w:rPr>
          <w:rFonts w:ascii="Arial" w:hAnsi="Arial" w:cs="Arial"/>
          <w:sz w:val="22"/>
          <w:szCs w:val="22"/>
        </w:rPr>
        <w:t xml:space="preserve">zastavilo řešení </w:t>
      </w:r>
      <w:r w:rsidR="005A5790" w:rsidRPr="00A949AE">
        <w:rPr>
          <w:rFonts w:ascii="Arial" w:hAnsi="Arial" w:cs="Arial"/>
          <w:sz w:val="22"/>
          <w:szCs w:val="22"/>
        </w:rPr>
        <w:t>projektu</w:t>
      </w:r>
      <w:r w:rsidR="005A5790">
        <w:rPr>
          <w:rFonts w:ascii="Arial" w:hAnsi="Arial" w:cs="Arial"/>
          <w:sz w:val="22"/>
          <w:szCs w:val="22"/>
        </w:rPr>
        <w:t xml:space="preserve"> </w:t>
      </w:r>
      <w:r w:rsidR="005A5790" w:rsidRPr="00375066">
        <w:rPr>
          <w:rFonts w:ascii="Arial" w:hAnsi="Arial" w:cs="Arial"/>
          <w:i/>
          <w:sz w:val="22"/>
          <w:szCs w:val="22"/>
        </w:rPr>
        <w:t>Vypracování optimální metody pro stanovení pitelnosti českého piva</w:t>
      </w:r>
      <w:r w:rsidR="00027F70">
        <w:rPr>
          <w:rFonts w:ascii="Arial" w:hAnsi="Arial" w:cs="Arial"/>
          <w:sz w:val="22"/>
          <w:szCs w:val="22"/>
        </w:rPr>
        <w:t>, kde</w:t>
      </w:r>
      <w:r w:rsidR="000966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měl </w:t>
      </w:r>
      <w:r w:rsidR="00EB417C">
        <w:rPr>
          <w:rFonts w:ascii="Arial" w:hAnsi="Arial" w:cs="Arial"/>
          <w:sz w:val="22"/>
          <w:szCs w:val="22"/>
        </w:rPr>
        <w:t xml:space="preserve">jediný příjemce </w:t>
      </w:r>
      <w:r w:rsidR="00027F70">
        <w:rPr>
          <w:rFonts w:ascii="Arial" w:hAnsi="Arial" w:cs="Arial"/>
          <w:sz w:val="22"/>
          <w:szCs w:val="22"/>
        </w:rPr>
        <w:t xml:space="preserve">získat </w:t>
      </w:r>
      <w:r w:rsidR="00EB417C">
        <w:rPr>
          <w:rFonts w:ascii="Arial" w:hAnsi="Arial" w:cs="Arial"/>
          <w:sz w:val="22"/>
          <w:szCs w:val="22"/>
        </w:rPr>
        <w:t>podporu</w:t>
      </w:r>
      <w:r w:rsidR="001700A1" w:rsidRPr="00A949AE">
        <w:rPr>
          <w:rFonts w:ascii="Arial" w:hAnsi="Arial" w:cs="Arial"/>
          <w:sz w:val="22"/>
          <w:szCs w:val="22"/>
        </w:rPr>
        <w:t xml:space="preserve"> 13 071 tis. Kč </w:t>
      </w:r>
      <w:r w:rsidR="005A5790">
        <w:rPr>
          <w:rFonts w:ascii="Arial" w:hAnsi="Arial" w:cs="Arial"/>
          <w:sz w:val="22"/>
          <w:szCs w:val="22"/>
        </w:rPr>
        <w:t>během</w:t>
      </w:r>
      <w:r w:rsidR="001700A1" w:rsidRPr="00A949AE">
        <w:rPr>
          <w:rFonts w:ascii="Arial" w:hAnsi="Arial" w:cs="Arial"/>
          <w:sz w:val="22"/>
          <w:szCs w:val="22"/>
        </w:rPr>
        <w:t xml:space="preserve"> pět</w:t>
      </w:r>
      <w:r w:rsidR="005A5790">
        <w:rPr>
          <w:rFonts w:ascii="Arial" w:hAnsi="Arial" w:cs="Arial"/>
          <w:sz w:val="22"/>
          <w:szCs w:val="22"/>
        </w:rPr>
        <w:t>i</w:t>
      </w:r>
      <w:r w:rsidR="001700A1" w:rsidRPr="00A949AE">
        <w:rPr>
          <w:rFonts w:ascii="Arial" w:hAnsi="Arial" w:cs="Arial"/>
          <w:sz w:val="22"/>
          <w:szCs w:val="22"/>
        </w:rPr>
        <w:t xml:space="preserve"> let. </w:t>
      </w:r>
      <w:r w:rsidRPr="00A949AE">
        <w:rPr>
          <w:rFonts w:ascii="Arial" w:hAnsi="Arial" w:cs="Arial"/>
          <w:sz w:val="22"/>
          <w:szCs w:val="22"/>
        </w:rPr>
        <w:t xml:space="preserve">MZe </w:t>
      </w:r>
      <w:r>
        <w:rPr>
          <w:rFonts w:ascii="Arial" w:hAnsi="Arial" w:cs="Arial"/>
          <w:sz w:val="22"/>
          <w:szCs w:val="22"/>
        </w:rPr>
        <w:t>n</w:t>
      </w:r>
      <w:r w:rsidR="002A5A35">
        <w:rPr>
          <w:rFonts w:ascii="Arial" w:hAnsi="Arial" w:cs="Arial"/>
          <w:sz w:val="22"/>
          <w:szCs w:val="22"/>
        </w:rPr>
        <w:t xml:space="preserve">ejprve odsouhlasilo financování ze státního rozpočtu, následně </w:t>
      </w:r>
      <w:r w:rsidR="002A5A35" w:rsidRPr="00A949AE">
        <w:rPr>
          <w:rFonts w:ascii="Arial" w:hAnsi="Arial" w:cs="Arial"/>
          <w:sz w:val="22"/>
          <w:szCs w:val="22"/>
        </w:rPr>
        <w:t>konstatovalo, že projekt je možné zařadit do komerčního výzkumu</w:t>
      </w:r>
      <w:r w:rsidR="002A5A35">
        <w:rPr>
          <w:rFonts w:ascii="Arial" w:hAnsi="Arial" w:cs="Arial"/>
          <w:sz w:val="22"/>
          <w:szCs w:val="22"/>
        </w:rPr>
        <w:t>.</w:t>
      </w:r>
      <w:r w:rsidR="002A5A35" w:rsidRPr="00A949AE">
        <w:rPr>
          <w:rFonts w:ascii="Arial" w:hAnsi="Arial" w:cs="Arial"/>
          <w:sz w:val="22"/>
          <w:szCs w:val="22"/>
        </w:rPr>
        <w:t xml:space="preserve"> Po</w:t>
      </w:r>
      <w:r w:rsidR="002A5A35">
        <w:rPr>
          <w:rFonts w:ascii="Arial" w:hAnsi="Arial" w:cs="Arial"/>
          <w:sz w:val="22"/>
          <w:szCs w:val="22"/>
        </w:rPr>
        <w:t xml:space="preserve"> </w:t>
      </w:r>
      <w:r w:rsidR="002A5A35" w:rsidRPr="00A949AE">
        <w:rPr>
          <w:rFonts w:ascii="Arial" w:hAnsi="Arial" w:cs="Arial"/>
          <w:sz w:val="22"/>
          <w:szCs w:val="22"/>
        </w:rPr>
        <w:t xml:space="preserve">druhém roce řešení </w:t>
      </w:r>
      <w:r>
        <w:rPr>
          <w:rFonts w:ascii="Arial" w:hAnsi="Arial" w:cs="Arial"/>
          <w:sz w:val="22"/>
          <w:szCs w:val="22"/>
        </w:rPr>
        <w:t xml:space="preserve">však </w:t>
      </w:r>
      <w:r w:rsidR="00AF5BC6">
        <w:rPr>
          <w:rFonts w:ascii="Arial" w:hAnsi="Arial" w:cs="Arial"/>
          <w:sz w:val="22"/>
          <w:szCs w:val="22"/>
        </w:rPr>
        <w:t xml:space="preserve">na základě </w:t>
      </w:r>
      <w:r w:rsidR="002A5A35">
        <w:rPr>
          <w:rFonts w:ascii="Arial" w:hAnsi="Arial" w:cs="Arial"/>
          <w:sz w:val="22"/>
          <w:szCs w:val="22"/>
        </w:rPr>
        <w:t xml:space="preserve">vyhodnocení výsledků </w:t>
      </w:r>
      <w:r w:rsidR="001700A1" w:rsidRPr="00A949AE">
        <w:rPr>
          <w:rFonts w:ascii="Arial" w:hAnsi="Arial" w:cs="Arial"/>
          <w:sz w:val="22"/>
          <w:szCs w:val="22"/>
        </w:rPr>
        <w:t xml:space="preserve">zpochybnilo perspektivu dosažení cílů. Žádný </w:t>
      </w:r>
      <w:r w:rsidR="00BF036A">
        <w:rPr>
          <w:rFonts w:ascii="Arial" w:hAnsi="Arial" w:cs="Arial"/>
          <w:sz w:val="22"/>
          <w:szCs w:val="22"/>
        </w:rPr>
        <w:t>z </w:t>
      </w:r>
      <w:r w:rsidR="001700A1" w:rsidRPr="00A949AE">
        <w:rPr>
          <w:rFonts w:ascii="Arial" w:hAnsi="Arial" w:cs="Arial"/>
          <w:sz w:val="22"/>
          <w:szCs w:val="22"/>
        </w:rPr>
        <w:t>oponentů periodických zpráv</w:t>
      </w:r>
      <w:r>
        <w:rPr>
          <w:rFonts w:ascii="Arial" w:hAnsi="Arial" w:cs="Arial"/>
          <w:sz w:val="22"/>
          <w:szCs w:val="22"/>
        </w:rPr>
        <w:t>, které byly</w:t>
      </w:r>
      <w:r w:rsidR="001700A1" w:rsidRPr="00A949AE">
        <w:rPr>
          <w:rFonts w:ascii="Arial" w:hAnsi="Arial" w:cs="Arial"/>
          <w:sz w:val="22"/>
          <w:szCs w:val="22"/>
        </w:rPr>
        <w:t xml:space="preserve"> </w:t>
      </w:r>
      <w:r w:rsidR="000C3041">
        <w:rPr>
          <w:rFonts w:ascii="Arial" w:hAnsi="Arial" w:cs="Arial"/>
          <w:sz w:val="22"/>
          <w:szCs w:val="22"/>
        </w:rPr>
        <w:t>předkládány</w:t>
      </w:r>
      <w:r w:rsidR="001700A1" w:rsidRPr="00A949AE">
        <w:rPr>
          <w:rFonts w:ascii="Arial" w:hAnsi="Arial" w:cs="Arial"/>
          <w:sz w:val="22"/>
          <w:szCs w:val="22"/>
        </w:rPr>
        <w:t xml:space="preserve"> příjemcem</w:t>
      </w:r>
      <w:r w:rsidR="000C3041">
        <w:rPr>
          <w:rFonts w:ascii="Arial" w:hAnsi="Arial" w:cs="Arial"/>
          <w:sz w:val="22"/>
          <w:szCs w:val="22"/>
        </w:rPr>
        <w:t>,</w:t>
      </w:r>
      <w:r w:rsidR="001700A1" w:rsidRPr="00A949AE">
        <w:rPr>
          <w:rFonts w:ascii="Arial" w:hAnsi="Arial" w:cs="Arial"/>
          <w:sz w:val="22"/>
          <w:szCs w:val="22"/>
        </w:rPr>
        <w:t xml:space="preserve"> nevznesl námitky </w:t>
      </w:r>
      <w:r>
        <w:rPr>
          <w:rFonts w:ascii="Arial" w:hAnsi="Arial" w:cs="Arial"/>
          <w:sz w:val="22"/>
          <w:szCs w:val="22"/>
        </w:rPr>
        <w:t>proti</w:t>
      </w:r>
      <w:r w:rsidR="001700A1">
        <w:rPr>
          <w:rFonts w:ascii="Arial" w:hAnsi="Arial" w:cs="Arial"/>
          <w:sz w:val="22"/>
          <w:szCs w:val="22"/>
        </w:rPr>
        <w:t xml:space="preserve"> financování</w:t>
      </w:r>
      <w:r w:rsidR="001700A1" w:rsidRPr="00A949AE">
        <w:rPr>
          <w:rFonts w:ascii="Arial" w:hAnsi="Arial" w:cs="Arial"/>
          <w:sz w:val="22"/>
          <w:szCs w:val="22"/>
        </w:rPr>
        <w:t xml:space="preserve"> projektu</w:t>
      </w:r>
      <w:r w:rsidR="00393D0C">
        <w:rPr>
          <w:rFonts w:ascii="Arial" w:hAnsi="Arial" w:cs="Arial"/>
          <w:sz w:val="22"/>
          <w:szCs w:val="22"/>
        </w:rPr>
        <w:t xml:space="preserve"> z prostředků státního rozpočtu</w:t>
      </w:r>
      <w:r w:rsidR="001700A1" w:rsidRPr="00A949AE">
        <w:rPr>
          <w:rFonts w:ascii="Arial" w:hAnsi="Arial" w:cs="Arial"/>
          <w:sz w:val="22"/>
          <w:szCs w:val="22"/>
        </w:rPr>
        <w:t xml:space="preserve">. </w:t>
      </w:r>
    </w:p>
    <w:p w14:paraId="78016740" w14:textId="77777777" w:rsidR="00B0728F" w:rsidRDefault="00B0728F" w:rsidP="00395C6A">
      <w:pPr>
        <w:jc w:val="both"/>
        <w:rPr>
          <w:rFonts w:ascii="Arial" w:hAnsi="Arial" w:cs="Arial"/>
          <w:sz w:val="22"/>
          <w:szCs w:val="22"/>
        </w:rPr>
      </w:pPr>
    </w:p>
    <w:p w14:paraId="78016741" w14:textId="77777777" w:rsidR="001700A1" w:rsidRDefault="001700A1" w:rsidP="00395C6A">
      <w:pPr>
        <w:jc w:val="both"/>
        <w:rPr>
          <w:rFonts w:ascii="Arial" w:hAnsi="Arial" w:cs="Arial"/>
          <w:sz w:val="22"/>
          <w:szCs w:val="22"/>
        </w:rPr>
      </w:pPr>
      <w:r w:rsidRPr="00A949AE">
        <w:rPr>
          <w:rFonts w:ascii="Arial" w:hAnsi="Arial" w:cs="Arial"/>
          <w:sz w:val="22"/>
          <w:szCs w:val="22"/>
        </w:rPr>
        <w:t xml:space="preserve">MZe uzavřelo </w:t>
      </w:r>
      <w:r w:rsidR="00BF036A">
        <w:rPr>
          <w:rFonts w:ascii="Arial" w:hAnsi="Arial" w:cs="Arial"/>
          <w:sz w:val="22"/>
          <w:szCs w:val="22"/>
        </w:rPr>
        <w:t>s </w:t>
      </w:r>
      <w:r w:rsidRPr="00A949AE">
        <w:rPr>
          <w:rFonts w:ascii="Arial" w:hAnsi="Arial" w:cs="Arial"/>
          <w:sz w:val="22"/>
          <w:szCs w:val="22"/>
        </w:rPr>
        <w:t xml:space="preserve">příjemcem </w:t>
      </w:r>
      <w:r w:rsidR="002A39D7" w:rsidRPr="00395C6A">
        <w:rPr>
          <w:rFonts w:ascii="Arial" w:hAnsi="Arial" w:cs="Arial"/>
          <w:i/>
          <w:sz w:val="22"/>
          <w:szCs w:val="22"/>
        </w:rPr>
        <w:t>d</w:t>
      </w:r>
      <w:r w:rsidRPr="00395C6A">
        <w:rPr>
          <w:rFonts w:ascii="Arial" w:hAnsi="Arial" w:cs="Arial"/>
          <w:i/>
          <w:sz w:val="22"/>
          <w:szCs w:val="22"/>
        </w:rPr>
        <w:t>ohodu o ukončení řešení projektu</w:t>
      </w:r>
      <w:r w:rsidRPr="00A949AE">
        <w:rPr>
          <w:rFonts w:ascii="Arial" w:hAnsi="Arial" w:cs="Arial"/>
          <w:sz w:val="22"/>
          <w:szCs w:val="22"/>
        </w:rPr>
        <w:t>, podle které uznalo dosud vynaložené prostředky podpory za roky 2009 a 2010 ve výši 5</w:t>
      </w:r>
      <w:r>
        <w:rPr>
          <w:rFonts w:ascii="Arial" w:hAnsi="Arial" w:cs="Arial"/>
          <w:sz w:val="22"/>
          <w:szCs w:val="22"/>
        </w:rPr>
        <w:t xml:space="preserve"> </w:t>
      </w:r>
      <w:r w:rsidRPr="00A949AE">
        <w:rPr>
          <w:rFonts w:ascii="Arial" w:hAnsi="Arial" w:cs="Arial"/>
          <w:sz w:val="22"/>
          <w:szCs w:val="22"/>
        </w:rPr>
        <w:t xml:space="preserve">112 tis. Kč </w:t>
      </w:r>
      <w:r w:rsidR="00BF036A">
        <w:rPr>
          <w:rFonts w:ascii="Arial" w:hAnsi="Arial" w:cs="Arial"/>
          <w:sz w:val="22"/>
          <w:szCs w:val="22"/>
        </w:rPr>
        <w:t>s </w:t>
      </w:r>
      <w:r w:rsidRPr="00A949AE">
        <w:rPr>
          <w:rFonts w:ascii="Arial" w:hAnsi="Arial" w:cs="Arial"/>
          <w:sz w:val="22"/>
          <w:szCs w:val="22"/>
        </w:rPr>
        <w:t xml:space="preserve">tím, že následně </w:t>
      </w:r>
      <w:r w:rsidR="002A39D7" w:rsidRPr="00A949AE">
        <w:rPr>
          <w:rFonts w:ascii="Arial" w:hAnsi="Arial" w:cs="Arial"/>
          <w:sz w:val="22"/>
          <w:szCs w:val="22"/>
        </w:rPr>
        <w:lastRenderedPageBreak/>
        <w:t xml:space="preserve">musí příjemce </w:t>
      </w:r>
      <w:r w:rsidRPr="00A949AE">
        <w:rPr>
          <w:rFonts w:ascii="Arial" w:hAnsi="Arial" w:cs="Arial"/>
          <w:sz w:val="22"/>
          <w:szCs w:val="22"/>
        </w:rPr>
        <w:t xml:space="preserve">ve stanoveném termínu dodat výsledky </w:t>
      </w:r>
      <w:r w:rsidR="00027F70">
        <w:rPr>
          <w:rFonts w:ascii="Arial" w:hAnsi="Arial" w:cs="Arial"/>
          <w:sz w:val="22"/>
          <w:szCs w:val="22"/>
        </w:rPr>
        <w:t>odpovídající skutečné době řešení</w:t>
      </w:r>
      <w:r w:rsidR="003D3FCF">
        <w:rPr>
          <w:rFonts w:ascii="Arial" w:hAnsi="Arial" w:cs="Arial"/>
          <w:sz w:val="22"/>
          <w:szCs w:val="22"/>
        </w:rPr>
        <w:t>.</w:t>
      </w:r>
      <w:r w:rsidRPr="00A949AE">
        <w:rPr>
          <w:rFonts w:ascii="Arial" w:hAnsi="Arial" w:cs="Arial"/>
          <w:sz w:val="22"/>
          <w:szCs w:val="22"/>
        </w:rPr>
        <w:t xml:space="preserve"> </w:t>
      </w:r>
      <w:r w:rsidR="00CD2BDA">
        <w:rPr>
          <w:rFonts w:ascii="Arial" w:hAnsi="Arial" w:cs="Arial"/>
          <w:sz w:val="22"/>
          <w:szCs w:val="22"/>
        </w:rPr>
        <w:t>Jednalo se o</w:t>
      </w:r>
      <w:r w:rsidR="003D3FCF">
        <w:rPr>
          <w:rFonts w:ascii="Arial" w:hAnsi="Arial" w:cs="Arial"/>
          <w:sz w:val="22"/>
          <w:szCs w:val="22"/>
        </w:rPr>
        <w:t xml:space="preserve"> </w:t>
      </w:r>
      <w:r w:rsidRPr="00A949AE">
        <w:rPr>
          <w:rFonts w:ascii="Arial" w:hAnsi="Arial" w:cs="Arial"/>
          <w:sz w:val="22"/>
          <w:szCs w:val="22"/>
        </w:rPr>
        <w:t>článek a certifikovanou metodiku</w:t>
      </w:r>
      <w:r w:rsidRPr="00167D9C">
        <w:rPr>
          <w:rFonts w:ascii="Arial" w:hAnsi="Arial" w:cs="Arial"/>
          <w:sz w:val="22"/>
          <w:szCs w:val="22"/>
        </w:rPr>
        <w:t xml:space="preserve"> </w:t>
      </w:r>
      <w:r w:rsidR="003D3FCF">
        <w:rPr>
          <w:rFonts w:ascii="Arial" w:hAnsi="Arial" w:cs="Arial"/>
          <w:sz w:val="22"/>
          <w:szCs w:val="22"/>
        </w:rPr>
        <w:t>ověřenou příslušn</w:t>
      </w:r>
      <w:r w:rsidR="002A39D7">
        <w:rPr>
          <w:rFonts w:ascii="Arial" w:hAnsi="Arial" w:cs="Arial"/>
          <w:sz w:val="22"/>
          <w:szCs w:val="22"/>
        </w:rPr>
        <w:t>ým</w:t>
      </w:r>
      <w:r w:rsidR="003D3FCF">
        <w:rPr>
          <w:rFonts w:ascii="Arial" w:hAnsi="Arial" w:cs="Arial"/>
          <w:sz w:val="22"/>
          <w:szCs w:val="22"/>
        </w:rPr>
        <w:t xml:space="preserve"> odbor</w:t>
      </w:r>
      <w:r w:rsidR="002A39D7">
        <w:rPr>
          <w:rFonts w:ascii="Arial" w:hAnsi="Arial" w:cs="Arial"/>
          <w:sz w:val="22"/>
          <w:szCs w:val="22"/>
        </w:rPr>
        <w:t>em</w:t>
      </w:r>
      <w:r w:rsidR="003D3FCF">
        <w:rPr>
          <w:rFonts w:ascii="Arial" w:hAnsi="Arial" w:cs="Arial"/>
          <w:sz w:val="22"/>
          <w:szCs w:val="22"/>
        </w:rPr>
        <w:t xml:space="preserve"> MZe</w:t>
      </w:r>
      <w:r>
        <w:rPr>
          <w:rFonts w:ascii="Arial" w:hAnsi="Arial" w:cs="Arial"/>
          <w:sz w:val="22"/>
          <w:szCs w:val="22"/>
        </w:rPr>
        <w:t>.</w:t>
      </w:r>
    </w:p>
    <w:p w14:paraId="78016742" w14:textId="77777777" w:rsidR="00B0728F" w:rsidRDefault="00B0728F" w:rsidP="00395C6A">
      <w:pPr>
        <w:jc w:val="both"/>
        <w:rPr>
          <w:rFonts w:ascii="Arial" w:hAnsi="Arial" w:cs="Arial"/>
          <w:sz w:val="22"/>
          <w:szCs w:val="22"/>
        </w:rPr>
      </w:pPr>
    </w:p>
    <w:p w14:paraId="78016743" w14:textId="77777777" w:rsidR="001700A1" w:rsidRPr="00A949AE" w:rsidRDefault="001700A1" w:rsidP="00395C6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MZe </w:t>
      </w:r>
      <w:r w:rsidR="0042121E">
        <w:rPr>
          <w:rFonts w:ascii="Arial" w:hAnsi="Arial" w:cs="Arial"/>
          <w:sz w:val="22"/>
          <w:szCs w:val="22"/>
        </w:rPr>
        <w:t>nevyužilo možnost</w:t>
      </w:r>
      <w:r>
        <w:rPr>
          <w:rFonts w:ascii="Arial" w:hAnsi="Arial" w:cs="Arial"/>
          <w:sz w:val="22"/>
          <w:szCs w:val="22"/>
        </w:rPr>
        <w:t xml:space="preserve"> </w:t>
      </w:r>
      <w:r w:rsidRPr="00A949AE">
        <w:rPr>
          <w:rFonts w:ascii="Arial" w:hAnsi="Arial" w:cs="Arial"/>
          <w:sz w:val="22"/>
          <w:szCs w:val="22"/>
        </w:rPr>
        <w:t>odstoup</w:t>
      </w:r>
      <w:r w:rsidR="0042121E">
        <w:rPr>
          <w:rFonts w:ascii="Arial" w:hAnsi="Arial" w:cs="Arial"/>
          <w:sz w:val="22"/>
          <w:szCs w:val="22"/>
        </w:rPr>
        <w:t>it</w:t>
      </w:r>
      <w:r w:rsidRPr="00A949AE">
        <w:rPr>
          <w:rFonts w:ascii="Arial" w:hAnsi="Arial" w:cs="Arial"/>
          <w:sz w:val="22"/>
          <w:szCs w:val="22"/>
        </w:rPr>
        <w:t xml:space="preserve"> od </w:t>
      </w:r>
      <w:r w:rsidR="0042121E">
        <w:rPr>
          <w:rFonts w:ascii="Arial" w:hAnsi="Arial" w:cs="Arial"/>
          <w:sz w:val="22"/>
          <w:szCs w:val="22"/>
        </w:rPr>
        <w:t>s</w:t>
      </w:r>
      <w:r w:rsidRPr="00A949AE">
        <w:rPr>
          <w:rFonts w:ascii="Arial" w:hAnsi="Arial" w:cs="Arial"/>
          <w:sz w:val="22"/>
          <w:szCs w:val="22"/>
        </w:rPr>
        <w:t xml:space="preserve">mlouvy o podpoře </w:t>
      </w:r>
      <w:r w:rsidR="0042121E">
        <w:rPr>
          <w:rFonts w:ascii="Arial" w:hAnsi="Arial" w:cs="Arial"/>
          <w:sz w:val="22"/>
          <w:szCs w:val="22"/>
        </w:rPr>
        <w:t>a uložit příjemci sankc</w:t>
      </w:r>
      <w:r w:rsidR="00017183">
        <w:rPr>
          <w:rFonts w:ascii="Arial" w:hAnsi="Arial" w:cs="Arial"/>
          <w:sz w:val="22"/>
          <w:szCs w:val="22"/>
        </w:rPr>
        <w:t>i</w:t>
      </w:r>
      <w:r w:rsidRPr="00A949A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Podle </w:t>
      </w:r>
      <w:r w:rsidR="0042121E">
        <w:rPr>
          <w:rFonts w:ascii="Arial" w:hAnsi="Arial" w:cs="Arial"/>
          <w:sz w:val="22"/>
          <w:szCs w:val="22"/>
        </w:rPr>
        <w:t>s</w:t>
      </w:r>
      <w:r w:rsidRPr="00A949AE">
        <w:rPr>
          <w:rFonts w:ascii="Arial" w:hAnsi="Arial" w:cs="Arial"/>
          <w:sz w:val="22"/>
          <w:szCs w:val="22"/>
        </w:rPr>
        <w:t>mlouv</w:t>
      </w:r>
      <w:r>
        <w:rPr>
          <w:rFonts w:ascii="Arial" w:hAnsi="Arial" w:cs="Arial"/>
          <w:sz w:val="22"/>
          <w:szCs w:val="22"/>
        </w:rPr>
        <w:t>y</w:t>
      </w:r>
      <w:r w:rsidRPr="00A949AE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</w:t>
      </w:r>
      <w:r w:rsidRPr="00A949AE">
        <w:rPr>
          <w:rFonts w:ascii="Arial" w:hAnsi="Arial" w:cs="Arial"/>
          <w:sz w:val="22"/>
          <w:szCs w:val="22"/>
        </w:rPr>
        <w:t xml:space="preserve">podpoře </w:t>
      </w:r>
      <w:r>
        <w:rPr>
          <w:rFonts w:ascii="Arial" w:hAnsi="Arial" w:cs="Arial"/>
          <w:sz w:val="22"/>
          <w:szCs w:val="22"/>
        </w:rPr>
        <w:t>měl</w:t>
      </w:r>
      <w:r w:rsidRPr="00A949AE">
        <w:rPr>
          <w:rFonts w:ascii="Arial" w:hAnsi="Arial" w:cs="Arial"/>
          <w:sz w:val="22"/>
          <w:szCs w:val="22"/>
        </w:rPr>
        <w:t xml:space="preserve"> příjemce </w:t>
      </w:r>
      <w:r>
        <w:rPr>
          <w:rFonts w:ascii="Arial" w:hAnsi="Arial" w:cs="Arial"/>
          <w:sz w:val="22"/>
          <w:szCs w:val="22"/>
        </w:rPr>
        <w:t xml:space="preserve">při ukončení </w:t>
      </w:r>
      <w:r w:rsidRPr="00A949AE">
        <w:rPr>
          <w:rFonts w:ascii="Arial" w:hAnsi="Arial" w:cs="Arial"/>
          <w:sz w:val="22"/>
          <w:szCs w:val="22"/>
        </w:rPr>
        <w:t xml:space="preserve">projektu </w:t>
      </w:r>
      <w:r>
        <w:rPr>
          <w:rFonts w:ascii="Arial" w:hAnsi="Arial" w:cs="Arial"/>
          <w:sz w:val="22"/>
          <w:szCs w:val="22"/>
        </w:rPr>
        <w:t xml:space="preserve">povinnost předložit </w:t>
      </w:r>
      <w:r w:rsidR="0042121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lán na uplatnění výsledků</w:t>
      </w:r>
      <w:r w:rsidRPr="00A949AE">
        <w:rPr>
          <w:rFonts w:ascii="Arial" w:hAnsi="Arial" w:cs="Arial"/>
          <w:sz w:val="22"/>
          <w:szCs w:val="22"/>
        </w:rPr>
        <w:t xml:space="preserve"> a návazně měla být</w:t>
      </w:r>
      <w:r>
        <w:rPr>
          <w:rFonts w:ascii="Arial" w:hAnsi="Arial" w:cs="Arial"/>
          <w:sz w:val="22"/>
          <w:szCs w:val="22"/>
        </w:rPr>
        <w:t xml:space="preserve"> uzavřena mezi MZe a příjemcem </w:t>
      </w:r>
      <w:r w:rsidR="0042121E">
        <w:rPr>
          <w:rFonts w:ascii="Arial" w:hAnsi="Arial" w:cs="Arial"/>
          <w:sz w:val="22"/>
          <w:szCs w:val="22"/>
        </w:rPr>
        <w:t>s</w:t>
      </w:r>
      <w:r w:rsidRPr="00A949AE">
        <w:rPr>
          <w:rFonts w:ascii="Arial" w:hAnsi="Arial" w:cs="Arial"/>
          <w:sz w:val="22"/>
          <w:szCs w:val="22"/>
        </w:rPr>
        <w:t xml:space="preserve">mlouva o využívání výsledků. Přesto </w:t>
      </w:r>
      <w:r w:rsidR="00BF036A">
        <w:rPr>
          <w:rFonts w:ascii="Arial" w:hAnsi="Arial" w:cs="Arial"/>
          <w:sz w:val="22"/>
          <w:szCs w:val="22"/>
        </w:rPr>
        <w:t>v </w:t>
      </w:r>
      <w:r w:rsidR="0042121E">
        <w:rPr>
          <w:rFonts w:ascii="Arial" w:hAnsi="Arial" w:cs="Arial"/>
          <w:sz w:val="22"/>
          <w:szCs w:val="22"/>
        </w:rPr>
        <w:t>d</w:t>
      </w:r>
      <w:r w:rsidRPr="00A949AE">
        <w:rPr>
          <w:rFonts w:ascii="Arial" w:hAnsi="Arial" w:cs="Arial"/>
          <w:sz w:val="22"/>
          <w:szCs w:val="22"/>
        </w:rPr>
        <w:t>ohodě o</w:t>
      </w:r>
      <w:r>
        <w:rPr>
          <w:rFonts w:ascii="Arial" w:hAnsi="Arial" w:cs="Arial"/>
          <w:sz w:val="22"/>
          <w:szCs w:val="22"/>
        </w:rPr>
        <w:t xml:space="preserve"> </w:t>
      </w:r>
      <w:r w:rsidRPr="00A949AE">
        <w:rPr>
          <w:rFonts w:ascii="Arial" w:hAnsi="Arial" w:cs="Arial"/>
          <w:sz w:val="22"/>
          <w:szCs w:val="22"/>
        </w:rPr>
        <w:t xml:space="preserve">ukončení řešení </w:t>
      </w:r>
      <w:r>
        <w:rPr>
          <w:rFonts w:ascii="Arial" w:hAnsi="Arial" w:cs="Arial"/>
          <w:sz w:val="22"/>
          <w:szCs w:val="22"/>
        </w:rPr>
        <w:t xml:space="preserve">projektu </w:t>
      </w:r>
      <w:r w:rsidRPr="00A949AE">
        <w:rPr>
          <w:rFonts w:ascii="Arial" w:hAnsi="Arial" w:cs="Arial"/>
          <w:sz w:val="22"/>
          <w:szCs w:val="22"/>
        </w:rPr>
        <w:t>nen</w:t>
      </w:r>
      <w:r>
        <w:rPr>
          <w:rFonts w:ascii="Arial" w:hAnsi="Arial" w:cs="Arial"/>
          <w:sz w:val="22"/>
          <w:szCs w:val="22"/>
        </w:rPr>
        <w:t xml:space="preserve">í žádné ustanovení týkající se </w:t>
      </w:r>
      <w:r w:rsidR="0042121E">
        <w:rPr>
          <w:rFonts w:ascii="Arial" w:hAnsi="Arial" w:cs="Arial"/>
          <w:sz w:val="22"/>
          <w:szCs w:val="22"/>
        </w:rPr>
        <w:t>s</w:t>
      </w:r>
      <w:r w:rsidRPr="00A949AE">
        <w:rPr>
          <w:rFonts w:ascii="Arial" w:hAnsi="Arial" w:cs="Arial"/>
          <w:sz w:val="22"/>
          <w:szCs w:val="22"/>
        </w:rPr>
        <w:t>mlouvy o využití výsledků</w:t>
      </w:r>
      <w:r w:rsidR="00873E66">
        <w:rPr>
          <w:rFonts w:ascii="Arial" w:hAnsi="Arial" w:cs="Arial"/>
          <w:sz w:val="22"/>
          <w:szCs w:val="22"/>
        </w:rPr>
        <w:t xml:space="preserve"> ani</w:t>
      </w:r>
      <w:r>
        <w:rPr>
          <w:rFonts w:ascii="Arial" w:hAnsi="Arial" w:cs="Arial"/>
          <w:sz w:val="22"/>
          <w:szCs w:val="22"/>
        </w:rPr>
        <w:t xml:space="preserve"> </w:t>
      </w:r>
      <w:r w:rsidR="004B000C">
        <w:rPr>
          <w:rFonts w:ascii="Arial" w:hAnsi="Arial" w:cs="Arial"/>
          <w:sz w:val="22"/>
          <w:szCs w:val="22"/>
        </w:rPr>
        <w:t xml:space="preserve">ustanovení týkající se </w:t>
      </w:r>
      <w:r w:rsidR="0042121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lánu na uplatnění výsledků</w:t>
      </w:r>
      <w:r w:rsidRPr="00A949AE">
        <w:rPr>
          <w:rFonts w:ascii="Arial" w:hAnsi="Arial" w:cs="Arial"/>
          <w:sz w:val="22"/>
          <w:szCs w:val="22"/>
        </w:rPr>
        <w:t>. MZe</w:t>
      </w:r>
      <w:r w:rsidR="00ED2FCD">
        <w:rPr>
          <w:rFonts w:ascii="Arial" w:hAnsi="Arial" w:cs="Arial"/>
          <w:sz w:val="22"/>
          <w:szCs w:val="22"/>
        </w:rPr>
        <w:t xml:space="preserve"> nejen</w:t>
      </w:r>
      <w:r w:rsidR="0042121E">
        <w:rPr>
          <w:rFonts w:ascii="Arial" w:hAnsi="Arial" w:cs="Arial"/>
          <w:sz w:val="22"/>
          <w:szCs w:val="22"/>
        </w:rPr>
        <w:t>že</w:t>
      </w:r>
      <w:r w:rsidR="00ED2FCD">
        <w:rPr>
          <w:rFonts w:ascii="Arial" w:hAnsi="Arial" w:cs="Arial"/>
          <w:sz w:val="22"/>
          <w:szCs w:val="22"/>
        </w:rPr>
        <w:t xml:space="preserve"> neuzavřelo </w:t>
      </w:r>
      <w:r w:rsidR="0042121E">
        <w:rPr>
          <w:rFonts w:ascii="Arial" w:hAnsi="Arial" w:cs="Arial"/>
          <w:sz w:val="22"/>
          <w:szCs w:val="22"/>
        </w:rPr>
        <w:t>s</w:t>
      </w:r>
      <w:r w:rsidR="00ED2FCD">
        <w:rPr>
          <w:rFonts w:ascii="Arial" w:hAnsi="Arial" w:cs="Arial"/>
          <w:sz w:val="22"/>
          <w:szCs w:val="22"/>
        </w:rPr>
        <w:t>mlouvu o využití výsledků, ale</w:t>
      </w:r>
      <w:r w:rsidRPr="00A949AE">
        <w:rPr>
          <w:rFonts w:ascii="Arial" w:hAnsi="Arial" w:cs="Arial"/>
          <w:sz w:val="22"/>
          <w:szCs w:val="22"/>
        </w:rPr>
        <w:t xml:space="preserve"> nepožadovalo </w:t>
      </w:r>
      <w:r w:rsidR="0042121E" w:rsidRPr="00A949AE">
        <w:rPr>
          <w:rFonts w:ascii="Arial" w:hAnsi="Arial" w:cs="Arial"/>
          <w:sz w:val="22"/>
          <w:szCs w:val="22"/>
        </w:rPr>
        <w:t xml:space="preserve">ani </w:t>
      </w:r>
      <w:r w:rsidRPr="00A949AE">
        <w:rPr>
          <w:rFonts w:ascii="Arial" w:hAnsi="Arial" w:cs="Arial"/>
          <w:sz w:val="22"/>
          <w:szCs w:val="22"/>
        </w:rPr>
        <w:t xml:space="preserve">hodnocení přínosů, </w:t>
      </w:r>
      <w:r w:rsidR="00017183">
        <w:rPr>
          <w:rFonts w:ascii="Arial" w:hAnsi="Arial" w:cs="Arial"/>
          <w:sz w:val="22"/>
          <w:szCs w:val="22"/>
        </w:rPr>
        <w:t xml:space="preserve">které bylo </w:t>
      </w:r>
      <w:r w:rsidR="004B000C">
        <w:rPr>
          <w:rFonts w:ascii="Arial" w:hAnsi="Arial" w:cs="Arial"/>
          <w:sz w:val="22"/>
          <w:szCs w:val="22"/>
        </w:rPr>
        <w:t>již</w:t>
      </w:r>
      <w:r w:rsidR="0042121E">
        <w:rPr>
          <w:rFonts w:ascii="Arial" w:hAnsi="Arial" w:cs="Arial"/>
          <w:sz w:val="22"/>
          <w:szCs w:val="22"/>
        </w:rPr>
        <w:t xml:space="preserve"> </w:t>
      </w:r>
      <w:r w:rsidR="00BF036A">
        <w:rPr>
          <w:rFonts w:ascii="Arial" w:hAnsi="Arial" w:cs="Arial"/>
          <w:sz w:val="22"/>
          <w:szCs w:val="22"/>
        </w:rPr>
        <w:t>v </w:t>
      </w:r>
      <w:r w:rsidRPr="00A949AE">
        <w:rPr>
          <w:rFonts w:ascii="Arial" w:hAnsi="Arial" w:cs="Arial"/>
          <w:sz w:val="22"/>
          <w:szCs w:val="22"/>
        </w:rPr>
        <w:t>té době pro ukončené projekty</w:t>
      </w:r>
      <w:r w:rsidR="0042121E">
        <w:rPr>
          <w:rFonts w:ascii="Arial" w:hAnsi="Arial" w:cs="Arial"/>
          <w:sz w:val="22"/>
          <w:szCs w:val="22"/>
        </w:rPr>
        <w:t xml:space="preserve"> </w:t>
      </w:r>
      <w:r w:rsidR="0042121E" w:rsidRPr="00A949AE">
        <w:rPr>
          <w:rFonts w:ascii="Arial" w:hAnsi="Arial" w:cs="Arial"/>
          <w:sz w:val="22"/>
          <w:szCs w:val="22"/>
        </w:rPr>
        <w:t>povinné</w:t>
      </w:r>
      <w:r w:rsidRPr="00A949AE">
        <w:rPr>
          <w:rFonts w:ascii="Arial" w:hAnsi="Arial" w:cs="Arial"/>
          <w:sz w:val="22"/>
          <w:szCs w:val="22"/>
        </w:rPr>
        <w:t xml:space="preserve">. </w:t>
      </w:r>
      <w:r w:rsidR="00EB417C">
        <w:rPr>
          <w:rFonts w:ascii="Arial" w:hAnsi="Arial" w:cs="Arial"/>
          <w:sz w:val="22"/>
          <w:szCs w:val="22"/>
        </w:rPr>
        <w:t xml:space="preserve">Konečným výsledkem využití peněžních prostředků státního rozpočtu ve výši 5 112 </w:t>
      </w:r>
      <w:r w:rsidR="00FE40D8">
        <w:rPr>
          <w:rFonts w:ascii="Arial" w:hAnsi="Arial" w:cs="Arial"/>
          <w:sz w:val="22"/>
          <w:szCs w:val="22"/>
        </w:rPr>
        <w:t xml:space="preserve">tis. </w:t>
      </w:r>
      <w:r w:rsidR="00EB417C">
        <w:rPr>
          <w:rFonts w:ascii="Arial" w:hAnsi="Arial" w:cs="Arial"/>
          <w:sz w:val="22"/>
          <w:szCs w:val="22"/>
        </w:rPr>
        <w:t xml:space="preserve">Kč je tedy pouze </w:t>
      </w:r>
      <w:r w:rsidR="00CD2BDA">
        <w:rPr>
          <w:rFonts w:ascii="Arial" w:hAnsi="Arial" w:cs="Arial"/>
          <w:sz w:val="22"/>
          <w:szCs w:val="22"/>
        </w:rPr>
        <w:t>článek</w:t>
      </w:r>
      <w:r w:rsidR="00FB6AB0">
        <w:rPr>
          <w:rFonts w:ascii="Arial" w:hAnsi="Arial" w:cs="Arial"/>
          <w:sz w:val="22"/>
          <w:szCs w:val="22"/>
        </w:rPr>
        <w:t xml:space="preserve"> </w:t>
      </w:r>
      <w:r w:rsidR="00CD2BDA">
        <w:rPr>
          <w:rFonts w:ascii="Arial" w:hAnsi="Arial" w:cs="Arial"/>
          <w:sz w:val="22"/>
          <w:szCs w:val="22"/>
        </w:rPr>
        <w:t>v</w:t>
      </w:r>
      <w:r w:rsidR="00C12848">
        <w:rPr>
          <w:rFonts w:ascii="Arial" w:hAnsi="Arial" w:cs="Arial"/>
          <w:sz w:val="22"/>
          <w:szCs w:val="22"/>
        </w:rPr>
        <w:t xml:space="preserve"> recenzovaném </w:t>
      </w:r>
      <w:r w:rsidR="00CD2BDA">
        <w:rPr>
          <w:rFonts w:ascii="Arial" w:hAnsi="Arial" w:cs="Arial"/>
          <w:sz w:val="22"/>
          <w:szCs w:val="22"/>
        </w:rPr>
        <w:t xml:space="preserve">periodiku </w:t>
      </w:r>
      <w:r w:rsidR="00CD2BDA" w:rsidRPr="00395C6A">
        <w:rPr>
          <w:rFonts w:ascii="Arial" w:hAnsi="Arial" w:cs="Arial"/>
          <w:i/>
          <w:sz w:val="22"/>
          <w:szCs w:val="22"/>
        </w:rPr>
        <w:t>Kvasný průmysl</w:t>
      </w:r>
      <w:r w:rsidR="00CD2BDA">
        <w:rPr>
          <w:rFonts w:ascii="Arial" w:hAnsi="Arial" w:cs="Arial"/>
          <w:sz w:val="22"/>
          <w:szCs w:val="22"/>
        </w:rPr>
        <w:t xml:space="preserve"> </w:t>
      </w:r>
      <w:r w:rsidR="00FB6AB0">
        <w:rPr>
          <w:rFonts w:ascii="Arial" w:hAnsi="Arial" w:cs="Arial"/>
          <w:sz w:val="22"/>
          <w:szCs w:val="22"/>
        </w:rPr>
        <w:t>a</w:t>
      </w:r>
      <w:r w:rsidR="008A5823">
        <w:rPr>
          <w:rFonts w:ascii="Arial" w:hAnsi="Arial" w:cs="Arial"/>
          <w:sz w:val="22"/>
          <w:szCs w:val="22"/>
        </w:rPr>
        <w:t> </w:t>
      </w:r>
      <w:r w:rsidR="00FB6AB0">
        <w:rPr>
          <w:rFonts w:ascii="Arial" w:hAnsi="Arial" w:cs="Arial"/>
          <w:sz w:val="22"/>
          <w:szCs w:val="22"/>
        </w:rPr>
        <w:t xml:space="preserve">metodika </w:t>
      </w:r>
      <w:r w:rsidR="00CD2BDA">
        <w:rPr>
          <w:rFonts w:ascii="Arial" w:hAnsi="Arial" w:cs="Arial"/>
          <w:sz w:val="22"/>
          <w:szCs w:val="22"/>
        </w:rPr>
        <w:t xml:space="preserve">na stejné téma </w:t>
      </w:r>
      <w:r w:rsidR="0042121E">
        <w:rPr>
          <w:rFonts w:ascii="Arial" w:hAnsi="Arial" w:cs="Arial"/>
          <w:sz w:val="22"/>
          <w:szCs w:val="22"/>
        </w:rPr>
        <w:t>–</w:t>
      </w:r>
      <w:r w:rsidR="00CD2BDA">
        <w:rPr>
          <w:rFonts w:ascii="Arial" w:hAnsi="Arial" w:cs="Arial"/>
          <w:sz w:val="22"/>
          <w:szCs w:val="22"/>
        </w:rPr>
        <w:t xml:space="preserve"> </w:t>
      </w:r>
      <w:r w:rsidR="005A6EFF">
        <w:rPr>
          <w:rFonts w:ascii="Arial" w:hAnsi="Arial" w:cs="Arial"/>
          <w:sz w:val="22"/>
          <w:szCs w:val="22"/>
        </w:rPr>
        <w:t xml:space="preserve">hodnocení </w:t>
      </w:r>
      <w:r w:rsidR="00FB6AB0">
        <w:rPr>
          <w:rFonts w:ascii="Arial" w:hAnsi="Arial" w:cs="Arial"/>
          <w:sz w:val="22"/>
          <w:szCs w:val="22"/>
        </w:rPr>
        <w:t>pitelnosti piva</w:t>
      </w:r>
      <w:r w:rsidR="00AF5BC6">
        <w:rPr>
          <w:rFonts w:ascii="Arial" w:hAnsi="Arial" w:cs="Arial"/>
          <w:sz w:val="22"/>
          <w:szCs w:val="22"/>
        </w:rPr>
        <w:t>.</w:t>
      </w:r>
      <w:r w:rsidR="00FB6AB0">
        <w:rPr>
          <w:rFonts w:ascii="Arial" w:hAnsi="Arial" w:cs="Arial"/>
          <w:sz w:val="22"/>
          <w:szCs w:val="22"/>
        </w:rPr>
        <w:t xml:space="preserve"> </w:t>
      </w:r>
      <w:r w:rsidR="00AF5BC6">
        <w:rPr>
          <w:rFonts w:ascii="Arial" w:hAnsi="Arial" w:cs="Arial"/>
          <w:sz w:val="22"/>
          <w:szCs w:val="22"/>
        </w:rPr>
        <w:t>P</w:t>
      </w:r>
      <w:r w:rsidR="00EB417C">
        <w:rPr>
          <w:rFonts w:ascii="Arial" w:hAnsi="Arial" w:cs="Arial"/>
          <w:sz w:val="22"/>
          <w:szCs w:val="22"/>
        </w:rPr>
        <w:t>odle NKÚ</w:t>
      </w:r>
      <w:r w:rsidR="0042121E">
        <w:rPr>
          <w:rFonts w:ascii="Arial" w:hAnsi="Arial" w:cs="Arial"/>
          <w:sz w:val="22"/>
          <w:szCs w:val="22"/>
        </w:rPr>
        <w:t xml:space="preserve"> byly</w:t>
      </w:r>
      <w:r w:rsidR="00EB417C">
        <w:rPr>
          <w:rFonts w:ascii="Arial" w:hAnsi="Arial" w:cs="Arial"/>
          <w:sz w:val="22"/>
          <w:szCs w:val="22"/>
        </w:rPr>
        <w:t xml:space="preserve"> </w:t>
      </w:r>
      <w:r w:rsidR="0073010C">
        <w:rPr>
          <w:rFonts w:ascii="Arial" w:hAnsi="Arial" w:cs="Arial"/>
          <w:sz w:val="22"/>
          <w:szCs w:val="22"/>
        </w:rPr>
        <w:t xml:space="preserve">postupem MZe </w:t>
      </w:r>
      <w:r w:rsidR="00EB417C">
        <w:rPr>
          <w:rFonts w:ascii="Arial" w:hAnsi="Arial" w:cs="Arial"/>
          <w:sz w:val="22"/>
          <w:szCs w:val="22"/>
        </w:rPr>
        <w:t>tyto prostředky využity nehospodárně.</w:t>
      </w:r>
    </w:p>
    <w:p w14:paraId="78016744" w14:textId="77777777" w:rsidR="00B0728F" w:rsidRDefault="00B0728F" w:rsidP="003E4935">
      <w:pPr>
        <w:jc w:val="both"/>
        <w:rPr>
          <w:rFonts w:ascii="Arial" w:hAnsi="Arial" w:cs="Arial"/>
          <w:sz w:val="22"/>
        </w:rPr>
      </w:pPr>
    </w:p>
    <w:p w14:paraId="78016745" w14:textId="77777777" w:rsidR="00B0728F" w:rsidRDefault="00B0728F" w:rsidP="003E4935">
      <w:pPr>
        <w:jc w:val="both"/>
        <w:rPr>
          <w:rFonts w:ascii="Arial" w:hAnsi="Arial" w:cs="Arial"/>
          <w:sz w:val="22"/>
        </w:rPr>
      </w:pPr>
    </w:p>
    <w:p w14:paraId="78016746" w14:textId="77777777" w:rsidR="00E02EDC" w:rsidRPr="00395C6A" w:rsidRDefault="00E02EDC" w:rsidP="00395C6A">
      <w:pPr>
        <w:jc w:val="center"/>
        <w:rPr>
          <w:rFonts w:ascii="Arial" w:hAnsi="Arial" w:cs="Arial"/>
          <w:b/>
        </w:rPr>
      </w:pPr>
      <w:r w:rsidRPr="00395C6A">
        <w:rPr>
          <w:rFonts w:ascii="Arial" w:hAnsi="Arial" w:cs="Arial"/>
          <w:b/>
        </w:rPr>
        <w:t>III. Shrnutí a vyhodnocení</w:t>
      </w:r>
    </w:p>
    <w:p w14:paraId="78016747" w14:textId="77777777" w:rsidR="00B0728F" w:rsidRDefault="00B0728F" w:rsidP="00395C6A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14:paraId="78016748" w14:textId="77777777" w:rsidR="00E02EDC" w:rsidRDefault="00E02EDC" w:rsidP="00395C6A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účelovou podporu zemědělského výzkumu bylo v le</w:t>
      </w:r>
      <w:r w:rsidR="00191297">
        <w:rPr>
          <w:rFonts w:ascii="Arial" w:hAnsi="Arial" w:cs="Arial"/>
          <w:sz w:val="22"/>
          <w:szCs w:val="22"/>
        </w:rPr>
        <w:t>tech 2010–</w:t>
      </w:r>
      <w:r>
        <w:rPr>
          <w:rFonts w:ascii="Arial" w:hAnsi="Arial" w:cs="Arial"/>
          <w:sz w:val="22"/>
          <w:szCs w:val="22"/>
        </w:rPr>
        <w:t>2012 vynaloženo 1,2 mld.</w:t>
      </w:r>
      <w:r w:rsidR="0042121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Kč. Financování bylo prováděno prostřednictvím programů, které neměly vždy konkrétní, měřitelné a jednoznačně ověřitelné cíle. </w:t>
      </w:r>
      <w:r w:rsidR="0042121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eřejné soutěže, při kterých byly vybírány projekty k podpoře, nebyly transparentní a neměly jasná a všem účastníkům známá pravidla. MZe nechávalo </w:t>
      </w:r>
      <w:r w:rsidR="00BF036A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celém systému účelové podpory VaVaI zpracovávat oponentní posudky, které však nebyly plně využívány</w:t>
      </w:r>
      <w:r w:rsidR="0042121E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42121E">
        <w:rPr>
          <w:rFonts w:ascii="Arial" w:hAnsi="Arial" w:cs="Arial"/>
          <w:sz w:val="22"/>
          <w:szCs w:val="22"/>
        </w:rPr>
        <w:t xml:space="preserve">zároveň </w:t>
      </w:r>
      <w:r>
        <w:rPr>
          <w:rFonts w:ascii="Arial" w:hAnsi="Arial" w:cs="Arial"/>
          <w:sz w:val="22"/>
          <w:szCs w:val="22"/>
        </w:rPr>
        <w:t>nemělo zpracov</w:t>
      </w:r>
      <w:r w:rsidR="0042121E">
        <w:rPr>
          <w:rFonts w:ascii="Arial" w:hAnsi="Arial" w:cs="Arial"/>
          <w:sz w:val="22"/>
          <w:szCs w:val="22"/>
        </w:rPr>
        <w:t>ánu</w:t>
      </w:r>
      <w:r>
        <w:rPr>
          <w:rFonts w:ascii="Arial" w:hAnsi="Arial" w:cs="Arial"/>
          <w:sz w:val="22"/>
          <w:szCs w:val="22"/>
        </w:rPr>
        <w:t xml:space="preserve"> databázi oponentů a pravidla pro jejich výběr.</w:t>
      </w:r>
    </w:p>
    <w:p w14:paraId="78016749" w14:textId="77777777" w:rsidR="00B0728F" w:rsidRDefault="00B0728F" w:rsidP="00395C6A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14:paraId="7801674A" w14:textId="77777777" w:rsidR="00E02EDC" w:rsidRDefault="00E02EDC" w:rsidP="00395C6A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Peněžní prostředky státního rozpočtu byly použity na financování aplikovaného výzkumu. MZe však nezpracovalo dostatečně podrobná a přesná pravidla hodnocení přínosů, a tím nezamezilo rozdílnému přístupu k vyhodnocování výsledků podpořených projektů. Současně nestanovilo ve smlouvách o podpoře </w:t>
      </w:r>
      <w:r w:rsidR="00017183">
        <w:rPr>
          <w:rFonts w:ascii="Arial" w:hAnsi="Arial" w:cs="Arial"/>
          <w:sz w:val="22"/>
          <w:szCs w:val="22"/>
        </w:rPr>
        <w:t xml:space="preserve">uzavíraných </w:t>
      </w:r>
      <w:r>
        <w:rPr>
          <w:rFonts w:ascii="Arial" w:hAnsi="Arial" w:cs="Arial"/>
          <w:sz w:val="22"/>
          <w:szCs w:val="22"/>
        </w:rPr>
        <w:t>s příjemci podpory vždy konkrétní a</w:t>
      </w:r>
      <w:r w:rsidR="0001718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měřitelné cíle a pro praxi využitelné výsledky. U projektů ukončených </w:t>
      </w:r>
      <w:r w:rsidR="00BF036A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 xml:space="preserve">roce 2012 neuzavřelo </w:t>
      </w:r>
      <w:r w:rsidR="00017183">
        <w:rPr>
          <w:rFonts w:ascii="Arial" w:hAnsi="Arial" w:cs="Arial"/>
          <w:sz w:val="22"/>
          <w:szCs w:val="22"/>
        </w:rPr>
        <w:t xml:space="preserve">s příjemci </w:t>
      </w:r>
      <w:r>
        <w:rPr>
          <w:rFonts w:ascii="Arial" w:hAnsi="Arial" w:cs="Arial"/>
          <w:sz w:val="22"/>
          <w:szCs w:val="22"/>
        </w:rPr>
        <w:t xml:space="preserve">ve většině případů smlouvy o využití výsledků projektů včetně plánu užití výsledků, nemůže </w:t>
      </w:r>
      <w:r w:rsidR="00017183">
        <w:rPr>
          <w:rFonts w:ascii="Arial" w:hAnsi="Arial" w:cs="Arial"/>
          <w:sz w:val="22"/>
          <w:szCs w:val="22"/>
        </w:rPr>
        <w:t xml:space="preserve">tedy </w:t>
      </w:r>
      <w:r>
        <w:rPr>
          <w:rFonts w:ascii="Arial" w:hAnsi="Arial" w:cs="Arial"/>
          <w:sz w:val="22"/>
          <w:szCs w:val="22"/>
        </w:rPr>
        <w:t xml:space="preserve">sledovat praktické využití získaných </w:t>
      </w:r>
      <w:r w:rsidRPr="000966C8">
        <w:rPr>
          <w:rFonts w:ascii="Arial" w:hAnsi="Arial" w:cs="Arial"/>
          <w:sz w:val="22"/>
          <w:szCs w:val="22"/>
        </w:rPr>
        <w:t>výsledků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801674B" w14:textId="77777777" w:rsidR="00B0728F" w:rsidRDefault="00B0728F" w:rsidP="00395C6A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</w:p>
    <w:p w14:paraId="7801674C" w14:textId="77777777" w:rsidR="00E02EDC" w:rsidRDefault="00BF036A" w:rsidP="00395C6A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</w:t>
      </w:r>
      <w:r w:rsidR="00E02EDC">
        <w:rPr>
          <w:rFonts w:ascii="Arial" w:hAnsi="Arial" w:cs="Arial"/>
          <w:sz w:val="22"/>
          <w:szCs w:val="22"/>
        </w:rPr>
        <w:t xml:space="preserve">provedené kontrolní akce vyplývá, že pro efektivní a hospodárné využití peněžních prostředků státního rozpočtu určených na účelový zemědělský výzkum </w:t>
      </w:r>
      <w:r>
        <w:rPr>
          <w:rFonts w:ascii="Arial" w:hAnsi="Arial" w:cs="Arial"/>
          <w:sz w:val="22"/>
          <w:szCs w:val="22"/>
        </w:rPr>
        <w:t>v </w:t>
      </w:r>
      <w:r w:rsidR="00E02EDC">
        <w:rPr>
          <w:rFonts w:ascii="Arial" w:hAnsi="Arial" w:cs="Arial"/>
          <w:sz w:val="22"/>
          <w:szCs w:val="22"/>
        </w:rPr>
        <w:t>dalších letech je nezbytné:</w:t>
      </w:r>
    </w:p>
    <w:p w14:paraId="7801674D" w14:textId="77777777" w:rsidR="00E02EDC" w:rsidRDefault="00E02EDC" w:rsidP="00395C6A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stanovit konkrétní, měřitelné a jednoznačně ověřitelné cíle programů;</w:t>
      </w:r>
    </w:p>
    <w:p w14:paraId="7801674E" w14:textId="77777777" w:rsidR="00E02EDC" w:rsidRDefault="00E02EDC" w:rsidP="00B0728F">
      <w:pPr>
        <w:pStyle w:val="Odstavecseseznamem"/>
        <w:numPr>
          <w:ilvl w:val="0"/>
          <w:numId w:val="7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zavést transparentní veřejné soutěže </w:t>
      </w:r>
      <w:r w:rsidR="00BF036A">
        <w:rPr>
          <w:rFonts w:ascii="Arial" w:hAnsi="Arial" w:cs="Arial"/>
          <w:sz w:val="22"/>
          <w:szCs w:val="22"/>
        </w:rPr>
        <w:t>s </w:t>
      </w:r>
      <w:r>
        <w:rPr>
          <w:rFonts w:ascii="Arial" w:hAnsi="Arial" w:cs="Arial"/>
          <w:sz w:val="22"/>
          <w:szCs w:val="22"/>
        </w:rPr>
        <w:t>jasnými a všem účastníkům známými pravidly;</w:t>
      </w:r>
    </w:p>
    <w:p w14:paraId="7801674F" w14:textId="77777777" w:rsidR="00E02EDC" w:rsidRDefault="00E02EDC" w:rsidP="00B0728F">
      <w:pPr>
        <w:pStyle w:val="Odstavecseseznamem"/>
        <w:numPr>
          <w:ilvl w:val="0"/>
          <w:numId w:val="7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stanovit pravidla pro zpracování a využití oponentních posudků </w:t>
      </w:r>
      <w:r w:rsidR="00BF036A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celém systému účelové podpory VaVaI;</w:t>
      </w:r>
    </w:p>
    <w:p w14:paraId="78016750" w14:textId="77777777" w:rsidR="00E02EDC" w:rsidRDefault="00E02EDC" w:rsidP="00B0728F">
      <w:pPr>
        <w:pStyle w:val="Odstavecseseznamem"/>
        <w:numPr>
          <w:ilvl w:val="0"/>
          <w:numId w:val="7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stanovit podrobnější a přesnější pravidla hodnocení přínosů projektů, aby se zamezilo rozdílnému přístupu řešitelů k tomuto vyhodnocování;</w:t>
      </w:r>
    </w:p>
    <w:p w14:paraId="78016751" w14:textId="77777777" w:rsidR="00E02EDC" w:rsidRDefault="00E02EDC" w:rsidP="00B0728F">
      <w:pPr>
        <w:pStyle w:val="Odstavecseseznamem"/>
        <w:numPr>
          <w:ilvl w:val="0"/>
          <w:numId w:val="7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stanovit ve smlouvách o podpoře vždy konkrétní, měřitelné a pro praxi přínosné výsledky a kontrolovat jejich plnění;</w:t>
      </w:r>
    </w:p>
    <w:p w14:paraId="78016752" w14:textId="77777777" w:rsidR="00E02EDC" w:rsidRDefault="00E02EDC" w:rsidP="00B0728F">
      <w:pPr>
        <w:pStyle w:val="Odstavecseseznamem"/>
        <w:numPr>
          <w:ilvl w:val="0"/>
          <w:numId w:val="7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uzavřít chybějící </w:t>
      </w:r>
      <w:r w:rsidRPr="00395C6A">
        <w:rPr>
          <w:rFonts w:ascii="Arial" w:hAnsi="Arial" w:cs="Arial"/>
          <w:i/>
          <w:sz w:val="22"/>
          <w:szCs w:val="22"/>
        </w:rPr>
        <w:t>smlouvy o využití výsledků</w:t>
      </w:r>
      <w:r>
        <w:rPr>
          <w:rFonts w:ascii="Arial" w:hAnsi="Arial" w:cs="Arial"/>
          <w:sz w:val="22"/>
          <w:szCs w:val="22"/>
        </w:rPr>
        <w:t xml:space="preserve"> </w:t>
      </w:r>
      <w:r w:rsidR="00BF036A">
        <w:rPr>
          <w:rFonts w:ascii="Arial" w:hAnsi="Arial" w:cs="Arial"/>
          <w:sz w:val="22"/>
          <w:szCs w:val="22"/>
        </w:rPr>
        <w:t>z </w:t>
      </w:r>
      <w:r>
        <w:rPr>
          <w:rFonts w:ascii="Arial" w:hAnsi="Arial" w:cs="Arial"/>
          <w:sz w:val="22"/>
          <w:szCs w:val="22"/>
        </w:rPr>
        <w:t xml:space="preserve">roku 2012 </w:t>
      </w:r>
      <w:r w:rsidR="00017183">
        <w:rPr>
          <w:rFonts w:ascii="Arial" w:hAnsi="Arial" w:cs="Arial"/>
          <w:sz w:val="22"/>
          <w:szCs w:val="22"/>
        </w:rPr>
        <w:t>a požadovat po řešitelích</w:t>
      </w:r>
      <w:r>
        <w:rPr>
          <w:rFonts w:ascii="Arial" w:hAnsi="Arial" w:cs="Arial"/>
          <w:sz w:val="22"/>
          <w:szCs w:val="22"/>
        </w:rPr>
        <w:t xml:space="preserve"> dlouhodobé a věrohodné hodnocení přínosů jednotlivých projektů; </w:t>
      </w:r>
    </w:p>
    <w:p w14:paraId="78016753" w14:textId="77777777" w:rsidR="00E02EDC" w:rsidRPr="00375066" w:rsidRDefault="00BF036A" w:rsidP="00B0728F">
      <w:pPr>
        <w:pStyle w:val="Odstavecseseznamem"/>
        <w:numPr>
          <w:ilvl w:val="0"/>
          <w:numId w:val="7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="00E02EDC">
        <w:rPr>
          <w:rFonts w:ascii="Arial" w:hAnsi="Arial" w:cs="Arial"/>
          <w:sz w:val="22"/>
          <w:szCs w:val="22"/>
        </w:rPr>
        <w:t xml:space="preserve">dalších programech uplatňovat </w:t>
      </w:r>
      <w:r w:rsidR="00E02EDC" w:rsidRPr="000966C8">
        <w:rPr>
          <w:rFonts w:ascii="Arial" w:hAnsi="Arial" w:cs="Arial"/>
          <w:sz w:val="22"/>
          <w:szCs w:val="22"/>
        </w:rPr>
        <w:t>poznatky získané z vyhodnoc</w:t>
      </w:r>
      <w:r w:rsidR="00017183">
        <w:rPr>
          <w:rFonts w:ascii="Arial" w:hAnsi="Arial" w:cs="Arial"/>
          <w:sz w:val="22"/>
          <w:szCs w:val="22"/>
        </w:rPr>
        <w:t>ování</w:t>
      </w:r>
      <w:r w:rsidR="00E02EDC" w:rsidRPr="000966C8">
        <w:rPr>
          <w:rFonts w:ascii="Arial" w:hAnsi="Arial" w:cs="Arial"/>
          <w:sz w:val="22"/>
          <w:szCs w:val="22"/>
        </w:rPr>
        <w:t xml:space="preserve"> výsledků podpořených projektů</w:t>
      </w:r>
      <w:r w:rsidR="00E02EDC">
        <w:rPr>
          <w:rFonts w:ascii="Arial" w:hAnsi="Arial" w:cs="Arial"/>
          <w:sz w:val="22"/>
          <w:szCs w:val="22"/>
        </w:rPr>
        <w:t>.</w:t>
      </w:r>
    </w:p>
    <w:p w14:paraId="78016754" w14:textId="77777777" w:rsidR="00E02EDC" w:rsidRPr="00375066" w:rsidRDefault="00E02EDC" w:rsidP="00E02EDC">
      <w:pPr>
        <w:tabs>
          <w:tab w:val="left" w:pos="142"/>
        </w:tabs>
        <w:spacing w:before="240"/>
        <w:jc w:val="both"/>
        <w:rPr>
          <w:rFonts w:ascii="Arial" w:hAnsi="Arial" w:cs="Arial"/>
          <w:sz w:val="22"/>
          <w:szCs w:val="22"/>
        </w:rPr>
      </w:pPr>
    </w:p>
    <w:p w14:paraId="78016755" w14:textId="77777777" w:rsidR="00E02EDC" w:rsidRPr="00375066" w:rsidRDefault="00E02EDC" w:rsidP="003E4935">
      <w:pPr>
        <w:jc w:val="both"/>
        <w:rPr>
          <w:rFonts w:ascii="Arial" w:hAnsi="Arial" w:cs="Arial"/>
          <w:sz w:val="22"/>
        </w:rPr>
      </w:pPr>
    </w:p>
    <w:sectPr w:rsidR="00E02EDC" w:rsidRPr="00375066" w:rsidSect="00D03CD0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1675A" w14:textId="77777777" w:rsidR="000266A9" w:rsidRDefault="000266A9" w:rsidP="00087273">
      <w:r>
        <w:separator/>
      </w:r>
    </w:p>
  </w:endnote>
  <w:endnote w:type="continuationSeparator" w:id="0">
    <w:p w14:paraId="7801675B" w14:textId="77777777" w:rsidR="000266A9" w:rsidRDefault="000266A9" w:rsidP="0008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-152460257"/>
      <w:docPartObj>
        <w:docPartGallery w:val="Page Numbers (Bottom of Page)"/>
        <w:docPartUnique/>
      </w:docPartObj>
    </w:sdtPr>
    <w:sdtEndPr/>
    <w:sdtContent>
      <w:p w14:paraId="7801675C" w14:textId="77777777" w:rsidR="000266A9" w:rsidRPr="00D03CD0" w:rsidRDefault="000266A9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D03CD0">
          <w:rPr>
            <w:rFonts w:ascii="Arial" w:hAnsi="Arial" w:cs="Arial"/>
            <w:sz w:val="22"/>
            <w:szCs w:val="22"/>
          </w:rPr>
          <w:fldChar w:fldCharType="begin"/>
        </w:r>
        <w:r w:rsidRPr="00D03CD0">
          <w:rPr>
            <w:rFonts w:ascii="Arial" w:hAnsi="Arial" w:cs="Arial"/>
            <w:sz w:val="22"/>
            <w:szCs w:val="22"/>
          </w:rPr>
          <w:instrText>PAGE   \* MERGEFORMAT</w:instrText>
        </w:r>
        <w:r w:rsidRPr="00D03CD0">
          <w:rPr>
            <w:rFonts w:ascii="Arial" w:hAnsi="Arial" w:cs="Arial"/>
            <w:sz w:val="22"/>
            <w:szCs w:val="22"/>
          </w:rPr>
          <w:fldChar w:fldCharType="separate"/>
        </w:r>
        <w:r w:rsidR="008C620B">
          <w:rPr>
            <w:rFonts w:ascii="Arial" w:hAnsi="Arial" w:cs="Arial"/>
            <w:noProof/>
            <w:sz w:val="22"/>
            <w:szCs w:val="22"/>
          </w:rPr>
          <w:t>7</w:t>
        </w:r>
        <w:r w:rsidRPr="00D03CD0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801675D" w14:textId="77777777" w:rsidR="000266A9" w:rsidRDefault="000266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16758" w14:textId="77777777" w:rsidR="000266A9" w:rsidRDefault="000266A9" w:rsidP="00087273">
      <w:r>
        <w:separator/>
      </w:r>
    </w:p>
  </w:footnote>
  <w:footnote w:type="continuationSeparator" w:id="0">
    <w:p w14:paraId="78016759" w14:textId="77777777" w:rsidR="000266A9" w:rsidRDefault="000266A9" w:rsidP="00087273">
      <w:r>
        <w:continuationSeparator/>
      </w:r>
    </w:p>
  </w:footnote>
  <w:footnote w:id="1">
    <w:p w14:paraId="7801675E" w14:textId="77777777" w:rsidR="000266A9" w:rsidRPr="00D03CD0" w:rsidRDefault="000266A9" w:rsidP="00D03CD0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D03CD0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bCs/>
          <w:iCs/>
          <w:sz w:val="18"/>
          <w:szCs w:val="18"/>
        </w:rPr>
        <w:tab/>
      </w:r>
      <w:r w:rsidRPr="00D03CD0">
        <w:rPr>
          <w:rFonts w:ascii="Arial" w:hAnsi="Arial" w:cs="Arial"/>
          <w:bCs/>
          <w:iCs/>
          <w:sz w:val="18"/>
          <w:szCs w:val="18"/>
        </w:rPr>
        <w:t>Zákon č.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D03CD0">
        <w:rPr>
          <w:rFonts w:ascii="Arial" w:hAnsi="Arial" w:cs="Arial"/>
          <w:bCs/>
          <w:iCs/>
          <w:sz w:val="18"/>
          <w:szCs w:val="18"/>
        </w:rPr>
        <w:t xml:space="preserve">130/2002 Sb., o podpoře výzkumu, experimentálního vývoje a inovací </w:t>
      </w:r>
      <w:r>
        <w:rPr>
          <w:rFonts w:ascii="Arial" w:hAnsi="Arial" w:cs="Arial"/>
          <w:bCs/>
          <w:iCs/>
          <w:sz w:val="18"/>
          <w:szCs w:val="18"/>
        </w:rPr>
        <w:t>z </w:t>
      </w:r>
      <w:r w:rsidRPr="00D03CD0">
        <w:rPr>
          <w:rFonts w:ascii="Arial" w:hAnsi="Arial" w:cs="Arial"/>
          <w:bCs/>
          <w:iCs/>
          <w:sz w:val="18"/>
          <w:szCs w:val="18"/>
        </w:rPr>
        <w:t>veřejných prostředků a o změně některých souvisejících zákonů (zákon o podpoře výzkumu, experimentálního vývoje a inovací)</w:t>
      </w:r>
      <w:r>
        <w:rPr>
          <w:rFonts w:ascii="Arial" w:hAnsi="Arial" w:cs="Arial"/>
          <w:bCs/>
          <w:iCs/>
          <w:sz w:val="18"/>
          <w:szCs w:val="18"/>
        </w:rPr>
        <w:t>.</w:t>
      </w:r>
    </w:p>
  </w:footnote>
  <w:footnote w:id="2">
    <w:p w14:paraId="7801675F" w14:textId="77777777" w:rsidR="000266A9" w:rsidRPr="00D03CD0" w:rsidRDefault="000266A9" w:rsidP="00D03CD0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D03CD0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bCs/>
          <w:iCs/>
          <w:sz w:val="18"/>
          <w:szCs w:val="18"/>
        </w:rPr>
        <w:tab/>
      </w:r>
      <w:r w:rsidRPr="00D03CD0">
        <w:rPr>
          <w:rFonts w:ascii="Arial" w:hAnsi="Arial" w:cs="Arial"/>
          <w:bCs/>
          <w:iCs/>
          <w:sz w:val="18"/>
          <w:szCs w:val="18"/>
        </w:rPr>
        <w:t>Zákon č.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 w:rsidRPr="00D03CD0">
        <w:rPr>
          <w:rFonts w:ascii="Arial" w:hAnsi="Arial" w:cs="Arial"/>
          <w:bCs/>
          <w:iCs/>
          <w:sz w:val="18"/>
          <w:szCs w:val="18"/>
        </w:rPr>
        <w:t>320/2001 Sb., o finanční kontrole ve veřejné správě a o změně některých zákonů (zákon o finanční kontrole)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14A5"/>
    <w:multiLevelType w:val="multilevel"/>
    <w:tmpl w:val="4FFA8E9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">
    <w:nsid w:val="107B0038"/>
    <w:multiLevelType w:val="hybridMultilevel"/>
    <w:tmpl w:val="2F5C439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7BB5EA7"/>
    <w:multiLevelType w:val="hybridMultilevel"/>
    <w:tmpl w:val="CA081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C7BAB"/>
    <w:multiLevelType w:val="hybridMultilevel"/>
    <w:tmpl w:val="43822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015ED"/>
    <w:multiLevelType w:val="hybridMultilevel"/>
    <w:tmpl w:val="A5D69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80FF2"/>
    <w:multiLevelType w:val="hybridMultilevel"/>
    <w:tmpl w:val="84C02204"/>
    <w:lvl w:ilvl="0" w:tplc="9432AC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7505C"/>
    <w:multiLevelType w:val="hybridMultilevel"/>
    <w:tmpl w:val="CB8AE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F9"/>
    <w:rsid w:val="0000026A"/>
    <w:rsid w:val="00005793"/>
    <w:rsid w:val="00017183"/>
    <w:rsid w:val="00024CE9"/>
    <w:rsid w:val="000266A9"/>
    <w:rsid w:val="00027F70"/>
    <w:rsid w:val="0003487C"/>
    <w:rsid w:val="00087273"/>
    <w:rsid w:val="000966C8"/>
    <w:rsid w:val="000B375A"/>
    <w:rsid w:val="000C085D"/>
    <w:rsid w:val="000C3041"/>
    <w:rsid w:val="000D0A27"/>
    <w:rsid w:val="000E2157"/>
    <w:rsid w:val="000F44BD"/>
    <w:rsid w:val="001011E1"/>
    <w:rsid w:val="001061C1"/>
    <w:rsid w:val="0011149A"/>
    <w:rsid w:val="0013221F"/>
    <w:rsid w:val="00133984"/>
    <w:rsid w:val="0013440A"/>
    <w:rsid w:val="00136B5A"/>
    <w:rsid w:val="00141D24"/>
    <w:rsid w:val="0014451D"/>
    <w:rsid w:val="001666B3"/>
    <w:rsid w:val="00167D9C"/>
    <w:rsid w:val="001700A1"/>
    <w:rsid w:val="00177184"/>
    <w:rsid w:val="00191297"/>
    <w:rsid w:val="00193656"/>
    <w:rsid w:val="001A072A"/>
    <w:rsid w:val="001C2E4F"/>
    <w:rsid w:val="001C430D"/>
    <w:rsid w:val="001C6BE3"/>
    <w:rsid w:val="001D204A"/>
    <w:rsid w:val="001D6248"/>
    <w:rsid w:val="001F1C06"/>
    <w:rsid w:val="001F29BA"/>
    <w:rsid w:val="00206B76"/>
    <w:rsid w:val="002117BB"/>
    <w:rsid w:val="0022418F"/>
    <w:rsid w:val="00226EC0"/>
    <w:rsid w:val="002360F4"/>
    <w:rsid w:val="00246FCC"/>
    <w:rsid w:val="0026095E"/>
    <w:rsid w:val="00280893"/>
    <w:rsid w:val="00286F8B"/>
    <w:rsid w:val="002A39D7"/>
    <w:rsid w:val="002A5A35"/>
    <w:rsid w:val="002A5EA9"/>
    <w:rsid w:val="002A6746"/>
    <w:rsid w:val="002B77B6"/>
    <w:rsid w:val="002C10D0"/>
    <w:rsid w:val="002C6FDE"/>
    <w:rsid w:val="002D15B5"/>
    <w:rsid w:val="002D4FA0"/>
    <w:rsid w:val="002D520F"/>
    <w:rsid w:val="002D72AE"/>
    <w:rsid w:val="002F3EF3"/>
    <w:rsid w:val="00302536"/>
    <w:rsid w:val="00316C09"/>
    <w:rsid w:val="00322E19"/>
    <w:rsid w:val="003267AB"/>
    <w:rsid w:val="00332BB2"/>
    <w:rsid w:val="00334113"/>
    <w:rsid w:val="003457DA"/>
    <w:rsid w:val="003474A6"/>
    <w:rsid w:val="00353E86"/>
    <w:rsid w:val="00355BF0"/>
    <w:rsid w:val="00357DEF"/>
    <w:rsid w:val="00375066"/>
    <w:rsid w:val="00377C54"/>
    <w:rsid w:val="00393D0C"/>
    <w:rsid w:val="00395C6A"/>
    <w:rsid w:val="003A23B5"/>
    <w:rsid w:val="003A357F"/>
    <w:rsid w:val="003A3F0A"/>
    <w:rsid w:val="003B1F1E"/>
    <w:rsid w:val="003B498A"/>
    <w:rsid w:val="003C7130"/>
    <w:rsid w:val="003D3FCF"/>
    <w:rsid w:val="003E4935"/>
    <w:rsid w:val="003F0EE5"/>
    <w:rsid w:val="0042121E"/>
    <w:rsid w:val="00446515"/>
    <w:rsid w:val="00477BFA"/>
    <w:rsid w:val="00486089"/>
    <w:rsid w:val="0048684A"/>
    <w:rsid w:val="00487C43"/>
    <w:rsid w:val="004B000C"/>
    <w:rsid w:val="004B1F81"/>
    <w:rsid w:val="004B4A16"/>
    <w:rsid w:val="004C2B34"/>
    <w:rsid w:val="004D3C6A"/>
    <w:rsid w:val="004E34F7"/>
    <w:rsid w:val="004F2840"/>
    <w:rsid w:val="00502B8B"/>
    <w:rsid w:val="00510262"/>
    <w:rsid w:val="00512C2E"/>
    <w:rsid w:val="0051798A"/>
    <w:rsid w:val="005236BB"/>
    <w:rsid w:val="005248F5"/>
    <w:rsid w:val="00534026"/>
    <w:rsid w:val="00542757"/>
    <w:rsid w:val="005A5790"/>
    <w:rsid w:val="005A6EFF"/>
    <w:rsid w:val="005B2B56"/>
    <w:rsid w:val="005C0592"/>
    <w:rsid w:val="005C1846"/>
    <w:rsid w:val="005C53E3"/>
    <w:rsid w:val="005D0844"/>
    <w:rsid w:val="005E48E3"/>
    <w:rsid w:val="005F0B6A"/>
    <w:rsid w:val="00600A62"/>
    <w:rsid w:val="00617A28"/>
    <w:rsid w:val="00617F50"/>
    <w:rsid w:val="00651753"/>
    <w:rsid w:val="006526A8"/>
    <w:rsid w:val="00652C3E"/>
    <w:rsid w:val="00664226"/>
    <w:rsid w:val="0067416A"/>
    <w:rsid w:val="0068314E"/>
    <w:rsid w:val="00693EA1"/>
    <w:rsid w:val="00695E4D"/>
    <w:rsid w:val="0069729E"/>
    <w:rsid w:val="006C02FF"/>
    <w:rsid w:val="006C12EC"/>
    <w:rsid w:val="006C4130"/>
    <w:rsid w:val="006C4D47"/>
    <w:rsid w:val="006D63D3"/>
    <w:rsid w:val="006F23C4"/>
    <w:rsid w:val="006F5566"/>
    <w:rsid w:val="006F713D"/>
    <w:rsid w:val="0070324C"/>
    <w:rsid w:val="007118BC"/>
    <w:rsid w:val="007234C3"/>
    <w:rsid w:val="0072488A"/>
    <w:rsid w:val="0073010C"/>
    <w:rsid w:val="00782111"/>
    <w:rsid w:val="007906C6"/>
    <w:rsid w:val="007B22F5"/>
    <w:rsid w:val="007B37AE"/>
    <w:rsid w:val="007B7708"/>
    <w:rsid w:val="007C66AE"/>
    <w:rsid w:val="007D74FD"/>
    <w:rsid w:val="007E098F"/>
    <w:rsid w:val="007E179E"/>
    <w:rsid w:val="007E2F88"/>
    <w:rsid w:val="007F047F"/>
    <w:rsid w:val="007F26A3"/>
    <w:rsid w:val="007F44EB"/>
    <w:rsid w:val="007F5D3B"/>
    <w:rsid w:val="00806948"/>
    <w:rsid w:val="00807FFE"/>
    <w:rsid w:val="00811AE0"/>
    <w:rsid w:val="008122E0"/>
    <w:rsid w:val="0081301D"/>
    <w:rsid w:val="00830A5A"/>
    <w:rsid w:val="0083109C"/>
    <w:rsid w:val="00844DA0"/>
    <w:rsid w:val="00846068"/>
    <w:rsid w:val="008500F2"/>
    <w:rsid w:val="00872D5F"/>
    <w:rsid w:val="00873E66"/>
    <w:rsid w:val="008939E9"/>
    <w:rsid w:val="008A5823"/>
    <w:rsid w:val="008C5BAF"/>
    <w:rsid w:val="008C620B"/>
    <w:rsid w:val="008D048E"/>
    <w:rsid w:val="008D2CDC"/>
    <w:rsid w:val="008E146F"/>
    <w:rsid w:val="008E529A"/>
    <w:rsid w:val="008F09DF"/>
    <w:rsid w:val="008F0B21"/>
    <w:rsid w:val="00901AA8"/>
    <w:rsid w:val="00934599"/>
    <w:rsid w:val="00936D9B"/>
    <w:rsid w:val="00951A01"/>
    <w:rsid w:val="00955367"/>
    <w:rsid w:val="00970C1A"/>
    <w:rsid w:val="009A7BFB"/>
    <w:rsid w:val="009B0DAE"/>
    <w:rsid w:val="009B4A4D"/>
    <w:rsid w:val="009D61CF"/>
    <w:rsid w:val="009E05EF"/>
    <w:rsid w:val="009E1550"/>
    <w:rsid w:val="009E4A46"/>
    <w:rsid w:val="009F6E99"/>
    <w:rsid w:val="009F7B67"/>
    <w:rsid w:val="00A0493B"/>
    <w:rsid w:val="00A1242C"/>
    <w:rsid w:val="00A1538B"/>
    <w:rsid w:val="00A2405F"/>
    <w:rsid w:val="00A31E77"/>
    <w:rsid w:val="00A359F9"/>
    <w:rsid w:val="00A450F9"/>
    <w:rsid w:val="00A45B74"/>
    <w:rsid w:val="00A520A2"/>
    <w:rsid w:val="00A60920"/>
    <w:rsid w:val="00A660E0"/>
    <w:rsid w:val="00A66918"/>
    <w:rsid w:val="00A800A1"/>
    <w:rsid w:val="00A8610A"/>
    <w:rsid w:val="00A9214B"/>
    <w:rsid w:val="00A949AE"/>
    <w:rsid w:val="00A95ADD"/>
    <w:rsid w:val="00AA0568"/>
    <w:rsid w:val="00AC4688"/>
    <w:rsid w:val="00AD7AE5"/>
    <w:rsid w:val="00AE4A2C"/>
    <w:rsid w:val="00AF40A4"/>
    <w:rsid w:val="00AF5BC6"/>
    <w:rsid w:val="00B033A5"/>
    <w:rsid w:val="00B0728F"/>
    <w:rsid w:val="00B33896"/>
    <w:rsid w:val="00B36289"/>
    <w:rsid w:val="00B56D8B"/>
    <w:rsid w:val="00B66D34"/>
    <w:rsid w:val="00B76BE5"/>
    <w:rsid w:val="00B805B6"/>
    <w:rsid w:val="00BE140C"/>
    <w:rsid w:val="00BE2439"/>
    <w:rsid w:val="00BF036A"/>
    <w:rsid w:val="00BF0F40"/>
    <w:rsid w:val="00C01E51"/>
    <w:rsid w:val="00C04322"/>
    <w:rsid w:val="00C06747"/>
    <w:rsid w:val="00C12848"/>
    <w:rsid w:val="00C27AA9"/>
    <w:rsid w:val="00C372FB"/>
    <w:rsid w:val="00C37656"/>
    <w:rsid w:val="00C554F1"/>
    <w:rsid w:val="00C83C40"/>
    <w:rsid w:val="00C86610"/>
    <w:rsid w:val="00C903D9"/>
    <w:rsid w:val="00C927B6"/>
    <w:rsid w:val="00CA58DB"/>
    <w:rsid w:val="00CB0840"/>
    <w:rsid w:val="00CB34D7"/>
    <w:rsid w:val="00CB36DF"/>
    <w:rsid w:val="00CB3A0C"/>
    <w:rsid w:val="00CB573E"/>
    <w:rsid w:val="00CC31FE"/>
    <w:rsid w:val="00CC3972"/>
    <w:rsid w:val="00CD2BDA"/>
    <w:rsid w:val="00CD45BC"/>
    <w:rsid w:val="00CE3BE8"/>
    <w:rsid w:val="00CF25E5"/>
    <w:rsid w:val="00D01F96"/>
    <w:rsid w:val="00D03CD0"/>
    <w:rsid w:val="00D11D49"/>
    <w:rsid w:val="00D15AC7"/>
    <w:rsid w:val="00D22C00"/>
    <w:rsid w:val="00D26DCE"/>
    <w:rsid w:val="00D30D68"/>
    <w:rsid w:val="00D374F9"/>
    <w:rsid w:val="00D4023F"/>
    <w:rsid w:val="00D45B10"/>
    <w:rsid w:val="00D53241"/>
    <w:rsid w:val="00D555D1"/>
    <w:rsid w:val="00D71D3C"/>
    <w:rsid w:val="00D71F76"/>
    <w:rsid w:val="00D72B93"/>
    <w:rsid w:val="00D87522"/>
    <w:rsid w:val="00D90605"/>
    <w:rsid w:val="00DA1F62"/>
    <w:rsid w:val="00DA6F71"/>
    <w:rsid w:val="00DB4D06"/>
    <w:rsid w:val="00DD298D"/>
    <w:rsid w:val="00DD2A3A"/>
    <w:rsid w:val="00DD45A0"/>
    <w:rsid w:val="00DD519F"/>
    <w:rsid w:val="00DE399F"/>
    <w:rsid w:val="00DF0716"/>
    <w:rsid w:val="00DF1FF8"/>
    <w:rsid w:val="00DF3F53"/>
    <w:rsid w:val="00E02EDC"/>
    <w:rsid w:val="00E0671C"/>
    <w:rsid w:val="00E07B53"/>
    <w:rsid w:val="00E1020B"/>
    <w:rsid w:val="00E12274"/>
    <w:rsid w:val="00E43BBE"/>
    <w:rsid w:val="00E57090"/>
    <w:rsid w:val="00E83B31"/>
    <w:rsid w:val="00E90601"/>
    <w:rsid w:val="00E92B94"/>
    <w:rsid w:val="00EA10A8"/>
    <w:rsid w:val="00EB417C"/>
    <w:rsid w:val="00EC3DFB"/>
    <w:rsid w:val="00ED2FCD"/>
    <w:rsid w:val="00ED5C42"/>
    <w:rsid w:val="00EE0E9B"/>
    <w:rsid w:val="00EF0FA1"/>
    <w:rsid w:val="00F06F44"/>
    <w:rsid w:val="00F21D00"/>
    <w:rsid w:val="00F23D7B"/>
    <w:rsid w:val="00F35A89"/>
    <w:rsid w:val="00F37B85"/>
    <w:rsid w:val="00F37DAF"/>
    <w:rsid w:val="00F475A8"/>
    <w:rsid w:val="00F71068"/>
    <w:rsid w:val="00FA708E"/>
    <w:rsid w:val="00FB52B4"/>
    <w:rsid w:val="00FB6AB0"/>
    <w:rsid w:val="00FD053E"/>
    <w:rsid w:val="00FD63F0"/>
    <w:rsid w:val="00FE3C29"/>
    <w:rsid w:val="00FE40D8"/>
    <w:rsid w:val="00FE4B8A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6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27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3984"/>
    <w:pPr>
      <w:keepNext/>
      <w:spacing w:before="240" w:after="60"/>
      <w:ind w:left="284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273"/>
    <w:pPr>
      <w:ind w:left="720"/>
      <w:contextualSpacing/>
    </w:pPr>
    <w:rPr>
      <w:rFonts w:eastAsia="Times New Roman" w:cs="Times New Roman"/>
    </w:rPr>
  </w:style>
  <w:style w:type="paragraph" w:styleId="Normlnweb">
    <w:name w:val="Normal (Web)"/>
    <w:basedOn w:val="Normln"/>
    <w:uiPriority w:val="99"/>
    <w:unhideWhenUsed/>
    <w:rsid w:val="00087273"/>
    <w:pPr>
      <w:spacing w:before="100" w:beforeAutospacing="1" w:after="100" w:afterAutospacing="1"/>
    </w:pPr>
    <w:rPr>
      <w:rFonts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72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273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872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273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A94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4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1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1F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E92B94"/>
    <w:pPr>
      <w:spacing w:after="120"/>
      <w:jc w:val="both"/>
    </w:pPr>
    <w:rPr>
      <w:rFonts w:eastAsia="Times New Roman" w:cs="Times New Roman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92B94"/>
    <w:rPr>
      <w:rFonts w:ascii="Times New Roman" w:eastAsia="Times New Roman" w:hAnsi="Times New Roman" w:cs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13398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DA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DA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0DA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C6B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6B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6BE3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6B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6BE3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27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33984"/>
    <w:pPr>
      <w:keepNext/>
      <w:spacing w:before="240" w:after="60"/>
      <w:ind w:left="284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7273"/>
    <w:pPr>
      <w:ind w:left="720"/>
      <w:contextualSpacing/>
    </w:pPr>
    <w:rPr>
      <w:rFonts w:eastAsia="Times New Roman" w:cs="Times New Roman"/>
    </w:rPr>
  </w:style>
  <w:style w:type="paragraph" w:styleId="Normlnweb">
    <w:name w:val="Normal (Web)"/>
    <w:basedOn w:val="Normln"/>
    <w:uiPriority w:val="99"/>
    <w:unhideWhenUsed/>
    <w:rsid w:val="00087273"/>
    <w:pPr>
      <w:spacing w:before="100" w:beforeAutospacing="1" w:after="100" w:afterAutospacing="1"/>
    </w:pPr>
    <w:rPr>
      <w:rFonts w:eastAsia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872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7273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872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7273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A94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49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1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1F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E92B94"/>
    <w:pPr>
      <w:spacing w:after="120"/>
      <w:jc w:val="both"/>
    </w:pPr>
    <w:rPr>
      <w:rFonts w:eastAsia="Times New Roman" w:cs="Times New Roman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92B94"/>
    <w:rPr>
      <w:rFonts w:ascii="Times New Roman" w:eastAsia="Times New Roman" w:hAnsi="Times New Roman" w:cs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133984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DA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DA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0DA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C6B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6B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6BE3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6B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6BE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0936C3-26A6-4FCF-AC3F-77C15FE29029}"/>
</file>

<file path=customXml/itemProps2.xml><?xml version="1.0" encoding="utf-8"?>
<ds:datastoreItem xmlns:ds="http://schemas.openxmlformats.org/officeDocument/2006/customXml" ds:itemID="{ADC01CC7-ED74-43E6-B867-1AA43AD282C8}"/>
</file>

<file path=customXml/itemProps3.xml><?xml version="1.0" encoding="utf-8"?>
<ds:datastoreItem xmlns:ds="http://schemas.openxmlformats.org/officeDocument/2006/customXml" ds:itemID="{1672000E-15AA-46A4-88A9-BF285F285C2B}"/>
</file>

<file path=customXml/itemProps4.xml><?xml version="1.0" encoding="utf-8"?>
<ds:datastoreItem xmlns:ds="http://schemas.openxmlformats.org/officeDocument/2006/customXml" ds:itemID="{AAA6854F-7C30-4826-B73F-2C34C838A3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7</Pages>
  <Words>3214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13/08</dc:title>
  <dc:creator>FIALA Tomáš</dc:creator>
  <cp:lastModifiedBy>KOKRDA Daniel</cp:lastModifiedBy>
  <cp:revision>31</cp:revision>
  <cp:lastPrinted>2013-10-17T10:03:00Z</cp:lastPrinted>
  <dcterms:created xsi:type="dcterms:W3CDTF">2013-11-04T14:38:00Z</dcterms:created>
  <dcterms:modified xsi:type="dcterms:W3CDTF">2013-12-31T12:50:00Z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