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Override1.xml" ContentType="application/vnd.openxmlformats-officedocument.themeOverrid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A2" w:rsidRPr="00873783" w:rsidRDefault="004F33A2" w:rsidP="00873783">
      <w:pPr>
        <w:spacing w:line="240" w:lineRule="auto"/>
        <w:jc w:val="center"/>
        <w:rPr>
          <w:rFonts w:eastAsia="Times New Roman" w:cs="Arial"/>
          <w:b/>
          <w:bCs/>
        </w:rPr>
      </w:pPr>
      <w:r w:rsidRPr="00873783">
        <w:rPr>
          <w:rFonts w:eastAsia="Times New Roman" w:cs="Arial"/>
          <w:b/>
          <w:bCs/>
          <w:noProof/>
          <w:lang w:eastAsia="cs-CZ"/>
        </w:rPr>
        <w:drawing>
          <wp:anchor distT="0" distB="0" distL="114300" distR="114300" simplePos="0" relativeHeight="251659264" behindDoc="0" locked="0" layoutInCell="1" allowOverlap="1" wp14:anchorId="06BBD244" wp14:editId="6E7E2C9A">
            <wp:simplePos x="0" y="0"/>
            <wp:positionH relativeFrom="column">
              <wp:posOffset>2510155</wp:posOffset>
            </wp:positionH>
            <wp:positionV relativeFrom="paragraph">
              <wp:posOffset>-233045</wp:posOffset>
            </wp:positionV>
            <wp:extent cx="791210" cy="559435"/>
            <wp:effectExtent l="0" t="0" r="8890" b="0"/>
            <wp:wrapTopAndBottom/>
            <wp:docPr id="1"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KU_LOG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21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3A2" w:rsidRPr="00873783" w:rsidRDefault="004F33A2" w:rsidP="00873783">
      <w:pPr>
        <w:spacing w:line="240" w:lineRule="auto"/>
        <w:jc w:val="center"/>
        <w:rPr>
          <w:rFonts w:eastAsia="Times New Roman" w:cs="Arial"/>
          <w:b/>
          <w:bCs/>
        </w:rPr>
      </w:pPr>
    </w:p>
    <w:p w:rsidR="004F33A2" w:rsidRPr="00873783" w:rsidRDefault="004F33A2" w:rsidP="00873783">
      <w:pPr>
        <w:spacing w:line="240" w:lineRule="auto"/>
        <w:jc w:val="center"/>
        <w:rPr>
          <w:rFonts w:eastAsia="Times New Roman" w:cs="Arial"/>
          <w:b/>
          <w:bCs/>
        </w:rPr>
      </w:pPr>
    </w:p>
    <w:p w:rsidR="004F33A2" w:rsidRPr="00873783" w:rsidRDefault="004F33A2" w:rsidP="00873783">
      <w:pPr>
        <w:spacing w:line="240" w:lineRule="auto"/>
        <w:jc w:val="center"/>
        <w:rPr>
          <w:rFonts w:cs="Arial"/>
          <w:b/>
          <w:sz w:val="28"/>
          <w:szCs w:val="28"/>
        </w:rPr>
      </w:pPr>
      <w:r w:rsidRPr="00873783">
        <w:rPr>
          <w:rFonts w:cs="Arial"/>
          <w:b/>
          <w:sz w:val="28"/>
          <w:szCs w:val="28"/>
        </w:rPr>
        <w:t>Kontrolní závěr z kontrolní akce</w:t>
      </w:r>
    </w:p>
    <w:p w:rsidR="004F33A2" w:rsidRPr="002D2182" w:rsidRDefault="004F33A2" w:rsidP="00873783">
      <w:pPr>
        <w:spacing w:line="240" w:lineRule="auto"/>
        <w:jc w:val="center"/>
        <w:rPr>
          <w:rFonts w:cs="Arial"/>
          <w:b/>
        </w:rPr>
      </w:pPr>
    </w:p>
    <w:p w:rsidR="004F33A2" w:rsidRPr="00873783" w:rsidRDefault="004F33A2" w:rsidP="00873783">
      <w:pPr>
        <w:spacing w:line="240" w:lineRule="auto"/>
        <w:jc w:val="center"/>
        <w:rPr>
          <w:rFonts w:cs="Arial"/>
          <w:b/>
          <w:sz w:val="28"/>
          <w:szCs w:val="28"/>
        </w:rPr>
      </w:pPr>
      <w:r w:rsidRPr="00873783">
        <w:rPr>
          <w:rFonts w:cs="Arial"/>
          <w:b/>
          <w:sz w:val="28"/>
          <w:szCs w:val="28"/>
        </w:rPr>
        <w:t>13/28</w:t>
      </w:r>
    </w:p>
    <w:p w:rsidR="004F33A2" w:rsidRPr="002D2182" w:rsidRDefault="004F33A2" w:rsidP="00873783">
      <w:pPr>
        <w:spacing w:line="240" w:lineRule="auto"/>
        <w:jc w:val="center"/>
        <w:rPr>
          <w:rFonts w:cs="Arial"/>
          <w:b/>
        </w:rPr>
      </w:pPr>
    </w:p>
    <w:p w:rsidR="004F33A2" w:rsidRPr="00873783" w:rsidRDefault="004F33A2" w:rsidP="00873783">
      <w:pPr>
        <w:spacing w:line="240" w:lineRule="auto"/>
        <w:jc w:val="center"/>
        <w:rPr>
          <w:rFonts w:cs="Arial"/>
          <w:b/>
        </w:rPr>
      </w:pPr>
      <w:r w:rsidRPr="00873783">
        <w:rPr>
          <w:rFonts w:cs="Arial"/>
          <w:b/>
          <w:noProof/>
          <w:color w:val="000000"/>
        </w:rPr>
        <w:t xml:space="preserve">Podpora rybářství v České republice podle operačního programu </w:t>
      </w:r>
      <w:r w:rsidRPr="001601E0">
        <w:rPr>
          <w:rFonts w:cs="Arial"/>
          <w:b/>
          <w:i/>
          <w:noProof/>
          <w:color w:val="000000"/>
        </w:rPr>
        <w:t>Rybářství 2007–2013</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t xml:space="preserve">Kontrolní akce byla zařazena do plánu kontrolní činnosti Nejvyššího kontrolního úřadu (dále jen „NKÚ“) na rok 2013 pod číslem 13/28. Kontrolní akci řídil a kontrolní závěr vypracoval člen NKÚ Ing. Jan Vedral. </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t xml:space="preserve">Cílem kontroly bylo ověřit, zda peněžní prostředky určené na podporu rybářství v rámci operačního programu </w:t>
      </w:r>
      <w:r w:rsidRPr="001601E0">
        <w:rPr>
          <w:rFonts w:eastAsia="Times New Roman" w:cs="Arial"/>
          <w:i/>
        </w:rPr>
        <w:t>Rybářství 2007</w:t>
      </w:r>
      <w:r w:rsidR="00984BEA" w:rsidRPr="001601E0">
        <w:rPr>
          <w:rFonts w:eastAsia="Times New Roman" w:cs="Arial"/>
          <w:i/>
        </w:rPr>
        <w:t>–</w:t>
      </w:r>
      <w:r w:rsidRPr="001601E0">
        <w:rPr>
          <w:rFonts w:eastAsia="Times New Roman" w:cs="Arial"/>
          <w:i/>
        </w:rPr>
        <w:t>2013</w:t>
      </w:r>
      <w:r w:rsidRPr="00873783">
        <w:rPr>
          <w:rFonts w:eastAsia="Times New Roman" w:cs="Arial"/>
        </w:rPr>
        <w:t xml:space="preserve"> byly poskytnuty a použity v souladu s právními předpisy a stanovenými podmínkami; ověřit plnění opatření přijatých v této oblasti na základě předchozích kontrol.</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t xml:space="preserve">Kontrola byla </w:t>
      </w:r>
      <w:r w:rsidR="00E45B97">
        <w:rPr>
          <w:rFonts w:eastAsia="Times New Roman" w:cs="Arial"/>
        </w:rPr>
        <w:t>prováděna</w:t>
      </w:r>
      <w:r w:rsidRPr="00873783">
        <w:rPr>
          <w:rFonts w:eastAsia="Times New Roman" w:cs="Arial"/>
        </w:rPr>
        <w:t xml:space="preserve"> od října 2013 do února 2014. Kontrolovaným obdobím byly roky 2009 až 2013, v případě věcných souvislostí i období předcházející a následující.</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t>Kontrolované osoby:</w:t>
      </w:r>
    </w:p>
    <w:p w:rsidR="004F33A2" w:rsidRPr="00873783" w:rsidRDefault="004F33A2" w:rsidP="00873783">
      <w:pPr>
        <w:spacing w:line="240" w:lineRule="auto"/>
        <w:jc w:val="both"/>
        <w:rPr>
          <w:rFonts w:eastAsia="Times New Roman" w:cs="Arial"/>
        </w:rPr>
      </w:pPr>
      <w:r w:rsidRPr="00873783">
        <w:rPr>
          <w:rFonts w:eastAsia="Times New Roman" w:cs="Arial"/>
        </w:rPr>
        <w:t xml:space="preserve">Ministerstvo zemědělství (dále </w:t>
      </w:r>
      <w:r w:rsidR="00E45B97">
        <w:rPr>
          <w:rFonts w:eastAsia="Times New Roman" w:cs="Arial"/>
        </w:rPr>
        <w:t>také</w:t>
      </w:r>
      <w:r w:rsidRPr="00873783">
        <w:rPr>
          <w:rFonts w:eastAsia="Times New Roman" w:cs="Arial"/>
        </w:rPr>
        <w:t xml:space="preserve"> „</w:t>
      </w:r>
      <w:proofErr w:type="spellStart"/>
      <w:r w:rsidRPr="00873783">
        <w:rPr>
          <w:rFonts w:eastAsia="Times New Roman" w:cs="Arial"/>
        </w:rPr>
        <w:t>MZe</w:t>
      </w:r>
      <w:proofErr w:type="spellEnd"/>
      <w:r w:rsidRPr="00873783">
        <w:rPr>
          <w:rFonts w:eastAsia="Times New Roman" w:cs="Arial"/>
        </w:rPr>
        <w:t xml:space="preserve">“); </w:t>
      </w:r>
    </w:p>
    <w:p w:rsidR="004F33A2" w:rsidRPr="00873783" w:rsidRDefault="004F33A2" w:rsidP="00873783">
      <w:pPr>
        <w:spacing w:line="240" w:lineRule="auto"/>
        <w:jc w:val="both"/>
        <w:rPr>
          <w:rFonts w:eastAsia="Times New Roman" w:cs="Arial"/>
        </w:rPr>
      </w:pPr>
      <w:r w:rsidRPr="00873783">
        <w:rPr>
          <w:rFonts w:eastAsia="Times New Roman" w:cs="Arial"/>
        </w:rPr>
        <w:t>Státní zemědělský intervenční fond (dále také „SZIF“), Praha</w:t>
      </w:r>
      <w:r w:rsidR="00E45B97">
        <w:rPr>
          <w:rFonts w:eastAsia="Times New Roman" w:cs="Arial"/>
        </w:rPr>
        <w:t>,</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t>a vybraní příjemci podpory:</w:t>
      </w:r>
    </w:p>
    <w:p w:rsidR="004F33A2" w:rsidRPr="00873783" w:rsidRDefault="004F33A2" w:rsidP="00873783">
      <w:pPr>
        <w:spacing w:line="240" w:lineRule="auto"/>
        <w:jc w:val="both"/>
        <w:rPr>
          <w:rFonts w:eastAsia="Times New Roman" w:cs="Arial"/>
          <w:color w:val="000000"/>
        </w:rPr>
      </w:pPr>
      <w:r w:rsidRPr="00873783">
        <w:rPr>
          <w:rFonts w:eastAsia="Times New Roman" w:cs="Arial"/>
          <w:color w:val="000000"/>
        </w:rPr>
        <w:t xml:space="preserve">ATLANTIK PRODUKT Třešňák s.r.o., Praha; </w:t>
      </w:r>
      <w:proofErr w:type="spellStart"/>
      <w:r w:rsidRPr="00873783">
        <w:rPr>
          <w:rFonts w:eastAsia="Times New Roman" w:cs="Arial"/>
          <w:color w:val="000000"/>
        </w:rPr>
        <w:t>BioFish</w:t>
      </w:r>
      <w:proofErr w:type="spellEnd"/>
      <w:r w:rsidRPr="00873783">
        <w:rPr>
          <w:rFonts w:eastAsia="Times New Roman" w:cs="Arial"/>
          <w:color w:val="000000"/>
        </w:rPr>
        <w:t xml:space="preserve"> s.r.o., Horní Paseka; DELIMAX, a.s., Hodonín; Klatovské rybářství a.s., Klatovy; RNDr. Luděk Liška, Lišická 2197, Praha </w:t>
      </w:r>
      <w:r w:rsidR="00E45B97">
        <w:rPr>
          <w:rFonts w:eastAsia="Times New Roman" w:cs="Arial"/>
          <w:color w:val="000000"/>
        </w:rPr>
        <w:t>–</w:t>
      </w:r>
      <w:r w:rsidRPr="00873783">
        <w:rPr>
          <w:rFonts w:eastAsia="Times New Roman" w:cs="Arial"/>
          <w:color w:val="000000"/>
        </w:rPr>
        <w:t xml:space="preserve"> Újezd nad Lesy; Rybářství Hodonín, s.r.o., Hodonín; Rybářství Telč, a.s., Lipnice; Rybářství Třeboň a.s., Třeboň; Rybníkářství Pohořelic</w:t>
      </w:r>
      <w:r w:rsidR="0056090F" w:rsidRPr="00873783">
        <w:rPr>
          <w:rFonts w:eastAsia="Times New Roman" w:cs="Arial"/>
          <w:color w:val="000000"/>
        </w:rPr>
        <w:t>e a.s., Pohořelice; ŠTIČÍ LÍHEŇ </w:t>
      </w:r>
      <w:r w:rsidR="00E45B97">
        <w:rPr>
          <w:rFonts w:eastAsia="Times New Roman" w:cs="Arial"/>
          <w:color w:val="000000"/>
        </w:rPr>
        <w:t>–</w:t>
      </w:r>
      <w:r w:rsidR="0056090F" w:rsidRPr="00873783">
        <w:rPr>
          <w:rFonts w:eastAsia="Times New Roman" w:cs="Arial"/>
          <w:color w:val="000000"/>
        </w:rPr>
        <w:t> </w:t>
      </w:r>
      <w:r w:rsidRPr="00873783">
        <w:rPr>
          <w:rFonts w:eastAsia="Times New Roman" w:cs="Arial"/>
          <w:color w:val="000000"/>
        </w:rPr>
        <w:t>ESOX, spol. s</w:t>
      </w:r>
      <w:r w:rsidR="002D2182">
        <w:rPr>
          <w:rFonts w:eastAsia="Times New Roman" w:cs="Arial"/>
          <w:color w:val="000000"/>
        </w:rPr>
        <w:t> </w:t>
      </w:r>
      <w:r w:rsidRPr="00873783">
        <w:rPr>
          <w:rFonts w:eastAsia="Times New Roman" w:cs="Arial"/>
          <w:color w:val="000000"/>
        </w:rPr>
        <w:t>r.o., Tábor.</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t xml:space="preserve">Námitky, které proti kontrolnímu protokolu podalo MZe, SZIF a dva příjemci podpory (RNDr. Luděk Liška a </w:t>
      </w:r>
      <w:proofErr w:type="spellStart"/>
      <w:r w:rsidRPr="00873783">
        <w:rPr>
          <w:rFonts w:eastAsia="Times New Roman" w:cs="Arial"/>
        </w:rPr>
        <w:t>BioFish</w:t>
      </w:r>
      <w:proofErr w:type="spellEnd"/>
      <w:r w:rsidRPr="00873783">
        <w:rPr>
          <w:rFonts w:eastAsia="Times New Roman" w:cs="Arial"/>
        </w:rPr>
        <w:t xml:space="preserve"> s.r.o.), byly vypořádány vedoucími skupin kontrolujících rozhodnutími o námitkách. Odvolání proti rozhodnutí o námitkách podaná MZe, SZIF a RNDr. Luďkem Liškou byla vypořádána usneseními Kolegia NKÚ.</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ind w:right="70"/>
        <w:jc w:val="both"/>
        <w:rPr>
          <w:rFonts w:eastAsia="Times New Roman" w:cs="Arial"/>
        </w:rPr>
      </w:pPr>
    </w:p>
    <w:p w:rsidR="004F33A2" w:rsidRPr="00873783" w:rsidRDefault="004F33A2" w:rsidP="00873783">
      <w:pPr>
        <w:spacing w:line="240" w:lineRule="auto"/>
        <w:ind w:right="70"/>
        <w:jc w:val="both"/>
        <w:rPr>
          <w:rFonts w:eastAsia="Times New Roman" w:cs="Arial"/>
        </w:rPr>
      </w:pPr>
      <w:proofErr w:type="gramStart"/>
      <w:r w:rsidRPr="00873783">
        <w:rPr>
          <w:rFonts w:eastAsia="Times New Roman" w:cs="Arial"/>
          <w:b/>
          <w:bCs/>
          <w:i/>
          <w:iCs/>
        </w:rPr>
        <w:t>K o l e g i u m</w:t>
      </w:r>
      <w:r w:rsidRPr="00873783">
        <w:rPr>
          <w:rFonts w:eastAsia="Times New Roman" w:cs="Arial"/>
        </w:rPr>
        <w:t xml:space="preserve">   </w:t>
      </w:r>
      <w:r w:rsidRPr="00873783">
        <w:rPr>
          <w:rFonts w:eastAsia="Times New Roman" w:cs="Arial"/>
          <w:b/>
          <w:bCs/>
          <w:i/>
          <w:iCs/>
        </w:rPr>
        <w:t>N</w:t>
      </w:r>
      <w:r w:rsidR="0070766A">
        <w:rPr>
          <w:rFonts w:eastAsia="Times New Roman" w:cs="Arial"/>
          <w:b/>
          <w:bCs/>
          <w:i/>
          <w:iCs/>
        </w:rPr>
        <w:t xml:space="preserve"> </w:t>
      </w:r>
      <w:r w:rsidRPr="00873783">
        <w:rPr>
          <w:rFonts w:eastAsia="Times New Roman" w:cs="Arial"/>
          <w:b/>
          <w:bCs/>
          <w:i/>
          <w:iCs/>
        </w:rPr>
        <w:t>K</w:t>
      </w:r>
      <w:r w:rsidR="0070766A">
        <w:rPr>
          <w:rFonts w:eastAsia="Times New Roman" w:cs="Arial"/>
          <w:b/>
          <w:bCs/>
          <w:i/>
          <w:iCs/>
        </w:rPr>
        <w:t xml:space="preserve"> </w:t>
      </w:r>
      <w:r w:rsidRPr="00873783">
        <w:rPr>
          <w:rFonts w:eastAsia="Times New Roman" w:cs="Arial"/>
          <w:b/>
          <w:bCs/>
          <w:i/>
          <w:iCs/>
        </w:rPr>
        <w:t xml:space="preserve">Ú  </w:t>
      </w:r>
      <w:r w:rsidRPr="00873783">
        <w:rPr>
          <w:rFonts w:eastAsia="Times New Roman" w:cs="Arial"/>
        </w:rPr>
        <w:t xml:space="preserve"> na</w:t>
      </w:r>
      <w:proofErr w:type="gramEnd"/>
      <w:r w:rsidRPr="00873783">
        <w:rPr>
          <w:rFonts w:eastAsia="Times New Roman" w:cs="Arial"/>
        </w:rPr>
        <w:t xml:space="preserve"> svém </w:t>
      </w:r>
      <w:r w:rsidR="0056090F" w:rsidRPr="00873783">
        <w:rPr>
          <w:rFonts w:eastAsia="Times New Roman" w:cs="Arial"/>
        </w:rPr>
        <w:t>VIII</w:t>
      </w:r>
      <w:r w:rsidRPr="00873783">
        <w:rPr>
          <w:rFonts w:eastAsia="Times New Roman" w:cs="Arial"/>
        </w:rPr>
        <w:t xml:space="preserve">. zasedání, konaném dne 28. 4. 2014, </w:t>
      </w:r>
    </w:p>
    <w:p w:rsidR="004F33A2" w:rsidRPr="00873783" w:rsidRDefault="004F33A2" w:rsidP="00873783">
      <w:pPr>
        <w:spacing w:line="240" w:lineRule="auto"/>
        <w:ind w:right="70"/>
        <w:jc w:val="both"/>
        <w:rPr>
          <w:rFonts w:eastAsia="Times New Roman" w:cs="Arial"/>
        </w:rPr>
      </w:pPr>
      <w:proofErr w:type="gramStart"/>
      <w:r w:rsidRPr="00873783">
        <w:rPr>
          <w:rFonts w:eastAsia="Times New Roman" w:cs="Arial"/>
          <w:b/>
          <w:bCs/>
          <w:i/>
          <w:iCs/>
        </w:rPr>
        <w:t>s c h v á l i l o</w:t>
      </w:r>
      <w:r w:rsidRPr="00873783">
        <w:rPr>
          <w:rFonts w:eastAsia="Times New Roman" w:cs="Arial"/>
        </w:rPr>
        <w:t xml:space="preserve">   usnesením č.</w:t>
      </w:r>
      <w:proofErr w:type="gramEnd"/>
      <w:r w:rsidRPr="00873783">
        <w:rPr>
          <w:rFonts w:eastAsia="Times New Roman" w:cs="Arial"/>
        </w:rPr>
        <w:t xml:space="preserve"> </w:t>
      </w:r>
      <w:r w:rsidR="00DD3DB2" w:rsidRPr="00873783">
        <w:rPr>
          <w:rFonts w:eastAsia="Times New Roman" w:cs="Arial"/>
        </w:rPr>
        <w:t>9</w:t>
      </w:r>
      <w:r w:rsidRPr="00873783">
        <w:rPr>
          <w:rFonts w:eastAsia="Times New Roman" w:cs="Arial"/>
        </w:rPr>
        <w:t>/</w:t>
      </w:r>
      <w:r w:rsidR="0056090F" w:rsidRPr="00873783">
        <w:rPr>
          <w:rFonts w:eastAsia="Times New Roman" w:cs="Arial"/>
        </w:rPr>
        <w:t>VIII</w:t>
      </w:r>
      <w:r w:rsidRPr="00873783">
        <w:rPr>
          <w:rFonts w:eastAsia="Times New Roman" w:cs="Arial"/>
        </w:rPr>
        <w:t>/2014</w:t>
      </w:r>
    </w:p>
    <w:p w:rsidR="004F33A2" w:rsidRPr="00873783" w:rsidRDefault="004F33A2" w:rsidP="00873783">
      <w:pPr>
        <w:spacing w:line="240" w:lineRule="auto"/>
        <w:ind w:right="70"/>
        <w:jc w:val="both"/>
        <w:rPr>
          <w:rFonts w:eastAsia="Times New Roman" w:cs="Arial"/>
        </w:rPr>
      </w:pPr>
      <w:proofErr w:type="gramStart"/>
      <w:r w:rsidRPr="00873783">
        <w:rPr>
          <w:rFonts w:eastAsia="Times New Roman" w:cs="Arial"/>
          <w:b/>
          <w:bCs/>
          <w:i/>
          <w:iCs/>
        </w:rPr>
        <w:t>k o n t r o l n í   z á v ě r</w:t>
      </w:r>
      <w:r w:rsidRPr="00873783">
        <w:rPr>
          <w:rFonts w:eastAsia="Times New Roman" w:cs="Arial"/>
        </w:rPr>
        <w:t xml:space="preserve">   v tomto</w:t>
      </w:r>
      <w:proofErr w:type="gramEnd"/>
      <w:r w:rsidRPr="00873783">
        <w:rPr>
          <w:rFonts w:eastAsia="Times New Roman" w:cs="Arial"/>
        </w:rPr>
        <w:t xml:space="preserve"> znění:</w:t>
      </w:r>
    </w:p>
    <w:p w:rsidR="004F33A2" w:rsidRPr="00873783" w:rsidRDefault="004F33A2" w:rsidP="00873783">
      <w:pPr>
        <w:spacing w:line="240" w:lineRule="auto"/>
        <w:ind w:right="68"/>
        <w:jc w:val="both"/>
        <w:outlineLvl w:val="0"/>
        <w:rPr>
          <w:rFonts w:eastAsia="Times New Roman" w:cs="Arial"/>
          <w:b/>
          <w:lang w:eastAsia="cs-CZ"/>
        </w:rPr>
      </w:pPr>
      <w:bookmarkStart w:id="0" w:name="_Toc132615982"/>
      <w:bookmarkStart w:id="1" w:name="_Toc132688723"/>
      <w:bookmarkStart w:id="2" w:name="_Toc165952174"/>
    </w:p>
    <w:p w:rsidR="004F33A2" w:rsidRPr="00873783" w:rsidRDefault="004F33A2" w:rsidP="00873783">
      <w:pPr>
        <w:spacing w:line="240" w:lineRule="auto"/>
        <w:jc w:val="both"/>
        <w:rPr>
          <w:rFonts w:eastAsia="Times New Roman" w:cs="Arial"/>
          <w:b/>
          <w:lang w:eastAsia="cs-CZ"/>
        </w:rPr>
      </w:pPr>
      <w:r w:rsidRPr="00873783">
        <w:rPr>
          <w:rFonts w:eastAsia="Times New Roman" w:cs="Arial"/>
        </w:rPr>
        <w:br w:type="page"/>
      </w:r>
    </w:p>
    <w:p w:rsidR="004F33A2" w:rsidRPr="001601E0" w:rsidRDefault="004F33A2" w:rsidP="004F33A2">
      <w:pPr>
        <w:spacing w:line="240" w:lineRule="auto"/>
        <w:ind w:right="68"/>
        <w:jc w:val="center"/>
        <w:outlineLvl w:val="0"/>
        <w:rPr>
          <w:rFonts w:eastAsia="Times New Roman" w:cs="Arial"/>
          <w:b/>
          <w:sz w:val="24"/>
          <w:szCs w:val="24"/>
          <w:lang w:eastAsia="cs-CZ"/>
        </w:rPr>
      </w:pPr>
      <w:r w:rsidRPr="001601E0">
        <w:rPr>
          <w:rFonts w:eastAsia="Times New Roman" w:cs="Arial"/>
          <w:b/>
          <w:sz w:val="24"/>
          <w:szCs w:val="24"/>
          <w:lang w:eastAsia="cs-CZ"/>
        </w:rPr>
        <w:lastRenderedPageBreak/>
        <w:t>I. Úvod</w:t>
      </w:r>
      <w:bookmarkEnd w:id="0"/>
      <w:bookmarkEnd w:id="1"/>
      <w:bookmarkEnd w:id="2"/>
    </w:p>
    <w:p w:rsidR="004F33A2" w:rsidRPr="004F33A2" w:rsidRDefault="004F33A2" w:rsidP="004F33A2">
      <w:pPr>
        <w:spacing w:line="240" w:lineRule="auto"/>
        <w:jc w:val="both"/>
        <w:rPr>
          <w:rFonts w:eastAsia="Times New Roman" w:cs="Arial"/>
        </w:rPr>
      </w:pPr>
    </w:p>
    <w:p w:rsidR="004F33A2" w:rsidRPr="004F33A2" w:rsidRDefault="004F33A2" w:rsidP="004F33A2">
      <w:pPr>
        <w:spacing w:line="240" w:lineRule="auto"/>
        <w:jc w:val="both"/>
        <w:rPr>
          <w:rFonts w:eastAsia="Times New Roman" w:cs="Arial"/>
          <w:color w:val="000000"/>
          <w:lang w:eastAsia="cs-CZ"/>
        </w:rPr>
      </w:pPr>
      <w:r w:rsidRPr="004F33A2">
        <w:rPr>
          <w:rFonts w:eastAsia="Times New Roman" w:cs="Arial"/>
          <w:color w:val="000000"/>
        </w:rPr>
        <w:t xml:space="preserve">Operační program </w:t>
      </w:r>
      <w:r w:rsidRPr="001601E0">
        <w:rPr>
          <w:rFonts w:eastAsia="Times New Roman" w:cs="Arial"/>
          <w:i/>
          <w:color w:val="000000"/>
        </w:rPr>
        <w:t>Rybářství 2007–2013</w:t>
      </w:r>
      <w:r w:rsidRPr="004F33A2">
        <w:rPr>
          <w:rFonts w:eastAsia="Times New Roman" w:cs="Arial"/>
          <w:color w:val="000000"/>
        </w:rPr>
        <w:t xml:space="preserve"> (dále též „OPR“ nebo „OP Rybářství“) je střednědobý programový dokument, na základě něhož je čerpána podpora pro oblast rybářství z </w:t>
      </w:r>
      <w:r w:rsidRPr="001601E0">
        <w:rPr>
          <w:rFonts w:eastAsia="Times New Roman" w:cs="Arial"/>
          <w:i/>
          <w:color w:val="000000"/>
        </w:rPr>
        <w:t>Evropského rybářského fondu</w:t>
      </w:r>
      <w:r w:rsidRPr="004F33A2">
        <w:rPr>
          <w:rFonts w:eastAsia="Times New Roman" w:cs="Arial"/>
          <w:color w:val="000000"/>
        </w:rPr>
        <w:t xml:space="preserve"> (dále též „EFF</w:t>
      </w:r>
      <w:r w:rsidRPr="004F33A2">
        <w:rPr>
          <w:rFonts w:eastAsia="Times New Roman" w:cs="Arial"/>
          <w:color w:val="000000"/>
          <w:vertAlign w:val="superscript"/>
        </w:rPr>
        <w:footnoteReference w:id="1"/>
      </w:r>
      <w:r w:rsidRPr="004F33A2">
        <w:rPr>
          <w:rFonts w:eastAsia="Times New Roman" w:cs="Arial"/>
          <w:color w:val="000000"/>
        </w:rPr>
        <w:t xml:space="preserve">“). </w:t>
      </w:r>
      <w:r w:rsidRPr="004F33A2">
        <w:rPr>
          <w:rFonts w:eastAsia="Times New Roman" w:cs="Arial"/>
          <w:color w:val="000000"/>
          <w:lang w:eastAsia="cs-CZ"/>
        </w:rPr>
        <w:t>Cílem OPR je posílení konkurenceschopnosti v odvětví rybářství využíváním tradičních produkčních systémů za použití nejmodernějších technologií, při šetrném nakládání s přírodním prostředím a udržení, v optimálním případě zvýšení zaměstnanosti v tomto odvětví. Vláda ČR schválila OPR usnesením ze dne 25. července 2007 č. 855. Evropská komise schválila text programu dne 11. prosince 2007 a jeho revidovanou verzi dne 20. ledna 2012.</w:t>
      </w:r>
    </w:p>
    <w:p w:rsidR="004F33A2" w:rsidRPr="004F33A2" w:rsidRDefault="004F33A2" w:rsidP="004F33A2">
      <w:pPr>
        <w:spacing w:line="240" w:lineRule="auto"/>
        <w:jc w:val="both"/>
        <w:rPr>
          <w:rFonts w:eastAsia="Times New Roman" w:cs="Arial"/>
          <w:color w:val="000000"/>
          <w:lang w:eastAsia="cs-CZ"/>
        </w:rPr>
      </w:pPr>
    </w:p>
    <w:p w:rsidR="004F33A2" w:rsidRPr="004F33A2" w:rsidRDefault="004F33A2" w:rsidP="004F33A2">
      <w:pPr>
        <w:spacing w:line="240" w:lineRule="auto"/>
        <w:jc w:val="both"/>
        <w:rPr>
          <w:rFonts w:eastAsia="Times New Roman" w:cs="Arial"/>
          <w:color w:val="000000"/>
          <w:lang w:eastAsia="cs-CZ"/>
        </w:rPr>
      </w:pPr>
      <w:r w:rsidRPr="004F33A2">
        <w:rPr>
          <w:rFonts w:eastAsia="Times New Roman" w:cs="Arial"/>
          <w:color w:val="000000"/>
          <w:lang w:eastAsia="cs-CZ"/>
        </w:rPr>
        <w:t>V </w:t>
      </w:r>
      <w:proofErr w:type="gramStart"/>
      <w:r w:rsidRPr="004F33A2">
        <w:rPr>
          <w:rFonts w:eastAsia="Times New Roman" w:cs="Arial"/>
          <w:color w:val="000000"/>
          <w:lang w:eastAsia="cs-CZ"/>
        </w:rPr>
        <w:t>OP</w:t>
      </w:r>
      <w:proofErr w:type="gramEnd"/>
      <w:r w:rsidRPr="004F33A2">
        <w:rPr>
          <w:rFonts w:eastAsia="Times New Roman" w:cs="Arial"/>
          <w:color w:val="000000"/>
          <w:lang w:eastAsia="cs-CZ"/>
        </w:rPr>
        <w:t xml:space="preserve"> Rybářství byly vymezeny dvě věcné prioritní osy (prioritní osa 2 a 3), </w:t>
      </w:r>
      <w:r w:rsidR="0070766A">
        <w:rPr>
          <w:rFonts w:eastAsia="Times New Roman" w:cs="Arial"/>
          <w:color w:val="000000"/>
          <w:lang w:eastAsia="cs-CZ"/>
        </w:rPr>
        <w:t>které jsou dále členěny</w:t>
      </w:r>
      <w:r w:rsidRPr="004F33A2">
        <w:rPr>
          <w:rFonts w:eastAsia="Times New Roman" w:cs="Arial"/>
          <w:color w:val="000000"/>
          <w:lang w:eastAsia="cs-CZ"/>
        </w:rPr>
        <w:t xml:space="preserve"> na osm opatření, a jedna prioritní osa zaměřená na technickou pomoc (prioritní osa 5). Předmětem kontroly NKÚ byly všechny tři prioritní osy OPR:</w:t>
      </w:r>
    </w:p>
    <w:p w:rsidR="004F33A2" w:rsidRPr="004F33A2" w:rsidRDefault="004F33A2" w:rsidP="00873783">
      <w:pPr>
        <w:numPr>
          <w:ilvl w:val="0"/>
          <w:numId w:val="5"/>
        </w:numPr>
        <w:spacing w:line="240" w:lineRule="auto"/>
        <w:ind w:left="284" w:hanging="284"/>
        <w:jc w:val="both"/>
        <w:rPr>
          <w:rFonts w:eastAsia="Times New Roman" w:cs="Arial"/>
          <w:color w:val="000000"/>
          <w:lang w:eastAsia="cs-CZ"/>
        </w:rPr>
      </w:pPr>
      <w:r w:rsidRPr="004F33A2">
        <w:rPr>
          <w:rFonts w:eastAsia="Times New Roman" w:cs="Arial"/>
          <w:b/>
          <w:color w:val="000000"/>
          <w:lang w:eastAsia="cs-CZ"/>
        </w:rPr>
        <w:t xml:space="preserve">Prioritní osa 2 – </w:t>
      </w:r>
      <w:r w:rsidRPr="004F33A2">
        <w:rPr>
          <w:rFonts w:eastAsia="Times New Roman" w:cs="Arial"/>
          <w:b/>
          <w:i/>
          <w:color w:val="000000"/>
          <w:lang w:eastAsia="cs-CZ"/>
        </w:rPr>
        <w:t>Akvakultura, zpracování produktů rybolovu a akvakultury a jejich uvádění na trh</w:t>
      </w:r>
      <w:r w:rsidRPr="001601E0">
        <w:rPr>
          <w:rFonts w:eastAsia="Times New Roman" w:cs="Arial"/>
          <w:b/>
          <w:color w:val="000000"/>
          <w:lang w:eastAsia="cs-CZ"/>
        </w:rPr>
        <w:t>:</w:t>
      </w:r>
      <w:r w:rsidRPr="004F33A2">
        <w:rPr>
          <w:rFonts w:eastAsia="Times New Roman" w:cs="Arial"/>
          <w:color w:val="000000"/>
          <w:lang w:eastAsia="cs-CZ"/>
        </w:rPr>
        <w:t xml:space="preserve"> cílem je zvýšení přidané hodnoty, sníže</w:t>
      </w:r>
      <w:r w:rsidR="00873783">
        <w:rPr>
          <w:rFonts w:eastAsia="Times New Roman" w:cs="Arial"/>
          <w:color w:val="000000"/>
          <w:lang w:eastAsia="cs-CZ"/>
        </w:rPr>
        <w:t>ní výrobních nákladů, ochrana a </w:t>
      </w:r>
      <w:r w:rsidRPr="004F33A2">
        <w:rPr>
          <w:rFonts w:eastAsia="Times New Roman" w:cs="Arial"/>
          <w:color w:val="000000"/>
          <w:lang w:eastAsia="cs-CZ"/>
        </w:rPr>
        <w:t>zlepšování kvality životního prostředí souvisejícího s akvakulturou, prosazování rovnosti žen a mužů při rozvoji odvětví rybářství.</w:t>
      </w:r>
    </w:p>
    <w:p w:rsidR="004F33A2" w:rsidRPr="004F33A2" w:rsidRDefault="004F33A2" w:rsidP="00873783">
      <w:pPr>
        <w:numPr>
          <w:ilvl w:val="0"/>
          <w:numId w:val="5"/>
        </w:numPr>
        <w:spacing w:line="240" w:lineRule="auto"/>
        <w:ind w:left="284" w:hanging="284"/>
        <w:jc w:val="both"/>
        <w:rPr>
          <w:rFonts w:eastAsia="Times New Roman" w:cs="Arial"/>
          <w:color w:val="000000"/>
          <w:lang w:eastAsia="cs-CZ"/>
        </w:rPr>
      </w:pPr>
      <w:r w:rsidRPr="004F33A2">
        <w:rPr>
          <w:rFonts w:eastAsia="Times New Roman" w:cs="Arial"/>
          <w:b/>
          <w:color w:val="000000"/>
          <w:lang w:eastAsia="cs-CZ"/>
        </w:rPr>
        <w:t xml:space="preserve">Prioritní osa 3 – </w:t>
      </w:r>
      <w:r w:rsidRPr="004F33A2">
        <w:rPr>
          <w:rFonts w:eastAsia="Times New Roman" w:cs="Arial"/>
          <w:b/>
          <w:i/>
          <w:color w:val="000000"/>
          <w:lang w:eastAsia="cs-CZ"/>
        </w:rPr>
        <w:t>Opatření ve společném zájmu</w:t>
      </w:r>
      <w:r w:rsidRPr="001601E0">
        <w:rPr>
          <w:rFonts w:eastAsia="Times New Roman" w:cs="Arial"/>
          <w:b/>
          <w:color w:val="000000"/>
          <w:lang w:eastAsia="cs-CZ"/>
        </w:rPr>
        <w:t>:</w:t>
      </w:r>
      <w:r w:rsidRPr="004F33A2">
        <w:rPr>
          <w:rFonts w:eastAsia="Times New Roman" w:cs="Arial"/>
          <w:color w:val="000000"/>
          <w:lang w:eastAsia="cs-CZ"/>
        </w:rPr>
        <w:t xml:space="preserve"> má podpor</w:t>
      </w:r>
      <w:r w:rsidR="0070766A">
        <w:rPr>
          <w:rFonts w:eastAsia="Times New Roman" w:cs="Arial"/>
          <w:color w:val="000000"/>
          <w:lang w:eastAsia="cs-CZ"/>
        </w:rPr>
        <w:t>ovat</w:t>
      </w:r>
      <w:r w:rsidRPr="004F33A2">
        <w:rPr>
          <w:rFonts w:eastAsia="Times New Roman" w:cs="Arial"/>
          <w:color w:val="000000"/>
          <w:lang w:eastAsia="cs-CZ"/>
        </w:rPr>
        <w:t xml:space="preserve"> modernizac</w:t>
      </w:r>
      <w:r w:rsidR="0070766A">
        <w:rPr>
          <w:rFonts w:eastAsia="Times New Roman" w:cs="Arial"/>
          <w:color w:val="000000"/>
          <w:lang w:eastAsia="cs-CZ"/>
        </w:rPr>
        <w:t>i</w:t>
      </w:r>
      <w:r w:rsidRPr="004F33A2">
        <w:rPr>
          <w:rFonts w:eastAsia="Times New Roman" w:cs="Arial"/>
          <w:color w:val="000000"/>
          <w:lang w:eastAsia="cs-CZ"/>
        </w:rPr>
        <w:t xml:space="preserve"> výroby za použití inovativních výrobních metod a technologií, zvýšení spotřeby ryb v ČR, zejména sladkovodních, ochranu a rozvoj vodních živočichů, zlepšování vodního prostředí, </w:t>
      </w:r>
      <w:r w:rsidR="0070766A">
        <w:rPr>
          <w:rFonts w:eastAsia="Times New Roman" w:cs="Arial"/>
          <w:color w:val="000000"/>
          <w:lang w:eastAsia="cs-CZ"/>
        </w:rPr>
        <w:t>zvyšování</w:t>
      </w:r>
      <w:r w:rsidRPr="004F33A2">
        <w:rPr>
          <w:rFonts w:eastAsia="Times New Roman" w:cs="Arial"/>
          <w:color w:val="000000"/>
          <w:lang w:eastAsia="cs-CZ"/>
        </w:rPr>
        <w:t xml:space="preserve"> odbornosti pracovníků v rybářství, zhodnocení získaných vědeckých poznatků.</w:t>
      </w:r>
    </w:p>
    <w:p w:rsidR="004F33A2" w:rsidRPr="004F33A2" w:rsidRDefault="004F33A2" w:rsidP="00873783">
      <w:pPr>
        <w:numPr>
          <w:ilvl w:val="0"/>
          <w:numId w:val="5"/>
        </w:numPr>
        <w:spacing w:line="240" w:lineRule="auto"/>
        <w:ind w:left="284" w:hanging="284"/>
        <w:jc w:val="both"/>
        <w:rPr>
          <w:rFonts w:eastAsia="Times New Roman" w:cs="Arial"/>
          <w:color w:val="000000"/>
          <w:lang w:eastAsia="cs-CZ"/>
        </w:rPr>
      </w:pPr>
      <w:r w:rsidRPr="004F33A2">
        <w:rPr>
          <w:rFonts w:eastAsia="Times New Roman" w:cs="Arial"/>
          <w:b/>
          <w:color w:val="000000"/>
          <w:lang w:eastAsia="cs-CZ"/>
        </w:rPr>
        <w:t xml:space="preserve">Prioritní osa 5 – </w:t>
      </w:r>
      <w:r w:rsidRPr="004F33A2">
        <w:rPr>
          <w:rFonts w:eastAsia="Times New Roman" w:cs="Arial"/>
          <w:b/>
          <w:i/>
          <w:color w:val="000000"/>
          <w:lang w:eastAsia="cs-CZ"/>
        </w:rPr>
        <w:t>Technická pomoc</w:t>
      </w:r>
      <w:r w:rsidRPr="001601E0">
        <w:rPr>
          <w:rFonts w:eastAsia="Times New Roman" w:cs="Arial"/>
          <w:b/>
          <w:color w:val="000000"/>
          <w:lang w:eastAsia="cs-CZ"/>
        </w:rPr>
        <w:t>:</w:t>
      </w:r>
      <w:r w:rsidRPr="004F33A2">
        <w:rPr>
          <w:rFonts w:eastAsia="Times New Roman" w:cs="Arial"/>
          <w:color w:val="000000"/>
          <w:lang w:eastAsia="cs-CZ"/>
        </w:rPr>
        <w:t xml:space="preserve"> slouží k informování a propagaci OPR a EFF a ke zlepšování administrativního rámce OPR.</w:t>
      </w:r>
    </w:p>
    <w:p w:rsidR="004F33A2" w:rsidRPr="004F33A2" w:rsidRDefault="004F33A2" w:rsidP="004F33A2">
      <w:pPr>
        <w:spacing w:line="240" w:lineRule="auto"/>
        <w:jc w:val="both"/>
        <w:rPr>
          <w:rFonts w:eastAsia="Times New Roman" w:cs="Arial"/>
          <w:color w:val="000000"/>
          <w:lang w:eastAsia="cs-CZ"/>
        </w:rPr>
      </w:pPr>
    </w:p>
    <w:p w:rsidR="004F33A2" w:rsidRPr="004F33A2" w:rsidRDefault="004F33A2" w:rsidP="004F33A2">
      <w:pPr>
        <w:spacing w:line="240" w:lineRule="auto"/>
        <w:jc w:val="both"/>
        <w:rPr>
          <w:rFonts w:eastAsia="Times New Roman" w:cs="Arial"/>
          <w:color w:val="000000"/>
          <w:lang w:eastAsia="cs-CZ"/>
        </w:rPr>
      </w:pPr>
      <w:r w:rsidRPr="004F33A2">
        <w:rPr>
          <w:rFonts w:eastAsia="Times New Roman" w:cs="Arial"/>
          <w:color w:val="000000"/>
          <w:lang w:eastAsia="cs-CZ"/>
        </w:rPr>
        <w:t>Alokace OPR činí 36 142 234 €, přičemž 75 % představuje podíl financovaný z EFF a 25 % tvoří národní veřejné zdroje. Rozdělení disponibilních finančních zdrojů dle prioritních os a stav čerpání ke konci roku 2013 obsahuje následující tabulka:</w:t>
      </w:r>
    </w:p>
    <w:p w:rsidR="004F33A2" w:rsidRPr="004F33A2" w:rsidRDefault="004F33A2" w:rsidP="004F33A2">
      <w:pPr>
        <w:spacing w:line="240" w:lineRule="auto"/>
        <w:jc w:val="both"/>
        <w:rPr>
          <w:rFonts w:eastAsia="Times New Roman" w:cs="Arial"/>
          <w:color w:val="000000"/>
          <w:lang w:eastAsia="cs-CZ"/>
        </w:rPr>
      </w:pPr>
    </w:p>
    <w:p w:rsidR="007677BB" w:rsidRDefault="007677BB" w:rsidP="007677BB">
      <w:pPr>
        <w:spacing w:after="60" w:line="240" w:lineRule="auto"/>
        <w:jc w:val="both"/>
        <w:rPr>
          <w:rFonts w:eastAsia="Times New Roman" w:cs="Arial"/>
          <w:b/>
          <w:color w:val="000000"/>
          <w:lang w:eastAsia="cs-CZ"/>
        </w:rPr>
      </w:pPr>
      <w:r w:rsidRPr="004F33A2">
        <w:rPr>
          <w:rFonts w:eastAsia="Times New Roman" w:cs="Arial"/>
          <w:b/>
          <w:color w:val="000000"/>
          <w:lang w:eastAsia="cs-CZ"/>
        </w:rPr>
        <w:t>Tabulka – Alokace a stav čerpání v rámci OPR (stav k 31. 12. 2013)</w:t>
      </w:r>
    </w:p>
    <w:tbl>
      <w:tblPr>
        <w:tblW w:w="8936" w:type="dxa"/>
        <w:jc w:val="center"/>
        <w:tblInd w:w="55" w:type="dxa"/>
        <w:tblCellMar>
          <w:left w:w="70" w:type="dxa"/>
          <w:right w:w="70" w:type="dxa"/>
        </w:tblCellMar>
        <w:tblLook w:val="04A0" w:firstRow="1" w:lastRow="0" w:firstColumn="1" w:lastColumn="0" w:noHBand="0" w:noVBand="1"/>
      </w:tblPr>
      <w:tblGrid>
        <w:gridCol w:w="1186"/>
        <w:gridCol w:w="1394"/>
        <w:gridCol w:w="1395"/>
        <w:gridCol w:w="1482"/>
        <w:gridCol w:w="1085"/>
        <w:gridCol w:w="1309"/>
        <w:gridCol w:w="1085"/>
      </w:tblGrid>
      <w:tr w:rsidR="007677BB" w:rsidRPr="00873783" w:rsidTr="00873783">
        <w:trPr>
          <w:trHeight w:val="283"/>
          <w:jc w:val="center"/>
        </w:trPr>
        <w:tc>
          <w:tcPr>
            <w:tcW w:w="1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7BB" w:rsidRPr="00873783" w:rsidRDefault="007677BB" w:rsidP="00873783">
            <w:pPr>
              <w:spacing w:line="240" w:lineRule="auto"/>
              <w:jc w:val="center"/>
              <w:rPr>
                <w:rFonts w:eastAsia="Times New Roman" w:cs="Arial"/>
                <w:color w:val="000000"/>
                <w:sz w:val="18"/>
                <w:szCs w:val="18"/>
                <w:lang w:eastAsia="cs-CZ"/>
              </w:rPr>
            </w:pPr>
            <w:r w:rsidRPr="00873783">
              <w:rPr>
                <w:rFonts w:eastAsia="Times New Roman" w:cs="Arial"/>
                <w:color w:val="000000"/>
                <w:sz w:val="18"/>
                <w:szCs w:val="18"/>
                <w:lang w:eastAsia="cs-CZ"/>
              </w:rPr>
              <w:t>Prioritní osa</w:t>
            </w:r>
          </w:p>
        </w:tc>
        <w:tc>
          <w:tcPr>
            <w:tcW w:w="1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7BB" w:rsidRPr="00873783" w:rsidRDefault="007677BB" w:rsidP="00873783">
            <w:pPr>
              <w:spacing w:line="240" w:lineRule="auto"/>
              <w:jc w:val="center"/>
              <w:rPr>
                <w:rFonts w:eastAsia="Times New Roman" w:cs="Arial"/>
                <w:color w:val="000000"/>
                <w:sz w:val="18"/>
                <w:szCs w:val="18"/>
                <w:lang w:eastAsia="cs-CZ"/>
              </w:rPr>
            </w:pPr>
            <w:r w:rsidRPr="00873783">
              <w:rPr>
                <w:rFonts w:eastAsia="Times New Roman" w:cs="Arial"/>
                <w:color w:val="000000"/>
                <w:sz w:val="18"/>
                <w:szCs w:val="18"/>
                <w:lang w:eastAsia="cs-CZ"/>
              </w:rPr>
              <w:t>Alokace v €</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7BB" w:rsidRPr="00873783" w:rsidRDefault="007677BB" w:rsidP="0070766A">
            <w:pPr>
              <w:spacing w:line="240" w:lineRule="auto"/>
              <w:jc w:val="center"/>
              <w:rPr>
                <w:rFonts w:eastAsia="Times New Roman" w:cs="Arial"/>
                <w:color w:val="000000"/>
                <w:sz w:val="18"/>
                <w:szCs w:val="18"/>
                <w:lang w:eastAsia="cs-CZ"/>
              </w:rPr>
            </w:pPr>
            <w:r w:rsidRPr="00873783">
              <w:rPr>
                <w:rFonts w:eastAsia="Times New Roman" w:cs="Arial"/>
                <w:color w:val="000000"/>
                <w:sz w:val="18"/>
                <w:szCs w:val="18"/>
                <w:lang w:eastAsia="cs-CZ"/>
              </w:rPr>
              <w:t>Alokace v Kč</w:t>
            </w:r>
            <w:r w:rsidRPr="00FC4EED">
              <w:rPr>
                <w:rFonts w:eastAsia="Times New Roman" w:cs="Arial"/>
                <w:color w:val="000000"/>
                <w:sz w:val="18"/>
                <w:szCs w:val="18"/>
                <w:lang w:eastAsia="cs-CZ"/>
              </w:rPr>
              <w:t>*</w:t>
            </w:r>
          </w:p>
        </w:tc>
        <w:tc>
          <w:tcPr>
            <w:tcW w:w="2567" w:type="dxa"/>
            <w:gridSpan w:val="2"/>
            <w:tcBorders>
              <w:top w:val="single" w:sz="4" w:space="0" w:color="auto"/>
              <w:left w:val="nil"/>
              <w:bottom w:val="single" w:sz="4" w:space="0" w:color="auto"/>
              <w:right w:val="single" w:sz="4" w:space="0" w:color="000000"/>
            </w:tcBorders>
            <w:shd w:val="clear" w:color="auto" w:fill="auto"/>
            <w:vAlign w:val="center"/>
            <w:hideMark/>
          </w:tcPr>
          <w:p w:rsidR="007677BB" w:rsidRPr="00873783" w:rsidRDefault="007677BB" w:rsidP="00873783">
            <w:pPr>
              <w:spacing w:line="240" w:lineRule="auto"/>
              <w:jc w:val="center"/>
              <w:rPr>
                <w:rFonts w:eastAsia="Times New Roman" w:cs="Arial"/>
                <w:color w:val="000000"/>
                <w:sz w:val="18"/>
                <w:szCs w:val="18"/>
                <w:lang w:eastAsia="cs-CZ"/>
              </w:rPr>
            </w:pPr>
            <w:r w:rsidRPr="00873783">
              <w:rPr>
                <w:rFonts w:eastAsia="Times New Roman" w:cs="Arial"/>
                <w:color w:val="000000"/>
                <w:sz w:val="18"/>
                <w:szCs w:val="18"/>
                <w:lang w:eastAsia="cs-CZ"/>
              </w:rPr>
              <w:t>Proplaceno příjemcům</w:t>
            </w:r>
          </w:p>
        </w:tc>
        <w:tc>
          <w:tcPr>
            <w:tcW w:w="2394" w:type="dxa"/>
            <w:gridSpan w:val="2"/>
            <w:tcBorders>
              <w:top w:val="single" w:sz="4" w:space="0" w:color="auto"/>
              <w:left w:val="nil"/>
              <w:bottom w:val="single" w:sz="4" w:space="0" w:color="auto"/>
              <w:right w:val="single" w:sz="4" w:space="0" w:color="000000"/>
            </w:tcBorders>
            <w:shd w:val="clear" w:color="auto" w:fill="auto"/>
            <w:vAlign w:val="center"/>
            <w:hideMark/>
          </w:tcPr>
          <w:p w:rsidR="007677BB" w:rsidRPr="00873783" w:rsidRDefault="007677BB" w:rsidP="00873783">
            <w:pPr>
              <w:spacing w:line="240" w:lineRule="auto"/>
              <w:jc w:val="center"/>
              <w:rPr>
                <w:rFonts w:eastAsia="Times New Roman" w:cs="Arial"/>
                <w:color w:val="000000"/>
                <w:sz w:val="18"/>
                <w:szCs w:val="18"/>
                <w:lang w:eastAsia="cs-CZ"/>
              </w:rPr>
            </w:pPr>
            <w:proofErr w:type="spellStart"/>
            <w:r w:rsidRPr="00873783">
              <w:rPr>
                <w:rFonts w:eastAsia="Times New Roman" w:cs="Arial"/>
                <w:color w:val="000000"/>
                <w:sz w:val="18"/>
                <w:szCs w:val="18"/>
                <w:lang w:eastAsia="cs-CZ"/>
              </w:rPr>
              <w:t>Zazávazkováno</w:t>
            </w:r>
            <w:proofErr w:type="spellEnd"/>
            <w:r w:rsidRPr="00873783">
              <w:rPr>
                <w:rFonts w:eastAsia="Times New Roman" w:cs="Arial"/>
                <w:color w:val="000000"/>
                <w:sz w:val="18"/>
                <w:szCs w:val="18"/>
                <w:lang w:eastAsia="cs-CZ"/>
              </w:rPr>
              <w:t xml:space="preserve"> </w:t>
            </w:r>
            <w:r w:rsidRPr="00873783">
              <w:rPr>
                <w:rFonts w:eastAsia="Times New Roman" w:cs="Arial"/>
                <w:color w:val="000000"/>
                <w:sz w:val="18"/>
                <w:szCs w:val="18"/>
                <w:lang w:eastAsia="cs-CZ"/>
              </w:rPr>
              <w:br/>
              <w:t>(výše dotace)</w:t>
            </w:r>
          </w:p>
        </w:tc>
      </w:tr>
      <w:tr w:rsidR="007677BB" w:rsidRPr="00873783" w:rsidTr="00873783">
        <w:trPr>
          <w:trHeight w:val="283"/>
          <w:jc w:val="center"/>
        </w:trPr>
        <w:tc>
          <w:tcPr>
            <w:tcW w:w="1186" w:type="dxa"/>
            <w:vMerge/>
            <w:tcBorders>
              <w:top w:val="single" w:sz="4" w:space="0" w:color="auto"/>
              <w:left w:val="single" w:sz="4" w:space="0" w:color="auto"/>
              <w:bottom w:val="single" w:sz="4" w:space="0" w:color="000000"/>
              <w:right w:val="single" w:sz="4" w:space="0" w:color="auto"/>
            </w:tcBorders>
            <w:vAlign w:val="center"/>
            <w:hideMark/>
          </w:tcPr>
          <w:p w:rsidR="007677BB" w:rsidRPr="00873783" w:rsidRDefault="007677BB" w:rsidP="00873783">
            <w:pPr>
              <w:spacing w:line="240" w:lineRule="auto"/>
              <w:rPr>
                <w:rFonts w:eastAsia="Times New Roman" w:cs="Arial"/>
                <w:color w:val="000000"/>
                <w:sz w:val="18"/>
                <w:szCs w:val="18"/>
                <w:lang w:eastAsia="cs-CZ"/>
              </w:rPr>
            </w:pPr>
          </w:p>
        </w:tc>
        <w:tc>
          <w:tcPr>
            <w:tcW w:w="1394" w:type="dxa"/>
            <w:vMerge/>
            <w:tcBorders>
              <w:top w:val="single" w:sz="4" w:space="0" w:color="auto"/>
              <w:left w:val="single" w:sz="4" w:space="0" w:color="auto"/>
              <w:bottom w:val="single" w:sz="4" w:space="0" w:color="000000"/>
              <w:right w:val="single" w:sz="4" w:space="0" w:color="auto"/>
            </w:tcBorders>
            <w:vAlign w:val="center"/>
            <w:hideMark/>
          </w:tcPr>
          <w:p w:rsidR="007677BB" w:rsidRPr="00873783" w:rsidRDefault="007677BB" w:rsidP="00873783">
            <w:pPr>
              <w:spacing w:line="240" w:lineRule="auto"/>
              <w:rPr>
                <w:rFonts w:eastAsia="Times New Roman" w:cs="Arial"/>
                <w:color w:val="000000"/>
                <w:sz w:val="18"/>
                <w:szCs w:val="18"/>
                <w:lang w:eastAsia="cs-CZ"/>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rsidR="007677BB" w:rsidRPr="00873783" w:rsidRDefault="007677BB" w:rsidP="00873783">
            <w:pPr>
              <w:spacing w:line="240" w:lineRule="auto"/>
              <w:rPr>
                <w:rFonts w:eastAsia="Times New Roman" w:cs="Arial"/>
                <w:color w:val="000000"/>
                <w:sz w:val="18"/>
                <w:szCs w:val="18"/>
                <w:lang w:eastAsia="cs-CZ"/>
              </w:rPr>
            </w:pPr>
          </w:p>
        </w:tc>
        <w:tc>
          <w:tcPr>
            <w:tcW w:w="1482" w:type="dxa"/>
            <w:tcBorders>
              <w:top w:val="nil"/>
              <w:left w:val="nil"/>
              <w:bottom w:val="single" w:sz="4" w:space="0" w:color="auto"/>
              <w:right w:val="single" w:sz="4" w:space="0" w:color="auto"/>
            </w:tcBorders>
            <w:shd w:val="clear" w:color="auto" w:fill="auto"/>
            <w:vAlign w:val="center"/>
            <w:hideMark/>
          </w:tcPr>
          <w:p w:rsidR="007677BB" w:rsidRPr="00873783" w:rsidRDefault="007677BB" w:rsidP="00873783">
            <w:pPr>
              <w:spacing w:line="240" w:lineRule="auto"/>
              <w:jc w:val="center"/>
              <w:rPr>
                <w:rFonts w:eastAsia="Times New Roman" w:cs="Arial"/>
                <w:color w:val="000000"/>
                <w:sz w:val="18"/>
                <w:szCs w:val="18"/>
                <w:lang w:eastAsia="cs-CZ"/>
              </w:rPr>
            </w:pPr>
            <w:r w:rsidRPr="00873783">
              <w:rPr>
                <w:rFonts w:eastAsia="Times New Roman" w:cs="Arial"/>
                <w:color w:val="000000"/>
                <w:sz w:val="18"/>
                <w:szCs w:val="18"/>
                <w:lang w:eastAsia="cs-CZ"/>
              </w:rPr>
              <w:t>v Kč</w:t>
            </w:r>
          </w:p>
        </w:tc>
        <w:tc>
          <w:tcPr>
            <w:tcW w:w="1085" w:type="dxa"/>
            <w:tcBorders>
              <w:top w:val="nil"/>
              <w:left w:val="nil"/>
              <w:bottom w:val="single" w:sz="4" w:space="0" w:color="auto"/>
              <w:right w:val="single" w:sz="4" w:space="0" w:color="auto"/>
            </w:tcBorders>
            <w:shd w:val="clear" w:color="auto" w:fill="auto"/>
            <w:vAlign w:val="center"/>
            <w:hideMark/>
          </w:tcPr>
          <w:p w:rsidR="007677BB" w:rsidRPr="00873783" w:rsidRDefault="007677BB" w:rsidP="00873783">
            <w:pPr>
              <w:spacing w:line="240" w:lineRule="auto"/>
              <w:jc w:val="center"/>
              <w:rPr>
                <w:rFonts w:eastAsia="Times New Roman" w:cs="Arial"/>
                <w:color w:val="000000"/>
                <w:sz w:val="18"/>
                <w:szCs w:val="18"/>
                <w:lang w:eastAsia="cs-CZ"/>
              </w:rPr>
            </w:pPr>
            <w:r w:rsidRPr="00873783">
              <w:rPr>
                <w:rFonts w:eastAsia="Times New Roman" w:cs="Arial"/>
                <w:color w:val="000000"/>
                <w:sz w:val="18"/>
                <w:szCs w:val="18"/>
                <w:lang w:eastAsia="cs-CZ"/>
              </w:rPr>
              <w:t>podíl z</w:t>
            </w:r>
            <w:r w:rsidR="00873783">
              <w:rPr>
                <w:rFonts w:eastAsia="Times New Roman" w:cs="Arial"/>
                <w:color w:val="000000"/>
                <w:sz w:val="18"/>
                <w:szCs w:val="18"/>
                <w:lang w:eastAsia="cs-CZ"/>
              </w:rPr>
              <w:t> </w:t>
            </w:r>
            <w:r w:rsidRPr="00873783">
              <w:rPr>
                <w:rFonts w:eastAsia="Times New Roman" w:cs="Arial"/>
                <w:color w:val="000000"/>
                <w:sz w:val="18"/>
                <w:szCs w:val="18"/>
                <w:lang w:eastAsia="cs-CZ"/>
              </w:rPr>
              <w:t>alokace</w:t>
            </w:r>
          </w:p>
        </w:tc>
        <w:tc>
          <w:tcPr>
            <w:tcW w:w="1309" w:type="dxa"/>
            <w:tcBorders>
              <w:top w:val="nil"/>
              <w:left w:val="nil"/>
              <w:bottom w:val="single" w:sz="4" w:space="0" w:color="auto"/>
              <w:right w:val="single" w:sz="4" w:space="0" w:color="auto"/>
            </w:tcBorders>
            <w:shd w:val="clear" w:color="auto" w:fill="auto"/>
            <w:vAlign w:val="center"/>
            <w:hideMark/>
          </w:tcPr>
          <w:p w:rsidR="007677BB" w:rsidRPr="00873783" w:rsidRDefault="007677BB" w:rsidP="00873783">
            <w:pPr>
              <w:spacing w:line="240" w:lineRule="auto"/>
              <w:jc w:val="center"/>
              <w:rPr>
                <w:rFonts w:eastAsia="Times New Roman" w:cs="Arial"/>
                <w:color w:val="000000"/>
                <w:sz w:val="18"/>
                <w:szCs w:val="18"/>
                <w:lang w:eastAsia="cs-CZ"/>
              </w:rPr>
            </w:pPr>
            <w:r w:rsidRPr="00873783">
              <w:rPr>
                <w:rFonts w:eastAsia="Times New Roman" w:cs="Arial"/>
                <w:color w:val="000000"/>
                <w:sz w:val="18"/>
                <w:szCs w:val="18"/>
                <w:lang w:eastAsia="cs-CZ"/>
              </w:rPr>
              <w:t>v Kč</w:t>
            </w:r>
          </w:p>
        </w:tc>
        <w:tc>
          <w:tcPr>
            <w:tcW w:w="1085" w:type="dxa"/>
            <w:tcBorders>
              <w:top w:val="nil"/>
              <w:left w:val="nil"/>
              <w:bottom w:val="single" w:sz="4" w:space="0" w:color="auto"/>
              <w:right w:val="single" w:sz="4" w:space="0" w:color="auto"/>
            </w:tcBorders>
            <w:shd w:val="clear" w:color="auto" w:fill="auto"/>
            <w:vAlign w:val="center"/>
            <w:hideMark/>
          </w:tcPr>
          <w:p w:rsidR="007677BB" w:rsidRPr="00873783" w:rsidRDefault="00873783" w:rsidP="00EA0B0F">
            <w:pPr>
              <w:spacing w:line="240" w:lineRule="auto"/>
              <w:jc w:val="center"/>
              <w:rPr>
                <w:rFonts w:eastAsia="Times New Roman" w:cs="Arial"/>
                <w:color w:val="000000"/>
                <w:sz w:val="18"/>
                <w:szCs w:val="18"/>
                <w:lang w:eastAsia="cs-CZ"/>
              </w:rPr>
            </w:pPr>
            <w:r>
              <w:rPr>
                <w:rFonts w:eastAsia="Times New Roman" w:cs="Arial"/>
                <w:color w:val="000000"/>
                <w:sz w:val="18"/>
                <w:szCs w:val="18"/>
                <w:lang w:eastAsia="cs-CZ"/>
              </w:rPr>
              <w:t>podíl z </w:t>
            </w:r>
            <w:r w:rsidR="007677BB" w:rsidRPr="00873783">
              <w:rPr>
                <w:rFonts w:eastAsia="Times New Roman" w:cs="Arial"/>
                <w:color w:val="000000"/>
                <w:sz w:val="18"/>
                <w:szCs w:val="18"/>
                <w:lang w:eastAsia="cs-CZ"/>
              </w:rPr>
              <w:t>alokace</w:t>
            </w:r>
          </w:p>
        </w:tc>
      </w:tr>
      <w:tr w:rsidR="007677BB" w:rsidRPr="00873783" w:rsidTr="00873783">
        <w:trPr>
          <w:trHeight w:val="283"/>
          <w:jc w:val="center"/>
        </w:trPr>
        <w:tc>
          <w:tcPr>
            <w:tcW w:w="1186" w:type="dxa"/>
            <w:tcBorders>
              <w:top w:val="nil"/>
              <w:left w:val="single" w:sz="4" w:space="0" w:color="auto"/>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jc w:val="center"/>
              <w:rPr>
                <w:rFonts w:eastAsia="Times New Roman" w:cs="Arial"/>
                <w:color w:val="000000"/>
                <w:sz w:val="18"/>
                <w:szCs w:val="18"/>
                <w:lang w:eastAsia="cs-CZ"/>
              </w:rPr>
            </w:pPr>
            <w:r w:rsidRPr="00873783">
              <w:rPr>
                <w:rFonts w:eastAsia="Times New Roman" w:cs="Arial"/>
                <w:color w:val="000000"/>
                <w:sz w:val="18"/>
                <w:szCs w:val="18"/>
                <w:lang w:eastAsia="cs-CZ"/>
              </w:rPr>
              <w:t>2</w:t>
            </w:r>
          </w:p>
        </w:tc>
        <w:tc>
          <w:tcPr>
            <w:tcW w:w="1394"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ind w:right="57"/>
              <w:jc w:val="right"/>
              <w:rPr>
                <w:rFonts w:eastAsia="Times New Roman" w:cs="Arial"/>
                <w:color w:val="000000"/>
                <w:sz w:val="18"/>
                <w:szCs w:val="18"/>
                <w:lang w:eastAsia="cs-CZ"/>
              </w:rPr>
            </w:pPr>
            <w:r w:rsidRPr="00873783">
              <w:rPr>
                <w:rFonts w:eastAsia="Times New Roman" w:cs="Arial"/>
                <w:color w:val="000000"/>
                <w:sz w:val="18"/>
                <w:szCs w:val="18"/>
                <w:lang w:eastAsia="cs-CZ"/>
              </w:rPr>
              <w:t>19 235 918</w:t>
            </w:r>
          </w:p>
        </w:tc>
        <w:tc>
          <w:tcPr>
            <w:tcW w:w="1395"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ind w:right="57"/>
              <w:jc w:val="right"/>
              <w:rPr>
                <w:rFonts w:eastAsia="Times New Roman" w:cs="Arial"/>
                <w:color w:val="000000"/>
                <w:sz w:val="18"/>
                <w:szCs w:val="18"/>
                <w:lang w:eastAsia="cs-CZ"/>
              </w:rPr>
            </w:pPr>
            <w:r w:rsidRPr="00873783">
              <w:rPr>
                <w:rFonts w:eastAsia="Times New Roman" w:cs="Arial"/>
                <w:color w:val="000000"/>
                <w:sz w:val="18"/>
                <w:szCs w:val="18"/>
                <w:lang w:eastAsia="cs-CZ"/>
              </w:rPr>
              <w:t>528 449 139</w:t>
            </w:r>
          </w:p>
        </w:tc>
        <w:tc>
          <w:tcPr>
            <w:tcW w:w="1482"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ind w:right="57"/>
              <w:jc w:val="right"/>
              <w:rPr>
                <w:rFonts w:eastAsia="Times New Roman" w:cs="Arial"/>
                <w:color w:val="000000"/>
                <w:sz w:val="18"/>
                <w:szCs w:val="18"/>
                <w:lang w:eastAsia="cs-CZ"/>
              </w:rPr>
            </w:pPr>
            <w:r w:rsidRPr="00873783">
              <w:rPr>
                <w:rFonts w:eastAsia="Times New Roman" w:cs="Arial"/>
                <w:color w:val="000000"/>
                <w:sz w:val="18"/>
                <w:szCs w:val="18"/>
                <w:lang w:eastAsia="cs-CZ"/>
              </w:rPr>
              <w:t>364 803 596</w:t>
            </w:r>
          </w:p>
        </w:tc>
        <w:tc>
          <w:tcPr>
            <w:tcW w:w="1085"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jc w:val="center"/>
              <w:rPr>
                <w:rFonts w:eastAsia="Times New Roman" w:cs="Arial"/>
                <w:color w:val="000000"/>
                <w:sz w:val="18"/>
                <w:szCs w:val="18"/>
                <w:lang w:eastAsia="cs-CZ"/>
              </w:rPr>
            </w:pPr>
            <w:r w:rsidRPr="00873783">
              <w:rPr>
                <w:rFonts w:eastAsia="Times New Roman" w:cs="Arial"/>
                <w:color w:val="000000"/>
                <w:sz w:val="18"/>
                <w:szCs w:val="18"/>
                <w:lang w:eastAsia="cs-CZ"/>
              </w:rPr>
              <w:t>69</w:t>
            </w:r>
            <w:r w:rsidR="00FC4EED">
              <w:rPr>
                <w:rFonts w:eastAsia="Times New Roman" w:cs="Arial"/>
                <w:color w:val="000000"/>
                <w:sz w:val="18"/>
                <w:szCs w:val="18"/>
                <w:lang w:eastAsia="cs-CZ"/>
              </w:rPr>
              <w:t> </w:t>
            </w:r>
            <w:r w:rsidRPr="00873783">
              <w:rPr>
                <w:rFonts w:eastAsia="Times New Roman" w:cs="Arial"/>
                <w:color w:val="000000"/>
                <w:sz w:val="18"/>
                <w:szCs w:val="18"/>
                <w:lang w:eastAsia="cs-CZ"/>
              </w:rPr>
              <w:t>%</w:t>
            </w:r>
          </w:p>
        </w:tc>
        <w:tc>
          <w:tcPr>
            <w:tcW w:w="1309"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ind w:right="57"/>
              <w:jc w:val="right"/>
              <w:rPr>
                <w:rFonts w:eastAsia="Times New Roman" w:cs="Arial"/>
                <w:color w:val="000000"/>
                <w:sz w:val="18"/>
                <w:szCs w:val="18"/>
                <w:lang w:eastAsia="cs-CZ"/>
              </w:rPr>
            </w:pPr>
            <w:r w:rsidRPr="00873783">
              <w:rPr>
                <w:rFonts w:eastAsia="Times New Roman" w:cs="Arial"/>
                <w:color w:val="000000"/>
                <w:sz w:val="18"/>
                <w:szCs w:val="18"/>
                <w:lang w:eastAsia="cs-CZ"/>
              </w:rPr>
              <w:t>502 223 278</w:t>
            </w:r>
          </w:p>
        </w:tc>
        <w:tc>
          <w:tcPr>
            <w:tcW w:w="1085"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ind w:right="57"/>
              <w:jc w:val="center"/>
              <w:rPr>
                <w:rFonts w:eastAsia="Times New Roman" w:cs="Arial"/>
                <w:color w:val="000000"/>
                <w:sz w:val="18"/>
                <w:szCs w:val="18"/>
                <w:lang w:eastAsia="cs-CZ"/>
              </w:rPr>
            </w:pPr>
            <w:r w:rsidRPr="00873783">
              <w:rPr>
                <w:rFonts w:eastAsia="Times New Roman" w:cs="Arial"/>
                <w:color w:val="000000"/>
                <w:sz w:val="18"/>
                <w:szCs w:val="18"/>
                <w:lang w:eastAsia="cs-CZ"/>
              </w:rPr>
              <w:t>95</w:t>
            </w:r>
            <w:r w:rsidR="00FC4EED">
              <w:rPr>
                <w:rFonts w:eastAsia="Times New Roman" w:cs="Arial"/>
                <w:color w:val="000000"/>
                <w:sz w:val="18"/>
                <w:szCs w:val="18"/>
                <w:lang w:eastAsia="cs-CZ"/>
              </w:rPr>
              <w:t> </w:t>
            </w:r>
            <w:r w:rsidRPr="00873783">
              <w:rPr>
                <w:rFonts w:eastAsia="Times New Roman" w:cs="Arial"/>
                <w:color w:val="000000"/>
                <w:sz w:val="18"/>
                <w:szCs w:val="18"/>
                <w:lang w:eastAsia="cs-CZ"/>
              </w:rPr>
              <w:t>%</w:t>
            </w:r>
          </w:p>
        </w:tc>
      </w:tr>
      <w:tr w:rsidR="007677BB" w:rsidRPr="00873783" w:rsidTr="00873783">
        <w:trPr>
          <w:trHeight w:val="283"/>
          <w:jc w:val="center"/>
        </w:trPr>
        <w:tc>
          <w:tcPr>
            <w:tcW w:w="1186" w:type="dxa"/>
            <w:tcBorders>
              <w:top w:val="nil"/>
              <w:left w:val="single" w:sz="4" w:space="0" w:color="auto"/>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jc w:val="center"/>
              <w:rPr>
                <w:rFonts w:eastAsia="Times New Roman" w:cs="Arial"/>
                <w:color w:val="000000"/>
                <w:sz w:val="18"/>
                <w:szCs w:val="18"/>
                <w:lang w:eastAsia="cs-CZ"/>
              </w:rPr>
            </w:pPr>
            <w:r w:rsidRPr="00873783">
              <w:rPr>
                <w:rFonts w:eastAsia="Times New Roman" w:cs="Arial"/>
                <w:color w:val="000000"/>
                <w:sz w:val="18"/>
                <w:szCs w:val="18"/>
                <w:lang w:eastAsia="cs-CZ"/>
              </w:rPr>
              <w:t>3</w:t>
            </w:r>
          </w:p>
        </w:tc>
        <w:tc>
          <w:tcPr>
            <w:tcW w:w="1394"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ind w:right="57"/>
              <w:jc w:val="right"/>
              <w:rPr>
                <w:rFonts w:eastAsia="Times New Roman" w:cs="Arial"/>
                <w:color w:val="000000"/>
                <w:sz w:val="18"/>
                <w:szCs w:val="18"/>
                <w:lang w:eastAsia="cs-CZ"/>
              </w:rPr>
            </w:pPr>
            <w:r w:rsidRPr="00873783">
              <w:rPr>
                <w:rFonts w:eastAsia="Times New Roman" w:cs="Arial"/>
                <w:color w:val="000000"/>
                <w:sz w:val="18"/>
                <w:szCs w:val="18"/>
                <w:lang w:eastAsia="cs-CZ"/>
              </w:rPr>
              <w:t>15 099 204</w:t>
            </w:r>
          </w:p>
        </w:tc>
        <w:tc>
          <w:tcPr>
            <w:tcW w:w="1395"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ind w:right="57"/>
              <w:jc w:val="right"/>
              <w:rPr>
                <w:rFonts w:eastAsia="Times New Roman" w:cs="Arial"/>
                <w:color w:val="000000"/>
                <w:sz w:val="18"/>
                <w:szCs w:val="18"/>
                <w:lang w:eastAsia="cs-CZ"/>
              </w:rPr>
            </w:pPr>
            <w:r w:rsidRPr="00873783">
              <w:rPr>
                <w:rFonts w:eastAsia="Times New Roman" w:cs="Arial"/>
                <w:color w:val="000000"/>
                <w:sz w:val="18"/>
                <w:szCs w:val="18"/>
                <w:lang w:eastAsia="cs-CZ"/>
              </w:rPr>
              <w:t>414 805 332</w:t>
            </w:r>
          </w:p>
        </w:tc>
        <w:tc>
          <w:tcPr>
            <w:tcW w:w="1482"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ind w:right="57"/>
              <w:jc w:val="right"/>
              <w:rPr>
                <w:rFonts w:eastAsia="Times New Roman" w:cs="Arial"/>
                <w:color w:val="000000"/>
                <w:sz w:val="18"/>
                <w:szCs w:val="18"/>
                <w:lang w:eastAsia="cs-CZ"/>
              </w:rPr>
            </w:pPr>
            <w:r w:rsidRPr="00873783">
              <w:rPr>
                <w:rFonts w:eastAsia="Times New Roman" w:cs="Arial"/>
                <w:color w:val="000000"/>
                <w:sz w:val="18"/>
                <w:szCs w:val="18"/>
                <w:lang w:eastAsia="cs-CZ"/>
              </w:rPr>
              <w:t>233 209 382</w:t>
            </w:r>
          </w:p>
        </w:tc>
        <w:tc>
          <w:tcPr>
            <w:tcW w:w="1085"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jc w:val="center"/>
              <w:rPr>
                <w:rFonts w:eastAsia="Times New Roman" w:cs="Arial"/>
                <w:color w:val="000000"/>
                <w:sz w:val="18"/>
                <w:szCs w:val="18"/>
                <w:lang w:eastAsia="cs-CZ"/>
              </w:rPr>
            </w:pPr>
            <w:r w:rsidRPr="00873783">
              <w:rPr>
                <w:rFonts w:eastAsia="Times New Roman" w:cs="Arial"/>
                <w:color w:val="000000"/>
                <w:sz w:val="18"/>
                <w:szCs w:val="18"/>
                <w:lang w:eastAsia="cs-CZ"/>
              </w:rPr>
              <w:t>56</w:t>
            </w:r>
            <w:r w:rsidR="00FC4EED">
              <w:rPr>
                <w:rFonts w:eastAsia="Times New Roman" w:cs="Arial"/>
                <w:color w:val="000000"/>
                <w:sz w:val="18"/>
                <w:szCs w:val="18"/>
                <w:lang w:eastAsia="cs-CZ"/>
              </w:rPr>
              <w:t> </w:t>
            </w:r>
            <w:r w:rsidRPr="00873783">
              <w:rPr>
                <w:rFonts w:eastAsia="Times New Roman" w:cs="Arial"/>
                <w:color w:val="000000"/>
                <w:sz w:val="18"/>
                <w:szCs w:val="18"/>
                <w:lang w:eastAsia="cs-CZ"/>
              </w:rPr>
              <w:t>%</w:t>
            </w:r>
          </w:p>
        </w:tc>
        <w:tc>
          <w:tcPr>
            <w:tcW w:w="1309"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ind w:right="57"/>
              <w:jc w:val="right"/>
              <w:rPr>
                <w:rFonts w:eastAsia="Times New Roman" w:cs="Arial"/>
                <w:color w:val="000000"/>
                <w:sz w:val="18"/>
                <w:szCs w:val="18"/>
                <w:lang w:eastAsia="cs-CZ"/>
              </w:rPr>
            </w:pPr>
            <w:r w:rsidRPr="00873783">
              <w:rPr>
                <w:rFonts w:eastAsia="Times New Roman" w:cs="Arial"/>
                <w:color w:val="000000"/>
                <w:sz w:val="18"/>
                <w:szCs w:val="18"/>
                <w:lang w:eastAsia="cs-CZ"/>
              </w:rPr>
              <w:t>364 788 737</w:t>
            </w:r>
          </w:p>
        </w:tc>
        <w:tc>
          <w:tcPr>
            <w:tcW w:w="1085"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ind w:right="57"/>
              <w:jc w:val="center"/>
              <w:rPr>
                <w:rFonts w:eastAsia="Times New Roman" w:cs="Arial"/>
                <w:color w:val="000000"/>
                <w:sz w:val="18"/>
                <w:szCs w:val="18"/>
                <w:lang w:eastAsia="cs-CZ"/>
              </w:rPr>
            </w:pPr>
            <w:r w:rsidRPr="00873783">
              <w:rPr>
                <w:rFonts w:eastAsia="Times New Roman" w:cs="Arial"/>
                <w:color w:val="000000"/>
                <w:sz w:val="18"/>
                <w:szCs w:val="18"/>
                <w:lang w:eastAsia="cs-CZ"/>
              </w:rPr>
              <w:t>88</w:t>
            </w:r>
            <w:r w:rsidR="00FC4EED">
              <w:rPr>
                <w:rFonts w:eastAsia="Times New Roman" w:cs="Arial"/>
                <w:color w:val="000000"/>
                <w:sz w:val="18"/>
                <w:szCs w:val="18"/>
                <w:lang w:eastAsia="cs-CZ"/>
              </w:rPr>
              <w:t> </w:t>
            </w:r>
            <w:r w:rsidRPr="00873783">
              <w:rPr>
                <w:rFonts w:eastAsia="Times New Roman" w:cs="Arial"/>
                <w:color w:val="000000"/>
                <w:sz w:val="18"/>
                <w:szCs w:val="18"/>
                <w:lang w:eastAsia="cs-CZ"/>
              </w:rPr>
              <w:t>%</w:t>
            </w:r>
          </w:p>
        </w:tc>
      </w:tr>
      <w:tr w:rsidR="007677BB" w:rsidRPr="00873783" w:rsidTr="00873783">
        <w:trPr>
          <w:trHeight w:val="283"/>
          <w:jc w:val="center"/>
        </w:trPr>
        <w:tc>
          <w:tcPr>
            <w:tcW w:w="39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7BB" w:rsidRPr="00873783" w:rsidRDefault="007677BB" w:rsidP="00873783">
            <w:pPr>
              <w:spacing w:line="240" w:lineRule="auto"/>
              <w:jc w:val="center"/>
              <w:rPr>
                <w:rFonts w:eastAsia="Times New Roman" w:cs="Arial"/>
                <w:i/>
                <w:iCs/>
                <w:color w:val="000000"/>
                <w:sz w:val="18"/>
                <w:szCs w:val="18"/>
                <w:lang w:eastAsia="cs-CZ"/>
              </w:rPr>
            </w:pPr>
            <w:r w:rsidRPr="00873783">
              <w:rPr>
                <w:rFonts w:eastAsia="Times New Roman" w:cs="Arial"/>
                <w:i/>
                <w:iCs/>
                <w:color w:val="000000"/>
                <w:sz w:val="18"/>
                <w:szCs w:val="18"/>
                <w:lang w:eastAsia="cs-CZ"/>
              </w:rPr>
              <w:t xml:space="preserve"> - z toho projekty </w:t>
            </w:r>
            <w:proofErr w:type="spellStart"/>
            <w:r w:rsidRPr="00873783">
              <w:rPr>
                <w:rFonts w:eastAsia="Times New Roman" w:cs="Arial"/>
                <w:i/>
                <w:iCs/>
                <w:color w:val="000000"/>
                <w:sz w:val="18"/>
                <w:szCs w:val="18"/>
                <w:lang w:eastAsia="cs-CZ"/>
              </w:rPr>
              <w:t>MZe</w:t>
            </w:r>
            <w:proofErr w:type="spellEnd"/>
            <w:r w:rsidRPr="00873783">
              <w:rPr>
                <w:rFonts w:eastAsia="Times New Roman" w:cs="Arial"/>
                <w:i/>
                <w:iCs/>
                <w:color w:val="000000"/>
                <w:sz w:val="18"/>
                <w:szCs w:val="18"/>
                <w:lang w:eastAsia="cs-CZ"/>
              </w:rPr>
              <w:t>:</w:t>
            </w:r>
          </w:p>
        </w:tc>
        <w:tc>
          <w:tcPr>
            <w:tcW w:w="1482" w:type="dxa"/>
            <w:tcBorders>
              <w:top w:val="nil"/>
              <w:left w:val="nil"/>
              <w:bottom w:val="nil"/>
              <w:right w:val="nil"/>
            </w:tcBorders>
            <w:shd w:val="clear" w:color="auto" w:fill="auto"/>
            <w:noWrap/>
            <w:vAlign w:val="center"/>
            <w:hideMark/>
          </w:tcPr>
          <w:p w:rsidR="007677BB" w:rsidRPr="00873783" w:rsidRDefault="007677BB" w:rsidP="00873783">
            <w:pPr>
              <w:spacing w:line="240" w:lineRule="auto"/>
              <w:jc w:val="right"/>
              <w:rPr>
                <w:rFonts w:eastAsia="Times New Roman" w:cs="Arial"/>
                <w:i/>
                <w:iCs/>
                <w:color w:val="000000"/>
                <w:sz w:val="18"/>
                <w:szCs w:val="18"/>
                <w:lang w:eastAsia="cs-CZ"/>
              </w:rPr>
            </w:pPr>
            <w:r w:rsidRPr="00873783">
              <w:rPr>
                <w:rFonts w:eastAsia="Times New Roman" w:cs="Arial"/>
                <w:i/>
                <w:iCs/>
                <w:color w:val="000000"/>
                <w:sz w:val="18"/>
                <w:szCs w:val="18"/>
                <w:lang w:eastAsia="cs-CZ"/>
              </w:rPr>
              <w:t>149 942 773</w:t>
            </w: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rsidR="007677BB" w:rsidRPr="00873783" w:rsidRDefault="007677BB" w:rsidP="00873783">
            <w:pPr>
              <w:spacing w:line="240" w:lineRule="auto"/>
              <w:jc w:val="center"/>
              <w:rPr>
                <w:rFonts w:eastAsia="Times New Roman" w:cs="Arial"/>
                <w:i/>
                <w:iCs/>
                <w:color w:val="000000"/>
                <w:sz w:val="18"/>
                <w:szCs w:val="18"/>
                <w:lang w:eastAsia="cs-CZ"/>
              </w:rPr>
            </w:pPr>
            <w:r w:rsidRPr="00873783">
              <w:rPr>
                <w:rFonts w:eastAsia="Times New Roman" w:cs="Arial"/>
                <w:i/>
                <w:iCs/>
                <w:color w:val="000000"/>
                <w:sz w:val="18"/>
                <w:szCs w:val="18"/>
                <w:lang w:eastAsia="cs-CZ"/>
              </w:rPr>
              <w:t> </w:t>
            </w:r>
          </w:p>
        </w:tc>
        <w:tc>
          <w:tcPr>
            <w:tcW w:w="1309" w:type="dxa"/>
            <w:tcBorders>
              <w:top w:val="nil"/>
              <w:left w:val="nil"/>
              <w:bottom w:val="single" w:sz="4" w:space="0" w:color="auto"/>
              <w:right w:val="single" w:sz="4" w:space="0" w:color="auto"/>
            </w:tcBorders>
            <w:shd w:val="clear" w:color="auto" w:fill="auto"/>
            <w:noWrap/>
            <w:vAlign w:val="center"/>
            <w:hideMark/>
          </w:tcPr>
          <w:p w:rsidR="007677BB" w:rsidRPr="00873783" w:rsidRDefault="007677BB" w:rsidP="00873783">
            <w:pPr>
              <w:spacing w:line="240" w:lineRule="auto"/>
              <w:ind w:right="57"/>
              <w:jc w:val="right"/>
              <w:rPr>
                <w:rFonts w:eastAsia="Times New Roman" w:cs="Arial"/>
                <w:i/>
                <w:iCs/>
                <w:color w:val="000000"/>
                <w:sz w:val="18"/>
                <w:szCs w:val="18"/>
                <w:lang w:eastAsia="cs-CZ"/>
              </w:rPr>
            </w:pPr>
            <w:r w:rsidRPr="00873783">
              <w:rPr>
                <w:rFonts w:eastAsia="Times New Roman" w:cs="Arial"/>
                <w:i/>
                <w:iCs/>
                <w:color w:val="000000"/>
                <w:sz w:val="18"/>
                <w:szCs w:val="18"/>
                <w:lang w:eastAsia="cs-CZ"/>
              </w:rPr>
              <w:t>217 866 773</w:t>
            </w:r>
          </w:p>
        </w:tc>
        <w:tc>
          <w:tcPr>
            <w:tcW w:w="1085" w:type="dxa"/>
            <w:tcBorders>
              <w:top w:val="nil"/>
              <w:left w:val="nil"/>
              <w:bottom w:val="single" w:sz="4" w:space="0" w:color="auto"/>
              <w:right w:val="single" w:sz="4" w:space="0" w:color="auto"/>
            </w:tcBorders>
            <w:shd w:val="clear" w:color="auto" w:fill="auto"/>
            <w:noWrap/>
            <w:vAlign w:val="center"/>
            <w:hideMark/>
          </w:tcPr>
          <w:p w:rsidR="007677BB" w:rsidRPr="00873783" w:rsidRDefault="007677BB" w:rsidP="00873783">
            <w:pPr>
              <w:spacing w:line="240" w:lineRule="auto"/>
              <w:ind w:right="57"/>
              <w:jc w:val="center"/>
              <w:rPr>
                <w:rFonts w:eastAsia="Times New Roman" w:cs="Arial"/>
                <w:i/>
                <w:iCs/>
                <w:color w:val="000000"/>
                <w:sz w:val="18"/>
                <w:szCs w:val="18"/>
                <w:lang w:eastAsia="cs-CZ"/>
              </w:rPr>
            </w:pPr>
          </w:p>
        </w:tc>
      </w:tr>
      <w:tr w:rsidR="007677BB" w:rsidRPr="00873783" w:rsidTr="00873783">
        <w:trPr>
          <w:trHeight w:val="283"/>
          <w:jc w:val="center"/>
        </w:trPr>
        <w:tc>
          <w:tcPr>
            <w:tcW w:w="1186" w:type="dxa"/>
            <w:tcBorders>
              <w:top w:val="nil"/>
              <w:left w:val="single" w:sz="4" w:space="0" w:color="auto"/>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jc w:val="center"/>
              <w:rPr>
                <w:rFonts w:eastAsia="Times New Roman" w:cs="Arial"/>
                <w:color w:val="000000"/>
                <w:sz w:val="18"/>
                <w:szCs w:val="18"/>
                <w:lang w:eastAsia="cs-CZ"/>
              </w:rPr>
            </w:pPr>
            <w:r w:rsidRPr="00873783">
              <w:rPr>
                <w:rFonts w:eastAsia="Times New Roman" w:cs="Arial"/>
                <w:color w:val="000000"/>
                <w:sz w:val="18"/>
                <w:szCs w:val="18"/>
                <w:lang w:eastAsia="cs-CZ"/>
              </w:rPr>
              <w:t>5</w:t>
            </w:r>
          </w:p>
        </w:tc>
        <w:tc>
          <w:tcPr>
            <w:tcW w:w="1394"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ind w:right="57"/>
              <w:jc w:val="right"/>
              <w:rPr>
                <w:rFonts w:eastAsia="Times New Roman" w:cs="Arial"/>
                <w:color w:val="000000"/>
                <w:sz w:val="18"/>
                <w:szCs w:val="18"/>
                <w:lang w:eastAsia="cs-CZ"/>
              </w:rPr>
            </w:pPr>
            <w:r w:rsidRPr="00873783">
              <w:rPr>
                <w:rFonts w:eastAsia="Times New Roman" w:cs="Arial"/>
                <w:color w:val="000000"/>
                <w:sz w:val="18"/>
                <w:szCs w:val="18"/>
                <w:lang w:eastAsia="cs-CZ"/>
              </w:rPr>
              <w:t>1 807 112</w:t>
            </w:r>
          </w:p>
        </w:tc>
        <w:tc>
          <w:tcPr>
            <w:tcW w:w="1395"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ind w:right="57"/>
              <w:jc w:val="right"/>
              <w:rPr>
                <w:rFonts w:eastAsia="Times New Roman" w:cs="Arial"/>
                <w:color w:val="000000"/>
                <w:sz w:val="18"/>
                <w:szCs w:val="18"/>
                <w:lang w:eastAsia="cs-CZ"/>
              </w:rPr>
            </w:pPr>
            <w:r w:rsidRPr="00873783">
              <w:rPr>
                <w:rFonts w:eastAsia="Times New Roman" w:cs="Arial"/>
                <w:color w:val="000000"/>
                <w:sz w:val="18"/>
                <w:szCs w:val="18"/>
                <w:lang w:eastAsia="cs-CZ"/>
              </w:rPr>
              <w:t>49 644 981</w:t>
            </w:r>
          </w:p>
        </w:tc>
        <w:tc>
          <w:tcPr>
            <w:tcW w:w="1482" w:type="dxa"/>
            <w:tcBorders>
              <w:top w:val="single" w:sz="4" w:space="0" w:color="auto"/>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ind w:right="57"/>
              <w:jc w:val="right"/>
              <w:rPr>
                <w:rFonts w:eastAsia="Times New Roman" w:cs="Arial"/>
                <w:color w:val="000000"/>
                <w:sz w:val="18"/>
                <w:szCs w:val="18"/>
                <w:lang w:eastAsia="cs-CZ"/>
              </w:rPr>
            </w:pPr>
            <w:r w:rsidRPr="00873783">
              <w:rPr>
                <w:rFonts w:eastAsia="Times New Roman" w:cs="Arial"/>
                <w:color w:val="000000"/>
                <w:sz w:val="18"/>
                <w:szCs w:val="18"/>
                <w:lang w:eastAsia="cs-CZ"/>
              </w:rPr>
              <w:t>16 636 917</w:t>
            </w:r>
          </w:p>
        </w:tc>
        <w:tc>
          <w:tcPr>
            <w:tcW w:w="1085"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jc w:val="center"/>
              <w:rPr>
                <w:rFonts w:eastAsia="Times New Roman" w:cs="Arial"/>
                <w:color w:val="000000"/>
                <w:sz w:val="18"/>
                <w:szCs w:val="18"/>
                <w:lang w:eastAsia="cs-CZ"/>
              </w:rPr>
            </w:pPr>
            <w:r w:rsidRPr="00873783">
              <w:rPr>
                <w:rFonts w:eastAsia="Times New Roman" w:cs="Arial"/>
                <w:color w:val="000000"/>
                <w:sz w:val="18"/>
                <w:szCs w:val="18"/>
                <w:lang w:eastAsia="cs-CZ"/>
              </w:rPr>
              <w:t>34</w:t>
            </w:r>
            <w:r w:rsidR="00FC4EED">
              <w:rPr>
                <w:rFonts w:eastAsia="Times New Roman" w:cs="Arial"/>
                <w:color w:val="000000"/>
                <w:sz w:val="18"/>
                <w:szCs w:val="18"/>
                <w:lang w:eastAsia="cs-CZ"/>
              </w:rPr>
              <w:t> </w:t>
            </w:r>
            <w:r w:rsidRPr="00873783">
              <w:rPr>
                <w:rFonts w:eastAsia="Times New Roman" w:cs="Arial"/>
                <w:color w:val="000000"/>
                <w:sz w:val="18"/>
                <w:szCs w:val="18"/>
                <w:lang w:eastAsia="cs-CZ"/>
              </w:rPr>
              <w:t>%</w:t>
            </w:r>
          </w:p>
        </w:tc>
        <w:tc>
          <w:tcPr>
            <w:tcW w:w="1309"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ind w:right="57"/>
              <w:jc w:val="right"/>
              <w:rPr>
                <w:rFonts w:eastAsia="Times New Roman" w:cs="Arial"/>
                <w:color w:val="000000"/>
                <w:sz w:val="18"/>
                <w:szCs w:val="18"/>
                <w:lang w:eastAsia="cs-CZ"/>
              </w:rPr>
            </w:pPr>
            <w:r w:rsidRPr="00873783">
              <w:rPr>
                <w:rFonts w:eastAsia="Times New Roman" w:cs="Arial"/>
                <w:color w:val="000000"/>
                <w:sz w:val="18"/>
                <w:szCs w:val="18"/>
                <w:lang w:eastAsia="cs-CZ"/>
              </w:rPr>
              <w:t>34 783 135</w:t>
            </w:r>
          </w:p>
        </w:tc>
        <w:tc>
          <w:tcPr>
            <w:tcW w:w="1085" w:type="dxa"/>
            <w:tcBorders>
              <w:top w:val="nil"/>
              <w:left w:val="nil"/>
              <w:bottom w:val="single" w:sz="4" w:space="0" w:color="auto"/>
              <w:right w:val="single" w:sz="4" w:space="0" w:color="auto"/>
            </w:tcBorders>
            <w:shd w:val="clear" w:color="000000" w:fill="F2F2F2"/>
            <w:noWrap/>
            <w:vAlign w:val="center"/>
            <w:hideMark/>
          </w:tcPr>
          <w:p w:rsidR="007677BB" w:rsidRPr="00873783" w:rsidRDefault="007677BB" w:rsidP="00873783">
            <w:pPr>
              <w:spacing w:line="240" w:lineRule="auto"/>
              <w:ind w:right="57"/>
              <w:jc w:val="center"/>
              <w:rPr>
                <w:rFonts w:eastAsia="Times New Roman" w:cs="Arial"/>
                <w:color w:val="000000"/>
                <w:sz w:val="18"/>
                <w:szCs w:val="18"/>
                <w:lang w:eastAsia="cs-CZ"/>
              </w:rPr>
            </w:pPr>
            <w:r w:rsidRPr="00873783">
              <w:rPr>
                <w:rFonts w:eastAsia="Times New Roman" w:cs="Arial"/>
                <w:color w:val="000000"/>
                <w:sz w:val="18"/>
                <w:szCs w:val="18"/>
                <w:lang w:eastAsia="cs-CZ"/>
              </w:rPr>
              <w:t>70</w:t>
            </w:r>
            <w:r w:rsidR="00FC4EED">
              <w:rPr>
                <w:rFonts w:eastAsia="Times New Roman" w:cs="Arial"/>
                <w:color w:val="000000"/>
                <w:sz w:val="18"/>
                <w:szCs w:val="18"/>
                <w:lang w:eastAsia="cs-CZ"/>
              </w:rPr>
              <w:t> </w:t>
            </w:r>
            <w:r w:rsidRPr="00873783">
              <w:rPr>
                <w:rFonts w:eastAsia="Times New Roman" w:cs="Arial"/>
                <w:color w:val="000000"/>
                <w:sz w:val="18"/>
                <w:szCs w:val="18"/>
                <w:lang w:eastAsia="cs-CZ"/>
              </w:rPr>
              <w:t>%</w:t>
            </w:r>
          </w:p>
        </w:tc>
      </w:tr>
      <w:tr w:rsidR="007677BB" w:rsidRPr="00873783" w:rsidTr="00873783">
        <w:trPr>
          <w:trHeight w:val="283"/>
          <w:jc w:val="center"/>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7677BB" w:rsidRPr="00873783" w:rsidRDefault="007677BB" w:rsidP="00873783">
            <w:pPr>
              <w:spacing w:line="240" w:lineRule="auto"/>
              <w:jc w:val="center"/>
              <w:rPr>
                <w:rFonts w:eastAsia="Times New Roman" w:cs="Arial"/>
                <w:b/>
                <w:bCs/>
                <w:color w:val="000000"/>
                <w:sz w:val="18"/>
                <w:szCs w:val="18"/>
                <w:lang w:eastAsia="cs-CZ"/>
              </w:rPr>
            </w:pPr>
            <w:r w:rsidRPr="00873783">
              <w:rPr>
                <w:rFonts w:eastAsia="Times New Roman" w:cs="Arial"/>
                <w:b/>
                <w:bCs/>
                <w:color w:val="000000"/>
                <w:sz w:val="18"/>
                <w:szCs w:val="18"/>
                <w:lang w:eastAsia="cs-CZ"/>
              </w:rPr>
              <w:t>Celkem</w:t>
            </w:r>
          </w:p>
        </w:tc>
        <w:tc>
          <w:tcPr>
            <w:tcW w:w="1394" w:type="dxa"/>
            <w:tcBorders>
              <w:top w:val="nil"/>
              <w:left w:val="nil"/>
              <w:bottom w:val="single" w:sz="4" w:space="0" w:color="auto"/>
              <w:right w:val="single" w:sz="4" w:space="0" w:color="auto"/>
            </w:tcBorders>
            <w:shd w:val="clear" w:color="auto" w:fill="auto"/>
            <w:noWrap/>
            <w:vAlign w:val="center"/>
            <w:hideMark/>
          </w:tcPr>
          <w:p w:rsidR="007677BB" w:rsidRPr="00873783" w:rsidRDefault="007677BB" w:rsidP="00873783">
            <w:pPr>
              <w:spacing w:line="240" w:lineRule="auto"/>
              <w:ind w:right="57"/>
              <w:jc w:val="right"/>
              <w:rPr>
                <w:rFonts w:eastAsia="Times New Roman" w:cs="Arial"/>
                <w:b/>
                <w:bCs/>
                <w:color w:val="000000"/>
                <w:sz w:val="18"/>
                <w:szCs w:val="18"/>
                <w:lang w:eastAsia="cs-CZ"/>
              </w:rPr>
            </w:pPr>
            <w:r w:rsidRPr="00873783">
              <w:rPr>
                <w:rFonts w:eastAsia="Times New Roman" w:cs="Arial"/>
                <w:b/>
                <w:bCs/>
                <w:color w:val="000000"/>
                <w:sz w:val="18"/>
                <w:szCs w:val="18"/>
                <w:lang w:eastAsia="cs-CZ"/>
              </w:rPr>
              <w:t>36 142 234</w:t>
            </w:r>
          </w:p>
        </w:tc>
        <w:tc>
          <w:tcPr>
            <w:tcW w:w="1395" w:type="dxa"/>
            <w:tcBorders>
              <w:top w:val="nil"/>
              <w:left w:val="nil"/>
              <w:bottom w:val="single" w:sz="4" w:space="0" w:color="auto"/>
              <w:right w:val="single" w:sz="4" w:space="0" w:color="auto"/>
            </w:tcBorders>
            <w:shd w:val="clear" w:color="auto" w:fill="auto"/>
            <w:noWrap/>
            <w:vAlign w:val="center"/>
            <w:hideMark/>
          </w:tcPr>
          <w:p w:rsidR="007677BB" w:rsidRPr="00873783" w:rsidRDefault="007677BB" w:rsidP="00873783">
            <w:pPr>
              <w:spacing w:line="240" w:lineRule="auto"/>
              <w:ind w:right="57"/>
              <w:jc w:val="right"/>
              <w:rPr>
                <w:rFonts w:eastAsia="Times New Roman" w:cs="Arial"/>
                <w:b/>
                <w:bCs/>
                <w:color w:val="000000"/>
                <w:sz w:val="18"/>
                <w:szCs w:val="18"/>
                <w:lang w:eastAsia="cs-CZ"/>
              </w:rPr>
            </w:pPr>
            <w:r w:rsidRPr="00873783">
              <w:rPr>
                <w:rFonts w:eastAsia="Times New Roman" w:cs="Arial"/>
                <w:b/>
                <w:bCs/>
                <w:color w:val="000000"/>
                <w:sz w:val="18"/>
                <w:szCs w:val="18"/>
                <w:lang w:eastAsia="cs-CZ"/>
              </w:rPr>
              <w:t>992 899 452</w:t>
            </w:r>
          </w:p>
        </w:tc>
        <w:tc>
          <w:tcPr>
            <w:tcW w:w="1482" w:type="dxa"/>
            <w:tcBorders>
              <w:top w:val="nil"/>
              <w:left w:val="nil"/>
              <w:bottom w:val="single" w:sz="4" w:space="0" w:color="auto"/>
              <w:right w:val="single" w:sz="4" w:space="0" w:color="auto"/>
            </w:tcBorders>
            <w:shd w:val="clear" w:color="auto" w:fill="auto"/>
            <w:noWrap/>
            <w:vAlign w:val="center"/>
            <w:hideMark/>
          </w:tcPr>
          <w:p w:rsidR="007677BB" w:rsidRPr="00873783" w:rsidRDefault="007677BB" w:rsidP="00873783">
            <w:pPr>
              <w:spacing w:line="240" w:lineRule="auto"/>
              <w:ind w:right="57"/>
              <w:jc w:val="right"/>
              <w:rPr>
                <w:rFonts w:eastAsia="Times New Roman" w:cs="Arial"/>
                <w:b/>
                <w:bCs/>
                <w:color w:val="000000"/>
                <w:sz w:val="18"/>
                <w:szCs w:val="18"/>
                <w:lang w:eastAsia="cs-CZ"/>
              </w:rPr>
            </w:pPr>
            <w:r w:rsidRPr="00873783">
              <w:rPr>
                <w:rFonts w:eastAsia="Times New Roman" w:cs="Arial"/>
                <w:b/>
                <w:bCs/>
                <w:color w:val="000000"/>
                <w:sz w:val="18"/>
                <w:szCs w:val="18"/>
                <w:lang w:eastAsia="cs-CZ"/>
              </w:rPr>
              <w:t>614 649 895</w:t>
            </w:r>
          </w:p>
        </w:tc>
        <w:tc>
          <w:tcPr>
            <w:tcW w:w="1085" w:type="dxa"/>
            <w:tcBorders>
              <w:top w:val="nil"/>
              <w:left w:val="nil"/>
              <w:bottom w:val="single" w:sz="4" w:space="0" w:color="auto"/>
              <w:right w:val="single" w:sz="4" w:space="0" w:color="auto"/>
            </w:tcBorders>
            <w:shd w:val="clear" w:color="auto" w:fill="auto"/>
            <w:noWrap/>
            <w:vAlign w:val="center"/>
            <w:hideMark/>
          </w:tcPr>
          <w:p w:rsidR="007677BB" w:rsidRPr="00873783" w:rsidRDefault="007677BB" w:rsidP="00873783">
            <w:pPr>
              <w:spacing w:line="240" w:lineRule="auto"/>
              <w:jc w:val="center"/>
              <w:rPr>
                <w:rFonts w:eastAsia="Times New Roman" w:cs="Arial"/>
                <w:b/>
                <w:bCs/>
                <w:color w:val="000000"/>
                <w:sz w:val="18"/>
                <w:szCs w:val="18"/>
                <w:lang w:eastAsia="cs-CZ"/>
              </w:rPr>
            </w:pPr>
            <w:r w:rsidRPr="00873783">
              <w:rPr>
                <w:rFonts w:eastAsia="Times New Roman" w:cs="Arial"/>
                <w:b/>
                <w:bCs/>
                <w:color w:val="000000"/>
                <w:sz w:val="18"/>
                <w:szCs w:val="18"/>
                <w:lang w:eastAsia="cs-CZ"/>
              </w:rPr>
              <w:t>62</w:t>
            </w:r>
            <w:r w:rsidR="00FC4EED">
              <w:rPr>
                <w:rFonts w:eastAsia="Times New Roman" w:cs="Arial"/>
                <w:b/>
                <w:bCs/>
                <w:color w:val="000000"/>
                <w:sz w:val="18"/>
                <w:szCs w:val="18"/>
                <w:lang w:eastAsia="cs-CZ"/>
              </w:rPr>
              <w:t> </w:t>
            </w:r>
            <w:r w:rsidRPr="00873783">
              <w:rPr>
                <w:rFonts w:eastAsia="Times New Roman" w:cs="Arial"/>
                <w:b/>
                <w:bCs/>
                <w:color w:val="000000"/>
                <w:sz w:val="18"/>
                <w:szCs w:val="18"/>
                <w:lang w:eastAsia="cs-CZ"/>
              </w:rPr>
              <w:t>%</w:t>
            </w:r>
          </w:p>
        </w:tc>
        <w:tc>
          <w:tcPr>
            <w:tcW w:w="1309" w:type="dxa"/>
            <w:tcBorders>
              <w:top w:val="nil"/>
              <w:left w:val="nil"/>
              <w:bottom w:val="single" w:sz="4" w:space="0" w:color="auto"/>
              <w:right w:val="single" w:sz="4" w:space="0" w:color="auto"/>
            </w:tcBorders>
            <w:shd w:val="clear" w:color="auto" w:fill="auto"/>
            <w:noWrap/>
            <w:vAlign w:val="center"/>
            <w:hideMark/>
          </w:tcPr>
          <w:p w:rsidR="007677BB" w:rsidRPr="00873783" w:rsidRDefault="007677BB" w:rsidP="00873783">
            <w:pPr>
              <w:spacing w:line="240" w:lineRule="auto"/>
              <w:ind w:right="57"/>
              <w:jc w:val="right"/>
              <w:rPr>
                <w:rFonts w:eastAsia="Times New Roman" w:cs="Arial"/>
                <w:b/>
                <w:bCs/>
                <w:color w:val="000000"/>
                <w:sz w:val="18"/>
                <w:szCs w:val="18"/>
                <w:lang w:eastAsia="cs-CZ"/>
              </w:rPr>
            </w:pPr>
            <w:r w:rsidRPr="00873783">
              <w:rPr>
                <w:rFonts w:eastAsia="Times New Roman" w:cs="Arial"/>
                <w:b/>
                <w:bCs/>
                <w:color w:val="000000"/>
                <w:sz w:val="18"/>
                <w:szCs w:val="18"/>
                <w:lang w:eastAsia="cs-CZ"/>
              </w:rPr>
              <w:t>901 795 150</w:t>
            </w:r>
          </w:p>
        </w:tc>
        <w:tc>
          <w:tcPr>
            <w:tcW w:w="1085" w:type="dxa"/>
            <w:tcBorders>
              <w:top w:val="nil"/>
              <w:left w:val="nil"/>
              <w:bottom w:val="single" w:sz="4" w:space="0" w:color="auto"/>
              <w:right w:val="single" w:sz="4" w:space="0" w:color="auto"/>
            </w:tcBorders>
            <w:shd w:val="clear" w:color="auto" w:fill="auto"/>
            <w:noWrap/>
            <w:vAlign w:val="center"/>
            <w:hideMark/>
          </w:tcPr>
          <w:p w:rsidR="007677BB" w:rsidRPr="00873783" w:rsidRDefault="007677BB" w:rsidP="00873783">
            <w:pPr>
              <w:spacing w:line="240" w:lineRule="auto"/>
              <w:ind w:right="57"/>
              <w:jc w:val="center"/>
              <w:rPr>
                <w:rFonts w:eastAsia="Times New Roman" w:cs="Arial"/>
                <w:b/>
                <w:bCs/>
                <w:color w:val="000000"/>
                <w:sz w:val="18"/>
                <w:szCs w:val="18"/>
                <w:lang w:eastAsia="cs-CZ"/>
              </w:rPr>
            </w:pPr>
            <w:r w:rsidRPr="00873783">
              <w:rPr>
                <w:rFonts w:eastAsia="Times New Roman" w:cs="Arial"/>
                <w:b/>
                <w:bCs/>
                <w:color w:val="000000"/>
                <w:sz w:val="18"/>
                <w:szCs w:val="18"/>
                <w:lang w:eastAsia="cs-CZ"/>
              </w:rPr>
              <w:t>91</w:t>
            </w:r>
            <w:r w:rsidR="00FC4EED">
              <w:rPr>
                <w:rFonts w:eastAsia="Times New Roman" w:cs="Arial"/>
                <w:b/>
                <w:bCs/>
                <w:color w:val="000000"/>
                <w:sz w:val="18"/>
                <w:szCs w:val="18"/>
                <w:lang w:eastAsia="cs-CZ"/>
              </w:rPr>
              <w:t> </w:t>
            </w:r>
            <w:r w:rsidRPr="00873783">
              <w:rPr>
                <w:rFonts w:eastAsia="Times New Roman" w:cs="Arial"/>
                <w:b/>
                <w:bCs/>
                <w:color w:val="000000"/>
                <w:sz w:val="18"/>
                <w:szCs w:val="18"/>
                <w:lang w:eastAsia="cs-CZ"/>
              </w:rPr>
              <w:t>%</w:t>
            </w:r>
          </w:p>
        </w:tc>
      </w:tr>
    </w:tbl>
    <w:p w:rsidR="004F33A2" w:rsidRPr="001601E0" w:rsidRDefault="004F33A2" w:rsidP="00B303BA">
      <w:pPr>
        <w:tabs>
          <w:tab w:val="left" w:pos="284"/>
        </w:tabs>
        <w:spacing w:line="240" w:lineRule="auto"/>
        <w:jc w:val="both"/>
        <w:rPr>
          <w:rFonts w:eastAsia="Times New Roman" w:cs="Arial"/>
          <w:iCs/>
          <w:color w:val="000000"/>
          <w:sz w:val="18"/>
          <w:szCs w:val="18"/>
        </w:rPr>
      </w:pPr>
      <w:r w:rsidRPr="00FC4EED">
        <w:rPr>
          <w:rFonts w:eastAsia="Times New Roman" w:cs="Arial"/>
          <w:iCs/>
          <w:color w:val="000000"/>
          <w:sz w:val="18"/>
          <w:szCs w:val="18"/>
        </w:rPr>
        <w:t>*</w:t>
      </w:r>
      <w:r w:rsidRPr="004F33A2">
        <w:rPr>
          <w:rFonts w:eastAsia="Times New Roman" w:cs="Arial"/>
          <w:i/>
          <w:iCs/>
          <w:color w:val="000000"/>
          <w:sz w:val="18"/>
          <w:szCs w:val="18"/>
        </w:rPr>
        <w:t xml:space="preserve"> </w:t>
      </w:r>
      <w:r w:rsidR="00B303BA" w:rsidRPr="001601E0">
        <w:rPr>
          <w:rFonts w:eastAsia="Times New Roman" w:cs="Arial"/>
          <w:iCs/>
          <w:color w:val="000000"/>
          <w:sz w:val="18"/>
          <w:szCs w:val="18"/>
        </w:rPr>
        <w:tab/>
      </w:r>
      <w:r w:rsidRPr="001601E0">
        <w:rPr>
          <w:rFonts w:eastAsia="Times New Roman" w:cs="Arial"/>
          <w:iCs/>
          <w:color w:val="000000"/>
          <w:sz w:val="18"/>
          <w:szCs w:val="18"/>
        </w:rPr>
        <w:t>Přepočteno směnným kurzem k 31. 12. 2013 dle Věstníku EU (2014/C1/01): 27,472 Kč/€.</w:t>
      </w:r>
    </w:p>
    <w:p w:rsidR="002E0D22" w:rsidRPr="001601E0" w:rsidRDefault="00B303BA" w:rsidP="00B303BA">
      <w:pPr>
        <w:tabs>
          <w:tab w:val="left" w:pos="284"/>
        </w:tabs>
        <w:spacing w:line="240" w:lineRule="auto"/>
        <w:ind w:left="284" w:hanging="284"/>
        <w:jc w:val="both"/>
        <w:rPr>
          <w:rFonts w:eastAsia="Times New Roman" w:cs="Arial"/>
          <w:iCs/>
          <w:color w:val="000000"/>
          <w:sz w:val="18"/>
          <w:szCs w:val="18"/>
        </w:rPr>
      </w:pPr>
      <w:r w:rsidRPr="001601E0">
        <w:rPr>
          <w:rFonts w:eastAsia="Times New Roman" w:cs="Arial"/>
          <w:iCs/>
          <w:color w:val="000000"/>
          <w:sz w:val="18"/>
          <w:szCs w:val="18"/>
          <w:vertAlign w:val="superscript"/>
        </w:rPr>
        <w:tab/>
      </w:r>
    </w:p>
    <w:p w:rsidR="004F33A2" w:rsidRPr="004F33A2" w:rsidRDefault="004F33A2" w:rsidP="00441CD7">
      <w:pPr>
        <w:spacing w:line="240" w:lineRule="auto"/>
        <w:ind w:left="567" w:hanging="567"/>
        <w:jc w:val="both"/>
        <w:rPr>
          <w:rFonts w:eastAsia="Times New Roman" w:cs="Arial"/>
          <w:color w:val="000000"/>
          <w:sz w:val="18"/>
          <w:szCs w:val="18"/>
          <w:lang w:eastAsia="cs-CZ"/>
        </w:rPr>
      </w:pPr>
      <w:r w:rsidRPr="004F33A2">
        <w:rPr>
          <w:rFonts w:eastAsia="Times New Roman" w:cs="Arial"/>
          <w:b/>
          <w:iCs/>
          <w:color w:val="000000"/>
          <w:sz w:val="18"/>
          <w:szCs w:val="18"/>
        </w:rPr>
        <w:t>Zdroj:</w:t>
      </w:r>
      <w:r w:rsidRPr="004F33A2">
        <w:rPr>
          <w:rFonts w:eastAsia="Times New Roman" w:cs="Arial"/>
          <w:b/>
          <w:iCs/>
          <w:color w:val="000000"/>
          <w:sz w:val="18"/>
          <w:szCs w:val="18"/>
        </w:rPr>
        <w:tab/>
      </w:r>
      <w:r w:rsidR="00FC4EED">
        <w:rPr>
          <w:rFonts w:eastAsia="Times New Roman" w:cs="Arial"/>
          <w:iCs/>
          <w:color w:val="000000"/>
          <w:sz w:val="18"/>
          <w:szCs w:val="18"/>
        </w:rPr>
        <w:t>s</w:t>
      </w:r>
      <w:r w:rsidRPr="004F33A2">
        <w:rPr>
          <w:rFonts w:eastAsia="Times New Roman" w:cs="Arial"/>
          <w:iCs/>
          <w:color w:val="000000"/>
          <w:sz w:val="18"/>
          <w:szCs w:val="18"/>
        </w:rPr>
        <w:t xml:space="preserve">eznamy schválených projektů a proplacených projektů publikované </w:t>
      </w:r>
      <w:proofErr w:type="spellStart"/>
      <w:r w:rsidRPr="004F33A2">
        <w:rPr>
          <w:rFonts w:eastAsia="Times New Roman" w:cs="Arial"/>
          <w:iCs/>
          <w:color w:val="000000"/>
          <w:sz w:val="18"/>
          <w:szCs w:val="18"/>
        </w:rPr>
        <w:t>MZe</w:t>
      </w:r>
      <w:proofErr w:type="spellEnd"/>
      <w:r w:rsidRPr="004F33A2">
        <w:rPr>
          <w:rFonts w:eastAsia="Times New Roman" w:cs="Arial"/>
          <w:iCs/>
          <w:color w:val="000000"/>
          <w:sz w:val="18"/>
          <w:szCs w:val="18"/>
        </w:rPr>
        <w:t xml:space="preserve">, </w:t>
      </w:r>
      <w:r w:rsidR="00FC4EED">
        <w:rPr>
          <w:rFonts w:eastAsia="Times New Roman" w:cs="Arial"/>
          <w:iCs/>
          <w:color w:val="000000"/>
          <w:sz w:val="18"/>
          <w:szCs w:val="18"/>
        </w:rPr>
        <w:t>p</w:t>
      </w:r>
      <w:r w:rsidRPr="004F33A2">
        <w:rPr>
          <w:rFonts w:eastAsia="Times New Roman" w:cs="Arial"/>
          <w:iCs/>
          <w:color w:val="000000"/>
          <w:sz w:val="18"/>
          <w:szCs w:val="18"/>
        </w:rPr>
        <w:t>řehled</w:t>
      </w:r>
      <w:r w:rsidR="00FC4EED">
        <w:rPr>
          <w:rFonts w:eastAsia="Times New Roman" w:cs="Arial"/>
          <w:iCs/>
          <w:color w:val="000000"/>
          <w:sz w:val="18"/>
          <w:szCs w:val="18"/>
        </w:rPr>
        <w:t xml:space="preserve"> SZIF</w:t>
      </w:r>
      <w:r w:rsidRPr="004F33A2">
        <w:rPr>
          <w:rFonts w:eastAsia="Times New Roman" w:cs="Arial"/>
          <w:iCs/>
          <w:color w:val="000000"/>
          <w:sz w:val="18"/>
          <w:szCs w:val="18"/>
        </w:rPr>
        <w:t xml:space="preserve"> </w:t>
      </w:r>
      <w:r w:rsidR="00FC4EED">
        <w:rPr>
          <w:rFonts w:eastAsia="Times New Roman" w:cs="Arial"/>
          <w:iCs/>
          <w:color w:val="000000"/>
          <w:sz w:val="18"/>
          <w:szCs w:val="18"/>
        </w:rPr>
        <w:t>o </w:t>
      </w:r>
      <w:r w:rsidRPr="004F33A2">
        <w:rPr>
          <w:rFonts w:eastAsia="Times New Roman" w:cs="Arial"/>
          <w:iCs/>
          <w:color w:val="000000"/>
          <w:sz w:val="18"/>
          <w:szCs w:val="18"/>
        </w:rPr>
        <w:t>zaregistrovaných projekt</w:t>
      </w:r>
      <w:r w:rsidR="00FC4EED">
        <w:rPr>
          <w:rFonts w:eastAsia="Times New Roman" w:cs="Arial"/>
          <w:iCs/>
          <w:color w:val="000000"/>
          <w:sz w:val="18"/>
          <w:szCs w:val="18"/>
        </w:rPr>
        <w:t>ech</w:t>
      </w:r>
      <w:r w:rsidRPr="004F33A2">
        <w:rPr>
          <w:rFonts w:eastAsia="Times New Roman" w:cs="Arial"/>
          <w:iCs/>
          <w:color w:val="000000"/>
          <w:sz w:val="18"/>
          <w:szCs w:val="18"/>
        </w:rPr>
        <w:t>, informační systém MSC2007</w:t>
      </w:r>
      <w:r w:rsidRPr="004F33A2">
        <w:rPr>
          <w:rFonts w:eastAsia="Times New Roman" w:cs="Arial"/>
          <w:iCs/>
          <w:color w:val="000000"/>
          <w:sz w:val="18"/>
          <w:szCs w:val="18"/>
          <w:vertAlign w:val="superscript"/>
        </w:rPr>
        <w:footnoteReference w:id="2"/>
      </w:r>
      <w:r w:rsidRPr="004F33A2">
        <w:rPr>
          <w:rFonts w:eastAsia="Times New Roman" w:cs="Arial"/>
          <w:iCs/>
          <w:color w:val="000000"/>
          <w:sz w:val="18"/>
          <w:szCs w:val="18"/>
        </w:rPr>
        <w:t>.</w:t>
      </w:r>
      <w:bookmarkStart w:id="3" w:name="_GoBack"/>
      <w:bookmarkEnd w:id="3"/>
    </w:p>
    <w:p w:rsidR="004F33A2" w:rsidRPr="004F33A2" w:rsidRDefault="004F33A2" w:rsidP="004F33A2">
      <w:pPr>
        <w:spacing w:line="240" w:lineRule="auto"/>
        <w:jc w:val="both"/>
        <w:rPr>
          <w:rFonts w:eastAsia="Times New Roman" w:cs="Arial"/>
          <w:color w:val="000000"/>
          <w:lang w:eastAsia="cs-CZ"/>
        </w:rPr>
      </w:pPr>
    </w:p>
    <w:p w:rsidR="004F33A2" w:rsidRPr="004F33A2" w:rsidRDefault="004F33A2" w:rsidP="004F33A2">
      <w:pPr>
        <w:spacing w:line="240" w:lineRule="auto"/>
        <w:jc w:val="both"/>
        <w:rPr>
          <w:rFonts w:eastAsia="Times New Roman" w:cs="Arial"/>
          <w:color w:val="000000"/>
          <w:lang w:eastAsia="cs-CZ"/>
        </w:rPr>
      </w:pPr>
      <w:r w:rsidRPr="004F33A2">
        <w:rPr>
          <w:rFonts w:eastAsia="Times New Roman" w:cs="Arial"/>
          <w:color w:val="000000"/>
          <w:lang w:eastAsia="cs-CZ"/>
        </w:rPr>
        <w:t>Řídicím orgánem OP Rybářství je Ministerstvo zemědělství, které mimo jiné vydává závazná pravidla stanovující podmínky pro poskytování dotace na projekty OPR (dále jen „Pravidla“). MZe delegovalo výkon některých činností prováděných v rámci implementace OPR na zprostředkující subjekt – Státní zemědělský intervenční fond. SZIF zajišťuje delegované činnosti jak na úrovni centrálního pracoviště, tak na úrovni svých regionálních odborů.</w:t>
      </w:r>
    </w:p>
    <w:p w:rsidR="004F33A2" w:rsidRPr="004F33A2" w:rsidRDefault="004F33A2" w:rsidP="004F33A2">
      <w:pPr>
        <w:spacing w:line="240" w:lineRule="auto"/>
        <w:jc w:val="both"/>
        <w:rPr>
          <w:rFonts w:eastAsia="Times New Roman" w:cs="Arial"/>
          <w:color w:val="000000"/>
          <w:lang w:eastAsia="cs-CZ"/>
        </w:rPr>
      </w:pPr>
    </w:p>
    <w:p w:rsidR="004F33A2" w:rsidRPr="004F33A2" w:rsidRDefault="004F33A2" w:rsidP="004F33A2">
      <w:pPr>
        <w:spacing w:line="240" w:lineRule="auto"/>
        <w:jc w:val="both"/>
        <w:rPr>
          <w:rFonts w:eastAsia="Times New Roman" w:cs="Arial"/>
          <w:color w:val="000000"/>
          <w:lang w:eastAsia="cs-CZ"/>
        </w:rPr>
      </w:pPr>
      <w:r w:rsidRPr="004F33A2">
        <w:rPr>
          <w:rFonts w:eastAsia="Times New Roman" w:cs="Arial"/>
          <w:color w:val="000000"/>
          <w:lang w:eastAsia="cs-CZ"/>
        </w:rPr>
        <w:lastRenderedPageBreak/>
        <w:t xml:space="preserve">Kontrolou NKÚ u těchto implementačních orgánů byly prověřovány činnosti související s plněním funkcí řídicího orgánu, zprostředkujícího subjektu a finančního útvaru. Předmětem kontroly bylo zejména organizační zajištění realizace OPR, nastavení cílů a monitorovacích indikátorů, hodnocení a schvalování projektů, provádění kontrol fyzické realizace projektu, řízení rizik, finanční řízení a řešení nesrovnalostí. U </w:t>
      </w:r>
      <w:r w:rsidR="00E00F0F">
        <w:rPr>
          <w:rFonts w:eastAsia="Times New Roman" w:cs="Arial"/>
          <w:color w:val="000000"/>
          <w:lang w:eastAsia="cs-CZ"/>
        </w:rPr>
        <w:t>deseti</w:t>
      </w:r>
      <w:r w:rsidRPr="004F33A2">
        <w:rPr>
          <w:rFonts w:eastAsia="Times New Roman" w:cs="Arial"/>
          <w:color w:val="000000"/>
          <w:lang w:eastAsia="cs-CZ"/>
        </w:rPr>
        <w:t xml:space="preserve"> projektů bylo kontrolováno plnění úlohy MZe jakožto příjemce podpory. Jednalo se o devět projektů technické pomoci (opatření 5.1) a o projekt z opatření 3.3 </w:t>
      </w:r>
      <w:proofErr w:type="spellStart"/>
      <w:r w:rsidRPr="004F33A2">
        <w:rPr>
          <w:rFonts w:eastAsia="Times New Roman" w:cs="Arial"/>
          <w:color w:val="000000"/>
          <w:lang w:eastAsia="cs-CZ"/>
        </w:rPr>
        <w:t>reg</w:t>
      </w:r>
      <w:proofErr w:type="spellEnd"/>
      <w:r w:rsidRPr="004F33A2">
        <w:rPr>
          <w:rFonts w:eastAsia="Times New Roman" w:cs="Arial"/>
          <w:color w:val="000000"/>
          <w:lang w:eastAsia="cs-CZ"/>
        </w:rPr>
        <w:t xml:space="preserve">. </w:t>
      </w:r>
      <w:proofErr w:type="gramStart"/>
      <w:r w:rsidRPr="004F33A2">
        <w:rPr>
          <w:rFonts w:eastAsia="Times New Roman" w:cs="Arial"/>
          <w:color w:val="000000"/>
          <w:lang w:eastAsia="cs-CZ"/>
        </w:rPr>
        <w:t>č.</w:t>
      </w:r>
      <w:proofErr w:type="gramEnd"/>
      <w:r w:rsidRPr="004F33A2">
        <w:rPr>
          <w:rFonts w:eastAsia="Times New Roman" w:cs="Arial"/>
          <w:color w:val="000000"/>
          <w:lang w:eastAsia="cs-CZ"/>
        </w:rPr>
        <w:t xml:space="preserve"> CZ.2.25/3.3.00/08.00286 </w:t>
      </w:r>
      <w:r w:rsidRPr="001601E0">
        <w:rPr>
          <w:rFonts w:eastAsia="Times New Roman" w:cs="Arial"/>
          <w:i/>
          <w:color w:val="000000"/>
          <w:lang w:eastAsia="cs-CZ"/>
        </w:rPr>
        <w:t>Realizace dlouhodobé komunikační strategie na podporu spotřeby sladkovodních ryb</w:t>
      </w:r>
      <w:r w:rsidRPr="004F33A2">
        <w:rPr>
          <w:rFonts w:eastAsia="Times New Roman" w:cs="Arial"/>
          <w:color w:val="000000"/>
          <w:lang w:eastAsia="cs-CZ"/>
        </w:rPr>
        <w:t xml:space="preserve"> (dále jen „projekt </w:t>
      </w:r>
      <w:r w:rsidRPr="001601E0">
        <w:rPr>
          <w:rFonts w:eastAsia="Times New Roman" w:cs="Arial"/>
          <w:i/>
          <w:color w:val="000000"/>
          <w:lang w:eastAsia="cs-CZ"/>
        </w:rPr>
        <w:t>Ryba domácí</w:t>
      </w:r>
      <w:r w:rsidRPr="004F33A2">
        <w:rPr>
          <w:rFonts w:eastAsia="Times New Roman" w:cs="Arial"/>
          <w:color w:val="000000"/>
          <w:lang w:eastAsia="cs-CZ"/>
        </w:rPr>
        <w:t>“). NKÚ na projektech MZe prověřil výdaje ve výši 64 794 797 Kč.</w:t>
      </w:r>
    </w:p>
    <w:p w:rsidR="004F33A2" w:rsidRPr="004F33A2" w:rsidRDefault="004F33A2" w:rsidP="004F33A2">
      <w:pPr>
        <w:spacing w:line="240" w:lineRule="auto"/>
        <w:jc w:val="both"/>
        <w:rPr>
          <w:rFonts w:eastAsia="Times New Roman" w:cs="Arial"/>
          <w:color w:val="000000"/>
          <w:lang w:eastAsia="cs-CZ"/>
        </w:rPr>
      </w:pPr>
    </w:p>
    <w:p w:rsidR="004F33A2" w:rsidRPr="004F33A2" w:rsidRDefault="004F33A2" w:rsidP="004F33A2">
      <w:pPr>
        <w:spacing w:line="240" w:lineRule="auto"/>
        <w:jc w:val="both"/>
        <w:rPr>
          <w:rFonts w:eastAsia="Times New Roman" w:cs="Arial"/>
          <w:color w:val="000000"/>
          <w:lang w:eastAsia="cs-CZ"/>
        </w:rPr>
      </w:pPr>
      <w:r w:rsidRPr="004F33A2">
        <w:rPr>
          <w:rFonts w:eastAsia="Times New Roman" w:cs="Arial"/>
          <w:color w:val="000000"/>
          <w:lang w:eastAsia="cs-CZ"/>
        </w:rPr>
        <w:t>Na dalším vzorku 23 projektů realizovaných deseti příjemci podpory bylo kontrolou NKÚ ověřeno dodržování podmínek stanovených v rozhodnutí</w:t>
      </w:r>
      <w:r w:rsidR="00FC4EED">
        <w:rPr>
          <w:rFonts w:eastAsia="Times New Roman" w:cs="Arial"/>
          <w:color w:val="000000"/>
          <w:lang w:eastAsia="cs-CZ"/>
        </w:rPr>
        <w:t>ch o poskytnutí dotace a </w:t>
      </w:r>
      <w:r w:rsidRPr="004F33A2">
        <w:rPr>
          <w:rFonts w:eastAsia="Times New Roman" w:cs="Arial"/>
          <w:color w:val="000000"/>
          <w:lang w:eastAsia="cs-CZ"/>
        </w:rPr>
        <w:t xml:space="preserve">v Pravidlech. Jednalo se o projekty realizované v opatřeních 2.1, 2.4 a 3.4 v celkové částce proplacených výdajů 63 721 354 Kč. </w:t>
      </w:r>
    </w:p>
    <w:p w:rsidR="004F33A2" w:rsidRPr="004F33A2" w:rsidRDefault="004F33A2" w:rsidP="004F33A2">
      <w:pPr>
        <w:spacing w:line="240" w:lineRule="auto"/>
        <w:jc w:val="both"/>
        <w:rPr>
          <w:rFonts w:eastAsia="Times New Roman" w:cs="Arial"/>
          <w:color w:val="000000"/>
          <w:lang w:eastAsia="cs-CZ"/>
        </w:rPr>
      </w:pPr>
    </w:p>
    <w:p w:rsidR="004F33A2" w:rsidRPr="004F33A2" w:rsidRDefault="004F33A2" w:rsidP="004F33A2">
      <w:pPr>
        <w:spacing w:line="240" w:lineRule="auto"/>
        <w:jc w:val="both"/>
        <w:rPr>
          <w:rFonts w:eastAsia="Times New Roman" w:cs="Arial"/>
          <w:color w:val="000000"/>
          <w:lang w:eastAsia="cs-CZ"/>
        </w:rPr>
      </w:pPr>
      <w:r w:rsidRPr="004F33A2">
        <w:rPr>
          <w:rFonts w:eastAsia="Times New Roman" w:cs="Arial"/>
          <w:color w:val="000000"/>
          <w:lang w:eastAsia="cs-CZ"/>
        </w:rPr>
        <w:t>Kontrolní akcí byly ověřeny výdaje v celkovém objemu 128 516 151 Kč.</w:t>
      </w:r>
    </w:p>
    <w:p w:rsidR="004F33A2" w:rsidRPr="004F33A2" w:rsidRDefault="004F33A2" w:rsidP="004F33A2">
      <w:pPr>
        <w:spacing w:line="240" w:lineRule="auto"/>
        <w:jc w:val="both"/>
        <w:rPr>
          <w:rFonts w:eastAsia="Times New Roman" w:cs="Arial"/>
          <w:color w:val="000000"/>
          <w:lang w:eastAsia="cs-CZ"/>
        </w:rPr>
      </w:pPr>
    </w:p>
    <w:p w:rsidR="004F33A2" w:rsidRPr="004F33A2" w:rsidRDefault="004F33A2" w:rsidP="00FC4EED">
      <w:pPr>
        <w:spacing w:line="240" w:lineRule="auto"/>
        <w:ind w:left="567" w:hanging="567"/>
        <w:jc w:val="both"/>
        <w:rPr>
          <w:rFonts w:eastAsia="Times New Roman" w:cs="Arial"/>
          <w:sz w:val="18"/>
          <w:szCs w:val="18"/>
        </w:rPr>
      </w:pPr>
      <w:r w:rsidRPr="004F33A2">
        <w:rPr>
          <w:rFonts w:eastAsia="Times New Roman" w:cs="Arial"/>
          <w:b/>
          <w:sz w:val="18"/>
          <w:szCs w:val="18"/>
        </w:rPr>
        <w:t>Pozn.:</w:t>
      </w:r>
      <w:r w:rsidRPr="004F33A2">
        <w:rPr>
          <w:rFonts w:eastAsia="Times New Roman" w:cs="Arial"/>
          <w:b/>
          <w:sz w:val="18"/>
          <w:szCs w:val="18"/>
        </w:rPr>
        <w:tab/>
      </w:r>
      <w:r w:rsidR="00E00F0F" w:rsidRPr="00E00F0F">
        <w:rPr>
          <w:rFonts w:eastAsia="Times New Roman" w:cs="Arial"/>
          <w:sz w:val="18"/>
          <w:szCs w:val="18"/>
        </w:rPr>
        <w:t>Právní předpisy uváděné v tomto kontrolním závěru jsou aplikovány ve znění účinném pro kontrolované období.</w:t>
      </w:r>
    </w:p>
    <w:p w:rsidR="004F33A2" w:rsidRPr="00873783" w:rsidRDefault="004F33A2" w:rsidP="004F33A2">
      <w:pPr>
        <w:spacing w:line="240" w:lineRule="auto"/>
        <w:rPr>
          <w:rFonts w:eastAsia="Times New Roman" w:cs="Arial"/>
          <w:bCs/>
        </w:rPr>
      </w:pPr>
    </w:p>
    <w:p w:rsidR="004F33A2" w:rsidRPr="00873783" w:rsidRDefault="004F33A2" w:rsidP="004F33A2">
      <w:pPr>
        <w:spacing w:line="240" w:lineRule="auto"/>
        <w:rPr>
          <w:rFonts w:eastAsia="Times New Roman" w:cs="Arial"/>
          <w:bCs/>
        </w:rPr>
      </w:pPr>
    </w:p>
    <w:p w:rsidR="004F33A2" w:rsidRPr="002C3CD4" w:rsidRDefault="004F33A2" w:rsidP="00873783">
      <w:pPr>
        <w:spacing w:line="240" w:lineRule="auto"/>
        <w:jc w:val="center"/>
        <w:rPr>
          <w:rFonts w:eastAsia="Times New Roman" w:cs="Arial"/>
          <w:b/>
          <w:bCs/>
          <w:sz w:val="24"/>
          <w:szCs w:val="24"/>
        </w:rPr>
      </w:pPr>
      <w:r w:rsidRPr="002C3CD4">
        <w:rPr>
          <w:rFonts w:eastAsia="Times New Roman" w:cs="Arial"/>
          <w:b/>
          <w:bCs/>
          <w:sz w:val="24"/>
          <w:szCs w:val="24"/>
        </w:rPr>
        <w:t>II. Skutečnosti zjištěné při kontrole systému implementace OPR</w:t>
      </w:r>
    </w:p>
    <w:p w:rsidR="004F33A2" w:rsidRPr="004F33A2" w:rsidRDefault="004F33A2" w:rsidP="00873783">
      <w:pPr>
        <w:spacing w:line="240" w:lineRule="auto"/>
        <w:rPr>
          <w:rFonts w:eastAsia="Times New Roman" w:cs="Arial"/>
          <w:bCs/>
        </w:rPr>
      </w:pPr>
    </w:p>
    <w:p w:rsidR="004F33A2" w:rsidRPr="004F33A2" w:rsidRDefault="004F33A2" w:rsidP="00873783">
      <w:pPr>
        <w:spacing w:line="240" w:lineRule="auto"/>
        <w:rPr>
          <w:rFonts w:eastAsia="Times New Roman" w:cs="Arial"/>
          <w:b/>
          <w:bCs/>
        </w:rPr>
      </w:pPr>
      <w:r w:rsidRPr="004F33A2">
        <w:rPr>
          <w:rFonts w:eastAsia="Times New Roman" w:cs="Arial"/>
          <w:b/>
          <w:bCs/>
        </w:rPr>
        <w:t>1. Nastavení cílů OP Rybářství</w:t>
      </w:r>
    </w:p>
    <w:p w:rsidR="004F33A2" w:rsidRPr="004F33A2" w:rsidRDefault="004F33A2" w:rsidP="00873783">
      <w:pPr>
        <w:spacing w:line="240" w:lineRule="auto"/>
        <w:jc w:val="both"/>
        <w:rPr>
          <w:rFonts w:eastAsia="Times New Roman" w:cs="Arial"/>
          <w:color w:val="000000"/>
        </w:rPr>
      </w:pPr>
    </w:p>
    <w:p w:rsidR="004F33A2" w:rsidRPr="004F33A2" w:rsidRDefault="004F33A2" w:rsidP="00873783">
      <w:pPr>
        <w:spacing w:line="240" w:lineRule="auto"/>
        <w:jc w:val="both"/>
        <w:rPr>
          <w:rFonts w:eastAsia="Times New Roman" w:cs="Arial"/>
          <w:color w:val="000000"/>
        </w:rPr>
      </w:pPr>
      <w:r w:rsidRPr="004F33A2">
        <w:rPr>
          <w:rFonts w:eastAsia="Times New Roman" w:cs="Arial"/>
          <w:color w:val="000000"/>
        </w:rPr>
        <w:t>Programový dokument OPR definuje tři celkové cíle programu:</w:t>
      </w:r>
    </w:p>
    <w:p w:rsidR="004F33A2" w:rsidRPr="004F33A2" w:rsidRDefault="004F33A2" w:rsidP="00873783">
      <w:pPr>
        <w:numPr>
          <w:ilvl w:val="0"/>
          <w:numId w:val="4"/>
        </w:numPr>
        <w:spacing w:line="240" w:lineRule="auto"/>
        <w:ind w:left="284" w:hanging="284"/>
        <w:jc w:val="both"/>
        <w:rPr>
          <w:rFonts w:eastAsia="Times New Roman" w:cs="Arial"/>
          <w:color w:val="000000"/>
        </w:rPr>
      </w:pPr>
      <w:r w:rsidRPr="004F33A2">
        <w:rPr>
          <w:rFonts w:eastAsia="Times New Roman" w:cs="Arial"/>
          <w:color w:val="000000"/>
        </w:rPr>
        <w:t>posílení konkurenceschopnosti výrobních a zpracovatelských podniků,</w:t>
      </w:r>
    </w:p>
    <w:p w:rsidR="004F33A2" w:rsidRPr="004F33A2" w:rsidRDefault="004F33A2" w:rsidP="00873783">
      <w:pPr>
        <w:numPr>
          <w:ilvl w:val="0"/>
          <w:numId w:val="4"/>
        </w:numPr>
        <w:spacing w:line="240" w:lineRule="auto"/>
        <w:ind w:left="284" w:hanging="284"/>
        <w:jc w:val="both"/>
        <w:rPr>
          <w:rFonts w:eastAsia="Times New Roman" w:cs="Arial"/>
          <w:color w:val="000000"/>
        </w:rPr>
      </w:pPr>
      <w:r w:rsidRPr="004F33A2">
        <w:rPr>
          <w:rFonts w:eastAsia="Times New Roman" w:cs="Arial"/>
          <w:color w:val="000000"/>
        </w:rPr>
        <w:t>podpora ochrany a zlepšování životního prostředí a přírodních zdrojů,</w:t>
      </w:r>
    </w:p>
    <w:p w:rsidR="004F33A2" w:rsidRPr="004F33A2" w:rsidRDefault="004F33A2" w:rsidP="00873783">
      <w:pPr>
        <w:numPr>
          <w:ilvl w:val="0"/>
          <w:numId w:val="4"/>
        </w:numPr>
        <w:spacing w:line="240" w:lineRule="auto"/>
        <w:ind w:left="284" w:hanging="284"/>
        <w:jc w:val="both"/>
        <w:rPr>
          <w:rFonts w:eastAsia="Times New Roman" w:cs="Arial"/>
          <w:color w:val="000000"/>
        </w:rPr>
      </w:pPr>
      <w:r w:rsidRPr="004F33A2">
        <w:rPr>
          <w:rFonts w:eastAsia="Times New Roman" w:cs="Arial"/>
          <w:color w:val="000000"/>
        </w:rPr>
        <w:t>posílení rovných práv žen a mužů.</w:t>
      </w:r>
    </w:p>
    <w:p w:rsidR="004F33A2" w:rsidRPr="004F33A2" w:rsidRDefault="004F33A2" w:rsidP="00873783">
      <w:pPr>
        <w:spacing w:line="240" w:lineRule="auto"/>
        <w:jc w:val="both"/>
        <w:rPr>
          <w:rFonts w:eastAsia="Times New Roman" w:cs="Arial"/>
          <w:color w:val="000000"/>
        </w:rPr>
      </w:pPr>
    </w:p>
    <w:p w:rsidR="004F33A2" w:rsidRPr="004F33A2" w:rsidRDefault="004F33A2" w:rsidP="00873783">
      <w:pPr>
        <w:spacing w:line="240" w:lineRule="auto"/>
        <w:jc w:val="both"/>
        <w:rPr>
          <w:rFonts w:eastAsia="Times New Roman" w:cs="Arial"/>
          <w:color w:val="000000"/>
        </w:rPr>
      </w:pPr>
      <w:r w:rsidRPr="004F33A2">
        <w:rPr>
          <w:rFonts w:eastAsia="Times New Roman" w:cs="Arial"/>
          <w:color w:val="000000"/>
        </w:rPr>
        <w:t>Účinnost operačního programu lze hodnotit pouze za předpokladu, že pro všechny oblasti činností byly v souladu se zásadou řádného finančního řízení</w:t>
      </w:r>
      <w:bookmarkStart w:id="4" w:name="_Ref332571530"/>
      <w:r w:rsidRPr="004F33A2">
        <w:rPr>
          <w:rFonts w:eastAsia="Times New Roman" w:cs="Arial"/>
          <w:color w:val="000000"/>
          <w:vertAlign w:val="superscript"/>
        </w:rPr>
        <w:footnoteReference w:id="3"/>
      </w:r>
      <w:bookmarkEnd w:id="4"/>
      <w:r w:rsidRPr="004F33A2">
        <w:rPr>
          <w:rFonts w:eastAsia="Times New Roman" w:cs="Arial"/>
          <w:color w:val="000000"/>
        </w:rPr>
        <w:t xml:space="preserve"> stanoveny konkrétní, měřitelné, dosažitelné, odpovídající a časově vymezené cíle. </w:t>
      </w:r>
    </w:p>
    <w:p w:rsidR="004F33A2" w:rsidRPr="004F33A2" w:rsidRDefault="004F33A2" w:rsidP="00873783">
      <w:pPr>
        <w:spacing w:line="240" w:lineRule="auto"/>
        <w:jc w:val="both"/>
        <w:rPr>
          <w:rFonts w:eastAsia="Times New Roman" w:cs="Arial"/>
          <w:color w:val="000000"/>
        </w:rPr>
      </w:pPr>
    </w:p>
    <w:p w:rsidR="004F33A2" w:rsidRPr="004F33A2" w:rsidRDefault="004F33A2" w:rsidP="00873783">
      <w:pPr>
        <w:spacing w:line="240" w:lineRule="auto"/>
        <w:jc w:val="both"/>
        <w:rPr>
          <w:rFonts w:eastAsia="Times New Roman" w:cs="Arial"/>
          <w:color w:val="000000"/>
        </w:rPr>
      </w:pPr>
      <w:r w:rsidRPr="004F33A2">
        <w:rPr>
          <w:rFonts w:eastAsia="Times New Roman" w:cs="Arial"/>
          <w:color w:val="000000"/>
        </w:rPr>
        <w:t xml:space="preserve">Kontrolou bylo zjištěno, že MZe nerozpracovalo obecný cíl </w:t>
      </w:r>
      <w:r w:rsidRPr="002C3CD4">
        <w:rPr>
          <w:rFonts w:eastAsia="Times New Roman" w:cs="Arial"/>
          <w:color w:val="000000"/>
        </w:rPr>
        <w:t>„podpora ochrany a zlepšování životního prostředí a přírodních zdrojů“</w:t>
      </w:r>
      <w:r w:rsidRPr="004F33A2">
        <w:rPr>
          <w:rFonts w:eastAsia="Times New Roman" w:cs="Arial"/>
          <w:color w:val="000000"/>
        </w:rPr>
        <w:t xml:space="preserve"> na konkrétní cíle na úrovni prioritních os a jednotlivých opatření, což odporuje výše uvedené zásadě řádného finančního řízení. Míru dosahování takto obecně stanoveného cíle lze pak velmi obtížně vyhodnotit.</w:t>
      </w:r>
    </w:p>
    <w:p w:rsidR="004F33A2" w:rsidRPr="004F33A2" w:rsidRDefault="004F33A2" w:rsidP="00873783">
      <w:pPr>
        <w:spacing w:line="240" w:lineRule="auto"/>
        <w:jc w:val="both"/>
        <w:rPr>
          <w:rFonts w:eastAsia="Times New Roman" w:cs="Arial"/>
          <w:color w:val="000000"/>
        </w:rPr>
      </w:pPr>
    </w:p>
    <w:p w:rsidR="004F33A2" w:rsidRPr="004F33A2" w:rsidRDefault="004F33A2" w:rsidP="00873783">
      <w:pPr>
        <w:spacing w:line="240" w:lineRule="auto"/>
        <w:rPr>
          <w:rFonts w:eastAsia="Times New Roman" w:cs="Arial"/>
          <w:b/>
          <w:bCs/>
        </w:rPr>
      </w:pPr>
      <w:r w:rsidRPr="004F33A2">
        <w:rPr>
          <w:rFonts w:eastAsia="Times New Roman" w:cs="Arial"/>
          <w:b/>
          <w:bCs/>
        </w:rPr>
        <w:t>2. Monitorování programu</w:t>
      </w:r>
    </w:p>
    <w:p w:rsidR="004F33A2" w:rsidRPr="004F33A2" w:rsidRDefault="004F33A2" w:rsidP="00873783">
      <w:pPr>
        <w:spacing w:line="240" w:lineRule="auto"/>
        <w:rPr>
          <w:rFonts w:eastAsia="Times New Roman" w:cs="Arial"/>
          <w:b/>
          <w:bCs/>
        </w:rPr>
      </w:pPr>
    </w:p>
    <w:p w:rsidR="004F33A2" w:rsidRPr="004F33A2" w:rsidRDefault="004F33A2" w:rsidP="00873783">
      <w:pPr>
        <w:spacing w:line="240" w:lineRule="auto"/>
        <w:jc w:val="both"/>
        <w:rPr>
          <w:rFonts w:eastAsia="Times New Roman" w:cs="Arial"/>
          <w:color w:val="000000"/>
          <w:lang w:eastAsia="cs-CZ"/>
        </w:rPr>
      </w:pPr>
      <w:r w:rsidRPr="004F33A2">
        <w:rPr>
          <w:rFonts w:eastAsia="Times New Roman" w:cs="Arial"/>
          <w:color w:val="000000"/>
          <w:lang w:eastAsia="cs-CZ"/>
        </w:rPr>
        <w:t xml:space="preserve">Za účelem sledování pokroku při dosahování cílů programu stanovilo MZe monitorovací indikátory spolu s jejich výchozí a cílovou hodnotou. V rámci kontrolní akce byl prověřen nastavený systém monitorovacích indikátorů i způsob jejich sledování a vykazování ze strany MZe a SZIF. </w:t>
      </w:r>
    </w:p>
    <w:p w:rsidR="004F33A2" w:rsidRPr="004F33A2" w:rsidRDefault="004F33A2" w:rsidP="00873783">
      <w:pPr>
        <w:spacing w:line="240" w:lineRule="auto"/>
        <w:jc w:val="both"/>
        <w:rPr>
          <w:rFonts w:eastAsia="Times New Roman" w:cs="Arial"/>
          <w:color w:val="000000"/>
          <w:lang w:eastAsia="cs-CZ"/>
        </w:rPr>
      </w:pPr>
    </w:p>
    <w:p w:rsidR="004F33A2" w:rsidRPr="004F33A2" w:rsidRDefault="004F33A2" w:rsidP="00873783">
      <w:pPr>
        <w:spacing w:line="240" w:lineRule="auto"/>
        <w:jc w:val="both"/>
        <w:rPr>
          <w:rFonts w:eastAsia="Times New Roman" w:cs="Arial"/>
          <w:color w:val="000000"/>
          <w:lang w:eastAsia="cs-CZ"/>
        </w:rPr>
      </w:pPr>
      <w:r w:rsidRPr="004F33A2">
        <w:rPr>
          <w:rFonts w:eastAsia="Times New Roman" w:cs="Arial"/>
          <w:color w:val="000000"/>
          <w:lang w:eastAsia="cs-CZ"/>
        </w:rPr>
        <w:t>NKÚ zjistil, že oblast monitorování v rámci OP Rybářství vykazuje závažné nedostatky, kvůli kterým nebude možné objektivně vyhodnotit míru dosažení stanovených cílů a</w:t>
      </w:r>
      <w:r w:rsidR="003412EF">
        <w:rPr>
          <w:rFonts w:eastAsia="Times New Roman" w:cs="Arial"/>
          <w:color w:val="000000"/>
          <w:lang w:eastAsia="cs-CZ"/>
        </w:rPr>
        <w:t>ni</w:t>
      </w:r>
      <w:r w:rsidRPr="004F33A2">
        <w:rPr>
          <w:rFonts w:eastAsia="Times New Roman" w:cs="Arial"/>
          <w:color w:val="000000"/>
          <w:lang w:eastAsia="cs-CZ"/>
        </w:rPr>
        <w:t xml:space="preserve"> skutečný efekt intervencí operačního programu. </w:t>
      </w:r>
      <w:r w:rsidRPr="004F33A2">
        <w:rPr>
          <w:rFonts w:eastAsia="Times New Roman" w:cs="Arial"/>
          <w:bCs/>
          <w:color w:val="000000"/>
        </w:rPr>
        <w:t>MZe v rozporu s evropskými předpisy</w:t>
      </w:r>
      <w:r w:rsidRPr="004F33A2">
        <w:rPr>
          <w:rFonts w:eastAsia="Times New Roman" w:cs="Arial"/>
          <w:bCs/>
          <w:color w:val="000000"/>
          <w:vertAlign w:val="superscript"/>
        </w:rPr>
        <w:footnoteReference w:id="4"/>
      </w:r>
      <w:r w:rsidRPr="004F33A2">
        <w:rPr>
          <w:rFonts w:eastAsia="Times New Roman" w:cs="Arial"/>
          <w:bCs/>
          <w:color w:val="000000"/>
        </w:rPr>
        <w:t xml:space="preserve"> nezajistilo spolehlivý systém monitorování věcného pokroku </w:t>
      </w:r>
      <w:r w:rsidR="003412EF">
        <w:rPr>
          <w:rFonts w:eastAsia="Times New Roman" w:cs="Arial"/>
          <w:bCs/>
          <w:color w:val="000000"/>
        </w:rPr>
        <w:t xml:space="preserve">při realizaci </w:t>
      </w:r>
      <w:r w:rsidRPr="004F33A2">
        <w:rPr>
          <w:rFonts w:eastAsia="Times New Roman" w:cs="Arial"/>
          <w:bCs/>
          <w:color w:val="000000"/>
        </w:rPr>
        <w:t>programu.</w:t>
      </w:r>
    </w:p>
    <w:p w:rsidR="004F33A2" w:rsidRPr="004F33A2" w:rsidRDefault="004F33A2" w:rsidP="00873783">
      <w:pPr>
        <w:spacing w:line="240" w:lineRule="auto"/>
        <w:jc w:val="both"/>
        <w:rPr>
          <w:rFonts w:eastAsia="Times New Roman" w:cs="Arial"/>
          <w:color w:val="000000"/>
          <w:lang w:eastAsia="cs-CZ"/>
        </w:rPr>
      </w:pPr>
    </w:p>
    <w:p w:rsidR="004F33A2" w:rsidRPr="004F33A2" w:rsidRDefault="004F33A2" w:rsidP="00873783">
      <w:pPr>
        <w:spacing w:line="240" w:lineRule="auto"/>
        <w:jc w:val="both"/>
        <w:rPr>
          <w:rFonts w:eastAsia="Times New Roman" w:cs="Arial"/>
          <w:b/>
          <w:color w:val="000000"/>
          <w:lang w:eastAsia="cs-CZ"/>
        </w:rPr>
      </w:pPr>
      <w:r w:rsidRPr="004F33A2">
        <w:rPr>
          <w:rFonts w:eastAsia="Times New Roman" w:cs="Arial"/>
          <w:b/>
          <w:color w:val="000000"/>
          <w:lang w:eastAsia="cs-CZ"/>
        </w:rPr>
        <w:lastRenderedPageBreak/>
        <w:t>2.1 Nastavení monitorovacích indikátorů</w:t>
      </w:r>
    </w:p>
    <w:p w:rsidR="004F33A2" w:rsidRPr="004F33A2" w:rsidRDefault="004F33A2" w:rsidP="00873783">
      <w:pPr>
        <w:spacing w:line="240" w:lineRule="auto"/>
        <w:jc w:val="both"/>
        <w:rPr>
          <w:rFonts w:eastAsia="Times New Roman" w:cs="Arial"/>
          <w:color w:val="000000"/>
          <w:lang w:eastAsia="cs-CZ"/>
        </w:rPr>
      </w:pPr>
    </w:p>
    <w:p w:rsidR="004F33A2" w:rsidRPr="004F33A2" w:rsidRDefault="004F33A2" w:rsidP="00873783">
      <w:pPr>
        <w:spacing w:line="240" w:lineRule="auto"/>
        <w:jc w:val="both"/>
        <w:rPr>
          <w:rFonts w:eastAsia="Times New Roman" w:cs="Arial"/>
          <w:color w:val="000000"/>
          <w:lang w:eastAsia="cs-CZ"/>
        </w:rPr>
      </w:pPr>
      <w:r w:rsidRPr="004F33A2">
        <w:rPr>
          <w:rFonts w:eastAsia="Times New Roman" w:cs="Arial"/>
          <w:color w:val="000000"/>
          <w:lang w:eastAsia="cs-CZ"/>
        </w:rPr>
        <w:t xml:space="preserve">Pokrok </w:t>
      </w:r>
      <w:r w:rsidR="003412EF">
        <w:rPr>
          <w:rFonts w:eastAsia="Times New Roman" w:cs="Arial"/>
          <w:color w:val="000000"/>
          <w:lang w:eastAsia="cs-CZ"/>
        </w:rPr>
        <w:t>u </w:t>
      </w:r>
      <w:r w:rsidRPr="004F33A2">
        <w:rPr>
          <w:rFonts w:eastAsia="Times New Roman" w:cs="Arial"/>
          <w:color w:val="000000"/>
          <w:lang w:eastAsia="cs-CZ"/>
        </w:rPr>
        <w:t>některých cílů na úrovni prioritních os je sledován nevhodnými monitorovacími indikátory, případně pro ně MZe nezavedlo ukazatel žádný. Zejména byly zjištěny tyto skutečnosti:</w:t>
      </w:r>
    </w:p>
    <w:p w:rsidR="004F33A2" w:rsidRPr="004F33A2" w:rsidRDefault="004F33A2" w:rsidP="00873783">
      <w:pPr>
        <w:numPr>
          <w:ilvl w:val="0"/>
          <w:numId w:val="6"/>
        </w:numPr>
        <w:spacing w:line="240" w:lineRule="auto"/>
        <w:ind w:left="284" w:hanging="284"/>
        <w:jc w:val="both"/>
        <w:rPr>
          <w:rFonts w:eastAsia="Times New Roman" w:cs="Arial"/>
          <w:color w:val="000000"/>
          <w:lang w:eastAsia="cs-CZ"/>
        </w:rPr>
      </w:pPr>
      <w:r w:rsidRPr="004F33A2">
        <w:rPr>
          <w:rFonts w:eastAsia="Times New Roman" w:cs="Arial"/>
          <w:bCs/>
          <w:color w:val="000000"/>
        </w:rPr>
        <w:t xml:space="preserve">Pro měření dosahování cíle </w:t>
      </w:r>
      <w:r w:rsidRPr="002C3CD4">
        <w:rPr>
          <w:rFonts w:eastAsia="Times New Roman" w:cs="Arial"/>
          <w:bCs/>
          <w:color w:val="000000"/>
        </w:rPr>
        <w:t>„podpora ochrany a zlepšování životního prostředí a přírodních zdrojů“</w:t>
      </w:r>
      <w:r w:rsidRPr="004F33A2">
        <w:rPr>
          <w:rFonts w:eastAsia="Times New Roman" w:cs="Arial"/>
          <w:bCs/>
          <w:color w:val="000000"/>
        </w:rPr>
        <w:t xml:space="preserve"> byl stanoven monitorovací indikátor </w:t>
      </w:r>
      <w:r w:rsidRPr="002C3CD4">
        <w:rPr>
          <w:rFonts w:eastAsia="Times New Roman" w:cs="Arial"/>
          <w:bCs/>
          <w:color w:val="000000"/>
        </w:rPr>
        <w:t>„počet projektů na zarybnění druhy ryb dle legislativy EU“</w:t>
      </w:r>
      <w:r w:rsidRPr="004F33A2">
        <w:rPr>
          <w:rFonts w:eastAsia="Times New Roman" w:cs="Arial"/>
          <w:bCs/>
          <w:color w:val="000000"/>
        </w:rPr>
        <w:t>. Tento ukazatel však nelze vyhodnotit kvalitativně a žádným způsobem nevypovídá o míře dosahování uvedeného cíle.</w:t>
      </w:r>
    </w:p>
    <w:p w:rsidR="004F33A2" w:rsidRPr="004F33A2" w:rsidRDefault="004F33A2" w:rsidP="00873783">
      <w:pPr>
        <w:numPr>
          <w:ilvl w:val="0"/>
          <w:numId w:val="6"/>
        </w:numPr>
        <w:spacing w:line="240" w:lineRule="auto"/>
        <w:ind w:left="284" w:hanging="284"/>
        <w:jc w:val="both"/>
        <w:rPr>
          <w:rFonts w:eastAsia="Times New Roman" w:cs="Arial"/>
          <w:color w:val="000000"/>
          <w:lang w:eastAsia="cs-CZ"/>
        </w:rPr>
      </w:pPr>
      <w:r w:rsidRPr="004F33A2">
        <w:rPr>
          <w:rFonts w:eastAsia="Times New Roman" w:cs="Arial"/>
          <w:bCs/>
          <w:color w:val="000000"/>
        </w:rPr>
        <w:t xml:space="preserve">Stejně tak cíle </w:t>
      </w:r>
      <w:r w:rsidRPr="002C3CD4">
        <w:rPr>
          <w:rFonts w:eastAsia="Times New Roman" w:cs="Arial"/>
          <w:bCs/>
          <w:color w:val="000000"/>
        </w:rPr>
        <w:t>„zdokonalení odbornosti pracovníků v rybářství“</w:t>
      </w:r>
      <w:r w:rsidRPr="004F33A2">
        <w:rPr>
          <w:rFonts w:eastAsia="Times New Roman" w:cs="Arial"/>
          <w:bCs/>
          <w:color w:val="000000"/>
        </w:rPr>
        <w:t xml:space="preserve"> a </w:t>
      </w:r>
      <w:r w:rsidRPr="002C3CD4">
        <w:rPr>
          <w:rFonts w:eastAsia="Times New Roman" w:cs="Arial"/>
          <w:bCs/>
          <w:color w:val="000000"/>
        </w:rPr>
        <w:t>„zhodnocení získaných vědeckých poznatků“</w:t>
      </w:r>
      <w:r w:rsidRPr="004F33A2">
        <w:rPr>
          <w:rFonts w:eastAsia="Times New Roman" w:cs="Arial"/>
          <w:bCs/>
          <w:color w:val="000000"/>
        </w:rPr>
        <w:t xml:space="preserve"> jsou monitorovány prostřednictvím ukazatelů typu „počet projektů“. Takto stanovené ukazatele však žádným způsobem nevypovíd</w:t>
      </w:r>
      <w:r w:rsidR="00873783">
        <w:rPr>
          <w:rFonts w:eastAsia="Times New Roman" w:cs="Arial"/>
          <w:bCs/>
          <w:color w:val="000000"/>
        </w:rPr>
        <w:t>ají o kvalitativní stránce, tj. </w:t>
      </w:r>
      <w:r w:rsidRPr="004F33A2">
        <w:rPr>
          <w:rFonts w:eastAsia="Times New Roman" w:cs="Arial"/>
          <w:bCs/>
          <w:color w:val="000000"/>
        </w:rPr>
        <w:t xml:space="preserve">zda skutečně došlo ke zvýšení odborných znalostí </w:t>
      </w:r>
      <w:r w:rsidR="00543BC3">
        <w:rPr>
          <w:rFonts w:eastAsia="Times New Roman" w:cs="Arial"/>
          <w:bCs/>
          <w:color w:val="000000"/>
        </w:rPr>
        <w:t>a </w:t>
      </w:r>
      <w:r w:rsidRPr="004F33A2">
        <w:rPr>
          <w:rFonts w:eastAsia="Times New Roman" w:cs="Arial"/>
          <w:bCs/>
          <w:color w:val="000000"/>
        </w:rPr>
        <w:t>zda získané vědecké poznatky byly přínosné.</w:t>
      </w:r>
    </w:p>
    <w:p w:rsidR="004F33A2" w:rsidRPr="004F33A2" w:rsidRDefault="004F33A2" w:rsidP="00873783">
      <w:pPr>
        <w:numPr>
          <w:ilvl w:val="0"/>
          <w:numId w:val="6"/>
        </w:numPr>
        <w:spacing w:line="240" w:lineRule="auto"/>
        <w:ind w:left="284" w:hanging="284"/>
        <w:jc w:val="both"/>
        <w:rPr>
          <w:rFonts w:eastAsia="Times New Roman" w:cs="Arial"/>
          <w:color w:val="000000"/>
          <w:lang w:eastAsia="cs-CZ"/>
        </w:rPr>
      </w:pPr>
      <w:r w:rsidRPr="004F33A2">
        <w:rPr>
          <w:rFonts w:eastAsia="Times New Roman" w:cs="Arial"/>
          <w:color w:val="000000"/>
          <w:lang w:eastAsia="cs-CZ"/>
        </w:rPr>
        <w:t xml:space="preserve">Dosahování jednoho z cílů prioritní osy 2 </w:t>
      </w:r>
      <w:r w:rsidRPr="002C3CD4">
        <w:rPr>
          <w:rFonts w:eastAsia="Times New Roman" w:cs="Arial"/>
          <w:color w:val="000000"/>
          <w:lang w:eastAsia="cs-CZ"/>
        </w:rPr>
        <w:t>„snížení výrobních nákladů“</w:t>
      </w:r>
      <w:r w:rsidRPr="004F33A2">
        <w:rPr>
          <w:rFonts w:eastAsia="Times New Roman" w:cs="Arial"/>
          <w:color w:val="000000"/>
          <w:lang w:eastAsia="cs-CZ"/>
        </w:rPr>
        <w:t xml:space="preserve"> není sledováno žádným ukazatelem.</w:t>
      </w:r>
    </w:p>
    <w:p w:rsidR="004F33A2" w:rsidRPr="004F33A2" w:rsidRDefault="004F33A2" w:rsidP="00873783">
      <w:pPr>
        <w:spacing w:line="240" w:lineRule="auto"/>
        <w:jc w:val="both"/>
        <w:rPr>
          <w:rFonts w:eastAsia="Times New Roman" w:cs="Arial"/>
          <w:color w:val="000000"/>
          <w:lang w:eastAsia="cs-CZ"/>
        </w:rPr>
      </w:pPr>
    </w:p>
    <w:p w:rsidR="004F33A2" w:rsidRPr="004F33A2" w:rsidRDefault="004F33A2" w:rsidP="00873783">
      <w:pPr>
        <w:spacing w:line="240" w:lineRule="auto"/>
        <w:jc w:val="both"/>
        <w:rPr>
          <w:rFonts w:eastAsia="Times New Roman" w:cs="Arial"/>
          <w:b/>
          <w:color w:val="000000"/>
          <w:lang w:eastAsia="cs-CZ"/>
        </w:rPr>
      </w:pPr>
      <w:r w:rsidRPr="004F33A2">
        <w:rPr>
          <w:rFonts w:eastAsia="Times New Roman" w:cs="Arial"/>
          <w:b/>
          <w:color w:val="000000"/>
          <w:lang w:eastAsia="cs-CZ"/>
        </w:rPr>
        <w:t>2.2 Fungování systému monitorování</w:t>
      </w:r>
    </w:p>
    <w:p w:rsidR="004F33A2" w:rsidRPr="004F33A2" w:rsidRDefault="004F33A2" w:rsidP="00873783">
      <w:pPr>
        <w:spacing w:line="240" w:lineRule="auto"/>
        <w:jc w:val="both"/>
        <w:rPr>
          <w:rFonts w:eastAsia="Times New Roman" w:cs="Arial"/>
          <w:bCs/>
        </w:rPr>
      </w:pPr>
    </w:p>
    <w:p w:rsidR="004F33A2" w:rsidRPr="004F33A2" w:rsidRDefault="004F33A2" w:rsidP="00873783">
      <w:pPr>
        <w:spacing w:line="240" w:lineRule="auto"/>
        <w:jc w:val="both"/>
        <w:rPr>
          <w:rFonts w:eastAsia="Times New Roman" w:cs="Arial"/>
          <w:bCs/>
        </w:rPr>
      </w:pPr>
      <w:r w:rsidRPr="004F33A2">
        <w:rPr>
          <w:rFonts w:eastAsia="Times New Roman" w:cs="Arial"/>
          <w:bCs/>
        </w:rPr>
        <w:t xml:space="preserve">MZe sleduje úspěšnost OP Rybářství mimo jiné pomocí zvyšující se přidané hodnoty </w:t>
      </w:r>
      <w:r w:rsidR="00543BC3">
        <w:rPr>
          <w:rFonts w:eastAsia="Times New Roman" w:cs="Arial"/>
          <w:bCs/>
        </w:rPr>
        <w:t>u </w:t>
      </w:r>
      <w:r w:rsidRPr="004F33A2">
        <w:rPr>
          <w:rFonts w:eastAsia="Times New Roman" w:cs="Arial"/>
          <w:bCs/>
        </w:rPr>
        <w:t>podpořených příjemců. Příjemci však vykazují přidanou hodnotu za celý podnikatelský subjekt (za veškeré činnosti svého podnikání, nejen za akvakulturu)</w:t>
      </w:r>
      <w:r w:rsidR="00543BC3">
        <w:rPr>
          <w:rFonts w:eastAsia="Times New Roman" w:cs="Arial"/>
          <w:bCs/>
        </w:rPr>
        <w:t>,</w:t>
      </w:r>
      <w:r w:rsidRPr="004F33A2">
        <w:rPr>
          <w:rFonts w:eastAsia="Times New Roman" w:cs="Arial"/>
          <w:bCs/>
        </w:rPr>
        <w:t xml:space="preserve"> a žádným způsobem tak není zachycen vliv konkrétního projektu. Tato skutečnost významně snižuje spolehlivost výsledné hodnoty ukazatele </w:t>
      </w:r>
      <w:r w:rsidRPr="001D53CA">
        <w:rPr>
          <w:rFonts w:eastAsia="Times New Roman" w:cs="Arial"/>
          <w:bCs/>
        </w:rPr>
        <w:t>„zvýšení přidané hodnoty v %“</w:t>
      </w:r>
      <w:r w:rsidRPr="004F33A2">
        <w:rPr>
          <w:rFonts w:eastAsia="Times New Roman" w:cs="Arial"/>
          <w:bCs/>
        </w:rPr>
        <w:t>, což potvrzují i údaje z </w:t>
      </w:r>
      <w:r w:rsidR="00543BC3">
        <w:rPr>
          <w:rFonts w:eastAsia="Times New Roman" w:cs="Arial"/>
          <w:bCs/>
        </w:rPr>
        <w:t>v</w:t>
      </w:r>
      <w:r w:rsidRPr="004F33A2">
        <w:rPr>
          <w:rFonts w:eastAsia="Times New Roman" w:cs="Arial"/>
          <w:bCs/>
        </w:rPr>
        <w:t xml:space="preserve">ýroční zprávy OPR za rok 2012: cílová hodnota indikátoru pro rok 2015 je zvýšení přidané hodnoty o 5 %, avšak již za rok 2011 uvedlo MZe </w:t>
      </w:r>
      <w:r w:rsidR="00826502" w:rsidRPr="00826502">
        <w:rPr>
          <w:rFonts w:eastAsia="Calibri" w:cs="Arial"/>
        </w:rPr>
        <w:t>zvýšení přidané hodnoty o 100,04 %</w:t>
      </w:r>
      <w:r w:rsidRPr="004F33A2">
        <w:rPr>
          <w:rFonts w:eastAsia="Times New Roman" w:cs="Arial"/>
          <w:bCs/>
        </w:rPr>
        <w:t xml:space="preserve">. Podle NKÚ nemá uvedený indikátor žádnou vypovídací schopnost o efektu programu a jeho administrace představuje zbytečnou zátěž pro příjemce dotace i pro SZIF. </w:t>
      </w:r>
    </w:p>
    <w:p w:rsidR="004F33A2" w:rsidRPr="004F33A2" w:rsidRDefault="004F33A2" w:rsidP="00873783">
      <w:pPr>
        <w:spacing w:line="240" w:lineRule="auto"/>
        <w:jc w:val="both"/>
        <w:rPr>
          <w:rFonts w:eastAsia="Times New Roman" w:cs="Arial"/>
          <w:color w:val="000000"/>
          <w:lang w:eastAsia="cs-CZ"/>
        </w:rPr>
      </w:pPr>
    </w:p>
    <w:p w:rsidR="004F33A2" w:rsidRPr="004F33A2" w:rsidRDefault="004F33A2" w:rsidP="00873783">
      <w:pPr>
        <w:spacing w:line="240" w:lineRule="auto"/>
        <w:jc w:val="both"/>
        <w:rPr>
          <w:rFonts w:eastAsia="Times New Roman" w:cs="Arial"/>
          <w:bCs/>
        </w:rPr>
      </w:pPr>
      <w:r w:rsidRPr="004F33A2">
        <w:rPr>
          <w:rFonts w:eastAsia="Times New Roman" w:cs="Arial"/>
          <w:bCs/>
        </w:rPr>
        <w:t xml:space="preserve">MZe při výpočtu výsledné hodnoty indikátoru </w:t>
      </w:r>
      <w:r w:rsidRPr="001D53CA">
        <w:rPr>
          <w:rFonts w:eastAsia="Times New Roman" w:cs="Arial"/>
          <w:bCs/>
        </w:rPr>
        <w:t>„finanční objem podílu projektů s výrobou šetrnou k životnímu prostředí v %“</w:t>
      </w:r>
      <w:r w:rsidRPr="004F33A2">
        <w:rPr>
          <w:rFonts w:eastAsia="Times New Roman" w:cs="Arial"/>
          <w:bCs/>
        </w:rPr>
        <w:t xml:space="preserve"> nerozlišuje, zda konkrétní projekt skutečně zahrnuje výrobu šetrnou k životnímu prostředí</w:t>
      </w:r>
      <w:r w:rsidR="00543BC3">
        <w:rPr>
          <w:rFonts w:eastAsia="Times New Roman" w:cs="Arial"/>
          <w:bCs/>
        </w:rPr>
        <w:t>,</w:t>
      </w:r>
      <w:r w:rsidRPr="004F33A2">
        <w:rPr>
          <w:rFonts w:eastAsia="Times New Roman" w:cs="Arial"/>
          <w:bCs/>
        </w:rPr>
        <w:t xml:space="preserve"> či nikoliv, ani takové ověřování nedelegovalo na SZIF. Uvedený indikátor tak nevypovídá o míře zlepšení stavu životního prostředí v důsledku intervencí OPR.</w:t>
      </w:r>
    </w:p>
    <w:p w:rsidR="004F33A2" w:rsidRPr="004F33A2" w:rsidRDefault="004F33A2" w:rsidP="00873783">
      <w:pPr>
        <w:spacing w:line="240" w:lineRule="auto"/>
        <w:jc w:val="both"/>
        <w:rPr>
          <w:rFonts w:eastAsia="Times New Roman" w:cs="Arial"/>
          <w:bCs/>
        </w:rPr>
      </w:pPr>
    </w:p>
    <w:p w:rsidR="004F33A2" w:rsidRPr="004F33A2" w:rsidRDefault="004F33A2" w:rsidP="00873783">
      <w:pPr>
        <w:spacing w:line="240" w:lineRule="auto"/>
        <w:jc w:val="both"/>
        <w:rPr>
          <w:rFonts w:eastAsia="Times New Roman" w:cs="Arial"/>
          <w:bCs/>
        </w:rPr>
      </w:pPr>
      <w:r w:rsidRPr="004F33A2">
        <w:rPr>
          <w:rFonts w:eastAsia="Times New Roman" w:cs="Arial"/>
          <w:bCs/>
        </w:rPr>
        <w:t>Evropské předpisy vyžadují, aby členský stát shromažďoval údaje o věcném pokroku při implementaci programu, a uvádějí konkrétní ukazatele, které mají být u každého podpořeného projektu sledovány</w:t>
      </w:r>
      <w:r w:rsidR="00543BC3">
        <w:rPr>
          <w:rFonts w:eastAsia="Times New Roman" w:cs="Arial"/>
          <w:bCs/>
        </w:rPr>
        <w:t>.</w:t>
      </w:r>
      <w:r w:rsidRPr="004F33A2">
        <w:rPr>
          <w:rFonts w:eastAsia="Times New Roman" w:cs="Arial"/>
          <w:bCs/>
          <w:vertAlign w:val="superscript"/>
        </w:rPr>
        <w:footnoteReference w:id="5"/>
      </w:r>
      <w:r w:rsidRPr="004F33A2">
        <w:rPr>
          <w:rFonts w:eastAsia="Times New Roman" w:cs="Arial"/>
          <w:bCs/>
        </w:rPr>
        <w:t xml:space="preserve"> Tyto ukazatele se liší pro každé opatření. </w:t>
      </w:r>
      <w:r w:rsidR="00826502">
        <w:rPr>
          <w:rFonts w:eastAsia="Times New Roman" w:cs="Arial"/>
          <w:bCs/>
        </w:rPr>
        <w:t>Například</w:t>
      </w:r>
      <w:r w:rsidR="00826502" w:rsidRPr="004F33A2">
        <w:rPr>
          <w:rFonts w:eastAsia="Times New Roman" w:cs="Arial"/>
          <w:bCs/>
        </w:rPr>
        <w:t xml:space="preserve"> </w:t>
      </w:r>
      <w:r w:rsidRPr="004F33A2">
        <w:rPr>
          <w:rFonts w:eastAsia="Times New Roman" w:cs="Arial"/>
          <w:bCs/>
        </w:rPr>
        <w:t>se jedná o zvýšení produkční kapacity kaprů z důvodu výstavby nových hospodářství apod. Kontrolou byly zjištěny tyto nedostatky:</w:t>
      </w:r>
    </w:p>
    <w:p w:rsidR="004F33A2" w:rsidRPr="004F33A2" w:rsidRDefault="004F33A2" w:rsidP="002D2182">
      <w:pPr>
        <w:numPr>
          <w:ilvl w:val="0"/>
          <w:numId w:val="8"/>
        </w:numPr>
        <w:spacing w:line="240" w:lineRule="auto"/>
        <w:ind w:left="284" w:hanging="284"/>
        <w:jc w:val="both"/>
        <w:rPr>
          <w:rFonts w:eastAsia="Times New Roman" w:cs="Arial"/>
          <w:bCs/>
        </w:rPr>
      </w:pPr>
      <w:r w:rsidRPr="004F33A2">
        <w:rPr>
          <w:rFonts w:eastAsia="Times New Roman" w:cs="Arial"/>
          <w:bCs/>
        </w:rPr>
        <w:t xml:space="preserve">Příjemci podpory uvádějí hodnoty za celý podnikatelský subjekt a neodlišují vliv konkrétního projektu. </w:t>
      </w:r>
    </w:p>
    <w:p w:rsidR="004F33A2" w:rsidRPr="004F33A2" w:rsidRDefault="004F33A2" w:rsidP="002D2182">
      <w:pPr>
        <w:numPr>
          <w:ilvl w:val="0"/>
          <w:numId w:val="8"/>
        </w:numPr>
        <w:spacing w:line="240" w:lineRule="auto"/>
        <w:ind w:left="284" w:hanging="284"/>
        <w:jc w:val="both"/>
        <w:rPr>
          <w:rFonts w:eastAsia="Times New Roman" w:cs="Arial"/>
          <w:bCs/>
        </w:rPr>
      </w:pPr>
      <w:r w:rsidRPr="004F33A2">
        <w:rPr>
          <w:rFonts w:eastAsia="Times New Roman" w:cs="Arial"/>
          <w:bCs/>
        </w:rPr>
        <w:t>MZe ani SZIF neověřují věcnou správnost dosažených hodnot indikátorů, které příjemci podpory vykazují ve standardních ročních monitorovacích zprávách</w:t>
      </w:r>
      <w:r w:rsidRPr="004F33A2">
        <w:rPr>
          <w:rFonts w:eastAsia="Times New Roman" w:cs="Arial"/>
          <w:bCs/>
          <w:vertAlign w:val="superscript"/>
        </w:rPr>
        <w:footnoteReference w:id="6"/>
      </w:r>
      <w:r w:rsidRPr="004F33A2">
        <w:rPr>
          <w:rFonts w:eastAsia="Times New Roman" w:cs="Arial"/>
          <w:bCs/>
        </w:rPr>
        <w:t>. Na tento nedostatek upozornil NKÚ již v rámci kontrolní akce č. 09/12</w:t>
      </w:r>
      <w:r w:rsidRPr="004F33A2">
        <w:rPr>
          <w:rFonts w:eastAsia="Times New Roman" w:cs="Arial"/>
          <w:bCs/>
          <w:vertAlign w:val="superscript"/>
        </w:rPr>
        <w:footnoteReference w:id="7"/>
      </w:r>
      <w:r w:rsidRPr="004F33A2">
        <w:rPr>
          <w:rFonts w:eastAsia="Times New Roman" w:cs="Arial"/>
          <w:bCs/>
        </w:rPr>
        <w:t>.</w:t>
      </w:r>
    </w:p>
    <w:p w:rsidR="004F33A2" w:rsidRPr="004F33A2" w:rsidRDefault="004F33A2" w:rsidP="002D2182">
      <w:pPr>
        <w:numPr>
          <w:ilvl w:val="0"/>
          <w:numId w:val="8"/>
        </w:numPr>
        <w:spacing w:line="240" w:lineRule="auto"/>
        <w:ind w:left="284" w:hanging="284"/>
        <w:jc w:val="both"/>
        <w:rPr>
          <w:rFonts w:eastAsia="Times New Roman" w:cs="Arial"/>
          <w:bCs/>
        </w:rPr>
      </w:pPr>
      <w:r w:rsidRPr="004F33A2">
        <w:rPr>
          <w:rFonts w:eastAsia="Times New Roman" w:cs="Arial"/>
          <w:bCs/>
        </w:rPr>
        <w:lastRenderedPageBreak/>
        <w:t>MZe ani SZIF nekontrolují, zda realizace konkrétního projektu vůbec může ovlivnit hodnoty ukazatelů, které příjemce vykazuje.</w:t>
      </w:r>
    </w:p>
    <w:p w:rsidR="004F33A2" w:rsidRPr="004F33A2" w:rsidRDefault="004F33A2" w:rsidP="00873783">
      <w:pPr>
        <w:spacing w:line="240" w:lineRule="auto"/>
        <w:jc w:val="both"/>
        <w:rPr>
          <w:rFonts w:eastAsia="Times New Roman" w:cs="Arial"/>
          <w:bCs/>
        </w:rPr>
      </w:pPr>
    </w:p>
    <w:p w:rsidR="004F33A2" w:rsidRPr="004F33A2" w:rsidRDefault="004F33A2" w:rsidP="00873783">
      <w:pPr>
        <w:spacing w:line="240" w:lineRule="auto"/>
        <w:jc w:val="both"/>
        <w:rPr>
          <w:rFonts w:eastAsia="Times New Roman" w:cs="Arial"/>
          <w:bCs/>
          <w:color w:val="000000"/>
        </w:rPr>
      </w:pPr>
      <w:r w:rsidRPr="004F33A2">
        <w:rPr>
          <w:rFonts w:eastAsia="Times New Roman" w:cs="Arial"/>
          <w:bCs/>
          <w:color w:val="000000"/>
        </w:rPr>
        <w:t xml:space="preserve">Jedním ze stěžejních ukazatelů v rámci OPR je spotřeba sladkovodních ryb v kg na obyvatele. Dle programového dokumentu měl být zdrojem tohoto údaje Český statistický úřad (dále jen „ČSÚ“). </w:t>
      </w:r>
      <w:proofErr w:type="spellStart"/>
      <w:r w:rsidRPr="004F33A2">
        <w:rPr>
          <w:rFonts w:eastAsia="Times New Roman" w:cs="Arial"/>
          <w:bCs/>
          <w:color w:val="000000"/>
        </w:rPr>
        <w:t>MZe</w:t>
      </w:r>
      <w:proofErr w:type="spellEnd"/>
      <w:r w:rsidRPr="004F33A2">
        <w:rPr>
          <w:rFonts w:eastAsia="Times New Roman" w:cs="Arial"/>
          <w:bCs/>
          <w:color w:val="000000"/>
        </w:rPr>
        <w:t xml:space="preserve"> však </w:t>
      </w:r>
      <w:r w:rsidR="00543BC3">
        <w:rPr>
          <w:rFonts w:eastAsia="Times New Roman" w:cs="Arial"/>
          <w:bCs/>
          <w:color w:val="000000"/>
        </w:rPr>
        <w:t xml:space="preserve">ve </w:t>
      </w:r>
      <w:r w:rsidRPr="004F33A2">
        <w:rPr>
          <w:rFonts w:eastAsia="Times New Roman" w:cs="Arial"/>
          <w:bCs/>
          <w:color w:val="000000"/>
        </w:rPr>
        <w:t>výročních zpráv</w:t>
      </w:r>
      <w:r w:rsidR="00543BC3">
        <w:rPr>
          <w:rFonts w:eastAsia="Times New Roman" w:cs="Arial"/>
          <w:bCs/>
          <w:color w:val="000000"/>
        </w:rPr>
        <w:t>ách</w:t>
      </w:r>
      <w:r w:rsidRPr="004F33A2">
        <w:rPr>
          <w:rFonts w:eastAsia="Times New Roman" w:cs="Arial"/>
          <w:bCs/>
          <w:color w:val="000000"/>
        </w:rPr>
        <w:t xml:space="preserve"> o provádění OP Rybářství uvádí hodnoty získané od Rybářského sdružení ČR, jejichž správnost si žádným způsobem neověřuje. Údaje o spotřebě sladkovodních ryb i o trendu této spotřeby v čase zjištěné od ČSÚ se přitom od údajů vykazovaných </w:t>
      </w:r>
      <w:proofErr w:type="spellStart"/>
      <w:r w:rsidRPr="004F33A2">
        <w:rPr>
          <w:rFonts w:eastAsia="Times New Roman" w:cs="Arial"/>
          <w:bCs/>
          <w:color w:val="000000"/>
        </w:rPr>
        <w:t>MZe</w:t>
      </w:r>
      <w:proofErr w:type="spellEnd"/>
      <w:r w:rsidRPr="004F33A2">
        <w:rPr>
          <w:rFonts w:eastAsia="Times New Roman" w:cs="Arial"/>
          <w:bCs/>
          <w:color w:val="000000"/>
        </w:rPr>
        <w:t xml:space="preserve"> </w:t>
      </w:r>
      <w:r w:rsidR="00543BC3">
        <w:rPr>
          <w:rFonts w:eastAsia="Times New Roman" w:cs="Arial"/>
          <w:bCs/>
          <w:color w:val="000000"/>
        </w:rPr>
        <w:t>výrazně</w:t>
      </w:r>
      <w:r w:rsidRPr="004F33A2">
        <w:rPr>
          <w:rFonts w:eastAsia="Times New Roman" w:cs="Arial"/>
          <w:bCs/>
          <w:color w:val="000000"/>
        </w:rPr>
        <w:t xml:space="preserve"> liší, jak je zobrazeno v následujícím grafu.</w:t>
      </w:r>
      <w:r w:rsidRPr="004F33A2">
        <w:rPr>
          <w:rFonts w:eastAsia="Times New Roman" w:cs="Arial"/>
          <w:bCs/>
          <w:color w:val="000000"/>
          <w:vertAlign w:val="superscript"/>
        </w:rPr>
        <w:footnoteReference w:id="8"/>
      </w:r>
      <w:r w:rsidRPr="004F33A2">
        <w:rPr>
          <w:rFonts w:eastAsia="Times New Roman" w:cs="Arial"/>
          <w:bCs/>
          <w:color w:val="000000"/>
        </w:rPr>
        <w:t xml:space="preserve"> </w:t>
      </w:r>
    </w:p>
    <w:p w:rsidR="004F33A2" w:rsidRPr="004F33A2" w:rsidRDefault="004F33A2" w:rsidP="00873783">
      <w:pPr>
        <w:spacing w:line="240" w:lineRule="auto"/>
        <w:jc w:val="both"/>
        <w:rPr>
          <w:rFonts w:eastAsia="Times New Roman" w:cs="Arial"/>
          <w:bCs/>
        </w:rPr>
      </w:pPr>
    </w:p>
    <w:p w:rsidR="004F33A2" w:rsidRPr="004F33A2" w:rsidRDefault="004F33A2" w:rsidP="00543BC3">
      <w:pPr>
        <w:tabs>
          <w:tab w:val="right" w:pos="8931"/>
        </w:tabs>
        <w:spacing w:after="40" w:line="240" w:lineRule="auto"/>
        <w:jc w:val="both"/>
        <w:rPr>
          <w:rFonts w:eastAsia="Times New Roman" w:cs="Arial"/>
          <w:b/>
          <w:bCs/>
        </w:rPr>
      </w:pPr>
      <w:r w:rsidRPr="004F33A2">
        <w:rPr>
          <w:rFonts w:eastAsia="Times New Roman" w:cs="Arial"/>
          <w:b/>
          <w:bCs/>
        </w:rPr>
        <w:t xml:space="preserve">Graf – Spotřeba sladkovodních ryb v ČR </w:t>
      </w:r>
      <w:r w:rsidR="00543BC3">
        <w:rPr>
          <w:rFonts w:eastAsia="Times New Roman" w:cs="Arial"/>
          <w:b/>
          <w:bCs/>
        </w:rPr>
        <w:tab/>
      </w:r>
      <w:r w:rsidRPr="004F33A2">
        <w:rPr>
          <w:rFonts w:eastAsia="Times New Roman" w:cs="Arial"/>
          <w:b/>
          <w:bCs/>
        </w:rPr>
        <w:t>(v kg na obyvatele)</w:t>
      </w:r>
    </w:p>
    <w:p w:rsidR="004F33A2" w:rsidRPr="004F33A2" w:rsidRDefault="00A74AB0" w:rsidP="00873783">
      <w:pPr>
        <w:tabs>
          <w:tab w:val="left" w:pos="567"/>
        </w:tabs>
        <w:spacing w:before="60" w:line="240" w:lineRule="auto"/>
        <w:ind w:left="567" w:hanging="567"/>
        <w:jc w:val="center"/>
        <w:rPr>
          <w:rFonts w:eastAsia="Times New Roman" w:cs="Arial"/>
          <w:b/>
          <w:iCs/>
          <w:color w:val="000000"/>
          <w:sz w:val="18"/>
          <w:szCs w:val="18"/>
        </w:rPr>
      </w:pPr>
      <w:r>
        <w:rPr>
          <w:noProof/>
          <w:lang w:eastAsia="cs-CZ"/>
        </w:rPr>
        <w:drawing>
          <wp:inline distT="0" distB="0" distL="0" distR="0" wp14:anchorId="042C4C93" wp14:editId="3282474B">
            <wp:extent cx="5652000" cy="2527300"/>
            <wp:effectExtent l="0" t="0" r="25400" b="2540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33A2" w:rsidRPr="004F33A2" w:rsidRDefault="004F33A2" w:rsidP="004F33A2">
      <w:pPr>
        <w:tabs>
          <w:tab w:val="left" w:pos="567"/>
        </w:tabs>
        <w:spacing w:before="60" w:line="240" w:lineRule="auto"/>
        <w:ind w:left="567" w:hanging="567"/>
        <w:jc w:val="both"/>
        <w:rPr>
          <w:rFonts w:eastAsia="Times New Roman" w:cs="Arial"/>
          <w:iCs/>
          <w:color w:val="000000"/>
          <w:sz w:val="18"/>
          <w:szCs w:val="18"/>
        </w:rPr>
      </w:pPr>
      <w:r w:rsidRPr="004F33A2">
        <w:rPr>
          <w:rFonts w:eastAsia="Times New Roman" w:cs="Arial"/>
          <w:b/>
          <w:iCs/>
          <w:color w:val="000000"/>
          <w:sz w:val="18"/>
          <w:szCs w:val="18"/>
        </w:rPr>
        <w:t>Zdroj:</w:t>
      </w:r>
      <w:r w:rsidRPr="004F33A2">
        <w:rPr>
          <w:rFonts w:eastAsia="Times New Roman" w:cs="Arial"/>
          <w:b/>
          <w:iCs/>
          <w:color w:val="000000"/>
          <w:sz w:val="18"/>
          <w:szCs w:val="18"/>
        </w:rPr>
        <w:tab/>
      </w:r>
      <w:r w:rsidRPr="004F33A2">
        <w:rPr>
          <w:rFonts w:eastAsia="Times New Roman" w:cs="Arial"/>
          <w:iCs/>
          <w:color w:val="000000"/>
          <w:sz w:val="18"/>
          <w:szCs w:val="18"/>
        </w:rPr>
        <w:t xml:space="preserve">ČSÚ, </w:t>
      </w:r>
      <w:r w:rsidR="00543BC3">
        <w:rPr>
          <w:rFonts w:eastAsia="Times New Roman" w:cs="Arial"/>
          <w:iCs/>
          <w:color w:val="000000"/>
          <w:sz w:val="18"/>
          <w:szCs w:val="18"/>
        </w:rPr>
        <w:t>v</w:t>
      </w:r>
      <w:r w:rsidRPr="004F33A2">
        <w:rPr>
          <w:rFonts w:eastAsia="Times New Roman" w:cs="Arial"/>
          <w:iCs/>
          <w:color w:val="000000"/>
          <w:sz w:val="18"/>
          <w:szCs w:val="18"/>
        </w:rPr>
        <w:t>ýroční zpráva OPR za rok 2012.</w:t>
      </w:r>
    </w:p>
    <w:p w:rsidR="004F33A2" w:rsidRPr="004F33A2" w:rsidRDefault="004F33A2" w:rsidP="004F33A2">
      <w:pPr>
        <w:tabs>
          <w:tab w:val="left" w:pos="567"/>
        </w:tabs>
        <w:spacing w:line="240" w:lineRule="auto"/>
        <w:ind w:left="567" w:hanging="567"/>
        <w:jc w:val="both"/>
        <w:rPr>
          <w:rFonts w:eastAsia="Times New Roman" w:cs="Arial"/>
          <w:color w:val="000000"/>
          <w:sz w:val="18"/>
          <w:szCs w:val="18"/>
          <w:lang w:eastAsia="cs-CZ"/>
        </w:rPr>
      </w:pPr>
      <w:r w:rsidRPr="004F33A2">
        <w:rPr>
          <w:rFonts w:eastAsia="Times New Roman" w:cs="Arial"/>
          <w:b/>
          <w:iCs/>
          <w:color w:val="000000"/>
          <w:sz w:val="18"/>
          <w:szCs w:val="18"/>
        </w:rPr>
        <w:t>Pozn.</w:t>
      </w:r>
      <w:r w:rsidRPr="004F33A2">
        <w:rPr>
          <w:rFonts w:eastAsia="Times New Roman" w:cs="Arial"/>
          <w:color w:val="000000"/>
          <w:sz w:val="18"/>
          <w:szCs w:val="18"/>
          <w:lang w:eastAsia="cs-CZ"/>
        </w:rPr>
        <w:t>: Údaje za rok 2012 ČSÚ nezpracovával.</w:t>
      </w:r>
    </w:p>
    <w:p w:rsidR="004F33A2" w:rsidRPr="00873783" w:rsidRDefault="004F33A2" w:rsidP="00873783">
      <w:pPr>
        <w:spacing w:line="240" w:lineRule="auto"/>
        <w:jc w:val="both"/>
        <w:rPr>
          <w:rFonts w:eastAsia="Times New Roman" w:cs="Arial"/>
          <w:bCs/>
        </w:rPr>
      </w:pPr>
    </w:p>
    <w:p w:rsidR="004F33A2" w:rsidRPr="00873783" w:rsidRDefault="004F33A2" w:rsidP="00873783">
      <w:pPr>
        <w:spacing w:line="240" w:lineRule="auto"/>
        <w:jc w:val="both"/>
        <w:rPr>
          <w:rFonts w:eastAsia="Times New Roman" w:cs="Arial"/>
          <w:b/>
          <w:color w:val="000000"/>
          <w:lang w:eastAsia="cs-CZ"/>
        </w:rPr>
      </w:pPr>
      <w:r w:rsidRPr="00873783">
        <w:rPr>
          <w:rFonts w:eastAsia="Times New Roman" w:cs="Arial"/>
          <w:b/>
          <w:color w:val="000000"/>
          <w:lang w:eastAsia="cs-CZ"/>
        </w:rPr>
        <w:t>3. Vyhodnocení dosažení celkových cílů OP Rybářství</w:t>
      </w:r>
    </w:p>
    <w:p w:rsidR="004F33A2" w:rsidRPr="00873783" w:rsidRDefault="004F33A2" w:rsidP="00873783">
      <w:pPr>
        <w:spacing w:line="240" w:lineRule="auto"/>
        <w:jc w:val="both"/>
        <w:rPr>
          <w:rFonts w:eastAsia="Times New Roman" w:cs="Arial"/>
          <w:color w:val="000000"/>
          <w:lang w:eastAsia="cs-CZ"/>
        </w:rPr>
      </w:pPr>
    </w:p>
    <w:p w:rsidR="004F33A2" w:rsidRPr="00873783" w:rsidRDefault="004F33A2" w:rsidP="00873783">
      <w:pPr>
        <w:spacing w:line="240" w:lineRule="auto"/>
        <w:jc w:val="both"/>
        <w:rPr>
          <w:rFonts w:eastAsia="Times New Roman" w:cs="Arial"/>
          <w:bCs/>
          <w:color w:val="000000"/>
        </w:rPr>
      </w:pPr>
      <w:r w:rsidRPr="00873783">
        <w:rPr>
          <w:rFonts w:eastAsia="Times New Roman" w:cs="Arial"/>
          <w:color w:val="000000"/>
        </w:rPr>
        <w:t>Kontrolou NKÚ bylo zjištěno, že dva ze tří celkových cílů OP Rybářství,</w:t>
      </w:r>
      <w:r w:rsidRPr="00873783">
        <w:rPr>
          <w:rFonts w:eastAsia="Times New Roman" w:cs="Arial"/>
          <w:bCs/>
          <w:color w:val="000000"/>
        </w:rPr>
        <w:t xml:space="preserve"> a to </w:t>
      </w:r>
      <w:r w:rsidRPr="00A232AA">
        <w:rPr>
          <w:rFonts w:eastAsia="Times New Roman" w:cs="Arial"/>
          <w:bCs/>
          <w:color w:val="000000"/>
        </w:rPr>
        <w:t>„podpora ochrany a zlepšování životního prostředí a přírodních zdrojů“</w:t>
      </w:r>
      <w:r w:rsidRPr="00543BC3">
        <w:rPr>
          <w:rFonts w:eastAsia="Times New Roman" w:cs="Arial"/>
          <w:bCs/>
          <w:color w:val="000000"/>
        </w:rPr>
        <w:t xml:space="preserve"> </w:t>
      </w:r>
      <w:r w:rsidRPr="00873783">
        <w:rPr>
          <w:rFonts w:eastAsia="Times New Roman" w:cs="Arial"/>
          <w:bCs/>
          <w:color w:val="000000"/>
        </w:rPr>
        <w:t xml:space="preserve">a </w:t>
      </w:r>
      <w:r w:rsidRPr="00A232AA">
        <w:rPr>
          <w:rFonts w:eastAsia="Times New Roman" w:cs="Arial"/>
          <w:bCs/>
          <w:color w:val="000000"/>
        </w:rPr>
        <w:t>„posílení rovných práv žen a mužů“</w:t>
      </w:r>
      <w:r w:rsidR="00543BC3">
        <w:rPr>
          <w:rFonts w:eastAsia="Times New Roman" w:cs="Arial"/>
          <w:bCs/>
          <w:color w:val="000000"/>
        </w:rPr>
        <w:t>,</w:t>
      </w:r>
      <w:r w:rsidRPr="00543BC3">
        <w:rPr>
          <w:rFonts w:eastAsia="Times New Roman" w:cs="Arial"/>
          <w:bCs/>
          <w:color w:val="000000"/>
        </w:rPr>
        <w:t xml:space="preserve"> </w:t>
      </w:r>
      <w:r w:rsidRPr="00873783">
        <w:rPr>
          <w:rFonts w:eastAsia="Times New Roman" w:cs="Arial"/>
          <w:bCs/>
          <w:color w:val="000000"/>
        </w:rPr>
        <w:t xml:space="preserve">nebyly do konce roku 2012 dosaženy a vzhledem k dosavadnímu vývoji realizace OPR lze předpokládat, že nebudou dosaženy ani do konce roku 2015, resp. nebudou dosaženy v původně stanovených hodnotách. </w:t>
      </w:r>
    </w:p>
    <w:p w:rsidR="004F33A2" w:rsidRPr="00873783" w:rsidRDefault="004F33A2" w:rsidP="00873783">
      <w:pPr>
        <w:spacing w:line="240" w:lineRule="auto"/>
        <w:jc w:val="both"/>
        <w:rPr>
          <w:rFonts w:eastAsia="Times New Roman" w:cs="Arial"/>
          <w:color w:val="000000"/>
        </w:rPr>
      </w:pPr>
    </w:p>
    <w:p w:rsidR="004F33A2" w:rsidRPr="00873783" w:rsidRDefault="004F33A2" w:rsidP="00873783">
      <w:pPr>
        <w:spacing w:line="240" w:lineRule="auto"/>
        <w:jc w:val="both"/>
        <w:rPr>
          <w:rFonts w:eastAsia="Times New Roman" w:cs="Arial"/>
          <w:bCs/>
          <w:color w:val="000000"/>
        </w:rPr>
      </w:pPr>
      <w:r w:rsidRPr="00873783">
        <w:rPr>
          <w:rFonts w:eastAsia="Times New Roman" w:cs="Arial"/>
          <w:color w:val="000000"/>
        </w:rPr>
        <w:t>V rámci ochrany a zlepšování životního prostředí prostřednictvím OP Rybářství MZe plánovalo dle první verze programového dokumentu zlepšit vodní prostředí rybníků na ploše 2 200 ha</w:t>
      </w:r>
      <w:r w:rsidRPr="00873783">
        <w:rPr>
          <w:rFonts w:eastAsia="Times New Roman" w:cs="Arial"/>
          <w:color w:val="000000"/>
          <w:vertAlign w:val="superscript"/>
        </w:rPr>
        <w:footnoteReference w:id="9"/>
      </w:r>
      <w:r w:rsidRPr="00873783">
        <w:rPr>
          <w:rFonts w:eastAsia="Times New Roman" w:cs="Arial"/>
          <w:color w:val="000000"/>
        </w:rPr>
        <w:t xml:space="preserve">. Při revizi programu v roce 2011 MZe tento cíl snížilo na pouhých 8,7 ha. Aktuální výsledky ukazují, že tato nová hodnota bude splněna, </w:t>
      </w:r>
      <w:r w:rsidR="00543BC3">
        <w:rPr>
          <w:rFonts w:eastAsia="Times New Roman" w:cs="Arial"/>
          <w:color w:val="000000"/>
        </w:rPr>
        <w:t>avšak</w:t>
      </w:r>
      <w:r w:rsidRPr="00873783">
        <w:rPr>
          <w:rFonts w:eastAsia="Times New Roman" w:cs="Arial"/>
          <w:color w:val="000000"/>
        </w:rPr>
        <w:t xml:space="preserve"> ve výši naprosto neodpovídající původnímu účelu příslušných intervencí (hodnota za rok 2012 činí 6,63 ha). </w:t>
      </w:r>
      <w:r w:rsidRPr="00873783">
        <w:rPr>
          <w:rFonts w:eastAsia="Times New Roman" w:cs="Arial"/>
          <w:bCs/>
          <w:color w:val="000000"/>
        </w:rPr>
        <w:t>Jak bylo uvedeno výše, MZe nedefinovalo jiné indikátory, které by poskytovaly ověřené a relevantní informace o naplnění cíle podpory ochrany a zlepšování životního prostředí. Podle NKÚ tedy nelze konstatovat, že tento cíl OPR je úspěšně plněn.</w:t>
      </w:r>
    </w:p>
    <w:p w:rsidR="004F33A2" w:rsidRPr="00873783" w:rsidRDefault="004F33A2" w:rsidP="00873783">
      <w:pPr>
        <w:spacing w:line="240" w:lineRule="auto"/>
        <w:jc w:val="both"/>
        <w:rPr>
          <w:rFonts w:eastAsia="Times New Roman" w:cs="Arial"/>
          <w:bCs/>
          <w:color w:val="000000"/>
        </w:rPr>
      </w:pPr>
    </w:p>
    <w:p w:rsidR="004F33A2" w:rsidRPr="00873783" w:rsidRDefault="004F33A2" w:rsidP="00873783">
      <w:pPr>
        <w:spacing w:line="240" w:lineRule="auto"/>
        <w:jc w:val="both"/>
        <w:rPr>
          <w:rFonts w:eastAsia="Times New Roman" w:cs="Arial"/>
          <w:bCs/>
          <w:color w:val="000000"/>
        </w:rPr>
      </w:pPr>
      <w:r w:rsidRPr="00873783">
        <w:rPr>
          <w:rFonts w:eastAsia="Times New Roman" w:cs="Arial"/>
          <w:bCs/>
          <w:color w:val="000000"/>
        </w:rPr>
        <w:lastRenderedPageBreak/>
        <w:t xml:space="preserve">Pokud jde o cíl </w:t>
      </w:r>
      <w:r w:rsidRPr="00614EB7">
        <w:rPr>
          <w:rFonts w:eastAsia="Times New Roman" w:cs="Arial"/>
          <w:bCs/>
          <w:color w:val="000000"/>
        </w:rPr>
        <w:t>„posílení rovných práv žen a mužů“</w:t>
      </w:r>
      <w:r w:rsidRPr="00873783">
        <w:rPr>
          <w:rFonts w:eastAsia="Times New Roman" w:cs="Arial"/>
          <w:bCs/>
          <w:color w:val="000000"/>
        </w:rPr>
        <w:t xml:space="preserve">, jediným relevantním ukazatelem sledovaným v rámci OPR je počet </w:t>
      </w:r>
      <w:r w:rsidR="00CD64B8" w:rsidRPr="00873783">
        <w:rPr>
          <w:rFonts w:eastAsia="Times New Roman" w:cs="Arial"/>
          <w:bCs/>
          <w:color w:val="000000"/>
        </w:rPr>
        <w:t xml:space="preserve">žen </w:t>
      </w:r>
      <w:r w:rsidRPr="00873783">
        <w:rPr>
          <w:rFonts w:eastAsia="Times New Roman" w:cs="Arial"/>
          <w:bCs/>
          <w:color w:val="000000"/>
        </w:rPr>
        <w:t>zaměstnaných v odvětví rybářství. Dosavadní vývoj</w:t>
      </w:r>
      <w:r w:rsidRPr="00873783">
        <w:rPr>
          <w:rFonts w:eastAsia="Times New Roman" w:cs="Arial"/>
          <w:bCs/>
          <w:color w:val="000000"/>
          <w:vertAlign w:val="superscript"/>
        </w:rPr>
        <w:footnoteReference w:id="10"/>
      </w:r>
      <w:r w:rsidRPr="00873783">
        <w:rPr>
          <w:rFonts w:eastAsia="Times New Roman" w:cs="Arial"/>
          <w:bCs/>
          <w:color w:val="000000"/>
        </w:rPr>
        <w:t xml:space="preserve"> tohoto ukazatele však nasvědčuje, že cílový stav pro rok 2015 – tj. 280 žen</w:t>
      </w:r>
      <w:r w:rsidR="00CD64B8">
        <w:rPr>
          <w:rFonts w:eastAsia="Times New Roman" w:cs="Arial"/>
          <w:bCs/>
          <w:color w:val="000000"/>
        </w:rPr>
        <w:t> –</w:t>
      </w:r>
      <w:r w:rsidRPr="00873783">
        <w:rPr>
          <w:rFonts w:eastAsia="Times New Roman" w:cs="Arial"/>
          <w:bCs/>
          <w:color w:val="000000"/>
        </w:rPr>
        <w:t xml:space="preserve"> nebude dosažen. </w:t>
      </w:r>
    </w:p>
    <w:p w:rsidR="004F33A2" w:rsidRPr="00873783" w:rsidRDefault="004F33A2" w:rsidP="00873783">
      <w:pPr>
        <w:spacing w:line="240" w:lineRule="auto"/>
        <w:jc w:val="both"/>
        <w:rPr>
          <w:rFonts w:eastAsia="Times New Roman" w:cs="Arial"/>
          <w:bCs/>
          <w:color w:val="000000"/>
        </w:rPr>
      </w:pPr>
    </w:p>
    <w:p w:rsidR="004F33A2" w:rsidRPr="00873783" w:rsidRDefault="004F33A2" w:rsidP="00873783">
      <w:pPr>
        <w:spacing w:line="240" w:lineRule="auto"/>
        <w:rPr>
          <w:rFonts w:eastAsia="Times New Roman" w:cs="Arial"/>
          <w:b/>
          <w:bCs/>
        </w:rPr>
      </w:pPr>
      <w:r w:rsidRPr="00873783">
        <w:rPr>
          <w:rFonts w:eastAsia="Times New Roman" w:cs="Arial"/>
          <w:b/>
          <w:bCs/>
        </w:rPr>
        <w:t>4. Hodnocení a výběr projektů</w:t>
      </w:r>
    </w:p>
    <w:p w:rsidR="004F33A2" w:rsidRPr="00873783" w:rsidRDefault="004F33A2" w:rsidP="00873783">
      <w:pPr>
        <w:spacing w:line="240" w:lineRule="auto"/>
        <w:rPr>
          <w:rFonts w:eastAsia="Times New Roman" w:cs="Arial"/>
          <w:b/>
          <w:bCs/>
        </w:rPr>
      </w:pPr>
    </w:p>
    <w:p w:rsidR="004F33A2" w:rsidRPr="00873783" w:rsidRDefault="004F33A2" w:rsidP="00873783">
      <w:pPr>
        <w:spacing w:line="240" w:lineRule="auto"/>
        <w:jc w:val="both"/>
        <w:rPr>
          <w:rFonts w:eastAsia="Times New Roman" w:cs="Arial"/>
          <w:lang w:eastAsia="cs-CZ"/>
        </w:rPr>
      </w:pPr>
      <w:r w:rsidRPr="00873783">
        <w:rPr>
          <w:rFonts w:eastAsia="Times New Roman" w:cs="Arial"/>
          <w:lang w:eastAsia="cs-CZ"/>
        </w:rPr>
        <w:t>Evropské předpisy</w:t>
      </w:r>
      <w:r w:rsidRPr="00873783">
        <w:rPr>
          <w:rFonts w:eastAsia="Times New Roman" w:cs="Arial"/>
          <w:vertAlign w:val="superscript"/>
          <w:lang w:eastAsia="cs-CZ"/>
        </w:rPr>
        <w:footnoteReference w:id="11"/>
      </w:r>
      <w:r w:rsidRPr="00873783">
        <w:rPr>
          <w:rFonts w:eastAsia="Times New Roman" w:cs="Arial"/>
          <w:lang w:eastAsia="cs-CZ"/>
        </w:rPr>
        <w:t xml:space="preserve"> stanovují poskytovatelům dotací povinnost jednat v souladu se zásad</w:t>
      </w:r>
      <w:r w:rsidR="00CD64B8">
        <w:rPr>
          <w:rFonts w:eastAsia="Times New Roman" w:cs="Arial"/>
          <w:lang w:eastAsia="cs-CZ"/>
        </w:rPr>
        <w:t>ami</w:t>
      </w:r>
      <w:r w:rsidRPr="00873783">
        <w:rPr>
          <w:rFonts w:eastAsia="Times New Roman" w:cs="Arial"/>
          <w:lang w:eastAsia="cs-CZ"/>
        </w:rPr>
        <w:t xml:space="preserve"> řádného finančního řízení, tj. se zásadami hospodárnosti, účinnosti a efektivity. </w:t>
      </w:r>
      <w:r w:rsidR="005C0995" w:rsidRPr="00873783">
        <w:rPr>
          <w:rFonts w:eastAsia="Times New Roman" w:cs="Arial"/>
          <w:lang w:eastAsia="cs-CZ"/>
        </w:rPr>
        <w:t>Z</w:t>
      </w:r>
      <w:r w:rsidR="00441CD7">
        <w:rPr>
          <w:rFonts w:eastAsia="Times New Roman" w:cs="Arial"/>
          <w:lang w:eastAsia="cs-CZ"/>
        </w:rPr>
        <w:t> </w:t>
      </w:r>
      <w:r w:rsidR="005C0995" w:rsidRPr="00873783">
        <w:rPr>
          <w:rFonts w:eastAsia="Times New Roman" w:cs="Arial"/>
          <w:lang w:eastAsia="cs-CZ"/>
        </w:rPr>
        <w:t>tohoto důvodu</w:t>
      </w:r>
      <w:r w:rsidRPr="00873783">
        <w:rPr>
          <w:rFonts w:eastAsia="Times New Roman" w:cs="Arial"/>
          <w:lang w:eastAsia="cs-CZ"/>
        </w:rPr>
        <w:t xml:space="preserve"> by měl poskytovatel podpory vybírat k financování takové projekty, které maximálně přispějí k naplnění stanovených cílů při minimálním vynaložení finančních prostředků. </w:t>
      </w:r>
    </w:p>
    <w:p w:rsidR="004F33A2" w:rsidRPr="00873783" w:rsidRDefault="004F33A2" w:rsidP="00873783">
      <w:pPr>
        <w:spacing w:line="240" w:lineRule="auto"/>
        <w:jc w:val="both"/>
        <w:rPr>
          <w:rFonts w:eastAsia="Times New Roman" w:cs="Arial"/>
          <w:lang w:eastAsia="cs-CZ"/>
        </w:rPr>
      </w:pPr>
    </w:p>
    <w:p w:rsidR="004F33A2" w:rsidRPr="00873783" w:rsidRDefault="004F33A2" w:rsidP="00873783">
      <w:pPr>
        <w:spacing w:line="240" w:lineRule="auto"/>
        <w:jc w:val="both"/>
        <w:rPr>
          <w:rFonts w:eastAsia="Times New Roman" w:cs="Arial"/>
          <w:lang w:eastAsia="cs-CZ"/>
        </w:rPr>
      </w:pPr>
      <w:r w:rsidRPr="00873783">
        <w:rPr>
          <w:rFonts w:eastAsia="Times New Roman" w:cs="Arial"/>
          <w:lang w:eastAsia="cs-CZ"/>
        </w:rPr>
        <w:t>NKÚ zjistil, že systém výběru projektů v rámci OP Rybářství (s výjimkou opatření 3.1 a 3.4) je v rozporu se zásad</w:t>
      </w:r>
      <w:r w:rsidR="00CD64B8">
        <w:rPr>
          <w:rFonts w:eastAsia="Times New Roman" w:cs="Arial"/>
          <w:lang w:eastAsia="cs-CZ"/>
        </w:rPr>
        <w:t>ami</w:t>
      </w:r>
      <w:r w:rsidRPr="00873783">
        <w:rPr>
          <w:rFonts w:eastAsia="Times New Roman" w:cs="Arial"/>
          <w:lang w:eastAsia="cs-CZ"/>
        </w:rPr>
        <w:t xml:space="preserve"> řádného finančního řízení. </w:t>
      </w:r>
      <w:proofErr w:type="spellStart"/>
      <w:r w:rsidRPr="00873783">
        <w:rPr>
          <w:rFonts w:eastAsia="Times New Roman" w:cs="Arial"/>
          <w:lang w:eastAsia="cs-CZ"/>
        </w:rPr>
        <w:t>MZe</w:t>
      </w:r>
      <w:proofErr w:type="spellEnd"/>
      <w:r w:rsidRPr="00873783">
        <w:rPr>
          <w:rFonts w:eastAsia="Times New Roman" w:cs="Arial"/>
          <w:lang w:eastAsia="cs-CZ"/>
        </w:rPr>
        <w:t xml:space="preserve"> stanovilo taková hodnot</w:t>
      </w:r>
      <w:r w:rsidR="00CD64B8">
        <w:rPr>
          <w:rFonts w:eastAsia="Times New Roman" w:cs="Arial"/>
          <w:lang w:eastAsia="cs-CZ"/>
        </w:rPr>
        <w:t>i</w:t>
      </w:r>
      <w:r w:rsidRPr="00873783">
        <w:rPr>
          <w:rFonts w:eastAsia="Times New Roman" w:cs="Arial"/>
          <w:lang w:eastAsia="cs-CZ"/>
        </w:rPr>
        <w:t>cí kritéria, která žádným způsobem nezohledňují problematiku hospodárnosti a efektivnosti projektů. Hodnot</w:t>
      </w:r>
      <w:r w:rsidR="00CD64B8">
        <w:rPr>
          <w:rFonts w:eastAsia="Times New Roman" w:cs="Arial"/>
          <w:lang w:eastAsia="cs-CZ"/>
        </w:rPr>
        <w:t>i</w:t>
      </w:r>
      <w:r w:rsidRPr="00873783">
        <w:rPr>
          <w:rFonts w:eastAsia="Times New Roman" w:cs="Arial"/>
          <w:lang w:eastAsia="cs-CZ"/>
        </w:rPr>
        <w:t>cí kritéria slouží pouze k selekci žadatelů o dotaci (např. podle velikosti podniku nebo délky historie žadatele v oboru rybářství apod.)</w:t>
      </w:r>
      <w:r w:rsidR="00CD64B8">
        <w:rPr>
          <w:rFonts w:eastAsia="Times New Roman" w:cs="Arial"/>
          <w:lang w:eastAsia="cs-CZ"/>
        </w:rPr>
        <w:t>,</w:t>
      </w:r>
      <w:r w:rsidRPr="00873783">
        <w:rPr>
          <w:rFonts w:eastAsia="Times New Roman" w:cs="Arial"/>
          <w:lang w:eastAsia="cs-CZ"/>
        </w:rPr>
        <w:t xml:space="preserve"> a nikoliv k porovnání předložených projektů z hlediska jejich kvality, hospodárnosti rozpočtu či účelnosti. </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t>Při výběru projektů se neposuzuje ani otázka, zda může být předkládaný projekt realizován i bez jakékoli dotační podpory. Existuje tak riziko, že z OPR byly podpořeny i projekty, které mohl příjemce financovat pouze z vlastních zdrojů. MZe navíc v letech 2010–2012 umožnilo</w:t>
      </w:r>
      <w:r w:rsidRPr="00873783">
        <w:rPr>
          <w:rFonts w:eastAsia="Times New Roman" w:cs="Arial"/>
          <w:vertAlign w:val="superscript"/>
        </w:rPr>
        <w:footnoteReference w:id="12"/>
      </w:r>
      <w:r w:rsidRPr="00873783">
        <w:rPr>
          <w:rFonts w:eastAsia="Times New Roman" w:cs="Arial"/>
        </w:rPr>
        <w:t>, aby příjemci podpory nárokovali k proplacení též výdaje, které byly vynaloženy i několik let před samotným podáním žádosti o dotaci. Této možnosti využili též někteří příjemci v rámci projektů kontrolovaných NKÚ.</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t xml:space="preserve">V praxi mnoho žadatelů o dotaci získávalo shodné bodové hodnocení. Do 16. kola příjmu žádostí pak v takové situaci rozhodoval čas předložení žádosti na místně příslušném regionálním pracovišti SZIF. Takové kritérium považuje NKÚ za zcela nevyhovující a diskriminační vůči žadatelům v regionech s vysokou koncentrací rybářského odvětví.  </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t xml:space="preserve">Kontrolou bylo dále zjištěno, že v některých případech byly z důvodu dostatečné alokace vybrány k financování i projekty, které při hodnocení </w:t>
      </w:r>
      <w:proofErr w:type="gramStart"/>
      <w:r w:rsidRPr="00873783">
        <w:rPr>
          <w:rFonts w:eastAsia="Times New Roman" w:cs="Arial"/>
        </w:rPr>
        <w:t>obdržely</w:t>
      </w:r>
      <w:proofErr w:type="gramEnd"/>
      <w:r w:rsidRPr="00873783">
        <w:rPr>
          <w:rFonts w:eastAsia="Times New Roman" w:cs="Arial"/>
        </w:rPr>
        <w:t xml:space="preserve"> nula bodů. V rámci 4. až 13. kola příjmu žádo</w:t>
      </w:r>
      <w:r w:rsidR="00055E11" w:rsidRPr="00873783">
        <w:rPr>
          <w:rFonts w:eastAsia="Times New Roman" w:cs="Arial"/>
        </w:rPr>
        <w:t xml:space="preserve">stí vydalo </w:t>
      </w:r>
      <w:proofErr w:type="spellStart"/>
      <w:r w:rsidR="00055E11" w:rsidRPr="00873783">
        <w:rPr>
          <w:rFonts w:eastAsia="Times New Roman" w:cs="Arial"/>
        </w:rPr>
        <w:t>MZe</w:t>
      </w:r>
      <w:proofErr w:type="spellEnd"/>
      <w:r w:rsidR="00055E11" w:rsidRPr="00873783">
        <w:rPr>
          <w:rFonts w:eastAsia="Times New Roman" w:cs="Arial"/>
        </w:rPr>
        <w:t xml:space="preserve"> v 25 případech r</w:t>
      </w:r>
      <w:r w:rsidRPr="00873783">
        <w:rPr>
          <w:rFonts w:eastAsia="Times New Roman" w:cs="Arial"/>
        </w:rPr>
        <w:t>ozhodnutí o poskytnutí dotace na projekty, které při bodování nezískaly žádný bod, a to celkem ve výši 3,45 mil. Kč.</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t xml:space="preserve">Ačkoliv obdobné nedostatky zjistil NKÚ v rámci kontrolní akce č. 09/12 již u operačního programu </w:t>
      </w:r>
      <w:r w:rsidRPr="003F15F8">
        <w:rPr>
          <w:rFonts w:eastAsia="Times New Roman" w:cs="Arial"/>
          <w:i/>
        </w:rPr>
        <w:t>Rozvoj venkova a multifunkční zemědělství</w:t>
      </w:r>
      <w:r w:rsidRPr="00873783">
        <w:rPr>
          <w:rFonts w:eastAsia="Times New Roman" w:cs="Arial"/>
        </w:rPr>
        <w:t>, prostřednictvím kterého bylo podporováno české rybářství v programovém období 2004–2006, nepřijalo MZe odpovídající nápravná opatření.</w:t>
      </w:r>
    </w:p>
    <w:p w:rsidR="00F017F8" w:rsidRPr="00873783" w:rsidRDefault="00F017F8" w:rsidP="00873783">
      <w:pPr>
        <w:spacing w:line="240" w:lineRule="auto"/>
        <w:jc w:val="both"/>
        <w:rPr>
          <w:rFonts w:eastAsia="Arial Unicode MS" w:cs="Arial"/>
          <w:b/>
          <w:lang w:eastAsia="cs-CZ"/>
        </w:rPr>
      </w:pPr>
    </w:p>
    <w:p w:rsidR="004F33A2" w:rsidRPr="00873783" w:rsidRDefault="004F33A2" w:rsidP="00873783">
      <w:pPr>
        <w:spacing w:line="240" w:lineRule="auto"/>
        <w:jc w:val="both"/>
        <w:rPr>
          <w:rFonts w:eastAsia="Arial Unicode MS" w:cs="Arial"/>
          <w:b/>
          <w:lang w:eastAsia="cs-CZ"/>
        </w:rPr>
      </w:pPr>
      <w:r w:rsidRPr="00873783">
        <w:rPr>
          <w:rFonts w:eastAsia="Arial Unicode MS" w:cs="Arial"/>
          <w:b/>
          <w:lang w:eastAsia="cs-CZ"/>
        </w:rPr>
        <w:t>5. Kontroly před platbou a průběžné kontroly implementace OPR</w:t>
      </w:r>
    </w:p>
    <w:p w:rsidR="004F33A2" w:rsidRPr="00873783" w:rsidRDefault="004F33A2" w:rsidP="00873783">
      <w:pPr>
        <w:spacing w:line="240" w:lineRule="auto"/>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t xml:space="preserve">Kontroly před proplacením výdajů příjemcům mají především zaručit, že vykázané výdaje jsou skutečné, že byly vynaloženy v souladu s rozhodnutím o poskytnutí dotace, evropskými i vnitrostátními pravidly a že údaje uvedené v žádosti o platbu jsou správné. MZe delegovalo převážnou část kontrolní činnosti na SZIF. Na základě delegačních dohod provádí SZIF administrativní kontrolu žádostí o platbu a kontrolu na místě u 100 % případů před </w:t>
      </w:r>
      <w:r w:rsidRPr="00873783">
        <w:rPr>
          <w:rFonts w:eastAsia="Times New Roman" w:cs="Arial"/>
        </w:rPr>
        <w:lastRenderedPageBreak/>
        <w:t xml:space="preserve">proplacením výdajů příjemci. NKÚ prověřil systém kontrol nastavený zprostředkujícím subjektem a na vzorku projektů také jejich skutečnou realizaci. </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t xml:space="preserve">Ověření hospodárnosti výdajů stavebního charakteru provádí SZIF porovnáním s příslušnými ceníky stavebních prací. Vhodné nástroje a prostředky pro kontrolu hospodárnosti a přiměřenosti výdajů u projektů nestavebního charakteru (aktivity typu školení, propagace atd.) však nebyly nastaveny. </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t xml:space="preserve">Kontrolou NKÚ bylo zjištěno, že SZIF u několika projektů neodhalil </w:t>
      </w:r>
      <w:r w:rsidR="00E535BF" w:rsidRPr="00873783">
        <w:rPr>
          <w:rFonts w:eastAsia="Times New Roman" w:cs="Arial"/>
        </w:rPr>
        <w:t xml:space="preserve">výdaje, které nebyly způsobilé k financování z prostředků EU a ze státního rozpočtu. </w:t>
      </w:r>
      <w:r w:rsidRPr="00873783">
        <w:rPr>
          <w:rFonts w:eastAsia="Times New Roman" w:cs="Arial"/>
        </w:rPr>
        <w:t xml:space="preserve">Kontrolní mechanismus selhával především v situaci, kdy příjemcem podpory bylo samo Ministerstvo zemědělství (viz část III, bod 2). U ostatních příjemců lze naopak konstatovat, že kontroly před proplacením výdajů prováděné SZIF jsou účinné (viz část III, bod 1). </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t>Kontrolní činnost SZIF má MZe ověřovat prostřednictvím tzv. supervizí. MZe však tyto průběžné kontroly implementace OPR začalo provádět až v roce 2012.</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rPr>
          <w:rFonts w:eastAsia="Times New Roman" w:cs="Arial"/>
          <w:b/>
          <w:bCs/>
        </w:rPr>
      </w:pPr>
      <w:r w:rsidRPr="00873783">
        <w:rPr>
          <w:rFonts w:eastAsia="Times New Roman" w:cs="Arial"/>
          <w:b/>
          <w:bCs/>
        </w:rPr>
        <w:t xml:space="preserve">6. Nedostatky </w:t>
      </w:r>
      <w:r w:rsidR="00AE3A81">
        <w:rPr>
          <w:rFonts w:eastAsia="Times New Roman" w:cs="Arial"/>
          <w:b/>
          <w:bCs/>
        </w:rPr>
        <w:t>p</w:t>
      </w:r>
      <w:r w:rsidRPr="00873783">
        <w:rPr>
          <w:rFonts w:eastAsia="Times New Roman" w:cs="Arial"/>
          <w:b/>
          <w:bCs/>
        </w:rPr>
        <w:t>ravidel pro příjemce</w:t>
      </w:r>
    </w:p>
    <w:p w:rsidR="004F33A2" w:rsidRPr="00873783" w:rsidRDefault="004F33A2" w:rsidP="00873783">
      <w:pPr>
        <w:spacing w:line="240" w:lineRule="auto"/>
        <w:jc w:val="both"/>
        <w:rPr>
          <w:rFonts w:eastAsia="Times New Roman" w:cs="Arial"/>
          <w:bCs/>
        </w:rPr>
      </w:pPr>
    </w:p>
    <w:p w:rsidR="004F33A2" w:rsidRPr="00873783" w:rsidRDefault="004F33A2" w:rsidP="00873783">
      <w:pPr>
        <w:spacing w:line="240" w:lineRule="auto"/>
        <w:jc w:val="both"/>
        <w:rPr>
          <w:rFonts w:eastAsia="Times New Roman" w:cs="Arial"/>
          <w:bCs/>
        </w:rPr>
      </w:pPr>
      <w:r w:rsidRPr="00873783">
        <w:rPr>
          <w:rFonts w:eastAsia="Times New Roman" w:cs="Arial"/>
          <w:bCs/>
        </w:rPr>
        <w:t xml:space="preserve">MZe v Pravidlech platných pro 5. kolo příjmu žádostí o dotaci neupravilo, jaké podmínky mají splňovat ta výběrová řízení, která jsou součástí předkládaného projektu a zároveň se uskutečnila již před podáním žádosti o dotaci. Nebylo tedy zřejmé, zda se má příjemce řídit Pravidly platnými v době vyhlášení výběrového řízení, Pravidly platnými pro 5. kolo příjmu žádostí, případně zda takový příjemce není vázán žádnými </w:t>
      </w:r>
      <w:r w:rsidR="00AE3A81">
        <w:rPr>
          <w:rFonts w:eastAsia="Times New Roman" w:cs="Arial"/>
          <w:bCs/>
        </w:rPr>
        <w:t>p</w:t>
      </w:r>
      <w:r w:rsidRPr="00873783">
        <w:rPr>
          <w:rFonts w:eastAsia="Times New Roman" w:cs="Arial"/>
          <w:bCs/>
        </w:rPr>
        <w:t>ravidly.</w:t>
      </w:r>
    </w:p>
    <w:p w:rsidR="004F33A2" w:rsidRPr="00873783" w:rsidRDefault="004F33A2" w:rsidP="00873783">
      <w:pPr>
        <w:spacing w:line="240" w:lineRule="auto"/>
        <w:jc w:val="both"/>
        <w:rPr>
          <w:rFonts w:eastAsia="Times New Roman" w:cs="Arial"/>
          <w:bCs/>
        </w:rPr>
      </w:pPr>
    </w:p>
    <w:p w:rsidR="004F33A2" w:rsidRPr="00873783" w:rsidRDefault="004F33A2" w:rsidP="00873783">
      <w:pPr>
        <w:spacing w:line="240" w:lineRule="auto"/>
        <w:jc w:val="both"/>
        <w:rPr>
          <w:rFonts w:eastAsia="Times New Roman" w:cs="Arial"/>
          <w:bCs/>
        </w:rPr>
      </w:pPr>
      <w:r w:rsidRPr="00873783">
        <w:rPr>
          <w:rFonts w:eastAsia="Times New Roman" w:cs="Arial"/>
          <w:bCs/>
        </w:rPr>
        <w:t xml:space="preserve">V Pravidlech platných pro 8. kolo příjmu žádostí již bylo uvedeno, že zakázky musí být zadávány podle Pravidel platných v době vyhlášení výběrového řízení. Přechodným ustanovením však MZe stanovilo retroaktivní účinnost této podmínky i pro všechny žadatele, kteří zaregistrovali </w:t>
      </w:r>
      <w:r w:rsidR="00AE3A81">
        <w:rPr>
          <w:rFonts w:eastAsia="Times New Roman" w:cs="Arial"/>
          <w:bCs/>
        </w:rPr>
        <w:t>ž</w:t>
      </w:r>
      <w:r w:rsidRPr="00873783">
        <w:rPr>
          <w:rFonts w:eastAsia="Times New Roman" w:cs="Arial"/>
          <w:bCs/>
        </w:rPr>
        <w:t>ádost o dotaci již v 5. kole. NKÚ považuje tuto úpravu za diskriminační vůči žadatelům z 5. kola, které výše uvedená podmínka mohla zpětně vystavit riziku vzniku nezpůsobilých výdajů.</w:t>
      </w:r>
    </w:p>
    <w:p w:rsidR="004F33A2" w:rsidRPr="00873783" w:rsidRDefault="004F33A2" w:rsidP="00873783">
      <w:pPr>
        <w:spacing w:line="240" w:lineRule="auto"/>
        <w:jc w:val="both"/>
        <w:rPr>
          <w:rFonts w:eastAsia="Times New Roman" w:cs="Arial"/>
          <w:bCs/>
        </w:rPr>
      </w:pPr>
    </w:p>
    <w:p w:rsidR="004F33A2" w:rsidRPr="00873783" w:rsidRDefault="004F33A2" w:rsidP="00873783">
      <w:pPr>
        <w:spacing w:line="240" w:lineRule="auto"/>
        <w:jc w:val="both"/>
        <w:rPr>
          <w:rFonts w:eastAsia="Times New Roman" w:cs="Arial"/>
        </w:rPr>
      </w:pPr>
      <w:r w:rsidRPr="00873783">
        <w:rPr>
          <w:rFonts w:eastAsia="Times New Roman" w:cs="Arial"/>
        </w:rPr>
        <w:t>Kontrolou bylo dále zjištěno, že Pravidla u opatření 3.3 záměru a)</w:t>
      </w:r>
      <w:r w:rsidRPr="00873783">
        <w:rPr>
          <w:rFonts w:eastAsia="Times New Roman" w:cs="Arial"/>
          <w:vertAlign w:val="superscript"/>
        </w:rPr>
        <w:footnoteReference w:id="13"/>
      </w:r>
      <w:r w:rsidRPr="00873783">
        <w:rPr>
          <w:rFonts w:eastAsia="Times New Roman" w:cs="Arial"/>
        </w:rPr>
        <w:t xml:space="preserve">, kterými se řídilo MZe jakožto příjemce dotace při realizaci projektu </w:t>
      </w:r>
      <w:r w:rsidRPr="007F3B55">
        <w:rPr>
          <w:rFonts w:eastAsia="Times New Roman" w:cs="Arial"/>
          <w:i/>
        </w:rPr>
        <w:t>Ryba domácí</w:t>
      </w:r>
      <w:r w:rsidRPr="00873783">
        <w:rPr>
          <w:rFonts w:eastAsia="Times New Roman" w:cs="Arial"/>
        </w:rPr>
        <w:t xml:space="preserve">, neobsahovala požadavky na přiměřenost a opodstatněnost jednotlivých výdajů ani způsob jejich dokladování a vykazování. Podmínky, které </w:t>
      </w:r>
      <w:r w:rsidR="00AE3A81" w:rsidRPr="00873783">
        <w:rPr>
          <w:rFonts w:eastAsia="Times New Roman" w:cs="Arial"/>
        </w:rPr>
        <w:t xml:space="preserve">Ministerstvo zemědělství </w:t>
      </w:r>
      <w:r w:rsidRPr="00873783">
        <w:rPr>
          <w:rFonts w:eastAsia="Times New Roman" w:cs="Arial"/>
        </w:rPr>
        <w:t>vůči sobě nastavilo samo, tak neumož</w:t>
      </w:r>
      <w:r w:rsidR="00AE3A81">
        <w:rPr>
          <w:rFonts w:eastAsia="Times New Roman" w:cs="Arial"/>
        </w:rPr>
        <w:t>ňovaly</w:t>
      </w:r>
      <w:r w:rsidRPr="00873783">
        <w:rPr>
          <w:rFonts w:eastAsia="Times New Roman" w:cs="Arial"/>
        </w:rPr>
        <w:t xml:space="preserve"> účinnou kontrolu ze strany SZIF.</w:t>
      </w:r>
    </w:p>
    <w:p w:rsidR="005B2E2F" w:rsidRPr="00873783" w:rsidRDefault="005B2E2F" w:rsidP="00873783">
      <w:pPr>
        <w:spacing w:line="240" w:lineRule="auto"/>
        <w:jc w:val="both"/>
        <w:rPr>
          <w:rFonts w:eastAsia="Times New Roman" w:cs="Arial"/>
          <w:bCs/>
        </w:rPr>
      </w:pPr>
    </w:p>
    <w:p w:rsidR="004F33A2" w:rsidRPr="00873783" w:rsidRDefault="004F33A2" w:rsidP="00873783">
      <w:pPr>
        <w:spacing w:line="240" w:lineRule="auto"/>
        <w:jc w:val="both"/>
        <w:rPr>
          <w:rFonts w:eastAsia="Times New Roman" w:cs="Arial"/>
          <w:b/>
          <w:bCs/>
        </w:rPr>
      </w:pPr>
      <w:r w:rsidRPr="00873783">
        <w:rPr>
          <w:rFonts w:eastAsia="Times New Roman" w:cs="Arial"/>
          <w:b/>
          <w:bCs/>
        </w:rPr>
        <w:t>7. Řízení rizik MZe</w:t>
      </w:r>
    </w:p>
    <w:p w:rsidR="005B2E2F" w:rsidRPr="00873783" w:rsidRDefault="005B2E2F" w:rsidP="00873783">
      <w:pPr>
        <w:spacing w:line="240" w:lineRule="auto"/>
        <w:jc w:val="both"/>
        <w:rPr>
          <w:rFonts w:eastAsia="Times New Roman" w:cs="Arial"/>
          <w:b/>
          <w:bCs/>
        </w:rPr>
      </w:pPr>
    </w:p>
    <w:p w:rsidR="004F33A2" w:rsidRPr="00873783" w:rsidRDefault="004F33A2" w:rsidP="00873783">
      <w:pPr>
        <w:spacing w:line="240" w:lineRule="auto"/>
        <w:jc w:val="both"/>
        <w:rPr>
          <w:rFonts w:eastAsia="Times New Roman" w:cs="Arial"/>
        </w:rPr>
      </w:pPr>
      <w:r w:rsidRPr="00873783">
        <w:rPr>
          <w:rFonts w:eastAsia="Times New Roman" w:cs="Arial"/>
        </w:rPr>
        <w:t>Součástí říd</w:t>
      </w:r>
      <w:r w:rsidR="00AE3A81">
        <w:rPr>
          <w:rFonts w:eastAsia="Times New Roman" w:cs="Arial"/>
        </w:rPr>
        <w:t>i</w:t>
      </w:r>
      <w:r w:rsidRPr="00873783">
        <w:rPr>
          <w:rFonts w:eastAsia="Times New Roman" w:cs="Arial"/>
        </w:rPr>
        <w:t xml:space="preserve">cí a kontrolní činnosti při poskytování dotací je také řízení rizik. NKÚ stejně jako </w:t>
      </w:r>
      <w:r w:rsidR="00AE3A81">
        <w:rPr>
          <w:rFonts w:eastAsia="Times New Roman" w:cs="Arial"/>
        </w:rPr>
        <w:t>při</w:t>
      </w:r>
      <w:r w:rsidRPr="00873783">
        <w:rPr>
          <w:rFonts w:eastAsia="Times New Roman" w:cs="Arial"/>
        </w:rPr>
        <w:t xml:space="preserve"> kontrolní akc</w:t>
      </w:r>
      <w:r w:rsidR="00AE3A81">
        <w:rPr>
          <w:rFonts w:eastAsia="Times New Roman" w:cs="Arial"/>
        </w:rPr>
        <w:t>i</w:t>
      </w:r>
      <w:r w:rsidRPr="00873783">
        <w:rPr>
          <w:rFonts w:eastAsia="Times New Roman" w:cs="Arial"/>
        </w:rPr>
        <w:t xml:space="preserve"> č. 13/03</w:t>
      </w:r>
      <w:r w:rsidRPr="00873783">
        <w:rPr>
          <w:rFonts w:eastAsia="Times New Roman" w:cs="Arial"/>
          <w:vertAlign w:val="superscript"/>
        </w:rPr>
        <w:footnoteReference w:id="14"/>
      </w:r>
      <w:r w:rsidRPr="00873783">
        <w:rPr>
          <w:rFonts w:eastAsia="Times New Roman" w:cs="Arial"/>
        </w:rPr>
        <w:t xml:space="preserve"> zjistil, že v kontrolovaném období MZe nepřijalo žádný závazný postup pro řízení rizik a pro přijímání opatření ke snížení či odstranění dopadů identifikovaných rizik. V průběhu kontrolovaného období přitom kromě jednoho případu došlo spíše ke zhoršení hodnot rizik</w:t>
      </w:r>
      <w:r w:rsidR="00A61FA8" w:rsidRPr="00873783">
        <w:rPr>
          <w:rStyle w:val="Znakapoznpodarou"/>
          <w:rFonts w:eastAsia="Times New Roman" w:cs="Arial"/>
        </w:rPr>
        <w:footnoteReference w:id="15"/>
      </w:r>
      <w:r w:rsidRPr="00873783">
        <w:rPr>
          <w:rFonts w:eastAsia="Times New Roman" w:cs="Arial"/>
        </w:rPr>
        <w:t>.</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lastRenderedPageBreak/>
        <w:t>NKÚ proto opakovaně konstatuje, že MZe nenaplňovalo správným způsobem ustanovení zákona o finanční kontrole týkající se ochrany veřejných prostředků proti rizikům</w:t>
      </w:r>
      <w:r w:rsidRPr="00873783">
        <w:rPr>
          <w:rFonts w:eastAsia="Times New Roman" w:cs="Arial"/>
          <w:vertAlign w:val="superscript"/>
        </w:rPr>
        <w:footnoteReference w:id="16"/>
      </w:r>
      <w:r w:rsidRPr="00873783">
        <w:rPr>
          <w:rFonts w:eastAsia="Times New Roman" w:cs="Arial"/>
        </w:rPr>
        <w:t>.</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p>
    <w:p w:rsidR="004F33A2" w:rsidRPr="00B73047" w:rsidRDefault="004F33A2" w:rsidP="00873783">
      <w:pPr>
        <w:spacing w:line="240" w:lineRule="auto"/>
        <w:jc w:val="center"/>
        <w:rPr>
          <w:rFonts w:eastAsia="Times New Roman" w:cs="Arial"/>
          <w:b/>
          <w:bCs/>
          <w:sz w:val="24"/>
          <w:szCs w:val="24"/>
        </w:rPr>
      </w:pPr>
      <w:r w:rsidRPr="00B73047">
        <w:rPr>
          <w:rFonts w:eastAsia="Times New Roman" w:cs="Arial"/>
          <w:b/>
          <w:bCs/>
          <w:sz w:val="24"/>
          <w:szCs w:val="24"/>
        </w:rPr>
        <w:t>III. Skutečnosti zjištěné při kontrole u příjemců podpory</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b/>
        </w:rPr>
      </w:pPr>
      <w:r w:rsidRPr="00873783">
        <w:rPr>
          <w:rFonts w:eastAsia="Times New Roman" w:cs="Arial"/>
          <w:b/>
        </w:rPr>
        <w:t xml:space="preserve">1. Projekty financované v rámci </w:t>
      </w:r>
      <w:r w:rsidRPr="00873783">
        <w:rPr>
          <w:rFonts w:eastAsia="Times New Roman" w:cs="Arial"/>
          <w:b/>
          <w:snapToGrid w:val="0"/>
          <w:lang w:eastAsia="cs-CZ"/>
        </w:rPr>
        <w:t>opatření 2.1, 2.4 a 3.4</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t>Na vzorku 23 projektů bylo ověřováno, zda příjemci podpory realizovali projekt v souladu se stanovenými podmínkami a zda jim byly proplaceny pouze způsobilé výdaje. Kontrolou byly prověřeny výdaje v celkovém objemu 63 721 354 Kč.</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rPr>
      </w:pPr>
      <w:r w:rsidRPr="00873783">
        <w:rPr>
          <w:rFonts w:eastAsia="Times New Roman" w:cs="Arial"/>
        </w:rPr>
        <w:t>V některých případech byl</w:t>
      </w:r>
      <w:r w:rsidR="00055E11" w:rsidRPr="00873783">
        <w:rPr>
          <w:rFonts w:eastAsia="Times New Roman" w:cs="Arial"/>
        </w:rPr>
        <w:t>o zjištěno porušení Pravidel a r</w:t>
      </w:r>
      <w:r w:rsidRPr="00873783">
        <w:rPr>
          <w:rFonts w:eastAsia="Times New Roman" w:cs="Arial"/>
        </w:rPr>
        <w:t xml:space="preserve">ozhodnutí o poskytnutí dotace ze strany příjemce. </w:t>
      </w:r>
      <w:r w:rsidR="00AE3A81">
        <w:rPr>
          <w:rFonts w:eastAsia="Times New Roman" w:cs="Arial"/>
        </w:rPr>
        <w:t>Například se jednalo</w:t>
      </w:r>
      <w:r w:rsidRPr="00873783">
        <w:rPr>
          <w:rFonts w:eastAsia="Times New Roman" w:cs="Arial"/>
        </w:rPr>
        <w:t xml:space="preserve"> o nárokování neodůvodněných výdajů a výdajů za dodávky, které nebyly ve skutečnosti realizovány, pochybení při zadávání veřejné zakázky malého rozsahu, evidování neprůkazných dokladů v účetnictví, nedodržení požadavku na vedení analytické účetní evidence či neohlášení katastrálnímu úřadu změny údajů katastru.</w:t>
      </w:r>
    </w:p>
    <w:p w:rsidR="004F33A2" w:rsidRPr="00873783" w:rsidRDefault="004F33A2" w:rsidP="00873783">
      <w:pPr>
        <w:spacing w:line="240" w:lineRule="auto"/>
        <w:jc w:val="both"/>
        <w:rPr>
          <w:rFonts w:eastAsia="Times New Roman" w:cs="Arial"/>
        </w:rPr>
      </w:pPr>
    </w:p>
    <w:p w:rsidR="004F33A2" w:rsidRPr="00873783" w:rsidRDefault="00E535BF" w:rsidP="00873783">
      <w:pPr>
        <w:spacing w:line="240" w:lineRule="auto"/>
        <w:jc w:val="both"/>
        <w:rPr>
          <w:rFonts w:eastAsia="Times New Roman" w:cs="Arial"/>
        </w:rPr>
      </w:pPr>
      <w:r w:rsidRPr="00873783">
        <w:rPr>
          <w:rFonts w:eastAsia="Times New Roman" w:cs="Arial"/>
        </w:rPr>
        <w:t>Zjištěné n</w:t>
      </w:r>
      <w:r w:rsidR="004F33A2" w:rsidRPr="00873783">
        <w:rPr>
          <w:rFonts w:eastAsia="Times New Roman" w:cs="Arial"/>
        </w:rPr>
        <w:t xml:space="preserve">ezpůsobilé výdaje, které byly proplaceny příjemcům, představují částku </w:t>
      </w:r>
      <w:r w:rsidR="002B38B5" w:rsidRPr="00873783">
        <w:rPr>
          <w:rFonts w:eastAsia="Times New Roman" w:cs="Arial"/>
        </w:rPr>
        <w:t>258</w:t>
      </w:r>
      <w:r w:rsidR="00984BEA" w:rsidRPr="00873783">
        <w:rPr>
          <w:rFonts w:eastAsia="Times New Roman" w:cs="Arial"/>
        </w:rPr>
        <w:t> </w:t>
      </w:r>
      <w:r w:rsidR="002B38B5" w:rsidRPr="00873783">
        <w:rPr>
          <w:rFonts w:eastAsia="Times New Roman" w:cs="Arial"/>
        </w:rPr>
        <w:t>165</w:t>
      </w:r>
      <w:r w:rsidR="00984BEA" w:rsidRPr="00873783">
        <w:rPr>
          <w:rFonts w:eastAsia="Times New Roman" w:cs="Arial"/>
        </w:rPr>
        <w:t> </w:t>
      </w:r>
      <w:r w:rsidR="004F33A2" w:rsidRPr="00873783">
        <w:rPr>
          <w:rFonts w:eastAsia="Times New Roman" w:cs="Arial"/>
        </w:rPr>
        <w:t>Kč</w:t>
      </w:r>
      <w:r w:rsidRPr="00873783">
        <w:rPr>
          <w:rFonts w:eastAsia="Times New Roman" w:cs="Arial"/>
        </w:rPr>
        <w:t xml:space="preserve">, tj. 0,4 % kontrolovaného objemu. </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b/>
        </w:rPr>
      </w:pPr>
      <w:r w:rsidRPr="00873783">
        <w:rPr>
          <w:rFonts w:eastAsia="Times New Roman" w:cs="Arial"/>
          <w:b/>
        </w:rPr>
        <w:t xml:space="preserve">2. Projekty realizované MZe </w:t>
      </w:r>
    </w:p>
    <w:p w:rsidR="004F33A2" w:rsidRPr="00873783" w:rsidRDefault="004F33A2" w:rsidP="00873783">
      <w:pPr>
        <w:spacing w:line="240" w:lineRule="auto"/>
        <w:jc w:val="both"/>
        <w:rPr>
          <w:rFonts w:eastAsia="Times New Roman" w:cs="Arial"/>
          <w:b/>
        </w:rPr>
      </w:pPr>
    </w:p>
    <w:p w:rsidR="004F33A2" w:rsidRPr="00873783" w:rsidRDefault="004F33A2" w:rsidP="00873783">
      <w:pPr>
        <w:spacing w:line="240" w:lineRule="auto"/>
        <w:jc w:val="both"/>
        <w:rPr>
          <w:rFonts w:eastAsia="Times New Roman" w:cs="Arial"/>
        </w:rPr>
      </w:pPr>
      <w:r w:rsidRPr="00873783">
        <w:rPr>
          <w:rFonts w:eastAsia="Times New Roman" w:cs="Arial"/>
        </w:rPr>
        <w:t xml:space="preserve">Kontrole bylo podrobeno 10 projektů, u nichž bylo MZe v pozici příjemce podpory. Devět z nich </w:t>
      </w:r>
      <w:r w:rsidR="00AE3A81">
        <w:rPr>
          <w:rFonts w:eastAsia="Times New Roman" w:cs="Arial"/>
        </w:rPr>
        <w:t>(</w:t>
      </w:r>
      <w:r w:rsidRPr="00873783">
        <w:rPr>
          <w:rFonts w:eastAsia="Times New Roman" w:cs="Arial"/>
        </w:rPr>
        <w:t>v celkové částce 12 276 096 Kč proplacených výdajů</w:t>
      </w:r>
      <w:r w:rsidR="00AE3A81">
        <w:rPr>
          <w:rFonts w:eastAsia="Times New Roman" w:cs="Arial"/>
        </w:rPr>
        <w:t>)</w:t>
      </w:r>
      <w:r w:rsidRPr="00873783">
        <w:rPr>
          <w:rFonts w:eastAsia="Times New Roman" w:cs="Arial"/>
        </w:rPr>
        <w:t xml:space="preserve"> bylo realizováno v rámci opatření 5.1. U těchto projektů technické pomoci nebyly zjištěny nedostatky s finančním dopadem. Dalším kontrolovaným projektem realizovaným Ministerstvem zemědělství byl projekt </w:t>
      </w:r>
      <w:r w:rsidRPr="00D57767">
        <w:rPr>
          <w:rFonts w:eastAsia="Times New Roman" w:cs="Arial"/>
          <w:i/>
        </w:rPr>
        <w:t>Ryba domácí</w:t>
      </w:r>
      <w:r w:rsidRPr="00873783">
        <w:rPr>
          <w:rFonts w:eastAsia="Times New Roman" w:cs="Arial"/>
        </w:rPr>
        <w:t xml:space="preserve">. V tomto případě odhalil NKÚ kontrolou proplacených výdajů ve výši 52 518 701 Kč nedostatky s finančním dopadem v částce 1 777 283 Kč. Tyto nezpůsobilé výdaje představují 2,7 % z celkového kontrolovaného objemu u projektů realizovaných MZe. </w:t>
      </w:r>
    </w:p>
    <w:p w:rsidR="004F33A2" w:rsidRPr="00873783" w:rsidRDefault="004F33A2" w:rsidP="00873783">
      <w:pPr>
        <w:spacing w:line="240" w:lineRule="auto"/>
        <w:jc w:val="both"/>
        <w:rPr>
          <w:rFonts w:eastAsia="Times New Roman" w:cs="Arial"/>
        </w:rPr>
      </w:pPr>
    </w:p>
    <w:p w:rsidR="004F33A2" w:rsidRPr="00873783" w:rsidRDefault="004F33A2" w:rsidP="00873783">
      <w:pPr>
        <w:spacing w:line="240" w:lineRule="auto"/>
        <w:jc w:val="both"/>
        <w:rPr>
          <w:rFonts w:eastAsia="Times New Roman" w:cs="Arial"/>
          <w:b/>
        </w:rPr>
      </w:pPr>
      <w:r w:rsidRPr="00873783">
        <w:rPr>
          <w:rFonts w:eastAsia="Times New Roman" w:cs="Arial"/>
          <w:b/>
        </w:rPr>
        <w:t xml:space="preserve">2.1 Projekt </w:t>
      </w:r>
      <w:r w:rsidRPr="00D57767">
        <w:rPr>
          <w:rFonts w:eastAsia="Times New Roman" w:cs="Arial"/>
          <w:b/>
          <w:i/>
        </w:rPr>
        <w:t>Ryba domácí</w:t>
      </w:r>
      <w:r w:rsidRPr="00873783">
        <w:rPr>
          <w:rFonts w:eastAsia="Times New Roman" w:cs="Arial"/>
          <w:b/>
        </w:rPr>
        <w:t xml:space="preserve"> financovaný v rámci opatření 3.3 </w:t>
      </w:r>
    </w:p>
    <w:p w:rsidR="004F33A2" w:rsidRPr="00873783" w:rsidRDefault="004F33A2" w:rsidP="00873783">
      <w:pPr>
        <w:spacing w:line="240" w:lineRule="auto"/>
        <w:jc w:val="both"/>
        <w:rPr>
          <w:rFonts w:eastAsia="Calibri" w:cs="Arial"/>
          <w:lang w:eastAsia="cs-CZ"/>
        </w:rPr>
      </w:pPr>
    </w:p>
    <w:p w:rsidR="004F33A2" w:rsidRPr="00873783" w:rsidRDefault="004F33A2" w:rsidP="00873783">
      <w:pPr>
        <w:spacing w:line="240" w:lineRule="auto"/>
        <w:jc w:val="both"/>
        <w:rPr>
          <w:rFonts w:eastAsia="Times New Roman" w:cs="Arial"/>
          <w:lang w:eastAsia="cs-CZ"/>
        </w:rPr>
      </w:pPr>
      <w:r w:rsidRPr="00873783">
        <w:rPr>
          <w:rFonts w:eastAsia="Times New Roman" w:cs="Arial"/>
          <w:lang w:eastAsia="cs-CZ"/>
        </w:rPr>
        <w:t xml:space="preserve">Projekt </w:t>
      </w:r>
      <w:r w:rsidRPr="00D57767">
        <w:rPr>
          <w:rFonts w:eastAsia="Times New Roman" w:cs="Arial"/>
          <w:i/>
          <w:lang w:eastAsia="cs-CZ"/>
        </w:rPr>
        <w:t>Ryba domácí</w:t>
      </w:r>
      <w:r w:rsidRPr="00873783">
        <w:rPr>
          <w:rFonts w:eastAsia="Times New Roman" w:cs="Arial"/>
          <w:lang w:eastAsia="cs-CZ"/>
        </w:rPr>
        <w:t xml:space="preserve"> byl zaměřen na zvýšení spotřeby sladkovodních ryb a výrobků z nich prostřednictvím cílené komunikační kampaně. Tento projekt realizovalo MZe prostřednictvím jediného dodavatele, přičemž celkové proplacené výdaje dosáhly částky 149 942 773 Kč. Projekt </w:t>
      </w:r>
      <w:r w:rsidRPr="00D57767">
        <w:rPr>
          <w:rFonts w:eastAsia="Times New Roman" w:cs="Arial"/>
          <w:i/>
          <w:lang w:eastAsia="cs-CZ"/>
        </w:rPr>
        <w:t>Ryba domácí</w:t>
      </w:r>
      <w:r w:rsidRPr="00873783">
        <w:rPr>
          <w:rFonts w:eastAsia="Times New Roman" w:cs="Arial"/>
          <w:lang w:eastAsia="cs-CZ"/>
        </w:rPr>
        <w:t xml:space="preserve"> byl rozložen do 13 etap. Kontrola NKÚ byla zaměřena na 4. </w:t>
      </w:r>
      <w:r w:rsidR="00AE3A81">
        <w:rPr>
          <w:rFonts w:eastAsia="Times New Roman" w:cs="Arial"/>
          <w:lang w:eastAsia="cs-CZ"/>
        </w:rPr>
        <w:t>až 13. </w:t>
      </w:r>
      <w:r w:rsidRPr="00873783">
        <w:rPr>
          <w:rFonts w:eastAsia="Times New Roman" w:cs="Arial"/>
          <w:lang w:eastAsia="cs-CZ"/>
        </w:rPr>
        <w:t>etapu</w:t>
      </w:r>
      <w:r w:rsidR="00AE3A81">
        <w:rPr>
          <w:rFonts w:eastAsia="Times New Roman" w:cs="Arial"/>
          <w:lang w:eastAsia="cs-CZ"/>
        </w:rPr>
        <w:t>,</w:t>
      </w:r>
      <w:r w:rsidRPr="00873783">
        <w:rPr>
          <w:rFonts w:eastAsia="Times New Roman" w:cs="Arial"/>
          <w:lang w:eastAsia="cs-CZ"/>
        </w:rPr>
        <w:t xml:space="preserve"> a navázala tak na kontrolní akci č. 09/12. Kontrolovaný objem ve výši 52 518 701 Kč odpovídá 2/3 výdajů proplacených v rámci kontrolovaných etap.</w:t>
      </w:r>
    </w:p>
    <w:p w:rsidR="004F33A2" w:rsidRPr="00873783" w:rsidRDefault="004F33A2" w:rsidP="00873783">
      <w:pPr>
        <w:spacing w:line="240" w:lineRule="auto"/>
        <w:jc w:val="both"/>
        <w:rPr>
          <w:rFonts w:eastAsia="Times New Roman" w:cs="Arial"/>
          <w:lang w:eastAsia="cs-CZ"/>
        </w:rPr>
      </w:pPr>
    </w:p>
    <w:p w:rsidR="004F33A2" w:rsidRPr="00873783" w:rsidRDefault="004F33A2" w:rsidP="00873783">
      <w:pPr>
        <w:spacing w:line="240" w:lineRule="auto"/>
        <w:jc w:val="both"/>
        <w:rPr>
          <w:rFonts w:eastAsia="Times New Roman" w:cs="Arial"/>
          <w:noProof/>
          <w:lang w:eastAsia="cs-CZ"/>
        </w:rPr>
      </w:pPr>
      <w:r w:rsidRPr="00873783">
        <w:rPr>
          <w:rFonts w:eastAsia="Times New Roman" w:cs="Arial"/>
          <w:lang w:eastAsia="cs-CZ"/>
        </w:rPr>
        <w:t xml:space="preserve">V kontrolní akci č. 09/12 NKÚ konstatoval, že MZe při výběru dodavatele projektu </w:t>
      </w:r>
      <w:r w:rsidRPr="00D57767">
        <w:rPr>
          <w:rFonts w:eastAsia="Times New Roman" w:cs="Arial"/>
          <w:i/>
          <w:lang w:eastAsia="cs-CZ"/>
        </w:rPr>
        <w:t>Ryba domácí</w:t>
      </w:r>
      <w:r w:rsidRPr="00873783">
        <w:rPr>
          <w:rFonts w:eastAsia="Times New Roman" w:cs="Arial"/>
          <w:lang w:eastAsia="cs-CZ"/>
        </w:rPr>
        <w:t xml:space="preserve"> porušilo zákon</w:t>
      </w:r>
      <w:r w:rsidR="00972428" w:rsidRPr="00873783">
        <w:rPr>
          <w:rFonts w:eastAsia="Times New Roman" w:cs="Arial"/>
          <w:lang w:eastAsia="cs-CZ"/>
        </w:rPr>
        <w:t xml:space="preserve"> č. 137/2006 Sb.,</w:t>
      </w:r>
      <w:r w:rsidRPr="00873783">
        <w:rPr>
          <w:rFonts w:eastAsia="Times New Roman" w:cs="Arial"/>
          <w:lang w:eastAsia="cs-CZ"/>
        </w:rPr>
        <w:t xml:space="preserve"> o veřejných zakázkách, což mělo vliv na výběr vítězné nabídky. NKÚ v této souvislosti zároveň kvalifikoval nesrovnalost</w:t>
      </w:r>
      <w:r w:rsidR="00AE3A81">
        <w:rPr>
          <w:rFonts w:eastAsia="Times New Roman" w:cs="Arial"/>
          <w:lang w:eastAsia="cs-CZ"/>
        </w:rPr>
        <w:t>i</w:t>
      </w:r>
      <w:r w:rsidRPr="00873783">
        <w:rPr>
          <w:rFonts w:eastAsia="Times New Roman" w:cs="Arial"/>
          <w:lang w:eastAsia="cs-CZ"/>
        </w:rPr>
        <w:t xml:space="preserve"> v </w:t>
      </w:r>
      <w:r w:rsidR="00AE3A81">
        <w:rPr>
          <w:rFonts w:eastAsia="Times New Roman" w:cs="Arial"/>
          <w:lang w:eastAsia="cs-CZ"/>
        </w:rPr>
        <w:t xml:space="preserve">celkové </w:t>
      </w:r>
      <w:r w:rsidRPr="00873783">
        <w:rPr>
          <w:rFonts w:eastAsia="Times New Roman" w:cs="Arial"/>
          <w:lang w:eastAsia="cs-CZ"/>
        </w:rPr>
        <w:t>částce 133 823 925 Kč. Za šetření uveden</w:t>
      </w:r>
      <w:r w:rsidR="00AE3A81">
        <w:rPr>
          <w:rFonts w:eastAsia="Times New Roman" w:cs="Arial"/>
          <w:lang w:eastAsia="cs-CZ"/>
        </w:rPr>
        <w:t>ých</w:t>
      </w:r>
      <w:r w:rsidRPr="00873783">
        <w:rPr>
          <w:rFonts w:eastAsia="Times New Roman" w:cs="Arial"/>
          <w:lang w:eastAsia="cs-CZ"/>
        </w:rPr>
        <w:t xml:space="preserve"> nesrovnalost</w:t>
      </w:r>
      <w:r w:rsidR="00AE3A81">
        <w:rPr>
          <w:rFonts w:eastAsia="Times New Roman" w:cs="Arial"/>
          <w:lang w:eastAsia="cs-CZ"/>
        </w:rPr>
        <w:t>í</w:t>
      </w:r>
      <w:r w:rsidRPr="00873783">
        <w:rPr>
          <w:rFonts w:eastAsia="Times New Roman" w:cs="Arial"/>
          <w:lang w:eastAsia="cs-CZ"/>
        </w:rPr>
        <w:t xml:space="preserve"> bylo odpovědno z pozice řídicího orgánu samo MZe, které podalo oznámení Úřad</w:t>
      </w:r>
      <w:r w:rsidR="00AE3A81">
        <w:rPr>
          <w:rFonts w:eastAsia="Times New Roman" w:cs="Arial"/>
          <w:lang w:eastAsia="cs-CZ"/>
        </w:rPr>
        <w:t>u</w:t>
      </w:r>
      <w:r w:rsidRPr="00873783">
        <w:rPr>
          <w:rFonts w:eastAsia="Times New Roman" w:cs="Arial"/>
          <w:lang w:eastAsia="cs-CZ"/>
        </w:rPr>
        <w:t xml:space="preserve"> pro ochranu hospodářské soutěže (dále jen „ÚOHS“). ÚOHS konstatoval, že není věcně příslušný k přezkoumání dané záležitosti. Na základě právního posudku od</w:t>
      </w:r>
      <w:r w:rsidR="009D30FD">
        <w:rPr>
          <w:rFonts w:eastAsia="Times New Roman" w:cs="Arial"/>
          <w:lang w:eastAsia="cs-CZ"/>
        </w:rPr>
        <w:t xml:space="preserve"> </w:t>
      </w:r>
      <w:r w:rsidRPr="00873783">
        <w:rPr>
          <w:rFonts w:eastAsia="Times New Roman" w:cs="Arial"/>
          <w:lang w:eastAsia="cs-CZ"/>
        </w:rPr>
        <w:t xml:space="preserve">najaté advokátní kanceláře pak MZe uzavřelo případ jako </w:t>
      </w:r>
      <w:r w:rsidR="001E1162" w:rsidRPr="00873783">
        <w:rPr>
          <w:rFonts w:eastAsia="Times New Roman" w:cs="Arial"/>
          <w:lang w:eastAsia="cs-CZ"/>
        </w:rPr>
        <w:t>nepotvrzenou</w:t>
      </w:r>
      <w:r w:rsidRPr="00873783">
        <w:rPr>
          <w:rFonts w:eastAsia="Times New Roman" w:cs="Arial"/>
          <w:lang w:eastAsia="cs-CZ"/>
        </w:rPr>
        <w:t xml:space="preserve"> nesrovnalost. Stejné pochybení při výběru dodavatele projektu </w:t>
      </w:r>
      <w:r w:rsidRPr="00D57767">
        <w:rPr>
          <w:rFonts w:eastAsia="Times New Roman" w:cs="Arial"/>
          <w:i/>
          <w:lang w:eastAsia="cs-CZ"/>
        </w:rPr>
        <w:t>Ryba domácí</w:t>
      </w:r>
      <w:r w:rsidRPr="00873783">
        <w:rPr>
          <w:rFonts w:eastAsia="Times New Roman" w:cs="Arial"/>
          <w:lang w:eastAsia="cs-CZ"/>
        </w:rPr>
        <w:t xml:space="preserve"> jako NKÚ v kontrolní akci č. 09/12 však </w:t>
      </w:r>
      <w:r w:rsidR="005B2ECE">
        <w:rPr>
          <w:rFonts w:eastAsia="Times New Roman" w:cs="Arial"/>
          <w:lang w:eastAsia="cs-CZ"/>
        </w:rPr>
        <w:t>odhalil</w:t>
      </w:r>
      <w:r w:rsidRPr="00873783">
        <w:rPr>
          <w:rFonts w:eastAsia="Times New Roman" w:cs="Arial"/>
          <w:lang w:eastAsia="cs-CZ"/>
        </w:rPr>
        <w:t xml:space="preserve"> v roce 2013 </w:t>
      </w:r>
      <w:r w:rsidR="005B2ECE">
        <w:rPr>
          <w:rFonts w:eastAsia="Times New Roman" w:cs="Arial"/>
          <w:lang w:eastAsia="cs-CZ"/>
        </w:rPr>
        <w:t xml:space="preserve">i odbor </w:t>
      </w:r>
      <w:r w:rsidRPr="00873783">
        <w:rPr>
          <w:rFonts w:eastAsia="Times New Roman" w:cs="Arial"/>
          <w:lang w:eastAsia="cs-CZ"/>
        </w:rPr>
        <w:t>Auditní orgán Ministerstva financí</w:t>
      </w:r>
      <w:r w:rsidRPr="00873783">
        <w:rPr>
          <w:rFonts w:eastAsia="Times New Roman" w:cs="Arial"/>
          <w:vertAlign w:val="superscript"/>
          <w:lang w:eastAsia="cs-CZ"/>
        </w:rPr>
        <w:footnoteReference w:id="17"/>
      </w:r>
      <w:r w:rsidRPr="00873783">
        <w:rPr>
          <w:rFonts w:eastAsia="Times New Roman" w:cs="Arial"/>
          <w:lang w:eastAsia="cs-CZ"/>
        </w:rPr>
        <w:t xml:space="preserve">. </w:t>
      </w:r>
      <w:r w:rsidRPr="00873783">
        <w:rPr>
          <w:rFonts w:eastAsia="Times New Roman" w:cs="Arial"/>
          <w:noProof/>
          <w:lang w:eastAsia="cs-CZ"/>
        </w:rPr>
        <w:t>Zjištěný nedostatek ohrožuje možnost proplacení těchto výdajů ze strany EU.</w:t>
      </w:r>
    </w:p>
    <w:p w:rsidR="004F33A2" w:rsidRPr="00873783" w:rsidRDefault="004F33A2" w:rsidP="00873783">
      <w:pPr>
        <w:spacing w:line="240" w:lineRule="auto"/>
        <w:jc w:val="both"/>
        <w:rPr>
          <w:rFonts w:eastAsia="Times New Roman" w:cs="Arial"/>
          <w:noProof/>
          <w:lang w:eastAsia="cs-CZ"/>
        </w:rPr>
      </w:pPr>
    </w:p>
    <w:p w:rsidR="004F33A2" w:rsidRPr="00873783" w:rsidRDefault="004F33A2" w:rsidP="00873783">
      <w:pPr>
        <w:spacing w:line="240" w:lineRule="auto"/>
        <w:jc w:val="both"/>
        <w:rPr>
          <w:rFonts w:eastAsia="Times New Roman" w:cs="Arial"/>
          <w:noProof/>
          <w:lang w:eastAsia="cs-CZ"/>
        </w:rPr>
      </w:pPr>
      <w:r w:rsidRPr="00873783">
        <w:rPr>
          <w:rFonts w:eastAsia="Times New Roman" w:cs="Arial"/>
          <w:noProof/>
          <w:lang w:eastAsia="cs-CZ"/>
        </w:rPr>
        <w:lastRenderedPageBreak/>
        <w:t xml:space="preserve">Skutečnosti zjištěné NKÚ v rámci kontrolní akce č. 13/28 – projekt </w:t>
      </w:r>
      <w:r w:rsidRPr="000953A6">
        <w:rPr>
          <w:rFonts w:eastAsia="Times New Roman" w:cs="Arial"/>
          <w:i/>
          <w:noProof/>
          <w:lang w:eastAsia="cs-CZ"/>
        </w:rPr>
        <w:t>Ryba domácí</w:t>
      </w:r>
      <w:r w:rsidRPr="00873783">
        <w:rPr>
          <w:rFonts w:eastAsia="Times New Roman" w:cs="Arial"/>
          <w:noProof/>
          <w:lang w:eastAsia="cs-CZ"/>
        </w:rPr>
        <w:t>:</w:t>
      </w:r>
    </w:p>
    <w:p w:rsidR="004F33A2" w:rsidRPr="00873783" w:rsidRDefault="002C7EDD" w:rsidP="00873783">
      <w:pPr>
        <w:numPr>
          <w:ilvl w:val="0"/>
          <w:numId w:val="7"/>
        </w:numPr>
        <w:spacing w:line="240" w:lineRule="auto"/>
        <w:ind w:left="714" w:hanging="357"/>
        <w:jc w:val="both"/>
        <w:rPr>
          <w:rFonts w:eastAsia="Calibri" w:cs="Arial"/>
          <w:lang w:eastAsia="cs-CZ"/>
        </w:rPr>
      </w:pPr>
      <w:r w:rsidRPr="00873783">
        <w:rPr>
          <w:rFonts w:eastAsia="Calibri" w:cs="Arial"/>
          <w:lang w:eastAsia="cs-CZ"/>
        </w:rPr>
        <w:t>D</w:t>
      </w:r>
      <w:r w:rsidR="004F33A2" w:rsidRPr="00873783">
        <w:rPr>
          <w:rFonts w:eastAsia="Calibri" w:cs="Arial"/>
          <w:lang w:eastAsia="cs-CZ"/>
        </w:rPr>
        <w:t xml:space="preserve">ostupné informační zdroje poskytují protichůdné údaje o vývoji spotřeby sladkovodních ryb v ČR (viz část II, bod 2.2) </w:t>
      </w:r>
      <w:r w:rsidR="005B2ECE">
        <w:rPr>
          <w:rFonts w:eastAsia="Calibri" w:cs="Arial"/>
          <w:lang w:eastAsia="cs-CZ"/>
        </w:rPr>
        <w:t>a </w:t>
      </w:r>
      <w:r w:rsidR="004F33A2" w:rsidRPr="00873783">
        <w:rPr>
          <w:rFonts w:eastAsia="Calibri" w:cs="Arial"/>
          <w:lang w:eastAsia="cs-CZ"/>
        </w:rPr>
        <w:t xml:space="preserve">stejně </w:t>
      </w:r>
      <w:r w:rsidR="005B2ECE">
        <w:rPr>
          <w:rFonts w:eastAsia="Calibri" w:cs="Arial"/>
          <w:lang w:eastAsia="cs-CZ"/>
        </w:rPr>
        <w:t>tak</w:t>
      </w:r>
      <w:r w:rsidR="004F33A2" w:rsidRPr="00873783">
        <w:rPr>
          <w:rFonts w:eastAsia="Calibri" w:cs="Arial"/>
          <w:lang w:eastAsia="cs-CZ"/>
        </w:rPr>
        <w:t xml:space="preserve"> o zaměstnanosti v odvětví rybářství</w:t>
      </w:r>
      <w:r w:rsidRPr="00873783">
        <w:rPr>
          <w:rStyle w:val="Znakapoznpodarou"/>
          <w:rFonts w:eastAsia="Calibri" w:cs="Arial"/>
          <w:lang w:eastAsia="cs-CZ"/>
        </w:rPr>
        <w:footnoteReference w:id="18"/>
      </w:r>
      <w:r w:rsidRPr="00873783">
        <w:rPr>
          <w:rFonts w:eastAsia="Calibri" w:cs="Arial"/>
          <w:lang w:eastAsia="cs-CZ"/>
        </w:rPr>
        <w:t>. Nelze proto</w:t>
      </w:r>
      <w:r w:rsidR="004F33A2" w:rsidRPr="00873783">
        <w:rPr>
          <w:rFonts w:eastAsia="Calibri" w:cs="Arial"/>
          <w:lang w:eastAsia="cs-CZ"/>
        </w:rPr>
        <w:t xml:space="preserve"> objektivně vyhodnotit, zda byly naplněny stanovené cíle projektu.</w:t>
      </w:r>
    </w:p>
    <w:p w:rsidR="004F33A2" w:rsidRPr="00873783" w:rsidRDefault="004F33A2" w:rsidP="00873783">
      <w:pPr>
        <w:numPr>
          <w:ilvl w:val="0"/>
          <w:numId w:val="7"/>
        </w:numPr>
        <w:spacing w:line="240" w:lineRule="auto"/>
        <w:ind w:left="720"/>
        <w:jc w:val="both"/>
        <w:rPr>
          <w:rFonts w:eastAsia="Times New Roman" w:cs="Arial"/>
          <w:bCs/>
        </w:rPr>
      </w:pPr>
      <w:r w:rsidRPr="00873783">
        <w:rPr>
          <w:rFonts w:eastAsia="Calibri" w:cs="Arial"/>
        </w:rPr>
        <w:t xml:space="preserve">MZe akceptovalo a z projektu </w:t>
      </w:r>
      <w:r w:rsidRPr="000953A6">
        <w:rPr>
          <w:rFonts w:eastAsia="Calibri" w:cs="Arial"/>
          <w:i/>
        </w:rPr>
        <w:t>Ryba domácí</w:t>
      </w:r>
      <w:r w:rsidRPr="00873783">
        <w:rPr>
          <w:rFonts w:eastAsia="Calibri" w:cs="Arial"/>
        </w:rPr>
        <w:t xml:space="preserve"> proplatilo dodavateli též činnosti bez jakéhokoliv prokazatelného plnění. Jednalo se o aktivitu „péče o </w:t>
      </w:r>
      <w:proofErr w:type="spellStart"/>
      <w:r w:rsidRPr="00873783">
        <w:rPr>
          <w:rFonts w:eastAsia="Calibri" w:cs="Arial"/>
        </w:rPr>
        <w:t>brand</w:t>
      </w:r>
      <w:proofErr w:type="spellEnd"/>
      <w:r w:rsidRPr="00873783">
        <w:rPr>
          <w:rFonts w:eastAsia="Calibri" w:cs="Arial"/>
        </w:rPr>
        <w:t>“, jejíž realizaci dodavatel v každé etapě prokazoval pouze písemným prohlášením o výkonu této činnosti</w:t>
      </w:r>
      <w:r w:rsidRPr="00873783">
        <w:rPr>
          <w:rFonts w:eastAsia="Calibri" w:cs="Arial"/>
          <w:vertAlign w:val="superscript"/>
        </w:rPr>
        <w:footnoteReference w:id="19"/>
      </w:r>
      <w:r w:rsidRPr="00873783">
        <w:rPr>
          <w:rFonts w:eastAsia="Calibri" w:cs="Arial"/>
        </w:rPr>
        <w:t xml:space="preserve">. </w:t>
      </w:r>
      <w:r w:rsidR="0055771A" w:rsidRPr="00873783">
        <w:rPr>
          <w:rFonts w:eastAsia="Calibri" w:cs="Arial"/>
        </w:rPr>
        <w:t xml:space="preserve">MZe přesto uvedené plnění akceptovalo a následně </w:t>
      </w:r>
      <w:proofErr w:type="gramStart"/>
      <w:r w:rsidR="0055771A" w:rsidRPr="00873783">
        <w:rPr>
          <w:rFonts w:eastAsia="Calibri" w:cs="Arial"/>
        </w:rPr>
        <w:t>proplatilo</w:t>
      </w:r>
      <w:proofErr w:type="gramEnd"/>
      <w:r w:rsidR="0055771A" w:rsidRPr="00873783">
        <w:rPr>
          <w:rFonts w:eastAsia="Calibri" w:cs="Arial"/>
        </w:rPr>
        <w:t xml:space="preserve"> ze zdrojů OP Rybářství</w:t>
      </w:r>
      <w:r w:rsidR="003817EF" w:rsidRPr="00873783">
        <w:rPr>
          <w:rFonts w:eastAsia="Calibri" w:cs="Arial"/>
        </w:rPr>
        <w:t xml:space="preserve">. </w:t>
      </w:r>
      <w:r w:rsidRPr="00873783">
        <w:rPr>
          <w:rFonts w:eastAsia="Calibri" w:cs="Arial"/>
        </w:rPr>
        <w:t xml:space="preserve">Tyto výdaje byly navíc placeny paušálně, ačkoliv takový způsob nebyl upraven ve smlouvě. </w:t>
      </w:r>
      <w:r w:rsidR="003817EF" w:rsidRPr="00873783">
        <w:rPr>
          <w:rFonts w:eastAsia="Calibri" w:cs="Arial"/>
        </w:rPr>
        <w:t>MZe se tak dopustilo porušení rozpočtové kázně</w:t>
      </w:r>
      <w:r w:rsidR="003817EF" w:rsidRPr="00873783">
        <w:rPr>
          <w:rStyle w:val="Znakapoznpodarou"/>
          <w:rFonts w:eastAsia="Calibri" w:cs="Arial"/>
        </w:rPr>
        <w:footnoteReference w:id="20"/>
      </w:r>
      <w:r w:rsidR="003817EF" w:rsidRPr="00873783">
        <w:rPr>
          <w:rFonts w:eastAsia="Calibri" w:cs="Arial"/>
        </w:rPr>
        <w:t xml:space="preserve"> až ve výši 1 500 000 Kč.</w:t>
      </w:r>
    </w:p>
    <w:p w:rsidR="004F33A2" w:rsidRPr="00873783" w:rsidRDefault="004F33A2" w:rsidP="00873783">
      <w:pPr>
        <w:numPr>
          <w:ilvl w:val="0"/>
          <w:numId w:val="7"/>
        </w:numPr>
        <w:spacing w:line="240" w:lineRule="auto"/>
        <w:ind w:left="720"/>
        <w:jc w:val="both"/>
        <w:rPr>
          <w:rFonts w:eastAsia="Times New Roman" w:cs="Arial"/>
          <w:bCs/>
        </w:rPr>
      </w:pPr>
      <w:r w:rsidRPr="00873783">
        <w:rPr>
          <w:rFonts w:eastAsia="Calibri" w:cs="Arial"/>
        </w:rPr>
        <w:t xml:space="preserve">MZe akceptovalo a z projektu </w:t>
      </w:r>
      <w:r w:rsidRPr="000953A6">
        <w:rPr>
          <w:rFonts w:eastAsia="Calibri" w:cs="Arial"/>
          <w:i/>
        </w:rPr>
        <w:t>Ryba domácí</w:t>
      </w:r>
      <w:r w:rsidRPr="00873783">
        <w:rPr>
          <w:rFonts w:eastAsia="Calibri" w:cs="Arial"/>
        </w:rPr>
        <w:t xml:space="preserve"> </w:t>
      </w:r>
      <w:r w:rsidR="0057081D">
        <w:rPr>
          <w:rFonts w:eastAsia="Calibri" w:cs="Arial"/>
        </w:rPr>
        <w:t>(konkrétně v rámci aktivity „PR </w:t>
      </w:r>
      <w:r w:rsidRPr="00873783">
        <w:rPr>
          <w:rFonts w:eastAsia="Calibri" w:cs="Arial"/>
        </w:rPr>
        <w:t xml:space="preserve">realizace“) proplatilo dodavateli též činnosti, které nespadaly do kategorie způsobilých výdajů a které byly i nad rámec uzavřené smlouvy. Konkrétně se jednalo o sběr zpráv z periodik, tisku, TV a internetu týkajících se článků o úpravě ryb a o rybách obecně. V naprosté většině však tyto zprávy nemohly sloužit pro úpravu komunikační kampaně a ani neobsahovaly žádný odkaz na projekt </w:t>
      </w:r>
      <w:r w:rsidRPr="000953A6">
        <w:rPr>
          <w:rFonts w:eastAsia="Calibri" w:cs="Arial"/>
          <w:i/>
        </w:rPr>
        <w:t>Ryba domácí</w:t>
      </w:r>
      <w:r w:rsidRPr="00873783">
        <w:rPr>
          <w:rFonts w:eastAsia="Calibri" w:cs="Arial"/>
        </w:rPr>
        <w:t xml:space="preserve">. </w:t>
      </w:r>
      <w:r w:rsidR="00E94518" w:rsidRPr="00873783">
        <w:rPr>
          <w:rFonts w:eastAsia="Calibri" w:cs="Arial"/>
        </w:rPr>
        <w:t>MZe přesto uvedené plnění akceptovalo a n</w:t>
      </w:r>
      <w:r w:rsidR="0057081D">
        <w:rPr>
          <w:rFonts w:eastAsia="Calibri" w:cs="Arial"/>
        </w:rPr>
        <w:t xml:space="preserve">ásledně </w:t>
      </w:r>
      <w:proofErr w:type="gramStart"/>
      <w:r w:rsidR="0057081D">
        <w:rPr>
          <w:rFonts w:eastAsia="Calibri" w:cs="Arial"/>
        </w:rPr>
        <w:t>proplatilo</w:t>
      </w:r>
      <w:proofErr w:type="gramEnd"/>
      <w:r w:rsidR="0057081D">
        <w:rPr>
          <w:rFonts w:eastAsia="Calibri" w:cs="Arial"/>
        </w:rPr>
        <w:t xml:space="preserve"> ze zdrojů OP </w:t>
      </w:r>
      <w:r w:rsidR="00E94518" w:rsidRPr="00873783">
        <w:rPr>
          <w:rFonts w:eastAsia="Calibri" w:cs="Arial"/>
        </w:rPr>
        <w:t xml:space="preserve">Rybářství, čímž se dopustilo porušení rozpočtové kázně až ve výši 277 283 Kč. </w:t>
      </w:r>
    </w:p>
    <w:p w:rsidR="0025140C" w:rsidRPr="00873783" w:rsidRDefault="004F33A2" w:rsidP="00873783">
      <w:pPr>
        <w:numPr>
          <w:ilvl w:val="0"/>
          <w:numId w:val="7"/>
        </w:numPr>
        <w:spacing w:line="240" w:lineRule="auto"/>
        <w:ind w:left="720"/>
        <w:jc w:val="both"/>
        <w:rPr>
          <w:rFonts w:eastAsia="Times New Roman" w:cs="Arial"/>
          <w:bCs/>
        </w:rPr>
      </w:pPr>
      <w:r w:rsidRPr="00873783">
        <w:rPr>
          <w:rFonts w:eastAsia="Calibri" w:cs="Arial"/>
        </w:rPr>
        <w:t xml:space="preserve">V rámci projektu </w:t>
      </w:r>
      <w:r w:rsidRPr="000953A6">
        <w:rPr>
          <w:rFonts w:eastAsia="Calibri" w:cs="Arial"/>
          <w:i/>
        </w:rPr>
        <w:t>Ryba domácí</w:t>
      </w:r>
      <w:r w:rsidR="0025140C" w:rsidRPr="00873783">
        <w:rPr>
          <w:rFonts w:eastAsia="Calibri" w:cs="Arial"/>
        </w:rPr>
        <w:t xml:space="preserve"> byla</w:t>
      </w:r>
      <w:r w:rsidRPr="00873783">
        <w:rPr>
          <w:rFonts w:eastAsia="Calibri" w:cs="Arial"/>
        </w:rPr>
        <w:t xml:space="preserve"> financována též infolinka, která byla určena pro krizovou komunikaci v případě poplašných zpráv ohledně závadnosti rybího masa. Tato informační linka však nebyla téměř využívána a při rozpočtení nákladů na její provoz představovala průměrná cena na jeden dotaz </w:t>
      </w:r>
      <w:r w:rsidR="00B45A2B" w:rsidRPr="00873783">
        <w:rPr>
          <w:rFonts w:eastAsia="Calibri" w:cs="Arial"/>
        </w:rPr>
        <w:t xml:space="preserve">v roce 2008 </w:t>
      </w:r>
      <w:r w:rsidRPr="00873783">
        <w:rPr>
          <w:rFonts w:eastAsia="Calibri" w:cs="Arial"/>
        </w:rPr>
        <w:t xml:space="preserve">8 742 Kč vč. DPH. </w:t>
      </w:r>
      <w:r w:rsidR="00B45A2B" w:rsidRPr="00873783">
        <w:rPr>
          <w:rFonts w:eastAsia="Calibri" w:cs="Arial"/>
        </w:rPr>
        <w:t>P</w:t>
      </w:r>
      <w:r w:rsidRPr="00873783">
        <w:rPr>
          <w:rFonts w:eastAsia="Calibri" w:cs="Arial"/>
        </w:rPr>
        <w:t xml:space="preserve">růměrná cena za jeden dotaz </w:t>
      </w:r>
      <w:r w:rsidR="00B45A2B" w:rsidRPr="00873783">
        <w:rPr>
          <w:rFonts w:eastAsia="Calibri" w:cs="Arial"/>
        </w:rPr>
        <w:t>v roce 2009 činila</w:t>
      </w:r>
      <w:r w:rsidRPr="00873783">
        <w:rPr>
          <w:rFonts w:eastAsia="Calibri" w:cs="Arial"/>
        </w:rPr>
        <w:t xml:space="preserve"> 1 160 Kč vč. DPH.</w:t>
      </w:r>
      <w:r w:rsidR="00E14633" w:rsidRPr="00873783">
        <w:rPr>
          <w:rFonts w:eastAsia="Calibri" w:cs="Arial"/>
        </w:rPr>
        <w:t xml:space="preserve"> </w:t>
      </w:r>
      <w:r w:rsidR="00304814" w:rsidRPr="00873783">
        <w:rPr>
          <w:rFonts w:eastAsia="Calibri" w:cs="Arial"/>
        </w:rPr>
        <w:t>MZe tuto aktivitu zrušilo na základě doporučení dodavatele, avšak až po 10 měsících provozu této linky.</w:t>
      </w:r>
    </w:p>
    <w:p w:rsidR="004F33A2" w:rsidRPr="00873783" w:rsidRDefault="004F33A2" w:rsidP="00873783">
      <w:pPr>
        <w:numPr>
          <w:ilvl w:val="0"/>
          <w:numId w:val="7"/>
        </w:numPr>
        <w:spacing w:line="240" w:lineRule="auto"/>
        <w:ind w:left="720"/>
        <w:jc w:val="both"/>
        <w:rPr>
          <w:rFonts w:eastAsia="Times New Roman" w:cs="Arial"/>
          <w:bCs/>
        </w:rPr>
      </w:pPr>
      <w:proofErr w:type="spellStart"/>
      <w:r w:rsidRPr="00873783">
        <w:rPr>
          <w:rFonts w:eastAsia="Calibri" w:cs="Arial"/>
          <w:lang w:eastAsia="ar-SA"/>
        </w:rPr>
        <w:t>MZe</w:t>
      </w:r>
      <w:proofErr w:type="spellEnd"/>
      <w:r w:rsidRPr="00873783">
        <w:rPr>
          <w:rFonts w:eastAsia="Calibri" w:cs="Arial"/>
          <w:lang w:eastAsia="ar-SA"/>
        </w:rPr>
        <w:t xml:space="preserve"> ani SZIF neověřoval</w:t>
      </w:r>
      <w:r w:rsidR="005B2ECE">
        <w:rPr>
          <w:rFonts w:eastAsia="Calibri" w:cs="Arial"/>
          <w:lang w:eastAsia="ar-SA"/>
        </w:rPr>
        <w:t>y</w:t>
      </w:r>
      <w:r w:rsidRPr="00873783">
        <w:rPr>
          <w:rFonts w:eastAsia="Calibri" w:cs="Arial"/>
          <w:lang w:eastAsia="ar-SA"/>
        </w:rPr>
        <w:t xml:space="preserve"> přiměřenost a účelnost výdajů předkládaných dodavatelem k úhradě. V rámci kontrolovaných etap projektu </w:t>
      </w:r>
      <w:r w:rsidRPr="000953A6">
        <w:rPr>
          <w:rFonts w:eastAsia="Calibri" w:cs="Arial"/>
          <w:i/>
          <w:lang w:eastAsia="ar-SA"/>
        </w:rPr>
        <w:t>Ryba domácí</w:t>
      </w:r>
      <w:r w:rsidRPr="00873783">
        <w:rPr>
          <w:rFonts w:eastAsia="Calibri" w:cs="Arial"/>
          <w:lang w:eastAsia="ar-SA"/>
        </w:rPr>
        <w:t xml:space="preserve"> bylo uspořádáno také 13 propagačních akcí, jejichž součástí byla kuchařská show, a dále proběhly menší akce na 39 výlovech rybníků. Při těchto příležitostech měli účastníci možnost vyhrát drobné dárky na kole štěstí. Jen za najaté kuchařské vybavení bylo přitom proplaceno 300 000 Kč a výroba a oprava několika kol štěstí stál</w:t>
      </w:r>
      <w:r w:rsidR="005B2ECE">
        <w:rPr>
          <w:rFonts w:eastAsia="Calibri" w:cs="Arial"/>
          <w:lang w:eastAsia="ar-SA"/>
        </w:rPr>
        <w:t>y</w:t>
      </w:r>
      <w:r w:rsidRPr="00873783">
        <w:rPr>
          <w:rFonts w:eastAsia="Calibri" w:cs="Arial"/>
          <w:lang w:eastAsia="ar-SA"/>
        </w:rPr>
        <w:t xml:space="preserve"> 360 600 Kč. </w:t>
      </w:r>
    </w:p>
    <w:p w:rsidR="004F33A2" w:rsidRPr="00873783" w:rsidRDefault="004F33A2" w:rsidP="00873783">
      <w:pPr>
        <w:numPr>
          <w:ilvl w:val="0"/>
          <w:numId w:val="7"/>
        </w:numPr>
        <w:spacing w:line="240" w:lineRule="auto"/>
        <w:ind w:left="720"/>
        <w:jc w:val="both"/>
        <w:rPr>
          <w:rFonts w:eastAsia="Times New Roman" w:cs="Arial"/>
          <w:bCs/>
        </w:rPr>
      </w:pPr>
      <w:r w:rsidRPr="00873783">
        <w:rPr>
          <w:rFonts w:eastAsia="Calibri" w:cs="Arial"/>
        </w:rPr>
        <w:t xml:space="preserve">Projekt </w:t>
      </w:r>
      <w:r w:rsidRPr="000953A6">
        <w:rPr>
          <w:rFonts w:eastAsia="Calibri" w:cs="Arial"/>
          <w:i/>
        </w:rPr>
        <w:t>Ryba domácí</w:t>
      </w:r>
      <w:r w:rsidRPr="00873783">
        <w:rPr>
          <w:rFonts w:eastAsia="Calibri" w:cs="Arial"/>
        </w:rPr>
        <w:t xml:space="preserve"> byl ukončen k 31. prosinci 2011. Samotné vytvoření loga „Ryba domácí“ stálo 1 200 000 Kč bez DPH. V rámci navazující komunikační kampaně přitom </w:t>
      </w:r>
      <w:proofErr w:type="spellStart"/>
      <w:r w:rsidRPr="00873783">
        <w:rPr>
          <w:rFonts w:eastAsia="Calibri" w:cs="Arial"/>
        </w:rPr>
        <w:t>MZe</w:t>
      </w:r>
      <w:proofErr w:type="spellEnd"/>
      <w:r w:rsidRPr="00873783">
        <w:rPr>
          <w:rFonts w:eastAsia="Calibri" w:cs="Arial"/>
        </w:rPr>
        <w:t xml:space="preserve"> plánovalo</w:t>
      </w:r>
      <w:r w:rsidR="00D57662">
        <w:rPr>
          <w:rFonts w:eastAsia="Calibri" w:cs="Arial"/>
        </w:rPr>
        <w:t xml:space="preserve"> </w:t>
      </w:r>
      <w:r w:rsidRPr="00873783">
        <w:rPr>
          <w:rFonts w:eastAsia="Calibri" w:cs="Arial"/>
        </w:rPr>
        <w:t>vytvořit novou značku „Ryba sladkých vod“ a vynaložit další prostředky na její zpracování a prezentaci veřejnosti. Podle informací zveřejněných po ukončení kontroly však MZe nehodlá v další komunikační kampani pokračovat.</w:t>
      </w:r>
    </w:p>
    <w:p w:rsidR="004F33A2" w:rsidRPr="00873783" w:rsidRDefault="004F33A2" w:rsidP="00873783">
      <w:pPr>
        <w:spacing w:line="240" w:lineRule="auto"/>
        <w:rPr>
          <w:rFonts w:eastAsia="Times New Roman" w:cs="Arial"/>
          <w:bCs/>
        </w:rPr>
      </w:pPr>
    </w:p>
    <w:p w:rsidR="004F33A2" w:rsidRPr="00873783" w:rsidRDefault="004F33A2" w:rsidP="00873783">
      <w:pPr>
        <w:spacing w:line="240" w:lineRule="auto"/>
        <w:rPr>
          <w:rFonts w:eastAsia="Times New Roman" w:cs="Arial"/>
          <w:bCs/>
        </w:rPr>
      </w:pPr>
    </w:p>
    <w:p w:rsidR="005B2ECE" w:rsidRDefault="005B2ECE">
      <w:pPr>
        <w:rPr>
          <w:rFonts w:eastAsia="Times New Roman" w:cs="Arial"/>
          <w:b/>
          <w:bCs/>
          <w:sz w:val="24"/>
          <w:szCs w:val="24"/>
        </w:rPr>
      </w:pPr>
      <w:r>
        <w:rPr>
          <w:rFonts w:eastAsia="Times New Roman" w:cs="Arial"/>
          <w:b/>
          <w:bCs/>
          <w:sz w:val="24"/>
          <w:szCs w:val="24"/>
        </w:rPr>
        <w:br w:type="page"/>
      </w:r>
    </w:p>
    <w:p w:rsidR="004F33A2" w:rsidRPr="000953A6" w:rsidRDefault="004F33A2" w:rsidP="00873783">
      <w:pPr>
        <w:spacing w:line="240" w:lineRule="auto"/>
        <w:jc w:val="center"/>
        <w:rPr>
          <w:rFonts w:eastAsia="Times New Roman" w:cs="Arial"/>
          <w:b/>
          <w:bCs/>
          <w:sz w:val="24"/>
          <w:szCs w:val="24"/>
        </w:rPr>
      </w:pPr>
      <w:r w:rsidRPr="000953A6">
        <w:rPr>
          <w:rFonts w:eastAsia="Times New Roman" w:cs="Arial"/>
          <w:b/>
          <w:bCs/>
          <w:sz w:val="24"/>
          <w:szCs w:val="24"/>
        </w:rPr>
        <w:lastRenderedPageBreak/>
        <w:t>IV. Shrnutí a vyhodnocení</w:t>
      </w:r>
    </w:p>
    <w:p w:rsidR="004F33A2" w:rsidRPr="00873783" w:rsidRDefault="004F33A2" w:rsidP="00873783">
      <w:pPr>
        <w:spacing w:line="240" w:lineRule="auto"/>
        <w:jc w:val="both"/>
        <w:rPr>
          <w:rFonts w:eastAsia="Times New Roman" w:cs="Arial"/>
          <w:color w:val="000000"/>
        </w:rPr>
      </w:pPr>
    </w:p>
    <w:p w:rsidR="004F33A2" w:rsidRPr="00873783" w:rsidRDefault="004F33A2" w:rsidP="00873783">
      <w:pPr>
        <w:spacing w:line="240" w:lineRule="auto"/>
        <w:jc w:val="both"/>
        <w:rPr>
          <w:rFonts w:eastAsia="Times New Roman" w:cs="Arial"/>
          <w:color w:val="000000"/>
          <w:lang w:eastAsia="cs-CZ"/>
        </w:rPr>
      </w:pPr>
      <w:r w:rsidRPr="00873783">
        <w:rPr>
          <w:rFonts w:eastAsia="Times New Roman" w:cs="Arial"/>
          <w:color w:val="000000"/>
        </w:rPr>
        <w:t xml:space="preserve">NKÚ prověřil více než pětinu výdajů proplacených příjemcům podpory v rámci OPR do konce roku 2013, a to částku </w:t>
      </w:r>
      <w:r w:rsidRPr="00873783">
        <w:rPr>
          <w:rFonts w:eastAsia="Times New Roman" w:cs="Arial"/>
          <w:color w:val="000000"/>
          <w:lang w:eastAsia="cs-CZ"/>
        </w:rPr>
        <w:t>128 516 151 Kč. Pro účely vyhodnocení významnosti zjištěných nezpůsobilých výdajů byla stanovena hladina významnosti na úrovni 2 % z uvedené částky, tj. 2 570 323 Kč.</w:t>
      </w:r>
    </w:p>
    <w:p w:rsidR="004F33A2" w:rsidRPr="00873783" w:rsidRDefault="004F33A2" w:rsidP="00873783">
      <w:pPr>
        <w:spacing w:line="240" w:lineRule="auto"/>
        <w:jc w:val="both"/>
        <w:rPr>
          <w:rFonts w:eastAsia="Times New Roman" w:cs="Arial"/>
          <w:color w:val="000000"/>
          <w:lang w:eastAsia="cs-CZ"/>
        </w:rPr>
      </w:pPr>
    </w:p>
    <w:p w:rsidR="004F33A2" w:rsidRPr="00873783" w:rsidRDefault="004F33A2" w:rsidP="00873783">
      <w:pPr>
        <w:spacing w:line="240" w:lineRule="auto"/>
        <w:jc w:val="both"/>
        <w:rPr>
          <w:rFonts w:eastAsia="Times New Roman" w:cs="Arial"/>
          <w:color w:val="000000"/>
          <w:lang w:eastAsia="cs-CZ"/>
        </w:rPr>
      </w:pPr>
      <w:r w:rsidRPr="00873783">
        <w:rPr>
          <w:rFonts w:eastAsia="Times New Roman" w:cs="Arial"/>
          <w:color w:val="000000"/>
          <w:lang w:eastAsia="cs-CZ"/>
        </w:rPr>
        <w:t>U kontrolovaného vzorku 33 projektů byly zjištěny nezpůsobilé výdaje ve výši 2 035 448 Kč</w:t>
      </w:r>
      <w:r w:rsidR="005B2ECE">
        <w:rPr>
          <w:rFonts w:eastAsia="Times New Roman" w:cs="Arial"/>
          <w:color w:val="000000"/>
          <w:lang w:eastAsia="cs-CZ"/>
        </w:rPr>
        <w:t>,</w:t>
      </w:r>
      <w:r w:rsidRPr="00873783">
        <w:rPr>
          <w:rFonts w:eastAsia="Times New Roman" w:cs="Arial"/>
          <w:color w:val="000000"/>
          <w:lang w:eastAsia="cs-CZ"/>
        </w:rPr>
        <w:t xml:space="preserve"> a stanovená hladina významnosti </w:t>
      </w:r>
      <w:r w:rsidR="005B2ECE">
        <w:rPr>
          <w:rFonts w:eastAsia="Times New Roman" w:cs="Arial"/>
          <w:color w:val="000000"/>
          <w:lang w:eastAsia="cs-CZ"/>
        </w:rPr>
        <w:t>tedy</w:t>
      </w:r>
      <w:r w:rsidRPr="00873783">
        <w:rPr>
          <w:rFonts w:eastAsia="Times New Roman" w:cs="Arial"/>
          <w:color w:val="000000"/>
          <w:lang w:eastAsia="cs-CZ"/>
        </w:rPr>
        <w:t xml:space="preserve"> nebyla překročena. NKÚ zjistil, že vyšší chybovost a zároveň selhá</w:t>
      </w:r>
      <w:r w:rsidR="005B2ECE">
        <w:rPr>
          <w:rFonts w:eastAsia="Times New Roman" w:cs="Arial"/>
          <w:color w:val="000000"/>
          <w:lang w:eastAsia="cs-CZ"/>
        </w:rPr>
        <w:t>vá</w:t>
      </w:r>
      <w:r w:rsidRPr="00873783">
        <w:rPr>
          <w:rFonts w:eastAsia="Times New Roman" w:cs="Arial"/>
          <w:color w:val="000000"/>
          <w:lang w:eastAsia="cs-CZ"/>
        </w:rPr>
        <w:t>ní kontrolního mechanismu nastával</w:t>
      </w:r>
      <w:r w:rsidR="005B2ECE">
        <w:rPr>
          <w:rFonts w:eastAsia="Times New Roman" w:cs="Arial"/>
          <w:color w:val="000000"/>
          <w:lang w:eastAsia="cs-CZ"/>
        </w:rPr>
        <w:t>y</w:t>
      </w:r>
      <w:r w:rsidRPr="00873783">
        <w:rPr>
          <w:rFonts w:eastAsia="Times New Roman" w:cs="Arial"/>
          <w:color w:val="000000"/>
          <w:lang w:eastAsia="cs-CZ"/>
        </w:rPr>
        <w:t xml:space="preserve"> především v situaci, kdy příjemcem podpory bylo samo Ministerstvo zemědělství.</w:t>
      </w:r>
    </w:p>
    <w:p w:rsidR="004F33A2" w:rsidRPr="00873783" w:rsidRDefault="004F33A2" w:rsidP="00873783">
      <w:pPr>
        <w:spacing w:line="240" w:lineRule="auto"/>
        <w:jc w:val="both"/>
        <w:rPr>
          <w:rFonts w:eastAsia="Times New Roman" w:cs="Arial"/>
          <w:color w:val="000000"/>
          <w:lang w:eastAsia="cs-CZ"/>
        </w:rPr>
      </w:pPr>
    </w:p>
    <w:p w:rsidR="00943DE6" w:rsidRPr="00873783" w:rsidRDefault="004F33A2" w:rsidP="00873783">
      <w:pPr>
        <w:spacing w:line="240" w:lineRule="auto"/>
        <w:jc w:val="both"/>
        <w:rPr>
          <w:rFonts w:eastAsia="Times New Roman" w:cs="Arial"/>
          <w:color w:val="000000"/>
          <w:lang w:eastAsia="cs-CZ"/>
        </w:rPr>
      </w:pPr>
      <w:r w:rsidRPr="00873783">
        <w:rPr>
          <w:rFonts w:eastAsia="Times New Roman" w:cs="Arial"/>
          <w:color w:val="000000"/>
          <w:lang w:eastAsia="cs-CZ"/>
        </w:rPr>
        <w:t xml:space="preserve">Většina chyb s finančním dopadem byla zjištěna u projektu </w:t>
      </w:r>
      <w:r w:rsidRPr="000953A6">
        <w:rPr>
          <w:rFonts w:eastAsia="Times New Roman" w:cs="Arial"/>
          <w:i/>
          <w:color w:val="000000"/>
          <w:lang w:eastAsia="cs-CZ"/>
        </w:rPr>
        <w:t>Ryba domácí</w:t>
      </w:r>
      <w:r w:rsidRPr="00873783">
        <w:rPr>
          <w:rFonts w:eastAsia="Times New Roman" w:cs="Arial"/>
          <w:color w:val="000000"/>
          <w:lang w:eastAsia="cs-CZ"/>
        </w:rPr>
        <w:t xml:space="preserve">. Při jeho realizaci se MZe dopustilo porušení rozpočtové kázně až </w:t>
      </w:r>
      <w:r w:rsidR="00E94518" w:rsidRPr="00873783">
        <w:rPr>
          <w:rFonts w:eastAsia="Times New Roman" w:cs="Arial"/>
          <w:color w:val="000000"/>
          <w:lang w:eastAsia="cs-CZ"/>
        </w:rPr>
        <w:t>ve výši</w:t>
      </w:r>
      <w:r w:rsidRPr="00873783">
        <w:rPr>
          <w:rFonts w:eastAsia="Times New Roman" w:cs="Arial"/>
          <w:color w:val="000000"/>
          <w:lang w:eastAsia="cs-CZ"/>
        </w:rPr>
        <w:t xml:space="preserve"> 1 777 283 Kč tím, že dodavateli proplatilo i činnosti bez jakéhokoliv prokazatelného plnění </w:t>
      </w:r>
      <w:r w:rsidR="005B2ECE">
        <w:rPr>
          <w:rFonts w:eastAsia="Times New Roman" w:cs="Arial"/>
          <w:color w:val="000000"/>
          <w:lang w:eastAsia="cs-CZ"/>
        </w:rPr>
        <w:t>nebo</w:t>
      </w:r>
      <w:r w:rsidRPr="00873783">
        <w:rPr>
          <w:rFonts w:eastAsia="Times New Roman" w:cs="Arial"/>
          <w:color w:val="000000"/>
          <w:lang w:eastAsia="cs-CZ"/>
        </w:rPr>
        <w:t xml:space="preserve"> činnosti, které nespadaly do</w:t>
      </w:r>
      <w:r w:rsidR="005B2ECE">
        <w:rPr>
          <w:rFonts w:eastAsia="Times New Roman" w:cs="Arial"/>
          <w:color w:val="000000"/>
          <w:lang w:eastAsia="cs-CZ"/>
        </w:rPr>
        <w:t xml:space="preserve"> </w:t>
      </w:r>
      <w:r w:rsidRPr="00873783">
        <w:rPr>
          <w:rFonts w:eastAsia="Times New Roman" w:cs="Arial"/>
          <w:color w:val="000000"/>
          <w:lang w:eastAsia="cs-CZ"/>
        </w:rPr>
        <w:t xml:space="preserve">kategorie způsobilých výdajů. </w:t>
      </w:r>
      <w:r w:rsidR="00943DE6" w:rsidRPr="00873783">
        <w:rPr>
          <w:rFonts w:eastAsia="Times New Roman" w:cs="Arial"/>
          <w:color w:val="000000"/>
          <w:lang w:eastAsia="cs-CZ"/>
        </w:rPr>
        <w:t xml:space="preserve">Z uvedené </w:t>
      </w:r>
      <w:r w:rsidR="00882CD8" w:rsidRPr="00873783">
        <w:rPr>
          <w:rFonts w:eastAsia="Times New Roman" w:cs="Arial"/>
          <w:color w:val="000000"/>
          <w:lang w:eastAsia="cs-CZ"/>
        </w:rPr>
        <w:t xml:space="preserve">částky byly nedostatky ve výši </w:t>
      </w:r>
      <w:r w:rsidR="00984B93" w:rsidRPr="00873783">
        <w:rPr>
          <w:rFonts w:eastAsia="Times New Roman" w:cs="Arial"/>
          <w:color w:val="000000"/>
          <w:lang w:eastAsia="cs-CZ"/>
        </w:rPr>
        <w:t>1 332 962 Kč (podíl prostředků EU) kvalifikovány zároveň jako nesrovnalost ve smyslu evropských předpisů</w:t>
      </w:r>
      <w:r w:rsidR="00984B93" w:rsidRPr="00873783">
        <w:rPr>
          <w:rStyle w:val="Znakapoznpodarou"/>
          <w:rFonts w:eastAsia="Times New Roman" w:cs="Arial"/>
          <w:color w:val="000000"/>
          <w:lang w:eastAsia="cs-CZ"/>
        </w:rPr>
        <w:footnoteReference w:id="21"/>
      </w:r>
      <w:r w:rsidR="00984B93" w:rsidRPr="00873783">
        <w:rPr>
          <w:rFonts w:eastAsia="Times New Roman" w:cs="Arial"/>
          <w:color w:val="000000"/>
          <w:lang w:eastAsia="cs-CZ"/>
        </w:rPr>
        <w:t>.</w:t>
      </w:r>
    </w:p>
    <w:p w:rsidR="00943DE6" w:rsidRPr="00873783" w:rsidRDefault="00943DE6" w:rsidP="00873783">
      <w:pPr>
        <w:spacing w:line="240" w:lineRule="auto"/>
        <w:jc w:val="both"/>
        <w:rPr>
          <w:rFonts w:eastAsia="Times New Roman" w:cs="Arial"/>
          <w:color w:val="000000"/>
          <w:lang w:eastAsia="cs-CZ"/>
        </w:rPr>
      </w:pPr>
    </w:p>
    <w:p w:rsidR="004F33A2" w:rsidRPr="00873783" w:rsidRDefault="004F33A2" w:rsidP="00873783">
      <w:pPr>
        <w:spacing w:line="240" w:lineRule="auto"/>
        <w:jc w:val="both"/>
        <w:rPr>
          <w:rFonts w:eastAsia="Calibri" w:cs="Arial"/>
          <w:color w:val="000000"/>
          <w:lang w:eastAsia="ar-SA"/>
        </w:rPr>
      </w:pPr>
      <w:r w:rsidRPr="00873783">
        <w:rPr>
          <w:rFonts w:eastAsia="Times New Roman" w:cs="Arial"/>
          <w:color w:val="000000"/>
          <w:lang w:eastAsia="cs-CZ"/>
        </w:rPr>
        <w:t xml:space="preserve">V rámci projektu </w:t>
      </w:r>
      <w:r w:rsidRPr="000953A6">
        <w:rPr>
          <w:rFonts w:eastAsia="Times New Roman" w:cs="Arial"/>
          <w:i/>
          <w:color w:val="000000"/>
          <w:lang w:eastAsia="cs-CZ"/>
        </w:rPr>
        <w:t>Ryba domácí</w:t>
      </w:r>
      <w:r w:rsidRPr="00873783">
        <w:rPr>
          <w:rFonts w:eastAsia="Times New Roman" w:cs="Arial"/>
          <w:color w:val="000000"/>
          <w:lang w:eastAsia="cs-CZ"/>
        </w:rPr>
        <w:t xml:space="preserve"> </w:t>
      </w:r>
      <w:proofErr w:type="spellStart"/>
      <w:r w:rsidRPr="00873783">
        <w:rPr>
          <w:rFonts w:eastAsia="Times New Roman" w:cs="Arial"/>
          <w:color w:val="000000"/>
          <w:lang w:eastAsia="cs-CZ"/>
        </w:rPr>
        <w:t>MZe</w:t>
      </w:r>
      <w:proofErr w:type="spellEnd"/>
      <w:r w:rsidRPr="00873783">
        <w:rPr>
          <w:rFonts w:eastAsia="Times New Roman" w:cs="Arial"/>
          <w:color w:val="000000"/>
          <w:lang w:eastAsia="cs-CZ"/>
        </w:rPr>
        <w:t xml:space="preserve"> ani SZIF neověřoval</w:t>
      </w:r>
      <w:r w:rsidR="005B2ECE">
        <w:rPr>
          <w:rFonts w:eastAsia="Times New Roman" w:cs="Arial"/>
          <w:color w:val="000000"/>
          <w:lang w:eastAsia="cs-CZ"/>
        </w:rPr>
        <w:t>y</w:t>
      </w:r>
      <w:r w:rsidRPr="00873783">
        <w:rPr>
          <w:rFonts w:eastAsia="Times New Roman" w:cs="Arial"/>
          <w:color w:val="000000"/>
          <w:lang w:eastAsia="cs-CZ"/>
        </w:rPr>
        <w:t xml:space="preserve"> přiměřenost </w:t>
      </w:r>
      <w:r w:rsidRPr="00873783">
        <w:rPr>
          <w:rFonts w:eastAsia="Calibri" w:cs="Arial"/>
          <w:color w:val="000000"/>
          <w:lang w:eastAsia="ar-SA"/>
        </w:rPr>
        <w:t>a účelnost výdajů předkládaných dodavatelem k úhradě. Z dostupných informačních zdrojů přitom nelze objektivně vyhodnotit, zda byly naplněny stanovené cíle projektu.</w:t>
      </w:r>
    </w:p>
    <w:p w:rsidR="004F33A2" w:rsidRPr="00873783" w:rsidRDefault="004F33A2" w:rsidP="00873783">
      <w:pPr>
        <w:spacing w:line="240" w:lineRule="auto"/>
        <w:jc w:val="both"/>
        <w:rPr>
          <w:rFonts w:eastAsia="Calibri" w:cs="Arial"/>
          <w:color w:val="000000"/>
          <w:lang w:eastAsia="ar-SA"/>
        </w:rPr>
      </w:pPr>
    </w:p>
    <w:p w:rsidR="004F33A2" w:rsidRPr="00873783" w:rsidRDefault="004F33A2" w:rsidP="00873783">
      <w:pPr>
        <w:spacing w:line="240" w:lineRule="auto"/>
        <w:jc w:val="both"/>
        <w:rPr>
          <w:rFonts w:eastAsia="Times New Roman" w:cs="Arial"/>
          <w:color w:val="000000"/>
          <w:lang w:eastAsia="cs-CZ"/>
        </w:rPr>
      </w:pPr>
      <w:r w:rsidRPr="00873783">
        <w:rPr>
          <w:rFonts w:eastAsia="Times New Roman" w:cs="Arial"/>
          <w:color w:val="000000"/>
          <w:lang w:eastAsia="cs-CZ"/>
        </w:rPr>
        <w:t xml:space="preserve">Oblast monitorování v OPR vykazuje závažné nedostatky, kvůli kterým nebude možné objektivně vyhodnotit skutečný efekt operačního programu. Z dosavadního vývoje realizace OPR lze </w:t>
      </w:r>
      <w:r w:rsidR="005B2ECE">
        <w:rPr>
          <w:rFonts w:eastAsia="Times New Roman" w:cs="Arial"/>
          <w:color w:val="000000"/>
          <w:lang w:eastAsia="cs-CZ"/>
        </w:rPr>
        <w:t>usuzovat</w:t>
      </w:r>
      <w:r w:rsidRPr="00873783">
        <w:rPr>
          <w:rFonts w:eastAsia="Times New Roman" w:cs="Arial"/>
          <w:color w:val="000000"/>
          <w:lang w:eastAsia="cs-CZ"/>
        </w:rPr>
        <w:t>, že finanční alokace bude z převážné části vyčerpána, avšak dva ze</w:t>
      </w:r>
      <w:r w:rsidR="00441CD7">
        <w:rPr>
          <w:rFonts w:eastAsia="Times New Roman" w:cs="Arial"/>
          <w:color w:val="000000"/>
          <w:lang w:eastAsia="cs-CZ"/>
        </w:rPr>
        <w:t xml:space="preserve"> </w:t>
      </w:r>
      <w:r w:rsidRPr="00873783">
        <w:rPr>
          <w:rFonts w:eastAsia="Times New Roman" w:cs="Arial"/>
          <w:color w:val="000000"/>
          <w:lang w:eastAsia="cs-CZ"/>
        </w:rPr>
        <w:t>tří celkových cílů operačního programu nebudou dosaženy</w:t>
      </w:r>
      <w:r w:rsidR="0056409C" w:rsidRPr="00873783">
        <w:rPr>
          <w:rFonts w:eastAsia="Times New Roman" w:cs="Arial"/>
          <w:color w:val="000000"/>
          <w:lang w:eastAsia="cs-CZ"/>
        </w:rPr>
        <w:t xml:space="preserve"> (konkrétně cíl </w:t>
      </w:r>
      <w:r w:rsidR="0056409C" w:rsidRPr="000953A6">
        <w:rPr>
          <w:rFonts w:eastAsia="Times New Roman" w:cs="Arial"/>
          <w:color w:val="000000"/>
          <w:lang w:eastAsia="cs-CZ"/>
        </w:rPr>
        <w:t>„podpora ochrany a</w:t>
      </w:r>
      <w:r w:rsidR="00441CD7">
        <w:rPr>
          <w:rFonts w:eastAsia="Times New Roman" w:cs="Arial"/>
          <w:color w:val="000000"/>
          <w:lang w:eastAsia="cs-CZ"/>
        </w:rPr>
        <w:t> </w:t>
      </w:r>
      <w:r w:rsidR="0056409C" w:rsidRPr="000953A6">
        <w:rPr>
          <w:rFonts w:eastAsia="Times New Roman" w:cs="Arial"/>
          <w:color w:val="000000"/>
          <w:lang w:eastAsia="cs-CZ"/>
        </w:rPr>
        <w:t>zlepšování životního prostředí a přírodních zdrojů“</w:t>
      </w:r>
      <w:r w:rsidR="0056409C" w:rsidRPr="00873783">
        <w:rPr>
          <w:rFonts w:eastAsia="Times New Roman" w:cs="Arial"/>
          <w:color w:val="000000"/>
          <w:lang w:eastAsia="cs-CZ"/>
        </w:rPr>
        <w:t xml:space="preserve"> a cíl </w:t>
      </w:r>
      <w:r w:rsidR="0056409C" w:rsidRPr="000953A6">
        <w:rPr>
          <w:rFonts w:eastAsia="Times New Roman" w:cs="Arial"/>
          <w:color w:val="000000"/>
          <w:lang w:eastAsia="cs-CZ"/>
        </w:rPr>
        <w:t>„posílení rovných práv žen a</w:t>
      </w:r>
      <w:r w:rsidR="00441CD7">
        <w:rPr>
          <w:rFonts w:eastAsia="Times New Roman" w:cs="Arial"/>
          <w:color w:val="000000"/>
          <w:lang w:eastAsia="cs-CZ"/>
        </w:rPr>
        <w:t> </w:t>
      </w:r>
      <w:r w:rsidR="0056409C" w:rsidRPr="000953A6">
        <w:rPr>
          <w:rFonts w:eastAsia="Times New Roman" w:cs="Arial"/>
          <w:color w:val="000000"/>
          <w:lang w:eastAsia="cs-CZ"/>
        </w:rPr>
        <w:t>mužů“</w:t>
      </w:r>
      <w:r w:rsidR="0056409C" w:rsidRPr="00873783">
        <w:rPr>
          <w:rFonts w:eastAsia="Times New Roman" w:cs="Arial"/>
          <w:color w:val="000000"/>
          <w:lang w:eastAsia="cs-CZ"/>
        </w:rPr>
        <w:t>)</w:t>
      </w:r>
      <w:r w:rsidRPr="00873783">
        <w:rPr>
          <w:rFonts w:eastAsia="Times New Roman" w:cs="Arial"/>
          <w:color w:val="000000"/>
          <w:lang w:eastAsia="cs-CZ"/>
        </w:rPr>
        <w:t>.</w:t>
      </w:r>
    </w:p>
    <w:p w:rsidR="004F33A2" w:rsidRPr="00873783" w:rsidRDefault="004F33A2" w:rsidP="00873783">
      <w:pPr>
        <w:spacing w:line="240" w:lineRule="auto"/>
        <w:jc w:val="both"/>
        <w:rPr>
          <w:rFonts w:eastAsia="Times New Roman" w:cs="Arial"/>
          <w:color w:val="000000"/>
          <w:lang w:eastAsia="cs-CZ"/>
        </w:rPr>
      </w:pPr>
    </w:p>
    <w:p w:rsidR="004F33A2" w:rsidRPr="00873783" w:rsidRDefault="004F33A2" w:rsidP="00873783">
      <w:pPr>
        <w:spacing w:line="240" w:lineRule="auto"/>
        <w:jc w:val="both"/>
        <w:rPr>
          <w:rFonts w:eastAsia="Times New Roman" w:cs="Arial"/>
          <w:color w:val="000000"/>
        </w:rPr>
      </w:pPr>
      <w:proofErr w:type="spellStart"/>
      <w:r w:rsidRPr="00873783">
        <w:rPr>
          <w:rFonts w:eastAsia="Times New Roman" w:cs="Arial"/>
          <w:color w:val="000000"/>
        </w:rPr>
        <w:t>MZe</w:t>
      </w:r>
      <w:proofErr w:type="spellEnd"/>
      <w:r w:rsidRPr="00873783">
        <w:rPr>
          <w:rFonts w:eastAsia="Times New Roman" w:cs="Arial"/>
          <w:color w:val="000000"/>
        </w:rPr>
        <w:t xml:space="preserve"> jakožto řídicí orgán OPR, který je celkově zodpovědný za správné a efektivní řízení </w:t>
      </w:r>
      <w:r w:rsidR="005B2ECE">
        <w:rPr>
          <w:rFonts w:eastAsia="Times New Roman" w:cs="Arial"/>
          <w:color w:val="000000"/>
        </w:rPr>
        <w:t>OPR</w:t>
      </w:r>
      <w:r w:rsidRPr="00873783">
        <w:rPr>
          <w:rFonts w:eastAsia="Times New Roman" w:cs="Arial"/>
          <w:color w:val="000000"/>
        </w:rPr>
        <w:t>, nezajistilo systém výběru projektů v souladu se zásadou řádného finančního řízení. Tuto skutečnost považuje NKÚ za významný nedostatek systému poskytování dotací z OPR, který konstatoval již v rámci kontrolní akce č. 09/12. MZe v tomto směru nepřijalo odpovídající nápravná opatření. V procesu hodnocení nejsou ve většině případů porovnávány předložené projekty z hlediska</w:t>
      </w:r>
      <w:r w:rsidR="005B2ECE">
        <w:rPr>
          <w:rFonts w:eastAsia="Times New Roman" w:cs="Arial"/>
          <w:color w:val="000000"/>
        </w:rPr>
        <w:t xml:space="preserve"> hospodárnosti, účelnosti a </w:t>
      </w:r>
      <w:r w:rsidRPr="00873783">
        <w:rPr>
          <w:rFonts w:eastAsia="Times New Roman" w:cs="Arial"/>
          <w:color w:val="000000"/>
        </w:rPr>
        <w:t xml:space="preserve">efektivnosti. Nastavený systém zároveň umožňoval, aby k financování byly vybrány projekty, které při hodnocení nezískaly žádný bod, nebo aby schválení projektu záviselo pouze na čase předložení žádosti o dotaci. </w:t>
      </w:r>
    </w:p>
    <w:p w:rsidR="004F33A2" w:rsidRPr="00873783" w:rsidRDefault="004F33A2" w:rsidP="00873783">
      <w:pPr>
        <w:spacing w:line="240" w:lineRule="auto"/>
        <w:jc w:val="both"/>
        <w:rPr>
          <w:rFonts w:eastAsia="Times New Roman" w:cs="Arial"/>
          <w:color w:val="000000"/>
        </w:rPr>
      </w:pPr>
    </w:p>
    <w:p w:rsidR="004F33A2" w:rsidRPr="00873783" w:rsidRDefault="004F33A2" w:rsidP="00873783">
      <w:pPr>
        <w:spacing w:line="240" w:lineRule="auto"/>
        <w:jc w:val="both"/>
        <w:rPr>
          <w:rFonts w:eastAsia="Times New Roman" w:cs="Arial"/>
          <w:b/>
          <w:color w:val="000000"/>
        </w:rPr>
      </w:pPr>
      <w:r w:rsidRPr="00873783">
        <w:rPr>
          <w:rFonts w:eastAsia="Times New Roman" w:cs="Arial"/>
          <w:b/>
          <w:color w:val="000000"/>
        </w:rPr>
        <w:t>NKÚ na základě prověření klíčových prvků ří</w:t>
      </w:r>
      <w:r w:rsidR="00FD0FF3">
        <w:rPr>
          <w:rFonts w:eastAsia="Times New Roman" w:cs="Arial"/>
          <w:b/>
          <w:color w:val="000000"/>
        </w:rPr>
        <w:t>dicího a </w:t>
      </w:r>
      <w:r w:rsidR="005B2ECE">
        <w:rPr>
          <w:rFonts w:eastAsia="Times New Roman" w:cs="Arial"/>
          <w:b/>
          <w:color w:val="000000"/>
        </w:rPr>
        <w:t>kontrolního systému OP </w:t>
      </w:r>
      <w:r w:rsidRPr="00873783">
        <w:rPr>
          <w:rFonts w:eastAsia="Times New Roman" w:cs="Arial"/>
          <w:b/>
          <w:color w:val="000000"/>
        </w:rPr>
        <w:t xml:space="preserve">Rybářství vyhodnotil tento systém </w:t>
      </w:r>
      <w:r w:rsidR="00A74AB0" w:rsidRPr="00873783">
        <w:rPr>
          <w:rFonts w:eastAsia="Times New Roman" w:cs="Arial"/>
          <w:b/>
          <w:color w:val="000000"/>
        </w:rPr>
        <w:t>jako částečně účinný.</w:t>
      </w:r>
    </w:p>
    <w:p w:rsidR="00B90AF7" w:rsidRPr="00873783" w:rsidRDefault="00B90AF7" w:rsidP="00873783">
      <w:pPr>
        <w:spacing w:line="240" w:lineRule="auto"/>
        <w:jc w:val="both"/>
        <w:rPr>
          <w:rFonts w:eastAsia="Times New Roman" w:cs="Arial"/>
          <w:b/>
          <w:color w:val="000000"/>
        </w:rPr>
      </w:pPr>
    </w:p>
    <w:p w:rsidR="00B70777" w:rsidRPr="00873783" w:rsidRDefault="004F33A2" w:rsidP="00873783">
      <w:pPr>
        <w:spacing w:line="240" w:lineRule="auto"/>
        <w:jc w:val="both"/>
        <w:rPr>
          <w:rFonts w:eastAsia="Times New Roman" w:cs="Arial"/>
          <w:b/>
          <w:color w:val="000000"/>
        </w:rPr>
      </w:pPr>
      <w:r w:rsidRPr="00873783">
        <w:rPr>
          <w:rFonts w:eastAsia="Times New Roman" w:cs="Arial"/>
          <w:b/>
          <w:color w:val="000000"/>
        </w:rPr>
        <w:t xml:space="preserve">Pro </w:t>
      </w:r>
      <w:r w:rsidR="00110EF4">
        <w:rPr>
          <w:rFonts w:eastAsia="Times New Roman" w:cs="Arial"/>
          <w:b/>
          <w:color w:val="000000"/>
        </w:rPr>
        <w:t>další</w:t>
      </w:r>
      <w:r w:rsidRPr="00873783">
        <w:rPr>
          <w:rFonts w:eastAsia="Times New Roman" w:cs="Arial"/>
          <w:b/>
          <w:color w:val="000000"/>
        </w:rPr>
        <w:t xml:space="preserve"> poskytování podpory z </w:t>
      </w:r>
      <w:r w:rsidRPr="000A50C9">
        <w:rPr>
          <w:rFonts w:eastAsia="Times New Roman" w:cs="Arial"/>
          <w:b/>
          <w:i/>
          <w:color w:val="000000"/>
        </w:rPr>
        <w:t>Evropského rybářského fondu</w:t>
      </w:r>
      <w:r w:rsidRPr="00873783">
        <w:rPr>
          <w:rFonts w:eastAsia="Times New Roman" w:cs="Arial"/>
          <w:b/>
          <w:color w:val="000000"/>
        </w:rPr>
        <w:t xml:space="preserve"> v programovém období 2014–2020 je nezbytné</w:t>
      </w:r>
      <w:r w:rsidR="00B90AF7" w:rsidRPr="00873783">
        <w:rPr>
          <w:rFonts w:eastAsia="Times New Roman" w:cs="Arial"/>
          <w:b/>
          <w:color w:val="000000"/>
        </w:rPr>
        <w:t xml:space="preserve"> stanovit pro jednotlivá opatření konkrétní, měřitelné a</w:t>
      </w:r>
      <w:r w:rsidR="00441CD7">
        <w:rPr>
          <w:rFonts w:eastAsia="Times New Roman" w:cs="Arial"/>
          <w:b/>
          <w:color w:val="000000"/>
        </w:rPr>
        <w:t> </w:t>
      </w:r>
      <w:r w:rsidR="00B90AF7" w:rsidRPr="00873783">
        <w:rPr>
          <w:rFonts w:eastAsia="Times New Roman" w:cs="Arial"/>
          <w:b/>
          <w:color w:val="000000"/>
        </w:rPr>
        <w:t xml:space="preserve">dosažitelné cíle, </w:t>
      </w:r>
      <w:r w:rsidR="005B2ECE">
        <w:rPr>
          <w:rFonts w:eastAsia="Times New Roman" w:cs="Arial"/>
          <w:b/>
          <w:color w:val="000000"/>
        </w:rPr>
        <w:t>nastavit</w:t>
      </w:r>
      <w:r w:rsidR="00B90AF7" w:rsidRPr="00873783">
        <w:rPr>
          <w:rFonts w:eastAsia="Times New Roman" w:cs="Arial"/>
          <w:b/>
          <w:color w:val="000000"/>
        </w:rPr>
        <w:t xml:space="preserve"> vhodné indikátory pro měření </w:t>
      </w:r>
      <w:r w:rsidR="00135B58" w:rsidRPr="00873783">
        <w:rPr>
          <w:rFonts w:eastAsia="Times New Roman" w:cs="Arial"/>
          <w:b/>
          <w:color w:val="000000"/>
        </w:rPr>
        <w:t>pokroku</w:t>
      </w:r>
      <w:r w:rsidR="005B2ECE">
        <w:rPr>
          <w:rFonts w:eastAsia="Times New Roman" w:cs="Arial"/>
          <w:b/>
          <w:color w:val="000000"/>
        </w:rPr>
        <w:t>,</w:t>
      </w:r>
      <w:r w:rsidR="00B90AF7" w:rsidRPr="00873783">
        <w:rPr>
          <w:rFonts w:eastAsia="Times New Roman" w:cs="Arial"/>
          <w:b/>
          <w:color w:val="000000"/>
        </w:rPr>
        <w:t xml:space="preserve"> zajistit</w:t>
      </w:r>
      <w:r w:rsidR="00135B58" w:rsidRPr="00873783">
        <w:rPr>
          <w:rFonts w:eastAsia="Times New Roman" w:cs="Arial"/>
          <w:b/>
          <w:color w:val="000000"/>
        </w:rPr>
        <w:t xml:space="preserve"> spolehlivý systém monitorování</w:t>
      </w:r>
      <w:r w:rsidR="0040039A" w:rsidRPr="00873783">
        <w:rPr>
          <w:rFonts w:eastAsia="Times New Roman" w:cs="Arial"/>
          <w:b/>
          <w:color w:val="000000"/>
        </w:rPr>
        <w:t>,</w:t>
      </w:r>
      <w:r w:rsidR="00B90AF7" w:rsidRPr="00873783">
        <w:rPr>
          <w:rFonts w:eastAsia="Times New Roman" w:cs="Arial"/>
          <w:b/>
          <w:color w:val="000000"/>
        </w:rPr>
        <w:t xml:space="preserve"> nastavit systém výběru projektů v souladu se zásadou řádného finančního řízení s důraz</w:t>
      </w:r>
      <w:r w:rsidR="00FD0FF3">
        <w:rPr>
          <w:rFonts w:eastAsia="Times New Roman" w:cs="Arial"/>
          <w:b/>
          <w:color w:val="000000"/>
        </w:rPr>
        <w:t>em na stanovené cíle programu a </w:t>
      </w:r>
      <w:r w:rsidR="00B90AF7" w:rsidRPr="00873783">
        <w:rPr>
          <w:rFonts w:eastAsia="Times New Roman" w:cs="Arial"/>
          <w:b/>
          <w:color w:val="000000"/>
        </w:rPr>
        <w:t>na kva</w:t>
      </w:r>
      <w:r w:rsidR="00135B58" w:rsidRPr="00873783">
        <w:rPr>
          <w:rFonts w:eastAsia="Times New Roman" w:cs="Arial"/>
          <w:b/>
          <w:color w:val="000000"/>
        </w:rPr>
        <w:t>litu projektů</w:t>
      </w:r>
      <w:r w:rsidR="00B70777" w:rsidRPr="00873783">
        <w:rPr>
          <w:rFonts w:eastAsia="Times New Roman" w:cs="Arial"/>
          <w:b/>
          <w:color w:val="000000"/>
        </w:rPr>
        <w:t xml:space="preserve"> </w:t>
      </w:r>
      <w:r w:rsidR="0040039A" w:rsidRPr="00873783">
        <w:rPr>
          <w:rFonts w:eastAsia="Times New Roman" w:cs="Arial"/>
          <w:b/>
          <w:color w:val="000000"/>
        </w:rPr>
        <w:t>a zajistit funkční kontrolní systém vůči projektům realizov</w:t>
      </w:r>
      <w:r w:rsidR="00B70777" w:rsidRPr="00873783">
        <w:rPr>
          <w:rFonts w:eastAsia="Times New Roman" w:cs="Arial"/>
          <w:b/>
          <w:color w:val="000000"/>
        </w:rPr>
        <w:t xml:space="preserve">aným </w:t>
      </w:r>
      <w:proofErr w:type="spellStart"/>
      <w:r w:rsidR="00B70777" w:rsidRPr="00873783">
        <w:rPr>
          <w:rFonts w:eastAsia="Times New Roman" w:cs="Arial"/>
          <w:b/>
          <w:color w:val="000000"/>
        </w:rPr>
        <w:t>MZe</w:t>
      </w:r>
      <w:proofErr w:type="spellEnd"/>
      <w:r w:rsidR="00B70777" w:rsidRPr="00873783">
        <w:rPr>
          <w:rFonts w:eastAsia="Times New Roman" w:cs="Arial"/>
          <w:b/>
          <w:color w:val="000000"/>
        </w:rPr>
        <w:t>.</w:t>
      </w:r>
    </w:p>
    <w:p w:rsidR="00FE1DE6" w:rsidRPr="00873783" w:rsidRDefault="00FE1DE6" w:rsidP="00873783">
      <w:pPr>
        <w:spacing w:line="240" w:lineRule="auto"/>
        <w:jc w:val="both"/>
        <w:rPr>
          <w:rFonts w:eastAsia="Times New Roman" w:cs="Arial"/>
          <w:b/>
          <w:color w:val="000000"/>
        </w:rPr>
      </w:pPr>
    </w:p>
    <w:sectPr w:rsidR="00FE1DE6" w:rsidRPr="00873783" w:rsidSect="004F33A2">
      <w:footerReference w:type="even" r:id="rId11"/>
      <w:footerReference w:type="defaul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C9" w:rsidRDefault="000A50C9" w:rsidP="004F33A2">
      <w:pPr>
        <w:spacing w:line="240" w:lineRule="auto"/>
      </w:pPr>
      <w:r>
        <w:separator/>
      </w:r>
    </w:p>
  </w:endnote>
  <w:endnote w:type="continuationSeparator" w:id="0">
    <w:p w:rsidR="000A50C9" w:rsidRDefault="000A50C9" w:rsidP="004F3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C9" w:rsidRDefault="000A50C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0A50C9" w:rsidRDefault="000A50C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169533"/>
      <w:docPartObj>
        <w:docPartGallery w:val="Page Numbers (Bottom of Page)"/>
        <w:docPartUnique/>
      </w:docPartObj>
    </w:sdtPr>
    <w:sdtEndPr/>
    <w:sdtContent>
      <w:p w:rsidR="000A50C9" w:rsidRDefault="000A50C9" w:rsidP="00873783">
        <w:pPr>
          <w:pStyle w:val="Zpat"/>
          <w:jc w:val="center"/>
        </w:pPr>
        <w:r>
          <w:fldChar w:fldCharType="begin"/>
        </w:r>
        <w:r>
          <w:instrText>PAGE   \* MERGEFORMAT</w:instrText>
        </w:r>
        <w:r>
          <w:fldChar w:fldCharType="separate"/>
        </w:r>
        <w:r w:rsidR="00EA0B0F">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C9" w:rsidRDefault="000A50C9" w:rsidP="004F33A2">
      <w:pPr>
        <w:spacing w:line="240" w:lineRule="auto"/>
      </w:pPr>
      <w:r>
        <w:separator/>
      </w:r>
    </w:p>
  </w:footnote>
  <w:footnote w:type="continuationSeparator" w:id="0">
    <w:p w:rsidR="000A50C9" w:rsidRDefault="000A50C9" w:rsidP="004F33A2">
      <w:pPr>
        <w:spacing w:line="240" w:lineRule="auto"/>
      </w:pPr>
      <w:r>
        <w:continuationSeparator/>
      </w:r>
    </w:p>
  </w:footnote>
  <w:footnote w:id="1">
    <w:p w:rsidR="000A50C9" w:rsidRPr="006D6359" w:rsidRDefault="000A50C9" w:rsidP="0045706C">
      <w:pPr>
        <w:pStyle w:val="Textpoznpodarou"/>
        <w:tabs>
          <w:tab w:val="left" w:pos="284"/>
        </w:tabs>
        <w:ind w:right="68"/>
        <w:jc w:val="both"/>
        <w:rPr>
          <w:rFonts w:cs="Arial"/>
          <w:sz w:val="18"/>
          <w:szCs w:val="18"/>
        </w:rPr>
      </w:pPr>
      <w:r w:rsidRPr="006D6359">
        <w:rPr>
          <w:rStyle w:val="Znakapoznpodarou"/>
          <w:sz w:val="18"/>
          <w:szCs w:val="18"/>
        </w:rPr>
        <w:footnoteRef/>
      </w:r>
      <w:r>
        <w:rPr>
          <w:rFonts w:cs="Arial"/>
          <w:sz w:val="18"/>
          <w:szCs w:val="18"/>
        </w:rPr>
        <w:tab/>
      </w:r>
      <w:r w:rsidRPr="006D6359">
        <w:rPr>
          <w:rFonts w:cs="Arial"/>
          <w:sz w:val="18"/>
          <w:szCs w:val="18"/>
        </w:rPr>
        <w:t xml:space="preserve">EFF – z anglického </w:t>
      </w:r>
      <w:proofErr w:type="spellStart"/>
      <w:r w:rsidRPr="001601E0">
        <w:rPr>
          <w:rFonts w:cs="Arial"/>
          <w:i/>
          <w:sz w:val="18"/>
          <w:szCs w:val="18"/>
        </w:rPr>
        <w:t>European</w:t>
      </w:r>
      <w:proofErr w:type="spellEnd"/>
      <w:r w:rsidRPr="001601E0">
        <w:rPr>
          <w:rFonts w:cs="Arial"/>
          <w:i/>
          <w:sz w:val="18"/>
          <w:szCs w:val="18"/>
        </w:rPr>
        <w:t xml:space="preserve"> </w:t>
      </w:r>
      <w:proofErr w:type="spellStart"/>
      <w:r w:rsidRPr="001601E0">
        <w:rPr>
          <w:rFonts w:cs="Arial"/>
          <w:i/>
          <w:sz w:val="18"/>
          <w:szCs w:val="18"/>
        </w:rPr>
        <w:t>Fisheries</w:t>
      </w:r>
      <w:proofErr w:type="spellEnd"/>
      <w:r w:rsidRPr="001601E0">
        <w:rPr>
          <w:rFonts w:cs="Arial"/>
          <w:i/>
          <w:sz w:val="18"/>
          <w:szCs w:val="18"/>
        </w:rPr>
        <w:t xml:space="preserve"> </w:t>
      </w:r>
      <w:proofErr w:type="spellStart"/>
      <w:r w:rsidRPr="001601E0">
        <w:rPr>
          <w:rFonts w:cs="Arial"/>
          <w:i/>
          <w:sz w:val="18"/>
          <w:szCs w:val="18"/>
        </w:rPr>
        <w:t>Fund</w:t>
      </w:r>
      <w:proofErr w:type="spellEnd"/>
      <w:r>
        <w:rPr>
          <w:rFonts w:cs="Arial"/>
          <w:sz w:val="18"/>
          <w:szCs w:val="18"/>
        </w:rPr>
        <w:t>.</w:t>
      </w:r>
    </w:p>
  </w:footnote>
  <w:footnote w:id="2">
    <w:p w:rsidR="000A50C9" w:rsidRPr="0089754F" w:rsidRDefault="000A50C9" w:rsidP="0045706C">
      <w:pPr>
        <w:pStyle w:val="Textpoznpodarou"/>
        <w:tabs>
          <w:tab w:val="left" w:pos="284"/>
        </w:tabs>
        <w:ind w:left="284" w:right="68" w:hanging="284"/>
        <w:jc w:val="both"/>
        <w:rPr>
          <w:rFonts w:cs="Arial"/>
          <w:sz w:val="18"/>
          <w:szCs w:val="18"/>
        </w:rPr>
      </w:pPr>
      <w:r w:rsidRPr="0089754F">
        <w:rPr>
          <w:rStyle w:val="Znakapoznpodarou"/>
          <w:sz w:val="18"/>
          <w:szCs w:val="18"/>
        </w:rPr>
        <w:footnoteRef/>
      </w:r>
      <w:r>
        <w:rPr>
          <w:rFonts w:cs="Arial"/>
          <w:sz w:val="18"/>
          <w:szCs w:val="18"/>
        </w:rPr>
        <w:tab/>
        <w:t xml:space="preserve">Informační systém řídicích orgánů sloužící pro monitorování implementace programů financovaných prostřednictvím strukturálních fondů a </w:t>
      </w:r>
      <w:r w:rsidRPr="001601E0">
        <w:rPr>
          <w:rFonts w:cs="Arial"/>
          <w:i/>
          <w:sz w:val="18"/>
          <w:szCs w:val="18"/>
        </w:rPr>
        <w:t>Fondu soudržnosti</w:t>
      </w:r>
      <w:r>
        <w:rPr>
          <w:rFonts w:cs="Arial"/>
          <w:sz w:val="18"/>
          <w:szCs w:val="18"/>
        </w:rPr>
        <w:t>.</w:t>
      </w:r>
    </w:p>
  </w:footnote>
  <w:footnote w:id="3">
    <w:p w:rsidR="000A50C9" w:rsidRPr="00012370" w:rsidRDefault="000A50C9" w:rsidP="0045706C">
      <w:pPr>
        <w:pStyle w:val="Textpoznpodarou"/>
        <w:tabs>
          <w:tab w:val="left" w:pos="284"/>
        </w:tabs>
        <w:ind w:left="284" w:hanging="284"/>
        <w:jc w:val="both"/>
        <w:rPr>
          <w:rFonts w:cs="Arial"/>
          <w:sz w:val="18"/>
          <w:szCs w:val="18"/>
        </w:rPr>
      </w:pPr>
      <w:r w:rsidRPr="00012370">
        <w:rPr>
          <w:rStyle w:val="Znakapoznpodarou"/>
          <w:sz w:val="18"/>
          <w:szCs w:val="18"/>
        </w:rPr>
        <w:footnoteRef/>
      </w:r>
      <w:r w:rsidRPr="00012370">
        <w:rPr>
          <w:rFonts w:cs="Arial"/>
          <w:sz w:val="18"/>
          <w:szCs w:val="18"/>
        </w:rPr>
        <w:tab/>
        <w:t>Článek 27 odst. 3 naří</w:t>
      </w:r>
      <w:r>
        <w:rPr>
          <w:rFonts w:cs="Arial"/>
          <w:sz w:val="18"/>
          <w:szCs w:val="18"/>
        </w:rPr>
        <w:t>zení (ES, EURATOM) č. 1605/2002, kterým se stanoví finanční nařízení o souhrnném rozpočtu Evropských společenství.</w:t>
      </w:r>
    </w:p>
  </w:footnote>
  <w:footnote w:id="4">
    <w:p w:rsidR="000A50C9" w:rsidRPr="00532881" w:rsidRDefault="000A50C9" w:rsidP="0045706C">
      <w:pPr>
        <w:pStyle w:val="Textpoznpodarou"/>
        <w:tabs>
          <w:tab w:val="left" w:pos="284"/>
        </w:tabs>
        <w:ind w:right="68"/>
        <w:jc w:val="both"/>
        <w:rPr>
          <w:rFonts w:cs="Arial"/>
          <w:sz w:val="18"/>
          <w:szCs w:val="18"/>
        </w:rPr>
      </w:pPr>
      <w:r w:rsidRPr="00532881">
        <w:rPr>
          <w:rStyle w:val="Znakapoznpodarou"/>
          <w:sz w:val="18"/>
          <w:szCs w:val="18"/>
        </w:rPr>
        <w:footnoteRef/>
      </w:r>
      <w:r>
        <w:rPr>
          <w:rFonts w:cs="Arial"/>
          <w:sz w:val="18"/>
          <w:szCs w:val="18"/>
        </w:rPr>
        <w:tab/>
      </w:r>
      <w:r w:rsidRPr="00532881">
        <w:rPr>
          <w:rFonts w:cs="Arial"/>
          <w:sz w:val="18"/>
          <w:szCs w:val="18"/>
        </w:rPr>
        <w:t>Čl</w:t>
      </w:r>
      <w:r>
        <w:rPr>
          <w:rFonts w:cs="Arial"/>
          <w:sz w:val="18"/>
          <w:szCs w:val="18"/>
        </w:rPr>
        <w:t>ánek</w:t>
      </w:r>
      <w:r w:rsidRPr="00532881">
        <w:rPr>
          <w:rFonts w:cs="Arial"/>
          <w:sz w:val="18"/>
          <w:szCs w:val="18"/>
        </w:rPr>
        <w:t xml:space="preserve"> 57</w:t>
      </w:r>
      <w:r>
        <w:rPr>
          <w:rFonts w:cs="Arial"/>
          <w:sz w:val="18"/>
          <w:szCs w:val="18"/>
        </w:rPr>
        <w:t xml:space="preserve"> odst. 1 písm. d) nařízení Rady (ES) č. 1198/2006, o Evropském rybářském fondu.</w:t>
      </w:r>
    </w:p>
  </w:footnote>
  <w:footnote w:id="5">
    <w:p w:rsidR="000A50C9" w:rsidRPr="00180661" w:rsidRDefault="000A50C9" w:rsidP="0045706C">
      <w:pPr>
        <w:pStyle w:val="Textpoznpodarou"/>
        <w:tabs>
          <w:tab w:val="left" w:pos="284"/>
        </w:tabs>
        <w:ind w:left="284" w:hanging="284"/>
        <w:jc w:val="both"/>
        <w:rPr>
          <w:rFonts w:cs="Arial"/>
          <w:sz w:val="18"/>
          <w:szCs w:val="18"/>
        </w:rPr>
      </w:pPr>
      <w:r w:rsidRPr="00180661">
        <w:rPr>
          <w:rStyle w:val="Znakapoznpodarou"/>
          <w:sz w:val="18"/>
          <w:szCs w:val="18"/>
        </w:rPr>
        <w:footnoteRef/>
      </w:r>
      <w:r>
        <w:rPr>
          <w:rFonts w:cs="Arial"/>
          <w:sz w:val="18"/>
          <w:szCs w:val="18"/>
        </w:rPr>
        <w:tab/>
      </w:r>
      <w:r w:rsidRPr="00180661">
        <w:rPr>
          <w:rFonts w:cs="Arial"/>
          <w:sz w:val="18"/>
          <w:szCs w:val="18"/>
        </w:rPr>
        <w:t xml:space="preserve">Článek 59 písm. c) </w:t>
      </w:r>
      <w:r>
        <w:rPr>
          <w:rFonts w:cs="Arial"/>
          <w:sz w:val="18"/>
          <w:szCs w:val="18"/>
        </w:rPr>
        <w:t>nařízení Rady (ES) č. 1198/2006, o Evropském rybářském fondu</w:t>
      </w:r>
      <w:r w:rsidRPr="00F45CFB">
        <w:rPr>
          <w:rFonts w:cs="Arial"/>
          <w:sz w:val="18"/>
          <w:szCs w:val="18"/>
        </w:rPr>
        <w:t>;</w:t>
      </w:r>
      <w:r w:rsidRPr="00180661">
        <w:rPr>
          <w:rFonts w:cs="Arial"/>
          <w:sz w:val="18"/>
          <w:szCs w:val="18"/>
        </w:rPr>
        <w:t xml:space="preserve"> </w:t>
      </w:r>
      <w:r>
        <w:rPr>
          <w:rFonts w:cs="Arial"/>
          <w:sz w:val="18"/>
          <w:szCs w:val="18"/>
        </w:rPr>
        <w:t>p</w:t>
      </w:r>
      <w:r w:rsidRPr="00180661">
        <w:rPr>
          <w:rFonts w:cs="Arial"/>
          <w:sz w:val="18"/>
          <w:szCs w:val="18"/>
        </w:rPr>
        <w:t xml:space="preserve">říloha III </w:t>
      </w:r>
      <w:r>
        <w:rPr>
          <w:rFonts w:cs="Arial"/>
          <w:sz w:val="18"/>
          <w:szCs w:val="18"/>
        </w:rPr>
        <w:t>nařízení Komise (ES) č. 498/2007, kterým se stanoví prováděcí pravidla k nařízení Rady (ES) č. 1198/2006, o Evropském rybářském fondu.</w:t>
      </w:r>
    </w:p>
  </w:footnote>
  <w:footnote w:id="6">
    <w:p w:rsidR="000A50C9" w:rsidRPr="00942E5E" w:rsidRDefault="000A50C9" w:rsidP="0045706C">
      <w:pPr>
        <w:pStyle w:val="Textpoznpodarou"/>
        <w:tabs>
          <w:tab w:val="left" w:pos="284"/>
        </w:tabs>
        <w:ind w:left="284" w:hanging="284"/>
        <w:jc w:val="both"/>
        <w:rPr>
          <w:rFonts w:cs="Arial"/>
          <w:sz w:val="18"/>
          <w:szCs w:val="18"/>
        </w:rPr>
      </w:pPr>
      <w:r w:rsidRPr="00942E5E">
        <w:rPr>
          <w:rStyle w:val="Znakapoznpodarou"/>
          <w:sz w:val="18"/>
          <w:szCs w:val="18"/>
        </w:rPr>
        <w:footnoteRef/>
      </w:r>
      <w:r>
        <w:rPr>
          <w:rFonts w:cs="Arial"/>
          <w:sz w:val="18"/>
          <w:szCs w:val="18"/>
        </w:rPr>
        <w:tab/>
        <w:t xml:space="preserve">SZIF sice na vzorku projektů ověřuje věcnou správnost hodnot, které příjemce uvedl v závěrečné zprávě předkládané při ukončení projektu spolu s žádostí o platbu, tyto hodnoty se však vztahují k poslednímu účetně uzavřenému kalendářnímu roku, a ve většině případů tak ještě nemohly zaznamenat vliv realizovaného projektu. </w:t>
      </w:r>
    </w:p>
  </w:footnote>
  <w:footnote w:id="7">
    <w:p w:rsidR="000A50C9" w:rsidRPr="00C5532F" w:rsidRDefault="000A50C9" w:rsidP="0045706C">
      <w:pPr>
        <w:pStyle w:val="Textpoznpodarou"/>
        <w:tabs>
          <w:tab w:val="left" w:pos="284"/>
        </w:tabs>
        <w:ind w:left="284" w:right="68" w:hanging="284"/>
        <w:jc w:val="both"/>
        <w:rPr>
          <w:rFonts w:cs="Arial"/>
          <w:sz w:val="18"/>
          <w:szCs w:val="18"/>
        </w:rPr>
      </w:pPr>
      <w:r w:rsidRPr="00C5532F">
        <w:rPr>
          <w:rStyle w:val="Znakapoznpodarou"/>
          <w:sz w:val="18"/>
          <w:szCs w:val="18"/>
        </w:rPr>
        <w:footnoteRef/>
      </w:r>
      <w:r w:rsidRPr="00C5532F">
        <w:rPr>
          <w:rFonts w:cs="Arial"/>
          <w:sz w:val="18"/>
          <w:szCs w:val="18"/>
        </w:rPr>
        <w:t xml:space="preserve"> </w:t>
      </w:r>
      <w:r>
        <w:rPr>
          <w:rFonts w:cs="Arial"/>
          <w:sz w:val="18"/>
          <w:szCs w:val="18"/>
        </w:rPr>
        <w:tab/>
        <w:t xml:space="preserve">Kontrolní akce č. 09/12 – </w:t>
      </w:r>
      <w:r w:rsidRPr="001748F7">
        <w:rPr>
          <w:rFonts w:cs="Arial"/>
          <w:i/>
          <w:sz w:val="18"/>
          <w:szCs w:val="18"/>
        </w:rPr>
        <w:t>Podpora rybářství v České republice podle operačních programů v</w:t>
      </w:r>
      <w:r>
        <w:rPr>
          <w:rFonts w:cs="Arial"/>
          <w:i/>
          <w:sz w:val="18"/>
          <w:szCs w:val="18"/>
        </w:rPr>
        <w:t> </w:t>
      </w:r>
      <w:r w:rsidRPr="001748F7">
        <w:rPr>
          <w:rFonts w:cs="Arial"/>
          <w:i/>
          <w:sz w:val="18"/>
          <w:szCs w:val="18"/>
        </w:rPr>
        <w:t>letech</w:t>
      </w:r>
      <w:r>
        <w:rPr>
          <w:rFonts w:cs="Arial"/>
          <w:i/>
          <w:sz w:val="18"/>
          <w:szCs w:val="18"/>
        </w:rPr>
        <w:br/>
      </w:r>
      <w:r w:rsidRPr="001748F7">
        <w:rPr>
          <w:rFonts w:cs="Arial"/>
          <w:i/>
          <w:sz w:val="18"/>
          <w:szCs w:val="18"/>
        </w:rPr>
        <w:t>2004–2008</w:t>
      </w:r>
      <w:r>
        <w:rPr>
          <w:rFonts w:cs="Arial"/>
          <w:sz w:val="18"/>
          <w:szCs w:val="18"/>
        </w:rPr>
        <w:t xml:space="preserve"> (kontrolní závěr byl zveřejněn v částce 1/2010 </w:t>
      </w:r>
      <w:r w:rsidRPr="00431300">
        <w:rPr>
          <w:rFonts w:cs="Arial"/>
          <w:i/>
          <w:sz w:val="18"/>
          <w:szCs w:val="18"/>
        </w:rPr>
        <w:t>Věstníku NKÚ</w:t>
      </w:r>
      <w:r>
        <w:rPr>
          <w:rFonts w:cs="Arial"/>
          <w:sz w:val="18"/>
          <w:szCs w:val="18"/>
        </w:rPr>
        <w:t>).</w:t>
      </w:r>
    </w:p>
  </w:footnote>
  <w:footnote w:id="8">
    <w:p w:rsidR="000A50C9" w:rsidRPr="00361EE2" w:rsidRDefault="000A50C9" w:rsidP="0045706C">
      <w:pPr>
        <w:pStyle w:val="Textpoznpodarou"/>
        <w:ind w:left="284" w:right="68" w:hanging="284"/>
        <w:jc w:val="both"/>
        <w:rPr>
          <w:rFonts w:cs="Arial"/>
          <w:sz w:val="18"/>
          <w:szCs w:val="18"/>
        </w:rPr>
      </w:pPr>
      <w:r w:rsidRPr="00361EE2">
        <w:rPr>
          <w:rStyle w:val="Znakapoznpodarou"/>
          <w:sz w:val="18"/>
          <w:szCs w:val="18"/>
        </w:rPr>
        <w:footnoteRef/>
      </w:r>
      <w:r>
        <w:rPr>
          <w:rFonts w:cs="Arial"/>
          <w:sz w:val="18"/>
          <w:szCs w:val="18"/>
        </w:rPr>
        <w:tab/>
        <w:t xml:space="preserve">Nekonzistentní data uvedlo MZe ve </w:t>
      </w:r>
      <w:r w:rsidRPr="00CB3051">
        <w:rPr>
          <w:rFonts w:cs="Arial"/>
          <w:i/>
          <w:sz w:val="18"/>
          <w:szCs w:val="18"/>
        </w:rPr>
        <w:t>Zprávě o stavu vodního hospodářství České republiky v roce 2012</w:t>
      </w:r>
      <w:r>
        <w:rPr>
          <w:rFonts w:cs="Arial"/>
          <w:sz w:val="18"/>
          <w:szCs w:val="18"/>
        </w:rPr>
        <w:t xml:space="preserve">, kterou předložilo k projednání vládě 4. září 2013. Podle této zprávy činila spotřeba sladkovodních ryb za rok 2012 1,41 kg na osobu (nikoliv 1,46 kg, jak </w:t>
      </w:r>
      <w:proofErr w:type="spellStart"/>
      <w:r>
        <w:rPr>
          <w:rFonts w:cs="Arial"/>
          <w:sz w:val="18"/>
          <w:szCs w:val="18"/>
        </w:rPr>
        <w:t>MZe</w:t>
      </w:r>
      <w:proofErr w:type="spellEnd"/>
      <w:r>
        <w:rPr>
          <w:rFonts w:cs="Arial"/>
          <w:sz w:val="18"/>
          <w:szCs w:val="18"/>
        </w:rPr>
        <w:t xml:space="preserve"> uvedlo ve výroční zprávě OPR). </w:t>
      </w:r>
    </w:p>
  </w:footnote>
  <w:footnote w:id="9">
    <w:p w:rsidR="000A50C9" w:rsidRPr="00F95EA2" w:rsidRDefault="000A50C9" w:rsidP="0045706C">
      <w:pPr>
        <w:pStyle w:val="Textpoznpodarou"/>
        <w:tabs>
          <w:tab w:val="left" w:pos="284"/>
        </w:tabs>
        <w:ind w:left="284" w:hanging="284"/>
        <w:jc w:val="both"/>
        <w:rPr>
          <w:rFonts w:cs="Arial"/>
          <w:sz w:val="18"/>
          <w:szCs w:val="18"/>
        </w:rPr>
      </w:pPr>
      <w:r w:rsidRPr="00F95EA2">
        <w:rPr>
          <w:rStyle w:val="Znakapoznpodarou"/>
          <w:sz w:val="18"/>
          <w:szCs w:val="18"/>
        </w:rPr>
        <w:footnoteRef/>
      </w:r>
      <w:r>
        <w:rPr>
          <w:rFonts w:cs="Arial"/>
          <w:sz w:val="18"/>
          <w:szCs w:val="18"/>
        </w:rPr>
        <w:tab/>
      </w:r>
      <w:r w:rsidRPr="00431300">
        <w:rPr>
          <w:rFonts w:cs="Arial"/>
          <w:i/>
          <w:sz w:val="18"/>
          <w:szCs w:val="18"/>
        </w:rPr>
        <w:t>Národní strategický plán pro oblast rybářství na období 2007–2013</w:t>
      </w:r>
      <w:r>
        <w:rPr>
          <w:rFonts w:cs="Arial"/>
          <w:sz w:val="18"/>
          <w:szCs w:val="18"/>
        </w:rPr>
        <w:t xml:space="preserve"> (schválený usnesením vlády ČR ze dne 25. 7. 2007 č. 854) stanovil dokonce cíl 4 000 ha.</w:t>
      </w:r>
    </w:p>
  </w:footnote>
  <w:footnote w:id="10">
    <w:p w:rsidR="000A50C9" w:rsidRPr="005A4251" w:rsidRDefault="000A50C9" w:rsidP="0045706C">
      <w:pPr>
        <w:pStyle w:val="Textpoznpodarou"/>
        <w:tabs>
          <w:tab w:val="left" w:pos="284"/>
        </w:tabs>
        <w:ind w:left="284" w:right="68" w:hanging="284"/>
        <w:jc w:val="both"/>
        <w:rPr>
          <w:rFonts w:cs="Arial"/>
          <w:sz w:val="18"/>
          <w:szCs w:val="18"/>
        </w:rPr>
      </w:pPr>
      <w:r w:rsidRPr="005A4251">
        <w:rPr>
          <w:rStyle w:val="Znakapoznpodarou"/>
          <w:sz w:val="18"/>
          <w:szCs w:val="18"/>
        </w:rPr>
        <w:footnoteRef/>
      </w:r>
      <w:r>
        <w:rPr>
          <w:rFonts w:cs="Arial"/>
          <w:sz w:val="18"/>
          <w:szCs w:val="18"/>
        </w:rPr>
        <w:tab/>
        <w:t>Rok/počet žen v odvětví rybářství dle výroční zprávy OPR za rok 2012: 2007/214, 2008/223, 2009/224, 2010/223, 2011/225, 2012/223.</w:t>
      </w:r>
    </w:p>
  </w:footnote>
  <w:footnote w:id="11">
    <w:p w:rsidR="000A50C9" w:rsidRPr="00F3563D" w:rsidRDefault="000A50C9" w:rsidP="0045706C">
      <w:pPr>
        <w:pStyle w:val="Textpoznpodarou"/>
        <w:tabs>
          <w:tab w:val="left" w:pos="284"/>
        </w:tabs>
        <w:ind w:left="284" w:right="68" w:hanging="284"/>
        <w:jc w:val="both"/>
        <w:rPr>
          <w:rFonts w:cs="Arial"/>
          <w:sz w:val="18"/>
          <w:szCs w:val="18"/>
        </w:rPr>
      </w:pPr>
      <w:r w:rsidRPr="00F3563D">
        <w:rPr>
          <w:rStyle w:val="Znakapoznpodarou"/>
          <w:sz w:val="18"/>
          <w:szCs w:val="18"/>
        </w:rPr>
        <w:footnoteRef/>
      </w:r>
      <w:r>
        <w:rPr>
          <w:rFonts w:cs="Arial"/>
          <w:sz w:val="18"/>
          <w:szCs w:val="18"/>
        </w:rPr>
        <w:tab/>
      </w:r>
      <w:r w:rsidRPr="00F3563D">
        <w:rPr>
          <w:rFonts w:cs="Arial"/>
          <w:sz w:val="18"/>
          <w:szCs w:val="18"/>
        </w:rPr>
        <w:t>Článek 59 nařízení Rady (ES) č. 1198/2006</w:t>
      </w:r>
      <w:r>
        <w:rPr>
          <w:rFonts w:cs="Arial"/>
          <w:sz w:val="18"/>
          <w:szCs w:val="18"/>
        </w:rPr>
        <w:t>,</w:t>
      </w:r>
      <w:r w:rsidRPr="00F3563D">
        <w:rPr>
          <w:rFonts w:cs="Arial"/>
          <w:sz w:val="18"/>
          <w:szCs w:val="18"/>
        </w:rPr>
        <w:t xml:space="preserve"> o Evropském rybářském fondu, </w:t>
      </w:r>
      <w:r>
        <w:rPr>
          <w:rFonts w:cs="Arial"/>
          <w:sz w:val="18"/>
          <w:szCs w:val="18"/>
        </w:rPr>
        <w:t>č</w:t>
      </w:r>
      <w:r w:rsidRPr="00F3563D">
        <w:rPr>
          <w:rFonts w:cs="Arial"/>
          <w:sz w:val="18"/>
          <w:szCs w:val="18"/>
        </w:rPr>
        <w:t>lánek 27 nařízení Rady (ES, EURATOM) č. 1605/2002, kterým se stanoví finanční nařízení o souhrnném rozpočtu Evropských společenství</w:t>
      </w:r>
      <w:r>
        <w:rPr>
          <w:rFonts w:cs="Arial"/>
          <w:sz w:val="18"/>
          <w:szCs w:val="18"/>
        </w:rPr>
        <w:t>.</w:t>
      </w:r>
    </w:p>
  </w:footnote>
  <w:footnote w:id="12">
    <w:p w:rsidR="000A50C9" w:rsidRPr="004029BF" w:rsidRDefault="000A50C9" w:rsidP="0045706C">
      <w:pPr>
        <w:pStyle w:val="Textpoznpodarou"/>
        <w:tabs>
          <w:tab w:val="left" w:pos="284"/>
        </w:tabs>
        <w:jc w:val="both"/>
        <w:rPr>
          <w:rFonts w:cs="Arial"/>
          <w:sz w:val="18"/>
          <w:szCs w:val="18"/>
        </w:rPr>
      </w:pPr>
      <w:r w:rsidRPr="004029BF">
        <w:rPr>
          <w:rStyle w:val="Znakapoznpodarou"/>
          <w:sz w:val="18"/>
          <w:szCs w:val="18"/>
        </w:rPr>
        <w:footnoteRef/>
      </w:r>
      <w:r>
        <w:rPr>
          <w:rFonts w:cs="Arial"/>
          <w:sz w:val="18"/>
          <w:szCs w:val="18"/>
        </w:rPr>
        <w:tab/>
      </w:r>
      <w:r w:rsidRPr="004029BF">
        <w:rPr>
          <w:rFonts w:cs="Arial"/>
          <w:sz w:val="18"/>
          <w:szCs w:val="18"/>
        </w:rPr>
        <w:t xml:space="preserve">Vymezením časové způsobilosti v Pravidlech platných pro 5. </w:t>
      </w:r>
      <w:r>
        <w:rPr>
          <w:rFonts w:cs="Arial"/>
          <w:sz w:val="18"/>
          <w:szCs w:val="18"/>
        </w:rPr>
        <w:t>a</w:t>
      </w:r>
      <w:r w:rsidRPr="004029BF">
        <w:rPr>
          <w:rFonts w:cs="Arial"/>
          <w:sz w:val="18"/>
          <w:szCs w:val="18"/>
        </w:rPr>
        <w:t xml:space="preserve">ž 13. </w:t>
      </w:r>
      <w:r>
        <w:rPr>
          <w:rFonts w:cs="Arial"/>
          <w:sz w:val="18"/>
          <w:szCs w:val="18"/>
        </w:rPr>
        <w:t>k</w:t>
      </w:r>
      <w:r w:rsidRPr="004029BF">
        <w:rPr>
          <w:rFonts w:cs="Arial"/>
          <w:sz w:val="18"/>
          <w:szCs w:val="18"/>
        </w:rPr>
        <w:t>olo předkládání žádostí o dotaci</w:t>
      </w:r>
      <w:r>
        <w:rPr>
          <w:rFonts w:cs="Arial"/>
          <w:sz w:val="18"/>
          <w:szCs w:val="18"/>
        </w:rPr>
        <w:t>.</w:t>
      </w:r>
    </w:p>
  </w:footnote>
  <w:footnote w:id="13">
    <w:p w:rsidR="000A50C9" w:rsidRPr="000F19A0" w:rsidRDefault="000A50C9" w:rsidP="0045706C">
      <w:pPr>
        <w:pStyle w:val="Textpoznpodarou"/>
        <w:tabs>
          <w:tab w:val="left" w:pos="284"/>
        </w:tabs>
        <w:ind w:left="284" w:right="68" w:hanging="284"/>
        <w:jc w:val="both"/>
        <w:rPr>
          <w:rFonts w:cs="Arial"/>
          <w:sz w:val="18"/>
          <w:szCs w:val="18"/>
        </w:rPr>
      </w:pPr>
      <w:r w:rsidRPr="004333DB">
        <w:rPr>
          <w:rStyle w:val="Znakapoznpodarou"/>
          <w:sz w:val="18"/>
          <w:szCs w:val="18"/>
        </w:rPr>
        <w:footnoteRef/>
      </w:r>
      <w:r w:rsidRPr="004333DB">
        <w:rPr>
          <w:rFonts w:cs="Arial"/>
          <w:sz w:val="18"/>
          <w:szCs w:val="18"/>
        </w:rPr>
        <w:tab/>
      </w:r>
      <w:r>
        <w:rPr>
          <w:rFonts w:cs="Arial"/>
          <w:sz w:val="18"/>
          <w:szCs w:val="18"/>
        </w:rPr>
        <w:t xml:space="preserve">Opatření 3.3 – </w:t>
      </w:r>
      <w:r w:rsidRPr="00B73047">
        <w:rPr>
          <w:rFonts w:cs="Arial"/>
          <w:i/>
          <w:sz w:val="18"/>
          <w:szCs w:val="18"/>
        </w:rPr>
        <w:t>Podpora a rozvoj nových trhů a propagační kampaně</w:t>
      </w:r>
      <w:r>
        <w:rPr>
          <w:rFonts w:cs="Arial"/>
          <w:sz w:val="18"/>
          <w:szCs w:val="18"/>
        </w:rPr>
        <w:t>, záměr a) kampaně ve prospěch produktů sladkovodní akvakultury nebo kampaně zaměřené na zlepšení obrazu produktů sladkovodní akvakultury a obrazu odvětví sladkovodní akvakultury.</w:t>
      </w:r>
    </w:p>
  </w:footnote>
  <w:footnote w:id="14">
    <w:p w:rsidR="000A50C9" w:rsidRPr="00393887" w:rsidRDefault="000A50C9" w:rsidP="0045706C">
      <w:pPr>
        <w:pStyle w:val="Textpoznpodarou"/>
        <w:tabs>
          <w:tab w:val="left" w:pos="284"/>
        </w:tabs>
        <w:ind w:left="284" w:right="68" w:hanging="284"/>
        <w:jc w:val="both"/>
        <w:rPr>
          <w:rFonts w:cs="Arial"/>
          <w:sz w:val="18"/>
          <w:szCs w:val="18"/>
        </w:rPr>
      </w:pPr>
      <w:r w:rsidRPr="005B7D0E">
        <w:rPr>
          <w:rStyle w:val="Znakapoznpodarou"/>
          <w:sz w:val="18"/>
          <w:szCs w:val="18"/>
        </w:rPr>
        <w:footnoteRef/>
      </w:r>
      <w:r w:rsidRPr="005B7D0E">
        <w:rPr>
          <w:rFonts w:cs="Arial"/>
          <w:sz w:val="18"/>
          <w:szCs w:val="18"/>
        </w:rPr>
        <w:tab/>
        <w:t xml:space="preserve">Kontrolní akce č. 13/03 </w:t>
      </w:r>
      <w:r>
        <w:rPr>
          <w:rFonts w:cs="Arial"/>
          <w:sz w:val="18"/>
          <w:szCs w:val="18"/>
        </w:rPr>
        <w:t xml:space="preserve">– </w:t>
      </w:r>
      <w:r w:rsidRPr="00BA386F">
        <w:rPr>
          <w:rFonts w:cs="Arial"/>
          <w:i/>
          <w:sz w:val="18"/>
          <w:szCs w:val="18"/>
        </w:rPr>
        <w:t>Peněžní prostředky určené na přímé platby</w:t>
      </w:r>
      <w:r>
        <w:rPr>
          <w:rFonts w:cs="Arial"/>
          <w:sz w:val="18"/>
          <w:szCs w:val="18"/>
        </w:rPr>
        <w:t xml:space="preserve"> (kontrolní závěr byl zveřejněn v částce 4/2013 </w:t>
      </w:r>
      <w:r w:rsidRPr="00B73047">
        <w:rPr>
          <w:rFonts w:cs="Arial"/>
          <w:i/>
          <w:sz w:val="18"/>
          <w:szCs w:val="18"/>
        </w:rPr>
        <w:t>Věstníku NKÚ</w:t>
      </w:r>
      <w:r>
        <w:rPr>
          <w:rFonts w:cs="Arial"/>
          <w:sz w:val="18"/>
          <w:szCs w:val="18"/>
        </w:rPr>
        <w:t>).</w:t>
      </w:r>
    </w:p>
  </w:footnote>
  <w:footnote w:id="15">
    <w:p w:rsidR="000A50C9" w:rsidRPr="007D0E91" w:rsidRDefault="000A50C9" w:rsidP="007D0E91">
      <w:pPr>
        <w:pStyle w:val="Textpoznpodarou"/>
        <w:tabs>
          <w:tab w:val="left" w:pos="284"/>
        </w:tabs>
        <w:rPr>
          <w:sz w:val="18"/>
          <w:szCs w:val="18"/>
        </w:rPr>
      </w:pPr>
      <w:r w:rsidRPr="007D0E91">
        <w:rPr>
          <w:rStyle w:val="Znakapoznpodarou"/>
          <w:sz w:val="18"/>
          <w:szCs w:val="18"/>
        </w:rPr>
        <w:footnoteRef/>
      </w:r>
      <w:r>
        <w:rPr>
          <w:sz w:val="18"/>
          <w:szCs w:val="18"/>
        </w:rPr>
        <w:tab/>
      </w:r>
      <w:r w:rsidRPr="007D0E91">
        <w:rPr>
          <w:sz w:val="18"/>
          <w:szCs w:val="18"/>
        </w:rPr>
        <w:t xml:space="preserve">Např. vysoká fluktuace, nedostatečný počet zaměstnanců, nefunkčnost připojení místní sítě </w:t>
      </w:r>
      <w:proofErr w:type="spellStart"/>
      <w:r w:rsidRPr="007D0E91">
        <w:rPr>
          <w:sz w:val="18"/>
          <w:szCs w:val="18"/>
        </w:rPr>
        <w:t>MZe</w:t>
      </w:r>
      <w:proofErr w:type="spellEnd"/>
      <w:r w:rsidRPr="007D0E91">
        <w:rPr>
          <w:sz w:val="18"/>
          <w:szCs w:val="18"/>
        </w:rPr>
        <w:t xml:space="preserve"> a SZIF atd.</w:t>
      </w:r>
    </w:p>
  </w:footnote>
  <w:footnote w:id="16">
    <w:p w:rsidR="000A50C9" w:rsidRPr="00D57767" w:rsidRDefault="000A50C9" w:rsidP="00255211">
      <w:pPr>
        <w:pStyle w:val="Textpoznpodarou"/>
        <w:tabs>
          <w:tab w:val="left" w:pos="284"/>
        </w:tabs>
        <w:ind w:left="284" w:hanging="284"/>
        <w:jc w:val="both"/>
      </w:pPr>
      <w:r w:rsidRPr="007D5189">
        <w:rPr>
          <w:rStyle w:val="Znakapoznpodarou"/>
          <w:sz w:val="18"/>
          <w:szCs w:val="18"/>
        </w:rPr>
        <w:footnoteRef/>
      </w:r>
      <w:r>
        <w:rPr>
          <w:rFonts w:cs="Arial"/>
          <w:sz w:val="18"/>
          <w:szCs w:val="18"/>
        </w:rPr>
        <w:tab/>
        <w:t>Ustanovení § 4 odst. 1 písm. b) a § 25 odst. 1 písm. b) zákona č. 320/2001 Sb., o finanční kontrole ve veřejné správě a o změně některých zákonů (zákon o finanční kontrole).</w:t>
      </w:r>
    </w:p>
  </w:footnote>
  <w:footnote w:id="17">
    <w:p w:rsidR="000A50C9" w:rsidRPr="007C7665" w:rsidRDefault="000A50C9" w:rsidP="0045706C">
      <w:pPr>
        <w:pStyle w:val="Textpoznpodarou"/>
        <w:tabs>
          <w:tab w:val="left" w:pos="284"/>
        </w:tabs>
        <w:jc w:val="both"/>
        <w:rPr>
          <w:rFonts w:cs="Arial"/>
          <w:sz w:val="18"/>
          <w:szCs w:val="18"/>
        </w:rPr>
      </w:pPr>
      <w:r w:rsidRPr="007C7665">
        <w:rPr>
          <w:rStyle w:val="Znakapoznpodarou"/>
          <w:sz w:val="18"/>
          <w:szCs w:val="18"/>
        </w:rPr>
        <w:footnoteRef/>
      </w:r>
      <w:r>
        <w:rPr>
          <w:rFonts w:cs="Arial"/>
          <w:sz w:val="18"/>
          <w:szCs w:val="18"/>
        </w:rPr>
        <w:tab/>
      </w:r>
      <w:r w:rsidRPr="007C7665">
        <w:rPr>
          <w:rFonts w:cs="Arial"/>
          <w:sz w:val="18"/>
          <w:szCs w:val="18"/>
        </w:rPr>
        <w:t>Zpráva o auditu operace č. 561/12/OPR</w:t>
      </w:r>
      <w:r>
        <w:rPr>
          <w:rFonts w:cs="Arial"/>
          <w:sz w:val="18"/>
          <w:szCs w:val="18"/>
        </w:rPr>
        <w:t>.</w:t>
      </w:r>
    </w:p>
  </w:footnote>
  <w:footnote w:id="18">
    <w:p w:rsidR="000A50C9" w:rsidRPr="007D0E91" w:rsidRDefault="000A50C9" w:rsidP="007D0E91">
      <w:pPr>
        <w:pStyle w:val="Textpoznpodarou"/>
        <w:tabs>
          <w:tab w:val="left" w:pos="284"/>
        </w:tabs>
        <w:ind w:left="284" w:hanging="284"/>
        <w:jc w:val="both"/>
        <w:rPr>
          <w:sz w:val="18"/>
          <w:szCs w:val="18"/>
        </w:rPr>
      </w:pPr>
      <w:r w:rsidRPr="007D0E91">
        <w:rPr>
          <w:rStyle w:val="Znakapoznpodarou"/>
          <w:sz w:val="18"/>
          <w:szCs w:val="18"/>
        </w:rPr>
        <w:footnoteRef/>
      </w:r>
      <w:r>
        <w:rPr>
          <w:sz w:val="18"/>
          <w:szCs w:val="18"/>
        </w:rPr>
        <w:tab/>
      </w:r>
      <w:r w:rsidRPr="007D0E91">
        <w:rPr>
          <w:sz w:val="18"/>
          <w:szCs w:val="18"/>
        </w:rPr>
        <w:t xml:space="preserve">Zatímco dle hodnoticí zprávy, kterou pro </w:t>
      </w:r>
      <w:proofErr w:type="gramStart"/>
      <w:r w:rsidRPr="007D0E91">
        <w:rPr>
          <w:sz w:val="18"/>
          <w:szCs w:val="18"/>
        </w:rPr>
        <w:t>MZe</w:t>
      </w:r>
      <w:proofErr w:type="gramEnd"/>
      <w:r w:rsidRPr="007D0E91">
        <w:rPr>
          <w:sz w:val="18"/>
          <w:szCs w:val="18"/>
        </w:rPr>
        <w:t xml:space="preserve"> zpracoval externí dodavatel, v letech 2008–2010 počet zaměstnanců v sektoru produkčního rybářství mírně rostl, podle údajů poskytnutých NKÚ Českým statistickým úřadem byl trend přesně opačný.</w:t>
      </w:r>
    </w:p>
  </w:footnote>
  <w:footnote w:id="19">
    <w:p w:rsidR="000A50C9" w:rsidRPr="00DE76EE" w:rsidRDefault="000A50C9" w:rsidP="0045706C">
      <w:pPr>
        <w:pStyle w:val="Textpoznpodarou"/>
        <w:tabs>
          <w:tab w:val="left" w:pos="284"/>
        </w:tabs>
        <w:ind w:left="284" w:right="68" w:hanging="284"/>
        <w:jc w:val="both"/>
        <w:rPr>
          <w:rFonts w:cs="Arial"/>
          <w:sz w:val="18"/>
          <w:szCs w:val="18"/>
        </w:rPr>
      </w:pPr>
      <w:r w:rsidRPr="00610F7F">
        <w:rPr>
          <w:rStyle w:val="Znakapoznpodarou"/>
          <w:sz w:val="18"/>
          <w:szCs w:val="18"/>
        </w:rPr>
        <w:footnoteRef/>
      </w:r>
      <w:r w:rsidRPr="00610F7F">
        <w:rPr>
          <w:rFonts w:cs="Arial"/>
          <w:sz w:val="18"/>
          <w:szCs w:val="18"/>
        </w:rPr>
        <w:tab/>
      </w:r>
      <w:r>
        <w:rPr>
          <w:rFonts w:cs="Arial"/>
          <w:sz w:val="18"/>
          <w:szCs w:val="18"/>
        </w:rPr>
        <w:t xml:space="preserve">Dodavatel prokazoval plnění v každé etapě pouze konstatováním: </w:t>
      </w:r>
      <w:r w:rsidRPr="000953A6">
        <w:rPr>
          <w:rFonts w:cs="Arial"/>
          <w:sz w:val="18"/>
          <w:szCs w:val="18"/>
        </w:rPr>
        <w:t>„</w:t>
      </w:r>
      <w:r w:rsidRPr="00610F7F">
        <w:rPr>
          <w:rFonts w:cs="Arial"/>
          <w:i/>
          <w:sz w:val="18"/>
          <w:szCs w:val="18"/>
        </w:rPr>
        <w:t xml:space="preserve">Kontrola a dodržování koncepce jednotného </w:t>
      </w:r>
      <w:proofErr w:type="spellStart"/>
      <w:r w:rsidRPr="00610F7F">
        <w:rPr>
          <w:rFonts w:cs="Arial"/>
          <w:i/>
          <w:sz w:val="18"/>
          <w:szCs w:val="18"/>
        </w:rPr>
        <w:t>brandu</w:t>
      </w:r>
      <w:proofErr w:type="spellEnd"/>
      <w:r w:rsidRPr="00610F7F">
        <w:rPr>
          <w:rFonts w:cs="Arial"/>
          <w:i/>
          <w:sz w:val="18"/>
          <w:szCs w:val="18"/>
        </w:rPr>
        <w:t xml:space="preserve"> Ryba domácí, úprava klíčového viz</w:t>
      </w:r>
      <w:r>
        <w:rPr>
          <w:rFonts w:cs="Arial"/>
          <w:i/>
          <w:sz w:val="18"/>
          <w:szCs w:val="18"/>
        </w:rPr>
        <w:t>u</w:t>
      </w:r>
      <w:r w:rsidRPr="00610F7F">
        <w:rPr>
          <w:rFonts w:cs="Arial"/>
          <w:i/>
          <w:sz w:val="18"/>
          <w:szCs w:val="18"/>
        </w:rPr>
        <w:t>álu na potřebné formáty do různých médií</w:t>
      </w:r>
      <w:r w:rsidRPr="000953A6">
        <w:rPr>
          <w:rFonts w:cs="Arial"/>
          <w:sz w:val="18"/>
          <w:szCs w:val="18"/>
        </w:rPr>
        <w:t>“</w:t>
      </w:r>
      <w:r>
        <w:rPr>
          <w:rFonts w:cs="Arial"/>
          <w:sz w:val="18"/>
          <w:szCs w:val="18"/>
        </w:rPr>
        <w:t>. Jiná dokumentace dokládající provedené činnosti či výstup zařaditelný do dané aktivity nebyly doloženy.</w:t>
      </w:r>
    </w:p>
  </w:footnote>
  <w:footnote w:id="20">
    <w:p w:rsidR="000A50C9" w:rsidRPr="007D0E91" w:rsidRDefault="000A50C9" w:rsidP="00E73A3B">
      <w:pPr>
        <w:pStyle w:val="Textpoznpodarou"/>
        <w:tabs>
          <w:tab w:val="left" w:pos="284"/>
        </w:tabs>
        <w:ind w:left="284" w:hanging="284"/>
        <w:jc w:val="both"/>
        <w:rPr>
          <w:sz w:val="18"/>
          <w:szCs w:val="18"/>
        </w:rPr>
      </w:pPr>
      <w:r w:rsidRPr="007D0E91">
        <w:rPr>
          <w:rStyle w:val="Znakapoznpodarou"/>
          <w:sz w:val="18"/>
          <w:szCs w:val="18"/>
        </w:rPr>
        <w:footnoteRef/>
      </w:r>
      <w:r>
        <w:rPr>
          <w:sz w:val="18"/>
          <w:szCs w:val="18"/>
        </w:rPr>
        <w:tab/>
      </w:r>
      <w:r w:rsidRPr="007D0E91">
        <w:rPr>
          <w:sz w:val="18"/>
          <w:szCs w:val="18"/>
        </w:rPr>
        <w:t>Ve smyslu ustanovení § 44 odst. 1 písm. a) zákona č. 218/2000 Sb., o rozpočtových pravidlech a o změně některých souvisejících zákonů (rozpočtová pravidla).</w:t>
      </w:r>
    </w:p>
  </w:footnote>
  <w:footnote w:id="21">
    <w:p w:rsidR="000A50C9" w:rsidRPr="007D0E91" w:rsidRDefault="000A50C9" w:rsidP="007D0E91">
      <w:pPr>
        <w:pStyle w:val="Textpoznpodarou"/>
        <w:tabs>
          <w:tab w:val="left" w:pos="284"/>
        </w:tabs>
        <w:jc w:val="both"/>
        <w:rPr>
          <w:sz w:val="18"/>
          <w:szCs w:val="18"/>
        </w:rPr>
      </w:pPr>
      <w:r w:rsidRPr="007D0E91">
        <w:rPr>
          <w:rStyle w:val="Znakapoznpodarou"/>
          <w:sz w:val="18"/>
          <w:szCs w:val="18"/>
        </w:rPr>
        <w:footnoteRef/>
      </w:r>
      <w:r>
        <w:rPr>
          <w:sz w:val="18"/>
          <w:szCs w:val="18"/>
        </w:rPr>
        <w:tab/>
      </w:r>
      <w:r w:rsidRPr="007D0E91">
        <w:rPr>
          <w:sz w:val="18"/>
          <w:szCs w:val="18"/>
        </w:rPr>
        <w:t>Čl. 3 písm. q nařízení Rady (ES) č. 1198/2006</w:t>
      </w:r>
      <w:r>
        <w:rPr>
          <w:sz w:val="18"/>
          <w:szCs w:val="18"/>
        </w:rPr>
        <w:t>,</w:t>
      </w:r>
      <w:r w:rsidRPr="007D0E91">
        <w:rPr>
          <w:sz w:val="18"/>
          <w:szCs w:val="18"/>
        </w:rPr>
        <w:t xml:space="preserve"> o Evropském rybářském fondu</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1C18"/>
    <w:multiLevelType w:val="hybridMultilevel"/>
    <w:tmpl w:val="F86E2BEC"/>
    <w:lvl w:ilvl="0" w:tplc="6B389C6A">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886C20"/>
    <w:multiLevelType w:val="hybridMultilevel"/>
    <w:tmpl w:val="CB12E49E"/>
    <w:lvl w:ilvl="0" w:tplc="9E18666C">
      <w:start w:val="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FC04CC8"/>
    <w:multiLevelType w:val="hybridMultilevel"/>
    <w:tmpl w:val="B27CBE32"/>
    <w:lvl w:ilvl="0" w:tplc="E4D8AD4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BD7D67"/>
    <w:multiLevelType w:val="hybridMultilevel"/>
    <w:tmpl w:val="19CAD84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448F73EF"/>
    <w:multiLevelType w:val="hybridMultilevel"/>
    <w:tmpl w:val="B6848F0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1AB579A"/>
    <w:multiLevelType w:val="hybridMultilevel"/>
    <w:tmpl w:val="CA8A877C"/>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F696B84"/>
    <w:multiLevelType w:val="hybridMultilevel"/>
    <w:tmpl w:val="DD9E8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94F0F8F"/>
    <w:multiLevelType w:val="hybridMultilevel"/>
    <w:tmpl w:val="30C8F4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B541945"/>
    <w:multiLevelType w:val="hybridMultilevel"/>
    <w:tmpl w:val="5DFA9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6"/>
  </w:num>
  <w:num w:numId="5">
    <w:abstractNumId w:val="7"/>
  </w:num>
  <w:num w:numId="6">
    <w:abstractNumId w:val="4"/>
  </w:num>
  <w:num w:numId="7">
    <w:abstractNumId w:val="5"/>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A2"/>
    <w:rsid w:val="0002174E"/>
    <w:rsid w:val="0004163B"/>
    <w:rsid w:val="00055E11"/>
    <w:rsid w:val="000953A6"/>
    <w:rsid w:val="000A50C9"/>
    <w:rsid w:val="000B0FAF"/>
    <w:rsid w:val="00110EF4"/>
    <w:rsid w:val="00135B58"/>
    <w:rsid w:val="001601E0"/>
    <w:rsid w:val="001D53CA"/>
    <w:rsid w:val="001E1162"/>
    <w:rsid w:val="0025140C"/>
    <w:rsid w:val="00255211"/>
    <w:rsid w:val="002572D6"/>
    <w:rsid w:val="002A22A1"/>
    <w:rsid w:val="002B38B5"/>
    <w:rsid w:val="002B5DFE"/>
    <w:rsid w:val="002C3CD4"/>
    <w:rsid w:val="002C451C"/>
    <w:rsid w:val="002C4CE0"/>
    <w:rsid w:val="002C7EDD"/>
    <w:rsid w:val="002D2182"/>
    <w:rsid w:val="002E0D22"/>
    <w:rsid w:val="00304814"/>
    <w:rsid w:val="003412EF"/>
    <w:rsid w:val="003414CA"/>
    <w:rsid w:val="003624AF"/>
    <w:rsid w:val="00365F68"/>
    <w:rsid w:val="003670FA"/>
    <w:rsid w:val="003817EF"/>
    <w:rsid w:val="00385A51"/>
    <w:rsid w:val="003C67A1"/>
    <w:rsid w:val="003F15F8"/>
    <w:rsid w:val="0040039A"/>
    <w:rsid w:val="00431300"/>
    <w:rsid w:val="00441CD7"/>
    <w:rsid w:val="0045706C"/>
    <w:rsid w:val="004B1B44"/>
    <w:rsid w:val="004F33A2"/>
    <w:rsid w:val="005252EA"/>
    <w:rsid w:val="0053403F"/>
    <w:rsid w:val="00543BC3"/>
    <w:rsid w:val="0055771A"/>
    <w:rsid w:val="0056090F"/>
    <w:rsid w:val="0056409C"/>
    <w:rsid w:val="0057081D"/>
    <w:rsid w:val="005B2E2F"/>
    <w:rsid w:val="005B2ECE"/>
    <w:rsid w:val="005C0995"/>
    <w:rsid w:val="005D6071"/>
    <w:rsid w:val="005E29E2"/>
    <w:rsid w:val="00614EB7"/>
    <w:rsid w:val="00616576"/>
    <w:rsid w:val="006300A0"/>
    <w:rsid w:val="00661E6A"/>
    <w:rsid w:val="0066246D"/>
    <w:rsid w:val="006D4119"/>
    <w:rsid w:val="0070766A"/>
    <w:rsid w:val="00753CEA"/>
    <w:rsid w:val="007677BB"/>
    <w:rsid w:val="0079647F"/>
    <w:rsid w:val="007A64E1"/>
    <w:rsid w:val="007D0E91"/>
    <w:rsid w:val="007D70EF"/>
    <w:rsid w:val="007F3B55"/>
    <w:rsid w:val="00826502"/>
    <w:rsid w:val="008310E4"/>
    <w:rsid w:val="00873783"/>
    <w:rsid w:val="00882CD8"/>
    <w:rsid w:val="00897409"/>
    <w:rsid w:val="008F6BBA"/>
    <w:rsid w:val="0091524E"/>
    <w:rsid w:val="00943DE6"/>
    <w:rsid w:val="00972428"/>
    <w:rsid w:val="00984B93"/>
    <w:rsid w:val="00984BEA"/>
    <w:rsid w:val="009D30FD"/>
    <w:rsid w:val="00A232AA"/>
    <w:rsid w:val="00A61FA8"/>
    <w:rsid w:val="00A74AB0"/>
    <w:rsid w:val="00AB67E3"/>
    <w:rsid w:val="00AE3A81"/>
    <w:rsid w:val="00B303BA"/>
    <w:rsid w:val="00B36DA8"/>
    <w:rsid w:val="00B45A2B"/>
    <w:rsid w:val="00B466D0"/>
    <w:rsid w:val="00B47613"/>
    <w:rsid w:val="00B70777"/>
    <w:rsid w:val="00B73047"/>
    <w:rsid w:val="00B90AF7"/>
    <w:rsid w:val="00BC1CE9"/>
    <w:rsid w:val="00BC483D"/>
    <w:rsid w:val="00C34409"/>
    <w:rsid w:val="00C3568F"/>
    <w:rsid w:val="00CB41C1"/>
    <w:rsid w:val="00CD64B8"/>
    <w:rsid w:val="00CE3F34"/>
    <w:rsid w:val="00D35AE4"/>
    <w:rsid w:val="00D46264"/>
    <w:rsid w:val="00D57662"/>
    <w:rsid w:val="00D57767"/>
    <w:rsid w:val="00DB4019"/>
    <w:rsid w:val="00DD3DB2"/>
    <w:rsid w:val="00E00F0F"/>
    <w:rsid w:val="00E14633"/>
    <w:rsid w:val="00E26BF4"/>
    <w:rsid w:val="00E37564"/>
    <w:rsid w:val="00E45B97"/>
    <w:rsid w:val="00E535BF"/>
    <w:rsid w:val="00E73A3B"/>
    <w:rsid w:val="00E8441B"/>
    <w:rsid w:val="00E865AE"/>
    <w:rsid w:val="00E94518"/>
    <w:rsid w:val="00EA0B0F"/>
    <w:rsid w:val="00EA358D"/>
    <w:rsid w:val="00EC5FF6"/>
    <w:rsid w:val="00F017F8"/>
    <w:rsid w:val="00F20E4B"/>
    <w:rsid w:val="00F354AD"/>
    <w:rsid w:val="00F708E1"/>
    <w:rsid w:val="00FB0F74"/>
    <w:rsid w:val="00FC43AA"/>
    <w:rsid w:val="00FC4EED"/>
    <w:rsid w:val="00FD0FF3"/>
    <w:rsid w:val="00FE1D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MR - 1. nadpis"/>
    <w:basedOn w:val="Normln"/>
    <w:next w:val="Normln"/>
    <w:link w:val="Nadpis1Char"/>
    <w:qFormat/>
    <w:rsid w:val="00BC483D"/>
    <w:pPr>
      <w:keepNext/>
      <w:tabs>
        <w:tab w:val="left" w:pos="720"/>
      </w:tabs>
      <w:spacing w:before="240" w:line="200" w:lineRule="atLeast"/>
      <w:ind w:left="720" w:hanging="360"/>
      <w:jc w:val="both"/>
      <w:outlineLvl w:val="0"/>
    </w:pPr>
    <w:rPr>
      <w:rFonts w:cs="Arial"/>
      <w:b/>
      <w:sz w:val="24"/>
      <w:szCs w:val="24"/>
    </w:rPr>
  </w:style>
  <w:style w:type="paragraph" w:styleId="Nadpis2">
    <w:name w:val="heading 2"/>
    <w:aliases w:val="MR - 2. nadpis"/>
    <w:basedOn w:val="Normln"/>
    <w:next w:val="Normln"/>
    <w:link w:val="Nadpis2Char"/>
    <w:qFormat/>
    <w:rsid w:val="00BC483D"/>
    <w:pPr>
      <w:keepNext/>
      <w:numPr>
        <w:numId w:val="3"/>
      </w:numPr>
      <w:tabs>
        <w:tab w:val="left" w:pos="454"/>
      </w:tabs>
      <w:spacing w:before="120" w:line="240" w:lineRule="auto"/>
      <w:jc w:val="both"/>
      <w:outlineLvl w:val="1"/>
    </w:pPr>
    <w:rPr>
      <w:rFonts w:eastAsia="Times New Roman" w:cs="Arial"/>
      <w:b/>
      <w:snapToGrid w:val="0"/>
      <w:szCs w:val="24"/>
    </w:rPr>
  </w:style>
  <w:style w:type="paragraph" w:styleId="Nadpis4">
    <w:name w:val="heading 4"/>
    <w:basedOn w:val="Normln"/>
    <w:next w:val="Normln"/>
    <w:link w:val="Nadpis4Char"/>
    <w:uiPriority w:val="9"/>
    <w:semiHidden/>
    <w:unhideWhenUsed/>
    <w:qFormat/>
    <w:rsid w:val="004F33A2"/>
    <w:pPr>
      <w:keepNext/>
      <w:keepLines/>
      <w:spacing w:before="200"/>
      <w:outlineLvl w:val="3"/>
    </w:pPr>
    <w:rPr>
      <w:rFonts w:asciiTheme="majorHAnsi" w:eastAsiaTheme="majorEastAsia" w:hAnsiTheme="majorHAnsi" w:cstheme="majorBidi"/>
      <w:b/>
      <w:bCs/>
      <w:i/>
      <w:iCs/>
      <w:color w:val="4F81BD" w:themeColor="accent1"/>
    </w:rPr>
  </w:style>
  <w:style w:type="paragraph" w:styleId="Nadpis9">
    <w:name w:val="heading 9"/>
    <w:basedOn w:val="Normln"/>
    <w:next w:val="Normln"/>
    <w:link w:val="Nadpis9Char"/>
    <w:uiPriority w:val="9"/>
    <w:semiHidden/>
    <w:unhideWhenUsed/>
    <w:qFormat/>
    <w:rsid w:val="004F33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R-normlntext">
    <w:name w:val="MR - normální text"/>
    <w:basedOn w:val="Normln"/>
    <w:link w:val="MR-normlntextChar"/>
    <w:qFormat/>
    <w:rsid w:val="00BC483D"/>
    <w:pPr>
      <w:spacing w:before="120" w:line="240" w:lineRule="auto"/>
      <w:ind w:firstLine="720"/>
      <w:jc w:val="both"/>
    </w:pPr>
    <w:rPr>
      <w:rFonts w:cs="Arial"/>
      <w:color w:val="000000"/>
    </w:rPr>
  </w:style>
  <w:style w:type="character" w:customStyle="1" w:styleId="MR-normlntextChar">
    <w:name w:val="MR - normální text Char"/>
    <w:link w:val="MR-normlntext"/>
    <w:rsid w:val="00BC483D"/>
    <w:rPr>
      <w:rFonts w:cs="Arial"/>
      <w:color w:val="000000"/>
    </w:rPr>
  </w:style>
  <w:style w:type="character" w:customStyle="1" w:styleId="Nadpis1Char">
    <w:name w:val="Nadpis 1 Char"/>
    <w:aliases w:val="MR - 1. nadpis Char"/>
    <w:link w:val="Nadpis1"/>
    <w:rsid w:val="00BC483D"/>
    <w:rPr>
      <w:rFonts w:cs="Arial"/>
      <w:b/>
      <w:sz w:val="24"/>
      <w:szCs w:val="24"/>
    </w:rPr>
  </w:style>
  <w:style w:type="character" w:customStyle="1" w:styleId="Nadpis2Char">
    <w:name w:val="Nadpis 2 Char"/>
    <w:aliases w:val="MR - 2. nadpis Char"/>
    <w:basedOn w:val="Standardnpsmoodstavce"/>
    <w:link w:val="Nadpis2"/>
    <w:rsid w:val="00BC483D"/>
    <w:rPr>
      <w:rFonts w:eastAsia="Times New Roman" w:cs="Arial"/>
      <w:b/>
      <w:snapToGrid w:val="0"/>
      <w:szCs w:val="24"/>
    </w:rPr>
  </w:style>
  <w:style w:type="character" w:customStyle="1" w:styleId="Nadpis4Char">
    <w:name w:val="Nadpis 4 Char"/>
    <w:basedOn w:val="Standardnpsmoodstavce"/>
    <w:link w:val="Nadpis4"/>
    <w:uiPriority w:val="9"/>
    <w:semiHidden/>
    <w:rsid w:val="004F33A2"/>
    <w:rPr>
      <w:rFonts w:asciiTheme="majorHAnsi" w:eastAsiaTheme="majorEastAsia" w:hAnsiTheme="majorHAnsi" w:cstheme="majorBidi"/>
      <w:b/>
      <w:bCs/>
      <w:i/>
      <w:iCs/>
      <w:color w:val="4F81BD" w:themeColor="accent1"/>
    </w:rPr>
  </w:style>
  <w:style w:type="character" w:customStyle="1" w:styleId="Nadpis9Char">
    <w:name w:val="Nadpis 9 Char"/>
    <w:basedOn w:val="Standardnpsmoodstavce"/>
    <w:link w:val="Nadpis9"/>
    <w:uiPriority w:val="9"/>
    <w:semiHidden/>
    <w:rsid w:val="004F33A2"/>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semiHidden/>
    <w:unhideWhenUsed/>
    <w:rsid w:val="004F33A2"/>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4F33A2"/>
    <w:rPr>
      <w:sz w:val="20"/>
      <w:szCs w:val="20"/>
    </w:rPr>
  </w:style>
  <w:style w:type="paragraph" w:styleId="Zpat">
    <w:name w:val="footer"/>
    <w:basedOn w:val="Normln"/>
    <w:link w:val="ZpatChar"/>
    <w:uiPriority w:val="99"/>
    <w:unhideWhenUsed/>
    <w:rsid w:val="004F33A2"/>
    <w:pPr>
      <w:tabs>
        <w:tab w:val="center" w:pos="4536"/>
        <w:tab w:val="right" w:pos="9072"/>
      </w:tabs>
      <w:spacing w:line="240" w:lineRule="auto"/>
    </w:pPr>
  </w:style>
  <w:style w:type="character" w:customStyle="1" w:styleId="ZpatChar">
    <w:name w:val="Zápatí Char"/>
    <w:basedOn w:val="Standardnpsmoodstavce"/>
    <w:link w:val="Zpat"/>
    <w:uiPriority w:val="99"/>
    <w:rsid w:val="004F33A2"/>
  </w:style>
  <w:style w:type="character" w:styleId="Znakapoznpodarou">
    <w:name w:val="footnote reference"/>
    <w:aliases w:val="PGI Fußnote Ziffer + Times New Roman,12 b.,Zúžené o ...,PGI Fußnote Ziffer"/>
    <w:uiPriority w:val="99"/>
    <w:rsid w:val="004F33A2"/>
    <w:rPr>
      <w:vertAlign w:val="superscript"/>
    </w:rPr>
  </w:style>
  <w:style w:type="character" w:styleId="slostrnky">
    <w:name w:val="page number"/>
    <w:basedOn w:val="Standardnpsmoodstavce"/>
    <w:semiHidden/>
    <w:rsid w:val="004F33A2"/>
  </w:style>
  <w:style w:type="paragraph" w:styleId="Textbubliny">
    <w:name w:val="Balloon Text"/>
    <w:basedOn w:val="Normln"/>
    <w:link w:val="TextbublinyChar"/>
    <w:uiPriority w:val="99"/>
    <w:semiHidden/>
    <w:unhideWhenUsed/>
    <w:rsid w:val="004F33A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33A2"/>
    <w:rPr>
      <w:rFonts w:ascii="Tahoma" w:hAnsi="Tahoma" w:cs="Tahoma"/>
      <w:sz w:val="16"/>
      <w:szCs w:val="16"/>
    </w:rPr>
  </w:style>
  <w:style w:type="character" w:styleId="Odkaznakoment">
    <w:name w:val="annotation reference"/>
    <w:basedOn w:val="Standardnpsmoodstavce"/>
    <w:uiPriority w:val="99"/>
    <w:semiHidden/>
    <w:unhideWhenUsed/>
    <w:rsid w:val="00E865AE"/>
    <w:rPr>
      <w:sz w:val="16"/>
      <w:szCs w:val="16"/>
    </w:rPr>
  </w:style>
  <w:style w:type="paragraph" w:styleId="Textkomente">
    <w:name w:val="annotation text"/>
    <w:basedOn w:val="Normln"/>
    <w:link w:val="TextkomenteChar"/>
    <w:uiPriority w:val="99"/>
    <w:semiHidden/>
    <w:unhideWhenUsed/>
    <w:rsid w:val="00E865AE"/>
    <w:pPr>
      <w:spacing w:line="240" w:lineRule="auto"/>
    </w:pPr>
    <w:rPr>
      <w:sz w:val="20"/>
      <w:szCs w:val="20"/>
    </w:rPr>
  </w:style>
  <w:style w:type="character" w:customStyle="1" w:styleId="TextkomenteChar">
    <w:name w:val="Text komentáře Char"/>
    <w:basedOn w:val="Standardnpsmoodstavce"/>
    <w:link w:val="Textkomente"/>
    <w:uiPriority w:val="99"/>
    <w:semiHidden/>
    <w:rsid w:val="00E865AE"/>
    <w:rPr>
      <w:sz w:val="20"/>
      <w:szCs w:val="20"/>
    </w:rPr>
  </w:style>
  <w:style w:type="paragraph" w:styleId="Pedmtkomente">
    <w:name w:val="annotation subject"/>
    <w:basedOn w:val="Textkomente"/>
    <w:next w:val="Textkomente"/>
    <w:link w:val="PedmtkomenteChar"/>
    <w:uiPriority w:val="99"/>
    <w:semiHidden/>
    <w:unhideWhenUsed/>
    <w:rsid w:val="00E865AE"/>
    <w:rPr>
      <w:b/>
      <w:bCs/>
    </w:rPr>
  </w:style>
  <w:style w:type="character" w:customStyle="1" w:styleId="PedmtkomenteChar">
    <w:name w:val="Předmět komentáře Char"/>
    <w:basedOn w:val="TextkomenteChar"/>
    <w:link w:val="Pedmtkomente"/>
    <w:uiPriority w:val="99"/>
    <w:semiHidden/>
    <w:rsid w:val="00E865AE"/>
    <w:rPr>
      <w:b/>
      <w:bCs/>
      <w:sz w:val="20"/>
      <w:szCs w:val="20"/>
    </w:rPr>
  </w:style>
  <w:style w:type="paragraph" w:styleId="Odstavecseseznamem">
    <w:name w:val="List Paragraph"/>
    <w:basedOn w:val="Normln"/>
    <w:link w:val="OdstavecseseznamemChar"/>
    <w:uiPriority w:val="99"/>
    <w:qFormat/>
    <w:rsid w:val="00304814"/>
    <w:pPr>
      <w:spacing w:after="200"/>
      <w:ind w:left="720"/>
      <w:contextualSpacing/>
    </w:pPr>
    <w:rPr>
      <w:rFonts w:ascii="Calibri" w:eastAsia="Calibri" w:hAnsi="Calibri" w:cs="Times New Roman"/>
    </w:rPr>
  </w:style>
  <w:style w:type="character" w:customStyle="1" w:styleId="OdstavecseseznamemChar">
    <w:name w:val="Odstavec se seznamem Char"/>
    <w:link w:val="Odstavecseseznamem"/>
    <w:uiPriority w:val="99"/>
    <w:locked/>
    <w:rsid w:val="00304814"/>
    <w:rPr>
      <w:rFonts w:ascii="Calibri" w:eastAsia="Calibri" w:hAnsi="Calibri" w:cs="Times New Roman"/>
    </w:rPr>
  </w:style>
  <w:style w:type="paragraph" w:styleId="Zhlav">
    <w:name w:val="header"/>
    <w:basedOn w:val="Normln"/>
    <w:link w:val="ZhlavChar"/>
    <w:uiPriority w:val="99"/>
    <w:unhideWhenUsed/>
    <w:rsid w:val="00873783"/>
    <w:pPr>
      <w:tabs>
        <w:tab w:val="center" w:pos="4536"/>
        <w:tab w:val="right" w:pos="9072"/>
      </w:tabs>
      <w:spacing w:line="240" w:lineRule="auto"/>
    </w:pPr>
  </w:style>
  <w:style w:type="character" w:customStyle="1" w:styleId="ZhlavChar">
    <w:name w:val="Záhlaví Char"/>
    <w:basedOn w:val="Standardnpsmoodstavce"/>
    <w:link w:val="Zhlav"/>
    <w:uiPriority w:val="99"/>
    <w:rsid w:val="00873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MR - 1. nadpis"/>
    <w:basedOn w:val="Normln"/>
    <w:next w:val="Normln"/>
    <w:link w:val="Nadpis1Char"/>
    <w:qFormat/>
    <w:rsid w:val="00BC483D"/>
    <w:pPr>
      <w:keepNext/>
      <w:tabs>
        <w:tab w:val="left" w:pos="720"/>
      </w:tabs>
      <w:spacing w:before="240" w:line="200" w:lineRule="atLeast"/>
      <w:ind w:left="720" w:hanging="360"/>
      <w:jc w:val="both"/>
      <w:outlineLvl w:val="0"/>
    </w:pPr>
    <w:rPr>
      <w:rFonts w:cs="Arial"/>
      <w:b/>
      <w:sz w:val="24"/>
      <w:szCs w:val="24"/>
    </w:rPr>
  </w:style>
  <w:style w:type="paragraph" w:styleId="Nadpis2">
    <w:name w:val="heading 2"/>
    <w:aliases w:val="MR - 2. nadpis"/>
    <w:basedOn w:val="Normln"/>
    <w:next w:val="Normln"/>
    <w:link w:val="Nadpis2Char"/>
    <w:qFormat/>
    <w:rsid w:val="00BC483D"/>
    <w:pPr>
      <w:keepNext/>
      <w:numPr>
        <w:numId w:val="3"/>
      </w:numPr>
      <w:tabs>
        <w:tab w:val="left" w:pos="454"/>
      </w:tabs>
      <w:spacing w:before="120" w:line="240" w:lineRule="auto"/>
      <w:jc w:val="both"/>
      <w:outlineLvl w:val="1"/>
    </w:pPr>
    <w:rPr>
      <w:rFonts w:eastAsia="Times New Roman" w:cs="Arial"/>
      <w:b/>
      <w:snapToGrid w:val="0"/>
      <w:szCs w:val="24"/>
    </w:rPr>
  </w:style>
  <w:style w:type="paragraph" w:styleId="Nadpis4">
    <w:name w:val="heading 4"/>
    <w:basedOn w:val="Normln"/>
    <w:next w:val="Normln"/>
    <w:link w:val="Nadpis4Char"/>
    <w:uiPriority w:val="9"/>
    <w:semiHidden/>
    <w:unhideWhenUsed/>
    <w:qFormat/>
    <w:rsid w:val="004F33A2"/>
    <w:pPr>
      <w:keepNext/>
      <w:keepLines/>
      <w:spacing w:before="200"/>
      <w:outlineLvl w:val="3"/>
    </w:pPr>
    <w:rPr>
      <w:rFonts w:asciiTheme="majorHAnsi" w:eastAsiaTheme="majorEastAsia" w:hAnsiTheme="majorHAnsi" w:cstheme="majorBidi"/>
      <w:b/>
      <w:bCs/>
      <w:i/>
      <w:iCs/>
      <w:color w:val="4F81BD" w:themeColor="accent1"/>
    </w:rPr>
  </w:style>
  <w:style w:type="paragraph" w:styleId="Nadpis9">
    <w:name w:val="heading 9"/>
    <w:basedOn w:val="Normln"/>
    <w:next w:val="Normln"/>
    <w:link w:val="Nadpis9Char"/>
    <w:uiPriority w:val="9"/>
    <w:semiHidden/>
    <w:unhideWhenUsed/>
    <w:qFormat/>
    <w:rsid w:val="004F33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R-normlntext">
    <w:name w:val="MR - normální text"/>
    <w:basedOn w:val="Normln"/>
    <w:link w:val="MR-normlntextChar"/>
    <w:qFormat/>
    <w:rsid w:val="00BC483D"/>
    <w:pPr>
      <w:spacing w:before="120" w:line="240" w:lineRule="auto"/>
      <w:ind w:firstLine="720"/>
      <w:jc w:val="both"/>
    </w:pPr>
    <w:rPr>
      <w:rFonts w:cs="Arial"/>
      <w:color w:val="000000"/>
    </w:rPr>
  </w:style>
  <w:style w:type="character" w:customStyle="1" w:styleId="MR-normlntextChar">
    <w:name w:val="MR - normální text Char"/>
    <w:link w:val="MR-normlntext"/>
    <w:rsid w:val="00BC483D"/>
    <w:rPr>
      <w:rFonts w:cs="Arial"/>
      <w:color w:val="000000"/>
    </w:rPr>
  </w:style>
  <w:style w:type="character" w:customStyle="1" w:styleId="Nadpis1Char">
    <w:name w:val="Nadpis 1 Char"/>
    <w:aliases w:val="MR - 1. nadpis Char"/>
    <w:link w:val="Nadpis1"/>
    <w:rsid w:val="00BC483D"/>
    <w:rPr>
      <w:rFonts w:cs="Arial"/>
      <w:b/>
      <w:sz w:val="24"/>
      <w:szCs w:val="24"/>
    </w:rPr>
  </w:style>
  <w:style w:type="character" w:customStyle="1" w:styleId="Nadpis2Char">
    <w:name w:val="Nadpis 2 Char"/>
    <w:aliases w:val="MR - 2. nadpis Char"/>
    <w:basedOn w:val="Standardnpsmoodstavce"/>
    <w:link w:val="Nadpis2"/>
    <w:rsid w:val="00BC483D"/>
    <w:rPr>
      <w:rFonts w:eastAsia="Times New Roman" w:cs="Arial"/>
      <w:b/>
      <w:snapToGrid w:val="0"/>
      <w:szCs w:val="24"/>
    </w:rPr>
  </w:style>
  <w:style w:type="character" w:customStyle="1" w:styleId="Nadpis4Char">
    <w:name w:val="Nadpis 4 Char"/>
    <w:basedOn w:val="Standardnpsmoodstavce"/>
    <w:link w:val="Nadpis4"/>
    <w:uiPriority w:val="9"/>
    <w:semiHidden/>
    <w:rsid w:val="004F33A2"/>
    <w:rPr>
      <w:rFonts w:asciiTheme="majorHAnsi" w:eastAsiaTheme="majorEastAsia" w:hAnsiTheme="majorHAnsi" w:cstheme="majorBidi"/>
      <w:b/>
      <w:bCs/>
      <w:i/>
      <w:iCs/>
      <w:color w:val="4F81BD" w:themeColor="accent1"/>
    </w:rPr>
  </w:style>
  <w:style w:type="character" w:customStyle="1" w:styleId="Nadpis9Char">
    <w:name w:val="Nadpis 9 Char"/>
    <w:basedOn w:val="Standardnpsmoodstavce"/>
    <w:link w:val="Nadpis9"/>
    <w:uiPriority w:val="9"/>
    <w:semiHidden/>
    <w:rsid w:val="004F33A2"/>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semiHidden/>
    <w:unhideWhenUsed/>
    <w:rsid w:val="004F33A2"/>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4F33A2"/>
    <w:rPr>
      <w:sz w:val="20"/>
      <w:szCs w:val="20"/>
    </w:rPr>
  </w:style>
  <w:style w:type="paragraph" w:styleId="Zpat">
    <w:name w:val="footer"/>
    <w:basedOn w:val="Normln"/>
    <w:link w:val="ZpatChar"/>
    <w:uiPriority w:val="99"/>
    <w:unhideWhenUsed/>
    <w:rsid w:val="004F33A2"/>
    <w:pPr>
      <w:tabs>
        <w:tab w:val="center" w:pos="4536"/>
        <w:tab w:val="right" w:pos="9072"/>
      </w:tabs>
      <w:spacing w:line="240" w:lineRule="auto"/>
    </w:pPr>
  </w:style>
  <w:style w:type="character" w:customStyle="1" w:styleId="ZpatChar">
    <w:name w:val="Zápatí Char"/>
    <w:basedOn w:val="Standardnpsmoodstavce"/>
    <w:link w:val="Zpat"/>
    <w:uiPriority w:val="99"/>
    <w:rsid w:val="004F33A2"/>
  </w:style>
  <w:style w:type="character" w:styleId="Znakapoznpodarou">
    <w:name w:val="footnote reference"/>
    <w:aliases w:val="PGI Fußnote Ziffer + Times New Roman,12 b.,Zúžené o ...,PGI Fußnote Ziffer"/>
    <w:uiPriority w:val="99"/>
    <w:rsid w:val="004F33A2"/>
    <w:rPr>
      <w:vertAlign w:val="superscript"/>
    </w:rPr>
  </w:style>
  <w:style w:type="character" w:styleId="slostrnky">
    <w:name w:val="page number"/>
    <w:basedOn w:val="Standardnpsmoodstavce"/>
    <w:semiHidden/>
    <w:rsid w:val="004F33A2"/>
  </w:style>
  <w:style w:type="paragraph" w:styleId="Textbubliny">
    <w:name w:val="Balloon Text"/>
    <w:basedOn w:val="Normln"/>
    <w:link w:val="TextbublinyChar"/>
    <w:uiPriority w:val="99"/>
    <w:semiHidden/>
    <w:unhideWhenUsed/>
    <w:rsid w:val="004F33A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33A2"/>
    <w:rPr>
      <w:rFonts w:ascii="Tahoma" w:hAnsi="Tahoma" w:cs="Tahoma"/>
      <w:sz w:val="16"/>
      <w:szCs w:val="16"/>
    </w:rPr>
  </w:style>
  <w:style w:type="character" w:styleId="Odkaznakoment">
    <w:name w:val="annotation reference"/>
    <w:basedOn w:val="Standardnpsmoodstavce"/>
    <w:uiPriority w:val="99"/>
    <w:semiHidden/>
    <w:unhideWhenUsed/>
    <w:rsid w:val="00E865AE"/>
    <w:rPr>
      <w:sz w:val="16"/>
      <w:szCs w:val="16"/>
    </w:rPr>
  </w:style>
  <w:style w:type="paragraph" w:styleId="Textkomente">
    <w:name w:val="annotation text"/>
    <w:basedOn w:val="Normln"/>
    <w:link w:val="TextkomenteChar"/>
    <w:uiPriority w:val="99"/>
    <w:semiHidden/>
    <w:unhideWhenUsed/>
    <w:rsid w:val="00E865AE"/>
    <w:pPr>
      <w:spacing w:line="240" w:lineRule="auto"/>
    </w:pPr>
    <w:rPr>
      <w:sz w:val="20"/>
      <w:szCs w:val="20"/>
    </w:rPr>
  </w:style>
  <w:style w:type="character" w:customStyle="1" w:styleId="TextkomenteChar">
    <w:name w:val="Text komentáře Char"/>
    <w:basedOn w:val="Standardnpsmoodstavce"/>
    <w:link w:val="Textkomente"/>
    <w:uiPriority w:val="99"/>
    <w:semiHidden/>
    <w:rsid w:val="00E865AE"/>
    <w:rPr>
      <w:sz w:val="20"/>
      <w:szCs w:val="20"/>
    </w:rPr>
  </w:style>
  <w:style w:type="paragraph" w:styleId="Pedmtkomente">
    <w:name w:val="annotation subject"/>
    <w:basedOn w:val="Textkomente"/>
    <w:next w:val="Textkomente"/>
    <w:link w:val="PedmtkomenteChar"/>
    <w:uiPriority w:val="99"/>
    <w:semiHidden/>
    <w:unhideWhenUsed/>
    <w:rsid w:val="00E865AE"/>
    <w:rPr>
      <w:b/>
      <w:bCs/>
    </w:rPr>
  </w:style>
  <w:style w:type="character" w:customStyle="1" w:styleId="PedmtkomenteChar">
    <w:name w:val="Předmět komentáře Char"/>
    <w:basedOn w:val="TextkomenteChar"/>
    <w:link w:val="Pedmtkomente"/>
    <w:uiPriority w:val="99"/>
    <w:semiHidden/>
    <w:rsid w:val="00E865AE"/>
    <w:rPr>
      <w:b/>
      <w:bCs/>
      <w:sz w:val="20"/>
      <w:szCs w:val="20"/>
    </w:rPr>
  </w:style>
  <w:style w:type="paragraph" w:styleId="Odstavecseseznamem">
    <w:name w:val="List Paragraph"/>
    <w:basedOn w:val="Normln"/>
    <w:link w:val="OdstavecseseznamemChar"/>
    <w:uiPriority w:val="99"/>
    <w:qFormat/>
    <w:rsid w:val="00304814"/>
    <w:pPr>
      <w:spacing w:after="200"/>
      <w:ind w:left="720"/>
      <w:contextualSpacing/>
    </w:pPr>
    <w:rPr>
      <w:rFonts w:ascii="Calibri" w:eastAsia="Calibri" w:hAnsi="Calibri" w:cs="Times New Roman"/>
    </w:rPr>
  </w:style>
  <w:style w:type="character" w:customStyle="1" w:styleId="OdstavecseseznamemChar">
    <w:name w:val="Odstavec se seznamem Char"/>
    <w:link w:val="Odstavecseseznamem"/>
    <w:uiPriority w:val="99"/>
    <w:locked/>
    <w:rsid w:val="00304814"/>
    <w:rPr>
      <w:rFonts w:ascii="Calibri" w:eastAsia="Calibri" w:hAnsi="Calibri" w:cs="Times New Roman"/>
    </w:rPr>
  </w:style>
  <w:style w:type="paragraph" w:styleId="Zhlav">
    <w:name w:val="header"/>
    <w:basedOn w:val="Normln"/>
    <w:link w:val="ZhlavChar"/>
    <w:uiPriority w:val="99"/>
    <w:unhideWhenUsed/>
    <w:rsid w:val="00873783"/>
    <w:pPr>
      <w:tabs>
        <w:tab w:val="center" w:pos="4536"/>
        <w:tab w:val="right" w:pos="9072"/>
      </w:tabs>
      <w:spacing w:line="240" w:lineRule="auto"/>
    </w:pPr>
  </w:style>
  <w:style w:type="character" w:customStyle="1" w:styleId="ZhlavChar">
    <w:name w:val="Záhlaví Char"/>
    <w:basedOn w:val="Standardnpsmoodstavce"/>
    <w:link w:val="Zhlav"/>
    <w:uiPriority w:val="99"/>
    <w:rsid w:val="0087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4452963116452544E-2"/>
          <c:y val="5.5791556206227992E-2"/>
          <c:w val="0.69072909670320237"/>
          <c:h val="0.81832073754599766"/>
        </c:manualLayout>
      </c:layout>
      <c:lineChart>
        <c:grouping val="standard"/>
        <c:varyColors val="0"/>
        <c:ser>
          <c:idx val="0"/>
          <c:order val="0"/>
          <c:tx>
            <c:strRef>
              <c:f>'[tabulka č  2_graf.xlsx]tabulka č.2'!$A$3</c:f>
              <c:strCache>
                <c:ptCount val="1"/>
                <c:pt idx="0">
                  <c:v>Spotřeba sladkovodních ryb dle ČSÚ</c:v>
                </c:pt>
              </c:strCache>
            </c:strRef>
          </c:tx>
          <c:dLbls>
            <c:dLbl>
              <c:idx val="0"/>
              <c:layout>
                <c:manualLayout>
                  <c:x val="-3.9153455032925916E-2"/>
                  <c:y val="-3.6025493224283819E-2"/>
                </c:manualLayout>
              </c:layout>
              <c:dLblPos val="r"/>
              <c:showLegendKey val="0"/>
              <c:showVal val="1"/>
              <c:showCatName val="0"/>
              <c:showSerName val="0"/>
              <c:showPercent val="0"/>
              <c:showBubbleSize val="0"/>
            </c:dLbl>
            <c:dLbl>
              <c:idx val="2"/>
              <c:layout>
                <c:manualLayout>
                  <c:x val="-4.142223670431415E-2"/>
                  <c:y val="-4.6070915141891586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numRef>
              <c:f>'[tabulka č  2_graf.xlsx]tabulka č.2'!$B$2:$G$2</c:f>
              <c:numCache>
                <c:formatCode>General</c:formatCode>
                <c:ptCount val="6"/>
                <c:pt idx="0">
                  <c:v>2007</c:v>
                </c:pt>
                <c:pt idx="1">
                  <c:v>2008</c:v>
                </c:pt>
                <c:pt idx="2">
                  <c:v>2009</c:v>
                </c:pt>
                <c:pt idx="3">
                  <c:v>2010</c:v>
                </c:pt>
                <c:pt idx="4">
                  <c:v>2011</c:v>
                </c:pt>
                <c:pt idx="5">
                  <c:v>2012</c:v>
                </c:pt>
              </c:numCache>
            </c:numRef>
          </c:cat>
          <c:val>
            <c:numRef>
              <c:f>'[tabulka č  2_graf.xlsx]tabulka č.2'!$B$3:$G$3</c:f>
              <c:numCache>
                <c:formatCode>General</c:formatCode>
                <c:ptCount val="6"/>
                <c:pt idx="0">
                  <c:v>2.67</c:v>
                </c:pt>
                <c:pt idx="1">
                  <c:v>2.99</c:v>
                </c:pt>
                <c:pt idx="2">
                  <c:v>3.17</c:v>
                </c:pt>
                <c:pt idx="3">
                  <c:v>3</c:v>
                </c:pt>
                <c:pt idx="4">
                  <c:v>2.91</c:v>
                </c:pt>
              </c:numCache>
            </c:numRef>
          </c:val>
          <c:smooth val="0"/>
        </c:ser>
        <c:ser>
          <c:idx val="1"/>
          <c:order val="1"/>
          <c:tx>
            <c:strRef>
              <c:f>'[tabulka č  2_graf.xlsx]tabulka č.2'!$A$4</c:f>
              <c:strCache>
                <c:ptCount val="1"/>
                <c:pt idx="0">
                  <c:v>Spotřeba sladkovodních ryb dle MZe</c:v>
                </c:pt>
              </c:strCache>
            </c:strRef>
          </c:tx>
          <c:dLbls>
            <c:dLblPos val="t"/>
            <c:showLegendKey val="0"/>
            <c:showVal val="1"/>
            <c:showCatName val="0"/>
            <c:showSerName val="0"/>
            <c:showPercent val="0"/>
            <c:showBubbleSize val="0"/>
            <c:showLeaderLines val="0"/>
          </c:dLbls>
          <c:cat>
            <c:numRef>
              <c:f>'[tabulka č  2_graf.xlsx]tabulka č.2'!$B$2:$G$2</c:f>
              <c:numCache>
                <c:formatCode>General</c:formatCode>
                <c:ptCount val="6"/>
                <c:pt idx="0">
                  <c:v>2007</c:v>
                </c:pt>
                <c:pt idx="1">
                  <c:v>2008</c:v>
                </c:pt>
                <c:pt idx="2">
                  <c:v>2009</c:v>
                </c:pt>
                <c:pt idx="3">
                  <c:v>2010</c:v>
                </c:pt>
                <c:pt idx="4">
                  <c:v>2011</c:v>
                </c:pt>
                <c:pt idx="5">
                  <c:v>2012</c:v>
                </c:pt>
              </c:numCache>
            </c:numRef>
          </c:cat>
          <c:val>
            <c:numRef>
              <c:f>'[tabulka č  2_graf.xlsx]tabulka č.2'!$B$4:$G$4</c:f>
              <c:numCache>
                <c:formatCode>General</c:formatCode>
                <c:ptCount val="6"/>
                <c:pt idx="0">
                  <c:v>1.38</c:v>
                </c:pt>
                <c:pt idx="1">
                  <c:v>1.32</c:v>
                </c:pt>
                <c:pt idx="2">
                  <c:v>1.37</c:v>
                </c:pt>
                <c:pt idx="3">
                  <c:v>1.42</c:v>
                </c:pt>
                <c:pt idx="4">
                  <c:v>1.46</c:v>
                </c:pt>
                <c:pt idx="5">
                  <c:v>1.46</c:v>
                </c:pt>
              </c:numCache>
            </c:numRef>
          </c:val>
          <c:smooth val="0"/>
        </c:ser>
        <c:dLbls>
          <c:showLegendKey val="0"/>
          <c:showVal val="0"/>
          <c:showCatName val="0"/>
          <c:showSerName val="0"/>
          <c:showPercent val="0"/>
          <c:showBubbleSize val="0"/>
        </c:dLbls>
        <c:marker val="1"/>
        <c:smooth val="0"/>
        <c:axId val="130283392"/>
        <c:axId val="130284928"/>
      </c:lineChart>
      <c:catAx>
        <c:axId val="130283392"/>
        <c:scaling>
          <c:orientation val="minMax"/>
        </c:scaling>
        <c:delete val="0"/>
        <c:axPos val="b"/>
        <c:numFmt formatCode="General" sourceLinked="1"/>
        <c:majorTickMark val="out"/>
        <c:minorTickMark val="none"/>
        <c:tickLblPos val="nextTo"/>
        <c:crossAx val="130284928"/>
        <c:crosses val="autoZero"/>
        <c:auto val="1"/>
        <c:lblAlgn val="ctr"/>
        <c:lblOffset val="100"/>
        <c:noMultiLvlLbl val="0"/>
      </c:catAx>
      <c:valAx>
        <c:axId val="130284928"/>
        <c:scaling>
          <c:orientation val="minMax"/>
        </c:scaling>
        <c:delete val="0"/>
        <c:axPos val="l"/>
        <c:majorGridlines/>
        <c:numFmt formatCode="General" sourceLinked="1"/>
        <c:majorTickMark val="out"/>
        <c:minorTickMark val="none"/>
        <c:tickLblPos val="nextTo"/>
        <c:crossAx val="130283392"/>
        <c:crosses val="autoZero"/>
        <c:crossBetween val="between"/>
      </c:valAx>
    </c:plotArea>
    <c:legend>
      <c:legendPos val="r"/>
      <c:layout>
        <c:manualLayout>
          <c:xMode val="edge"/>
          <c:yMode val="edge"/>
          <c:x val="0.79098150106463549"/>
          <c:y val="0.26803294903344754"/>
          <c:w val="0.19519610040721536"/>
          <c:h val="0.59965655046887978"/>
        </c:manualLayout>
      </c:layout>
      <c:overlay val="0"/>
    </c:legend>
    <c:plotVisOnly val="1"/>
    <c:dispBlanksAs val="gap"/>
    <c:showDLblsOverMax val="0"/>
  </c:chart>
  <c:txPr>
    <a:bodyPr/>
    <a:lstStyle/>
    <a:p>
      <a:pPr>
        <a:spcBef>
          <a:spcPts val="100"/>
        </a:spcBef>
        <a:spcAft>
          <a:spcPts val="100"/>
        </a:spcAft>
        <a:defRPr sz="900">
          <a:latin typeface="Arial" pitchFamily="34" charset="0"/>
          <a:cs typeface="Arial" pitchFamily="34" charset="0"/>
        </a:defRPr>
      </a:pPr>
      <a:endParaRPr lang="cs-CZ"/>
    </a:p>
  </c:txPr>
  <c:externalData r:id="rId2">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D4B45B-AFD0-4DAB-8FC7-197CCB9D9D30}"/>
</file>

<file path=customXml/itemProps2.xml><?xml version="1.0" encoding="utf-8"?>
<ds:datastoreItem xmlns:ds="http://schemas.openxmlformats.org/officeDocument/2006/customXml" ds:itemID="{86BB99D9-47A0-4616-915C-802EEE5D8199}"/>
</file>

<file path=customXml/itemProps3.xml><?xml version="1.0" encoding="utf-8"?>
<ds:datastoreItem xmlns:ds="http://schemas.openxmlformats.org/officeDocument/2006/customXml" ds:itemID="{FD8AE60D-9FB1-4A52-A1F4-6214CA135632}"/>
</file>

<file path=customXml/itemProps4.xml><?xml version="1.0" encoding="utf-8"?>
<ds:datastoreItem xmlns:ds="http://schemas.openxmlformats.org/officeDocument/2006/customXml" ds:itemID="{8F0F77C6-9A3A-42A8-B174-11B39E27E0C8}"/>
</file>

<file path=docProps/app.xml><?xml version="1.0" encoding="utf-8"?>
<Properties xmlns="http://schemas.openxmlformats.org/officeDocument/2006/extended-properties" xmlns:vt="http://schemas.openxmlformats.org/officeDocument/2006/docPropsVTypes">
  <Template>Normal</Template>
  <TotalTime>5</TotalTime>
  <Pages>10</Pages>
  <Words>3971</Words>
  <Characters>23435</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27352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13/28</dc:title>
  <dc:creator>RAJDL Michal</dc:creator>
  <cp:lastModifiedBy>POKORNÁ Jana</cp:lastModifiedBy>
  <cp:revision>4</cp:revision>
  <dcterms:created xsi:type="dcterms:W3CDTF">2014-05-05T10:42:00Z</dcterms:created>
  <dcterms:modified xsi:type="dcterms:W3CDTF">2014-05-06T10:54:00Z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ies>
</file>