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A1" w:rsidRDefault="00156BA1" w:rsidP="00DF12B2">
      <w:pPr>
        <w:rPr>
          <w:rFonts w:cs="Arial"/>
          <w:color w:val="FFFFFF"/>
          <w:szCs w:val="22"/>
        </w:rPr>
      </w:pPr>
    </w:p>
    <w:p w:rsidR="00F016DA" w:rsidRPr="00C1766D" w:rsidRDefault="00F016DA" w:rsidP="00DF12B2">
      <w:pPr>
        <w:jc w:val="center"/>
        <w:rPr>
          <w:rFonts w:cs="Arial"/>
          <w:color w:val="FFFFFF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316B17E2" wp14:editId="747FF797">
            <wp:simplePos x="0" y="0"/>
            <wp:positionH relativeFrom="column">
              <wp:posOffset>2481580</wp:posOffset>
            </wp:positionH>
            <wp:positionV relativeFrom="paragraph">
              <wp:posOffset>12700</wp:posOffset>
            </wp:positionV>
            <wp:extent cx="790575" cy="561975"/>
            <wp:effectExtent l="0" t="0" r="9525" b="9525"/>
            <wp:wrapTopAndBottom/>
            <wp:docPr id="1" name="Obrázek 1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NKU_LOGO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6DA" w:rsidRPr="00C1766D" w:rsidRDefault="00F016DA" w:rsidP="00747C45">
      <w:pPr>
        <w:rPr>
          <w:rFonts w:cs="Arial"/>
          <w:color w:val="FFFFFF"/>
          <w:szCs w:val="22"/>
          <w:highlight w:val="lightGray"/>
        </w:rPr>
      </w:pPr>
    </w:p>
    <w:p w:rsidR="00334C75" w:rsidRPr="00F4366F" w:rsidRDefault="00334C75" w:rsidP="00334C75">
      <w:pPr>
        <w:pStyle w:val="NadpisKZ"/>
        <w:spacing w:before="0" w:after="60"/>
        <w:jc w:val="center"/>
        <w:rPr>
          <w:rFonts w:cs="Arial"/>
          <w:sz w:val="28"/>
          <w:szCs w:val="28"/>
        </w:rPr>
      </w:pPr>
      <w:r w:rsidRPr="00F4366F">
        <w:rPr>
          <w:rFonts w:cs="Arial"/>
          <w:sz w:val="28"/>
          <w:szCs w:val="28"/>
        </w:rPr>
        <w:t>Kontrolní závěr z kontrolní akce</w:t>
      </w:r>
    </w:p>
    <w:p w:rsidR="00334C75" w:rsidRPr="00CD7EDC" w:rsidRDefault="00334C75" w:rsidP="00334C75">
      <w:pPr>
        <w:pStyle w:val="NadpisKZ"/>
        <w:spacing w:before="0" w:after="60"/>
        <w:jc w:val="center"/>
        <w:rPr>
          <w:rFonts w:cs="Arial"/>
          <w:sz w:val="24"/>
        </w:rPr>
      </w:pPr>
    </w:p>
    <w:p w:rsidR="00334C75" w:rsidRPr="00F4366F" w:rsidRDefault="00334C75" w:rsidP="00334C75">
      <w:pPr>
        <w:pStyle w:val="NadpisKZ"/>
        <w:spacing w:before="0" w:after="6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13/36</w:t>
      </w:r>
    </w:p>
    <w:p w:rsidR="00334C75" w:rsidRPr="00CD7EDC" w:rsidRDefault="00334C75" w:rsidP="00334C75">
      <w:pPr>
        <w:pStyle w:val="NadpisKZ"/>
        <w:spacing w:before="0" w:after="60"/>
        <w:jc w:val="center"/>
        <w:rPr>
          <w:rFonts w:cs="Arial"/>
          <w:sz w:val="24"/>
        </w:rPr>
      </w:pPr>
    </w:p>
    <w:p w:rsidR="00334C75" w:rsidRPr="005B4940" w:rsidRDefault="00334C75" w:rsidP="00334C75">
      <w:pPr>
        <w:jc w:val="center"/>
        <w:rPr>
          <w:rFonts w:cs="Arial"/>
          <w:b/>
          <w:sz w:val="28"/>
          <w:szCs w:val="28"/>
        </w:rPr>
      </w:pPr>
      <w:r w:rsidRPr="005B4940">
        <w:rPr>
          <w:rFonts w:cs="Arial"/>
          <w:b/>
          <w:sz w:val="28"/>
          <w:szCs w:val="28"/>
        </w:rPr>
        <w:t xml:space="preserve">Peněžní prostředky vynakládané na </w:t>
      </w:r>
      <w:r>
        <w:rPr>
          <w:rFonts w:cs="Arial"/>
          <w:b/>
          <w:sz w:val="28"/>
          <w:szCs w:val="28"/>
        </w:rPr>
        <w:t>služby, jejichž cílem je podpora zemědělských produktů a potravin na tuzemském trhu</w:t>
      </w:r>
    </w:p>
    <w:p w:rsidR="00334C75" w:rsidRPr="00597C76" w:rsidRDefault="00334C75" w:rsidP="00334C75">
      <w:pPr>
        <w:rPr>
          <w:rFonts w:cs="Arial"/>
          <w:szCs w:val="22"/>
          <w:highlight w:val="lightGray"/>
        </w:rPr>
      </w:pPr>
    </w:p>
    <w:p w:rsidR="00CF481E" w:rsidRDefault="00334C75" w:rsidP="005D0635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>Kontrolní akce byla zařazena do plánu kontrolní činnosti Nejvyššího kontrolního úřadu (dále jen „N</w:t>
      </w:r>
      <w:r>
        <w:rPr>
          <w:rFonts w:cs="Arial"/>
          <w:szCs w:val="22"/>
        </w:rPr>
        <w:t>KÚ“) na rok 2013 pod číslem 13/36</w:t>
      </w:r>
      <w:r w:rsidRPr="000323B9">
        <w:rPr>
          <w:rFonts w:cs="Arial"/>
          <w:szCs w:val="22"/>
        </w:rPr>
        <w:t xml:space="preserve">. Kontrolní akci řídil a kontrolní závěr vypracoval člen NKÚ Ing. </w:t>
      </w:r>
      <w:bookmarkStart w:id="0" w:name="_Toc225829457"/>
      <w:bookmarkStart w:id="1" w:name="_Toc270078121"/>
      <w:bookmarkStart w:id="2" w:name="_Toc326061750"/>
      <w:r w:rsidR="00D9765F">
        <w:rPr>
          <w:rFonts w:cs="Arial"/>
          <w:szCs w:val="22"/>
        </w:rPr>
        <w:t xml:space="preserve">Zdeněk </w:t>
      </w:r>
      <w:proofErr w:type="spellStart"/>
      <w:r w:rsidR="00D9765F">
        <w:rPr>
          <w:rFonts w:cs="Arial"/>
          <w:szCs w:val="22"/>
        </w:rPr>
        <w:t>Brandt</w:t>
      </w:r>
      <w:proofErr w:type="spellEnd"/>
      <w:r w:rsidR="00D9765F">
        <w:rPr>
          <w:rFonts w:cs="Arial"/>
          <w:szCs w:val="22"/>
        </w:rPr>
        <w:t>.</w:t>
      </w:r>
    </w:p>
    <w:p w:rsidR="005D0635" w:rsidRPr="00394280" w:rsidRDefault="005D0635" w:rsidP="005D0635">
      <w:pPr>
        <w:spacing w:after="0"/>
        <w:rPr>
          <w:rFonts w:cs="Arial"/>
          <w:szCs w:val="22"/>
        </w:rPr>
      </w:pPr>
    </w:p>
    <w:bookmarkEnd w:id="0"/>
    <w:bookmarkEnd w:id="1"/>
    <w:bookmarkEnd w:id="2"/>
    <w:p w:rsidR="009B53A7" w:rsidRDefault="00334C75" w:rsidP="002F1239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 xml:space="preserve">Cílem kontroly bylo prověřit hospodaření s peněžními prostředky vynakládanými na </w:t>
      </w:r>
      <w:r>
        <w:rPr>
          <w:rFonts w:cs="Arial"/>
          <w:szCs w:val="22"/>
        </w:rPr>
        <w:t>služby v oblasti informování a komunikace s veřejností, jejichž cílem je podpora zemědělských produktů a potravin na tuzemském trhu.</w:t>
      </w:r>
      <w:r w:rsidR="0013466E">
        <w:rPr>
          <w:rStyle w:val="Znakapoznpodarou"/>
          <w:szCs w:val="22"/>
        </w:rPr>
        <w:footnoteReference w:id="2"/>
      </w:r>
      <w:r w:rsidR="00A046E3">
        <w:rPr>
          <w:rFonts w:cs="Arial"/>
          <w:szCs w:val="22"/>
        </w:rPr>
        <w:t xml:space="preserve"> </w:t>
      </w:r>
    </w:p>
    <w:p w:rsidR="009B53A7" w:rsidRDefault="009B53A7" w:rsidP="002F1239">
      <w:pPr>
        <w:spacing w:after="0"/>
        <w:rPr>
          <w:rFonts w:cs="Arial"/>
          <w:szCs w:val="22"/>
        </w:rPr>
      </w:pPr>
    </w:p>
    <w:p w:rsidR="00CF481E" w:rsidRDefault="00334C75" w:rsidP="002F1239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>Kont</w:t>
      </w:r>
      <w:r>
        <w:rPr>
          <w:rFonts w:cs="Arial"/>
          <w:szCs w:val="22"/>
        </w:rPr>
        <w:t>rolovaný</w:t>
      </w:r>
      <w:r w:rsidR="00160C88">
        <w:rPr>
          <w:rFonts w:cs="Arial"/>
          <w:szCs w:val="22"/>
        </w:rPr>
        <w:t>m obdobím byly roky 2008 až 2013</w:t>
      </w:r>
      <w:r w:rsidRPr="000323B9">
        <w:rPr>
          <w:rFonts w:cs="Arial"/>
          <w:szCs w:val="22"/>
        </w:rPr>
        <w:t>, v případě věcných souvislostí i obd</w:t>
      </w:r>
      <w:r w:rsidR="00D9765F">
        <w:rPr>
          <w:rFonts w:cs="Arial"/>
          <w:szCs w:val="22"/>
        </w:rPr>
        <w:t>obí předcházející.</w:t>
      </w:r>
      <w:r w:rsidR="009B53A7">
        <w:rPr>
          <w:rFonts w:cs="Arial"/>
          <w:szCs w:val="22"/>
        </w:rPr>
        <w:t xml:space="preserve"> </w:t>
      </w:r>
      <w:r w:rsidR="009B53A7" w:rsidRPr="00DB53C4">
        <w:rPr>
          <w:rFonts w:cs="Arial"/>
          <w:szCs w:val="22"/>
        </w:rPr>
        <w:t>Kontrola byla prováděna od října roku 2013 do dubna roku 2014.</w:t>
      </w:r>
    </w:p>
    <w:p w:rsidR="005D0635" w:rsidRPr="000323B9" w:rsidRDefault="005D0635" w:rsidP="002F1239">
      <w:pPr>
        <w:spacing w:after="0"/>
        <w:rPr>
          <w:rFonts w:cs="Arial"/>
          <w:szCs w:val="22"/>
        </w:rPr>
      </w:pPr>
    </w:p>
    <w:p w:rsidR="00334C75" w:rsidRDefault="00334C75" w:rsidP="002F1239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>Kontrolovan</w:t>
      </w:r>
      <w:r w:rsidR="009B53A7">
        <w:rPr>
          <w:rFonts w:cs="Arial"/>
          <w:szCs w:val="22"/>
        </w:rPr>
        <w:t>é</w:t>
      </w:r>
      <w:r w:rsidRPr="000323B9">
        <w:rPr>
          <w:rFonts w:cs="Arial"/>
          <w:szCs w:val="22"/>
        </w:rPr>
        <w:t xml:space="preserve"> osob</w:t>
      </w:r>
      <w:r w:rsidR="009B53A7">
        <w:rPr>
          <w:rFonts w:cs="Arial"/>
          <w:szCs w:val="22"/>
        </w:rPr>
        <w:t>y:</w:t>
      </w:r>
      <w:r w:rsidRPr="000323B9">
        <w:rPr>
          <w:rFonts w:cs="Arial"/>
          <w:szCs w:val="22"/>
        </w:rPr>
        <w:t xml:space="preserve"> Ministerstvo </w:t>
      </w:r>
      <w:r w:rsidR="00160C88">
        <w:rPr>
          <w:rFonts w:cs="Arial"/>
          <w:szCs w:val="22"/>
        </w:rPr>
        <w:t>zemědělství (dále také</w:t>
      </w:r>
      <w:r>
        <w:rPr>
          <w:rFonts w:cs="Arial"/>
          <w:szCs w:val="22"/>
        </w:rPr>
        <w:t xml:space="preserve"> „</w:t>
      </w:r>
      <w:proofErr w:type="spellStart"/>
      <w:r>
        <w:rPr>
          <w:rFonts w:cs="Arial"/>
          <w:szCs w:val="22"/>
        </w:rPr>
        <w:t>MZe</w:t>
      </w:r>
      <w:proofErr w:type="spellEnd"/>
      <w:r w:rsidRPr="000323B9">
        <w:rPr>
          <w:rFonts w:cs="Arial"/>
          <w:szCs w:val="22"/>
        </w:rPr>
        <w:t xml:space="preserve">“), </w:t>
      </w:r>
      <w:r>
        <w:rPr>
          <w:rFonts w:cs="Arial"/>
          <w:szCs w:val="22"/>
        </w:rPr>
        <w:t>Státní zeměd</w:t>
      </w:r>
      <w:r w:rsidR="00160C88">
        <w:rPr>
          <w:rFonts w:cs="Arial"/>
          <w:szCs w:val="22"/>
        </w:rPr>
        <w:t xml:space="preserve">ělský </w:t>
      </w:r>
      <w:r w:rsidR="00160C88" w:rsidRPr="00DB53C4">
        <w:rPr>
          <w:rFonts w:cs="Arial"/>
          <w:szCs w:val="22"/>
        </w:rPr>
        <w:t>intervenční fond</w:t>
      </w:r>
      <w:r w:rsidR="009D4E4E" w:rsidRPr="00DB53C4">
        <w:rPr>
          <w:rFonts w:cs="Arial"/>
          <w:szCs w:val="22"/>
        </w:rPr>
        <w:t>, Praha</w:t>
      </w:r>
      <w:r w:rsidR="009B53A7">
        <w:rPr>
          <w:rFonts w:cs="Arial"/>
          <w:szCs w:val="22"/>
        </w:rPr>
        <w:t>,</w:t>
      </w:r>
      <w:r w:rsidR="00160C88" w:rsidRPr="00DB53C4">
        <w:rPr>
          <w:rFonts w:cs="Arial"/>
          <w:szCs w:val="22"/>
        </w:rPr>
        <w:t xml:space="preserve"> (dále také</w:t>
      </w:r>
      <w:r w:rsidRPr="00DB53C4">
        <w:rPr>
          <w:rFonts w:cs="Arial"/>
          <w:szCs w:val="22"/>
        </w:rPr>
        <w:t xml:space="preserve"> „</w:t>
      </w:r>
      <w:r w:rsidR="00160C88" w:rsidRPr="00DB53C4">
        <w:rPr>
          <w:rFonts w:cs="Arial"/>
          <w:szCs w:val="22"/>
        </w:rPr>
        <w:t>SZIF“) a Vinařský fond</w:t>
      </w:r>
      <w:r w:rsidR="009D4E4E" w:rsidRPr="00DB53C4">
        <w:rPr>
          <w:rFonts w:cs="Arial"/>
          <w:szCs w:val="22"/>
        </w:rPr>
        <w:t>, Brno</w:t>
      </w:r>
      <w:r w:rsidR="009B53A7">
        <w:rPr>
          <w:rFonts w:cs="Arial"/>
          <w:szCs w:val="22"/>
        </w:rPr>
        <w:t>,</w:t>
      </w:r>
      <w:r w:rsidR="00160C88" w:rsidRPr="00DB53C4">
        <w:rPr>
          <w:rFonts w:cs="Arial"/>
          <w:szCs w:val="22"/>
        </w:rPr>
        <w:t xml:space="preserve"> (dále také</w:t>
      </w:r>
      <w:r w:rsidRPr="00DB53C4">
        <w:rPr>
          <w:rFonts w:cs="Arial"/>
          <w:szCs w:val="22"/>
        </w:rPr>
        <w:t xml:space="preserve"> „VF“).</w:t>
      </w:r>
    </w:p>
    <w:p w:rsidR="005D0635" w:rsidRPr="00DB53C4" w:rsidRDefault="005D0635" w:rsidP="002F1239">
      <w:pPr>
        <w:spacing w:after="0"/>
        <w:rPr>
          <w:rFonts w:cs="Arial"/>
          <w:szCs w:val="22"/>
        </w:rPr>
      </w:pPr>
    </w:p>
    <w:p w:rsidR="00334C75" w:rsidRDefault="00334C75" w:rsidP="002F1239">
      <w:pPr>
        <w:spacing w:after="0"/>
        <w:rPr>
          <w:rFonts w:cs="Arial"/>
          <w:szCs w:val="22"/>
        </w:rPr>
      </w:pPr>
      <w:r w:rsidRPr="00DB53C4">
        <w:rPr>
          <w:rFonts w:cs="Arial"/>
          <w:szCs w:val="22"/>
        </w:rPr>
        <w:t>Námitky proti kontrol</w:t>
      </w:r>
      <w:r w:rsidR="00181486" w:rsidRPr="00DB53C4">
        <w:rPr>
          <w:rFonts w:cs="Arial"/>
          <w:szCs w:val="22"/>
        </w:rPr>
        <w:t>nímu protokolu, které podaly</w:t>
      </w:r>
      <w:r w:rsidRPr="00DB53C4">
        <w:rPr>
          <w:rFonts w:cs="Arial"/>
          <w:szCs w:val="22"/>
        </w:rPr>
        <w:t xml:space="preserve"> </w:t>
      </w:r>
      <w:proofErr w:type="spellStart"/>
      <w:r w:rsidRPr="00DB53C4">
        <w:rPr>
          <w:rFonts w:cs="Arial"/>
          <w:szCs w:val="22"/>
        </w:rPr>
        <w:t>MZe</w:t>
      </w:r>
      <w:proofErr w:type="spellEnd"/>
      <w:r w:rsidRPr="00DB53C4">
        <w:rPr>
          <w:rFonts w:cs="Arial"/>
          <w:szCs w:val="22"/>
        </w:rPr>
        <w:t>, SZIF a VF, byly vypořádány vedoucími skupin kontrolujících rozhodnutím</w:t>
      </w:r>
      <w:r w:rsidR="009B53A7">
        <w:rPr>
          <w:rFonts w:cs="Arial"/>
          <w:szCs w:val="22"/>
        </w:rPr>
        <w:t>i</w:t>
      </w:r>
      <w:r w:rsidRPr="00DB53C4">
        <w:rPr>
          <w:rFonts w:cs="Arial"/>
          <w:szCs w:val="22"/>
        </w:rPr>
        <w:t xml:space="preserve"> o námitkách. Odvolání </w:t>
      </w:r>
      <w:proofErr w:type="spellStart"/>
      <w:r w:rsidRPr="00DB53C4">
        <w:rPr>
          <w:rFonts w:cs="Arial"/>
          <w:szCs w:val="22"/>
        </w:rPr>
        <w:t>MZe</w:t>
      </w:r>
      <w:proofErr w:type="spellEnd"/>
      <w:r w:rsidRPr="00DB53C4">
        <w:rPr>
          <w:rFonts w:cs="Arial"/>
          <w:szCs w:val="22"/>
        </w:rPr>
        <w:t>, SZIF a VF p</w:t>
      </w:r>
      <w:r w:rsidR="00181486" w:rsidRPr="00DB53C4">
        <w:rPr>
          <w:rFonts w:cs="Arial"/>
          <w:szCs w:val="22"/>
        </w:rPr>
        <w:t>roti rozhodnutí</w:t>
      </w:r>
      <w:r w:rsidR="009B53A7">
        <w:rPr>
          <w:rFonts w:cs="Arial"/>
          <w:szCs w:val="22"/>
        </w:rPr>
        <w:t>m</w:t>
      </w:r>
      <w:r w:rsidR="00181486" w:rsidRPr="00DB53C4">
        <w:rPr>
          <w:rFonts w:cs="Arial"/>
          <w:szCs w:val="22"/>
        </w:rPr>
        <w:t xml:space="preserve"> o námitkách byla vypořádána</w:t>
      </w:r>
      <w:r w:rsidRPr="00DB53C4">
        <w:rPr>
          <w:rFonts w:cs="Arial"/>
          <w:szCs w:val="22"/>
        </w:rPr>
        <w:t xml:space="preserve"> usnesením</w:t>
      </w:r>
      <w:r w:rsidR="009B53A7">
        <w:rPr>
          <w:rFonts w:cs="Arial"/>
          <w:szCs w:val="22"/>
        </w:rPr>
        <w:t>i</w:t>
      </w:r>
      <w:r w:rsidRPr="00DB53C4">
        <w:rPr>
          <w:rFonts w:cs="Arial"/>
          <w:szCs w:val="22"/>
        </w:rPr>
        <w:t xml:space="preserve"> Kolegia NKÚ.</w:t>
      </w:r>
    </w:p>
    <w:p w:rsidR="005D0635" w:rsidRDefault="005D0635" w:rsidP="002F1239">
      <w:pPr>
        <w:spacing w:after="0"/>
        <w:rPr>
          <w:rFonts w:cs="Arial"/>
          <w:szCs w:val="22"/>
        </w:rPr>
      </w:pPr>
    </w:p>
    <w:p w:rsidR="00CC5652" w:rsidRPr="00DB53C4" w:rsidRDefault="00CC5652" w:rsidP="00014169">
      <w:pPr>
        <w:rPr>
          <w:rFonts w:cs="Arial"/>
          <w:szCs w:val="22"/>
        </w:rPr>
      </w:pPr>
    </w:p>
    <w:p w:rsidR="00334C75" w:rsidRPr="00DB53C4" w:rsidRDefault="00334C75" w:rsidP="00334C75">
      <w:pPr>
        <w:rPr>
          <w:rFonts w:cs="Arial"/>
          <w:szCs w:val="22"/>
        </w:rPr>
      </w:pPr>
      <w:r w:rsidRPr="002F1239">
        <w:rPr>
          <w:rFonts w:cs="Arial"/>
          <w:b/>
          <w:bCs/>
          <w:i/>
          <w:iCs/>
          <w:color w:val="000000"/>
          <w:spacing w:val="40"/>
          <w:szCs w:val="22"/>
        </w:rPr>
        <w:t>Kolegium</w:t>
      </w:r>
      <w:r w:rsidRPr="002F1239">
        <w:rPr>
          <w:rFonts w:cs="Arial"/>
          <w:b/>
          <w:bCs/>
          <w:iCs/>
          <w:color w:val="000000"/>
          <w:spacing w:val="40"/>
          <w:szCs w:val="22"/>
        </w:rPr>
        <w:t xml:space="preserve"> </w:t>
      </w:r>
      <w:proofErr w:type="gramStart"/>
      <w:r w:rsidRPr="002F1239">
        <w:rPr>
          <w:rFonts w:cs="Arial"/>
          <w:b/>
          <w:bCs/>
          <w:i/>
          <w:iCs/>
          <w:color w:val="000000"/>
          <w:spacing w:val="40"/>
          <w:szCs w:val="22"/>
        </w:rPr>
        <w:t>NKÚ</w:t>
      </w:r>
      <w:r w:rsidRPr="00DB53C4">
        <w:rPr>
          <w:rFonts w:cs="Arial"/>
          <w:bCs/>
          <w:iCs/>
          <w:color w:val="000000"/>
          <w:szCs w:val="22"/>
        </w:rPr>
        <w:t xml:space="preserve">   </w:t>
      </w:r>
      <w:r w:rsidRPr="00DB53C4">
        <w:rPr>
          <w:rFonts w:cs="Arial"/>
          <w:bCs/>
          <w:iCs/>
          <w:szCs w:val="22"/>
        </w:rPr>
        <w:t>n</w:t>
      </w:r>
      <w:r w:rsidRPr="00DB53C4">
        <w:rPr>
          <w:rFonts w:cs="Arial"/>
          <w:szCs w:val="22"/>
        </w:rPr>
        <w:t>a</w:t>
      </w:r>
      <w:proofErr w:type="gramEnd"/>
      <w:r w:rsidRPr="00DB53C4">
        <w:rPr>
          <w:rFonts w:cs="Arial"/>
          <w:szCs w:val="22"/>
        </w:rPr>
        <w:t xml:space="preserve"> svém </w:t>
      </w:r>
      <w:r w:rsidR="00C77731">
        <w:rPr>
          <w:rFonts w:cs="Arial"/>
          <w:szCs w:val="22"/>
        </w:rPr>
        <w:t xml:space="preserve">XII. </w:t>
      </w:r>
      <w:r w:rsidRPr="00DB53C4">
        <w:rPr>
          <w:rFonts w:cs="Arial"/>
          <w:szCs w:val="22"/>
        </w:rPr>
        <w:t>zasedání, konaném dne</w:t>
      </w:r>
      <w:r w:rsidR="00C77731">
        <w:rPr>
          <w:rFonts w:cs="Arial"/>
          <w:szCs w:val="22"/>
        </w:rPr>
        <w:t xml:space="preserve"> 30. června </w:t>
      </w:r>
      <w:r w:rsidRPr="00DB53C4">
        <w:rPr>
          <w:rFonts w:cs="Arial"/>
          <w:szCs w:val="22"/>
        </w:rPr>
        <w:t>2014,</w:t>
      </w:r>
    </w:p>
    <w:p w:rsidR="00334C75" w:rsidRPr="00DB53C4" w:rsidRDefault="00334C75" w:rsidP="00334C75">
      <w:pPr>
        <w:rPr>
          <w:rFonts w:cs="Arial"/>
          <w:szCs w:val="22"/>
        </w:rPr>
      </w:pPr>
      <w:proofErr w:type="gramStart"/>
      <w:r w:rsidRPr="002F1239">
        <w:rPr>
          <w:rFonts w:cs="Arial"/>
          <w:b/>
          <w:bCs/>
          <w:i/>
          <w:iCs/>
          <w:spacing w:val="40"/>
          <w:szCs w:val="22"/>
        </w:rPr>
        <w:t>schválilo</w:t>
      </w:r>
      <w:r w:rsidRPr="00DB53C4">
        <w:rPr>
          <w:rFonts w:cs="Arial"/>
          <w:szCs w:val="22"/>
        </w:rPr>
        <w:t xml:space="preserve">   usnesením</w:t>
      </w:r>
      <w:proofErr w:type="gramEnd"/>
      <w:r w:rsidRPr="00DB53C4">
        <w:rPr>
          <w:rFonts w:cs="Arial"/>
          <w:szCs w:val="22"/>
        </w:rPr>
        <w:t xml:space="preserve"> č. </w:t>
      </w:r>
      <w:r w:rsidR="008F5070">
        <w:rPr>
          <w:rFonts w:cs="Arial"/>
          <w:szCs w:val="22"/>
        </w:rPr>
        <w:t>7</w:t>
      </w:r>
      <w:r w:rsidRPr="00DB53C4">
        <w:rPr>
          <w:rFonts w:cs="Arial"/>
          <w:szCs w:val="22"/>
        </w:rPr>
        <w:t>/</w:t>
      </w:r>
      <w:r w:rsidR="00C77731">
        <w:rPr>
          <w:rFonts w:cs="Arial"/>
          <w:szCs w:val="22"/>
        </w:rPr>
        <w:t>XII</w:t>
      </w:r>
      <w:r w:rsidRPr="00DB53C4">
        <w:rPr>
          <w:rFonts w:cs="Arial"/>
          <w:szCs w:val="22"/>
        </w:rPr>
        <w:t>/2014</w:t>
      </w:r>
    </w:p>
    <w:p w:rsidR="00104663" w:rsidRDefault="00334C75" w:rsidP="00DF12B2">
      <w:pPr>
        <w:rPr>
          <w:rFonts w:cs="Arial"/>
          <w:szCs w:val="22"/>
        </w:rPr>
      </w:pPr>
      <w:r w:rsidRPr="002F1239">
        <w:rPr>
          <w:rFonts w:cs="Arial"/>
          <w:b/>
          <w:bCs/>
          <w:i/>
          <w:iCs/>
          <w:spacing w:val="40"/>
          <w:szCs w:val="22"/>
        </w:rPr>
        <w:t>kontrolní</w:t>
      </w:r>
      <w:r w:rsidRPr="002F1239">
        <w:rPr>
          <w:rFonts w:cs="Arial"/>
          <w:b/>
          <w:bCs/>
          <w:iCs/>
          <w:spacing w:val="40"/>
          <w:szCs w:val="22"/>
        </w:rPr>
        <w:t xml:space="preserve"> </w:t>
      </w:r>
      <w:proofErr w:type="gramStart"/>
      <w:r w:rsidRPr="002F1239">
        <w:rPr>
          <w:rFonts w:cs="Arial"/>
          <w:b/>
          <w:bCs/>
          <w:i/>
          <w:iCs/>
          <w:spacing w:val="40"/>
          <w:szCs w:val="22"/>
        </w:rPr>
        <w:t>závěr</w:t>
      </w:r>
      <w:r w:rsidRPr="00DB53C4">
        <w:rPr>
          <w:rFonts w:cs="Arial"/>
          <w:szCs w:val="22"/>
        </w:rPr>
        <w:t xml:space="preserve">   v tomto</w:t>
      </w:r>
      <w:proofErr w:type="gramEnd"/>
      <w:r w:rsidRPr="00DB53C4">
        <w:rPr>
          <w:rFonts w:cs="Arial"/>
          <w:szCs w:val="22"/>
        </w:rPr>
        <w:t xml:space="preserve"> znění:</w:t>
      </w:r>
    </w:p>
    <w:p w:rsidR="00C77731" w:rsidRPr="00DB53C4" w:rsidRDefault="00C77731" w:rsidP="00DF12B2">
      <w:pPr>
        <w:rPr>
          <w:rFonts w:cs="Arial"/>
          <w:szCs w:val="22"/>
        </w:rPr>
      </w:pPr>
    </w:p>
    <w:p w:rsidR="00653A8C" w:rsidRPr="002F1239" w:rsidRDefault="00F016DA" w:rsidP="002F1239">
      <w:pPr>
        <w:pStyle w:val="Nadpis1"/>
        <w:spacing w:before="0" w:after="0"/>
        <w:ind w:left="284" w:hanging="284"/>
        <w:rPr>
          <w:sz w:val="24"/>
          <w:szCs w:val="24"/>
        </w:rPr>
      </w:pPr>
      <w:r w:rsidRPr="002F1239">
        <w:rPr>
          <w:sz w:val="24"/>
          <w:szCs w:val="24"/>
        </w:rPr>
        <w:t>Úvod</w:t>
      </w:r>
    </w:p>
    <w:p w:rsidR="005D0635" w:rsidRDefault="005D0635" w:rsidP="002F1239">
      <w:pPr>
        <w:spacing w:after="0"/>
      </w:pPr>
    </w:p>
    <w:p w:rsidR="004671BE" w:rsidRDefault="00853812" w:rsidP="002F1239">
      <w:pPr>
        <w:spacing w:after="0"/>
        <w:rPr>
          <w:lang w:eastAsia="cs-CZ"/>
        </w:rPr>
      </w:pPr>
      <w:proofErr w:type="spellStart"/>
      <w:r w:rsidRPr="00DB53C4">
        <w:t>MZe</w:t>
      </w:r>
      <w:proofErr w:type="spellEnd"/>
      <w:r w:rsidR="00845CEB" w:rsidRPr="00DB53C4">
        <w:t xml:space="preserve"> </w:t>
      </w:r>
      <w:r w:rsidR="00845CEB" w:rsidRPr="00DB53C4">
        <w:rPr>
          <w:lang w:eastAsia="cs-CZ"/>
        </w:rPr>
        <w:t xml:space="preserve">je pověřeno řízením zemědělské politiky státu a je vlastníkem </w:t>
      </w:r>
      <w:r w:rsidR="00845CEB" w:rsidRPr="00DB53C4">
        <w:rPr>
          <w:bCs/>
          <w:noProof/>
        </w:rPr>
        <w:t>ochranných známek</w:t>
      </w:r>
      <w:r w:rsidR="00845CEB" w:rsidRPr="00DB53C4">
        <w:rPr>
          <w:lang w:eastAsia="cs-CZ"/>
        </w:rPr>
        <w:t xml:space="preserve"> </w:t>
      </w:r>
      <w:r w:rsidR="00045293">
        <w:rPr>
          <w:lang w:eastAsia="cs-CZ"/>
        </w:rPr>
        <w:t>„Klasa“</w:t>
      </w:r>
      <w:r w:rsidR="00AA1AC6">
        <w:rPr>
          <w:rStyle w:val="Znakapoznpodarou"/>
          <w:lang w:eastAsia="cs-CZ"/>
        </w:rPr>
        <w:footnoteReference w:id="3"/>
      </w:r>
      <w:r w:rsidR="00045293">
        <w:rPr>
          <w:lang w:eastAsia="cs-CZ"/>
        </w:rPr>
        <w:t xml:space="preserve"> </w:t>
      </w:r>
      <w:r w:rsidR="00845CEB" w:rsidRPr="00DB53C4">
        <w:rPr>
          <w:lang w:eastAsia="cs-CZ"/>
        </w:rPr>
        <w:t xml:space="preserve">a </w:t>
      </w:r>
      <w:r w:rsidR="00045293">
        <w:rPr>
          <w:lang w:eastAsia="cs-CZ"/>
        </w:rPr>
        <w:t>„</w:t>
      </w:r>
      <w:r w:rsidR="00845CEB" w:rsidRPr="00DB53C4">
        <w:rPr>
          <w:lang w:eastAsia="cs-CZ"/>
        </w:rPr>
        <w:t>Regionální potravina</w:t>
      </w:r>
      <w:r w:rsidR="00045293">
        <w:rPr>
          <w:lang w:eastAsia="cs-CZ"/>
        </w:rPr>
        <w:t>“</w:t>
      </w:r>
      <w:r w:rsidR="00845CEB" w:rsidRPr="00DB53C4">
        <w:rPr>
          <w:lang w:eastAsia="cs-CZ"/>
        </w:rPr>
        <w:t xml:space="preserve">. </w:t>
      </w:r>
    </w:p>
    <w:p w:rsidR="005D0635" w:rsidRPr="00DB53C4" w:rsidRDefault="005D0635" w:rsidP="002F1239">
      <w:pPr>
        <w:spacing w:after="0"/>
        <w:rPr>
          <w:lang w:eastAsia="cs-CZ"/>
        </w:rPr>
      </w:pPr>
    </w:p>
    <w:p w:rsidR="004671BE" w:rsidRDefault="008B77E5" w:rsidP="002F1239">
      <w:pPr>
        <w:spacing w:after="0"/>
        <w:rPr>
          <w:rFonts w:cs="Arial"/>
          <w:sz w:val="18"/>
          <w:szCs w:val="18"/>
          <w:lang w:eastAsia="cs-CZ"/>
        </w:rPr>
      </w:pPr>
      <w:r w:rsidRPr="00DB53C4">
        <w:t>SZIF</w:t>
      </w:r>
      <w:r w:rsidR="004671BE" w:rsidRPr="00DB53C4">
        <w:t xml:space="preserve"> </w:t>
      </w:r>
      <w:r w:rsidR="00206C3B" w:rsidRPr="00DB53C4">
        <w:rPr>
          <w:rFonts w:cs="Arial"/>
          <w:szCs w:val="22"/>
        </w:rPr>
        <w:t>byl zřízen podle zákona č. 256/2000 Sb.</w:t>
      </w:r>
      <w:r w:rsidR="00206C3B" w:rsidRPr="00DB53C4">
        <w:rPr>
          <w:rStyle w:val="Znakapoznpodarou"/>
          <w:szCs w:val="22"/>
        </w:rPr>
        <w:footnoteReference w:id="4"/>
      </w:r>
      <w:r w:rsidR="00206C3B" w:rsidRPr="00DB53C4">
        <w:rPr>
          <w:rFonts w:cs="Arial"/>
          <w:szCs w:val="22"/>
        </w:rPr>
        <w:t xml:space="preserve"> a </w:t>
      </w:r>
      <w:r w:rsidR="00AA6907" w:rsidRPr="00DB53C4">
        <w:t xml:space="preserve">od roku 2004 </w:t>
      </w:r>
      <w:r w:rsidR="004671BE" w:rsidRPr="00DB53C4">
        <w:rPr>
          <w:szCs w:val="22"/>
        </w:rPr>
        <w:t>zajišťuje</w:t>
      </w:r>
      <w:r w:rsidR="004671BE" w:rsidRPr="00DB53C4">
        <w:t xml:space="preserve"> propagaci a správu značky </w:t>
      </w:r>
      <w:r w:rsidR="00045293">
        <w:t>„</w:t>
      </w:r>
      <w:r w:rsidR="004671BE" w:rsidRPr="00DB53C4">
        <w:t>Klasa</w:t>
      </w:r>
      <w:r w:rsidR="00045293">
        <w:t>“</w:t>
      </w:r>
      <w:r w:rsidR="004671BE" w:rsidRPr="00DB53C4">
        <w:t xml:space="preserve"> a s tím </w:t>
      </w:r>
      <w:r w:rsidR="00CC2528" w:rsidRPr="00DB53C4">
        <w:t>související činnosti</w:t>
      </w:r>
      <w:r w:rsidR="004671BE" w:rsidRPr="00DB53C4">
        <w:t xml:space="preserve">. Od roku 2012 SZIF zajišťuje také </w:t>
      </w:r>
      <w:r w:rsidR="004671BE" w:rsidRPr="00DB53C4">
        <w:rPr>
          <w:bCs/>
          <w:noProof/>
        </w:rPr>
        <w:t xml:space="preserve">administraci značky </w:t>
      </w:r>
      <w:r w:rsidR="00045293">
        <w:rPr>
          <w:bCs/>
          <w:noProof/>
        </w:rPr>
        <w:t>„</w:t>
      </w:r>
      <w:r w:rsidR="004671BE" w:rsidRPr="00DB53C4">
        <w:rPr>
          <w:bCs/>
          <w:noProof/>
        </w:rPr>
        <w:t>Regionální potravina</w:t>
      </w:r>
      <w:r w:rsidR="00045293">
        <w:rPr>
          <w:bCs/>
          <w:noProof/>
        </w:rPr>
        <w:t>“</w:t>
      </w:r>
      <w:r w:rsidR="004671BE" w:rsidRPr="00DB53C4">
        <w:rPr>
          <w:bCs/>
          <w:noProof/>
        </w:rPr>
        <w:t>.</w:t>
      </w:r>
      <w:r w:rsidR="00014169" w:rsidRPr="00DB53C4">
        <w:rPr>
          <w:rFonts w:cs="Arial"/>
          <w:sz w:val="18"/>
          <w:szCs w:val="18"/>
          <w:lang w:eastAsia="cs-CZ"/>
        </w:rPr>
        <w:t xml:space="preserve"> </w:t>
      </w:r>
    </w:p>
    <w:p w:rsidR="005D0635" w:rsidRPr="00DB53C4" w:rsidRDefault="005D0635" w:rsidP="002F1239">
      <w:pPr>
        <w:spacing w:after="0"/>
        <w:rPr>
          <w:bCs/>
          <w:noProof/>
        </w:rPr>
      </w:pPr>
    </w:p>
    <w:p w:rsidR="004671BE" w:rsidRDefault="008B77E5" w:rsidP="002F1239">
      <w:pPr>
        <w:spacing w:after="0"/>
      </w:pPr>
      <w:r w:rsidRPr="00DB53C4">
        <w:rPr>
          <w:lang w:eastAsia="cs-CZ"/>
        </w:rPr>
        <w:t>VF</w:t>
      </w:r>
      <w:r w:rsidR="00206C3B" w:rsidRPr="00DB53C4">
        <w:rPr>
          <w:lang w:eastAsia="cs-CZ"/>
        </w:rPr>
        <w:t xml:space="preserve"> byl zřízen </w:t>
      </w:r>
      <w:r w:rsidR="00206C3B" w:rsidRPr="00DB53C4">
        <w:rPr>
          <w:szCs w:val="22"/>
          <w:lang w:eastAsia="cs-CZ"/>
        </w:rPr>
        <w:t xml:space="preserve">podle zákona č. </w:t>
      </w:r>
      <w:r w:rsidR="00206C3B" w:rsidRPr="00DB53C4">
        <w:rPr>
          <w:szCs w:val="22"/>
        </w:rPr>
        <w:t>321/2004 Sb.</w:t>
      </w:r>
      <w:r w:rsidR="00206C3B" w:rsidRPr="00DB53C4">
        <w:rPr>
          <w:rStyle w:val="Znakapoznpodarou"/>
          <w:szCs w:val="22"/>
        </w:rPr>
        <w:footnoteReference w:id="5"/>
      </w:r>
      <w:r w:rsidR="00206C3B" w:rsidRPr="00DB53C4">
        <w:rPr>
          <w:szCs w:val="22"/>
        </w:rPr>
        <w:t xml:space="preserve"> a </w:t>
      </w:r>
      <w:r w:rsidR="002756A3" w:rsidRPr="00DB53C4">
        <w:rPr>
          <w:szCs w:val="22"/>
          <w:lang w:eastAsia="cs-CZ"/>
        </w:rPr>
        <w:t>má</w:t>
      </w:r>
      <w:r w:rsidR="002756A3" w:rsidRPr="00DB53C4">
        <w:rPr>
          <w:lang w:eastAsia="cs-CZ"/>
        </w:rPr>
        <w:t xml:space="preserve"> v působnosti</w:t>
      </w:r>
      <w:r w:rsidR="004B4697" w:rsidRPr="00DB53C4">
        <w:rPr>
          <w:lang w:eastAsia="cs-CZ"/>
        </w:rPr>
        <w:t xml:space="preserve"> </w:t>
      </w:r>
      <w:r w:rsidR="00B12F1F" w:rsidRPr="00DB53C4">
        <w:rPr>
          <w:lang w:eastAsia="cs-CZ"/>
        </w:rPr>
        <w:t xml:space="preserve">mj. </w:t>
      </w:r>
      <w:r w:rsidR="00753DF8" w:rsidRPr="00DB53C4">
        <w:t>podporu</w:t>
      </w:r>
      <w:r w:rsidR="00D05525" w:rsidRPr="00DB53C4">
        <w:t xml:space="preserve"> marketingu, </w:t>
      </w:r>
      <w:r w:rsidR="0039232E" w:rsidRPr="00DB53C4">
        <w:t>prodej</w:t>
      </w:r>
      <w:r w:rsidR="00753DF8" w:rsidRPr="00DB53C4">
        <w:t xml:space="preserve"> vína a ochranu</w:t>
      </w:r>
      <w:r w:rsidR="004B4697" w:rsidRPr="00DB53C4">
        <w:t xml:space="preserve"> označování vína podle zeměpisného původu</w:t>
      </w:r>
      <w:r w:rsidR="00854BCB" w:rsidRPr="00DB53C4">
        <w:t xml:space="preserve">. Vlastníkem ochranné známky </w:t>
      </w:r>
      <w:r w:rsidR="00045293">
        <w:t>„v</w:t>
      </w:r>
      <w:r w:rsidR="00854BCB" w:rsidRPr="00DB53C4">
        <w:t>ína z Moravy, vína z</w:t>
      </w:r>
      <w:r w:rsidR="00045293">
        <w:t> </w:t>
      </w:r>
      <w:r w:rsidR="00854BCB" w:rsidRPr="00DB53C4">
        <w:t>Čech</w:t>
      </w:r>
      <w:r w:rsidR="00045293">
        <w:t>“</w:t>
      </w:r>
      <w:r w:rsidR="00854BCB" w:rsidRPr="00DB53C4">
        <w:t xml:space="preserve"> je společnost Národní vinařské centrum, o.p.s.</w:t>
      </w:r>
      <w:r w:rsidR="00045293">
        <w:t>,</w:t>
      </w:r>
      <w:r w:rsidR="00854BCB" w:rsidRPr="00DB53C4">
        <w:t xml:space="preserve"> a VF</w:t>
      </w:r>
      <w:r w:rsidR="004B4697" w:rsidRPr="00DB53C4">
        <w:t xml:space="preserve"> </w:t>
      </w:r>
      <w:r w:rsidR="00854BCB" w:rsidRPr="00DB53C4">
        <w:t xml:space="preserve">tuto známku </w:t>
      </w:r>
      <w:r w:rsidR="004B4697" w:rsidRPr="00DB53C4">
        <w:t>využívá.</w:t>
      </w:r>
      <w:r w:rsidR="00441A53" w:rsidRPr="00DB53C4">
        <w:t xml:space="preserve"> </w:t>
      </w:r>
    </w:p>
    <w:p w:rsidR="005D0635" w:rsidRPr="00DB53C4" w:rsidRDefault="005D0635" w:rsidP="002F1239">
      <w:pPr>
        <w:spacing w:after="0"/>
      </w:pPr>
    </w:p>
    <w:p w:rsidR="00881CAC" w:rsidRDefault="00A3744A" w:rsidP="002F1239">
      <w:pPr>
        <w:spacing w:after="0"/>
        <w:rPr>
          <w:rFonts w:eastAsia="Calibri"/>
        </w:rPr>
      </w:pPr>
      <w:r w:rsidRPr="00DB53C4">
        <w:rPr>
          <w:bCs/>
          <w:noProof/>
        </w:rPr>
        <w:t>Záměr podpory</w:t>
      </w:r>
      <w:r w:rsidR="003C2681" w:rsidRPr="00DB53C4">
        <w:rPr>
          <w:bCs/>
          <w:noProof/>
        </w:rPr>
        <w:t xml:space="preserve"> potravin</w:t>
      </w:r>
      <w:r w:rsidR="003C2681" w:rsidRPr="00DB53C4">
        <w:rPr>
          <w:rStyle w:val="Znakapoznpodarou"/>
          <w:bCs/>
          <w:noProof/>
          <w:szCs w:val="22"/>
        </w:rPr>
        <w:footnoteReference w:id="6"/>
      </w:r>
      <w:r w:rsidR="003C2681" w:rsidRPr="00DB53C4">
        <w:rPr>
          <w:bCs/>
          <w:noProof/>
        </w:rPr>
        <w:t xml:space="preserve"> byl </w:t>
      </w:r>
      <w:r w:rsidR="00665CEC" w:rsidRPr="00DB53C4">
        <w:rPr>
          <w:bCs/>
          <w:noProof/>
        </w:rPr>
        <w:t xml:space="preserve">poprvé </w:t>
      </w:r>
      <w:r w:rsidR="003C2681" w:rsidRPr="00DB53C4">
        <w:rPr>
          <w:bCs/>
          <w:noProof/>
        </w:rPr>
        <w:t xml:space="preserve">uveden v materiálu </w:t>
      </w:r>
      <w:r w:rsidR="003C2681" w:rsidRPr="00DB53C4">
        <w:rPr>
          <w:bCs/>
          <w:i/>
          <w:noProof/>
        </w:rPr>
        <w:t>Národní program podpory domácích potravin</w:t>
      </w:r>
      <w:r w:rsidR="003C2681" w:rsidRPr="00DB53C4">
        <w:rPr>
          <w:bCs/>
          <w:noProof/>
        </w:rPr>
        <w:t xml:space="preserve"> z roku 2003. </w:t>
      </w:r>
      <w:r w:rsidR="00881CAC" w:rsidRPr="00DB53C4">
        <w:rPr>
          <w:bCs/>
          <w:noProof/>
        </w:rPr>
        <w:t xml:space="preserve">Na </w:t>
      </w:r>
      <w:r w:rsidR="009C048C" w:rsidRPr="00DB53C4">
        <w:rPr>
          <w:bCs/>
          <w:noProof/>
        </w:rPr>
        <w:t>základě tohoto materiálu vznikly</w:t>
      </w:r>
      <w:r w:rsidR="00881CAC" w:rsidRPr="00DB53C4">
        <w:rPr>
          <w:bCs/>
          <w:noProof/>
        </w:rPr>
        <w:t xml:space="preserve"> </w:t>
      </w:r>
      <w:r w:rsidR="009C048C" w:rsidRPr="00DB53C4">
        <w:rPr>
          <w:bCs/>
          <w:noProof/>
        </w:rPr>
        <w:t>značky</w:t>
      </w:r>
      <w:r w:rsidR="00881CAC" w:rsidRPr="00DB53C4">
        <w:rPr>
          <w:bCs/>
          <w:noProof/>
        </w:rPr>
        <w:t xml:space="preserve"> </w:t>
      </w:r>
      <w:r w:rsidR="00045293">
        <w:rPr>
          <w:bCs/>
          <w:noProof/>
        </w:rPr>
        <w:t>„</w:t>
      </w:r>
      <w:r w:rsidR="00881CAC" w:rsidRPr="00DB53C4">
        <w:rPr>
          <w:bCs/>
          <w:noProof/>
        </w:rPr>
        <w:t>Klasa</w:t>
      </w:r>
      <w:r w:rsidR="00045293">
        <w:rPr>
          <w:bCs/>
          <w:noProof/>
        </w:rPr>
        <w:t>“</w:t>
      </w:r>
      <w:r w:rsidR="00881CAC" w:rsidRPr="00DB53C4">
        <w:rPr>
          <w:bCs/>
          <w:noProof/>
        </w:rPr>
        <w:t xml:space="preserve"> </w:t>
      </w:r>
      <w:r w:rsidR="009C048C" w:rsidRPr="00DB53C4">
        <w:rPr>
          <w:bCs/>
          <w:noProof/>
        </w:rPr>
        <w:t xml:space="preserve">a </w:t>
      </w:r>
      <w:r w:rsidR="00045293">
        <w:rPr>
          <w:bCs/>
          <w:noProof/>
        </w:rPr>
        <w:t>„</w:t>
      </w:r>
      <w:r w:rsidR="00881CAC" w:rsidRPr="00DB53C4">
        <w:rPr>
          <w:bCs/>
          <w:noProof/>
        </w:rPr>
        <w:t>Regionální potravina</w:t>
      </w:r>
      <w:r w:rsidR="00045293">
        <w:rPr>
          <w:bCs/>
          <w:noProof/>
        </w:rPr>
        <w:t>“</w:t>
      </w:r>
      <w:r w:rsidR="00881CAC" w:rsidRPr="00DB53C4">
        <w:rPr>
          <w:bCs/>
          <w:noProof/>
        </w:rPr>
        <w:t xml:space="preserve">. </w:t>
      </w:r>
      <w:r w:rsidR="009C048C" w:rsidRPr="00DB53C4">
        <w:rPr>
          <w:bCs/>
          <w:noProof/>
        </w:rPr>
        <w:t xml:space="preserve">Značka </w:t>
      </w:r>
      <w:r w:rsidR="00045293">
        <w:rPr>
          <w:bCs/>
          <w:noProof/>
        </w:rPr>
        <w:t>„</w:t>
      </w:r>
      <w:r w:rsidR="009C048C" w:rsidRPr="00DB53C4">
        <w:rPr>
          <w:b/>
          <w:bCs/>
          <w:noProof/>
        </w:rPr>
        <w:t>Klasa</w:t>
      </w:r>
      <w:r w:rsidR="00045293" w:rsidRPr="002F1239">
        <w:rPr>
          <w:bCs/>
          <w:noProof/>
        </w:rPr>
        <w:t>“</w:t>
      </w:r>
      <w:r w:rsidR="009C048C" w:rsidRPr="00DB53C4">
        <w:rPr>
          <w:bCs/>
          <w:noProof/>
        </w:rPr>
        <w:t xml:space="preserve"> </w:t>
      </w:r>
      <w:r w:rsidR="00854BCB" w:rsidRPr="00DB53C4">
        <w:rPr>
          <w:bCs/>
          <w:noProof/>
        </w:rPr>
        <w:t xml:space="preserve">byla </w:t>
      </w:r>
      <w:r w:rsidR="00E042BA" w:rsidRPr="00DB53C4">
        <w:rPr>
          <w:bCs/>
          <w:noProof/>
        </w:rPr>
        <w:t xml:space="preserve">původně </w:t>
      </w:r>
      <w:r w:rsidR="00854BCB" w:rsidRPr="00DB53C4">
        <w:rPr>
          <w:bCs/>
          <w:noProof/>
        </w:rPr>
        <w:t xml:space="preserve">udělována výrobkům tuzemského </w:t>
      </w:r>
      <w:r w:rsidR="00854BCB" w:rsidRPr="00DB53C4">
        <w:rPr>
          <w:rFonts w:cs="Arial"/>
          <w:bCs/>
          <w:noProof/>
          <w:szCs w:val="22"/>
        </w:rPr>
        <w:t>původu</w:t>
      </w:r>
      <w:r w:rsidR="003F0375" w:rsidRPr="00DB53C4">
        <w:rPr>
          <w:rFonts w:cs="Arial"/>
          <w:bCs/>
          <w:noProof/>
          <w:szCs w:val="22"/>
        </w:rPr>
        <w:t xml:space="preserve">, </w:t>
      </w:r>
      <w:r w:rsidR="0023207A" w:rsidRPr="00DB53C4">
        <w:rPr>
          <w:rFonts w:cs="Arial"/>
          <w:szCs w:val="22"/>
        </w:rPr>
        <w:t xml:space="preserve">jejichž kvalita </w:t>
      </w:r>
      <w:r w:rsidR="00BB79FC">
        <w:rPr>
          <w:rFonts w:cs="Arial"/>
          <w:szCs w:val="22"/>
        </w:rPr>
        <w:t xml:space="preserve">byla </w:t>
      </w:r>
      <w:r w:rsidR="003F0375" w:rsidRPr="00DB53C4">
        <w:rPr>
          <w:rFonts w:cs="Arial"/>
          <w:szCs w:val="22"/>
        </w:rPr>
        <w:t>srovnatelná nebo lepší než podobných dovážených produktů</w:t>
      </w:r>
      <w:r w:rsidR="00BB79FC">
        <w:rPr>
          <w:rFonts w:cs="Arial"/>
          <w:bCs/>
          <w:noProof/>
          <w:szCs w:val="22"/>
        </w:rPr>
        <w:t>.</w:t>
      </w:r>
      <w:r w:rsidR="00854BCB" w:rsidRPr="00DB53C4">
        <w:rPr>
          <w:rFonts w:cs="Arial"/>
          <w:bCs/>
          <w:noProof/>
          <w:szCs w:val="22"/>
        </w:rPr>
        <w:t xml:space="preserve"> </w:t>
      </w:r>
      <w:r w:rsidR="00BB79FC">
        <w:rPr>
          <w:rFonts w:cs="Arial"/>
          <w:bCs/>
          <w:noProof/>
          <w:szCs w:val="22"/>
        </w:rPr>
        <w:t>O</w:t>
      </w:r>
      <w:r w:rsidR="00854BCB" w:rsidRPr="00DB53C4">
        <w:rPr>
          <w:rFonts w:cs="Arial"/>
          <w:bCs/>
          <w:noProof/>
          <w:szCs w:val="22"/>
        </w:rPr>
        <w:t xml:space="preserve">d roku </w:t>
      </w:r>
      <w:r w:rsidR="00854BCB" w:rsidRPr="00DB53C4">
        <w:rPr>
          <w:bCs/>
          <w:noProof/>
        </w:rPr>
        <w:t>2007 je</w:t>
      </w:r>
      <w:r w:rsidR="00BB79FC">
        <w:rPr>
          <w:bCs/>
          <w:noProof/>
        </w:rPr>
        <w:t xml:space="preserve"> </w:t>
      </w:r>
      <w:r w:rsidRPr="00DB53C4">
        <w:rPr>
          <w:bCs/>
          <w:noProof/>
        </w:rPr>
        <w:t xml:space="preserve">udělována výrobkům </w:t>
      </w:r>
      <w:r w:rsidRPr="00DB53C4">
        <w:rPr>
          <w:color w:val="000000"/>
          <w:lang w:eastAsia="cs-CZ"/>
        </w:rPr>
        <w:t>splňují</w:t>
      </w:r>
      <w:r w:rsidR="0020014C" w:rsidRPr="00DB53C4">
        <w:rPr>
          <w:color w:val="000000"/>
          <w:lang w:eastAsia="cs-CZ"/>
        </w:rPr>
        <w:t>cí</w:t>
      </w:r>
      <w:r w:rsidR="0013466E" w:rsidRPr="00DB53C4">
        <w:rPr>
          <w:color w:val="000000"/>
          <w:lang w:eastAsia="cs-CZ"/>
        </w:rPr>
        <w:t>m</w:t>
      </w:r>
      <w:r w:rsidRPr="00DB53C4">
        <w:rPr>
          <w:color w:val="000000"/>
          <w:lang w:eastAsia="cs-CZ"/>
        </w:rPr>
        <w:t xml:space="preserve"> </w:t>
      </w:r>
      <w:r w:rsidR="003F0375" w:rsidRPr="00DB53C4">
        <w:rPr>
          <w:color w:val="000000"/>
          <w:lang w:eastAsia="cs-CZ"/>
        </w:rPr>
        <w:t xml:space="preserve">pouze </w:t>
      </w:r>
      <w:r w:rsidRPr="00DB53C4">
        <w:rPr>
          <w:color w:val="000000"/>
          <w:lang w:eastAsia="cs-CZ"/>
        </w:rPr>
        <w:t>kvalitativní požadavky</w:t>
      </w:r>
      <w:r w:rsidR="00E042BA" w:rsidRPr="00DB53C4">
        <w:rPr>
          <w:color w:val="000000"/>
          <w:lang w:eastAsia="cs-CZ"/>
        </w:rPr>
        <w:t>, které stanovil</w:t>
      </w:r>
      <w:r w:rsidR="00BB79FC">
        <w:rPr>
          <w:color w:val="000000"/>
          <w:lang w:eastAsia="cs-CZ"/>
        </w:rPr>
        <w:t>y</w:t>
      </w:r>
      <w:r w:rsidR="00E042BA" w:rsidRPr="00DB53C4">
        <w:rPr>
          <w:color w:val="000000"/>
          <w:lang w:eastAsia="cs-CZ"/>
        </w:rPr>
        <w:t xml:space="preserve"> </w:t>
      </w:r>
      <w:proofErr w:type="spellStart"/>
      <w:r w:rsidR="00E042BA" w:rsidRPr="00DB53C4">
        <w:rPr>
          <w:color w:val="000000"/>
          <w:lang w:eastAsia="cs-CZ"/>
        </w:rPr>
        <w:t>MZe</w:t>
      </w:r>
      <w:proofErr w:type="spellEnd"/>
      <w:r w:rsidR="00E042BA" w:rsidRPr="00DB53C4">
        <w:rPr>
          <w:color w:val="000000"/>
          <w:lang w:eastAsia="cs-CZ"/>
        </w:rPr>
        <w:t xml:space="preserve"> a SZIF</w:t>
      </w:r>
      <w:r w:rsidR="003D2956" w:rsidRPr="00DB53C4">
        <w:rPr>
          <w:color w:val="000000"/>
          <w:lang w:eastAsia="cs-CZ"/>
        </w:rPr>
        <w:t xml:space="preserve">, </w:t>
      </w:r>
      <w:r w:rsidR="00BB79FC">
        <w:rPr>
          <w:color w:val="000000"/>
          <w:lang w:eastAsia="cs-CZ"/>
        </w:rPr>
        <w:t>není již tedy brán</w:t>
      </w:r>
      <w:r w:rsidR="003D2956" w:rsidRPr="00DB53C4">
        <w:rPr>
          <w:rFonts w:cs="Arial"/>
          <w:color w:val="000000"/>
          <w:szCs w:val="22"/>
          <w:lang w:eastAsia="cs-CZ"/>
        </w:rPr>
        <w:t xml:space="preserve"> ohled na jejich původ</w:t>
      </w:r>
      <w:r w:rsidR="00E042BA" w:rsidRPr="00DB53C4">
        <w:rPr>
          <w:color w:val="000000"/>
          <w:lang w:eastAsia="cs-CZ"/>
        </w:rPr>
        <w:t>.</w:t>
      </w:r>
      <w:r w:rsidR="00853812" w:rsidRPr="00DB53C4">
        <w:rPr>
          <w:color w:val="000000"/>
          <w:lang w:eastAsia="cs-CZ"/>
        </w:rPr>
        <w:t xml:space="preserve"> </w:t>
      </w:r>
      <w:r w:rsidR="00E042BA" w:rsidRPr="00DB53C4">
        <w:rPr>
          <w:color w:val="000000"/>
          <w:lang w:eastAsia="cs-CZ"/>
        </w:rPr>
        <w:t xml:space="preserve">Značka </w:t>
      </w:r>
      <w:r w:rsidR="00045293">
        <w:rPr>
          <w:color w:val="000000"/>
          <w:lang w:eastAsia="cs-CZ"/>
        </w:rPr>
        <w:t>„</w:t>
      </w:r>
      <w:r w:rsidR="00E042BA" w:rsidRPr="00DB53C4">
        <w:rPr>
          <w:color w:val="000000"/>
          <w:lang w:eastAsia="cs-CZ"/>
        </w:rPr>
        <w:t>Klasa</w:t>
      </w:r>
      <w:r w:rsidR="00045293">
        <w:rPr>
          <w:color w:val="000000"/>
          <w:lang w:eastAsia="cs-CZ"/>
        </w:rPr>
        <w:t>“</w:t>
      </w:r>
      <w:r w:rsidR="0023207A" w:rsidRPr="00DB53C4">
        <w:rPr>
          <w:color w:val="000000"/>
          <w:lang w:eastAsia="cs-CZ"/>
        </w:rPr>
        <w:t xml:space="preserve"> by</w:t>
      </w:r>
      <w:r w:rsidR="00222B00">
        <w:rPr>
          <w:color w:val="000000"/>
          <w:lang w:eastAsia="cs-CZ"/>
        </w:rPr>
        <w:t xml:space="preserve"> </w:t>
      </w:r>
      <w:r w:rsidR="00E042BA" w:rsidRPr="00DB53C4">
        <w:rPr>
          <w:color w:val="000000"/>
          <w:lang w:eastAsia="cs-CZ"/>
        </w:rPr>
        <w:t xml:space="preserve">měla </w:t>
      </w:r>
      <w:r w:rsidR="003257B8" w:rsidRPr="00DB53C4">
        <w:rPr>
          <w:color w:val="000000"/>
          <w:lang w:eastAsia="cs-CZ"/>
        </w:rPr>
        <w:t xml:space="preserve">v současnosti </w:t>
      </w:r>
      <w:r w:rsidR="00853812" w:rsidRPr="00DB53C4">
        <w:rPr>
          <w:color w:val="000000"/>
          <w:lang w:eastAsia="cs-CZ"/>
        </w:rPr>
        <w:t xml:space="preserve">sloužit </w:t>
      </w:r>
      <w:r w:rsidR="00853812" w:rsidRPr="00DB53C4">
        <w:rPr>
          <w:rFonts w:cs="Arial"/>
          <w:bCs/>
          <w:szCs w:val="22"/>
        </w:rPr>
        <w:t>spotřebitelům a</w:t>
      </w:r>
      <w:r w:rsidR="002D7EDB">
        <w:rPr>
          <w:rFonts w:cs="Arial"/>
          <w:bCs/>
          <w:szCs w:val="22"/>
        </w:rPr>
        <w:t> </w:t>
      </w:r>
      <w:r w:rsidR="00853812" w:rsidRPr="00DB53C4">
        <w:rPr>
          <w:rFonts w:cs="Arial"/>
          <w:bCs/>
          <w:szCs w:val="22"/>
        </w:rPr>
        <w:t>odběratelům k lepší orientaci při identifikaci kvalitních výrobků</w:t>
      </w:r>
      <w:r w:rsidR="003257B8" w:rsidRPr="00DB53C4">
        <w:rPr>
          <w:rFonts w:cs="Arial"/>
          <w:bCs/>
          <w:szCs w:val="22"/>
        </w:rPr>
        <w:t xml:space="preserve"> bez ohledu na jejich původ</w:t>
      </w:r>
      <w:r w:rsidR="00853812" w:rsidRPr="00DB53C4">
        <w:rPr>
          <w:bCs/>
          <w:noProof/>
        </w:rPr>
        <w:t>. Z</w:t>
      </w:r>
      <w:r w:rsidR="009C048C" w:rsidRPr="00DB53C4">
        <w:rPr>
          <w:bCs/>
          <w:noProof/>
        </w:rPr>
        <w:t xml:space="preserve">načka </w:t>
      </w:r>
      <w:r w:rsidR="00BB79FC">
        <w:rPr>
          <w:bCs/>
          <w:noProof/>
        </w:rPr>
        <w:t>„</w:t>
      </w:r>
      <w:r w:rsidR="00881CAC" w:rsidRPr="00DB53C4">
        <w:rPr>
          <w:b/>
          <w:bCs/>
          <w:noProof/>
        </w:rPr>
        <w:t>Regionální potravina</w:t>
      </w:r>
      <w:r w:rsidR="00BB79FC" w:rsidRPr="002F1239">
        <w:rPr>
          <w:bCs/>
          <w:noProof/>
        </w:rPr>
        <w:t>“</w:t>
      </w:r>
      <w:r w:rsidR="00881CAC" w:rsidRPr="00DB53C4">
        <w:rPr>
          <w:bCs/>
          <w:noProof/>
        </w:rPr>
        <w:t xml:space="preserve"> </w:t>
      </w:r>
      <w:r w:rsidR="009C048C" w:rsidRPr="00DB53C4">
        <w:rPr>
          <w:bCs/>
          <w:noProof/>
        </w:rPr>
        <w:t xml:space="preserve">je udělována </w:t>
      </w:r>
      <w:r w:rsidR="00881CAC" w:rsidRPr="00DB53C4">
        <w:rPr>
          <w:bCs/>
          <w:noProof/>
        </w:rPr>
        <w:t>výrobkům</w:t>
      </w:r>
      <w:r w:rsidRPr="00DB53C4">
        <w:rPr>
          <w:lang w:eastAsia="cs-CZ"/>
        </w:rPr>
        <w:t xml:space="preserve"> </w:t>
      </w:r>
      <w:r w:rsidR="0013466E" w:rsidRPr="00DB53C4">
        <w:rPr>
          <w:lang w:eastAsia="cs-CZ"/>
        </w:rPr>
        <w:t>vyrobeným</w:t>
      </w:r>
      <w:r w:rsidRPr="00DB53C4">
        <w:rPr>
          <w:lang w:eastAsia="cs-CZ"/>
        </w:rPr>
        <w:t xml:space="preserve"> v určitém regionu ze surovin příslušného regionu</w:t>
      </w:r>
      <w:r w:rsidR="00BB79FC">
        <w:rPr>
          <w:lang w:eastAsia="cs-CZ"/>
        </w:rPr>
        <w:t>,</w:t>
      </w:r>
      <w:r w:rsidR="00853812" w:rsidRPr="00DB53C4">
        <w:rPr>
          <w:lang w:eastAsia="cs-CZ"/>
        </w:rPr>
        <w:t xml:space="preserve"> měla by u</w:t>
      </w:r>
      <w:r w:rsidR="00853812" w:rsidRPr="00DB53C4">
        <w:rPr>
          <w:rFonts w:cs="Arial"/>
          <w:szCs w:val="22"/>
        </w:rPr>
        <w:t xml:space="preserve">pozorňovat spotřebitele </w:t>
      </w:r>
      <w:r w:rsidR="008B77E5" w:rsidRPr="00DB53C4">
        <w:rPr>
          <w:rFonts w:cs="Arial"/>
          <w:szCs w:val="22"/>
        </w:rPr>
        <w:t>na tradiční a r</w:t>
      </w:r>
      <w:r w:rsidR="00853812" w:rsidRPr="00DB53C4">
        <w:rPr>
          <w:rFonts w:cs="Arial"/>
          <w:szCs w:val="22"/>
        </w:rPr>
        <w:t xml:space="preserve">egionální tuzemské potravinářské </w:t>
      </w:r>
      <w:r w:rsidR="008B77E5" w:rsidRPr="00DB53C4">
        <w:rPr>
          <w:rFonts w:cs="Arial"/>
          <w:szCs w:val="22"/>
        </w:rPr>
        <w:t>výrobky</w:t>
      </w:r>
      <w:r w:rsidR="00ED4EF4">
        <w:rPr>
          <w:rFonts w:cs="Arial"/>
          <w:szCs w:val="22"/>
        </w:rPr>
        <w:t xml:space="preserve"> a </w:t>
      </w:r>
      <w:r w:rsidR="00853812" w:rsidRPr="00DB53C4">
        <w:rPr>
          <w:rFonts w:cs="Arial"/>
          <w:szCs w:val="22"/>
        </w:rPr>
        <w:t>seznámit spotřebitele s vybranými regionálními potravinami z jednotlivých krajů České republiky</w:t>
      </w:r>
      <w:r w:rsidR="003A7B2B" w:rsidRPr="00DB53C4">
        <w:rPr>
          <w:rFonts w:cs="Arial"/>
          <w:szCs w:val="22"/>
        </w:rPr>
        <w:t xml:space="preserve"> (dále jen „ČR“)</w:t>
      </w:r>
      <w:r w:rsidR="004671BE" w:rsidRPr="00DB53C4">
        <w:rPr>
          <w:lang w:eastAsia="cs-CZ"/>
        </w:rPr>
        <w:t xml:space="preserve">. </w:t>
      </w:r>
      <w:r w:rsidR="00881CAC" w:rsidRPr="00DB53C4">
        <w:rPr>
          <w:bCs/>
          <w:noProof/>
        </w:rPr>
        <w:t xml:space="preserve">Značka </w:t>
      </w:r>
      <w:r w:rsidR="00BB79FC">
        <w:rPr>
          <w:bCs/>
          <w:noProof/>
        </w:rPr>
        <w:t>„</w:t>
      </w:r>
      <w:r w:rsidR="00BB79FC">
        <w:rPr>
          <w:b/>
          <w:bCs/>
          <w:noProof/>
        </w:rPr>
        <w:t>v</w:t>
      </w:r>
      <w:r w:rsidR="00881CAC" w:rsidRPr="00DB53C4">
        <w:rPr>
          <w:b/>
          <w:bCs/>
          <w:noProof/>
        </w:rPr>
        <w:t>ína z Moravy, vína z</w:t>
      </w:r>
      <w:r w:rsidR="00BB79FC">
        <w:rPr>
          <w:b/>
          <w:bCs/>
          <w:noProof/>
        </w:rPr>
        <w:t> </w:t>
      </w:r>
      <w:r w:rsidR="00223131" w:rsidRPr="00DB53C4">
        <w:rPr>
          <w:b/>
          <w:bCs/>
          <w:noProof/>
        </w:rPr>
        <w:t>Čech</w:t>
      </w:r>
      <w:r w:rsidR="00BB79FC" w:rsidRPr="002F1239">
        <w:rPr>
          <w:bCs/>
          <w:noProof/>
        </w:rPr>
        <w:t>“</w:t>
      </w:r>
      <w:r w:rsidR="00223131" w:rsidRPr="00DB53C4">
        <w:rPr>
          <w:bCs/>
          <w:noProof/>
        </w:rPr>
        <w:t xml:space="preserve"> </w:t>
      </w:r>
      <w:r w:rsidR="00881CAC" w:rsidRPr="00DB53C4">
        <w:rPr>
          <w:bCs/>
          <w:noProof/>
        </w:rPr>
        <w:t xml:space="preserve">vznikla v roce 2006 za účelem </w:t>
      </w:r>
      <w:r w:rsidR="00881CAC" w:rsidRPr="00DB53C4">
        <w:t>podpory a propagace tuzemských vín</w:t>
      </w:r>
      <w:r w:rsidR="0023207A" w:rsidRPr="00DB53C4">
        <w:t xml:space="preserve"> a </w:t>
      </w:r>
      <w:r w:rsidR="00881CAC" w:rsidRPr="00DB53C4">
        <w:rPr>
          <w:rFonts w:eastAsia="Calibri"/>
        </w:rPr>
        <w:t xml:space="preserve">je dostupná pouze lahvovým vínům zatříděným </w:t>
      </w:r>
      <w:r w:rsidR="00F7456D">
        <w:rPr>
          <w:rFonts w:eastAsia="Calibri"/>
        </w:rPr>
        <w:t>do kategorií</w:t>
      </w:r>
      <w:r w:rsidR="00881CAC" w:rsidRPr="00DB53C4">
        <w:rPr>
          <w:rFonts w:eastAsia="Calibri"/>
        </w:rPr>
        <w:t xml:space="preserve"> jakostní a jakostní s</w:t>
      </w:r>
      <w:r w:rsidR="00BB79FC">
        <w:rPr>
          <w:rFonts w:eastAsia="Calibri"/>
        </w:rPr>
        <w:t> </w:t>
      </w:r>
      <w:r w:rsidR="0023207A" w:rsidRPr="00DB53C4">
        <w:rPr>
          <w:rFonts w:eastAsia="Calibri"/>
        </w:rPr>
        <w:t>přívlastkem</w:t>
      </w:r>
      <w:r w:rsidR="00BB79FC">
        <w:rPr>
          <w:rFonts w:eastAsia="Calibri"/>
        </w:rPr>
        <w:t>, avšak jen pokud jsou</w:t>
      </w:r>
      <w:r w:rsidR="0023207A" w:rsidRPr="00DB53C4">
        <w:rPr>
          <w:rFonts w:eastAsia="Calibri"/>
        </w:rPr>
        <w:t xml:space="preserve"> </w:t>
      </w:r>
      <w:r w:rsidR="00BB79FC">
        <w:rPr>
          <w:rFonts w:eastAsia="Calibri"/>
        </w:rPr>
        <w:t xml:space="preserve">tato vína </w:t>
      </w:r>
      <w:r w:rsidR="00753DF8" w:rsidRPr="00DB53C4">
        <w:rPr>
          <w:rFonts w:eastAsia="Calibri"/>
        </w:rPr>
        <w:t>původem z tuzemských vinařských oblastí</w:t>
      </w:r>
      <w:r w:rsidR="00881CAC" w:rsidRPr="00DB53C4">
        <w:rPr>
          <w:rFonts w:eastAsia="Calibri"/>
        </w:rPr>
        <w:t>.</w:t>
      </w:r>
    </w:p>
    <w:p w:rsidR="005D0635" w:rsidRPr="00DB53C4" w:rsidRDefault="005D0635" w:rsidP="002F1239">
      <w:pPr>
        <w:spacing w:after="0"/>
        <w:rPr>
          <w:bCs/>
          <w:noProof/>
        </w:rPr>
      </w:pPr>
    </w:p>
    <w:p w:rsidR="00D05525" w:rsidRPr="002F1239" w:rsidRDefault="00A3744A" w:rsidP="002F1239">
      <w:pPr>
        <w:ind w:left="595" w:hanging="595"/>
        <w:jc w:val="left"/>
        <w:rPr>
          <w:rFonts w:cs="Arial"/>
          <w:bCs/>
          <w:noProof/>
          <w:sz w:val="18"/>
          <w:szCs w:val="18"/>
        </w:rPr>
      </w:pPr>
      <w:r w:rsidRPr="002F1239">
        <w:rPr>
          <w:rFonts w:cs="Arial"/>
          <w:b/>
          <w:bCs/>
          <w:noProof/>
          <w:sz w:val="18"/>
          <w:szCs w:val="18"/>
        </w:rPr>
        <w:t>Pozn</w:t>
      </w:r>
      <w:r w:rsidR="00BB79FC" w:rsidRPr="002F1239">
        <w:rPr>
          <w:rFonts w:cs="Arial"/>
          <w:b/>
          <w:bCs/>
          <w:noProof/>
          <w:sz w:val="18"/>
          <w:szCs w:val="18"/>
        </w:rPr>
        <w:t>.</w:t>
      </w:r>
      <w:r w:rsidR="0050476B" w:rsidRPr="002F1239">
        <w:rPr>
          <w:rFonts w:cs="Arial"/>
          <w:b/>
          <w:bCs/>
          <w:noProof/>
          <w:sz w:val="18"/>
          <w:szCs w:val="18"/>
        </w:rPr>
        <w:t>:</w:t>
      </w:r>
      <w:r w:rsidR="00BB79FC" w:rsidRPr="002F1239">
        <w:rPr>
          <w:rFonts w:cs="Arial"/>
          <w:bCs/>
          <w:noProof/>
          <w:sz w:val="18"/>
          <w:szCs w:val="18"/>
        </w:rPr>
        <w:t xml:space="preserve"> </w:t>
      </w:r>
      <w:r w:rsidRPr="002F1239">
        <w:rPr>
          <w:rFonts w:cs="Arial"/>
          <w:bCs/>
          <w:noProof/>
          <w:sz w:val="18"/>
          <w:szCs w:val="18"/>
        </w:rPr>
        <w:t xml:space="preserve">Všechny právní předpisy uváděné v tomto kontrolním závěru jsou </w:t>
      </w:r>
      <w:r w:rsidR="00CC2528" w:rsidRPr="002F1239">
        <w:rPr>
          <w:rFonts w:cs="Arial"/>
          <w:bCs/>
          <w:noProof/>
          <w:sz w:val="18"/>
          <w:szCs w:val="18"/>
        </w:rPr>
        <w:t>aplikovány ve znění účinném pro</w:t>
      </w:r>
      <w:r w:rsidR="00BB79FC" w:rsidRPr="002F1239">
        <w:rPr>
          <w:rFonts w:cs="Arial"/>
          <w:bCs/>
          <w:noProof/>
          <w:sz w:val="18"/>
          <w:szCs w:val="18"/>
        </w:rPr>
        <w:t xml:space="preserve"> </w:t>
      </w:r>
      <w:r w:rsidRPr="002F1239">
        <w:rPr>
          <w:rFonts w:cs="Arial"/>
          <w:bCs/>
          <w:noProof/>
          <w:sz w:val="18"/>
          <w:szCs w:val="18"/>
        </w:rPr>
        <w:t>kontrolované období.</w:t>
      </w:r>
    </w:p>
    <w:p w:rsidR="00C77731" w:rsidRDefault="00C77731" w:rsidP="002F1239">
      <w:pPr>
        <w:spacing w:after="0"/>
        <w:rPr>
          <w:rFonts w:cs="Arial"/>
          <w:bCs/>
          <w:noProof/>
          <w:szCs w:val="22"/>
        </w:rPr>
      </w:pPr>
    </w:p>
    <w:p w:rsidR="005D0635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Pr="002F1239" w:rsidRDefault="005D0635" w:rsidP="002F1239">
      <w:pPr>
        <w:spacing w:after="0"/>
        <w:rPr>
          <w:rFonts w:cs="Arial"/>
          <w:bCs/>
          <w:noProof/>
          <w:szCs w:val="22"/>
        </w:rPr>
      </w:pPr>
    </w:p>
    <w:p w:rsidR="005D0635" w:rsidRPr="002F1239" w:rsidRDefault="00D05525" w:rsidP="002F1239">
      <w:pPr>
        <w:pStyle w:val="Nadpis1"/>
        <w:spacing w:before="0" w:after="0"/>
        <w:ind w:left="284" w:hanging="284"/>
        <w:rPr>
          <w:sz w:val="24"/>
          <w:szCs w:val="24"/>
        </w:rPr>
      </w:pPr>
      <w:r w:rsidRPr="002F1239">
        <w:rPr>
          <w:sz w:val="24"/>
          <w:szCs w:val="24"/>
        </w:rPr>
        <w:t>Skutečnosti zjištěné při kontrole</w:t>
      </w:r>
    </w:p>
    <w:p w:rsidR="005D0635" w:rsidRPr="005D0635" w:rsidRDefault="005D0635" w:rsidP="002F1239">
      <w:pPr>
        <w:spacing w:after="0"/>
      </w:pPr>
    </w:p>
    <w:p w:rsidR="002756A3" w:rsidRPr="00DB53C4" w:rsidRDefault="001F1BC2" w:rsidP="002F1239">
      <w:pPr>
        <w:pStyle w:val="Nadpis2"/>
        <w:spacing w:before="0" w:after="0"/>
        <w:ind w:left="426" w:hanging="426"/>
      </w:pPr>
      <w:r w:rsidRPr="00DB53C4">
        <w:t xml:space="preserve">Finanční zajištění komunikačních kampaní </w:t>
      </w:r>
      <w:r w:rsidR="005F3CF5">
        <w:t>pro</w:t>
      </w:r>
      <w:r w:rsidR="00427CF4" w:rsidRPr="00DB53C4">
        <w:t xml:space="preserve"> značky</w:t>
      </w:r>
      <w:r w:rsidR="000A6555" w:rsidRPr="00DB53C4">
        <w:t xml:space="preserve"> </w:t>
      </w:r>
      <w:r w:rsidR="005F3CF5">
        <w:t>„</w:t>
      </w:r>
      <w:r w:rsidR="000A6555" w:rsidRPr="00DB53C4">
        <w:t>Klasa</w:t>
      </w:r>
      <w:r w:rsidR="005F3CF5">
        <w:t>“</w:t>
      </w:r>
      <w:r w:rsidR="000A6555" w:rsidRPr="00DB53C4">
        <w:t xml:space="preserve">, </w:t>
      </w:r>
      <w:r w:rsidR="005F3CF5">
        <w:t>„</w:t>
      </w:r>
      <w:r w:rsidR="000A6555" w:rsidRPr="00DB53C4">
        <w:t>Regionální potravina</w:t>
      </w:r>
      <w:r w:rsidR="005F3CF5">
        <w:t>“</w:t>
      </w:r>
      <w:r w:rsidR="000A6555" w:rsidRPr="00DB53C4">
        <w:t xml:space="preserve"> a</w:t>
      </w:r>
      <w:r w:rsidR="00C77731">
        <w:t> </w:t>
      </w:r>
      <w:r w:rsidR="005F3CF5">
        <w:t>„v</w:t>
      </w:r>
      <w:r w:rsidR="000A6555" w:rsidRPr="00DB53C4">
        <w:t>ína z Moravy, vína z</w:t>
      </w:r>
      <w:r w:rsidR="005F3CF5">
        <w:t> </w:t>
      </w:r>
      <w:r w:rsidR="000A6555" w:rsidRPr="00DB53C4">
        <w:t>Čech</w:t>
      </w:r>
      <w:r w:rsidR="005F3CF5">
        <w:t>“</w:t>
      </w:r>
    </w:p>
    <w:p w:rsidR="005D0635" w:rsidRDefault="005D0635" w:rsidP="002F1239">
      <w:pPr>
        <w:spacing w:after="0"/>
      </w:pPr>
    </w:p>
    <w:p w:rsidR="002756A3" w:rsidRDefault="002756A3" w:rsidP="002F1239">
      <w:pPr>
        <w:spacing w:after="0"/>
      </w:pPr>
      <w:r w:rsidRPr="00DB53C4">
        <w:t>Marketingová podpora</w:t>
      </w:r>
      <w:r w:rsidR="000216E4" w:rsidRPr="00DB53C4">
        <w:rPr>
          <w:rStyle w:val="Znakapoznpodarou"/>
        </w:rPr>
        <w:footnoteReference w:id="7"/>
      </w:r>
      <w:r w:rsidRPr="00DB53C4">
        <w:t xml:space="preserve"> značek </w:t>
      </w:r>
      <w:r w:rsidR="005F3CF5">
        <w:t>„</w:t>
      </w:r>
      <w:r w:rsidRPr="00DB53C4">
        <w:t>Klasa</w:t>
      </w:r>
      <w:r w:rsidR="005F3CF5">
        <w:t>“</w:t>
      </w:r>
      <w:r w:rsidRPr="00DB53C4">
        <w:t xml:space="preserve">, </w:t>
      </w:r>
      <w:r w:rsidR="005F3CF5">
        <w:t>„</w:t>
      </w:r>
      <w:r w:rsidRPr="00DB53C4">
        <w:t>Regionální potravina</w:t>
      </w:r>
      <w:r w:rsidR="005F3CF5">
        <w:t>“</w:t>
      </w:r>
      <w:r w:rsidRPr="00DB53C4">
        <w:t xml:space="preserve"> </w:t>
      </w:r>
      <w:r w:rsidR="00CC2528" w:rsidRPr="00DB53C4">
        <w:t xml:space="preserve">a </w:t>
      </w:r>
      <w:r w:rsidR="005F3CF5">
        <w:t>„v</w:t>
      </w:r>
      <w:r w:rsidR="00CC2528" w:rsidRPr="00DB53C4">
        <w:t>ína z Moravy, vína z</w:t>
      </w:r>
      <w:r w:rsidR="005F3CF5">
        <w:t> </w:t>
      </w:r>
      <w:r w:rsidR="00CC2528" w:rsidRPr="00DB53C4">
        <w:t>Čech</w:t>
      </w:r>
      <w:r w:rsidR="005F3CF5">
        <w:t>“</w:t>
      </w:r>
      <w:r w:rsidR="00CC2528" w:rsidRPr="00DB53C4">
        <w:t xml:space="preserve"> je </w:t>
      </w:r>
      <w:r w:rsidRPr="00DB53C4">
        <w:t xml:space="preserve">spolufinancována </w:t>
      </w:r>
      <w:r w:rsidR="005F3CF5" w:rsidRPr="00DB53C4">
        <w:t xml:space="preserve">z kapitoly </w:t>
      </w:r>
      <w:r w:rsidRPr="00DB53C4">
        <w:t xml:space="preserve">státního rozpočtu 329 </w:t>
      </w:r>
      <w:r w:rsidR="005F3CF5">
        <w:t xml:space="preserve">– </w:t>
      </w:r>
      <w:r w:rsidRPr="002F1239">
        <w:rPr>
          <w:i/>
        </w:rPr>
        <w:t>Ministerstv</w:t>
      </w:r>
      <w:r w:rsidR="005F3CF5" w:rsidRPr="002F1239">
        <w:rPr>
          <w:i/>
        </w:rPr>
        <w:t>o</w:t>
      </w:r>
      <w:r w:rsidRPr="002F1239">
        <w:rPr>
          <w:i/>
        </w:rPr>
        <w:t xml:space="preserve"> zemědělství</w:t>
      </w:r>
      <w:r w:rsidRPr="00DB53C4">
        <w:t xml:space="preserve">. </w:t>
      </w:r>
    </w:p>
    <w:p w:rsidR="005D0635" w:rsidRPr="00DB53C4" w:rsidRDefault="005D0635" w:rsidP="002F1239">
      <w:pPr>
        <w:spacing w:after="0"/>
      </w:pPr>
    </w:p>
    <w:p w:rsidR="002756A3" w:rsidRDefault="00E042BA" w:rsidP="002F1239">
      <w:pPr>
        <w:spacing w:after="0"/>
      </w:pPr>
      <w:r w:rsidRPr="00DB53C4">
        <w:t xml:space="preserve">Od roku 2004 </w:t>
      </w:r>
      <w:proofErr w:type="spellStart"/>
      <w:r w:rsidR="002756A3" w:rsidRPr="00DB53C4">
        <w:t>MZe</w:t>
      </w:r>
      <w:proofErr w:type="spellEnd"/>
      <w:r w:rsidR="002756A3" w:rsidRPr="00DB53C4">
        <w:t xml:space="preserve"> poskytuje SZIF na marketingovou podporu značky </w:t>
      </w:r>
      <w:r w:rsidR="005F3CF5">
        <w:t>„</w:t>
      </w:r>
      <w:r w:rsidR="002756A3" w:rsidRPr="00DB53C4">
        <w:t>Klasa</w:t>
      </w:r>
      <w:r w:rsidR="005F3CF5">
        <w:t>“</w:t>
      </w:r>
      <w:r w:rsidR="002756A3" w:rsidRPr="00DB53C4">
        <w:t xml:space="preserve"> dotace. V</w:t>
      </w:r>
      <w:r w:rsidR="005F3CF5">
        <w:t> letech</w:t>
      </w:r>
      <w:r w:rsidR="002756A3" w:rsidRPr="00DB53C4">
        <w:t xml:space="preserve"> 2010 a 2011 </w:t>
      </w:r>
      <w:proofErr w:type="spellStart"/>
      <w:r w:rsidRPr="00DB53C4">
        <w:t>MZe</w:t>
      </w:r>
      <w:proofErr w:type="spellEnd"/>
      <w:r w:rsidRPr="00DB53C4">
        <w:t xml:space="preserve"> zajišťovalo </w:t>
      </w:r>
      <w:r w:rsidR="002756A3" w:rsidRPr="00DB53C4">
        <w:t xml:space="preserve">marketingovou podporu značky </w:t>
      </w:r>
      <w:r w:rsidR="005F3CF5">
        <w:t>„</w:t>
      </w:r>
      <w:r w:rsidR="002756A3" w:rsidRPr="00DB53C4">
        <w:t>Regionální potravina</w:t>
      </w:r>
      <w:r w:rsidR="005F3CF5">
        <w:t>“</w:t>
      </w:r>
      <w:r w:rsidR="002756A3" w:rsidRPr="00DB53C4">
        <w:t xml:space="preserve"> </w:t>
      </w:r>
      <w:r w:rsidRPr="00DB53C4">
        <w:t>pří</w:t>
      </w:r>
      <w:r w:rsidR="0023207A" w:rsidRPr="00DB53C4">
        <w:t>mo a od </w:t>
      </w:r>
      <w:r w:rsidR="002756A3" w:rsidRPr="00DB53C4">
        <w:t xml:space="preserve">roku 2012 </w:t>
      </w:r>
      <w:r w:rsidRPr="00DB53C4">
        <w:t xml:space="preserve">ji </w:t>
      </w:r>
      <w:r w:rsidR="002756A3" w:rsidRPr="00DB53C4">
        <w:t xml:space="preserve">financuje stejným způsobem jako značku </w:t>
      </w:r>
      <w:r w:rsidR="005F3CF5">
        <w:t>„</w:t>
      </w:r>
      <w:r w:rsidR="002756A3" w:rsidRPr="00DB53C4">
        <w:t>Klasa</w:t>
      </w:r>
      <w:r w:rsidR="005F3CF5">
        <w:t>“</w:t>
      </w:r>
      <w:r w:rsidR="002756A3" w:rsidRPr="00DB53C4">
        <w:t>, tzn. formou dotací poskytnutých SZIF.</w:t>
      </w:r>
    </w:p>
    <w:p w:rsidR="005D0635" w:rsidRPr="00DB53C4" w:rsidRDefault="005D0635" w:rsidP="002F1239">
      <w:pPr>
        <w:spacing w:after="0"/>
      </w:pPr>
    </w:p>
    <w:p w:rsidR="009767B7" w:rsidRDefault="002756A3" w:rsidP="002F1239">
      <w:pPr>
        <w:spacing w:after="0"/>
      </w:pPr>
      <w:r w:rsidRPr="00DB53C4">
        <w:t xml:space="preserve">Marketingová podpora značky </w:t>
      </w:r>
      <w:r w:rsidR="005F3CF5">
        <w:t>„v</w:t>
      </w:r>
      <w:r w:rsidRPr="00DB53C4">
        <w:t>ína z Moravy</w:t>
      </w:r>
      <w:r w:rsidR="009D4E4E" w:rsidRPr="00DB53C4">
        <w:t>, vína z</w:t>
      </w:r>
      <w:r w:rsidR="005F3CF5">
        <w:t> </w:t>
      </w:r>
      <w:r w:rsidR="009D4E4E" w:rsidRPr="00DB53C4">
        <w:t>Čech</w:t>
      </w:r>
      <w:r w:rsidR="005F3CF5">
        <w:t>“</w:t>
      </w:r>
      <w:r w:rsidR="009D4E4E" w:rsidRPr="00DB53C4">
        <w:t xml:space="preserve"> je financována z příjmů </w:t>
      </w:r>
      <w:r w:rsidRPr="00DB53C4">
        <w:t>VF, které jsou definovány v zákoně č. 321/2004 Sb.</w:t>
      </w:r>
      <w:r w:rsidR="005F3CF5">
        <w:t>,</w:t>
      </w:r>
      <w:r w:rsidRPr="00DB53C4">
        <w:t xml:space="preserve"> a dále </w:t>
      </w:r>
      <w:r w:rsidR="000D22F6" w:rsidRPr="00DB53C4">
        <w:t xml:space="preserve">z peněžních prostředků </w:t>
      </w:r>
      <w:r w:rsidR="005A7ADC" w:rsidRPr="00DB53C4">
        <w:t xml:space="preserve">poskytovaných </w:t>
      </w:r>
      <w:proofErr w:type="spellStart"/>
      <w:r w:rsidR="000D22F6" w:rsidRPr="00DB53C4">
        <w:t>MZe</w:t>
      </w:r>
      <w:proofErr w:type="spellEnd"/>
      <w:r w:rsidRPr="00DB53C4">
        <w:t xml:space="preserve"> </w:t>
      </w:r>
      <w:r w:rsidR="00CC2528" w:rsidRPr="00DB53C4">
        <w:t xml:space="preserve">ve </w:t>
      </w:r>
      <w:r w:rsidR="009767B7" w:rsidRPr="00DB53C4">
        <w:t xml:space="preserve">výši </w:t>
      </w:r>
      <w:r w:rsidR="005A7ADC" w:rsidRPr="00DB53C4">
        <w:t>stanovené</w:t>
      </w:r>
      <w:r w:rsidR="009767B7" w:rsidRPr="00DB53C4">
        <w:t xml:space="preserve"> v § 35 </w:t>
      </w:r>
      <w:r w:rsidR="00E042BA" w:rsidRPr="00DB53C4">
        <w:t xml:space="preserve">tohoto </w:t>
      </w:r>
      <w:r w:rsidR="009767B7" w:rsidRPr="00DB53C4">
        <w:t>zákona.</w:t>
      </w:r>
    </w:p>
    <w:p w:rsidR="005D0635" w:rsidRPr="00DB53C4" w:rsidRDefault="005D0635" w:rsidP="002F1239">
      <w:pPr>
        <w:spacing w:after="0"/>
      </w:pPr>
    </w:p>
    <w:p w:rsidR="009F0770" w:rsidRDefault="00E042BA" w:rsidP="002F1239">
      <w:pPr>
        <w:spacing w:after="0"/>
      </w:pPr>
      <w:r w:rsidRPr="00DB53C4">
        <w:t>V následující tabulce</w:t>
      </w:r>
      <w:r w:rsidR="00520F31" w:rsidRPr="00DB53C4">
        <w:t xml:space="preserve"> </w:t>
      </w:r>
      <w:r w:rsidR="005F3CF5">
        <w:t>(</w:t>
      </w:r>
      <w:r w:rsidR="00520F31" w:rsidRPr="00DB53C4">
        <w:t>č. 1</w:t>
      </w:r>
      <w:r w:rsidR="005F3CF5">
        <w:t>)</w:t>
      </w:r>
      <w:r w:rsidR="00520F31" w:rsidRPr="00DB53C4">
        <w:t xml:space="preserve"> jsou uvedeny výše dotací poskytnutých </w:t>
      </w:r>
      <w:proofErr w:type="spellStart"/>
      <w:r w:rsidR="00520F31" w:rsidRPr="00DB53C4">
        <w:t>MZe</w:t>
      </w:r>
      <w:proofErr w:type="spellEnd"/>
      <w:r w:rsidRPr="00DB53C4">
        <w:t xml:space="preserve"> na marketingovou podporu značek </w:t>
      </w:r>
      <w:r w:rsidR="005F3CF5">
        <w:t>„</w:t>
      </w:r>
      <w:r w:rsidRPr="00DB53C4">
        <w:t>Klasa</w:t>
      </w:r>
      <w:r w:rsidR="005F3CF5">
        <w:t>“</w:t>
      </w:r>
      <w:r w:rsidRPr="00DB53C4">
        <w:t xml:space="preserve">, </w:t>
      </w:r>
      <w:r w:rsidR="005F3CF5">
        <w:t>„</w:t>
      </w:r>
      <w:r w:rsidRPr="00DB53C4">
        <w:t>Regionální potravina</w:t>
      </w:r>
      <w:r w:rsidR="005F3CF5">
        <w:t>“</w:t>
      </w:r>
      <w:r w:rsidRPr="00DB53C4">
        <w:t xml:space="preserve"> a </w:t>
      </w:r>
      <w:r w:rsidR="00FA015E" w:rsidRPr="00DB53C4">
        <w:t>na činnost VF</w:t>
      </w:r>
      <w:r w:rsidR="00520F31" w:rsidRPr="00DB53C4">
        <w:t xml:space="preserve"> a </w:t>
      </w:r>
      <w:r w:rsidR="002774F2" w:rsidRPr="00DB53C4">
        <w:t>realizované výdaje</w:t>
      </w:r>
      <w:r w:rsidR="00AA2E52" w:rsidRPr="00DB53C4">
        <w:rPr>
          <w:rFonts w:cs="Arial"/>
          <w:szCs w:val="22"/>
        </w:rPr>
        <w:t xml:space="preserve"> v letech 2008</w:t>
      </w:r>
      <w:r w:rsidR="00C725D0">
        <w:rPr>
          <w:rFonts w:cs="Arial"/>
          <w:szCs w:val="22"/>
        </w:rPr>
        <w:t>–</w:t>
      </w:r>
      <w:r w:rsidR="00AA2E52" w:rsidRPr="00DB53C4">
        <w:rPr>
          <w:rFonts w:cs="Arial"/>
          <w:szCs w:val="22"/>
        </w:rPr>
        <w:t>2013</w:t>
      </w:r>
      <w:r w:rsidR="00D65E90" w:rsidRPr="00DB53C4">
        <w:t xml:space="preserve">. </w:t>
      </w:r>
      <w:r w:rsidR="00F16E1A" w:rsidRPr="00DB53C4">
        <w:t xml:space="preserve">V případech, kdy </w:t>
      </w:r>
      <w:r w:rsidR="00B80C13" w:rsidRPr="00DB53C4">
        <w:t>výdaje</w:t>
      </w:r>
      <w:r w:rsidR="00F16E1A" w:rsidRPr="00DB53C4">
        <w:t xml:space="preserve"> na ma</w:t>
      </w:r>
      <w:r w:rsidR="005B5B15" w:rsidRPr="00DB53C4">
        <w:t xml:space="preserve">rketingovou </w:t>
      </w:r>
      <w:r w:rsidR="0013466E" w:rsidRPr="00DB53C4">
        <w:t>podporu značek</w:t>
      </w:r>
      <w:r w:rsidR="005B5B15" w:rsidRPr="00DB53C4">
        <w:t xml:space="preserve"> </w:t>
      </w:r>
      <w:r w:rsidR="005F3CF5">
        <w:t>„</w:t>
      </w:r>
      <w:r w:rsidR="005B5B15" w:rsidRPr="00DB53C4">
        <w:t>Klasa</w:t>
      </w:r>
      <w:r w:rsidR="005F3CF5">
        <w:t>“</w:t>
      </w:r>
      <w:r w:rsidR="00F16E1A" w:rsidRPr="00DB53C4">
        <w:t xml:space="preserve"> </w:t>
      </w:r>
      <w:r w:rsidR="00ED4EF4">
        <w:t>a </w:t>
      </w:r>
      <w:r w:rsidR="005F3CF5">
        <w:t>„</w:t>
      </w:r>
      <w:r w:rsidR="0013466E" w:rsidRPr="00DB53C4">
        <w:t>Regionální potravina</w:t>
      </w:r>
      <w:r w:rsidR="005F3CF5">
        <w:t>“</w:t>
      </w:r>
      <w:r w:rsidR="0013466E" w:rsidRPr="00DB53C4">
        <w:t xml:space="preserve"> </w:t>
      </w:r>
      <w:r w:rsidR="005F3CF5" w:rsidRPr="00DB53C4">
        <w:t xml:space="preserve">byly </w:t>
      </w:r>
      <w:r w:rsidR="00CA01DC" w:rsidRPr="00DB53C4">
        <w:t xml:space="preserve">v daném </w:t>
      </w:r>
      <w:r w:rsidR="00F16E1A" w:rsidRPr="00DB53C4">
        <w:t xml:space="preserve">roce </w:t>
      </w:r>
      <w:r w:rsidR="005B5B15" w:rsidRPr="00DB53C4">
        <w:t xml:space="preserve">vyšší než dotace poskytnuté </w:t>
      </w:r>
      <w:proofErr w:type="spellStart"/>
      <w:r w:rsidR="005B5B15" w:rsidRPr="00DB53C4">
        <w:t>MZe</w:t>
      </w:r>
      <w:proofErr w:type="spellEnd"/>
      <w:r w:rsidR="005B5B15" w:rsidRPr="00DB53C4">
        <w:t>,</w:t>
      </w:r>
      <w:r w:rsidR="00F16E1A" w:rsidRPr="00DB53C4">
        <w:t xml:space="preserve"> hradil SZIF tento rozdíl z peněžních prostředků </w:t>
      </w:r>
      <w:r w:rsidR="009E38BD" w:rsidRPr="00DB53C4">
        <w:t xml:space="preserve">na marketingovou podporu značky </w:t>
      </w:r>
      <w:r w:rsidR="005F3CF5">
        <w:t>„</w:t>
      </w:r>
      <w:r w:rsidR="009E38BD" w:rsidRPr="00DB53C4">
        <w:t>Klasa</w:t>
      </w:r>
      <w:r w:rsidR="005F3CF5">
        <w:t>“</w:t>
      </w:r>
      <w:r w:rsidR="009E38BD" w:rsidRPr="00DB53C4">
        <w:t xml:space="preserve"> </w:t>
      </w:r>
      <w:r w:rsidR="00F16E1A" w:rsidRPr="00DB53C4">
        <w:t xml:space="preserve">převedených z minulých let, </w:t>
      </w:r>
      <w:r w:rsidR="005F3CF5">
        <w:t xml:space="preserve">dále </w:t>
      </w:r>
      <w:r w:rsidR="00F16E1A" w:rsidRPr="00DB53C4">
        <w:t xml:space="preserve">z bankovních úroků </w:t>
      </w:r>
      <w:r w:rsidR="005F3CF5">
        <w:t>či</w:t>
      </w:r>
      <w:r w:rsidR="00F16E1A" w:rsidRPr="00DB53C4">
        <w:t xml:space="preserve"> z přijatých poplatků za výstavy a veletrhy. VF hradil </w:t>
      </w:r>
      <w:r w:rsidR="00FA015E" w:rsidRPr="00DB53C4">
        <w:t xml:space="preserve">rozdíl </w:t>
      </w:r>
      <w:r w:rsidR="00F16E1A" w:rsidRPr="00DB53C4">
        <w:t>z</w:t>
      </w:r>
      <w:r w:rsidR="00FA015E" w:rsidRPr="00DB53C4">
        <w:t xml:space="preserve"> dalších </w:t>
      </w:r>
      <w:r w:rsidR="00CA01DC" w:rsidRPr="00DB53C4">
        <w:t xml:space="preserve">finančních </w:t>
      </w:r>
      <w:r w:rsidR="00F16E1A" w:rsidRPr="00DB53C4">
        <w:t>prostředků, které měl k dispozici na svou činnost.</w:t>
      </w:r>
    </w:p>
    <w:p w:rsidR="005D0635" w:rsidRPr="00DB53C4" w:rsidRDefault="005D0635" w:rsidP="002F1239">
      <w:pPr>
        <w:spacing w:after="0"/>
      </w:pPr>
    </w:p>
    <w:p w:rsidR="00CA01DC" w:rsidRPr="00DB53C4" w:rsidRDefault="00323E1F" w:rsidP="00DA3328">
      <w:pPr>
        <w:pStyle w:val="Titulek"/>
        <w:spacing w:after="0"/>
        <w:ind w:left="1560" w:hanging="1560"/>
        <w:rPr>
          <w:sz w:val="22"/>
          <w:szCs w:val="22"/>
        </w:rPr>
      </w:pPr>
      <w:r w:rsidRPr="00DB53C4">
        <w:rPr>
          <w:sz w:val="22"/>
          <w:szCs w:val="22"/>
        </w:rPr>
        <w:t xml:space="preserve">Tabulka č. 1 – </w:t>
      </w:r>
      <w:r w:rsidR="00051C0E" w:rsidRPr="00DB53C4">
        <w:rPr>
          <w:sz w:val="22"/>
          <w:szCs w:val="22"/>
        </w:rPr>
        <w:t>Přehled v</w:t>
      </w:r>
      <w:r w:rsidRPr="00DB53C4">
        <w:rPr>
          <w:sz w:val="22"/>
          <w:szCs w:val="22"/>
        </w:rPr>
        <w:t>ýše dotací</w:t>
      </w:r>
      <w:r w:rsidR="00E042BA" w:rsidRPr="00DB53C4">
        <w:rPr>
          <w:sz w:val="22"/>
          <w:szCs w:val="22"/>
        </w:rPr>
        <w:t xml:space="preserve"> a výdajů na </w:t>
      </w:r>
      <w:r w:rsidR="009D2AB4" w:rsidRPr="00DB53C4">
        <w:rPr>
          <w:sz w:val="22"/>
          <w:szCs w:val="22"/>
        </w:rPr>
        <w:t>komunikační kampaně na podporu</w:t>
      </w:r>
      <w:r w:rsidR="00E042BA" w:rsidRPr="00DB53C4">
        <w:rPr>
          <w:sz w:val="22"/>
          <w:szCs w:val="22"/>
        </w:rPr>
        <w:t xml:space="preserve"> značek</w:t>
      </w:r>
      <w:r w:rsidR="00CA01DC" w:rsidRPr="00DB53C4">
        <w:rPr>
          <w:sz w:val="22"/>
          <w:szCs w:val="22"/>
        </w:rPr>
        <w:t xml:space="preserve"> </w:t>
      </w:r>
      <w:r w:rsidR="004074F4">
        <w:rPr>
          <w:sz w:val="22"/>
          <w:szCs w:val="22"/>
        </w:rPr>
        <w:t>„</w:t>
      </w:r>
      <w:r w:rsidR="00E042BA" w:rsidRPr="00DB53C4">
        <w:rPr>
          <w:sz w:val="22"/>
          <w:szCs w:val="22"/>
        </w:rPr>
        <w:t>Klasa</w:t>
      </w:r>
      <w:r w:rsidR="004074F4">
        <w:rPr>
          <w:sz w:val="22"/>
          <w:szCs w:val="22"/>
        </w:rPr>
        <w:t>“</w:t>
      </w:r>
      <w:r w:rsidR="00E042BA" w:rsidRPr="00DB53C4">
        <w:rPr>
          <w:sz w:val="22"/>
          <w:szCs w:val="22"/>
        </w:rPr>
        <w:t xml:space="preserve">, </w:t>
      </w:r>
      <w:r w:rsidR="004074F4">
        <w:rPr>
          <w:sz w:val="22"/>
          <w:szCs w:val="22"/>
        </w:rPr>
        <w:t>„</w:t>
      </w:r>
      <w:r w:rsidR="00E042BA" w:rsidRPr="00DB53C4">
        <w:rPr>
          <w:sz w:val="22"/>
          <w:szCs w:val="22"/>
        </w:rPr>
        <w:t>Regionální potravina</w:t>
      </w:r>
      <w:r w:rsidR="004074F4">
        <w:rPr>
          <w:sz w:val="22"/>
          <w:szCs w:val="22"/>
        </w:rPr>
        <w:t>“</w:t>
      </w:r>
      <w:r w:rsidR="00E042BA" w:rsidRPr="00DB53C4">
        <w:rPr>
          <w:sz w:val="22"/>
          <w:szCs w:val="22"/>
        </w:rPr>
        <w:t xml:space="preserve"> a </w:t>
      </w:r>
      <w:r w:rsidR="004074F4">
        <w:rPr>
          <w:sz w:val="22"/>
          <w:szCs w:val="22"/>
        </w:rPr>
        <w:t>„v</w:t>
      </w:r>
      <w:r w:rsidR="00E042BA" w:rsidRPr="00DB53C4">
        <w:rPr>
          <w:sz w:val="22"/>
          <w:szCs w:val="22"/>
        </w:rPr>
        <w:t>ína z Moravy, vína z</w:t>
      </w:r>
      <w:r w:rsidR="004074F4">
        <w:rPr>
          <w:sz w:val="22"/>
          <w:szCs w:val="22"/>
        </w:rPr>
        <w:t> </w:t>
      </w:r>
      <w:r w:rsidR="00E042BA" w:rsidRPr="00DB53C4">
        <w:rPr>
          <w:sz w:val="22"/>
          <w:szCs w:val="22"/>
        </w:rPr>
        <w:t>Čech</w:t>
      </w:r>
      <w:r w:rsidR="004074F4">
        <w:rPr>
          <w:sz w:val="22"/>
          <w:szCs w:val="22"/>
        </w:rPr>
        <w:t>“</w:t>
      </w:r>
      <w:r w:rsidR="00E042BA" w:rsidRPr="00DB53C4">
        <w:rPr>
          <w:sz w:val="22"/>
          <w:szCs w:val="22"/>
        </w:rPr>
        <w:t xml:space="preserve"> </w:t>
      </w:r>
      <w:r w:rsidR="001B28E5" w:rsidRPr="00DB53C4">
        <w:rPr>
          <w:sz w:val="22"/>
          <w:szCs w:val="22"/>
        </w:rPr>
        <w:t>(v mil. Kč)</w:t>
      </w:r>
    </w:p>
    <w:tbl>
      <w:tblPr>
        <w:tblW w:w="4932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981"/>
        <w:gridCol w:w="721"/>
        <w:gridCol w:w="723"/>
        <w:gridCol w:w="723"/>
        <w:gridCol w:w="721"/>
        <w:gridCol w:w="723"/>
        <w:gridCol w:w="725"/>
        <w:gridCol w:w="964"/>
      </w:tblGrid>
      <w:tr w:rsidR="00634B4E" w:rsidRPr="00DB53C4" w:rsidTr="00FC1FB4">
        <w:trPr>
          <w:trHeight w:val="246"/>
        </w:trPr>
        <w:tc>
          <w:tcPr>
            <w:tcW w:w="2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E90" w:rsidRPr="00DB53C4" w:rsidRDefault="00D65E90" w:rsidP="00D65E9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34B4E" w:rsidRPr="00DB53C4" w:rsidTr="00FC1FB4">
        <w:trPr>
          <w:trHeight w:val="168"/>
        </w:trPr>
        <w:tc>
          <w:tcPr>
            <w:tcW w:w="6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Klasa</w:t>
            </w:r>
          </w:p>
        </w:tc>
        <w:tc>
          <w:tcPr>
            <w:tcW w:w="1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Poskytnutá dotace na značku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180,0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250,0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117,0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160,0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1 107,0</w:t>
            </w:r>
          </w:p>
        </w:tc>
      </w:tr>
      <w:tr w:rsidR="00634B4E" w:rsidRPr="00DB53C4" w:rsidTr="00FC1FB4">
        <w:trPr>
          <w:trHeight w:val="70"/>
        </w:trPr>
        <w:tc>
          <w:tcPr>
            <w:tcW w:w="6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2F12E2" w:rsidP="00CB7423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sz w:val="20"/>
                <w:szCs w:val="20"/>
              </w:rPr>
              <w:t xml:space="preserve">Výdaje na </w:t>
            </w:r>
            <w:r w:rsidRPr="002F1239">
              <w:rPr>
                <w:rFonts w:cs="Arial"/>
                <w:sz w:val="20"/>
                <w:szCs w:val="20"/>
              </w:rPr>
              <w:t>podporu</w:t>
            </w:r>
            <w:r w:rsidR="005A7ADC" w:rsidRPr="002F1239">
              <w:rPr>
                <w:rFonts w:cs="Arial"/>
                <w:sz w:val="20"/>
                <w:szCs w:val="20"/>
              </w:rPr>
              <w:t xml:space="preserve"> (vč. DPH)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B53C4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183,9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194,2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194,2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167,9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193,1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162,9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1 096,2</w:t>
            </w:r>
          </w:p>
        </w:tc>
      </w:tr>
      <w:tr w:rsidR="00634B4E" w:rsidRPr="00DB53C4" w:rsidTr="00FC1FB4">
        <w:trPr>
          <w:trHeight w:val="250"/>
        </w:trPr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Regionální potravina</w:t>
            </w:r>
          </w:p>
        </w:tc>
        <w:tc>
          <w:tcPr>
            <w:tcW w:w="15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Poskytnutá dotace na značku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20631" w:rsidP="00D65E9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  <w:r w:rsidR="005A7ADC" w:rsidRPr="00DB53C4">
              <w:rPr>
                <w:rFonts w:cs="Arial"/>
                <w:sz w:val="20"/>
                <w:szCs w:val="20"/>
                <w:vertAlign w:val="superscript"/>
              </w:rPr>
              <w:t>(1</w:t>
            </w:r>
            <w:r w:rsidR="00D65E90" w:rsidRPr="00DB53C4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20631" w:rsidP="00D65E9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632423" w:themeColor="accent2" w:themeShade="80"/>
                <w:sz w:val="20"/>
                <w:szCs w:val="20"/>
              </w:rPr>
              <w:t>–</w:t>
            </w:r>
            <w:r w:rsidR="005A7ADC" w:rsidRPr="00DB53C4">
              <w:rPr>
                <w:rFonts w:cs="Arial"/>
                <w:sz w:val="20"/>
                <w:szCs w:val="20"/>
                <w:vertAlign w:val="superscript"/>
              </w:rPr>
              <w:t>(1</w:t>
            </w:r>
            <w:r w:rsidR="00D65E90" w:rsidRPr="00DB53C4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20631" w:rsidP="00D65E9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632423" w:themeColor="accent2" w:themeShade="80"/>
                <w:sz w:val="20"/>
                <w:szCs w:val="20"/>
              </w:rPr>
              <w:t>–</w:t>
            </w:r>
            <w:r w:rsidR="005A7ADC" w:rsidRPr="00DB53C4">
              <w:rPr>
                <w:rFonts w:cs="Arial"/>
                <w:sz w:val="20"/>
                <w:szCs w:val="20"/>
                <w:vertAlign w:val="superscript"/>
              </w:rPr>
              <w:t>(2</w:t>
            </w:r>
            <w:r w:rsidR="00D65E90" w:rsidRPr="00DB53C4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20631" w:rsidP="00D65E9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632423" w:themeColor="accent2" w:themeShade="80"/>
                <w:sz w:val="20"/>
                <w:szCs w:val="20"/>
              </w:rPr>
              <w:t>–</w:t>
            </w:r>
            <w:r w:rsidR="005A7ADC" w:rsidRPr="00DB53C4">
              <w:rPr>
                <w:rFonts w:cs="Arial"/>
                <w:sz w:val="20"/>
                <w:szCs w:val="20"/>
                <w:vertAlign w:val="superscript"/>
              </w:rPr>
              <w:t>(2</w:t>
            </w:r>
            <w:r w:rsidR="00D65E90" w:rsidRPr="00DB53C4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90,0</w:t>
            </w:r>
          </w:p>
        </w:tc>
      </w:tr>
      <w:tr w:rsidR="00634B4E" w:rsidRPr="00DB53C4" w:rsidTr="00FC1FB4">
        <w:trPr>
          <w:trHeight w:val="70"/>
        </w:trPr>
        <w:tc>
          <w:tcPr>
            <w:tcW w:w="6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5A7ADC" w:rsidP="00CB7423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sz w:val="20"/>
                <w:szCs w:val="20"/>
              </w:rPr>
              <w:t xml:space="preserve">Výdaje na </w:t>
            </w:r>
            <w:r w:rsidRPr="002F1239">
              <w:rPr>
                <w:rFonts w:cs="Arial"/>
                <w:sz w:val="20"/>
                <w:szCs w:val="20"/>
              </w:rPr>
              <w:t>podporu (vč. DPH)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20631" w:rsidP="00D65E90">
            <w:pPr>
              <w:spacing w:after="0"/>
              <w:jc w:val="center"/>
              <w:rPr>
                <w:rFonts w:cs="Arial"/>
                <w:color w:val="632423" w:themeColor="accent2" w:themeShade="80"/>
                <w:sz w:val="20"/>
                <w:szCs w:val="20"/>
              </w:rPr>
            </w:pPr>
            <w:r>
              <w:rPr>
                <w:rFonts w:cs="Arial"/>
                <w:color w:val="632423" w:themeColor="accent2" w:themeShade="80"/>
                <w:sz w:val="20"/>
                <w:szCs w:val="20"/>
              </w:rPr>
              <w:t>–</w:t>
            </w:r>
            <w:r w:rsidR="005A7ADC" w:rsidRPr="00DB53C4">
              <w:rPr>
                <w:rFonts w:cs="Arial"/>
                <w:sz w:val="20"/>
                <w:szCs w:val="20"/>
                <w:vertAlign w:val="superscript"/>
              </w:rPr>
              <w:t>(1</w:t>
            </w:r>
            <w:r w:rsidR="00D65E90" w:rsidRPr="00DB53C4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20631" w:rsidP="00D65E90">
            <w:pPr>
              <w:spacing w:after="0"/>
              <w:jc w:val="center"/>
              <w:rPr>
                <w:rFonts w:cs="Arial"/>
                <w:color w:val="632423" w:themeColor="accent2" w:themeShade="80"/>
                <w:sz w:val="20"/>
                <w:szCs w:val="20"/>
              </w:rPr>
            </w:pPr>
            <w:r>
              <w:rPr>
                <w:rFonts w:cs="Arial"/>
                <w:color w:val="632423" w:themeColor="accent2" w:themeShade="80"/>
                <w:sz w:val="20"/>
                <w:szCs w:val="20"/>
              </w:rPr>
              <w:t>–</w:t>
            </w:r>
            <w:r w:rsidR="005A7ADC" w:rsidRPr="00DB53C4">
              <w:rPr>
                <w:rFonts w:cs="Arial"/>
                <w:sz w:val="20"/>
                <w:szCs w:val="20"/>
                <w:vertAlign w:val="superscript"/>
              </w:rPr>
              <w:t>(1</w:t>
            </w:r>
            <w:r w:rsidR="00D65E90" w:rsidRPr="00DB53C4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33,2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42,1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170,5</w:t>
            </w:r>
          </w:p>
        </w:tc>
      </w:tr>
      <w:tr w:rsidR="00634B4E" w:rsidRPr="00DB53C4" w:rsidTr="00FC1FB4">
        <w:trPr>
          <w:trHeight w:val="166"/>
        </w:trPr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VF</w:t>
            </w:r>
          </w:p>
        </w:tc>
        <w:tc>
          <w:tcPr>
            <w:tcW w:w="15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Poskytnutá </w:t>
            </w:r>
            <w:r w:rsidR="00B50243"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podpora (</w:t>
            </w: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dotace</w:t>
            </w:r>
            <w:r w:rsidR="00B50243"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)</w:t>
            </w: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na činnost VF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221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35,7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32,3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209,5</w:t>
            </w:r>
          </w:p>
        </w:tc>
      </w:tr>
      <w:tr w:rsidR="00634B4E" w:rsidRPr="00DB53C4" w:rsidTr="00FC1FB4">
        <w:trPr>
          <w:trHeight w:val="140"/>
        </w:trPr>
        <w:tc>
          <w:tcPr>
            <w:tcW w:w="6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90" w:rsidRPr="00DB53C4" w:rsidRDefault="00D65E90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596FDD" w:rsidRDefault="005A7ADC" w:rsidP="00CB7423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596FDD">
              <w:rPr>
                <w:rFonts w:cs="Arial"/>
                <w:sz w:val="20"/>
                <w:szCs w:val="20"/>
              </w:rPr>
              <w:t>Výdaje na podporu (vč. DPH)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60,4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42,5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45,6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215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32,4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E90" w:rsidRPr="00DB53C4" w:rsidRDefault="00D65E90" w:rsidP="002F1239">
            <w:pPr>
              <w:spacing w:after="0"/>
              <w:ind w:right="57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248,6</w:t>
            </w:r>
          </w:p>
        </w:tc>
      </w:tr>
    </w:tbl>
    <w:p w:rsidR="00D65E90" w:rsidRPr="00DB53C4" w:rsidRDefault="00D65E90" w:rsidP="00D65E90">
      <w:pPr>
        <w:spacing w:after="0"/>
        <w:rPr>
          <w:rFonts w:cs="Arial"/>
          <w:sz w:val="18"/>
          <w:szCs w:val="18"/>
        </w:rPr>
      </w:pPr>
      <w:r w:rsidRPr="002F1239">
        <w:rPr>
          <w:rFonts w:cs="Arial"/>
          <w:b/>
          <w:sz w:val="18"/>
          <w:szCs w:val="18"/>
        </w:rPr>
        <w:t>Zdroj:</w:t>
      </w:r>
      <w:r w:rsidRPr="00DB53C4">
        <w:rPr>
          <w:rFonts w:cs="Arial"/>
          <w:sz w:val="18"/>
          <w:szCs w:val="18"/>
        </w:rPr>
        <w:t xml:space="preserve"> </w:t>
      </w:r>
      <w:r w:rsidR="004074F4">
        <w:rPr>
          <w:rFonts w:cs="Arial"/>
          <w:sz w:val="18"/>
          <w:szCs w:val="18"/>
        </w:rPr>
        <w:t>i</w:t>
      </w:r>
      <w:r w:rsidRPr="00DB53C4">
        <w:rPr>
          <w:rFonts w:cs="Arial"/>
          <w:sz w:val="18"/>
          <w:szCs w:val="18"/>
        </w:rPr>
        <w:t xml:space="preserve">nformace a doklady </w:t>
      </w:r>
      <w:proofErr w:type="spellStart"/>
      <w:r w:rsidRPr="00DB53C4">
        <w:rPr>
          <w:rFonts w:cs="Arial"/>
          <w:sz w:val="18"/>
          <w:szCs w:val="18"/>
        </w:rPr>
        <w:t>MZe</w:t>
      </w:r>
      <w:proofErr w:type="spellEnd"/>
      <w:r w:rsidRPr="00DB53C4">
        <w:rPr>
          <w:rFonts w:cs="Arial"/>
          <w:sz w:val="18"/>
          <w:szCs w:val="18"/>
        </w:rPr>
        <w:t>, SZIF a VF</w:t>
      </w:r>
      <w:r w:rsidR="00122216">
        <w:rPr>
          <w:rFonts w:cs="Arial"/>
          <w:sz w:val="18"/>
          <w:szCs w:val="18"/>
        </w:rPr>
        <w:t>.</w:t>
      </w:r>
    </w:p>
    <w:p w:rsidR="00D65E90" w:rsidRPr="00DB53C4" w:rsidRDefault="005A7ADC" w:rsidP="00FC1FB4">
      <w:pPr>
        <w:spacing w:after="0"/>
        <w:ind w:left="284" w:hanging="284"/>
        <w:rPr>
          <w:rFonts w:cs="Arial"/>
          <w:sz w:val="18"/>
          <w:szCs w:val="18"/>
        </w:rPr>
      </w:pPr>
      <w:r w:rsidRPr="00DB53C4">
        <w:rPr>
          <w:rFonts w:cs="Arial"/>
          <w:sz w:val="18"/>
          <w:szCs w:val="18"/>
          <w:vertAlign w:val="superscript"/>
        </w:rPr>
        <w:t>(1</w:t>
      </w:r>
      <w:r w:rsidR="00D65E90" w:rsidRPr="00DB53C4">
        <w:rPr>
          <w:rFonts w:cs="Arial"/>
          <w:sz w:val="18"/>
          <w:szCs w:val="18"/>
          <w:vertAlign w:val="superscript"/>
        </w:rPr>
        <w:t>)</w:t>
      </w:r>
      <w:r w:rsidR="00D65E90" w:rsidRPr="00DB53C4">
        <w:rPr>
          <w:rFonts w:cs="Arial"/>
          <w:color w:val="632423" w:themeColor="accent2" w:themeShade="80"/>
          <w:szCs w:val="22"/>
          <w:vertAlign w:val="superscript"/>
        </w:rPr>
        <w:t xml:space="preserve"> </w:t>
      </w:r>
      <w:r w:rsidR="00FC1FB4">
        <w:rPr>
          <w:rFonts w:cs="Arial"/>
          <w:color w:val="632423" w:themeColor="accent2" w:themeShade="80"/>
          <w:szCs w:val="22"/>
        </w:rPr>
        <w:tab/>
      </w:r>
      <w:r w:rsidR="00D65E90" w:rsidRPr="00DB53C4">
        <w:rPr>
          <w:rFonts w:cs="Arial"/>
          <w:sz w:val="18"/>
          <w:szCs w:val="18"/>
        </w:rPr>
        <w:t xml:space="preserve">Značka </w:t>
      </w:r>
      <w:r w:rsidR="004074F4">
        <w:rPr>
          <w:rFonts w:cs="Arial"/>
          <w:sz w:val="18"/>
          <w:szCs w:val="18"/>
        </w:rPr>
        <w:t>„</w:t>
      </w:r>
      <w:r w:rsidR="00D65E90" w:rsidRPr="00DB53C4">
        <w:rPr>
          <w:rFonts w:cs="Arial"/>
          <w:sz w:val="18"/>
          <w:szCs w:val="18"/>
        </w:rPr>
        <w:t>Regionální potravina</w:t>
      </w:r>
      <w:r w:rsidR="004074F4">
        <w:rPr>
          <w:rFonts w:cs="Arial"/>
          <w:sz w:val="18"/>
          <w:szCs w:val="18"/>
        </w:rPr>
        <w:t>“</w:t>
      </w:r>
      <w:r w:rsidR="00D65E90" w:rsidRPr="00DB53C4">
        <w:rPr>
          <w:rFonts w:cs="Arial"/>
          <w:sz w:val="18"/>
          <w:szCs w:val="18"/>
        </w:rPr>
        <w:t xml:space="preserve"> vznikla v roce 2010</w:t>
      </w:r>
      <w:r w:rsidR="002D7EDB">
        <w:rPr>
          <w:rFonts w:cs="Arial"/>
          <w:sz w:val="18"/>
          <w:szCs w:val="18"/>
        </w:rPr>
        <w:t>.</w:t>
      </w:r>
    </w:p>
    <w:p w:rsidR="00D65E90" w:rsidRPr="00DB53C4" w:rsidRDefault="00D65E90" w:rsidP="00FC1FB4">
      <w:pPr>
        <w:spacing w:after="0"/>
        <w:ind w:left="284" w:hanging="284"/>
        <w:rPr>
          <w:rFonts w:cs="Arial"/>
          <w:sz w:val="18"/>
          <w:szCs w:val="18"/>
        </w:rPr>
      </w:pPr>
      <w:r w:rsidRPr="00DB53C4">
        <w:rPr>
          <w:rFonts w:cs="Arial"/>
          <w:sz w:val="18"/>
          <w:szCs w:val="18"/>
          <w:vertAlign w:val="superscript"/>
        </w:rPr>
        <w:t>(</w:t>
      </w:r>
      <w:r w:rsidR="005A7ADC" w:rsidRPr="00DB53C4">
        <w:rPr>
          <w:rFonts w:cs="Arial"/>
          <w:sz w:val="18"/>
          <w:szCs w:val="18"/>
          <w:vertAlign w:val="superscript"/>
        </w:rPr>
        <w:t>2</w:t>
      </w:r>
      <w:r w:rsidRPr="00DB53C4">
        <w:rPr>
          <w:rFonts w:cs="Arial"/>
          <w:sz w:val="18"/>
          <w:szCs w:val="18"/>
          <w:vertAlign w:val="superscript"/>
        </w:rPr>
        <w:t>)</w:t>
      </w:r>
      <w:r w:rsidR="00FC1FB4">
        <w:rPr>
          <w:rFonts w:cs="Arial"/>
          <w:sz w:val="18"/>
          <w:szCs w:val="18"/>
          <w:vertAlign w:val="superscript"/>
        </w:rPr>
        <w:t xml:space="preserve"> </w:t>
      </w:r>
      <w:r w:rsidR="00FC1FB4">
        <w:rPr>
          <w:rFonts w:cs="Arial"/>
          <w:sz w:val="18"/>
          <w:szCs w:val="18"/>
          <w:vertAlign w:val="superscript"/>
        </w:rPr>
        <w:tab/>
      </w:r>
      <w:r w:rsidRPr="00DB53C4">
        <w:rPr>
          <w:rFonts w:cs="Arial"/>
          <w:sz w:val="18"/>
          <w:szCs w:val="18"/>
        </w:rPr>
        <w:t>V letech 2010</w:t>
      </w:r>
      <w:r w:rsidR="00C77731">
        <w:rPr>
          <w:rFonts w:cs="Arial"/>
          <w:sz w:val="18"/>
          <w:szCs w:val="18"/>
        </w:rPr>
        <w:t>–</w:t>
      </w:r>
      <w:r w:rsidRPr="00DB53C4">
        <w:rPr>
          <w:rFonts w:cs="Arial"/>
          <w:sz w:val="18"/>
          <w:szCs w:val="18"/>
        </w:rPr>
        <w:t xml:space="preserve">2011 financovalo </w:t>
      </w:r>
      <w:r w:rsidR="00CB7423" w:rsidRPr="00DB53C4">
        <w:rPr>
          <w:rFonts w:cs="Arial"/>
          <w:sz w:val="18"/>
          <w:szCs w:val="18"/>
        </w:rPr>
        <w:t>komunikační kampaň na</w:t>
      </w:r>
      <w:r w:rsidRPr="00DB53C4">
        <w:rPr>
          <w:rFonts w:cs="Arial"/>
          <w:sz w:val="18"/>
          <w:szCs w:val="18"/>
        </w:rPr>
        <w:t xml:space="preserve"> podporu značky </w:t>
      </w:r>
      <w:r w:rsidR="004074F4">
        <w:rPr>
          <w:rFonts w:cs="Arial"/>
          <w:sz w:val="18"/>
          <w:szCs w:val="18"/>
        </w:rPr>
        <w:t>„</w:t>
      </w:r>
      <w:r w:rsidRPr="00DB53C4">
        <w:rPr>
          <w:rFonts w:cs="Arial"/>
          <w:sz w:val="18"/>
          <w:szCs w:val="18"/>
        </w:rPr>
        <w:t>Regionální potravina</w:t>
      </w:r>
      <w:r w:rsidR="004074F4">
        <w:rPr>
          <w:rFonts w:cs="Arial"/>
          <w:sz w:val="18"/>
          <w:szCs w:val="18"/>
        </w:rPr>
        <w:t>“</w:t>
      </w:r>
      <w:r w:rsidRPr="00DB53C4">
        <w:rPr>
          <w:rFonts w:cs="Arial"/>
          <w:sz w:val="18"/>
          <w:szCs w:val="18"/>
        </w:rPr>
        <w:t xml:space="preserve"> </w:t>
      </w:r>
      <w:proofErr w:type="spellStart"/>
      <w:r w:rsidRPr="00DB53C4">
        <w:rPr>
          <w:rFonts w:cs="Arial"/>
          <w:sz w:val="18"/>
          <w:szCs w:val="18"/>
        </w:rPr>
        <w:t>MZe</w:t>
      </w:r>
      <w:proofErr w:type="spellEnd"/>
      <w:r w:rsidRPr="00DB53C4">
        <w:rPr>
          <w:rFonts w:cs="Arial"/>
          <w:sz w:val="18"/>
          <w:szCs w:val="18"/>
        </w:rPr>
        <w:t xml:space="preserve"> ze svého rozpočtu</w:t>
      </w:r>
      <w:r w:rsidR="00122216">
        <w:rPr>
          <w:rFonts w:cs="Arial"/>
          <w:sz w:val="18"/>
          <w:szCs w:val="18"/>
        </w:rPr>
        <w:t>.</w:t>
      </w:r>
    </w:p>
    <w:p w:rsidR="005D0635" w:rsidRDefault="005D0635" w:rsidP="002F1239">
      <w:pPr>
        <w:spacing w:after="0"/>
        <w:rPr>
          <w:rFonts w:cs="Arial"/>
          <w:szCs w:val="22"/>
        </w:rPr>
      </w:pPr>
    </w:p>
    <w:p w:rsidR="0038534D" w:rsidRDefault="00585438" w:rsidP="002F1239">
      <w:pPr>
        <w:spacing w:after="0"/>
        <w:rPr>
          <w:rFonts w:cs="Arial"/>
          <w:b/>
          <w:szCs w:val="22"/>
        </w:rPr>
      </w:pPr>
      <w:r w:rsidRPr="00DB53C4">
        <w:rPr>
          <w:rFonts w:cs="Arial"/>
          <w:szCs w:val="22"/>
        </w:rPr>
        <w:t xml:space="preserve">SZIF, </w:t>
      </w:r>
      <w:proofErr w:type="spellStart"/>
      <w:r w:rsidRPr="00DB53C4">
        <w:rPr>
          <w:rFonts w:cs="Arial"/>
          <w:szCs w:val="22"/>
        </w:rPr>
        <w:t>MZe</w:t>
      </w:r>
      <w:proofErr w:type="spellEnd"/>
      <w:r w:rsidRPr="00DB53C4">
        <w:rPr>
          <w:rFonts w:cs="Arial"/>
          <w:szCs w:val="22"/>
        </w:rPr>
        <w:t xml:space="preserve"> a VF </w:t>
      </w:r>
      <w:r w:rsidR="004074F4" w:rsidRPr="00DB53C4">
        <w:rPr>
          <w:rFonts w:cs="Arial"/>
          <w:szCs w:val="22"/>
        </w:rPr>
        <w:t xml:space="preserve">vynaložily </w:t>
      </w:r>
      <w:r w:rsidR="001C1D53" w:rsidRPr="00DB53C4">
        <w:rPr>
          <w:rFonts w:cs="Arial"/>
          <w:szCs w:val="22"/>
        </w:rPr>
        <w:t xml:space="preserve">na </w:t>
      </w:r>
      <w:r w:rsidR="00CB7423" w:rsidRPr="00DB53C4">
        <w:rPr>
          <w:rFonts w:cs="Arial"/>
          <w:szCs w:val="22"/>
        </w:rPr>
        <w:t>komunikační kampaně na</w:t>
      </w:r>
      <w:r w:rsidR="001C1D53" w:rsidRPr="00DB53C4">
        <w:rPr>
          <w:rFonts w:cs="Arial"/>
          <w:szCs w:val="22"/>
        </w:rPr>
        <w:t xml:space="preserve"> podporu značek </w:t>
      </w:r>
      <w:r w:rsidR="004074F4">
        <w:rPr>
          <w:rFonts w:cs="Arial"/>
          <w:szCs w:val="22"/>
        </w:rPr>
        <w:t>„</w:t>
      </w:r>
      <w:r w:rsidR="001C1D53" w:rsidRPr="00DB53C4">
        <w:rPr>
          <w:rFonts w:cs="Arial"/>
          <w:szCs w:val="22"/>
        </w:rPr>
        <w:t>Klasa</w:t>
      </w:r>
      <w:r w:rsidR="004074F4">
        <w:rPr>
          <w:rFonts w:cs="Arial"/>
          <w:szCs w:val="22"/>
        </w:rPr>
        <w:t>“</w:t>
      </w:r>
      <w:r w:rsidR="001C1D53" w:rsidRPr="00DB53C4">
        <w:rPr>
          <w:rFonts w:cs="Arial"/>
          <w:szCs w:val="22"/>
        </w:rPr>
        <w:t xml:space="preserve">, </w:t>
      </w:r>
      <w:r w:rsidR="004074F4">
        <w:rPr>
          <w:rFonts w:cs="Arial"/>
          <w:szCs w:val="22"/>
        </w:rPr>
        <w:t>„</w:t>
      </w:r>
      <w:r w:rsidR="001C1D53" w:rsidRPr="00DB53C4">
        <w:rPr>
          <w:rFonts w:cs="Arial"/>
          <w:szCs w:val="22"/>
        </w:rPr>
        <w:t>Regionální potravina</w:t>
      </w:r>
      <w:r w:rsidR="004074F4">
        <w:rPr>
          <w:rFonts w:cs="Arial"/>
          <w:szCs w:val="22"/>
        </w:rPr>
        <w:t>“</w:t>
      </w:r>
      <w:r w:rsidR="001C1D53" w:rsidRPr="00DB53C4">
        <w:rPr>
          <w:rFonts w:cs="Arial"/>
          <w:szCs w:val="22"/>
        </w:rPr>
        <w:t xml:space="preserve"> a </w:t>
      </w:r>
      <w:r w:rsidR="004074F4">
        <w:rPr>
          <w:rFonts w:cs="Arial"/>
          <w:szCs w:val="22"/>
        </w:rPr>
        <w:t>„v</w:t>
      </w:r>
      <w:r w:rsidR="001C1D53" w:rsidRPr="00DB53C4">
        <w:rPr>
          <w:rFonts w:cs="Arial"/>
          <w:szCs w:val="22"/>
        </w:rPr>
        <w:t>ína z Moravy, vína z</w:t>
      </w:r>
      <w:r w:rsidR="004074F4">
        <w:rPr>
          <w:rFonts w:cs="Arial"/>
          <w:szCs w:val="22"/>
        </w:rPr>
        <w:t> </w:t>
      </w:r>
      <w:r w:rsidR="001C1D53" w:rsidRPr="00DB53C4">
        <w:rPr>
          <w:rFonts w:cs="Arial"/>
          <w:szCs w:val="22"/>
        </w:rPr>
        <w:t>Čech</w:t>
      </w:r>
      <w:r w:rsidR="004074F4">
        <w:rPr>
          <w:rFonts w:cs="Arial"/>
          <w:szCs w:val="22"/>
        </w:rPr>
        <w:t>“</w:t>
      </w:r>
      <w:r w:rsidR="001C1D53" w:rsidRPr="00DB53C4">
        <w:rPr>
          <w:rFonts w:cs="Arial"/>
          <w:szCs w:val="22"/>
        </w:rPr>
        <w:t xml:space="preserve"> </w:t>
      </w:r>
      <w:r w:rsidR="00CA01DC" w:rsidRPr="00DB53C4">
        <w:rPr>
          <w:rFonts w:cs="Arial"/>
          <w:szCs w:val="22"/>
        </w:rPr>
        <w:t>v letech 2008</w:t>
      </w:r>
      <w:r w:rsidR="00F51A98" w:rsidRPr="00DB53C4">
        <w:rPr>
          <w:rFonts w:cs="Arial"/>
          <w:szCs w:val="22"/>
        </w:rPr>
        <w:t>–</w:t>
      </w:r>
      <w:r w:rsidR="00CA01DC" w:rsidRPr="00DB53C4">
        <w:rPr>
          <w:rFonts w:cs="Arial"/>
          <w:szCs w:val="22"/>
        </w:rPr>
        <w:t>2013</w:t>
      </w:r>
      <w:r w:rsidR="00CB7423" w:rsidRPr="00DB53C4">
        <w:rPr>
          <w:rFonts w:cs="Arial"/>
          <w:szCs w:val="22"/>
        </w:rPr>
        <w:t xml:space="preserve"> </w:t>
      </w:r>
      <w:r w:rsidR="004074F4">
        <w:rPr>
          <w:rFonts w:cs="Arial"/>
          <w:szCs w:val="22"/>
        </w:rPr>
        <w:t xml:space="preserve">celkem </w:t>
      </w:r>
      <w:r w:rsidR="001C1D53" w:rsidRPr="00DB53C4">
        <w:rPr>
          <w:rFonts w:cs="Arial"/>
          <w:b/>
          <w:szCs w:val="22"/>
        </w:rPr>
        <w:t>1</w:t>
      </w:r>
      <w:r w:rsidR="00F51A98" w:rsidRPr="00DB53C4">
        <w:rPr>
          <w:rFonts w:cs="Arial"/>
          <w:b/>
          <w:szCs w:val="22"/>
        </w:rPr>
        <w:t> </w:t>
      </w:r>
      <w:r w:rsidR="00233CE1" w:rsidRPr="00DB53C4">
        <w:rPr>
          <w:rFonts w:cs="Arial"/>
          <w:b/>
          <w:szCs w:val="22"/>
        </w:rPr>
        <w:t>515,3</w:t>
      </w:r>
      <w:r w:rsidR="001C1D53" w:rsidRPr="00DB53C4">
        <w:rPr>
          <w:rFonts w:cs="Arial"/>
          <w:b/>
          <w:szCs w:val="22"/>
        </w:rPr>
        <w:t xml:space="preserve"> mil. Kč</w:t>
      </w:r>
      <w:r w:rsidR="005D0635">
        <w:rPr>
          <w:rFonts w:cs="Arial"/>
          <w:b/>
          <w:szCs w:val="22"/>
        </w:rPr>
        <w:t>.</w:t>
      </w:r>
    </w:p>
    <w:p w:rsidR="005D0635" w:rsidRPr="00DB53C4" w:rsidRDefault="005D0635" w:rsidP="002F1239">
      <w:pPr>
        <w:spacing w:after="0"/>
        <w:rPr>
          <w:rFonts w:cs="Arial"/>
          <w:szCs w:val="22"/>
        </w:rPr>
      </w:pPr>
    </w:p>
    <w:p w:rsidR="004A74B4" w:rsidRDefault="005B5B15" w:rsidP="002F1239">
      <w:pPr>
        <w:spacing w:after="0"/>
        <w:rPr>
          <w:bCs/>
          <w:color w:val="000000"/>
          <w:lang w:eastAsia="cs-CZ"/>
        </w:rPr>
      </w:pPr>
      <w:r w:rsidRPr="00DB53C4">
        <w:t xml:space="preserve">Ocenění značkou </w:t>
      </w:r>
      <w:r w:rsidR="003A44CB">
        <w:t>„</w:t>
      </w:r>
      <w:r w:rsidRPr="00DB53C4">
        <w:t>Klasa</w:t>
      </w:r>
      <w:r w:rsidR="003A44CB">
        <w:t>“</w:t>
      </w:r>
      <w:r w:rsidRPr="00DB53C4">
        <w:t xml:space="preserve"> je udělováno na tři roky. Na rozdíl od značky </w:t>
      </w:r>
      <w:r w:rsidR="003A44CB">
        <w:t>„</w:t>
      </w:r>
      <w:r w:rsidRPr="00DB53C4">
        <w:t>Regionální potravina</w:t>
      </w:r>
      <w:r w:rsidR="003A44CB">
        <w:t>“</w:t>
      </w:r>
      <w:r w:rsidRPr="00DB53C4">
        <w:t xml:space="preserve"> není u značky </w:t>
      </w:r>
      <w:r w:rsidR="003A44CB">
        <w:t>„</w:t>
      </w:r>
      <w:r w:rsidRPr="00DB53C4">
        <w:t>Klasa</w:t>
      </w:r>
      <w:r w:rsidR="003A44CB">
        <w:t>“</w:t>
      </w:r>
      <w:r w:rsidRPr="00DB53C4">
        <w:t xml:space="preserve"> omezen počet výrobků, kterým je značka při splnění požadovaných podmínek</w:t>
      </w:r>
      <w:r w:rsidR="003A44CB">
        <w:t xml:space="preserve"> </w:t>
      </w:r>
      <w:r w:rsidR="003A44CB" w:rsidRPr="00DB53C4">
        <w:t>udělena</w:t>
      </w:r>
      <w:r w:rsidRPr="00DB53C4">
        <w:t xml:space="preserve">. </w:t>
      </w:r>
      <w:r w:rsidR="00C07376" w:rsidRPr="00DB53C4">
        <w:t xml:space="preserve">Ocenění značkou </w:t>
      </w:r>
      <w:r w:rsidR="003A44CB">
        <w:t>„</w:t>
      </w:r>
      <w:r w:rsidR="00C07376" w:rsidRPr="00DB53C4">
        <w:t>Regionální potra</w:t>
      </w:r>
      <w:r w:rsidR="00FD0817" w:rsidRPr="00DB53C4">
        <w:t>vina</w:t>
      </w:r>
      <w:r w:rsidR="003A44CB">
        <w:t>“</w:t>
      </w:r>
      <w:r w:rsidR="00FD0817" w:rsidRPr="00DB53C4">
        <w:t xml:space="preserve"> je udělováno na čtyři roky. K</w:t>
      </w:r>
      <w:r w:rsidR="00C07376" w:rsidRPr="00DB53C4">
        <w:t xml:space="preserve">aždý </w:t>
      </w:r>
      <w:r w:rsidR="00C07376" w:rsidRPr="00DB53C4">
        <w:lastRenderedPageBreak/>
        <w:t xml:space="preserve">rok jsou oceněny </w:t>
      </w:r>
      <w:r w:rsidR="009A4283" w:rsidRPr="00DB53C4">
        <w:t xml:space="preserve">pouze ty </w:t>
      </w:r>
      <w:r w:rsidR="00C07376" w:rsidRPr="00DB53C4">
        <w:t xml:space="preserve">výrobky, </w:t>
      </w:r>
      <w:r w:rsidR="00FD0817" w:rsidRPr="00DB53C4">
        <w:t>které vyhrají soutěž realizovanou v jedn</w:t>
      </w:r>
      <w:r w:rsidR="0013466E" w:rsidRPr="00DB53C4">
        <w:t>otlivých krajích ČR (s </w:t>
      </w:r>
      <w:r w:rsidR="00FD0817" w:rsidRPr="00DB53C4">
        <w:t xml:space="preserve">výjimkou hl. m. Prahy). </w:t>
      </w:r>
      <w:r w:rsidR="004A74B4" w:rsidRPr="00DB53C4">
        <w:rPr>
          <w:bCs/>
          <w:color w:val="000000"/>
          <w:lang w:eastAsia="cs-CZ"/>
        </w:rPr>
        <w:t xml:space="preserve">Značka </w:t>
      </w:r>
      <w:r w:rsidR="003A44CB">
        <w:rPr>
          <w:bCs/>
          <w:color w:val="000000"/>
          <w:lang w:eastAsia="cs-CZ"/>
        </w:rPr>
        <w:t>„v</w:t>
      </w:r>
      <w:r w:rsidR="004A74B4" w:rsidRPr="00DB53C4">
        <w:rPr>
          <w:bCs/>
          <w:color w:val="000000"/>
          <w:lang w:eastAsia="cs-CZ"/>
        </w:rPr>
        <w:t>ína z Moravy, vína z</w:t>
      </w:r>
      <w:r w:rsidR="003A44CB">
        <w:rPr>
          <w:bCs/>
          <w:color w:val="000000"/>
          <w:lang w:eastAsia="cs-CZ"/>
        </w:rPr>
        <w:t> </w:t>
      </w:r>
      <w:r w:rsidR="004A74B4" w:rsidRPr="00DB53C4">
        <w:rPr>
          <w:bCs/>
          <w:color w:val="000000"/>
          <w:lang w:eastAsia="cs-CZ"/>
        </w:rPr>
        <w:t>Čech</w:t>
      </w:r>
      <w:r w:rsidR="003A44CB">
        <w:rPr>
          <w:bCs/>
          <w:color w:val="000000"/>
          <w:lang w:eastAsia="cs-CZ"/>
        </w:rPr>
        <w:t>“</w:t>
      </w:r>
      <w:r w:rsidR="004A74B4" w:rsidRPr="00DB53C4">
        <w:rPr>
          <w:bCs/>
          <w:color w:val="000000"/>
          <w:lang w:eastAsia="cs-CZ"/>
        </w:rPr>
        <w:t xml:space="preserve"> je poskytována vinařům, kteří splňují podmínky pro její udělení, </w:t>
      </w:r>
      <w:r w:rsidR="003A44CB">
        <w:rPr>
          <w:bCs/>
          <w:color w:val="000000"/>
          <w:lang w:eastAsia="cs-CZ"/>
        </w:rPr>
        <w:t>a používání této značky není</w:t>
      </w:r>
      <w:r w:rsidR="004A74B4" w:rsidRPr="00DB53C4">
        <w:rPr>
          <w:bCs/>
          <w:color w:val="000000"/>
          <w:lang w:eastAsia="cs-CZ"/>
        </w:rPr>
        <w:t xml:space="preserve"> časov</w:t>
      </w:r>
      <w:r w:rsidR="003A44CB">
        <w:rPr>
          <w:bCs/>
          <w:color w:val="000000"/>
          <w:lang w:eastAsia="cs-CZ"/>
        </w:rPr>
        <w:t>ě</w:t>
      </w:r>
      <w:r w:rsidR="004A74B4" w:rsidRPr="00DB53C4">
        <w:rPr>
          <w:bCs/>
          <w:color w:val="000000"/>
          <w:lang w:eastAsia="cs-CZ"/>
        </w:rPr>
        <w:t xml:space="preserve"> ome</w:t>
      </w:r>
      <w:r w:rsidR="002F12E2" w:rsidRPr="00DB53C4">
        <w:rPr>
          <w:bCs/>
          <w:color w:val="000000"/>
          <w:lang w:eastAsia="cs-CZ"/>
        </w:rPr>
        <w:t>zen</w:t>
      </w:r>
      <w:r w:rsidR="003A44CB">
        <w:rPr>
          <w:bCs/>
          <w:color w:val="000000"/>
          <w:lang w:eastAsia="cs-CZ"/>
        </w:rPr>
        <w:t>o</w:t>
      </w:r>
      <w:r w:rsidR="002F12E2" w:rsidRPr="00DB53C4">
        <w:rPr>
          <w:bCs/>
          <w:color w:val="000000"/>
          <w:lang w:eastAsia="cs-CZ"/>
        </w:rPr>
        <w:t xml:space="preserve">. V následující tabulce </w:t>
      </w:r>
      <w:r w:rsidR="003A44CB">
        <w:rPr>
          <w:bCs/>
          <w:color w:val="000000"/>
          <w:lang w:eastAsia="cs-CZ"/>
        </w:rPr>
        <w:t>(</w:t>
      </w:r>
      <w:r w:rsidR="002F12E2" w:rsidRPr="00DB53C4">
        <w:rPr>
          <w:bCs/>
          <w:color w:val="000000"/>
          <w:lang w:eastAsia="cs-CZ"/>
        </w:rPr>
        <w:t>č. 2</w:t>
      </w:r>
      <w:r w:rsidR="003A44CB">
        <w:rPr>
          <w:bCs/>
          <w:color w:val="000000"/>
          <w:lang w:eastAsia="cs-CZ"/>
        </w:rPr>
        <w:t>)</w:t>
      </w:r>
      <w:r w:rsidR="004A74B4" w:rsidRPr="00DB53C4">
        <w:rPr>
          <w:bCs/>
          <w:color w:val="000000"/>
          <w:lang w:eastAsia="cs-CZ"/>
        </w:rPr>
        <w:t xml:space="preserve"> jsou uvedeny</w:t>
      </w:r>
      <w:r w:rsidR="00B405BF" w:rsidRPr="00DB53C4">
        <w:rPr>
          <w:bCs/>
          <w:color w:val="000000"/>
          <w:lang w:eastAsia="cs-CZ"/>
        </w:rPr>
        <w:t xml:space="preserve"> počty </w:t>
      </w:r>
      <w:r w:rsidR="003A44CB" w:rsidRPr="00DB53C4">
        <w:rPr>
          <w:bCs/>
          <w:color w:val="000000"/>
          <w:lang w:eastAsia="cs-CZ"/>
        </w:rPr>
        <w:t xml:space="preserve">výrobků </w:t>
      </w:r>
      <w:r w:rsidR="00B405BF" w:rsidRPr="00DB53C4">
        <w:rPr>
          <w:bCs/>
          <w:color w:val="000000"/>
          <w:lang w:eastAsia="cs-CZ"/>
        </w:rPr>
        <w:t>oceněných značkami</w:t>
      </w:r>
      <w:r w:rsidR="004A74B4" w:rsidRPr="00DB53C4">
        <w:rPr>
          <w:bCs/>
          <w:color w:val="000000"/>
          <w:lang w:eastAsia="cs-CZ"/>
        </w:rPr>
        <w:t xml:space="preserve"> </w:t>
      </w:r>
      <w:r w:rsidR="003A44CB">
        <w:rPr>
          <w:bCs/>
          <w:color w:val="000000"/>
          <w:lang w:eastAsia="cs-CZ"/>
        </w:rPr>
        <w:t>„</w:t>
      </w:r>
      <w:r w:rsidR="004A74B4" w:rsidRPr="00DB53C4">
        <w:rPr>
          <w:bCs/>
          <w:color w:val="000000"/>
          <w:lang w:eastAsia="cs-CZ"/>
        </w:rPr>
        <w:t>Klasa</w:t>
      </w:r>
      <w:r w:rsidR="003A44CB">
        <w:rPr>
          <w:bCs/>
          <w:color w:val="000000"/>
          <w:lang w:eastAsia="cs-CZ"/>
        </w:rPr>
        <w:t>“</w:t>
      </w:r>
      <w:r w:rsidR="004A74B4" w:rsidRPr="00DB53C4">
        <w:rPr>
          <w:bCs/>
          <w:color w:val="000000"/>
          <w:lang w:eastAsia="cs-CZ"/>
        </w:rPr>
        <w:t xml:space="preserve"> a </w:t>
      </w:r>
      <w:r w:rsidR="003A44CB">
        <w:rPr>
          <w:bCs/>
          <w:color w:val="000000"/>
          <w:lang w:eastAsia="cs-CZ"/>
        </w:rPr>
        <w:t>„</w:t>
      </w:r>
      <w:r w:rsidR="004A74B4" w:rsidRPr="00DB53C4">
        <w:rPr>
          <w:bCs/>
          <w:color w:val="000000"/>
          <w:lang w:eastAsia="cs-CZ"/>
        </w:rPr>
        <w:t>Regionální potravina</w:t>
      </w:r>
      <w:r w:rsidR="003A44CB">
        <w:rPr>
          <w:bCs/>
          <w:color w:val="000000"/>
          <w:lang w:eastAsia="cs-CZ"/>
        </w:rPr>
        <w:t>“</w:t>
      </w:r>
      <w:r w:rsidR="004A74B4" w:rsidRPr="00DB53C4">
        <w:rPr>
          <w:bCs/>
          <w:color w:val="000000"/>
          <w:lang w:eastAsia="cs-CZ"/>
        </w:rPr>
        <w:t xml:space="preserve"> </w:t>
      </w:r>
      <w:r w:rsidR="00B405BF" w:rsidRPr="00DB53C4">
        <w:rPr>
          <w:bCs/>
          <w:color w:val="000000"/>
          <w:lang w:eastAsia="cs-CZ"/>
        </w:rPr>
        <w:t xml:space="preserve">v jednotlivých letech </w:t>
      </w:r>
      <w:r w:rsidR="004A74B4" w:rsidRPr="002035E1">
        <w:rPr>
          <w:bCs/>
          <w:color w:val="000000"/>
          <w:lang w:eastAsia="cs-CZ"/>
        </w:rPr>
        <w:t xml:space="preserve">a </w:t>
      </w:r>
      <w:r w:rsidR="00B405BF" w:rsidRPr="002035E1">
        <w:rPr>
          <w:bCs/>
          <w:color w:val="000000"/>
          <w:lang w:eastAsia="cs-CZ"/>
        </w:rPr>
        <w:t xml:space="preserve">počet </w:t>
      </w:r>
      <w:r w:rsidR="004A74B4" w:rsidRPr="002035E1">
        <w:rPr>
          <w:bCs/>
          <w:color w:val="000000"/>
          <w:lang w:eastAsia="cs-CZ"/>
        </w:rPr>
        <w:t xml:space="preserve">vinařů, kterým byla poskytnuta </w:t>
      </w:r>
      <w:r w:rsidR="00082249" w:rsidRPr="002035E1">
        <w:rPr>
          <w:bCs/>
          <w:color w:val="000000"/>
          <w:lang w:eastAsia="cs-CZ"/>
        </w:rPr>
        <w:t>licence k užívání značky</w:t>
      </w:r>
      <w:r w:rsidR="004A74B4" w:rsidRPr="002035E1">
        <w:rPr>
          <w:bCs/>
          <w:color w:val="000000"/>
          <w:lang w:eastAsia="cs-CZ"/>
        </w:rPr>
        <w:t xml:space="preserve"> </w:t>
      </w:r>
      <w:r w:rsidR="003A44CB">
        <w:rPr>
          <w:bCs/>
          <w:color w:val="000000"/>
          <w:lang w:eastAsia="cs-CZ"/>
        </w:rPr>
        <w:t>„v</w:t>
      </w:r>
      <w:r w:rsidR="004A74B4" w:rsidRPr="002035E1">
        <w:rPr>
          <w:bCs/>
          <w:color w:val="000000"/>
          <w:lang w:eastAsia="cs-CZ"/>
        </w:rPr>
        <w:t>ína z Moravy, vína z</w:t>
      </w:r>
      <w:r w:rsidR="003A44CB">
        <w:rPr>
          <w:bCs/>
          <w:color w:val="000000"/>
          <w:lang w:eastAsia="cs-CZ"/>
        </w:rPr>
        <w:t> </w:t>
      </w:r>
      <w:r w:rsidR="004A74B4" w:rsidRPr="002035E1">
        <w:rPr>
          <w:bCs/>
          <w:color w:val="000000"/>
          <w:lang w:eastAsia="cs-CZ"/>
        </w:rPr>
        <w:t>Čech</w:t>
      </w:r>
      <w:r w:rsidR="003A44CB">
        <w:rPr>
          <w:bCs/>
          <w:color w:val="000000"/>
          <w:lang w:eastAsia="cs-CZ"/>
        </w:rPr>
        <w:t>“</w:t>
      </w:r>
      <w:r w:rsidR="004A74B4" w:rsidRPr="002035E1">
        <w:rPr>
          <w:bCs/>
          <w:color w:val="000000"/>
          <w:lang w:eastAsia="cs-CZ"/>
        </w:rPr>
        <w:t>.</w:t>
      </w:r>
    </w:p>
    <w:p w:rsidR="005D0635" w:rsidRPr="002035E1" w:rsidRDefault="005D0635" w:rsidP="002F1239">
      <w:pPr>
        <w:spacing w:after="0"/>
        <w:rPr>
          <w:bCs/>
          <w:color w:val="000000"/>
          <w:lang w:eastAsia="cs-CZ"/>
        </w:rPr>
      </w:pPr>
    </w:p>
    <w:p w:rsidR="00B405BF" w:rsidRPr="002035E1" w:rsidRDefault="002F12E2" w:rsidP="00FC1FB4">
      <w:pPr>
        <w:pStyle w:val="Titulek"/>
        <w:spacing w:after="0"/>
        <w:ind w:left="1503" w:hanging="1503"/>
        <w:jc w:val="left"/>
        <w:rPr>
          <w:sz w:val="22"/>
          <w:szCs w:val="22"/>
        </w:rPr>
      </w:pPr>
      <w:r w:rsidRPr="002035E1">
        <w:rPr>
          <w:sz w:val="22"/>
          <w:szCs w:val="22"/>
        </w:rPr>
        <w:t>Tabulka č. 2</w:t>
      </w:r>
      <w:r w:rsidR="00B405BF" w:rsidRPr="002035E1">
        <w:rPr>
          <w:sz w:val="22"/>
          <w:szCs w:val="22"/>
        </w:rPr>
        <w:t xml:space="preserve"> – Počet výrobků oceněných značkami </w:t>
      </w:r>
      <w:r w:rsidR="003A44CB">
        <w:rPr>
          <w:sz w:val="22"/>
          <w:szCs w:val="22"/>
        </w:rPr>
        <w:t>„</w:t>
      </w:r>
      <w:r w:rsidR="00B405BF" w:rsidRPr="002035E1">
        <w:rPr>
          <w:sz w:val="22"/>
          <w:szCs w:val="22"/>
        </w:rPr>
        <w:t>Klasa</w:t>
      </w:r>
      <w:r w:rsidR="003A44CB">
        <w:rPr>
          <w:sz w:val="22"/>
          <w:szCs w:val="22"/>
        </w:rPr>
        <w:t>“</w:t>
      </w:r>
      <w:r w:rsidR="00B405BF" w:rsidRPr="002035E1">
        <w:rPr>
          <w:sz w:val="22"/>
          <w:szCs w:val="22"/>
        </w:rPr>
        <w:t xml:space="preserve"> a </w:t>
      </w:r>
      <w:r w:rsidR="003A44CB">
        <w:rPr>
          <w:sz w:val="22"/>
          <w:szCs w:val="22"/>
        </w:rPr>
        <w:t>„</w:t>
      </w:r>
      <w:r w:rsidR="00B405BF" w:rsidRPr="002035E1">
        <w:rPr>
          <w:sz w:val="22"/>
          <w:szCs w:val="22"/>
        </w:rPr>
        <w:t>Regionální potravina</w:t>
      </w:r>
      <w:r w:rsidR="003A44CB">
        <w:rPr>
          <w:sz w:val="22"/>
          <w:szCs w:val="22"/>
        </w:rPr>
        <w:t>“</w:t>
      </w:r>
      <w:r w:rsidR="00B405BF" w:rsidRPr="002035E1">
        <w:rPr>
          <w:sz w:val="22"/>
          <w:szCs w:val="22"/>
        </w:rPr>
        <w:t xml:space="preserve"> a</w:t>
      </w:r>
      <w:r w:rsidR="003A44CB">
        <w:rPr>
          <w:sz w:val="22"/>
          <w:szCs w:val="22"/>
        </w:rPr>
        <w:t> </w:t>
      </w:r>
      <w:r w:rsidR="00B405BF" w:rsidRPr="002035E1">
        <w:rPr>
          <w:sz w:val="22"/>
          <w:szCs w:val="22"/>
        </w:rPr>
        <w:t>počet vinařů, kterým byla udělena licence k užívá</w:t>
      </w:r>
      <w:r w:rsidR="00122216">
        <w:rPr>
          <w:sz w:val="22"/>
          <w:szCs w:val="22"/>
        </w:rPr>
        <w:t xml:space="preserve">ní značky </w:t>
      </w:r>
      <w:r w:rsidR="003A44CB">
        <w:rPr>
          <w:sz w:val="22"/>
          <w:szCs w:val="22"/>
        </w:rPr>
        <w:t>„v</w:t>
      </w:r>
      <w:r w:rsidR="00122216">
        <w:rPr>
          <w:sz w:val="22"/>
          <w:szCs w:val="22"/>
        </w:rPr>
        <w:t>ína z Moravy, vína z</w:t>
      </w:r>
      <w:r w:rsidR="003A44CB">
        <w:rPr>
          <w:sz w:val="22"/>
          <w:szCs w:val="22"/>
        </w:rPr>
        <w:t> </w:t>
      </w:r>
      <w:r w:rsidR="00B405BF" w:rsidRPr="002035E1">
        <w:rPr>
          <w:sz w:val="22"/>
          <w:szCs w:val="22"/>
        </w:rPr>
        <w:t>Čech</w:t>
      </w:r>
      <w:r w:rsidR="003A44CB">
        <w:rPr>
          <w:sz w:val="22"/>
          <w:szCs w:val="22"/>
        </w:rPr>
        <w:t>“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842"/>
        <w:gridCol w:w="709"/>
        <w:gridCol w:w="709"/>
        <w:gridCol w:w="709"/>
        <w:gridCol w:w="708"/>
        <w:gridCol w:w="851"/>
        <w:gridCol w:w="709"/>
      </w:tblGrid>
      <w:tr w:rsidR="008559E1" w:rsidRPr="002035E1" w:rsidTr="003110B3">
        <w:trPr>
          <w:trHeight w:val="129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BF" w:rsidRPr="002035E1" w:rsidRDefault="00B405BF" w:rsidP="008F79B1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BF" w:rsidRPr="002035E1" w:rsidRDefault="00B405BF" w:rsidP="008F79B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Značka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BF" w:rsidRPr="002035E1" w:rsidRDefault="00B405BF" w:rsidP="008F79B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BF" w:rsidRPr="002035E1" w:rsidRDefault="00B405BF" w:rsidP="008F79B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BF" w:rsidRPr="002035E1" w:rsidRDefault="00B405BF" w:rsidP="008F79B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BF" w:rsidRPr="002035E1" w:rsidRDefault="00B405BF" w:rsidP="008F79B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BF" w:rsidRPr="002035E1" w:rsidRDefault="00B405BF" w:rsidP="008F79B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BF" w:rsidRPr="002035E1" w:rsidRDefault="00B405BF" w:rsidP="008F79B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</w:tr>
      <w:tr w:rsidR="00BF1FAB" w:rsidRPr="002035E1" w:rsidTr="003110B3">
        <w:trPr>
          <w:trHeight w:val="4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AB" w:rsidRPr="002035E1" w:rsidRDefault="003110B3" w:rsidP="003110B3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Celkový p</w:t>
            </w:r>
            <w:r w:rsidR="00D65E90"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očet </w:t>
            </w: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oceněných </w:t>
            </w:r>
            <w:r w:rsidR="00D65E90"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výrobků</w:t>
            </w:r>
            <w:r w:rsidR="00BF1FAB"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8559E1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Klasa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  <w:r w:rsidR="003A44CB">
              <w:rPr>
                <w:rFonts w:cs="Arial"/>
                <w:color w:val="000000"/>
                <w:sz w:val="20"/>
                <w:szCs w:val="20"/>
                <w:lang w:eastAsia="cs-CZ"/>
              </w:rPr>
              <w:t> </w:t>
            </w: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  <w:r w:rsidR="003A44CB">
              <w:rPr>
                <w:rFonts w:cs="Arial"/>
                <w:color w:val="000000"/>
                <w:sz w:val="20"/>
                <w:szCs w:val="20"/>
                <w:lang w:eastAsia="cs-CZ"/>
              </w:rPr>
              <w:t> </w:t>
            </w: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  <w:r w:rsidR="003A44CB">
              <w:rPr>
                <w:rFonts w:cs="Arial"/>
                <w:color w:val="000000"/>
                <w:sz w:val="20"/>
                <w:szCs w:val="20"/>
                <w:lang w:eastAsia="cs-CZ"/>
              </w:rPr>
              <w:t> </w:t>
            </w: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  <w:r w:rsidR="003A44CB">
              <w:rPr>
                <w:rFonts w:cs="Arial"/>
                <w:color w:val="000000"/>
                <w:sz w:val="20"/>
                <w:szCs w:val="20"/>
                <w:lang w:eastAsia="cs-CZ"/>
              </w:rPr>
              <w:t> </w:t>
            </w: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  <w:r w:rsidR="003A44CB">
              <w:rPr>
                <w:rFonts w:cs="Arial"/>
                <w:color w:val="000000"/>
                <w:sz w:val="20"/>
                <w:szCs w:val="20"/>
                <w:lang w:eastAsia="cs-CZ"/>
              </w:rPr>
              <w:t> </w:t>
            </w: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3A44CB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2035E1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202</w:t>
            </w:r>
          </w:p>
        </w:tc>
      </w:tr>
      <w:tr w:rsidR="00BF1FAB" w:rsidRPr="002035E1" w:rsidTr="003110B3">
        <w:trPr>
          <w:trHeight w:val="2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3110B3" w:rsidP="00D65E9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Celkový počet oceněných výrobků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8559E1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Regionální potravina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D20631" w:rsidP="008559E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D20631" w:rsidP="008559E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AB" w:rsidRPr="002035E1" w:rsidRDefault="007322B5" w:rsidP="002F1239">
            <w:pPr>
              <w:spacing w:after="0"/>
              <w:ind w:right="57"/>
              <w:jc w:val="right"/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BF1FAB" w:rsidRPr="002035E1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73</w:t>
            </w:r>
          </w:p>
        </w:tc>
      </w:tr>
      <w:tr w:rsidR="007322B5" w:rsidRPr="002035E1" w:rsidTr="003110B3">
        <w:trPr>
          <w:trHeight w:val="1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3110B3" w:rsidP="000517D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Celkový p</w:t>
            </w:r>
            <w:r w:rsidR="00BF1FAB"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očet</w:t>
            </w: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udělených</w:t>
            </w:r>
            <w:r w:rsidR="00BF1FAB"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517DA"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licencí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3A44CB" w:rsidP="008559E1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v</w:t>
            </w:r>
            <w:r w:rsidR="00BF1FAB"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ína z Moravy, vína z Čech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AB" w:rsidRPr="002035E1" w:rsidRDefault="00BF1FAB" w:rsidP="002F1239">
            <w:pPr>
              <w:spacing w:after="0"/>
              <w:ind w:right="57"/>
              <w:jc w:val="right"/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</w:pPr>
            <w:r w:rsidRPr="002035E1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103</w:t>
            </w:r>
          </w:p>
        </w:tc>
      </w:tr>
    </w:tbl>
    <w:p w:rsidR="007322B5" w:rsidRDefault="007322B5" w:rsidP="002F1239">
      <w:pPr>
        <w:spacing w:after="0"/>
        <w:rPr>
          <w:rFonts w:cs="Arial"/>
          <w:sz w:val="18"/>
          <w:szCs w:val="18"/>
        </w:rPr>
      </w:pPr>
      <w:r w:rsidRPr="002F1239">
        <w:rPr>
          <w:b/>
          <w:sz w:val="18"/>
          <w:szCs w:val="18"/>
        </w:rPr>
        <w:t>Zdroj:</w:t>
      </w:r>
      <w:r w:rsidRPr="002035E1">
        <w:rPr>
          <w:rFonts w:cs="Arial"/>
          <w:sz w:val="18"/>
          <w:szCs w:val="18"/>
        </w:rPr>
        <w:t xml:space="preserve"> </w:t>
      </w:r>
      <w:r w:rsidR="003A44CB">
        <w:rPr>
          <w:rFonts w:cs="Arial"/>
          <w:sz w:val="18"/>
          <w:szCs w:val="18"/>
        </w:rPr>
        <w:t>i</w:t>
      </w:r>
      <w:r w:rsidRPr="002035E1">
        <w:rPr>
          <w:rFonts w:cs="Arial"/>
          <w:sz w:val="18"/>
          <w:szCs w:val="18"/>
        </w:rPr>
        <w:t xml:space="preserve">nformace a doklady </w:t>
      </w:r>
      <w:proofErr w:type="spellStart"/>
      <w:r w:rsidRPr="002035E1">
        <w:rPr>
          <w:rFonts w:cs="Arial"/>
          <w:sz w:val="18"/>
          <w:szCs w:val="18"/>
        </w:rPr>
        <w:t>MZe</w:t>
      </w:r>
      <w:proofErr w:type="spellEnd"/>
      <w:r w:rsidRPr="002035E1">
        <w:rPr>
          <w:rFonts w:cs="Arial"/>
          <w:sz w:val="18"/>
          <w:szCs w:val="18"/>
        </w:rPr>
        <w:t>, SZIF a VF</w:t>
      </w:r>
      <w:r w:rsidR="00122216">
        <w:rPr>
          <w:rFonts w:cs="Arial"/>
          <w:sz w:val="18"/>
          <w:szCs w:val="18"/>
        </w:rPr>
        <w:t>.</w:t>
      </w:r>
    </w:p>
    <w:p w:rsidR="005D0635" w:rsidRPr="002F1239" w:rsidRDefault="005D0635" w:rsidP="002F1239">
      <w:pPr>
        <w:spacing w:after="0"/>
        <w:rPr>
          <w:rFonts w:cs="Arial"/>
          <w:szCs w:val="22"/>
        </w:rPr>
      </w:pPr>
    </w:p>
    <w:p w:rsidR="00923D1E" w:rsidRPr="002035E1" w:rsidRDefault="00AF6ABF" w:rsidP="00FC1FB4">
      <w:pPr>
        <w:pStyle w:val="Nadpis2"/>
        <w:tabs>
          <w:tab w:val="left" w:pos="284"/>
        </w:tabs>
        <w:spacing w:before="0" w:after="0"/>
        <w:ind w:left="426" w:hanging="426"/>
      </w:pPr>
      <w:r w:rsidRPr="002035E1">
        <w:t>Řízení komunikačních kampaní</w:t>
      </w:r>
      <w:r w:rsidR="00B80C13" w:rsidRPr="002035E1">
        <w:t xml:space="preserve"> na podporu</w:t>
      </w:r>
      <w:r w:rsidR="004619DD">
        <w:t xml:space="preserve"> kontrolovaných</w:t>
      </w:r>
      <w:r w:rsidR="00B80C13" w:rsidRPr="002035E1">
        <w:t xml:space="preserve"> značek</w:t>
      </w:r>
    </w:p>
    <w:p w:rsidR="005D0635" w:rsidRDefault="005D0635" w:rsidP="002F1239">
      <w:pPr>
        <w:spacing w:after="0"/>
      </w:pPr>
    </w:p>
    <w:p w:rsidR="008D6298" w:rsidRDefault="009D4E4E" w:rsidP="002F1239">
      <w:pPr>
        <w:spacing w:after="0"/>
      </w:pPr>
      <w:r w:rsidRPr="00DB53C4">
        <w:t>Marketingová podpora</w:t>
      </w:r>
      <w:r w:rsidR="00700941" w:rsidRPr="00DB53C4">
        <w:t xml:space="preserve"> značek </w:t>
      </w:r>
      <w:r w:rsidR="00966E0B">
        <w:t>„</w:t>
      </w:r>
      <w:r w:rsidR="00700941" w:rsidRPr="00DB53C4">
        <w:t>Klasa</w:t>
      </w:r>
      <w:r w:rsidR="00966E0B">
        <w:t>“</w:t>
      </w:r>
      <w:r w:rsidR="00700941" w:rsidRPr="00DB53C4">
        <w:t xml:space="preserve">, </w:t>
      </w:r>
      <w:r w:rsidR="00966E0B">
        <w:t>„</w:t>
      </w:r>
      <w:r w:rsidR="00700941" w:rsidRPr="00DB53C4">
        <w:t>Regionální potravina</w:t>
      </w:r>
      <w:r w:rsidR="00966E0B">
        <w:t>“</w:t>
      </w:r>
      <w:r w:rsidR="00700941" w:rsidRPr="00DB53C4">
        <w:t xml:space="preserve"> a </w:t>
      </w:r>
      <w:r w:rsidR="00966E0B">
        <w:t>„v</w:t>
      </w:r>
      <w:r w:rsidR="00700941" w:rsidRPr="00DB53C4">
        <w:t>ína z Moravy, vína z</w:t>
      </w:r>
      <w:r w:rsidR="00966E0B">
        <w:t> </w:t>
      </w:r>
      <w:r w:rsidR="00700941" w:rsidRPr="00DB53C4">
        <w:t>Čech</w:t>
      </w:r>
      <w:r w:rsidR="00966E0B">
        <w:t>“</w:t>
      </w:r>
      <w:r w:rsidR="00700941" w:rsidRPr="00DB53C4">
        <w:t xml:space="preserve"> </w:t>
      </w:r>
      <w:r w:rsidR="00D65E90" w:rsidRPr="00DB53C4">
        <w:t xml:space="preserve">probíhala formou komunikačních kampaní, které pro </w:t>
      </w:r>
      <w:proofErr w:type="spellStart"/>
      <w:proofErr w:type="gramStart"/>
      <w:r w:rsidR="00D65E90" w:rsidRPr="00DB53C4">
        <w:t>MZe</w:t>
      </w:r>
      <w:proofErr w:type="spellEnd"/>
      <w:proofErr w:type="gramEnd"/>
      <w:r w:rsidR="00D65E90" w:rsidRPr="00DB53C4">
        <w:t>, SZIF a VF zajišťovaly agentury</w:t>
      </w:r>
      <w:r w:rsidR="00407809" w:rsidRPr="00DB53C4">
        <w:rPr>
          <w:rStyle w:val="Znakapoznpodarou"/>
        </w:rPr>
        <w:footnoteReference w:id="8"/>
      </w:r>
      <w:r w:rsidR="00D65E90" w:rsidRPr="00DB53C4">
        <w:t xml:space="preserve">. Tyto agentury byly ve většině případů </w:t>
      </w:r>
      <w:r w:rsidR="00AA7FCA" w:rsidRPr="00DB53C4">
        <w:t>vybírány na základě zadaných veřejných zakázek</w:t>
      </w:r>
      <w:r w:rsidR="0082740A" w:rsidRPr="00DB53C4">
        <w:t xml:space="preserve"> (dále také „VZ“)</w:t>
      </w:r>
      <w:r w:rsidR="00E52FA6" w:rsidRPr="00DB53C4">
        <w:t xml:space="preserve">. </w:t>
      </w:r>
      <w:r w:rsidR="008D6298" w:rsidRPr="00DB53C4">
        <w:t>Přehled komunikačních kampaní realizovaných v rámci kontrolovaného období je uveden pro jednotlivé značky v tabulkách v </w:t>
      </w:r>
      <w:r w:rsidR="00966E0B">
        <w:t>p</w:t>
      </w:r>
      <w:r w:rsidR="008D6298" w:rsidRPr="00DB53C4">
        <w:t>říloze č. 1 tohoto kontrolního závěru a komunikační kampaně, které byly předmětem kontroly NKÚ, jsou v těchto tabulkách zvýrazněny tučně.</w:t>
      </w:r>
    </w:p>
    <w:p w:rsidR="005D0635" w:rsidRPr="00DB53C4" w:rsidRDefault="005D0635" w:rsidP="002F1239">
      <w:pPr>
        <w:spacing w:after="0"/>
      </w:pPr>
    </w:p>
    <w:p w:rsidR="000A6555" w:rsidRPr="00DB53C4" w:rsidRDefault="00665CEC" w:rsidP="002F1239">
      <w:pPr>
        <w:pStyle w:val="Nadpis3"/>
        <w:spacing w:before="0" w:after="0"/>
        <w:ind w:left="567" w:hanging="567"/>
      </w:pPr>
      <w:r w:rsidRPr="00DB53C4">
        <w:t>Strategické řízení</w:t>
      </w:r>
      <w:r w:rsidR="005F113F" w:rsidRPr="00DB53C4">
        <w:t xml:space="preserve"> značek</w:t>
      </w:r>
      <w:r w:rsidRPr="00DB53C4">
        <w:t>, nastavení rolí a kompetencí</w:t>
      </w:r>
    </w:p>
    <w:p w:rsidR="005D0635" w:rsidRDefault="005D0635" w:rsidP="002F1239">
      <w:pPr>
        <w:spacing w:after="0"/>
        <w:rPr>
          <w:u w:val="single"/>
        </w:rPr>
      </w:pPr>
    </w:p>
    <w:p w:rsidR="00895F67" w:rsidRPr="002F1239" w:rsidRDefault="00895F67" w:rsidP="00441A53">
      <w:pPr>
        <w:rPr>
          <w:b/>
          <w:i/>
        </w:rPr>
      </w:pPr>
      <w:r w:rsidRPr="002F1239">
        <w:rPr>
          <w:b/>
          <w:i/>
        </w:rPr>
        <w:t xml:space="preserve">Značka </w:t>
      </w:r>
      <w:r w:rsidR="00966E0B" w:rsidRPr="002F1239">
        <w:rPr>
          <w:b/>
          <w:i/>
        </w:rPr>
        <w:t>„</w:t>
      </w:r>
      <w:r w:rsidRPr="002F1239">
        <w:rPr>
          <w:b/>
          <w:i/>
        </w:rPr>
        <w:t>Klasa</w:t>
      </w:r>
      <w:r w:rsidR="00966E0B" w:rsidRPr="002F1239">
        <w:rPr>
          <w:b/>
          <w:i/>
        </w:rPr>
        <w:t>“</w:t>
      </w:r>
    </w:p>
    <w:p w:rsidR="00B404F1" w:rsidRPr="00DB53C4" w:rsidRDefault="00160C88" w:rsidP="002F1239">
      <w:pPr>
        <w:spacing w:after="0"/>
        <w:rPr>
          <w:bCs/>
          <w:noProof/>
        </w:rPr>
      </w:pPr>
      <w:r w:rsidRPr="00DB53C4">
        <w:rPr>
          <w:bCs/>
          <w:noProof/>
        </w:rPr>
        <w:t>O</w:t>
      </w:r>
      <w:r w:rsidR="00B043E4" w:rsidRPr="00DB53C4">
        <w:rPr>
          <w:bCs/>
          <w:noProof/>
        </w:rPr>
        <w:t xml:space="preserve">d roku 2003 do roku 2007 </w:t>
      </w:r>
      <w:r w:rsidR="008F79B1" w:rsidRPr="00DB53C4">
        <w:rPr>
          <w:bCs/>
          <w:noProof/>
        </w:rPr>
        <w:t>udělovalo</w:t>
      </w:r>
      <w:r w:rsidR="00E96845" w:rsidRPr="00DB53C4">
        <w:rPr>
          <w:bCs/>
          <w:noProof/>
        </w:rPr>
        <w:t xml:space="preserve"> </w:t>
      </w:r>
      <w:r w:rsidR="008F79B1" w:rsidRPr="00DB53C4">
        <w:rPr>
          <w:bCs/>
          <w:noProof/>
        </w:rPr>
        <w:t xml:space="preserve">MZe </w:t>
      </w:r>
      <w:r w:rsidR="00E96845" w:rsidRPr="00DB53C4">
        <w:rPr>
          <w:bCs/>
          <w:noProof/>
        </w:rPr>
        <w:t xml:space="preserve">značku </w:t>
      </w:r>
      <w:r w:rsidR="00966E0B">
        <w:rPr>
          <w:bCs/>
          <w:noProof/>
        </w:rPr>
        <w:t>„</w:t>
      </w:r>
      <w:r w:rsidR="00E96845" w:rsidRPr="00DB53C4">
        <w:rPr>
          <w:bCs/>
          <w:noProof/>
        </w:rPr>
        <w:t>Klasa</w:t>
      </w:r>
      <w:r w:rsidR="00966E0B">
        <w:rPr>
          <w:bCs/>
          <w:noProof/>
        </w:rPr>
        <w:t>“</w:t>
      </w:r>
      <w:r w:rsidR="00E96845" w:rsidRPr="00DB53C4">
        <w:rPr>
          <w:bCs/>
          <w:noProof/>
        </w:rPr>
        <w:t xml:space="preserve"> </w:t>
      </w:r>
      <w:r w:rsidR="005B5B15" w:rsidRPr="00DB53C4">
        <w:rPr>
          <w:bCs/>
          <w:noProof/>
        </w:rPr>
        <w:t>výrobkům, které pocházely</w:t>
      </w:r>
      <w:r w:rsidR="008F79B1" w:rsidRPr="00DB53C4">
        <w:rPr>
          <w:bCs/>
          <w:noProof/>
        </w:rPr>
        <w:t xml:space="preserve"> </w:t>
      </w:r>
      <w:r w:rsidR="005B5B15" w:rsidRPr="00DB53C4">
        <w:t>zcela nebo z</w:t>
      </w:r>
      <w:r w:rsidR="00FF51E0" w:rsidRPr="00DB53C4">
        <w:t xml:space="preserve"> převážné </w:t>
      </w:r>
      <w:r w:rsidR="005B5B15" w:rsidRPr="00DB53C4">
        <w:t>části z domácích surovin a vyrobeny byly z</w:t>
      </w:r>
      <w:r w:rsidR="00966E0B">
        <w:t>e</w:t>
      </w:r>
      <w:r w:rsidR="005B5B15" w:rsidRPr="00DB53C4">
        <w:t xml:space="preserve"> 100 % tuzemsk</w:t>
      </w:r>
      <w:r w:rsidR="00966E0B">
        <w:t>ou</w:t>
      </w:r>
      <w:r w:rsidR="005B5B15" w:rsidRPr="00DB53C4">
        <w:t xml:space="preserve"> pr</w:t>
      </w:r>
      <w:r w:rsidR="00966E0B">
        <w:t>a</w:t>
      </w:r>
      <w:r w:rsidR="005B5B15" w:rsidRPr="00DB53C4">
        <w:t>c</w:t>
      </w:r>
      <w:r w:rsidR="00966E0B">
        <w:t>í</w:t>
      </w:r>
      <w:r w:rsidR="008C2718" w:rsidRPr="00DB53C4">
        <w:rPr>
          <w:bCs/>
          <w:noProof/>
        </w:rPr>
        <w:t>.</w:t>
      </w:r>
      <w:r w:rsidR="00E96845" w:rsidRPr="00DB53C4">
        <w:rPr>
          <w:bCs/>
          <w:noProof/>
        </w:rPr>
        <w:t xml:space="preserve"> </w:t>
      </w:r>
      <w:r w:rsidR="008C2718" w:rsidRPr="00DB53C4">
        <w:rPr>
          <w:bCs/>
          <w:noProof/>
        </w:rPr>
        <w:t>O</w:t>
      </w:r>
      <w:r w:rsidRPr="00DB53C4">
        <w:rPr>
          <w:bCs/>
          <w:noProof/>
        </w:rPr>
        <w:t xml:space="preserve">d </w:t>
      </w:r>
      <w:r w:rsidR="00B043E4" w:rsidRPr="00DB53C4">
        <w:rPr>
          <w:bCs/>
          <w:noProof/>
        </w:rPr>
        <w:t xml:space="preserve">roku 2007 </w:t>
      </w:r>
      <w:r w:rsidR="008F79B1" w:rsidRPr="00DB53C4">
        <w:rPr>
          <w:bCs/>
          <w:noProof/>
        </w:rPr>
        <w:t>MZe a SZIF změnily podmínky pro udělování značky</w:t>
      </w:r>
      <w:r w:rsidR="00FF51E0" w:rsidRPr="00DB53C4">
        <w:rPr>
          <w:bCs/>
          <w:noProof/>
        </w:rPr>
        <w:t xml:space="preserve"> </w:t>
      </w:r>
      <w:r w:rsidR="00966E0B">
        <w:rPr>
          <w:bCs/>
          <w:noProof/>
        </w:rPr>
        <w:t>„</w:t>
      </w:r>
      <w:r w:rsidR="00FF51E0" w:rsidRPr="00DB53C4">
        <w:rPr>
          <w:bCs/>
          <w:noProof/>
        </w:rPr>
        <w:t>Klasa</w:t>
      </w:r>
      <w:r w:rsidR="00966E0B">
        <w:rPr>
          <w:bCs/>
          <w:noProof/>
        </w:rPr>
        <w:t>“</w:t>
      </w:r>
      <w:r w:rsidR="00FF51E0" w:rsidRPr="00DB53C4">
        <w:rPr>
          <w:bCs/>
          <w:noProof/>
        </w:rPr>
        <w:t xml:space="preserve"> tak, aby </w:t>
      </w:r>
      <w:r w:rsidR="008F79B1" w:rsidRPr="00DB53C4">
        <w:rPr>
          <w:bCs/>
          <w:noProof/>
        </w:rPr>
        <w:t xml:space="preserve">propagace tuzemských výrobků </w:t>
      </w:r>
      <w:r w:rsidR="00FF51E0" w:rsidRPr="00DB53C4">
        <w:rPr>
          <w:bCs/>
          <w:noProof/>
        </w:rPr>
        <w:t xml:space="preserve">oceněných touto značkou byla </w:t>
      </w:r>
      <w:r w:rsidR="003A7B2B" w:rsidRPr="00DB53C4">
        <w:rPr>
          <w:bCs/>
          <w:noProof/>
        </w:rPr>
        <w:t>v</w:t>
      </w:r>
      <w:r w:rsidR="008F79B1" w:rsidRPr="00DB53C4">
        <w:rPr>
          <w:bCs/>
          <w:noProof/>
        </w:rPr>
        <w:t> souladu s komunitárním právem</w:t>
      </w:r>
      <w:r w:rsidR="00E52FA6" w:rsidRPr="00DB53C4">
        <w:rPr>
          <w:bCs/>
          <w:noProof/>
        </w:rPr>
        <w:t xml:space="preserve">, protože ČR skončila výjimka Evropské unie pro udělování značky </w:t>
      </w:r>
      <w:r w:rsidR="00966E0B">
        <w:rPr>
          <w:bCs/>
          <w:noProof/>
        </w:rPr>
        <w:t>„</w:t>
      </w:r>
      <w:r w:rsidR="00E52FA6" w:rsidRPr="00DB53C4">
        <w:rPr>
          <w:bCs/>
          <w:noProof/>
        </w:rPr>
        <w:t>Klasa</w:t>
      </w:r>
      <w:r w:rsidR="00966E0B">
        <w:rPr>
          <w:bCs/>
          <w:noProof/>
        </w:rPr>
        <w:t>“</w:t>
      </w:r>
      <w:r w:rsidR="00E52FA6" w:rsidRPr="00DB53C4">
        <w:rPr>
          <w:bCs/>
          <w:noProof/>
        </w:rPr>
        <w:t xml:space="preserve"> tuzemským výrobkům</w:t>
      </w:r>
      <w:r w:rsidR="008F79B1" w:rsidRPr="00DB53C4">
        <w:rPr>
          <w:bCs/>
          <w:noProof/>
        </w:rPr>
        <w:t xml:space="preserve">. Značku </w:t>
      </w:r>
      <w:r w:rsidR="00966E0B">
        <w:rPr>
          <w:bCs/>
          <w:noProof/>
        </w:rPr>
        <w:t>„</w:t>
      </w:r>
      <w:r w:rsidR="008F79B1" w:rsidRPr="00DB53C4">
        <w:rPr>
          <w:bCs/>
          <w:noProof/>
        </w:rPr>
        <w:t>Klasa</w:t>
      </w:r>
      <w:r w:rsidR="00966E0B">
        <w:rPr>
          <w:bCs/>
          <w:noProof/>
        </w:rPr>
        <w:t>“</w:t>
      </w:r>
      <w:r w:rsidR="008F79B1" w:rsidRPr="00DB53C4">
        <w:rPr>
          <w:bCs/>
          <w:noProof/>
        </w:rPr>
        <w:t xml:space="preserve"> začalo MZe udělovat výrobkům sp</w:t>
      </w:r>
      <w:r w:rsidR="003A7B2B" w:rsidRPr="00DB53C4">
        <w:rPr>
          <w:bCs/>
          <w:noProof/>
        </w:rPr>
        <w:t xml:space="preserve">lňujícím </w:t>
      </w:r>
      <w:r w:rsidR="00AA7FCA" w:rsidRPr="00DB53C4">
        <w:rPr>
          <w:bCs/>
          <w:noProof/>
        </w:rPr>
        <w:t xml:space="preserve">pouze </w:t>
      </w:r>
      <w:r w:rsidR="003A7B2B" w:rsidRPr="00DB53C4">
        <w:rPr>
          <w:bCs/>
          <w:noProof/>
        </w:rPr>
        <w:t xml:space="preserve">kvalitativní požadavky a </w:t>
      </w:r>
      <w:r w:rsidR="00E15384" w:rsidRPr="00DB53C4">
        <w:rPr>
          <w:bCs/>
          <w:noProof/>
        </w:rPr>
        <w:t xml:space="preserve">její </w:t>
      </w:r>
      <w:r w:rsidR="003A7B2B" w:rsidRPr="00DB53C4">
        <w:rPr>
          <w:bCs/>
          <w:noProof/>
        </w:rPr>
        <w:t xml:space="preserve">udělení přestalo být vázáno na </w:t>
      </w:r>
      <w:r w:rsidR="005B5B15" w:rsidRPr="00DB53C4">
        <w:rPr>
          <w:bCs/>
          <w:noProof/>
        </w:rPr>
        <w:t>tuzemský</w:t>
      </w:r>
      <w:r w:rsidR="00AA7FCA" w:rsidRPr="00DB53C4">
        <w:rPr>
          <w:bCs/>
          <w:noProof/>
        </w:rPr>
        <w:t xml:space="preserve"> původ</w:t>
      </w:r>
      <w:r w:rsidR="003A7B2B" w:rsidRPr="00DB53C4">
        <w:rPr>
          <w:bCs/>
          <w:noProof/>
        </w:rPr>
        <w:t xml:space="preserve">. </w:t>
      </w:r>
      <w:r w:rsidR="00AA7FCA" w:rsidRPr="00DB53C4">
        <w:rPr>
          <w:bCs/>
          <w:noProof/>
        </w:rPr>
        <w:t>Současné podmínky pro udělení značky neodpovídají původní</w:t>
      </w:r>
      <w:r w:rsidR="00907852" w:rsidRPr="00DB53C4">
        <w:rPr>
          <w:bCs/>
          <w:noProof/>
        </w:rPr>
        <w:t>mu</w:t>
      </w:r>
      <w:r w:rsidR="00AA7FCA" w:rsidRPr="00DB53C4">
        <w:rPr>
          <w:bCs/>
          <w:noProof/>
        </w:rPr>
        <w:t xml:space="preserve"> </w:t>
      </w:r>
      <w:r w:rsidR="00907852" w:rsidRPr="00DB53C4">
        <w:rPr>
          <w:bCs/>
          <w:noProof/>
        </w:rPr>
        <w:t>záměru</w:t>
      </w:r>
      <w:r w:rsidR="00AA7FCA" w:rsidRPr="00DB53C4">
        <w:rPr>
          <w:bCs/>
          <w:noProof/>
        </w:rPr>
        <w:t xml:space="preserve"> podpory tuzemských výrobků. </w:t>
      </w:r>
      <w:r w:rsidR="003A7B2B" w:rsidRPr="00DB53C4">
        <w:rPr>
          <w:bCs/>
          <w:noProof/>
        </w:rPr>
        <w:t xml:space="preserve">SZIF </w:t>
      </w:r>
      <w:r w:rsidR="00AA7FCA" w:rsidRPr="00DB53C4">
        <w:rPr>
          <w:bCs/>
          <w:noProof/>
        </w:rPr>
        <w:t xml:space="preserve">však </w:t>
      </w:r>
      <w:r w:rsidR="00E15384" w:rsidRPr="00DB53C4">
        <w:rPr>
          <w:bCs/>
          <w:noProof/>
        </w:rPr>
        <w:t>i</w:t>
      </w:r>
      <w:r w:rsidR="00966E0B">
        <w:rPr>
          <w:bCs/>
          <w:noProof/>
        </w:rPr>
        <w:t> </w:t>
      </w:r>
      <w:r w:rsidR="00E15384" w:rsidRPr="00DB53C4">
        <w:rPr>
          <w:bCs/>
          <w:noProof/>
        </w:rPr>
        <w:t>na</w:t>
      </w:r>
      <w:r w:rsidR="003A7B2B" w:rsidRPr="00DB53C4">
        <w:rPr>
          <w:bCs/>
          <w:noProof/>
        </w:rPr>
        <w:t xml:space="preserve">dále uváděl spojení značky </w:t>
      </w:r>
      <w:r w:rsidR="00966E0B">
        <w:rPr>
          <w:bCs/>
          <w:noProof/>
        </w:rPr>
        <w:t>„</w:t>
      </w:r>
      <w:r w:rsidR="003A7B2B" w:rsidRPr="00DB53C4">
        <w:rPr>
          <w:bCs/>
          <w:noProof/>
        </w:rPr>
        <w:t>Klasa</w:t>
      </w:r>
      <w:r w:rsidR="00966E0B">
        <w:rPr>
          <w:bCs/>
          <w:noProof/>
        </w:rPr>
        <w:t>“</w:t>
      </w:r>
      <w:r w:rsidR="003A7B2B" w:rsidRPr="00DB53C4">
        <w:rPr>
          <w:bCs/>
          <w:noProof/>
        </w:rPr>
        <w:t xml:space="preserve"> s českým </w:t>
      </w:r>
      <w:r w:rsidR="00F056B2" w:rsidRPr="00DB53C4">
        <w:rPr>
          <w:bCs/>
          <w:noProof/>
        </w:rPr>
        <w:t>původem výrobků, n</w:t>
      </w:r>
      <w:r w:rsidR="003A7B2B" w:rsidRPr="00DB53C4">
        <w:rPr>
          <w:bCs/>
          <w:noProof/>
        </w:rPr>
        <w:t>apř.:</w:t>
      </w:r>
    </w:p>
    <w:p w:rsidR="00B404F1" w:rsidRPr="00DB53C4" w:rsidRDefault="00B404F1" w:rsidP="00B404F1">
      <w:pPr>
        <w:pStyle w:val="Odstavecseseznamem"/>
        <w:numPr>
          <w:ilvl w:val="0"/>
          <w:numId w:val="22"/>
        </w:numPr>
      </w:pPr>
      <w:r w:rsidRPr="00DB53C4">
        <w:t xml:space="preserve">Ve vizi značky </w:t>
      </w:r>
      <w:r w:rsidR="00966E0B">
        <w:t>„</w:t>
      </w:r>
      <w:r w:rsidRPr="00DB53C4">
        <w:t>Klasa</w:t>
      </w:r>
      <w:r w:rsidR="00966E0B">
        <w:t>“</w:t>
      </w:r>
      <w:r w:rsidRPr="00DB53C4">
        <w:t xml:space="preserve"> na období 2012</w:t>
      </w:r>
      <w:r w:rsidR="00C77731">
        <w:t>–</w:t>
      </w:r>
      <w:r w:rsidRPr="00DB53C4">
        <w:t xml:space="preserve">2013 je uveden emocionální posun komunikace značky blíže ke spotřebiteli tak, </w:t>
      </w:r>
      <w:r w:rsidRPr="002F1239">
        <w:t>„</w:t>
      </w:r>
      <w:r w:rsidRPr="00DB53C4">
        <w:rPr>
          <w:i/>
        </w:rPr>
        <w:t xml:space="preserve">aby si spotřebitel bral nabízenou kvalitu Klasa za svou a upřednostňoval jen ty </w:t>
      </w:r>
      <w:r w:rsidRPr="00DB53C4">
        <w:rPr>
          <w:b/>
          <w:i/>
        </w:rPr>
        <w:t>naše kvalitní = české kvalitní potraviny</w:t>
      </w:r>
      <w:r w:rsidRPr="002F1239">
        <w:t>“</w:t>
      </w:r>
      <w:r w:rsidR="00966E0B">
        <w:t>.</w:t>
      </w:r>
    </w:p>
    <w:p w:rsidR="008F7F90" w:rsidRPr="00DB53C4" w:rsidRDefault="008F7F90" w:rsidP="003A7B2B">
      <w:pPr>
        <w:pStyle w:val="Odstavecseseznamem"/>
        <w:numPr>
          <w:ilvl w:val="0"/>
          <w:numId w:val="22"/>
        </w:numPr>
      </w:pPr>
      <w:r w:rsidRPr="00DB53C4">
        <w:rPr>
          <w:bCs/>
        </w:rPr>
        <w:t>Ve strategickém</w:t>
      </w:r>
      <w:r w:rsidR="003A7B2B" w:rsidRPr="00DB53C4">
        <w:rPr>
          <w:bCs/>
        </w:rPr>
        <w:t xml:space="preserve"> dokumentu </w:t>
      </w:r>
      <w:r w:rsidR="00AA7FCA" w:rsidRPr="00DB53C4">
        <w:rPr>
          <w:bCs/>
        </w:rPr>
        <w:t xml:space="preserve">schváleném </w:t>
      </w:r>
      <w:r w:rsidR="00AA7FCA" w:rsidRPr="00DB53C4">
        <w:t xml:space="preserve">dne </w:t>
      </w:r>
      <w:r w:rsidR="00AA7FCA" w:rsidRPr="00DB53C4">
        <w:rPr>
          <w:rFonts w:cs="Arial"/>
          <w:szCs w:val="22"/>
        </w:rPr>
        <w:t>11. 7. 2011</w:t>
      </w:r>
      <w:r w:rsidR="00AA7FCA" w:rsidRPr="00DB53C4">
        <w:t xml:space="preserve"> </w:t>
      </w:r>
      <w:r w:rsidR="003A7B2B" w:rsidRPr="00DB53C4">
        <w:rPr>
          <w:i/>
        </w:rPr>
        <w:t>Strategie podpory kvalitních, čerstvých a tradi</w:t>
      </w:r>
      <w:r w:rsidRPr="00DB53C4">
        <w:rPr>
          <w:i/>
        </w:rPr>
        <w:t>čních potravin pro období 2012</w:t>
      </w:r>
      <w:r w:rsidR="00C725D0">
        <w:rPr>
          <w:i/>
        </w:rPr>
        <w:t>–</w:t>
      </w:r>
      <w:r w:rsidR="003A7B2B" w:rsidRPr="00DB53C4">
        <w:rPr>
          <w:i/>
        </w:rPr>
        <w:t>2013</w:t>
      </w:r>
      <w:r w:rsidR="003A7B2B" w:rsidRPr="00DB53C4">
        <w:t xml:space="preserve"> </w:t>
      </w:r>
      <w:proofErr w:type="spellStart"/>
      <w:r w:rsidR="00AA7FCA" w:rsidRPr="00DB53C4">
        <w:rPr>
          <w:bCs/>
        </w:rPr>
        <w:t>MZe</w:t>
      </w:r>
      <w:proofErr w:type="spellEnd"/>
      <w:r w:rsidR="00AA7FCA" w:rsidRPr="00DB53C4">
        <w:rPr>
          <w:bCs/>
        </w:rPr>
        <w:t xml:space="preserve"> a SZIF </w:t>
      </w:r>
      <w:r w:rsidR="00AA7FCA" w:rsidRPr="00DB53C4">
        <w:t>uvádí</w:t>
      </w:r>
      <w:r w:rsidR="003A7B2B" w:rsidRPr="00DB53C4">
        <w:t>: „</w:t>
      </w:r>
      <w:r w:rsidR="003A7B2B" w:rsidRPr="00DB53C4">
        <w:rPr>
          <w:i/>
        </w:rPr>
        <w:t xml:space="preserve">Značka kvality </w:t>
      </w:r>
      <w:r w:rsidR="003A7B2B" w:rsidRPr="00DB53C4">
        <w:rPr>
          <w:i/>
        </w:rPr>
        <w:lastRenderedPageBreak/>
        <w:t xml:space="preserve">Klasa má sloužit spotřebitelům a odběratelům k lepší orientaci při </w:t>
      </w:r>
      <w:r w:rsidR="003A7B2B" w:rsidRPr="00DB53C4">
        <w:rPr>
          <w:b/>
          <w:i/>
        </w:rPr>
        <w:t xml:space="preserve">identifikaci typických domácích </w:t>
      </w:r>
      <w:proofErr w:type="gramStart"/>
      <w:r w:rsidR="003A7B2B" w:rsidRPr="00DB53C4">
        <w:rPr>
          <w:b/>
          <w:i/>
        </w:rPr>
        <w:t>produktů</w:t>
      </w:r>
      <w:r w:rsidR="00634B4E" w:rsidRPr="00DB53C4">
        <w:rPr>
          <w:i/>
        </w:rPr>
        <w:t xml:space="preserve"> </w:t>
      </w:r>
      <w:r w:rsidR="00634B4E" w:rsidRPr="00DB53C4">
        <w:t>(...)</w:t>
      </w:r>
      <w:r w:rsidRPr="00DB53C4">
        <w:t>“</w:t>
      </w:r>
      <w:r w:rsidR="00B24518">
        <w:t>.</w:t>
      </w:r>
      <w:proofErr w:type="gramEnd"/>
    </w:p>
    <w:p w:rsidR="00F056B2" w:rsidRPr="00DB53C4" w:rsidRDefault="003A7B2B" w:rsidP="002F1239">
      <w:pPr>
        <w:pStyle w:val="Odstavecseseznamem"/>
        <w:numPr>
          <w:ilvl w:val="0"/>
          <w:numId w:val="22"/>
        </w:numPr>
        <w:spacing w:after="0"/>
      </w:pPr>
      <w:r w:rsidRPr="00DB53C4">
        <w:t xml:space="preserve">V rámci </w:t>
      </w:r>
      <w:r w:rsidR="008F7F90" w:rsidRPr="00DB53C4">
        <w:t xml:space="preserve">komunikační </w:t>
      </w:r>
      <w:r w:rsidRPr="00DB53C4">
        <w:t xml:space="preserve">kampaně </w:t>
      </w:r>
      <w:r w:rsidR="008F7F90" w:rsidRPr="00DB53C4">
        <w:t xml:space="preserve">na </w:t>
      </w:r>
      <w:r w:rsidR="00B24518">
        <w:t xml:space="preserve">podporu </w:t>
      </w:r>
      <w:r w:rsidR="008F7F90" w:rsidRPr="00DB53C4">
        <w:t>značk</w:t>
      </w:r>
      <w:r w:rsidR="00B24518">
        <w:t>y</w:t>
      </w:r>
      <w:r w:rsidR="008F7F90" w:rsidRPr="00DB53C4">
        <w:t xml:space="preserve"> </w:t>
      </w:r>
      <w:r w:rsidR="00B24518">
        <w:t>„</w:t>
      </w:r>
      <w:r w:rsidR="008F7F90" w:rsidRPr="00DB53C4">
        <w:t>Klasa</w:t>
      </w:r>
      <w:r w:rsidR="00B24518">
        <w:t>“</w:t>
      </w:r>
      <w:r w:rsidR="008F7F90" w:rsidRPr="00DB53C4">
        <w:t xml:space="preserve"> na období let </w:t>
      </w:r>
      <w:r w:rsidRPr="00DB53C4">
        <w:t>2009</w:t>
      </w:r>
      <w:r w:rsidR="008F7F90" w:rsidRPr="00DB53C4">
        <w:t>–2011 SZIF prezentoval značku</w:t>
      </w:r>
      <w:r w:rsidR="00E15384" w:rsidRPr="00DB53C4">
        <w:t xml:space="preserve"> pod</w:t>
      </w:r>
      <w:r w:rsidR="008F7F90" w:rsidRPr="00DB53C4">
        <w:t xml:space="preserve"> sloganem </w:t>
      </w:r>
      <w:r w:rsidR="008F7F90" w:rsidRPr="00DB53C4">
        <w:rPr>
          <w:szCs w:val="22"/>
        </w:rPr>
        <w:t>„</w:t>
      </w:r>
      <w:r w:rsidR="008F7F90" w:rsidRPr="00DB53C4">
        <w:rPr>
          <w:b/>
          <w:i/>
          <w:szCs w:val="22"/>
        </w:rPr>
        <w:t>Naše kvalita zaručena</w:t>
      </w:r>
      <w:r w:rsidR="008F7F90" w:rsidRPr="00DB53C4">
        <w:rPr>
          <w:szCs w:val="22"/>
        </w:rPr>
        <w:t>“</w:t>
      </w:r>
      <w:r w:rsidR="005B5B15" w:rsidRPr="00DB53C4">
        <w:rPr>
          <w:szCs w:val="22"/>
        </w:rPr>
        <w:t>,</w:t>
      </w:r>
      <w:r w:rsidR="0013466E" w:rsidRPr="00DB53C4">
        <w:rPr>
          <w:szCs w:val="22"/>
        </w:rPr>
        <w:t xml:space="preserve"> kdy spojení „naše kvalita“ mělo</w:t>
      </w:r>
      <w:r w:rsidR="005B5B15" w:rsidRPr="00DB53C4">
        <w:rPr>
          <w:szCs w:val="22"/>
        </w:rPr>
        <w:t xml:space="preserve"> odkazovat mj. na tuzemský původ výrobku.</w:t>
      </w:r>
    </w:p>
    <w:p w:rsidR="005D0635" w:rsidRDefault="005D0635" w:rsidP="002F1239">
      <w:pPr>
        <w:spacing w:after="0"/>
        <w:rPr>
          <w:bCs/>
          <w:noProof/>
        </w:rPr>
      </w:pPr>
    </w:p>
    <w:p w:rsidR="00AA7FCA" w:rsidRDefault="00FF51E0" w:rsidP="002F1239">
      <w:pPr>
        <w:spacing w:after="0"/>
        <w:rPr>
          <w:bCs/>
        </w:rPr>
      </w:pPr>
      <w:r w:rsidRPr="00DB53C4">
        <w:rPr>
          <w:bCs/>
          <w:noProof/>
        </w:rPr>
        <w:t>Nastaven</w:t>
      </w:r>
      <w:r w:rsidR="00B24518">
        <w:rPr>
          <w:bCs/>
          <w:noProof/>
        </w:rPr>
        <w:t>í</w:t>
      </w:r>
      <w:r w:rsidRPr="00DB53C4">
        <w:rPr>
          <w:bCs/>
          <w:noProof/>
        </w:rPr>
        <w:t xml:space="preserve"> strategie </w:t>
      </w:r>
      <w:r w:rsidR="00B24518">
        <w:rPr>
          <w:bCs/>
          <w:noProof/>
        </w:rPr>
        <w:t>propagace</w:t>
      </w:r>
      <w:r w:rsidRPr="00DB53C4">
        <w:rPr>
          <w:bCs/>
          <w:noProof/>
        </w:rPr>
        <w:t xml:space="preserve"> značky</w:t>
      </w:r>
      <w:r w:rsidR="00F056B2" w:rsidRPr="00DB53C4">
        <w:rPr>
          <w:bCs/>
          <w:noProof/>
        </w:rPr>
        <w:t xml:space="preserve"> </w:t>
      </w:r>
      <w:r w:rsidR="00B24518">
        <w:rPr>
          <w:bCs/>
          <w:noProof/>
        </w:rPr>
        <w:t>„</w:t>
      </w:r>
      <w:r w:rsidR="00F056B2" w:rsidRPr="00DB53C4">
        <w:rPr>
          <w:bCs/>
          <w:noProof/>
        </w:rPr>
        <w:t>Klasa</w:t>
      </w:r>
      <w:r w:rsidR="00B24518">
        <w:rPr>
          <w:bCs/>
          <w:noProof/>
        </w:rPr>
        <w:t>“</w:t>
      </w:r>
      <w:r w:rsidR="00F056B2" w:rsidRPr="00DB53C4">
        <w:rPr>
          <w:bCs/>
          <w:noProof/>
        </w:rPr>
        <w:t xml:space="preserve"> </w:t>
      </w:r>
      <w:r w:rsidRPr="00DB53C4">
        <w:rPr>
          <w:bCs/>
          <w:noProof/>
        </w:rPr>
        <w:t>neodpovídal</w:t>
      </w:r>
      <w:r w:rsidR="00B24518">
        <w:rPr>
          <w:bCs/>
          <w:noProof/>
        </w:rPr>
        <w:t>o</w:t>
      </w:r>
      <w:r w:rsidRPr="00DB53C4">
        <w:rPr>
          <w:bCs/>
          <w:noProof/>
        </w:rPr>
        <w:t xml:space="preserve"> podmínkám </w:t>
      </w:r>
      <w:r w:rsidR="009D19BD" w:rsidRPr="00DB53C4">
        <w:rPr>
          <w:bCs/>
          <w:noProof/>
        </w:rPr>
        <w:t>pro udělování této značky výrobkům.</w:t>
      </w:r>
      <w:r w:rsidR="008902CD" w:rsidRPr="00DB53C4">
        <w:rPr>
          <w:bCs/>
          <w:noProof/>
        </w:rPr>
        <w:t xml:space="preserve"> </w:t>
      </w:r>
      <w:proofErr w:type="spellStart"/>
      <w:r w:rsidR="00AA7FCA" w:rsidRPr="00DB53C4">
        <w:rPr>
          <w:bCs/>
        </w:rPr>
        <w:t>MZe</w:t>
      </w:r>
      <w:proofErr w:type="spellEnd"/>
      <w:r w:rsidR="00AA7FCA" w:rsidRPr="00DB53C4">
        <w:rPr>
          <w:bCs/>
        </w:rPr>
        <w:t xml:space="preserve"> ani SZIF </w:t>
      </w:r>
      <w:r w:rsidR="00AA7FCA" w:rsidRPr="00DB53C4">
        <w:t>do doby schválení</w:t>
      </w:r>
      <w:r w:rsidR="00AA7FCA" w:rsidRPr="00DB53C4">
        <w:rPr>
          <w:bCs/>
        </w:rPr>
        <w:t xml:space="preserve"> strategického dokumentu uvedeného výše nezajistily vytvoření strategie a strategické </w:t>
      </w:r>
      <w:r w:rsidR="00A4494D" w:rsidRPr="00DB53C4">
        <w:rPr>
          <w:bCs/>
        </w:rPr>
        <w:t xml:space="preserve">řízení této značky, </w:t>
      </w:r>
      <w:r w:rsidR="00AA7FCA" w:rsidRPr="00DB53C4">
        <w:rPr>
          <w:bCs/>
        </w:rPr>
        <w:t xml:space="preserve">nenastavily žádné strategické cíle značky ani </w:t>
      </w:r>
      <w:r w:rsidR="00B24518">
        <w:rPr>
          <w:bCs/>
        </w:rPr>
        <w:t xml:space="preserve">nestanovily </w:t>
      </w:r>
      <w:r w:rsidR="00AA7FCA" w:rsidRPr="00DB53C4">
        <w:rPr>
          <w:bCs/>
        </w:rPr>
        <w:t xml:space="preserve">způsob, jakým by měla být realizována její marketingová podpora. </w:t>
      </w:r>
      <w:r w:rsidR="00B404F1" w:rsidRPr="00DB53C4">
        <w:rPr>
          <w:bCs/>
        </w:rPr>
        <w:t>Ani strategický</w:t>
      </w:r>
      <w:r w:rsidR="00692E89" w:rsidRPr="00DB53C4">
        <w:rPr>
          <w:bCs/>
        </w:rPr>
        <w:t xml:space="preserve"> dokument</w:t>
      </w:r>
      <w:r w:rsidR="00B404F1" w:rsidRPr="00DB53C4">
        <w:rPr>
          <w:bCs/>
        </w:rPr>
        <w:t xml:space="preserve"> schvále</w:t>
      </w:r>
      <w:r w:rsidR="00DB53C4">
        <w:rPr>
          <w:bCs/>
        </w:rPr>
        <w:t>ný v roce 2011 však neodpovídal</w:t>
      </w:r>
      <w:r w:rsidR="00B404F1" w:rsidRPr="00DB53C4">
        <w:rPr>
          <w:bCs/>
        </w:rPr>
        <w:t xml:space="preserve"> podmínkám pro udělování značky </w:t>
      </w:r>
      <w:r w:rsidR="00B24518">
        <w:rPr>
          <w:bCs/>
        </w:rPr>
        <w:t>„</w:t>
      </w:r>
      <w:r w:rsidR="00B404F1" w:rsidRPr="00DB53C4">
        <w:rPr>
          <w:bCs/>
        </w:rPr>
        <w:t>Klasa</w:t>
      </w:r>
      <w:r w:rsidR="00B24518">
        <w:rPr>
          <w:bCs/>
        </w:rPr>
        <w:t>“</w:t>
      </w:r>
      <w:r w:rsidR="00B404F1" w:rsidRPr="00DB53C4">
        <w:rPr>
          <w:bCs/>
        </w:rPr>
        <w:t>.</w:t>
      </w:r>
    </w:p>
    <w:p w:rsidR="000832C8" w:rsidRPr="00DB53C4" w:rsidRDefault="000832C8" w:rsidP="002F1239">
      <w:pPr>
        <w:spacing w:after="0"/>
        <w:rPr>
          <w:bCs/>
          <w:noProof/>
        </w:rPr>
      </w:pPr>
    </w:p>
    <w:p w:rsidR="00AA7FCA" w:rsidRPr="00DB53C4" w:rsidRDefault="00B24518" w:rsidP="002F1239">
      <w:pPr>
        <w:spacing w:after="0"/>
        <w:rPr>
          <w:bCs/>
        </w:rPr>
      </w:pPr>
      <w:r>
        <w:rPr>
          <w:bCs/>
        </w:rPr>
        <w:t xml:space="preserve">NKÚ </w:t>
      </w:r>
      <w:r w:rsidR="00CB34A6">
        <w:rPr>
          <w:bCs/>
        </w:rPr>
        <w:t xml:space="preserve">touto </w:t>
      </w:r>
      <w:r>
        <w:rPr>
          <w:bCs/>
        </w:rPr>
        <w:t>kontrol</w:t>
      </w:r>
      <w:r w:rsidR="00CB34A6">
        <w:rPr>
          <w:bCs/>
        </w:rPr>
        <w:t>ní akcí</w:t>
      </w:r>
      <w:r>
        <w:rPr>
          <w:bCs/>
        </w:rPr>
        <w:t xml:space="preserve"> zjistil, že </w:t>
      </w:r>
      <w:proofErr w:type="spellStart"/>
      <w:r>
        <w:rPr>
          <w:bCs/>
        </w:rPr>
        <w:t>MZe</w:t>
      </w:r>
      <w:proofErr w:type="spellEnd"/>
      <w:r>
        <w:rPr>
          <w:bCs/>
        </w:rPr>
        <w:t xml:space="preserve"> </w:t>
      </w:r>
      <w:r w:rsidR="00AA7FCA" w:rsidRPr="00DB53C4">
        <w:rPr>
          <w:bCs/>
        </w:rPr>
        <w:t xml:space="preserve">v souvislosti s komunikačními kampaněmi na </w:t>
      </w:r>
      <w:r w:rsidR="00CB34A6">
        <w:rPr>
          <w:bCs/>
        </w:rPr>
        <w:t xml:space="preserve">podporu </w:t>
      </w:r>
      <w:r w:rsidR="00AA7FCA" w:rsidRPr="00DB53C4">
        <w:rPr>
          <w:bCs/>
        </w:rPr>
        <w:t>značk</w:t>
      </w:r>
      <w:r w:rsidR="00CB34A6">
        <w:rPr>
          <w:bCs/>
        </w:rPr>
        <w:t>y</w:t>
      </w:r>
      <w:r w:rsidR="00AA7FCA" w:rsidRPr="00DB53C4">
        <w:rPr>
          <w:bCs/>
        </w:rPr>
        <w:t xml:space="preserve"> </w:t>
      </w:r>
      <w:r w:rsidR="00CB34A6">
        <w:rPr>
          <w:bCs/>
        </w:rPr>
        <w:t>„</w:t>
      </w:r>
      <w:r w:rsidR="00AA7FCA" w:rsidRPr="00DB53C4">
        <w:rPr>
          <w:bCs/>
        </w:rPr>
        <w:t>Klasa</w:t>
      </w:r>
      <w:r w:rsidR="00CB34A6">
        <w:rPr>
          <w:bCs/>
        </w:rPr>
        <w:t>“</w:t>
      </w:r>
      <w:r w:rsidR="00AA7FCA" w:rsidRPr="00DB53C4">
        <w:rPr>
          <w:bCs/>
        </w:rPr>
        <w:t xml:space="preserve">: </w:t>
      </w:r>
    </w:p>
    <w:p w:rsidR="00AA7FCA" w:rsidRPr="00DB53C4" w:rsidRDefault="00AA7FCA" w:rsidP="00AA7FCA">
      <w:pPr>
        <w:pStyle w:val="Odstavecseseznamem"/>
        <w:numPr>
          <w:ilvl w:val="0"/>
          <w:numId w:val="21"/>
        </w:numPr>
        <w:ind w:hanging="294"/>
        <w:rPr>
          <w:bCs/>
        </w:rPr>
      </w:pPr>
      <w:r w:rsidRPr="00DB53C4">
        <w:rPr>
          <w:bCs/>
        </w:rPr>
        <w:t xml:space="preserve">nezajistilo rozdělení rolí a kompetencí mezi </w:t>
      </w:r>
      <w:proofErr w:type="spellStart"/>
      <w:r w:rsidRPr="00DB53C4">
        <w:rPr>
          <w:bCs/>
        </w:rPr>
        <w:t>MZe</w:t>
      </w:r>
      <w:proofErr w:type="spellEnd"/>
      <w:r w:rsidRPr="00DB53C4">
        <w:rPr>
          <w:bCs/>
        </w:rPr>
        <w:t xml:space="preserve"> a SZIF v souvislosti s přípravou, realizací a vyhodnocováním komunikačních kampaní</w:t>
      </w:r>
      <w:r w:rsidR="00CB34A6">
        <w:rPr>
          <w:bCs/>
        </w:rPr>
        <w:t>;</w:t>
      </w:r>
    </w:p>
    <w:p w:rsidR="00971337" w:rsidRPr="00DB53C4" w:rsidRDefault="0063473C" w:rsidP="00AA7FCA">
      <w:pPr>
        <w:pStyle w:val="Odstavecseseznamem"/>
        <w:numPr>
          <w:ilvl w:val="0"/>
          <w:numId w:val="21"/>
        </w:numPr>
        <w:ind w:hanging="294"/>
      </w:pPr>
      <w:r w:rsidRPr="00DB53C4">
        <w:t>do roku 2011 neprovádělo kontrolní činnost,</w:t>
      </w:r>
      <w:r w:rsidR="006A0FA8" w:rsidRPr="00DB53C4">
        <w:t xml:space="preserve"> od roku 2012 kontrolovalo především čerpání </w:t>
      </w:r>
      <w:r w:rsidRPr="00DB53C4">
        <w:t>vynaložených peněžních prostředků SZIF na komunikační kampaně</w:t>
      </w:r>
      <w:r w:rsidR="00CB34A6">
        <w:t>;</w:t>
      </w:r>
    </w:p>
    <w:p w:rsidR="00971337" w:rsidRPr="00EC3D1E" w:rsidRDefault="0063473C" w:rsidP="000832C8">
      <w:pPr>
        <w:pStyle w:val="Odstavecseseznamem"/>
        <w:numPr>
          <w:ilvl w:val="0"/>
          <w:numId w:val="21"/>
        </w:numPr>
        <w:spacing w:after="0"/>
        <w:ind w:hanging="294"/>
      </w:pPr>
      <w:r w:rsidRPr="00DB53C4">
        <w:rPr>
          <w:bCs/>
        </w:rPr>
        <w:t>nekontrolovalo</w:t>
      </w:r>
      <w:r w:rsidR="00AA7FCA" w:rsidRPr="00DB53C4">
        <w:rPr>
          <w:bCs/>
        </w:rPr>
        <w:t xml:space="preserve"> naplňování </w:t>
      </w:r>
      <w:r w:rsidRPr="00DB53C4">
        <w:rPr>
          <w:bCs/>
        </w:rPr>
        <w:t>a</w:t>
      </w:r>
      <w:r w:rsidR="00CB34A6">
        <w:rPr>
          <w:bCs/>
        </w:rPr>
        <w:t>ni</w:t>
      </w:r>
      <w:r w:rsidRPr="00DB53C4">
        <w:rPr>
          <w:bCs/>
        </w:rPr>
        <w:t xml:space="preserve"> vyhodnocování </w:t>
      </w:r>
      <w:r w:rsidR="00AA7FCA" w:rsidRPr="00DB53C4">
        <w:rPr>
          <w:bCs/>
        </w:rPr>
        <w:t>nastave</w:t>
      </w:r>
      <w:r w:rsidRPr="00DB53C4">
        <w:rPr>
          <w:bCs/>
        </w:rPr>
        <w:t>ných cílů komunikačních kampaní.</w:t>
      </w:r>
    </w:p>
    <w:p w:rsidR="00EC3D1E" w:rsidRDefault="00EC3D1E" w:rsidP="000832C8">
      <w:pPr>
        <w:spacing w:after="0" w:line="276" w:lineRule="auto"/>
        <w:jc w:val="left"/>
      </w:pPr>
    </w:p>
    <w:p w:rsidR="00895F67" w:rsidRPr="002F1239" w:rsidRDefault="00895F67" w:rsidP="00441A53">
      <w:pPr>
        <w:rPr>
          <w:b/>
          <w:bCs/>
          <w:i/>
        </w:rPr>
      </w:pPr>
      <w:r w:rsidRPr="002F1239">
        <w:rPr>
          <w:b/>
          <w:bCs/>
          <w:i/>
        </w:rPr>
        <w:t xml:space="preserve">Značka </w:t>
      </w:r>
      <w:r w:rsidR="00966E0B">
        <w:rPr>
          <w:b/>
          <w:bCs/>
          <w:i/>
        </w:rPr>
        <w:t>„</w:t>
      </w:r>
      <w:r w:rsidRPr="002F1239">
        <w:rPr>
          <w:b/>
          <w:bCs/>
          <w:i/>
        </w:rPr>
        <w:t>Regionální potravina</w:t>
      </w:r>
      <w:r w:rsidR="00966E0B">
        <w:rPr>
          <w:b/>
          <w:bCs/>
          <w:i/>
        </w:rPr>
        <w:t>“</w:t>
      </w:r>
    </w:p>
    <w:p w:rsidR="00E15384" w:rsidRDefault="00CB34A6" w:rsidP="002F1239">
      <w:pPr>
        <w:spacing w:after="0"/>
        <w:rPr>
          <w:bCs/>
          <w:noProof/>
        </w:rPr>
      </w:pPr>
      <w:r>
        <w:rPr>
          <w:bCs/>
        </w:rPr>
        <w:t>Pro</w:t>
      </w:r>
      <w:r w:rsidR="00AA7FCA" w:rsidRPr="00DB53C4">
        <w:rPr>
          <w:bCs/>
        </w:rPr>
        <w:t xml:space="preserve"> rok</w:t>
      </w:r>
      <w:r>
        <w:rPr>
          <w:bCs/>
        </w:rPr>
        <w:t>y</w:t>
      </w:r>
      <w:r w:rsidR="00AA7FCA" w:rsidRPr="00DB53C4">
        <w:rPr>
          <w:bCs/>
        </w:rPr>
        <w:t xml:space="preserve"> 2010 </w:t>
      </w:r>
      <w:r>
        <w:rPr>
          <w:bCs/>
        </w:rPr>
        <w:t>a 2011</w:t>
      </w:r>
      <w:r w:rsidR="00E15384" w:rsidRPr="00DB53C4">
        <w:rPr>
          <w:bCs/>
        </w:rPr>
        <w:t xml:space="preserve"> </w:t>
      </w:r>
      <w:proofErr w:type="spellStart"/>
      <w:r w:rsidR="00AA7FCA" w:rsidRPr="00DB53C4">
        <w:rPr>
          <w:bCs/>
        </w:rPr>
        <w:t>MZe</w:t>
      </w:r>
      <w:proofErr w:type="spellEnd"/>
      <w:r w:rsidR="00AA7FCA" w:rsidRPr="00DB53C4">
        <w:rPr>
          <w:bCs/>
        </w:rPr>
        <w:t xml:space="preserve"> zajistilo </w:t>
      </w:r>
      <w:r w:rsidR="00A17CCA" w:rsidRPr="00DB53C4">
        <w:rPr>
          <w:bCs/>
        </w:rPr>
        <w:t>nastavení strategického řízení značky</w:t>
      </w:r>
      <w:r w:rsidR="00257EB9" w:rsidRPr="00DB53C4">
        <w:rPr>
          <w:bCs/>
        </w:rPr>
        <w:t xml:space="preserve"> a nastavení strategických cílů</w:t>
      </w:r>
      <w:r w:rsidR="00A17CCA" w:rsidRPr="00DB53C4">
        <w:rPr>
          <w:bCs/>
        </w:rPr>
        <w:t xml:space="preserve">. V roce 2012 převedlo </w:t>
      </w:r>
      <w:proofErr w:type="spellStart"/>
      <w:r w:rsidR="00A17CCA" w:rsidRPr="00DB53C4">
        <w:rPr>
          <w:bCs/>
        </w:rPr>
        <w:t>MZe</w:t>
      </w:r>
      <w:proofErr w:type="spellEnd"/>
      <w:r w:rsidR="00A17CCA" w:rsidRPr="00DB53C4">
        <w:rPr>
          <w:bCs/>
        </w:rPr>
        <w:t xml:space="preserve"> činnosti související s propagací a administrací značky </w:t>
      </w:r>
      <w:r>
        <w:rPr>
          <w:bCs/>
        </w:rPr>
        <w:t>„</w:t>
      </w:r>
      <w:r w:rsidR="00A17CCA" w:rsidRPr="00DB53C4">
        <w:rPr>
          <w:bCs/>
        </w:rPr>
        <w:t>Regionální potravina</w:t>
      </w:r>
      <w:r>
        <w:rPr>
          <w:bCs/>
        </w:rPr>
        <w:t>“</w:t>
      </w:r>
      <w:r w:rsidR="00A17CCA" w:rsidRPr="00DB53C4">
        <w:rPr>
          <w:bCs/>
        </w:rPr>
        <w:t xml:space="preserve"> na SZIF. V souvislosti s touto změnou vytvořilo </w:t>
      </w:r>
      <w:proofErr w:type="spellStart"/>
      <w:r w:rsidR="00E15384" w:rsidRPr="00DB53C4">
        <w:rPr>
          <w:bCs/>
        </w:rPr>
        <w:t>MZe</w:t>
      </w:r>
      <w:proofErr w:type="spellEnd"/>
      <w:r w:rsidR="00E15384" w:rsidRPr="00DB53C4">
        <w:rPr>
          <w:bCs/>
        </w:rPr>
        <w:t xml:space="preserve"> </w:t>
      </w:r>
      <w:r w:rsidR="00A17CCA" w:rsidRPr="00DB53C4">
        <w:rPr>
          <w:bCs/>
        </w:rPr>
        <w:t xml:space="preserve">dokument </w:t>
      </w:r>
      <w:r w:rsidR="00A17CCA" w:rsidRPr="00DB53C4">
        <w:rPr>
          <w:i/>
        </w:rPr>
        <w:t>Role a kompetence klíčových subjektů při realizaci projektu Regionální potravina</w:t>
      </w:r>
      <w:r w:rsidR="00E15384" w:rsidRPr="00DB53C4">
        <w:rPr>
          <w:bCs/>
        </w:rPr>
        <w:t>, který</w:t>
      </w:r>
      <w:r w:rsidR="00A17CCA" w:rsidRPr="00DB53C4">
        <w:rPr>
          <w:bCs/>
        </w:rPr>
        <w:t xml:space="preserve"> rozděloval role a kompetence v souvislosti s přípravou, realizací a vyhodnocováním komunikačních kampaní na </w:t>
      </w:r>
      <w:r>
        <w:rPr>
          <w:bCs/>
        </w:rPr>
        <w:t xml:space="preserve">podporu </w:t>
      </w:r>
      <w:r w:rsidR="00A17CCA" w:rsidRPr="00DB53C4">
        <w:rPr>
          <w:bCs/>
        </w:rPr>
        <w:t>značk</w:t>
      </w:r>
      <w:r>
        <w:rPr>
          <w:bCs/>
        </w:rPr>
        <w:t>y</w:t>
      </w:r>
      <w:r w:rsidR="00A17CCA" w:rsidRPr="00DB53C4">
        <w:rPr>
          <w:bCs/>
        </w:rPr>
        <w:t xml:space="preserve"> </w:t>
      </w:r>
      <w:r>
        <w:rPr>
          <w:bCs/>
        </w:rPr>
        <w:t>„</w:t>
      </w:r>
      <w:r w:rsidR="00A17CCA" w:rsidRPr="00DB53C4">
        <w:rPr>
          <w:bCs/>
        </w:rPr>
        <w:t>Regionální potravina</w:t>
      </w:r>
      <w:r>
        <w:rPr>
          <w:bCs/>
        </w:rPr>
        <w:t>“</w:t>
      </w:r>
      <w:r w:rsidR="00A17CCA" w:rsidRPr="00DB53C4">
        <w:rPr>
          <w:bCs/>
        </w:rPr>
        <w:t xml:space="preserve"> </w:t>
      </w:r>
      <w:r w:rsidR="00257EB9" w:rsidRPr="00DB53C4">
        <w:rPr>
          <w:bCs/>
        </w:rPr>
        <w:t xml:space="preserve">mezi </w:t>
      </w:r>
      <w:proofErr w:type="spellStart"/>
      <w:proofErr w:type="gramStart"/>
      <w:r w:rsidR="00257EB9" w:rsidRPr="00DB53C4">
        <w:rPr>
          <w:bCs/>
        </w:rPr>
        <w:t>MZe</w:t>
      </w:r>
      <w:proofErr w:type="spellEnd"/>
      <w:proofErr w:type="gramEnd"/>
      <w:r w:rsidR="00257EB9" w:rsidRPr="00DB53C4">
        <w:rPr>
          <w:bCs/>
        </w:rPr>
        <w:t xml:space="preserve">, </w:t>
      </w:r>
      <w:r w:rsidR="00A17CCA" w:rsidRPr="00DB53C4">
        <w:rPr>
          <w:bCs/>
        </w:rPr>
        <w:t>SZIF</w:t>
      </w:r>
      <w:r w:rsidR="00257EB9" w:rsidRPr="00DB53C4">
        <w:rPr>
          <w:bCs/>
        </w:rPr>
        <w:t xml:space="preserve"> a další subjekty</w:t>
      </w:r>
      <w:r w:rsidR="00A17CCA" w:rsidRPr="00DB53C4">
        <w:rPr>
          <w:bCs/>
        </w:rPr>
        <w:t xml:space="preserve">. Současně </w:t>
      </w:r>
      <w:proofErr w:type="spellStart"/>
      <w:r w:rsidRPr="00DB53C4">
        <w:t>MZe</w:t>
      </w:r>
      <w:proofErr w:type="spellEnd"/>
      <w:r w:rsidRPr="00DB53C4">
        <w:t xml:space="preserve"> </w:t>
      </w:r>
      <w:r w:rsidR="00A17CCA" w:rsidRPr="00DB53C4">
        <w:t>v roce 2012 ustav</w:t>
      </w:r>
      <w:r>
        <w:t>ilo</w:t>
      </w:r>
      <w:r w:rsidR="00A17CCA" w:rsidRPr="00DB53C4">
        <w:t xml:space="preserve"> pracovní skupin</w:t>
      </w:r>
      <w:r>
        <w:t>u</w:t>
      </w:r>
      <w:r w:rsidR="00A17CCA" w:rsidRPr="00DB53C4">
        <w:t xml:space="preserve">, </w:t>
      </w:r>
      <w:r w:rsidR="001A2B89" w:rsidRPr="00DB53C4">
        <w:t xml:space="preserve">která </w:t>
      </w:r>
      <w:r w:rsidR="001A2B89" w:rsidRPr="00DB53C4">
        <w:rPr>
          <w:bCs/>
          <w:noProof/>
        </w:rPr>
        <w:t>byla zřízena v rámci organizačních struktur MZe jako poradní orgán ministra zeměděls</w:t>
      </w:r>
      <w:r w:rsidR="00CC2528" w:rsidRPr="00DB53C4">
        <w:rPr>
          <w:bCs/>
          <w:noProof/>
        </w:rPr>
        <w:t>tví ve věci realizace, správy a </w:t>
      </w:r>
      <w:r w:rsidR="001A2B89" w:rsidRPr="00DB53C4">
        <w:rPr>
          <w:bCs/>
          <w:noProof/>
        </w:rPr>
        <w:t xml:space="preserve">administrace </w:t>
      </w:r>
      <w:r w:rsidR="009D19BD" w:rsidRPr="00DB53C4">
        <w:rPr>
          <w:bCs/>
          <w:noProof/>
        </w:rPr>
        <w:t xml:space="preserve">této </w:t>
      </w:r>
      <w:r w:rsidR="001A2B89" w:rsidRPr="00DB53C4">
        <w:rPr>
          <w:bCs/>
          <w:noProof/>
        </w:rPr>
        <w:t xml:space="preserve">značky. MZe a SZIF </w:t>
      </w:r>
      <w:r w:rsidR="005F190F" w:rsidRPr="00DB53C4">
        <w:t xml:space="preserve">měly </w:t>
      </w:r>
      <w:r w:rsidR="000E0C1E" w:rsidRPr="00DB53C4">
        <w:t>v p</w:t>
      </w:r>
      <w:r w:rsidR="001A2B89" w:rsidRPr="00DB53C4">
        <w:t>racovní skupině</w:t>
      </w:r>
      <w:r w:rsidR="00257EB9" w:rsidRPr="00DB53C4">
        <w:t xml:space="preserve"> </w:t>
      </w:r>
      <w:r w:rsidR="001A2B89" w:rsidRPr="00DB53C4">
        <w:t>své zástupce.</w:t>
      </w:r>
      <w:r w:rsidR="00A17CCA" w:rsidRPr="00DB53C4">
        <w:rPr>
          <w:bCs/>
          <w:noProof/>
        </w:rPr>
        <w:t xml:space="preserve"> </w:t>
      </w:r>
    </w:p>
    <w:p w:rsidR="000832C8" w:rsidRPr="00DB53C4" w:rsidRDefault="000832C8" w:rsidP="002F1239">
      <w:pPr>
        <w:spacing w:after="0"/>
        <w:rPr>
          <w:bCs/>
          <w:noProof/>
        </w:rPr>
      </w:pPr>
    </w:p>
    <w:p w:rsidR="00895F67" w:rsidRPr="002F1239" w:rsidRDefault="00895F67" w:rsidP="00441A53">
      <w:pPr>
        <w:rPr>
          <w:b/>
          <w:bCs/>
          <w:i/>
          <w:noProof/>
        </w:rPr>
      </w:pPr>
      <w:r w:rsidRPr="002F1239">
        <w:rPr>
          <w:b/>
          <w:bCs/>
          <w:i/>
          <w:noProof/>
        </w:rPr>
        <w:t xml:space="preserve">Značka </w:t>
      </w:r>
      <w:r w:rsidR="00CB34A6">
        <w:rPr>
          <w:b/>
          <w:bCs/>
          <w:i/>
          <w:noProof/>
        </w:rPr>
        <w:t>„v</w:t>
      </w:r>
      <w:r w:rsidRPr="002F1239">
        <w:rPr>
          <w:b/>
          <w:bCs/>
          <w:i/>
          <w:noProof/>
        </w:rPr>
        <w:t>ína z Moravy, vína z</w:t>
      </w:r>
      <w:r w:rsidR="00CB34A6">
        <w:rPr>
          <w:b/>
          <w:bCs/>
          <w:i/>
          <w:noProof/>
        </w:rPr>
        <w:t> </w:t>
      </w:r>
      <w:r w:rsidRPr="002F1239">
        <w:rPr>
          <w:b/>
          <w:bCs/>
          <w:i/>
          <w:noProof/>
        </w:rPr>
        <w:t>Čech</w:t>
      </w:r>
      <w:r w:rsidR="00CB34A6">
        <w:rPr>
          <w:b/>
          <w:bCs/>
          <w:i/>
          <w:noProof/>
        </w:rPr>
        <w:t>“</w:t>
      </w:r>
    </w:p>
    <w:p w:rsidR="00DC6E36" w:rsidRDefault="000E0C1E" w:rsidP="002F1239">
      <w:pPr>
        <w:spacing w:after="0"/>
      </w:pPr>
      <w:r w:rsidRPr="00DB53C4">
        <w:rPr>
          <w:rFonts w:eastAsia="Calibri"/>
        </w:rPr>
        <w:t xml:space="preserve">Od vzniku značky </w:t>
      </w:r>
      <w:r w:rsidR="00CB34A6">
        <w:rPr>
          <w:rFonts w:eastAsia="Calibri"/>
        </w:rPr>
        <w:t>„v</w:t>
      </w:r>
      <w:r w:rsidR="00AA7FCA" w:rsidRPr="00DB53C4">
        <w:rPr>
          <w:rFonts w:eastAsia="Calibri"/>
        </w:rPr>
        <w:t>ína z Moravy, vína z</w:t>
      </w:r>
      <w:r w:rsidR="00CB34A6">
        <w:rPr>
          <w:rFonts w:eastAsia="Calibri"/>
        </w:rPr>
        <w:t> </w:t>
      </w:r>
      <w:r w:rsidR="00AA7FCA" w:rsidRPr="00DB53C4">
        <w:rPr>
          <w:rFonts w:eastAsia="Calibri"/>
        </w:rPr>
        <w:t>Čech</w:t>
      </w:r>
      <w:r w:rsidR="00CB34A6">
        <w:rPr>
          <w:rFonts w:eastAsia="Calibri"/>
        </w:rPr>
        <w:t>“</w:t>
      </w:r>
      <w:r w:rsidR="00AA7FCA" w:rsidRPr="00DB53C4">
        <w:rPr>
          <w:rFonts w:eastAsia="Calibri"/>
        </w:rPr>
        <w:t xml:space="preserve"> v roce 2006 </w:t>
      </w:r>
      <w:r w:rsidR="00680162">
        <w:rPr>
          <w:rFonts w:eastAsia="Calibri"/>
        </w:rPr>
        <w:t>z</w:t>
      </w:r>
      <w:r w:rsidR="00CB34A6" w:rsidRPr="00DB53C4">
        <w:rPr>
          <w:rFonts w:eastAsia="Calibri"/>
        </w:rPr>
        <w:t xml:space="preserve">odpovídal </w:t>
      </w:r>
      <w:r w:rsidRPr="00DB53C4">
        <w:rPr>
          <w:rFonts w:eastAsia="Calibri"/>
        </w:rPr>
        <w:t>z</w:t>
      </w:r>
      <w:r w:rsidR="009D19BD" w:rsidRPr="00DB53C4">
        <w:rPr>
          <w:rFonts w:eastAsia="Calibri"/>
        </w:rPr>
        <w:t xml:space="preserve">a </w:t>
      </w:r>
      <w:r w:rsidR="00AA7FCA" w:rsidRPr="00DB53C4">
        <w:rPr>
          <w:rFonts w:eastAsia="Calibri"/>
        </w:rPr>
        <w:t xml:space="preserve">její </w:t>
      </w:r>
      <w:r w:rsidR="00E15384" w:rsidRPr="00DB53C4">
        <w:rPr>
          <w:rFonts w:eastAsia="Calibri"/>
        </w:rPr>
        <w:t>správu a</w:t>
      </w:r>
      <w:r w:rsidR="00CB34A6">
        <w:rPr>
          <w:rFonts w:eastAsia="Calibri"/>
        </w:rPr>
        <w:t> </w:t>
      </w:r>
      <w:r w:rsidR="00E15384" w:rsidRPr="00DB53C4">
        <w:rPr>
          <w:rFonts w:eastAsia="Calibri"/>
        </w:rPr>
        <w:t>administraci</w:t>
      </w:r>
      <w:r w:rsidR="00CB34A6">
        <w:rPr>
          <w:rFonts w:eastAsia="Calibri"/>
        </w:rPr>
        <w:t xml:space="preserve"> </w:t>
      </w:r>
      <w:r w:rsidR="00E15384" w:rsidRPr="00DB53C4">
        <w:rPr>
          <w:rFonts w:eastAsia="Calibri"/>
        </w:rPr>
        <w:t>V</w:t>
      </w:r>
      <w:r w:rsidR="00CB34A6">
        <w:rPr>
          <w:rFonts w:eastAsia="Calibri"/>
        </w:rPr>
        <w:t>inařský fond</w:t>
      </w:r>
      <w:r w:rsidR="00E15384" w:rsidRPr="00DB53C4">
        <w:rPr>
          <w:rFonts w:eastAsia="Calibri"/>
        </w:rPr>
        <w:t xml:space="preserve">. </w:t>
      </w:r>
      <w:r w:rsidR="00DC6E36" w:rsidRPr="00DB53C4">
        <w:rPr>
          <w:rFonts w:eastAsia="Calibri"/>
        </w:rPr>
        <w:t>Koncepce marketingové podpory tuzemského</w:t>
      </w:r>
      <w:r w:rsidR="00CC2528" w:rsidRPr="00DB53C4">
        <w:rPr>
          <w:rFonts w:eastAsia="Calibri"/>
        </w:rPr>
        <w:t xml:space="preserve"> vinařství a</w:t>
      </w:r>
      <w:r w:rsidR="00680162">
        <w:rPr>
          <w:rFonts w:eastAsia="Calibri"/>
        </w:rPr>
        <w:t> </w:t>
      </w:r>
      <w:r w:rsidR="00CC2528" w:rsidRPr="00DB53C4">
        <w:rPr>
          <w:rFonts w:eastAsia="Calibri"/>
        </w:rPr>
        <w:t>vinohradnictví, ze</w:t>
      </w:r>
      <w:r w:rsidR="00680162">
        <w:rPr>
          <w:rFonts w:eastAsia="Calibri"/>
        </w:rPr>
        <w:t xml:space="preserve"> </w:t>
      </w:r>
      <w:r w:rsidR="00DC6E36" w:rsidRPr="00DB53C4">
        <w:rPr>
          <w:rFonts w:eastAsia="Calibri"/>
        </w:rPr>
        <w:t xml:space="preserve">které vychází značka </w:t>
      </w:r>
      <w:r w:rsidR="00680162">
        <w:rPr>
          <w:rFonts w:eastAsia="Calibri"/>
        </w:rPr>
        <w:t>„v</w:t>
      </w:r>
      <w:r w:rsidR="00DC6E36" w:rsidRPr="00DB53C4">
        <w:rPr>
          <w:rFonts w:eastAsia="Calibri"/>
        </w:rPr>
        <w:t>ína z Moravy, vína z</w:t>
      </w:r>
      <w:r w:rsidR="00680162">
        <w:rPr>
          <w:rFonts w:eastAsia="Calibri"/>
        </w:rPr>
        <w:t> </w:t>
      </w:r>
      <w:r w:rsidR="00DC6E36" w:rsidRPr="00DB53C4">
        <w:rPr>
          <w:rFonts w:eastAsia="Calibri"/>
        </w:rPr>
        <w:t>Čech</w:t>
      </w:r>
      <w:r w:rsidR="00680162">
        <w:rPr>
          <w:rFonts w:eastAsia="Calibri"/>
        </w:rPr>
        <w:t>“</w:t>
      </w:r>
      <w:r w:rsidR="00DC6E36" w:rsidRPr="00DB53C4">
        <w:rPr>
          <w:rFonts w:eastAsia="Calibri"/>
        </w:rPr>
        <w:t>, byl</w:t>
      </w:r>
      <w:r w:rsidR="00E15384" w:rsidRPr="00DB53C4">
        <w:rPr>
          <w:rFonts w:eastAsia="Calibri"/>
        </w:rPr>
        <w:t>a obsažena v</w:t>
      </w:r>
      <w:r w:rsidR="00680162">
        <w:rPr>
          <w:rFonts w:eastAsia="Calibri"/>
        </w:rPr>
        <w:t> </w:t>
      </w:r>
      <w:r w:rsidR="00DC6E36" w:rsidRPr="00DB53C4">
        <w:rPr>
          <w:rFonts w:eastAsia="Calibri"/>
        </w:rPr>
        <w:t>materiál</w:t>
      </w:r>
      <w:r w:rsidR="00E15384" w:rsidRPr="00DB53C4">
        <w:rPr>
          <w:rFonts w:eastAsia="Calibri"/>
        </w:rPr>
        <w:t>u</w:t>
      </w:r>
      <w:r w:rsidR="00DC6E36" w:rsidRPr="00DB53C4">
        <w:rPr>
          <w:rFonts w:eastAsia="Calibri"/>
        </w:rPr>
        <w:t xml:space="preserve"> </w:t>
      </w:r>
      <w:r w:rsidR="00DC6E36" w:rsidRPr="00DB53C4">
        <w:rPr>
          <w:rFonts w:eastAsia="Calibri"/>
          <w:i/>
        </w:rPr>
        <w:t>Koncepce marketingové a komunikační strategie Vinařského fondu</w:t>
      </w:r>
      <w:r w:rsidR="00DC6E36" w:rsidRPr="00DB53C4">
        <w:rPr>
          <w:rFonts w:eastAsia="Calibri"/>
        </w:rPr>
        <w:t>.</w:t>
      </w:r>
      <w:r w:rsidR="005F113F" w:rsidRPr="00DB53C4">
        <w:rPr>
          <w:rFonts w:eastAsia="Calibri"/>
        </w:rPr>
        <w:t xml:space="preserve"> VF </w:t>
      </w:r>
      <w:r w:rsidR="00257EB9" w:rsidRPr="00DB53C4">
        <w:rPr>
          <w:rFonts w:eastAsia="Calibri"/>
        </w:rPr>
        <w:t>zajis</w:t>
      </w:r>
      <w:r w:rsidR="00CC2528" w:rsidRPr="00DB53C4">
        <w:rPr>
          <w:rFonts w:eastAsia="Calibri"/>
        </w:rPr>
        <w:t>til strategické řízení značky a </w:t>
      </w:r>
      <w:r w:rsidR="005F113F" w:rsidRPr="00DB53C4">
        <w:rPr>
          <w:rFonts w:eastAsia="Calibri"/>
        </w:rPr>
        <w:t xml:space="preserve">nastavil </w:t>
      </w:r>
      <w:r w:rsidR="00257EB9" w:rsidRPr="00DB53C4">
        <w:rPr>
          <w:rFonts w:eastAsia="Calibri"/>
        </w:rPr>
        <w:t xml:space="preserve">její </w:t>
      </w:r>
      <w:r w:rsidR="005F113F" w:rsidRPr="00DB53C4">
        <w:rPr>
          <w:rFonts w:eastAsia="Calibri"/>
        </w:rPr>
        <w:t>strategické cíle.</w:t>
      </w:r>
      <w:r w:rsidR="00125693" w:rsidRPr="00DB53C4">
        <w:rPr>
          <w:rFonts w:eastAsia="Calibri"/>
        </w:rPr>
        <w:t xml:space="preserve"> </w:t>
      </w:r>
      <w:r w:rsidR="00125693" w:rsidRPr="00DB53C4">
        <w:t xml:space="preserve">V rámci mediální kampaně </w:t>
      </w:r>
      <w:r w:rsidR="00680162">
        <w:t xml:space="preserve">na podporu této </w:t>
      </w:r>
      <w:r w:rsidR="00125693" w:rsidRPr="00DB53C4">
        <w:t xml:space="preserve">značky využívá Vinařský fond dále ochranné známky </w:t>
      </w:r>
      <w:r w:rsidR="00680162">
        <w:t>„</w:t>
      </w:r>
      <w:r w:rsidR="00125693" w:rsidRPr="00DB53C4">
        <w:t>Svatomartinské</w:t>
      </w:r>
      <w:r w:rsidR="00680162">
        <w:t>“</w:t>
      </w:r>
      <w:r w:rsidR="00125693" w:rsidRPr="00DB53C4">
        <w:t xml:space="preserve"> </w:t>
      </w:r>
      <w:r w:rsidR="005F190F" w:rsidRPr="00DB53C4">
        <w:t xml:space="preserve">a </w:t>
      </w:r>
      <w:r w:rsidR="00680162">
        <w:t>„</w:t>
      </w:r>
      <w:r w:rsidR="005F190F" w:rsidRPr="00DB53C4">
        <w:t>Růžové</w:t>
      </w:r>
      <w:r w:rsidR="00680162">
        <w:t>.</w:t>
      </w:r>
      <w:r w:rsidR="005F190F" w:rsidRPr="00DB53C4">
        <w:t>c</w:t>
      </w:r>
      <w:r w:rsidR="00125693" w:rsidRPr="00DB53C4">
        <w:t>z</w:t>
      </w:r>
      <w:r w:rsidR="00680162">
        <w:t>“</w:t>
      </w:r>
      <w:r w:rsidR="00125693" w:rsidRPr="00DB53C4">
        <w:t>.</w:t>
      </w:r>
      <w:r w:rsidR="00125693" w:rsidRPr="00DB53C4">
        <w:rPr>
          <w:i/>
        </w:rPr>
        <w:t xml:space="preserve"> </w:t>
      </w:r>
      <w:r w:rsidR="00125693" w:rsidRPr="00DB53C4">
        <w:t xml:space="preserve">Značka </w:t>
      </w:r>
      <w:r w:rsidR="00680162">
        <w:t>„v</w:t>
      </w:r>
      <w:r w:rsidR="00125693" w:rsidRPr="00DB53C4">
        <w:t>ína z Moravy, vína z</w:t>
      </w:r>
      <w:r w:rsidR="00680162">
        <w:t> </w:t>
      </w:r>
      <w:r w:rsidR="00125693" w:rsidRPr="00DB53C4">
        <w:t>Čech</w:t>
      </w:r>
      <w:r w:rsidR="00680162">
        <w:t>“</w:t>
      </w:r>
      <w:r w:rsidR="00125693" w:rsidRPr="00DB53C4">
        <w:t xml:space="preserve"> </w:t>
      </w:r>
      <w:r w:rsidR="00E15384" w:rsidRPr="00DB53C4">
        <w:t>tyto</w:t>
      </w:r>
      <w:r w:rsidR="002316BD" w:rsidRPr="00DB53C4">
        <w:t xml:space="preserve"> dvě</w:t>
      </w:r>
      <w:r w:rsidR="00E15384" w:rsidRPr="00DB53C4">
        <w:t xml:space="preserve"> </w:t>
      </w:r>
      <w:r w:rsidR="002316BD" w:rsidRPr="00DB53C4">
        <w:t xml:space="preserve">značky </w:t>
      </w:r>
      <w:r w:rsidR="00E15384" w:rsidRPr="00DB53C4">
        <w:t>zastřešuje</w:t>
      </w:r>
      <w:r w:rsidR="0013466E" w:rsidRPr="00DB53C4">
        <w:t>.</w:t>
      </w:r>
    </w:p>
    <w:p w:rsidR="000832C8" w:rsidRPr="00DB53C4" w:rsidRDefault="000832C8" w:rsidP="002F1239">
      <w:pPr>
        <w:spacing w:after="0"/>
        <w:rPr>
          <w:i/>
        </w:rPr>
      </w:pPr>
    </w:p>
    <w:p w:rsidR="001F68D0" w:rsidRPr="00DB53C4" w:rsidRDefault="005F113F" w:rsidP="002F1239">
      <w:pPr>
        <w:pStyle w:val="Nadpis3"/>
        <w:spacing w:before="0" w:after="0"/>
        <w:ind w:left="567" w:hanging="567"/>
      </w:pPr>
      <w:r w:rsidRPr="00DB53C4">
        <w:t>Nastavení cílů komunikačních kampaní a jejich vyhodnocování</w:t>
      </w:r>
    </w:p>
    <w:p w:rsidR="000832C8" w:rsidRDefault="000832C8" w:rsidP="002F1239">
      <w:pPr>
        <w:spacing w:after="0"/>
      </w:pPr>
    </w:p>
    <w:p w:rsidR="00AA1570" w:rsidRDefault="00E73CE6" w:rsidP="002F1239">
      <w:pPr>
        <w:spacing w:after="0"/>
      </w:pPr>
      <w:r w:rsidRPr="00DB53C4">
        <w:t xml:space="preserve">Nastavené cíle u </w:t>
      </w:r>
      <w:r w:rsidR="005A7ADC" w:rsidRPr="00DB53C4">
        <w:t xml:space="preserve">jednotlivých </w:t>
      </w:r>
      <w:r w:rsidRPr="00DB53C4">
        <w:t>kontrolovaných komunikačních kampaní na</w:t>
      </w:r>
      <w:r w:rsidR="00C45C0D">
        <w:t xml:space="preserve"> podporu</w:t>
      </w:r>
      <w:r w:rsidRPr="00DB53C4">
        <w:t xml:space="preserve"> znač</w:t>
      </w:r>
      <w:r w:rsidR="00C45C0D">
        <w:t>e</w:t>
      </w:r>
      <w:r w:rsidRPr="00DB53C4">
        <w:t xml:space="preserve">k </w:t>
      </w:r>
      <w:r w:rsidR="00C45C0D">
        <w:t>„</w:t>
      </w:r>
      <w:r w:rsidRPr="00DB53C4">
        <w:t>Klasa</w:t>
      </w:r>
      <w:r w:rsidR="00C45C0D">
        <w:t>“</w:t>
      </w:r>
      <w:r w:rsidRPr="00DB53C4">
        <w:t xml:space="preserve">, </w:t>
      </w:r>
      <w:r w:rsidR="00C45C0D">
        <w:t>„</w:t>
      </w:r>
      <w:r w:rsidRPr="00DB53C4">
        <w:t>Regionální potravina</w:t>
      </w:r>
      <w:r w:rsidR="00C45C0D">
        <w:t>“</w:t>
      </w:r>
      <w:r w:rsidRPr="00DB53C4">
        <w:t xml:space="preserve"> a </w:t>
      </w:r>
      <w:r w:rsidR="00C45C0D">
        <w:t>„v</w:t>
      </w:r>
      <w:r w:rsidRPr="00DB53C4">
        <w:t>ína z Moravy, vína z</w:t>
      </w:r>
      <w:r w:rsidR="00C45C0D">
        <w:t> </w:t>
      </w:r>
      <w:r w:rsidRPr="00DB53C4">
        <w:t>Čech</w:t>
      </w:r>
      <w:r w:rsidR="00C45C0D">
        <w:t>“</w:t>
      </w:r>
      <w:r w:rsidR="009C048C" w:rsidRPr="00DB53C4">
        <w:t xml:space="preserve"> nebyly </w:t>
      </w:r>
      <w:r w:rsidR="002F12E2" w:rsidRPr="00DB53C4">
        <w:t xml:space="preserve">ve většině případů </w:t>
      </w:r>
      <w:r w:rsidR="003C28C0" w:rsidRPr="00DB53C4">
        <w:t>konkrétní</w:t>
      </w:r>
      <w:r w:rsidR="002F12E2" w:rsidRPr="00DB53C4">
        <w:t xml:space="preserve">, </w:t>
      </w:r>
      <w:r w:rsidR="009C048C" w:rsidRPr="00DB53C4">
        <w:t>neobsahovaly</w:t>
      </w:r>
      <w:r w:rsidR="002F12E2" w:rsidRPr="00DB53C4">
        <w:t xml:space="preserve"> výchozí ani cílové hodnoty</w:t>
      </w:r>
      <w:r w:rsidR="00C45C0D">
        <w:t>,</w:t>
      </w:r>
      <w:r w:rsidR="002F12E2" w:rsidRPr="00DB53C4">
        <w:t xml:space="preserve"> a </w:t>
      </w:r>
      <w:r w:rsidR="00C45C0D" w:rsidRPr="00DB53C4">
        <w:t xml:space="preserve">byly </w:t>
      </w:r>
      <w:r w:rsidR="002F12E2" w:rsidRPr="00DB53C4">
        <w:t xml:space="preserve">proto obtížně vyhodnotitelné. </w:t>
      </w:r>
      <w:r w:rsidR="00167BB1" w:rsidRPr="00DB53C4">
        <w:t xml:space="preserve">Přehled komunikačních kampaní </w:t>
      </w:r>
      <w:r w:rsidR="008D6298" w:rsidRPr="00DB53C4">
        <w:t>je uveden v </w:t>
      </w:r>
      <w:r w:rsidR="00C45C0D">
        <w:t>p</w:t>
      </w:r>
      <w:r w:rsidR="008D6298" w:rsidRPr="00DB53C4">
        <w:t>říloze č. 1 tohoto kontrolního závěru</w:t>
      </w:r>
      <w:r w:rsidR="00C45C0D">
        <w:t>;</w:t>
      </w:r>
      <w:r w:rsidR="008A56FD" w:rsidRPr="00DB53C4">
        <w:t xml:space="preserve"> </w:t>
      </w:r>
      <w:r w:rsidR="00C45C0D">
        <w:t>kampaně</w:t>
      </w:r>
      <w:r w:rsidR="00DB53C4" w:rsidRPr="00DB53C4">
        <w:t>,</w:t>
      </w:r>
      <w:r w:rsidR="008A56FD" w:rsidRPr="00DB53C4">
        <w:t xml:space="preserve"> </w:t>
      </w:r>
      <w:r w:rsidR="00BA0C0B">
        <w:t>které</w:t>
      </w:r>
      <w:r w:rsidR="007864A0" w:rsidRPr="00DB53C4">
        <w:t xml:space="preserve"> byly </w:t>
      </w:r>
      <w:r w:rsidR="008D6298" w:rsidRPr="00DB53C4">
        <w:t>předmětem kontroly NKÚ</w:t>
      </w:r>
      <w:r w:rsidR="00DB53C4" w:rsidRPr="00DB53C4">
        <w:t>,</w:t>
      </w:r>
      <w:r w:rsidR="008D6298" w:rsidRPr="00DB53C4">
        <w:t xml:space="preserve"> jsou zvýrazněny tučně.</w:t>
      </w:r>
    </w:p>
    <w:p w:rsidR="000832C8" w:rsidRDefault="000832C8" w:rsidP="002F1239">
      <w:pPr>
        <w:spacing w:after="0"/>
      </w:pPr>
    </w:p>
    <w:p w:rsidR="00701A2E" w:rsidRDefault="00701A2E" w:rsidP="002F1239">
      <w:pPr>
        <w:spacing w:after="0"/>
      </w:pPr>
    </w:p>
    <w:p w:rsidR="00AA1570" w:rsidRPr="00DB53C4" w:rsidRDefault="009151D9" w:rsidP="00AA1570">
      <w:pPr>
        <w:spacing w:after="0"/>
        <w:rPr>
          <w:rFonts w:cs="Arial"/>
        </w:rPr>
      </w:pPr>
      <w:r w:rsidRPr="00DB53C4">
        <w:rPr>
          <w:rFonts w:cs="Arial"/>
        </w:rPr>
        <w:lastRenderedPageBreak/>
        <w:t>Příklad cílů</w:t>
      </w:r>
      <w:r w:rsidR="00AA1570" w:rsidRPr="00DB53C4">
        <w:rPr>
          <w:rFonts w:cs="Arial"/>
        </w:rPr>
        <w:t xml:space="preserve"> pro komunikační kampaň na podporu značky </w:t>
      </w:r>
      <w:r w:rsidR="00C45C0D">
        <w:rPr>
          <w:rFonts w:cs="Arial"/>
        </w:rPr>
        <w:t>„</w:t>
      </w:r>
      <w:r w:rsidR="00AA1570" w:rsidRPr="00DB53C4">
        <w:rPr>
          <w:rFonts w:cs="Arial"/>
          <w:b/>
        </w:rPr>
        <w:t>Klasa</w:t>
      </w:r>
      <w:r w:rsidR="00C45C0D" w:rsidRPr="002F1239">
        <w:rPr>
          <w:rFonts w:cs="Arial"/>
        </w:rPr>
        <w:t>“</w:t>
      </w:r>
      <w:r w:rsidR="00AA1570" w:rsidRPr="00DB53C4">
        <w:rPr>
          <w:rFonts w:cs="Arial"/>
          <w:b/>
        </w:rPr>
        <w:t xml:space="preserve"> </w:t>
      </w:r>
      <w:r w:rsidR="00AA1570" w:rsidRPr="00DB53C4">
        <w:rPr>
          <w:rFonts w:cs="Arial"/>
        </w:rPr>
        <w:t>na období let 2009</w:t>
      </w:r>
      <w:r w:rsidRPr="00DB53C4">
        <w:rPr>
          <w:rFonts w:cs="Arial"/>
        </w:rPr>
        <w:t>–</w:t>
      </w:r>
      <w:r w:rsidR="00AA1570" w:rsidRPr="00DB53C4">
        <w:rPr>
          <w:rFonts w:cs="Arial"/>
        </w:rPr>
        <w:t>2011</w:t>
      </w:r>
      <w:r w:rsidRPr="00DB53C4">
        <w:rPr>
          <w:rFonts w:cs="Arial"/>
        </w:rPr>
        <w:t>:</w:t>
      </w:r>
    </w:p>
    <w:p w:rsidR="00AA1570" w:rsidRPr="00DB53C4" w:rsidRDefault="00863919" w:rsidP="00AA1570">
      <w:pPr>
        <w:pStyle w:val="Odstavecseseznamem"/>
        <w:numPr>
          <w:ilvl w:val="0"/>
          <w:numId w:val="23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AA1570" w:rsidRPr="00DB53C4">
        <w:rPr>
          <w:rFonts w:cs="Arial"/>
          <w:szCs w:val="22"/>
        </w:rPr>
        <w:t>aximální přiblížení značky cílovým spotřebitelům;</w:t>
      </w:r>
    </w:p>
    <w:p w:rsidR="00AA1570" w:rsidRPr="00DB53C4" w:rsidRDefault="00863919" w:rsidP="002F1239">
      <w:pPr>
        <w:pStyle w:val="Odstavecseseznamem"/>
        <w:numPr>
          <w:ilvl w:val="0"/>
          <w:numId w:val="23"/>
        </w:numPr>
        <w:spacing w:after="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AA1570" w:rsidRPr="00DB53C4">
        <w:rPr>
          <w:rFonts w:cs="Arial"/>
          <w:szCs w:val="22"/>
        </w:rPr>
        <w:t>výšit preferenci potravin označených znač</w:t>
      </w:r>
      <w:r w:rsidR="002F12E2" w:rsidRPr="00DB53C4">
        <w:rPr>
          <w:rFonts w:cs="Arial"/>
          <w:szCs w:val="22"/>
        </w:rPr>
        <w:t xml:space="preserve">kou </w:t>
      </w:r>
      <w:r>
        <w:rPr>
          <w:rFonts w:cs="Arial"/>
          <w:szCs w:val="22"/>
        </w:rPr>
        <w:t>„</w:t>
      </w:r>
      <w:r w:rsidR="002F12E2" w:rsidRPr="00DB53C4">
        <w:rPr>
          <w:rFonts w:cs="Arial"/>
          <w:szCs w:val="22"/>
        </w:rPr>
        <w:t>Klasa</w:t>
      </w:r>
      <w:r>
        <w:rPr>
          <w:rFonts w:cs="Arial"/>
          <w:szCs w:val="22"/>
        </w:rPr>
        <w:t>“</w:t>
      </w:r>
      <w:r w:rsidR="002F12E2" w:rsidRPr="00DB53C4">
        <w:rPr>
          <w:rFonts w:cs="Arial"/>
          <w:szCs w:val="22"/>
        </w:rPr>
        <w:t xml:space="preserve"> cílovými spotřebiteli.</w:t>
      </w:r>
    </w:p>
    <w:p w:rsidR="000832C8" w:rsidRDefault="000832C8" w:rsidP="00AA1570">
      <w:pPr>
        <w:spacing w:after="0"/>
        <w:rPr>
          <w:rFonts w:cs="Arial"/>
        </w:rPr>
      </w:pPr>
    </w:p>
    <w:p w:rsidR="00AA1570" w:rsidRPr="00DB53C4" w:rsidRDefault="009151D9" w:rsidP="00AA1570">
      <w:pPr>
        <w:spacing w:after="0"/>
        <w:rPr>
          <w:rFonts w:cs="Arial"/>
        </w:rPr>
      </w:pPr>
      <w:r w:rsidRPr="00DB53C4">
        <w:rPr>
          <w:rFonts w:cs="Arial"/>
        </w:rPr>
        <w:t>Příklad cílů</w:t>
      </w:r>
      <w:r w:rsidR="00AA1570" w:rsidRPr="00DB53C4">
        <w:rPr>
          <w:rFonts w:cs="Arial"/>
        </w:rPr>
        <w:t xml:space="preserve"> pro komunikační kampaň na podporu značky </w:t>
      </w:r>
      <w:r w:rsidR="00863919">
        <w:rPr>
          <w:rFonts w:cs="Arial"/>
        </w:rPr>
        <w:t>„</w:t>
      </w:r>
      <w:r w:rsidR="00AA1570" w:rsidRPr="00DB53C4">
        <w:rPr>
          <w:rFonts w:cs="Arial"/>
          <w:b/>
        </w:rPr>
        <w:t>Regionální potravina</w:t>
      </w:r>
      <w:r w:rsidR="00863919" w:rsidRPr="002F1239">
        <w:rPr>
          <w:rFonts w:cs="Arial"/>
        </w:rPr>
        <w:t>“</w:t>
      </w:r>
      <w:r w:rsidR="00AA1570" w:rsidRPr="00DB53C4">
        <w:rPr>
          <w:rFonts w:cs="Arial"/>
        </w:rPr>
        <w:t xml:space="preserve"> na rok 2011</w:t>
      </w:r>
      <w:r w:rsidRPr="00DB53C4">
        <w:rPr>
          <w:rFonts w:cs="Arial"/>
        </w:rPr>
        <w:t>:</w:t>
      </w:r>
    </w:p>
    <w:p w:rsidR="00AA1570" w:rsidRPr="00DB53C4" w:rsidRDefault="00863919" w:rsidP="00AA1570">
      <w:pPr>
        <w:pStyle w:val="Odstavecseseznamem"/>
        <w:numPr>
          <w:ilvl w:val="0"/>
          <w:numId w:val="2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9151D9" w:rsidRPr="00DB53C4">
        <w:rPr>
          <w:rFonts w:cs="Arial"/>
          <w:szCs w:val="22"/>
        </w:rPr>
        <w:t xml:space="preserve">avázat na informační kampaň </w:t>
      </w:r>
      <w:r w:rsidR="00AA1570" w:rsidRPr="00DB53C4">
        <w:rPr>
          <w:rFonts w:cs="Arial"/>
          <w:szCs w:val="22"/>
        </w:rPr>
        <w:t xml:space="preserve">a dále zvyšovat a posilovat pozitivní vnímání značky </w:t>
      </w:r>
      <w:r>
        <w:rPr>
          <w:rFonts w:cs="Arial"/>
          <w:szCs w:val="22"/>
        </w:rPr>
        <w:t>„</w:t>
      </w:r>
      <w:r w:rsidR="00AA1570" w:rsidRPr="00DB53C4">
        <w:rPr>
          <w:rFonts w:cs="Arial"/>
          <w:szCs w:val="22"/>
        </w:rPr>
        <w:t xml:space="preserve">Regionální </w:t>
      </w:r>
      <w:r w:rsidR="009151D9" w:rsidRPr="00DB53C4">
        <w:rPr>
          <w:rFonts w:cs="Arial"/>
          <w:szCs w:val="22"/>
        </w:rPr>
        <w:t>potravina</w:t>
      </w:r>
      <w:r>
        <w:rPr>
          <w:rFonts w:cs="Arial"/>
          <w:szCs w:val="22"/>
        </w:rPr>
        <w:t>“</w:t>
      </w:r>
      <w:r w:rsidR="009151D9" w:rsidRPr="00DB53C4">
        <w:rPr>
          <w:rFonts w:cs="Arial"/>
          <w:szCs w:val="22"/>
        </w:rPr>
        <w:t xml:space="preserve"> a oceněných produktů</w:t>
      </w:r>
      <w:r>
        <w:rPr>
          <w:rFonts w:cs="Arial"/>
          <w:szCs w:val="22"/>
        </w:rPr>
        <w:t>;</w:t>
      </w:r>
    </w:p>
    <w:p w:rsidR="00AA1570" w:rsidRPr="00DB53C4" w:rsidRDefault="00863919" w:rsidP="002F1239">
      <w:pPr>
        <w:pStyle w:val="Odstavecseseznamem"/>
        <w:numPr>
          <w:ilvl w:val="0"/>
          <w:numId w:val="24"/>
        </w:numPr>
        <w:spacing w:after="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AA1570" w:rsidRPr="00DB53C4">
        <w:rPr>
          <w:rFonts w:cs="Arial"/>
          <w:szCs w:val="22"/>
        </w:rPr>
        <w:t>osilovat vazby veřejnosti k danému regionu a zdůrazňovat výhodnost spotřeby místních potravin ve vztahu k rozvoji regionu, a tím i podpoře zaměs</w:t>
      </w:r>
      <w:r w:rsidR="00257EB9" w:rsidRPr="00DB53C4">
        <w:rPr>
          <w:rFonts w:cs="Arial"/>
          <w:szCs w:val="22"/>
        </w:rPr>
        <w:t xml:space="preserve">tnanosti a </w:t>
      </w:r>
      <w:r w:rsidR="002F12E2" w:rsidRPr="00DB53C4">
        <w:rPr>
          <w:rFonts w:cs="Arial"/>
          <w:szCs w:val="22"/>
        </w:rPr>
        <w:t>cestovního ruchu.</w:t>
      </w:r>
    </w:p>
    <w:p w:rsidR="000832C8" w:rsidRDefault="000832C8" w:rsidP="009151D9">
      <w:pPr>
        <w:spacing w:after="0"/>
        <w:rPr>
          <w:rFonts w:cs="Arial"/>
        </w:rPr>
      </w:pPr>
    </w:p>
    <w:p w:rsidR="009151D9" w:rsidRPr="00DB53C4" w:rsidRDefault="009151D9" w:rsidP="009151D9">
      <w:pPr>
        <w:spacing w:after="0"/>
        <w:rPr>
          <w:rFonts w:cs="Arial"/>
          <w:b/>
        </w:rPr>
      </w:pPr>
      <w:r w:rsidRPr="00DB53C4">
        <w:rPr>
          <w:rFonts w:cs="Arial"/>
        </w:rPr>
        <w:t xml:space="preserve">Příklad cílů komunikační kampaně na podporu značky </w:t>
      </w:r>
      <w:r w:rsidR="00863919">
        <w:rPr>
          <w:rFonts w:cs="Arial"/>
        </w:rPr>
        <w:t>„</w:t>
      </w:r>
      <w:r w:rsidR="00863919">
        <w:rPr>
          <w:rFonts w:cs="Arial"/>
          <w:b/>
        </w:rPr>
        <w:t>v</w:t>
      </w:r>
      <w:r w:rsidRPr="00DB53C4">
        <w:rPr>
          <w:rFonts w:cs="Arial"/>
          <w:b/>
        </w:rPr>
        <w:t>ína z Moravy, vína z</w:t>
      </w:r>
      <w:r w:rsidR="00863919">
        <w:rPr>
          <w:rFonts w:cs="Arial"/>
          <w:b/>
        </w:rPr>
        <w:t> </w:t>
      </w:r>
      <w:r w:rsidRPr="00DB53C4">
        <w:rPr>
          <w:rFonts w:cs="Arial"/>
          <w:b/>
        </w:rPr>
        <w:t>Čech</w:t>
      </w:r>
      <w:r w:rsidR="00863919" w:rsidRPr="002F1239">
        <w:rPr>
          <w:rFonts w:cs="Arial"/>
        </w:rPr>
        <w:t>“</w:t>
      </w:r>
      <w:r w:rsidRPr="00DB53C4">
        <w:rPr>
          <w:rFonts w:cs="Arial"/>
        </w:rPr>
        <w:t xml:space="preserve"> na období let 2010–2012:</w:t>
      </w:r>
    </w:p>
    <w:p w:rsidR="009151D9" w:rsidRPr="00DB53C4" w:rsidRDefault="00863919" w:rsidP="009151D9">
      <w:pPr>
        <w:pStyle w:val="Odstavecseseznamem"/>
        <w:numPr>
          <w:ilvl w:val="0"/>
          <w:numId w:val="25"/>
        </w:numPr>
        <w:spacing w:after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</w:t>
      </w:r>
      <w:r w:rsidR="009151D9" w:rsidRPr="00DB53C4">
        <w:rPr>
          <w:rFonts w:cs="Arial"/>
          <w:bCs/>
          <w:szCs w:val="22"/>
        </w:rPr>
        <w:t>odpořit hrdost u vinařů, komunikovat plánované akce se značkou tak, aby se vinaři aktivně zapojili;</w:t>
      </w:r>
    </w:p>
    <w:p w:rsidR="009151D9" w:rsidRPr="00DB53C4" w:rsidRDefault="00863919" w:rsidP="002F1239">
      <w:pPr>
        <w:pStyle w:val="Odstavecseseznamem"/>
        <w:numPr>
          <w:ilvl w:val="0"/>
          <w:numId w:val="25"/>
        </w:numPr>
        <w:spacing w:after="0"/>
        <w:ind w:left="714" w:hanging="35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</w:t>
      </w:r>
      <w:r w:rsidR="009151D9" w:rsidRPr="00DB53C4">
        <w:rPr>
          <w:rFonts w:cs="Arial"/>
          <w:bCs/>
          <w:szCs w:val="22"/>
        </w:rPr>
        <w:t>osáhnout co největšího množství ochutnávek a letákový</w:t>
      </w:r>
      <w:r w:rsidR="009D19BD" w:rsidRPr="00DB53C4">
        <w:rPr>
          <w:rFonts w:cs="Arial"/>
          <w:bCs/>
          <w:szCs w:val="22"/>
        </w:rPr>
        <w:t>ch akcí za optimálních podmínek</w:t>
      </w:r>
      <w:r w:rsidR="002F12E2" w:rsidRPr="00DB53C4">
        <w:rPr>
          <w:rFonts w:cs="Arial"/>
          <w:bCs/>
          <w:szCs w:val="22"/>
        </w:rPr>
        <w:t>.</w:t>
      </w:r>
    </w:p>
    <w:p w:rsidR="000832C8" w:rsidRDefault="000832C8" w:rsidP="002F1239">
      <w:pPr>
        <w:spacing w:after="0"/>
      </w:pPr>
    </w:p>
    <w:p w:rsidR="002A4CCA" w:rsidRDefault="00C82FA8" w:rsidP="002F1239">
      <w:pPr>
        <w:spacing w:after="0"/>
      </w:pPr>
      <w:r w:rsidRPr="00DB53C4">
        <w:t>Určité zlepšení v nastavení cílů komunikačních kampaní</w:t>
      </w:r>
      <w:r w:rsidR="003C28C0" w:rsidRPr="00DB53C4">
        <w:t xml:space="preserve"> </w:t>
      </w:r>
      <w:r w:rsidRPr="00DB53C4">
        <w:t xml:space="preserve">bylo zjištěno u komunikační kampaně </w:t>
      </w:r>
      <w:r w:rsidR="00863919">
        <w:t>pro</w:t>
      </w:r>
      <w:r w:rsidRPr="00DB53C4">
        <w:t xml:space="preserve"> značku </w:t>
      </w:r>
      <w:r w:rsidR="00863919">
        <w:t>„</w:t>
      </w:r>
      <w:r w:rsidRPr="00DB53C4">
        <w:t>Klasa</w:t>
      </w:r>
      <w:r w:rsidR="00863919">
        <w:t>“</w:t>
      </w:r>
      <w:r w:rsidRPr="00DB53C4">
        <w:t xml:space="preserve"> na období let</w:t>
      </w:r>
      <w:r w:rsidR="003A200D" w:rsidRPr="00DB53C4">
        <w:t xml:space="preserve"> 2012 a 2013</w:t>
      </w:r>
      <w:r w:rsidRPr="00DB53C4">
        <w:t xml:space="preserve"> a komunikační kampaně </w:t>
      </w:r>
      <w:r w:rsidR="00863919">
        <w:t>pro</w:t>
      </w:r>
      <w:r w:rsidRPr="00DB53C4">
        <w:t xml:space="preserve"> značku </w:t>
      </w:r>
      <w:r w:rsidR="00863919">
        <w:t>„v</w:t>
      </w:r>
      <w:r w:rsidRPr="00DB53C4">
        <w:t>ína z Moravy, vína z</w:t>
      </w:r>
      <w:r w:rsidR="00863919">
        <w:t> </w:t>
      </w:r>
      <w:r w:rsidRPr="00DB53C4">
        <w:t>Čech</w:t>
      </w:r>
      <w:r w:rsidR="00863919">
        <w:t>“</w:t>
      </w:r>
      <w:r w:rsidRPr="00DB53C4">
        <w:t xml:space="preserve"> na období let 2013–2015. SZIF </w:t>
      </w:r>
      <w:r w:rsidR="003C28C0" w:rsidRPr="00DB53C4">
        <w:t xml:space="preserve">nastavil </w:t>
      </w:r>
      <w:r w:rsidR="001F68D0" w:rsidRPr="00DB53C4">
        <w:t xml:space="preserve">některé </w:t>
      </w:r>
      <w:r w:rsidR="00160C88" w:rsidRPr="00DB53C4">
        <w:t xml:space="preserve">dílčí </w:t>
      </w:r>
      <w:r w:rsidR="003C28C0" w:rsidRPr="00DB53C4">
        <w:t xml:space="preserve">cíle komunikační kampaně tak, </w:t>
      </w:r>
      <w:r w:rsidRPr="00DB53C4">
        <w:t>že byly konkrétní a</w:t>
      </w:r>
      <w:r w:rsidR="003C28C0" w:rsidRPr="00DB53C4">
        <w:t xml:space="preserve"> měřitelné</w:t>
      </w:r>
      <w:r w:rsidR="00FD16A2" w:rsidRPr="00DB53C4">
        <w:t>, ty</w:t>
      </w:r>
      <w:r w:rsidR="003C28C0" w:rsidRPr="00DB53C4">
        <w:t>to</w:t>
      </w:r>
      <w:r w:rsidR="00FD16A2" w:rsidRPr="00DB53C4">
        <w:t xml:space="preserve"> </w:t>
      </w:r>
      <w:r w:rsidR="003C28C0" w:rsidRPr="00DB53C4">
        <w:t xml:space="preserve">cíle </w:t>
      </w:r>
      <w:r w:rsidR="00FD16A2" w:rsidRPr="00DB53C4">
        <w:t>však nenavazovaly</w:t>
      </w:r>
      <w:r w:rsidR="003A200D" w:rsidRPr="00DB53C4">
        <w:t xml:space="preserve"> svý</w:t>
      </w:r>
      <w:r w:rsidR="00781A5D" w:rsidRPr="00DB53C4">
        <w:t>m z</w:t>
      </w:r>
      <w:r w:rsidR="00DF1EC2" w:rsidRPr="00DB53C4">
        <w:t xml:space="preserve">aměřením na </w:t>
      </w:r>
      <w:r w:rsidR="003C28C0" w:rsidRPr="00DB53C4">
        <w:t xml:space="preserve">nastavené </w:t>
      </w:r>
      <w:r w:rsidR="00DF1EC2" w:rsidRPr="00DB53C4">
        <w:t>strategické cíle</w:t>
      </w:r>
      <w:r w:rsidR="003C28C0" w:rsidRPr="00DB53C4">
        <w:t xml:space="preserve"> značky </w:t>
      </w:r>
      <w:r w:rsidR="00863919">
        <w:t>„</w:t>
      </w:r>
      <w:r w:rsidR="003C28C0" w:rsidRPr="00DB53C4">
        <w:t>Klasa</w:t>
      </w:r>
      <w:r w:rsidR="00863919">
        <w:t>“</w:t>
      </w:r>
      <w:r w:rsidR="00DF1EC2" w:rsidRPr="00DB53C4">
        <w:t xml:space="preserve">. </w:t>
      </w:r>
      <w:r w:rsidRPr="00DB53C4">
        <w:t>Cíle nastavené V</w:t>
      </w:r>
      <w:r w:rsidR="00863919">
        <w:t>inařským fondem</w:t>
      </w:r>
      <w:r w:rsidRPr="00DB53C4">
        <w:t xml:space="preserve"> byly konkrétní</w:t>
      </w:r>
      <w:r w:rsidR="00AA1570" w:rsidRPr="00DB53C4">
        <w:t xml:space="preserve"> a</w:t>
      </w:r>
      <w:r w:rsidR="00863919">
        <w:t> </w:t>
      </w:r>
      <w:r w:rsidR="00AA1570" w:rsidRPr="00DB53C4">
        <w:t>měřitelné</w:t>
      </w:r>
      <w:r w:rsidRPr="00DB53C4">
        <w:t>, ale u některých z nich VF nenastavil výchozí ani cílové hodnoty</w:t>
      </w:r>
      <w:r w:rsidR="00863919">
        <w:t>.</w:t>
      </w:r>
    </w:p>
    <w:p w:rsidR="000832C8" w:rsidRPr="00DB53C4" w:rsidRDefault="000832C8" w:rsidP="002F1239">
      <w:pPr>
        <w:spacing w:after="0"/>
      </w:pPr>
    </w:p>
    <w:p w:rsidR="00800738" w:rsidRDefault="00A17CCA" w:rsidP="002F1239">
      <w:pPr>
        <w:spacing w:after="0"/>
      </w:pPr>
      <w:r w:rsidRPr="00DB53C4">
        <w:t>U</w:t>
      </w:r>
      <w:r w:rsidR="00800738" w:rsidRPr="00DB53C4">
        <w:t xml:space="preserve"> žádné z komunikačních kampaní </w:t>
      </w:r>
      <w:proofErr w:type="spellStart"/>
      <w:r w:rsidRPr="00DB53C4">
        <w:t>MZe</w:t>
      </w:r>
      <w:proofErr w:type="spellEnd"/>
      <w:r w:rsidRPr="00DB53C4">
        <w:t>, SZIF a</w:t>
      </w:r>
      <w:r w:rsidR="00800738" w:rsidRPr="00DB53C4">
        <w:t xml:space="preserve">ni VF </w:t>
      </w:r>
      <w:r w:rsidRPr="00DB53C4">
        <w:t xml:space="preserve">nenastavily metodiku nebo způsob </w:t>
      </w:r>
      <w:r w:rsidR="00432232">
        <w:t>vyhodnocování</w:t>
      </w:r>
      <w:r w:rsidR="00432232" w:rsidRPr="00DB53C4">
        <w:t xml:space="preserve"> </w:t>
      </w:r>
      <w:r w:rsidR="00432232">
        <w:t xml:space="preserve">stanovených dílčích cílů </w:t>
      </w:r>
      <w:r w:rsidR="00800738" w:rsidRPr="00DB53C4">
        <w:t xml:space="preserve">a ani v průběhu realizace komunikačních kampaní </w:t>
      </w:r>
      <w:r w:rsidR="00432232" w:rsidRPr="00DB53C4">
        <w:t>nekontrolovaly</w:t>
      </w:r>
      <w:r w:rsidR="00432232">
        <w:t>, příp.</w:t>
      </w:r>
      <w:r w:rsidR="00432232" w:rsidRPr="00DB53C4">
        <w:t xml:space="preserve"> neověřovaly</w:t>
      </w:r>
      <w:r w:rsidR="00432232">
        <w:t>,</w:t>
      </w:r>
      <w:r w:rsidR="00432232" w:rsidRPr="00DB53C4">
        <w:t xml:space="preserve"> </w:t>
      </w:r>
      <w:r w:rsidR="00800738" w:rsidRPr="00DB53C4">
        <w:t xml:space="preserve">naplňování </w:t>
      </w:r>
      <w:r w:rsidR="00432232">
        <w:t>těchto cílů.</w:t>
      </w:r>
    </w:p>
    <w:p w:rsidR="000832C8" w:rsidRPr="00DB53C4" w:rsidRDefault="000832C8" w:rsidP="002F1239">
      <w:pPr>
        <w:spacing w:after="0"/>
      </w:pPr>
    </w:p>
    <w:p w:rsidR="00B17EB2" w:rsidRPr="00DB53C4" w:rsidRDefault="00A17CCA" w:rsidP="002F1239">
      <w:pPr>
        <w:spacing w:after="0"/>
      </w:pPr>
      <w:r w:rsidRPr="00DB53C4">
        <w:t xml:space="preserve">Po skončení komunikačních kampaní </w:t>
      </w:r>
      <w:proofErr w:type="spellStart"/>
      <w:r w:rsidR="00191B6E" w:rsidRPr="00DB53C4">
        <w:t>MZe</w:t>
      </w:r>
      <w:proofErr w:type="spellEnd"/>
      <w:r w:rsidR="00A54C9B" w:rsidRPr="00DB53C4">
        <w:t xml:space="preserve">, SZIF a VF zjišťovaly výsledky některých dílčích aktivit realizovaných v rámci </w:t>
      </w:r>
      <w:r w:rsidR="00AA6FA4" w:rsidRPr="00DB53C4">
        <w:t>dané komunikační kampaně (např. počet zobrazení reklamního banneru, počet návštěvníků na realizovaných akcích apod.).</w:t>
      </w:r>
      <w:r w:rsidR="00A54C9B" w:rsidRPr="00DB53C4">
        <w:t xml:space="preserve"> </w:t>
      </w:r>
      <w:r w:rsidR="00B169B7" w:rsidRPr="00DB53C4">
        <w:t>Plnění cílů</w:t>
      </w:r>
      <w:r w:rsidR="00191B6E" w:rsidRPr="00DB53C4">
        <w:t xml:space="preserve"> </w:t>
      </w:r>
      <w:r w:rsidR="00A54C9B" w:rsidRPr="00DB53C4">
        <w:t xml:space="preserve">komunikačních kampaní </w:t>
      </w:r>
      <w:r w:rsidR="00AA6FA4" w:rsidRPr="00DB53C4">
        <w:t xml:space="preserve">však </w:t>
      </w:r>
      <w:proofErr w:type="spellStart"/>
      <w:r w:rsidR="00A54C9B" w:rsidRPr="00DB53C4">
        <w:t>MZe</w:t>
      </w:r>
      <w:proofErr w:type="spellEnd"/>
      <w:r w:rsidR="00A54C9B" w:rsidRPr="00DB53C4">
        <w:t xml:space="preserve"> </w:t>
      </w:r>
      <w:r w:rsidR="00191B6E" w:rsidRPr="00DB53C4">
        <w:t xml:space="preserve">nevyhodnotilo, stejně tak </w:t>
      </w:r>
      <w:r w:rsidR="00A54C9B" w:rsidRPr="00DB53C4">
        <w:t xml:space="preserve">tyto </w:t>
      </w:r>
      <w:r w:rsidR="00CC2528" w:rsidRPr="00DB53C4">
        <w:t>cíle nevyhodnocoval ani</w:t>
      </w:r>
      <w:r w:rsidR="00432232">
        <w:t xml:space="preserve"> </w:t>
      </w:r>
      <w:r w:rsidR="00191B6E" w:rsidRPr="00DB53C4">
        <w:t>Vinařsk</w:t>
      </w:r>
      <w:r w:rsidR="00432232">
        <w:t>ý</w:t>
      </w:r>
      <w:r w:rsidR="00191B6E" w:rsidRPr="00DB53C4">
        <w:t xml:space="preserve"> fond. </w:t>
      </w:r>
      <w:r w:rsidRPr="00DB53C4">
        <w:t>SZIF u</w:t>
      </w:r>
      <w:r w:rsidR="00EF5DB9">
        <w:t> </w:t>
      </w:r>
      <w:r w:rsidRPr="00DB53C4">
        <w:t xml:space="preserve">komunikačních kampaní </w:t>
      </w:r>
      <w:r w:rsidR="00F23A00" w:rsidRPr="00DB53C4">
        <w:t xml:space="preserve">na </w:t>
      </w:r>
      <w:r w:rsidR="00432232">
        <w:t xml:space="preserve">podporu </w:t>
      </w:r>
      <w:r w:rsidR="00F23A00" w:rsidRPr="00DB53C4">
        <w:t>znač</w:t>
      </w:r>
      <w:r w:rsidR="00432232">
        <w:t>ek</w:t>
      </w:r>
      <w:r w:rsidRPr="00DB53C4">
        <w:t xml:space="preserve"> </w:t>
      </w:r>
      <w:r w:rsidR="00432232">
        <w:t>„</w:t>
      </w:r>
      <w:r w:rsidRPr="00DB53C4">
        <w:t>Klasa</w:t>
      </w:r>
      <w:r w:rsidR="00432232">
        <w:t>“</w:t>
      </w:r>
      <w:r w:rsidRPr="00DB53C4">
        <w:t xml:space="preserve"> </w:t>
      </w:r>
      <w:r w:rsidR="00B17EB2" w:rsidRPr="00DB53C4">
        <w:t xml:space="preserve">a </w:t>
      </w:r>
      <w:r w:rsidR="00432232">
        <w:t>„</w:t>
      </w:r>
      <w:r w:rsidR="00B17EB2" w:rsidRPr="00DB53C4">
        <w:t>Regionální potravina</w:t>
      </w:r>
      <w:r w:rsidR="00432232">
        <w:t>“</w:t>
      </w:r>
      <w:r w:rsidR="00B17EB2" w:rsidRPr="00DB53C4">
        <w:t xml:space="preserve"> </w:t>
      </w:r>
      <w:r w:rsidR="003143DA" w:rsidRPr="00DB53C4">
        <w:t xml:space="preserve">vyhodnocoval </w:t>
      </w:r>
      <w:r w:rsidRPr="00DB53C4">
        <w:t xml:space="preserve">pouze některé cíle, často </w:t>
      </w:r>
      <w:r w:rsidR="00432232">
        <w:t>však</w:t>
      </w:r>
      <w:r w:rsidR="00432232" w:rsidRPr="00DB53C4">
        <w:t xml:space="preserve"> </w:t>
      </w:r>
      <w:r w:rsidRPr="00DB53C4">
        <w:t>nesprávným či zavádějícím způsobem</w:t>
      </w:r>
      <w:r w:rsidR="00B17EB2" w:rsidRPr="00DB53C4">
        <w:t>, např.:</w:t>
      </w:r>
    </w:p>
    <w:p w:rsidR="00800738" w:rsidRPr="00DB53C4" w:rsidRDefault="00800738" w:rsidP="00441A53">
      <w:pPr>
        <w:pStyle w:val="Odstavecseseznamem"/>
        <w:numPr>
          <w:ilvl w:val="0"/>
          <w:numId w:val="3"/>
        </w:numPr>
        <w:spacing w:after="0"/>
        <w:ind w:hanging="294"/>
      </w:pPr>
      <w:r w:rsidRPr="00DB53C4">
        <w:t>Ke</w:t>
      </w:r>
      <w:r w:rsidR="00652629">
        <w:t xml:space="preserve"> </w:t>
      </w:r>
      <w:r w:rsidRPr="00DB53C4">
        <w:t>zhodnocení komunikační</w:t>
      </w:r>
      <w:r w:rsidR="00CC2528" w:rsidRPr="00DB53C4">
        <w:t>ch kampaní</w:t>
      </w:r>
      <w:r w:rsidRPr="00DB53C4">
        <w:t xml:space="preserve"> </w:t>
      </w:r>
      <w:r w:rsidR="00652629">
        <w:t>pro</w:t>
      </w:r>
      <w:r w:rsidRPr="00DB53C4">
        <w:t xml:space="preserve"> značk</w:t>
      </w:r>
      <w:r w:rsidR="00652629">
        <w:t>y</w:t>
      </w:r>
      <w:r w:rsidRPr="00DB53C4">
        <w:t xml:space="preserve"> </w:t>
      </w:r>
      <w:r w:rsidR="00652629">
        <w:t>„</w:t>
      </w:r>
      <w:r w:rsidRPr="00DB53C4">
        <w:t>Klasa</w:t>
      </w:r>
      <w:r w:rsidR="00652629">
        <w:t>“</w:t>
      </w:r>
      <w:r w:rsidR="00CC2528" w:rsidRPr="00DB53C4">
        <w:t xml:space="preserve"> </w:t>
      </w:r>
      <w:r w:rsidR="00B04725" w:rsidRPr="00DB53C4">
        <w:t xml:space="preserve">a </w:t>
      </w:r>
      <w:r w:rsidR="00652629">
        <w:t>„</w:t>
      </w:r>
      <w:r w:rsidR="00B04725" w:rsidRPr="00DB53C4">
        <w:t>Regionální potravina</w:t>
      </w:r>
      <w:r w:rsidR="00652629">
        <w:t>“</w:t>
      </w:r>
      <w:r w:rsidR="00B04725" w:rsidRPr="00DB53C4">
        <w:t xml:space="preserve"> </w:t>
      </w:r>
      <w:r w:rsidR="00FA346E" w:rsidRPr="00DB53C4">
        <w:t>na</w:t>
      </w:r>
      <w:r w:rsidR="00652629">
        <w:t xml:space="preserve"> </w:t>
      </w:r>
      <w:r w:rsidR="00CC2528" w:rsidRPr="00DB53C4">
        <w:t>období let 2012</w:t>
      </w:r>
      <w:r w:rsidR="00C77731">
        <w:t>–</w:t>
      </w:r>
      <w:r w:rsidR="00CC2528" w:rsidRPr="00DB53C4">
        <w:t xml:space="preserve">2013 </w:t>
      </w:r>
      <w:r w:rsidR="00652629" w:rsidRPr="00DB53C4">
        <w:t xml:space="preserve">použil </w:t>
      </w:r>
      <w:r w:rsidR="005A7ADC" w:rsidRPr="00DB53C4">
        <w:t>SZIF mj. prů</w:t>
      </w:r>
      <w:r w:rsidRPr="00DB53C4">
        <w:t>zkum, ve kterém byli respondenti nejprv</w:t>
      </w:r>
      <w:r w:rsidR="00CC2528" w:rsidRPr="00DB53C4">
        <w:t>e dotázáni, zda někdy slyšeli o </w:t>
      </w:r>
      <w:r w:rsidRPr="00DB53C4">
        <w:t xml:space="preserve">nějakých značkách kvality potravin. </w:t>
      </w:r>
      <w:r w:rsidR="005A7ADC" w:rsidRPr="00DB53C4">
        <w:t>Do vzorku pak byli zahrnuti p</w:t>
      </w:r>
      <w:r w:rsidRPr="00DB53C4">
        <w:t>ouze ti respo</w:t>
      </w:r>
      <w:r w:rsidR="005A7ADC" w:rsidRPr="00DB53C4">
        <w:t>ndenti, kteří odpověděli kladně</w:t>
      </w:r>
      <w:r w:rsidR="00652629">
        <w:t>,</w:t>
      </w:r>
      <w:r w:rsidR="005A7ADC" w:rsidRPr="00DB53C4">
        <w:t xml:space="preserve"> a ti</w:t>
      </w:r>
      <w:r w:rsidRPr="00DB53C4">
        <w:t xml:space="preserve"> byli následně dotázáni, které konkrétní značky znají. Nejednalo se tedy o zjišťování spontánní</w:t>
      </w:r>
      <w:r w:rsidR="00B169B7" w:rsidRPr="00DB53C4">
        <w:t>, ale podpořené</w:t>
      </w:r>
      <w:r w:rsidRPr="00DB53C4">
        <w:t xml:space="preserve"> znalosti značek</w:t>
      </w:r>
      <w:r w:rsidR="00B169B7" w:rsidRPr="00DB53C4">
        <w:t>. P</w:t>
      </w:r>
      <w:r w:rsidRPr="00DB53C4">
        <w:t>řesto SZIF tyto výsledky jako spontánní znalost značek prezentoval.</w:t>
      </w:r>
      <w:r w:rsidR="00257EB9" w:rsidRPr="00DB53C4">
        <w:rPr>
          <w:rStyle w:val="Znakapoznpodarou"/>
        </w:rPr>
        <w:footnoteReference w:id="9"/>
      </w:r>
    </w:p>
    <w:p w:rsidR="00485BB5" w:rsidRPr="00DB53C4" w:rsidRDefault="00B17EB2" w:rsidP="006C5297">
      <w:pPr>
        <w:pStyle w:val="Odstavecseseznamem"/>
        <w:numPr>
          <w:ilvl w:val="0"/>
          <w:numId w:val="3"/>
        </w:numPr>
        <w:spacing w:after="0"/>
        <w:ind w:hanging="294"/>
      </w:pPr>
      <w:r w:rsidRPr="00DB53C4">
        <w:t xml:space="preserve">SZIF použil ke zhodnocení </w:t>
      </w:r>
      <w:r w:rsidR="000E0C1E" w:rsidRPr="00DB53C4">
        <w:t xml:space="preserve">výše uvedené </w:t>
      </w:r>
      <w:r w:rsidR="00485BB5" w:rsidRPr="00DB53C4">
        <w:t xml:space="preserve">komunikační </w:t>
      </w:r>
      <w:r w:rsidRPr="00DB53C4">
        <w:t xml:space="preserve">kampaně na </w:t>
      </w:r>
      <w:r w:rsidR="00652629">
        <w:t xml:space="preserve">podporu </w:t>
      </w:r>
      <w:r w:rsidR="00485BB5" w:rsidRPr="00DB53C4">
        <w:t>značk</w:t>
      </w:r>
      <w:r w:rsidR="00652629">
        <w:t>y</w:t>
      </w:r>
      <w:r w:rsidR="000E0C1E" w:rsidRPr="00DB53C4">
        <w:t xml:space="preserve"> </w:t>
      </w:r>
      <w:r w:rsidR="00652629">
        <w:t>„</w:t>
      </w:r>
      <w:r w:rsidR="000E0C1E" w:rsidRPr="00DB53C4">
        <w:t>Klasa</w:t>
      </w:r>
      <w:r w:rsidR="00652629">
        <w:t>“</w:t>
      </w:r>
      <w:r w:rsidR="000E0C1E" w:rsidRPr="00DB53C4">
        <w:t xml:space="preserve"> </w:t>
      </w:r>
      <w:r w:rsidR="00FA346E" w:rsidRPr="00DB53C4">
        <w:t>mj. </w:t>
      </w:r>
      <w:r w:rsidR="005A7ADC" w:rsidRPr="00DB53C4">
        <w:t>prů</w:t>
      </w:r>
      <w:r w:rsidRPr="00DB53C4">
        <w:t xml:space="preserve">zkum, ve kterém byly zaměněny údaje o spontánní a podpořené znalosti značky, přičemž tyto </w:t>
      </w:r>
      <w:r w:rsidR="00652629">
        <w:t>údaje</w:t>
      </w:r>
      <w:r w:rsidR="00652629" w:rsidRPr="00DB53C4">
        <w:t xml:space="preserve"> </w:t>
      </w:r>
      <w:r w:rsidRPr="00DB53C4">
        <w:t>považuje SZIF za klíčové ukazatele</w:t>
      </w:r>
      <w:r w:rsidR="00B169B7" w:rsidRPr="00DB53C4">
        <w:t xml:space="preserve"> úspěšnosti komunikační kampaně</w:t>
      </w:r>
      <w:r w:rsidRPr="00DB53C4">
        <w:t xml:space="preserve">. </w:t>
      </w:r>
      <w:r w:rsidR="005F190F" w:rsidRPr="00DB53C4">
        <w:t>V důsledku</w:t>
      </w:r>
      <w:r w:rsidRPr="00DB53C4">
        <w:t xml:space="preserve"> toho SZIF uváděl ve svém </w:t>
      </w:r>
      <w:r w:rsidR="00652629">
        <w:t>vy</w:t>
      </w:r>
      <w:r w:rsidRPr="00DB53C4">
        <w:t>hodnocení vyšší míru spontánní z</w:t>
      </w:r>
      <w:r w:rsidR="005A7ADC" w:rsidRPr="00DB53C4">
        <w:t xml:space="preserve">nalosti značky </w:t>
      </w:r>
      <w:r w:rsidR="00652629">
        <w:t>„</w:t>
      </w:r>
      <w:r w:rsidR="005A7ADC" w:rsidRPr="00DB53C4">
        <w:t>Klasa</w:t>
      </w:r>
      <w:r w:rsidR="00652629">
        <w:t>“</w:t>
      </w:r>
      <w:r w:rsidR="005A7ADC" w:rsidRPr="00DB53C4">
        <w:t xml:space="preserve">, než </w:t>
      </w:r>
      <w:r w:rsidR="00652629">
        <w:t xml:space="preserve">jaká </w:t>
      </w:r>
      <w:r w:rsidR="005A7ADC" w:rsidRPr="00DB53C4">
        <w:t>z prů</w:t>
      </w:r>
      <w:r w:rsidRPr="00DB53C4">
        <w:t xml:space="preserve">zkumu </w:t>
      </w:r>
      <w:r w:rsidR="002B59BA" w:rsidRPr="00DB53C4">
        <w:t xml:space="preserve">skutečně </w:t>
      </w:r>
      <w:r w:rsidRPr="00DB53C4">
        <w:t>vy</w:t>
      </w:r>
      <w:r w:rsidR="00191B6E" w:rsidRPr="00DB53C4">
        <w:t>plynula</w:t>
      </w:r>
      <w:r w:rsidRPr="00DB53C4">
        <w:t xml:space="preserve">. </w:t>
      </w:r>
    </w:p>
    <w:p w:rsidR="000832C8" w:rsidRDefault="000832C8" w:rsidP="002F1239">
      <w:pPr>
        <w:spacing w:after="0"/>
      </w:pPr>
    </w:p>
    <w:p w:rsidR="00800738" w:rsidRDefault="00B169B7" w:rsidP="002F1239">
      <w:pPr>
        <w:spacing w:after="0"/>
      </w:pPr>
      <w:proofErr w:type="spellStart"/>
      <w:r w:rsidRPr="00DB53C4">
        <w:lastRenderedPageBreak/>
        <w:t>MZe</w:t>
      </w:r>
      <w:proofErr w:type="spellEnd"/>
      <w:r w:rsidRPr="00DB53C4">
        <w:t>, SZIF a VF</w:t>
      </w:r>
      <w:r w:rsidR="00A54C9B" w:rsidRPr="00DB53C4">
        <w:t xml:space="preserve"> </w:t>
      </w:r>
      <w:r w:rsidR="00800738" w:rsidRPr="00DB53C4">
        <w:t>nastavovaly cíle komunikačních kampaní na dal</w:t>
      </w:r>
      <w:r w:rsidR="00A54C9B" w:rsidRPr="00DB53C4">
        <w:t>ší období bez v</w:t>
      </w:r>
      <w:r w:rsidR="00CC2528" w:rsidRPr="00DB53C4">
        <w:t>azby na</w:t>
      </w:r>
      <w:r w:rsidR="00652629">
        <w:t xml:space="preserve"> </w:t>
      </w:r>
      <w:r w:rsidR="00AA6FA4" w:rsidRPr="00DB53C4">
        <w:t>výsledky</w:t>
      </w:r>
      <w:r w:rsidR="00652629">
        <w:t xml:space="preserve"> </w:t>
      </w:r>
      <w:r w:rsidR="00AA6FA4" w:rsidRPr="00DB53C4">
        <w:t>cílů předch</w:t>
      </w:r>
      <w:r w:rsidR="00652629">
        <w:t>ozích</w:t>
      </w:r>
      <w:r w:rsidR="00AA6FA4" w:rsidRPr="00DB53C4">
        <w:t xml:space="preserve"> komunikační</w:t>
      </w:r>
      <w:r w:rsidR="00652629">
        <w:t>ch</w:t>
      </w:r>
      <w:r w:rsidR="00AA6FA4" w:rsidRPr="00DB53C4">
        <w:t xml:space="preserve"> kampan</w:t>
      </w:r>
      <w:r w:rsidR="00652629">
        <w:t>í</w:t>
      </w:r>
      <w:r w:rsidR="00A54C9B" w:rsidRPr="00DB53C4">
        <w:t>.</w:t>
      </w:r>
      <w:r w:rsidR="005A7ADC" w:rsidRPr="00DB53C4">
        <w:t xml:space="preserve"> </w:t>
      </w:r>
      <w:r w:rsidR="00485BB5" w:rsidRPr="00DB53C4">
        <w:t>Řada dílčích cílů, které SZIF v rámci komu</w:t>
      </w:r>
      <w:r w:rsidR="00A54C9B" w:rsidRPr="00DB53C4">
        <w:t>nikačních kampaní nastavil, byla zaměřena</w:t>
      </w:r>
      <w:r w:rsidR="00CC2528" w:rsidRPr="00DB53C4">
        <w:t xml:space="preserve"> na </w:t>
      </w:r>
      <w:r w:rsidR="0055622B" w:rsidRPr="00DB53C4">
        <w:t>podporu</w:t>
      </w:r>
      <w:r w:rsidR="00A54C9B" w:rsidRPr="00DB53C4">
        <w:t xml:space="preserve"> </w:t>
      </w:r>
      <w:r w:rsidR="00485BB5" w:rsidRPr="00DB53C4">
        <w:t>prodejnost</w:t>
      </w:r>
      <w:r w:rsidR="00A54C9B" w:rsidRPr="00DB53C4">
        <w:t>i</w:t>
      </w:r>
      <w:r w:rsidR="00485BB5" w:rsidRPr="00DB53C4">
        <w:t xml:space="preserve"> výrobků označených značkou </w:t>
      </w:r>
      <w:r w:rsidR="00652629">
        <w:t>„</w:t>
      </w:r>
      <w:r w:rsidR="00485BB5" w:rsidRPr="00DB53C4">
        <w:t>Klasa</w:t>
      </w:r>
      <w:r w:rsidR="00652629">
        <w:t>“</w:t>
      </w:r>
      <w:r w:rsidR="00485BB5" w:rsidRPr="00DB53C4">
        <w:t xml:space="preserve"> či </w:t>
      </w:r>
      <w:r w:rsidR="00652629">
        <w:t>„</w:t>
      </w:r>
      <w:r w:rsidR="00485BB5" w:rsidRPr="00DB53C4">
        <w:t>Regionální potravina</w:t>
      </w:r>
      <w:r w:rsidR="00652629">
        <w:t>“</w:t>
      </w:r>
      <w:r w:rsidR="00485BB5" w:rsidRPr="00DB53C4">
        <w:t>. SZIF však informac</w:t>
      </w:r>
      <w:r w:rsidR="00A54C9B" w:rsidRPr="00DB53C4">
        <w:t xml:space="preserve">e </w:t>
      </w:r>
      <w:r w:rsidR="00652629">
        <w:t>o</w:t>
      </w:r>
      <w:r w:rsidR="00EF5DB9">
        <w:t xml:space="preserve"> </w:t>
      </w:r>
      <w:r w:rsidR="00A54C9B" w:rsidRPr="00DB53C4">
        <w:t xml:space="preserve">prodejnosti výrobků nezjišťoval </w:t>
      </w:r>
      <w:r w:rsidR="005F190F" w:rsidRPr="00DB53C4">
        <w:t>a</w:t>
      </w:r>
      <w:r w:rsidR="00485BB5" w:rsidRPr="00DB53C4">
        <w:t xml:space="preserve"> ani</w:t>
      </w:r>
      <w:r w:rsidR="00A54C9B" w:rsidRPr="00DB53C4">
        <w:t xml:space="preserve"> si nezajistil, aby relevantní informace mohl </w:t>
      </w:r>
      <w:r w:rsidR="002C4FDA" w:rsidRPr="00DB53C4">
        <w:t>od výrobců získávat</w:t>
      </w:r>
      <w:r w:rsidR="00485BB5" w:rsidRPr="00DB53C4">
        <w:t>.</w:t>
      </w:r>
    </w:p>
    <w:p w:rsidR="000832C8" w:rsidRPr="00DB53C4" w:rsidRDefault="000832C8" w:rsidP="002F1239">
      <w:pPr>
        <w:spacing w:after="0"/>
      </w:pPr>
    </w:p>
    <w:p w:rsidR="00441A53" w:rsidRDefault="00252CA1" w:rsidP="002F1239">
      <w:pPr>
        <w:pStyle w:val="Nadpis2"/>
        <w:spacing w:before="0" w:after="0"/>
        <w:ind w:left="426" w:hanging="426"/>
      </w:pPr>
      <w:r w:rsidRPr="00DB53C4">
        <w:t>Realizace komunikačních kampaní na</w:t>
      </w:r>
      <w:r w:rsidR="00BB4174" w:rsidRPr="00DB53C4">
        <w:t xml:space="preserve"> podporu značek</w:t>
      </w:r>
      <w:r w:rsidR="00CC2528" w:rsidRPr="00DB53C4">
        <w:t xml:space="preserve"> </w:t>
      </w:r>
      <w:r w:rsidR="0019018E">
        <w:t>„</w:t>
      </w:r>
      <w:r w:rsidR="00CC2528" w:rsidRPr="00DB53C4">
        <w:t>Klasa</w:t>
      </w:r>
      <w:r w:rsidR="0019018E">
        <w:t>“</w:t>
      </w:r>
      <w:r w:rsidR="00CC2528" w:rsidRPr="00DB53C4">
        <w:t xml:space="preserve">, </w:t>
      </w:r>
      <w:r w:rsidR="0019018E">
        <w:t>„</w:t>
      </w:r>
      <w:r w:rsidR="00CC2528" w:rsidRPr="00DB53C4">
        <w:t>Regionální potravina</w:t>
      </w:r>
      <w:r w:rsidR="0019018E">
        <w:t>“</w:t>
      </w:r>
      <w:r w:rsidR="00CC2528" w:rsidRPr="00DB53C4">
        <w:t xml:space="preserve"> a </w:t>
      </w:r>
      <w:r w:rsidR="0019018E">
        <w:t>„v</w:t>
      </w:r>
      <w:r w:rsidRPr="00DB53C4">
        <w:t>ína z Moravy, vína z</w:t>
      </w:r>
      <w:r w:rsidR="0019018E">
        <w:t> </w:t>
      </w:r>
      <w:r w:rsidRPr="00DB53C4">
        <w:t>Čech</w:t>
      </w:r>
      <w:r w:rsidR="0019018E">
        <w:t>“</w:t>
      </w:r>
      <w:r w:rsidRPr="00DB53C4">
        <w:t xml:space="preserve"> a v</w:t>
      </w:r>
      <w:r w:rsidR="00427CF4" w:rsidRPr="00DB53C4">
        <w:t>eřejné zakázky zadané v souvislosti s</w:t>
      </w:r>
      <w:r w:rsidR="0019018E">
        <w:t> </w:t>
      </w:r>
      <w:r w:rsidR="00427CF4" w:rsidRPr="00DB53C4">
        <w:t>komunikačními kampaně</w:t>
      </w:r>
      <w:r w:rsidRPr="00DB53C4">
        <w:t>mi</w:t>
      </w:r>
    </w:p>
    <w:p w:rsidR="000832C8" w:rsidRPr="000832C8" w:rsidRDefault="000832C8" w:rsidP="002F1239">
      <w:pPr>
        <w:spacing w:after="0"/>
      </w:pPr>
    </w:p>
    <w:p w:rsidR="00236944" w:rsidRPr="00DB53C4" w:rsidRDefault="009B47A2" w:rsidP="002F1239">
      <w:pPr>
        <w:pStyle w:val="Nadpis3"/>
        <w:spacing w:before="0" w:after="0"/>
        <w:ind w:left="567" w:hanging="567"/>
      </w:pPr>
      <w:r w:rsidRPr="00DB53C4">
        <w:t xml:space="preserve">Komunikační kampaně na </w:t>
      </w:r>
      <w:r w:rsidR="00BB4174" w:rsidRPr="00DB53C4">
        <w:t>podporu značek</w:t>
      </w:r>
      <w:r w:rsidR="00D457BA" w:rsidRPr="00DB53C4">
        <w:t xml:space="preserve"> </w:t>
      </w:r>
      <w:r w:rsidR="0019018E">
        <w:t>„</w:t>
      </w:r>
      <w:r w:rsidR="00D457BA" w:rsidRPr="00DB53C4">
        <w:t>Klasa</w:t>
      </w:r>
      <w:r w:rsidR="0019018E">
        <w:t>“</w:t>
      </w:r>
      <w:r w:rsidR="00D457BA" w:rsidRPr="00DB53C4">
        <w:t xml:space="preserve"> a </w:t>
      </w:r>
      <w:r w:rsidR="0019018E">
        <w:t>„</w:t>
      </w:r>
      <w:r w:rsidR="00D457BA" w:rsidRPr="00DB53C4">
        <w:t>Regionální potravina</w:t>
      </w:r>
      <w:r w:rsidR="0019018E">
        <w:t>“</w:t>
      </w:r>
    </w:p>
    <w:p w:rsidR="000832C8" w:rsidRDefault="000832C8" w:rsidP="002F1239">
      <w:pPr>
        <w:spacing w:after="0"/>
        <w:rPr>
          <w:u w:val="single"/>
        </w:rPr>
      </w:pPr>
    </w:p>
    <w:p w:rsidR="00D457BA" w:rsidRPr="002F1239" w:rsidRDefault="00236944" w:rsidP="00441A53">
      <w:pPr>
        <w:rPr>
          <w:b/>
          <w:i/>
        </w:rPr>
      </w:pPr>
      <w:r w:rsidRPr="002F1239">
        <w:rPr>
          <w:b/>
          <w:i/>
        </w:rPr>
        <w:t xml:space="preserve">Komunikační kampaně </w:t>
      </w:r>
      <w:r w:rsidR="0019018E">
        <w:rPr>
          <w:b/>
          <w:i/>
        </w:rPr>
        <w:t>pro</w:t>
      </w:r>
      <w:r w:rsidRPr="002F1239">
        <w:rPr>
          <w:b/>
          <w:i/>
        </w:rPr>
        <w:t xml:space="preserve"> značky </w:t>
      </w:r>
      <w:r w:rsidR="0019018E">
        <w:rPr>
          <w:b/>
          <w:i/>
        </w:rPr>
        <w:t>„</w:t>
      </w:r>
      <w:r w:rsidRPr="002F1239">
        <w:rPr>
          <w:b/>
          <w:i/>
        </w:rPr>
        <w:t>Klasa</w:t>
      </w:r>
      <w:r w:rsidR="0019018E">
        <w:rPr>
          <w:b/>
          <w:i/>
        </w:rPr>
        <w:t>“</w:t>
      </w:r>
      <w:r w:rsidRPr="002F1239">
        <w:rPr>
          <w:b/>
          <w:i/>
        </w:rPr>
        <w:t xml:space="preserve"> a </w:t>
      </w:r>
      <w:r w:rsidR="0019018E">
        <w:rPr>
          <w:b/>
          <w:i/>
        </w:rPr>
        <w:t>„</w:t>
      </w:r>
      <w:r w:rsidRPr="002F1239">
        <w:rPr>
          <w:b/>
          <w:i/>
        </w:rPr>
        <w:t>Regionální potravina</w:t>
      </w:r>
      <w:r w:rsidR="0019018E">
        <w:rPr>
          <w:b/>
          <w:i/>
        </w:rPr>
        <w:t>“</w:t>
      </w:r>
      <w:r w:rsidRPr="002F1239">
        <w:rPr>
          <w:b/>
          <w:i/>
        </w:rPr>
        <w:t xml:space="preserve"> v letech </w:t>
      </w:r>
      <w:r w:rsidR="00D457BA" w:rsidRPr="002F1239">
        <w:rPr>
          <w:b/>
          <w:i/>
        </w:rPr>
        <w:t>2009</w:t>
      </w:r>
      <w:r w:rsidR="00C77731" w:rsidRPr="002F1239">
        <w:rPr>
          <w:b/>
          <w:i/>
        </w:rPr>
        <w:t>–</w:t>
      </w:r>
      <w:r w:rsidR="00D457BA" w:rsidRPr="002F1239">
        <w:rPr>
          <w:b/>
          <w:i/>
        </w:rPr>
        <w:t>2011</w:t>
      </w:r>
    </w:p>
    <w:p w:rsidR="002F12E2" w:rsidRDefault="00E66B07" w:rsidP="002F1239">
      <w:pPr>
        <w:spacing w:after="0"/>
        <w:rPr>
          <w:szCs w:val="22"/>
        </w:rPr>
      </w:pPr>
      <w:r w:rsidRPr="00DB53C4">
        <w:t>N</w:t>
      </w:r>
      <w:r w:rsidR="000E0C1E" w:rsidRPr="00DB53C4">
        <w:t>a realizaci</w:t>
      </w:r>
      <w:r w:rsidR="00EA0C65" w:rsidRPr="00DB53C4">
        <w:t xml:space="preserve"> </w:t>
      </w:r>
      <w:r w:rsidR="00103174" w:rsidRPr="00DB53C4">
        <w:t>komunikační</w:t>
      </w:r>
      <w:r w:rsidR="000E0C1E" w:rsidRPr="00DB53C4">
        <w:t>ch</w:t>
      </w:r>
      <w:r w:rsidR="00103174" w:rsidRPr="00DB53C4">
        <w:t xml:space="preserve"> kampaní</w:t>
      </w:r>
      <w:r w:rsidR="00FB3D50" w:rsidRPr="00DB53C4">
        <w:t xml:space="preserve"> </w:t>
      </w:r>
      <w:r w:rsidR="0019018E">
        <w:t>pro</w:t>
      </w:r>
      <w:r w:rsidR="00FB3D50" w:rsidRPr="00DB53C4">
        <w:t xml:space="preserve"> značku </w:t>
      </w:r>
      <w:r w:rsidR="0019018E">
        <w:t>„</w:t>
      </w:r>
      <w:r w:rsidR="00FB3D50" w:rsidRPr="00DB53C4">
        <w:rPr>
          <w:b/>
        </w:rPr>
        <w:t>Klasa</w:t>
      </w:r>
      <w:r w:rsidR="0019018E" w:rsidRPr="002F1239">
        <w:t>“</w:t>
      </w:r>
      <w:r w:rsidR="00FB3D50" w:rsidRPr="00DB53C4">
        <w:t xml:space="preserve"> na období let 2009–2011 zadal </w:t>
      </w:r>
      <w:r w:rsidRPr="00DB53C4">
        <w:t xml:space="preserve">SZIF </w:t>
      </w:r>
      <w:r w:rsidR="006630DB" w:rsidRPr="00DB53C4">
        <w:t>tři</w:t>
      </w:r>
      <w:r w:rsidR="0019018E">
        <w:t xml:space="preserve"> </w:t>
      </w:r>
      <w:r w:rsidRPr="00DB53C4">
        <w:t>VZ</w:t>
      </w:r>
      <w:r w:rsidR="005F190F" w:rsidRPr="00DB53C4">
        <w:t xml:space="preserve"> formou soutěže o návrh s</w:t>
      </w:r>
      <w:r w:rsidR="00FB3D50" w:rsidRPr="00DB53C4">
        <w:t xml:space="preserve"> následným jednacím řízením bez uveřejnění (dále jen „JŘBU“)</w:t>
      </w:r>
      <w:r w:rsidR="002F12E2" w:rsidRPr="00DB53C4">
        <w:t>.</w:t>
      </w:r>
      <w:r w:rsidR="002F12E2" w:rsidRPr="00DB53C4">
        <w:rPr>
          <w:szCs w:val="22"/>
        </w:rPr>
        <w:t xml:space="preserve"> </w:t>
      </w:r>
    </w:p>
    <w:p w:rsidR="000832C8" w:rsidRPr="00DB53C4" w:rsidRDefault="000832C8" w:rsidP="002F1239">
      <w:pPr>
        <w:spacing w:after="0"/>
        <w:rPr>
          <w:szCs w:val="22"/>
        </w:rPr>
      </w:pPr>
    </w:p>
    <w:p w:rsidR="003110B3" w:rsidRDefault="001B2DB7" w:rsidP="002F1239">
      <w:pPr>
        <w:spacing w:after="0"/>
        <w:rPr>
          <w:szCs w:val="22"/>
        </w:rPr>
      </w:pPr>
      <w:proofErr w:type="spellStart"/>
      <w:r w:rsidRPr="00DB53C4">
        <w:rPr>
          <w:szCs w:val="22"/>
        </w:rPr>
        <w:t>MZe</w:t>
      </w:r>
      <w:proofErr w:type="spellEnd"/>
      <w:r w:rsidRPr="00DB53C4">
        <w:rPr>
          <w:szCs w:val="22"/>
        </w:rPr>
        <w:t xml:space="preserve"> </w:t>
      </w:r>
      <w:r w:rsidR="00CF481E" w:rsidRPr="00DB53C4">
        <w:rPr>
          <w:szCs w:val="22"/>
        </w:rPr>
        <w:t xml:space="preserve">na realizaci </w:t>
      </w:r>
      <w:r w:rsidRPr="00DB53C4">
        <w:t>komunikační</w:t>
      </w:r>
      <w:r w:rsidR="00CF481E" w:rsidRPr="00DB53C4">
        <w:t>ch</w:t>
      </w:r>
      <w:r w:rsidRPr="00DB53C4">
        <w:t xml:space="preserve"> kampaní </w:t>
      </w:r>
      <w:r w:rsidR="005D28F2">
        <w:t>pro</w:t>
      </w:r>
      <w:r w:rsidRPr="00DB53C4">
        <w:t xml:space="preserve"> značku </w:t>
      </w:r>
      <w:r w:rsidR="005D28F2">
        <w:t>„</w:t>
      </w:r>
      <w:r w:rsidRPr="00DB53C4">
        <w:rPr>
          <w:b/>
        </w:rPr>
        <w:t xml:space="preserve">Regionální </w:t>
      </w:r>
      <w:r w:rsidRPr="00DB53C4">
        <w:rPr>
          <w:b/>
          <w:szCs w:val="22"/>
        </w:rPr>
        <w:t>potravina</w:t>
      </w:r>
      <w:r w:rsidR="005D28F2" w:rsidRPr="002F1239">
        <w:rPr>
          <w:szCs w:val="22"/>
        </w:rPr>
        <w:t>“</w:t>
      </w:r>
      <w:r w:rsidRPr="00DB53C4">
        <w:rPr>
          <w:szCs w:val="22"/>
        </w:rPr>
        <w:t xml:space="preserve"> v </w:t>
      </w:r>
      <w:r w:rsidR="005D28F2">
        <w:rPr>
          <w:szCs w:val="22"/>
        </w:rPr>
        <w:t>letech</w:t>
      </w:r>
      <w:r w:rsidRPr="00DB53C4">
        <w:rPr>
          <w:szCs w:val="22"/>
        </w:rPr>
        <w:t xml:space="preserve"> </w:t>
      </w:r>
      <w:r w:rsidR="00EF5DB9">
        <w:rPr>
          <w:szCs w:val="22"/>
        </w:rPr>
        <w:br/>
      </w:r>
      <w:r w:rsidRPr="00DB53C4">
        <w:rPr>
          <w:szCs w:val="22"/>
        </w:rPr>
        <w:t xml:space="preserve">2010–2011 zadalo </w:t>
      </w:r>
      <w:r w:rsidR="005D28F2">
        <w:rPr>
          <w:szCs w:val="22"/>
        </w:rPr>
        <w:t>rovněž</w:t>
      </w:r>
      <w:r w:rsidR="00E66B07" w:rsidRPr="00DB53C4">
        <w:rPr>
          <w:szCs w:val="22"/>
        </w:rPr>
        <w:t xml:space="preserve"> </w:t>
      </w:r>
      <w:r w:rsidRPr="00DB53C4">
        <w:rPr>
          <w:szCs w:val="22"/>
        </w:rPr>
        <w:t>t</w:t>
      </w:r>
      <w:r w:rsidR="0082740A" w:rsidRPr="00DB53C4">
        <w:rPr>
          <w:szCs w:val="22"/>
        </w:rPr>
        <w:t>ři veřejné zakázky</w:t>
      </w:r>
      <w:r w:rsidR="002F12E2" w:rsidRPr="00DB53C4">
        <w:rPr>
          <w:szCs w:val="22"/>
        </w:rPr>
        <w:t>. Dvě z nich</w:t>
      </w:r>
      <w:r w:rsidR="006A1D37" w:rsidRPr="00DB53C4">
        <w:rPr>
          <w:szCs w:val="22"/>
        </w:rPr>
        <w:t xml:space="preserve"> byly realizovány jako soutěž o</w:t>
      </w:r>
      <w:r w:rsidR="005D28F2">
        <w:rPr>
          <w:szCs w:val="22"/>
        </w:rPr>
        <w:t> </w:t>
      </w:r>
      <w:r w:rsidR="006A1D37" w:rsidRPr="00DB53C4">
        <w:rPr>
          <w:szCs w:val="22"/>
        </w:rPr>
        <w:t xml:space="preserve">návrh s následným JŘBU, třetí VZ </w:t>
      </w:r>
      <w:r w:rsidR="0082740A" w:rsidRPr="00DB53C4">
        <w:rPr>
          <w:szCs w:val="22"/>
        </w:rPr>
        <w:t xml:space="preserve">byla </w:t>
      </w:r>
      <w:r w:rsidRPr="00DB53C4">
        <w:rPr>
          <w:szCs w:val="22"/>
        </w:rPr>
        <w:t>z</w:t>
      </w:r>
      <w:r w:rsidR="006A1D37" w:rsidRPr="00DB53C4">
        <w:rPr>
          <w:szCs w:val="22"/>
        </w:rPr>
        <w:t xml:space="preserve">adána formou otevřeného řízení. </w:t>
      </w:r>
      <w:r w:rsidR="001A2B89" w:rsidRPr="00DB53C4">
        <w:rPr>
          <w:szCs w:val="22"/>
        </w:rPr>
        <w:t xml:space="preserve">Dále </w:t>
      </w:r>
      <w:proofErr w:type="spellStart"/>
      <w:r w:rsidR="001A2B89" w:rsidRPr="00DB53C4">
        <w:rPr>
          <w:szCs w:val="22"/>
        </w:rPr>
        <w:t>MZe</w:t>
      </w:r>
      <w:proofErr w:type="spellEnd"/>
      <w:r w:rsidR="001A2B89" w:rsidRPr="00DB53C4">
        <w:rPr>
          <w:szCs w:val="22"/>
        </w:rPr>
        <w:t xml:space="preserve"> zadalo </w:t>
      </w:r>
      <w:r w:rsidR="00A4494D" w:rsidRPr="00DB53C4">
        <w:rPr>
          <w:szCs w:val="22"/>
        </w:rPr>
        <w:t>108</w:t>
      </w:r>
      <w:r w:rsidR="00EF5DB9">
        <w:rPr>
          <w:szCs w:val="22"/>
        </w:rPr>
        <w:t> </w:t>
      </w:r>
      <w:r w:rsidR="001A2B89" w:rsidRPr="00DB53C4">
        <w:rPr>
          <w:szCs w:val="22"/>
        </w:rPr>
        <w:t>veřejných zakázek malého rozsahu</w:t>
      </w:r>
      <w:r w:rsidR="002F12E2" w:rsidRPr="00DB53C4">
        <w:rPr>
          <w:szCs w:val="22"/>
        </w:rPr>
        <w:t xml:space="preserve">, </w:t>
      </w:r>
      <w:r w:rsidR="0013466E" w:rsidRPr="00DB53C4">
        <w:rPr>
          <w:szCs w:val="22"/>
        </w:rPr>
        <w:t xml:space="preserve">z toho bylo </w:t>
      </w:r>
      <w:r w:rsidR="00A4494D" w:rsidRPr="00DB53C4">
        <w:rPr>
          <w:szCs w:val="22"/>
        </w:rPr>
        <w:t>78</w:t>
      </w:r>
      <w:r w:rsidR="0013466E" w:rsidRPr="00DB53C4">
        <w:rPr>
          <w:szCs w:val="22"/>
        </w:rPr>
        <w:t xml:space="preserve"> </w:t>
      </w:r>
      <w:r w:rsidR="005D28F2">
        <w:rPr>
          <w:szCs w:val="22"/>
        </w:rPr>
        <w:t>zakázek</w:t>
      </w:r>
      <w:r w:rsidR="0013466E" w:rsidRPr="00DB53C4">
        <w:rPr>
          <w:szCs w:val="22"/>
        </w:rPr>
        <w:t xml:space="preserve"> realizováno přímým oslovením dodavatele. </w:t>
      </w:r>
      <w:r w:rsidR="00202818" w:rsidRPr="00DB53C4">
        <w:rPr>
          <w:szCs w:val="22"/>
        </w:rPr>
        <w:t>Podrobnější informace o VZ</w:t>
      </w:r>
      <w:r w:rsidRPr="00DB53C4">
        <w:rPr>
          <w:szCs w:val="22"/>
        </w:rPr>
        <w:t xml:space="preserve"> zadaných v letech 2009</w:t>
      </w:r>
      <w:r w:rsidR="00C725D0">
        <w:rPr>
          <w:szCs w:val="22"/>
        </w:rPr>
        <w:t>–</w:t>
      </w:r>
      <w:r w:rsidRPr="00DB53C4">
        <w:rPr>
          <w:szCs w:val="22"/>
        </w:rPr>
        <w:t>2011</w:t>
      </w:r>
      <w:r w:rsidR="00202818" w:rsidRPr="00DB53C4">
        <w:rPr>
          <w:szCs w:val="22"/>
        </w:rPr>
        <w:t xml:space="preserve"> jsou uvedeny níže</w:t>
      </w:r>
      <w:r w:rsidR="002F12E2" w:rsidRPr="00DB53C4">
        <w:rPr>
          <w:szCs w:val="22"/>
        </w:rPr>
        <w:t xml:space="preserve"> v tabulce č. 3</w:t>
      </w:r>
      <w:r w:rsidR="00EA0C65" w:rsidRPr="00DB53C4">
        <w:rPr>
          <w:szCs w:val="22"/>
        </w:rPr>
        <w:t>.</w:t>
      </w:r>
    </w:p>
    <w:p w:rsidR="00EC3D1E" w:rsidRDefault="00EC3D1E" w:rsidP="002F1239">
      <w:pPr>
        <w:spacing w:after="0" w:line="276" w:lineRule="auto"/>
        <w:jc w:val="left"/>
        <w:rPr>
          <w:szCs w:val="22"/>
        </w:rPr>
      </w:pPr>
    </w:p>
    <w:p w:rsidR="00202818" w:rsidRPr="00DB53C4" w:rsidRDefault="002F12E2" w:rsidP="002F1239">
      <w:pPr>
        <w:spacing w:after="0"/>
        <w:ind w:left="1531" w:hanging="1531"/>
        <w:jc w:val="left"/>
        <w:rPr>
          <w:b/>
        </w:rPr>
      </w:pPr>
      <w:r w:rsidRPr="00DB53C4">
        <w:rPr>
          <w:b/>
          <w:szCs w:val="22"/>
        </w:rPr>
        <w:t>Tabulka č. 3</w:t>
      </w:r>
      <w:r w:rsidR="00202818" w:rsidRPr="00DB53C4">
        <w:rPr>
          <w:b/>
          <w:szCs w:val="22"/>
        </w:rPr>
        <w:t xml:space="preserve"> – Veřejné zakázky zadané v souvislosti s </w:t>
      </w:r>
      <w:r w:rsidR="0023207A" w:rsidRPr="00DB53C4">
        <w:rPr>
          <w:b/>
        </w:rPr>
        <w:t>komunikačními kampaněmi</w:t>
      </w:r>
      <w:bookmarkStart w:id="3" w:name="_GoBack"/>
      <w:bookmarkEnd w:id="3"/>
      <w:r w:rsidR="0023207A" w:rsidRPr="00DB53C4">
        <w:rPr>
          <w:b/>
        </w:rPr>
        <w:t xml:space="preserve"> na</w:t>
      </w:r>
      <w:r w:rsidR="005D28F2">
        <w:rPr>
          <w:b/>
        </w:rPr>
        <w:t xml:space="preserve"> podporu </w:t>
      </w:r>
      <w:r w:rsidR="001B2DB7" w:rsidRPr="00DB53C4">
        <w:rPr>
          <w:b/>
        </w:rPr>
        <w:t>znač</w:t>
      </w:r>
      <w:r w:rsidR="005D28F2">
        <w:rPr>
          <w:b/>
        </w:rPr>
        <w:t>e</w:t>
      </w:r>
      <w:r w:rsidR="001B2DB7" w:rsidRPr="00DB53C4">
        <w:rPr>
          <w:b/>
        </w:rPr>
        <w:t xml:space="preserve">k </w:t>
      </w:r>
      <w:r w:rsidR="005D28F2">
        <w:rPr>
          <w:b/>
        </w:rPr>
        <w:t>„</w:t>
      </w:r>
      <w:r w:rsidR="001B2DB7" w:rsidRPr="00DB53C4">
        <w:rPr>
          <w:b/>
        </w:rPr>
        <w:t>Klasa</w:t>
      </w:r>
      <w:r w:rsidR="005D28F2">
        <w:rPr>
          <w:b/>
        </w:rPr>
        <w:t>“</w:t>
      </w:r>
      <w:r w:rsidR="001B2DB7" w:rsidRPr="00DB53C4">
        <w:rPr>
          <w:b/>
        </w:rPr>
        <w:t xml:space="preserve"> a </w:t>
      </w:r>
      <w:r w:rsidR="005D28F2">
        <w:rPr>
          <w:b/>
        </w:rPr>
        <w:t>„</w:t>
      </w:r>
      <w:r w:rsidR="001B2DB7" w:rsidRPr="00DB53C4">
        <w:rPr>
          <w:b/>
        </w:rPr>
        <w:t>Regionální potravina</w:t>
      </w:r>
      <w:r w:rsidR="005D28F2">
        <w:rPr>
          <w:b/>
        </w:rPr>
        <w:t>“</w:t>
      </w:r>
      <w:r w:rsidR="001B2DB7" w:rsidRPr="00DB53C4">
        <w:rPr>
          <w:b/>
        </w:rPr>
        <w:t xml:space="preserve"> v letech 2009–2011 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6662"/>
        <w:gridCol w:w="1560"/>
      </w:tblGrid>
      <w:tr w:rsidR="001B2DB7" w:rsidRPr="00DB53C4" w:rsidTr="005A7ADC">
        <w:trPr>
          <w:trHeight w:val="30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1B2DB7" w:rsidP="00A1042F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Značka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1B2DB7" w:rsidP="00D4119C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Veřejná zakázka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DB7" w:rsidRPr="00DB53C4" w:rsidRDefault="001B2DB7" w:rsidP="005D28F2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Výše plnění (v</w:t>
            </w:r>
            <w:r w:rsidR="005D28F2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Kč vč. DPH)</w:t>
            </w:r>
          </w:p>
        </w:tc>
      </w:tr>
      <w:tr w:rsidR="001B2DB7" w:rsidRPr="00DB53C4" w:rsidTr="00E40874">
        <w:trPr>
          <w:trHeight w:val="1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2F1239" w:rsidRDefault="001B2DB7" w:rsidP="00D4119C">
            <w:pPr>
              <w:spacing w:after="0"/>
              <w:jc w:val="left"/>
              <w:rPr>
                <w:sz w:val="20"/>
                <w:szCs w:val="20"/>
              </w:rPr>
            </w:pPr>
            <w:r w:rsidRPr="002F1239">
              <w:rPr>
                <w:sz w:val="20"/>
                <w:szCs w:val="20"/>
              </w:rPr>
              <w:t>Klasa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1B2DB7" w:rsidP="005D28F2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Komunikační ATL/BTL podpora značky Klasa na období let 2009</w:t>
            </w:r>
            <w:r w:rsidR="005D28F2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–</w:t>
            </w: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20</w:t>
            </w:r>
            <w:r w:rsidR="00140985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1</w:t>
            </w: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7" w:rsidRPr="00DB53C4" w:rsidRDefault="00D4119C" w:rsidP="003C3A6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376 412 469</w:t>
            </w:r>
          </w:p>
        </w:tc>
      </w:tr>
      <w:tr w:rsidR="001B2DB7" w:rsidRPr="00DB53C4" w:rsidTr="00E40874">
        <w:trPr>
          <w:trHeight w:val="1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1B2DB7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Klasa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5D28F2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Mediální podpora značky Klasa na období let 2009</w:t>
            </w:r>
            <w:r w:rsidR="005D28F2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–</w:t>
            </w: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7" w:rsidRPr="00DB53C4" w:rsidRDefault="00D4119C" w:rsidP="003C3A6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168 385 009</w:t>
            </w:r>
          </w:p>
        </w:tc>
      </w:tr>
      <w:tr w:rsidR="001B2DB7" w:rsidRPr="00DB53C4" w:rsidTr="00E40874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Klasa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5D28F2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Public Relations značky Klasa na období let 2009</w:t>
            </w:r>
            <w:r w:rsidR="00570DC7"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–</w:t>
            </w: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7" w:rsidRPr="00DB53C4" w:rsidRDefault="00D4119C" w:rsidP="003C3A6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11 492 792</w:t>
            </w:r>
          </w:p>
        </w:tc>
      </w:tr>
      <w:tr w:rsidR="001B2DB7" w:rsidRPr="00DB53C4" w:rsidTr="00E40874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R. potravina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Informační kampaň o regionálních potravinách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7" w:rsidRPr="00DB53C4" w:rsidRDefault="00D4119C" w:rsidP="003C3A6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10 088 183</w:t>
            </w:r>
          </w:p>
        </w:tc>
      </w:tr>
      <w:tr w:rsidR="001B2DB7" w:rsidRPr="00DB53C4" w:rsidTr="00E40874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R. potravina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Zajištění inzertní kampaně pro regionální potraviny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7" w:rsidRPr="00DB53C4" w:rsidRDefault="00D4119C" w:rsidP="003C3A6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17 380 417</w:t>
            </w:r>
          </w:p>
        </w:tc>
      </w:tr>
      <w:tr w:rsidR="001B2DB7" w:rsidRPr="00DB53C4" w:rsidTr="00E40874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R. potravina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B7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sz w:val="20"/>
                <w:szCs w:val="20"/>
                <w:lang w:eastAsia="cs-CZ"/>
              </w:rPr>
              <w:t>Marketingová kampaň prezentující Regionální potraviny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7" w:rsidRPr="00DB53C4" w:rsidRDefault="00D4119C" w:rsidP="003C3A6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13 331 437</w:t>
            </w:r>
          </w:p>
        </w:tc>
      </w:tr>
      <w:tr w:rsidR="00D4119C" w:rsidRPr="00DB53C4" w:rsidTr="00E40874">
        <w:trPr>
          <w:trHeight w:val="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19C" w:rsidRPr="00DB53C4" w:rsidRDefault="00D4119C" w:rsidP="00D4119C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R. potravina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19C" w:rsidRPr="00DB53C4" w:rsidRDefault="006B272A" w:rsidP="00465C43">
            <w:pPr>
              <w:spacing w:after="0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sz w:val="20"/>
                <w:szCs w:val="20"/>
                <w:lang w:eastAsia="cs-CZ"/>
              </w:rPr>
              <w:t>108</w:t>
            </w:r>
            <w:r w:rsidR="00813F21" w:rsidRPr="00DB53C4">
              <w:rPr>
                <w:rFonts w:cs="Arial"/>
                <w:sz w:val="20"/>
                <w:szCs w:val="20"/>
                <w:lang w:eastAsia="cs-CZ"/>
              </w:rPr>
              <w:t xml:space="preserve"> veřejných zakázek</w:t>
            </w:r>
            <w:r w:rsidR="00465C43" w:rsidRPr="00DB53C4">
              <w:rPr>
                <w:rFonts w:cs="Arial"/>
                <w:sz w:val="20"/>
                <w:szCs w:val="20"/>
                <w:lang w:eastAsia="cs-CZ"/>
              </w:rPr>
              <w:t xml:space="preserve"> malého rozsahu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CB" w:rsidRPr="005D28F2" w:rsidRDefault="00854BCB" w:rsidP="003C3A6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2F1239">
              <w:rPr>
                <w:rFonts w:eastAsiaTheme="minorHAnsi" w:cs="Arial"/>
                <w:color w:val="000000"/>
                <w:sz w:val="20"/>
                <w:szCs w:val="20"/>
              </w:rPr>
              <w:t>42 198 167</w:t>
            </w:r>
          </w:p>
        </w:tc>
      </w:tr>
    </w:tbl>
    <w:p w:rsidR="00F45569" w:rsidRPr="00DB53C4" w:rsidRDefault="00875665" w:rsidP="002F1239">
      <w:pPr>
        <w:spacing w:after="0"/>
        <w:rPr>
          <w:rFonts w:cs="Arial"/>
          <w:sz w:val="18"/>
          <w:szCs w:val="18"/>
        </w:rPr>
      </w:pPr>
      <w:r w:rsidRPr="00122216">
        <w:rPr>
          <w:b/>
          <w:sz w:val="18"/>
          <w:szCs w:val="18"/>
        </w:rPr>
        <w:t>Zdroj:</w:t>
      </w:r>
      <w:r w:rsidRPr="00DB53C4">
        <w:rPr>
          <w:rFonts w:cs="Arial"/>
          <w:sz w:val="18"/>
          <w:szCs w:val="18"/>
        </w:rPr>
        <w:t xml:space="preserve"> </w:t>
      </w:r>
      <w:r w:rsidR="005D28F2">
        <w:rPr>
          <w:rFonts w:cs="Arial"/>
          <w:sz w:val="18"/>
          <w:szCs w:val="18"/>
        </w:rPr>
        <w:t>i</w:t>
      </w:r>
      <w:r w:rsidRPr="00DB53C4">
        <w:rPr>
          <w:rFonts w:cs="Arial"/>
          <w:sz w:val="18"/>
          <w:szCs w:val="18"/>
        </w:rPr>
        <w:t xml:space="preserve">nformace a doklady </w:t>
      </w:r>
      <w:r w:rsidR="005D28F2">
        <w:rPr>
          <w:rFonts w:cs="Arial"/>
          <w:sz w:val="18"/>
          <w:szCs w:val="18"/>
        </w:rPr>
        <w:t>obdržené od</w:t>
      </w:r>
      <w:r w:rsidRPr="00DB53C4">
        <w:rPr>
          <w:rFonts w:cs="Arial"/>
          <w:sz w:val="18"/>
          <w:szCs w:val="18"/>
        </w:rPr>
        <w:t xml:space="preserve"> </w:t>
      </w:r>
      <w:proofErr w:type="spellStart"/>
      <w:r w:rsidRPr="00DB53C4">
        <w:rPr>
          <w:rFonts w:cs="Arial"/>
          <w:sz w:val="18"/>
          <w:szCs w:val="18"/>
        </w:rPr>
        <w:t>MZe</w:t>
      </w:r>
      <w:proofErr w:type="spellEnd"/>
      <w:r w:rsidR="005D28F2">
        <w:rPr>
          <w:rFonts w:cs="Arial"/>
          <w:sz w:val="18"/>
          <w:szCs w:val="18"/>
        </w:rPr>
        <w:t xml:space="preserve"> a</w:t>
      </w:r>
      <w:r w:rsidRPr="00DB53C4">
        <w:rPr>
          <w:rFonts w:cs="Arial"/>
          <w:sz w:val="18"/>
          <w:szCs w:val="18"/>
        </w:rPr>
        <w:t xml:space="preserve"> SZIF</w:t>
      </w:r>
      <w:r w:rsidR="00122216">
        <w:rPr>
          <w:rFonts w:cs="Arial"/>
          <w:sz w:val="18"/>
          <w:szCs w:val="18"/>
        </w:rPr>
        <w:t>.</w:t>
      </w:r>
      <w:r w:rsidRPr="00DB53C4">
        <w:rPr>
          <w:rFonts w:cs="Arial"/>
          <w:sz w:val="18"/>
          <w:szCs w:val="18"/>
        </w:rPr>
        <w:t xml:space="preserve"> </w:t>
      </w:r>
    </w:p>
    <w:p w:rsidR="000832C8" w:rsidRDefault="000832C8" w:rsidP="0030104D">
      <w:pPr>
        <w:spacing w:after="0"/>
        <w:rPr>
          <w:rFonts w:cs="Arial"/>
          <w:bCs/>
          <w:szCs w:val="22"/>
        </w:rPr>
      </w:pPr>
    </w:p>
    <w:p w:rsidR="002A57ED" w:rsidRPr="00DB53C4" w:rsidRDefault="001873D6" w:rsidP="0030104D">
      <w:pPr>
        <w:spacing w:after="0"/>
        <w:rPr>
          <w:rFonts w:cs="Arial"/>
          <w:sz w:val="18"/>
          <w:szCs w:val="18"/>
        </w:rPr>
      </w:pPr>
      <w:r w:rsidRPr="00DB53C4">
        <w:rPr>
          <w:rFonts w:cs="Arial"/>
          <w:bCs/>
          <w:szCs w:val="22"/>
        </w:rPr>
        <w:t xml:space="preserve">NKÚ zjistil, že u všech kontrolovaných veřejných zakázek uvedených v tabulce č. 3 (s výjimkou </w:t>
      </w:r>
      <w:r w:rsidR="00560616" w:rsidRPr="002F1239">
        <w:rPr>
          <w:rFonts w:cs="Arial"/>
          <w:szCs w:val="22"/>
          <w:lang w:eastAsia="cs-CZ"/>
        </w:rPr>
        <w:t>veřejných zakázek malého rozsahu</w:t>
      </w:r>
      <w:r w:rsidRPr="00DB53C4">
        <w:rPr>
          <w:rFonts w:cs="Arial"/>
          <w:bCs/>
          <w:szCs w:val="22"/>
        </w:rPr>
        <w:t xml:space="preserve">) </w:t>
      </w:r>
      <w:proofErr w:type="spellStart"/>
      <w:r w:rsidRPr="00DB53C4">
        <w:rPr>
          <w:rFonts w:cs="Arial"/>
          <w:bCs/>
          <w:szCs w:val="22"/>
        </w:rPr>
        <w:t>MZe</w:t>
      </w:r>
      <w:proofErr w:type="spellEnd"/>
      <w:r w:rsidRPr="00DB53C4">
        <w:rPr>
          <w:rFonts w:cs="Arial"/>
          <w:bCs/>
          <w:szCs w:val="22"/>
        </w:rPr>
        <w:t xml:space="preserve"> a</w:t>
      </w:r>
      <w:r w:rsidR="00560616">
        <w:rPr>
          <w:rFonts w:cs="Arial"/>
          <w:bCs/>
          <w:szCs w:val="22"/>
        </w:rPr>
        <w:t>ni</w:t>
      </w:r>
      <w:r w:rsidRPr="00DB53C4">
        <w:rPr>
          <w:rFonts w:cs="Arial"/>
          <w:bCs/>
          <w:szCs w:val="22"/>
        </w:rPr>
        <w:t xml:space="preserve"> SZIF v zadávacím řízení nepostupoval</w:t>
      </w:r>
      <w:r w:rsidR="00560616">
        <w:rPr>
          <w:rFonts w:cs="Arial"/>
          <w:bCs/>
          <w:szCs w:val="22"/>
        </w:rPr>
        <w:t>y</w:t>
      </w:r>
      <w:r w:rsidRPr="00DB53C4">
        <w:rPr>
          <w:rFonts w:cs="Arial"/>
          <w:bCs/>
          <w:szCs w:val="22"/>
        </w:rPr>
        <w:t xml:space="preserve"> transparentně, </w:t>
      </w:r>
      <w:r w:rsidR="00560616">
        <w:rPr>
          <w:rFonts w:cs="Arial"/>
          <w:bCs/>
          <w:szCs w:val="22"/>
        </w:rPr>
        <w:t xml:space="preserve">čímž porušily </w:t>
      </w:r>
      <w:r w:rsidR="00CD4D1A" w:rsidRPr="00DB53C4">
        <w:rPr>
          <w:rFonts w:cs="Arial"/>
        </w:rPr>
        <w:t>§</w:t>
      </w:r>
      <w:r w:rsidR="00CD4D1A" w:rsidRPr="00DB53C4">
        <w:t xml:space="preserve"> 6 </w:t>
      </w:r>
      <w:r w:rsidR="002A57ED" w:rsidRPr="00DB53C4">
        <w:rPr>
          <w:bCs/>
        </w:rPr>
        <w:t>zákon</w:t>
      </w:r>
      <w:r w:rsidR="00CD4D1A" w:rsidRPr="00DB53C4">
        <w:rPr>
          <w:bCs/>
        </w:rPr>
        <w:t>a</w:t>
      </w:r>
      <w:r w:rsidR="002A57ED" w:rsidRPr="00DB53C4">
        <w:rPr>
          <w:bCs/>
        </w:rPr>
        <w:t xml:space="preserve"> č. 137/2006 Sb.</w:t>
      </w:r>
      <w:r w:rsidR="00465C43" w:rsidRPr="00DB53C4">
        <w:rPr>
          <w:rStyle w:val="Znakapoznpodarou"/>
          <w:bCs/>
        </w:rPr>
        <w:footnoteReference w:id="10"/>
      </w:r>
      <w:r w:rsidR="00CD4D1A" w:rsidRPr="00DB53C4">
        <w:rPr>
          <w:bCs/>
        </w:rPr>
        <w:t xml:space="preserve"> </w:t>
      </w:r>
      <w:r w:rsidR="005C290A" w:rsidRPr="00DB53C4">
        <w:rPr>
          <w:rFonts w:cs="Arial"/>
          <w:bCs/>
          <w:iCs/>
          <w:noProof/>
        </w:rPr>
        <w:t>N</w:t>
      </w:r>
      <w:r w:rsidR="002A57ED" w:rsidRPr="00DB53C4">
        <w:rPr>
          <w:rFonts w:cs="Arial"/>
          <w:bCs/>
          <w:iCs/>
          <w:noProof/>
        </w:rPr>
        <w:t xml:space="preserve">etransparentnost </w:t>
      </w:r>
      <w:r w:rsidR="00560616">
        <w:rPr>
          <w:rFonts w:cs="Arial"/>
          <w:bCs/>
          <w:iCs/>
          <w:noProof/>
        </w:rPr>
        <w:t>spatřuje</w:t>
      </w:r>
      <w:r w:rsidR="00B169B7" w:rsidRPr="00DB53C4">
        <w:rPr>
          <w:rFonts w:cs="Arial"/>
          <w:bCs/>
          <w:iCs/>
          <w:noProof/>
        </w:rPr>
        <w:t xml:space="preserve"> NKÚ v</w:t>
      </w:r>
      <w:r w:rsidR="00560616">
        <w:rPr>
          <w:rFonts w:cs="Arial"/>
          <w:bCs/>
          <w:iCs/>
          <w:noProof/>
        </w:rPr>
        <w:t> </w:t>
      </w:r>
      <w:r w:rsidR="00B169B7" w:rsidRPr="00DB53C4">
        <w:rPr>
          <w:rFonts w:cs="Arial"/>
          <w:bCs/>
          <w:iCs/>
          <w:noProof/>
        </w:rPr>
        <w:t>následujícím</w:t>
      </w:r>
      <w:r w:rsidR="00560616">
        <w:rPr>
          <w:rFonts w:cs="Arial"/>
          <w:bCs/>
          <w:iCs/>
          <w:noProof/>
        </w:rPr>
        <w:t xml:space="preserve"> jednání</w:t>
      </w:r>
      <w:r w:rsidR="002A57ED" w:rsidRPr="00DB53C4">
        <w:rPr>
          <w:rFonts w:cs="Arial"/>
          <w:bCs/>
          <w:iCs/>
          <w:noProof/>
        </w:rPr>
        <w:t>:</w:t>
      </w:r>
    </w:p>
    <w:p w:rsidR="005C290A" w:rsidRPr="00DB53C4" w:rsidRDefault="00370AD4" w:rsidP="0030104D">
      <w:pPr>
        <w:pStyle w:val="Odstavecseseznamem"/>
        <w:numPr>
          <w:ilvl w:val="0"/>
          <w:numId w:val="6"/>
        </w:numPr>
        <w:tabs>
          <w:tab w:val="center" w:pos="6120"/>
        </w:tabs>
        <w:spacing w:after="0"/>
        <w:ind w:left="426" w:hanging="426"/>
        <w:rPr>
          <w:rFonts w:cs="Arial"/>
          <w:bCs/>
          <w:iCs/>
          <w:noProof/>
          <w:szCs w:val="22"/>
        </w:rPr>
      </w:pPr>
      <w:r w:rsidRPr="00DB53C4">
        <w:rPr>
          <w:rFonts w:cs="Arial"/>
          <w:bCs/>
          <w:iCs/>
          <w:noProof/>
          <w:szCs w:val="22"/>
        </w:rPr>
        <w:t>V soutěžní dokumentaci stanovil SZIF metodu bodové</w:t>
      </w:r>
      <w:r w:rsidR="00587C0B" w:rsidRPr="00DB53C4">
        <w:rPr>
          <w:rFonts w:cs="Arial"/>
          <w:bCs/>
          <w:iCs/>
          <w:noProof/>
          <w:szCs w:val="22"/>
        </w:rPr>
        <w:t>ho</w:t>
      </w:r>
      <w:r w:rsidR="00FA346E" w:rsidRPr="00DB53C4">
        <w:rPr>
          <w:rFonts w:cs="Arial"/>
          <w:bCs/>
          <w:iCs/>
          <w:noProof/>
          <w:szCs w:val="22"/>
        </w:rPr>
        <w:t xml:space="preserve"> hodnocení soutěžních návrhů ve</w:t>
      </w:r>
      <w:r w:rsidR="00263B24">
        <w:rPr>
          <w:rFonts w:cs="Arial"/>
          <w:bCs/>
          <w:iCs/>
          <w:noProof/>
          <w:szCs w:val="22"/>
        </w:rPr>
        <w:t xml:space="preserve"> </w:t>
      </w:r>
      <w:r w:rsidRPr="00DB53C4">
        <w:rPr>
          <w:rFonts w:cs="Arial"/>
          <w:bCs/>
          <w:iCs/>
          <w:noProof/>
          <w:szCs w:val="22"/>
        </w:rPr>
        <w:t xml:space="preserve">vztahu k nejlepšímu soutěžnímu návrhu. </w:t>
      </w:r>
      <w:r w:rsidR="00587C0B" w:rsidRPr="00DB53C4">
        <w:rPr>
          <w:rFonts w:cs="Arial"/>
          <w:bCs/>
          <w:iCs/>
          <w:noProof/>
          <w:szCs w:val="22"/>
        </w:rPr>
        <w:t xml:space="preserve">SZIF </w:t>
      </w:r>
      <w:r w:rsidR="00560616">
        <w:rPr>
          <w:rFonts w:cs="Arial"/>
          <w:bCs/>
          <w:iCs/>
          <w:noProof/>
          <w:szCs w:val="22"/>
        </w:rPr>
        <w:t xml:space="preserve">však </w:t>
      </w:r>
      <w:r w:rsidR="00587C0B" w:rsidRPr="00DB53C4">
        <w:rPr>
          <w:rFonts w:cs="Arial"/>
          <w:bCs/>
          <w:iCs/>
          <w:noProof/>
          <w:szCs w:val="22"/>
        </w:rPr>
        <w:t>tuto metodu p</w:t>
      </w:r>
      <w:r w:rsidRPr="00DB53C4">
        <w:rPr>
          <w:rFonts w:cs="Arial"/>
          <w:bCs/>
          <w:iCs/>
          <w:noProof/>
          <w:szCs w:val="22"/>
        </w:rPr>
        <w:t>ři hodnocení soutěžních návrhů neaplikoval.</w:t>
      </w:r>
    </w:p>
    <w:p w:rsidR="002A57ED" w:rsidRPr="00DB53C4" w:rsidRDefault="00570DC7" w:rsidP="006C5297">
      <w:pPr>
        <w:pStyle w:val="Odstavecseseznamem"/>
        <w:numPr>
          <w:ilvl w:val="0"/>
          <w:numId w:val="6"/>
        </w:numPr>
        <w:tabs>
          <w:tab w:val="center" w:pos="6120"/>
        </w:tabs>
        <w:spacing w:after="0"/>
        <w:ind w:left="426" w:hanging="426"/>
        <w:rPr>
          <w:rFonts w:cs="Arial"/>
          <w:szCs w:val="22"/>
        </w:rPr>
      </w:pPr>
      <w:r w:rsidRPr="00DB53C4">
        <w:rPr>
          <w:rFonts w:cs="Arial"/>
          <w:bCs/>
          <w:iCs/>
          <w:noProof/>
          <w:szCs w:val="22"/>
        </w:rPr>
        <w:t xml:space="preserve">U </w:t>
      </w:r>
      <w:r w:rsidR="00560616">
        <w:rPr>
          <w:rFonts w:cs="Arial"/>
          <w:bCs/>
          <w:iCs/>
          <w:noProof/>
          <w:szCs w:val="22"/>
        </w:rPr>
        <w:t>veřejných zakázek</w:t>
      </w:r>
      <w:r w:rsidRPr="00DB53C4">
        <w:rPr>
          <w:rFonts w:cs="Arial"/>
          <w:bCs/>
          <w:iCs/>
          <w:noProof/>
          <w:szCs w:val="22"/>
        </w:rPr>
        <w:t xml:space="preserve"> MZe a SZIF </w:t>
      </w:r>
      <w:r w:rsidR="00560616" w:rsidRPr="00DB53C4">
        <w:rPr>
          <w:rFonts w:cs="Arial"/>
          <w:bCs/>
          <w:iCs/>
          <w:noProof/>
          <w:szCs w:val="22"/>
        </w:rPr>
        <w:t xml:space="preserve">nebylo </w:t>
      </w:r>
      <w:r w:rsidRPr="00DB53C4">
        <w:rPr>
          <w:rFonts w:cs="Arial"/>
          <w:bCs/>
          <w:iCs/>
          <w:noProof/>
          <w:szCs w:val="22"/>
        </w:rPr>
        <w:t>z</w:t>
      </w:r>
      <w:r w:rsidR="002A57ED" w:rsidRPr="00DB53C4">
        <w:rPr>
          <w:rFonts w:cs="Arial"/>
          <w:bCs/>
          <w:iCs/>
          <w:noProof/>
          <w:szCs w:val="22"/>
        </w:rPr>
        <w:t> hodnocení soutěžních návrhů/nabídek zřejmé, jakým způsobem soutěžní porota</w:t>
      </w:r>
      <w:r w:rsidR="00560616">
        <w:rPr>
          <w:rFonts w:cs="Arial"/>
          <w:bCs/>
          <w:iCs/>
          <w:noProof/>
          <w:szCs w:val="22"/>
        </w:rPr>
        <w:t xml:space="preserve">, resp. </w:t>
      </w:r>
      <w:r w:rsidR="002A57ED" w:rsidRPr="00DB53C4">
        <w:rPr>
          <w:rFonts w:cs="Arial"/>
          <w:bCs/>
          <w:iCs/>
          <w:noProof/>
          <w:szCs w:val="22"/>
        </w:rPr>
        <w:t>hodnot</w:t>
      </w:r>
      <w:r w:rsidR="00560616">
        <w:rPr>
          <w:rFonts w:cs="Arial"/>
          <w:bCs/>
          <w:iCs/>
          <w:noProof/>
          <w:szCs w:val="22"/>
        </w:rPr>
        <w:t>i</w:t>
      </w:r>
      <w:r w:rsidR="002A57ED" w:rsidRPr="00DB53C4">
        <w:rPr>
          <w:rFonts w:cs="Arial"/>
          <w:bCs/>
          <w:iCs/>
          <w:noProof/>
          <w:szCs w:val="22"/>
        </w:rPr>
        <w:t>cí komise</w:t>
      </w:r>
      <w:r w:rsidR="00560616">
        <w:rPr>
          <w:rFonts w:cs="Arial"/>
          <w:bCs/>
          <w:iCs/>
          <w:noProof/>
          <w:szCs w:val="22"/>
        </w:rPr>
        <w:t>,</w:t>
      </w:r>
      <w:r w:rsidR="002A57ED" w:rsidRPr="00DB53C4">
        <w:rPr>
          <w:rFonts w:cs="Arial"/>
          <w:bCs/>
          <w:iCs/>
          <w:noProof/>
          <w:szCs w:val="22"/>
        </w:rPr>
        <w:t xml:space="preserve"> hodnotila jednotlivá hlediska </w:t>
      </w:r>
      <w:r w:rsidR="00BC5509" w:rsidRPr="00DB53C4">
        <w:rPr>
          <w:rFonts w:cs="Arial"/>
          <w:bCs/>
          <w:iCs/>
          <w:noProof/>
          <w:szCs w:val="22"/>
        </w:rPr>
        <w:t>přiřazená</w:t>
      </w:r>
      <w:r w:rsidR="00FA346E" w:rsidRPr="00DB53C4">
        <w:rPr>
          <w:rFonts w:cs="Arial"/>
          <w:bCs/>
          <w:iCs/>
          <w:noProof/>
          <w:szCs w:val="22"/>
        </w:rPr>
        <w:t xml:space="preserve"> ke</w:t>
      </w:r>
      <w:r w:rsidR="00560616">
        <w:rPr>
          <w:rFonts w:cs="Arial"/>
          <w:bCs/>
          <w:iCs/>
          <w:noProof/>
          <w:szCs w:val="22"/>
        </w:rPr>
        <w:t xml:space="preserve"> </w:t>
      </w:r>
      <w:r w:rsidR="002A57ED" w:rsidRPr="00DB53C4">
        <w:rPr>
          <w:rFonts w:cs="Arial"/>
          <w:bCs/>
          <w:iCs/>
          <w:noProof/>
          <w:szCs w:val="22"/>
        </w:rPr>
        <w:t>kvalitativním dílčím hodnot</w:t>
      </w:r>
      <w:r w:rsidR="00560616">
        <w:rPr>
          <w:rFonts w:cs="Arial"/>
          <w:bCs/>
          <w:iCs/>
          <w:noProof/>
          <w:szCs w:val="22"/>
        </w:rPr>
        <w:t>i</w:t>
      </w:r>
      <w:r w:rsidR="002A57ED" w:rsidRPr="00DB53C4">
        <w:rPr>
          <w:rFonts w:cs="Arial"/>
          <w:bCs/>
          <w:iCs/>
          <w:noProof/>
          <w:szCs w:val="22"/>
        </w:rPr>
        <w:t>cím kritériím. Ačkoliv v rámci jednoho dílčího hodnot</w:t>
      </w:r>
      <w:r w:rsidR="00EE56B4">
        <w:rPr>
          <w:rFonts w:cs="Arial"/>
          <w:bCs/>
          <w:iCs/>
          <w:noProof/>
          <w:szCs w:val="22"/>
        </w:rPr>
        <w:t>i</w:t>
      </w:r>
      <w:r w:rsidR="002A57ED" w:rsidRPr="00DB53C4">
        <w:rPr>
          <w:rFonts w:cs="Arial"/>
          <w:bCs/>
          <w:iCs/>
          <w:noProof/>
          <w:szCs w:val="22"/>
        </w:rPr>
        <w:t>cího kritér</w:t>
      </w:r>
      <w:r w:rsidR="00EE56B4">
        <w:rPr>
          <w:rFonts w:cs="Arial"/>
          <w:bCs/>
          <w:iCs/>
          <w:noProof/>
          <w:szCs w:val="22"/>
        </w:rPr>
        <w:t>i</w:t>
      </w:r>
      <w:r w:rsidR="002A57ED" w:rsidRPr="00DB53C4">
        <w:rPr>
          <w:rFonts w:cs="Arial"/>
          <w:bCs/>
          <w:iCs/>
          <w:noProof/>
          <w:szCs w:val="22"/>
        </w:rPr>
        <w:t xml:space="preserve">a bylo hodnoceno více hledisek, soutěžní porota přiřadila soutěžnímu návrhu celkový počet bodů za celé dílčí kvalitativní kritérium, aniž by z hodnocení bylo </w:t>
      </w:r>
      <w:r w:rsidRPr="00DB53C4">
        <w:rPr>
          <w:rFonts w:cs="Arial"/>
          <w:bCs/>
          <w:iCs/>
          <w:noProof/>
          <w:szCs w:val="22"/>
        </w:rPr>
        <w:lastRenderedPageBreak/>
        <w:t xml:space="preserve">objektivně </w:t>
      </w:r>
      <w:r w:rsidR="002A57ED" w:rsidRPr="00DB53C4">
        <w:rPr>
          <w:rFonts w:cs="Arial"/>
          <w:bCs/>
          <w:iCs/>
          <w:noProof/>
          <w:szCs w:val="22"/>
        </w:rPr>
        <w:t>zřejmé, kolik bodů a v jakých hlediscích uchazeč v</w:t>
      </w:r>
      <w:r w:rsidR="00560616">
        <w:rPr>
          <w:rFonts w:cs="Arial"/>
          <w:bCs/>
          <w:iCs/>
          <w:noProof/>
          <w:szCs w:val="22"/>
        </w:rPr>
        <w:t> </w:t>
      </w:r>
      <w:r w:rsidR="002A57ED" w:rsidRPr="00DB53C4">
        <w:rPr>
          <w:rFonts w:cs="Arial"/>
          <w:bCs/>
          <w:iCs/>
          <w:noProof/>
          <w:szCs w:val="22"/>
        </w:rPr>
        <w:t>hod</w:t>
      </w:r>
      <w:r w:rsidR="00CF481E" w:rsidRPr="00DB53C4">
        <w:rPr>
          <w:rFonts w:cs="Arial"/>
          <w:bCs/>
          <w:iCs/>
          <w:noProof/>
          <w:szCs w:val="22"/>
        </w:rPr>
        <w:t>noceném dílčím kritériu získal</w:t>
      </w:r>
      <w:r w:rsidR="00980F3C" w:rsidRPr="00DB53C4">
        <w:rPr>
          <w:rFonts w:cs="Arial"/>
          <w:bCs/>
          <w:iCs/>
          <w:noProof/>
          <w:szCs w:val="22"/>
        </w:rPr>
        <w:t>.</w:t>
      </w:r>
    </w:p>
    <w:p w:rsidR="001A2B89" w:rsidRPr="00DB53C4" w:rsidRDefault="001A2B89" w:rsidP="001A2B89">
      <w:pPr>
        <w:pStyle w:val="Odstavecseseznamem"/>
        <w:numPr>
          <w:ilvl w:val="0"/>
          <w:numId w:val="6"/>
        </w:numPr>
        <w:tabs>
          <w:tab w:val="center" w:pos="6120"/>
        </w:tabs>
        <w:spacing w:after="0"/>
        <w:ind w:left="426" w:hanging="426"/>
        <w:rPr>
          <w:rFonts w:cs="Arial"/>
          <w:szCs w:val="22"/>
        </w:rPr>
      </w:pPr>
      <w:r w:rsidRPr="00DB53C4">
        <w:rPr>
          <w:rFonts w:cs="Arial"/>
          <w:szCs w:val="22"/>
        </w:rPr>
        <w:t xml:space="preserve">U </w:t>
      </w:r>
      <w:r w:rsidR="00EE56B4">
        <w:rPr>
          <w:rFonts w:cs="Arial"/>
          <w:bCs/>
          <w:iCs/>
          <w:noProof/>
          <w:szCs w:val="22"/>
        </w:rPr>
        <w:t>veřejných zakázek</w:t>
      </w:r>
      <w:r w:rsidR="00370AD4" w:rsidRPr="00DB53C4">
        <w:rPr>
          <w:rFonts w:cs="Arial"/>
          <w:szCs w:val="22"/>
        </w:rPr>
        <w:t xml:space="preserve"> </w:t>
      </w:r>
      <w:proofErr w:type="spellStart"/>
      <w:r w:rsidR="00370AD4" w:rsidRPr="00DB53C4">
        <w:rPr>
          <w:rFonts w:cs="Arial"/>
          <w:szCs w:val="22"/>
        </w:rPr>
        <w:t>MZe</w:t>
      </w:r>
      <w:proofErr w:type="spellEnd"/>
      <w:r w:rsidR="00370AD4" w:rsidRPr="00DB53C4">
        <w:rPr>
          <w:rFonts w:cs="Arial"/>
          <w:szCs w:val="22"/>
        </w:rPr>
        <w:t xml:space="preserve"> a SZIF se soutěžní porota</w:t>
      </w:r>
      <w:r w:rsidR="00EE56B4">
        <w:rPr>
          <w:rFonts w:cs="Arial"/>
          <w:szCs w:val="22"/>
        </w:rPr>
        <w:t xml:space="preserve">, resp. </w:t>
      </w:r>
      <w:r w:rsidRPr="00DB53C4">
        <w:rPr>
          <w:rFonts w:cs="Arial"/>
          <w:szCs w:val="22"/>
        </w:rPr>
        <w:t>hodnot</w:t>
      </w:r>
      <w:r w:rsidR="00EE56B4">
        <w:rPr>
          <w:rFonts w:cs="Arial"/>
          <w:szCs w:val="22"/>
        </w:rPr>
        <w:t>i</w:t>
      </w:r>
      <w:r w:rsidRPr="00DB53C4">
        <w:rPr>
          <w:rFonts w:cs="Arial"/>
          <w:szCs w:val="22"/>
        </w:rPr>
        <w:t>cí komise</w:t>
      </w:r>
      <w:r w:rsidR="00EE56B4">
        <w:rPr>
          <w:rFonts w:cs="Arial"/>
          <w:szCs w:val="22"/>
        </w:rPr>
        <w:t>,</w:t>
      </w:r>
      <w:r w:rsidRPr="00DB53C4">
        <w:rPr>
          <w:rFonts w:cs="Arial"/>
          <w:szCs w:val="22"/>
        </w:rPr>
        <w:t xml:space="preserve"> při slovním hodnocení uchazečů v souvislosti s dílčími kvalitativními </w:t>
      </w:r>
      <w:r w:rsidR="00370AD4" w:rsidRPr="00DB53C4">
        <w:rPr>
          <w:rFonts w:cs="Arial"/>
          <w:szCs w:val="22"/>
        </w:rPr>
        <w:t>hodnot</w:t>
      </w:r>
      <w:r w:rsidR="00EE56B4">
        <w:rPr>
          <w:rFonts w:cs="Arial"/>
          <w:szCs w:val="22"/>
        </w:rPr>
        <w:t>i</w:t>
      </w:r>
      <w:r w:rsidR="00370AD4" w:rsidRPr="00DB53C4">
        <w:rPr>
          <w:rFonts w:cs="Arial"/>
          <w:szCs w:val="22"/>
        </w:rPr>
        <w:t>cími kritérii nevyjádřila</w:t>
      </w:r>
      <w:r w:rsidRPr="00DB53C4">
        <w:rPr>
          <w:rFonts w:cs="Arial"/>
          <w:szCs w:val="22"/>
        </w:rPr>
        <w:t xml:space="preserve"> u</w:t>
      </w:r>
      <w:r w:rsidR="00EE56B4">
        <w:rPr>
          <w:rFonts w:cs="Arial"/>
          <w:szCs w:val="22"/>
        </w:rPr>
        <w:t> </w:t>
      </w:r>
      <w:r w:rsidRPr="00DB53C4">
        <w:rPr>
          <w:rFonts w:cs="Arial"/>
          <w:szCs w:val="22"/>
        </w:rPr>
        <w:t xml:space="preserve">všech uchazečů ke stejným hlediskům </w:t>
      </w:r>
      <w:r w:rsidR="00370AD4" w:rsidRPr="00DB53C4">
        <w:rPr>
          <w:rFonts w:cs="Arial"/>
          <w:szCs w:val="22"/>
        </w:rPr>
        <w:t>u kvalitativních dílčích hodnot</w:t>
      </w:r>
      <w:r w:rsidR="00EE56B4">
        <w:rPr>
          <w:rFonts w:cs="Arial"/>
          <w:szCs w:val="22"/>
        </w:rPr>
        <w:t>i</w:t>
      </w:r>
      <w:r w:rsidR="00370AD4" w:rsidRPr="00DB53C4">
        <w:rPr>
          <w:rFonts w:cs="Arial"/>
          <w:szCs w:val="22"/>
        </w:rPr>
        <w:t>cích</w:t>
      </w:r>
      <w:r w:rsidRPr="00DB53C4">
        <w:rPr>
          <w:rFonts w:cs="Arial"/>
          <w:szCs w:val="22"/>
        </w:rPr>
        <w:t xml:space="preserve"> kri</w:t>
      </w:r>
      <w:r w:rsidR="00370AD4" w:rsidRPr="00DB53C4">
        <w:rPr>
          <w:rFonts w:cs="Arial"/>
          <w:szCs w:val="22"/>
        </w:rPr>
        <w:t>térií, hodnotila</w:t>
      </w:r>
      <w:r w:rsidRPr="00DB53C4">
        <w:rPr>
          <w:rFonts w:cs="Arial"/>
          <w:szCs w:val="22"/>
        </w:rPr>
        <w:t xml:space="preserve"> pouze některá hlediska</w:t>
      </w:r>
      <w:r w:rsidR="00EE56B4">
        <w:rPr>
          <w:rFonts w:cs="Arial"/>
          <w:szCs w:val="22"/>
        </w:rPr>
        <w:t>,</w:t>
      </w:r>
      <w:r w:rsidRPr="00DB53C4">
        <w:rPr>
          <w:rFonts w:cs="Arial"/>
          <w:szCs w:val="22"/>
        </w:rPr>
        <w:t xml:space="preserve"> a to nikoliv u všech soutěžních návrhů/nabídek</w:t>
      </w:r>
      <w:r w:rsidR="00EE56B4">
        <w:rPr>
          <w:rFonts w:cs="Arial"/>
          <w:szCs w:val="22"/>
        </w:rPr>
        <w:t>.</w:t>
      </w:r>
    </w:p>
    <w:p w:rsidR="005C290A" w:rsidRPr="00DB53C4" w:rsidRDefault="00570DC7" w:rsidP="007B4436">
      <w:pPr>
        <w:pStyle w:val="Odstavecseseznamem"/>
        <w:numPr>
          <w:ilvl w:val="0"/>
          <w:numId w:val="6"/>
        </w:numPr>
        <w:tabs>
          <w:tab w:val="center" w:pos="6120"/>
        </w:tabs>
        <w:spacing w:after="0"/>
        <w:ind w:left="426" w:hanging="426"/>
        <w:rPr>
          <w:rFonts w:cs="Arial"/>
          <w:szCs w:val="22"/>
        </w:rPr>
      </w:pPr>
      <w:r w:rsidRPr="00DB53C4">
        <w:rPr>
          <w:rFonts w:cs="Arial"/>
          <w:szCs w:val="22"/>
        </w:rPr>
        <w:t xml:space="preserve">U </w:t>
      </w:r>
      <w:r w:rsidR="00EE56B4">
        <w:rPr>
          <w:rFonts w:cs="Arial"/>
          <w:bCs/>
          <w:iCs/>
          <w:noProof/>
          <w:szCs w:val="22"/>
        </w:rPr>
        <w:t xml:space="preserve">veřejných zakázek </w:t>
      </w:r>
      <w:r w:rsidR="00622B9A">
        <w:rPr>
          <w:rFonts w:cs="Arial"/>
          <w:bCs/>
          <w:iCs/>
          <w:noProof/>
          <w:szCs w:val="22"/>
        </w:rPr>
        <w:t>MZe</w:t>
      </w:r>
      <w:r w:rsidRPr="00DB53C4">
        <w:rPr>
          <w:rFonts w:cs="Arial"/>
          <w:szCs w:val="22"/>
        </w:rPr>
        <w:t xml:space="preserve"> s</w:t>
      </w:r>
      <w:r w:rsidR="00007BB1" w:rsidRPr="00DB53C4">
        <w:rPr>
          <w:rFonts w:cs="Arial"/>
          <w:szCs w:val="22"/>
        </w:rPr>
        <w:t>outěžní porota</w:t>
      </w:r>
      <w:r w:rsidR="00EE56B4">
        <w:rPr>
          <w:rFonts w:cs="Arial"/>
          <w:szCs w:val="22"/>
        </w:rPr>
        <w:t xml:space="preserve">, resp. </w:t>
      </w:r>
      <w:r w:rsidR="00007BB1" w:rsidRPr="00DB53C4">
        <w:rPr>
          <w:rFonts w:cs="Arial"/>
          <w:szCs w:val="22"/>
        </w:rPr>
        <w:t>hodnot</w:t>
      </w:r>
      <w:r w:rsidR="00EE56B4">
        <w:rPr>
          <w:rFonts w:cs="Arial"/>
          <w:szCs w:val="22"/>
        </w:rPr>
        <w:t>i</w:t>
      </w:r>
      <w:r w:rsidR="00007BB1" w:rsidRPr="00DB53C4">
        <w:rPr>
          <w:rFonts w:cs="Arial"/>
          <w:szCs w:val="22"/>
        </w:rPr>
        <w:t>cí komise</w:t>
      </w:r>
      <w:r w:rsidR="00EE56B4">
        <w:rPr>
          <w:rFonts w:cs="Arial"/>
          <w:szCs w:val="22"/>
        </w:rPr>
        <w:t>,</w:t>
      </w:r>
      <w:r w:rsidR="00007BB1" w:rsidRPr="00DB53C4">
        <w:rPr>
          <w:rFonts w:cs="Arial"/>
          <w:szCs w:val="22"/>
        </w:rPr>
        <w:t xml:space="preserve"> hodnotila v rámci kvalitativních dílčích hodnot</w:t>
      </w:r>
      <w:r w:rsidR="00EE56B4">
        <w:rPr>
          <w:rFonts w:cs="Arial"/>
          <w:szCs w:val="22"/>
        </w:rPr>
        <w:t>i</w:t>
      </w:r>
      <w:r w:rsidR="00007BB1" w:rsidRPr="00DB53C4">
        <w:rPr>
          <w:rFonts w:cs="Arial"/>
          <w:szCs w:val="22"/>
        </w:rPr>
        <w:t>cích kritérií prvky, které nebyly specifikovány v soutěžní/zadávací dokumentaci</w:t>
      </w:r>
      <w:r w:rsidR="00980F3C" w:rsidRPr="00DB53C4">
        <w:rPr>
          <w:rFonts w:cs="Arial"/>
          <w:szCs w:val="22"/>
        </w:rPr>
        <w:t>.</w:t>
      </w:r>
    </w:p>
    <w:p w:rsidR="000832C8" w:rsidRDefault="000832C8" w:rsidP="00A51E25">
      <w:pPr>
        <w:spacing w:after="0"/>
      </w:pPr>
    </w:p>
    <w:p w:rsidR="005C23C5" w:rsidRPr="00DB53C4" w:rsidRDefault="005E20E2" w:rsidP="00A51E25">
      <w:pPr>
        <w:spacing w:after="0"/>
        <w:rPr>
          <w:bCs/>
          <w:szCs w:val="22"/>
        </w:rPr>
      </w:pPr>
      <w:r w:rsidRPr="00DB53C4">
        <w:t xml:space="preserve">SZIF u </w:t>
      </w:r>
      <w:r w:rsidR="008B7A8A" w:rsidRPr="00DB53C4">
        <w:t xml:space="preserve">VZ na </w:t>
      </w:r>
      <w:r w:rsidR="004033DB">
        <w:t>p</w:t>
      </w:r>
      <w:r w:rsidR="008B7A8A" w:rsidRPr="00DB53C4">
        <w:t xml:space="preserve">ublic </w:t>
      </w:r>
      <w:r w:rsidR="004033DB">
        <w:t>r</w:t>
      </w:r>
      <w:r w:rsidR="008B7A8A" w:rsidRPr="00DB53C4">
        <w:t>elations</w:t>
      </w:r>
      <w:r w:rsidRPr="00DB53C4">
        <w:t xml:space="preserve"> navíc nezajistil po celou dobu soutěže anony</w:t>
      </w:r>
      <w:r w:rsidR="00570DC7" w:rsidRPr="00DB53C4">
        <w:t>mitu podaných návrhů, což NKÚ hodnotí</w:t>
      </w:r>
      <w:r w:rsidR="00381447" w:rsidRPr="00DB53C4">
        <w:rPr>
          <w:bCs/>
          <w:szCs w:val="22"/>
        </w:rPr>
        <w:t xml:space="preserve"> ja</w:t>
      </w:r>
      <w:r w:rsidR="00465C43" w:rsidRPr="00DB53C4">
        <w:rPr>
          <w:bCs/>
          <w:szCs w:val="22"/>
        </w:rPr>
        <w:t xml:space="preserve">ko porušení </w:t>
      </w:r>
      <w:r w:rsidR="006E71B8" w:rsidRPr="00DB53C4">
        <w:rPr>
          <w:bCs/>
          <w:szCs w:val="22"/>
        </w:rPr>
        <w:t xml:space="preserve">podmínek průběhu soutěže o návrh </w:t>
      </w:r>
      <w:r w:rsidR="004033DB">
        <w:rPr>
          <w:bCs/>
          <w:szCs w:val="22"/>
        </w:rPr>
        <w:t xml:space="preserve">(porušení </w:t>
      </w:r>
      <w:r w:rsidR="00465C43" w:rsidRPr="00DB53C4">
        <w:rPr>
          <w:bCs/>
          <w:szCs w:val="22"/>
        </w:rPr>
        <w:t>z</w:t>
      </w:r>
      <w:r w:rsidR="006E71B8" w:rsidRPr="00DB53C4">
        <w:rPr>
          <w:bCs/>
          <w:szCs w:val="22"/>
        </w:rPr>
        <w:t>ákona č. </w:t>
      </w:r>
      <w:r w:rsidRPr="00DB53C4">
        <w:rPr>
          <w:bCs/>
          <w:szCs w:val="22"/>
        </w:rPr>
        <w:t>137</w:t>
      </w:r>
      <w:r w:rsidR="00247734" w:rsidRPr="00DB53C4">
        <w:rPr>
          <w:bCs/>
          <w:szCs w:val="22"/>
        </w:rPr>
        <w:t>/2006 Sb.</w:t>
      </w:r>
      <w:r w:rsidR="004033DB">
        <w:rPr>
          <w:bCs/>
          <w:szCs w:val="22"/>
        </w:rPr>
        <w:t>).</w:t>
      </w:r>
      <w:r w:rsidR="00247734" w:rsidRPr="00DB53C4">
        <w:rPr>
          <w:bCs/>
          <w:szCs w:val="22"/>
        </w:rPr>
        <w:t xml:space="preserve"> </w:t>
      </w:r>
      <w:r w:rsidR="00FC2D28" w:rsidRPr="00DB53C4">
        <w:t>T</w:t>
      </w:r>
      <w:r w:rsidR="00247734" w:rsidRPr="00DB53C4">
        <w:t>ím,</w:t>
      </w:r>
      <w:r w:rsidR="00F93D90" w:rsidRPr="00DB53C4">
        <w:t xml:space="preserve"> že </w:t>
      </w:r>
      <w:r w:rsidR="00F93D90" w:rsidRPr="00DB53C4">
        <w:rPr>
          <w:bCs/>
          <w:iCs/>
          <w:noProof/>
          <w:szCs w:val="22"/>
        </w:rPr>
        <w:t>MZe</w:t>
      </w:r>
      <w:r w:rsidR="005C290A" w:rsidRPr="00DB53C4">
        <w:rPr>
          <w:bCs/>
          <w:iCs/>
          <w:noProof/>
          <w:szCs w:val="22"/>
        </w:rPr>
        <w:t xml:space="preserve"> a SZIF nepostupovaly</w:t>
      </w:r>
      <w:r w:rsidR="00F93D90" w:rsidRPr="00DB53C4">
        <w:rPr>
          <w:bCs/>
          <w:iCs/>
          <w:noProof/>
          <w:szCs w:val="22"/>
        </w:rPr>
        <w:t xml:space="preserve"> při hodnocení soutěžních návrhů transparentně,</w:t>
      </w:r>
      <w:r w:rsidR="00F93D90" w:rsidRPr="00DB53C4">
        <w:t xml:space="preserve"> </w:t>
      </w:r>
      <w:r w:rsidR="00F469E0" w:rsidRPr="00DB53C4">
        <w:t>nebylo zaručeno</w:t>
      </w:r>
      <w:r w:rsidR="00FC2D28" w:rsidRPr="00DB53C4">
        <w:t xml:space="preserve">, že v rámci </w:t>
      </w:r>
      <w:r w:rsidR="00F302F8" w:rsidRPr="00DB53C4">
        <w:t>zadávacích</w:t>
      </w:r>
      <w:r w:rsidR="00FC2D28" w:rsidRPr="00DB53C4">
        <w:t xml:space="preserve"> řízení </w:t>
      </w:r>
      <w:r w:rsidR="00F469E0" w:rsidRPr="00DB53C4">
        <w:t>byla vybrána nejlepší nabídka</w:t>
      </w:r>
      <w:r w:rsidR="00F93D90" w:rsidRPr="00DB53C4">
        <w:t>.</w:t>
      </w:r>
    </w:p>
    <w:p w:rsidR="000832C8" w:rsidRDefault="000832C8" w:rsidP="0030104D">
      <w:pPr>
        <w:spacing w:after="0"/>
        <w:rPr>
          <w:bCs/>
          <w:szCs w:val="22"/>
        </w:rPr>
      </w:pPr>
    </w:p>
    <w:p w:rsidR="005C23C5" w:rsidRPr="007D5F54" w:rsidRDefault="004033DB" w:rsidP="0030104D">
      <w:pPr>
        <w:spacing w:after="0"/>
      </w:pPr>
      <w:r>
        <w:rPr>
          <w:bCs/>
          <w:szCs w:val="22"/>
        </w:rPr>
        <w:t>Při kontrole veřejných zakázek</w:t>
      </w:r>
      <w:r w:rsidR="005E20E2" w:rsidRPr="00DB53C4">
        <w:rPr>
          <w:bCs/>
          <w:szCs w:val="22"/>
        </w:rPr>
        <w:t xml:space="preserve"> uvedený</w:t>
      </w:r>
      <w:r>
        <w:rPr>
          <w:bCs/>
          <w:szCs w:val="22"/>
        </w:rPr>
        <w:t>ch</w:t>
      </w:r>
      <w:r w:rsidR="005E20E2" w:rsidRPr="00DB53C4">
        <w:rPr>
          <w:bCs/>
          <w:szCs w:val="22"/>
        </w:rPr>
        <w:t xml:space="preserve"> </w:t>
      </w:r>
      <w:r w:rsidR="0078138B" w:rsidRPr="00DB53C4">
        <w:rPr>
          <w:bCs/>
          <w:szCs w:val="22"/>
        </w:rPr>
        <w:t>v tabulce č. 3</w:t>
      </w:r>
      <w:r w:rsidR="005C23C5" w:rsidRPr="00DB53C4">
        <w:rPr>
          <w:bCs/>
          <w:szCs w:val="22"/>
        </w:rPr>
        <w:t xml:space="preserve">, které realizoval </w:t>
      </w:r>
      <w:r w:rsidR="00F469E0" w:rsidRPr="00DB53C4">
        <w:rPr>
          <w:bCs/>
          <w:szCs w:val="22"/>
        </w:rPr>
        <w:t xml:space="preserve">SZIF </w:t>
      </w:r>
      <w:r>
        <w:rPr>
          <w:bCs/>
          <w:szCs w:val="22"/>
        </w:rPr>
        <w:t>v souvislosti s </w:t>
      </w:r>
      <w:r w:rsidR="00FA346E" w:rsidRPr="00DB53C4">
        <w:t>komunikační kampa</w:t>
      </w:r>
      <w:r>
        <w:t>ní</w:t>
      </w:r>
      <w:r w:rsidR="00FA346E" w:rsidRPr="00DB53C4">
        <w:t xml:space="preserve"> </w:t>
      </w:r>
      <w:r w:rsidR="00FA346E" w:rsidRPr="007D5F54">
        <w:t>na</w:t>
      </w:r>
      <w:r>
        <w:t xml:space="preserve"> podporu </w:t>
      </w:r>
      <w:r w:rsidR="005C23C5" w:rsidRPr="007D5F54">
        <w:t>značk</w:t>
      </w:r>
      <w:r>
        <w:t>y</w:t>
      </w:r>
      <w:r w:rsidR="005C23C5" w:rsidRPr="007D5F54">
        <w:t xml:space="preserve"> </w:t>
      </w:r>
      <w:r>
        <w:t>„</w:t>
      </w:r>
      <w:r w:rsidR="005C23C5" w:rsidRPr="007D5F54">
        <w:rPr>
          <w:b/>
        </w:rPr>
        <w:t>Klasa</w:t>
      </w:r>
      <w:r w:rsidRPr="00A51E25">
        <w:t>“</w:t>
      </w:r>
      <w:r w:rsidR="005E20E2" w:rsidRPr="007D5F54">
        <w:t>, byl</w:t>
      </w:r>
      <w:r>
        <w:t>y</w:t>
      </w:r>
      <w:r w:rsidR="005E20E2" w:rsidRPr="007D5F54">
        <w:t xml:space="preserve"> dále zjištěn</w:t>
      </w:r>
      <w:r>
        <w:t>y tyto skutečnosti:</w:t>
      </w:r>
      <w:r w:rsidR="006A4EF7" w:rsidRPr="007D5F54">
        <w:rPr>
          <w:rStyle w:val="Znakapoznpodarou"/>
        </w:rPr>
        <w:footnoteReference w:id="11"/>
      </w:r>
    </w:p>
    <w:p w:rsidR="001B48D7" w:rsidRPr="007D5F54" w:rsidRDefault="00B40F55" w:rsidP="0030104D">
      <w:pPr>
        <w:pStyle w:val="Odstavecseseznamem"/>
        <w:numPr>
          <w:ilvl w:val="0"/>
          <w:numId w:val="9"/>
        </w:numPr>
        <w:spacing w:after="0"/>
        <w:ind w:left="426" w:hanging="426"/>
      </w:pPr>
      <w:r w:rsidRPr="007D5F54">
        <w:t>V jedenácti případech</w:t>
      </w:r>
      <w:r w:rsidR="00570DC7" w:rsidRPr="007D5F54">
        <w:t xml:space="preserve"> </w:t>
      </w:r>
      <w:r w:rsidR="004033DB" w:rsidRPr="00A51E25">
        <w:rPr>
          <w:b/>
        </w:rPr>
        <w:t xml:space="preserve">SZIF </w:t>
      </w:r>
      <w:r w:rsidRPr="007D5F54">
        <w:rPr>
          <w:b/>
        </w:rPr>
        <w:t>schválil vyúčtování či uhradil fakturu</w:t>
      </w:r>
      <w:r w:rsidRPr="007D5F54">
        <w:t xml:space="preserve"> </w:t>
      </w:r>
      <w:r w:rsidR="007D5F54">
        <w:t>v celkové výši téměř 21 mil. </w:t>
      </w:r>
      <w:r w:rsidR="006A4EF7" w:rsidRPr="007D5F54">
        <w:t>Kč</w:t>
      </w:r>
      <w:r w:rsidR="001A2B89" w:rsidRPr="007D5F54">
        <w:t xml:space="preserve"> </w:t>
      </w:r>
      <w:r w:rsidR="001A2B89" w:rsidRPr="007D5F54">
        <w:rPr>
          <w:b/>
        </w:rPr>
        <w:t>za činnosti</w:t>
      </w:r>
      <w:r w:rsidR="006A4EF7" w:rsidRPr="007D5F54">
        <w:rPr>
          <w:b/>
        </w:rPr>
        <w:t>, které nebyly ukončen</w:t>
      </w:r>
      <w:r w:rsidR="00C86CC4">
        <w:rPr>
          <w:b/>
        </w:rPr>
        <w:t>y</w:t>
      </w:r>
      <w:r w:rsidR="006A4EF7" w:rsidRPr="007D5F54">
        <w:rPr>
          <w:b/>
        </w:rPr>
        <w:t>,</w:t>
      </w:r>
      <w:r w:rsidR="00203041" w:rsidRPr="007D5F54">
        <w:rPr>
          <w:b/>
        </w:rPr>
        <w:t xml:space="preserve"> nebyl zřejmý jejich</w:t>
      </w:r>
      <w:r w:rsidRPr="007D5F54">
        <w:rPr>
          <w:b/>
        </w:rPr>
        <w:t xml:space="preserve"> obsah a vztah k nastaveným cílům komunikační kampaně na</w:t>
      </w:r>
      <w:r w:rsidR="00C86CC4">
        <w:rPr>
          <w:b/>
        </w:rPr>
        <w:t xml:space="preserve"> podporu</w:t>
      </w:r>
      <w:r w:rsidRPr="007D5F54">
        <w:rPr>
          <w:b/>
        </w:rPr>
        <w:t xml:space="preserve"> značk</w:t>
      </w:r>
      <w:r w:rsidR="00C86CC4">
        <w:rPr>
          <w:b/>
        </w:rPr>
        <w:t>y</w:t>
      </w:r>
      <w:r w:rsidRPr="007D5F54">
        <w:rPr>
          <w:b/>
        </w:rPr>
        <w:t xml:space="preserve"> </w:t>
      </w:r>
      <w:r w:rsidR="00C86CC4">
        <w:rPr>
          <w:b/>
        </w:rPr>
        <w:t>„</w:t>
      </w:r>
      <w:r w:rsidRPr="007D5F54">
        <w:rPr>
          <w:b/>
        </w:rPr>
        <w:t>Klasa</w:t>
      </w:r>
      <w:r w:rsidR="00C86CC4">
        <w:rPr>
          <w:b/>
        </w:rPr>
        <w:t>“</w:t>
      </w:r>
      <w:r w:rsidR="006A4EF7" w:rsidRPr="007D5F54">
        <w:rPr>
          <w:b/>
        </w:rPr>
        <w:t xml:space="preserve"> nebo nebyly </w:t>
      </w:r>
      <w:r w:rsidR="001A2B89" w:rsidRPr="007D5F54">
        <w:rPr>
          <w:b/>
        </w:rPr>
        <w:t xml:space="preserve">vůbec </w:t>
      </w:r>
      <w:r w:rsidR="006A4EF7" w:rsidRPr="007D5F54">
        <w:rPr>
          <w:b/>
        </w:rPr>
        <w:t>realizovány</w:t>
      </w:r>
      <w:r w:rsidR="007D5F54" w:rsidRPr="00A51E25">
        <w:rPr>
          <w:b/>
        </w:rPr>
        <w:t>.</w:t>
      </w:r>
    </w:p>
    <w:p w:rsidR="007A263B" w:rsidRPr="00DB53C4" w:rsidRDefault="00B40F55" w:rsidP="006C5297">
      <w:pPr>
        <w:pStyle w:val="Odstavecseseznamem"/>
        <w:numPr>
          <w:ilvl w:val="0"/>
          <w:numId w:val="17"/>
        </w:numPr>
        <w:spacing w:after="0"/>
        <w:ind w:left="709" w:hanging="283"/>
      </w:pPr>
      <w:r w:rsidRPr="00DB53C4">
        <w:t xml:space="preserve">Např. se </w:t>
      </w:r>
      <w:proofErr w:type="gramStart"/>
      <w:r w:rsidRPr="00DB53C4">
        <w:t>jednal</w:t>
      </w:r>
      <w:r w:rsidR="00662141" w:rsidRPr="00DB53C4">
        <w:t>o</w:t>
      </w:r>
      <w:proofErr w:type="gramEnd"/>
      <w:r w:rsidR="00662141" w:rsidRPr="00DB53C4">
        <w:t xml:space="preserve"> o akci </w:t>
      </w:r>
      <w:r w:rsidR="00662141" w:rsidRPr="00A51E25">
        <w:rPr>
          <w:i/>
        </w:rPr>
        <w:t>Nezávislí obchodníci</w:t>
      </w:r>
      <w:r w:rsidRPr="00DB53C4">
        <w:t>.</w:t>
      </w:r>
      <w:r w:rsidR="001B48D7" w:rsidRPr="00DB53C4">
        <w:t xml:space="preserve"> </w:t>
      </w:r>
      <w:r w:rsidR="006A4EF7" w:rsidRPr="00DB53C4">
        <w:t xml:space="preserve">Vyúčtování ve výši 1 501 988 Kč </w:t>
      </w:r>
      <w:r w:rsidR="00FA346E" w:rsidRPr="00DB53C4">
        <w:t>od</w:t>
      </w:r>
      <w:r w:rsidR="00C86CC4">
        <w:t xml:space="preserve"> </w:t>
      </w:r>
      <w:r w:rsidR="001B48D7" w:rsidRPr="00DB53C4">
        <w:t xml:space="preserve">agentury schválil SZIF dne 29. </w:t>
      </w:r>
      <w:r w:rsidR="00570DC7" w:rsidRPr="00DB53C4">
        <w:t>6. 2009</w:t>
      </w:r>
      <w:r w:rsidR="00C86CC4">
        <w:t>,</w:t>
      </w:r>
      <w:r w:rsidR="00570DC7" w:rsidRPr="00DB53C4">
        <w:t xml:space="preserve"> ačkoliv</w:t>
      </w:r>
      <w:r w:rsidR="001B48D7" w:rsidRPr="00DB53C4">
        <w:t xml:space="preserve"> agentura </w:t>
      </w:r>
      <w:r w:rsidR="00D22DA9" w:rsidRPr="00DB53C4">
        <w:t xml:space="preserve">ve vyúčtování </w:t>
      </w:r>
      <w:r w:rsidR="001B48D7" w:rsidRPr="00DB53C4">
        <w:t xml:space="preserve">vykázala počet odpracovaných hodin </w:t>
      </w:r>
      <w:r w:rsidR="003C3B6A" w:rsidRPr="00DB53C4">
        <w:t xml:space="preserve">za období od 1. 4. 2009 </w:t>
      </w:r>
      <w:r w:rsidR="001B48D7" w:rsidRPr="00DB53C4">
        <w:t xml:space="preserve">do 15. 7. 2009. </w:t>
      </w:r>
      <w:r w:rsidR="007A263B" w:rsidRPr="00DB53C4">
        <w:t>Ve vyúčtová</w:t>
      </w:r>
      <w:r w:rsidR="00FA346E" w:rsidRPr="00DB53C4">
        <w:t>ní od</w:t>
      </w:r>
      <w:r w:rsidR="00263B24">
        <w:t xml:space="preserve"> </w:t>
      </w:r>
      <w:r w:rsidR="00570DC7" w:rsidRPr="00DB53C4">
        <w:t>agentury byly</w:t>
      </w:r>
      <w:r w:rsidR="00F469E0" w:rsidRPr="00DB53C4">
        <w:t xml:space="preserve"> </w:t>
      </w:r>
      <w:r w:rsidR="00570DC7" w:rsidRPr="00DB53C4">
        <w:t xml:space="preserve">mj. </w:t>
      </w:r>
      <w:r w:rsidR="00F469E0" w:rsidRPr="00DB53C4">
        <w:t>uvedeny</w:t>
      </w:r>
      <w:r w:rsidR="007A263B" w:rsidRPr="00DB53C4">
        <w:t xml:space="preserve"> </w:t>
      </w:r>
      <w:r w:rsidR="00F469E0" w:rsidRPr="00DB53C4">
        <w:t>náklady</w:t>
      </w:r>
      <w:r w:rsidR="007A263B" w:rsidRPr="00DB53C4">
        <w:t xml:space="preserve"> </w:t>
      </w:r>
      <w:r w:rsidR="00570DC7" w:rsidRPr="00DB53C4">
        <w:t>na</w:t>
      </w:r>
      <w:r w:rsidR="00F469E0" w:rsidRPr="00DB53C4">
        <w:t xml:space="preserve"> </w:t>
      </w:r>
      <w:r w:rsidR="007A263B" w:rsidRPr="00DB53C4">
        <w:t>notář</w:t>
      </w:r>
      <w:r w:rsidR="00F469E0" w:rsidRPr="00DB53C4">
        <w:t>e</w:t>
      </w:r>
      <w:r w:rsidR="00570DC7" w:rsidRPr="00DB53C4">
        <w:t xml:space="preserve"> ve výši 30</w:t>
      </w:r>
      <w:r w:rsidR="006A4EF7" w:rsidRPr="00DB53C4">
        <w:t> </w:t>
      </w:r>
      <w:r w:rsidR="00570DC7" w:rsidRPr="00DB53C4">
        <w:t>000</w:t>
      </w:r>
      <w:r w:rsidR="006A4EF7" w:rsidRPr="00DB53C4">
        <w:t xml:space="preserve"> Kč</w:t>
      </w:r>
      <w:r w:rsidR="00570DC7" w:rsidRPr="00DB53C4">
        <w:t>, a</w:t>
      </w:r>
      <w:r w:rsidR="007A263B" w:rsidRPr="00DB53C4">
        <w:t>čkoliv</w:t>
      </w:r>
      <w:r w:rsidR="003C3B6A" w:rsidRPr="00DB53C4">
        <w:t xml:space="preserve"> jeho služeb </w:t>
      </w:r>
      <w:r w:rsidR="00C86CC4">
        <w:t>a</w:t>
      </w:r>
      <w:r w:rsidR="00C86CC4" w:rsidRPr="00DB53C4">
        <w:t xml:space="preserve">gentura </w:t>
      </w:r>
      <w:r w:rsidR="003C3B6A" w:rsidRPr="00DB53C4">
        <w:t>nevyužila</w:t>
      </w:r>
      <w:r w:rsidR="007A263B" w:rsidRPr="00DB53C4">
        <w:t xml:space="preserve">. </w:t>
      </w:r>
      <w:r w:rsidR="00C86CC4">
        <w:t>V</w:t>
      </w:r>
      <w:r w:rsidR="00B450CA" w:rsidRPr="00DB53C4">
        <w:t xml:space="preserve">yúčtování </w:t>
      </w:r>
      <w:r w:rsidR="00570DC7" w:rsidRPr="00DB53C4">
        <w:t xml:space="preserve">dále </w:t>
      </w:r>
      <w:r w:rsidR="00C86CC4">
        <w:t>obsahovalo</w:t>
      </w:r>
      <w:r w:rsidR="00570DC7" w:rsidRPr="00DB53C4">
        <w:t xml:space="preserve"> </w:t>
      </w:r>
      <w:r w:rsidR="00F469E0" w:rsidRPr="00DB53C4">
        <w:t>hodnotu poukazů</w:t>
      </w:r>
      <w:r w:rsidR="00B450CA" w:rsidRPr="00DB53C4">
        <w:t xml:space="preserve"> do hotelu pro pět výherců </w:t>
      </w:r>
      <w:r w:rsidR="00F469E0" w:rsidRPr="00DB53C4">
        <w:t>ve výši 105 000 Kč. Výherci však</w:t>
      </w:r>
      <w:r w:rsidR="00B450CA" w:rsidRPr="00DB53C4">
        <w:t xml:space="preserve"> obdrželi poukazy v celkové výši 7</w:t>
      </w:r>
      <w:r w:rsidR="0023207A" w:rsidRPr="00DB53C4">
        <w:t>5 000 </w:t>
      </w:r>
      <w:r w:rsidR="007A263B" w:rsidRPr="00DB53C4">
        <w:t>Kč</w:t>
      </w:r>
      <w:r w:rsidR="00B450CA" w:rsidRPr="00DB53C4">
        <w:t xml:space="preserve">. SZIF veškeré </w:t>
      </w:r>
      <w:r w:rsidR="00C86CC4">
        <w:t>tyto</w:t>
      </w:r>
      <w:r w:rsidR="00B450CA" w:rsidRPr="00DB53C4">
        <w:t xml:space="preserve"> </w:t>
      </w:r>
      <w:r w:rsidR="00E756C1" w:rsidRPr="00DB53C4">
        <w:t xml:space="preserve">položky uvedené agenturou </w:t>
      </w:r>
      <w:r w:rsidR="00F469E0" w:rsidRPr="00DB53C4">
        <w:t>ve</w:t>
      </w:r>
      <w:r w:rsidR="00E756C1" w:rsidRPr="00DB53C4">
        <w:t xml:space="preserve"> vyúčtování uhradil.</w:t>
      </w:r>
    </w:p>
    <w:p w:rsidR="000B21D5" w:rsidRPr="00DB53C4" w:rsidRDefault="00C86CC4" w:rsidP="006C5297">
      <w:pPr>
        <w:pStyle w:val="Odstavecseseznamem"/>
        <w:numPr>
          <w:ilvl w:val="0"/>
          <w:numId w:val="9"/>
        </w:numPr>
        <w:spacing w:after="0"/>
        <w:ind w:left="426" w:hanging="426"/>
      </w:pPr>
      <w:r>
        <w:t>SZIF v</w:t>
      </w:r>
      <w:r w:rsidR="00E756C1" w:rsidRPr="00DB53C4">
        <w:t>e dvanácti případech</w:t>
      </w:r>
      <w:r w:rsidR="00EC0187" w:rsidRPr="00DB53C4">
        <w:t>, u nichž celkový objem vynaložených peněžních prostředků činil téměř 37 mil. Kč,</w:t>
      </w:r>
      <w:r w:rsidR="00E756C1" w:rsidRPr="00DB53C4">
        <w:t xml:space="preserve"> </w:t>
      </w:r>
      <w:r w:rsidR="00E756C1" w:rsidRPr="00DB53C4">
        <w:rPr>
          <w:b/>
        </w:rPr>
        <w:t>rozšířil pln</w:t>
      </w:r>
      <w:r w:rsidR="008B7A8A" w:rsidRPr="00DB53C4">
        <w:rPr>
          <w:b/>
        </w:rPr>
        <w:t>ění</w:t>
      </w:r>
      <w:r w:rsidR="005368DF" w:rsidRPr="00DB53C4">
        <w:rPr>
          <w:b/>
        </w:rPr>
        <w:t xml:space="preserve"> nad rámec uzavřených smluv</w:t>
      </w:r>
      <w:r w:rsidR="005368DF" w:rsidRPr="00A51E25">
        <w:rPr>
          <w:b/>
        </w:rPr>
        <w:t xml:space="preserve">. </w:t>
      </w:r>
      <w:r w:rsidR="005368DF" w:rsidRPr="00DB53C4">
        <w:t>P</w:t>
      </w:r>
      <w:r w:rsidR="00E756C1" w:rsidRPr="00DB53C4">
        <w:t>rostřednictvím agentur</w:t>
      </w:r>
      <w:r w:rsidR="005368DF" w:rsidRPr="00DB53C4">
        <w:t xml:space="preserve"> SZIF</w:t>
      </w:r>
      <w:r w:rsidR="00E756C1" w:rsidRPr="00DB53C4">
        <w:t xml:space="preserve"> </w:t>
      </w:r>
      <w:r w:rsidR="00E756C1" w:rsidRPr="00DB53C4">
        <w:rPr>
          <w:b/>
        </w:rPr>
        <w:t xml:space="preserve">realizoval a </w:t>
      </w:r>
      <w:r>
        <w:rPr>
          <w:b/>
        </w:rPr>
        <w:t xml:space="preserve">následně agenturám </w:t>
      </w:r>
      <w:r w:rsidR="00E756C1" w:rsidRPr="00DB53C4">
        <w:rPr>
          <w:b/>
        </w:rPr>
        <w:t xml:space="preserve">uhradil činnosti, které nebyly </w:t>
      </w:r>
      <w:r w:rsidR="008B7A8A" w:rsidRPr="00DB53C4">
        <w:rPr>
          <w:b/>
        </w:rPr>
        <w:t xml:space="preserve">vůbec </w:t>
      </w:r>
      <w:r w:rsidR="00E756C1" w:rsidRPr="00DB53C4">
        <w:rPr>
          <w:b/>
        </w:rPr>
        <w:t>předmětem VZ</w:t>
      </w:r>
      <w:r>
        <w:rPr>
          <w:b/>
        </w:rPr>
        <w:t>,</w:t>
      </w:r>
      <w:r w:rsidR="000B21D5" w:rsidRPr="00DB53C4">
        <w:rPr>
          <w:b/>
        </w:rPr>
        <w:t xml:space="preserve"> neb</w:t>
      </w:r>
      <w:r w:rsidR="009E1655" w:rsidRPr="00DB53C4">
        <w:rPr>
          <w:b/>
        </w:rPr>
        <w:t>o uhradil plnění, které neobdržel</w:t>
      </w:r>
      <w:r w:rsidR="00E756C1" w:rsidRPr="00383198">
        <w:rPr>
          <w:b/>
        </w:rPr>
        <w:t>.</w:t>
      </w:r>
      <w:r w:rsidR="00E756C1" w:rsidRPr="00DB53C4">
        <w:t xml:space="preserve"> </w:t>
      </w:r>
    </w:p>
    <w:p w:rsidR="00E756C1" w:rsidRPr="00DB53C4" w:rsidRDefault="000B21D5" w:rsidP="006C5297">
      <w:pPr>
        <w:pStyle w:val="Odstavecseseznamem"/>
        <w:numPr>
          <w:ilvl w:val="0"/>
          <w:numId w:val="10"/>
        </w:numPr>
        <w:spacing w:after="0"/>
        <w:ind w:left="709" w:hanging="283"/>
      </w:pPr>
      <w:r w:rsidRPr="00DB53C4">
        <w:rPr>
          <w:rFonts w:cs="Arial"/>
        </w:rPr>
        <w:t xml:space="preserve">Např. </w:t>
      </w:r>
      <w:r w:rsidR="00C86CC4">
        <w:rPr>
          <w:rFonts w:cs="Arial"/>
        </w:rPr>
        <w:t>šlo</w:t>
      </w:r>
      <w:r w:rsidRPr="00DB53C4">
        <w:rPr>
          <w:rFonts w:cs="Arial"/>
        </w:rPr>
        <w:t xml:space="preserve"> </w:t>
      </w:r>
      <w:r w:rsidR="008B7A8A" w:rsidRPr="00DB53C4">
        <w:rPr>
          <w:rFonts w:cs="Arial"/>
        </w:rPr>
        <w:t xml:space="preserve">o úhradu </w:t>
      </w:r>
      <w:r w:rsidRPr="00DB53C4">
        <w:rPr>
          <w:rFonts w:cs="Arial"/>
        </w:rPr>
        <w:t>osmi</w:t>
      </w:r>
      <w:r w:rsidR="008B7A8A" w:rsidRPr="00DB53C4">
        <w:rPr>
          <w:rFonts w:cs="Arial"/>
        </w:rPr>
        <w:t xml:space="preserve"> k</w:t>
      </w:r>
      <w:r w:rsidR="005368DF" w:rsidRPr="00DB53C4">
        <w:rPr>
          <w:rFonts w:cs="Arial"/>
        </w:rPr>
        <w:t>ostýmů pro hostesky na akce, na kterých</w:t>
      </w:r>
      <w:r w:rsidR="008B7A8A" w:rsidRPr="00DB53C4">
        <w:rPr>
          <w:rFonts w:cs="Arial"/>
        </w:rPr>
        <w:t xml:space="preserve"> </w:t>
      </w:r>
      <w:r w:rsidR="005368DF" w:rsidRPr="00DB53C4">
        <w:rPr>
          <w:rFonts w:cs="Arial"/>
        </w:rPr>
        <w:t>měla být prezentována</w:t>
      </w:r>
      <w:r w:rsidR="008B7A8A" w:rsidRPr="00DB53C4">
        <w:rPr>
          <w:rFonts w:cs="Arial"/>
        </w:rPr>
        <w:t xml:space="preserve"> značka </w:t>
      </w:r>
      <w:r w:rsidR="00C86CC4">
        <w:rPr>
          <w:rFonts w:cs="Arial"/>
        </w:rPr>
        <w:t>„</w:t>
      </w:r>
      <w:r w:rsidR="008B7A8A" w:rsidRPr="00DB53C4">
        <w:rPr>
          <w:rFonts w:cs="Arial"/>
        </w:rPr>
        <w:t>Klasa</w:t>
      </w:r>
      <w:r w:rsidR="00C86CC4">
        <w:rPr>
          <w:rFonts w:cs="Arial"/>
        </w:rPr>
        <w:t>“;</w:t>
      </w:r>
      <w:r w:rsidR="008B7A8A" w:rsidRPr="00DB53C4">
        <w:rPr>
          <w:rFonts w:cs="Arial"/>
        </w:rPr>
        <w:t xml:space="preserve"> </w:t>
      </w:r>
      <w:r w:rsidR="00C86CC4">
        <w:rPr>
          <w:rFonts w:cs="Arial"/>
        </w:rPr>
        <w:t>úhrada činila</w:t>
      </w:r>
      <w:r w:rsidR="005368DF" w:rsidRPr="00DB53C4">
        <w:rPr>
          <w:rFonts w:cs="Arial"/>
        </w:rPr>
        <w:t xml:space="preserve"> téměř 40 000 Kč.</w:t>
      </w:r>
      <w:r w:rsidRPr="00DB53C4">
        <w:rPr>
          <w:rFonts w:cs="Arial"/>
        </w:rPr>
        <w:t xml:space="preserve"> </w:t>
      </w:r>
      <w:r w:rsidR="00FA346E" w:rsidRPr="00DB53C4">
        <w:rPr>
          <w:rFonts w:cs="Arial"/>
        </w:rPr>
        <w:t>Z dokumentace však vyplývá, že</w:t>
      </w:r>
      <w:r w:rsidR="00C86CC4">
        <w:rPr>
          <w:rFonts w:cs="Arial"/>
        </w:rPr>
        <w:t xml:space="preserve"> </w:t>
      </w:r>
      <w:r w:rsidR="009E1655" w:rsidRPr="00DB53C4">
        <w:rPr>
          <w:rFonts w:cs="Arial"/>
        </w:rPr>
        <w:t>h</w:t>
      </w:r>
      <w:r w:rsidR="00203041" w:rsidRPr="00DB53C4">
        <w:rPr>
          <w:rFonts w:cs="Arial"/>
        </w:rPr>
        <w:t xml:space="preserve">ostesky </w:t>
      </w:r>
      <w:r w:rsidR="00C86CC4">
        <w:rPr>
          <w:rFonts w:cs="Arial"/>
        </w:rPr>
        <w:t>měly</w:t>
      </w:r>
      <w:r w:rsidRPr="00DB53C4">
        <w:rPr>
          <w:rFonts w:cs="Arial"/>
        </w:rPr>
        <w:t xml:space="preserve"> </w:t>
      </w:r>
      <w:r w:rsidR="009E1655" w:rsidRPr="00DB53C4">
        <w:rPr>
          <w:rFonts w:cs="Arial"/>
        </w:rPr>
        <w:t xml:space="preserve">místo kostýmů </w:t>
      </w:r>
      <w:r w:rsidR="00C86CC4">
        <w:rPr>
          <w:rFonts w:cs="Arial"/>
        </w:rPr>
        <w:t>civilní</w:t>
      </w:r>
      <w:r w:rsidR="00C86CC4" w:rsidRPr="00DB53C4">
        <w:rPr>
          <w:rFonts w:cs="Arial"/>
        </w:rPr>
        <w:t xml:space="preserve"> </w:t>
      </w:r>
      <w:r w:rsidRPr="00DB53C4">
        <w:rPr>
          <w:rFonts w:cs="Arial"/>
        </w:rPr>
        <w:t>oblečen</w:t>
      </w:r>
      <w:r w:rsidR="00C86CC4">
        <w:rPr>
          <w:rFonts w:cs="Arial"/>
        </w:rPr>
        <w:t xml:space="preserve">í </w:t>
      </w:r>
      <w:r w:rsidR="009E1655" w:rsidRPr="00DB53C4">
        <w:rPr>
          <w:rFonts w:cs="Arial"/>
        </w:rPr>
        <w:t xml:space="preserve">a s logem </w:t>
      </w:r>
      <w:r w:rsidR="00C86CC4">
        <w:rPr>
          <w:rFonts w:cs="Arial"/>
        </w:rPr>
        <w:t>„</w:t>
      </w:r>
      <w:r w:rsidR="009E1655" w:rsidRPr="00DB53C4">
        <w:rPr>
          <w:rFonts w:cs="Arial"/>
        </w:rPr>
        <w:t>Klasa</w:t>
      </w:r>
      <w:r w:rsidR="00C86CC4">
        <w:rPr>
          <w:rFonts w:cs="Arial"/>
        </w:rPr>
        <w:t>“</w:t>
      </w:r>
      <w:r w:rsidR="009E1655" w:rsidRPr="00DB53C4">
        <w:rPr>
          <w:rFonts w:cs="Arial"/>
        </w:rPr>
        <w:t xml:space="preserve"> měly pouze tričk</w:t>
      </w:r>
      <w:r w:rsidR="00767F74">
        <w:rPr>
          <w:rFonts w:cs="Arial"/>
        </w:rPr>
        <w:t>a</w:t>
      </w:r>
      <w:r w:rsidRPr="00DB53C4">
        <w:rPr>
          <w:rFonts w:cs="Arial"/>
        </w:rPr>
        <w:t>.</w:t>
      </w:r>
    </w:p>
    <w:p w:rsidR="000B21D5" w:rsidRPr="00DB53C4" w:rsidRDefault="00203041" w:rsidP="004E1CD5">
      <w:pPr>
        <w:pStyle w:val="Odstavecseseznamem"/>
        <w:numPr>
          <w:ilvl w:val="0"/>
          <w:numId w:val="10"/>
        </w:numPr>
        <w:ind w:left="709" w:hanging="283"/>
        <w:rPr>
          <w:rFonts w:cs="Arial"/>
          <w:u w:val="single"/>
        </w:rPr>
      </w:pPr>
      <w:r w:rsidRPr="00DB53C4">
        <w:t>Dále</w:t>
      </w:r>
      <w:r w:rsidR="00007D62" w:rsidRPr="00DB53C4">
        <w:t xml:space="preserve"> se jednalo o </w:t>
      </w:r>
      <w:r w:rsidR="00767F74">
        <w:t xml:space="preserve">takzvaná </w:t>
      </w:r>
      <w:r w:rsidR="00007D62" w:rsidRPr="00DB53C4">
        <w:t xml:space="preserve">regionální </w:t>
      </w:r>
      <w:r w:rsidR="000B21D5" w:rsidRPr="00DB53C4">
        <w:t>roadshow</w:t>
      </w:r>
      <w:r w:rsidR="004E1CD5" w:rsidRPr="00A51E25">
        <w:rPr>
          <w:rFonts w:cs="Arial"/>
        </w:rPr>
        <w:t xml:space="preserve"> </w:t>
      </w:r>
      <w:r w:rsidR="004E1CD5" w:rsidRPr="00A51E25">
        <w:rPr>
          <w:rFonts w:cs="Arial"/>
          <w:i/>
        </w:rPr>
        <w:t xml:space="preserve">Setkání </w:t>
      </w:r>
      <w:proofErr w:type="spellStart"/>
      <w:r w:rsidR="004E1CD5" w:rsidRPr="00A51E25">
        <w:rPr>
          <w:rFonts w:cs="Arial"/>
          <w:i/>
        </w:rPr>
        <w:t>Lions</w:t>
      </w:r>
      <w:proofErr w:type="spellEnd"/>
      <w:r w:rsidR="004E1CD5" w:rsidRPr="00A51E25">
        <w:rPr>
          <w:rFonts w:cs="Arial"/>
          <w:i/>
        </w:rPr>
        <w:t xml:space="preserve"> Clubu Praha</w:t>
      </w:r>
      <w:r w:rsidR="004E1CD5" w:rsidRPr="00DB53C4">
        <w:rPr>
          <w:rFonts w:cs="Arial"/>
        </w:rPr>
        <w:t xml:space="preserve">, </w:t>
      </w:r>
      <w:r w:rsidR="004E1CD5" w:rsidRPr="00A51E25">
        <w:rPr>
          <w:rFonts w:cs="Arial"/>
          <w:i/>
        </w:rPr>
        <w:t>Zajištění prezentace značky Klasa na akci Žofínské fórum</w:t>
      </w:r>
      <w:r w:rsidR="004E1CD5" w:rsidRPr="00DB53C4">
        <w:rPr>
          <w:rFonts w:cs="Arial"/>
        </w:rPr>
        <w:t xml:space="preserve"> a </w:t>
      </w:r>
      <w:proofErr w:type="spellStart"/>
      <w:r w:rsidR="004E1CD5" w:rsidRPr="00A51E25">
        <w:rPr>
          <w:rFonts w:cs="Arial"/>
          <w:i/>
        </w:rPr>
        <w:t>Wine</w:t>
      </w:r>
      <w:proofErr w:type="spellEnd"/>
      <w:r w:rsidR="004E1CD5" w:rsidRPr="00A51E25">
        <w:rPr>
          <w:rFonts w:cs="Arial"/>
          <w:i/>
        </w:rPr>
        <w:t xml:space="preserve"> Party </w:t>
      </w:r>
      <w:proofErr w:type="spellStart"/>
      <w:r w:rsidR="004E1CD5" w:rsidRPr="00A51E25">
        <w:rPr>
          <w:rFonts w:cs="Arial"/>
          <w:i/>
        </w:rPr>
        <w:t>Brussel</w:t>
      </w:r>
      <w:proofErr w:type="spellEnd"/>
      <w:r w:rsidR="004E1CD5" w:rsidRPr="00DB53C4">
        <w:rPr>
          <w:rFonts w:cs="Arial"/>
        </w:rPr>
        <w:t>. Regionální roadshow</w:t>
      </w:r>
      <w:r w:rsidR="000B21D5" w:rsidRPr="00DB53C4">
        <w:t>, kterou navrhla vítězná agentura ve svém</w:t>
      </w:r>
      <w:r w:rsidR="004E1CD5" w:rsidRPr="00DB53C4">
        <w:t xml:space="preserve"> soutěžním návrhu, </w:t>
      </w:r>
      <w:r w:rsidR="000B21D5" w:rsidRPr="00DB53C4">
        <w:t>měla být zaměřena na spotřebitele</w:t>
      </w:r>
      <w:r w:rsidR="00767F74">
        <w:t xml:space="preserve"> zboží označeného</w:t>
      </w:r>
      <w:r w:rsidR="000B21D5" w:rsidRPr="00DB53C4">
        <w:t xml:space="preserve"> </w:t>
      </w:r>
      <w:r w:rsidR="00007D62" w:rsidRPr="00DB53C4">
        <w:t>značk</w:t>
      </w:r>
      <w:r w:rsidR="00767F74">
        <w:t>ou</w:t>
      </w:r>
      <w:r w:rsidR="00007D62" w:rsidRPr="00DB53C4">
        <w:t xml:space="preserve"> </w:t>
      </w:r>
      <w:r w:rsidR="00767F74">
        <w:t>„</w:t>
      </w:r>
      <w:r w:rsidR="00007D62" w:rsidRPr="00DB53C4">
        <w:t>Klasa</w:t>
      </w:r>
      <w:r w:rsidR="00767F74">
        <w:t>“</w:t>
      </w:r>
      <w:r w:rsidR="00007D62" w:rsidRPr="00DB53C4">
        <w:t xml:space="preserve"> </w:t>
      </w:r>
      <w:r w:rsidR="000B21D5" w:rsidRPr="00DB53C4">
        <w:t xml:space="preserve">a realizována před </w:t>
      </w:r>
      <w:r w:rsidR="00767F74">
        <w:t xml:space="preserve">hypermarkety </w:t>
      </w:r>
      <w:r w:rsidR="000B21D5" w:rsidRPr="00DB53C4">
        <w:t>nebo uvnitř hypermarketů</w:t>
      </w:r>
      <w:r w:rsidR="00007D62" w:rsidRPr="00DB53C4">
        <w:t xml:space="preserve">. SZIF uspořádal </w:t>
      </w:r>
      <w:r w:rsidR="005368DF" w:rsidRPr="00DB53C4">
        <w:t xml:space="preserve">a uhradil </w:t>
      </w:r>
      <w:r w:rsidR="00007D62" w:rsidRPr="00DB53C4">
        <w:t xml:space="preserve">tři </w:t>
      </w:r>
      <w:r w:rsidR="004E1CD5" w:rsidRPr="00DB53C4">
        <w:t>výše uvedené akce</w:t>
      </w:r>
      <w:r w:rsidR="00007D62" w:rsidRPr="00DB53C4">
        <w:t xml:space="preserve">, </w:t>
      </w:r>
      <w:r w:rsidR="00767F74">
        <w:t>přičemž je</w:t>
      </w:r>
      <w:r w:rsidR="00767F74" w:rsidRPr="00DB53C4">
        <w:t xml:space="preserve"> </w:t>
      </w:r>
      <w:r w:rsidR="00007D62" w:rsidRPr="00DB53C4">
        <w:t>zařadil pod</w:t>
      </w:r>
      <w:r w:rsidR="004E1CD5" w:rsidRPr="00DB53C4">
        <w:t xml:space="preserve"> regionální</w:t>
      </w:r>
      <w:r w:rsidR="00007D62" w:rsidRPr="00DB53C4">
        <w:t xml:space="preserve"> roadshow</w:t>
      </w:r>
      <w:r w:rsidR="004E1CD5" w:rsidRPr="00DB53C4">
        <w:t>,</w:t>
      </w:r>
      <w:r w:rsidR="00007D62" w:rsidRPr="00DB53C4">
        <w:t xml:space="preserve"> aniž by tyto akce charakteristiku roadshow splňovaly. </w:t>
      </w:r>
      <w:r w:rsidR="004E1CD5" w:rsidRPr="00DB53C4">
        <w:t>J</w:t>
      </w:r>
      <w:r w:rsidR="00007D62" w:rsidRPr="00DB53C4">
        <w:t xml:space="preserve">ednalo se </w:t>
      </w:r>
      <w:r w:rsidR="0023207A" w:rsidRPr="00DB53C4">
        <w:t>o</w:t>
      </w:r>
      <w:r w:rsidR="00383198">
        <w:t xml:space="preserve"> </w:t>
      </w:r>
      <w:r w:rsidR="0023207A" w:rsidRPr="00DB53C4">
        <w:t>akce určené pro</w:t>
      </w:r>
      <w:r w:rsidR="00767F74">
        <w:t xml:space="preserve"> </w:t>
      </w:r>
      <w:r w:rsidR="004E1CD5" w:rsidRPr="00DB53C4">
        <w:t>úzkou a vybranou skupinu osob, nikoliv pro spotřebitelskou veřejnost.</w:t>
      </w:r>
      <w:r w:rsidR="00007D62" w:rsidRPr="00DB53C4">
        <w:t xml:space="preserve"> </w:t>
      </w:r>
      <w:r w:rsidR="005368DF" w:rsidRPr="00DB53C4">
        <w:t>Např. j</w:t>
      </w:r>
      <w:r w:rsidRPr="00DB53C4">
        <w:t xml:space="preserve">edné </w:t>
      </w:r>
      <w:r w:rsidR="00007D62" w:rsidRPr="00DB53C4">
        <w:t xml:space="preserve">akce </w:t>
      </w:r>
      <w:r w:rsidRPr="00DB53C4">
        <w:t>se</w:t>
      </w:r>
      <w:r w:rsidR="00007D62" w:rsidRPr="00DB53C4">
        <w:t xml:space="preserve"> účastnilo</w:t>
      </w:r>
      <w:r w:rsidRPr="00DB53C4">
        <w:t xml:space="preserve"> </w:t>
      </w:r>
      <w:r w:rsidR="005368DF" w:rsidRPr="00DB53C4">
        <w:t xml:space="preserve">celkem </w:t>
      </w:r>
      <w:r w:rsidRPr="00DB53C4">
        <w:t>60 osob. N</w:t>
      </w:r>
      <w:r w:rsidR="00007D62" w:rsidRPr="00DB53C4">
        <w:t xml:space="preserve">áklady na propagaci značky </w:t>
      </w:r>
      <w:r w:rsidR="004F0885">
        <w:t>„</w:t>
      </w:r>
      <w:r w:rsidR="00007D62" w:rsidRPr="00DB53C4">
        <w:t>Klasa</w:t>
      </w:r>
      <w:r w:rsidR="004F0885">
        <w:t>“</w:t>
      </w:r>
      <w:r w:rsidR="00007D62" w:rsidRPr="00DB53C4">
        <w:t xml:space="preserve"> v podobě rautu činily 4 312 Kč na osobu, tj. celkem 258 720</w:t>
      </w:r>
      <w:r w:rsidR="00701A2E">
        <w:t> </w:t>
      </w:r>
      <w:r w:rsidR="00007D62" w:rsidRPr="00DB53C4">
        <w:t xml:space="preserve">Kč. </w:t>
      </w:r>
    </w:p>
    <w:p w:rsidR="00F477D1" w:rsidRPr="00DB53C4" w:rsidRDefault="00F477D1" w:rsidP="006C5297">
      <w:pPr>
        <w:pStyle w:val="Odstavecseseznamem"/>
        <w:numPr>
          <w:ilvl w:val="0"/>
          <w:numId w:val="9"/>
        </w:numPr>
        <w:spacing w:after="0"/>
        <w:ind w:left="426" w:hanging="426"/>
      </w:pPr>
      <w:r w:rsidRPr="00DB53C4">
        <w:lastRenderedPageBreak/>
        <w:t xml:space="preserve">V jednom případě </w:t>
      </w:r>
      <w:r w:rsidR="004F0885">
        <w:t xml:space="preserve">SZIF </w:t>
      </w:r>
      <w:r w:rsidRPr="00DB53C4">
        <w:rPr>
          <w:b/>
        </w:rPr>
        <w:t>schválil cenovou nabídku agentury</w:t>
      </w:r>
      <w:r w:rsidR="00714C95" w:rsidRPr="00DB53C4">
        <w:rPr>
          <w:b/>
        </w:rPr>
        <w:t xml:space="preserve"> </w:t>
      </w:r>
      <w:r w:rsidR="003C3B6A" w:rsidRPr="00DB53C4">
        <w:rPr>
          <w:b/>
        </w:rPr>
        <w:t xml:space="preserve">na činnosti související s realizací konference více než měsíc po </w:t>
      </w:r>
      <w:r w:rsidR="00F76CB2" w:rsidRPr="00DB53C4">
        <w:rPr>
          <w:b/>
        </w:rPr>
        <w:t>uskutečnění</w:t>
      </w:r>
      <w:r w:rsidR="003C3B6A" w:rsidRPr="00DB53C4">
        <w:rPr>
          <w:b/>
        </w:rPr>
        <w:t xml:space="preserve"> těchto činností</w:t>
      </w:r>
      <w:r w:rsidR="003C3B6A" w:rsidRPr="00DB53C4">
        <w:t xml:space="preserve">, a to </w:t>
      </w:r>
      <w:r w:rsidR="00EC0187" w:rsidRPr="00DB53C4">
        <w:t>ve výši 158 746 Kč</w:t>
      </w:r>
      <w:r w:rsidR="004E1CD5" w:rsidRPr="00DB53C4">
        <w:t>. Č</w:t>
      </w:r>
      <w:r w:rsidR="005368DF" w:rsidRPr="00DB53C4">
        <w:t>innosti</w:t>
      </w:r>
      <w:r w:rsidR="00714C95" w:rsidRPr="00DB53C4">
        <w:t xml:space="preserve"> </w:t>
      </w:r>
      <w:r w:rsidR="004E1CD5" w:rsidRPr="00DB53C4">
        <w:t xml:space="preserve">tak </w:t>
      </w:r>
      <w:r w:rsidR="00714C95" w:rsidRPr="00DB53C4">
        <w:t xml:space="preserve">byly agenturou realizovány a </w:t>
      </w:r>
      <w:r w:rsidR="004F0885">
        <w:t xml:space="preserve">ze strany </w:t>
      </w:r>
      <w:r w:rsidR="00714C95" w:rsidRPr="00DB53C4">
        <w:t>SZIF uhrazeny v rozporu s uzavřenou smlouvou.</w:t>
      </w:r>
    </w:p>
    <w:p w:rsidR="00203041" w:rsidRPr="007D5F54" w:rsidRDefault="004F0885" w:rsidP="00FE38F1">
      <w:pPr>
        <w:pStyle w:val="Odstavecseseznamem"/>
        <w:numPr>
          <w:ilvl w:val="0"/>
          <w:numId w:val="9"/>
        </w:numPr>
        <w:spacing w:after="0"/>
        <w:ind w:left="426" w:hanging="426"/>
      </w:pPr>
      <w:r>
        <w:t xml:space="preserve">SZIF ve </w:t>
      </w:r>
      <w:r w:rsidR="00203041" w:rsidRPr="007D5F54">
        <w:t xml:space="preserve">čtyřech </w:t>
      </w:r>
      <w:r w:rsidR="002629C4" w:rsidRPr="007D5F54">
        <w:t xml:space="preserve">případech </w:t>
      </w:r>
      <w:r w:rsidR="002629C4" w:rsidRPr="007D5F54">
        <w:rPr>
          <w:b/>
        </w:rPr>
        <w:t>uhradil agentuře</w:t>
      </w:r>
      <w:r w:rsidR="00FE38F1" w:rsidRPr="007D5F54">
        <w:rPr>
          <w:b/>
        </w:rPr>
        <w:t xml:space="preserve"> provize</w:t>
      </w:r>
      <w:r w:rsidR="00A35BF8" w:rsidRPr="007D5F54">
        <w:rPr>
          <w:b/>
        </w:rPr>
        <w:t>, které nebyly součástí ceny vítězného soutěžního návrhu agentury</w:t>
      </w:r>
      <w:r w:rsidR="00854BCB" w:rsidRPr="007D5F54">
        <w:rPr>
          <w:b/>
        </w:rPr>
        <w:t xml:space="preserve"> ani součástí smlouvy</w:t>
      </w:r>
      <w:r w:rsidR="001D3E52">
        <w:rPr>
          <w:b/>
        </w:rPr>
        <w:t>;</w:t>
      </w:r>
      <w:r w:rsidR="00FE38F1" w:rsidRPr="007D5F54">
        <w:t xml:space="preserve"> </w:t>
      </w:r>
      <w:r>
        <w:t xml:space="preserve">celková </w:t>
      </w:r>
      <w:r w:rsidR="00FE38F1" w:rsidRPr="007D5F54">
        <w:t>v</w:t>
      </w:r>
      <w:r>
        <w:t>ýše této úhrady činila</w:t>
      </w:r>
      <w:r w:rsidR="00FE38F1" w:rsidRPr="007D5F54">
        <w:t xml:space="preserve"> </w:t>
      </w:r>
      <w:r w:rsidR="00FE38F1" w:rsidRPr="007D5F54">
        <w:rPr>
          <w:rFonts w:cs="Arial"/>
          <w:color w:val="000000"/>
        </w:rPr>
        <w:t>1 753 624 Kč</w:t>
      </w:r>
      <w:r w:rsidR="00A35BF8" w:rsidRPr="007D5F54">
        <w:rPr>
          <w:rFonts w:cs="Arial"/>
          <w:color w:val="000000"/>
        </w:rPr>
        <w:t>.</w:t>
      </w:r>
      <w:r w:rsidR="002629C4" w:rsidRPr="007D5F54">
        <w:t xml:space="preserve"> SZIF </w:t>
      </w:r>
      <w:r w:rsidR="00203041" w:rsidRPr="007D5F54">
        <w:t xml:space="preserve">nestanovil výši provize agentury ani způsob jejího výpočtu. </w:t>
      </w:r>
      <w:r w:rsidR="002629C4" w:rsidRPr="007D5F54">
        <w:t xml:space="preserve">V jednom z těchto čtyř případů </w:t>
      </w:r>
      <w:r w:rsidR="00247734" w:rsidRPr="007D5F54">
        <w:t>SZIF navíc uhradil provizi</w:t>
      </w:r>
      <w:r w:rsidR="002629C4" w:rsidRPr="007D5F54">
        <w:t xml:space="preserve"> </w:t>
      </w:r>
      <w:r w:rsidR="00247734" w:rsidRPr="007D5F54">
        <w:t>agentuře a</w:t>
      </w:r>
      <w:r w:rsidR="005368DF" w:rsidRPr="007D5F54">
        <w:t xml:space="preserve"> také </w:t>
      </w:r>
      <w:r w:rsidR="00247734" w:rsidRPr="007D5F54">
        <w:t xml:space="preserve">odměnu </w:t>
      </w:r>
      <w:r w:rsidR="005368DF" w:rsidRPr="007D5F54">
        <w:t>subdodavateli</w:t>
      </w:r>
      <w:r w:rsidR="00247734" w:rsidRPr="007D5F54">
        <w:t xml:space="preserve"> v celkové výši </w:t>
      </w:r>
      <w:r w:rsidR="00F663B5" w:rsidRPr="007D5F54">
        <w:rPr>
          <w:color w:val="000000"/>
          <w:lang w:eastAsia="cs-CZ"/>
        </w:rPr>
        <w:t>840 752 </w:t>
      </w:r>
      <w:r w:rsidR="00247734" w:rsidRPr="007D5F54">
        <w:rPr>
          <w:color w:val="000000"/>
          <w:lang w:eastAsia="cs-CZ"/>
        </w:rPr>
        <w:t>Kč</w:t>
      </w:r>
      <w:r w:rsidR="00247734" w:rsidRPr="007D5F54">
        <w:t>, ačkoliv dle smlouvy neměl</w:t>
      </w:r>
      <w:r w:rsidR="00A35BF8" w:rsidRPr="007D5F54">
        <w:t xml:space="preserve">a být </w:t>
      </w:r>
      <w:r w:rsidRPr="007D5F54">
        <w:t>hrazena</w:t>
      </w:r>
      <w:r w:rsidR="00297C00">
        <w:t xml:space="preserve"> </w:t>
      </w:r>
      <w:r w:rsidR="00297C00" w:rsidRPr="007D5F54">
        <w:t xml:space="preserve">provize </w:t>
      </w:r>
      <w:r w:rsidR="00A35BF8" w:rsidRPr="007D5F54">
        <w:t>ani odměna.</w:t>
      </w:r>
      <w:r w:rsidR="002629C4" w:rsidRPr="007D5F54">
        <w:t xml:space="preserve"> </w:t>
      </w:r>
    </w:p>
    <w:p w:rsidR="008B14A2" w:rsidRPr="00DB53C4" w:rsidRDefault="004F0885" w:rsidP="006C5297">
      <w:pPr>
        <w:pStyle w:val="Odstavecseseznamem"/>
        <w:numPr>
          <w:ilvl w:val="0"/>
          <w:numId w:val="9"/>
        </w:numPr>
        <w:spacing w:after="0"/>
        <w:ind w:left="426" w:hanging="426"/>
      </w:pPr>
      <w:r>
        <w:t>SZIF v</w:t>
      </w:r>
      <w:r w:rsidR="00A46471" w:rsidRPr="00DB53C4">
        <w:t xml:space="preserve">e třech případech </w:t>
      </w:r>
      <w:r w:rsidR="00A46471" w:rsidRPr="00DB53C4">
        <w:rPr>
          <w:b/>
        </w:rPr>
        <w:t>realizoval a uhradil novinářské exkurze</w:t>
      </w:r>
      <w:r w:rsidR="00A76BED" w:rsidRPr="00DB53C4">
        <w:t xml:space="preserve"> v celkové výši 171</w:t>
      </w:r>
      <w:r w:rsidR="00297C00">
        <w:t> </w:t>
      </w:r>
      <w:r w:rsidR="00A76BED" w:rsidRPr="00DB53C4">
        <w:t>742</w:t>
      </w:r>
      <w:r w:rsidR="00297C00">
        <w:t> </w:t>
      </w:r>
      <w:r w:rsidR="00EC0187" w:rsidRPr="00DB53C4">
        <w:t>Kč</w:t>
      </w:r>
      <w:r w:rsidR="00A46471" w:rsidRPr="00DB53C4">
        <w:t xml:space="preserve">, </w:t>
      </w:r>
      <w:r w:rsidR="00A46471" w:rsidRPr="00DB53C4">
        <w:rPr>
          <w:b/>
        </w:rPr>
        <w:t>jejichž obsah byl zaměřen</w:t>
      </w:r>
      <w:r w:rsidR="00A46471" w:rsidRPr="00DB53C4">
        <w:t xml:space="preserve"> nejen na značku </w:t>
      </w:r>
      <w:r w:rsidR="00297C00">
        <w:t>„</w:t>
      </w:r>
      <w:r w:rsidR="00A46471" w:rsidRPr="00DB53C4">
        <w:t>Klasa</w:t>
      </w:r>
      <w:r w:rsidR="00297C00">
        <w:t>“</w:t>
      </w:r>
      <w:r w:rsidR="00A46471" w:rsidRPr="00DB53C4">
        <w:t xml:space="preserve">, ale </w:t>
      </w:r>
      <w:r w:rsidR="00A46471" w:rsidRPr="00DB53C4">
        <w:rPr>
          <w:b/>
        </w:rPr>
        <w:t>na celou produkci daného výrobce</w:t>
      </w:r>
      <w:r w:rsidR="00297C00">
        <w:rPr>
          <w:b/>
        </w:rPr>
        <w:t>, případně</w:t>
      </w:r>
      <w:r w:rsidR="00A46471" w:rsidRPr="00DB53C4">
        <w:rPr>
          <w:b/>
        </w:rPr>
        <w:t xml:space="preserve"> se značky </w:t>
      </w:r>
      <w:r w:rsidR="00297C00">
        <w:rPr>
          <w:b/>
        </w:rPr>
        <w:t>„</w:t>
      </w:r>
      <w:r w:rsidR="00A46471" w:rsidRPr="00DB53C4">
        <w:rPr>
          <w:b/>
        </w:rPr>
        <w:t>Klasa</w:t>
      </w:r>
      <w:r w:rsidR="00297C00">
        <w:rPr>
          <w:b/>
        </w:rPr>
        <w:t>“</w:t>
      </w:r>
      <w:r w:rsidR="00A46471" w:rsidRPr="00DB53C4">
        <w:rPr>
          <w:b/>
        </w:rPr>
        <w:t xml:space="preserve"> vůbec netýkal</w:t>
      </w:r>
      <w:r w:rsidR="004D0DFC" w:rsidRPr="00856F0A">
        <w:rPr>
          <w:b/>
        </w:rPr>
        <w:t>.</w:t>
      </w:r>
    </w:p>
    <w:p w:rsidR="00F032BA" w:rsidRPr="00DB53C4" w:rsidRDefault="008B14A2" w:rsidP="00F032BA">
      <w:pPr>
        <w:pStyle w:val="Odstavecseseznamem"/>
        <w:numPr>
          <w:ilvl w:val="0"/>
          <w:numId w:val="10"/>
        </w:numPr>
        <w:spacing w:after="0"/>
        <w:ind w:left="709" w:hanging="283"/>
      </w:pPr>
      <w:r w:rsidRPr="00DB53C4">
        <w:t>N</w:t>
      </w:r>
      <w:r w:rsidR="00A46471" w:rsidRPr="00DB53C4">
        <w:t xml:space="preserve">apř. </w:t>
      </w:r>
      <w:r w:rsidRPr="00DB53C4">
        <w:t xml:space="preserve">součástí exkurze pro novináře do mlékárny byla návštěva lázní a absolvování indických masáží. Výstupem z této exkurze byly </w:t>
      </w:r>
      <w:r w:rsidR="005777C4" w:rsidRPr="00DB53C4">
        <w:t xml:space="preserve">mj. </w:t>
      </w:r>
      <w:r w:rsidRPr="00DB53C4">
        <w:t xml:space="preserve">články, které značku </w:t>
      </w:r>
      <w:r w:rsidR="00297C00">
        <w:t>„</w:t>
      </w:r>
      <w:r w:rsidRPr="00DB53C4">
        <w:t>Klasa</w:t>
      </w:r>
      <w:r w:rsidR="00297C00">
        <w:t>“</w:t>
      </w:r>
      <w:r w:rsidRPr="00DB53C4">
        <w:t xml:space="preserve"> vůbec nezmiňovaly</w:t>
      </w:r>
      <w:r w:rsidR="00297C00">
        <w:t xml:space="preserve"> a</w:t>
      </w:r>
      <w:r w:rsidRPr="00DB53C4">
        <w:t xml:space="preserve"> ani v nich nebylo uvedeno její logo.</w:t>
      </w:r>
    </w:p>
    <w:p w:rsidR="00EC0187" w:rsidRPr="00DB53C4" w:rsidRDefault="00EC0187" w:rsidP="00927A4B">
      <w:pPr>
        <w:pStyle w:val="Odstavecseseznamem"/>
        <w:numPr>
          <w:ilvl w:val="0"/>
          <w:numId w:val="9"/>
        </w:numPr>
        <w:spacing w:before="120"/>
        <w:ind w:left="426" w:hanging="426"/>
      </w:pPr>
      <w:r w:rsidRPr="00DB53C4">
        <w:t xml:space="preserve">Dále v jednom případě SZIF </w:t>
      </w:r>
      <w:r w:rsidRPr="00DB53C4">
        <w:rPr>
          <w:b/>
        </w:rPr>
        <w:t xml:space="preserve">realizoval akci </w:t>
      </w:r>
      <w:r w:rsidRPr="00856F0A">
        <w:rPr>
          <w:b/>
          <w:i/>
        </w:rPr>
        <w:t>Vánoční setkání s novináři</w:t>
      </w:r>
      <w:r w:rsidRPr="00DB53C4">
        <w:rPr>
          <w:b/>
        </w:rPr>
        <w:t xml:space="preserve">, u které nebylo zřejmé, jakým způsobem přispěla k naplnění cílů značky </w:t>
      </w:r>
      <w:r w:rsidR="00297C00">
        <w:rPr>
          <w:b/>
        </w:rPr>
        <w:t>„</w:t>
      </w:r>
      <w:r w:rsidRPr="00DB53C4">
        <w:rPr>
          <w:b/>
        </w:rPr>
        <w:t>Klasa</w:t>
      </w:r>
      <w:r w:rsidR="00297C00">
        <w:rPr>
          <w:b/>
        </w:rPr>
        <w:t>“</w:t>
      </w:r>
      <w:r w:rsidRPr="00DB53C4">
        <w:rPr>
          <w:b/>
        </w:rPr>
        <w:t xml:space="preserve"> a k její publicitě</w:t>
      </w:r>
      <w:r w:rsidRPr="00856F0A">
        <w:rPr>
          <w:b/>
        </w:rPr>
        <w:t>.</w:t>
      </w:r>
    </w:p>
    <w:p w:rsidR="003110B3" w:rsidRPr="002035E1" w:rsidRDefault="00DD5DEB" w:rsidP="00856F0A">
      <w:pPr>
        <w:pStyle w:val="Odstavecseseznamem"/>
        <w:numPr>
          <w:ilvl w:val="0"/>
          <w:numId w:val="10"/>
        </w:numPr>
        <w:spacing w:after="0"/>
        <w:ind w:left="709" w:hanging="283"/>
      </w:pPr>
      <w:r w:rsidRPr="00DB53C4">
        <w:t>Sou</w:t>
      </w:r>
      <w:r w:rsidR="00A1042F" w:rsidRPr="00DB53C4">
        <w:t>částí komunikační kampaně byly mj.</w:t>
      </w:r>
      <w:r w:rsidRPr="00DB53C4">
        <w:t xml:space="preserve"> jednorázové ak</w:t>
      </w:r>
      <w:r w:rsidR="00236944" w:rsidRPr="00DB53C4">
        <w:t>ce v</w:t>
      </w:r>
      <w:r w:rsidR="00297C00">
        <w:t> </w:t>
      </w:r>
      <w:r w:rsidR="00236944" w:rsidRPr="00DB53C4">
        <w:t>podobě neformální</w:t>
      </w:r>
      <w:r w:rsidR="00297C00">
        <w:t>c</w:t>
      </w:r>
      <w:r w:rsidR="00236944" w:rsidRPr="00DB53C4">
        <w:t>h setká</w:t>
      </w:r>
      <w:r w:rsidR="00297C00">
        <w:t>ní</w:t>
      </w:r>
      <w:r w:rsidRPr="00DB53C4">
        <w:t xml:space="preserve"> s médii. Obsah těchto neformálních setkání neby</w:t>
      </w:r>
      <w:r w:rsidR="00236944" w:rsidRPr="00DB53C4">
        <w:t>l ve smlouvě o dílo specifikován</w:t>
      </w:r>
      <w:r w:rsidRPr="00DB53C4">
        <w:t>.</w:t>
      </w:r>
      <w:r w:rsidR="00305D9D" w:rsidRPr="00DB53C4">
        <w:t xml:space="preserve"> SZIF za </w:t>
      </w:r>
      <w:r w:rsidR="00F032BA" w:rsidRPr="00856F0A">
        <w:rPr>
          <w:i/>
        </w:rPr>
        <w:t>Vánoční setkání</w:t>
      </w:r>
      <w:r w:rsidR="00A1042F" w:rsidRPr="00856F0A">
        <w:rPr>
          <w:i/>
        </w:rPr>
        <w:t xml:space="preserve"> s novináři</w:t>
      </w:r>
      <w:r w:rsidR="00236944" w:rsidRPr="00DB53C4">
        <w:t xml:space="preserve"> </w:t>
      </w:r>
      <w:r w:rsidR="00297C00">
        <w:t>zaplatil</w:t>
      </w:r>
      <w:r w:rsidR="00305D9D" w:rsidRPr="00DB53C4">
        <w:t xml:space="preserve"> téměř 30 000 Kč, kdy náklady </w:t>
      </w:r>
      <w:r w:rsidR="00305D9D" w:rsidRPr="002035E1">
        <w:t>na jednu</w:t>
      </w:r>
      <w:r w:rsidR="000E0C1E" w:rsidRPr="002035E1">
        <w:t xml:space="preserve"> zúčastněnou</w:t>
      </w:r>
      <w:r w:rsidR="00305D9D" w:rsidRPr="002035E1">
        <w:t xml:space="preserve"> osobu</w:t>
      </w:r>
      <w:r w:rsidR="00236944" w:rsidRPr="002035E1">
        <w:t xml:space="preserve"> činily 1</w:t>
      </w:r>
      <w:r w:rsidR="00297C00">
        <w:t> </w:t>
      </w:r>
      <w:r w:rsidR="00236944" w:rsidRPr="002035E1">
        <w:t>20</w:t>
      </w:r>
      <w:r w:rsidR="00DF0A1B" w:rsidRPr="002035E1">
        <w:t>0 Kč</w:t>
      </w:r>
      <w:r w:rsidR="00236944" w:rsidRPr="002035E1">
        <w:t>.</w:t>
      </w:r>
    </w:p>
    <w:p w:rsidR="000832C8" w:rsidRDefault="000832C8" w:rsidP="00856F0A">
      <w:pPr>
        <w:spacing w:after="0"/>
      </w:pPr>
    </w:p>
    <w:p w:rsidR="00927A4B" w:rsidRDefault="003110B3" w:rsidP="00856F0A">
      <w:pPr>
        <w:spacing w:after="0"/>
      </w:pPr>
      <w:r w:rsidRPr="002035E1">
        <w:t xml:space="preserve">Ve čtyřech případech </w:t>
      </w:r>
      <w:r w:rsidR="007D5F54" w:rsidRPr="002035E1">
        <w:t xml:space="preserve">za více než 12 mil. Kč </w:t>
      </w:r>
      <w:r w:rsidRPr="002035E1">
        <w:t>uved</w:t>
      </w:r>
      <w:r w:rsidR="00522831" w:rsidRPr="002035E1">
        <w:t xml:space="preserve">ených </w:t>
      </w:r>
      <w:r w:rsidR="00297C00">
        <w:t xml:space="preserve">v bodu </w:t>
      </w:r>
      <w:r w:rsidR="00522831" w:rsidRPr="002035E1">
        <w:t xml:space="preserve">č. 1 a v případech uvedených </w:t>
      </w:r>
      <w:r w:rsidR="00297C00">
        <w:t>v bodech</w:t>
      </w:r>
      <w:r w:rsidRPr="002035E1">
        <w:t xml:space="preserve"> č.</w:t>
      </w:r>
      <w:r w:rsidR="00522831" w:rsidRPr="002035E1">
        <w:t xml:space="preserve"> 2 a </w:t>
      </w:r>
      <w:r w:rsidRPr="002035E1">
        <w:t xml:space="preserve">4 postup </w:t>
      </w:r>
      <w:r w:rsidR="007D5F54" w:rsidRPr="002035E1">
        <w:t xml:space="preserve">SZIF </w:t>
      </w:r>
      <w:r w:rsidRPr="002035E1">
        <w:t xml:space="preserve">vyhodnotil </w:t>
      </w:r>
      <w:r w:rsidR="00695407" w:rsidRPr="002035E1">
        <w:t xml:space="preserve">NKÚ </w:t>
      </w:r>
      <w:r w:rsidRPr="002035E1">
        <w:t>jako porušení rozpočtové kázně.</w:t>
      </w:r>
    </w:p>
    <w:p w:rsidR="000832C8" w:rsidRPr="00927A4B" w:rsidRDefault="000832C8" w:rsidP="00856F0A">
      <w:pPr>
        <w:spacing w:after="0"/>
      </w:pPr>
    </w:p>
    <w:p w:rsidR="00083A1C" w:rsidRPr="00856F0A" w:rsidRDefault="00083A1C" w:rsidP="00927A4B">
      <w:pPr>
        <w:rPr>
          <w:b/>
          <w:i/>
        </w:rPr>
      </w:pPr>
      <w:r w:rsidRPr="00856F0A">
        <w:rPr>
          <w:b/>
          <w:i/>
        </w:rPr>
        <w:t xml:space="preserve">Komunikační kampaně na </w:t>
      </w:r>
      <w:r w:rsidR="00297C00">
        <w:rPr>
          <w:b/>
          <w:i/>
        </w:rPr>
        <w:t xml:space="preserve">podporu </w:t>
      </w:r>
      <w:r w:rsidRPr="00856F0A">
        <w:rPr>
          <w:b/>
          <w:i/>
        </w:rPr>
        <w:t>znač</w:t>
      </w:r>
      <w:r w:rsidR="00297C00">
        <w:rPr>
          <w:b/>
          <w:i/>
        </w:rPr>
        <w:t>e</w:t>
      </w:r>
      <w:r w:rsidRPr="00856F0A">
        <w:rPr>
          <w:b/>
          <w:i/>
        </w:rPr>
        <w:t xml:space="preserve">k </w:t>
      </w:r>
      <w:r w:rsidR="00297C00">
        <w:rPr>
          <w:b/>
          <w:i/>
        </w:rPr>
        <w:t>„</w:t>
      </w:r>
      <w:r w:rsidRPr="00856F0A">
        <w:rPr>
          <w:b/>
          <w:i/>
        </w:rPr>
        <w:t>Klasa</w:t>
      </w:r>
      <w:r w:rsidR="00297C00">
        <w:rPr>
          <w:b/>
          <w:i/>
        </w:rPr>
        <w:t>“</w:t>
      </w:r>
      <w:r w:rsidRPr="00856F0A">
        <w:rPr>
          <w:b/>
          <w:i/>
        </w:rPr>
        <w:t xml:space="preserve"> a </w:t>
      </w:r>
      <w:r w:rsidR="00297C00">
        <w:rPr>
          <w:b/>
          <w:i/>
        </w:rPr>
        <w:t>„</w:t>
      </w:r>
      <w:r w:rsidRPr="00856F0A">
        <w:rPr>
          <w:b/>
          <w:i/>
        </w:rPr>
        <w:t>Regionální potravina</w:t>
      </w:r>
      <w:r w:rsidR="00297C00">
        <w:rPr>
          <w:b/>
          <w:i/>
        </w:rPr>
        <w:t>“</w:t>
      </w:r>
      <w:r w:rsidRPr="00856F0A">
        <w:rPr>
          <w:b/>
          <w:i/>
        </w:rPr>
        <w:t xml:space="preserve"> v letech 2012</w:t>
      </w:r>
      <w:r w:rsidR="00C77731" w:rsidRPr="00856F0A">
        <w:rPr>
          <w:b/>
          <w:i/>
        </w:rPr>
        <w:t>–</w:t>
      </w:r>
      <w:r w:rsidRPr="00856F0A">
        <w:rPr>
          <w:b/>
          <w:i/>
        </w:rPr>
        <w:t>2013</w:t>
      </w:r>
    </w:p>
    <w:p w:rsidR="007D28AF" w:rsidRDefault="00CA3849" w:rsidP="00856F0A">
      <w:pPr>
        <w:spacing w:after="0"/>
        <w:rPr>
          <w:szCs w:val="22"/>
        </w:rPr>
      </w:pPr>
      <w:r w:rsidRPr="00927A4B">
        <w:t>SZIF n</w:t>
      </w:r>
      <w:r w:rsidR="007213FF" w:rsidRPr="00927A4B">
        <w:t>a realizaci</w:t>
      </w:r>
      <w:r w:rsidR="000B5406">
        <w:t xml:space="preserve"> </w:t>
      </w:r>
      <w:r w:rsidR="007213FF" w:rsidRPr="00927A4B">
        <w:t xml:space="preserve">komunikační kampaně </w:t>
      </w:r>
      <w:r w:rsidR="000B5406">
        <w:t>pro</w:t>
      </w:r>
      <w:r w:rsidR="007213FF" w:rsidRPr="00927A4B">
        <w:t xml:space="preserve"> značku </w:t>
      </w:r>
      <w:r w:rsidR="000B5406">
        <w:t>„</w:t>
      </w:r>
      <w:r w:rsidR="007213FF" w:rsidRPr="00927A4B">
        <w:t>Klasa</w:t>
      </w:r>
      <w:r w:rsidR="000B5406">
        <w:t>“</w:t>
      </w:r>
      <w:r w:rsidR="007213FF" w:rsidRPr="00927A4B">
        <w:t xml:space="preserve"> na období</w:t>
      </w:r>
      <w:r w:rsidR="00083A1C" w:rsidRPr="00927A4B">
        <w:t xml:space="preserve"> let 2012–2013 </w:t>
      </w:r>
      <w:r w:rsidR="00103174" w:rsidRPr="00927A4B">
        <w:t>zadal</w:t>
      </w:r>
      <w:r w:rsidR="00083A1C" w:rsidRPr="00927A4B">
        <w:t xml:space="preserve"> </w:t>
      </w:r>
      <w:r w:rsidR="00104663" w:rsidRPr="00927A4B">
        <w:t xml:space="preserve">formou otevřeného řízení jednu VZ na </w:t>
      </w:r>
      <w:r w:rsidR="000B5406">
        <w:t>r</w:t>
      </w:r>
      <w:r w:rsidR="00104663" w:rsidRPr="00927A4B">
        <w:t xml:space="preserve">ámcovou smlouvu. </w:t>
      </w:r>
      <w:r w:rsidR="008729A1" w:rsidRPr="00927A4B">
        <w:t>NKÚ podrobil kontrole vzorek vybraných výzev</w:t>
      </w:r>
      <w:r w:rsidR="00381447" w:rsidRPr="00927A4B">
        <w:t xml:space="preserve"> </w:t>
      </w:r>
      <w:r w:rsidR="00323A1A" w:rsidRPr="00927A4B">
        <w:t xml:space="preserve">a dílčích smluv </w:t>
      </w:r>
      <w:r w:rsidR="000B5406">
        <w:t>uzavřených</w:t>
      </w:r>
      <w:r w:rsidR="00323A1A" w:rsidRPr="00927A4B">
        <w:t xml:space="preserve"> </w:t>
      </w:r>
      <w:r w:rsidR="008729A1" w:rsidRPr="00927A4B">
        <w:t>na z</w:t>
      </w:r>
      <w:r w:rsidR="00104663" w:rsidRPr="00927A4B">
        <w:t>ákladě</w:t>
      </w:r>
      <w:r w:rsidR="000B5406">
        <w:t xml:space="preserve"> této rámcové smlouvy</w:t>
      </w:r>
      <w:r w:rsidR="008729A1" w:rsidRPr="00927A4B">
        <w:t>.</w:t>
      </w:r>
      <w:r w:rsidR="00083A1C" w:rsidRPr="00927A4B">
        <w:t xml:space="preserve"> </w:t>
      </w:r>
      <w:r w:rsidRPr="00927A4B">
        <w:t>SZIF na realizaci komunikační</w:t>
      </w:r>
      <w:r w:rsidRPr="00DB53C4">
        <w:rPr>
          <w:szCs w:val="22"/>
        </w:rPr>
        <w:t xml:space="preserve"> kampaně </w:t>
      </w:r>
      <w:r w:rsidR="000B5406">
        <w:rPr>
          <w:szCs w:val="22"/>
        </w:rPr>
        <w:t>pro</w:t>
      </w:r>
      <w:r w:rsidRPr="00DB53C4">
        <w:rPr>
          <w:szCs w:val="22"/>
        </w:rPr>
        <w:t xml:space="preserve"> značku </w:t>
      </w:r>
      <w:r w:rsidR="000B5406">
        <w:rPr>
          <w:szCs w:val="22"/>
        </w:rPr>
        <w:t>„</w:t>
      </w:r>
      <w:r w:rsidRPr="00DB53C4">
        <w:rPr>
          <w:b/>
          <w:szCs w:val="22"/>
        </w:rPr>
        <w:t>Regionální</w:t>
      </w:r>
      <w:r w:rsidR="00813F21" w:rsidRPr="00DB53C4">
        <w:rPr>
          <w:b/>
          <w:szCs w:val="22"/>
        </w:rPr>
        <w:t xml:space="preserve"> potravina</w:t>
      </w:r>
      <w:r w:rsidR="000B5406" w:rsidRPr="00856F0A">
        <w:rPr>
          <w:szCs w:val="22"/>
        </w:rPr>
        <w:t>“</w:t>
      </w:r>
      <w:r w:rsidR="00FA346E" w:rsidRPr="00DB53C4">
        <w:rPr>
          <w:szCs w:val="22"/>
        </w:rPr>
        <w:t xml:space="preserve"> na období let</w:t>
      </w:r>
      <w:r w:rsidR="006D68FA">
        <w:rPr>
          <w:szCs w:val="22"/>
        </w:rPr>
        <w:t xml:space="preserve"> </w:t>
      </w:r>
      <w:r w:rsidR="00FA346E" w:rsidRPr="00DB53C4">
        <w:rPr>
          <w:szCs w:val="22"/>
        </w:rPr>
        <w:t>2012</w:t>
      </w:r>
      <w:r w:rsidR="00C725D0">
        <w:rPr>
          <w:szCs w:val="22"/>
        </w:rPr>
        <w:t>–</w:t>
      </w:r>
      <w:r w:rsidRPr="00DB53C4">
        <w:rPr>
          <w:szCs w:val="22"/>
        </w:rPr>
        <w:t xml:space="preserve">2013 zadal </w:t>
      </w:r>
      <w:r w:rsidR="00104663" w:rsidRPr="00DB53C4">
        <w:rPr>
          <w:szCs w:val="22"/>
        </w:rPr>
        <w:t xml:space="preserve">formou otevřeného řízení také jednu VZ a dále </w:t>
      </w:r>
      <w:r w:rsidR="003110B3">
        <w:t>28 veřejných zakázek malého rozsahu</w:t>
      </w:r>
      <w:r w:rsidR="00813F21" w:rsidRPr="00DB53C4">
        <w:t>.</w:t>
      </w:r>
      <w:r w:rsidR="00F45569" w:rsidRPr="00DB53C4">
        <w:rPr>
          <w:szCs w:val="22"/>
        </w:rPr>
        <w:t xml:space="preserve"> </w:t>
      </w:r>
      <w:r w:rsidR="007D28AF" w:rsidRPr="00DB53C4">
        <w:rPr>
          <w:szCs w:val="22"/>
        </w:rPr>
        <w:t>Podrobnější infor</w:t>
      </w:r>
      <w:r w:rsidR="001F45DA" w:rsidRPr="00DB53C4">
        <w:rPr>
          <w:szCs w:val="22"/>
        </w:rPr>
        <w:t>mace o VZ zadaných v letech 2012</w:t>
      </w:r>
      <w:r w:rsidR="00B608B6">
        <w:rPr>
          <w:szCs w:val="22"/>
        </w:rPr>
        <w:t>–</w:t>
      </w:r>
      <w:r w:rsidR="001F45DA" w:rsidRPr="00DB53C4">
        <w:rPr>
          <w:szCs w:val="22"/>
        </w:rPr>
        <w:t>2013</w:t>
      </w:r>
      <w:r w:rsidR="007D28AF" w:rsidRPr="00DB53C4">
        <w:rPr>
          <w:szCs w:val="22"/>
        </w:rPr>
        <w:t xml:space="preserve"> </w:t>
      </w:r>
      <w:r w:rsidR="00104663" w:rsidRPr="00DB53C4">
        <w:rPr>
          <w:szCs w:val="22"/>
        </w:rPr>
        <w:t>jsou uvedeny v tabulce č. 4</w:t>
      </w:r>
      <w:r w:rsidRPr="00DB53C4">
        <w:rPr>
          <w:szCs w:val="22"/>
        </w:rPr>
        <w:t>.</w:t>
      </w:r>
      <w:r w:rsidR="00077440" w:rsidRPr="00DB53C4">
        <w:rPr>
          <w:szCs w:val="22"/>
        </w:rPr>
        <w:t xml:space="preserve"> </w:t>
      </w:r>
    </w:p>
    <w:p w:rsidR="000832C8" w:rsidRDefault="000832C8" w:rsidP="00856F0A">
      <w:pPr>
        <w:spacing w:after="0"/>
        <w:rPr>
          <w:szCs w:val="22"/>
        </w:rPr>
      </w:pPr>
    </w:p>
    <w:p w:rsidR="00CB2B3A" w:rsidRPr="00DB53C4" w:rsidRDefault="00104663" w:rsidP="00856F0A">
      <w:pPr>
        <w:spacing w:after="0"/>
        <w:ind w:left="1531" w:hanging="1531"/>
        <w:jc w:val="left"/>
        <w:rPr>
          <w:b/>
        </w:rPr>
      </w:pPr>
      <w:r w:rsidRPr="00DB53C4">
        <w:rPr>
          <w:b/>
          <w:szCs w:val="22"/>
        </w:rPr>
        <w:t>Tabulka č. 4</w:t>
      </w:r>
      <w:r w:rsidR="00CB2B3A" w:rsidRPr="00DB53C4">
        <w:rPr>
          <w:b/>
          <w:szCs w:val="22"/>
        </w:rPr>
        <w:t xml:space="preserve"> – Veřejné zakázky zadané v souvislosti s </w:t>
      </w:r>
      <w:r w:rsidR="00CB2B3A" w:rsidRPr="00DB53C4">
        <w:rPr>
          <w:b/>
        </w:rPr>
        <w:t>komunikačními kampaněmi</w:t>
      </w:r>
      <w:r w:rsidR="00FA346E" w:rsidRPr="00DB53C4">
        <w:rPr>
          <w:b/>
        </w:rPr>
        <w:t xml:space="preserve"> na</w:t>
      </w:r>
      <w:r w:rsidR="006D68FA">
        <w:rPr>
          <w:b/>
        </w:rPr>
        <w:t xml:space="preserve"> podporu </w:t>
      </w:r>
      <w:r w:rsidR="00CB2B3A" w:rsidRPr="00DB53C4">
        <w:rPr>
          <w:b/>
        </w:rPr>
        <w:t>znač</w:t>
      </w:r>
      <w:r w:rsidR="006D68FA">
        <w:rPr>
          <w:b/>
        </w:rPr>
        <w:t>e</w:t>
      </w:r>
      <w:r w:rsidR="00CB2B3A" w:rsidRPr="00DB53C4">
        <w:rPr>
          <w:b/>
        </w:rPr>
        <w:t xml:space="preserve">k </w:t>
      </w:r>
      <w:r w:rsidR="006D68FA">
        <w:rPr>
          <w:b/>
        </w:rPr>
        <w:t>„</w:t>
      </w:r>
      <w:r w:rsidR="00CB2B3A" w:rsidRPr="00DB53C4">
        <w:rPr>
          <w:b/>
        </w:rPr>
        <w:t>Klasa</w:t>
      </w:r>
      <w:r w:rsidR="006D68FA">
        <w:rPr>
          <w:b/>
        </w:rPr>
        <w:t>“</w:t>
      </w:r>
      <w:r w:rsidR="00CB2B3A" w:rsidRPr="00DB53C4">
        <w:rPr>
          <w:b/>
        </w:rPr>
        <w:t xml:space="preserve"> a </w:t>
      </w:r>
      <w:r w:rsidR="006D68FA">
        <w:rPr>
          <w:b/>
        </w:rPr>
        <w:t>„</w:t>
      </w:r>
      <w:r w:rsidR="00CB2B3A" w:rsidRPr="00DB53C4">
        <w:rPr>
          <w:b/>
        </w:rPr>
        <w:t>Regionální potravina</w:t>
      </w:r>
      <w:r w:rsidR="006D68FA">
        <w:rPr>
          <w:b/>
        </w:rPr>
        <w:t>“</w:t>
      </w:r>
      <w:r w:rsidR="00CB2B3A" w:rsidRPr="00DB53C4">
        <w:rPr>
          <w:b/>
        </w:rPr>
        <w:t xml:space="preserve"> v letech 2012–2013 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6662"/>
        <w:gridCol w:w="1560"/>
      </w:tblGrid>
      <w:tr w:rsidR="00CB2B3A" w:rsidRPr="00DB53C4" w:rsidTr="00F45569">
        <w:trPr>
          <w:trHeight w:val="30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CB2B3A" w:rsidP="00A1042F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Značka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CB2B3A" w:rsidP="00CB2B3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Veřejná zakázka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44AD" w:rsidRDefault="00CB2B3A" w:rsidP="00CB2B3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Výše plnění</w:t>
            </w:r>
          </w:p>
          <w:p w:rsidR="00CB2B3A" w:rsidRPr="00DB53C4" w:rsidRDefault="00CB2B3A" w:rsidP="00CB2B3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(v Kč vč. DPH)</w:t>
            </w:r>
          </w:p>
        </w:tc>
      </w:tr>
      <w:tr w:rsidR="00CB2B3A" w:rsidRPr="00DB53C4" w:rsidTr="00CB2B3A">
        <w:trPr>
          <w:trHeight w:val="28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CB2B3A" w:rsidP="00CB2B3A">
            <w:pPr>
              <w:spacing w:after="0"/>
              <w:jc w:val="left"/>
              <w:rPr>
                <w:sz w:val="20"/>
                <w:szCs w:val="20"/>
              </w:rPr>
            </w:pPr>
            <w:r w:rsidRPr="00DB53C4">
              <w:rPr>
                <w:sz w:val="20"/>
                <w:szCs w:val="20"/>
              </w:rPr>
              <w:t>Klasa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FA" w:rsidRDefault="00CB2B3A" w:rsidP="006D68FA">
            <w:pPr>
              <w:spacing w:after="0"/>
              <w:jc w:val="left"/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 xml:space="preserve">Rámcová smlouva </w:t>
            </w:r>
            <w:r w:rsidR="006D68FA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–</w:t>
            </w: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 xml:space="preserve"> Komunikační podpora značky Klasa na období </w:t>
            </w:r>
          </w:p>
          <w:p w:rsidR="00CB2B3A" w:rsidRPr="00DB53C4" w:rsidRDefault="00CB2B3A" w:rsidP="006D68F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2012</w:t>
            </w:r>
            <w:r w:rsidR="006D68FA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–</w:t>
            </w: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A" w:rsidRPr="00DB53C4" w:rsidRDefault="00CB2B3A" w:rsidP="00CB2B3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314 754 162</w:t>
            </w:r>
          </w:p>
        </w:tc>
      </w:tr>
      <w:tr w:rsidR="00CB2B3A" w:rsidRPr="00DB53C4" w:rsidTr="00CB2B3A">
        <w:trPr>
          <w:trHeight w:val="1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CB2B3A" w:rsidP="00CB2B3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Klasa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F76CB2" w:rsidP="00813F21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72</w:t>
            </w:r>
            <w:r w:rsidR="00CB2B3A"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13F21"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veřejných zakázek malého rozsahu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A" w:rsidRPr="00DB53C4" w:rsidRDefault="00F76CB2" w:rsidP="00CB2B3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41 260 377</w:t>
            </w:r>
          </w:p>
        </w:tc>
      </w:tr>
      <w:tr w:rsidR="00CB2B3A" w:rsidRPr="00DB53C4" w:rsidTr="00CB2B3A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CB2B3A" w:rsidP="00CB2B3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R. potravina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CB2B3A" w:rsidP="00CB2B3A">
            <w:pPr>
              <w:spacing w:after="0"/>
              <w:jc w:val="left"/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Marketingová, mediální a PR kampaň prezentující regionální potraviny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A" w:rsidRPr="00DB53C4" w:rsidRDefault="00875665" w:rsidP="00875665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64 686 877</w:t>
            </w:r>
          </w:p>
        </w:tc>
      </w:tr>
      <w:tr w:rsidR="00CB2B3A" w:rsidRPr="00DB53C4" w:rsidTr="00CB2B3A">
        <w:trPr>
          <w:trHeight w:val="2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CB2B3A" w:rsidP="00CB2B3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R. potravina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B3A" w:rsidRPr="00DB53C4" w:rsidRDefault="00813F21" w:rsidP="00CB2B3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28 veřejných zakázek malého rozsahu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A" w:rsidRPr="00DB53C4" w:rsidRDefault="00875665" w:rsidP="00875665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22 950 338</w:t>
            </w:r>
          </w:p>
        </w:tc>
      </w:tr>
    </w:tbl>
    <w:p w:rsidR="00CB2B3A" w:rsidRDefault="00875665" w:rsidP="00856F0A">
      <w:pPr>
        <w:spacing w:after="0"/>
        <w:rPr>
          <w:rFonts w:cs="Arial"/>
          <w:sz w:val="18"/>
          <w:szCs w:val="18"/>
        </w:rPr>
      </w:pPr>
      <w:r w:rsidRPr="00122216">
        <w:rPr>
          <w:b/>
          <w:sz w:val="18"/>
          <w:szCs w:val="18"/>
        </w:rPr>
        <w:t>Zdroj:</w:t>
      </w:r>
      <w:r w:rsidRPr="00DB53C4">
        <w:rPr>
          <w:rFonts w:cs="Arial"/>
          <w:sz w:val="18"/>
          <w:szCs w:val="18"/>
        </w:rPr>
        <w:t xml:space="preserve"> </w:t>
      </w:r>
      <w:r w:rsidR="006D68FA">
        <w:rPr>
          <w:rFonts w:cs="Arial"/>
          <w:sz w:val="18"/>
          <w:szCs w:val="18"/>
        </w:rPr>
        <w:t>i</w:t>
      </w:r>
      <w:r w:rsidRPr="00DB53C4">
        <w:rPr>
          <w:rFonts w:cs="Arial"/>
          <w:sz w:val="18"/>
          <w:szCs w:val="18"/>
        </w:rPr>
        <w:t>nformace a doklady SZIF</w:t>
      </w:r>
      <w:r w:rsidR="00122216">
        <w:rPr>
          <w:rFonts w:cs="Arial"/>
          <w:sz w:val="18"/>
          <w:szCs w:val="18"/>
        </w:rPr>
        <w:t>.</w:t>
      </w:r>
    </w:p>
    <w:p w:rsidR="000832C8" w:rsidRPr="00856F0A" w:rsidRDefault="000832C8" w:rsidP="00856F0A">
      <w:pPr>
        <w:spacing w:after="0"/>
        <w:rPr>
          <w:rFonts w:cs="Arial"/>
          <w:szCs w:val="22"/>
        </w:rPr>
      </w:pPr>
    </w:p>
    <w:p w:rsidR="00077440" w:rsidRDefault="001921E4" w:rsidP="00856F0A">
      <w:pPr>
        <w:spacing w:after="0"/>
        <w:rPr>
          <w:szCs w:val="22"/>
        </w:rPr>
      </w:pPr>
      <w:r w:rsidRPr="00DB53C4">
        <w:rPr>
          <w:szCs w:val="22"/>
        </w:rPr>
        <w:t xml:space="preserve">Peněžní prostředky vynaložené na základě </w:t>
      </w:r>
      <w:r w:rsidR="006D68FA">
        <w:rPr>
          <w:szCs w:val="22"/>
        </w:rPr>
        <w:t>r</w:t>
      </w:r>
      <w:r w:rsidRPr="00DB53C4">
        <w:rPr>
          <w:szCs w:val="22"/>
        </w:rPr>
        <w:t xml:space="preserve">ámcové smlouvy </w:t>
      </w:r>
      <w:r w:rsidRPr="00DB53C4">
        <w:rPr>
          <w:rFonts w:cs="Arial"/>
          <w:color w:val="000000"/>
          <w:szCs w:val="22"/>
          <w:lang w:eastAsia="cs-CZ"/>
        </w:rPr>
        <w:t xml:space="preserve">ke komunikační podpoře značky </w:t>
      </w:r>
      <w:r w:rsidR="006D68FA">
        <w:rPr>
          <w:rFonts w:cs="Arial"/>
          <w:color w:val="000000"/>
          <w:szCs w:val="22"/>
          <w:lang w:eastAsia="cs-CZ"/>
        </w:rPr>
        <w:t>„</w:t>
      </w:r>
      <w:r w:rsidRPr="00DB53C4">
        <w:rPr>
          <w:rFonts w:cs="Arial"/>
          <w:color w:val="000000"/>
          <w:szCs w:val="22"/>
          <w:lang w:eastAsia="cs-CZ"/>
        </w:rPr>
        <w:t>Klasa</w:t>
      </w:r>
      <w:r w:rsidR="006D68FA">
        <w:rPr>
          <w:rFonts w:cs="Arial"/>
          <w:color w:val="000000"/>
          <w:szCs w:val="22"/>
          <w:lang w:eastAsia="cs-CZ"/>
        </w:rPr>
        <w:t>“</w:t>
      </w:r>
      <w:r w:rsidRPr="00DB53C4">
        <w:rPr>
          <w:rFonts w:cs="Arial"/>
          <w:color w:val="000000"/>
          <w:szCs w:val="22"/>
          <w:lang w:eastAsia="cs-CZ"/>
        </w:rPr>
        <w:t xml:space="preserve"> na období 2012</w:t>
      </w:r>
      <w:r w:rsidR="00C77731">
        <w:rPr>
          <w:rFonts w:cs="Arial"/>
          <w:color w:val="000000"/>
          <w:szCs w:val="22"/>
          <w:lang w:eastAsia="cs-CZ"/>
        </w:rPr>
        <w:t>–</w:t>
      </w:r>
      <w:r w:rsidRPr="00DB53C4">
        <w:rPr>
          <w:rFonts w:cs="Arial"/>
          <w:color w:val="000000"/>
          <w:szCs w:val="22"/>
          <w:lang w:eastAsia="cs-CZ"/>
        </w:rPr>
        <w:t xml:space="preserve">2013 </w:t>
      </w:r>
      <w:r w:rsidR="006D68FA">
        <w:rPr>
          <w:rFonts w:cs="Arial"/>
          <w:color w:val="000000"/>
          <w:szCs w:val="22"/>
          <w:lang w:eastAsia="cs-CZ"/>
        </w:rPr>
        <w:t>a</w:t>
      </w:r>
      <w:r w:rsidRPr="00DB53C4">
        <w:rPr>
          <w:rFonts w:cs="Arial"/>
          <w:color w:val="000000"/>
          <w:szCs w:val="22"/>
          <w:lang w:eastAsia="cs-CZ"/>
        </w:rPr>
        <w:t xml:space="preserve"> </w:t>
      </w:r>
      <w:r w:rsidRPr="00DB53C4">
        <w:rPr>
          <w:szCs w:val="22"/>
        </w:rPr>
        <w:t>kontrolovan</w:t>
      </w:r>
      <w:r w:rsidR="006D68FA">
        <w:rPr>
          <w:szCs w:val="22"/>
        </w:rPr>
        <w:t>é</w:t>
      </w:r>
      <w:r w:rsidRPr="00DB53C4">
        <w:rPr>
          <w:szCs w:val="22"/>
        </w:rPr>
        <w:t xml:space="preserve"> </w:t>
      </w:r>
      <w:r w:rsidR="006D68FA" w:rsidRPr="00DB53C4">
        <w:rPr>
          <w:rFonts w:cs="Arial"/>
          <w:color w:val="000000"/>
          <w:szCs w:val="22"/>
          <w:lang w:eastAsia="cs-CZ"/>
        </w:rPr>
        <w:t>o</w:t>
      </w:r>
      <w:r w:rsidR="006D68FA" w:rsidRPr="00DB53C4">
        <w:rPr>
          <w:szCs w:val="22"/>
        </w:rPr>
        <w:t>bjem</w:t>
      </w:r>
      <w:r w:rsidR="006D68FA">
        <w:rPr>
          <w:szCs w:val="22"/>
        </w:rPr>
        <w:t>y</w:t>
      </w:r>
      <w:r w:rsidR="006D68FA" w:rsidRPr="00DB53C4">
        <w:rPr>
          <w:szCs w:val="22"/>
        </w:rPr>
        <w:t xml:space="preserve"> </w:t>
      </w:r>
      <w:r w:rsidRPr="00DB53C4">
        <w:rPr>
          <w:szCs w:val="22"/>
        </w:rPr>
        <w:t>výzev j</w:t>
      </w:r>
      <w:r w:rsidR="006D68FA">
        <w:rPr>
          <w:szCs w:val="22"/>
        </w:rPr>
        <w:t>sou</w:t>
      </w:r>
      <w:r w:rsidRPr="00DB53C4">
        <w:rPr>
          <w:szCs w:val="22"/>
        </w:rPr>
        <w:t xml:space="preserve"> uveden</w:t>
      </w:r>
      <w:r w:rsidR="006D68FA">
        <w:rPr>
          <w:szCs w:val="22"/>
        </w:rPr>
        <w:t>y</w:t>
      </w:r>
      <w:r w:rsidRPr="00DB53C4">
        <w:rPr>
          <w:szCs w:val="22"/>
        </w:rPr>
        <w:t xml:space="preserve"> v tabulce č. 5.</w:t>
      </w:r>
    </w:p>
    <w:p w:rsidR="000832C8" w:rsidRDefault="000832C8" w:rsidP="00856F0A">
      <w:pPr>
        <w:spacing w:after="0"/>
        <w:rPr>
          <w:szCs w:val="22"/>
        </w:rPr>
      </w:pPr>
    </w:p>
    <w:p w:rsidR="000832C8" w:rsidRDefault="000832C8" w:rsidP="00856F0A">
      <w:pPr>
        <w:spacing w:after="0"/>
        <w:rPr>
          <w:szCs w:val="22"/>
        </w:rPr>
      </w:pPr>
    </w:p>
    <w:p w:rsidR="000832C8" w:rsidRDefault="000832C8" w:rsidP="00856F0A">
      <w:pPr>
        <w:spacing w:after="0"/>
        <w:rPr>
          <w:szCs w:val="22"/>
        </w:rPr>
      </w:pPr>
    </w:p>
    <w:p w:rsidR="00077440" w:rsidRPr="00DB53C4" w:rsidRDefault="00077440" w:rsidP="001D3E52">
      <w:pPr>
        <w:pStyle w:val="Titulek"/>
        <w:spacing w:after="0"/>
        <w:ind w:left="1525" w:hanging="1525"/>
        <w:jc w:val="left"/>
        <w:rPr>
          <w:sz w:val="22"/>
          <w:szCs w:val="22"/>
        </w:rPr>
      </w:pPr>
      <w:r w:rsidRPr="00DB53C4">
        <w:rPr>
          <w:sz w:val="22"/>
          <w:szCs w:val="22"/>
        </w:rPr>
        <w:lastRenderedPageBreak/>
        <w:t xml:space="preserve">Tabulka č. 5 – </w:t>
      </w:r>
      <w:r w:rsidR="006D68FA">
        <w:rPr>
          <w:sz w:val="22"/>
          <w:szCs w:val="22"/>
        </w:rPr>
        <w:t>Přehled</w:t>
      </w:r>
      <w:r w:rsidR="001921E4" w:rsidRPr="00DB53C4">
        <w:rPr>
          <w:sz w:val="22"/>
          <w:szCs w:val="22"/>
        </w:rPr>
        <w:t xml:space="preserve"> peněžních prostředků</w:t>
      </w:r>
      <w:r w:rsidR="006D68FA">
        <w:rPr>
          <w:sz w:val="22"/>
          <w:szCs w:val="22"/>
        </w:rPr>
        <w:t>, jež SZIF</w:t>
      </w:r>
      <w:r w:rsidR="001921E4" w:rsidRPr="00DB53C4">
        <w:rPr>
          <w:sz w:val="22"/>
          <w:szCs w:val="22"/>
        </w:rPr>
        <w:t xml:space="preserve"> vynalož</w:t>
      </w:r>
      <w:r w:rsidR="006D68FA">
        <w:rPr>
          <w:sz w:val="22"/>
          <w:szCs w:val="22"/>
        </w:rPr>
        <w:t>il</w:t>
      </w:r>
      <w:r w:rsidR="006630DB" w:rsidRPr="00DB53C4">
        <w:rPr>
          <w:sz w:val="22"/>
          <w:szCs w:val="22"/>
        </w:rPr>
        <w:t xml:space="preserve"> na základě </w:t>
      </w:r>
      <w:r w:rsidR="006D68FA">
        <w:rPr>
          <w:sz w:val="22"/>
          <w:szCs w:val="22"/>
        </w:rPr>
        <w:t>r</w:t>
      </w:r>
      <w:r w:rsidR="006630DB" w:rsidRPr="00DB53C4">
        <w:rPr>
          <w:sz w:val="22"/>
          <w:szCs w:val="22"/>
        </w:rPr>
        <w:t>ámcové smlouvy a</w:t>
      </w:r>
      <w:r w:rsidR="001921E4" w:rsidRPr="00DB53C4">
        <w:rPr>
          <w:sz w:val="22"/>
          <w:szCs w:val="22"/>
        </w:rPr>
        <w:t xml:space="preserve"> v rozporu</w:t>
      </w:r>
      <w:r w:rsidRPr="00DB53C4">
        <w:rPr>
          <w:sz w:val="22"/>
          <w:szCs w:val="22"/>
        </w:rPr>
        <w:t xml:space="preserve"> </w:t>
      </w:r>
      <w:r w:rsidR="001921E4" w:rsidRPr="00DB53C4">
        <w:rPr>
          <w:sz w:val="22"/>
          <w:szCs w:val="22"/>
        </w:rPr>
        <w:t>s </w:t>
      </w:r>
      <w:r w:rsidR="006D68FA">
        <w:rPr>
          <w:sz w:val="22"/>
          <w:szCs w:val="22"/>
        </w:rPr>
        <w:t>r</w:t>
      </w:r>
      <w:r w:rsidR="001921E4" w:rsidRPr="00DB53C4">
        <w:rPr>
          <w:sz w:val="22"/>
          <w:szCs w:val="22"/>
        </w:rPr>
        <w:t>ámcovou smlouvou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1559"/>
        <w:gridCol w:w="1559"/>
        <w:gridCol w:w="1701"/>
        <w:gridCol w:w="1985"/>
      </w:tblGrid>
      <w:tr w:rsidR="00077440" w:rsidRPr="00DB53C4" w:rsidTr="00D33CB3">
        <w:trPr>
          <w:trHeight w:val="2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7440" w:rsidRPr="00DB53C4" w:rsidRDefault="00077440" w:rsidP="00CB62DA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77440" w:rsidRPr="00DB53C4" w:rsidRDefault="006D68FA" w:rsidP="006D68F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077440"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eněžní prostředky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ynaložené </w:t>
            </w:r>
            <w:r w:rsidR="00077440"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 souvislosti s RS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7440" w:rsidRPr="00DB53C4" w:rsidRDefault="00077440" w:rsidP="00CB62D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Kontrolovaný vzorek výzev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7440" w:rsidRPr="00DB53C4" w:rsidRDefault="00077440" w:rsidP="00CB62D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Kontrolovaný vzorek </w:t>
            </w:r>
            <w:proofErr w:type="gramStart"/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výzev</w:t>
            </w:r>
            <w:r w:rsidRPr="00DB53C4">
              <w:rPr>
                <w:rFonts w:cs="Arial"/>
                <w:sz w:val="18"/>
                <w:szCs w:val="18"/>
                <w:vertAlign w:val="superscript"/>
              </w:rPr>
              <w:t>(1)</w:t>
            </w: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(v %)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77440" w:rsidRPr="00DB53C4" w:rsidRDefault="00181F8D" w:rsidP="00181F8D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077440"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eněžní prostředky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ynaložené </w:t>
            </w:r>
            <w:r w:rsidR="00077440"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 rozporu s RS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44AD" w:rsidRDefault="00181F8D" w:rsidP="00CB62DA">
            <w:pPr>
              <w:spacing w:after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077440"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eněžní prostředky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ynaložené </w:t>
            </w:r>
            <w:r w:rsidR="00077440"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 rozporu s RS</w:t>
            </w:r>
            <w:r w:rsidR="00077440" w:rsidRPr="00DB53C4">
              <w:rPr>
                <w:rFonts w:cs="Arial"/>
                <w:sz w:val="18"/>
                <w:szCs w:val="18"/>
                <w:vertAlign w:val="superscript"/>
              </w:rPr>
              <w:t>(2)</w:t>
            </w:r>
          </w:p>
          <w:p w:rsidR="00077440" w:rsidRPr="00DB53C4" w:rsidRDefault="00077440" w:rsidP="00CB62D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(v %)</w:t>
            </w:r>
          </w:p>
        </w:tc>
      </w:tr>
      <w:tr w:rsidR="00077440" w:rsidRPr="00DB53C4" w:rsidTr="00D33CB3">
        <w:trPr>
          <w:trHeight w:val="2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7440" w:rsidRPr="00DB53C4" w:rsidRDefault="00077440" w:rsidP="00CB62D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77440" w:rsidRPr="00DB53C4" w:rsidRDefault="00077440" w:rsidP="00856F0A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 w:rsidRPr="00DB53C4">
              <w:rPr>
                <w:sz w:val="20"/>
                <w:szCs w:val="20"/>
              </w:rPr>
              <w:t>153 848 250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7440" w:rsidRPr="00DB53C4" w:rsidRDefault="00077440" w:rsidP="00856F0A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102 047 423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7440" w:rsidRPr="00DB53C4" w:rsidRDefault="00077440" w:rsidP="00CB62DA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66,3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77440" w:rsidRPr="00DB53C4" w:rsidRDefault="00077440" w:rsidP="00856F0A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31 116 738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77440" w:rsidRPr="00DB53C4" w:rsidRDefault="00077440" w:rsidP="00CB62DA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30,5</w:t>
            </w:r>
          </w:p>
        </w:tc>
      </w:tr>
      <w:tr w:rsidR="00077440" w:rsidRPr="00DB53C4" w:rsidTr="00D33CB3">
        <w:trPr>
          <w:trHeight w:val="1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7440" w:rsidRPr="00DB53C4" w:rsidRDefault="00077440" w:rsidP="00CB62D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77440" w:rsidRPr="00DB53C4" w:rsidRDefault="00077440" w:rsidP="00856F0A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160 905 912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7440" w:rsidRPr="00DB53C4" w:rsidRDefault="00077440" w:rsidP="00856F0A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49 864 579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7440" w:rsidRPr="00DB53C4" w:rsidRDefault="00077440" w:rsidP="00CB62DA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77440" w:rsidRPr="00DB53C4" w:rsidRDefault="00077440" w:rsidP="00856F0A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7 187 499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77440" w:rsidRPr="00DB53C4" w:rsidRDefault="00077440" w:rsidP="00CB62DA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14,4</w:t>
            </w:r>
          </w:p>
        </w:tc>
      </w:tr>
    </w:tbl>
    <w:p w:rsidR="00077440" w:rsidRPr="00DB53C4" w:rsidRDefault="00077440" w:rsidP="00077440">
      <w:pPr>
        <w:spacing w:after="0"/>
        <w:rPr>
          <w:rFonts w:cs="Arial"/>
          <w:sz w:val="18"/>
          <w:szCs w:val="18"/>
        </w:rPr>
      </w:pPr>
      <w:r w:rsidRPr="00856F0A">
        <w:rPr>
          <w:b/>
          <w:sz w:val="18"/>
          <w:szCs w:val="18"/>
        </w:rPr>
        <w:t>Zdroj:</w:t>
      </w:r>
      <w:r w:rsidRPr="00DB53C4">
        <w:rPr>
          <w:rFonts w:cs="Arial"/>
          <w:sz w:val="18"/>
          <w:szCs w:val="18"/>
        </w:rPr>
        <w:t xml:space="preserve"> </w:t>
      </w:r>
      <w:r w:rsidR="00181F8D">
        <w:rPr>
          <w:rFonts w:cs="Arial"/>
          <w:sz w:val="18"/>
          <w:szCs w:val="18"/>
        </w:rPr>
        <w:t>i</w:t>
      </w:r>
      <w:r w:rsidRPr="00DB53C4">
        <w:rPr>
          <w:rFonts w:cs="Arial"/>
          <w:sz w:val="18"/>
          <w:szCs w:val="18"/>
        </w:rPr>
        <w:t>nformace a doklady SZIF</w:t>
      </w:r>
      <w:r w:rsidR="00122216">
        <w:rPr>
          <w:rFonts w:cs="Arial"/>
          <w:sz w:val="18"/>
          <w:szCs w:val="18"/>
        </w:rPr>
        <w:t>.</w:t>
      </w:r>
      <w:r w:rsidRPr="00DB53C4">
        <w:rPr>
          <w:rFonts w:cs="Arial"/>
          <w:sz w:val="18"/>
          <w:szCs w:val="18"/>
        </w:rPr>
        <w:t xml:space="preserve"> </w:t>
      </w:r>
    </w:p>
    <w:p w:rsidR="00077440" w:rsidRPr="00DB53C4" w:rsidRDefault="00077440" w:rsidP="001D3E52">
      <w:pPr>
        <w:spacing w:after="0"/>
        <w:ind w:left="284" w:hanging="284"/>
        <w:rPr>
          <w:rFonts w:cs="Arial"/>
          <w:sz w:val="18"/>
          <w:szCs w:val="18"/>
        </w:rPr>
      </w:pPr>
      <w:r w:rsidRPr="00DB53C4">
        <w:rPr>
          <w:rFonts w:cs="Arial"/>
          <w:sz w:val="18"/>
          <w:szCs w:val="18"/>
          <w:vertAlign w:val="superscript"/>
        </w:rPr>
        <w:t>(1)</w:t>
      </w:r>
      <w:r w:rsidRPr="00DB53C4">
        <w:rPr>
          <w:rFonts w:cs="Arial"/>
          <w:sz w:val="18"/>
          <w:szCs w:val="18"/>
        </w:rPr>
        <w:t xml:space="preserve"> </w:t>
      </w:r>
      <w:r w:rsidR="001D3E52">
        <w:rPr>
          <w:rFonts w:cs="Arial"/>
          <w:sz w:val="18"/>
          <w:szCs w:val="18"/>
        </w:rPr>
        <w:tab/>
      </w:r>
      <w:r w:rsidRPr="00DB53C4">
        <w:rPr>
          <w:rFonts w:cs="Arial"/>
          <w:sz w:val="18"/>
          <w:szCs w:val="18"/>
        </w:rPr>
        <w:t>Vztaženo k celkově vynaloženým prostředkům za rok v souvislosti s </w:t>
      </w:r>
      <w:r w:rsidR="00181F8D">
        <w:rPr>
          <w:rFonts w:cs="Arial"/>
          <w:sz w:val="18"/>
          <w:szCs w:val="18"/>
        </w:rPr>
        <w:t>r</w:t>
      </w:r>
      <w:r w:rsidRPr="00DB53C4">
        <w:rPr>
          <w:rFonts w:cs="Arial"/>
          <w:sz w:val="18"/>
          <w:szCs w:val="18"/>
        </w:rPr>
        <w:t>ámcovou smlouvou</w:t>
      </w:r>
      <w:r w:rsidR="00181F8D">
        <w:rPr>
          <w:rFonts w:cs="Arial"/>
          <w:sz w:val="18"/>
          <w:szCs w:val="18"/>
        </w:rPr>
        <w:t>.</w:t>
      </w:r>
    </w:p>
    <w:p w:rsidR="00077440" w:rsidRPr="00DB53C4" w:rsidRDefault="00077440" w:rsidP="001D3E52">
      <w:pPr>
        <w:spacing w:after="0"/>
        <w:ind w:left="284" w:hanging="284"/>
        <w:rPr>
          <w:szCs w:val="22"/>
        </w:rPr>
      </w:pPr>
      <w:r w:rsidRPr="00DB53C4">
        <w:rPr>
          <w:rFonts w:cs="Arial"/>
          <w:sz w:val="18"/>
          <w:szCs w:val="18"/>
          <w:vertAlign w:val="superscript"/>
        </w:rPr>
        <w:t>(2)</w:t>
      </w:r>
      <w:r w:rsidRPr="00DB53C4">
        <w:rPr>
          <w:rFonts w:cs="Arial"/>
          <w:sz w:val="18"/>
          <w:szCs w:val="18"/>
        </w:rPr>
        <w:t xml:space="preserve"> </w:t>
      </w:r>
      <w:r w:rsidR="001D3E52">
        <w:rPr>
          <w:rFonts w:cs="Arial"/>
          <w:sz w:val="18"/>
          <w:szCs w:val="18"/>
        </w:rPr>
        <w:tab/>
      </w:r>
      <w:r w:rsidRPr="00DB53C4">
        <w:rPr>
          <w:rFonts w:cs="Arial"/>
          <w:sz w:val="18"/>
          <w:szCs w:val="18"/>
        </w:rPr>
        <w:t>Vztaženo k finančnímu vyjádření kontrolovaného vzorku výzev</w:t>
      </w:r>
      <w:r w:rsidR="00181F8D">
        <w:rPr>
          <w:rFonts w:cs="Arial"/>
          <w:sz w:val="18"/>
          <w:szCs w:val="18"/>
        </w:rPr>
        <w:t>.</w:t>
      </w:r>
    </w:p>
    <w:p w:rsidR="000832C8" w:rsidRPr="00856F0A" w:rsidRDefault="00E078A1" w:rsidP="00391165">
      <w:pPr>
        <w:spacing w:after="0"/>
        <w:rPr>
          <w:sz w:val="18"/>
          <w:szCs w:val="18"/>
        </w:rPr>
      </w:pPr>
      <w:r w:rsidRPr="00856F0A">
        <w:rPr>
          <w:b/>
          <w:sz w:val="18"/>
          <w:szCs w:val="18"/>
        </w:rPr>
        <w:t>Pozn.:</w:t>
      </w:r>
      <w:r w:rsidRPr="00856F0A">
        <w:rPr>
          <w:sz w:val="18"/>
          <w:szCs w:val="18"/>
        </w:rPr>
        <w:t xml:space="preserve"> RS = rámcová smlouva.</w:t>
      </w:r>
    </w:p>
    <w:p w:rsidR="00E078A1" w:rsidRDefault="00E078A1" w:rsidP="00391165">
      <w:pPr>
        <w:spacing w:after="0"/>
      </w:pPr>
    </w:p>
    <w:p w:rsidR="006A745C" w:rsidRPr="00DB53C4" w:rsidRDefault="00F763ED" w:rsidP="00391165">
      <w:pPr>
        <w:spacing w:after="0"/>
        <w:rPr>
          <w:szCs w:val="22"/>
        </w:rPr>
      </w:pPr>
      <w:r w:rsidRPr="00DB53C4">
        <w:t xml:space="preserve">Z kontroly </w:t>
      </w:r>
      <w:r w:rsidR="008729A1" w:rsidRPr="00DB53C4">
        <w:t xml:space="preserve">výzev realizovaných na základě </w:t>
      </w:r>
      <w:r w:rsidR="00E078A1">
        <w:t>r</w:t>
      </w:r>
      <w:r w:rsidR="008729A1" w:rsidRPr="00DB53C4">
        <w:t xml:space="preserve">ámcové smlouvy, která byla uzavřena </w:t>
      </w:r>
      <w:r w:rsidR="003C3B6A" w:rsidRPr="00DB53C4">
        <w:t>na základě</w:t>
      </w:r>
      <w:r w:rsidR="008729A1" w:rsidRPr="00DB53C4">
        <w:t xml:space="preserve"> VZ </w:t>
      </w:r>
      <w:r w:rsidR="008729A1" w:rsidRPr="00DB53C4">
        <w:rPr>
          <w:rFonts w:cs="Arial"/>
          <w:i/>
          <w:color w:val="000000"/>
          <w:szCs w:val="22"/>
          <w:lang w:eastAsia="cs-CZ"/>
        </w:rPr>
        <w:t xml:space="preserve">Rámcová smlouva </w:t>
      </w:r>
      <w:r w:rsidR="00E078A1">
        <w:rPr>
          <w:rFonts w:cs="Arial"/>
          <w:i/>
          <w:color w:val="000000"/>
          <w:szCs w:val="22"/>
          <w:lang w:eastAsia="cs-CZ"/>
        </w:rPr>
        <w:t>–</w:t>
      </w:r>
      <w:r w:rsidR="008729A1" w:rsidRPr="00DB53C4">
        <w:rPr>
          <w:rFonts w:cs="Arial"/>
          <w:i/>
          <w:color w:val="000000"/>
          <w:szCs w:val="22"/>
          <w:lang w:eastAsia="cs-CZ"/>
        </w:rPr>
        <w:t xml:space="preserve"> Komunikační podpora značky Klasa na období 2012</w:t>
      </w:r>
      <w:r w:rsidR="00E078A1">
        <w:rPr>
          <w:rFonts w:cs="Arial"/>
          <w:i/>
          <w:color w:val="000000"/>
          <w:szCs w:val="22"/>
          <w:lang w:eastAsia="cs-CZ"/>
        </w:rPr>
        <w:t>–</w:t>
      </w:r>
      <w:r w:rsidR="008729A1" w:rsidRPr="00DB53C4">
        <w:rPr>
          <w:rFonts w:cs="Arial"/>
          <w:i/>
          <w:color w:val="000000"/>
          <w:szCs w:val="22"/>
          <w:lang w:eastAsia="cs-CZ"/>
        </w:rPr>
        <w:t>2013</w:t>
      </w:r>
      <w:r w:rsidR="008729A1" w:rsidRPr="00DB53C4">
        <w:rPr>
          <w:szCs w:val="22"/>
        </w:rPr>
        <w:t xml:space="preserve">, </w:t>
      </w:r>
      <w:r w:rsidRPr="00DB53C4">
        <w:rPr>
          <w:szCs w:val="22"/>
        </w:rPr>
        <w:t>NKÚ zjistil</w:t>
      </w:r>
      <w:r w:rsidR="00E078A1">
        <w:rPr>
          <w:szCs w:val="22"/>
        </w:rPr>
        <w:t xml:space="preserve"> tyto skutečnosti:</w:t>
      </w:r>
      <w:r w:rsidR="00D63F8E" w:rsidRPr="00DB53C4">
        <w:rPr>
          <w:rStyle w:val="Znakapoznpodarou"/>
          <w:szCs w:val="22"/>
        </w:rPr>
        <w:footnoteReference w:id="12"/>
      </w:r>
    </w:p>
    <w:p w:rsidR="00AB0B41" w:rsidRPr="00927A4B" w:rsidRDefault="0024250C" w:rsidP="00927A4B">
      <w:pPr>
        <w:pStyle w:val="Odstavecseseznamem"/>
        <w:numPr>
          <w:ilvl w:val="0"/>
          <w:numId w:val="13"/>
        </w:numPr>
        <w:spacing w:after="0"/>
        <w:ind w:left="425" w:hanging="425"/>
        <w:contextualSpacing w:val="0"/>
        <w:rPr>
          <w:szCs w:val="22"/>
        </w:rPr>
      </w:pPr>
      <w:r w:rsidRPr="00DB53C4">
        <w:rPr>
          <w:szCs w:val="22"/>
        </w:rPr>
        <w:t xml:space="preserve">SZIF </w:t>
      </w:r>
      <w:r>
        <w:rPr>
          <w:b/>
          <w:szCs w:val="22"/>
        </w:rPr>
        <w:t>s</w:t>
      </w:r>
      <w:r w:rsidR="006A745C" w:rsidRPr="00DB53C4">
        <w:rPr>
          <w:b/>
          <w:szCs w:val="22"/>
        </w:rPr>
        <w:t>chválil a uhradil plnění</w:t>
      </w:r>
      <w:r w:rsidR="006A745C" w:rsidRPr="00DB53C4">
        <w:rPr>
          <w:szCs w:val="22"/>
        </w:rPr>
        <w:t xml:space="preserve"> ve výši 38,3 mil. Kč, </w:t>
      </w:r>
      <w:r w:rsidR="006A745C" w:rsidRPr="00DB53C4">
        <w:rPr>
          <w:b/>
          <w:szCs w:val="22"/>
        </w:rPr>
        <w:t xml:space="preserve">jehož položky </w:t>
      </w:r>
      <w:r>
        <w:rPr>
          <w:b/>
          <w:szCs w:val="22"/>
        </w:rPr>
        <w:t>nebo ceny položek</w:t>
      </w:r>
      <w:r w:rsidR="006A745C" w:rsidRPr="00DB53C4">
        <w:rPr>
          <w:b/>
          <w:szCs w:val="22"/>
        </w:rPr>
        <w:t xml:space="preserve"> nebyly stanoveny na základě uzavřené </w:t>
      </w:r>
      <w:r>
        <w:rPr>
          <w:b/>
          <w:szCs w:val="22"/>
        </w:rPr>
        <w:t>r</w:t>
      </w:r>
      <w:r w:rsidR="006A745C" w:rsidRPr="00DB53C4">
        <w:rPr>
          <w:b/>
          <w:szCs w:val="22"/>
        </w:rPr>
        <w:t>ámcové smlouvy</w:t>
      </w:r>
      <w:r w:rsidR="006A745C" w:rsidRPr="00DB53C4">
        <w:rPr>
          <w:szCs w:val="22"/>
        </w:rPr>
        <w:t xml:space="preserve"> (dále také „RS“), resp. přílohy RS. SZIF do dílčích smluv uváděl položky za služby, které součástí R</w:t>
      </w:r>
      <w:r>
        <w:rPr>
          <w:szCs w:val="22"/>
        </w:rPr>
        <w:t>S</w:t>
      </w:r>
      <w:r w:rsidR="006A745C" w:rsidRPr="00DB53C4">
        <w:rPr>
          <w:szCs w:val="22"/>
        </w:rPr>
        <w:t xml:space="preserve"> nebyly nebo jejichž jednotkové ceny nebyly </w:t>
      </w:r>
      <w:r>
        <w:rPr>
          <w:szCs w:val="22"/>
        </w:rPr>
        <w:t>r</w:t>
      </w:r>
      <w:r w:rsidR="006A745C" w:rsidRPr="00DB53C4">
        <w:rPr>
          <w:szCs w:val="22"/>
        </w:rPr>
        <w:t xml:space="preserve">ámcovou smlouvou stanoveny. </w:t>
      </w:r>
      <w:r w:rsidR="00D021EF" w:rsidRPr="00DB53C4">
        <w:rPr>
          <w:szCs w:val="22"/>
        </w:rPr>
        <w:t>Takto v</w:t>
      </w:r>
      <w:r w:rsidR="00DA7042" w:rsidRPr="00DB53C4">
        <w:rPr>
          <w:szCs w:val="22"/>
        </w:rPr>
        <w:t xml:space="preserve">ynaložené peněžní </w:t>
      </w:r>
      <w:r w:rsidR="00DA7042" w:rsidRPr="00927A4B">
        <w:rPr>
          <w:szCs w:val="22"/>
        </w:rPr>
        <w:t xml:space="preserve">prostředky </w:t>
      </w:r>
      <w:r w:rsidR="00F763ED" w:rsidRPr="00927A4B">
        <w:rPr>
          <w:szCs w:val="22"/>
        </w:rPr>
        <w:t>jsou</w:t>
      </w:r>
      <w:r w:rsidR="00D0758D" w:rsidRPr="00927A4B">
        <w:rPr>
          <w:szCs w:val="22"/>
        </w:rPr>
        <w:t xml:space="preserve"> uveden</w:t>
      </w:r>
      <w:r w:rsidR="00F763ED" w:rsidRPr="00927A4B">
        <w:rPr>
          <w:szCs w:val="22"/>
        </w:rPr>
        <w:t>y</w:t>
      </w:r>
      <w:r w:rsidR="00077440" w:rsidRPr="00927A4B">
        <w:rPr>
          <w:szCs w:val="22"/>
        </w:rPr>
        <w:t xml:space="preserve"> výše v tabulce č. 5</w:t>
      </w:r>
      <w:r w:rsidR="00927A4B">
        <w:rPr>
          <w:szCs w:val="22"/>
        </w:rPr>
        <w:t xml:space="preserve">. </w:t>
      </w:r>
      <w:r w:rsidR="0033300C" w:rsidRPr="00927A4B">
        <w:rPr>
          <w:szCs w:val="22"/>
        </w:rPr>
        <w:t>SZIF</w:t>
      </w:r>
      <w:r w:rsidR="00DF0A1B" w:rsidRPr="00927A4B">
        <w:rPr>
          <w:szCs w:val="22"/>
        </w:rPr>
        <w:t xml:space="preserve"> </w:t>
      </w:r>
      <w:r w:rsidR="00F763ED" w:rsidRPr="00927A4B">
        <w:rPr>
          <w:szCs w:val="22"/>
        </w:rPr>
        <w:t xml:space="preserve">uhradil plnění </w:t>
      </w:r>
      <w:r w:rsidR="00033F4B" w:rsidRPr="00927A4B">
        <w:rPr>
          <w:szCs w:val="22"/>
        </w:rPr>
        <w:t>v rozporu s </w:t>
      </w:r>
      <w:r>
        <w:rPr>
          <w:szCs w:val="22"/>
        </w:rPr>
        <w:t>r</w:t>
      </w:r>
      <w:r w:rsidR="00F763ED" w:rsidRPr="00927A4B">
        <w:rPr>
          <w:szCs w:val="22"/>
        </w:rPr>
        <w:t>ámcovou</w:t>
      </w:r>
      <w:r w:rsidR="00033F4B" w:rsidRPr="00927A4B">
        <w:rPr>
          <w:szCs w:val="22"/>
        </w:rPr>
        <w:t xml:space="preserve"> smlouvou</w:t>
      </w:r>
      <w:r>
        <w:rPr>
          <w:szCs w:val="22"/>
        </w:rPr>
        <w:t>,</w:t>
      </w:r>
      <w:r w:rsidR="005777C4" w:rsidRPr="00927A4B">
        <w:rPr>
          <w:szCs w:val="22"/>
        </w:rPr>
        <w:t xml:space="preserve"> a provedl tak podstatnou změnu podmínek</w:t>
      </w:r>
      <w:r w:rsidR="00033F4B" w:rsidRPr="00927A4B">
        <w:rPr>
          <w:szCs w:val="22"/>
        </w:rPr>
        <w:t xml:space="preserve">. </w:t>
      </w:r>
    </w:p>
    <w:p w:rsidR="005C23C5" w:rsidRPr="00927A4B" w:rsidRDefault="0024250C" w:rsidP="00927A4B">
      <w:pPr>
        <w:pStyle w:val="Odstavecseseznamem"/>
        <w:numPr>
          <w:ilvl w:val="0"/>
          <w:numId w:val="13"/>
        </w:numPr>
        <w:spacing w:after="0"/>
        <w:ind w:left="426" w:hanging="425"/>
      </w:pPr>
      <w:r w:rsidRPr="00DB53C4">
        <w:rPr>
          <w:szCs w:val="22"/>
        </w:rPr>
        <w:t xml:space="preserve">SZIF </w:t>
      </w:r>
      <w:r>
        <w:t>n</w:t>
      </w:r>
      <w:r w:rsidR="006A745C" w:rsidRPr="00927A4B">
        <w:t>a základě</w:t>
      </w:r>
      <w:r w:rsidR="00D63F8E" w:rsidRPr="00927A4B">
        <w:t xml:space="preserve"> jedné výzvy</w:t>
      </w:r>
      <w:r w:rsidR="00D63F8E" w:rsidRPr="00DB53C4">
        <w:t xml:space="preserve">, za kterou uhradil celkem </w:t>
      </w:r>
      <w:r w:rsidR="00D63F8E" w:rsidRPr="00DB53C4">
        <w:rPr>
          <w:szCs w:val="22"/>
        </w:rPr>
        <w:t>přes 5 mil. Kč,</w:t>
      </w:r>
      <w:r w:rsidR="00D63F8E" w:rsidRPr="00DB53C4">
        <w:t xml:space="preserve"> </w:t>
      </w:r>
      <w:r w:rsidR="00D63F8E" w:rsidRPr="00DB53C4">
        <w:rPr>
          <w:b/>
        </w:rPr>
        <w:t xml:space="preserve">realizoval pět </w:t>
      </w:r>
      <w:r w:rsidR="006630DB" w:rsidRPr="00DB53C4">
        <w:rPr>
          <w:b/>
        </w:rPr>
        <w:t>akcí na</w:t>
      </w:r>
      <w:r>
        <w:rPr>
          <w:b/>
        </w:rPr>
        <w:t xml:space="preserve"> </w:t>
      </w:r>
      <w:r w:rsidR="005777C4" w:rsidRPr="00DB53C4">
        <w:rPr>
          <w:b/>
        </w:rPr>
        <w:t xml:space="preserve">podporu </w:t>
      </w:r>
      <w:r w:rsidR="00D63F8E" w:rsidRPr="00DB53C4">
        <w:rPr>
          <w:b/>
        </w:rPr>
        <w:t>roadshow. V</w:t>
      </w:r>
      <w:r w:rsidR="00DF0A1B" w:rsidRPr="00DB53C4">
        <w:rPr>
          <w:b/>
        </w:rPr>
        <w:t xml:space="preserve">e čtyřech </w:t>
      </w:r>
      <w:r w:rsidR="00D63F8E" w:rsidRPr="00DB53C4">
        <w:rPr>
          <w:b/>
        </w:rPr>
        <w:t>z těchto pěti případů</w:t>
      </w:r>
      <w:r w:rsidR="00DF0A1B" w:rsidRPr="00DB53C4">
        <w:rPr>
          <w:b/>
        </w:rPr>
        <w:t xml:space="preserve"> </w:t>
      </w:r>
      <w:r w:rsidRPr="00DB53C4">
        <w:rPr>
          <w:b/>
        </w:rPr>
        <w:t xml:space="preserve">proběhly </w:t>
      </w:r>
      <w:r>
        <w:rPr>
          <w:b/>
        </w:rPr>
        <w:t xml:space="preserve">zmíněné </w:t>
      </w:r>
      <w:r w:rsidR="00BA7990" w:rsidRPr="00DB53C4">
        <w:rPr>
          <w:b/>
        </w:rPr>
        <w:t xml:space="preserve">akce </w:t>
      </w:r>
      <w:r w:rsidR="0099083B" w:rsidRPr="00DB53C4">
        <w:rPr>
          <w:b/>
        </w:rPr>
        <w:t>před uzavřením dílčí smlouvy</w:t>
      </w:r>
      <w:r w:rsidR="0099083B" w:rsidRPr="00DB53C4">
        <w:t xml:space="preserve"> a j</w:t>
      </w:r>
      <w:r w:rsidR="00BA7990" w:rsidRPr="00DB53C4">
        <w:t>edna z</w:t>
      </w:r>
      <w:r w:rsidR="006470B6" w:rsidRPr="00DB53C4">
        <w:t> </w:t>
      </w:r>
      <w:r w:rsidR="0099083B" w:rsidRPr="00DB53C4">
        <w:t>nich</w:t>
      </w:r>
      <w:r w:rsidR="00BA7990" w:rsidRPr="00DB53C4">
        <w:t xml:space="preserve"> proběhla ještě před vyhlášením </w:t>
      </w:r>
      <w:r w:rsidR="0099083B" w:rsidRPr="00DB53C4">
        <w:t>samotné výzvy. A</w:t>
      </w:r>
      <w:r w:rsidR="006470B6" w:rsidRPr="00DB53C4">
        <w:t xml:space="preserve">gentura realizovala podporu roadshow na této </w:t>
      </w:r>
      <w:r w:rsidR="006470B6" w:rsidRPr="00927A4B">
        <w:t xml:space="preserve">akci, aniž by SZIF </w:t>
      </w:r>
      <w:r w:rsidR="0099083B" w:rsidRPr="00927A4B">
        <w:t xml:space="preserve">vyzval </w:t>
      </w:r>
      <w:r w:rsidR="006470B6" w:rsidRPr="00927A4B">
        <w:t>agenturu k plnění služeb, jak bylo definováno v </w:t>
      </w:r>
      <w:r>
        <w:t>r</w:t>
      </w:r>
      <w:r w:rsidR="006470B6" w:rsidRPr="00927A4B">
        <w:t xml:space="preserve">ámcové smlouvě. </w:t>
      </w:r>
    </w:p>
    <w:p w:rsidR="00D021EF" w:rsidRPr="00DB53C4" w:rsidRDefault="0024250C" w:rsidP="006C5297">
      <w:pPr>
        <w:pStyle w:val="Odstavecseseznamem"/>
        <w:numPr>
          <w:ilvl w:val="0"/>
          <w:numId w:val="13"/>
        </w:numPr>
        <w:spacing w:after="0"/>
        <w:ind w:left="426" w:hanging="426"/>
      </w:pPr>
      <w:r w:rsidRPr="00DB53C4">
        <w:rPr>
          <w:szCs w:val="22"/>
        </w:rPr>
        <w:t xml:space="preserve">SZIF </w:t>
      </w:r>
      <w:r>
        <w:rPr>
          <w:b/>
        </w:rPr>
        <w:t>u</w:t>
      </w:r>
      <w:r w:rsidR="00D021EF" w:rsidRPr="00DB53C4">
        <w:rPr>
          <w:b/>
        </w:rPr>
        <w:t xml:space="preserve">hradil </w:t>
      </w:r>
      <w:r w:rsidR="00D021EF" w:rsidRPr="00DB53C4">
        <w:t>v souvislosti s</w:t>
      </w:r>
      <w:r>
        <w:t> </w:t>
      </w:r>
      <w:r w:rsidR="00D021EF" w:rsidRPr="00DB53C4">
        <w:t>tře</w:t>
      </w:r>
      <w:r w:rsidR="00BE58A4" w:rsidRPr="00DB53C4">
        <w:t xml:space="preserve">mi výzvami 2 676 363 Kč </w:t>
      </w:r>
      <w:r w:rsidR="00D021EF" w:rsidRPr="00DB53C4">
        <w:t xml:space="preserve">za </w:t>
      </w:r>
      <w:r w:rsidR="00D021EF" w:rsidRPr="00DB53C4">
        <w:rPr>
          <w:b/>
        </w:rPr>
        <w:t xml:space="preserve">činnosti, které </w:t>
      </w:r>
      <w:r w:rsidR="00C74109" w:rsidRPr="00DB53C4">
        <w:rPr>
          <w:b/>
        </w:rPr>
        <w:t xml:space="preserve">probíhaly </w:t>
      </w:r>
      <w:r w:rsidR="00BE58A4" w:rsidRPr="00DB53C4">
        <w:rPr>
          <w:b/>
        </w:rPr>
        <w:t>před uzavřením dílčí smlouvy</w:t>
      </w:r>
      <w:r w:rsidR="00C74109" w:rsidRPr="00DB53C4">
        <w:rPr>
          <w:b/>
        </w:rPr>
        <w:t xml:space="preserve"> a po formálním předání díla předávacím protokolem</w:t>
      </w:r>
      <w:r w:rsidR="00BE58A4" w:rsidRPr="00856F0A">
        <w:rPr>
          <w:b/>
        </w:rPr>
        <w:t>.</w:t>
      </w:r>
      <w:r w:rsidR="00BE58A4" w:rsidRPr="00DB53C4">
        <w:t xml:space="preserve"> Dále SZIF uhradil 1 158 769 Kč za činnosti, které </w:t>
      </w:r>
      <w:r w:rsidR="000E0C1E" w:rsidRPr="00DB53C4">
        <w:t>neschválil. T</w:t>
      </w:r>
      <w:r w:rsidR="00BE58A4" w:rsidRPr="00DB53C4">
        <w:t xml:space="preserve">yto činnosti probíhaly před výzvou k podání nabídky a </w:t>
      </w:r>
      <w:r w:rsidR="00C74109" w:rsidRPr="00DB53C4">
        <w:t>také</w:t>
      </w:r>
      <w:r w:rsidR="00BE58A4" w:rsidRPr="00DB53C4">
        <w:t xml:space="preserve"> po vystavení faktury agenturou.</w:t>
      </w:r>
    </w:p>
    <w:p w:rsidR="00927A4B" w:rsidRPr="002035E1" w:rsidRDefault="00BE58A4" w:rsidP="00856F0A">
      <w:pPr>
        <w:pStyle w:val="Odstavecseseznamem"/>
        <w:numPr>
          <w:ilvl w:val="0"/>
          <w:numId w:val="10"/>
        </w:numPr>
        <w:spacing w:after="0"/>
        <w:ind w:left="709" w:hanging="284"/>
        <w:contextualSpacing w:val="0"/>
      </w:pPr>
      <w:r w:rsidRPr="00DB53C4">
        <w:t>Např. v souvislosti s nákup</w:t>
      </w:r>
      <w:r w:rsidR="003E707E">
        <w:t>em</w:t>
      </w:r>
      <w:r w:rsidRPr="00DB53C4">
        <w:t xml:space="preserve"> technických prostředků ke spotřebitelské soutěži na podporu značky </w:t>
      </w:r>
      <w:r w:rsidR="003E707E">
        <w:t>„</w:t>
      </w:r>
      <w:r w:rsidRPr="00DB53C4">
        <w:t>Klasa</w:t>
      </w:r>
      <w:r w:rsidR="003E707E">
        <w:t>“</w:t>
      </w:r>
      <w:r w:rsidRPr="00DB53C4">
        <w:t xml:space="preserve"> vyzval </w:t>
      </w:r>
      <w:r w:rsidR="003E707E" w:rsidRPr="00DB53C4">
        <w:t xml:space="preserve">SZIF </w:t>
      </w:r>
      <w:r w:rsidR="00437C93" w:rsidRPr="00DB53C4">
        <w:t>dne 2. 4. 2013</w:t>
      </w:r>
      <w:r w:rsidR="00437C93">
        <w:t xml:space="preserve"> </w:t>
      </w:r>
      <w:r w:rsidR="003E707E">
        <w:t xml:space="preserve">jednu </w:t>
      </w:r>
      <w:r w:rsidRPr="00DB53C4">
        <w:t xml:space="preserve">agenturu k podání nabídky. Dílčí smlouva byla uzavřena dne 22. 4. 2013 a dílo bylo předáno za čtyři dny od podpisu smlouvy, tzn. 26. 4. 2013. Agentura však ve výkazech pracovní činnosti vykazovala činnosti </w:t>
      </w:r>
      <w:r w:rsidR="00282AB2" w:rsidRPr="00DB53C4">
        <w:t xml:space="preserve">za 55 dní </w:t>
      </w:r>
      <w:r w:rsidRPr="00DB53C4">
        <w:t>od 20. 3. 2013 do 14. 5. 2013, tj. před</w:t>
      </w:r>
      <w:r w:rsidR="00282AB2" w:rsidRPr="00DB53C4">
        <w:t xml:space="preserve"> podáním výzvy a po vystavení </w:t>
      </w:r>
      <w:r w:rsidR="00282AB2" w:rsidRPr="002035E1">
        <w:t>faktury</w:t>
      </w:r>
      <w:r w:rsidRPr="002035E1">
        <w:t>.</w:t>
      </w:r>
      <w:r w:rsidR="00282AB2" w:rsidRPr="002035E1">
        <w:t xml:space="preserve"> Ačkoliv tyto činnosti tedy nemohl SZIF schválit, uhradil je v plné výši</w:t>
      </w:r>
      <w:r w:rsidR="003C3B6A" w:rsidRPr="002035E1">
        <w:t xml:space="preserve"> odpovídající </w:t>
      </w:r>
      <w:r w:rsidR="00282AB2" w:rsidRPr="002035E1">
        <w:t>497 836 Kč.</w:t>
      </w:r>
    </w:p>
    <w:p w:rsidR="000832C8" w:rsidRDefault="000832C8" w:rsidP="00856F0A">
      <w:pPr>
        <w:spacing w:after="0"/>
      </w:pPr>
    </w:p>
    <w:p w:rsidR="00927A4B" w:rsidRDefault="00927A4B" w:rsidP="00856F0A">
      <w:pPr>
        <w:spacing w:after="0"/>
        <w:rPr>
          <w:szCs w:val="22"/>
        </w:rPr>
      </w:pPr>
      <w:r w:rsidRPr="002035E1">
        <w:t xml:space="preserve">V případě uvedeném </w:t>
      </w:r>
      <w:r w:rsidR="003E707E">
        <w:t xml:space="preserve">v bodu </w:t>
      </w:r>
      <w:r w:rsidRPr="002035E1">
        <w:t xml:space="preserve">č. 1 </w:t>
      </w:r>
      <w:r w:rsidRPr="002035E1">
        <w:rPr>
          <w:rFonts w:cs="Arial"/>
        </w:rPr>
        <w:t>vyhodnotil NKÚ</w:t>
      </w:r>
      <w:r w:rsidR="00695407" w:rsidRPr="002035E1">
        <w:rPr>
          <w:rFonts w:cs="Arial"/>
        </w:rPr>
        <w:t xml:space="preserve"> </w:t>
      </w:r>
      <w:r w:rsidR="003E707E" w:rsidRPr="002035E1">
        <w:rPr>
          <w:rFonts w:cs="Arial"/>
        </w:rPr>
        <w:t xml:space="preserve">postup SZIF </w:t>
      </w:r>
      <w:r w:rsidR="00695407" w:rsidRPr="002035E1">
        <w:rPr>
          <w:rFonts w:cs="Arial"/>
        </w:rPr>
        <w:t>jako porušení rozpočtové kázně</w:t>
      </w:r>
      <w:r w:rsidRPr="002035E1">
        <w:rPr>
          <w:rFonts w:cs="Arial"/>
        </w:rPr>
        <w:t xml:space="preserve">. V případě uvedeném </w:t>
      </w:r>
      <w:r w:rsidR="003E707E">
        <w:rPr>
          <w:rFonts w:cs="Arial"/>
        </w:rPr>
        <w:t xml:space="preserve">v bodu </w:t>
      </w:r>
      <w:r w:rsidRPr="002035E1">
        <w:rPr>
          <w:rFonts w:cs="Arial"/>
        </w:rPr>
        <w:t xml:space="preserve">č. 2 </w:t>
      </w:r>
      <w:r w:rsidR="003E707E" w:rsidRPr="002035E1">
        <w:t>porušil</w:t>
      </w:r>
      <w:r w:rsidR="003E707E" w:rsidRPr="002035E1">
        <w:rPr>
          <w:szCs w:val="22"/>
        </w:rPr>
        <w:t xml:space="preserve"> </w:t>
      </w:r>
      <w:r w:rsidRPr="002035E1">
        <w:rPr>
          <w:rFonts w:cs="Arial"/>
        </w:rPr>
        <w:t xml:space="preserve">SZIF </w:t>
      </w:r>
      <w:r w:rsidRPr="002035E1">
        <w:rPr>
          <w:szCs w:val="22"/>
        </w:rPr>
        <w:t>zákon č. 137/2006 Sb.</w:t>
      </w:r>
    </w:p>
    <w:p w:rsidR="000832C8" w:rsidRPr="00DB53C4" w:rsidRDefault="000832C8" w:rsidP="00856F0A">
      <w:pPr>
        <w:spacing w:after="0"/>
      </w:pPr>
    </w:p>
    <w:p w:rsidR="00A10286" w:rsidRPr="00DB53C4" w:rsidRDefault="009B47A2" w:rsidP="00E72C88">
      <w:pPr>
        <w:pStyle w:val="Nadpis3"/>
        <w:spacing w:before="0" w:after="0"/>
        <w:ind w:left="567" w:hanging="567"/>
      </w:pPr>
      <w:r w:rsidRPr="00DB53C4">
        <w:t xml:space="preserve">Komunikační kampaně na </w:t>
      </w:r>
      <w:r w:rsidR="00BB4174" w:rsidRPr="00DB53C4">
        <w:t>podporu značky</w:t>
      </w:r>
      <w:r w:rsidR="00FB3D50" w:rsidRPr="00DB53C4">
        <w:t xml:space="preserve"> </w:t>
      </w:r>
      <w:r w:rsidR="00202190">
        <w:t>„v</w:t>
      </w:r>
      <w:r w:rsidR="00FB3D50" w:rsidRPr="00DB53C4">
        <w:t>ína z Moravy, vína z</w:t>
      </w:r>
      <w:r w:rsidR="00202190">
        <w:t> </w:t>
      </w:r>
      <w:r w:rsidR="00FB3D50" w:rsidRPr="00DB53C4">
        <w:t>Čech</w:t>
      </w:r>
      <w:r w:rsidR="00202190">
        <w:t>“</w:t>
      </w:r>
    </w:p>
    <w:p w:rsidR="000832C8" w:rsidRDefault="000832C8" w:rsidP="00E72C88">
      <w:pPr>
        <w:spacing w:after="0"/>
      </w:pPr>
    </w:p>
    <w:p w:rsidR="00A10286" w:rsidRDefault="004D572C" w:rsidP="00E72C88">
      <w:pPr>
        <w:spacing w:after="0"/>
      </w:pPr>
      <w:r w:rsidRPr="00DB53C4">
        <w:t xml:space="preserve">Vinařský fond realizoval komunikační kampaně na </w:t>
      </w:r>
      <w:r w:rsidR="00202190">
        <w:t xml:space="preserve">podporu </w:t>
      </w:r>
      <w:r w:rsidR="00BC5509" w:rsidRPr="00DB53C4">
        <w:t>značk</w:t>
      </w:r>
      <w:r w:rsidR="00202190">
        <w:t>y</w:t>
      </w:r>
      <w:r w:rsidR="00BC5509" w:rsidRPr="00DB53C4">
        <w:t xml:space="preserve"> </w:t>
      </w:r>
      <w:r w:rsidR="00202190">
        <w:t>„v</w:t>
      </w:r>
      <w:r w:rsidR="00BC5509" w:rsidRPr="00DB53C4">
        <w:t>ína z Moravy, vína z</w:t>
      </w:r>
      <w:r w:rsidR="00202190">
        <w:t> </w:t>
      </w:r>
      <w:r w:rsidR="00BC5509" w:rsidRPr="00DB53C4">
        <w:t>Čech</w:t>
      </w:r>
      <w:r w:rsidR="00202190">
        <w:t>“</w:t>
      </w:r>
      <w:r w:rsidR="00BC5509" w:rsidRPr="00DB53C4">
        <w:t xml:space="preserve"> </w:t>
      </w:r>
      <w:r w:rsidR="00FA346E" w:rsidRPr="00DB53C4">
        <w:t>na</w:t>
      </w:r>
      <w:r w:rsidR="00202190">
        <w:t xml:space="preserve"> </w:t>
      </w:r>
      <w:r w:rsidRPr="00DB53C4">
        <w:t>období let</w:t>
      </w:r>
      <w:r w:rsidR="00122216">
        <w:t xml:space="preserve"> 2006–</w:t>
      </w:r>
      <w:r w:rsidR="00BC5509" w:rsidRPr="00DB53C4">
        <w:t xml:space="preserve">2009 </w:t>
      </w:r>
      <w:r w:rsidRPr="00DB53C4">
        <w:t xml:space="preserve">prostřednictvím agentury, kterou </w:t>
      </w:r>
      <w:r w:rsidR="00A10286" w:rsidRPr="00DB53C4">
        <w:t xml:space="preserve">vybral </w:t>
      </w:r>
      <w:r w:rsidR="001012F9" w:rsidRPr="00DB53C4">
        <w:t>ze šesti přímo oslovených agentur</w:t>
      </w:r>
      <w:r w:rsidR="00A10286" w:rsidRPr="00DB53C4">
        <w:t xml:space="preserve">. </w:t>
      </w:r>
      <w:r w:rsidR="006A745C" w:rsidRPr="00DB53C4">
        <w:t xml:space="preserve">VF </w:t>
      </w:r>
      <w:r w:rsidR="00202190" w:rsidRPr="00DB53C4">
        <w:t>uzavřel s</w:t>
      </w:r>
      <w:r w:rsidR="00202190">
        <w:t xml:space="preserve"> vybranou </w:t>
      </w:r>
      <w:r w:rsidR="00202190" w:rsidRPr="00DB53C4">
        <w:t>agenturou dne 10. 5. 2006</w:t>
      </w:r>
      <w:r w:rsidR="00202190">
        <w:t xml:space="preserve"> s</w:t>
      </w:r>
      <w:r w:rsidR="00A10286" w:rsidRPr="00DB53C4">
        <w:t xml:space="preserve">mlouvu o reklamním servisu. </w:t>
      </w:r>
      <w:r w:rsidR="00A10286" w:rsidRPr="00DB53C4">
        <w:lastRenderedPageBreak/>
        <w:t>Účinnost smlouvy byla</w:t>
      </w:r>
      <w:r w:rsidR="00395B4F" w:rsidRPr="00DB53C4">
        <w:t xml:space="preserve"> dodatky</w:t>
      </w:r>
      <w:r w:rsidR="00A10286" w:rsidRPr="00DB53C4">
        <w:t xml:space="preserve"> prodloužena </w:t>
      </w:r>
      <w:r w:rsidR="000E0C1E" w:rsidRPr="00DB53C4">
        <w:t xml:space="preserve">až </w:t>
      </w:r>
      <w:r w:rsidR="00A10286" w:rsidRPr="00DB53C4">
        <w:t>do 31. 12. 2008. Komunikačn</w:t>
      </w:r>
      <w:r w:rsidR="0042035E" w:rsidRPr="00DB53C4">
        <w:t xml:space="preserve">í kampaň na rok 2009 realizoval Vinařský fond prostřednictvím stejné agentury, aniž by </w:t>
      </w:r>
      <w:r w:rsidR="001012F9" w:rsidRPr="00DB53C4">
        <w:t xml:space="preserve">však </w:t>
      </w:r>
      <w:r w:rsidR="0042035E" w:rsidRPr="00DB53C4">
        <w:t>s agenturou uzavřel písemnou smlouvu.</w:t>
      </w:r>
      <w:r w:rsidR="002059D5" w:rsidRPr="00DB53C4">
        <w:t xml:space="preserve"> Celková výše peněžních prostředků vynaložených na komunikační kampaně </w:t>
      </w:r>
      <w:r w:rsidR="00202190">
        <w:t>pro</w:t>
      </w:r>
      <w:r w:rsidR="002059D5" w:rsidRPr="00DB53C4">
        <w:t xml:space="preserve"> značku </w:t>
      </w:r>
      <w:r w:rsidR="00202190">
        <w:t>„v</w:t>
      </w:r>
      <w:r w:rsidR="002059D5" w:rsidRPr="00DB53C4">
        <w:t>ína z Moravy, v</w:t>
      </w:r>
      <w:r w:rsidR="00122216">
        <w:t>ína z</w:t>
      </w:r>
      <w:r w:rsidR="00202190">
        <w:t> </w:t>
      </w:r>
      <w:r w:rsidR="00122216">
        <w:t>Čech</w:t>
      </w:r>
      <w:r w:rsidR="00202190">
        <w:t>“</w:t>
      </w:r>
      <w:r w:rsidR="00122216">
        <w:t xml:space="preserve"> na období let 2006–</w:t>
      </w:r>
      <w:r w:rsidR="002059D5" w:rsidRPr="00DB53C4">
        <w:t xml:space="preserve">2009 činila </w:t>
      </w:r>
      <w:r w:rsidR="002059D5" w:rsidRPr="00DB53C4">
        <w:rPr>
          <w:b/>
        </w:rPr>
        <w:t>197 </w:t>
      </w:r>
      <w:r w:rsidR="00970A00" w:rsidRPr="00DB53C4">
        <w:rPr>
          <w:b/>
        </w:rPr>
        <w:t>981</w:t>
      </w:r>
      <w:r w:rsidR="00662141" w:rsidRPr="00DB53C4">
        <w:rPr>
          <w:b/>
        </w:rPr>
        <w:t> </w:t>
      </w:r>
      <w:r w:rsidR="00970A00" w:rsidRPr="00DB53C4">
        <w:rPr>
          <w:b/>
        </w:rPr>
        <w:t>778</w:t>
      </w:r>
      <w:r w:rsidR="00662141" w:rsidRPr="00DB53C4">
        <w:rPr>
          <w:b/>
        </w:rPr>
        <w:t> </w:t>
      </w:r>
      <w:r w:rsidR="002059D5" w:rsidRPr="00DB53C4">
        <w:rPr>
          <w:b/>
        </w:rPr>
        <w:t>Kč</w:t>
      </w:r>
      <w:r w:rsidR="00813F21" w:rsidRPr="00E72C88">
        <w:rPr>
          <w:b/>
        </w:rPr>
        <w:t>.</w:t>
      </w:r>
      <w:r w:rsidR="00813F21" w:rsidRPr="00DB53C4">
        <w:t xml:space="preserve"> Z</w:t>
      </w:r>
      <w:r w:rsidR="006A745C" w:rsidRPr="00DB53C4">
        <w:t xml:space="preserve"> toho </w:t>
      </w:r>
      <w:r w:rsidR="00813F21" w:rsidRPr="00DB53C4">
        <w:t xml:space="preserve">VF vynaložil </w:t>
      </w:r>
      <w:r w:rsidR="006A745C" w:rsidRPr="00DB53C4">
        <w:rPr>
          <w:b/>
        </w:rPr>
        <w:t xml:space="preserve">42 711 590 Kč bez </w:t>
      </w:r>
      <w:r w:rsidR="00EC14C7" w:rsidRPr="00DB53C4">
        <w:rPr>
          <w:b/>
        </w:rPr>
        <w:t xml:space="preserve">uzavřených </w:t>
      </w:r>
      <w:r w:rsidR="000517DA" w:rsidRPr="00DB53C4">
        <w:rPr>
          <w:b/>
        </w:rPr>
        <w:t xml:space="preserve">písemných </w:t>
      </w:r>
      <w:r w:rsidR="00EC14C7" w:rsidRPr="00DB53C4">
        <w:rPr>
          <w:b/>
        </w:rPr>
        <w:t>smluv</w:t>
      </w:r>
      <w:r w:rsidR="006A745C" w:rsidRPr="00E72C88">
        <w:rPr>
          <w:b/>
        </w:rPr>
        <w:t>.</w:t>
      </w:r>
    </w:p>
    <w:p w:rsidR="000832C8" w:rsidRPr="00DB53C4" w:rsidRDefault="000832C8" w:rsidP="00E72C88">
      <w:pPr>
        <w:spacing w:after="0"/>
      </w:pPr>
    </w:p>
    <w:p w:rsidR="00082B87" w:rsidRDefault="00082B87" w:rsidP="00E72C88">
      <w:pPr>
        <w:spacing w:after="0"/>
      </w:pPr>
      <w:r w:rsidRPr="00DB53C4">
        <w:t xml:space="preserve">Vinařský fond při realizaci komunikační kampaně na </w:t>
      </w:r>
      <w:r w:rsidR="00302678">
        <w:t xml:space="preserve">podporu </w:t>
      </w:r>
      <w:r w:rsidRPr="00DB53C4">
        <w:t>značk</w:t>
      </w:r>
      <w:r w:rsidR="00302678">
        <w:t>y</w:t>
      </w:r>
      <w:r w:rsidR="0023207A" w:rsidRPr="00DB53C4">
        <w:t xml:space="preserve"> </w:t>
      </w:r>
      <w:r w:rsidR="00302678">
        <w:t>„v</w:t>
      </w:r>
      <w:r w:rsidR="0023207A" w:rsidRPr="00DB53C4">
        <w:t>ína z Moravy, vína z</w:t>
      </w:r>
      <w:r w:rsidR="00302678">
        <w:t> </w:t>
      </w:r>
      <w:r w:rsidR="0023207A" w:rsidRPr="00DB53C4">
        <w:t>Čech</w:t>
      </w:r>
      <w:r w:rsidR="00302678">
        <w:t>“</w:t>
      </w:r>
      <w:r w:rsidR="0023207A" w:rsidRPr="00DB53C4">
        <w:t xml:space="preserve"> na</w:t>
      </w:r>
      <w:r w:rsidR="00302678">
        <w:t xml:space="preserve"> </w:t>
      </w:r>
      <w:r w:rsidR="00122216">
        <w:t>období let 2006–</w:t>
      </w:r>
      <w:r w:rsidRPr="00DB53C4">
        <w:t xml:space="preserve">2009 nepostupoval podle zákona </w:t>
      </w:r>
      <w:r w:rsidRPr="00DB53C4">
        <w:rPr>
          <w:bCs/>
        </w:rPr>
        <w:t>č. 40/2004 Sb.</w:t>
      </w:r>
      <w:r w:rsidRPr="00DB53C4">
        <w:rPr>
          <w:rStyle w:val="Znakapoznpodarou"/>
          <w:bCs/>
        </w:rPr>
        <w:footnoteReference w:id="13"/>
      </w:r>
      <w:r w:rsidRPr="00DB53C4">
        <w:rPr>
          <w:bCs/>
        </w:rPr>
        <w:t xml:space="preserve"> </w:t>
      </w:r>
      <w:r w:rsidRPr="00DB53C4">
        <w:t>a</w:t>
      </w:r>
      <w:r w:rsidR="00302678">
        <w:t>ni podle</w:t>
      </w:r>
      <w:r w:rsidRPr="00DB53C4">
        <w:t xml:space="preserve"> zák</w:t>
      </w:r>
      <w:r w:rsidR="005E3328" w:rsidRPr="00DB53C4">
        <w:t>ona č.</w:t>
      </w:r>
      <w:r w:rsidR="00302678">
        <w:t> </w:t>
      </w:r>
      <w:r w:rsidR="005E3328" w:rsidRPr="00DB53C4">
        <w:t>137/2006 Sb. VF zastává</w:t>
      </w:r>
      <w:r w:rsidRPr="00DB53C4">
        <w:t xml:space="preserve"> stanovisko, že není veř</w:t>
      </w:r>
      <w:r w:rsidR="005E3328" w:rsidRPr="00DB53C4">
        <w:t>ejným zadavatelem, protože není</w:t>
      </w:r>
      <w:r w:rsidRPr="00DB53C4">
        <w:t xml:space="preserve"> zřízen za účelem veřejného zájmu. Z činností VF definovaných v zákoně č. 321/2</w:t>
      </w:r>
      <w:r w:rsidR="00FA346E" w:rsidRPr="00DB53C4">
        <w:t>004 Sb. jednoznačně vyplývá, že</w:t>
      </w:r>
      <w:r w:rsidR="00302678">
        <w:t xml:space="preserve"> </w:t>
      </w:r>
      <w:r w:rsidR="00302678" w:rsidRPr="00DB53C4">
        <w:t xml:space="preserve">VF </w:t>
      </w:r>
      <w:r w:rsidR="005E3328" w:rsidRPr="00DB53C4">
        <w:t xml:space="preserve">je </w:t>
      </w:r>
      <w:r w:rsidRPr="00DB53C4">
        <w:t>zřízen za účelem uspokoj</w:t>
      </w:r>
      <w:r w:rsidR="005E3328" w:rsidRPr="00DB53C4">
        <w:t>ování potřeb veřejného zájmu</w:t>
      </w:r>
      <w:r w:rsidR="00302678">
        <w:t>, v důsledku čehož m</w:t>
      </w:r>
      <w:r w:rsidR="005A3210">
        <w:t>ěl</w:t>
      </w:r>
      <w:r w:rsidRPr="00DB53C4">
        <w:t xml:space="preserve"> povinnost jako veřejný zadavatel postupovat podle obou zákonů o veřejných zakázkách.</w:t>
      </w:r>
    </w:p>
    <w:p w:rsidR="000832C8" w:rsidRPr="00DB53C4" w:rsidRDefault="000832C8" w:rsidP="00E72C88">
      <w:pPr>
        <w:spacing w:after="0"/>
      </w:pPr>
    </w:p>
    <w:p w:rsidR="006A0FA8" w:rsidRDefault="006A0FA8" w:rsidP="00E72C88">
      <w:pPr>
        <w:spacing w:after="0"/>
        <w:rPr>
          <w:rFonts w:cs="Arial"/>
          <w:szCs w:val="22"/>
        </w:rPr>
      </w:pPr>
      <w:r w:rsidRPr="00DB53C4">
        <w:rPr>
          <w:rFonts w:cs="Arial"/>
          <w:szCs w:val="22"/>
        </w:rPr>
        <w:t xml:space="preserve">NKÚ skutečnost, </w:t>
      </w:r>
      <w:r w:rsidR="00302678">
        <w:rPr>
          <w:rFonts w:cs="Arial"/>
          <w:szCs w:val="22"/>
        </w:rPr>
        <w:t>že</w:t>
      </w:r>
      <w:r w:rsidRPr="00DB53C4">
        <w:rPr>
          <w:rFonts w:cs="Arial"/>
          <w:szCs w:val="22"/>
        </w:rPr>
        <w:t xml:space="preserve"> VF jako veřejný zadavatel nepostupoval podle zákona č. 40/2004 Sb. a</w:t>
      </w:r>
      <w:r w:rsidR="001E44AD">
        <w:rPr>
          <w:rFonts w:cs="Arial"/>
          <w:szCs w:val="22"/>
        </w:rPr>
        <w:t> </w:t>
      </w:r>
      <w:r w:rsidRPr="00DB53C4">
        <w:rPr>
          <w:rFonts w:cs="Arial"/>
          <w:szCs w:val="22"/>
        </w:rPr>
        <w:t xml:space="preserve">zákona č. 137/2006 Sb., vyhodnotil jako porušení rozpočtové kázně, neboť tím VF </w:t>
      </w:r>
      <w:r w:rsidRPr="00DB53C4">
        <w:rPr>
          <w:rFonts w:cs="Arial"/>
          <w:noProof/>
          <w:szCs w:val="22"/>
        </w:rPr>
        <w:t>neoprávněně použil peněžní prostředky poskytnuté ze státního rozpočtu</w:t>
      </w:r>
      <w:r w:rsidRPr="00DB53C4">
        <w:rPr>
          <w:rFonts w:cs="Arial"/>
          <w:szCs w:val="22"/>
        </w:rPr>
        <w:t>.</w:t>
      </w:r>
    </w:p>
    <w:p w:rsidR="000832C8" w:rsidRPr="00DB53C4" w:rsidRDefault="000832C8" w:rsidP="00E72C88">
      <w:pPr>
        <w:spacing w:after="0"/>
        <w:rPr>
          <w:rFonts w:cs="Arial"/>
          <w:szCs w:val="22"/>
        </w:rPr>
      </w:pPr>
    </w:p>
    <w:p w:rsidR="00294F15" w:rsidRDefault="007D28AF" w:rsidP="00E72C88">
      <w:pPr>
        <w:spacing w:after="0"/>
      </w:pPr>
      <w:r w:rsidRPr="00DB53C4">
        <w:t>V souvislosti s realizací</w:t>
      </w:r>
      <w:r w:rsidR="002059D5" w:rsidRPr="00DB53C4">
        <w:t xml:space="preserve"> komunikační</w:t>
      </w:r>
      <w:r w:rsidR="00125693" w:rsidRPr="00DB53C4">
        <w:t>ch</w:t>
      </w:r>
      <w:r w:rsidR="002059D5" w:rsidRPr="00DB53C4">
        <w:t xml:space="preserve"> kamp</w:t>
      </w:r>
      <w:r w:rsidR="00252CA1" w:rsidRPr="00DB53C4">
        <w:t>a</w:t>
      </w:r>
      <w:r w:rsidR="00125693" w:rsidRPr="00DB53C4">
        <w:t>ní na</w:t>
      </w:r>
      <w:r w:rsidR="00252CA1" w:rsidRPr="00DB53C4">
        <w:t xml:space="preserve"> </w:t>
      </w:r>
      <w:r w:rsidR="00302678">
        <w:t xml:space="preserve">podporu </w:t>
      </w:r>
      <w:r w:rsidR="00252CA1" w:rsidRPr="00DB53C4">
        <w:t>značk</w:t>
      </w:r>
      <w:r w:rsidR="00302678">
        <w:t>y</w:t>
      </w:r>
      <w:r w:rsidR="00252CA1" w:rsidRPr="00DB53C4">
        <w:t xml:space="preserve"> </w:t>
      </w:r>
      <w:r w:rsidR="00302678">
        <w:t>„v</w:t>
      </w:r>
      <w:r w:rsidR="00252CA1" w:rsidRPr="00DB53C4">
        <w:t>ína z Moravy, vína z</w:t>
      </w:r>
      <w:r w:rsidR="00302678">
        <w:t> </w:t>
      </w:r>
      <w:r w:rsidR="00252CA1" w:rsidRPr="00DB53C4">
        <w:t>Č</w:t>
      </w:r>
      <w:r w:rsidR="00FA346E" w:rsidRPr="00DB53C4">
        <w:t>ech</w:t>
      </w:r>
      <w:r w:rsidR="00302678">
        <w:t>“</w:t>
      </w:r>
      <w:r w:rsidR="00FA346E" w:rsidRPr="00DB53C4">
        <w:t xml:space="preserve"> na</w:t>
      </w:r>
      <w:r w:rsidR="008E45FD">
        <w:t xml:space="preserve"> </w:t>
      </w:r>
      <w:r w:rsidR="00C154FA">
        <w:t>období let 2010–2012 a 2013–</w:t>
      </w:r>
      <w:r w:rsidR="002059D5" w:rsidRPr="00DB53C4">
        <w:t xml:space="preserve">2015 </w:t>
      </w:r>
      <w:r w:rsidR="00252CA1" w:rsidRPr="00DB53C4">
        <w:t xml:space="preserve">zadal VF </w:t>
      </w:r>
      <w:r w:rsidR="002059D5" w:rsidRPr="00DB53C4">
        <w:t xml:space="preserve">dvě </w:t>
      </w:r>
      <w:r w:rsidR="00252CA1" w:rsidRPr="00DB53C4">
        <w:t xml:space="preserve">veřejné zakázky </w:t>
      </w:r>
      <w:r w:rsidR="003A46FD" w:rsidRPr="00DB53C4">
        <w:t>p</w:t>
      </w:r>
      <w:r w:rsidR="00122216">
        <w:t>rostřednictvím soutěže o</w:t>
      </w:r>
      <w:r w:rsidR="008E45FD">
        <w:t xml:space="preserve"> </w:t>
      </w:r>
      <w:r w:rsidRPr="00DB53C4">
        <w:t>návrh s</w:t>
      </w:r>
      <w:r w:rsidR="003A46FD" w:rsidRPr="00DB53C4">
        <w:t xml:space="preserve"> následným </w:t>
      </w:r>
      <w:r w:rsidR="0039120D" w:rsidRPr="00DB53C4">
        <w:t>JŘBU</w:t>
      </w:r>
      <w:r w:rsidR="00252CA1" w:rsidRPr="00DB53C4">
        <w:t>.</w:t>
      </w:r>
      <w:r w:rsidR="008F7899" w:rsidRPr="00DB53C4">
        <w:t xml:space="preserve"> </w:t>
      </w:r>
    </w:p>
    <w:p w:rsidR="000832C8" w:rsidRPr="00DB53C4" w:rsidRDefault="000832C8" w:rsidP="00E72C88">
      <w:pPr>
        <w:spacing w:after="0"/>
      </w:pPr>
    </w:p>
    <w:p w:rsidR="007D28AF" w:rsidRPr="00DB53C4" w:rsidRDefault="00D0758D" w:rsidP="00E72C88">
      <w:pPr>
        <w:spacing w:after="0"/>
        <w:ind w:left="1531" w:hanging="1531"/>
        <w:jc w:val="left"/>
        <w:rPr>
          <w:b/>
        </w:rPr>
      </w:pPr>
      <w:r w:rsidRPr="00DB53C4">
        <w:rPr>
          <w:b/>
          <w:szCs w:val="22"/>
        </w:rPr>
        <w:t xml:space="preserve">Tabulka č. </w:t>
      </w:r>
      <w:r w:rsidR="00302678">
        <w:rPr>
          <w:b/>
          <w:szCs w:val="22"/>
        </w:rPr>
        <w:t>6</w:t>
      </w:r>
      <w:r w:rsidR="007D28AF" w:rsidRPr="00DB53C4">
        <w:rPr>
          <w:b/>
          <w:szCs w:val="22"/>
        </w:rPr>
        <w:t xml:space="preserve"> – Veřejné zakázky zadané v souvislosti s </w:t>
      </w:r>
      <w:r w:rsidR="007D28AF" w:rsidRPr="00DB53C4">
        <w:rPr>
          <w:b/>
        </w:rPr>
        <w:t>komunikačními kampaně</w:t>
      </w:r>
      <w:r w:rsidR="004400FB" w:rsidRPr="00DB53C4">
        <w:rPr>
          <w:b/>
        </w:rPr>
        <w:t>mi na</w:t>
      </w:r>
      <w:r w:rsidR="00302678">
        <w:rPr>
          <w:b/>
        </w:rPr>
        <w:t xml:space="preserve"> podporu </w:t>
      </w:r>
      <w:r w:rsidR="007D28AF" w:rsidRPr="00DB53C4">
        <w:rPr>
          <w:b/>
        </w:rPr>
        <w:t>značk</w:t>
      </w:r>
      <w:r w:rsidR="00302678">
        <w:rPr>
          <w:b/>
        </w:rPr>
        <w:t>y</w:t>
      </w:r>
      <w:r w:rsidR="007D28AF" w:rsidRPr="00DB53C4">
        <w:rPr>
          <w:b/>
        </w:rPr>
        <w:t xml:space="preserve"> </w:t>
      </w:r>
      <w:r w:rsidR="00302678">
        <w:rPr>
          <w:b/>
        </w:rPr>
        <w:t>„v</w:t>
      </w:r>
      <w:r w:rsidR="007D28AF" w:rsidRPr="00DB53C4">
        <w:rPr>
          <w:b/>
        </w:rPr>
        <w:t>ína z Moravy, vína z</w:t>
      </w:r>
      <w:r w:rsidR="00302678">
        <w:rPr>
          <w:b/>
        </w:rPr>
        <w:t> </w:t>
      </w:r>
      <w:r w:rsidR="007D28AF" w:rsidRPr="00DB53C4">
        <w:rPr>
          <w:b/>
        </w:rPr>
        <w:t>Čech</w:t>
      </w:r>
      <w:r w:rsidR="00302678">
        <w:rPr>
          <w:b/>
        </w:rPr>
        <w:t>“</w:t>
      </w:r>
      <w:r w:rsidR="007D28AF" w:rsidRPr="00DB53C4">
        <w:rPr>
          <w:b/>
        </w:rPr>
        <w:t xml:space="preserve"> v letech 2010</w:t>
      </w:r>
      <w:r w:rsidR="00C154FA">
        <w:rPr>
          <w:b/>
        </w:rPr>
        <w:t>–</w:t>
      </w:r>
      <w:r w:rsidR="007D28AF" w:rsidRPr="00DB53C4">
        <w:rPr>
          <w:b/>
        </w:rPr>
        <w:t>2015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6662"/>
        <w:gridCol w:w="1560"/>
      </w:tblGrid>
      <w:tr w:rsidR="007D28AF" w:rsidRPr="00DB53C4" w:rsidTr="007D28AF">
        <w:trPr>
          <w:trHeight w:val="2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AF" w:rsidRPr="00DB53C4" w:rsidRDefault="007D28AF" w:rsidP="007D28A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AF" w:rsidRPr="00DB53C4" w:rsidRDefault="007D28AF" w:rsidP="007D28A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Veřejná zakázka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7E4" w:rsidRDefault="007D28AF" w:rsidP="001012F9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Výše plnění</w:t>
            </w:r>
          </w:p>
          <w:p w:rsidR="007D28AF" w:rsidRPr="00DB53C4" w:rsidRDefault="007D28AF" w:rsidP="001012F9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(v Kč vč. DPH)</w:t>
            </w:r>
          </w:p>
        </w:tc>
      </w:tr>
      <w:tr w:rsidR="007D28AF" w:rsidRPr="00DB53C4" w:rsidTr="007D28AF">
        <w:trPr>
          <w:trHeight w:val="1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AF" w:rsidRPr="00DB53C4" w:rsidRDefault="007D28AF" w:rsidP="00C725D0">
            <w:pPr>
              <w:spacing w:after="0"/>
              <w:jc w:val="left"/>
              <w:rPr>
                <w:sz w:val="20"/>
                <w:szCs w:val="20"/>
              </w:rPr>
            </w:pPr>
            <w:r w:rsidRPr="00DB53C4">
              <w:rPr>
                <w:sz w:val="20"/>
                <w:szCs w:val="20"/>
              </w:rPr>
              <w:t>2010</w:t>
            </w:r>
            <w:r w:rsidR="00C725D0">
              <w:rPr>
                <w:sz w:val="20"/>
                <w:szCs w:val="20"/>
              </w:rPr>
              <w:t>–</w:t>
            </w:r>
            <w:r w:rsidRPr="00DB53C4">
              <w:rPr>
                <w:sz w:val="20"/>
                <w:szCs w:val="20"/>
              </w:rPr>
              <w:t>2012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AF" w:rsidRPr="00E72C88" w:rsidRDefault="007D28AF" w:rsidP="007D28AF">
            <w:pPr>
              <w:spacing w:after="0"/>
              <w:jc w:val="left"/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</w:pPr>
            <w:r w:rsidRPr="00E72C88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Komunikační strategie pro značku Vína z Moravy, vína z Čech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AF" w:rsidRPr="00DB53C4" w:rsidRDefault="007D28AF" w:rsidP="00E72C88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113 125 210</w:t>
            </w:r>
          </w:p>
        </w:tc>
      </w:tr>
      <w:tr w:rsidR="007D28AF" w:rsidRPr="00DB53C4" w:rsidTr="007D28AF">
        <w:trPr>
          <w:trHeight w:val="1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AF" w:rsidRPr="00DB53C4" w:rsidRDefault="007D28AF" w:rsidP="00C725D0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2013</w:t>
            </w:r>
            <w:r w:rsidR="00C725D0"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AF" w:rsidRPr="00E72C88" w:rsidRDefault="007D28AF" w:rsidP="007D28AF">
            <w:pPr>
              <w:spacing w:after="0"/>
              <w:jc w:val="left"/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</w:pPr>
            <w:r w:rsidRPr="00E72C88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 xml:space="preserve">Komunikační strategie pro značku Vína z Moravy, vína z </w:t>
            </w:r>
            <w:proofErr w:type="gramStart"/>
            <w:r w:rsidRPr="00E72C88">
              <w:rPr>
                <w:rFonts w:cs="Arial"/>
                <w:i/>
                <w:color w:val="000000"/>
                <w:sz w:val="20"/>
                <w:szCs w:val="20"/>
                <w:lang w:eastAsia="cs-CZ"/>
              </w:rPr>
              <w:t>Čech</w:t>
            </w:r>
            <w:r w:rsidR="001012F9" w:rsidRPr="00302678">
              <w:rPr>
                <w:rFonts w:cs="Arial"/>
                <w:sz w:val="18"/>
                <w:szCs w:val="18"/>
                <w:vertAlign w:val="superscript"/>
              </w:rPr>
              <w:t>(1)</w:t>
            </w:r>
            <w:proofErr w:type="gramEnd"/>
            <w:r w:rsidR="001012F9" w:rsidRPr="00E72C88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AF" w:rsidRPr="00DB53C4" w:rsidRDefault="007D28AF" w:rsidP="00E72C88">
            <w:pPr>
              <w:spacing w:after="0"/>
              <w:ind w:right="57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B53C4">
              <w:rPr>
                <w:rFonts w:cs="Arial"/>
                <w:color w:val="000000"/>
                <w:sz w:val="20"/>
                <w:szCs w:val="20"/>
                <w:lang w:eastAsia="cs-CZ"/>
              </w:rPr>
              <w:t>30 542 808</w:t>
            </w:r>
          </w:p>
        </w:tc>
      </w:tr>
    </w:tbl>
    <w:p w:rsidR="007D28AF" w:rsidRPr="00B608B6" w:rsidRDefault="007D28AF" w:rsidP="00FC293C">
      <w:pPr>
        <w:spacing w:after="0"/>
        <w:rPr>
          <w:rFonts w:cs="Arial"/>
          <w:sz w:val="18"/>
          <w:szCs w:val="18"/>
        </w:rPr>
      </w:pPr>
      <w:r w:rsidRPr="00C154FA">
        <w:rPr>
          <w:b/>
          <w:sz w:val="18"/>
          <w:szCs w:val="18"/>
        </w:rPr>
        <w:t>Zdroj:</w:t>
      </w:r>
      <w:r w:rsidRPr="00B608B6">
        <w:rPr>
          <w:rFonts w:cs="Arial"/>
          <w:sz w:val="18"/>
          <w:szCs w:val="18"/>
        </w:rPr>
        <w:t xml:space="preserve"> </w:t>
      </w:r>
      <w:r w:rsidR="00302678">
        <w:rPr>
          <w:rFonts w:cs="Arial"/>
          <w:sz w:val="18"/>
          <w:szCs w:val="18"/>
        </w:rPr>
        <w:t>i</w:t>
      </w:r>
      <w:r w:rsidRPr="00B608B6">
        <w:rPr>
          <w:rFonts w:cs="Arial"/>
          <w:sz w:val="18"/>
          <w:szCs w:val="18"/>
        </w:rPr>
        <w:t xml:space="preserve">nformace a doklady </w:t>
      </w:r>
      <w:r w:rsidR="001B3266">
        <w:rPr>
          <w:rFonts w:cs="Arial"/>
          <w:sz w:val="18"/>
          <w:szCs w:val="18"/>
        </w:rPr>
        <w:t xml:space="preserve">od </w:t>
      </w:r>
      <w:r w:rsidRPr="00B608B6">
        <w:rPr>
          <w:rFonts w:cs="Arial"/>
          <w:sz w:val="18"/>
          <w:szCs w:val="18"/>
        </w:rPr>
        <w:t>VF</w:t>
      </w:r>
      <w:r w:rsidR="00C154FA">
        <w:rPr>
          <w:rFonts w:cs="Arial"/>
          <w:sz w:val="18"/>
          <w:szCs w:val="18"/>
        </w:rPr>
        <w:t>.</w:t>
      </w:r>
    </w:p>
    <w:p w:rsidR="001012F9" w:rsidRPr="00B608B6" w:rsidRDefault="001012F9" w:rsidP="00E72C88">
      <w:pPr>
        <w:spacing w:after="0"/>
        <w:rPr>
          <w:rFonts w:cs="Arial"/>
          <w:b/>
          <w:bCs/>
          <w:color w:val="000000"/>
          <w:sz w:val="18"/>
          <w:szCs w:val="18"/>
          <w:lang w:eastAsia="cs-CZ"/>
        </w:rPr>
      </w:pPr>
      <w:r w:rsidRPr="00B608B6">
        <w:rPr>
          <w:rFonts w:cs="Arial"/>
          <w:sz w:val="18"/>
          <w:szCs w:val="18"/>
          <w:vertAlign w:val="superscript"/>
        </w:rPr>
        <w:t>(1)</w:t>
      </w:r>
      <w:r w:rsidRPr="00B608B6">
        <w:rPr>
          <w:rFonts w:cs="Arial"/>
          <w:b/>
          <w:bCs/>
          <w:color w:val="000000"/>
          <w:sz w:val="18"/>
          <w:szCs w:val="18"/>
          <w:lang w:eastAsia="cs-CZ"/>
        </w:rPr>
        <w:t xml:space="preserve"> </w:t>
      </w:r>
      <w:r w:rsidR="001B3266">
        <w:rPr>
          <w:rFonts w:cs="Arial"/>
          <w:bCs/>
          <w:color w:val="000000"/>
          <w:sz w:val="18"/>
          <w:szCs w:val="18"/>
          <w:lang w:eastAsia="cs-CZ"/>
        </w:rPr>
        <w:t>K</w:t>
      </w:r>
      <w:r w:rsidRPr="00B608B6">
        <w:rPr>
          <w:rFonts w:cs="Arial"/>
          <w:bCs/>
          <w:color w:val="000000"/>
          <w:sz w:val="18"/>
          <w:szCs w:val="18"/>
          <w:lang w:eastAsia="cs-CZ"/>
        </w:rPr>
        <w:t> 31. 12. 2013</w:t>
      </w:r>
      <w:r w:rsidR="00C154FA">
        <w:rPr>
          <w:rFonts w:cs="Arial"/>
          <w:bCs/>
          <w:color w:val="000000"/>
          <w:sz w:val="18"/>
          <w:szCs w:val="18"/>
          <w:lang w:eastAsia="cs-CZ"/>
        </w:rPr>
        <w:t>.</w:t>
      </w:r>
    </w:p>
    <w:p w:rsidR="001E44AD" w:rsidRDefault="001E44AD" w:rsidP="00E72C88">
      <w:pPr>
        <w:spacing w:after="0"/>
        <w:rPr>
          <w:rFonts w:cs="Arial"/>
          <w:b/>
          <w:bCs/>
          <w:color w:val="000000"/>
          <w:szCs w:val="22"/>
          <w:lang w:eastAsia="cs-CZ"/>
        </w:rPr>
      </w:pPr>
    </w:p>
    <w:p w:rsidR="000832C8" w:rsidRPr="00E72C88" w:rsidRDefault="000832C8" w:rsidP="001012F9">
      <w:pPr>
        <w:rPr>
          <w:rFonts w:cs="Arial"/>
          <w:b/>
          <w:bCs/>
          <w:color w:val="000000"/>
          <w:szCs w:val="22"/>
          <w:lang w:eastAsia="cs-CZ"/>
        </w:rPr>
      </w:pPr>
    </w:p>
    <w:p w:rsidR="00EF0C0B" w:rsidRPr="00E72C88" w:rsidRDefault="00EF0C0B" w:rsidP="00E72C88">
      <w:pPr>
        <w:pStyle w:val="Nadpis1"/>
        <w:spacing w:before="0" w:after="0"/>
        <w:ind w:left="284" w:hanging="284"/>
        <w:rPr>
          <w:sz w:val="24"/>
          <w:szCs w:val="24"/>
        </w:rPr>
      </w:pPr>
      <w:r w:rsidRPr="00E72C88">
        <w:rPr>
          <w:sz w:val="24"/>
          <w:szCs w:val="24"/>
        </w:rPr>
        <w:t>Shrnutí</w:t>
      </w:r>
      <w:r w:rsidR="0094428E" w:rsidRPr="00E72C88">
        <w:rPr>
          <w:sz w:val="24"/>
          <w:szCs w:val="24"/>
        </w:rPr>
        <w:t xml:space="preserve"> a vyhodnocení</w:t>
      </w:r>
    </w:p>
    <w:p w:rsidR="000832C8" w:rsidRDefault="000832C8" w:rsidP="00404F0C">
      <w:pPr>
        <w:spacing w:after="0"/>
      </w:pPr>
    </w:p>
    <w:p w:rsidR="00EC14C7" w:rsidRDefault="00404F0C" w:rsidP="00E72C88">
      <w:pPr>
        <w:spacing w:after="0"/>
        <w:rPr>
          <w:color w:val="000000"/>
          <w:lang w:eastAsia="cs-CZ"/>
        </w:rPr>
      </w:pPr>
      <w:r>
        <w:t xml:space="preserve">V roce 2003 </w:t>
      </w:r>
      <w:proofErr w:type="spellStart"/>
      <w:r>
        <w:t>MZe</w:t>
      </w:r>
      <w:proofErr w:type="spellEnd"/>
      <w:r>
        <w:t xml:space="preserve"> </w:t>
      </w:r>
      <w:r w:rsidR="0049568F">
        <w:t>vy</w:t>
      </w:r>
      <w:r>
        <w:t>pracov</w:t>
      </w:r>
      <w:r w:rsidR="0049568F">
        <w:t>alo</w:t>
      </w:r>
      <w:r>
        <w:t xml:space="preserve"> </w:t>
      </w:r>
      <w:r w:rsidRPr="00404F0C">
        <w:rPr>
          <w:i/>
        </w:rPr>
        <w:t>Národní program podpory domácích potravin</w:t>
      </w:r>
      <w:r w:rsidR="0049568F">
        <w:t>,</w:t>
      </w:r>
      <w:r>
        <w:rPr>
          <w:i/>
        </w:rPr>
        <w:t xml:space="preserve"> </w:t>
      </w:r>
      <w:r w:rsidR="0049568F" w:rsidRPr="00E72C88">
        <w:t>jehož</w:t>
      </w:r>
      <w:r w:rsidR="0049568F">
        <w:rPr>
          <w:i/>
        </w:rPr>
        <w:t xml:space="preserve"> </w:t>
      </w:r>
      <w:r w:rsidR="0049568F">
        <w:rPr>
          <w:rFonts w:cs="Arial"/>
          <w:bCs/>
          <w:noProof/>
          <w:szCs w:val="22"/>
        </w:rPr>
        <w:t>p</w:t>
      </w:r>
      <w:r w:rsidR="00C8446C" w:rsidRPr="002035E1">
        <w:rPr>
          <w:rFonts w:cs="Arial"/>
          <w:bCs/>
          <w:noProof/>
          <w:szCs w:val="22"/>
        </w:rPr>
        <w:t xml:space="preserve">ředmětem </w:t>
      </w:r>
      <w:r w:rsidR="00C8446C" w:rsidRPr="002035E1">
        <w:rPr>
          <w:rFonts w:cs="Arial"/>
          <w:szCs w:val="22"/>
        </w:rPr>
        <w:t xml:space="preserve">byla </w:t>
      </w:r>
      <w:r w:rsidR="0049568F">
        <w:rPr>
          <w:rFonts w:cs="Arial"/>
          <w:szCs w:val="22"/>
        </w:rPr>
        <w:t xml:space="preserve">mj. </w:t>
      </w:r>
      <w:r w:rsidR="00C8446C" w:rsidRPr="002035E1">
        <w:rPr>
          <w:rFonts w:cs="Arial"/>
          <w:szCs w:val="22"/>
        </w:rPr>
        <w:t>příprava vzniku dvou značek. První měla být zaměřena na potravin</w:t>
      </w:r>
      <w:r w:rsidR="0049568F">
        <w:rPr>
          <w:rFonts w:cs="Arial"/>
          <w:szCs w:val="22"/>
        </w:rPr>
        <w:t>ářský</w:t>
      </w:r>
      <w:r w:rsidR="00C8446C" w:rsidRPr="002035E1">
        <w:rPr>
          <w:rFonts w:cs="Arial"/>
          <w:szCs w:val="22"/>
        </w:rPr>
        <w:t xml:space="preserve"> či zemědělský produkt, jenž splňuje </w:t>
      </w:r>
      <w:r w:rsidR="0049568F">
        <w:rPr>
          <w:rFonts w:cs="Arial"/>
          <w:szCs w:val="22"/>
        </w:rPr>
        <w:t xml:space="preserve">požadavky na </w:t>
      </w:r>
      <w:r w:rsidR="00A864DF">
        <w:rPr>
          <w:rFonts w:cs="Arial"/>
          <w:szCs w:val="22"/>
        </w:rPr>
        <w:t xml:space="preserve">velikost podílu pocházejícího </w:t>
      </w:r>
      <w:r w:rsidR="00A864DF" w:rsidRPr="00A864DF">
        <w:t>z</w:t>
      </w:r>
      <w:r w:rsidR="00A864DF">
        <w:t> </w:t>
      </w:r>
      <w:r w:rsidR="00C8446C" w:rsidRPr="00A864DF">
        <w:t>domácích</w:t>
      </w:r>
      <w:r w:rsidR="00C8446C" w:rsidRPr="002035E1">
        <w:rPr>
          <w:rFonts w:cs="Arial"/>
          <w:szCs w:val="22"/>
        </w:rPr>
        <w:t xml:space="preserve"> surovin a svou kvalitou přesahuje </w:t>
      </w:r>
      <w:r w:rsidR="0049568F">
        <w:rPr>
          <w:rFonts w:cs="Arial"/>
          <w:szCs w:val="22"/>
        </w:rPr>
        <w:t>platné</w:t>
      </w:r>
      <w:r w:rsidR="00C8446C" w:rsidRPr="002035E1">
        <w:rPr>
          <w:rFonts w:cs="Arial"/>
          <w:szCs w:val="22"/>
        </w:rPr>
        <w:t xml:space="preserve"> normy</w:t>
      </w:r>
      <w:r w:rsidR="0049568F">
        <w:rPr>
          <w:rFonts w:cs="Arial"/>
          <w:szCs w:val="22"/>
        </w:rPr>
        <w:t>.</w:t>
      </w:r>
      <w:r w:rsidR="00C8446C" w:rsidRPr="002035E1">
        <w:rPr>
          <w:rFonts w:cs="Arial"/>
          <w:szCs w:val="22"/>
        </w:rPr>
        <w:t xml:space="preserve"> </w:t>
      </w:r>
      <w:r w:rsidR="0049568F">
        <w:rPr>
          <w:rFonts w:cs="Arial"/>
          <w:szCs w:val="22"/>
        </w:rPr>
        <w:t>D</w:t>
      </w:r>
      <w:r w:rsidR="00C8446C" w:rsidRPr="002035E1">
        <w:rPr>
          <w:rFonts w:cs="Arial"/>
          <w:szCs w:val="22"/>
        </w:rPr>
        <w:t xml:space="preserve">ruhá </w:t>
      </w:r>
      <w:r w:rsidR="0049568F">
        <w:rPr>
          <w:rFonts w:cs="Arial"/>
          <w:szCs w:val="22"/>
        </w:rPr>
        <w:t xml:space="preserve">značka </w:t>
      </w:r>
      <w:r w:rsidR="00C8446C" w:rsidRPr="002035E1">
        <w:rPr>
          <w:rFonts w:cs="Arial"/>
          <w:szCs w:val="22"/>
        </w:rPr>
        <w:t xml:space="preserve">měla být zaměřena na místo vzniku s cílem podpořit malé místní výrobce lokálních specialit. Finanční objem vyhrazený na podporu těchto dvou značek nebyl v dokumentu uveden. Na základě výše uvedeného </w:t>
      </w:r>
      <w:r w:rsidR="0049568F">
        <w:rPr>
          <w:rFonts w:cs="Arial"/>
          <w:szCs w:val="22"/>
        </w:rPr>
        <w:t>národního programu</w:t>
      </w:r>
      <w:r w:rsidR="00C8446C" w:rsidRPr="002035E1">
        <w:rPr>
          <w:rFonts w:cs="Arial"/>
          <w:szCs w:val="22"/>
        </w:rPr>
        <w:t xml:space="preserve"> vznikla v roce 2003 značka </w:t>
      </w:r>
      <w:r w:rsidR="0049568F">
        <w:rPr>
          <w:rFonts w:cs="Arial"/>
          <w:szCs w:val="22"/>
        </w:rPr>
        <w:t>„</w:t>
      </w:r>
      <w:r w:rsidR="00C8446C" w:rsidRPr="002035E1">
        <w:rPr>
          <w:rFonts w:cs="Arial"/>
          <w:szCs w:val="22"/>
        </w:rPr>
        <w:t>Klasa</w:t>
      </w:r>
      <w:r w:rsidR="0049568F">
        <w:rPr>
          <w:rFonts w:cs="Arial"/>
          <w:szCs w:val="22"/>
        </w:rPr>
        <w:t>“</w:t>
      </w:r>
      <w:r w:rsidR="00C8446C" w:rsidRPr="002035E1">
        <w:rPr>
          <w:rFonts w:cs="Arial"/>
          <w:szCs w:val="22"/>
        </w:rPr>
        <w:t xml:space="preserve"> a</w:t>
      </w:r>
      <w:r w:rsidR="0049568F">
        <w:rPr>
          <w:rFonts w:cs="Arial"/>
          <w:szCs w:val="22"/>
        </w:rPr>
        <w:t> </w:t>
      </w:r>
      <w:r w:rsidR="00C8446C" w:rsidRPr="002035E1">
        <w:rPr>
          <w:rFonts w:cs="Arial"/>
          <w:szCs w:val="22"/>
        </w:rPr>
        <w:t xml:space="preserve">v roce 2010 značka </w:t>
      </w:r>
      <w:r w:rsidR="0049568F">
        <w:rPr>
          <w:rFonts w:cs="Arial"/>
          <w:szCs w:val="22"/>
        </w:rPr>
        <w:t>„</w:t>
      </w:r>
      <w:r w:rsidR="00C8446C" w:rsidRPr="002035E1">
        <w:rPr>
          <w:rFonts w:cs="Arial"/>
          <w:szCs w:val="22"/>
        </w:rPr>
        <w:t>Regionální potravina</w:t>
      </w:r>
      <w:r w:rsidR="0049568F">
        <w:rPr>
          <w:rFonts w:cs="Arial"/>
          <w:szCs w:val="22"/>
        </w:rPr>
        <w:t>“</w:t>
      </w:r>
      <w:r w:rsidR="00C8446C" w:rsidRPr="002035E1">
        <w:rPr>
          <w:rFonts w:cs="Arial"/>
          <w:szCs w:val="22"/>
        </w:rPr>
        <w:t xml:space="preserve">. Značka </w:t>
      </w:r>
      <w:r w:rsidR="0049568F">
        <w:rPr>
          <w:rFonts w:cs="Arial"/>
          <w:szCs w:val="22"/>
        </w:rPr>
        <w:t>„v</w:t>
      </w:r>
      <w:r w:rsidR="00C8446C" w:rsidRPr="002035E1">
        <w:rPr>
          <w:rFonts w:cs="Arial"/>
          <w:szCs w:val="22"/>
        </w:rPr>
        <w:t>ína z Moravy, vína z</w:t>
      </w:r>
      <w:r w:rsidR="0049568F">
        <w:rPr>
          <w:rFonts w:cs="Arial"/>
          <w:szCs w:val="22"/>
        </w:rPr>
        <w:t> </w:t>
      </w:r>
      <w:r w:rsidR="00C8446C" w:rsidRPr="002035E1">
        <w:rPr>
          <w:rFonts w:cs="Arial"/>
          <w:szCs w:val="22"/>
        </w:rPr>
        <w:t>Čech</w:t>
      </w:r>
      <w:r w:rsidR="0049568F">
        <w:rPr>
          <w:rFonts w:cs="Arial"/>
          <w:szCs w:val="22"/>
        </w:rPr>
        <w:t>“</w:t>
      </w:r>
      <w:r w:rsidR="00C8446C" w:rsidRPr="002035E1">
        <w:rPr>
          <w:rFonts w:cs="Arial"/>
          <w:szCs w:val="22"/>
        </w:rPr>
        <w:t xml:space="preserve"> vznikla v roce 2006 </w:t>
      </w:r>
      <w:r w:rsidR="00C8446C" w:rsidRPr="002035E1">
        <w:rPr>
          <w:rFonts w:eastAsia="Calibri"/>
        </w:rPr>
        <w:t xml:space="preserve">na základě </w:t>
      </w:r>
      <w:r w:rsidR="00ED4EF4" w:rsidRPr="002035E1">
        <w:rPr>
          <w:rFonts w:eastAsia="Calibri"/>
          <w:i/>
        </w:rPr>
        <w:t>Koncepce marketingové a </w:t>
      </w:r>
      <w:r w:rsidR="00C8446C" w:rsidRPr="002035E1">
        <w:rPr>
          <w:rFonts w:eastAsia="Calibri"/>
          <w:i/>
        </w:rPr>
        <w:t>komunikační strategie Vinařského fondu</w:t>
      </w:r>
      <w:r w:rsidR="00C8446C" w:rsidRPr="002035E1">
        <w:rPr>
          <w:rFonts w:eastAsia="Calibri"/>
        </w:rPr>
        <w:t>.</w:t>
      </w:r>
      <w:r w:rsidR="00C8446C" w:rsidRPr="00C8446C">
        <w:rPr>
          <w:rFonts w:eastAsia="Calibri"/>
        </w:rPr>
        <w:t xml:space="preserve"> </w:t>
      </w:r>
      <w:r w:rsidR="00CE414C" w:rsidRPr="00DB53C4">
        <w:rPr>
          <w:rFonts w:cs="Arial"/>
          <w:iCs/>
          <w:szCs w:val="22"/>
        </w:rPr>
        <w:t xml:space="preserve">Marketingovou podporu </w:t>
      </w:r>
      <w:r w:rsidR="00C8446C">
        <w:rPr>
          <w:rFonts w:cs="Arial"/>
          <w:iCs/>
          <w:szCs w:val="22"/>
        </w:rPr>
        <w:t xml:space="preserve">těchto </w:t>
      </w:r>
      <w:r w:rsidR="00CE414C" w:rsidRPr="00DB53C4">
        <w:rPr>
          <w:rFonts w:cs="Arial"/>
          <w:iCs/>
          <w:szCs w:val="22"/>
        </w:rPr>
        <w:t xml:space="preserve">značek </w:t>
      </w:r>
      <w:r w:rsidR="00F960DD" w:rsidRPr="00DB53C4">
        <w:rPr>
          <w:rFonts w:cs="Arial"/>
          <w:iCs/>
          <w:szCs w:val="22"/>
        </w:rPr>
        <w:t>realizovaly</w:t>
      </w:r>
      <w:r w:rsidR="00CE414C" w:rsidRPr="00DB53C4">
        <w:rPr>
          <w:rFonts w:cs="Arial"/>
          <w:iCs/>
          <w:szCs w:val="22"/>
        </w:rPr>
        <w:t xml:space="preserve"> </w:t>
      </w:r>
      <w:proofErr w:type="spellStart"/>
      <w:r w:rsidR="00E51F96" w:rsidRPr="00DB53C4">
        <w:rPr>
          <w:rFonts w:cs="Arial"/>
          <w:iCs/>
          <w:szCs w:val="22"/>
        </w:rPr>
        <w:t>MZe</w:t>
      </w:r>
      <w:proofErr w:type="spellEnd"/>
      <w:r w:rsidR="00E51F96" w:rsidRPr="00DB53C4">
        <w:rPr>
          <w:rFonts w:cs="Arial"/>
          <w:iCs/>
          <w:szCs w:val="22"/>
        </w:rPr>
        <w:t xml:space="preserve">, SZIF a VF </w:t>
      </w:r>
      <w:r w:rsidR="005777C4" w:rsidRPr="00DB53C4">
        <w:rPr>
          <w:rFonts w:cs="Arial"/>
          <w:iCs/>
          <w:szCs w:val="22"/>
        </w:rPr>
        <w:t>formou out</w:t>
      </w:r>
      <w:r w:rsidR="00BA05CA" w:rsidRPr="00DB53C4">
        <w:rPr>
          <w:rFonts w:cs="Arial"/>
          <w:iCs/>
          <w:szCs w:val="22"/>
        </w:rPr>
        <w:t>sourcingu</w:t>
      </w:r>
      <w:r w:rsidR="00C549FF" w:rsidRPr="00DB53C4">
        <w:rPr>
          <w:rFonts w:cs="Arial"/>
          <w:iCs/>
          <w:szCs w:val="22"/>
        </w:rPr>
        <w:t>.</w:t>
      </w:r>
      <w:r w:rsidR="00F960DD" w:rsidRPr="00DB53C4">
        <w:rPr>
          <w:rFonts w:cs="Arial"/>
          <w:iCs/>
          <w:szCs w:val="22"/>
        </w:rPr>
        <w:t xml:space="preserve"> NKÚ </w:t>
      </w:r>
      <w:r w:rsidR="00C549FF" w:rsidRPr="00DB53C4">
        <w:rPr>
          <w:rFonts w:cs="Arial"/>
          <w:iCs/>
          <w:szCs w:val="22"/>
        </w:rPr>
        <w:t>prověřil</w:t>
      </w:r>
      <w:r w:rsidR="00F960DD" w:rsidRPr="00DB53C4">
        <w:rPr>
          <w:rFonts w:cs="Arial"/>
          <w:iCs/>
          <w:szCs w:val="22"/>
        </w:rPr>
        <w:t xml:space="preserve"> přípravu, realizaci a vyhodnocování těchto komunikačních kampaní </w:t>
      </w:r>
      <w:r w:rsidR="0049568F">
        <w:rPr>
          <w:rFonts w:cs="Arial"/>
          <w:iCs/>
          <w:szCs w:val="22"/>
        </w:rPr>
        <w:t>za roky</w:t>
      </w:r>
      <w:r w:rsidR="00F960DD" w:rsidRPr="00DB53C4">
        <w:rPr>
          <w:rFonts w:cs="Arial"/>
          <w:iCs/>
          <w:szCs w:val="22"/>
        </w:rPr>
        <w:t xml:space="preserve"> 2008</w:t>
      </w:r>
      <w:r w:rsidR="00C725D0">
        <w:rPr>
          <w:rFonts w:cs="Arial"/>
          <w:iCs/>
          <w:szCs w:val="22"/>
        </w:rPr>
        <w:t>–</w:t>
      </w:r>
      <w:r w:rsidR="00F960DD" w:rsidRPr="00DB53C4">
        <w:rPr>
          <w:rFonts w:cs="Arial"/>
          <w:iCs/>
          <w:szCs w:val="22"/>
        </w:rPr>
        <w:t xml:space="preserve">2013. </w:t>
      </w:r>
      <w:proofErr w:type="spellStart"/>
      <w:r w:rsidR="00CE414C" w:rsidRPr="00DB53C4">
        <w:rPr>
          <w:rFonts w:cs="Arial"/>
          <w:iCs/>
          <w:szCs w:val="22"/>
        </w:rPr>
        <w:t>MZe</w:t>
      </w:r>
      <w:proofErr w:type="spellEnd"/>
      <w:r w:rsidR="00CE414C" w:rsidRPr="00DB53C4">
        <w:rPr>
          <w:rFonts w:cs="Arial"/>
          <w:iCs/>
          <w:szCs w:val="22"/>
        </w:rPr>
        <w:t xml:space="preserve">, SZIF a VF </w:t>
      </w:r>
      <w:r w:rsidR="00691BCF" w:rsidRPr="00DB53C4">
        <w:rPr>
          <w:rFonts w:cs="Arial"/>
          <w:iCs/>
          <w:szCs w:val="22"/>
        </w:rPr>
        <w:t xml:space="preserve">v kontrolovaném období </w:t>
      </w:r>
      <w:r w:rsidR="00CE414C" w:rsidRPr="00DB53C4">
        <w:rPr>
          <w:rFonts w:cs="Arial"/>
          <w:iCs/>
          <w:szCs w:val="22"/>
        </w:rPr>
        <w:t>v</w:t>
      </w:r>
      <w:r w:rsidR="00691BCF" w:rsidRPr="00DB53C4">
        <w:rPr>
          <w:rFonts w:cs="Arial"/>
          <w:iCs/>
          <w:szCs w:val="22"/>
        </w:rPr>
        <w:t> </w:t>
      </w:r>
      <w:r w:rsidR="00CE414C" w:rsidRPr="00DB53C4">
        <w:rPr>
          <w:rFonts w:cs="Arial"/>
          <w:iCs/>
          <w:szCs w:val="22"/>
        </w:rPr>
        <w:t>souvislosti</w:t>
      </w:r>
      <w:r w:rsidR="00691BCF" w:rsidRPr="00DB53C4">
        <w:rPr>
          <w:rFonts w:cs="Arial"/>
          <w:iCs/>
          <w:szCs w:val="22"/>
        </w:rPr>
        <w:t xml:space="preserve"> </w:t>
      </w:r>
      <w:r w:rsidR="00CE414C" w:rsidRPr="00DB53C4">
        <w:rPr>
          <w:rFonts w:cs="Arial"/>
          <w:iCs/>
          <w:szCs w:val="22"/>
        </w:rPr>
        <w:t xml:space="preserve">s komunikačními kampaněmi na </w:t>
      </w:r>
      <w:r w:rsidR="0049568F">
        <w:rPr>
          <w:rFonts w:cs="Arial"/>
          <w:iCs/>
          <w:szCs w:val="22"/>
        </w:rPr>
        <w:t xml:space="preserve">podporu výše uvedených </w:t>
      </w:r>
      <w:r w:rsidR="00CE414C" w:rsidRPr="00DB53C4">
        <w:rPr>
          <w:rFonts w:cs="Arial"/>
          <w:iCs/>
          <w:szCs w:val="22"/>
        </w:rPr>
        <w:t>znač</w:t>
      </w:r>
      <w:r w:rsidR="0049568F">
        <w:rPr>
          <w:rFonts w:cs="Arial"/>
          <w:iCs/>
          <w:szCs w:val="22"/>
        </w:rPr>
        <w:t>e</w:t>
      </w:r>
      <w:r w:rsidR="00CE414C" w:rsidRPr="00DB53C4">
        <w:rPr>
          <w:rFonts w:cs="Arial"/>
          <w:iCs/>
          <w:szCs w:val="22"/>
        </w:rPr>
        <w:t>k zadaly veře</w:t>
      </w:r>
      <w:r w:rsidR="00706411" w:rsidRPr="00DB53C4">
        <w:rPr>
          <w:rFonts w:cs="Arial"/>
          <w:iCs/>
          <w:szCs w:val="22"/>
        </w:rPr>
        <w:t>jné zakázky</w:t>
      </w:r>
      <w:r w:rsidR="00A56C77" w:rsidRPr="00DB53C4">
        <w:rPr>
          <w:rFonts w:cs="Arial"/>
          <w:iCs/>
          <w:szCs w:val="22"/>
        </w:rPr>
        <w:t xml:space="preserve"> v</w:t>
      </w:r>
      <w:r w:rsidR="0049568F">
        <w:rPr>
          <w:rFonts w:cs="Arial"/>
          <w:iCs/>
          <w:szCs w:val="22"/>
        </w:rPr>
        <w:t> </w:t>
      </w:r>
      <w:r w:rsidR="0049568F" w:rsidRPr="00DB53C4">
        <w:rPr>
          <w:rFonts w:cs="Arial"/>
          <w:iCs/>
          <w:szCs w:val="22"/>
        </w:rPr>
        <w:t>celk</w:t>
      </w:r>
      <w:r w:rsidR="0049568F">
        <w:rPr>
          <w:rFonts w:cs="Arial"/>
          <w:iCs/>
          <w:szCs w:val="22"/>
        </w:rPr>
        <w:t xml:space="preserve">ovém </w:t>
      </w:r>
      <w:r w:rsidR="00A56C77" w:rsidRPr="00DB53C4">
        <w:rPr>
          <w:rFonts w:cs="Arial"/>
          <w:iCs/>
          <w:szCs w:val="22"/>
        </w:rPr>
        <w:t>objemu</w:t>
      </w:r>
      <w:r w:rsidR="00F7096E" w:rsidRPr="00DB53C4">
        <w:rPr>
          <w:rFonts w:cs="Arial"/>
          <w:iCs/>
          <w:szCs w:val="22"/>
        </w:rPr>
        <w:t xml:space="preserve"> </w:t>
      </w:r>
      <w:r w:rsidR="00F7096E" w:rsidRPr="00DB53C4">
        <w:rPr>
          <w:color w:val="000000"/>
          <w:lang w:eastAsia="cs-CZ"/>
        </w:rPr>
        <w:t>1 410,4 mil. Kč a</w:t>
      </w:r>
      <w:r w:rsidR="00F7096E" w:rsidRPr="00DB53C4">
        <w:t xml:space="preserve"> </w:t>
      </w:r>
      <w:r w:rsidR="00F7096E" w:rsidRPr="00DB53C4">
        <w:rPr>
          <w:color w:val="000000"/>
          <w:lang w:eastAsia="cs-CZ"/>
        </w:rPr>
        <w:t xml:space="preserve">199,8 </w:t>
      </w:r>
      <w:r w:rsidR="00CB0666" w:rsidRPr="00DB53C4">
        <w:rPr>
          <w:rFonts w:cs="Arial"/>
          <w:iCs/>
          <w:szCs w:val="22"/>
        </w:rPr>
        <w:t xml:space="preserve">mil. </w:t>
      </w:r>
      <w:r w:rsidR="00A56C77" w:rsidRPr="00DB53C4">
        <w:rPr>
          <w:rFonts w:cs="Arial"/>
          <w:iCs/>
          <w:szCs w:val="22"/>
        </w:rPr>
        <w:t>Kč</w:t>
      </w:r>
      <w:r w:rsidR="00970A00" w:rsidRPr="00DB53C4">
        <w:rPr>
          <w:rStyle w:val="Znakapoznpodarou"/>
          <w:iCs/>
          <w:szCs w:val="22"/>
        </w:rPr>
        <w:footnoteReference w:id="14"/>
      </w:r>
      <w:r w:rsidR="00A56C77" w:rsidRPr="00DB53C4">
        <w:rPr>
          <w:rFonts w:cs="Arial"/>
          <w:iCs/>
          <w:szCs w:val="22"/>
        </w:rPr>
        <w:t xml:space="preserve"> </w:t>
      </w:r>
      <w:r w:rsidR="00A168F9" w:rsidRPr="00DB53C4">
        <w:rPr>
          <w:rFonts w:cs="Arial"/>
          <w:iCs/>
          <w:szCs w:val="22"/>
        </w:rPr>
        <w:t>vynaložil VF</w:t>
      </w:r>
      <w:r w:rsidR="00A56C77" w:rsidRPr="00DB53C4">
        <w:rPr>
          <w:rFonts w:cs="Arial"/>
          <w:iCs/>
          <w:szCs w:val="22"/>
        </w:rPr>
        <w:t xml:space="preserve"> </w:t>
      </w:r>
      <w:r w:rsidR="005E3328" w:rsidRPr="00DB53C4">
        <w:rPr>
          <w:rFonts w:cs="Arial"/>
          <w:szCs w:val="22"/>
        </w:rPr>
        <w:t xml:space="preserve">v rozporu se zákony </w:t>
      </w:r>
      <w:r w:rsidR="005E3328" w:rsidRPr="00DB53C4">
        <w:rPr>
          <w:rFonts w:cs="Arial"/>
          <w:szCs w:val="22"/>
        </w:rPr>
        <w:lastRenderedPageBreak/>
        <w:t>č. 40/2004 Sb. a</w:t>
      </w:r>
      <w:r w:rsidR="00E27B94">
        <w:rPr>
          <w:rFonts w:cs="Arial"/>
          <w:szCs w:val="22"/>
        </w:rPr>
        <w:t> </w:t>
      </w:r>
      <w:r w:rsidR="005E3328" w:rsidRPr="00DB53C4">
        <w:rPr>
          <w:rFonts w:cs="Arial"/>
          <w:szCs w:val="22"/>
        </w:rPr>
        <w:t>č.</w:t>
      </w:r>
      <w:r w:rsidR="00E27B94">
        <w:rPr>
          <w:rFonts w:cs="Arial"/>
          <w:szCs w:val="22"/>
        </w:rPr>
        <w:t> </w:t>
      </w:r>
      <w:r w:rsidR="005E3328" w:rsidRPr="00DB53C4">
        <w:rPr>
          <w:rFonts w:cs="Arial"/>
          <w:szCs w:val="22"/>
        </w:rPr>
        <w:t>137/2006</w:t>
      </w:r>
      <w:r w:rsidR="00E27B94">
        <w:rPr>
          <w:rFonts w:cs="Arial"/>
          <w:szCs w:val="22"/>
        </w:rPr>
        <w:t> </w:t>
      </w:r>
      <w:r w:rsidR="005E3328" w:rsidRPr="00DB53C4">
        <w:rPr>
          <w:rFonts w:cs="Arial"/>
          <w:szCs w:val="22"/>
        </w:rPr>
        <w:t>Sb</w:t>
      </w:r>
      <w:r w:rsidR="00A56C77" w:rsidRPr="00DB53C4">
        <w:rPr>
          <w:rFonts w:cs="Arial"/>
          <w:iCs/>
          <w:szCs w:val="22"/>
        </w:rPr>
        <w:t xml:space="preserve">. </w:t>
      </w:r>
      <w:r w:rsidR="00FA346E" w:rsidRPr="00DB53C4">
        <w:rPr>
          <w:rFonts w:cs="Arial"/>
          <w:iCs/>
          <w:szCs w:val="22"/>
        </w:rPr>
        <w:t>Celkové výdaje na</w:t>
      </w:r>
      <w:r w:rsidR="00E27B94">
        <w:rPr>
          <w:rFonts w:cs="Arial"/>
          <w:iCs/>
          <w:szCs w:val="22"/>
        </w:rPr>
        <w:t xml:space="preserve"> </w:t>
      </w:r>
      <w:r w:rsidR="00CE414C" w:rsidRPr="00DB53C4">
        <w:rPr>
          <w:rFonts w:cs="Arial"/>
          <w:iCs/>
          <w:szCs w:val="22"/>
        </w:rPr>
        <w:t>marketingovou podporu značek</w:t>
      </w:r>
      <w:r w:rsidR="00D3406F" w:rsidRPr="00DB53C4">
        <w:rPr>
          <w:rFonts w:cs="Arial"/>
          <w:iCs/>
          <w:szCs w:val="22"/>
        </w:rPr>
        <w:t>, které byly předmětem kontroly,</w:t>
      </w:r>
      <w:r w:rsidR="00CE414C" w:rsidRPr="00DB53C4">
        <w:rPr>
          <w:rFonts w:cs="Arial"/>
          <w:iCs/>
          <w:szCs w:val="22"/>
        </w:rPr>
        <w:t xml:space="preserve"> </w:t>
      </w:r>
      <w:r w:rsidR="00E27B94">
        <w:rPr>
          <w:rFonts w:cs="Arial"/>
          <w:iCs/>
          <w:szCs w:val="22"/>
        </w:rPr>
        <w:t xml:space="preserve">dosáhly </w:t>
      </w:r>
      <w:r w:rsidR="00CE414C" w:rsidRPr="00DB53C4">
        <w:rPr>
          <w:rFonts w:cs="Arial"/>
          <w:iCs/>
          <w:szCs w:val="22"/>
        </w:rPr>
        <w:t xml:space="preserve">od roku 2008 do roku 2013 </w:t>
      </w:r>
      <w:r w:rsidR="00E27B94">
        <w:rPr>
          <w:rFonts w:cs="Arial"/>
          <w:iCs/>
          <w:szCs w:val="22"/>
        </w:rPr>
        <w:t>výše</w:t>
      </w:r>
      <w:r w:rsidR="00CE414C" w:rsidRPr="00DB53C4">
        <w:rPr>
          <w:rFonts w:cs="Arial"/>
          <w:iCs/>
          <w:szCs w:val="22"/>
        </w:rPr>
        <w:t xml:space="preserve"> </w:t>
      </w:r>
      <w:r w:rsidR="00CE414C" w:rsidRPr="00DB53C4">
        <w:rPr>
          <w:rFonts w:cs="Arial"/>
          <w:b/>
          <w:iCs/>
          <w:szCs w:val="22"/>
        </w:rPr>
        <w:t>1</w:t>
      </w:r>
      <w:r w:rsidR="00C725D0">
        <w:rPr>
          <w:rFonts w:cs="Arial"/>
          <w:b/>
          <w:iCs/>
          <w:szCs w:val="22"/>
        </w:rPr>
        <w:t> </w:t>
      </w:r>
      <w:r w:rsidR="00CE414C" w:rsidRPr="00DB53C4">
        <w:rPr>
          <w:rFonts w:cs="Arial"/>
          <w:b/>
          <w:iCs/>
          <w:szCs w:val="22"/>
        </w:rPr>
        <w:t>515,3</w:t>
      </w:r>
      <w:r w:rsidR="00C725D0">
        <w:rPr>
          <w:rFonts w:cs="Arial"/>
          <w:b/>
          <w:iCs/>
          <w:szCs w:val="22"/>
        </w:rPr>
        <w:t> </w:t>
      </w:r>
      <w:r w:rsidR="00CE414C" w:rsidRPr="00DB53C4">
        <w:rPr>
          <w:rFonts w:cs="Arial"/>
          <w:b/>
          <w:iCs/>
          <w:szCs w:val="22"/>
        </w:rPr>
        <w:t>mil.</w:t>
      </w:r>
      <w:r w:rsidR="00C725D0">
        <w:rPr>
          <w:rFonts w:cs="Arial"/>
          <w:b/>
          <w:iCs/>
          <w:szCs w:val="22"/>
        </w:rPr>
        <w:t> </w:t>
      </w:r>
      <w:r w:rsidR="00CE414C" w:rsidRPr="00DB53C4">
        <w:rPr>
          <w:rFonts w:cs="Arial"/>
          <w:b/>
          <w:iCs/>
          <w:szCs w:val="22"/>
        </w:rPr>
        <w:t>Kč</w:t>
      </w:r>
      <w:r w:rsidR="00CB62DA" w:rsidRPr="00E72C88">
        <w:rPr>
          <w:rFonts w:cs="Arial"/>
          <w:b/>
          <w:iCs/>
          <w:szCs w:val="22"/>
        </w:rPr>
        <w:t>,</w:t>
      </w:r>
      <w:r w:rsidR="00CB62DA" w:rsidRPr="00DB53C4">
        <w:rPr>
          <w:rFonts w:cs="Arial"/>
          <w:iCs/>
          <w:szCs w:val="22"/>
        </w:rPr>
        <w:t xml:space="preserve"> z toho NKÚ kontroloval </w:t>
      </w:r>
      <w:r w:rsidR="00EC14C7" w:rsidRPr="00DB53C4">
        <w:rPr>
          <w:color w:val="000000"/>
          <w:lang w:eastAsia="cs-CZ"/>
        </w:rPr>
        <w:t>1 340,8</w:t>
      </w:r>
      <w:r w:rsidR="00E27B94">
        <w:rPr>
          <w:color w:val="000000"/>
          <w:lang w:eastAsia="cs-CZ"/>
        </w:rPr>
        <w:t> </w:t>
      </w:r>
      <w:r w:rsidR="00EC14C7" w:rsidRPr="00DB53C4">
        <w:rPr>
          <w:color w:val="000000"/>
          <w:lang w:eastAsia="cs-CZ"/>
        </w:rPr>
        <w:t>mil.</w:t>
      </w:r>
      <w:r w:rsidR="00E27B94">
        <w:rPr>
          <w:color w:val="000000"/>
          <w:lang w:eastAsia="cs-CZ"/>
        </w:rPr>
        <w:t> </w:t>
      </w:r>
      <w:r w:rsidR="00EC14C7" w:rsidRPr="00DB53C4">
        <w:rPr>
          <w:color w:val="000000"/>
          <w:lang w:eastAsia="cs-CZ"/>
        </w:rPr>
        <w:t>Kč.</w:t>
      </w:r>
    </w:p>
    <w:p w:rsidR="000832C8" w:rsidRPr="00C8446C" w:rsidRDefault="000832C8" w:rsidP="00E72C88">
      <w:pPr>
        <w:spacing w:after="0"/>
        <w:rPr>
          <w:rFonts w:eastAsia="Calibri"/>
        </w:rPr>
      </w:pPr>
    </w:p>
    <w:p w:rsidR="00755B9F" w:rsidRPr="00DB53C4" w:rsidRDefault="00225FCF" w:rsidP="00C94767">
      <w:pPr>
        <w:spacing w:after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Kontrolou</w:t>
      </w:r>
      <w:r w:rsidR="00691BCF" w:rsidRPr="00DB53C4">
        <w:rPr>
          <w:rFonts w:cs="Arial"/>
          <w:iCs/>
          <w:szCs w:val="22"/>
        </w:rPr>
        <w:t xml:space="preserve"> byly zjiš</w:t>
      </w:r>
      <w:r w:rsidR="00E0282C" w:rsidRPr="00DB53C4">
        <w:rPr>
          <w:rFonts w:cs="Arial"/>
          <w:iCs/>
          <w:szCs w:val="22"/>
        </w:rPr>
        <w:t>těny tyto významné skutečnosti:</w:t>
      </w:r>
    </w:p>
    <w:p w:rsidR="000921EB" w:rsidRPr="00DB53C4" w:rsidRDefault="00291B37" w:rsidP="00C94767">
      <w:pPr>
        <w:pStyle w:val="Odstavecseseznamem"/>
        <w:numPr>
          <w:ilvl w:val="0"/>
          <w:numId w:val="20"/>
        </w:numPr>
        <w:spacing w:after="0"/>
        <w:ind w:left="426" w:hanging="426"/>
        <w:rPr>
          <w:rFonts w:cs="Arial"/>
          <w:iCs/>
          <w:szCs w:val="22"/>
        </w:rPr>
      </w:pPr>
      <w:proofErr w:type="spellStart"/>
      <w:r w:rsidRPr="00DB53C4">
        <w:rPr>
          <w:rFonts w:cs="Arial"/>
          <w:iCs/>
          <w:szCs w:val="22"/>
        </w:rPr>
        <w:t>MZe</w:t>
      </w:r>
      <w:proofErr w:type="spellEnd"/>
      <w:r w:rsidRPr="00DB53C4">
        <w:rPr>
          <w:rFonts w:cs="Arial"/>
          <w:iCs/>
          <w:szCs w:val="22"/>
        </w:rPr>
        <w:t xml:space="preserve"> u značky </w:t>
      </w:r>
      <w:r w:rsidR="00225FCF">
        <w:rPr>
          <w:rFonts w:cs="Arial"/>
          <w:iCs/>
          <w:szCs w:val="22"/>
        </w:rPr>
        <w:t>„</w:t>
      </w:r>
      <w:r w:rsidRPr="00DB53C4">
        <w:rPr>
          <w:rFonts w:cs="Arial"/>
          <w:iCs/>
          <w:szCs w:val="22"/>
        </w:rPr>
        <w:t>Klasa</w:t>
      </w:r>
      <w:r w:rsidR="00225FCF">
        <w:rPr>
          <w:rFonts w:cs="Arial"/>
          <w:iCs/>
          <w:szCs w:val="22"/>
        </w:rPr>
        <w:t>“</w:t>
      </w:r>
      <w:r w:rsidRPr="00DB53C4">
        <w:rPr>
          <w:rFonts w:cs="Arial"/>
          <w:iCs/>
          <w:szCs w:val="22"/>
        </w:rPr>
        <w:t xml:space="preserve"> </w:t>
      </w:r>
      <w:r w:rsidRPr="00DB53C4">
        <w:rPr>
          <w:rFonts w:cs="Arial"/>
          <w:b/>
          <w:iCs/>
          <w:szCs w:val="22"/>
        </w:rPr>
        <w:t>nezajistilo její</w:t>
      </w:r>
      <w:r w:rsidR="00755B9F" w:rsidRPr="00DB53C4">
        <w:rPr>
          <w:rFonts w:cs="Arial"/>
          <w:b/>
          <w:iCs/>
          <w:szCs w:val="22"/>
        </w:rPr>
        <w:t xml:space="preserve"> dostatečné strategické řízení</w:t>
      </w:r>
      <w:r w:rsidR="00755B9F" w:rsidRPr="00E72C88">
        <w:rPr>
          <w:rFonts w:cs="Arial"/>
          <w:b/>
          <w:iCs/>
          <w:szCs w:val="22"/>
        </w:rPr>
        <w:t>:</w:t>
      </w:r>
    </w:p>
    <w:p w:rsidR="00691BCF" w:rsidRPr="00DB53C4" w:rsidRDefault="00291B37" w:rsidP="00C94767">
      <w:pPr>
        <w:pStyle w:val="Odstavecseseznamem"/>
        <w:numPr>
          <w:ilvl w:val="0"/>
          <w:numId w:val="10"/>
        </w:numPr>
        <w:spacing w:after="0"/>
        <w:ind w:left="709" w:hanging="283"/>
        <w:rPr>
          <w:rFonts w:cs="Arial"/>
          <w:bCs/>
        </w:rPr>
      </w:pPr>
      <w:r w:rsidRPr="00DB53C4">
        <w:rPr>
          <w:rFonts w:cs="Arial"/>
          <w:iCs/>
          <w:szCs w:val="22"/>
        </w:rPr>
        <w:t>O</w:t>
      </w:r>
      <w:r w:rsidR="00691BCF" w:rsidRPr="00DB53C4">
        <w:rPr>
          <w:rFonts w:cs="Arial"/>
          <w:iCs/>
          <w:szCs w:val="22"/>
        </w:rPr>
        <w:t xml:space="preserve">d </w:t>
      </w:r>
      <w:r w:rsidR="0005512D" w:rsidRPr="00DB53C4">
        <w:rPr>
          <w:rFonts w:cs="Arial"/>
          <w:iCs/>
          <w:szCs w:val="22"/>
        </w:rPr>
        <w:t xml:space="preserve">roku 2003 </w:t>
      </w:r>
      <w:r w:rsidRPr="00DB53C4">
        <w:rPr>
          <w:rFonts w:cs="Arial"/>
          <w:iCs/>
          <w:szCs w:val="22"/>
        </w:rPr>
        <w:t xml:space="preserve">do roku 2011 </w:t>
      </w:r>
      <w:proofErr w:type="spellStart"/>
      <w:r w:rsidR="00BB6039" w:rsidRPr="00DB53C4">
        <w:rPr>
          <w:rFonts w:cs="Arial"/>
          <w:iCs/>
          <w:szCs w:val="22"/>
        </w:rPr>
        <w:t>MZe</w:t>
      </w:r>
      <w:proofErr w:type="spellEnd"/>
      <w:r w:rsidR="003D741E" w:rsidRPr="00DB53C4">
        <w:rPr>
          <w:rFonts w:cs="Arial"/>
          <w:iCs/>
          <w:szCs w:val="22"/>
        </w:rPr>
        <w:t xml:space="preserve"> ani SZIF</w:t>
      </w:r>
      <w:r w:rsidR="00BB6039" w:rsidRPr="00DB53C4">
        <w:rPr>
          <w:rFonts w:cs="Arial"/>
          <w:iCs/>
          <w:szCs w:val="22"/>
        </w:rPr>
        <w:t xml:space="preserve"> </w:t>
      </w:r>
      <w:r w:rsidR="003D741E" w:rsidRPr="00DB53C4">
        <w:rPr>
          <w:rFonts w:cs="Arial"/>
          <w:bCs/>
        </w:rPr>
        <w:t>nestanovily</w:t>
      </w:r>
      <w:r w:rsidRPr="00DB53C4">
        <w:rPr>
          <w:rFonts w:cs="Arial"/>
          <w:bCs/>
        </w:rPr>
        <w:t xml:space="preserve"> </w:t>
      </w:r>
      <w:r w:rsidR="00755B9F" w:rsidRPr="00DB53C4">
        <w:rPr>
          <w:rFonts w:cs="Arial"/>
          <w:bCs/>
        </w:rPr>
        <w:t xml:space="preserve">pro značku </w:t>
      </w:r>
      <w:r w:rsidRPr="00DB53C4">
        <w:rPr>
          <w:rFonts w:cs="Arial"/>
          <w:bCs/>
        </w:rPr>
        <w:t xml:space="preserve">žádné </w:t>
      </w:r>
      <w:r w:rsidR="000921EB" w:rsidRPr="00DB53C4">
        <w:rPr>
          <w:rFonts w:cs="Arial"/>
          <w:bCs/>
        </w:rPr>
        <w:t>zastřešující strategické cíle</w:t>
      </w:r>
      <w:r w:rsidR="00684F63">
        <w:rPr>
          <w:rFonts w:cs="Arial"/>
          <w:bCs/>
        </w:rPr>
        <w:t>,</w:t>
      </w:r>
      <w:r w:rsidRPr="00DB53C4">
        <w:rPr>
          <w:rFonts w:cs="Arial"/>
          <w:bCs/>
        </w:rPr>
        <w:t xml:space="preserve"> </w:t>
      </w:r>
      <w:r w:rsidR="00684F63">
        <w:rPr>
          <w:rFonts w:cs="Arial"/>
          <w:bCs/>
        </w:rPr>
        <w:t>v důsledku čehož</w:t>
      </w:r>
      <w:r w:rsidRPr="00DB53C4">
        <w:rPr>
          <w:rFonts w:cs="Arial"/>
          <w:bCs/>
        </w:rPr>
        <w:t xml:space="preserve"> nebyl</w:t>
      </w:r>
      <w:r w:rsidR="00684F63">
        <w:rPr>
          <w:rFonts w:cs="Arial"/>
          <w:bCs/>
        </w:rPr>
        <w:t>y</w:t>
      </w:r>
      <w:r w:rsidRPr="00DB53C4">
        <w:rPr>
          <w:rFonts w:cs="Arial"/>
          <w:bCs/>
        </w:rPr>
        <w:t xml:space="preserve"> </w:t>
      </w:r>
      <w:r w:rsidR="000921EB" w:rsidRPr="00DB53C4">
        <w:rPr>
          <w:rFonts w:cs="Arial"/>
          <w:bCs/>
          <w:noProof/>
          <w:szCs w:val="22"/>
        </w:rPr>
        <w:t>zajištěn</w:t>
      </w:r>
      <w:r w:rsidR="00684F63">
        <w:rPr>
          <w:rFonts w:cs="Arial"/>
          <w:bCs/>
          <w:noProof/>
          <w:szCs w:val="22"/>
        </w:rPr>
        <w:t>y</w:t>
      </w:r>
      <w:r w:rsidRPr="00DB53C4">
        <w:rPr>
          <w:rFonts w:cs="Arial"/>
          <w:bCs/>
          <w:noProof/>
          <w:szCs w:val="22"/>
        </w:rPr>
        <w:t xml:space="preserve"> směr a</w:t>
      </w:r>
      <w:r w:rsidR="00684F63">
        <w:rPr>
          <w:rFonts w:cs="Arial"/>
          <w:bCs/>
          <w:noProof/>
          <w:szCs w:val="22"/>
        </w:rPr>
        <w:t>ni</w:t>
      </w:r>
      <w:r w:rsidRPr="00DB53C4">
        <w:rPr>
          <w:rFonts w:cs="Arial"/>
          <w:bCs/>
          <w:noProof/>
          <w:szCs w:val="22"/>
        </w:rPr>
        <w:t xml:space="preserve"> kontinuita vývoje značky </w:t>
      </w:r>
      <w:r w:rsidR="00684F63">
        <w:rPr>
          <w:rFonts w:cs="Arial"/>
          <w:bCs/>
          <w:noProof/>
          <w:szCs w:val="22"/>
        </w:rPr>
        <w:t>„</w:t>
      </w:r>
      <w:r w:rsidRPr="00DB53C4">
        <w:rPr>
          <w:rFonts w:cs="Arial"/>
          <w:bCs/>
          <w:noProof/>
          <w:szCs w:val="22"/>
        </w:rPr>
        <w:t>Klasa</w:t>
      </w:r>
      <w:r w:rsidR="00684F63">
        <w:rPr>
          <w:rFonts w:cs="Arial"/>
          <w:bCs/>
          <w:noProof/>
          <w:szCs w:val="22"/>
        </w:rPr>
        <w:t>“</w:t>
      </w:r>
      <w:r w:rsidR="000921EB" w:rsidRPr="00DB53C4">
        <w:rPr>
          <w:rFonts w:cs="Arial"/>
          <w:bCs/>
          <w:noProof/>
          <w:szCs w:val="22"/>
        </w:rPr>
        <w:t>.</w:t>
      </w:r>
    </w:p>
    <w:p w:rsidR="00C94767" w:rsidRPr="00DB53C4" w:rsidRDefault="000921EB" w:rsidP="00C94767">
      <w:pPr>
        <w:pStyle w:val="Odstavecseseznamem"/>
        <w:numPr>
          <w:ilvl w:val="0"/>
          <w:numId w:val="10"/>
        </w:numPr>
        <w:spacing w:after="0"/>
        <w:ind w:left="709" w:hanging="283"/>
        <w:rPr>
          <w:rFonts w:cs="Arial"/>
          <w:bCs/>
        </w:rPr>
      </w:pPr>
      <w:r w:rsidRPr="00DB53C4">
        <w:rPr>
          <w:rFonts w:cs="Arial"/>
          <w:bCs/>
        </w:rPr>
        <w:t>Od doby převodu činností souvisejících se správou a</w:t>
      </w:r>
      <w:r w:rsidR="0023207A" w:rsidRPr="00DB53C4">
        <w:rPr>
          <w:rFonts w:cs="Arial"/>
          <w:bCs/>
        </w:rPr>
        <w:t xml:space="preserve"> propagací značky z </w:t>
      </w:r>
      <w:proofErr w:type="spellStart"/>
      <w:proofErr w:type="gramStart"/>
      <w:r w:rsidR="0023207A" w:rsidRPr="00DB53C4">
        <w:rPr>
          <w:rFonts w:cs="Arial"/>
          <w:bCs/>
        </w:rPr>
        <w:t>MZe</w:t>
      </w:r>
      <w:proofErr w:type="spellEnd"/>
      <w:proofErr w:type="gramEnd"/>
      <w:r w:rsidR="0023207A" w:rsidRPr="00DB53C4">
        <w:rPr>
          <w:rFonts w:cs="Arial"/>
          <w:bCs/>
        </w:rPr>
        <w:t xml:space="preserve"> na SZIF </w:t>
      </w:r>
      <w:proofErr w:type="spellStart"/>
      <w:r w:rsidR="00691BCF" w:rsidRPr="00DB53C4">
        <w:rPr>
          <w:rFonts w:cs="Arial"/>
          <w:bCs/>
        </w:rPr>
        <w:t>MZe</w:t>
      </w:r>
      <w:proofErr w:type="spellEnd"/>
      <w:r w:rsidR="00691BCF" w:rsidRPr="00DB53C4">
        <w:rPr>
          <w:rFonts w:cs="Arial"/>
          <w:bCs/>
        </w:rPr>
        <w:t xml:space="preserve"> nezajisti</w:t>
      </w:r>
      <w:r w:rsidRPr="00DB53C4">
        <w:rPr>
          <w:rFonts w:cs="Arial"/>
          <w:bCs/>
        </w:rPr>
        <w:t>lo rozdělení rolí</w:t>
      </w:r>
      <w:r w:rsidR="007F34AF" w:rsidRPr="00DB53C4">
        <w:rPr>
          <w:rFonts w:cs="Arial"/>
          <w:bCs/>
        </w:rPr>
        <w:t xml:space="preserve"> a</w:t>
      </w:r>
      <w:r w:rsidRPr="00DB53C4">
        <w:rPr>
          <w:rFonts w:cs="Arial"/>
          <w:bCs/>
        </w:rPr>
        <w:t xml:space="preserve"> </w:t>
      </w:r>
      <w:r w:rsidR="00691BCF" w:rsidRPr="00DB53C4">
        <w:rPr>
          <w:rFonts w:cs="Arial"/>
          <w:bCs/>
        </w:rPr>
        <w:t>kompetencí</w:t>
      </w:r>
      <w:r w:rsidRPr="00DB53C4">
        <w:rPr>
          <w:rFonts w:cs="Arial"/>
          <w:bCs/>
        </w:rPr>
        <w:t xml:space="preserve"> mezi tyto dva subjekty. Nebyly tak </w:t>
      </w:r>
      <w:r w:rsidR="00684F63">
        <w:rPr>
          <w:rFonts w:cs="Arial"/>
          <w:bCs/>
        </w:rPr>
        <w:t>rozděleny</w:t>
      </w:r>
      <w:r w:rsidRPr="00DB53C4">
        <w:rPr>
          <w:rFonts w:cs="Arial"/>
          <w:bCs/>
        </w:rPr>
        <w:t xml:space="preserve"> povinnosti a odpovědnosti</w:t>
      </w:r>
      <w:r w:rsidR="00691BCF" w:rsidRPr="00DB53C4">
        <w:rPr>
          <w:rFonts w:cs="Arial"/>
          <w:bCs/>
        </w:rPr>
        <w:t xml:space="preserve"> mezi </w:t>
      </w:r>
      <w:proofErr w:type="spellStart"/>
      <w:r w:rsidR="00691BCF" w:rsidRPr="00DB53C4">
        <w:rPr>
          <w:rFonts w:cs="Arial"/>
          <w:bCs/>
        </w:rPr>
        <w:t>MZe</w:t>
      </w:r>
      <w:proofErr w:type="spellEnd"/>
      <w:r w:rsidR="00691BCF" w:rsidRPr="00DB53C4">
        <w:rPr>
          <w:rFonts w:cs="Arial"/>
          <w:bCs/>
        </w:rPr>
        <w:t xml:space="preserve"> a SZIF </w:t>
      </w:r>
      <w:r w:rsidR="00684F63">
        <w:rPr>
          <w:rFonts w:cs="Arial"/>
          <w:bCs/>
        </w:rPr>
        <w:t xml:space="preserve">ani </w:t>
      </w:r>
      <w:r w:rsidR="00691BCF" w:rsidRPr="00DB53C4">
        <w:rPr>
          <w:rFonts w:cs="Arial"/>
          <w:bCs/>
        </w:rPr>
        <w:t>v souvi</w:t>
      </w:r>
      <w:r w:rsidR="00FA346E" w:rsidRPr="00DB53C4">
        <w:rPr>
          <w:rFonts w:cs="Arial"/>
          <w:bCs/>
        </w:rPr>
        <w:t>slosti s</w:t>
      </w:r>
      <w:r w:rsidR="00684F63">
        <w:rPr>
          <w:rFonts w:cs="Arial"/>
          <w:bCs/>
        </w:rPr>
        <w:t> </w:t>
      </w:r>
      <w:r w:rsidR="00FA346E" w:rsidRPr="00DB53C4">
        <w:rPr>
          <w:rFonts w:cs="Arial"/>
          <w:bCs/>
        </w:rPr>
        <w:t>přípravou, realizací a </w:t>
      </w:r>
      <w:r w:rsidR="00691BCF" w:rsidRPr="00DB53C4">
        <w:rPr>
          <w:rFonts w:cs="Arial"/>
          <w:bCs/>
        </w:rPr>
        <w:t>vyhodnocováním k</w:t>
      </w:r>
      <w:r w:rsidR="00755B9F" w:rsidRPr="00DB53C4">
        <w:rPr>
          <w:rFonts w:cs="Arial"/>
          <w:bCs/>
        </w:rPr>
        <w:t>omunikačních kampaní.</w:t>
      </w:r>
    </w:p>
    <w:p w:rsidR="00C94767" w:rsidRPr="00DB53C4" w:rsidRDefault="00C94767" w:rsidP="00C94767">
      <w:pPr>
        <w:pStyle w:val="Odstavecseseznamem"/>
        <w:numPr>
          <w:ilvl w:val="0"/>
          <w:numId w:val="10"/>
        </w:numPr>
        <w:spacing w:after="0"/>
        <w:ind w:left="709" w:hanging="283"/>
        <w:rPr>
          <w:rFonts w:cs="Arial"/>
          <w:bCs/>
        </w:rPr>
      </w:pPr>
      <w:r w:rsidRPr="00DB53C4">
        <w:t xml:space="preserve">Do roku 2011 </w:t>
      </w:r>
      <w:proofErr w:type="spellStart"/>
      <w:r w:rsidRPr="00DB53C4">
        <w:t>MZe</w:t>
      </w:r>
      <w:proofErr w:type="spellEnd"/>
      <w:r w:rsidRPr="00DB53C4">
        <w:t xml:space="preserve"> neprovádělo kontrolní činnost</w:t>
      </w:r>
      <w:r w:rsidR="00684F63">
        <w:t xml:space="preserve"> u</w:t>
      </w:r>
      <w:r w:rsidRPr="00DB53C4">
        <w:t xml:space="preserve"> komunikačních kampaní</w:t>
      </w:r>
      <w:r w:rsidR="00684F63">
        <w:t>, které</w:t>
      </w:r>
      <w:r w:rsidRPr="00DB53C4">
        <w:t xml:space="preserve"> realizova</w:t>
      </w:r>
      <w:r w:rsidR="00684F63">
        <w:t>l</w:t>
      </w:r>
      <w:r w:rsidRPr="00DB53C4">
        <w:t xml:space="preserve"> SZIF, </w:t>
      </w:r>
      <w:r w:rsidR="00684F63">
        <w:t xml:space="preserve">a </w:t>
      </w:r>
      <w:r w:rsidRPr="00DB53C4">
        <w:t xml:space="preserve">od roku 2012 kontrolovalo </w:t>
      </w:r>
      <w:r w:rsidR="00C12693">
        <w:t xml:space="preserve">tyto </w:t>
      </w:r>
      <w:r w:rsidRPr="00DB53C4">
        <w:t>kampaně z</w:t>
      </w:r>
      <w:r w:rsidR="00684F63">
        <w:t> </w:t>
      </w:r>
      <w:r w:rsidRPr="00DB53C4">
        <w:t xml:space="preserve">hlediska výše vynaložených peněžních prostředků SZIF. </w:t>
      </w:r>
      <w:proofErr w:type="spellStart"/>
      <w:r w:rsidRPr="00DB53C4">
        <w:t>MZe</w:t>
      </w:r>
      <w:proofErr w:type="spellEnd"/>
      <w:r w:rsidRPr="00DB53C4">
        <w:t xml:space="preserve"> vůbec </w:t>
      </w:r>
      <w:r w:rsidRPr="00DB53C4">
        <w:rPr>
          <w:bCs/>
        </w:rPr>
        <w:t>nekontrolovalo naplňování a</w:t>
      </w:r>
      <w:r w:rsidR="00B52F7A">
        <w:rPr>
          <w:bCs/>
        </w:rPr>
        <w:t> </w:t>
      </w:r>
      <w:r w:rsidRPr="00DB53C4">
        <w:rPr>
          <w:bCs/>
        </w:rPr>
        <w:t>vyhodnocování nastavených cílů komunikačních kampaní.</w:t>
      </w:r>
    </w:p>
    <w:p w:rsidR="000832C8" w:rsidRPr="000832C8" w:rsidRDefault="0005512D" w:rsidP="00E72C88">
      <w:pPr>
        <w:pStyle w:val="Odstavecseseznamem"/>
        <w:numPr>
          <w:ilvl w:val="0"/>
          <w:numId w:val="10"/>
        </w:numPr>
        <w:spacing w:after="0"/>
        <w:ind w:left="709" w:hanging="283"/>
        <w:contextualSpacing w:val="0"/>
        <w:rPr>
          <w:rFonts w:cs="Arial"/>
          <w:iCs/>
          <w:szCs w:val="22"/>
        </w:rPr>
      </w:pPr>
      <w:r w:rsidRPr="00DB53C4">
        <w:rPr>
          <w:bCs/>
          <w:noProof/>
        </w:rPr>
        <w:t>Přestože udělení</w:t>
      </w:r>
      <w:r w:rsidR="00BE3494" w:rsidRPr="00DB53C4">
        <w:rPr>
          <w:bCs/>
          <w:noProof/>
        </w:rPr>
        <w:t xml:space="preserve"> značky </w:t>
      </w:r>
      <w:r w:rsidR="00B52F7A">
        <w:rPr>
          <w:bCs/>
          <w:noProof/>
        </w:rPr>
        <w:t>„</w:t>
      </w:r>
      <w:r w:rsidR="00BE3494" w:rsidRPr="00DB53C4">
        <w:rPr>
          <w:bCs/>
          <w:noProof/>
        </w:rPr>
        <w:t>Klasa</w:t>
      </w:r>
      <w:r w:rsidR="00B52F7A">
        <w:rPr>
          <w:bCs/>
          <w:noProof/>
        </w:rPr>
        <w:t>“</w:t>
      </w:r>
      <w:r w:rsidR="00BE3494" w:rsidRPr="00DB53C4">
        <w:rPr>
          <w:bCs/>
          <w:noProof/>
        </w:rPr>
        <w:t xml:space="preserve"> přestalo být vázáno na </w:t>
      </w:r>
      <w:r w:rsidR="00A168F9" w:rsidRPr="00DB53C4">
        <w:rPr>
          <w:bCs/>
          <w:noProof/>
        </w:rPr>
        <w:t>tuzemský</w:t>
      </w:r>
      <w:r w:rsidR="00BE3494" w:rsidRPr="00DB53C4">
        <w:rPr>
          <w:bCs/>
          <w:noProof/>
        </w:rPr>
        <w:t xml:space="preserve"> původ su</w:t>
      </w:r>
      <w:r w:rsidR="00A168F9" w:rsidRPr="00DB53C4">
        <w:rPr>
          <w:bCs/>
          <w:noProof/>
        </w:rPr>
        <w:t xml:space="preserve">rovin </w:t>
      </w:r>
      <w:r w:rsidR="00B932ED">
        <w:rPr>
          <w:bCs/>
          <w:noProof/>
        </w:rPr>
        <w:t>i</w:t>
      </w:r>
      <w:r w:rsidR="00B52F7A">
        <w:rPr>
          <w:bCs/>
          <w:noProof/>
        </w:rPr>
        <w:t> na</w:t>
      </w:r>
      <w:r w:rsidR="00A168F9" w:rsidRPr="00DB53C4">
        <w:rPr>
          <w:bCs/>
          <w:noProof/>
        </w:rPr>
        <w:t xml:space="preserve"> místo zpracování výrobků</w:t>
      </w:r>
      <w:r w:rsidR="00BE3494" w:rsidRPr="00DB53C4">
        <w:rPr>
          <w:bCs/>
          <w:noProof/>
        </w:rPr>
        <w:t xml:space="preserve">, </w:t>
      </w:r>
      <w:r w:rsidR="00B52F7A">
        <w:rPr>
          <w:bCs/>
          <w:noProof/>
        </w:rPr>
        <w:t>spojoval</w:t>
      </w:r>
      <w:r w:rsidR="00BE3494" w:rsidRPr="00DB53C4">
        <w:rPr>
          <w:bCs/>
          <w:noProof/>
        </w:rPr>
        <w:t xml:space="preserve"> SZIF </w:t>
      </w:r>
      <w:r w:rsidRPr="00DB53C4">
        <w:rPr>
          <w:bCs/>
          <w:noProof/>
        </w:rPr>
        <w:t xml:space="preserve">i nadále </w:t>
      </w:r>
      <w:r w:rsidR="00BE3494" w:rsidRPr="00DB53C4">
        <w:rPr>
          <w:bCs/>
          <w:noProof/>
        </w:rPr>
        <w:t>značk</w:t>
      </w:r>
      <w:r w:rsidR="00B52F7A">
        <w:rPr>
          <w:bCs/>
          <w:noProof/>
        </w:rPr>
        <w:t>u</w:t>
      </w:r>
      <w:r w:rsidR="00BE3494" w:rsidRPr="00DB53C4">
        <w:rPr>
          <w:bCs/>
          <w:noProof/>
        </w:rPr>
        <w:t xml:space="preserve"> </w:t>
      </w:r>
      <w:r w:rsidR="00B52F7A">
        <w:rPr>
          <w:bCs/>
          <w:noProof/>
        </w:rPr>
        <w:t>„</w:t>
      </w:r>
      <w:r w:rsidR="00BE3494" w:rsidRPr="00DB53C4">
        <w:rPr>
          <w:bCs/>
          <w:noProof/>
        </w:rPr>
        <w:t>Klasa</w:t>
      </w:r>
      <w:r w:rsidR="00B52F7A">
        <w:rPr>
          <w:bCs/>
          <w:noProof/>
        </w:rPr>
        <w:t>“</w:t>
      </w:r>
      <w:r w:rsidR="00BE3494" w:rsidRPr="00DB53C4">
        <w:rPr>
          <w:bCs/>
          <w:noProof/>
        </w:rPr>
        <w:t xml:space="preserve"> s </w:t>
      </w:r>
      <w:r w:rsidR="00A168F9" w:rsidRPr="00DB53C4">
        <w:rPr>
          <w:bCs/>
          <w:noProof/>
        </w:rPr>
        <w:t>tuzemským</w:t>
      </w:r>
      <w:r w:rsidR="00BE3494" w:rsidRPr="00DB53C4">
        <w:rPr>
          <w:bCs/>
          <w:noProof/>
        </w:rPr>
        <w:t xml:space="preserve"> původem výrobků.</w:t>
      </w:r>
      <w:r w:rsidR="00BE3494" w:rsidRPr="00DB53C4">
        <w:t xml:space="preserve"> </w:t>
      </w:r>
      <w:r w:rsidR="00BE3494" w:rsidRPr="00DB53C4">
        <w:rPr>
          <w:bCs/>
          <w:noProof/>
        </w:rPr>
        <w:t xml:space="preserve">Značku </w:t>
      </w:r>
      <w:r w:rsidR="00B52F7A">
        <w:rPr>
          <w:bCs/>
          <w:noProof/>
        </w:rPr>
        <w:t>„</w:t>
      </w:r>
      <w:r w:rsidR="00BE3494" w:rsidRPr="00DB53C4">
        <w:rPr>
          <w:bCs/>
          <w:noProof/>
        </w:rPr>
        <w:t>Klasa</w:t>
      </w:r>
      <w:r w:rsidR="00B52F7A">
        <w:rPr>
          <w:bCs/>
          <w:noProof/>
        </w:rPr>
        <w:t>“</w:t>
      </w:r>
      <w:r w:rsidR="00BE3494" w:rsidRPr="00DB53C4">
        <w:rPr>
          <w:bCs/>
          <w:noProof/>
        </w:rPr>
        <w:t xml:space="preserve"> tak SZIF prezentoval způsobem, který neodrá</w:t>
      </w:r>
      <w:r w:rsidR="00FA346E" w:rsidRPr="00DB53C4">
        <w:rPr>
          <w:bCs/>
          <w:noProof/>
        </w:rPr>
        <w:t>žel podmínky pro</w:t>
      </w:r>
      <w:r w:rsidR="00B52F7A">
        <w:rPr>
          <w:bCs/>
          <w:noProof/>
        </w:rPr>
        <w:t xml:space="preserve"> </w:t>
      </w:r>
      <w:r w:rsidR="00706411" w:rsidRPr="00DB53C4">
        <w:rPr>
          <w:bCs/>
          <w:noProof/>
        </w:rPr>
        <w:t>její udělování.</w:t>
      </w:r>
      <w:r w:rsidR="00B11590" w:rsidRPr="00DB53C4">
        <w:rPr>
          <w:bCs/>
          <w:noProof/>
        </w:rPr>
        <w:t xml:space="preserve"> </w:t>
      </w:r>
      <w:r w:rsidR="00907852" w:rsidRPr="00DB53C4">
        <w:rPr>
          <w:bCs/>
          <w:noProof/>
        </w:rPr>
        <w:t>Současné podmínky pro udělování</w:t>
      </w:r>
      <w:r w:rsidR="00B11590" w:rsidRPr="00DB53C4">
        <w:rPr>
          <w:bCs/>
          <w:noProof/>
        </w:rPr>
        <w:t xml:space="preserve"> značky </w:t>
      </w:r>
      <w:r w:rsidR="00B52F7A">
        <w:rPr>
          <w:bCs/>
          <w:noProof/>
        </w:rPr>
        <w:t>„</w:t>
      </w:r>
      <w:r w:rsidR="00B11590" w:rsidRPr="00DB53C4">
        <w:rPr>
          <w:bCs/>
          <w:noProof/>
        </w:rPr>
        <w:t>Klasa</w:t>
      </w:r>
      <w:r w:rsidR="00B52F7A">
        <w:rPr>
          <w:bCs/>
          <w:noProof/>
        </w:rPr>
        <w:t>“</w:t>
      </w:r>
      <w:r w:rsidR="00B11590" w:rsidRPr="00DB53C4">
        <w:rPr>
          <w:bCs/>
          <w:noProof/>
        </w:rPr>
        <w:t xml:space="preserve"> neodpovídají původnímu záměru podpory tuzemských výrobků.</w:t>
      </w:r>
    </w:p>
    <w:p w:rsidR="00706411" w:rsidRPr="00DB53C4" w:rsidRDefault="00706411" w:rsidP="00E72C88">
      <w:pPr>
        <w:pStyle w:val="Odstavecseseznamem"/>
        <w:numPr>
          <w:ilvl w:val="0"/>
          <w:numId w:val="20"/>
        </w:numPr>
        <w:spacing w:after="0"/>
        <w:ind w:left="426" w:hanging="426"/>
        <w:contextualSpacing w:val="0"/>
        <w:rPr>
          <w:rFonts w:cs="Arial"/>
          <w:iCs/>
          <w:szCs w:val="22"/>
        </w:rPr>
      </w:pPr>
      <w:proofErr w:type="spellStart"/>
      <w:r w:rsidRPr="00DB53C4">
        <w:t>MZe</w:t>
      </w:r>
      <w:proofErr w:type="spellEnd"/>
      <w:r w:rsidRPr="00DB53C4">
        <w:t xml:space="preserve">, SZIF a VF nastavily u většiny komunikačních kampaní </w:t>
      </w:r>
      <w:r w:rsidRPr="00DB53C4">
        <w:rPr>
          <w:b/>
        </w:rPr>
        <w:t>cíle</w:t>
      </w:r>
      <w:r w:rsidRPr="00E72C88">
        <w:rPr>
          <w:b/>
        </w:rPr>
        <w:t>,</w:t>
      </w:r>
      <w:r w:rsidRPr="00DB53C4">
        <w:t xml:space="preserve"> které </w:t>
      </w:r>
      <w:r w:rsidR="006630DB" w:rsidRPr="00DB53C4">
        <w:rPr>
          <w:b/>
        </w:rPr>
        <w:t>nebyly konkrétní</w:t>
      </w:r>
      <w:r w:rsidR="00C12693">
        <w:rPr>
          <w:b/>
        </w:rPr>
        <w:t>, a v některých případech k těmto cílům nestanovily</w:t>
      </w:r>
      <w:r w:rsidR="006630DB" w:rsidRPr="00DB53C4">
        <w:rPr>
          <w:b/>
        </w:rPr>
        <w:t xml:space="preserve"> </w:t>
      </w:r>
      <w:r w:rsidRPr="00DB53C4">
        <w:rPr>
          <w:b/>
        </w:rPr>
        <w:t>výchozí ani cílové hodnoty</w:t>
      </w:r>
      <w:r w:rsidRPr="00E72C88">
        <w:rPr>
          <w:b/>
        </w:rPr>
        <w:t>.</w:t>
      </w:r>
    </w:p>
    <w:p w:rsidR="002D0DEB" w:rsidRDefault="002D0DEB" w:rsidP="00E72C88">
      <w:pPr>
        <w:pStyle w:val="Odstavecseseznamem"/>
        <w:spacing w:after="0"/>
        <w:ind w:left="426"/>
        <w:contextualSpacing w:val="0"/>
      </w:pPr>
    </w:p>
    <w:p w:rsidR="00706411" w:rsidRDefault="00706411" w:rsidP="00E72C88">
      <w:pPr>
        <w:pStyle w:val="Odstavecseseznamem"/>
        <w:spacing w:after="0"/>
        <w:ind w:left="426"/>
        <w:contextualSpacing w:val="0"/>
      </w:pPr>
      <w:proofErr w:type="spellStart"/>
      <w:r w:rsidRPr="00DB53C4">
        <w:t>MZe</w:t>
      </w:r>
      <w:proofErr w:type="spellEnd"/>
      <w:r w:rsidRPr="00DB53C4">
        <w:t xml:space="preserve">, SZIF ani VF </w:t>
      </w:r>
      <w:r w:rsidRPr="00DB53C4">
        <w:rPr>
          <w:b/>
        </w:rPr>
        <w:t>nekontrolovaly</w:t>
      </w:r>
      <w:r w:rsidRPr="00DB53C4">
        <w:t xml:space="preserve"> v průběhu realizace komunikačních kampaní </w:t>
      </w:r>
      <w:r w:rsidRPr="00DB53C4">
        <w:rPr>
          <w:b/>
        </w:rPr>
        <w:t xml:space="preserve">naplňování nastavených cílů </w:t>
      </w:r>
      <w:r w:rsidRPr="00DB53C4">
        <w:t xml:space="preserve">a po ukončení jejich realizace nastavené dílčí </w:t>
      </w:r>
      <w:r w:rsidRPr="00DB53C4">
        <w:rPr>
          <w:b/>
        </w:rPr>
        <w:t>cíle nevyhodnocovaly</w:t>
      </w:r>
      <w:r w:rsidRPr="00E72C88">
        <w:rPr>
          <w:b/>
        </w:rPr>
        <w:t>,</w:t>
      </w:r>
      <w:r w:rsidRPr="00DB53C4">
        <w:t xml:space="preserve"> případně je vyhodnocovaly nesprávným či zavádějícím způsobem. </w:t>
      </w:r>
    </w:p>
    <w:p w:rsidR="002D0DEB" w:rsidRPr="00DB53C4" w:rsidRDefault="002D0DEB" w:rsidP="00E72C88">
      <w:pPr>
        <w:pStyle w:val="Odstavecseseznamem"/>
        <w:spacing w:after="0"/>
        <w:ind w:left="426"/>
        <w:contextualSpacing w:val="0"/>
      </w:pPr>
    </w:p>
    <w:p w:rsidR="00706411" w:rsidRDefault="00706411" w:rsidP="00E72C88">
      <w:pPr>
        <w:spacing w:after="0"/>
        <w:ind w:left="426"/>
      </w:pPr>
      <w:proofErr w:type="spellStart"/>
      <w:r w:rsidRPr="00DB53C4">
        <w:t>MZe</w:t>
      </w:r>
      <w:proofErr w:type="spellEnd"/>
      <w:r w:rsidRPr="00DB53C4">
        <w:t xml:space="preserve">, SZIF ani VF </w:t>
      </w:r>
      <w:r w:rsidRPr="00DB53C4">
        <w:rPr>
          <w:b/>
        </w:rPr>
        <w:t>nezjišťovaly, jak velký a zda vůbec měly komunikační kampaně vliv</w:t>
      </w:r>
      <w:r w:rsidRPr="00DB53C4">
        <w:t xml:space="preserve"> na naplňování stanovených cílů a jaký byl dopad a přínos </w:t>
      </w:r>
      <w:r w:rsidR="000E0C1E" w:rsidRPr="00DB53C4">
        <w:t>těchto komunikačních kampaní.</w:t>
      </w:r>
      <w:r w:rsidR="002E6582" w:rsidRPr="00DB53C4">
        <w:t xml:space="preserve"> Tato skutečnost úzce souvisí s vyhodnocováním efektivity peněžních prostředků </w:t>
      </w:r>
      <w:r w:rsidR="0090599F" w:rsidRPr="00DB53C4">
        <w:t xml:space="preserve">vynaložených </w:t>
      </w:r>
      <w:r w:rsidR="002E6582" w:rsidRPr="00DB53C4">
        <w:t>na realizaci komunikačních kampaní</w:t>
      </w:r>
      <w:r w:rsidR="0090599F">
        <w:t>.</w:t>
      </w:r>
    </w:p>
    <w:p w:rsidR="002D0DEB" w:rsidRPr="00DB53C4" w:rsidRDefault="002D0DEB" w:rsidP="00E72C88">
      <w:pPr>
        <w:spacing w:after="0"/>
        <w:ind w:left="426"/>
      </w:pPr>
    </w:p>
    <w:p w:rsidR="009F3C35" w:rsidRPr="00DB53C4" w:rsidRDefault="0090599F" w:rsidP="00E72C88">
      <w:pPr>
        <w:pStyle w:val="Odstavecseseznamem"/>
        <w:numPr>
          <w:ilvl w:val="0"/>
          <w:numId w:val="20"/>
        </w:numPr>
        <w:spacing w:after="0"/>
        <w:ind w:left="426" w:hanging="426"/>
        <w:contextualSpacing w:val="0"/>
      </w:pPr>
      <w:r>
        <w:t>SZIF u</w:t>
      </w:r>
      <w:r w:rsidR="002A3D5B" w:rsidRPr="00DB53C4">
        <w:t xml:space="preserve"> veřejných zakázek </w:t>
      </w:r>
      <w:r w:rsidR="001C593C" w:rsidRPr="00DB53C4">
        <w:t>na</w:t>
      </w:r>
      <w:r>
        <w:t xml:space="preserve"> </w:t>
      </w:r>
      <w:r w:rsidR="002A3D5B" w:rsidRPr="00DB53C4">
        <w:t>komunikační</w:t>
      </w:r>
      <w:r w:rsidR="001C593C" w:rsidRPr="00DB53C4">
        <w:t xml:space="preserve"> kampaně</w:t>
      </w:r>
      <w:r w:rsidR="002A3D5B" w:rsidRPr="00DB53C4">
        <w:t xml:space="preserve"> </w:t>
      </w:r>
      <w:r>
        <w:t>pro</w:t>
      </w:r>
      <w:r w:rsidR="002A3D5B" w:rsidRPr="00DB53C4">
        <w:t xml:space="preserve"> značku </w:t>
      </w:r>
      <w:r>
        <w:t>„</w:t>
      </w:r>
      <w:r w:rsidR="002A3D5B" w:rsidRPr="00DB53C4">
        <w:t>Klasa</w:t>
      </w:r>
      <w:r>
        <w:t>“</w:t>
      </w:r>
      <w:r w:rsidR="009F3C35" w:rsidRPr="00DB53C4">
        <w:t xml:space="preserve"> na období let</w:t>
      </w:r>
      <w:r w:rsidR="002A3D5B" w:rsidRPr="00DB53C4">
        <w:t xml:space="preserve"> 2009–2011 a </w:t>
      </w:r>
      <w:proofErr w:type="spellStart"/>
      <w:r w:rsidRPr="00DB53C4">
        <w:t>MZe</w:t>
      </w:r>
      <w:proofErr w:type="spellEnd"/>
      <w:r w:rsidRPr="00DB53C4">
        <w:t xml:space="preserve"> </w:t>
      </w:r>
      <w:r>
        <w:t xml:space="preserve">u zakázek </w:t>
      </w:r>
      <w:r w:rsidR="002A3D5B" w:rsidRPr="00DB53C4">
        <w:t xml:space="preserve">na </w:t>
      </w:r>
      <w:r>
        <w:t xml:space="preserve">podporu </w:t>
      </w:r>
      <w:r w:rsidR="002A3D5B" w:rsidRPr="00DB53C4">
        <w:t>značk</w:t>
      </w:r>
      <w:r>
        <w:t>y</w:t>
      </w:r>
      <w:r w:rsidR="002A3D5B" w:rsidRPr="00DB53C4">
        <w:t xml:space="preserve"> </w:t>
      </w:r>
      <w:r>
        <w:t>„</w:t>
      </w:r>
      <w:r w:rsidR="002A3D5B" w:rsidRPr="00DB53C4">
        <w:t xml:space="preserve">Regionální </w:t>
      </w:r>
      <w:r w:rsidR="004B77C6" w:rsidRPr="00DB53C4">
        <w:rPr>
          <w:szCs w:val="22"/>
        </w:rPr>
        <w:t>potravina</w:t>
      </w:r>
      <w:r>
        <w:rPr>
          <w:szCs w:val="22"/>
        </w:rPr>
        <w:t>“</w:t>
      </w:r>
      <w:r w:rsidR="004B77C6" w:rsidRPr="00DB53C4">
        <w:rPr>
          <w:szCs w:val="22"/>
        </w:rPr>
        <w:t xml:space="preserve"> </w:t>
      </w:r>
      <w:r w:rsidR="009F3C35" w:rsidRPr="00DB53C4">
        <w:t xml:space="preserve">na období let </w:t>
      </w:r>
      <w:r w:rsidR="004B77C6" w:rsidRPr="00DB53C4">
        <w:rPr>
          <w:szCs w:val="22"/>
        </w:rPr>
        <w:t>2010</w:t>
      </w:r>
      <w:r w:rsidR="00681187">
        <w:rPr>
          <w:szCs w:val="22"/>
        </w:rPr>
        <w:t>–</w:t>
      </w:r>
      <w:r w:rsidR="002A3D5B" w:rsidRPr="00DB53C4">
        <w:rPr>
          <w:szCs w:val="22"/>
        </w:rPr>
        <w:t xml:space="preserve">2011 </w:t>
      </w:r>
      <w:r w:rsidR="00480C30" w:rsidRPr="00DB53C4">
        <w:rPr>
          <w:b/>
          <w:szCs w:val="22"/>
        </w:rPr>
        <w:t>nepostupovaly</w:t>
      </w:r>
      <w:r w:rsidR="00480C30" w:rsidRPr="00DB53C4">
        <w:rPr>
          <w:szCs w:val="22"/>
        </w:rPr>
        <w:t xml:space="preserve"> </w:t>
      </w:r>
      <w:r w:rsidR="002A3D5B" w:rsidRPr="00DB53C4">
        <w:rPr>
          <w:bCs/>
        </w:rPr>
        <w:t>při</w:t>
      </w:r>
      <w:r>
        <w:rPr>
          <w:bCs/>
        </w:rPr>
        <w:t xml:space="preserve"> </w:t>
      </w:r>
      <w:r w:rsidR="002A3D5B" w:rsidRPr="00DB53C4">
        <w:rPr>
          <w:bCs/>
        </w:rPr>
        <w:t>hodnocení nabídek a soutěžníc</w:t>
      </w:r>
      <w:r w:rsidR="00A168F9" w:rsidRPr="00DB53C4">
        <w:rPr>
          <w:bCs/>
        </w:rPr>
        <w:t xml:space="preserve">h návrhů uchazečů </w:t>
      </w:r>
      <w:r w:rsidR="00A168F9" w:rsidRPr="00DB53C4">
        <w:rPr>
          <w:b/>
          <w:bCs/>
        </w:rPr>
        <w:t>transparentně</w:t>
      </w:r>
      <w:r w:rsidR="00A168F9" w:rsidRPr="00DB53C4">
        <w:rPr>
          <w:bCs/>
        </w:rPr>
        <w:t xml:space="preserve"> a </w:t>
      </w:r>
      <w:r w:rsidR="006A1D37" w:rsidRPr="00DB53C4">
        <w:rPr>
          <w:rFonts w:cs="Arial"/>
          <w:bCs/>
          <w:szCs w:val="22"/>
        </w:rPr>
        <w:t>porušily z</w:t>
      </w:r>
      <w:r w:rsidR="00480C30" w:rsidRPr="00DB53C4">
        <w:rPr>
          <w:rFonts w:cs="Arial"/>
          <w:bCs/>
          <w:szCs w:val="22"/>
        </w:rPr>
        <w:t>ákon č. 137</w:t>
      </w:r>
      <w:r w:rsidR="006A1D37" w:rsidRPr="00DB53C4">
        <w:rPr>
          <w:rFonts w:cs="Arial"/>
          <w:bCs/>
          <w:szCs w:val="22"/>
        </w:rPr>
        <w:t xml:space="preserve">/2006 Sb. </w:t>
      </w:r>
      <w:r w:rsidR="00E0282C" w:rsidRPr="00DB53C4">
        <w:t xml:space="preserve">SZIF </w:t>
      </w:r>
      <w:r w:rsidR="009F3C35" w:rsidRPr="00DB53C4">
        <w:t>dále</w:t>
      </w:r>
      <w:r w:rsidR="004B77C6" w:rsidRPr="00DB53C4">
        <w:t xml:space="preserve"> u </w:t>
      </w:r>
      <w:r w:rsidR="00A9351E">
        <w:t xml:space="preserve">kontrolovaných </w:t>
      </w:r>
      <w:r w:rsidR="009F3C35" w:rsidRPr="00DB53C4">
        <w:t xml:space="preserve">VZ </w:t>
      </w:r>
      <w:r w:rsidR="00E0282C" w:rsidRPr="00DB53C4">
        <w:t>rozšířil pl</w:t>
      </w:r>
      <w:r w:rsidR="00223E5C" w:rsidRPr="00DB53C4">
        <w:t xml:space="preserve">nění </w:t>
      </w:r>
      <w:r w:rsidR="001B53F1" w:rsidRPr="00DB53C4">
        <w:t>nad rámec uzavřených smluv</w:t>
      </w:r>
      <w:r w:rsidR="00A9351E">
        <w:t>,</w:t>
      </w:r>
      <w:r w:rsidR="001B53F1" w:rsidRPr="00DB53C4">
        <w:t xml:space="preserve"> uhradil plnění, které neobdržel</w:t>
      </w:r>
      <w:r w:rsidR="00A9351E">
        <w:t>,</w:t>
      </w:r>
      <w:r w:rsidR="00223E5C" w:rsidRPr="00DB53C4">
        <w:t xml:space="preserve"> </w:t>
      </w:r>
      <w:r w:rsidR="001B53F1" w:rsidRPr="00DB53C4">
        <w:t xml:space="preserve">uhradil </w:t>
      </w:r>
      <w:r w:rsidR="00223E5C" w:rsidRPr="00DB53C4">
        <w:t>činnosti, které nebyly ukončené</w:t>
      </w:r>
      <w:r w:rsidR="00E0282C" w:rsidRPr="00DB53C4">
        <w:t xml:space="preserve"> nebo</w:t>
      </w:r>
      <w:r w:rsidR="00A9351E">
        <w:t xml:space="preserve"> u nichž </w:t>
      </w:r>
      <w:r w:rsidR="00E0282C" w:rsidRPr="00DB53C4">
        <w:t xml:space="preserve">nebyl zřejmý </w:t>
      </w:r>
      <w:r w:rsidR="001B53F1" w:rsidRPr="00DB53C4">
        <w:t>jejich obsah</w:t>
      </w:r>
      <w:r w:rsidR="00A9351E">
        <w:t>,</w:t>
      </w:r>
      <w:r w:rsidR="00223E5C" w:rsidRPr="00DB53C4">
        <w:t xml:space="preserve"> </w:t>
      </w:r>
      <w:r w:rsidR="001B53F1" w:rsidRPr="00DB53C4">
        <w:t>uhradil</w:t>
      </w:r>
      <w:r w:rsidR="00A015FD" w:rsidRPr="00DB53C4">
        <w:t xml:space="preserve"> provizi a odměnu, </w:t>
      </w:r>
      <w:r w:rsidR="00A9351E">
        <w:t>přestože je</w:t>
      </w:r>
      <w:r w:rsidR="00A015FD" w:rsidRPr="00DB53C4">
        <w:t xml:space="preserve"> </w:t>
      </w:r>
      <w:r w:rsidR="00A9351E">
        <w:t>po</w:t>
      </w:r>
      <w:r w:rsidR="00A015FD" w:rsidRPr="00DB53C4">
        <w:t>dle smlouvy hradit neměl</w:t>
      </w:r>
      <w:r w:rsidR="00A9351E">
        <w:t>,</w:t>
      </w:r>
      <w:r w:rsidR="009F3C35" w:rsidRPr="00DB53C4">
        <w:t xml:space="preserve"> </w:t>
      </w:r>
      <w:r w:rsidR="001B53F1" w:rsidRPr="00DB53C4">
        <w:t xml:space="preserve">a realizoval </w:t>
      </w:r>
      <w:r w:rsidR="00223E5C" w:rsidRPr="00DB53C4">
        <w:t>akce, které nem</w:t>
      </w:r>
      <w:r w:rsidR="001B53F1" w:rsidRPr="00DB53C4">
        <w:t xml:space="preserve">ěly souvislost se značkou </w:t>
      </w:r>
      <w:r w:rsidR="00A9351E">
        <w:t>„</w:t>
      </w:r>
      <w:r w:rsidR="001B53F1" w:rsidRPr="00DB53C4">
        <w:t>Klasa</w:t>
      </w:r>
      <w:r w:rsidR="00A9351E">
        <w:t>“</w:t>
      </w:r>
      <w:r w:rsidR="00CD5157" w:rsidRPr="00DB53C4">
        <w:t>.</w:t>
      </w:r>
    </w:p>
    <w:p w:rsidR="002D0DEB" w:rsidRDefault="002D0DEB" w:rsidP="00E72C88">
      <w:pPr>
        <w:spacing w:after="0"/>
        <w:ind w:left="426"/>
      </w:pPr>
    </w:p>
    <w:p w:rsidR="00706411" w:rsidRDefault="00CD5157" w:rsidP="00E72C88">
      <w:pPr>
        <w:spacing w:after="0"/>
        <w:ind w:left="426"/>
      </w:pPr>
      <w:r w:rsidRPr="00DB53C4">
        <w:t xml:space="preserve">U veřejné zakázky na </w:t>
      </w:r>
      <w:r w:rsidR="001C593C" w:rsidRPr="00DB53C4">
        <w:t>komunikační kampaň</w:t>
      </w:r>
      <w:r w:rsidRPr="00DB53C4">
        <w:t xml:space="preserve"> </w:t>
      </w:r>
      <w:r w:rsidR="00A9351E">
        <w:t>pro</w:t>
      </w:r>
      <w:r w:rsidRPr="00DB53C4">
        <w:t xml:space="preserve"> značku </w:t>
      </w:r>
      <w:r w:rsidR="00A9351E">
        <w:t>„</w:t>
      </w:r>
      <w:r w:rsidRPr="00DB53C4">
        <w:t>Klasa</w:t>
      </w:r>
      <w:r w:rsidR="00A9351E">
        <w:t>“</w:t>
      </w:r>
      <w:r w:rsidRPr="00DB53C4">
        <w:t xml:space="preserve"> na období let </w:t>
      </w:r>
      <w:r w:rsidR="0023207A" w:rsidRPr="00DB53C4">
        <w:t>2012</w:t>
      </w:r>
      <w:r w:rsidRPr="00DB53C4">
        <w:t xml:space="preserve">–2013 </w:t>
      </w:r>
      <w:r w:rsidRPr="00DB53C4">
        <w:rPr>
          <w:b/>
          <w:szCs w:val="22"/>
        </w:rPr>
        <w:t xml:space="preserve">SZIF </w:t>
      </w:r>
      <w:r w:rsidR="00E2063A" w:rsidRPr="00DB53C4">
        <w:rPr>
          <w:b/>
          <w:szCs w:val="22"/>
        </w:rPr>
        <w:t>s</w:t>
      </w:r>
      <w:r w:rsidR="001C593C" w:rsidRPr="00DB53C4">
        <w:rPr>
          <w:b/>
          <w:szCs w:val="22"/>
        </w:rPr>
        <w:t>chválil a uhradil plnění v rozporu s </w:t>
      </w:r>
      <w:r w:rsidR="00A9351E">
        <w:rPr>
          <w:b/>
          <w:szCs w:val="22"/>
        </w:rPr>
        <w:t>r</w:t>
      </w:r>
      <w:r w:rsidR="001C593C" w:rsidRPr="00DB53C4">
        <w:rPr>
          <w:b/>
          <w:szCs w:val="22"/>
        </w:rPr>
        <w:t>ámcovou smlouvou</w:t>
      </w:r>
      <w:r w:rsidRPr="00DB53C4">
        <w:rPr>
          <w:b/>
          <w:szCs w:val="22"/>
        </w:rPr>
        <w:t>.</w:t>
      </w:r>
      <w:r w:rsidR="00E2063A" w:rsidRPr="00DB53C4">
        <w:rPr>
          <w:szCs w:val="22"/>
        </w:rPr>
        <w:t xml:space="preserve"> </w:t>
      </w:r>
      <w:r w:rsidR="000B5C33" w:rsidRPr="00DB53C4">
        <w:rPr>
          <w:szCs w:val="22"/>
        </w:rPr>
        <w:t xml:space="preserve">Dále SZIF uhradil akce realizované </w:t>
      </w:r>
      <w:r w:rsidR="00BE3494" w:rsidRPr="00DB53C4">
        <w:t>před uzavřením dílčí smlouvy a po formálním předání díla předávacím protokolem nebo před výzvou k podání nabídky a po vystavení faktury agenturou.</w:t>
      </w:r>
    </w:p>
    <w:p w:rsidR="002D0DEB" w:rsidRPr="00DB53C4" w:rsidRDefault="002D0DEB" w:rsidP="00E72C88">
      <w:pPr>
        <w:spacing w:after="0"/>
        <w:ind w:left="426"/>
      </w:pPr>
    </w:p>
    <w:p w:rsidR="0094428E" w:rsidRPr="00DB53C4" w:rsidRDefault="0054171B" w:rsidP="00E72C88">
      <w:pPr>
        <w:pStyle w:val="Odstavecseseznamem"/>
        <w:numPr>
          <w:ilvl w:val="0"/>
          <w:numId w:val="20"/>
        </w:numPr>
        <w:spacing w:after="0"/>
        <w:ind w:left="426" w:hanging="426"/>
      </w:pPr>
      <w:r>
        <w:rPr>
          <w:b/>
        </w:rPr>
        <w:t>K</w:t>
      </w:r>
      <w:r w:rsidR="00C76983" w:rsidRPr="00DB53C4">
        <w:rPr>
          <w:b/>
        </w:rPr>
        <w:t>omunikační kampaň</w:t>
      </w:r>
      <w:r w:rsidR="00C76983" w:rsidRPr="00DB53C4">
        <w:t xml:space="preserve"> na </w:t>
      </w:r>
      <w:r>
        <w:t xml:space="preserve">podporu </w:t>
      </w:r>
      <w:r w:rsidR="00C76983" w:rsidRPr="00DB53C4">
        <w:t>značk</w:t>
      </w:r>
      <w:r>
        <w:t>y</w:t>
      </w:r>
      <w:r w:rsidR="00C76983" w:rsidRPr="00DB53C4">
        <w:t xml:space="preserve"> </w:t>
      </w:r>
      <w:r>
        <w:t>„v</w:t>
      </w:r>
      <w:r w:rsidR="00C76983" w:rsidRPr="00DB53C4">
        <w:t>ína z Moravy, vína z</w:t>
      </w:r>
      <w:r>
        <w:t> </w:t>
      </w:r>
      <w:r w:rsidR="00C76983" w:rsidRPr="00DB53C4">
        <w:t>Čech</w:t>
      </w:r>
      <w:r>
        <w:t>“</w:t>
      </w:r>
      <w:r w:rsidR="00C76983" w:rsidRPr="00DB53C4">
        <w:t xml:space="preserve"> na období let 2006–2009 </w:t>
      </w:r>
      <w:r w:rsidR="00C76983" w:rsidRPr="00DB53C4">
        <w:rPr>
          <w:b/>
        </w:rPr>
        <w:t xml:space="preserve">realizoval </w:t>
      </w:r>
      <w:r>
        <w:rPr>
          <w:b/>
        </w:rPr>
        <w:t xml:space="preserve">VF </w:t>
      </w:r>
      <w:r w:rsidR="001C593C" w:rsidRPr="00DB53C4">
        <w:rPr>
          <w:b/>
        </w:rPr>
        <w:t xml:space="preserve">bez </w:t>
      </w:r>
      <w:r w:rsidR="00F302F8" w:rsidRPr="00DB53C4">
        <w:rPr>
          <w:b/>
        </w:rPr>
        <w:t>zadávací</w:t>
      </w:r>
      <w:r w:rsidR="001C593C" w:rsidRPr="00DB53C4">
        <w:rPr>
          <w:b/>
        </w:rPr>
        <w:t>ho řízení</w:t>
      </w:r>
      <w:r>
        <w:rPr>
          <w:b/>
        </w:rPr>
        <w:t>, přestože byl v pozici veřejného zadavatele</w:t>
      </w:r>
      <w:r w:rsidR="00C76983" w:rsidRPr="00E72C88">
        <w:rPr>
          <w:b/>
        </w:rPr>
        <w:t>.</w:t>
      </w:r>
      <w:r w:rsidR="00C76983" w:rsidRPr="00DB53C4">
        <w:t xml:space="preserve"> </w:t>
      </w:r>
    </w:p>
    <w:p w:rsidR="002D0DEB" w:rsidRDefault="002D0DEB" w:rsidP="00E72C88">
      <w:pPr>
        <w:spacing w:after="0"/>
      </w:pPr>
    </w:p>
    <w:p w:rsidR="009018C0" w:rsidRDefault="00656D07" w:rsidP="00E72C88">
      <w:pPr>
        <w:spacing w:after="0"/>
      </w:pPr>
      <w:r w:rsidRPr="00DB53C4">
        <w:t xml:space="preserve">K závěru roku 2013 </w:t>
      </w:r>
      <w:r w:rsidR="008E45FD">
        <w:t xml:space="preserve">byl </w:t>
      </w:r>
      <w:r w:rsidRPr="00DB53C4">
        <w:t xml:space="preserve">celkový počet výrobků označovaných značkou </w:t>
      </w:r>
      <w:r w:rsidR="0054171B">
        <w:t>„</w:t>
      </w:r>
      <w:r w:rsidR="0054171B" w:rsidRPr="00DB53C4">
        <w:t>Klasa</w:t>
      </w:r>
      <w:r w:rsidR="0054171B">
        <w:t>“</w:t>
      </w:r>
      <w:r w:rsidR="0054171B" w:rsidRPr="00DB53C4">
        <w:t xml:space="preserve"> </w:t>
      </w:r>
      <w:r w:rsidRPr="00DB53C4">
        <w:t>1</w:t>
      </w:r>
      <w:r w:rsidR="0054171B">
        <w:t> </w:t>
      </w:r>
      <w:r w:rsidRPr="00DB53C4">
        <w:t>202 a</w:t>
      </w:r>
      <w:r w:rsidR="0054171B">
        <w:t> </w:t>
      </w:r>
      <w:r w:rsidR="0054171B" w:rsidRPr="00DB53C4">
        <w:t>výrobků označovaných značkou</w:t>
      </w:r>
      <w:r w:rsidRPr="00DB53C4">
        <w:t xml:space="preserve"> </w:t>
      </w:r>
      <w:r w:rsidR="0054171B">
        <w:t>„</w:t>
      </w:r>
      <w:r w:rsidRPr="00DB53C4">
        <w:t>Regionální potravina</w:t>
      </w:r>
      <w:r w:rsidR="0054171B">
        <w:t xml:space="preserve">“ bylo </w:t>
      </w:r>
      <w:r w:rsidR="0054171B" w:rsidRPr="00DB53C4">
        <w:t>373</w:t>
      </w:r>
      <w:r w:rsidRPr="00DB53C4">
        <w:t xml:space="preserve">. Licence ke značce </w:t>
      </w:r>
      <w:r w:rsidR="0054171B">
        <w:t>„v</w:t>
      </w:r>
      <w:r w:rsidRPr="00DB53C4">
        <w:t>ína z Moravy, vína z</w:t>
      </w:r>
      <w:r w:rsidR="0054171B">
        <w:t> </w:t>
      </w:r>
      <w:r w:rsidRPr="00DB53C4">
        <w:t>Čech</w:t>
      </w:r>
      <w:r w:rsidR="0054171B">
        <w:t>“</w:t>
      </w:r>
      <w:r w:rsidRPr="00DB53C4">
        <w:t xml:space="preserve"> byla udělena 103 vinařům.</w:t>
      </w:r>
    </w:p>
    <w:p w:rsidR="002D0DEB" w:rsidRDefault="002D0DEB" w:rsidP="00E72C88">
      <w:pPr>
        <w:spacing w:after="0"/>
      </w:pPr>
    </w:p>
    <w:p w:rsidR="00E663B9" w:rsidRDefault="00656D07" w:rsidP="00E72C88">
      <w:pPr>
        <w:spacing w:after="0"/>
        <w:rPr>
          <w:b/>
        </w:rPr>
      </w:pPr>
      <w:r w:rsidRPr="00ED4EF4">
        <w:rPr>
          <w:b/>
        </w:rPr>
        <w:t xml:space="preserve">Veřejné prostředky vynaložené na podporu těchto značek a produktů těmito značkami označovaných </w:t>
      </w:r>
      <w:r w:rsidR="0054171B" w:rsidRPr="00ED4EF4">
        <w:rPr>
          <w:b/>
        </w:rPr>
        <w:t xml:space="preserve">dosáhly </w:t>
      </w:r>
      <w:r w:rsidRPr="00ED4EF4">
        <w:rPr>
          <w:b/>
        </w:rPr>
        <w:t xml:space="preserve">v posledních třech letech 750 </w:t>
      </w:r>
      <w:r w:rsidRPr="002035E1">
        <w:rPr>
          <w:b/>
        </w:rPr>
        <w:t>mil. Kč</w:t>
      </w:r>
      <w:r w:rsidR="009018C0">
        <w:rPr>
          <w:b/>
        </w:rPr>
        <w:t>.</w:t>
      </w:r>
      <w:r w:rsidRPr="002035E1">
        <w:rPr>
          <w:b/>
        </w:rPr>
        <w:t xml:space="preserve"> </w:t>
      </w:r>
      <w:r w:rsidR="00E663B9">
        <w:rPr>
          <w:b/>
        </w:rPr>
        <w:t>Ročně</w:t>
      </w:r>
      <w:r w:rsidR="009018C0" w:rsidRPr="003351B4">
        <w:rPr>
          <w:b/>
        </w:rPr>
        <w:t xml:space="preserve"> bylo </w:t>
      </w:r>
      <w:r w:rsidR="00E663B9">
        <w:rPr>
          <w:b/>
        </w:rPr>
        <w:t>pouze na podporu značek</w:t>
      </w:r>
      <w:r w:rsidR="009018C0" w:rsidRPr="003351B4">
        <w:rPr>
          <w:b/>
        </w:rPr>
        <w:t xml:space="preserve"> </w:t>
      </w:r>
      <w:r w:rsidR="0054171B">
        <w:rPr>
          <w:b/>
        </w:rPr>
        <w:t>„</w:t>
      </w:r>
      <w:r w:rsidR="009018C0" w:rsidRPr="003351B4">
        <w:rPr>
          <w:b/>
        </w:rPr>
        <w:t>Klasa</w:t>
      </w:r>
      <w:r w:rsidR="0054171B">
        <w:rPr>
          <w:b/>
        </w:rPr>
        <w:t>“</w:t>
      </w:r>
      <w:r w:rsidR="009018C0" w:rsidRPr="003351B4">
        <w:rPr>
          <w:b/>
        </w:rPr>
        <w:t xml:space="preserve"> a </w:t>
      </w:r>
      <w:r w:rsidR="0054171B">
        <w:rPr>
          <w:b/>
        </w:rPr>
        <w:t>„</w:t>
      </w:r>
      <w:r w:rsidR="009018C0" w:rsidRPr="003351B4">
        <w:rPr>
          <w:b/>
        </w:rPr>
        <w:t>Regionální potravina</w:t>
      </w:r>
      <w:r w:rsidR="0054171B">
        <w:rPr>
          <w:b/>
        </w:rPr>
        <w:t>“</w:t>
      </w:r>
      <w:r w:rsidR="009018C0" w:rsidRPr="003351B4">
        <w:rPr>
          <w:b/>
        </w:rPr>
        <w:t xml:space="preserve"> v průměru vynaloženo z veřejných prostředků </w:t>
      </w:r>
      <w:r w:rsidR="00E663B9">
        <w:rPr>
          <w:b/>
        </w:rPr>
        <w:t xml:space="preserve">téměř </w:t>
      </w:r>
      <w:r w:rsidR="00E663B9">
        <w:rPr>
          <w:rFonts w:cs="Arial"/>
          <w:b/>
          <w:color w:val="000000"/>
          <w:szCs w:val="22"/>
          <w:lang w:eastAsia="cs-CZ"/>
        </w:rPr>
        <w:t>215 </w:t>
      </w:r>
      <w:r w:rsidR="009018C0" w:rsidRPr="003351B4">
        <w:rPr>
          <w:rFonts w:cs="Arial"/>
          <w:b/>
          <w:color w:val="000000"/>
          <w:szCs w:val="22"/>
          <w:lang w:eastAsia="cs-CZ"/>
        </w:rPr>
        <w:t>mil. Kč</w:t>
      </w:r>
      <w:r w:rsidRPr="002035E1">
        <w:rPr>
          <w:b/>
        </w:rPr>
        <w:t>.</w:t>
      </w:r>
      <w:r w:rsidR="00C8446C" w:rsidRPr="002035E1">
        <w:rPr>
          <w:b/>
        </w:rPr>
        <w:t xml:space="preserve"> </w:t>
      </w:r>
      <w:r w:rsidR="00E663B9">
        <w:rPr>
          <w:b/>
        </w:rPr>
        <w:t xml:space="preserve">Ani u jedné z kontrolovaných značek však </w:t>
      </w:r>
      <w:r w:rsidR="00E663B9" w:rsidRPr="002035E1">
        <w:rPr>
          <w:b/>
        </w:rPr>
        <w:t xml:space="preserve">není vůbec zřejmé, do jaké míry se podařilo naplnit </w:t>
      </w:r>
      <w:r w:rsidR="00E663B9">
        <w:rPr>
          <w:b/>
        </w:rPr>
        <w:t>požadované</w:t>
      </w:r>
      <w:r w:rsidR="00E663B9" w:rsidRPr="002035E1">
        <w:rPr>
          <w:b/>
        </w:rPr>
        <w:t xml:space="preserve"> cíle</w:t>
      </w:r>
      <w:r w:rsidR="00E663B9">
        <w:rPr>
          <w:b/>
        </w:rPr>
        <w:t>.</w:t>
      </w:r>
      <w:r w:rsidR="00E663B9" w:rsidRPr="002035E1">
        <w:rPr>
          <w:b/>
        </w:rPr>
        <w:t xml:space="preserve"> </w:t>
      </w:r>
    </w:p>
    <w:p w:rsidR="002D0DEB" w:rsidRDefault="002D0DEB" w:rsidP="00E72C88">
      <w:pPr>
        <w:spacing w:after="0"/>
        <w:rPr>
          <w:b/>
        </w:rPr>
      </w:pPr>
    </w:p>
    <w:p w:rsidR="00656D07" w:rsidRDefault="007A3A86" w:rsidP="00E72C88">
      <w:pPr>
        <w:spacing w:after="0"/>
      </w:pPr>
      <w:r w:rsidRPr="002035E1">
        <w:rPr>
          <w:b/>
        </w:rPr>
        <w:t xml:space="preserve">Vzhledem ke skutečnosti, že si </w:t>
      </w:r>
      <w:proofErr w:type="spellStart"/>
      <w:r w:rsidRPr="002035E1">
        <w:rPr>
          <w:b/>
        </w:rPr>
        <w:t>MZe</w:t>
      </w:r>
      <w:proofErr w:type="spellEnd"/>
      <w:r w:rsidRPr="002035E1">
        <w:rPr>
          <w:b/>
        </w:rPr>
        <w:t>, SZIF a</w:t>
      </w:r>
      <w:r w:rsidR="0054171B">
        <w:rPr>
          <w:b/>
        </w:rPr>
        <w:t>ni</w:t>
      </w:r>
      <w:r w:rsidRPr="002035E1">
        <w:rPr>
          <w:b/>
        </w:rPr>
        <w:t xml:space="preserve"> VF ve většině případů nenastavily žádné cílové hodnoty, kterých chtěly komunikační</w:t>
      </w:r>
      <w:r w:rsidR="0054171B">
        <w:rPr>
          <w:b/>
        </w:rPr>
        <w:t>mi</w:t>
      </w:r>
      <w:r w:rsidRPr="002035E1">
        <w:rPr>
          <w:b/>
        </w:rPr>
        <w:t xml:space="preserve"> kampan</w:t>
      </w:r>
      <w:r w:rsidR="0054171B">
        <w:rPr>
          <w:b/>
        </w:rPr>
        <w:t>ěmi</w:t>
      </w:r>
      <w:r w:rsidRPr="002035E1">
        <w:rPr>
          <w:b/>
        </w:rPr>
        <w:t xml:space="preserve"> na </w:t>
      </w:r>
      <w:r w:rsidR="0054171B">
        <w:rPr>
          <w:b/>
        </w:rPr>
        <w:t xml:space="preserve">podporu výše uvedených </w:t>
      </w:r>
      <w:r w:rsidRPr="002035E1">
        <w:rPr>
          <w:b/>
        </w:rPr>
        <w:t>znač</w:t>
      </w:r>
      <w:r w:rsidR="0054171B">
        <w:rPr>
          <w:b/>
        </w:rPr>
        <w:t>e</w:t>
      </w:r>
      <w:r w:rsidRPr="002035E1">
        <w:rPr>
          <w:b/>
        </w:rPr>
        <w:t>k dosáhnout, n</w:t>
      </w:r>
      <w:r w:rsidR="00C8446C" w:rsidRPr="002035E1">
        <w:rPr>
          <w:b/>
        </w:rPr>
        <w:t xml:space="preserve">elze vyhodnotit, zda </w:t>
      </w:r>
      <w:r w:rsidRPr="002035E1">
        <w:rPr>
          <w:b/>
        </w:rPr>
        <w:t>podpora</w:t>
      </w:r>
      <w:r w:rsidR="00C8446C" w:rsidRPr="002035E1">
        <w:rPr>
          <w:b/>
        </w:rPr>
        <w:t xml:space="preserve"> potravin v souvislosti s kontrolovanými značkami</w:t>
      </w:r>
      <w:r w:rsidRPr="002035E1">
        <w:rPr>
          <w:b/>
        </w:rPr>
        <w:t xml:space="preserve"> </w:t>
      </w:r>
      <w:r w:rsidR="00ED4EF4" w:rsidRPr="002035E1">
        <w:rPr>
          <w:b/>
        </w:rPr>
        <w:t>byla smysluplná</w:t>
      </w:r>
      <w:r w:rsidR="0055220D">
        <w:rPr>
          <w:b/>
        </w:rPr>
        <w:t>,</w:t>
      </w:r>
      <w:r w:rsidR="00C154FA">
        <w:rPr>
          <w:b/>
        </w:rPr>
        <w:t xml:space="preserve"> </w:t>
      </w:r>
      <w:r w:rsidR="00C154FA" w:rsidRPr="0050476B">
        <w:rPr>
          <w:b/>
        </w:rPr>
        <w:t>a</w:t>
      </w:r>
      <w:r w:rsidR="008E45FD">
        <w:rPr>
          <w:b/>
        </w:rPr>
        <w:t>ni</w:t>
      </w:r>
      <w:r w:rsidR="00C154FA" w:rsidRPr="0050476B">
        <w:rPr>
          <w:b/>
        </w:rPr>
        <w:t xml:space="preserve"> jaký</w:t>
      </w:r>
      <w:r w:rsidR="00C154FA" w:rsidRPr="00E72C88">
        <w:rPr>
          <w:b/>
        </w:rPr>
        <w:t xml:space="preserve"> </w:t>
      </w:r>
      <w:r w:rsidR="00ED4EF4" w:rsidRPr="002035E1">
        <w:rPr>
          <w:b/>
        </w:rPr>
        <w:t>měla dopad</w:t>
      </w:r>
      <w:r w:rsidR="00E663B9" w:rsidRPr="00E72C88">
        <w:rPr>
          <w:b/>
        </w:rPr>
        <w:t>.</w:t>
      </w:r>
    </w:p>
    <w:p w:rsidR="002D0DEB" w:rsidRPr="00E663B9" w:rsidRDefault="002D0DEB" w:rsidP="00E72C88">
      <w:pPr>
        <w:spacing w:after="0"/>
        <w:rPr>
          <w:b/>
        </w:rPr>
      </w:pPr>
    </w:p>
    <w:p w:rsidR="00693CFA" w:rsidRDefault="00A168F9" w:rsidP="00E72C88">
      <w:pPr>
        <w:spacing w:after="0"/>
        <w:rPr>
          <w:rFonts w:cs="Arial"/>
          <w:szCs w:val="22"/>
        </w:rPr>
      </w:pPr>
      <w:r w:rsidRPr="002035E1">
        <w:t xml:space="preserve">Kvalita a bezpečnost potravin je zaručována celou řadou právních předpisů na unijní a národní úrovni. Je v zájmu výrobců, aby </w:t>
      </w:r>
      <w:r w:rsidR="0055220D">
        <w:t xml:space="preserve">jejich </w:t>
      </w:r>
      <w:r w:rsidRPr="002035E1">
        <w:t>výrobky byly značeny tak, aby spotřebitelé měli usnadněnu orientaci na trhu a soustředili svou pozornost na výrobky, které jsou příznačné svými vlastnost</w:t>
      </w:r>
      <w:r w:rsidR="00E8587B" w:rsidRPr="002035E1">
        <w:t>m</w:t>
      </w:r>
      <w:r w:rsidRPr="002035E1">
        <w:t>i pro daného výrobce</w:t>
      </w:r>
      <w:r w:rsidR="0055220D">
        <w:t>,</w:t>
      </w:r>
      <w:r w:rsidRPr="002035E1">
        <w:t xml:space="preserve"> a podstupovali současně minimální riziko výběru nekvalitní potraviny. Přitom vnímání samotné kvality je z pohledu sp</w:t>
      </w:r>
      <w:r w:rsidR="00232589" w:rsidRPr="002035E1">
        <w:t xml:space="preserve">otřebitele značně subjektivní. </w:t>
      </w:r>
      <w:r w:rsidR="00B757C6" w:rsidRPr="002035E1">
        <w:rPr>
          <w:rFonts w:cs="Arial"/>
          <w:szCs w:val="22"/>
        </w:rPr>
        <w:t>N</w:t>
      </w:r>
      <w:r w:rsidR="00CF5145" w:rsidRPr="002035E1">
        <w:rPr>
          <w:rFonts w:cs="Arial"/>
          <w:szCs w:val="22"/>
        </w:rPr>
        <w:t xml:space="preserve">a </w:t>
      </w:r>
      <w:r w:rsidR="0094428E" w:rsidRPr="002035E1">
        <w:rPr>
          <w:rFonts w:cs="Arial"/>
          <w:szCs w:val="22"/>
        </w:rPr>
        <w:t xml:space="preserve">českém trhu </w:t>
      </w:r>
      <w:r w:rsidR="00B757C6" w:rsidRPr="002035E1">
        <w:rPr>
          <w:rFonts w:cs="Arial"/>
          <w:szCs w:val="22"/>
        </w:rPr>
        <w:t xml:space="preserve">je </w:t>
      </w:r>
      <w:r w:rsidR="0094428E" w:rsidRPr="002035E1">
        <w:rPr>
          <w:rFonts w:cs="Arial"/>
          <w:szCs w:val="22"/>
        </w:rPr>
        <w:t xml:space="preserve">používána řada </w:t>
      </w:r>
      <w:r w:rsidR="00B757C6" w:rsidRPr="002035E1">
        <w:rPr>
          <w:rFonts w:cs="Arial"/>
          <w:szCs w:val="22"/>
        </w:rPr>
        <w:t>různých</w:t>
      </w:r>
      <w:r w:rsidR="0094428E" w:rsidRPr="002035E1">
        <w:rPr>
          <w:rFonts w:cs="Arial"/>
          <w:szCs w:val="22"/>
        </w:rPr>
        <w:t xml:space="preserve"> </w:t>
      </w:r>
      <w:r w:rsidR="00693CFA" w:rsidRPr="002035E1">
        <w:rPr>
          <w:rFonts w:cs="Arial"/>
          <w:szCs w:val="22"/>
        </w:rPr>
        <w:t>systémů značení výrobků</w:t>
      </w:r>
      <w:r w:rsidR="00B757C6" w:rsidRPr="00DB53C4">
        <w:rPr>
          <w:rFonts w:cs="Arial"/>
          <w:szCs w:val="22"/>
        </w:rPr>
        <w:t>, kdy</w:t>
      </w:r>
      <w:r w:rsidR="006A0FA8" w:rsidRPr="00DB53C4">
        <w:rPr>
          <w:rFonts w:cs="Arial"/>
          <w:szCs w:val="22"/>
        </w:rPr>
        <w:t xml:space="preserve"> v některých případech </w:t>
      </w:r>
      <w:r w:rsidR="00B757C6" w:rsidRPr="00DB53C4">
        <w:rPr>
          <w:rFonts w:cs="Arial"/>
          <w:szCs w:val="22"/>
        </w:rPr>
        <w:t xml:space="preserve">tato značení </w:t>
      </w:r>
      <w:r w:rsidR="006A0FA8" w:rsidRPr="00DB53C4">
        <w:rPr>
          <w:rFonts w:cs="Arial"/>
          <w:szCs w:val="22"/>
        </w:rPr>
        <w:t xml:space="preserve">mohou poukazovat na </w:t>
      </w:r>
      <w:r w:rsidR="00B757C6" w:rsidRPr="00DB53C4">
        <w:rPr>
          <w:rFonts w:cs="Arial"/>
          <w:szCs w:val="22"/>
        </w:rPr>
        <w:t>obdobnou</w:t>
      </w:r>
      <w:r w:rsidR="006A0FA8" w:rsidRPr="00DB53C4">
        <w:rPr>
          <w:rFonts w:cs="Arial"/>
          <w:szCs w:val="22"/>
        </w:rPr>
        <w:t xml:space="preserve"> vlastnost výrobku</w:t>
      </w:r>
      <w:r w:rsidR="00B757C6" w:rsidRPr="00DB53C4">
        <w:rPr>
          <w:rFonts w:cs="Arial"/>
          <w:szCs w:val="22"/>
        </w:rPr>
        <w:t xml:space="preserve">, </w:t>
      </w:r>
      <w:r w:rsidR="0055220D">
        <w:rPr>
          <w:rFonts w:cs="Arial"/>
          <w:szCs w:val="22"/>
        </w:rPr>
        <w:t xml:space="preserve">na </w:t>
      </w:r>
      <w:r w:rsidR="00B757C6" w:rsidRPr="00DB53C4">
        <w:rPr>
          <w:rFonts w:cs="Arial"/>
          <w:szCs w:val="22"/>
        </w:rPr>
        <w:t>jako</w:t>
      </w:r>
      <w:r w:rsidR="0055220D">
        <w:rPr>
          <w:rFonts w:cs="Arial"/>
          <w:szCs w:val="22"/>
        </w:rPr>
        <w:t>u</w:t>
      </w:r>
      <w:r w:rsidR="00B757C6" w:rsidRPr="00DB53C4">
        <w:rPr>
          <w:rFonts w:cs="Arial"/>
          <w:szCs w:val="22"/>
        </w:rPr>
        <w:t xml:space="preserve"> upozorňuje některá ze tří kontrolovaných značek, jejichž marketingová podpora je financována ze státního rozpočtu</w:t>
      </w:r>
      <w:r w:rsidR="00693CFA" w:rsidRPr="00DB53C4">
        <w:rPr>
          <w:rFonts w:cs="Arial"/>
          <w:szCs w:val="22"/>
        </w:rPr>
        <w:t>. Jedná se například o značky Evropské unie</w:t>
      </w:r>
      <w:r w:rsidR="00E629FB" w:rsidRPr="00DB53C4">
        <w:rPr>
          <w:rFonts w:cs="Arial"/>
          <w:szCs w:val="22"/>
        </w:rPr>
        <w:t>:</w:t>
      </w:r>
      <w:r w:rsidR="00693CFA" w:rsidRPr="00DB53C4">
        <w:rPr>
          <w:rFonts w:cs="Arial"/>
          <w:szCs w:val="22"/>
        </w:rPr>
        <w:t xml:space="preserve"> </w:t>
      </w:r>
      <w:r w:rsidR="0055220D">
        <w:rPr>
          <w:rFonts w:cs="Arial"/>
          <w:szCs w:val="22"/>
        </w:rPr>
        <w:t>„</w:t>
      </w:r>
      <w:r w:rsidR="00693CFA" w:rsidRPr="00DB53C4">
        <w:rPr>
          <w:rStyle w:val="Siln"/>
          <w:rFonts w:cs="Arial"/>
          <w:b w:val="0"/>
          <w:szCs w:val="22"/>
        </w:rPr>
        <w:t>Chráněné označení původu</w:t>
      </w:r>
      <w:r w:rsidR="0055220D">
        <w:rPr>
          <w:rStyle w:val="Siln"/>
          <w:rFonts w:cs="Arial"/>
          <w:b w:val="0"/>
          <w:szCs w:val="22"/>
        </w:rPr>
        <w:t>“</w:t>
      </w:r>
      <w:r w:rsidR="00693CFA" w:rsidRPr="00DB53C4">
        <w:rPr>
          <w:rFonts w:cs="Arial"/>
          <w:b/>
          <w:szCs w:val="22"/>
        </w:rPr>
        <w:t xml:space="preserve"> </w:t>
      </w:r>
      <w:r w:rsidR="00693CFA" w:rsidRPr="00DB53C4">
        <w:rPr>
          <w:rFonts w:cs="Arial"/>
          <w:szCs w:val="22"/>
        </w:rPr>
        <w:t>(označuje výrobky, které mají v dané zeměpisné oblasti původ a byly tam zpracovány a</w:t>
      </w:r>
      <w:r w:rsidR="00C77731">
        <w:rPr>
          <w:rFonts w:cs="Arial"/>
          <w:szCs w:val="22"/>
        </w:rPr>
        <w:t> </w:t>
      </w:r>
      <w:r w:rsidR="00693CFA" w:rsidRPr="00DB53C4">
        <w:rPr>
          <w:rFonts w:cs="Arial"/>
          <w:szCs w:val="22"/>
        </w:rPr>
        <w:t xml:space="preserve">upraveny do konečné podoby za použití tradičního postupu), </w:t>
      </w:r>
      <w:r w:rsidR="0055220D">
        <w:rPr>
          <w:rFonts w:cs="Arial"/>
          <w:szCs w:val="22"/>
        </w:rPr>
        <w:t>„</w:t>
      </w:r>
      <w:r w:rsidR="00693CFA" w:rsidRPr="00DB53C4">
        <w:rPr>
          <w:rStyle w:val="Siln"/>
          <w:rFonts w:cs="Arial"/>
          <w:b w:val="0"/>
          <w:szCs w:val="22"/>
        </w:rPr>
        <w:t>Chráněné zeměpisné označení</w:t>
      </w:r>
      <w:r w:rsidR="0055220D">
        <w:rPr>
          <w:rStyle w:val="Siln"/>
          <w:rFonts w:cs="Arial"/>
          <w:b w:val="0"/>
          <w:szCs w:val="22"/>
        </w:rPr>
        <w:t>“</w:t>
      </w:r>
      <w:r w:rsidR="00693CFA" w:rsidRPr="00DB53C4">
        <w:rPr>
          <w:rFonts w:cs="Arial"/>
          <w:szCs w:val="22"/>
        </w:rPr>
        <w:t xml:space="preserve"> (označuje výrobky, které se k dané</w:t>
      </w:r>
      <w:r w:rsidR="00DB53C4">
        <w:rPr>
          <w:rFonts w:cs="Arial"/>
          <w:szCs w:val="22"/>
        </w:rPr>
        <w:t xml:space="preserve"> zeměpisné oblasti úzce vážou) nebo</w:t>
      </w:r>
      <w:r w:rsidR="00693CFA" w:rsidRPr="00DB53C4">
        <w:rPr>
          <w:rFonts w:cs="Arial"/>
          <w:szCs w:val="22"/>
        </w:rPr>
        <w:t xml:space="preserve"> </w:t>
      </w:r>
      <w:r w:rsidR="0055220D">
        <w:rPr>
          <w:rFonts w:cs="Arial"/>
          <w:szCs w:val="22"/>
        </w:rPr>
        <w:t>„</w:t>
      </w:r>
      <w:r w:rsidR="00693CFA" w:rsidRPr="00DB53C4">
        <w:rPr>
          <w:rStyle w:val="Siln"/>
          <w:rFonts w:cs="Arial"/>
          <w:b w:val="0"/>
          <w:szCs w:val="22"/>
        </w:rPr>
        <w:t>Zaručená tradiční specialita</w:t>
      </w:r>
      <w:r w:rsidR="0055220D">
        <w:rPr>
          <w:rStyle w:val="Siln"/>
          <w:rFonts w:cs="Arial"/>
          <w:b w:val="0"/>
          <w:szCs w:val="22"/>
        </w:rPr>
        <w:t>“</w:t>
      </w:r>
      <w:r w:rsidR="00693CFA" w:rsidRPr="00DB53C4">
        <w:rPr>
          <w:rFonts w:cs="Arial"/>
          <w:szCs w:val="22"/>
        </w:rPr>
        <w:t xml:space="preserve"> (zdůrazňuje tradiční složení produktu nebo jeho tradiční způsob výroby</w:t>
      </w:r>
      <w:r w:rsidR="00232589" w:rsidRPr="00DB53C4">
        <w:rPr>
          <w:rFonts w:cs="Arial"/>
          <w:szCs w:val="22"/>
        </w:rPr>
        <w:t>).</w:t>
      </w:r>
    </w:p>
    <w:p w:rsidR="002D0DEB" w:rsidRPr="00DB53C4" w:rsidRDefault="002D0DEB" w:rsidP="00E72C88">
      <w:pPr>
        <w:spacing w:after="0"/>
      </w:pPr>
    </w:p>
    <w:p w:rsidR="0094428E" w:rsidRPr="00DB53C4" w:rsidRDefault="0094428E" w:rsidP="00E72C88">
      <w:pPr>
        <w:spacing w:after="0"/>
      </w:pPr>
      <w:r w:rsidRPr="00DB53C4">
        <w:t>Kromě nedostatků v oblasti veřejných zakázek, které mají bezpr</w:t>
      </w:r>
      <w:r w:rsidR="00FA346E" w:rsidRPr="00DB53C4">
        <w:t>ostřední vliv na hospodárnost a </w:t>
      </w:r>
      <w:r w:rsidRPr="00DB53C4">
        <w:t xml:space="preserve">účelnost již vynaložených prostředků, </w:t>
      </w:r>
      <w:r w:rsidR="0055220D" w:rsidRPr="009B5EC1">
        <w:rPr>
          <w:b/>
        </w:rPr>
        <w:t xml:space="preserve">zjistil </w:t>
      </w:r>
      <w:r w:rsidRPr="009B5EC1">
        <w:rPr>
          <w:b/>
        </w:rPr>
        <w:t xml:space="preserve">NKÚ </w:t>
      </w:r>
      <w:r w:rsidR="0055220D">
        <w:rPr>
          <w:b/>
        </w:rPr>
        <w:t xml:space="preserve">na </w:t>
      </w:r>
      <w:r w:rsidRPr="009B5EC1">
        <w:rPr>
          <w:b/>
        </w:rPr>
        <w:t>úro</w:t>
      </w:r>
      <w:r w:rsidR="00FA346E" w:rsidRPr="009B5EC1">
        <w:rPr>
          <w:b/>
        </w:rPr>
        <w:t xml:space="preserve">vni řízení </w:t>
      </w:r>
      <w:r w:rsidR="002035E1">
        <w:rPr>
          <w:b/>
        </w:rPr>
        <w:t xml:space="preserve">podpory </w:t>
      </w:r>
      <w:r w:rsidR="0055220D">
        <w:rPr>
          <w:b/>
        </w:rPr>
        <w:t xml:space="preserve">pro kontrolované </w:t>
      </w:r>
      <w:r w:rsidR="00FA346E" w:rsidRPr="009B5EC1">
        <w:rPr>
          <w:b/>
        </w:rPr>
        <w:t>značk</w:t>
      </w:r>
      <w:r w:rsidR="0055220D">
        <w:rPr>
          <w:b/>
        </w:rPr>
        <w:t xml:space="preserve">y takové </w:t>
      </w:r>
      <w:r w:rsidR="0055220D" w:rsidRPr="009B5EC1">
        <w:rPr>
          <w:b/>
        </w:rPr>
        <w:t>nedostatky</w:t>
      </w:r>
      <w:r w:rsidR="00FA346E" w:rsidRPr="009B5EC1">
        <w:rPr>
          <w:b/>
        </w:rPr>
        <w:t>, které</w:t>
      </w:r>
      <w:r w:rsidR="00A01E04" w:rsidRPr="009B5EC1">
        <w:rPr>
          <w:b/>
        </w:rPr>
        <w:t xml:space="preserve"> </w:t>
      </w:r>
      <w:r w:rsidRPr="009B5EC1">
        <w:rPr>
          <w:b/>
        </w:rPr>
        <w:t xml:space="preserve">zpochybňují opodstatněnost dalších </w:t>
      </w:r>
      <w:r w:rsidR="00E8587B" w:rsidRPr="009B5EC1">
        <w:rPr>
          <w:b/>
        </w:rPr>
        <w:t xml:space="preserve">veřejných </w:t>
      </w:r>
      <w:r w:rsidRPr="009B5EC1">
        <w:rPr>
          <w:b/>
        </w:rPr>
        <w:t>výdajů na</w:t>
      </w:r>
      <w:r w:rsidR="00CF5145" w:rsidRPr="009B5EC1">
        <w:rPr>
          <w:b/>
        </w:rPr>
        <w:t xml:space="preserve"> </w:t>
      </w:r>
      <w:r w:rsidR="002035E1">
        <w:rPr>
          <w:b/>
        </w:rPr>
        <w:t>tyto značky</w:t>
      </w:r>
      <w:r w:rsidR="00CF5145" w:rsidRPr="009B5EC1">
        <w:rPr>
          <w:b/>
        </w:rPr>
        <w:t>.</w:t>
      </w:r>
      <w:r w:rsidR="00CF5145" w:rsidRPr="00DB53C4">
        <w:t xml:space="preserve"> </w:t>
      </w:r>
      <w:r w:rsidRPr="00DB53C4">
        <w:t xml:space="preserve">NKÚ doporučuje učinit </w:t>
      </w:r>
      <w:r w:rsidR="0055220D">
        <w:t xml:space="preserve">tyto </w:t>
      </w:r>
      <w:r w:rsidRPr="00DB53C4">
        <w:t>kroky ke zlepšení</w:t>
      </w:r>
      <w:r w:rsidR="0055220D">
        <w:t xml:space="preserve"> stavu v kontrolované oblasti</w:t>
      </w:r>
      <w:r w:rsidRPr="00DB53C4">
        <w:t>:</w:t>
      </w:r>
    </w:p>
    <w:p w:rsidR="0094428E" w:rsidRPr="00DB53C4" w:rsidRDefault="005C0A31" w:rsidP="0094428E">
      <w:pPr>
        <w:pStyle w:val="Odstavecseseznamem"/>
        <w:numPr>
          <w:ilvl w:val="0"/>
          <w:numId w:val="35"/>
        </w:numPr>
      </w:pPr>
      <w:r>
        <w:t>p</w:t>
      </w:r>
      <w:r w:rsidR="0094428E" w:rsidRPr="00DB53C4">
        <w:t xml:space="preserve">řehodnotit strategii řízení a podpory značek tak, aby reflektovala aktuální vývoj v množství, zaměření a využití značek a systémů značení potravin, a to i s ohledem </w:t>
      </w:r>
      <w:r>
        <w:t xml:space="preserve">na </w:t>
      </w:r>
      <w:r w:rsidR="002E6582" w:rsidRPr="00DB53C4">
        <w:t xml:space="preserve">zavedené značení Evropské unie </w:t>
      </w:r>
      <w:r w:rsidR="0094428E" w:rsidRPr="00DB53C4">
        <w:t>pro ochranu původu</w:t>
      </w:r>
      <w:r>
        <w:t>,</w:t>
      </w:r>
      <w:r w:rsidR="0094428E" w:rsidRPr="00DB53C4">
        <w:t xml:space="preserve"> </w:t>
      </w:r>
      <w:r>
        <w:t>pro</w:t>
      </w:r>
      <w:r w:rsidR="0094428E" w:rsidRPr="00DB53C4">
        <w:t xml:space="preserve"> zeměpisné označení a pro zaručené tradiční speciality</w:t>
      </w:r>
      <w:r>
        <w:t>;</w:t>
      </w:r>
      <w:r w:rsidR="0094428E" w:rsidRPr="00DB53C4">
        <w:t xml:space="preserve"> </w:t>
      </w:r>
    </w:p>
    <w:p w:rsidR="0094428E" w:rsidRPr="00DB53C4" w:rsidRDefault="005C0A31" w:rsidP="0094428E">
      <w:pPr>
        <w:pStyle w:val="Odstavecseseznamem"/>
        <w:numPr>
          <w:ilvl w:val="0"/>
          <w:numId w:val="35"/>
        </w:numPr>
      </w:pPr>
      <w:r>
        <w:t>p</w:t>
      </w:r>
      <w:r w:rsidR="0094428E" w:rsidRPr="00DB53C4">
        <w:t>ři nastav</w:t>
      </w:r>
      <w:r>
        <w:t>ování</w:t>
      </w:r>
      <w:r w:rsidR="0094428E" w:rsidRPr="00DB53C4">
        <w:t xml:space="preserve"> komunikačních strategií </w:t>
      </w:r>
      <w:r>
        <w:t>pro</w:t>
      </w:r>
      <w:r w:rsidR="0094428E" w:rsidRPr="00DB53C4">
        <w:t xml:space="preserve"> danou značku definovat marketingové cíle, komunikační cíle a mediální cíle</w:t>
      </w:r>
      <w:r>
        <w:t xml:space="preserve"> tak</w:t>
      </w:r>
      <w:r w:rsidR="0094428E" w:rsidRPr="00DB53C4">
        <w:t xml:space="preserve">, </w:t>
      </w:r>
      <w:r>
        <w:t>aby bylo možné</w:t>
      </w:r>
      <w:r w:rsidR="0094428E" w:rsidRPr="00DB53C4">
        <w:t xml:space="preserve"> vyhodnotit dopady a přínosy pro cílové skupiny</w:t>
      </w:r>
      <w:r>
        <w:t>;</w:t>
      </w:r>
    </w:p>
    <w:p w:rsidR="001B65C6" w:rsidRDefault="005C0A31" w:rsidP="00FD76CE">
      <w:pPr>
        <w:pStyle w:val="Odstavecseseznamem"/>
        <w:numPr>
          <w:ilvl w:val="0"/>
          <w:numId w:val="35"/>
        </w:numPr>
      </w:pPr>
      <w:r>
        <w:t>vyhodnocovat</w:t>
      </w:r>
      <w:r w:rsidR="0094428E" w:rsidRPr="00DB53C4">
        <w:t xml:space="preserve"> mír</w:t>
      </w:r>
      <w:r>
        <w:t>u</w:t>
      </w:r>
      <w:r w:rsidR="0094428E" w:rsidRPr="00DB53C4">
        <w:t xml:space="preserve"> splnění cílů</w:t>
      </w:r>
      <w:r>
        <w:t xml:space="preserve"> </w:t>
      </w:r>
      <w:r w:rsidR="0068377C">
        <w:t xml:space="preserve">u </w:t>
      </w:r>
      <w:r w:rsidR="0094428E" w:rsidRPr="00DB53C4">
        <w:t>realizovaných komunikačních strategií vždy před nastavení</w:t>
      </w:r>
      <w:r w:rsidR="00FA346E" w:rsidRPr="00DB53C4">
        <w:t>m a realizací nových aktivit na</w:t>
      </w:r>
      <w:r>
        <w:t xml:space="preserve"> </w:t>
      </w:r>
      <w:r w:rsidR="0094428E" w:rsidRPr="00DB53C4">
        <w:t>podporu pozice značky na trhu.</w:t>
      </w:r>
    </w:p>
    <w:p w:rsidR="001B65C6" w:rsidRPr="00E72C88" w:rsidRDefault="001B65C6" w:rsidP="00E72C88">
      <w:pPr>
        <w:spacing w:after="200" w:line="276" w:lineRule="auto"/>
        <w:ind w:left="1418" w:hanging="1418"/>
        <w:jc w:val="left"/>
        <w:rPr>
          <w:rFonts w:cs="Arial"/>
          <w:b/>
        </w:rPr>
      </w:pPr>
      <w:r>
        <w:br w:type="page"/>
      </w:r>
      <w:r w:rsidRPr="00E72C88">
        <w:rPr>
          <w:rFonts w:cs="Arial"/>
          <w:b/>
        </w:rPr>
        <w:lastRenderedPageBreak/>
        <w:t xml:space="preserve">Příloha č. 1 – Přehled realizovaných a kontrolovaných komunikačních kampaní na </w:t>
      </w:r>
      <w:r w:rsidR="00F73A21" w:rsidRPr="00E72C88">
        <w:rPr>
          <w:rFonts w:cs="Arial"/>
          <w:b/>
        </w:rPr>
        <w:t xml:space="preserve">podporu </w:t>
      </w:r>
      <w:r w:rsidRPr="00E72C88">
        <w:rPr>
          <w:rFonts w:cs="Arial"/>
          <w:b/>
        </w:rPr>
        <w:t>znač</w:t>
      </w:r>
      <w:r w:rsidR="00F73A21" w:rsidRPr="00E72C88">
        <w:rPr>
          <w:rFonts w:cs="Arial"/>
          <w:b/>
        </w:rPr>
        <w:t>e</w:t>
      </w:r>
      <w:r w:rsidRPr="00E72C88">
        <w:rPr>
          <w:rFonts w:cs="Arial"/>
          <w:b/>
        </w:rPr>
        <w:t xml:space="preserve">k </w:t>
      </w:r>
      <w:r w:rsidR="00F73A21" w:rsidRPr="00E72C88">
        <w:rPr>
          <w:rFonts w:cs="Arial"/>
          <w:b/>
        </w:rPr>
        <w:t>„</w:t>
      </w:r>
      <w:r w:rsidRPr="00E72C88">
        <w:rPr>
          <w:rFonts w:cs="Arial"/>
          <w:b/>
        </w:rPr>
        <w:t>Klasa</w:t>
      </w:r>
      <w:r w:rsidR="00F73A21" w:rsidRPr="00E72C88">
        <w:rPr>
          <w:rFonts w:cs="Arial"/>
          <w:b/>
        </w:rPr>
        <w:t>“</w:t>
      </w:r>
      <w:r w:rsidRPr="00E72C88">
        <w:rPr>
          <w:rFonts w:cs="Arial"/>
          <w:b/>
        </w:rPr>
        <w:t xml:space="preserve">, </w:t>
      </w:r>
      <w:r w:rsidR="00F73A21" w:rsidRPr="00E72C88">
        <w:rPr>
          <w:rFonts w:cs="Arial"/>
          <w:b/>
        </w:rPr>
        <w:t>„</w:t>
      </w:r>
      <w:r w:rsidRPr="00E72C88">
        <w:rPr>
          <w:rFonts w:cs="Arial"/>
          <w:b/>
        </w:rPr>
        <w:t>Regionální potravina</w:t>
      </w:r>
      <w:r w:rsidR="00F73A21" w:rsidRPr="00E72C88">
        <w:rPr>
          <w:rFonts w:cs="Arial"/>
          <w:b/>
        </w:rPr>
        <w:t>“ a</w:t>
      </w:r>
      <w:r w:rsidRPr="00E72C88">
        <w:rPr>
          <w:rFonts w:cs="Arial"/>
          <w:b/>
        </w:rPr>
        <w:t xml:space="preserve"> </w:t>
      </w:r>
      <w:r w:rsidR="00F73A21" w:rsidRPr="00E72C88">
        <w:rPr>
          <w:rFonts w:cs="Arial"/>
          <w:b/>
        </w:rPr>
        <w:t>„v</w:t>
      </w:r>
      <w:r w:rsidRPr="00E72C88">
        <w:rPr>
          <w:rFonts w:cs="Arial"/>
          <w:b/>
        </w:rPr>
        <w:t>ína z Moravy, vína z</w:t>
      </w:r>
      <w:r w:rsidR="00F73A21" w:rsidRPr="00E72C88">
        <w:rPr>
          <w:rFonts w:cs="Arial"/>
          <w:b/>
        </w:rPr>
        <w:t> </w:t>
      </w:r>
      <w:r w:rsidRPr="00E72C88">
        <w:rPr>
          <w:rFonts w:cs="Arial"/>
          <w:b/>
        </w:rPr>
        <w:t>Čech</w:t>
      </w:r>
      <w:r w:rsidR="00F73A21" w:rsidRPr="00E72C88">
        <w:rPr>
          <w:rFonts w:cs="Arial"/>
          <w:b/>
        </w:rPr>
        <w:t>“</w:t>
      </w:r>
    </w:p>
    <w:p w:rsidR="001B65C6" w:rsidRPr="00863352" w:rsidRDefault="001B65C6" w:rsidP="00122216">
      <w:pPr>
        <w:rPr>
          <w:rFonts w:cs="Arial"/>
        </w:rPr>
      </w:pPr>
    </w:p>
    <w:p w:rsidR="001B65C6" w:rsidRPr="00E72C88" w:rsidRDefault="001B65C6" w:rsidP="001B65C6">
      <w:pPr>
        <w:pStyle w:val="Titulek"/>
        <w:spacing w:after="0"/>
        <w:rPr>
          <w:rFonts w:cs="Arial"/>
          <w:b w:val="0"/>
          <w:sz w:val="22"/>
          <w:szCs w:val="22"/>
        </w:rPr>
      </w:pPr>
      <w:r w:rsidRPr="00E72C88">
        <w:rPr>
          <w:rFonts w:cs="Arial"/>
          <w:sz w:val="22"/>
          <w:szCs w:val="22"/>
        </w:rPr>
        <w:t xml:space="preserve">Tabulka č. 1 – Komunikační kampaně na podporu značky </w:t>
      </w:r>
      <w:r w:rsidR="00FA36BC">
        <w:rPr>
          <w:rFonts w:cs="Arial"/>
          <w:sz w:val="22"/>
          <w:szCs w:val="22"/>
        </w:rPr>
        <w:t>„</w:t>
      </w:r>
      <w:r w:rsidRPr="00E72C88">
        <w:rPr>
          <w:rFonts w:cs="Arial"/>
          <w:sz w:val="22"/>
          <w:szCs w:val="22"/>
        </w:rPr>
        <w:t>K</w:t>
      </w:r>
      <w:r w:rsidR="00FA36BC">
        <w:rPr>
          <w:rFonts w:cs="Arial"/>
          <w:sz w:val="22"/>
          <w:szCs w:val="22"/>
        </w:rPr>
        <w:t xml:space="preserve">lasa“ </w:t>
      </w:r>
      <w:r w:rsidRPr="00E72C88">
        <w:rPr>
          <w:rFonts w:cs="Arial"/>
          <w:sz w:val="22"/>
          <w:szCs w:val="22"/>
        </w:rPr>
        <w:t>v letech 2008–2013</w:t>
      </w:r>
    </w:p>
    <w:tbl>
      <w:tblPr>
        <w:tblStyle w:val="Mkatabulky"/>
        <w:tblpPr w:leftFromText="141" w:rightFromText="141" w:vertAnchor="text" w:horzAnchor="margin" w:tblpX="148" w:tblpY="197"/>
        <w:tblW w:w="4919" w:type="pct"/>
        <w:tblLook w:val="04A0" w:firstRow="1" w:lastRow="0" w:firstColumn="1" w:lastColumn="0" w:noHBand="0" w:noVBand="1"/>
      </w:tblPr>
      <w:tblGrid>
        <w:gridCol w:w="951"/>
        <w:gridCol w:w="1700"/>
        <w:gridCol w:w="1842"/>
        <w:gridCol w:w="3262"/>
        <w:gridCol w:w="1711"/>
      </w:tblGrid>
      <w:tr w:rsidR="00771299" w:rsidRPr="00D07076" w:rsidTr="00B932ED">
        <w:trPr>
          <w:trHeight w:val="794"/>
        </w:trPr>
        <w:tc>
          <w:tcPr>
            <w:tcW w:w="502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07076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98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07076">
              <w:rPr>
                <w:rFonts w:cs="Arial"/>
                <w:b/>
                <w:sz w:val="20"/>
                <w:szCs w:val="20"/>
              </w:rPr>
              <w:t>Zadavatel (administrátor)</w:t>
            </w:r>
          </w:p>
        </w:tc>
        <w:tc>
          <w:tcPr>
            <w:tcW w:w="973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07076">
              <w:rPr>
                <w:rFonts w:cs="Arial"/>
                <w:b/>
                <w:sz w:val="20"/>
                <w:szCs w:val="20"/>
              </w:rPr>
              <w:t>Vlastník značky</w:t>
            </w:r>
          </w:p>
        </w:tc>
        <w:tc>
          <w:tcPr>
            <w:tcW w:w="1721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07076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04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07076">
              <w:rPr>
                <w:rFonts w:cs="Arial"/>
                <w:b/>
                <w:bCs/>
                <w:color w:val="000000"/>
                <w:sz w:val="20"/>
                <w:szCs w:val="20"/>
              </w:rPr>
              <w:t>Vynaložené prostředky (v</w:t>
            </w:r>
            <w:r w:rsidR="00F73A21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D07076">
              <w:rPr>
                <w:rFonts w:cs="Arial"/>
                <w:b/>
                <w:bCs/>
                <w:color w:val="000000"/>
                <w:sz w:val="20"/>
                <w:szCs w:val="20"/>
              </w:rPr>
              <w:t>Kč</w:t>
            </w:r>
            <w:r w:rsidR="00E52793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D07076">
              <w:rPr>
                <w:rFonts w:cs="Arial"/>
                <w:b/>
                <w:bCs/>
                <w:color w:val="000000"/>
                <w:sz w:val="20"/>
                <w:szCs w:val="20"/>
              </w:rPr>
              <w:t>vč.</w:t>
            </w:r>
            <w:r w:rsidR="00E52793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D07076">
              <w:rPr>
                <w:rFonts w:cs="Arial"/>
                <w:b/>
                <w:bCs/>
                <w:color w:val="000000"/>
                <w:sz w:val="20"/>
                <w:szCs w:val="20"/>
              </w:rPr>
              <w:t>DPH)</w:t>
            </w:r>
          </w:p>
        </w:tc>
      </w:tr>
      <w:tr w:rsidR="00771299" w:rsidRPr="00D07076" w:rsidTr="00B932ED">
        <w:trPr>
          <w:trHeight w:val="692"/>
        </w:trPr>
        <w:tc>
          <w:tcPr>
            <w:tcW w:w="502" w:type="pct"/>
            <w:vAlign w:val="center"/>
          </w:tcPr>
          <w:p w:rsidR="001B65C6" w:rsidRPr="00600F2B" w:rsidRDefault="001B65C6" w:rsidP="00B932ED">
            <w:pPr>
              <w:spacing w:after="0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 w:rsidRPr="00D07076">
              <w:rPr>
                <w:rFonts w:cs="Arial"/>
                <w:sz w:val="20"/>
                <w:szCs w:val="20"/>
              </w:rPr>
              <w:t>2005</w:t>
            </w:r>
            <w:r w:rsidR="00F73A21">
              <w:rPr>
                <w:rFonts w:cs="Arial"/>
                <w:sz w:val="20"/>
                <w:szCs w:val="20"/>
              </w:rPr>
              <w:t xml:space="preserve"> až </w:t>
            </w:r>
            <w:r w:rsidRPr="00D07076">
              <w:rPr>
                <w:rFonts w:cs="Arial"/>
                <w:sz w:val="20"/>
                <w:szCs w:val="20"/>
              </w:rPr>
              <w:t>2008</w:t>
            </w:r>
            <w:r w:rsidR="00600F2B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8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7076">
              <w:rPr>
                <w:rFonts w:cs="Arial"/>
                <w:sz w:val="20"/>
                <w:szCs w:val="20"/>
              </w:rPr>
              <w:t>SZIF</w:t>
            </w:r>
          </w:p>
        </w:tc>
        <w:tc>
          <w:tcPr>
            <w:tcW w:w="973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07076">
              <w:rPr>
                <w:rFonts w:cs="Arial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722" w:type="pc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7076">
              <w:rPr>
                <w:rFonts w:cs="Arial"/>
                <w:sz w:val="20"/>
                <w:szCs w:val="20"/>
              </w:rPr>
              <w:t>Prohloubení povědomí o národní značce KLASA</w:t>
            </w:r>
          </w:p>
        </w:tc>
        <w:tc>
          <w:tcPr>
            <w:tcW w:w="904" w:type="pct"/>
            <w:vAlign w:val="center"/>
          </w:tcPr>
          <w:p w:rsidR="001B65C6" w:rsidRPr="00D07076" w:rsidRDefault="001B65C6" w:rsidP="00B932ED">
            <w:pPr>
              <w:spacing w:after="0"/>
              <w:ind w:left="-96" w:right="62"/>
              <w:jc w:val="right"/>
              <w:rPr>
                <w:rFonts w:cs="Arial"/>
                <w:sz w:val="20"/>
                <w:szCs w:val="20"/>
              </w:rPr>
            </w:pPr>
            <w:r w:rsidRPr="00D07076">
              <w:rPr>
                <w:rFonts w:cs="Arial"/>
                <w:sz w:val="20"/>
                <w:szCs w:val="20"/>
                <w:lang w:eastAsia="cs-CZ"/>
              </w:rPr>
              <w:t>592 312 270</w:t>
            </w:r>
          </w:p>
        </w:tc>
      </w:tr>
      <w:tr w:rsidR="00771299" w:rsidRPr="00D07076" w:rsidTr="00B932ED">
        <w:trPr>
          <w:trHeight w:val="692"/>
        </w:trPr>
        <w:tc>
          <w:tcPr>
            <w:tcW w:w="502" w:type="pct"/>
            <w:vAlign w:val="center"/>
          </w:tcPr>
          <w:p w:rsidR="001B65C6" w:rsidRPr="00D07076" w:rsidRDefault="001B65C6" w:rsidP="00B932ED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D07076">
              <w:rPr>
                <w:rFonts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98" w:type="pct"/>
            <w:vMerge w:val="restar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7076">
              <w:rPr>
                <w:rFonts w:cs="Arial"/>
                <w:sz w:val="20"/>
                <w:szCs w:val="20"/>
              </w:rPr>
              <w:t>SZIF</w:t>
            </w:r>
          </w:p>
        </w:tc>
        <w:tc>
          <w:tcPr>
            <w:tcW w:w="973" w:type="pct"/>
            <w:vMerge w:val="restart"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07076">
              <w:rPr>
                <w:rFonts w:cs="Arial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722" w:type="pct"/>
            <w:vMerge w:val="restart"/>
            <w:vAlign w:val="center"/>
          </w:tcPr>
          <w:p w:rsidR="0018410D" w:rsidRDefault="001B65C6" w:rsidP="00B932ED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 xml:space="preserve">Komunikační </w:t>
            </w:r>
            <w:r w:rsidRPr="00372A09">
              <w:rPr>
                <w:rFonts w:cs="Arial"/>
                <w:b/>
                <w:sz w:val="20"/>
                <w:szCs w:val="20"/>
              </w:rPr>
              <w:t>ATL/BTL</w:t>
            </w:r>
            <w:r w:rsidRPr="00372A09">
              <w:rPr>
                <w:rStyle w:val="Znakapoznpodarou"/>
                <w:rFonts w:cs="Arial"/>
                <w:b/>
              </w:rPr>
              <w:footnoteReference w:id="15"/>
            </w:r>
            <w:r w:rsidRPr="00372A0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>podpora značky KLASA na rok 2009</w:t>
            </w:r>
            <w:r w:rsidR="00F73A21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 xml:space="preserve">2011; </w:t>
            </w:r>
          </w:p>
          <w:p w:rsidR="001B65C6" w:rsidRPr="00372A09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>Mediální podpora značky KLASA na rok 2009</w:t>
            </w:r>
            <w:r w:rsidR="00F73A21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 xml:space="preserve">2011; Public relations podpora značky KLASA na rok </w:t>
            </w:r>
            <w:r w:rsidR="0018410D"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>2009</w:t>
            </w:r>
            <w:r w:rsidR="00F73A21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04" w:type="pct"/>
            <w:vMerge w:val="restart"/>
            <w:vAlign w:val="center"/>
          </w:tcPr>
          <w:p w:rsidR="001B65C6" w:rsidRPr="00D07076" w:rsidRDefault="001B65C6" w:rsidP="00B932ED">
            <w:pPr>
              <w:spacing w:after="0"/>
              <w:ind w:left="-96" w:right="62"/>
              <w:jc w:val="right"/>
              <w:rPr>
                <w:rFonts w:cs="Arial"/>
                <w:sz w:val="20"/>
                <w:szCs w:val="20"/>
              </w:rPr>
            </w:pPr>
            <w:r w:rsidRPr="00D07076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556 290 270</w:t>
            </w:r>
          </w:p>
        </w:tc>
      </w:tr>
      <w:tr w:rsidR="00771299" w:rsidRPr="00D07076" w:rsidTr="00B932ED">
        <w:trPr>
          <w:trHeight w:val="692"/>
        </w:trPr>
        <w:tc>
          <w:tcPr>
            <w:tcW w:w="502" w:type="pct"/>
            <w:vAlign w:val="center"/>
          </w:tcPr>
          <w:p w:rsidR="001B65C6" w:rsidRPr="00D07076" w:rsidRDefault="001B65C6" w:rsidP="00B932ED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D07076">
              <w:rPr>
                <w:rFonts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98" w:type="pct"/>
            <w:vMerge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3" w:type="pct"/>
            <w:vMerge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2" w:type="pct"/>
            <w:vMerge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4" w:type="pct"/>
            <w:vMerge/>
            <w:vAlign w:val="center"/>
          </w:tcPr>
          <w:p w:rsidR="001B65C6" w:rsidRPr="00D07076" w:rsidRDefault="001B65C6" w:rsidP="00B932ED">
            <w:pPr>
              <w:spacing w:after="0"/>
              <w:ind w:left="-96" w:right="62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71299" w:rsidRPr="00D07076" w:rsidTr="00B932ED">
        <w:trPr>
          <w:trHeight w:val="692"/>
        </w:trPr>
        <w:tc>
          <w:tcPr>
            <w:tcW w:w="502" w:type="pct"/>
            <w:vAlign w:val="center"/>
          </w:tcPr>
          <w:p w:rsidR="001B65C6" w:rsidRPr="00D07076" w:rsidRDefault="001B65C6" w:rsidP="00B932ED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D07076">
              <w:rPr>
                <w:rFonts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98" w:type="pct"/>
            <w:vMerge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3" w:type="pct"/>
            <w:vMerge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2" w:type="pct"/>
            <w:vMerge/>
            <w:vAlign w:val="center"/>
          </w:tcPr>
          <w:p w:rsidR="001B65C6" w:rsidRPr="00D07076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4" w:type="pct"/>
            <w:vMerge/>
            <w:vAlign w:val="center"/>
          </w:tcPr>
          <w:p w:rsidR="001B65C6" w:rsidRPr="00D07076" w:rsidRDefault="001B65C6" w:rsidP="00B932ED">
            <w:pPr>
              <w:spacing w:after="0"/>
              <w:ind w:left="-96" w:right="62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330AC" w:rsidRPr="00D07076" w:rsidTr="00B932ED">
        <w:trPr>
          <w:trHeight w:val="692"/>
        </w:trPr>
        <w:tc>
          <w:tcPr>
            <w:tcW w:w="502" w:type="pct"/>
            <w:vAlign w:val="center"/>
          </w:tcPr>
          <w:p w:rsidR="00E330AC" w:rsidRPr="00D07076" w:rsidRDefault="00E330AC" w:rsidP="00B932ED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D07076">
              <w:rPr>
                <w:rFonts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98" w:type="pct"/>
            <w:vMerge w:val="restart"/>
            <w:vAlign w:val="center"/>
          </w:tcPr>
          <w:p w:rsidR="00E330AC" w:rsidRPr="00D07076" w:rsidRDefault="00E330AC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7076">
              <w:rPr>
                <w:rFonts w:cs="Arial"/>
                <w:sz w:val="20"/>
                <w:szCs w:val="20"/>
              </w:rPr>
              <w:t>SZIF</w:t>
            </w:r>
          </w:p>
        </w:tc>
        <w:tc>
          <w:tcPr>
            <w:tcW w:w="973" w:type="pct"/>
            <w:vMerge w:val="restart"/>
            <w:vAlign w:val="center"/>
          </w:tcPr>
          <w:p w:rsidR="00E330AC" w:rsidRPr="00D07076" w:rsidRDefault="00E330AC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07076">
              <w:rPr>
                <w:rFonts w:cs="Arial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722" w:type="pct"/>
            <w:vMerge w:val="restart"/>
            <w:vAlign w:val="center"/>
          </w:tcPr>
          <w:p w:rsidR="00E330AC" w:rsidRDefault="00E330AC" w:rsidP="00B932ED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 xml:space="preserve">Rámcová smlouva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 xml:space="preserve"> Komunikační podpora značky KLASA na období </w:t>
            </w:r>
          </w:p>
          <w:p w:rsidR="00E330AC" w:rsidRPr="00600F2B" w:rsidRDefault="00E330AC" w:rsidP="00B932ED">
            <w:pPr>
              <w:spacing w:after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>2012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72A09">
              <w:rPr>
                <w:rFonts w:cs="Arial"/>
                <w:b/>
                <w:color w:val="000000"/>
                <w:sz w:val="20"/>
                <w:szCs w:val="20"/>
              </w:rPr>
              <w:t>2013</w:t>
            </w:r>
            <w:r w:rsidR="00600F2B">
              <w:rPr>
                <w:rFonts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4" w:type="pct"/>
            <w:vMerge w:val="restart"/>
            <w:vAlign w:val="center"/>
          </w:tcPr>
          <w:p w:rsidR="00E330AC" w:rsidRPr="00372DAE" w:rsidRDefault="00E330AC" w:rsidP="00B932ED">
            <w:pPr>
              <w:spacing w:after="0"/>
              <w:ind w:left="-96" w:right="6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07076">
              <w:rPr>
                <w:rFonts w:cs="Arial"/>
                <w:color w:val="000000"/>
                <w:sz w:val="20"/>
                <w:szCs w:val="20"/>
              </w:rPr>
              <w:t>356 014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D07076">
              <w:rPr>
                <w:rFonts w:cs="Arial"/>
                <w:color w:val="000000"/>
                <w:sz w:val="20"/>
                <w:szCs w:val="20"/>
              </w:rPr>
              <w:t>539</w:t>
            </w:r>
          </w:p>
        </w:tc>
      </w:tr>
      <w:tr w:rsidR="00E330AC" w:rsidRPr="00D07076" w:rsidTr="00B932ED">
        <w:trPr>
          <w:trHeight w:val="692"/>
        </w:trPr>
        <w:tc>
          <w:tcPr>
            <w:tcW w:w="502" w:type="pct"/>
            <w:vAlign w:val="center"/>
          </w:tcPr>
          <w:p w:rsidR="00E330AC" w:rsidRPr="00D07076" w:rsidRDefault="00E330AC" w:rsidP="00B932ED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D07076">
              <w:rPr>
                <w:rFonts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98" w:type="pct"/>
            <w:vMerge/>
            <w:vAlign w:val="center"/>
          </w:tcPr>
          <w:p w:rsidR="00E330AC" w:rsidRPr="00D07076" w:rsidRDefault="00E330AC" w:rsidP="00B932E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73" w:type="pct"/>
            <w:vMerge/>
            <w:vAlign w:val="center"/>
          </w:tcPr>
          <w:p w:rsidR="00E330AC" w:rsidRPr="00D07076" w:rsidRDefault="00E330AC" w:rsidP="00B932E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2" w:type="pct"/>
            <w:vMerge/>
            <w:vAlign w:val="center"/>
          </w:tcPr>
          <w:p w:rsidR="00E330AC" w:rsidRPr="00D07076" w:rsidRDefault="00E330AC" w:rsidP="00B932E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04" w:type="pct"/>
            <w:vMerge/>
            <w:vAlign w:val="center"/>
          </w:tcPr>
          <w:p w:rsidR="00E330AC" w:rsidRPr="00D07076" w:rsidRDefault="00E330AC" w:rsidP="00B932ED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17D40" w:rsidRPr="00D07076" w:rsidTr="00B932ED">
        <w:trPr>
          <w:trHeight w:val="397"/>
        </w:trPr>
        <w:tc>
          <w:tcPr>
            <w:tcW w:w="4096" w:type="pct"/>
            <w:gridSpan w:val="4"/>
            <w:vAlign w:val="center"/>
          </w:tcPr>
          <w:p w:rsidR="001B65C6" w:rsidRPr="00E75352" w:rsidRDefault="001B65C6" w:rsidP="00B932ED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75352">
              <w:rPr>
                <w:rFonts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04" w:type="pct"/>
            <w:vAlign w:val="center"/>
          </w:tcPr>
          <w:p w:rsidR="001B65C6" w:rsidRPr="00E75352" w:rsidRDefault="001B65C6" w:rsidP="00B932ED">
            <w:pPr>
              <w:spacing w:after="0"/>
              <w:ind w:left="-98" w:right="6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E75352">
              <w:rPr>
                <w:rFonts w:cs="Arial"/>
                <w:b/>
                <w:color w:val="000000"/>
                <w:sz w:val="20"/>
                <w:szCs w:val="20"/>
              </w:rPr>
              <w:t>1 504 617 079</w:t>
            </w:r>
          </w:p>
        </w:tc>
      </w:tr>
    </w:tbl>
    <w:p w:rsidR="001B65C6" w:rsidRPr="00D07076" w:rsidRDefault="001B65C6" w:rsidP="001B65C6">
      <w:pPr>
        <w:spacing w:after="0"/>
        <w:rPr>
          <w:rFonts w:cs="Arial"/>
          <w:sz w:val="18"/>
          <w:szCs w:val="18"/>
        </w:rPr>
      </w:pPr>
      <w:r w:rsidRPr="001B65C6">
        <w:rPr>
          <w:rFonts w:cs="Arial"/>
          <w:b/>
          <w:sz w:val="18"/>
          <w:szCs w:val="18"/>
        </w:rPr>
        <w:t>Zdroj:</w:t>
      </w:r>
      <w:r w:rsidRPr="00D07076">
        <w:rPr>
          <w:rFonts w:cs="Arial"/>
          <w:sz w:val="18"/>
          <w:szCs w:val="18"/>
        </w:rPr>
        <w:t xml:space="preserve"> </w:t>
      </w:r>
      <w:r w:rsidR="00F73A21">
        <w:rPr>
          <w:rFonts w:cs="Arial"/>
          <w:sz w:val="18"/>
          <w:szCs w:val="18"/>
        </w:rPr>
        <w:t>i</w:t>
      </w:r>
      <w:r w:rsidRPr="00D07076">
        <w:rPr>
          <w:rFonts w:cs="Arial"/>
          <w:sz w:val="18"/>
          <w:szCs w:val="18"/>
        </w:rPr>
        <w:t>nformace a doklady SZIF</w:t>
      </w:r>
      <w:r>
        <w:rPr>
          <w:rFonts w:cs="Arial"/>
          <w:sz w:val="18"/>
          <w:szCs w:val="18"/>
        </w:rPr>
        <w:t>.</w:t>
      </w:r>
    </w:p>
    <w:p w:rsidR="001B65C6" w:rsidRDefault="00600F2B" w:rsidP="00E72C88">
      <w:pPr>
        <w:spacing w:after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1</w:t>
      </w:r>
      <w:r w:rsidR="001B65C6">
        <w:rPr>
          <w:rFonts w:cs="Arial"/>
          <w:sz w:val="18"/>
          <w:szCs w:val="18"/>
        </w:rPr>
        <w:t xml:space="preserve"> </w:t>
      </w:r>
      <w:r w:rsidR="00F73A21">
        <w:rPr>
          <w:rFonts w:cs="Arial"/>
          <w:sz w:val="18"/>
          <w:szCs w:val="18"/>
        </w:rPr>
        <w:tab/>
        <w:t>K</w:t>
      </w:r>
      <w:r w:rsidR="001B65C6">
        <w:rPr>
          <w:rFonts w:cs="Arial"/>
          <w:sz w:val="18"/>
          <w:szCs w:val="18"/>
        </w:rPr>
        <w:t>ontrolovaným obdobím byly roky 2008–2013.</w:t>
      </w:r>
    </w:p>
    <w:p w:rsidR="001B65C6" w:rsidRPr="008F3A10" w:rsidRDefault="00600F2B" w:rsidP="00E72C88">
      <w:pPr>
        <w:spacing w:after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2</w:t>
      </w:r>
      <w:r w:rsidR="001B65C6" w:rsidRPr="00D07076">
        <w:rPr>
          <w:rFonts w:cs="Arial"/>
          <w:sz w:val="18"/>
          <w:szCs w:val="18"/>
        </w:rPr>
        <w:t xml:space="preserve"> </w:t>
      </w:r>
      <w:r w:rsidR="00F73A21">
        <w:rPr>
          <w:rFonts w:cs="Arial"/>
          <w:sz w:val="18"/>
          <w:szCs w:val="18"/>
        </w:rPr>
        <w:tab/>
        <w:t>V</w:t>
      </w:r>
      <w:r w:rsidR="001B65C6" w:rsidRPr="00D07076">
        <w:rPr>
          <w:rFonts w:cs="Arial"/>
          <w:sz w:val="18"/>
          <w:szCs w:val="18"/>
        </w:rPr>
        <w:t>četně zakázek malého rozsahu a přímého zadání</w:t>
      </w:r>
      <w:r w:rsidR="001B65C6">
        <w:rPr>
          <w:rFonts w:cs="Arial"/>
          <w:sz w:val="18"/>
          <w:szCs w:val="18"/>
        </w:rPr>
        <w:t>.</w:t>
      </w:r>
    </w:p>
    <w:p w:rsidR="001B65C6" w:rsidRPr="00DC2300" w:rsidRDefault="001B65C6" w:rsidP="001B65C6">
      <w:pPr>
        <w:pStyle w:val="Titulek"/>
        <w:rPr>
          <w:rFonts w:cs="Arial"/>
          <w:b w:val="0"/>
          <w:sz w:val="18"/>
          <w:szCs w:val="18"/>
        </w:rPr>
      </w:pPr>
      <w:r w:rsidRPr="001B65C6">
        <w:rPr>
          <w:rFonts w:cs="Arial"/>
          <w:sz w:val="18"/>
          <w:szCs w:val="18"/>
        </w:rPr>
        <w:t>Pozn.:</w:t>
      </w:r>
      <w:r w:rsidRPr="00451BF1">
        <w:rPr>
          <w:rFonts w:cs="Arial"/>
          <w:b w:val="0"/>
          <w:sz w:val="18"/>
          <w:szCs w:val="18"/>
        </w:rPr>
        <w:t xml:space="preserve"> Komunikační kampaně, které byly podrobeny kontrole NKÚ, jsou v tabulce zvýrazněny tučným písmem.</w:t>
      </w:r>
    </w:p>
    <w:p w:rsidR="001B65C6" w:rsidRDefault="001B65C6" w:rsidP="001B65C6">
      <w:pPr>
        <w:pStyle w:val="Titulek"/>
        <w:rPr>
          <w:rFonts w:cs="Arial"/>
          <w:szCs w:val="22"/>
        </w:rPr>
      </w:pPr>
    </w:p>
    <w:p w:rsidR="001B65C6" w:rsidRDefault="001B65C6">
      <w:pPr>
        <w:spacing w:after="200" w:line="276" w:lineRule="auto"/>
        <w:jc w:val="left"/>
        <w:rPr>
          <w:rFonts w:cs="Arial"/>
          <w:b/>
          <w:bCs/>
          <w:sz w:val="20"/>
          <w:szCs w:val="22"/>
        </w:rPr>
      </w:pPr>
      <w:r>
        <w:rPr>
          <w:rFonts w:cs="Arial"/>
          <w:szCs w:val="22"/>
        </w:rPr>
        <w:br w:type="page"/>
      </w:r>
    </w:p>
    <w:p w:rsidR="001B65C6" w:rsidRPr="00FA114B" w:rsidRDefault="001B65C6" w:rsidP="00FA114B">
      <w:pPr>
        <w:pStyle w:val="Titulek"/>
        <w:spacing w:after="0"/>
        <w:ind w:left="1531" w:hanging="1531"/>
        <w:jc w:val="left"/>
        <w:rPr>
          <w:rFonts w:cs="Arial"/>
          <w:sz w:val="22"/>
          <w:szCs w:val="22"/>
        </w:rPr>
      </w:pPr>
      <w:r w:rsidRPr="00FA114B">
        <w:rPr>
          <w:rFonts w:cs="Arial"/>
          <w:sz w:val="22"/>
          <w:szCs w:val="22"/>
        </w:rPr>
        <w:lastRenderedPageBreak/>
        <w:t xml:space="preserve">Tabulka č. 2 – Kontrolované komunikační kampaně na podporu značky </w:t>
      </w:r>
      <w:r w:rsidR="000C6593">
        <w:rPr>
          <w:rFonts w:cs="Arial"/>
          <w:sz w:val="22"/>
          <w:szCs w:val="22"/>
        </w:rPr>
        <w:t>„</w:t>
      </w:r>
      <w:r w:rsidRPr="00FA114B">
        <w:rPr>
          <w:rFonts w:cs="Arial"/>
          <w:sz w:val="22"/>
          <w:szCs w:val="22"/>
        </w:rPr>
        <w:t>Regionální potravina</w:t>
      </w:r>
      <w:r w:rsidR="000C6593">
        <w:rPr>
          <w:rFonts w:cs="Arial"/>
          <w:sz w:val="22"/>
          <w:szCs w:val="22"/>
        </w:rPr>
        <w:t>“</w:t>
      </w:r>
      <w:r w:rsidRPr="00FA114B">
        <w:rPr>
          <w:rFonts w:cs="Arial"/>
          <w:sz w:val="22"/>
          <w:szCs w:val="22"/>
        </w:rPr>
        <w:t xml:space="preserve"> realizované v letech 2010–2013</w:t>
      </w:r>
    </w:p>
    <w:tbl>
      <w:tblPr>
        <w:tblStyle w:val="Mkatabulky"/>
        <w:tblpPr w:leftFromText="141" w:rightFromText="141" w:vertAnchor="text" w:horzAnchor="margin" w:tblpX="108" w:tblpY="197"/>
        <w:tblW w:w="4918" w:type="pct"/>
        <w:tblLook w:val="04A0" w:firstRow="1" w:lastRow="0" w:firstColumn="1" w:lastColumn="0" w:noHBand="0" w:noVBand="1"/>
      </w:tblPr>
      <w:tblGrid>
        <w:gridCol w:w="957"/>
        <w:gridCol w:w="1702"/>
        <w:gridCol w:w="1844"/>
        <w:gridCol w:w="3261"/>
        <w:gridCol w:w="1700"/>
      </w:tblGrid>
      <w:tr w:rsidR="00D256E9" w:rsidRPr="00022C25" w:rsidTr="00B932ED">
        <w:trPr>
          <w:trHeight w:val="794"/>
        </w:trPr>
        <w:tc>
          <w:tcPr>
            <w:tcW w:w="506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99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Zadavatel (administrátor)</w:t>
            </w:r>
          </w:p>
        </w:tc>
        <w:tc>
          <w:tcPr>
            <w:tcW w:w="974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Vlastník značky</w:t>
            </w:r>
          </w:p>
        </w:tc>
        <w:tc>
          <w:tcPr>
            <w:tcW w:w="1723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898" w:type="pct"/>
            <w:vAlign w:val="center"/>
          </w:tcPr>
          <w:p w:rsidR="001B65C6" w:rsidRPr="00022C25" w:rsidRDefault="001B65C6" w:rsidP="00B932ED">
            <w:pPr>
              <w:spacing w:after="0"/>
              <w:ind w:left="-109" w:right="-10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Vynaložené prostředky </w:t>
            </w: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(v</w:t>
            </w:r>
            <w:r w:rsidR="000C6593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Kč</w:t>
            </w:r>
            <w:r w:rsidR="000C6593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vč.</w:t>
            </w:r>
            <w:r w:rsidR="00C555E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DPH)</w:t>
            </w:r>
          </w:p>
        </w:tc>
      </w:tr>
      <w:tr w:rsidR="00D256E9" w:rsidRPr="00022C25" w:rsidTr="00B932ED">
        <w:trPr>
          <w:trHeight w:val="690"/>
        </w:trPr>
        <w:tc>
          <w:tcPr>
            <w:tcW w:w="506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899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22C25">
              <w:rPr>
                <w:rFonts w:cs="Arial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974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22C25">
              <w:rPr>
                <w:rFonts w:cs="Arial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723" w:type="pct"/>
            <w:vAlign w:val="center"/>
          </w:tcPr>
          <w:p w:rsidR="001B65C6" w:rsidRPr="00E53AD9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Kampaň na podporu regionálních potravin pro rok 2010</w:t>
            </w:r>
            <w:r w:rsidR="00E53AD9">
              <w:rPr>
                <w:rFonts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898" w:type="pct"/>
            <w:vAlign w:val="center"/>
          </w:tcPr>
          <w:p w:rsidR="001B65C6" w:rsidRPr="00022C25" w:rsidRDefault="001B65C6" w:rsidP="00B932ED">
            <w:pPr>
              <w:spacing w:after="0"/>
              <w:ind w:left="-108" w:right="62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eastAsia="cs-CZ"/>
              </w:rPr>
              <w:t>49 731 115</w:t>
            </w:r>
          </w:p>
        </w:tc>
      </w:tr>
      <w:tr w:rsidR="00D256E9" w:rsidRPr="00022C25" w:rsidTr="00B932ED">
        <w:trPr>
          <w:trHeight w:val="690"/>
        </w:trPr>
        <w:tc>
          <w:tcPr>
            <w:tcW w:w="506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899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22C25">
              <w:rPr>
                <w:rFonts w:cs="Arial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974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22C25">
              <w:rPr>
                <w:rFonts w:cs="Arial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723" w:type="pct"/>
            <w:vAlign w:val="center"/>
          </w:tcPr>
          <w:p w:rsidR="001B65C6" w:rsidRPr="00E53AD9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Informační kampaň o projektu Regionální potravina pro rok 2011</w:t>
            </w:r>
            <w:r w:rsidR="00E53AD9">
              <w:rPr>
                <w:rFonts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898" w:type="pct"/>
            <w:vAlign w:val="center"/>
          </w:tcPr>
          <w:p w:rsidR="001B65C6" w:rsidRPr="00022C25" w:rsidRDefault="001B65C6" w:rsidP="00B932ED">
            <w:pPr>
              <w:spacing w:after="0"/>
              <w:ind w:left="-108" w:right="62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eastAsia="cs-CZ"/>
              </w:rPr>
              <w:t>33 163 089</w:t>
            </w:r>
          </w:p>
        </w:tc>
      </w:tr>
      <w:tr w:rsidR="00D256E9" w:rsidRPr="00022C25" w:rsidTr="00B932ED">
        <w:trPr>
          <w:trHeight w:val="692"/>
        </w:trPr>
        <w:tc>
          <w:tcPr>
            <w:tcW w:w="506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2012</w:t>
            </w:r>
          </w:p>
        </w:tc>
        <w:tc>
          <w:tcPr>
            <w:tcW w:w="899" w:type="pct"/>
            <w:vMerge w:val="restar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SZIF</w:t>
            </w:r>
          </w:p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22C25">
              <w:rPr>
                <w:rFonts w:cs="Arial"/>
                <w:sz w:val="20"/>
                <w:szCs w:val="20"/>
              </w:rPr>
              <w:t>MZe</w:t>
            </w:r>
            <w:proofErr w:type="spellEnd"/>
          </w:p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pct"/>
            <w:vMerge w:val="restart"/>
            <w:vAlign w:val="center"/>
          </w:tcPr>
          <w:p w:rsidR="001B65C6" w:rsidRPr="00E53AD9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Marketingová, mediální a PR kampaň prezentující regionální potraviny</w:t>
            </w:r>
            <w:r w:rsidR="00E53AD9">
              <w:rPr>
                <w:rFonts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898" w:type="pct"/>
            <w:vMerge w:val="restart"/>
            <w:vAlign w:val="center"/>
          </w:tcPr>
          <w:p w:rsidR="001B65C6" w:rsidRPr="00022C25" w:rsidRDefault="001B65C6" w:rsidP="00B932ED">
            <w:pPr>
              <w:spacing w:after="0"/>
              <w:ind w:left="-108" w:right="62"/>
              <w:jc w:val="right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bCs/>
                <w:color w:val="000000"/>
                <w:sz w:val="20"/>
                <w:szCs w:val="20"/>
                <w:lang w:eastAsia="cs-CZ"/>
              </w:rPr>
              <w:t>87 637 215</w:t>
            </w:r>
          </w:p>
        </w:tc>
      </w:tr>
      <w:tr w:rsidR="00D256E9" w:rsidRPr="00022C25" w:rsidTr="00B932ED">
        <w:trPr>
          <w:trHeight w:val="692"/>
        </w:trPr>
        <w:tc>
          <w:tcPr>
            <w:tcW w:w="506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2013</w:t>
            </w:r>
          </w:p>
        </w:tc>
        <w:tc>
          <w:tcPr>
            <w:tcW w:w="899" w:type="pct"/>
            <w:vMerge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pct"/>
            <w:vMerge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898" w:type="pct"/>
            <w:vMerge/>
          </w:tcPr>
          <w:p w:rsidR="001B65C6" w:rsidRPr="00022C25" w:rsidRDefault="001B65C6" w:rsidP="00B932ED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B65C6" w:rsidRPr="00022C25" w:rsidTr="00B932ED">
        <w:trPr>
          <w:trHeight w:val="397"/>
        </w:trPr>
        <w:tc>
          <w:tcPr>
            <w:tcW w:w="4102" w:type="pct"/>
            <w:gridSpan w:val="4"/>
            <w:vAlign w:val="center"/>
          </w:tcPr>
          <w:p w:rsidR="001B65C6" w:rsidRPr="00E75352" w:rsidRDefault="001B65C6" w:rsidP="00B932ED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E75352">
              <w:rPr>
                <w:rFonts w:cs="Arial"/>
                <w:b/>
                <w:sz w:val="20"/>
                <w:szCs w:val="20"/>
              </w:rPr>
              <w:t>Celkem</w:t>
            </w:r>
          </w:p>
        </w:tc>
        <w:tc>
          <w:tcPr>
            <w:tcW w:w="898" w:type="pct"/>
            <w:vAlign w:val="center"/>
          </w:tcPr>
          <w:p w:rsidR="001B65C6" w:rsidRPr="00E75352" w:rsidRDefault="001B65C6" w:rsidP="00B932ED">
            <w:pPr>
              <w:spacing w:after="0"/>
              <w:ind w:left="-108" w:right="6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170 531 419</w:t>
            </w:r>
          </w:p>
        </w:tc>
      </w:tr>
    </w:tbl>
    <w:p w:rsidR="001B65C6" w:rsidRDefault="001B65C6" w:rsidP="001B65C6">
      <w:pPr>
        <w:spacing w:after="0"/>
        <w:rPr>
          <w:rFonts w:cs="Arial"/>
          <w:sz w:val="18"/>
          <w:szCs w:val="18"/>
        </w:rPr>
      </w:pPr>
      <w:r w:rsidRPr="001B65C6">
        <w:rPr>
          <w:rFonts w:cs="Arial"/>
          <w:b/>
          <w:sz w:val="18"/>
          <w:szCs w:val="18"/>
        </w:rPr>
        <w:t>Zdroj:</w:t>
      </w:r>
      <w:r w:rsidRPr="00D07076">
        <w:rPr>
          <w:rFonts w:cs="Arial"/>
          <w:sz w:val="18"/>
          <w:szCs w:val="18"/>
        </w:rPr>
        <w:t xml:space="preserve"> </w:t>
      </w:r>
      <w:r w:rsidR="000C6593">
        <w:rPr>
          <w:rFonts w:cs="Arial"/>
          <w:sz w:val="18"/>
          <w:szCs w:val="18"/>
        </w:rPr>
        <w:t>i</w:t>
      </w:r>
      <w:r w:rsidRPr="00D07076">
        <w:rPr>
          <w:rFonts w:cs="Arial"/>
          <w:sz w:val="18"/>
          <w:szCs w:val="18"/>
        </w:rPr>
        <w:t xml:space="preserve">nformace a doklady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a</w:t>
      </w:r>
      <w:r w:rsidRPr="00D07076">
        <w:rPr>
          <w:rFonts w:cs="Arial"/>
          <w:sz w:val="18"/>
          <w:szCs w:val="18"/>
        </w:rPr>
        <w:t xml:space="preserve"> SZIF</w:t>
      </w:r>
      <w:r w:rsidR="0050476B">
        <w:rPr>
          <w:rFonts w:cs="Arial"/>
          <w:sz w:val="18"/>
          <w:szCs w:val="18"/>
        </w:rPr>
        <w:t>.</w:t>
      </w:r>
    </w:p>
    <w:p w:rsidR="001B65C6" w:rsidRDefault="00E53AD9" w:rsidP="00FA114B">
      <w:pPr>
        <w:spacing w:after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1</w:t>
      </w:r>
      <w:r w:rsidR="001B65C6">
        <w:rPr>
          <w:rFonts w:cs="Arial"/>
          <w:sz w:val="18"/>
          <w:szCs w:val="18"/>
        </w:rPr>
        <w:t xml:space="preserve"> </w:t>
      </w:r>
      <w:r w:rsidR="000C6593">
        <w:rPr>
          <w:rFonts w:cs="Arial"/>
          <w:sz w:val="18"/>
          <w:szCs w:val="18"/>
        </w:rPr>
        <w:tab/>
        <w:t>V</w:t>
      </w:r>
      <w:r w:rsidR="001B65C6" w:rsidRPr="00D07076">
        <w:rPr>
          <w:rFonts w:cs="Arial"/>
          <w:sz w:val="18"/>
          <w:szCs w:val="18"/>
        </w:rPr>
        <w:t>četně zakázek malého rozsahu</w:t>
      </w:r>
      <w:r w:rsidR="001B65C6">
        <w:rPr>
          <w:rFonts w:cs="Arial"/>
          <w:sz w:val="18"/>
          <w:szCs w:val="18"/>
        </w:rPr>
        <w:t xml:space="preserve"> a objednávek realizovaných v souvislosti s prezentací značky </w:t>
      </w:r>
      <w:r w:rsidR="000C6593">
        <w:rPr>
          <w:rFonts w:cs="Arial"/>
          <w:sz w:val="18"/>
          <w:szCs w:val="18"/>
        </w:rPr>
        <w:t>„</w:t>
      </w:r>
      <w:r w:rsidR="001B65C6">
        <w:rPr>
          <w:rFonts w:cs="Arial"/>
          <w:sz w:val="18"/>
          <w:szCs w:val="18"/>
        </w:rPr>
        <w:t>Regionální potravina</w:t>
      </w:r>
      <w:r w:rsidR="000C6593">
        <w:rPr>
          <w:rFonts w:cs="Arial"/>
          <w:sz w:val="18"/>
          <w:szCs w:val="18"/>
        </w:rPr>
        <w:t>“</w:t>
      </w:r>
      <w:r w:rsidR="001B65C6">
        <w:rPr>
          <w:rFonts w:cs="Arial"/>
          <w:sz w:val="18"/>
          <w:szCs w:val="18"/>
        </w:rPr>
        <w:t>.</w:t>
      </w:r>
    </w:p>
    <w:p w:rsidR="001B65C6" w:rsidRPr="00FA114B" w:rsidRDefault="001B65C6" w:rsidP="001B65C6">
      <w:pPr>
        <w:spacing w:after="0"/>
        <w:rPr>
          <w:rFonts w:cs="Arial"/>
          <w:szCs w:val="22"/>
        </w:rPr>
      </w:pPr>
    </w:p>
    <w:p w:rsidR="001B65C6" w:rsidRPr="00FA114B" w:rsidRDefault="001B65C6" w:rsidP="00FA114B">
      <w:pPr>
        <w:pStyle w:val="Titulek"/>
        <w:spacing w:after="0"/>
        <w:ind w:left="1531" w:hanging="1531"/>
        <w:jc w:val="left"/>
        <w:rPr>
          <w:rFonts w:cs="Arial"/>
          <w:sz w:val="22"/>
          <w:szCs w:val="22"/>
        </w:rPr>
      </w:pPr>
      <w:r w:rsidRPr="00FA114B">
        <w:rPr>
          <w:rFonts w:cs="Arial"/>
          <w:sz w:val="22"/>
          <w:szCs w:val="22"/>
        </w:rPr>
        <w:t xml:space="preserve">Tabulka č. 3 – Kontrolované komunikační kampaně na podporu značky </w:t>
      </w:r>
      <w:r w:rsidR="000C6593">
        <w:rPr>
          <w:rFonts w:cs="Arial"/>
          <w:sz w:val="22"/>
          <w:szCs w:val="22"/>
        </w:rPr>
        <w:t>„v</w:t>
      </w:r>
      <w:r w:rsidRPr="00FA114B">
        <w:rPr>
          <w:rFonts w:cs="Arial"/>
          <w:sz w:val="22"/>
          <w:szCs w:val="22"/>
        </w:rPr>
        <w:t>ína z Moravy, vína z</w:t>
      </w:r>
      <w:r w:rsidR="000C6593">
        <w:rPr>
          <w:rFonts w:cs="Arial"/>
          <w:sz w:val="22"/>
          <w:szCs w:val="22"/>
        </w:rPr>
        <w:t> </w:t>
      </w:r>
      <w:r w:rsidRPr="00FA114B">
        <w:rPr>
          <w:rFonts w:cs="Arial"/>
          <w:sz w:val="22"/>
          <w:szCs w:val="22"/>
        </w:rPr>
        <w:t>Čech</w:t>
      </w:r>
      <w:r w:rsidR="000C6593">
        <w:rPr>
          <w:rFonts w:cs="Arial"/>
          <w:sz w:val="22"/>
          <w:szCs w:val="22"/>
        </w:rPr>
        <w:t>“</w:t>
      </w:r>
      <w:r w:rsidRPr="00FA114B">
        <w:rPr>
          <w:rFonts w:cs="Arial"/>
          <w:sz w:val="22"/>
          <w:szCs w:val="22"/>
        </w:rPr>
        <w:t xml:space="preserve"> realizované v letech 2008–2013</w:t>
      </w:r>
    </w:p>
    <w:tbl>
      <w:tblPr>
        <w:tblStyle w:val="Mkatabulky"/>
        <w:tblpPr w:leftFromText="141" w:rightFromText="141" w:vertAnchor="text" w:horzAnchor="margin" w:tblpX="108" w:tblpY="197"/>
        <w:tblW w:w="4925" w:type="pct"/>
        <w:tblLayout w:type="fixed"/>
        <w:tblLook w:val="04A0" w:firstRow="1" w:lastRow="0" w:firstColumn="1" w:lastColumn="0" w:noHBand="0" w:noVBand="1"/>
      </w:tblPr>
      <w:tblGrid>
        <w:gridCol w:w="958"/>
        <w:gridCol w:w="1700"/>
        <w:gridCol w:w="1843"/>
        <w:gridCol w:w="3279"/>
        <w:gridCol w:w="1698"/>
      </w:tblGrid>
      <w:tr w:rsidR="001B65C6" w:rsidRPr="00022C25" w:rsidTr="00B932ED">
        <w:trPr>
          <w:trHeight w:val="794"/>
        </w:trPr>
        <w:tc>
          <w:tcPr>
            <w:tcW w:w="505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97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Zadavatel (administrátor)</w:t>
            </w:r>
          </w:p>
        </w:tc>
        <w:tc>
          <w:tcPr>
            <w:tcW w:w="972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Vlastník značky</w:t>
            </w:r>
          </w:p>
        </w:tc>
        <w:tc>
          <w:tcPr>
            <w:tcW w:w="1730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894" w:type="pct"/>
            <w:vAlign w:val="center"/>
          </w:tcPr>
          <w:p w:rsidR="001B65C6" w:rsidRPr="00022C25" w:rsidRDefault="001B65C6" w:rsidP="00B932ED">
            <w:pPr>
              <w:spacing w:after="0"/>
              <w:ind w:left="-123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Vynaložené prostředky (v</w:t>
            </w:r>
            <w:r w:rsidR="00C555E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Kč</w:t>
            </w:r>
            <w:r w:rsidR="00C555E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vč.</w:t>
            </w:r>
            <w:r w:rsidR="00C555E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022C25">
              <w:rPr>
                <w:rFonts w:cs="Arial"/>
                <w:b/>
                <w:bCs/>
                <w:color w:val="000000"/>
                <w:sz w:val="20"/>
                <w:szCs w:val="20"/>
              </w:rPr>
              <w:t>DPH)</w:t>
            </w:r>
          </w:p>
        </w:tc>
      </w:tr>
      <w:tr w:rsidR="001B65C6" w:rsidRPr="00022C25" w:rsidTr="00B932ED">
        <w:trPr>
          <w:trHeight w:val="690"/>
        </w:trPr>
        <w:tc>
          <w:tcPr>
            <w:tcW w:w="505" w:type="pct"/>
            <w:vAlign w:val="center"/>
          </w:tcPr>
          <w:p w:rsidR="001B65C6" w:rsidRPr="00F53DCD" w:rsidRDefault="001B65C6" w:rsidP="00B932ED">
            <w:pPr>
              <w:spacing w:after="0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2006</w:t>
            </w:r>
            <w:r w:rsidR="000C6593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až </w:t>
            </w:r>
            <w:r w:rsidRPr="00022C25">
              <w:rPr>
                <w:rFonts w:cs="Arial"/>
                <w:color w:val="000000"/>
                <w:sz w:val="20"/>
                <w:szCs w:val="20"/>
                <w:lang w:eastAsia="cs-CZ"/>
              </w:rPr>
              <w:t>2008</w:t>
            </w:r>
            <w:r w:rsidR="00F53DCD">
              <w:rPr>
                <w:rFonts w:cs="Arial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897" w:type="pct"/>
            <w:vMerge w:val="restar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VF</w:t>
            </w:r>
          </w:p>
        </w:tc>
        <w:tc>
          <w:tcPr>
            <w:tcW w:w="972" w:type="pct"/>
            <w:vMerge w:val="restart"/>
            <w:vAlign w:val="center"/>
          </w:tcPr>
          <w:p w:rsidR="001B65C6" w:rsidRPr="001130E3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130E3">
              <w:rPr>
                <w:rFonts w:cs="Arial"/>
                <w:sz w:val="20"/>
                <w:szCs w:val="20"/>
              </w:rPr>
              <w:t>Národní vinařské centrum, o.p.s</w:t>
            </w:r>
            <w:r w:rsidR="000C6593">
              <w:rPr>
                <w:rFonts w:cs="Arial"/>
                <w:sz w:val="20"/>
                <w:szCs w:val="20"/>
              </w:rPr>
              <w:t>.</w:t>
            </w:r>
            <w:r w:rsidRPr="001130E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pct"/>
            <w:vMerge w:val="restart"/>
            <w:vAlign w:val="center"/>
          </w:tcPr>
          <w:p w:rsidR="001B65C6" w:rsidRPr="00F53DCD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372A09">
              <w:rPr>
                <w:rFonts w:cs="Arial"/>
                <w:b/>
                <w:sz w:val="20"/>
                <w:szCs w:val="20"/>
              </w:rPr>
              <w:t>Komunikační strategie</w:t>
            </w:r>
            <w:r w:rsidR="00F53DCD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4" w:type="pct"/>
            <w:vMerge w:val="restart"/>
            <w:vAlign w:val="center"/>
          </w:tcPr>
          <w:p w:rsidR="001B65C6" w:rsidRPr="00022C25" w:rsidRDefault="001B65C6" w:rsidP="00B932ED">
            <w:pPr>
              <w:spacing w:after="0"/>
              <w:ind w:left="-125" w:right="6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197 981 778</w:t>
            </w:r>
          </w:p>
        </w:tc>
      </w:tr>
      <w:tr w:rsidR="001B65C6" w:rsidRPr="00022C25" w:rsidTr="00B932ED">
        <w:trPr>
          <w:trHeight w:val="690"/>
        </w:trPr>
        <w:tc>
          <w:tcPr>
            <w:tcW w:w="505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897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pct"/>
            <w:vMerge/>
            <w:vAlign w:val="center"/>
          </w:tcPr>
          <w:p w:rsidR="001B65C6" w:rsidRPr="001130E3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1B65C6" w:rsidRPr="00022C25" w:rsidRDefault="001B65C6" w:rsidP="00B932ED">
            <w:pPr>
              <w:spacing w:after="0"/>
              <w:ind w:left="-125" w:right="6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5C6" w:rsidRPr="00022C25" w:rsidTr="00B932ED">
        <w:trPr>
          <w:trHeight w:val="690"/>
        </w:trPr>
        <w:tc>
          <w:tcPr>
            <w:tcW w:w="505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897" w:type="pct"/>
            <w:vMerge w:val="restar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VF</w:t>
            </w:r>
          </w:p>
        </w:tc>
        <w:tc>
          <w:tcPr>
            <w:tcW w:w="972" w:type="pct"/>
            <w:vMerge w:val="restart"/>
            <w:vAlign w:val="center"/>
          </w:tcPr>
          <w:p w:rsidR="001B65C6" w:rsidRPr="001130E3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130E3">
              <w:rPr>
                <w:rFonts w:cs="Arial"/>
                <w:sz w:val="20"/>
                <w:szCs w:val="20"/>
              </w:rPr>
              <w:t>Národní vinařské centrum, o.p.s</w:t>
            </w:r>
            <w:r w:rsidR="000C659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30" w:type="pct"/>
            <w:vMerge w:val="restart"/>
            <w:vAlign w:val="center"/>
          </w:tcPr>
          <w:p w:rsidR="001B65C6" w:rsidRPr="00372A09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Komunikační strategie pro značku Vína z Moravy, vína z Čech</w:t>
            </w:r>
          </w:p>
        </w:tc>
        <w:tc>
          <w:tcPr>
            <w:tcW w:w="894" w:type="pct"/>
            <w:vMerge w:val="restart"/>
            <w:vAlign w:val="center"/>
          </w:tcPr>
          <w:p w:rsidR="001B65C6" w:rsidRPr="00022C25" w:rsidRDefault="001B65C6" w:rsidP="00B932ED">
            <w:pPr>
              <w:spacing w:after="0"/>
              <w:ind w:left="-125" w:right="6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113 125 210</w:t>
            </w:r>
          </w:p>
        </w:tc>
      </w:tr>
      <w:tr w:rsidR="001B65C6" w:rsidRPr="00022C25" w:rsidTr="00B932ED">
        <w:trPr>
          <w:trHeight w:val="690"/>
        </w:trPr>
        <w:tc>
          <w:tcPr>
            <w:tcW w:w="505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897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pct"/>
            <w:vMerge/>
            <w:vAlign w:val="center"/>
          </w:tcPr>
          <w:p w:rsidR="001B65C6" w:rsidRPr="001130E3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5C6" w:rsidRPr="00022C25" w:rsidTr="00B932ED">
        <w:trPr>
          <w:trHeight w:val="690"/>
        </w:trPr>
        <w:tc>
          <w:tcPr>
            <w:tcW w:w="505" w:type="pct"/>
            <w:vAlign w:val="center"/>
          </w:tcPr>
          <w:p w:rsidR="001B65C6" w:rsidRPr="00022C25" w:rsidRDefault="001B65C6" w:rsidP="00B932ED">
            <w:pPr>
              <w:spacing w:after="0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2012</w:t>
            </w:r>
          </w:p>
        </w:tc>
        <w:tc>
          <w:tcPr>
            <w:tcW w:w="897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pct"/>
            <w:vMerge/>
            <w:vAlign w:val="center"/>
          </w:tcPr>
          <w:p w:rsidR="001B65C6" w:rsidRPr="001130E3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1B65C6" w:rsidRPr="00022C25" w:rsidRDefault="001B65C6" w:rsidP="00B932ED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5C6" w:rsidRPr="00022C25" w:rsidTr="00B932ED">
        <w:trPr>
          <w:trHeight w:val="690"/>
        </w:trPr>
        <w:tc>
          <w:tcPr>
            <w:tcW w:w="505" w:type="pct"/>
            <w:vAlign w:val="center"/>
          </w:tcPr>
          <w:p w:rsidR="001B65C6" w:rsidRPr="00F53DCD" w:rsidRDefault="001B65C6" w:rsidP="00B932ED">
            <w:pPr>
              <w:spacing w:after="0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 w:rsidRPr="00022C25">
              <w:rPr>
                <w:rFonts w:cs="Arial"/>
                <w:sz w:val="20"/>
                <w:szCs w:val="20"/>
              </w:rPr>
              <w:t>2013</w:t>
            </w:r>
            <w:r w:rsidR="00D256E9">
              <w:rPr>
                <w:rFonts w:cs="Arial"/>
                <w:sz w:val="20"/>
                <w:szCs w:val="20"/>
              </w:rPr>
              <w:t xml:space="preserve"> až </w:t>
            </w:r>
            <w:r w:rsidRPr="00022C25">
              <w:rPr>
                <w:rFonts w:cs="Arial"/>
                <w:sz w:val="20"/>
                <w:szCs w:val="20"/>
              </w:rPr>
              <w:t>2015</w:t>
            </w:r>
            <w:r w:rsidR="00F53DCD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7" w:type="pct"/>
            <w:vAlign w:val="center"/>
          </w:tcPr>
          <w:p w:rsidR="001B65C6" w:rsidRPr="00022C25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2C25">
              <w:rPr>
                <w:rFonts w:cs="Arial"/>
                <w:sz w:val="20"/>
                <w:szCs w:val="20"/>
              </w:rPr>
              <w:t>VF</w:t>
            </w:r>
          </w:p>
        </w:tc>
        <w:tc>
          <w:tcPr>
            <w:tcW w:w="972" w:type="pct"/>
            <w:vAlign w:val="center"/>
          </w:tcPr>
          <w:p w:rsidR="001B65C6" w:rsidRPr="001130E3" w:rsidRDefault="001B65C6" w:rsidP="00B932E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130E3">
              <w:rPr>
                <w:rFonts w:cs="Arial"/>
                <w:sz w:val="20"/>
                <w:szCs w:val="20"/>
              </w:rPr>
              <w:t>Národní vinařské centrum, o.p.s</w:t>
            </w:r>
            <w:r w:rsidR="000C659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30" w:type="pct"/>
            <w:vAlign w:val="center"/>
          </w:tcPr>
          <w:p w:rsidR="001B65C6" w:rsidRPr="00372A09" w:rsidRDefault="001B65C6" w:rsidP="00B932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72A09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Komunikační strategie pro značku Vína z Moravy, vína z Čech</w:t>
            </w:r>
          </w:p>
        </w:tc>
        <w:tc>
          <w:tcPr>
            <w:tcW w:w="894" w:type="pct"/>
            <w:vAlign w:val="center"/>
          </w:tcPr>
          <w:p w:rsidR="001B65C6" w:rsidRPr="00F53DCD" w:rsidRDefault="001B65C6" w:rsidP="00B932ED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9D691E">
              <w:rPr>
                <w:rFonts w:cs="Arial"/>
                <w:color w:val="000000"/>
                <w:sz w:val="20"/>
                <w:szCs w:val="20"/>
              </w:rPr>
              <w:t>32 384</w:t>
            </w:r>
            <w:r w:rsidR="00F53DC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9D691E">
              <w:rPr>
                <w:rFonts w:cs="Arial"/>
                <w:color w:val="000000"/>
                <w:sz w:val="20"/>
                <w:szCs w:val="20"/>
              </w:rPr>
              <w:t>692</w:t>
            </w:r>
            <w:r w:rsidR="00F53DCD">
              <w:rPr>
                <w:rFonts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B65C6" w:rsidRPr="00022C25" w:rsidTr="00B932ED">
        <w:trPr>
          <w:trHeight w:val="397"/>
        </w:trPr>
        <w:tc>
          <w:tcPr>
            <w:tcW w:w="4103" w:type="pct"/>
            <w:gridSpan w:val="4"/>
            <w:vAlign w:val="center"/>
          </w:tcPr>
          <w:p w:rsidR="001B65C6" w:rsidRPr="00E75352" w:rsidRDefault="001B65C6" w:rsidP="00B932ED">
            <w:pPr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E75352">
              <w:rPr>
                <w:rFonts w:cs="Arial"/>
                <w:b/>
                <w:sz w:val="20"/>
                <w:szCs w:val="20"/>
              </w:rPr>
              <w:t>Celkem</w:t>
            </w:r>
          </w:p>
        </w:tc>
        <w:tc>
          <w:tcPr>
            <w:tcW w:w="897" w:type="pct"/>
            <w:vAlign w:val="center"/>
          </w:tcPr>
          <w:p w:rsidR="001B65C6" w:rsidRPr="00E75352" w:rsidRDefault="001B65C6" w:rsidP="00B932ED">
            <w:pPr>
              <w:spacing w:after="0"/>
              <w:ind w:left="-108" w:right="6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E75352">
              <w:rPr>
                <w:rFonts w:cs="Arial"/>
                <w:b/>
                <w:color w:val="000000"/>
                <w:sz w:val="20"/>
                <w:szCs w:val="20"/>
              </w:rPr>
              <w:t>343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 491 680</w:t>
            </w:r>
          </w:p>
        </w:tc>
      </w:tr>
    </w:tbl>
    <w:p w:rsidR="001B65C6" w:rsidRPr="00022C25" w:rsidRDefault="001B65C6" w:rsidP="001B65C6">
      <w:pPr>
        <w:spacing w:after="0"/>
        <w:rPr>
          <w:rFonts w:cs="Arial"/>
          <w:sz w:val="18"/>
          <w:szCs w:val="18"/>
        </w:rPr>
      </w:pPr>
      <w:r w:rsidRPr="001B65C6">
        <w:rPr>
          <w:rFonts w:cs="Arial"/>
          <w:b/>
          <w:sz w:val="18"/>
          <w:szCs w:val="18"/>
        </w:rPr>
        <w:t>Zdroj:</w:t>
      </w:r>
      <w:r w:rsidRPr="00022C25">
        <w:rPr>
          <w:rFonts w:cs="Arial"/>
          <w:sz w:val="18"/>
          <w:szCs w:val="18"/>
        </w:rPr>
        <w:t xml:space="preserve"> </w:t>
      </w:r>
      <w:r w:rsidR="00633A91">
        <w:rPr>
          <w:rFonts w:cs="Arial"/>
          <w:sz w:val="18"/>
          <w:szCs w:val="18"/>
        </w:rPr>
        <w:t>i</w:t>
      </w:r>
      <w:r w:rsidRPr="00022C25">
        <w:rPr>
          <w:rFonts w:cs="Arial"/>
          <w:sz w:val="18"/>
          <w:szCs w:val="18"/>
        </w:rPr>
        <w:t xml:space="preserve">nformace a doklady </w:t>
      </w:r>
      <w:r w:rsidR="00633A91">
        <w:rPr>
          <w:rFonts w:cs="Arial"/>
          <w:sz w:val="18"/>
          <w:szCs w:val="18"/>
        </w:rPr>
        <w:t>obdržené od</w:t>
      </w:r>
      <w:r w:rsidRPr="00022C25">
        <w:rPr>
          <w:rFonts w:cs="Arial"/>
          <w:sz w:val="18"/>
          <w:szCs w:val="18"/>
        </w:rPr>
        <w:t xml:space="preserve"> VF</w:t>
      </w:r>
      <w:r>
        <w:rPr>
          <w:rFonts w:cs="Arial"/>
          <w:sz w:val="18"/>
          <w:szCs w:val="18"/>
        </w:rPr>
        <w:t>.</w:t>
      </w:r>
    </w:p>
    <w:p w:rsidR="001B65C6" w:rsidRDefault="00F53DCD" w:rsidP="00222B00">
      <w:pPr>
        <w:spacing w:after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1</w:t>
      </w:r>
      <w:r w:rsidR="00222B00">
        <w:rPr>
          <w:rFonts w:cs="Arial"/>
          <w:sz w:val="18"/>
          <w:szCs w:val="18"/>
          <w:vertAlign w:val="superscript"/>
        </w:rPr>
        <w:t xml:space="preserve"> </w:t>
      </w:r>
      <w:r w:rsidR="00633A91">
        <w:rPr>
          <w:rFonts w:cs="Arial"/>
          <w:sz w:val="18"/>
          <w:szCs w:val="18"/>
        </w:rPr>
        <w:tab/>
        <w:t>K</w:t>
      </w:r>
      <w:r w:rsidR="001B65C6">
        <w:rPr>
          <w:rFonts w:cs="Arial"/>
          <w:sz w:val="18"/>
          <w:szCs w:val="18"/>
        </w:rPr>
        <w:t>ontrolovaným obdobím byly roky 2008–2013</w:t>
      </w:r>
      <w:r w:rsidR="00633A91">
        <w:rPr>
          <w:rFonts w:cs="Arial"/>
          <w:sz w:val="18"/>
          <w:szCs w:val="18"/>
        </w:rPr>
        <w:t>.</w:t>
      </w:r>
    </w:p>
    <w:p w:rsidR="001B65C6" w:rsidRPr="00022C25" w:rsidRDefault="00F53DCD" w:rsidP="00222B00">
      <w:pPr>
        <w:spacing w:after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2</w:t>
      </w:r>
      <w:r w:rsidR="001B65C6">
        <w:rPr>
          <w:rFonts w:cs="Arial"/>
          <w:sz w:val="18"/>
          <w:szCs w:val="18"/>
        </w:rPr>
        <w:t xml:space="preserve"> </w:t>
      </w:r>
      <w:r w:rsidR="00633A91">
        <w:rPr>
          <w:rFonts w:cs="Arial"/>
          <w:sz w:val="18"/>
          <w:szCs w:val="18"/>
        </w:rPr>
        <w:tab/>
        <w:t>B</w:t>
      </w:r>
      <w:r w:rsidR="001B65C6">
        <w:rPr>
          <w:rFonts w:cs="Arial"/>
          <w:sz w:val="18"/>
          <w:szCs w:val="18"/>
        </w:rPr>
        <w:t>ez zadání VZ</w:t>
      </w:r>
      <w:r w:rsidR="00633A91">
        <w:rPr>
          <w:rFonts w:cs="Arial"/>
          <w:sz w:val="18"/>
          <w:szCs w:val="18"/>
        </w:rPr>
        <w:t>.</w:t>
      </w:r>
    </w:p>
    <w:p w:rsidR="001B65C6" w:rsidRDefault="00F53DCD" w:rsidP="00222B00">
      <w:pPr>
        <w:spacing w:after="0"/>
        <w:ind w:left="284" w:hanging="284"/>
        <w:rPr>
          <w:rFonts w:cs="Arial"/>
          <w:color w:val="000000"/>
          <w:sz w:val="20"/>
          <w:szCs w:val="20"/>
          <w:lang w:eastAsia="cs-CZ"/>
        </w:rPr>
      </w:pPr>
      <w:r>
        <w:rPr>
          <w:rFonts w:cs="Arial"/>
          <w:sz w:val="18"/>
          <w:szCs w:val="18"/>
          <w:vertAlign w:val="superscript"/>
        </w:rPr>
        <w:t>3</w:t>
      </w:r>
      <w:r w:rsidR="001B65C6">
        <w:rPr>
          <w:rFonts w:cs="Arial"/>
          <w:sz w:val="18"/>
          <w:szCs w:val="18"/>
        </w:rPr>
        <w:t xml:space="preserve"> </w:t>
      </w:r>
      <w:r w:rsidR="00633A91">
        <w:rPr>
          <w:rFonts w:cs="Arial"/>
          <w:sz w:val="18"/>
          <w:szCs w:val="18"/>
        </w:rPr>
        <w:tab/>
        <w:t>Č</w:t>
      </w:r>
      <w:r w:rsidR="001B65C6" w:rsidRPr="00022C25">
        <w:rPr>
          <w:rFonts w:cs="Arial"/>
          <w:sz w:val="18"/>
          <w:szCs w:val="18"/>
        </w:rPr>
        <w:t>ástka za rok 2013</w:t>
      </w:r>
      <w:r w:rsidR="001B65C6">
        <w:rPr>
          <w:rFonts w:cs="Arial"/>
          <w:sz w:val="18"/>
          <w:szCs w:val="18"/>
        </w:rPr>
        <w:t xml:space="preserve"> včetně značky </w:t>
      </w:r>
      <w:r w:rsidR="00633A91">
        <w:rPr>
          <w:rFonts w:cs="Arial"/>
          <w:sz w:val="18"/>
          <w:szCs w:val="18"/>
        </w:rPr>
        <w:t>„</w:t>
      </w:r>
      <w:r w:rsidR="001B65C6">
        <w:rPr>
          <w:rFonts w:cs="Arial"/>
          <w:color w:val="000000"/>
          <w:sz w:val="20"/>
          <w:szCs w:val="20"/>
          <w:lang w:eastAsia="cs-CZ"/>
        </w:rPr>
        <w:t>Růžové.cz</w:t>
      </w:r>
      <w:r w:rsidR="00633A91">
        <w:rPr>
          <w:rFonts w:cs="Arial"/>
          <w:color w:val="000000"/>
          <w:sz w:val="20"/>
          <w:szCs w:val="20"/>
          <w:lang w:eastAsia="cs-CZ"/>
        </w:rPr>
        <w:t>“.</w:t>
      </w:r>
    </w:p>
    <w:p w:rsidR="00D53AC8" w:rsidRPr="00DB53C4" w:rsidRDefault="00D53AC8" w:rsidP="001B65C6"/>
    <w:sectPr w:rsidR="00D53AC8" w:rsidRPr="00DB53C4" w:rsidSect="00CC5652">
      <w:footerReference w:type="default" r:id="rId11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24" w:rsidRDefault="00263B24" w:rsidP="00896424">
      <w:r>
        <w:separator/>
      </w:r>
    </w:p>
  </w:endnote>
  <w:endnote w:type="continuationSeparator" w:id="0">
    <w:p w:rsidR="00263B24" w:rsidRDefault="00263B24" w:rsidP="00896424">
      <w:r>
        <w:continuationSeparator/>
      </w:r>
    </w:p>
  </w:endnote>
  <w:endnote w:type="continuationNotice" w:id="1">
    <w:p w:rsidR="00263B24" w:rsidRDefault="00263B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23052"/>
      <w:docPartObj>
        <w:docPartGallery w:val="Page Numbers (Bottom of Page)"/>
        <w:docPartUnique/>
      </w:docPartObj>
    </w:sdtPr>
    <w:sdtEndPr/>
    <w:sdtContent>
      <w:p w:rsidR="00263B24" w:rsidRDefault="00263B24" w:rsidP="001E44AD">
        <w:pPr>
          <w:pStyle w:val="Zpat"/>
          <w:tabs>
            <w:tab w:val="left" w:pos="795"/>
            <w:tab w:val="center" w:pos="4703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8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24" w:rsidRDefault="00263B24" w:rsidP="00896424">
      <w:r>
        <w:separator/>
      </w:r>
    </w:p>
  </w:footnote>
  <w:footnote w:type="continuationSeparator" w:id="0">
    <w:p w:rsidR="00263B24" w:rsidRDefault="00263B24" w:rsidP="00896424">
      <w:r>
        <w:continuationSeparator/>
      </w:r>
    </w:p>
  </w:footnote>
  <w:footnote w:type="continuationNotice" w:id="1">
    <w:p w:rsidR="00263B24" w:rsidRDefault="00263B24">
      <w:pPr>
        <w:spacing w:after="0"/>
      </w:pPr>
    </w:p>
  </w:footnote>
  <w:footnote w:id="2">
    <w:p w:rsidR="00263B24" w:rsidRDefault="00263B24" w:rsidP="00C77731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>
        <w:rPr>
          <w:rFonts w:cs="Arial"/>
          <w:noProof/>
          <w:color w:val="000000"/>
          <w:sz w:val="18"/>
          <w:szCs w:val="18"/>
        </w:rPr>
        <w:t>K</w:t>
      </w:r>
      <w:r w:rsidRPr="00382249">
        <w:rPr>
          <w:rFonts w:cs="Arial"/>
          <w:noProof/>
          <w:color w:val="000000"/>
          <w:sz w:val="18"/>
          <w:szCs w:val="18"/>
        </w:rPr>
        <w:t xml:space="preserve">ontrolní akce byla zaměřena </w:t>
      </w:r>
      <w:r w:rsidRPr="00382249">
        <w:rPr>
          <w:rFonts w:cs="Arial"/>
          <w:sz w:val="18"/>
          <w:szCs w:val="18"/>
        </w:rPr>
        <w:t xml:space="preserve">na peněžní prostředky </w:t>
      </w:r>
      <w:r w:rsidRPr="00382249">
        <w:rPr>
          <w:rFonts w:cs="Arial"/>
          <w:noProof/>
          <w:color w:val="000000"/>
          <w:sz w:val="18"/>
          <w:szCs w:val="18"/>
        </w:rPr>
        <w:t>vyna</w:t>
      </w:r>
      <w:r>
        <w:rPr>
          <w:rFonts w:cs="Arial"/>
          <w:noProof/>
          <w:color w:val="000000"/>
          <w:sz w:val="18"/>
          <w:szCs w:val="18"/>
        </w:rPr>
        <w:t>kládané na služby související s přípravou, realizací a </w:t>
      </w:r>
      <w:r w:rsidRPr="00382249">
        <w:rPr>
          <w:rFonts w:cs="Arial"/>
          <w:noProof/>
          <w:color w:val="000000"/>
          <w:sz w:val="18"/>
          <w:szCs w:val="18"/>
        </w:rPr>
        <w:t>vyhodnocováním komunikačních kampaní realiz</w:t>
      </w:r>
      <w:r>
        <w:rPr>
          <w:rFonts w:cs="Arial"/>
          <w:noProof/>
          <w:color w:val="000000"/>
          <w:sz w:val="18"/>
          <w:szCs w:val="18"/>
        </w:rPr>
        <w:t>ovaných v souvislosti se značkami „Klasa“, „Regionální potravina“ a „v</w:t>
      </w:r>
      <w:r w:rsidRPr="00382249">
        <w:rPr>
          <w:rFonts w:cs="Arial"/>
          <w:noProof/>
          <w:color w:val="000000"/>
          <w:sz w:val="18"/>
          <w:szCs w:val="18"/>
        </w:rPr>
        <w:t>ína z Moravy, vína z</w:t>
      </w:r>
      <w:r>
        <w:rPr>
          <w:rFonts w:cs="Arial"/>
          <w:noProof/>
          <w:color w:val="000000"/>
          <w:sz w:val="18"/>
          <w:szCs w:val="18"/>
        </w:rPr>
        <w:t> </w:t>
      </w:r>
      <w:r w:rsidRPr="00382249">
        <w:rPr>
          <w:rFonts w:cs="Arial"/>
          <w:noProof/>
          <w:color w:val="000000"/>
          <w:sz w:val="18"/>
          <w:szCs w:val="18"/>
        </w:rPr>
        <w:t>Čech</w:t>
      </w:r>
      <w:r>
        <w:rPr>
          <w:rFonts w:cs="Arial"/>
          <w:noProof/>
          <w:color w:val="000000"/>
          <w:sz w:val="18"/>
          <w:szCs w:val="18"/>
        </w:rPr>
        <w:t>“</w:t>
      </w:r>
      <w:r w:rsidRPr="00382249">
        <w:rPr>
          <w:rFonts w:cs="Arial"/>
          <w:noProof/>
          <w:color w:val="000000"/>
          <w:sz w:val="18"/>
          <w:szCs w:val="18"/>
        </w:rPr>
        <w:t xml:space="preserve">. Tyto </w:t>
      </w:r>
      <w:r>
        <w:rPr>
          <w:rFonts w:cs="Arial"/>
          <w:sz w:val="18"/>
          <w:szCs w:val="18"/>
          <w:lang w:eastAsia="cs-CZ"/>
        </w:rPr>
        <w:t>služby jsou</w:t>
      </w:r>
      <w:r w:rsidRPr="00382249">
        <w:rPr>
          <w:rFonts w:cs="Arial"/>
          <w:sz w:val="18"/>
          <w:szCs w:val="18"/>
          <w:lang w:eastAsia="cs-CZ"/>
        </w:rPr>
        <w:t xml:space="preserve"> pro potřebu </w:t>
      </w:r>
      <w:r w:rsidRPr="009A2088">
        <w:rPr>
          <w:rFonts w:cs="Arial"/>
          <w:sz w:val="18"/>
          <w:szCs w:val="18"/>
          <w:lang w:eastAsia="cs-CZ"/>
        </w:rPr>
        <w:t xml:space="preserve">kontrolní akce označovány jako </w:t>
      </w:r>
      <w:r w:rsidRPr="009A2088">
        <w:rPr>
          <w:rFonts w:cs="Arial"/>
          <w:b/>
          <w:sz w:val="18"/>
          <w:szCs w:val="18"/>
          <w:lang w:eastAsia="cs-CZ"/>
        </w:rPr>
        <w:t>komunikační aktivity</w:t>
      </w:r>
      <w:r w:rsidRPr="002F1239">
        <w:rPr>
          <w:rFonts w:cs="Arial"/>
          <w:b/>
          <w:sz w:val="18"/>
          <w:szCs w:val="18"/>
          <w:lang w:eastAsia="cs-CZ"/>
        </w:rPr>
        <w:t>.</w:t>
      </w:r>
      <w:r w:rsidRPr="009A2088">
        <w:rPr>
          <w:rFonts w:cs="Arial"/>
          <w:sz w:val="18"/>
          <w:szCs w:val="18"/>
          <w:lang w:eastAsia="cs-CZ"/>
        </w:rPr>
        <w:t xml:space="preserve"> Soubor konkrétních komunikačních aktivit realizovaných na základě komunikační strategie je označován jako </w:t>
      </w:r>
      <w:r w:rsidRPr="009A2088">
        <w:rPr>
          <w:rFonts w:cs="Arial"/>
          <w:b/>
          <w:sz w:val="18"/>
          <w:szCs w:val="18"/>
          <w:lang w:eastAsia="cs-CZ"/>
        </w:rPr>
        <w:t>komunikační kampaň</w:t>
      </w:r>
      <w:r w:rsidRPr="002F1239">
        <w:rPr>
          <w:rFonts w:cs="Arial"/>
          <w:b/>
          <w:sz w:val="18"/>
          <w:szCs w:val="18"/>
          <w:lang w:eastAsia="cs-CZ"/>
        </w:rPr>
        <w:t>.</w:t>
      </w:r>
      <w:r w:rsidRPr="009A2088">
        <w:rPr>
          <w:rFonts w:cs="Arial"/>
          <w:sz w:val="18"/>
          <w:szCs w:val="18"/>
          <w:lang w:eastAsia="cs-CZ"/>
        </w:rPr>
        <w:t xml:space="preserve"> Kontrolované osoby komunikační kampaně na jednotlivá období realizují a veřejnosti prezentují pod určitou </w:t>
      </w:r>
      <w:r w:rsidRPr="009A2088">
        <w:rPr>
          <w:rFonts w:cs="Arial"/>
          <w:b/>
          <w:sz w:val="18"/>
          <w:szCs w:val="18"/>
          <w:lang w:eastAsia="cs-CZ"/>
        </w:rPr>
        <w:t>značkou</w:t>
      </w:r>
      <w:r w:rsidRPr="002F1239">
        <w:rPr>
          <w:rFonts w:cs="Arial"/>
          <w:b/>
          <w:sz w:val="18"/>
          <w:szCs w:val="18"/>
          <w:lang w:eastAsia="cs-CZ"/>
        </w:rPr>
        <w:t>.</w:t>
      </w:r>
      <w:r w:rsidRPr="009A2088">
        <w:rPr>
          <w:rFonts w:cs="Arial"/>
          <w:sz w:val="18"/>
          <w:szCs w:val="18"/>
          <w:lang w:eastAsia="cs-CZ"/>
        </w:rPr>
        <w:t xml:space="preserve"> Značka zahrnuje mj. logo a slouží jako symbolické označení pro informace spojené s produktem a pro vytváření asociací a očekávání spojených s tímto produktem.</w:t>
      </w:r>
    </w:p>
  </w:footnote>
  <w:footnote w:id="3">
    <w:p w:rsidR="00263B24" w:rsidRPr="00AA1AC6" w:rsidRDefault="00263B24" w:rsidP="005167D6">
      <w:pPr>
        <w:pStyle w:val="Textpoznpodarou"/>
        <w:spacing w:after="0"/>
        <w:ind w:left="284" w:hanging="284"/>
        <w:rPr>
          <w:sz w:val="18"/>
          <w:szCs w:val="18"/>
        </w:rPr>
      </w:pPr>
      <w:r w:rsidRPr="00AA1AC6">
        <w:rPr>
          <w:rStyle w:val="Znakapoznpodarou"/>
          <w:sz w:val="18"/>
          <w:szCs w:val="18"/>
        </w:rPr>
        <w:footnoteRef/>
      </w:r>
      <w:r>
        <w:t xml:space="preserve"> </w:t>
      </w:r>
      <w:r>
        <w:tab/>
      </w:r>
      <w:r w:rsidRPr="00AA1AC6">
        <w:rPr>
          <w:sz w:val="18"/>
          <w:szCs w:val="18"/>
        </w:rPr>
        <w:t xml:space="preserve">Ochranná známka ke značce </w:t>
      </w:r>
      <w:r>
        <w:rPr>
          <w:sz w:val="18"/>
          <w:szCs w:val="18"/>
        </w:rPr>
        <w:t>„</w:t>
      </w:r>
      <w:r w:rsidRPr="00AA1AC6">
        <w:rPr>
          <w:sz w:val="18"/>
          <w:szCs w:val="18"/>
        </w:rPr>
        <w:t>Klasa</w:t>
      </w:r>
      <w:r>
        <w:rPr>
          <w:sz w:val="18"/>
          <w:szCs w:val="18"/>
        </w:rPr>
        <w:t>“</w:t>
      </w:r>
      <w:r w:rsidRPr="00AA1AC6">
        <w:rPr>
          <w:sz w:val="18"/>
          <w:szCs w:val="18"/>
        </w:rPr>
        <w:t xml:space="preserve"> je u Úřadu průmyslového vlastnictví </w:t>
      </w:r>
      <w:r w:rsidR="001E604C">
        <w:rPr>
          <w:sz w:val="18"/>
          <w:szCs w:val="18"/>
        </w:rPr>
        <w:t>přepsána do textové podoby</w:t>
      </w:r>
      <w:r w:rsidRPr="00AA1AC6">
        <w:rPr>
          <w:sz w:val="18"/>
          <w:szCs w:val="18"/>
        </w:rPr>
        <w:t xml:space="preserve"> ve formátu „a KLASA“.</w:t>
      </w:r>
      <w:r w:rsidR="001E604C">
        <w:rPr>
          <w:sz w:val="18"/>
          <w:szCs w:val="18"/>
        </w:rPr>
        <w:t xml:space="preserve"> V kontrolním závěru je používána jednodušší forma přepisu v podobě „Klasa“. </w:t>
      </w:r>
    </w:p>
  </w:footnote>
  <w:footnote w:id="4">
    <w:p w:rsidR="00263B24" w:rsidRPr="00F7456D" w:rsidRDefault="00263B24" w:rsidP="005167D6">
      <w:pPr>
        <w:pStyle w:val="Textpoznpodarou"/>
        <w:spacing w:after="0"/>
        <w:ind w:left="284" w:hanging="284"/>
        <w:rPr>
          <w:rFonts w:cs="Arial"/>
          <w:sz w:val="18"/>
          <w:szCs w:val="18"/>
        </w:rPr>
      </w:pPr>
      <w:r w:rsidRPr="002F1239">
        <w:rPr>
          <w:rStyle w:val="Znakapoznpodarou"/>
          <w:sz w:val="18"/>
          <w:szCs w:val="18"/>
        </w:rPr>
        <w:footnoteRef/>
      </w:r>
      <w:r w:rsidRPr="002F1239">
        <w:rPr>
          <w:sz w:val="18"/>
          <w:szCs w:val="18"/>
        </w:rPr>
        <w:t xml:space="preserve"> </w:t>
      </w:r>
      <w:r w:rsidRPr="002F1239">
        <w:rPr>
          <w:sz w:val="18"/>
          <w:szCs w:val="18"/>
        </w:rPr>
        <w:tab/>
      </w:r>
      <w:r w:rsidRPr="00BB79FC">
        <w:rPr>
          <w:rFonts w:cs="Arial"/>
          <w:sz w:val="18"/>
          <w:szCs w:val="18"/>
        </w:rPr>
        <w:t>Zákon č. 256/2000 Sb., o Státním zemědělském intervenčním fondu a o změně některých dalších zákonů (zákon o Státním zemědělském intervenčním fondu)</w:t>
      </w:r>
      <w:r w:rsidRPr="00F7456D">
        <w:rPr>
          <w:rFonts w:cs="Arial"/>
          <w:sz w:val="18"/>
          <w:szCs w:val="18"/>
        </w:rPr>
        <w:t>.</w:t>
      </w:r>
    </w:p>
  </w:footnote>
  <w:footnote w:id="5">
    <w:p w:rsidR="00263B24" w:rsidRPr="00BB79FC" w:rsidRDefault="00263B24" w:rsidP="00C77731">
      <w:pPr>
        <w:spacing w:after="0"/>
        <w:ind w:left="284" w:hanging="284"/>
        <w:rPr>
          <w:rFonts w:cs="Arial"/>
          <w:sz w:val="18"/>
          <w:szCs w:val="18"/>
          <w:lang w:eastAsia="cs-CZ"/>
        </w:rPr>
      </w:pPr>
      <w:r w:rsidRPr="002F1239">
        <w:rPr>
          <w:rStyle w:val="Znakapoznpodarou"/>
          <w:sz w:val="18"/>
          <w:szCs w:val="18"/>
        </w:rPr>
        <w:footnoteRef/>
      </w:r>
      <w:r w:rsidRPr="002F1239">
        <w:rPr>
          <w:sz w:val="18"/>
          <w:szCs w:val="18"/>
        </w:rPr>
        <w:t xml:space="preserve"> </w:t>
      </w:r>
      <w:r w:rsidRPr="002F1239">
        <w:rPr>
          <w:sz w:val="18"/>
          <w:szCs w:val="18"/>
        </w:rPr>
        <w:tab/>
      </w:r>
      <w:r w:rsidRPr="00BB79FC">
        <w:rPr>
          <w:sz w:val="18"/>
          <w:szCs w:val="18"/>
        </w:rPr>
        <w:t xml:space="preserve">Zákon č. 321/2004 Sb., o vinohradnictví a vinařství a o změně některých souvisejících zákonů (zákon o vinohradnictví a vinařství). VF byl zřízen </w:t>
      </w:r>
      <w:r w:rsidRPr="00F7456D">
        <w:rPr>
          <w:rFonts w:eastAsia="MyriadPro-Regular"/>
          <w:sz w:val="18"/>
          <w:szCs w:val="18"/>
          <w:lang w:eastAsia="cs-CZ"/>
        </w:rPr>
        <w:t xml:space="preserve">jako nástupce Vinařského fondu </w:t>
      </w:r>
      <w:r>
        <w:rPr>
          <w:rFonts w:eastAsia="MyriadPro-Regular"/>
          <w:sz w:val="18"/>
          <w:szCs w:val="18"/>
          <w:lang w:eastAsia="cs-CZ"/>
        </w:rPr>
        <w:t xml:space="preserve">zřízeného </w:t>
      </w:r>
      <w:r w:rsidRPr="00F7456D">
        <w:rPr>
          <w:rFonts w:eastAsia="MyriadPro-Regular"/>
          <w:sz w:val="18"/>
          <w:szCs w:val="18"/>
          <w:lang w:eastAsia="cs-CZ"/>
        </w:rPr>
        <w:t xml:space="preserve">podle dřívějšího zákona č. 115/1995 Sb., o vinohradnictví a vinařství </w:t>
      </w:r>
      <w:r w:rsidRPr="00F7456D">
        <w:rPr>
          <w:rFonts w:eastAsia="MyriadPro-Regular" w:cs="Arial"/>
          <w:sz w:val="18"/>
          <w:szCs w:val="18"/>
          <w:lang w:eastAsia="cs-CZ"/>
        </w:rPr>
        <w:t>a o změně některých souvisejících právních předpisů</w:t>
      </w:r>
      <w:r w:rsidRPr="002F1239">
        <w:rPr>
          <w:rFonts w:eastAsia="MyriadPro-Regular" w:cs="Arial"/>
          <w:sz w:val="18"/>
          <w:szCs w:val="18"/>
          <w:lang w:eastAsia="cs-CZ"/>
        </w:rPr>
        <w:t>.</w:t>
      </w:r>
    </w:p>
  </w:footnote>
  <w:footnote w:id="6">
    <w:p w:rsidR="00263B24" w:rsidRPr="005F3CF5" w:rsidRDefault="00263B24" w:rsidP="00C77731">
      <w:pPr>
        <w:pStyle w:val="Textpoznpodarou"/>
        <w:spacing w:after="0"/>
        <w:ind w:left="284" w:hanging="284"/>
        <w:rPr>
          <w:sz w:val="18"/>
          <w:szCs w:val="18"/>
        </w:rPr>
      </w:pPr>
      <w:r w:rsidRPr="00F7456D">
        <w:rPr>
          <w:rStyle w:val="Znakapoznpodarou"/>
          <w:sz w:val="18"/>
          <w:szCs w:val="18"/>
        </w:rPr>
        <w:footnoteRef/>
      </w:r>
      <w:r w:rsidRPr="00F7456D">
        <w:rPr>
          <w:sz w:val="18"/>
          <w:szCs w:val="18"/>
        </w:rPr>
        <w:t xml:space="preserve"> </w:t>
      </w:r>
      <w:r w:rsidRPr="00F7456D">
        <w:rPr>
          <w:sz w:val="18"/>
          <w:szCs w:val="18"/>
        </w:rPr>
        <w:tab/>
      </w:r>
      <w:r w:rsidRPr="00F7456D">
        <w:rPr>
          <w:rFonts w:cs="Arial"/>
          <w:sz w:val="18"/>
          <w:szCs w:val="18"/>
        </w:rPr>
        <w:t>Dle zákona č. 110/1997 Sb., o potravinách a tabákových výrobcích a o změně a doplnění některých souvisejících zákonů</w:t>
      </w:r>
      <w:r>
        <w:rPr>
          <w:rFonts w:cs="Arial"/>
          <w:sz w:val="18"/>
          <w:szCs w:val="18"/>
        </w:rPr>
        <w:t>, je</w:t>
      </w:r>
      <w:r w:rsidRPr="00F7456D">
        <w:rPr>
          <w:rFonts w:cs="Arial"/>
          <w:sz w:val="18"/>
          <w:szCs w:val="18"/>
        </w:rPr>
        <w:t xml:space="preserve"> </w:t>
      </w:r>
      <w:r w:rsidRPr="00F7456D">
        <w:rPr>
          <w:rFonts w:cs="Arial"/>
          <w:sz w:val="18"/>
          <w:szCs w:val="18"/>
          <w:lang w:eastAsia="cs-CZ"/>
        </w:rPr>
        <w:t>potravina látka určená ke</w:t>
      </w:r>
      <w:r>
        <w:rPr>
          <w:rFonts w:cs="Arial"/>
          <w:sz w:val="18"/>
          <w:szCs w:val="18"/>
          <w:lang w:eastAsia="cs-CZ"/>
        </w:rPr>
        <w:t xml:space="preserve"> </w:t>
      </w:r>
      <w:r w:rsidRPr="00F7456D">
        <w:rPr>
          <w:rFonts w:cs="Arial"/>
          <w:sz w:val="18"/>
          <w:szCs w:val="18"/>
          <w:lang w:eastAsia="cs-CZ"/>
        </w:rPr>
        <w:t>spotřebě člověkem v nezměněném nebo upraveném stavu jako jídlo nebo nápoj, nejde-li o léčiva a omamné nebo psychotropní látky.</w:t>
      </w:r>
    </w:p>
  </w:footnote>
  <w:footnote w:id="7">
    <w:p w:rsidR="00263B24" w:rsidRPr="005A7ADC" w:rsidRDefault="00263B24" w:rsidP="00C77731">
      <w:pPr>
        <w:pStyle w:val="Textpoznpodarou"/>
        <w:spacing w:after="0"/>
        <w:ind w:left="284" w:hanging="284"/>
        <w:rPr>
          <w:sz w:val="18"/>
          <w:szCs w:val="18"/>
        </w:rPr>
      </w:pPr>
      <w:r w:rsidRPr="00DB53C4">
        <w:rPr>
          <w:rStyle w:val="Znakapoznpodarou"/>
          <w:sz w:val="18"/>
          <w:szCs w:val="18"/>
        </w:rPr>
        <w:footnoteRef/>
      </w:r>
      <w:r w:rsidRPr="00DB53C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r w:rsidRPr="00DB53C4">
        <w:rPr>
          <w:sz w:val="18"/>
          <w:szCs w:val="18"/>
        </w:rPr>
        <w:t>MZe</w:t>
      </w:r>
      <w:proofErr w:type="spellEnd"/>
      <w:r w:rsidRPr="00DB53C4">
        <w:rPr>
          <w:sz w:val="18"/>
          <w:szCs w:val="18"/>
        </w:rPr>
        <w:t xml:space="preserve"> v rozhodnutích o poskytnutí</w:t>
      </w:r>
      <w:r w:rsidRPr="005A7ADC">
        <w:rPr>
          <w:sz w:val="18"/>
          <w:szCs w:val="18"/>
        </w:rPr>
        <w:t xml:space="preserve"> dotace uvádí jako účel poskytnutí dotace SZIF marketingovou podporu nebo marketingovou činnost. </w:t>
      </w:r>
      <w:r>
        <w:rPr>
          <w:sz w:val="18"/>
          <w:szCs w:val="18"/>
        </w:rPr>
        <w:t>D</w:t>
      </w:r>
      <w:r w:rsidRPr="005A7ADC">
        <w:rPr>
          <w:sz w:val="18"/>
          <w:szCs w:val="18"/>
        </w:rPr>
        <w:t xml:space="preserve">otace poskytnuté </w:t>
      </w:r>
      <w:r>
        <w:rPr>
          <w:sz w:val="18"/>
          <w:szCs w:val="18"/>
        </w:rPr>
        <w:t xml:space="preserve">z prostředků </w:t>
      </w:r>
      <w:proofErr w:type="spellStart"/>
      <w:r w:rsidRPr="005A7ADC">
        <w:rPr>
          <w:sz w:val="18"/>
          <w:szCs w:val="18"/>
        </w:rPr>
        <w:t>MZe</w:t>
      </w:r>
      <w:proofErr w:type="spellEnd"/>
      <w:r w:rsidRPr="005A7ADC">
        <w:rPr>
          <w:sz w:val="18"/>
          <w:szCs w:val="18"/>
        </w:rPr>
        <w:t xml:space="preserve"> j</w:t>
      </w:r>
      <w:r>
        <w:rPr>
          <w:sz w:val="18"/>
          <w:szCs w:val="18"/>
        </w:rPr>
        <w:t>sou</w:t>
      </w:r>
      <w:r w:rsidRPr="005A7ADC">
        <w:rPr>
          <w:sz w:val="18"/>
          <w:szCs w:val="18"/>
        </w:rPr>
        <w:t xml:space="preserve"> u VF využ</w:t>
      </w:r>
      <w:r>
        <w:rPr>
          <w:sz w:val="18"/>
          <w:szCs w:val="18"/>
        </w:rPr>
        <w:t>ívány</w:t>
      </w:r>
      <w:r w:rsidRPr="005A7ADC">
        <w:rPr>
          <w:sz w:val="18"/>
          <w:szCs w:val="18"/>
        </w:rPr>
        <w:t xml:space="preserve"> dle zákona č.</w:t>
      </w:r>
      <w:r>
        <w:rPr>
          <w:sz w:val="18"/>
          <w:szCs w:val="18"/>
        </w:rPr>
        <w:t> </w:t>
      </w:r>
      <w:r w:rsidRPr="005A7ADC">
        <w:rPr>
          <w:sz w:val="18"/>
          <w:szCs w:val="18"/>
        </w:rPr>
        <w:t>321/2004</w:t>
      </w:r>
      <w:r>
        <w:rPr>
          <w:sz w:val="18"/>
          <w:szCs w:val="18"/>
        </w:rPr>
        <w:t> </w:t>
      </w:r>
      <w:r w:rsidRPr="005A7ADC">
        <w:rPr>
          <w:sz w:val="18"/>
          <w:szCs w:val="18"/>
        </w:rPr>
        <w:t xml:space="preserve">Sb., tzn. </w:t>
      </w:r>
      <w:r w:rsidRPr="005A7ADC">
        <w:rPr>
          <w:sz w:val="18"/>
          <w:szCs w:val="18"/>
          <w:lang w:eastAsia="cs-CZ"/>
        </w:rPr>
        <w:t>mj.</w:t>
      </w:r>
      <w:r>
        <w:rPr>
          <w:sz w:val="18"/>
          <w:szCs w:val="18"/>
          <w:lang w:eastAsia="cs-CZ"/>
        </w:rPr>
        <w:t xml:space="preserve"> i k</w:t>
      </w:r>
      <w:r w:rsidRPr="005A7ADC">
        <w:rPr>
          <w:sz w:val="18"/>
          <w:szCs w:val="18"/>
          <w:lang w:eastAsia="cs-CZ"/>
        </w:rPr>
        <w:t xml:space="preserve"> </w:t>
      </w:r>
      <w:r w:rsidRPr="005A7ADC">
        <w:rPr>
          <w:sz w:val="18"/>
          <w:szCs w:val="18"/>
        </w:rPr>
        <w:t>podpo</w:t>
      </w:r>
      <w:r>
        <w:rPr>
          <w:sz w:val="18"/>
          <w:szCs w:val="18"/>
        </w:rPr>
        <w:t>ře</w:t>
      </w:r>
      <w:r w:rsidRPr="005A7ADC">
        <w:rPr>
          <w:sz w:val="18"/>
          <w:szCs w:val="18"/>
        </w:rPr>
        <w:t xml:space="preserve"> marketingu.</w:t>
      </w:r>
    </w:p>
  </w:footnote>
  <w:footnote w:id="8">
    <w:p w:rsidR="00263B24" w:rsidRPr="00F93DA1" w:rsidRDefault="00263B24" w:rsidP="00C77731">
      <w:pPr>
        <w:pStyle w:val="Textpoznpodarou"/>
        <w:ind w:left="284" w:hanging="284"/>
        <w:rPr>
          <w:sz w:val="18"/>
          <w:szCs w:val="18"/>
        </w:rPr>
      </w:pPr>
      <w:r w:rsidRPr="002F1239">
        <w:rPr>
          <w:rStyle w:val="Znakapoznpodarou"/>
          <w:sz w:val="18"/>
          <w:szCs w:val="18"/>
        </w:rPr>
        <w:footnoteRef/>
      </w:r>
      <w:r w:rsidRPr="002F1239">
        <w:rPr>
          <w:sz w:val="18"/>
          <w:szCs w:val="18"/>
        </w:rPr>
        <w:t xml:space="preserve"> </w:t>
      </w:r>
      <w:r>
        <w:tab/>
      </w:r>
      <w:r w:rsidRPr="00F93DA1">
        <w:rPr>
          <w:sz w:val="18"/>
          <w:szCs w:val="18"/>
        </w:rPr>
        <w:t>V kontrolním závěru je pojem „agentura“ používán obecně pro společnosti, které zajišťují reklamní, mediální, komunikační nebo PR (public relations) služby.</w:t>
      </w:r>
    </w:p>
  </w:footnote>
  <w:footnote w:id="9">
    <w:p w:rsidR="00263B24" w:rsidRPr="00A21FA1" w:rsidRDefault="00263B24" w:rsidP="00C77731">
      <w:pPr>
        <w:pStyle w:val="Textpoznpodarou"/>
        <w:spacing w:after="0"/>
        <w:ind w:left="284" w:hanging="284"/>
        <w:rPr>
          <w:sz w:val="18"/>
          <w:szCs w:val="18"/>
        </w:rPr>
      </w:pPr>
      <w:r w:rsidRPr="002F1239">
        <w:rPr>
          <w:rStyle w:val="Znakapoznpodarou"/>
          <w:sz w:val="18"/>
          <w:szCs w:val="18"/>
        </w:rPr>
        <w:footnoteRef/>
      </w:r>
      <w:r w:rsidRPr="002F1239">
        <w:rPr>
          <w:sz w:val="18"/>
          <w:szCs w:val="18"/>
        </w:rPr>
        <w:t xml:space="preserve"> </w:t>
      </w:r>
      <w:r w:rsidRPr="002F1239">
        <w:rPr>
          <w:sz w:val="18"/>
          <w:szCs w:val="18"/>
        </w:rPr>
        <w:tab/>
      </w:r>
      <w:r w:rsidRPr="00A21FA1">
        <w:rPr>
          <w:sz w:val="18"/>
          <w:szCs w:val="18"/>
        </w:rPr>
        <w:t xml:space="preserve">Spontánní znalost značky </w:t>
      </w:r>
      <w:r>
        <w:rPr>
          <w:sz w:val="18"/>
          <w:szCs w:val="18"/>
        </w:rPr>
        <w:t>–</w:t>
      </w:r>
      <w:r w:rsidRPr="00A21FA1">
        <w:rPr>
          <w:sz w:val="18"/>
          <w:szCs w:val="18"/>
        </w:rPr>
        <w:t xml:space="preserve"> respondenti jsou dotazováni, jaké znají značky</w:t>
      </w:r>
      <w:r>
        <w:rPr>
          <w:sz w:val="18"/>
          <w:szCs w:val="18"/>
        </w:rPr>
        <w:t>.</w:t>
      </w:r>
      <w:r w:rsidRPr="00A21FA1">
        <w:rPr>
          <w:sz w:val="18"/>
          <w:szCs w:val="18"/>
        </w:rPr>
        <w:t xml:space="preserve"> </w:t>
      </w:r>
      <w:r>
        <w:rPr>
          <w:rStyle w:val="Znakapoznpodarou"/>
          <w:rFonts w:eastAsiaTheme="majorEastAsia"/>
          <w:sz w:val="18"/>
          <w:szCs w:val="18"/>
          <w:vertAlign w:val="baseline"/>
        </w:rPr>
        <w:t>P</w:t>
      </w:r>
      <w:r w:rsidRPr="00A21FA1">
        <w:rPr>
          <w:rStyle w:val="Znakapoznpodarou"/>
          <w:rFonts w:eastAsiaTheme="majorEastAsia"/>
          <w:sz w:val="18"/>
          <w:szCs w:val="18"/>
          <w:vertAlign w:val="baseline"/>
        </w:rPr>
        <w:t xml:space="preserve">odpořená </w:t>
      </w:r>
      <w:r w:rsidRPr="00A21FA1">
        <w:rPr>
          <w:rFonts w:eastAsiaTheme="majorEastAsia"/>
          <w:sz w:val="18"/>
          <w:szCs w:val="18"/>
        </w:rPr>
        <w:t>znalost značky –</w:t>
      </w:r>
      <w:r w:rsidRPr="00A21FA1">
        <w:rPr>
          <w:sz w:val="18"/>
          <w:szCs w:val="18"/>
        </w:rPr>
        <w:t xml:space="preserve"> respondenti jsou dotazováni, zda znají konkrétní značku.</w:t>
      </w:r>
    </w:p>
  </w:footnote>
  <w:footnote w:id="10">
    <w:p w:rsidR="00263B24" w:rsidRPr="00C86CC4" w:rsidRDefault="00263B24" w:rsidP="00C77731">
      <w:pPr>
        <w:pStyle w:val="Textpoznpodarou"/>
        <w:spacing w:after="0"/>
        <w:ind w:left="284" w:hanging="284"/>
        <w:rPr>
          <w:sz w:val="18"/>
          <w:szCs w:val="18"/>
        </w:rPr>
      </w:pPr>
      <w:r w:rsidRPr="00C86CC4">
        <w:rPr>
          <w:rStyle w:val="Znakapoznpodarou"/>
          <w:sz w:val="18"/>
          <w:szCs w:val="18"/>
        </w:rPr>
        <w:footnoteRef/>
      </w:r>
      <w:r w:rsidRPr="00C86CC4">
        <w:rPr>
          <w:sz w:val="18"/>
          <w:szCs w:val="18"/>
        </w:rPr>
        <w:t xml:space="preserve"> </w:t>
      </w:r>
      <w:r w:rsidRPr="00C86CC4">
        <w:rPr>
          <w:sz w:val="18"/>
          <w:szCs w:val="18"/>
        </w:rPr>
        <w:tab/>
      </w:r>
      <w:r w:rsidRPr="00C86CC4">
        <w:rPr>
          <w:bCs/>
          <w:sz w:val="18"/>
          <w:szCs w:val="18"/>
        </w:rPr>
        <w:t>Zákon č. 137/2006 Sb., o veřejných zakázkách.</w:t>
      </w:r>
    </w:p>
  </w:footnote>
  <w:footnote w:id="11">
    <w:p w:rsidR="00263B24" w:rsidRPr="00C86CC4" w:rsidRDefault="00263B24" w:rsidP="00C77731">
      <w:pPr>
        <w:pStyle w:val="Textpoznpodarou"/>
        <w:ind w:left="284" w:hanging="284"/>
        <w:rPr>
          <w:sz w:val="18"/>
          <w:szCs w:val="18"/>
        </w:rPr>
      </w:pPr>
      <w:r w:rsidRPr="005005C9">
        <w:rPr>
          <w:rStyle w:val="Znakapoznpodarou"/>
          <w:sz w:val="18"/>
          <w:szCs w:val="18"/>
        </w:rPr>
        <w:footnoteRef/>
      </w:r>
      <w:r w:rsidRPr="005005C9">
        <w:rPr>
          <w:sz w:val="18"/>
          <w:szCs w:val="18"/>
        </w:rPr>
        <w:t xml:space="preserve"> </w:t>
      </w:r>
      <w:r w:rsidRPr="005005C9">
        <w:rPr>
          <w:sz w:val="18"/>
          <w:szCs w:val="18"/>
        </w:rPr>
        <w:tab/>
      </w:r>
      <w:r w:rsidRPr="00C86CC4">
        <w:rPr>
          <w:sz w:val="18"/>
          <w:szCs w:val="18"/>
        </w:rPr>
        <w:t xml:space="preserve">Vynaložené peněžní </w:t>
      </w:r>
      <w:r>
        <w:rPr>
          <w:sz w:val="18"/>
          <w:szCs w:val="18"/>
        </w:rPr>
        <w:t>částky</w:t>
      </w:r>
      <w:r w:rsidRPr="00C86CC4">
        <w:rPr>
          <w:sz w:val="18"/>
          <w:szCs w:val="18"/>
        </w:rPr>
        <w:t xml:space="preserve"> uvedené v následujících bodech č. 1–3 a 5–6 jsou vč. DPH, v bodě č. 4 je částka bez DPH.</w:t>
      </w:r>
    </w:p>
  </w:footnote>
  <w:footnote w:id="12">
    <w:p w:rsidR="00263B24" w:rsidRPr="00E078A1" w:rsidRDefault="00263B24" w:rsidP="00C77731">
      <w:pPr>
        <w:pStyle w:val="Textpoznpodarou"/>
        <w:ind w:left="284" w:hanging="284"/>
        <w:rPr>
          <w:sz w:val="18"/>
          <w:szCs w:val="18"/>
        </w:rPr>
      </w:pPr>
      <w:r w:rsidRPr="00E72C88">
        <w:rPr>
          <w:rStyle w:val="Znakapoznpodarou"/>
          <w:sz w:val="18"/>
          <w:szCs w:val="18"/>
        </w:rPr>
        <w:footnoteRef/>
      </w:r>
      <w:r w:rsidRPr="00E72C88">
        <w:rPr>
          <w:sz w:val="18"/>
          <w:szCs w:val="18"/>
        </w:rPr>
        <w:t xml:space="preserve"> </w:t>
      </w:r>
      <w:r w:rsidRPr="00E72C88">
        <w:rPr>
          <w:sz w:val="18"/>
          <w:szCs w:val="18"/>
        </w:rPr>
        <w:tab/>
      </w:r>
      <w:r w:rsidRPr="00E078A1">
        <w:rPr>
          <w:sz w:val="18"/>
          <w:szCs w:val="18"/>
        </w:rPr>
        <w:t>Vynaložené peněžní prostředky uvedené v následujících bodech č. 1–3 jsou vč. DPH.</w:t>
      </w:r>
    </w:p>
  </w:footnote>
  <w:footnote w:id="13">
    <w:p w:rsidR="00263B24" w:rsidRPr="00302678" w:rsidRDefault="00263B24" w:rsidP="00C77731">
      <w:pPr>
        <w:pStyle w:val="Textpoznpodarou"/>
        <w:spacing w:after="0"/>
        <w:ind w:left="284" w:hanging="284"/>
        <w:rPr>
          <w:sz w:val="18"/>
          <w:szCs w:val="18"/>
        </w:rPr>
      </w:pPr>
      <w:r w:rsidRPr="00E72C88">
        <w:rPr>
          <w:rStyle w:val="Znakapoznpodarou"/>
          <w:sz w:val="18"/>
          <w:szCs w:val="18"/>
        </w:rPr>
        <w:footnoteRef/>
      </w:r>
      <w:r w:rsidRPr="00E72C88">
        <w:rPr>
          <w:sz w:val="18"/>
          <w:szCs w:val="18"/>
        </w:rPr>
        <w:t xml:space="preserve"> </w:t>
      </w:r>
      <w:r w:rsidRPr="00E72C88">
        <w:rPr>
          <w:sz w:val="18"/>
          <w:szCs w:val="18"/>
        </w:rPr>
        <w:tab/>
      </w:r>
      <w:r w:rsidRPr="00302678">
        <w:rPr>
          <w:bCs/>
          <w:sz w:val="18"/>
          <w:szCs w:val="18"/>
        </w:rPr>
        <w:t>Zákon č. 40/2004 Sb., o veřejných zakázkách.</w:t>
      </w:r>
    </w:p>
  </w:footnote>
  <w:footnote w:id="14">
    <w:p w:rsidR="00263B24" w:rsidRPr="00970A00" w:rsidRDefault="00263B24" w:rsidP="00C77731">
      <w:pPr>
        <w:pStyle w:val="Textpoznpodarou"/>
        <w:spacing w:after="0"/>
        <w:ind w:left="284" w:hanging="284"/>
        <w:rPr>
          <w:sz w:val="18"/>
          <w:szCs w:val="18"/>
        </w:rPr>
      </w:pPr>
      <w:r w:rsidRPr="00A21FA1">
        <w:rPr>
          <w:rStyle w:val="Znakapoznpodarou"/>
          <w:sz w:val="18"/>
          <w:szCs w:val="18"/>
        </w:rPr>
        <w:footnoteRef/>
      </w:r>
      <w:r w:rsidRPr="00A21FA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21FA1">
        <w:rPr>
          <w:sz w:val="18"/>
          <w:szCs w:val="18"/>
        </w:rPr>
        <w:t xml:space="preserve">V částce je zahrnuta celková výše peněžních prostředků vynaložených na komunikační kampaň </w:t>
      </w:r>
      <w:r>
        <w:rPr>
          <w:sz w:val="18"/>
          <w:szCs w:val="18"/>
        </w:rPr>
        <w:t>pro</w:t>
      </w:r>
      <w:r w:rsidRPr="00A21FA1">
        <w:rPr>
          <w:sz w:val="18"/>
          <w:szCs w:val="18"/>
        </w:rPr>
        <w:t xml:space="preserve"> značku </w:t>
      </w:r>
      <w:r>
        <w:rPr>
          <w:sz w:val="18"/>
          <w:szCs w:val="18"/>
        </w:rPr>
        <w:t>„v</w:t>
      </w:r>
      <w:r w:rsidRPr="00A21FA1">
        <w:rPr>
          <w:sz w:val="18"/>
          <w:szCs w:val="18"/>
        </w:rPr>
        <w:t>ína z Moravy, vína z</w:t>
      </w:r>
      <w:r>
        <w:rPr>
          <w:sz w:val="18"/>
          <w:szCs w:val="18"/>
        </w:rPr>
        <w:t> </w:t>
      </w:r>
      <w:r w:rsidRPr="00A21FA1">
        <w:rPr>
          <w:sz w:val="18"/>
          <w:szCs w:val="18"/>
        </w:rPr>
        <w:t>Čech</w:t>
      </w:r>
      <w:r>
        <w:rPr>
          <w:sz w:val="18"/>
          <w:szCs w:val="18"/>
        </w:rPr>
        <w:t>“</w:t>
      </w:r>
      <w:r w:rsidRPr="00A21FA1">
        <w:rPr>
          <w:sz w:val="18"/>
          <w:szCs w:val="18"/>
        </w:rPr>
        <w:t xml:space="preserve"> na období let 2006–20</w:t>
      </w:r>
      <w:r w:rsidRPr="00970A00">
        <w:rPr>
          <w:sz w:val="18"/>
          <w:szCs w:val="18"/>
        </w:rPr>
        <w:t>09</w:t>
      </w:r>
      <w:r>
        <w:rPr>
          <w:sz w:val="18"/>
          <w:szCs w:val="18"/>
        </w:rPr>
        <w:t xml:space="preserve"> a částka za kampaň „Růžové.cz“ v roce 2013</w:t>
      </w:r>
      <w:r w:rsidRPr="00970A00">
        <w:rPr>
          <w:sz w:val="18"/>
          <w:szCs w:val="18"/>
        </w:rPr>
        <w:t>.</w:t>
      </w:r>
    </w:p>
  </w:footnote>
  <w:footnote w:id="15">
    <w:p w:rsidR="00263B24" w:rsidRPr="00863352" w:rsidRDefault="00263B24" w:rsidP="0068377C">
      <w:pPr>
        <w:pStyle w:val="Textpoznpodarou"/>
        <w:ind w:left="284" w:hanging="284"/>
        <w:rPr>
          <w:sz w:val="18"/>
          <w:szCs w:val="18"/>
        </w:rPr>
      </w:pPr>
      <w:r w:rsidRPr="00336AF0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</w:t>
      </w:r>
      <w:r w:rsidRPr="00336AF0">
        <w:rPr>
          <w:sz w:val="18"/>
          <w:szCs w:val="18"/>
        </w:rPr>
        <w:t xml:space="preserve">adlinková </w:t>
      </w:r>
      <w:r>
        <w:rPr>
          <w:sz w:val="18"/>
          <w:szCs w:val="18"/>
        </w:rPr>
        <w:t>k</w:t>
      </w:r>
      <w:r w:rsidRPr="00336AF0">
        <w:rPr>
          <w:sz w:val="18"/>
          <w:szCs w:val="18"/>
        </w:rPr>
        <w:t>omunikace (</w:t>
      </w:r>
      <w:proofErr w:type="spellStart"/>
      <w:r w:rsidRPr="005D0635">
        <w:rPr>
          <w:sz w:val="18"/>
          <w:szCs w:val="18"/>
        </w:rPr>
        <w:t>above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5D0635">
        <w:rPr>
          <w:sz w:val="18"/>
          <w:szCs w:val="18"/>
        </w:rPr>
        <w:t>the</w:t>
      </w:r>
      <w:proofErr w:type="spellEnd"/>
      <w:r w:rsidRPr="005D0635">
        <w:rPr>
          <w:sz w:val="18"/>
          <w:szCs w:val="18"/>
        </w:rPr>
        <w:t xml:space="preserve"> line</w:t>
      </w:r>
      <w:r>
        <w:rPr>
          <w:sz w:val="18"/>
          <w:szCs w:val="18"/>
        </w:rPr>
        <w:t xml:space="preserve"> – </w:t>
      </w:r>
      <w:r w:rsidRPr="00336AF0">
        <w:rPr>
          <w:sz w:val="18"/>
          <w:szCs w:val="18"/>
        </w:rPr>
        <w:t>ATL) je forma marketingové komunikace využívající masmédia (televizi,</w:t>
      </w:r>
      <w:r>
        <w:rPr>
          <w:sz w:val="18"/>
          <w:szCs w:val="18"/>
        </w:rPr>
        <w:t xml:space="preserve"> </w:t>
      </w:r>
      <w:r w:rsidRPr="00336AF0">
        <w:rPr>
          <w:sz w:val="18"/>
          <w:szCs w:val="18"/>
        </w:rPr>
        <w:t>rádio, internet, tisk</w:t>
      </w:r>
      <w:r>
        <w:rPr>
          <w:sz w:val="18"/>
          <w:szCs w:val="18"/>
        </w:rPr>
        <w:t xml:space="preserve"> ap.</w:t>
      </w:r>
      <w:r w:rsidRPr="00336AF0">
        <w:rPr>
          <w:sz w:val="18"/>
          <w:szCs w:val="18"/>
        </w:rPr>
        <w:t>).</w:t>
      </w:r>
      <w:r>
        <w:rPr>
          <w:sz w:val="18"/>
          <w:szCs w:val="18"/>
        </w:rPr>
        <w:t xml:space="preserve"> P</w:t>
      </w:r>
      <w:r w:rsidRPr="00336AF0">
        <w:rPr>
          <w:sz w:val="18"/>
          <w:szCs w:val="18"/>
        </w:rPr>
        <w:t>odlinková ko</w:t>
      </w:r>
      <w:r>
        <w:rPr>
          <w:sz w:val="18"/>
          <w:szCs w:val="18"/>
        </w:rPr>
        <w:t>munikace (</w:t>
      </w:r>
      <w:proofErr w:type="spellStart"/>
      <w:r w:rsidRPr="005D0635">
        <w:rPr>
          <w:sz w:val="18"/>
          <w:szCs w:val="18"/>
        </w:rPr>
        <w:t>below</w:t>
      </w:r>
      <w:proofErr w:type="spellEnd"/>
      <w:r w:rsidRPr="005D0635">
        <w:rPr>
          <w:sz w:val="18"/>
          <w:szCs w:val="18"/>
        </w:rPr>
        <w:t xml:space="preserve"> </w:t>
      </w:r>
      <w:proofErr w:type="spellStart"/>
      <w:r w:rsidRPr="005D0635">
        <w:rPr>
          <w:sz w:val="18"/>
          <w:szCs w:val="18"/>
        </w:rPr>
        <w:t>the</w:t>
      </w:r>
      <w:proofErr w:type="spellEnd"/>
      <w:r w:rsidRPr="005D0635">
        <w:rPr>
          <w:sz w:val="18"/>
          <w:szCs w:val="18"/>
        </w:rPr>
        <w:t xml:space="preserve"> line</w:t>
      </w:r>
      <w:r>
        <w:rPr>
          <w:sz w:val="18"/>
          <w:szCs w:val="18"/>
        </w:rPr>
        <w:t xml:space="preserve"> – BTL) je</w:t>
      </w:r>
      <w:r w:rsidRPr="00336AF0">
        <w:rPr>
          <w:sz w:val="18"/>
          <w:szCs w:val="18"/>
        </w:rPr>
        <w:t xml:space="preserve"> označení pro nemasové for</w:t>
      </w:r>
      <w:r>
        <w:rPr>
          <w:sz w:val="18"/>
          <w:szCs w:val="18"/>
        </w:rPr>
        <w:t>my komunikace. Charakterizuje ji</w:t>
      </w:r>
      <w:r w:rsidRPr="00336AF0">
        <w:rPr>
          <w:sz w:val="18"/>
          <w:szCs w:val="18"/>
        </w:rPr>
        <w:t xml:space="preserve"> přesnější </w:t>
      </w:r>
      <w:r>
        <w:rPr>
          <w:sz w:val="18"/>
          <w:szCs w:val="18"/>
        </w:rPr>
        <w:t>zaměření na</w:t>
      </w:r>
      <w:r w:rsidRPr="00336AF0">
        <w:rPr>
          <w:sz w:val="18"/>
          <w:szCs w:val="18"/>
        </w:rPr>
        <w:t xml:space="preserve"> cílové skupiny (přímý marketin</w:t>
      </w:r>
      <w:r>
        <w:rPr>
          <w:sz w:val="18"/>
          <w:szCs w:val="18"/>
        </w:rPr>
        <w:t>g, reklama v místě prodeje </w:t>
      </w:r>
      <w:r w:rsidRPr="00336AF0">
        <w:rPr>
          <w:sz w:val="18"/>
          <w:szCs w:val="18"/>
        </w:rPr>
        <w:t>atd</w:t>
      </w:r>
      <w:r>
        <w:rPr>
          <w:sz w:val="18"/>
          <w:szCs w:val="18"/>
        </w:rPr>
        <w:t>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D06"/>
    <w:multiLevelType w:val="hybridMultilevel"/>
    <w:tmpl w:val="7E8EAB38"/>
    <w:lvl w:ilvl="0" w:tplc="E53CD73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BF302A"/>
    <w:multiLevelType w:val="hybridMultilevel"/>
    <w:tmpl w:val="F3C21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6B7D"/>
    <w:multiLevelType w:val="hybridMultilevel"/>
    <w:tmpl w:val="F7760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66F3"/>
    <w:multiLevelType w:val="hybridMultilevel"/>
    <w:tmpl w:val="88909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55C19"/>
    <w:multiLevelType w:val="multilevel"/>
    <w:tmpl w:val="F790FEFE"/>
    <w:lvl w:ilvl="0">
      <w:start w:val="1"/>
      <w:numFmt w:val="decimal"/>
      <w:pStyle w:val="Nadpis1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">
    <w:nsid w:val="0DD4409E"/>
    <w:multiLevelType w:val="hybridMultilevel"/>
    <w:tmpl w:val="2982EB0E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3E1853"/>
    <w:multiLevelType w:val="hybridMultilevel"/>
    <w:tmpl w:val="9F609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110A5"/>
    <w:multiLevelType w:val="hybridMultilevel"/>
    <w:tmpl w:val="6654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64FEC"/>
    <w:multiLevelType w:val="hybridMultilevel"/>
    <w:tmpl w:val="6DA6F5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335A3D"/>
    <w:multiLevelType w:val="hybridMultilevel"/>
    <w:tmpl w:val="46A6A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A70E3"/>
    <w:multiLevelType w:val="hybridMultilevel"/>
    <w:tmpl w:val="ED989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14943"/>
    <w:multiLevelType w:val="hybridMultilevel"/>
    <w:tmpl w:val="C130D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E47A7"/>
    <w:multiLevelType w:val="hybridMultilevel"/>
    <w:tmpl w:val="28D01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85C"/>
    <w:multiLevelType w:val="hybridMultilevel"/>
    <w:tmpl w:val="C4348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244F2"/>
    <w:multiLevelType w:val="hybridMultilevel"/>
    <w:tmpl w:val="9AB236D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8E05069"/>
    <w:multiLevelType w:val="hybridMultilevel"/>
    <w:tmpl w:val="471C6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149F8"/>
    <w:multiLevelType w:val="hybridMultilevel"/>
    <w:tmpl w:val="1E4CC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1560A"/>
    <w:multiLevelType w:val="hybridMultilevel"/>
    <w:tmpl w:val="246EF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6026B"/>
    <w:multiLevelType w:val="hybridMultilevel"/>
    <w:tmpl w:val="FD7E8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715D8"/>
    <w:multiLevelType w:val="hybridMultilevel"/>
    <w:tmpl w:val="28F6B0C0"/>
    <w:lvl w:ilvl="0" w:tplc="AF5CD7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123B1"/>
    <w:multiLevelType w:val="hybridMultilevel"/>
    <w:tmpl w:val="A2E0D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36D0F"/>
    <w:multiLevelType w:val="hybridMultilevel"/>
    <w:tmpl w:val="52D66A68"/>
    <w:lvl w:ilvl="0" w:tplc="23469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C67D9"/>
    <w:multiLevelType w:val="hybridMultilevel"/>
    <w:tmpl w:val="731A4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90C3E"/>
    <w:multiLevelType w:val="hybridMultilevel"/>
    <w:tmpl w:val="C3D4200C"/>
    <w:lvl w:ilvl="0" w:tplc="5D224C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93705"/>
    <w:multiLevelType w:val="hybridMultilevel"/>
    <w:tmpl w:val="E06A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379FA"/>
    <w:multiLevelType w:val="hybridMultilevel"/>
    <w:tmpl w:val="90102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7713F"/>
    <w:multiLevelType w:val="hybridMultilevel"/>
    <w:tmpl w:val="C25481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180B55"/>
    <w:multiLevelType w:val="hybridMultilevel"/>
    <w:tmpl w:val="5F70D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A52B9"/>
    <w:multiLevelType w:val="hybridMultilevel"/>
    <w:tmpl w:val="064849EC"/>
    <w:lvl w:ilvl="0" w:tplc="2A3EF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5330C"/>
    <w:multiLevelType w:val="hybridMultilevel"/>
    <w:tmpl w:val="47A4A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117F9"/>
    <w:multiLevelType w:val="hybridMultilevel"/>
    <w:tmpl w:val="ABEAD2A2"/>
    <w:lvl w:ilvl="0" w:tplc="8CC04A96">
      <w:start w:val="1"/>
      <w:numFmt w:val="decimal"/>
      <w:pStyle w:val="Ploha1"/>
      <w:lvlText w:val="Příloha č.  %1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1E2807"/>
    <w:multiLevelType w:val="hybridMultilevel"/>
    <w:tmpl w:val="A4F00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A4347"/>
    <w:multiLevelType w:val="hybridMultilevel"/>
    <w:tmpl w:val="654C8D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FB6924"/>
    <w:multiLevelType w:val="hybridMultilevel"/>
    <w:tmpl w:val="9E627B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183537"/>
    <w:multiLevelType w:val="hybridMultilevel"/>
    <w:tmpl w:val="70FCEF8E"/>
    <w:lvl w:ilvl="0" w:tplc="22FED85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7"/>
  </w:num>
  <w:num w:numId="5">
    <w:abstractNumId w:val="30"/>
  </w:num>
  <w:num w:numId="6">
    <w:abstractNumId w:val="16"/>
  </w:num>
  <w:num w:numId="7">
    <w:abstractNumId w:val="2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33"/>
  </w:num>
  <w:num w:numId="12">
    <w:abstractNumId w:val="11"/>
  </w:num>
  <w:num w:numId="13">
    <w:abstractNumId w:val="3"/>
  </w:num>
  <w:num w:numId="14">
    <w:abstractNumId w:val="0"/>
  </w:num>
  <w:num w:numId="15">
    <w:abstractNumId w:val="34"/>
  </w:num>
  <w:num w:numId="16">
    <w:abstractNumId w:val="28"/>
  </w:num>
  <w:num w:numId="17">
    <w:abstractNumId w:val="26"/>
  </w:num>
  <w:num w:numId="18">
    <w:abstractNumId w:val="25"/>
  </w:num>
  <w:num w:numId="19">
    <w:abstractNumId w:val="24"/>
  </w:num>
  <w:num w:numId="20">
    <w:abstractNumId w:val="19"/>
  </w:num>
  <w:num w:numId="21">
    <w:abstractNumId w:val="9"/>
  </w:num>
  <w:num w:numId="22">
    <w:abstractNumId w:val="1"/>
  </w:num>
  <w:num w:numId="23">
    <w:abstractNumId w:val="22"/>
  </w:num>
  <w:num w:numId="24">
    <w:abstractNumId w:val="31"/>
  </w:num>
  <w:num w:numId="25">
    <w:abstractNumId w:val="15"/>
  </w:num>
  <w:num w:numId="26">
    <w:abstractNumId w:val="27"/>
  </w:num>
  <w:num w:numId="27">
    <w:abstractNumId w:val="10"/>
  </w:num>
  <w:num w:numId="28">
    <w:abstractNumId w:val="7"/>
  </w:num>
  <w:num w:numId="29">
    <w:abstractNumId w:val="2"/>
  </w:num>
  <w:num w:numId="30">
    <w:abstractNumId w:val="14"/>
  </w:num>
  <w:num w:numId="31">
    <w:abstractNumId w:val="32"/>
  </w:num>
  <w:num w:numId="32">
    <w:abstractNumId w:val="5"/>
  </w:num>
  <w:num w:numId="33">
    <w:abstractNumId w:val="13"/>
  </w:num>
  <w:num w:numId="34">
    <w:abstractNumId w:val="18"/>
  </w:num>
  <w:num w:numId="35">
    <w:abstractNumId w:val="21"/>
  </w:num>
  <w:num w:numId="3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A"/>
    <w:rsid w:val="00001C43"/>
    <w:rsid w:val="00002BA1"/>
    <w:rsid w:val="000033CA"/>
    <w:rsid w:val="0000404F"/>
    <w:rsid w:val="0000650F"/>
    <w:rsid w:val="00006FB2"/>
    <w:rsid w:val="000076AB"/>
    <w:rsid w:val="00007AE7"/>
    <w:rsid w:val="00007BB1"/>
    <w:rsid w:val="00007D62"/>
    <w:rsid w:val="0001350F"/>
    <w:rsid w:val="00014169"/>
    <w:rsid w:val="000141B2"/>
    <w:rsid w:val="000205B9"/>
    <w:rsid w:val="000216E4"/>
    <w:rsid w:val="00021828"/>
    <w:rsid w:val="000234E7"/>
    <w:rsid w:val="0002467A"/>
    <w:rsid w:val="00024979"/>
    <w:rsid w:val="0002661A"/>
    <w:rsid w:val="000323B9"/>
    <w:rsid w:val="000326FE"/>
    <w:rsid w:val="0003320A"/>
    <w:rsid w:val="00033F4B"/>
    <w:rsid w:val="000355C0"/>
    <w:rsid w:val="00036D78"/>
    <w:rsid w:val="00045293"/>
    <w:rsid w:val="00045528"/>
    <w:rsid w:val="00050FFF"/>
    <w:rsid w:val="000517DA"/>
    <w:rsid w:val="00051C0E"/>
    <w:rsid w:val="00051C72"/>
    <w:rsid w:val="0005468C"/>
    <w:rsid w:val="00054875"/>
    <w:rsid w:val="0005512D"/>
    <w:rsid w:val="00055813"/>
    <w:rsid w:val="00056411"/>
    <w:rsid w:val="0006089E"/>
    <w:rsid w:val="00060D48"/>
    <w:rsid w:val="0006120E"/>
    <w:rsid w:val="000624B4"/>
    <w:rsid w:val="00062A03"/>
    <w:rsid w:val="0006320E"/>
    <w:rsid w:val="00064059"/>
    <w:rsid w:val="00064325"/>
    <w:rsid w:val="000665F7"/>
    <w:rsid w:val="0006704C"/>
    <w:rsid w:val="00070129"/>
    <w:rsid w:val="00070613"/>
    <w:rsid w:val="000718FB"/>
    <w:rsid w:val="00071D31"/>
    <w:rsid w:val="00072072"/>
    <w:rsid w:val="000734DE"/>
    <w:rsid w:val="000753DA"/>
    <w:rsid w:val="00077440"/>
    <w:rsid w:val="00082249"/>
    <w:rsid w:val="00082B87"/>
    <w:rsid w:val="00082C85"/>
    <w:rsid w:val="000832C8"/>
    <w:rsid w:val="00083791"/>
    <w:rsid w:val="00083A1C"/>
    <w:rsid w:val="000843F2"/>
    <w:rsid w:val="000847D2"/>
    <w:rsid w:val="00085055"/>
    <w:rsid w:val="0008672C"/>
    <w:rsid w:val="0009107F"/>
    <w:rsid w:val="00091215"/>
    <w:rsid w:val="000921EB"/>
    <w:rsid w:val="00093E05"/>
    <w:rsid w:val="00097089"/>
    <w:rsid w:val="000A1E17"/>
    <w:rsid w:val="000A4592"/>
    <w:rsid w:val="000A6555"/>
    <w:rsid w:val="000A6F65"/>
    <w:rsid w:val="000B0A43"/>
    <w:rsid w:val="000B21D5"/>
    <w:rsid w:val="000B3409"/>
    <w:rsid w:val="000B47E0"/>
    <w:rsid w:val="000B5406"/>
    <w:rsid w:val="000B5C33"/>
    <w:rsid w:val="000C424B"/>
    <w:rsid w:val="000C4FA1"/>
    <w:rsid w:val="000C6593"/>
    <w:rsid w:val="000C6C06"/>
    <w:rsid w:val="000C78DD"/>
    <w:rsid w:val="000C7FC7"/>
    <w:rsid w:val="000D0B69"/>
    <w:rsid w:val="000D22F6"/>
    <w:rsid w:val="000D2A29"/>
    <w:rsid w:val="000D320B"/>
    <w:rsid w:val="000D4918"/>
    <w:rsid w:val="000D50DC"/>
    <w:rsid w:val="000E0C1E"/>
    <w:rsid w:val="000E0E5A"/>
    <w:rsid w:val="000E1625"/>
    <w:rsid w:val="000E432D"/>
    <w:rsid w:val="000E602F"/>
    <w:rsid w:val="000F11CC"/>
    <w:rsid w:val="000F21B3"/>
    <w:rsid w:val="000F3B09"/>
    <w:rsid w:val="000F478F"/>
    <w:rsid w:val="000F519C"/>
    <w:rsid w:val="000F58F0"/>
    <w:rsid w:val="000F6148"/>
    <w:rsid w:val="000F675A"/>
    <w:rsid w:val="000F756A"/>
    <w:rsid w:val="000F756C"/>
    <w:rsid w:val="000F75C9"/>
    <w:rsid w:val="001012F9"/>
    <w:rsid w:val="00103174"/>
    <w:rsid w:val="00104663"/>
    <w:rsid w:val="00105004"/>
    <w:rsid w:val="001054DD"/>
    <w:rsid w:val="00107FF0"/>
    <w:rsid w:val="0011175D"/>
    <w:rsid w:val="001132D1"/>
    <w:rsid w:val="001150E7"/>
    <w:rsid w:val="00115D7D"/>
    <w:rsid w:val="00115EAF"/>
    <w:rsid w:val="00116E14"/>
    <w:rsid w:val="00122216"/>
    <w:rsid w:val="00123D0D"/>
    <w:rsid w:val="00125693"/>
    <w:rsid w:val="001257E4"/>
    <w:rsid w:val="001300A8"/>
    <w:rsid w:val="0013173A"/>
    <w:rsid w:val="001318EE"/>
    <w:rsid w:val="001328CE"/>
    <w:rsid w:val="00133B93"/>
    <w:rsid w:val="0013466E"/>
    <w:rsid w:val="001358A2"/>
    <w:rsid w:val="0013647C"/>
    <w:rsid w:val="00137D3B"/>
    <w:rsid w:val="00137D7A"/>
    <w:rsid w:val="00140985"/>
    <w:rsid w:val="00140B1C"/>
    <w:rsid w:val="001412F8"/>
    <w:rsid w:val="001417C1"/>
    <w:rsid w:val="00142709"/>
    <w:rsid w:val="00143ACA"/>
    <w:rsid w:val="00144600"/>
    <w:rsid w:val="001452A1"/>
    <w:rsid w:val="001471FA"/>
    <w:rsid w:val="001522FE"/>
    <w:rsid w:val="00153334"/>
    <w:rsid w:val="00155863"/>
    <w:rsid w:val="00155E00"/>
    <w:rsid w:val="00156BA1"/>
    <w:rsid w:val="00156E85"/>
    <w:rsid w:val="00160C88"/>
    <w:rsid w:val="00160E2D"/>
    <w:rsid w:val="00161C1A"/>
    <w:rsid w:val="001622AB"/>
    <w:rsid w:val="0016492B"/>
    <w:rsid w:val="00164F0F"/>
    <w:rsid w:val="00165079"/>
    <w:rsid w:val="001650E1"/>
    <w:rsid w:val="00165C18"/>
    <w:rsid w:val="00167846"/>
    <w:rsid w:val="00167937"/>
    <w:rsid w:val="00167B2C"/>
    <w:rsid w:val="00167BB1"/>
    <w:rsid w:val="001701BD"/>
    <w:rsid w:val="00170C8D"/>
    <w:rsid w:val="0017121C"/>
    <w:rsid w:val="001731E1"/>
    <w:rsid w:val="001778B5"/>
    <w:rsid w:val="0018064E"/>
    <w:rsid w:val="00180758"/>
    <w:rsid w:val="00181379"/>
    <w:rsid w:val="00181486"/>
    <w:rsid w:val="001816DC"/>
    <w:rsid w:val="00181CBA"/>
    <w:rsid w:val="00181F8D"/>
    <w:rsid w:val="001821CF"/>
    <w:rsid w:val="0018410D"/>
    <w:rsid w:val="00185100"/>
    <w:rsid w:val="001871B5"/>
    <w:rsid w:val="001873D6"/>
    <w:rsid w:val="00187769"/>
    <w:rsid w:val="0019018E"/>
    <w:rsid w:val="001911EC"/>
    <w:rsid w:val="00191806"/>
    <w:rsid w:val="00191A3E"/>
    <w:rsid w:val="00191B6E"/>
    <w:rsid w:val="001921E4"/>
    <w:rsid w:val="001928F8"/>
    <w:rsid w:val="00193675"/>
    <w:rsid w:val="00193893"/>
    <w:rsid w:val="00195D10"/>
    <w:rsid w:val="0019648E"/>
    <w:rsid w:val="0019676D"/>
    <w:rsid w:val="00197F97"/>
    <w:rsid w:val="001A0034"/>
    <w:rsid w:val="001A0657"/>
    <w:rsid w:val="001A0F87"/>
    <w:rsid w:val="001A2B89"/>
    <w:rsid w:val="001A577B"/>
    <w:rsid w:val="001A6465"/>
    <w:rsid w:val="001A6826"/>
    <w:rsid w:val="001A79F2"/>
    <w:rsid w:val="001A7A15"/>
    <w:rsid w:val="001B03E3"/>
    <w:rsid w:val="001B074C"/>
    <w:rsid w:val="001B09E2"/>
    <w:rsid w:val="001B1492"/>
    <w:rsid w:val="001B20B1"/>
    <w:rsid w:val="001B221B"/>
    <w:rsid w:val="001B28E5"/>
    <w:rsid w:val="001B2BB3"/>
    <w:rsid w:val="001B2DB7"/>
    <w:rsid w:val="001B3266"/>
    <w:rsid w:val="001B4875"/>
    <w:rsid w:val="001B48D7"/>
    <w:rsid w:val="001B537F"/>
    <w:rsid w:val="001B53F1"/>
    <w:rsid w:val="001B5689"/>
    <w:rsid w:val="001B65C6"/>
    <w:rsid w:val="001B7017"/>
    <w:rsid w:val="001C06E4"/>
    <w:rsid w:val="001C1D53"/>
    <w:rsid w:val="001C235F"/>
    <w:rsid w:val="001C29B2"/>
    <w:rsid w:val="001C3231"/>
    <w:rsid w:val="001C366C"/>
    <w:rsid w:val="001C4366"/>
    <w:rsid w:val="001C43BB"/>
    <w:rsid w:val="001C4717"/>
    <w:rsid w:val="001C593C"/>
    <w:rsid w:val="001C60B7"/>
    <w:rsid w:val="001C62EF"/>
    <w:rsid w:val="001C7A38"/>
    <w:rsid w:val="001C7A50"/>
    <w:rsid w:val="001D1749"/>
    <w:rsid w:val="001D19B4"/>
    <w:rsid w:val="001D22F2"/>
    <w:rsid w:val="001D3E52"/>
    <w:rsid w:val="001D4289"/>
    <w:rsid w:val="001D71FD"/>
    <w:rsid w:val="001E13E1"/>
    <w:rsid w:val="001E44AD"/>
    <w:rsid w:val="001E44DD"/>
    <w:rsid w:val="001E604C"/>
    <w:rsid w:val="001E64FD"/>
    <w:rsid w:val="001E777E"/>
    <w:rsid w:val="001F02D0"/>
    <w:rsid w:val="001F09F9"/>
    <w:rsid w:val="001F1BC2"/>
    <w:rsid w:val="001F33EF"/>
    <w:rsid w:val="001F45DA"/>
    <w:rsid w:val="001F5165"/>
    <w:rsid w:val="001F68D0"/>
    <w:rsid w:val="0020014C"/>
    <w:rsid w:val="00202190"/>
    <w:rsid w:val="002024D0"/>
    <w:rsid w:val="00202818"/>
    <w:rsid w:val="00203002"/>
    <w:rsid w:val="00203041"/>
    <w:rsid w:val="002035E1"/>
    <w:rsid w:val="00204FA5"/>
    <w:rsid w:val="002055FA"/>
    <w:rsid w:val="002059D5"/>
    <w:rsid w:val="00206C3B"/>
    <w:rsid w:val="0020734C"/>
    <w:rsid w:val="00211BCE"/>
    <w:rsid w:val="0021330D"/>
    <w:rsid w:val="002161EE"/>
    <w:rsid w:val="002164FB"/>
    <w:rsid w:val="00216AE7"/>
    <w:rsid w:val="00216C37"/>
    <w:rsid w:val="002170C7"/>
    <w:rsid w:val="00222838"/>
    <w:rsid w:val="00222B00"/>
    <w:rsid w:val="00223131"/>
    <w:rsid w:val="00223E5C"/>
    <w:rsid w:val="00225FCF"/>
    <w:rsid w:val="0022645A"/>
    <w:rsid w:val="0022691E"/>
    <w:rsid w:val="00230117"/>
    <w:rsid w:val="00230611"/>
    <w:rsid w:val="002316BD"/>
    <w:rsid w:val="00231C83"/>
    <w:rsid w:val="0023207A"/>
    <w:rsid w:val="0023255A"/>
    <w:rsid w:val="00232589"/>
    <w:rsid w:val="00233560"/>
    <w:rsid w:val="00233CE1"/>
    <w:rsid w:val="00234755"/>
    <w:rsid w:val="00236944"/>
    <w:rsid w:val="00236A40"/>
    <w:rsid w:val="0023790C"/>
    <w:rsid w:val="0024250C"/>
    <w:rsid w:val="002425DD"/>
    <w:rsid w:val="00242C69"/>
    <w:rsid w:val="0024407A"/>
    <w:rsid w:val="00244CAA"/>
    <w:rsid w:val="00246989"/>
    <w:rsid w:val="00247734"/>
    <w:rsid w:val="00247920"/>
    <w:rsid w:val="0025037D"/>
    <w:rsid w:val="00252CA1"/>
    <w:rsid w:val="00253ED5"/>
    <w:rsid w:val="00254746"/>
    <w:rsid w:val="00255169"/>
    <w:rsid w:val="00257663"/>
    <w:rsid w:val="002579CF"/>
    <w:rsid w:val="00257EB9"/>
    <w:rsid w:val="002600A4"/>
    <w:rsid w:val="00261FB1"/>
    <w:rsid w:val="002629C4"/>
    <w:rsid w:val="00262DDC"/>
    <w:rsid w:val="00263B24"/>
    <w:rsid w:val="00264C38"/>
    <w:rsid w:val="00264CAF"/>
    <w:rsid w:val="002673DB"/>
    <w:rsid w:val="00270153"/>
    <w:rsid w:val="00271E98"/>
    <w:rsid w:val="00272833"/>
    <w:rsid w:val="00274A32"/>
    <w:rsid w:val="00275153"/>
    <w:rsid w:val="00275261"/>
    <w:rsid w:val="00275457"/>
    <w:rsid w:val="002754F6"/>
    <w:rsid w:val="002756A3"/>
    <w:rsid w:val="002774F2"/>
    <w:rsid w:val="00281A42"/>
    <w:rsid w:val="0028207D"/>
    <w:rsid w:val="00282AB2"/>
    <w:rsid w:val="00283359"/>
    <w:rsid w:val="002834BB"/>
    <w:rsid w:val="00287DD5"/>
    <w:rsid w:val="00290096"/>
    <w:rsid w:val="00290F51"/>
    <w:rsid w:val="002916C5"/>
    <w:rsid w:val="00291B37"/>
    <w:rsid w:val="00292C28"/>
    <w:rsid w:val="002939AB"/>
    <w:rsid w:val="00294971"/>
    <w:rsid w:val="00294F15"/>
    <w:rsid w:val="00297C00"/>
    <w:rsid w:val="002A0861"/>
    <w:rsid w:val="002A094D"/>
    <w:rsid w:val="002A0EEE"/>
    <w:rsid w:val="002A2FDB"/>
    <w:rsid w:val="002A3085"/>
    <w:rsid w:val="002A3D5B"/>
    <w:rsid w:val="002A4058"/>
    <w:rsid w:val="002A405F"/>
    <w:rsid w:val="002A4CCA"/>
    <w:rsid w:val="002A57ED"/>
    <w:rsid w:val="002A61BD"/>
    <w:rsid w:val="002A62A7"/>
    <w:rsid w:val="002A62AA"/>
    <w:rsid w:val="002A6D01"/>
    <w:rsid w:val="002A78ED"/>
    <w:rsid w:val="002A7A3D"/>
    <w:rsid w:val="002A7E3E"/>
    <w:rsid w:val="002B1F6B"/>
    <w:rsid w:val="002B389D"/>
    <w:rsid w:val="002B59BA"/>
    <w:rsid w:val="002B5C52"/>
    <w:rsid w:val="002B6504"/>
    <w:rsid w:val="002B6949"/>
    <w:rsid w:val="002C0A1E"/>
    <w:rsid w:val="002C0AF1"/>
    <w:rsid w:val="002C1607"/>
    <w:rsid w:val="002C4807"/>
    <w:rsid w:val="002C4FDA"/>
    <w:rsid w:val="002C5498"/>
    <w:rsid w:val="002C68F7"/>
    <w:rsid w:val="002D0DEB"/>
    <w:rsid w:val="002D69DE"/>
    <w:rsid w:val="002D6AB2"/>
    <w:rsid w:val="002D7EDB"/>
    <w:rsid w:val="002E0847"/>
    <w:rsid w:val="002E089B"/>
    <w:rsid w:val="002E0B60"/>
    <w:rsid w:val="002E3B7D"/>
    <w:rsid w:val="002E438E"/>
    <w:rsid w:val="002E4630"/>
    <w:rsid w:val="002E4C17"/>
    <w:rsid w:val="002E4C6E"/>
    <w:rsid w:val="002E60E7"/>
    <w:rsid w:val="002E6582"/>
    <w:rsid w:val="002E7E29"/>
    <w:rsid w:val="002F1141"/>
    <w:rsid w:val="002F1239"/>
    <w:rsid w:val="002F12E2"/>
    <w:rsid w:val="002F15A4"/>
    <w:rsid w:val="002F4882"/>
    <w:rsid w:val="002F5958"/>
    <w:rsid w:val="002F6EE6"/>
    <w:rsid w:val="0030104D"/>
    <w:rsid w:val="00302678"/>
    <w:rsid w:val="003035DC"/>
    <w:rsid w:val="0030376F"/>
    <w:rsid w:val="003050E7"/>
    <w:rsid w:val="00305D9D"/>
    <w:rsid w:val="00305FA3"/>
    <w:rsid w:val="00307277"/>
    <w:rsid w:val="00307684"/>
    <w:rsid w:val="003110B3"/>
    <w:rsid w:val="00312565"/>
    <w:rsid w:val="00312587"/>
    <w:rsid w:val="00312C5E"/>
    <w:rsid w:val="003135B6"/>
    <w:rsid w:val="003143DA"/>
    <w:rsid w:val="00315438"/>
    <w:rsid w:val="003154C8"/>
    <w:rsid w:val="00315630"/>
    <w:rsid w:val="00316B21"/>
    <w:rsid w:val="00316D0E"/>
    <w:rsid w:val="00317759"/>
    <w:rsid w:val="003179DF"/>
    <w:rsid w:val="00317D40"/>
    <w:rsid w:val="00317F10"/>
    <w:rsid w:val="0032243D"/>
    <w:rsid w:val="00322928"/>
    <w:rsid w:val="00322E91"/>
    <w:rsid w:val="00322ED8"/>
    <w:rsid w:val="00323A1A"/>
    <w:rsid w:val="00323E1F"/>
    <w:rsid w:val="00323F98"/>
    <w:rsid w:val="0032444E"/>
    <w:rsid w:val="00324637"/>
    <w:rsid w:val="00324C53"/>
    <w:rsid w:val="00325482"/>
    <w:rsid w:val="003257B8"/>
    <w:rsid w:val="003258C5"/>
    <w:rsid w:val="00326A18"/>
    <w:rsid w:val="00327674"/>
    <w:rsid w:val="003302A5"/>
    <w:rsid w:val="003306C9"/>
    <w:rsid w:val="0033300C"/>
    <w:rsid w:val="00334C75"/>
    <w:rsid w:val="003351B4"/>
    <w:rsid w:val="003356CA"/>
    <w:rsid w:val="003360C7"/>
    <w:rsid w:val="003418E0"/>
    <w:rsid w:val="003420F1"/>
    <w:rsid w:val="003425D9"/>
    <w:rsid w:val="00343E45"/>
    <w:rsid w:val="00345700"/>
    <w:rsid w:val="00346996"/>
    <w:rsid w:val="00346B7C"/>
    <w:rsid w:val="00347B30"/>
    <w:rsid w:val="00350848"/>
    <w:rsid w:val="003540D5"/>
    <w:rsid w:val="00354F34"/>
    <w:rsid w:val="00355846"/>
    <w:rsid w:val="00357498"/>
    <w:rsid w:val="0036025D"/>
    <w:rsid w:val="00360671"/>
    <w:rsid w:val="00362970"/>
    <w:rsid w:val="00363672"/>
    <w:rsid w:val="00366145"/>
    <w:rsid w:val="00366B56"/>
    <w:rsid w:val="00367412"/>
    <w:rsid w:val="00367498"/>
    <w:rsid w:val="00370AD4"/>
    <w:rsid w:val="003722EE"/>
    <w:rsid w:val="00372C57"/>
    <w:rsid w:val="003732D5"/>
    <w:rsid w:val="00381447"/>
    <w:rsid w:val="003816C2"/>
    <w:rsid w:val="00382249"/>
    <w:rsid w:val="003827EB"/>
    <w:rsid w:val="0038285A"/>
    <w:rsid w:val="00383198"/>
    <w:rsid w:val="00383F2A"/>
    <w:rsid w:val="0038534D"/>
    <w:rsid w:val="003865EC"/>
    <w:rsid w:val="00386881"/>
    <w:rsid w:val="00387F66"/>
    <w:rsid w:val="003901EF"/>
    <w:rsid w:val="00391165"/>
    <w:rsid w:val="0039120D"/>
    <w:rsid w:val="00391BC5"/>
    <w:rsid w:val="00391F24"/>
    <w:rsid w:val="0039232E"/>
    <w:rsid w:val="00392665"/>
    <w:rsid w:val="00394280"/>
    <w:rsid w:val="003956C9"/>
    <w:rsid w:val="00395B4F"/>
    <w:rsid w:val="00397087"/>
    <w:rsid w:val="003974D5"/>
    <w:rsid w:val="003A17C4"/>
    <w:rsid w:val="003A1950"/>
    <w:rsid w:val="003A1BC3"/>
    <w:rsid w:val="003A1CA9"/>
    <w:rsid w:val="003A200D"/>
    <w:rsid w:val="003A3336"/>
    <w:rsid w:val="003A44CB"/>
    <w:rsid w:val="003A46FD"/>
    <w:rsid w:val="003A5D20"/>
    <w:rsid w:val="003A7B2B"/>
    <w:rsid w:val="003A7F67"/>
    <w:rsid w:val="003B0B21"/>
    <w:rsid w:val="003B1C69"/>
    <w:rsid w:val="003B1E2D"/>
    <w:rsid w:val="003B21E8"/>
    <w:rsid w:val="003B2F00"/>
    <w:rsid w:val="003B4BC4"/>
    <w:rsid w:val="003B65EB"/>
    <w:rsid w:val="003C01C8"/>
    <w:rsid w:val="003C144B"/>
    <w:rsid w:val="003C1C9C"/>
    <w:rsid w:val="003C2385"/>
    <w:rsid w:val="003C2681"/>
    <w:rsid w:val="003C28C0"/>
    <w:rsid w:val="003C3866"/>
    <w:rsid w:val="003C3A67"/>
    <w:rsid w:val="003C3B6A"/>
    <w:rsid w:val="003C47DE"/>
    <w:rsid w:val="003C4812"/>
    <w:rsid w:val="003D028D"/>
    <w:rsid w:val="003D0DD0"/>
    <w:rsid w:val="003D12F5"/>
    <w:rsid w:val="003D2956"/>
    <w:rsid w:val="003D3408"/>
    <w:rsid w:val="003D3C9E"/>
    <w:rsid w:val="003D4FC8"/>
    <w:rsid w:val="003D713B"/>
    <w:rsid w:val="003D741E"/>
    <w:rsid w:val="003D7C21"/>
    <w:rsid w:val="003E1267"/>
    <w:rsid w:val="003E1503"/>
    <w:rsid w:val="003E2637"/>
    <w:rsid w:val="003E707E"/>
    <w:rsid w:val="003E7411"/>
    <w:rsid w:val="003E7E88"/>
    <w:rsid w:val="003F0375"/>
    <w:rsid w:val="003F2018"/>
    <w:rsid w:val="003F2EDF"/>
    <w:rsid w:val="003F74D2"/>
    <w:rsid w:val="003F7735"/>
    <w:rsid w:val="003F7D85"/>
    <w:rsid w:val="00401292"/>
    <w:rsid w:val="00401F91"/>
    <w:rsid w:val="004033DB"/>
    <w:rsid w:val="00404F0C"/>
    <w:rsid w:val="004051A0"/>
    <w:rsid w:val="004074F4"/>
    <w:rsid w:val="00407809"/>
    <w:rsid w:val="00410607"/>
    <w:rsid w:val="00411A0D"/>
    <w:rsid w:val="00411F6C"/>
    <w:rsid w:val="00414F29"/>
    <w:rsid w:val="00416EBD"/>
    <w:rsid w:val="0042035E"/>
    <w:rsid w:val="004231C1"/>
    <w:rsid w:val="0042383C"/>
    <w:rsid w:val="00423DAD"/>
    <w:rsid w:val="00424D87"/>
    <w:rsid w:val="0042515E"/>
    <w:rsid w:val="004262A3"/>
    <w:rsid w:val="00427CF4"/>
    <w:rsid w:val="00430A00"/>
    <w:rsid w:val="0043177E"/>
    <w:rsid w:val="00432232"/>
    <w:rsid w:val="00433A61"/>
    <w:rsid w:val="00434711"/>
    <w:rsid w:val="00434872"/>
    <w:rsid w:val="004354BB"/>
    <w:rsid w:val="00435C42"/>
    <w:rsid w:val="00437C93"/>
    <w:rsid w:val="004400FB"/>
    <w:rsid w:val="00440DB9"/>
    <w:rsid w:val="004410ED"/>
    <w:rsid w:val="00441A53"/>
    <w:rsid w:val="00441B89"/>
    <w:rsid w:val="00443EDF"/>
    <w:rsid w:val="004444A5"/>
    <w:rsid w:val="00444C57"/>
    <w:rsid w:val="0044613A"/>
    <w:rsid w:val="00447D77"/>
    <w:rsid w:val="004513E7"/>
    <w:rsid w:val="00452CB4"/>
    <w:rsid w:val="00457573"/>
    <w:rsid w:val="004575E8"/>
    <w:rsid w:val="00457835"/>
    <w:rsid w:val="0046056A"/>
    <w:rsid w:val="00460691"/>
    <w:rsid w:val="00460887"/>
    <w:rsid w:val="00460F21"/>
    <w:rsid w:val="004619DD"/>
    <w:rsid w:val="004629F7"/>
    <w:rsid w:val="00463635"/>
    <w:rsid w:val="004638A2"/>
    <w:rsid w:val="004638CD"/>
    <w:rsid w:val="0046533C"/>
    <w:rsid w:val="00465C43"/>
    <w:rsid w:val="00466E68"/>
    <w:rsid w:val="004671BE"/>
    <w:rsid w:val="00470B13"/>
    <w:rsid w:val="004713D2"/>
    <w:rsid w:val="00474B82"/>
    <w:rsid w:val="00475CD2"/>
    <w:rsid w:val="004763F9"/>
    <w:rsid w:val="00480C30"/>
    <w:rsid w:val="00481C0D"/>
    <w:rsid w:val="00485858"/>
    <w:rsid w:val="00485BB5"/>
    <w:rsid w:val="00486B76"/>
    <w:rsid w:val="00486C4F"/>
    <w:rsid w:val="00487DFD"/>
    <w:rsid w:val="0049004F"/>
    <w:rsid w:val="004907D5"/>
    <w:rsid w:val="00493741"/>
    <w:rsid w:val="0049568F"/>
    <w:rsid w:val="0049646B"/>
    <w:rsid w:val="00497182"/>
    <w:rsid w:val="00497759"/>
    <w:rsid w:val="004A12A7"/>
    <w:rsid w:val="004A16C0"/>
    <w:rsid w:val="004A1F54"/>
    <w:rsid w:val="004A1FA6"/>
    <w:rsid w:val="004A4B68"/>
    <w:rsid w:val="004A6784"/>
    <w:rsid w:val="004A6C8F"/>
    <w:rsid w:val="004A709F"/>
    <w:rsid w:val="004A74B4"/>
    <w:rsid w:val="004B0DBF"/>
    <w:rsid w:val="004B11FE"/>
    <w:rsid w:val="004B3F6C"/>
    <w:rsid w:val="004B4697"/>
    <w:rsid w:val="004B5800"/>
    <w:rsid w:val="004B77C6"/>
    <w:rsid w:val="004C0686"/>
    <w:rsid w:val="004C0C13"/>
    <w:rsid w:val="004C272F"/>
    <w:rsid w:val="004C411C"/>
    <w:rsid w:val="004C512F"/>
    <w:rsid w:val="004D0DFC"/>
    <w:rsid w:val="004D0E34"/>
    <w:rsid w:val="004D0E8F"/>
    <w:rsid w:val="004D1EE9"/>
    <w:rsid w:val="004D463D"/>
    <w:rsid w:val="004D572C"/>
    <w:rsid w:val="004D7BB9"/>
    <w:rsid w:val="004E1CD5"/>
    <w:rsid w:val="004E2C51"/>
    <w:rsid w:val="004E2E3B"/>
    <w:rsid w:val="004E468D"/>
    <w:rsid w:val="004F0885"/>
    <w:rsid w:val="004F0C81"/>
    <w:rsid w:val="004F4B81"/>
    <w:rsid w:val="004F756A"/>
    <w:rsid w:val="005005C9"/>
    <w:rsid w:val="0050104D"/>
    <w:rsid w:val="00502195"/>
    <w:rsid w:val="005031A8"/>
    <w:rsid w:val="00504465"/>
    <w:rsid w:val="0050476B"/>
    <w:rsid w:val="00504DA0"/>
    <w:rsid w:val="00506098"/>
    <w:rsid w:val="00507952"/>
    <w:rsid w:val="005117FB"/>
    <w:rsid w:val="00511CF7"/>
    <w:rsid w:val="0051204F"/>
    <w:rsid w:val="005167D6"/>
    <w:rsid w:val="00516F50"/>
    <w:rsid w:val="0052001D"/>
    <w:rsid w:val="00520712"/>
    <w:rsid w:val="00520F31"/>
    <w:rsid w:val="00522831"/>
    <w:rsid w:val="005240F1"/>
    <w:rsid w:val="00524B96"/>
    <w:rsid w:val="00525036"/>
    <w:rsid w:val="005251B2"/>
    <w:rsid w:val="00530A58"/>
    <w:rsid w:val="005326BB"/>
    <w:rsid w:val="0053316B"/>
    <w:rsid w:val="00534DB7"/>
    <w:rsid w:val="00535351"/>
    <w:rsid w:val="005368DF"/>
    <w:rsid w:val="00537ED2"/>
    <w:rsid w:val="005407F7"/>
    <w:rsid w:val="00540CF0"/>
    <w:rsid w:val="0054171B"/>
    <w:rsid w:val="00542905"/>
    <w:rsid w:val="00542F31"/>
    <w:rsid w:val="00543288"/>
    <w:rsid w:val="00543EED"/>
    <w:rsid w:val="00543F94"/>
    <w:rsid w:val="005443AA"/>
    <w:rsid w:val="0054573C"/>
    <w:rsid w:val="005478B1"/>
    <w:rsid w:val="00547DBF"/>
    <w:rsid w:val="00547EF5"/>
    <w:rsid w:val="00550650"/>
    <w:rsid w:val="00551325"/>
    <w:rsid w:val="0055220D"/>
    <w:rsid w:val="005528A1"/>
    <w:rsid w:val="005541EC"/>
    <w:rsid w:val="0055622B"/>
    <w:rsid w:val="00556E1C"/>
    <w:rsid w:val="00557188"/>
    <w:rsid w:val="00560125"/>
    <w:rsid w:val="00560616"/>
    <w:rsid w:val="005611D3"/>
    <w:rsid w:val="005636F2"/>
    <w:rsid w:val="00564457"/>
    <w:rsid w:val="00565466"/>
    <w:rsid w:val="005661F0"/>
    <w:rsid w:val="0056702B"/>
    <w:rsid w:val="00567C91"/>
    <w:rsid w:val="00570CFA"/>
    <w:rsid w:val="00570DC7"/>
    <w:rsid w:val="00571354"/>
    <w:rsid w:val="0057136F"/>
    <w:rsid w:val="00571869"/>
    <w:rsid w:val="00571BC4"/>
    <w:rsid w:val="005770BD"/>
    <w:rsid w:val="005777C4"/>
    <w:rsid w:val="005826D5"/>
    <w:rsid w:val="00584CF0"/>
    <w:rsid w:val="00585438"/>
    <w:rsid w:val="00585A43"/>
    <w:rsid w:val="00587C0B"/>
    <w:rsid w:val="00587D48"/>
    <w:rsid w:val="00590634"/>
    <w:rsid w:val="00590845"/>
    <w:rsid w:val="00592FFC"/>
    <w:rsid w:val="00594265"/>
    <w:rsid w:val="005944B9"/>
    <w:rsid w:val="00594E29"/>
    <w:rsid w:val="00596FDD"/>
    <w:rsid w:val="00597CBC"/>
    <w:rsid w:val="005A3210"/>
    <w:rsid w:val="005A398D"/>
    <w:rsid w:val="005A3AD8"/>
    <w:rsid w:val="005A3D15"/>
    <w:rsid w:val="005A6355"/>
    <w:rsid w:val="005A764F"/>
    <w:rsid w:val="005A7ADC"/>
    <w:rsid w:val="005B0632"/>
    <w:rsid w:val="005B1371"/>
    <w:rsid w:val="005B1E4F"/>
    <w:rsid w:val="005B4940"/>
    <w:rsid w:val="005B54E9"/>
    <w:rsid w:val="005B5B15"/>
    <w:rsid w:val="005C01C0"/>
    <w:rsid w:val="005C0A31"/>
    <w:rsid w:val="005C23C5"/>
    <w:rsid w:val="005C290A"/>
    <w:rsid w:val="005C2ABA"/>
    <w:rsid w:val="005C2DFE"/>
    <w:rsid w:val="005C39CE"/>
    <w:rsid w:val="005C4E4C"/>
    <w:rsid w:val="005D0635"/>
    <w:rsid w:val="005D28F2"/>
    <w:rsid w:val="005D2B9B"/>
    <w:rsid w:val="005D56B7"/>
    <w:rsid w:val="005D621E"/>
    <w:rsid w:val="005D62BF"/>
    <w:rsid w:val="005E099C"/>
    <w:rsid w:val="005E137B"/>
    <w:rsid w:val="005E196A"/>
    <w:rsid w:val="005E20E2"/>
    <w:rsid w:val="005E3328"/>
    <w:rsid w:val="005E5F98"/>
    <w:rsid w:val="005E6207"/>
    <w:rsid w:val="005E674B"/>
    <w:rsid w:val="005F0902"/>
    <w:rsid w:val="005F0A07"/>
    <w:rsid w:val="005F0B51"/>
    <w:rsid w:val="005F113F"/>
    <w:rsid w:val="005F190F"/>
    <w:rsid w:val="005F3CF5"/>
    <w:rsid w:val="005F4FBF"/>
    <w:rsid w:val="005F6300"/>
    <w:rsid w:val="005F689A"/>
    <w:rsid w:val="00600F2B"/>
    <w:rsid w:val="00602127"/>
    <w:rsid w:val="006053E5"/>
    <w:rsid w:val="006054F0"/>
    <w:rsid w:val="0061537A"/>
    <w:rsid w:val="00615CC9"/>
    <w:rsid w:val="0062172E"/>
    <w:rsid w:val="00622B9A"/>
    <w:rsid w:val="006237A8"/>
    <w:rsid w:val="0062440B"/>
    <w:rsid w:val="00624C20"/>
    <w:rsid w:val="00625153"/>
    <w:rsid w:val="006257AD"/>
    <w:rsid w:val="00630853"/>
    <w:rsid w:val="0063093E"/>
    <w:rsid w:val="00630BA2"/>
    <w:rsid w:val="00630C59"/>
    <w:rsid w:val="00631C61"/>
    <w:rsid w:val="006321E6"/>
    <w:rsid w:val="00633A91"/>
    <w:rsid w:val="0063473C"/>
    <w:rsid w:val="00634770"/>
    <w:rsid w:val="00634B4E"/>
    <w:rsid w:val="006353B4"/>
    <w:rsid w:val="00636233"/>
    <w:rsid w:val="006367E3"/>
    <w:rsid w:val="006378F9"/>
    <w:rsid w:val="00640D0E"/>
    <w:rsid w:val="00642421"/>
    <w:rsid w:val="006433C9"/>
    <w:rsid w:val="006436AF"/>
    <w:rsid w:val="0064393A"/>
    <w:rsid w:val="006448B8"/>
    <w:rsid w:val="006470B6"/>
    <w:rsid w:val="00651293"/>
    <w:rsid w:val="00651637"/>
    <w:rsid w:val="00651823"/>
    <w:rsid w:val="00651B12"/>
    <w:rsid w:val="00652629"/>
    <w:rsid w:val="00652859"/>
    <w:rsid w:val="00653A8C"/>
    <w:rsid w:val="00654496"/>
    <w:rsid w:val="0065591B"/>
    <w:rsid w:val="00655D1D"/>
    <w:rsid w:val="00656D07"/>
    <w:rsid w:val="00662141"/>
    <w:rsid w:val="006626BB"/>
    <w:rsid w:val="00662710"/>
    <w:rsid w:val="006630DB"/>
    <w:rsid w:val="00665CEC"/>
    <w:rsid w:val="00666156"/>
    <w:rsid w:val="0066647F"/>
    <w:rsid w:val="00674A4C"/>
    <w:rsid w:val="00674E51"/>
    <w:rsid w:val="00676994"/>
    <w:rsid w:val="00676C5B"/>
    <w:rsid w:val="00680162"/>
    <w:rsid w:val="00681187"/>
    <w:rsid w:val="0068276B"/>
    <w:rsid w:val="0068377C"/>
    <w:rsid w:val="00684F63"/>
    <w:rsid w:val="006904F5"/>
    <w:rsid w:val="00690DB0"/>
    <w:rsid w:val="00691505"/>
    <w:rsid w:val="0069183C"/>
    <w:rsid w:val="00691BCF"/>
    <w:rsid w:val="00691FBC"/>
    <w:rsid w:val="006929BA"/>
    <w:rsid w:val="00692E89"/>
    <w:rsid w:val="0069342A"/>
    <w:rsid w:val="00693CFA"/>
    <w:rsid w:val="00693F77"/>
    <w:rsid w:val="00695200"/>
    <w:rsid w:val="00695407"/>
    <w:rsid w:val="0069662D"/>
    <w:rsid w:val="006A0C21"/>
    <w:rsid w:val="006A0FA8"/>
    <w:rsid w:val="006A1D37"/>
    <w:rsid w:val="006A4EF7"/>
    <w:rsid w:val="006A6299"/>
    <w:rsid w:val="006A6821"/>
    <w:rsid w:val="006A745C"/>
    <w:rsid w:val="006B272A"/>
    <w:rsid w:val="006B398D"/>
    <w:rsid w:val="006B3C91"/>
    <w:rsid w:val="006B7471"/>
    <w:rsid w:val="006C0E97"/>
    <w:rsid w:val="006C2411"/>
    <w:rsid w:val="006C3851"/>
    <w:rsid w:val="006C3F22"/>
    <w:rsid w:val="006C5297"/>
    <w:rsid w:val="006C5A85"/>
    <w:rsid w:val="006C6093"/>
    <w:rsid w:val="006C7C11"/>
    <w:rsid w:val="006D0D0E"/>
    <w:rsid w:val="006D291A"/>
    <w:rsid w:val="006D43AC"/>
    <w:rsid w:val="006D508C"/>
    <w:rsid w:val="006D68FA"/>
    <w:rsid w:val="006D7BA3"/>
    <w:rsid w:val="006E0181"/>
    <w:rsid w:val="006E1530"/>
    <w:rsid w:val="006E2FCB"/>
    <w:rsid w:val="006E31BE"/>
    <w:rsid w:val="006E352D"/>
    <w:rsid w:val="006E3ADB"/>
    <w:rsid w:val="006E42C3"/>
    <w:rsid w:val="006E71B8"/>
    <w:rsid w:val="006F002E"/>
    <w:rsid w:val="006F0228"/>
    <w:rsid w:val="006F24A7"/>
    <w:rsid w:val="006F2635"/>
    <w:rsid w:val="006F417C"/>
    <w:rsid w:val="006F678B"/>
    <w:rsid w:val="006F6AFE"/>
    <w:rsid w:val="006F6F29"/>
    <w:rsid w:val="00700941"/>
    <w:rsid w:val="00701A2E"/>
    <w:rsid w:val="0070219F"/>
    <w:rsid w:val="00702C05"/>
    <w:rsid w:val="00705673"/>
    <w:rsid w:val="00705A6B"/>
    <w:rsid w:val="00705E3D"/>
    <w:rsid w:val="00706411"/>
    <w:rsid w:val="0071113E"/>
    <w:rsid w:val="00711225"/>
    <w:rsid w:val="007113F0"/>
    <w:rsid w:val="00711F11"/>
    <w:rsid w:val="0071453F"/>
    <w:rsid w:val="00714C95"/>
    <w:rsid w:val="0071682C"/>
    <w:rsid w:val="007213FF"/>
    <w:rsid w:val="00721A33"/>
    <w:rsid w:val="00721E8C"/>
    <w:rsid w:val="0072233D"/>
    <w:rsid w:val="00723955"/>
    <w:rsid w:val="00723A13"/>
    <w:rsid w:val="00724E25"/>
    <w:rsid w:val="00724FC4"/>
    <w:rsid w:val="0072512E"/>
    <w:rsid w:val="00725EB8"/>
    <w:rsid w:val="00731292"/>
    <w:rsid w:val="0073153D"/>
    <w:rsid w:val="00731954"/>
    <w:rsid w:val="007322B5"/>
    <w:rsid w:val="007328A0"/>
    <w:rsid w:val="0073386E"/>
    <w:rsid w:val="00733C03"/>
    <w:rsid w:val="00734009"/>
    <w:rsid w:val="007346A9"/>
    <w:rsid w:val="007348D4"/>
    <w:rsid w:val="00735771"/>
    <w:rsid w:val="0073588A"/>
    <w:rsid w:val="00735D94"/>
    <w:rsid w:val="00737360"/>
    <w:rsid w:val="00741093"/>
    <w:rsid w:val="00741BBB"/>
    <w:rsid w:val="00741E0F"/>
    <w:rsid w:val="0074438D"/>
    <w:rsid w:val="00746ED2"/>
    <w:rsid w:val="00746F93"/>
    <w:rsid w:val="00747C1F"/>
    <w:rsid w:val="00747C45"/>
    <w:rsid w:val="00751CC4"/>
    <w:rsid w:val="0075335F"/>
    <w:rsid w:val="00753DF8"/>
    <w:rsid w:val="00755B9F"/>
    <w:rsid w:val="007560B0"/>
    <w:rsid w:val="007561F1"/>
    <w:rsid w:val="00756877"/>
    <w:rsid w:val="00760967"/>
    <w:rsid w:val="007609E1"/>
    <w:rsid w:val="00762865"/>
    <w:rsid w:val="00767F74"/>
    <w:rsid w:val="00770DDC"/>
    <w:rsid w:val="00771299"/>
    <w:rsid w:val="00771857"/>
    <w:rsid w:val="00771DB6"/>
    <w:rsid w:val="0077253B"/>
    <w:rsid w:val="00774423"/>
    <w:rsid w:val="00777379"/>
    <w:rsid w:val="007773DC"/>
    <w:rsid w:val="00777A06"/>
    <w:rsid w:val="0078138B"/>
    <w:rsid w:val="007815EA"/>
    <w:rsid w:val="00781A5D"/>
    <w:rsid w:val="00782155"/>
    <w:rsid w:val="00782218"/>
    <w:rsid w:val="00785486"/>
    <w:rsid w:val="007864A0"/>
    <w:rsid w:val="007877DF"/>
    <w:rsid w:val="00790275"/>
    <w:rsid w:val="00790663"/>
    <w:rsid w:val="00790E93"/>
    <w:rsid w:val="00791C23"/>
    <w:rsid w:val="00791CC5"/>
    <w:rsid w:val="007920A5"/>
    <w:rsid w:val="007921A4"/>
    <w:rsid w:val="00792C81"/>
    <w:rsid w:val="00793E93"/>
    <w:rsid w:val="007942A6"/>
    <w:rsid w:val="00794579"/>
    <w:rsid w:val="00795129"/>
    <w:rsid w:val="007956DC"/>
    <w:rsid w:val="00797348"/>
    <w:rsid w:val="00797926"/>
    <w:rsid w:val="007A071D"/>
    <w:rsid w:val="007A263B"/>
    <w:rsid w:val="007A3A86"/>
    <w:rsid w:val="007A6A5A"/>
    <w:rsid w:val="007A7DF9"/>
    <w:rsid w:val="007B0E70"/>
    <w:rsid w:val="007B205E"/>
    <w:rsid w:val="007B4436"/>
    <w:rsid w:val="007B63DC"/>
    <w:rsid w:val="007B7A07"/>
    <w:rsid w:val="007C29B9"/>
    <w:rsid w:val="007C2A54"/>
    <w:rsid w:val="007C310C"/>
    <w:rsid w:val="007C46D0"/>
    <w:rsid w:val="007C4D26"/>
    <w:rsid w:val="007C6132"/>
    <w:rsid w:val="007C6E92"/>
    <w:rsid w:val="007D28AF"/>
    <w:rsid w:val="007D2A80"/>
    <w:rsid w:val="007D32E5"/>
    <w:rsid w:val="007D378C"/>
    <w:rsid w:val="007D4697"/>
    <w:rsid w:val="007D4D3E"/>
    <w:rsid w:val="007D5F54"/>
    <w:rsid w:val="007D6B7F"/>
    <w:rsid w:val="007D776F"/>
    <w:rsid w:val="007E1E13"/>
    <w:rsid w:val="007E401C"/>
    <w:rsid w:val="007E4D93"/>
    <w:rsid w:val="007E6B66"/>
    <w:rsid w:val="007E6F4D"/>
    <w:rsid w:val="007E7767"/>
    <w:rsid w:val="007E7AB8"/>
    <w:rsid w:val="007F27A5"/>
    <w:rsid w:val="007F29A0"/>
    <w:rsid w:val="007F2F73"/>
    <w:rsid w:val="007F34AF"/>
    <w:rsid w:val="007F3676"/>
    <w:rsid w:val="007F51B4"/>
    <w:rsid w:val="007F5E24"/>
    <w:rsid w:val="007F5F7B"/>
    <w:rsid w:val="00800308"/>
    <w:rsid w:val="00800738"/>
    <w:rsid w:val="008033C2"/>
    <w:rsid w:val="00805C9A"/>
    <w:rsid w:val="0080759A"/>
    <w:rsid w:val="008121AE"/>
    <w:rsid w:val="00812F66"/>
    <w:rsid w:val="00813F21"/>
    <w:rsid w:val="00814434"/>
    <w:rsid w:val="00817A2C"/>
    <w:rsid w:val="00817A89"/>
    <w:rsid w:val="00817F57"/>
    <w:rsid w:val="00822F89"/>
    <w:rsid w:val="00823148"/>
    <w:rsid w:val="00823B07"/>
    <w:rsid w:val="00824EF4"/>
    <w:rsid w:val="0082740A"/>
    <w:rsid w:val="0082784D"/>
    <w:rsid w:val="00827E19"/>
    <w:rsid w:val="00830DAC"/>
    <w:rsid w:val="008328AA"/>
    <w:rsid w:val="00832CC5"/>
    <w:rsid w:val="008352D8"/>
    <w:rsid w:val="00835EDF"/>
    <w:rsid w:val="0083641C"/>
    <w:rsid w:val="00842261"/>
    <w:rsid w:val="00843468"/>
    <w:rsid w:val="00845A61"/>
    <w:rsid w:val="00845CEB"/>
    <w:rsid w:val="0084691E"/>
    <w:rsid w:val="0084754F"/>
    <w:rsid w:val="008475EA"/>
    <w:rsid w:val="008516AB"/>
    <w:rsid w:val="00852F5A"/>
    <w:rsid w:val="008532F8"/>
    <w:rsid w:val="00853812"/>
    <w:rsid w:val="00854BCB"/>
    <w:rsid w:val="008559E1"/>
    <w:rsid w:val="00856300"/>
    <w:rsid w:val="0085652D"/>
    <w:rsid w:val="008569CB"/>
    <w:rsid w:val="00856F0A"/>
    <w:rsid w:val="008605CF"/>
    <w:rsid w:val="00861F4E"/>
    <w:rsid w:val="0086218E"/>
    <w:rsid w:val="00862B98"/>
    <w:rsid w:val="00863919"/>
    <w:rsid w:val="00864EA1"/>
    <w:rsid w:val="008729A1"/>
    <w:rsid w:val="008741DB"/>
    <w:rsid w:val="00875665"/>
    <w:rsid w:val="00881CAC"/>
    <w:rsid w:val="00883DF2"/>
    <w:rsid w:val="008875A3"/>
    <w:rsid w:val="008902CD"/>
    <w:rsid w:val="00892DF0"/>
    <w:rsid w:val="008938A8"/>
    <w:rsid w:val="00895327"/>
    <w:rsid w:val="00895F67"/>
    <w:rsid w:val="00896424"/>
    <w:rsid w:val="008A0B87"/>
    <w:rsid w:val="008A56FD"/>
    <w:rsid w:val="008A64CF"/>
    <w:rsid w:val="008A658F"/>
    <w:rsid w:val="008A6881"/>
    <w:rsid w:val="008A777A"/>
    <w:rsid w:val="008B0BAF"/>
    <w:rsid w:val="008B14A2"/>
    <w:rsid w:val="008B15AB"/>
    <w:rsid w:val="008B251B"/>
    <w:rsid w:val="008B2789"/>
    <w:rsid w:val="008B46D5"/>
    <w:rsid w:val="008B5901"/>
    <w:rsid w:val="008B77E5"/>
    <w:rsid w:val="008B7A8A"/>
    <w:rsid w:val="008C007D"/>
    <w:rsid w:val="008C06A6"/>
    <w:rsid w:val="008C0AE4"/>
    <w:rsid w:val="008C2718"/>
    <w:rsid w:val="008C34B5"/>
    <w:rsid w:val="008C3503"/>
    <w:rsid w:val="008C4A67"/>
    <w:rsid w:val="008C5DAC"/>
    <w:rsid w:val="008D0206"/>
    <w:rsid w:val="008D0F8F"/>
    <w:rsid w:val="008D12EB"/>
    <w:rsid w:val="008D27DE"/>
    <w:rsid w:val="008D433F"/>
    <w:rsid w:val="008D53C7"/>
    <w:rsid w:val="008D6298"/>
    <w:rsid w:val="008D6AB7"/>
    <w:rsid w:val="008E21BF"/>
    <w:rsid w:val="008E4558"/>
    <w:rsid w:val="008E45FD"/>
    <w:rsid w:val="008E75E6"/>
    <w:rsid w:val="008F0464"/>
    <w:rsid w:val="008F0951"/>
    <w:rsid w:val="008F29BD"/>
    <w:rsid w:val="008F39FF"/>
    <w:rsid w:val="008F3C5D"/>
    <w:rsid w:val="008F3E86"/>
    <w:rsid w:val="008F4B69"/>
    <w:rsid w:val="008F5070"/>
    <w:rsid w:val="008F660C"/>
    <w:rsid w:val="008F7899"/>
    <w:rsid w:val="008F79B1"/>
    <w:rsid w:val="008F7F90"/>
    <w:rsid w:val="009002C1"/>
    <w:rsid w:val="009013BE"/>
    <w:rsid w:val="009018C0"/>
    <w:rsid w:val="00902B37"/>
    <w:rsid w:val="0090599F"/>
    <w:rsid w:val="00906634"/>
    <w:rsid w:val="009070BF"/>
    <w:rsid w:val="00907852"/>
    <w:rsid w:val="00907EC6"/>
    <w:rsid w:val="009115EE"/>
    <w:rsid w:val="00911B92"/>
    <w:rsid w:val="009125CC"/>
    <w:rsid w:val="00912820"/>
    <w:rsid w:val="009132EA"/>
    <w:rsid w:val="00913D9B"/>
    <w:rsid w:val="009143E6"/>
    <w:rsid w:val="009151D9"/>
    <w:rsid w:val="00917447"/>
    <w:rsid w:val="0092027E"/>
    <w:rsid w:val="009208E1"/>
    <w:rsid w:val="009210CC"/>
    <w:rsid w:val="00921C12"/>
    <w:rsid w:val="0092202D"/>
    <w:rsid w:val="009229B6"/>
    <w:rsid w:val="00923D1E"/>
    <w:rsid w:val="0092723E"/>
    <w:rsid w:val="00927A4B"/>
    <w:rsid w:val="0093036E"/>
    <w:rsid w:val="00932C6B"/>
    <w:rsid w:val="00933065"/>
    <w:rsid w:val="00937FC2"/>
    <w:rsid w:val="00943095"/>
    <w:rsid w:val="00944048"/>
    <w:rsid w:val="0094428E"/>
    <w:rsid w:val="009444FD"/>
    <w:rsid w:val="009451FB"/>
    <w:rsid w:val="0094614D"/>
    <w:rsid w:val="009469F6"/>
    <w:rsid w:val="009500AA"/>
    <w:rsid w:val="00951786"/>
    <w:rsid w:val="00951FE3"/>
    <w:rsid w:val="009540A2"/>
    <w:rsid w:val="00954CD8"/>
    <w:rsid w:val="00955788"/>
    <w:rsid w:val="009559EA"/>
    <w:rsid w:val="0095716D"/>
    <w:rsid w:val="009601F7"/>
    <w:rsid w:val="0096077A"/>
    <w:rsid w:val="009616F5"/>
    <w:rsid w:val="00963795"/>
    <w:rsid w:val="009640A5"/>
    <w:rsid w:val="0096519F"/>
    <w:rsid w:val="00966E0B"/>
    <w:rsid w:val="00970A00"/>
    <w:rsid w:val="00971337"/>
    <w:rsid w:val="00973AA8"/>
    <w:rsid w:val="00974CC9"/>
    <w:rsid w:val="0097566F"/>
    <w:rsid w:val="009767B7"/>
    <w:rsid w:val="00977563"/>
    <w:rsid w:val="00980F3C"/>
    <w:rsid w:val="00981034"/>
    <w:rsid w:val="0098114E"/>
    <w:rsid w:val="00981AAD"/>
    <w:rsid w:val="00982C67"/>
    <w:rsid w:val="00982F72"/>
    <w:rsid w:val="0098394A"/>
    <w:rsid w:val="00990191"/>
    <w:rsid w:val="0099083B"/>
    <w:rsid w:val="0099247D"/>
    <w:rsid w:val="00992A87"/>
    <w:rsid w:val="00992B61"/>
    <w:rsid w:val="00993ABF"/>
    <w:rsid w:val="00995A94"/>
    <w:rsid w:val="009A08AD"/>
    <w:rsid w:val="009A2088"/>
    <w:rsid w:val="009A2BBD"/>
    <w:rsid w:val="009A3122"/>
    <w:rsid w:val="009A3BD2"/>
    <w:rsid w:val="009A4283"/>
    <w:rsid w:val="009A484D"/>
    <w:rsid w:val="009A6A50"/>
    <w:rsid w:val="009A7C7B"/>
    <w:rsid w:val="009B0DB9"/>
    <w:rsid w:val="009B2F5D"/>
    <w:rsid w:val="009B343A"/>
    <w:rsid w:val="009B4201"/>
    <w:rsid w:val="009B47A2"/>
    <w:rsid w:val="009B5244"/>
    <w:rsid w:val="009B53A7"/>
    <w:rsid w:val="009B5AF9"/>
    <w:rsid w:val="009B5EC1"/>
    <w:rsid w:val="009B6C1B"/>
    <w:rsid w:val="009B7FCF"/>
    <w:rsid w:val="009C0027"/>
    <w:rsid w:val="009C048C"/>
    <w:rsid w:val="009C066B"/>
    <w:rsid w:val="009C1955"/>
    <w:rsid w:val="009C3EDE"/>
    <w:rsid w:val="009C4BF4"/>
    <w:rsid w:val="009C4CE7"/>
    <w:rsid w:val="009C5CBD"/>
    <w:rsid w:val="009D0298"/>
    <w:rsid w:val="009D0FF2"/>
    <w:rsid w:val="009D14BB"/>
    <w:rsid w:val="009D19BD"/>
    <w:rsid w:val="009D2AB4"/>
    <w:rsid w:val="009D3789"/>
    <w:rsid w:val="009D4836"/>
    <w:rsid w:val="009D4E4E"/>
    <w:rsid w:val="009E04F6"/>
    <w:rsid w:val="009E1655"/>
    <w:rsid w:val="009E1C35"/>
    <w:rsid w:val="009E316C"/>
    <w:rsid w:val="009E38BD"/>
    <w:rsid w:val="009E3FCC"/>
    <w:rsid w:val="009E56FF"/>
    <w:rsid w:val="009E711E"/>
    <w:rsid w:val="009F0770"/>
    <w:rsid w:val="009F19B2"/>
    <w:rsid w:val="009F3C35"/>
    <w:rsid w:val="009F4899"/>
    <w:rsid w:val="00A015FD"/>
    <w:rsid w:val="00A01E04"/>
    <w:rsid w:val="00A02669"/>
    <w:rsid w:val="00A03548"/>
    <w:rsid w:val="00A046E3"/>
    <w:rsid w:val="00A04A35"/>
    <w:rsid w:val="00A04A41"/>
    <w:rsid w:val="00A05D9E"/>
    <w:rsid w:val="00A10286"/>
    <w:rsid w:val="00A1042F"/>
    <w:rsid w:val="00A10694"/>
    <w:rsid w:val="00A10E3E"/>
    <w:rsid w:val="00A11304"/>
    <w:rsid w:val="00A114F5"/>
    <w:rsid w:val="00A11620"/>
    <w:rsid w:val="00A12FBA"/>
    <w:rsid w:val="00A133E2"/>
    <w:rsid w:val="00A13CD2"/>
    <w:rsid w:val="00A144C7"/>
    <w:rsid w:val="00A14C1C"/>
    <w:rsid w:val="00A168F9"/>
    <w:rsid w:val="00A16A49"/>
    <w:rsid w:val="00A17CCA"/>
    <w:rsid w:val="00A17D8E"/>
    <w:rsid w:val="00A17DC0"/>
    <w:rsid w:val="00A2065D"/>
    <w:rsid w:val="00A21B42"/>
    <w:rsid w:val="00A21FA1"/>
    <w:rsid w:val="00A22502"/>
    <w:rsid w:val="00A22A4C"/>
    <w:rsid w:val="00A236C5"/>
    <w:rsid w:val="00A23DE8"/>
    <w:rsid w:val="00A24535"/>
    <w:rsid w:val="00A25CE4"/>
    <w:rsid w:val="00A27FC9"/>
    <w:rsid w:val="00A30465"/>
    <w:rsid w:val="00A30D1E"/>
    <w:rsid w:val="00A319A0"/>
    <w:rsid w:val="00A32612"/>
    <w:rsid w:val="00A327A2"/>
    <w:rsid w:val="00A3398D"/>
    <w:rsid w:val="00A33CFA"/>
    <w:rsid w:val="00A34700"/>
    <w:rsid w:val="00A35BF8"/>
    <w:rsid w:val="00A3744A"/>
    <w:rsid w:val="00A375D4"/>
    <w:rsid w:val="00A37BDB"/>
    <w:rsid w:val="00A40823"/>
    <w:rsid w:val="00A41CC6"/>
    <w:rsid w:val="00A422D1"/>
    <w:rsid w:val="00A444EF"/>
    <w:rsid w:val="00A4494D"/>
    <w:rsid w:val="00A44D10"/>
    <w:rsid w:val="00A457A4"/>
    <w:rsid w:val="00A4593E"/>
    <w:rsid w:val="00A46471"/>
    <w:rsid w:val="00A507D0"/>
    <w:rsid w:val="00A51E25"/>
    <w:rsid w:val="00A52776"/>
    <w:rsid w:val="00A54C9B"/>
    <w:rsid w:val="00A55E7D"/>
    <w:rsid w:val="00A56C77"/>
    <w:rsid w:val="00A57FCC"/>
    <w:rsid w:val="00A60628"/>
    <w:rsid w:val="00A61A81"/>
    <w:rsid w:val="00A61B3D"/>
    <w:rsid w:val="00A644B2"/>
    <w:rsid w:val="00A6520D"/>
    <w:rsid w:val="00A7008E"/>
    <w:rsid w:val="00A716E2"/>
    <w:rsid w:val="00A72119"/>
    <w:rsid w:val="00A76568"/>
    <w:rsid w:val="00A76BED"/>
    <w:rsid w:val="00A77DFB"/>
    <w:rsid w:val="00A8010A"/>
    <w:rsid w:val="00A8271E"/>
    <w:rsid w:val="00A854C2"/>
    <w:rsid w:val="00A864DF"/>
    <w:rsid w:val="00A87780"/>
    <w:rsid w:val="00A90C9D"/>
    <w:rsid w:val="00A9164B"/>
    <w:rsid w:val="00A91AB0"/>
    <w:rsid w:val="00A9351E"/>
    <w:rsid w:val="00A940F1"/>
    <w:rsid w:val="00A973A5"/>
    <w:rsid w:val="00AA1570"/>
    <w:rsid w:val="00AA1AC6"/>
    <w:rsid w:val="00AA1B0C"/>
    <w:rsid w:val="00AA1EDE"/>
    <w:rsid w:val="00AA2E52"/>
    <w:rsid w:val="00AA6364"/>
    <w:rsid w:val="00AA6907"/>
    <w:rsid w:val="00AA6FA4"/>
    <w:rsid w:val="00AA7FCA"/>
    <w:rsid w:val="00AB0B41"/>
    <w:rsid w:val="00AB12C9"/>
    <w:rsid w:val="00AB1A32"/>
    <w:rsid w:val="00AB437D"/>
    <w:rsid w:val="00AB4829"/>
    <w:rsid w:val="00AB49B5"/>
    <w:rsid w:val="00AB6B21"/>
    <w:rsid w:val="00AB71FA"/>
    <w:rsid w:val="00AC1904"/>
    <w:rsid w:val="00AC1DCA"/>
    <w:rsid w:val="00AC3693"/>
    <w:rsid w:val="00AC41C4"/>
    <w:rsid w:val="00AC560A"/>
    <w:rsid w:val="00AD0491"/>
    <w:rsid w:val="00AD0F6E"/>
    <w:rsid w:val="00AD3D70"/>
    <w:rsid w:val="00AD4D21"/>
    <w:rsid w:val="00AD5CCF"/>
    <w:rsid w:val="00AD600D"/>
    <w:rsid w:val="00AD6F3D"/>
    <w:rsid w:val="00AE1CE0"/>
    <w:rsid w:val="00AE234D"/>
    <w:rsid w:val="00AE327F"/>
    <w:rsid w:val="00AE562F"/>
    <w:rsid w:val="00AF049B"/>
    <w:rsid w:val="00AF1152"/>
    <w:rsid w:val="00AF14B2"/>
    <w:rsid w:val="00AF1A0A"/>
    <w:rsid w:val="00AF234D"/>
    <w:rsid w:val="00AF2F66"/>
    <w:rsid w:val="00AF3ADB"/>
    <w:rsid w:val="00AF3DA1"/>
    <w:rsid w:val="00AF44DD"/>
    <w:rsid w:val="00AF6ABF"/>
    <w:rsid w:val="00AF6D96"/>
    <w:rsid w:val="00AF7C2F"/>
    <w:rsid w:val="00B00B4B"/>
    <w:rsid w:val="00B03C4F"/>
    <w:rsid w:val="00B043E4"/>
    <w:rsid w:val="00B04725"/>
    <w:rsid w:val="00B10C16"/>
    <w:rsid w:val="00B114E0"/>
    <w:rsid w:val="00B11590"/>
    <w:rsid w:val="00B12CBA"/>
    <w:rsid w:val="00B12F1F"/>
    <w:rsid w:val="00B1600D"/>
    <w:rsid w:val="00B169B7"/>
    <w:rsid w:val="00B17EB2"/>
    <w:rsid w:val="00B20201"/>
    <w:rsid w:val="00B20377"/>
    <w:rsid w:val="00B21E0A"/>
    <w:rsid w:val="00B22AFE"/>
    <w:rsid w:val="00B24298"/>
    <w:rsid w:val="00B24518"/>
    <w:rsid w:val="00B24FD6"/>
    <w:rsid w:val="00B24FE1"/>
    <w:rsid w:val="00B254BF"/>
    <w:rsid w:val="00B304D9"/>
    <w:rsid w:val="00B3110E"/>
    <w:rsid w:val="00B311F3"/>
    <w:rsid w:val="00B31B8A"/>
    <w:rsid w:val="00B31BA2"/>
    <w:rsid w:val="00B3371D"/>
    <w:rsid w:val="00B344FE"/>
    <w:rsid w:val="00B35254"/>
    <w:rsid w:val="00B35EBC"/>
    <w:rsid w:val="00B373CB"/>
    <w:rsid w:val="00B404F1"/>
    <w:rsid w:val="00B405BF"/>
    <w:rsid w:val="00B40E90"/>
    <w:rsid w:val="00B40F55"/>
    <w:rsid w:val="00B4108C"/>
    <w:rsid w:val="00B42901"/>
    <w:rsid w:val="00B42F27"/>
    <w:rsid w:val="00B433C9"/>
    <w:rsid w:val="00B440C6"/>
    <w:rsid w:val="00B44C4C"/>
    <w:rsid w:val="00B450CA"/>
    <w:rsid w:val="00B50243"/>
    <w:rsid w:val="00B52061"/>
    <w:rsid w:val="00B52855"/>
    <w:rsid w:val="00B52F7A"/>
    <w:rsid w:val="00B608B6"/>
    <w:rsid w:val="00B61806"/>
    <w:rsid w:val="00B6197B"/>
    <w:rsid w:val="00B61D78"/>
    <w:rsid w:val="00B62E57"/>
    <w:rsid w:val="00B65C90"/>
    <w:rsid w:val="00B65D4B"/>
    <w:rsid w:val="00B66266"/>
    <w:rsid w:val="00B66571"/>
    <w:rsid w:val="00B715D3"/>
    <w:rsid w:val="00B757C6"/>
    <w:rsid w:val="00B75C56"/>
    <w:rsid w:val="00B76618"/>
    <w:rsid w:val="00B80A70"/>
    <w:rsid w:val="00B80C13"/>
    <w:rsid w:val="00B82FB8"/>
    <w:rsid w:val="00B83829"/>
    <w:rsid w:val="00B86A6A"/>
    <w:rsid w:val="00B86BF2"/>
    <w:rsid w:val="00B9291D"/>
    <w:rsid w:val="00B932ED"/>
    <w:rsid w:val="00B93C4A"/>
    <w:rsid w:val="00B954A5"/>
    <w:rsid w:val="00B95CD7"/>
    <w:rsid w:val="00B96D29"/>
    <w:rsid w:val="00B9707C"/>
    <w:rsid w:val="00BA05CA"/>
    <w:rsid w:val="00BA0A63"/>
    <w:rsid w:val="00BA0C0B"/>
    <w:rsid w:val="00BA3CEC"/>
    <w:rsid w:val="00BA62F3"/>
    <w:rsid w:val="00BA7990"/>
    <w:rsid w:val="00BB3E83"/>
    <w:rsid w:val="00BB3F42"/>
    <w:rsid w:val="00BB4174"/>
    <w:rsid w:val="00BB4CE0"/>
    <w:rsid w:val="00BB5463"/>
    <w:rsid w:val="00BB6039"/>
    <w:rsid w:val="00BB7912"/>
    <w:rsid w:val="00BB79FC"/>
    <w:rsid w:val="00BB7B90"/>
    <w:rsid w:val="00BC018F"/>
    <w:rsid w:val="00BC12FB"/>
    <w:rsid w:val="00BC13CF"/>
    <w:rsid w:val="00BC3C3C"/>
    <w:rsid w:val="00BC42E7"/>
    <w:rsid w:val="00BC5509"/>
    <w:rsid w:val="00BD23A3"/>
    <w:rsid w:val="00BD38DA"/>
    <w:rsid w:val="00BD45C2"/>
    <w:rsid w:val="00BD4F84"/>
    <w:rsid w:val="00BD5342"/>
    <w:rsid w:val="00BE2047"/>
    <w:rsid w:val="00BE2C8B"/>
    <w:rsid w:val="00BE3248"/>
    <w:rsid w:val="00BE3494"/>
    <w:rsid w:val="00BE58A4"/>
    <w:rsid w:val="00BE7F27"/>
    <w:rsid w:val="00BF1FAB"/>
    <w:rsid w:val="00BF2CC4"/>
    <w:rsid w:val="00BF620C"/>
    <w:rsid w:val="00C02619"/>
    <w:rsid w:val="00C028D5"/>
    <w:rsid w:val="00C03F62"/>
    <w:rsid w:val="00C040A4"/>
    <w:rsid w:val="00C05BCB"/>
    <w:rsid w:val="00C0632C"/>
    <w:rsid w:val="00C06497"/>
    <w:rsid w:val="00C06DA4"/>
    <w:rsid w:val="00C07376"/>
    <w:rsid w:val="00C0768A"/>
    <w:rsid w:val="00C10595"/>
    <w:rsid w:val="00C10EA8"/>
    <w:rsid w:val="00C1112C"/>
    <w:rsid w:val="00C12365"/>
    <w:rsid w:val="00C12693"/>
    <w:rsid w:val="00C12A89"/>
    <w:rsid w:val="00C13063"/>
    <w:rsid w:val="00C135B9"/>
    <w:rsid w:val="00C14C4A"/>
    <w:rsid w:val="00C14DE4"/>
    <w:rsid w:val="00C154FA"/>
    <w:rsid w:val="00C16549"/>
    <w:rsid w:val="00C16FF5"/>
    <w:rsid w:val="00C21DE7"/>
    <w:rsid w:val="00C223E4"/>
    <w:rsid w:val="00C2365C"/>
    <w:rsid w:val="00C2369A"/>
    <w:rsid w:val="00C277FA"/>
    <w:rsid w:val="00C315D7"/>
    <w:rsid w:val="00C32B89"/>
    <w:rsid w:val="00C34510"/>
    <w:rsid w:val="00C34B84"/>
    <w:rsid w:val="00C351EA"/>
    <w:rsid w:val="00C35B85"/>
    <w:rsid w:val="00C36EFD"/>
    <w:rsid w:val="00C3778A"/>
    <w:rsid w:val="00C37C4C"/>
    <w:rsid w:val="00C424A6"/>
    <w:rsid w:val="00C427E4"/>
    <w:rsid w:val="00C45C0D"/>
    <w:rsid w:val="00C46A3E"/>
    <w:rsid w:val="00C47D08"/>
    <w:rsid w:val="00C47EBB"/>
    <w:rsid w:val="00C5038A"/>
    <w:rsid w:val="00C5131C"/>
    <w:rsid w:val="00C513C0"/>
    <w:rsid w:val="00C525EB"/>
    <w:rsid w:val="00C5493E"/>
    <w:rsid w:val="00C549FF"/>
    <w:rsid w:val="00C54EC7"/>
    <w:rsid w:val="00C555E5"/>
    <w:rsid w:val="00C567C6"/>
    <w:rsid w:val="00C56902"/>
    <w:rsid w:val="00C61110"/>
    <w:rsid w:val="00C6256D"/>
    <w:rsid w:val="00C62756"/>
    <w:rsid w:val="00C657D5"/>
    <w:rsid w:val="00C66056"/>
    <w:rsid w:val="00C67E4F"/>
    <w:rsid w:val="00C67F62"/>
    <w:rsid w:val="00C7037A"/>
    <w:rsid w:val="00C70A7C"/>
    <w:rsid w:val="00C710CD"/>
    <w:rsid w:val="00C7191C"/>
    <w:rsid w:val="00C722BD"/>
    <w:rsid w:val="00C72322"/>
    <w:rsid w:val="00C724F1"/>
    <w:rsid w:val="00C725D0"/>
    <w:rsid w:val="00C74109"/>
    <w:rsid w:val="00C74585"/>
    <w:rsid w:val="00C7512C"/>
    <w:rsid w:val="00C75EDD"/>
    <w:rsid w:val="00C7639A"/>
    <w:rsid w:val="00C76983"/>
    <w:rsid w:val="00C769DB"/>
    <w:rsid w:val="00C772D1"/>
    <w:rsid w:val="00C77731"/>
    <w:rsid w:val="00C81131"/>
    <w:rsid w:val="00C81746"/>
    <w:rsid w:val="00C8211E"/>
    <w:rsid w:val="00C82FA8"/>
    <w:rsid w:val="00C82FAF"/>
    <w:rsid w:val="00C8446C"/>
    <w:rsid w:val="00C84E50"/>
    <w:rsid w:val="00C85286"/>
    <w:rsid w:val="00C85308"/>
    <w:rsid w:val="00C86CC4"/>
    <w:rsid w:val="00C912D4"/>
    <w:rsid w:val="00C91E9A"/>
    <w:rsid w:val="00C933F0"/>
    <w:rsid w:val="00C94767"/>
    <w:rsid w:val="00C94E2C"/>
    <w:rsid w:val="00C96F09"/>
    <w:rsid w:val="00CA01DC"/>
    <w:rsid w:val="00CA0849"/>
    <w:rsid w:val="00CA3849"/>
    <w:rsid w:val="00CA45A8"/>
    <w:rsid w:val="00CA51DE"/>
    <w:rsid w:val="00CA7AD3"/>
    <w:rsid w:val="00CA7D63"/>
    <w:rsid w:val="00CB0666"/>
    <w:rsid w:val="00CB115A"/>
    <w:rsid w:val="00CB1A42"/>
    <w:rsid w:val="00CB2B3A"/>
    <w:rsid w:val="00CB34A6"/>
    <w:rsid w:val="00CB5629"/>
    <w:rsid w:val="00CB62DA"/>
    <w:rsid w:val="00CB6B98"/>
    <w:rsid w:val="00CB7423"/>
    <w:rsid w:val="00CC2494"/>
    <w:rsid w:val="00CC2528"/>
    <w:rsid w:val="00CC3CA8"/>
    <w:rsid w:val="00CC42F6"/>
    <w:rsid w:val="00CC5652"/>
    <w:rsid w:val="00CC62A4"/>
    <w:rsid w:val="00CC758B"/>
    <w:rsid w:val="00CD00EF"/>
    <w:rsid w:val="00CD060E"/>
    <w:rsid w:val="00CD0FA7"/>
    <w:rsid w:val="00CD132C"/>
    <w:rsid w:val="00CD18D7"/>
    <w:rsid w:val="00CD1B68"/>
    <w:rsid w:val="00CD2F61"/>
    <w:rsid w:val="00CD32B4"/>
    <w:rsid w:val="00CD361D"/>
    <w:rsid w:val="00CD4D1A"/>
    <w:rsid w:val="00CD5157"/>
    <w:rsid w:val="00CE03EC"/>
    <w:rsid w:val="00CE1EA8"/>
    <w:rsid w:val="00CE414C"/>
    <w:rsid w:val="00CE4BCF"/>
    <w:rsid w:val="00CE7BEC"/>
    <w:rsid w:val="00CF15BD"/>
    <w:rsid w:val="00CF4119"/>
    <w:rsid w:val="00CF481E"/>
    <w:rsid w:val="00CF496B"/>
    <w:rsid w:val="00CF5145"/>
    <w:rsid w:val="00CF5332"/>
    <w:rsid w:val="00CF6372"/>
    <w:rsid w:val="00CF6DD2"/>
    <w:rsid w:val="00D01EA9"/>
    <w:rsid w:val="00D021EF"/>
    <w:rsid w:val="00D0274E"/>
    <w:rsid w:val="00D0429D"/>
    <w:rsid w:val="00D05525"/>
    <w:rsid w:val="00D0639B"/>
    <w:rsid w:val="00D0758D"/>
    <w:rsid w:val="00D1018A"/>
    <w:rsid w:val="00D114E8"/>
    <w:rsid w:val="00D1167A"/>
    <w:rsid w:val="00D14282"/>
    <w:rsid w:val="00D1501B"/>
    <w:rsid w:val="00D156B9"/>
    <w:rsid w:val="00D162E5"/>
    <w:rsid w:val="00D17929"/>
    <w:rsid w:val="00D20631"/>
    <w:rsid w:val="00D220F0"/>
    <w:rsid w:val="00D22DA9"/>
    <w:rsid w:val="00D22FB9"/>
    <w:rsid w:val="00D23645"/>
    <w:rsid w:val="00D24074"/>
    <w:rsid w:val="00D256E9"/>
    <w:rsid w:val="00D260C2"/>
    <w:rsid w:val="00D26FE9"/>
    <w:rsid w:val="00D27C03"/>
    <w:rsid w:val="00D27EE5"/>
    <w:rsid w:val="00D31A31"/>
    <w:rsid w:val="00D32EE9"/>
    <w:rsid w:val="00D33CB3"/>
    <w:rsid w:val="00D3406F"/>
    <w:rsid w:val="00D34657"/>
    <w:rsid w:val="00D36F23"/>
    <w:rsid w:val="00D40A2E"/>
    <w:rsid w:val="00D4119C"/>
    <w:rsid w:val="00D4206F"/>
    <w:rsid w:val="00D420D0"/>
    <w:rsid w:val="00D426A5"/>
    <w:rsid w:val="00D457BA"/>
    <w:rsid w:val="00D45C9F"/>
    <w:rsid w:val="00D52911"/>
    <w:rsid w:val="00D53001"/>
    <w:rsid w:val="00D537D4"/>
    <w:rsid w:val="00D53AC8"/>
    <w:rsid w:val="00D53DB1"/>
    <w:rsid w:val="00D545AA"/>
    <w:rsid w:val="00D56F38"/>
    <w:rsid w:val="00D57BF8"/>
    <w:rsid w:val="00D601F8"/>
    <w:rsid w:val="00D60224"/>
    <w:rsid w:val="00D63F8E"/>
    <w:rsid w:val="00D65E90"/>
    <w:rsid w:val="00D662EC"/>
    <w:rsid w:val="00D66427"/>
    <w:rsid w:val="00D66FCE"/>
    <w:rsid w:val="00D6791C"/>
    <w:rsid w:val="00D67F07"/>
    <w:rsid w:val="00D708F7"/>
    <w:rsid w:val="00D7145B"/>
    <w:rsid w:val="00D727DB"/>
    <w:rsid w:val="00D72B69"/>
    <w:rsid w:val="00D731AE"/>
    <w:rsid w:val="00D73242"/>
    <w:rsid w:val="00D74274"/>
    <w:rsid w:val="00D74C5F"/>
    <w:rsid w:val="00D75D3A"/>
    <w:rsid w:val="00D767B0"/>
    <w:rsid w:val="00D76874"/>
    <w:rsid w:val="00D80393"/>
    <w:rsid w:val="00D82295"/>
    <w:rsid w:val="00D836C9"/>
    <w:rsid w:val="00D83CD6"/>
    <w:rsid w:val="00D85A11"/>
    <w:rsid w:val="00D87CA2"/>
    <w:rsid w:val="00D90034"/>
    <w:rsid w:val="00D90725"/>
    <w:rsid w:val="00D9246B"/>
    <w:rsid w:val="00D94D07"/>
    <w:rsid w:val="00D9633D"/>
    <w:rsid w:val="00D9765F"/>
    <w:rsid w:val="00D9774D"/>
    <w:rsid w:val="00D97CFA"/>
    <w:rsid w:val="00DA0AC4"/>
    <w:rsid w:val="00DA0CEF"/>
    <w:rsid w:val="00DA10F5"/>
    <w:rsid w:val="00DA1D5F"/>
    <w:rsid w:val="00DA31F7"/>
    <w:rsid w:val="00DA3328"/>
    <w:rsid w:val="00DA4E3B"/>
    <w:rsid w:val="00DA5C02"/>
    <w:rsid w:val="00DA5FFD"/>
    <w:rsid w:val="00DA7042"/>
    <w:rsid w:val="00DB0403"/>
    <w:rsid w:val="00DB2B5F"/>
    <w:rsid w:val="00DB3728"/>
    <w:rsid w:val="00DB402A"/>
    <w:rsid w:val="00DB536F"/>
    <w:rsid w:val="00DB53C4"/>
    <w:rsid w:val="00DB6784"/>
    <w:rsid w:val="00DB6CB2"/>
    <w:rsid w:val="00DB70CC"/>
    <w:rsid w:val="00DC0D70"/>
    <w:rsid w:val="00DC1A92"/>
    <w:rsid w:val="00DC1BB8"/>
    <w:rsid w:val="00DC1DDE"/>
    <w:rsid w:val="00DC341A"/>
    <w:rsid w:val="00DC4C76"/>
    <w:rsid w:val="00DC5429"/>
    <w:rsid w:val="00DC6A56"/>
    <w:rsid w:val="00DC6E36"/>
    <w:rsid w:val="00DD28FB"/>
    <w:rsid w:val="00DD2C93"/>
    <w:rsid w:val="00DD385C"/>
    <w:rsid w:val="00DD40EE"/>
    <w:rsid w:val="00DD4F54"/>
    <w:rsid w:val="00DD597E"/>
    <w:rsid w:val="00DD5DEB"/>
    <w:rsid w:val="00DD6136"/>
    <w:rsid w:val="00DD671D"/>
    <w:rsid w:val="00DE29D3"/>
    <w:rsid w:val="00DE2BD9"/>
    <w:rsid w:val="00DE51FA"/>
    <w:rsid w:val="00DE5E6E"/>
    <w:rsid w:val="00DE5FB2"/>
    <w:rsid w:val="00DE7499"/>
    <w:rsid w:val="00DE795B"/>
    <w:rsid w:val="00DF0873"/>
    <w:rsid w:val="00DF0A1B"/>
    <w:rsid w:val="00DF12B2"/>
    <w:rsid w:val="00DF1407"/>
    <w:rsid w:val="00DF1EC2"/>
    <w:rsid w:val="00DF678D"/>
    <w:rsid w:val="00DF7C37"/>
    <w:rsid w:val="00E006BF"/>
    <w:rsid w:val="00E01130"/>
    <w:rsid w:val="00E01F42"/>
    <w:rsid w:val="00E0217D"/>
    <w:rsid w:val="00E024F1"/>
    <w:rsid w:val="00E0282C"/>
    <w:rsid w:val="00E03A68"/>
    <w:rsid w:val="00E042BA"/>
    <w:rsid w:val="00E04706"/>
    <w:rsid w:val="00E06CC2"/>
    <w:rsid w:val="00E078A1"/>
    <w:rsid w:val="00E10C5A"/>
    <w:rsid w:val="00E12226"/>
    <w:rsid w:val="00E1258B"/>
    <w:rsid w:val="00E1275B"/>
    <w:rsid w:val="00E15384"/>
    <w:rsid w:val="00E16066"/>
    <w:rsid w:val="00E16C1D"/>
    <w:rsid w:val="00E17450"/>
    <w:rsid w:val="00E17603"/>
    <w:rsid w:val="00E2063A"/>
    <w:rsid w:val="00E2157E"/>
    <w:rsid w:val="00E22DB6"/>
    <w:rsid w:val="00E23771"/>
    <w:rsid w:val="00E254F4"/>
    <w:rsid w:val="00E25CD1"/>
    <w:rsid w:val="00E2796C"/>
    <w:rsid w:val="00E27B94"/>
    <w:rsid w:val="00E27E14"/>
    <w:rsid w:val="00E301AA"/>
    <w:rsid w:val="00E317C6"/>
    <w:rsid w:val="00E32B3A"/>
    <w:rsid w:val="00E330AC"/>
    <w:rsid w:val="00E33676"/>
    <w:rsid w:val="00E347FC"/>
    <w:rsid w:val="00E35D39"/>
    <w:rsid w:val="00E3666B"/>
    <w:rsid w:val="00E37E5F"/>
    <w:rsid w:val="00E40874"/>
    <w:rsid w:val="00E415B1"/>
    <w:rsid w:val="00E41965"/>
    <w:rsid w:val="00E4447D"/>
    <w:rsid w:val="00E456A8"/>
    <w:rsid w:val="00E45D67"/>
    <w:rsid w:val="00E46D3A"/>
    <w:rsid w:val="00E46FF4"/>
    <w:rsid w:val="00E503D5"/>
    <w:rsid w:val="00E51F96"/>
    <w:rsid w:val="00E52793"/>
    <w:rsid w:val="00E52FA6"/>
    <w:rsid w:val="00E53AD9"/>
    <w:rsid w:val="00E569F1"/>
    <w:rsid w:val="00E56FEF"/>
    <w:rsid w:val="00E57E8A"/>
    <w:rsid w:val="00E61926"/>
    <w:rsid w:val="00E629FB"/>
    <w:rsid w:val="00E64171"/>
    <w:rsid w:val="00E64F4C"/>
    <w:rsid w:val="00E6619A"/>
    <w:rsid w:val="00E663B9"/>
    <w:rsid w:val="00E66B07"/>
    <w:rsid w:val="00E66BD4"/>
    <w:rsid w:val="00E67A6C"/>
    <w:rsid w:val="00E71CFA"/>
    <w:rsid w:val="00E71EFE"/>
    <w:rsid w:val="00E7213E"/>
    <w:rsid w:val="00E72C88"/>
    <w:rsid w:val="00E72F2D"/>
    <w:rsid w:val="00E73CE6"/>
    <w:rsid w:val="00E747E7"/>
    <w:rsid w:val="00E756C1"/>
    <w:rsid w:val="00E7782D"/>
    <w:rsid w:val="00E83648"/>
    <w:rsid w:val="00E83A07"/>
    <w:rsid w:val="00E83B10"/>
    <w:rsid w:val="00E84E2F"/>
    <w:rsid w:val="00E8587B"/>
    <w:rsid w:val="00E859D0"/>
    <w:rsid w:val="00E86AEC"/>
    <w:rsid w:val="00E87945"/>
    <w:rsid w:val="00E87E7B"/>
    <w:rsid w:val="00E91AE6"/>
    <w:rsid w:val="00E920DE"/>
    <w:rsid w:val="00E963B0"/>
    <w:rsid w:val="00E96845"/>
    <w:rsid w:val="00E96BE4"/>
    <w:rsid w:val="00E97351"/>
    <w:rsid w:val="00E9754F"/>
    <w:rsid w:val="00E97788"/>
    <w:rsid w:val="00EA0337"/>
    <w:rsid w:val="00EA0C65"/>
    <w:rsid w:val="00EA1C63"/>
    <w:rsid w:val="00EA422A"/>
    <w:rsid w:val="00EA4337"/>
    <w:rsid w:val="00EA573A"/>
    <w:rsid w:val="00EA5807"/>
    <w:rsid w:val="00EA6D10"/>
    <w:rsid w:val="00EA7DFA"/>
    <w:rsid w:val="00EA7FCB"/>
    <w:rsid w:val="00EB064A"/>
    <w:rsid w:val="00EB3489"/>
    <w:rsid w:val="00EB4E7E"/>
    <w:rsid w:val="00EC0187"/>
    <w:rsid w:val="00EC14C7"/>
    <w:rsid w:val="00EC2031"/>
    <w:rsid w:val="00EC3736"/>
    <w:rsid w:val="00EC3D1E"/>
    <w:rsid w:val="00EC4B72"/>
    <w:rsid w:val="00EC4DF2"/>
    <w:rsid w:val="00EC53DA"/>
    <w:rsid w:val="00EC641C"/>
    <w:rsid w:val="00ED0D60"/>
    <w:rsid w:val="00ED1FA2"/>
    <w:rsid w:val="00ED2EBC"/>
    <w:rsid w:val="00ED3754"/>
    <w:rsid w:val="00ED3EBD"/>
    <w:rsid w:val="00ED4EF4"/>
    <w:rsid w:val="00ED5C71"/>
    <w:rsid w:val="00ED7932"/>
    <w:rsid w:val="00EE0DCD"/>
    <w:rsid w:val="00EE37BD"/>
    <w:rsid w:val="00EE4AD5"/>
    <w:rsid w:val="00EE56B4"/>
    <w:rsid w:val="00EE777D"/>
    <w:rsid w:val="00EF0C0B"/>
    <w:rsid w:val="00EF2122"/>
    <w:rsid w:val="00EF2FF0"/>
    <w:rsid w:val="00EF336C"/>
    <w:rsid w:val="00EF361D"/>
    <w:rsid w:val="00EF5519"/>
    <w:rsid w:val="00EF5DB9"/>
    <w:rsid w:val="00EF67ED"/>
    <w:rsid w:val="00F00D5D"/>
    <w:rsid w:val="00F016DA"/>
    <w:rsid w:val="00F01967"/>
    <w:rsid w:val="00F032BA"/>
    <w:rsid w:val="00F03DD5"/>
    <w:rsid w:val="00F056B2"/>
    <w:rsid w:val="00F066E7"/>
    <w:rsid w:val="00F06EB1"/>
    <w:rsid w:val="00F10468"/>
    <w:rsid w:val="00F105C8"/>
    <w:rsid w:val="00F106DD"/>
    <w:rsid w:val="00F10BB6"/>
    <w:rsid w:val="00F13021"/>
    <w:rsid w:val="00F16E1A"/>
    <w:rsid w:val="00F200DA"/>
    <w:rsid w:val="00F21B6C"/>
    <w:rsid w:val="00F23A00"/>
    <w:rsid w:val="00F247E0"/>
    <w:rsid w:val="00F26F0E"/>
    <w:rsid w:val="00F30269"/>
    <w:rsid w:val="00F302F8"/>
    <w:rsid w:val="00F33124"/>
    <w:rsid w:val="00F35267"/>
    <w:rsid w:val="00F36B44"/>
    <w:rsid w:val="00F36F63"/>
    <w:rsid w:val="00F40008"/>
    <w:rsid w:val="00F4052F"/>
    <w:rsid w:val="00F427B7"/>
    <w:rsid w:val="00F42EB5"/>
    <w:rsid w:val="00F438D4"/>
    <w:rsid w:val="00F43F98"/>
    <w:rsid w:val="00F44427"/>
    <w:rsid w:val="00F44C1E"/>
    <w:rsid w:val="00F45569"/>
    <w:rsid w:val="00F45CD3"/>
    <w:rsid w:val="00F469E0"/>
    <w:rsid w:val="00F47343"/>
    <w:rsid w:val="00F477D1"/>
    <w:rsid w:val="00F5104C"/>
    <w:rsid w:val="00F511ED"/>
    <w:rsid w:val="00F51A98"/>
    <w:rsid w:val="00F53816"/>
    <w:rsid w:val="00F53DCD"/>
    <w:rsid w:val="00F54E5D"/>
    <w:rsid w:val="00F55066"/>
    <w:rsid w:val="00F55518"/>
    <w:rsid w:val="00F5705F"/>
    <w:rsid w:val="00F57698"/>
    <w:rsid w:val="00F629AD"/>
    <w:rsid w:val="00F63206"/>
    <w:rsid w:val="00F663B5"/>
    <w:rsid w:val="00F707D9"/>
    <w:rsid w:val="00F7096E"/>
    <w:rsid w:val="00F71079"/>
    <w:rsid w:val="00F72344"/>
    <w:rsid w:val="00F727BD"/>
    <w:rsid w:val="00F72FE6"/>
    <w:rsid w:val="00F73024"/>
    <w:rsid w:val="00F734F1"/>
    <w:rsid w:val="00F73A21"/>
    <w:rsid w:val="00F73BD4"/>
    <w:rsid w:val="00F7411A"/>
    <w:rsid w:val="00F7456D"/>
    <w:rsid w:val="00F75116"/>
    <w:rsid w:val="00F75F40"/>
    <w:rsid w:val="00F763ED"/>
    <w:rsid w:val="00F76446"/>
    <w:rsid w:val="00F76CB2"/>
    <w:rsid w:val="00F83808"/>
    <w:rsid w:val="00F83953"/>
    <w:rsid w:val="00F84E23"/>
    <w:rsid w:val="00F853C8"/>
    <w:rsid w:val="00F86483"/>
    <w:rsid w:val="00F86B35"/>
    <w:rsid w:val="00F87442"/>
    <w:rsid w:val="00F93D90"/>
    <w:rsid w:val="00F93DA1"/>
    <w:rsid w:val="00F94451"/>
    <w:rsid w:val="00F960DD"/>
    <w:rsid w:val="00F96533"/>
    <w:rsid w:val="00F970F0"/>
    <w:rsid w:val="00FA0051"/>
    <w:rsid w:val="00FA015E"/>
    <w:rsid w:val="00FA1051"/>
    <w:rsid w:val="00FA114B"/>
    <w:rsid w:val="00FA346E"/>
    <w:rsid w:val="00FA36BC"/>
    <w:rsid w:val="00FA3985"/>
    <w:rsid w:val="00FA5552"/>
    <w:rsid w:val="00FA6090"/>
    <w:rsid w:val="00FB10FD"/>
    <w:rsid w:val="00FB12FF"/>
    <w:rsid w:val="00FB3D50"/>
    <w:rsid w:val="00FB5C04"/>
    <w:rsid w:val="00FB748B"/>
    <w:rsid w:val="00FC001A"/>
    <w:rsid w:val="00FC0EB6"/>
    <w:rsid w:val="00FC1FB4"/>
    <w:rsid w:val="00FC293C"/>
    <w:rsid w:val="00FC2D28"/>
    <w:rsid w:val="00FC3251"/>
    <w:rsid w:val="00FC36D5"/>
    <w:rsid w:val="00FC4FEA"/>
    <w:rsid w:val="00FC513F"/>
    <w:rsid w:val="00FC6B6E"/>
    <w:rsid w:val="00FD0817"/>
    <w:rsid w:val="00FD13E4"/>
    <w:rsid w:val="00FD16A2"/>
    <w:rsid w:val="00FD3D04"/>
    <w:rsid w:val="00FD41F6"/>
    <w:rsid w:val="00FD76CE"/>
    <w:rsid w:val="00FE01F2"/>
    <w:rsid w:val="00FE068F"/>
    <w:rsid w:val="00FE0FB3"/>
    <w:rsid w:val="00FE1CAE"/>
    <w:rsid w:val="00FE1D88"/>
    <w:rsid w:val="00FE3372"/>
    <w:rsid w:val="00FE38F1"/>
    <w:rsid w:val="00FE5AB2"/>
    <w:rsid w:val="00FE6469"/>
    <w:rsid w:val="00FE6601"/>
    <w:rsid w:val="00FE7D9F"/>
    <w:rsid w:val="00FE7F78"/>
    <w:rsid w:val="00FF1D6B"/>
    <w:rsid w:val="00FF4821"/>
    <w:rsid w:val="00FF5142"/>
    <w:rsid w:val="00FF51E0"/>
    <w:rsid w:val="00FF552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A53"/>
    <w:pPr>
      <w:spacing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1CC5"/>
    <w:pPr>
      <w:keepNext/>
      <w:keepLines/>
      <w:numPr>
        <w:numId w:val="1"/>
      </w:numPr>
      <w:spacing w:before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1"/>
    <w:uiPriority w:val="9"/>
    <w:unhideWhenUsed/>
    <w:qFormat/>
    <w:rsid w:val="004907D5"/>
    <w:pPr>
      <w:keepNext/>
      <w:keepLines/>
      <w:numPr>
        <w:ilvl w:val="1"/>
        <w:numId w:val="1"/>
      </w:numPr>
      <w:spacing w:before="12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07D5"/>
    <w:pPr>
      <w:keepNext/>
      <w:keepLines/>
      <w:numPr>
        <w:ilvl w:val="2"/>
        <w:numId w:val="1"/>
      </w:numPr>
      <w:spacing w:before="12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43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43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43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43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43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43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Z">
    <w:name w:val="Nadpis KZ"/>
    <w:basedOn w:val="Zkladntext2"/>
    <w:rsid w:val="00F016DA"/>
    <w:pPr>
      <w:spacing w:before="120" w:after="360" w:line="240" w:lineRule="auto"/>
    </w:pPr>
    <w:rPr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6D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6D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pis pro KZ,odrážky,List Paragraph (Czech Tourism)"/>
    <w:basedOn w:val="Normln"/>
    <w:link w:val="OdstavecseseznamemChar"/>
    <w:uiPriority w:val="34"/>
    <w:qFormat/>
    <w:rsid w:val="0089642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96424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6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2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24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F07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452CB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91CC5"/>
    <w:rPr>
      <w:rFonts w:ascii="Arial" w:eastAsiaTheme="majorEastAsia" w:hAnsi="Arial" w:cstheme="majorBidi"/>
      <w:b/>
      <w:bCs/>
      <w:szCs w:val="28"/>
    </w:rPr>
  </w:style>
  <w:style w:type="paragraph" w:styleId="Zhlav">
    <w:name w:val="header"/>
    <w:basedOn w:val="Normln"/>
    <w:link w:val="Zhlav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04C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04C"/>
    <w:rPr>
      <w:rFonts w:ascii="Arial" w:eastAsia="Times New Roman" w:hAnsi="Arial" w:cs="Times New Roman"/>
      <w:szCs w:val="24"/>
    </w:rPr>
  </w:style>
  <w:style w:type="character" w:customStyle="1" w:styleId="Nadpis2Char">
    <w:name w:val="Nadpis 2 Char"/>
    <w:basedOn w:val="Standardnpsmoodstavce"/>
    <w:uiPriority w:val="9"/>
    <w:rsid w:val="00B24298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7D5"/>
    <w:rPr>
      <w:rFonts w:ascii="Arial" w:eastAsiaTheme="majorEastAsia" w:hAnsi="Arial" w:cstheme="majorBidi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43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43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43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BE2C8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CD00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DD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1">
    <w:name w:val="Nadpis 2 Char1"/>
    <w:basedOn w:val="Standardnpsmoodstavce"/>
    <w:link w:val="Nadpis2"/>
    <w:uiPriority w:val="9"/>
    <w:rsid w:val="004907D5"/>
    <w:rPr>
      <w:rFonts w:ascii="Arial" w:eastAsiaTheme="majorEastAsia" w:hAnsi="Arial" w:cstheme="majorBidi"/>
      <w:b/>
      <w:bCs/>
      <w:szCs w:val="26"/>
    </w:rPr>
  </w:style>
  <w:style w:type="paragraph" w:customStyle="1" w:styleId="Standard">
    <w:name w:val="Standard"/>
    <w:rsid w:val="00481C0D"/>
    <w:pPr>
      <w:suppressAutoHyphens/>
      <w:autoSpaceDN w:val="0"/>
      <w:spacing w:line="251" w:lineRule="auto"/>
      <w:textAlignment w:val="baseline"/>
    </w:pPr>
    <w:rPr>
      <w:rFonts w:ascii="Calibri" w:eastAsia="Times New Roman" w:hAnsi="Calibri" w:cs="Times New Roman"/>
      <w:kern w:val="3"/>
      <w:lang w:val="en-US" w:bidi="en-US"/>
    </w:rPr>
  </w:style>
  <w:style w:type="paragraph" w:customStyle="1" w:styleId="Ploha1">
    <w:name w:val="Příloha 1"/>
    <w:basedOn w:val="Normln"/>
    <w:uiPriority w:val="2"/>
    <w:qFormat/>
    <w:rsid w:val="002A57ED"/>
    <w:pPr>
      <w:numPr>
        <w:numId w:val="5"/>
      </w:numPr>
      <w:spacing w:before="120" w:after="0"/>
    </w:pPr>
    <w:rPr>
      <w:lang w:val="en-US"/>
    </w:rPr>
  </w:style>
  <w:style w:type="paragraph" w:styleId="Nzev">
    <w:name w:val="Title"/>
    <w:aliases w:val="zjištění"/>
    <w:basedOn w:val="Bezmezer"/>
    <w:next w:val="Normln"/>
    <w:link w:val="NzevChar"/>
    <w:uiPriority w:val="10"/>
    <w:qFormat/>
    <w:rsid w:val="00777A06"/>
    <w:pPr>
      <w:spacing w:before="120" w:after="60"/>
    </w:pPr>
    <w:rPr>
      <w:rFonts w:eastAsia="Calibri" w:cs="Arial"/>
      <w:b/>
      <w:szCs w:val="22"/>
    </w:rPr>
  </w:style>
  <w:style w:type="character" w:customStyle="1" w:styleId="NzevChar">
    <w:name w:val="Název Char"/>
    <w:aliases w:val="zjištění Char"/>
    <w:basedOn w:val="Standardnpsmoodstavce"/>
    <w:link w:val="Nzev"/>
    <w:uiPriority w:val="10"/>
    <w:rsid w:val="00777A06"/>
    <w:rPr>
      <w:rFonts w:ascii="Arial" w:eastAsia="Calibri" w:hAnsi="Arial" w:cs="Arial"/>
      <w:b/>
    </w:rPr>
  </w:style>
  <w:style w:type="paragraph" w:styleId="Normlnweb">
    <w:name w:val="Normal (Web)"/>
    <w:basedOn w:val="Normln"/>
    <w:uiPriority w:val="99"/>
    <w:semiHidden/>
    <w:unhideWhenUsed/>
    <w:rsid w:val="00693CF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693CFA"/>
    <w:rPr>
      <w:b/>
      <w:bCs/>
    </w:rPr>
  </w:style>
  <w:style w:type="character" w:customStyle="1" w:styleId="OdstavecseseznamemChar">
    <w:name w:val="Odstavec se seznamem Char"/>
    <w:aliases w:val="Nadpis pro KZ Char,odrážky Char,List Paragraph (Czech Tourism) Char"/>
    <w:link w:val="Odstavecseseznamem"/>
    <w:uiPriority w:val="34"/>
    <w:rsid w:val="00404F0C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A53"/>
    <w:pPr>
      <w:spacing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1CC5"/>
    <w:pPr>
      <w:keepNext/>
      <w:keepLines/>
      <w:numPr>
        <w:numId w:val="1"/>
      </w:numPr>
      <w:spacing w:before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1"/>
    <w:uiPriority w:val="9"/>
    <w:unhideWhenUsed/>
    <w:qFormat/>
    <w:rsid w:val="004907D5"/>
    <w:pPr>
      <w:keepNext/>
      <w:keepLines/>
      <w:numPr>
        <w:ilvl w:val="1"/>
        <w:numId w:val="1"/>
      </w:numPr>
      <w:spacing w:before="12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07D5"/>
    <w:pPr>
      <w:keepNext/>
      <w:keepLines/>
      <w:numPr>
        <w:ilvl w:val="2"/>
        <w:numId w:val="1"/>
      </w:numPr>
      <w:spacing w:before="12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43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43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43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43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43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43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Z">
    <w:name w:val="Nadpis KZ"/>
    <w:basedOn w:val="Zkladntext2"/>
    <w:rsid w:val="00F016DA"/>
    <w:pPr>
      <w:spacing w:before="120" w:after="360" w:line="240" w:lineRule="auto"/>
    </w:pPr>
    <w:rPr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6D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6D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pis pro KZ,odrážky,List Paragraph (Czech Tourism)"/>
    <w:basedOn w:val="Normln"/>
    <w:link w:val="OdstavecseseznamemChar"/>
    <w:uiPriority w:val="34"/>
    <w:qFormat/>
    <w:rsid w:val="0089642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96424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6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2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24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F07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452CB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91CC5"/>
    <w:rPr>
      <w:rFonts w:ascii="Arial" w:eastAsiaTheme="majorEastAsia" w:hAnsi="Arial" w:cstheme="majorBidi"/>
      <w:b/>
      <w:bCs/>
      <w:szCs w:val="28"/>
    </w:rPr>
  </w:style>
  <w:style w:type="paragraph" w:styleId="Zhlav">
    <w:name w:val="header"/>
    <w:basedOn w:val="Normln"/>
    <w:link w:val="Zhlav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04C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04C"/>
    <w:rPr>
      <w:rFonts w:ascii="Arial" w:eastAsia="Times New Roman" w:hAnsi="Arial" w:cs="Times New Roman"/>
      <w:szCs w:val="24"/>
    </w:rPr>
  </w:style>
  <w:style w:type="character" w:customStyle="1" w:styleId="Nadpis2Char">
    <w:name w:val="Nadpis 2 Char"/>
    <w:basedOn w:val="Standardnpsmoodstavce"/>
    <w:uiPriority w:val="9"/>
    <w:rsid w:val="00B24298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7D5"/>
    <w:rPr>
      <w:rFonts w:ascii="Arial" w:eastAsiaTheme="majorEastAsia" w:hAnsi="Arial" w:cstheme="majorBidi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43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43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43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BE2C8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CD00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DD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1">
    <w:name w:val="Nadpis 2 Char1"/>
    <w:basedOn w:val="Standardnpsmoodstavce"/>
    <w:link w:val="Nadpis2"/>
    <w:uiPriority w:val="9"/>
    <w:rsid w:val="004907D5"/>
    <w:rPr>
      <w:rFonts w:ascii="Arial" w:eastAsiaTheme="majorEastAsia" w:hAnsi="Arial" w:cstheme="majorBidi"/>
      <w:b/>
      <w:bCs/>
      <w:szCs w:val="26"/>
    </w:rPr>
  </w:style>
  <w:style w:type="paragraph" w:customStyle="1" w:styleId="Standard">
    <w:name w:val="Standard"/>
    <w:rsid w:val="00481C0D"/>
    <w:pPr>
      <w:suppressAutoHyphens/>
      <w:autoSpaceDN w:val="0"/>
      <w:spacing w:line="251" w:lineRule="auto"/>
      <w:textAlignment w:val="baseline"/>
    </w:pPr>
    <w:rPr>
      <w:rFonts w:ascii="Calibri" w:eastAsia="Times New Roman" w:hAnsi="Calibri" w:cs="Times New Roman"/>
      <w:kern w:val="3"/>
      <w:lang w:val="en-US" w:bidi="en-US"/>
    </w:rPr>
  </w:style>
  <w:style w:type="paragraph" w:customStyle="1" w:styleId="Ploha1">
    <w:name w:val="Příloha 1"/>
    <w:basedOn w:val="Normln"/>
    <w:uiPriority w:val="2"/>
    <w:qFormat/>
    <w:rsid w:val="002A57ED"/>
    <w:pPr>
      <w:numPr>
        <w:numId w:val="5"/>
      </w:numPr>
      <w:spacing w:before="120" w:after="0"/>
    </w:pPr>
    <w:rPr>
      <w:lang w:val="en-US"/>
    </w:rPr>
  </w:style>
  <w:style w:type="paragraph" w:styleId="Nzev">
    <w:name w:val="Title"/>
    <w:aliases w:val="zjištění"/>
    <w:basedOn w:val="Bezmezer"/>
    <w:next w:val="Normln"/>
    <w:link w:val="NzevChar"/>
    <w:uiPriority w:val="10"/>
    <w:qFormat/>
    <w:rsid w:val="00777A06"/>
    <w:pPr>
      <w:spacing w:before="120" w:after="60"/>
    </w:pPr>
    <w:rPr>
      <w:rFonts w:eastAsia="Calibri" w:cs="Arial"/>
      <w:b/>
      <w:szCs w:val="22"/>
    </w:rPr>
  </w:style>
  <w:style w:type="character" w:customStyle="1" w:styleId="NzevChar">
    <w:name w:val="Název Char"/>
    <w:aliases w:val="zjištění Char"/>
    <w:basedOn w:val="Standardnpsmoodstavce"/>
    <w:link w:val="Nzev"/>
    <w:uiPriority w:val="10"/>
    <w:rsid w:val="00777A06"/>
    <w:rPr>
      <w:rFonts w:ascii="Arial" w:eastAsia="Calibri" w:hAnsi="Arial" w:cs="Arial"/>
      <w:b/>
    </w:rPr>
  </w:style>
  <w:style w:type="paragraph" w:styleId="Normlnweb">
    <w:name w:val="Normal (Web)"/>
    <w:basedOn w:val="Normln"/>
    <w:uiPriority w:val="99"/>
    <w:semiHidden/>
    <w:unhideWhenUsed/>
    <w:rsid w:val="00693CF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693CFA"/>
    <w:rPr>
      <w:b/>
      <w:bCs/>
    </w:rPr>
  </w:style>
  <w:style w:type="character" w:customStyle="1" w:styleId="OdstavecseseznamemChar">
    <w:name w:val="Odstavec se seznamem Char"/>
    <w:aliases w:val="Nadpis pro KZ Char,odrážky Char,List Paragraph (Czech Tourism) Char"/>
    <w:link w:val="Odstavecseseznamem"/>
    <w:uiPriority w:val="34"/>
    <w:rsid w:val="00404F0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1095249179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none" w:sz="0" w:space="0" w:color="auto"/>
                <w:right w:val="single" w:sz="6" w:space="0" w:color="B1B6B2"/>
              </w:divBdr>
              <w:divsChild>
                <w:div w:id="1979995587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7660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0328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4A73A-FE9A-4839-BA9C-8F2E80697518}"/>
</file>

<file path=customXml/itemProps2.xml><?xml version="1.0" encoding="utf-8"?>
<ds:datastoreItem xmlns:ds="http://schemas.openxmlformats.org/officeDocument/2006/customXml" ds:itemID="{F3C00687-0D58-456C-8E92-73A3F52EE1B8}"/>
</file>

<file path=customXml/itemProps3.xml><?xml version="1.0" encoding="utf-8"?>
<ds:datastoreItem xmlns:ds="http://schemas.openxmlformats.org/officeDocument/2006/customXml" ds:itemID="{BA5C4602-CE41-44C2-BCE3-839629945AAD}"/>
</file>

<file path=customXml/itemProps4.xml><?xml version="1.0" encoding="utf-8"?>
<ds:datastoreItem xmlns:ds="http://schemas.openxmlformats.org/officeDocument/2006/customXml" ds:itemID="{AC63BA6B-2A7C-4516-9F7C-9EABAF59BE14}"/>
</file>

<file path=customXml/itemProps5.xml><?xml version="1.0" encoding="utf-8"?>
<ds:datastoreItem xmlns:ds="http://schemas.openxmlformats.org/officeDocument/2006/customXml" ds:itemID="{39779859-C080-4D73-ABBE-22EE1C4C58F5}"/>
</file>

<file path=docProps/app.xml><?xml version="1.0" encoding="utf-8"?>
<Properties xmlns="http://schemas.openxmlformats.org/officeDocument/2006/extended-properties" xmlns:vt="http://schemas.openxmlformats.org/officeDocument/2006/docPropsVTypes">
  <Template>30429662.dotm</Template>
  <TotalTime>1446</TotalTime>
  <Pages>15</Pages>
  <Words>5696</Words>
  <Characters>33611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13/36</dc:title>
  <dc:creator>KADLČÍKOVÁ Vladimíra</dc:creator>
  <cp:lastModifiedBy>KOKRDA Daniel</cp:lastModifiedBy>
  <cp:revision>65</cp:revision>
  <cp:lastPrinted>2014-07-15T08:01:00Z</cp:lastPrinted>
  <dcterms:created xsi:type="dcterms:W3CDTF">2014-07-01T05:27:00Z</dcterms:created>
  <dcterms:modified xsi:type="dcterms:W3CDTF">2014-08-22T07:24:00Z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