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DAC" w:rsidRPr="00734C2E" w:rsidRDefault="00E9554E">
      <w:pPr>
        <w:pStyle w:val="Nadpis9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20BE9">
        <w:rPr>
          <w:rFonts w:ascii="Arial" w:hAnsi="Arial" w:cs="Arial"/>
          <w:b/>
          <w:noProof/>
        </w:rPr>
        <w:drawing>
          <wp:inline distT="0" distB="0" distL="0" distR="0" wp14:anchorId="78160099" wp14:editId="7F21E3BE">
            <wp:extent cx="786765" cy="56070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560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DAC" w:rsidRPr="00734C2E">
        <w:rPr>
          <w:rFonts w:ascii="Arial" w:hAnsi="Arial" w:cs="Arial"/>
          <w:b/>
        </w:rPr>
        <w:t xml:space="preserve"> </w:t>
      </w: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E47DAC" w:rsidRPr="00734C2E" w:rsidRDefault="00E47DAC">
      <w:pPr>
        <w:pStyle w:val="Nadpis9"/>
        <w:spacing w:before="0" w:after="0"/>
        <w:jc w:val="center"/>
        <w:rPr>
          <w:rFonts w:ascii="Arial" w:hAnsi="Arial" w:cs="Arial"/>
          <w:b/>
        </w:rPr>
      </w:pPr>
    </w:p>
    <w:p w:rsidR="00967261" w:rsidRDefault="00967261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967261" w:rsidRDefault="00967261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</w:p>
    <w:p w:rsidR="00E47DAC" w:rsidRPr="008809FB" w:rsidRDefault="00E47DAC">
      <w:pPr>
        <w:pStyle w:val="Nadpis9"/>
        <w:spacing w:before="0" w:after="0"/>
        <w:jc w:val="center"/>
        <w:rPr>
          <w:rFonts w:ascii="Arial" w:hAnsi="Arial" w:cs="Arial"/>
          <w:b/>
          <w:sz w:val="28"/>
          <w:szCs w:val="28"/>
        </w:rPr>
      </w:pPr>
      <w:r w:rsidRPr="008809FB">
        <w:rPr>
          <w:rFonts w:ascii="Arial" w:hAnsi="Arial" w:cs="Arial"/>
          <w:b/>
          <w:sz w:val="28"/>
          <w:szCs w:val="28"/>
        </w:rPr>
        <w:t>Kontrolní závěr z kontrolní akce</w:t>
      </w:r>
    </w:p>
    <w:p w:rsidR="007C5432" w:rsidRPr="008809FB" w:rsidRDefault="007C5432" w:rsidP="00FD145C">
      <w:pPr>
        <w:jc w:val="center"/>
        <w:rPr>
          <w:sz w:val="28"/>
          <w:szCs w:val="28"/>
        </w:rPr>
      </w:pPr>
    </w:p>
    <w:p w:rsidR="00E47DAC" w:rsidRPr="008809FB" w:rsidRDefault="004379AD">
      <w:pPr>
        <w:ind w:right="68"/>
        <w:jc w:val="center"/>
        <w:rPr>
          <w:rFonts w:cs="Arial"/>
          <w:b/>
          <w:bCs/>
          <w:sz w:val="28"/>
          <w:szCs w:val="28"/>
        </w:rPr>
      </w:pPr>
      <w:r w:rsidRPr="008809FB">
        <w:rPr>
          <w:rFonts w:cs="Arial"/>
          <w:b/>
          <w:bCs/>
          <w:sz w:val="28"/>
          <w:szCs w:val="28"/>
        </w:rPr>
        <w:t>1</w:t>
      </w:r>
      <w:r w:rsidR="006D606E">
        <w:rPr>
          <w:rFonts w:cs="Arial"/>
          <w:b/>
          <w:bCs/>
          <w:sz w:val="28"/>
          <w:szCs w:val="28"/>
        </w:rPr>
        <w:t>4</w:t>
      </w:r>
      <w:r w:rsidR="00553974" w:rsidRPr="008809FB">
        <w:rPr>
          <w:rFonts w:cs="Arial"/>
          <w:b/>
          <w:bCs/>
          <w:sz w:val="28"/>
          <w:szCs w:val="28"/>
        </w:rPr>
        <w:t>/</w:t>
      </w:r>
      <w:r w:rsidR="006D606E">
        <w:rPr>
          <w:rFonts w:cs="Arial"/>
          <w:b/>
          <w:bCs/>
          <w:sz w:val="28"/>
          <w:szCs w:val="28"/>
        </w:rPr>
        <w:t>05</w:t>
      </w:r>
    </w:p>
    <w:p w:rsidR="007C5432" w:rsidRPr="008809FB" w:rsidRDefault="007C5432">
      <w:pPr>
        <w:ind w:right="68"/>
        <w:jc w:val="center"/>
        <w:rPr>
          <w:rFonts w:cs="Arial"/>
          <w:b/>
          <w:bCs/>
          <w:sz w:val="28"/>
          <w:szCs w:val="28"/>
        </w:rPr>
      </w:pPr>
    </w:p>
    <w:p w:rsidR="00637B66" w:rsidRPr="00043B6B" w:rsidRDefault="008409FA" w:rsidP="006D606E">
      <w:pPr>
        <w:jc w:val="center"/>
        <w:rPr>
          <w:rFonts w:cs="Arial"/>
          <w:b/>
        </w:rPr>
      </w:pPr>
      <w:r w:rsidRPr="008809FB">
        <w:rPr>
          <w:rFonts w:cs="Arial"/>
          <w:b/>
          <w:sz w:val="28"/>
          <w:szCs w:val="28"/>
        </w:rPr>
        <w:t xml:space="preserve">Peněžní prostředky určené na </w:t>
      </w:r>
      <w:r w:rsidR="006D606E">
        <w:rPr>
          <w:rFonts w:cs="Arial"/>
          <w:b/>
          <w:sz w:val="28"/>
          <w:szCs w:val="28"/>
        </w:rPr>
        <w:t>financování vybraných programů v působnosti Ministerstva práce a sociálních věcí</w:t>
      </w:r>
    </w:p>
    <w:p w:rsidR="00E47DAC" w:rsidRDefault="00E47DAC">
      <w:pPr>
        <w:rPr>
          <w:rFonts w:cs="Arial"/>
          <w:sz w:val="22"/>
          <w:szCs w:val="22"/>
        </w:rPr>
      </w:pPr>
    </w:p>
    <w:p w:rsidR="00967261" w:rsidRPr="00734C2E" w:rsidRDefault="00967261">
      <w:pPr>
        <w:rPr>
          <w:rFonts w:cs="Arial"/>
          <w:sz w:val="22"/>
          <w:szCs w:val="22"/>
        </w:rPr>
      </w:pPr>
    </w:p>
    <w:p w:rsidR="00E47DAC" w:rsidRPr="00734C2E" w:rsidRDefault="00E47DAC">
      <w:pPr>
        <w:rPr>
          <w:rFonts w:cs="Arial"/>
          <w:sz w:val="22"/>
          <w:szCs w:val="22"/>
        </w:rPr>
      </w:pP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Kontrolní akce byla zařazena do plánu kontrolní činnosti Nejvyššího kontrolního úřadu (dále jen „NKÚ“) na rok 20</w:t>
      </w:r>
      <w:r w:rsidR="004379AD">
        <w:rPr>
          <w:rFonts w:cs="Arial"/>
          <w:sz w:val="22"/>
          <w:szCs w:val="22"/>
        </w:rPr>
        <w:t>1</w:t>
      </w:r>
      <w:r w:rsidR="00630C15">
        <w:rPr>
          <w:rFonts w:cs="Arial"/>
          <w:sz w:val="22"/>
          <w:szCs w:val="22"/>
        </w:rPr>
        <w:t>4</w:t>
      </w:r>
      <w:r w:rsidRPr="00734C2E">
        <w:rPr>
          <w:rFonts w:cs="Arial"/>
          <w:sz w:val="22"/>
          <w:szCs w:val="22"/>
        </w:rPr>
        <w:t xml:space="preserve"> pod číslem </w:t>
      </w:r>
      <w:r w:rsidR="004379AD">
        <w:rPr>
          <w:rFonts w:cs="Arial"/>
          <w:sz w:val="22"/>
          <w:szCs w:val="22"/>
        </w:rPr>
        <w:t>1</w:t>
      </w:r>
      <w:r w:rsidR="006D606E">
        <w:rPr>
          <w:rFonts w:cs="Arial"/>
          <w:sz w:val="22"/>
          <w:szCs w:val="22"/>
        </w:rPr>
        <w:t>4</w:t>
      </w:r>
      <w:r w:rsidRPr="00734C2E">
        <w:rPr>
          <w:rFonts w:cs="Arial"/>
          <w:sz w:val="22"/>
          <w:szCs w:val="22"/>
        </w:rPr>
        <w:t>/</w:t>
      </w:r>
      <w:r w:rsidR="006D606E">
        <w:rPr>
          <w:rFonts w:cs="Arial"/>
          <w:sz w:val="22"/>
          <w:szCs w:val="22"/>
        </w:rPr>
        <w:t>05</w:t>
      </w:r>
      <w:r w:rsidRPr="00734C2E">
        <w:rPr>
          <w:rFonts w:cs="Arial"/>
          <w:sz w:val="22"/>
          <w:szCs w:val="22"/>
        </w:rPr>
        <w:t xml:space="preserve">. Kontrolní akci řídil a kontrolní závěr vypracoval člen NKÚ Ing. Jiří </w:t>
      </w:r>
      <w:r w:rsidR="00DD1F0E" w:rsidRPr="00734C2E">
        <w:rPr>
          <w:rFonts w:cs="Arial"/>
          <w:sz w:val="22"/>
          <w:szCs w:val="22"/>
        </w:rPr>
        <w:t>Adámek</w:t>
      </w:r>
      <w:r w:rsidRPr="00734C2E">
        <w:rPr>
          <w:rFonts w:cs="Arial"/>
          <w:sz w:val="22"/>
          <w:szCs w:val="22"/>
        </w:rPr>
        <w:t xml:space="preserve">. </w:t>
      </w:r>
    </w:p>
    <w:p w:rsidR="00E47DAC" w:rsidRPr="00734C2E" w:rsidRDefault="00E47DAC">
      <w:pPr>
        <w:pStyle w:val="Zkladn"/>
        <w:spacing w:before="0"/>
        <w:rPr>
          <w:rFonts w:cs="Arial"/>
          <w:sz w:val="22"/>
          <w:szCs w:val="22"/>
        </w:rPr>
      </w:pPr>
    </w:p>
    <w:p w:rsidR="008409FA" w:rsidRDefault="00E47DAC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 w:rsidRPr="00734C2E">
        <w:rPr>
          <w:rFonts w:cs="Arial"/>
          <w:sz w:val="22"/>
          <w:szCs w:val="22"/>
        </w:rPr>
        <w:t>Cílem kontroly bylo prověřit</w:t>
      </w:r>
      <w:r w:rsidR="008409FA">
        <w:rPr>
          <w:rFonts w:cs="Arial"/>
          <w:sz w:val="22"/>
          <w:szCs w:val="22"/>
        </w:rPr>
        <w:t xml:space="preserve"> </w:t>
      </w:r>
      <w:r w:rsidR="00D86778">
        <w:rPr>
          <w:rFonts w:cs="Arial"/>
          <w:sz w:val="22"/>
          <w:szCs w:val="22"/>
        </w:rPr>
        <w:t xml:space="preserve">poskytování, čerpání a použití peněžních prostředků určených na </w:t>
      </w:r>
      <w:r w:rsidR="006D606E">
        <w:rPr>
          <w:rFonts w:cs="Arial"/>
          <w:sz w:val="22"/>
          <w:szCs w:val="22"/>
        </w:rPr>
        <w:t>financování vybraných programů v působnosti Ministerstva práce a sociálních věcí</w:t>
      </w:r>
      <w:r w:rsidR="00D86778">
        <w:rPr>
          <w:rFonts w:cs="Arial"/>
          <w:sz w:val="22"/>
          <w:szCs w:val="22"/>
        </w:rPr>
        <w:t xml:space="preserve">. </w:t>
      </w:r>
    </w:p>
    <w:p w:rsidR="00D86778" w:rsidRDefault="00D86778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</w:p>
    <w:p w:rsidR="00DD1F0E" w:rsidRPr="00734C2E" w:rsidRDefault="008409FA" w:rsidP="0014414B">
      <w:pPr>
        <w:pStyle w:val="Zkladntextodsazen"/>
        <w:spacing w:after="0"/>
        <w:ind w:left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Kontrolováno bylo</w:t>
      </w:r>
      <w:r w:rsidR="00637B66">
        <w:rPr>
          <w:rFonts w:cs="Arial"/>
          <w:sz w:val="22"/>
          <w:szCs w:val="22"/>
        </w:rPr>
        <w:t xml:space="preserve"> </w:t>
      </w:r>
      <w:r w:rsidR="00E47DAC" w:rsidRPr="00734C2E">
        <w:rPr>
          <w:rFonts w:cs="Arial"/>
          <w:sz w:val="22"/>
          <w:szCs w:val="22"/>
        </w:rPr>
        <w:t>období</w:t>
      </w:r>
      <w:r w:rsidR="006D606E">
        <w:rPr>
          <w:rFonts w:cs="Arial"/>
          <w:sz w:val="22"/>
          <w:szCs w:val="22"/>
        </w:rPr>
        <w:t xml:space="preserve"> let</w:t>
      </w:r>
      <w:r>
        <w:rPr>
          <w:rFonts w:cs="Arial"/>
          <w:sz w:val="22"/>
          <w:szCs w:val="22"/>
        </w:rPr>
        <w:t xml:space="preserve"> 20</w:t>
      </w:r>
      <w:r w:rsidR="00D86778">
        <w:rPr>
          <w:rFonts w:cs="Arial"/>
          <w:sz w:val="22"/>
          <w:szCs w:val="22"/>
        </w:rPr>
        <w:t>0</w:t>
      </w:r>
      <w:r w:rsidR="006D606E">
        <w:rPr>
          <w:rFonts w:cs="Arial"/>
          <w:sz w:val="22"/>
          <w:szCs w:val="22"/>
        </w:rPr>
        <w:t xml:space="preserve">9 až </w:t>
      </w:r>
      <w:r>
        <w:rPr>
          <w:rFonts w:cs="Arial"/>
          <w:sz w:val="22"/>
          <w:szCs w:val="22"/>
        </w:rPr>
        <w:t>201</w:t>
      </w:r>
      <w:r w:rsidR="00D86778">
        <w:rPr>
          <w:rFonts w:cs="Arial"/>
          <w:sz w:val="22"/>
          <w:szCs w:val="22"/>
        </w:rPr>
        <w:t>3</w:t>
      </w:r>
      <w:r w:rsidR="00491C48" w:rsidRPr="00734C2E">
        <w:rPr>
          <w:rFonts w:cs="Arial"/>
          <w:sz w:val="22"/>
          <w:szCs w:val="22"/>
        </w:rPr>
        <w:t>,</w:t>
      </w:r>
      <w:r w:rsidR="00E47DAC" w:rsidRPr="00734C2E">
        <w:rPr>
          <w:rFonts w:cs="Arial"/>
          <w:sz w:val="22"/>
          <w:szCs w:val="22"/>
        </w:rPr>
        <w:t xml:space="preserve"> </w:t>
      </w:r>
      <w:r w:rsidR="00150511">
        <w:rPr>
          <w:rFonts w:cs="Arial"/>
          <w:sz w:val="22"/>
          <w:szCs w:val="22"/>
        </w:rPr>
        <w:t>v </w:t>
      </w:r>
      <w:r w:rsidR="00DD1F0E" w:rsidRPr="00734C2E">
        <w:rPr>
          <w:rFonts w:cs="Arial"/>
          <w:sz w:val="22"/>
          <w:szCs w:val="22"/>
        </w:rPr>
        <w:t>případě věcných souvislostí i</w:t>
      </w:r>
      <w:r>
        <w:rPr>
          <w:rFonts w:cs="Arial"/>
          <w:sz w:val="22"/>
          <w:szCs w:val="22"/>
        </w:rPr>
        <w:t> </w:t>
      </w:r>
      <w:r w:rsidR="00DD1F0E" w:rsidRPr="00734C2E">
        <w:rPr>
          <w:rFonts w:cs="Arial"/>
          <w:sz w:val="22"/>
          <w:szCs w:val="22"/>
        </w:rPr>
        <w:t>období</w:t>
      </w:r>
      <w:r w:rsidR="003F046B" w:rsidRPr="00734C2E">
        <w:rPr>
          <w:rFonts w:cs="Arial"/>
          <w:sz w:val="22"/>
          <w:szCs w:val="22"/>
        </w:rPr>
        <w:t xml:space="preserve"> předcházející a</w:t>
      </w:r>
      <w:r w:rsidR="006101EC">
        <w:rPr>
          <w:rFonts w:cs="Arial"/>
          <w:sz w:val="22"/>
          <w:szCs w:val="22"/>
        </w:rPr>
        <w:t xml:space="preserve"> </w:t>
      </w:r>
      <w:r w:rsidR="003F046B" w:rsidRPr="00734C2E">
        <w:rPr>
          <w:rFonts w:cs="Arial"/>
          <w:sz w:val="22"/>
          <w:szCs w:val="22"/>
        </w:rPr>
        <w:t>následující</w:t>
      </w:r>
      <w:r w:rsidR="00DD1F0E" w:rsidRPr="00734C2E">
        <w:rPr>
          <w:rFonts w:cs="Arial"/>
          <w:sz w:val="22"/>
          <w:szCs w:val="22"/>
        </w:rPr>
        <w:t xml:space="preserve">. </w:t>
      </w:r>
      <w:r w:rsidR="00E47DAC" w:rsidRPr="00734C2E">
        <w:rPr>
          <w:rFonts w:cs="Arial"/>
          <w:sz w:val="22"/>
          <w:szCs w:val="22"/>
        </w:rPr>
        <w:t>Kontrola byla prov</w:t>
      </w:r>
      <w:r w:rsidR="005C2A50" w:rsidRPr="00734C2E">
        <w:rPr>
          <w:rFonts w:cs="Arial"/>
          <w:sz w:val="22"/>
          <w:szCs w:val="22"/>
        </w:rPr>
        <w:t>á</w:t>
      </w:r>
      <w:r w:rsidR="00E47DAC" w:rsidRPr="00734C2E">
        <w:rPr>
          <w:rFonts w:cs="Arial"/>
          <w:sz w:val="22"/>
          <w:szCs w:val="22"/>
        </w:rPr>
        <w:t>d</w:t>
      </w:r>
      <w:r w:rsidR="005C2A50" w:rsidRPr="00734C2E">
        <w:rPr>
          <w:rFonts w:cs="Arial"/>
          <w:sz w:val="22"/>
          <w:szCs w:val="22"/>
        </w:rPr>
        <w:t>ě</w:t>
      </w:r>
      <w:r w:rsidR="00E47DAC" w:rsidRPr="00734C2E">
        <w:rPr>
          <w:rFonts w:cs="Arial"/>
          <w:sz w:val="22"/>
          <w:szCs w:val="22"/>
        </w:rPr>
        <w:t xml:space="preserve">na od </w:t>
      </w:r>
      <w:r w:rsidR="006D606E">
        <w:rPr>
          <w:rFonts w:cs="Arial"/>
          <w:sz w:val="22"/>
          <w:szCs w:val="22"/>
        </w:rPr>
        <w:t xml:space="preserve">ledna </w:t>
      </w:r>
      <w:r w:rsidR="00E47DAC" w:rsidRPr="00734C2E">
        <w:rPr>
          <w:rFonts w:cs="Arial"/>
          <w:sz w:val="22"/>
          <w:szCs w:val="22"/>
        </w:rPr>
        <w:t xml:space="preserve">do </w:t>
      </w:r>
      <w:r w:rsidR="006D606E">
        <w:rPr>
          <w:rFonts w:cs="Arial"/>
          <w:sz w:val="22"/>
          <w:szCs w:val="22"/>
        </w:rPr>
        <w:t>srpna</w:t>
      </w:r>
      <w:r w:rsidR="00E47DAC" w:rsidRPr="00734C2E">
        <w:rPr>
          <w:rFonts w:cs="Arial"/>
          <w:sz w:val="22"/>
          <w:szCs w:val="22"/>
        </w:rPr>
        <w:t xml:space="preserve"> 20</w:t>
      </w:r>
      <w:r w:rsidR="00B27B29">
        <w:rPr>
          <w:rFonts w:cs="Arial"/>
          <w:sz w:val="22"/>
          <w:szCs w:val="22"/>
        </w:rPr>
        <w:t>1</w:t>
      </w:r>
      <w:r w:rsidR="00D86778">
        <w:rPr>
          <w:rFonts w:cs="Arial"/>
          <w:sz w:val="22"/>
          <w:szCs w:val="22"/>
        </w:rPr>
        <w:t>4</w:t>
      </w:r>
      <w:r w:rsidR="00DD1F0E" w:rsidRPr="00734C2E">
        <w:rPr>
          <w:rFonts w:cs="Arial"/>
          <w:sz w:val="22"/>
          <w:szCs w:val="22"/>
        </w:rPr>
        <w:t>.</w:t>
      </w:r>
    </w:p>
    <w:p w:rsidR="00DD1F0E" w:rsidRPr="00734C2E" w:rsidRDefault="00DD1F0E">
      <w:pPr>
        <w:pStyle w:val="Zkladn"/>
        <w:spacing w:before="0"/>
        <w:rPr>
          <w:rFonts w:cs="Arial"/>
          <w:sz w:val="22"/>
          <w:szCs w:val="22"/>
        </w:rPr>
      </w:pPr>
    </w:p>
    <w:p w:rsidR="00E47DAC" w:rsidRPr="00734C2E" w:rsidRDefault="008409FA">
      <w:pPr>
        <w:pStyle w:val="Zkladn"/>
        <w:spacing w:before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Kontrolované osoby</w:t>
      </w:r>
      <w:r w:rsidR="00DD1F0E" w:rsidRPr="00734C2E">
        <w:rPr>
          <w:rFonts w:cs="Arial"/>
          <w:sz w:val="22"/>
          <w:szCs w:val="22"/>
        </w:rPr>
        <w:t>:</w:t>
      </w:r>
    </w:p>
    <w:p w:rsidR="006D606E" w:rsidRDefault="006D606E" w:rsidP="006D606E">
      <w:pPr>
        <w:pStyle w:val="Zkladn"/>
        <w:spacing w:before="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1. </w:t>
      </w:r>
      <w:r>
        <w:rPr>
          <w:rFonts w:cs="Arial"/>
          <w:sz w:val="22"/>
          <w:szCs w:val="22"/>
        </w:rPr>
        <w:tab/>
        <w:t>Poskytovatel peněžních prostředků:</w:t>
      </w:r>
    </w:p>
    <w:p w:rsidR="00DF7DCC" w:rsidRDefault="008409FA" w:rsidP="0075110E">
      <w:pPr>
        <w:pStyle w:val="Zkladn"/>
        <w:spacing w:before="0" w:after="12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Ministerstvo</w:t>
      </w:r>
      <w:r w:rsidR="006D606E">
        <w:rPr>
          <w:rFonts w:cs="Arial"/>
          <w:sz w:val="22"/>
          <w:szCs w:val="22"/>
        </w:rPr>
        <w:t xml:space="preserve"> práce a sociálních věcí (dále jen „MPSV“).</w:t>
      </w:r>
    </w:p>
    <w:p w:rsidR="006D606E" w:rsidRDefault="006D606E" w:rsidP="006D606E">
      <w:pPr>
        <w:pStyle w:val="Zkladn"/>
        <w:spacing w:before="0"/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2.</w:t>
      </w:r>
      <w:r>
        <w:rPr>
          <w:rFonts w:cs="Arial"/>
          <w:sz w:val="22"/>
          <w:szCs w:val="22"/>
        </w:rPr>
        <w:tab/>
        <w:t>Příjemci peněžních prostředků:</w:t>
      </w:r>
    </w:p>
    <w:p w:rsidR="006D606E" w:rsidRDefault="006D606E" w:rsidP="006D606E">
      <w:pPr>
        <w:pStyle w:val="Zkladn"/>
        <w:spacing w:before="0"/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Česká správa sociálního zabezpečení</w:t>
      </w:r>
      <w:r w:rsidR="00943252">
        <w:rPr>
          <w:rFonts w:cs="Arial"/>
          <w:sz w:val="22"/>
          <w:szCs w:val="22"/>
        </w:rPr>
        <w:t>, Praha</w:t>
      </w:r>
      <w:r w:rsidR="0048285D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(dále jen </w:t>
      </w:r>
      <w:r w:rsidR="00630C15">
        <w:rPr>
          <w:rFonts w:cs="Arial"/>
          <w:sz w:val="22"/>
          <w:szCs w:val="22"/>
        </w:rPr>
        <w:t>„</w:t>
      </w:r>
      <w:r>
        <w:rPr>
          <w:rFonts w:cs="Arial"/>
          <w:sz w:val="22"/>
          <w:szCs w:val="22"/>
        </w:rPr>
        <w:t>ČSSZ“)</w:t>
      </w:r>
      <w:r w:rsidR="0048285D">
        <w:rPr>
          <w:rFonts w:cs="Arial"/>
          <w:sz w:val="22"/>
          <w:szCs w:val="22"/>
        </w:rPr>
        <w:t>;</w:t>
      </w:r>
      <w:r>
        <w:rPr>
          <w:rFonts w:cs="Arial"/>
          <w:sz w:val="22"/>
          <w:szCs w:val="22"/>
        </w:rPr>
        <w:t xml:space="preserve"> </w:t>
      </w:r>
      <w:r w:rsidR="00943252">
        <w:rPr>
          <w:rFonts w:cs="Arial"/>
          <w:sz w:val="22"/>
          <w:szCs w:val="22"/>
        </w:rPr>
        <w:t>Úřad práce České republiky, Praha</w:t>
      </w:r>
      <w:r w:rsidR="0048285D">
        <w:rPr>
          <w:rFonts w:cs="Arial"/>
          <w:sz w:val="22"/>
          <w:szCs w:val="22"/>
        </w:rPr>
        <w:t>,</w:t>
      </w:r>
      <w:r w:rsidR="00943252">
        <w:rPr>
          <w:rFonts w:cs="Arial"/>
          <w:sz w:val="22"/>
          <w:szCs w:val="22"/>
        </w:rPr>
        <w:t xml:space="preserve"> (dále jen „ÚP ČR“)</w:t>
      </w:r>
      <w:r w:rsidR="0048285D">
        <w:rPr>
          <w:rFonts w:cs="Arial"/>
          <w:sz w:val="22"/>
          <w:szCs w:val="22"/>
        </w:rPr>
        <w:t>;</w:t>
      </w:r>
      <w:r w:rsidR="00943252">
        <w:rPr>
          <w:rFonts w:cs="Arial"/>
          <w:sz w:val="22"/>
          <w:szCs w:val="22"/>
        </w:rPr>
        <w:t xml:space="preserve"> Moravskoslezský kraj, Ostrava</w:t>
      </w:r>
      <w:r w:rsidR="0048285D">
        <w:rPr>
          <w:rFonts w:cs="Arial"/>
          <w:sz w:val="22"/>
          <w:szCs w:val="22"/>
        </w:rPr>
        <w:t>;</w:t>
      </w:r>
      <w:r w:rsidR="00943252">
        <w:rPr>
          <w:rFonts w:cs="Arial"/>
          <w:sz w:val="22"/>
          <w:szCs w:val="22"/>
        </w:rPr>
        <w:t xml:space="preserve"> Kraj Vysočina, Jihlava</w:t>
      </w:r>
      <w:r w:rsidR="0048285D">
        <w:rPr>
          <w:rFonts w:cs="Arial"/>
          <w:sz w:val="22"/>
          <w:szCs w:val="22"/>
        </w:rPr>
        <w:t>;</w:t>
      </w:r>
      <w:r w:rsidR="00943252">
        <w:rPr>
          <w:rFonts w:cs="Arial"/>
          <w:sz w:val="22"/>
          <w:szCs w:val="22"/>
        </w:rPr>
        <w:t xml:space="preserve"> město Bystřice pod Hostýnem</w:t>
      </w:r>
      <w:r w:rsidR="0048285D">
        <w:rPr>
          <w:rFonts w:cs="Arial"/>
          <w:sz w:val="22"/>
          <w:szCs w:val="22"/>
        </w:rPr>
        <w:t>;</w:t>
      </w:r>
      <w:r w:rsidR="00943252">
        <w:rPr>
          <w:rFonts w:cs="Arial"/>
          <w:sz w:val="22"/>
          <w:szCs w:val="22"/>
        </w:rPr>
        <w:t xml:space="preserve"> město Znojmo</w:t>
      </w:r>
      <w:r w:rsidR="0048285D">
        <w:rPr>
          <w:rFonts w:cs="Arial"/>
          <w:sz w:val="22"/>
          <w:szCs w:val="22"/>
        </w:rPr>
        <w:t>;</w:t>
      </w:r>
      <w:r w:rsidR="00943252">
        <w:rPr>
          <w:rFonts w:cs="Arial"/>
          <w:sz w:val="22"/>
          <w:szCs w:val="22"/>
        </w:rPr>
        <w:t xml:space="preserve"> obec Valašs</w:t>
      </w:r>
      <w:r w:rsidR="00CC6CD1">
        <w:rPr>
          <w:rFonts w:cs="Arial"/>
          <w:sz w:val="22"/>
          <w:szCs w:val="22"/>
        </w:rPr>
        <w:t>ká Bystřice</w:t>
      </w:r>
      <w:r w:rsidR="0048285D">
        <w:rPr>
          <w:rFonts w:cs="Arial"/>
          <w:sz w:val="22"/>
          <w:szCs w:val="22"/>
        </w:rPr>
        <w:t>;</w:t>
      </w:r>
      <w:r w:rsidR="00CC6CD1">
        <w:rPr>
          <w:rFonts w:cs="Arial"/>
          <w:sz w:val="22"/>
          <w:szCs w:val="22"/>
        </w:rPr>
        <w:t xml:space="preserve"> DS</w:t>
      </w:r>
      <w:r w:rsidR="0048285D">
        <w:rPr>
          <w:rFonts w:cs="Arial"/>
          <w:sz w:val="22"/>
          <w:szCs w:val="22"/>
        </w:rPr>
        <w:t> </w:t>
      </w:r>
      <w:r w:rsidR="00CC6CD1">
        <w:rPr>
          <w:rFonts w:cs="Arial"/>
          <w:sz w:val="22"/>
          <w:szCs w:val="22"/>
        </w:rPr>
        <w:t>Stříbrné Terasy</w:t>
      </w:r>
      <w:r w:rsidR="00630C15">
        <w:rPr>
          <w:rFonts w:cs="Arial"/>
          <w:sz w:val="22"/>
          <w:szCs w:val="22"/>
        </w:rPr>
        <w:t xml:space="preserve"> o.p.s., Jihlava</w:t>
      </w:r>
      <w:r w:rsidR="0048285D">
        <w:rPr>
          <w:rFonts w:cs="Arial"/>
          <w:sz w:val="22"/>
          <w:szCs w:val="22"/>
        </w:rPr>
        <w:t>;</w:t>
      </w:r>
      <w:r w:rsidR="00943252">
        <w:rPr>
          <w:rFonts w:cs="Arial"/>
          <w:sz w:val="22"/>
          <w:szCs w:val="22"/>
        </w:rPr>
        <w:t xml:space="preserve"> Sociální služby Uherské H</w:t>
      </w:r>
      <w:r w:rsidR="007E1755">
        <w:rPr>
          <w:rFonts w:cs="Arial"/>
          <w:sz w:val="22"/>
          <w:szCs w:val="22"/>
        </w:rPr>
        <w:t>radiště, příspěvková organizace.</w:t>
      </w:r>
    </w:p>
    <w:p w:rsidR="00943252" w:rsidRPr="00734C2E" w:rsidRDefault="00943252">
      <w:pPr>
        <w:pStyle w:val="Zkladn"/>
        <w:spacing w:before="0"/>
        <w:rPr>
          <w:rFonts w:cs="Arial"/>
          <w:sz w:val="22"/>
          <w:szCs w:val="22"/>
        </w:rPr>
      </w:pPr>
    </w:p>
    <w:p w:rsidR="00E47DAC" w:rsidRPr="005E04B5" w:rsidRDefault="00E47DAC">
      <w:pPr>
        <w:pStyle w:val="Zkladn"/>
        <w:spacing w:before="0"/>
        <w:rPr>
          <w:rFonts w:cs="Arial"/>
          <w:sz w:val="22"/>
          <w:szCs w:val="22"/>
        </w:rPr>
      </w:pPr>
      <w:r w:rsidRPr="008C521F">
        <w:rPr>
          <w:rFonts w:cs="Arial"/>
          <w:sz w:val="22"/>
          <w:szCs w:val="22"/>
        </w:rPr>
        <w:t>Námitky proti kontroln</w:t>
      </w:r>
      <w:r w:rsidR="00DD1F0E" w:rsidRPr="008C521F">
        <w:rPr>
          <w:rFonts w:cs="Arial"/>
          <w:sz w:val="22"/>
          <w:szCs w:val="22"/>
        </w:rPr>
        <w:t>ímu protokolu, které podaly</w:t>
      </w:r>
      <w:r w:rsidR="00943252">
        <w:rPr>
          <w:rFonts w:cs="Arial"/>
          <w:sz w:val="22"/>
          <w:szCs w:val="22"/>
        </w:rPr>
        <w:t xml:space="preserve"> MPSV, ÚP ČR a obec Valašská Bystřice</w:t>
      </w:r>
      <w:r w:rsidR="002E45CA">
        <w:rPr>
          <w:rFonts w:cs="Arial"/>
          <w:sz w:val="22"/>
          <w:szCs w:val="22"/>
        </w:rPr>
        <w:t>,</w:t>
      </w:r>
      <w:r w:rsidR="00943252">
        <w:rPr>
          <w:rFonts w:cs="Arial"/>
          <w:sz w:val="22"/>
          <w:szCs w:val="22"/>
        </w:rPr>
        <w:t xml:space="preserve"> </w:t>
      </w:r>
      <w:r w:rsidR="00DD1F0E" w:rsidRPr="008C521F">
        <w:rPr>
          <w:rFonts w:cs="Arial"/>
          <w:sz w:val="22"/>
          <w:szCs w:val="22"/>
        </w:rPr>
        <w:t>byly</w:t>
      </w:r>
      <w:r w:rsidR="00C151B7" w:rsidRPr="008C521F">
        <w:rPr>
          <w:rFonts w:cs="Arial"/>
          <w:sz w:val="22"/>
          <w:szCs w:val="22"/>
        </w:rPr>
        <w:t xml:space="preserve"> vypořádány vedoucími skupi</w:t>
      </w:r>
      <w:r w:rsidR="000706B4" w:rsidRPr="008C521F">
        <w:rPr>
          <w:rFonts w:cs="Arial"/>
          <w:sz w:val="22"/>
          <w:szCs w:val="22"/>
        </w:rPr>
        <w:t>n kontrolujících rozhodnutími o</w:t>
      </w:r>
      <w:r w:rsidR="009B5435">
        <w:rPr>
          <w:rFonts w:cs="Arial"/>
          <w:sz w:val="22"/>
          <w:szCs w:val="22"/>
        </w:rPr>
        <w:t> </w:t>
      </w:r>
      <w:r w:rsidR="00C151B7" w:rsidRPr="008C521F">
        <w:rPr>
          <w:rFonts w:cs="Arial"/>
          <w:sz w:val="22"/>
          <w:szCs w:val="22"/>
        </w:rPr>
        <w:t>námitkách.</w:t>
      </w:r>
      <w:r w:rsidR="00C45FF2">
        <w:rPr>
          <w:rFonts w:cs="Arial"/>
          <w:sz w:val="22"/>
          <w:szCs w:val="22"/>
        </w:rPr>
        <w:t xml:space="preserve"> Odvolání </w:t>
      </w:r>
      <w:r w:rsidR="0048285D" w:rsidRPr="00630C15">
        <w:rPr>
          <w:rFonts w:cs="Arial"/>
          <w:sz w:val="22"/>
          <w:szCs w:val="22"/>
        </w:rPr>
        <w:t xml:space="preserve">ÚP ČR </w:t>
      </w:r>
      <w:r w:rsidR="00C45FF2">
        <w:rPr>
          <w:rFonts w:cs="Arial"/>
          <w:sz w:val="22"/>
          <w:szCs w:val="22"/>
        </w:rPr>
        <w:t xml:space="preserve">proti rozhodnutí o námitkách </w:t>
      </w:r>
      <w:r w:rsidR="00D661EF">
        <w:rPr>
          <w:rFonts w:cs="Arial"/>
          <w:sz w:val="22"/>
          <w:szCs w:val="22"/>
        </w:rPr>
        <w:t>bylo vypořádáno</w:t>
      </w:r>
      <w:r w:rsidR="00C45FF2">
        <w:rPr>
          <w:rFonts w:cs="Arial"/>
          <w:sz w:val="22"/>
          <w:szCs w:val="22"/>
        </w:rPr>
        <w:t xml:space="preserve"> usnesením Kolegia NKÚ.</w:t>
      </w:r>
      <w:r w:rsidR="00042D81">
        <w:rPr>
          <w:rFonts w:cs="Arial"/>
          <w:sz w:val="22"/>
          <w:szCs w:val="22"/>
        </w:rPr>
        <w:t xml:space="preserve"> </w:t>
      </w:r>
    </w:p>
    <w:p w:rsidR="001A71B5" w:rsidRDefault="001A71B5">
      <w:pPr>
        <w:ind w:right="70"/>
        <w:jc w:val="both"/>
        <w:rPr>
          <w:rFonts w:cs="Arial"/>
          <w:sz w:val="22"/>
          <w:szCs w:val="22"/>
        </w:rPr>
      </w:pPr>
    </w:p>
    <w:p w:rsidR="00BA33A6" w:rsidRDefault="00BA33A6">
      <w:pPr>
        <w:ind w:right="70"/>
        <w:jc w:val="both"/>
        <w:rPr>
          <w:rFonts w:cs="Arial"/>
          <w:sz w:val="22"/>
          <w:szCs w:val="22"/>
        </w:rPr>
      </w:pPr>
    </w:p>
    <w:p w:rsidR="00E47DAC" w:rsidRPr="003E0C7C" w:rsidRDefault="00E47DAC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K o l e g i u m</w:t>
      </w:r>
      <w:r w:rsidRPr="003E0C7C">
        <w:rPr>
          <w:rFonts w:cs="Arial"/>
          <w:sz w:val="22"/>
          <w:szCs w:val="22"/>
        </w:rPr>
        <w:t xml:space="preserve">  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8D64F9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5E2660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Ú</w:t>
      </w:r>
      <w:r w:rsidR="002313A4" w:rsidRPr="003E0C7C">
        <w:rPr>
          <w:rFonts w:cs="Arial"/>
          <w:b/>
          <w:bCs/>
          <w:i/>
          <w:iCs/>
          <w:sz w:val="22"/>
          <w:szCs w:val="22"/>
        </w:rPr>
        <w:t xml:space="preserve">  </w:t>
      </w:r>
      <w:r w:rsidR="00F738AA" w:rsidRPr="003E0C7C">
        <w:rPr>
          <w:rFonts w:cs="Arial"/>
          <w:b/>
          <w:bCs/>
          <w:iCs/>
          <w:sz w:val="22"/>
          <w:szCs w:val="22"/>
        </w:rPr>
        <w:t xml:space="preserve"> </w:t>
      </w:r>
      <w:r w:rsidRPr="003E0C7C">
        <w:rPr>
          <w:rFonts w:cs="Arial"/>
          <w:sz w:val="22"/>
          <w:szCs w:val="22"/>
        </w:rPr>
        <w:t>na</w:t>
      </w:r>
      <w:proofErr w:type="gramEnd"/>
      <w:r w:rsidR="00F57CC9" w:rsidRPr="003E0C7C">
        <w:rPr>
          <w:rFonts w:cs="Arial"/>
          <w:sz w:val="22"/>
          <w:szCs w:val="22"/>
        </w:rPr>
        <w:t xml:space="preserve"> </w:t>
      </w:r>
      <w:r w:rsidR="00F34AD3" w:rsidRPr="003E0C7C">
        <w:rPr>
          <w:rFonts w:cs="Arial"/>
          <w:sz w:val="22"/>
          <w:szCs w:val="22"/>
        </w:rPr>
        <w:t>svém</w:t>
      </w:r>
      <w:r w:rsidR="00794A4A">
        <w:rPr>
          <w:rFonts w:cs="Arial"/>
          <w:sz w:val="22"/>
          <w:szCs w:val="22"/>
        </w:rPr>
        <w:t xml:space="preserve"> </w:t>
      </w:r>
      <w:r w:rsidR="00C82312">
        <w:rPr>
          <w:rFonts w:cs="Arial"/>
          <w:sz w:val="22"/>
          <w:szCs w:val="22"/>
        </w:rPr>
        <w:t>XVII</w:t>
      </w:r>
      <w:r w:rsidR="004305D4">
        <w:rPr>
          <w:rFonts w:cs="Arial"/>
          <w:sz w:val="22"/>
          <w:szCs w:val="22"/>
        </w:rPr>
        <w:t xml:space="preserve">. </w:t>
      </w:r>
      <w:r w:rsidR="00630C15">
        <w:rPr>
          <w:rFonts w:cs="Arial"/>
          <w:sz w:val="22"/>
          <w:szCs w:val="22"/>
        </w:rPr>
        <w:t>jednání</w:t>
      </w:r>
      <w:r w:rsidRPr="003E0C7C">
        <w:rPr>
          <w:rFonts w:cs="Arial"/>
          <w:sz w:val="22"/>
          <w:szCs w:val="22"/>
        </w:rPr>
        <w:t xml:space="preserve">, </w:t>
      </w:r>
      <w:r w:rsidR="0048285D">
        <w:rPr>
          <w:rFonts w:cs="Arial"/>
          <w:sz w:val="22"/>
          <w:szCs w:val="22"/>
        </w:rPr>
        <w:t>které se konalo</w:t>
      </w:r>
      <w:r w:rsidRPr="003E0C7C">
        <w:rPr>
          <w:rFonts w:cs="Arial"/>
          <w:sz w:val="22"/>
          <w:szCs w:val="22"/>
        </w:rPr>
        <w:t xml:space="preserve"> dne</w:t>
      </w:r>
      <w:r w:rsidR="009A12AE" w:rsidRPr="003E0C7C">
        <w:rPr>
          <w:rFonts w:cs="Arial"/>
          <w:sz w:val="22"/>
          <w:szCs w:val="22"/>
        </w:rPr>
        <w:t xml:space="preserve"> </w:t>
      </w:r>
      <w:r w:rsidR="00C82312">
        <w:rPr>
          <w:rFonts w:cs="Arial"/>
          <w:sz w:val="22"/>
          <w:szCs w:val="22"/>
        </w:rPr>
        <w:t>20. října</w:t>
      </w:r>
      <w:r w:rsidR="004305D4">
        <w:rPr>
          <w:rFonts w:cs="Arial"/>
          <w:sz w:val="22"/>
          <w:szCs w:val="22"/>
        </w:rPr>
        <w:t xml:space="preserve"> 2</w:t>
      </w:r>
      <w:r w:rsidRPr="003E0C7C">
        <w:rPr>
          <w:rFonts w:cs="Arial"/>
          <w:sz w:val="22"/>
          <w:szCs w:val="22"/>
        </w:rPr>
        <w:t>0</w:t>
      </w:r>
      <w:r w:rsidR="00B27B29" w:rsidRPr="003E0C7C">
        <w:rPr>
          <w:rFonts w:cs="Arial"/>
          <w:sz w:val="22"/>
          <w:szCs w:val="22"/>
        </w:rPr>
        <w:t>1</w:t>
      </w:r>
      <w:r w:rsidR="00794A4A">
        <w:rPr>
          <w:rFonts w:cs="Arial"/>
          <w:sz w:val="22"/>
          <w:szCs w:val="22"/>
        </w:rPr>
        <w:t>4</w:t>
      </w:r>
      <w:r w:rsidRPr="003E0C7C">
        <w:rPr>
          <w:rFonts w:cs="Arial"/>
          <w:sz w:val="22"/>
          <w:szCs w:val="22"/>
        </w:rPr>
        <w:t xml:space="preserve">, </w:t>
      </w:r>
    </w:p>
    <w:p w:rsidR="00E47DAC" w:rsidRPr="003E0C7C" w:rsidRDefault="00A427F9" w:rsidP="00A427F9">
      <w:pPr>
        <w:ind w:right="68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s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c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h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150511">
        <w:rPr>
          <w:rFonts w:cs="Arial"/>
          <w:b/>
          <w:bCs/>
          <w:i/>
          <w:iCs/>
          <w:sz w:val="22"/>
          <w:szCs w:val="22"/>
        </w:rPr>
        <w:t xml:space="preserve">v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i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E47DAC" w:rsidRPr="003E0C7C">
        <w:rPr>
          <w:rFonts w:cs="Arial"/>
          <w:sz w:val="22"/>
          <w:szCs w:val="22"/>
        </w:rPr>
        <w:t>usnesením č.</w:t>
      </w:r>
      <w:proofErr w:type="gramEnd"/>
      <w:r w:rsidR="009A12AE" w:rsidRPr="003E0C7C">
        <w:rPr>
          <w:rFonts w:cs="Arial"/>
          <w:sz w:val="22"/>
          <w:szCs w:val="22"/>
        </w:rPr>
        <w:t xml:space="preserve"> </w:t>
      </w:r>
      <w:r w:rsidR="00E60C20">
        <w:rPr>
          <w:rFonts w:cs="Arial"/>
          <w:sz w:val="22"/>
          <w:szCs w:val="22"/>
        </w:rPr>
        <w:t>9</w:t>
      </w:r>
      <w:r w:rsidR="00BD2316">
        <w:rPr>
          <w:rFonts w:cs="Arial"/>
          <w:sz w:val="22"/>
          <w:szCs w:val="22"/>
        </w:rPr>
        <w:t>/</w:t>
      </w:r>
      <w:r w:rsidR="00C82312">
        <w:rPr>
          <w:rFonts w:cs="Arial"/>
          <w:sz w:val="22"/>
          <w:szCs w:val="22"/>
        </w:rPr>
        <w:t>XVII</w:t>
      </w:r>
      <w:r w:rsidR="00794A4A">
        <w:rPr>
          <w:rFonts w:cs="Arial"/>
          <w:sz w:val="22"/>
          <w:szCs w:val="22"/>
        </w:rPr>
        <w:t>/</w:t>
      </w:r>
      <w:r w:rsidR="004305D4">
        <w:rPr>
          <w:rFonts w:cs="Arial"/>
          <w:sz w:val="22"/>
          <w:szCs w:val="22"/>
        </w:rPr>
        <w:t>2014</w:t>
      </w:r>
    </w:p>
    <w:p w:rsidR="00E47DAC" w:rsidRPr="003E0C7C" w:rsidRDefault="00A427F9">
      <w:pPr>
        <w:ind w:right="70"/>
        <w:jc w:val="both"/>
        <w:rPr>
          <w:rFonts w:cs="Arial"/>
          <w:sz w:val="22"/>
          <w:szCs w:val="22"/>
        </w:rPr>
      </w:pPr>
      <w:proofErr w:type="gramStart"/>
      <w:r w:rsidRPr="003E0C7C">
        <w:rPr>
          <w:rFonts w:cs="Arial"/>
          <w:b/>
          <w:bCs/>
          <w:i/>
          <w:iCs/>
          <w:sz w:val="22"/>
          <w:szCs w:val="22"/>
        </w:rPr>
        <w:t>k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t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o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l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n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 xml:space="preserve">í </w:t>
      </w:r>
      <w:r w:rsidR="003E0C7C" w:rsidRP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z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á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="00150511">
        <w:rPr>
          <w:rFonts w:cs="Arial"/>
          <w:b/>
          <w:bCs/>
          <w:i/>
          <w:iCs/>
          <w:sz w:val="22"/>
          <w:szCs w:val="22"/>
        </w:rPr>
        <w:t xml:space="preserve">v </w:t>
      </w:r>
      <w:r w:rsidRPr="003E0C7C">
        <w:rPr>
          <w:rFonts w:cs="Arial"/>
          <w:b/>
          <w:bCs/>
          <w:i/>
          <w:iCs/>
          <w:sz w:val="22"/>
          <w:szCs w:val="22"/>
        </w:rPr>
        <w:t>ě</w:t>
      </w:r>
      <w:r w:rsidR="003E0C7C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E0C7C">
        <w:rPr>
          <w:rFonts w:cs="Arial"/>
          <w:b/>
          <w:bCs/>
          <w:i/>
          <w:iCs/>
          <w:sz w:val="22"/>
          <w:szCs w:val="22"/>
        </w:rPr>
        <w:t>r</w:t>
      </w:r>
      <w:r w:rsidR="00E47DAC" w:rsidRPr="003E0C7C">
        <w:rPr>
          <w:rFonts w:cs="Arial"/>
          <w:sz w:val="22"/>
          <w:szCs w:val="22"/>
        </w:rPr>
        <w:t xml:space="preserve"> </w:t>
      </w:r>
      <w:r w:rsidR="002313A4" w:rsidRPr="003E0C7C">
        <w:rPr>
          <w:rFonts w:cs="Arial"/>
          <w:sz w:val="22"/>
          <w:szCs w:val="22"/>
        </w:rPr>
        <w:t xml:space="preserve">  </w:t>
      </w:r>
      <w:r w:rsidR="00150511">
        <w:rPr>
          <w:rFonts w:cs="Arial"/>
          <w:sz w:val="22"/>
          <w:szCs w:val="22"/>
        </w:rPr>
        <w:t>v </w:t>
      </w:r>
      <w:r w:rsidR="00E47DAC" w:rsidRPr="003E0C7C">
        <w:rPr>
          <w:rFonts w:cs="Arial"/>
          <w:sz w:val="22"/>
          <w:szCs w:val="22"/>
        </w:rPr>
        <w:t>tomto</w:t>
      </w:r>
      <w:proofErr w:type="gramEnd"/>
      <w:r w:rsidR="00E47DAC" w:rsidRPr="003E0C7C">
        <w:rPr>
          <w:rFonts w:cs="Arial"/>
          <w:sz w:val="22"/>
          <w:szCs w:val="22"/>
        </w:rPr>
        <w:t xml:space="preserve"> znění:</w:t>
      </w:r>
    </w:p>
    <w:p w:rsidR="003F75C8" w:rsidRDefault="003F75C8">
      <w:pPr>
        <w:ind w:right="70"/>
        <w:jc w:val="both"/>
        <w:rPr>
          <w:rFonts w:cs="Arial"/>
          <w:sz w:val="22"/>
          <w:szCs w:val="22"/>
        </w:rPr>
      </w:pPr>
    </w:p>
    <w:p w:rsidR="00967261" w:rsidRDefault="00967261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E47DAC" w:rsidRPr="00EE300F" w:rsidRDefault="005C2A50" w:rsidP="005A7722">
      <w:pPr>
        <w:pStyle w:val="Nadpis4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E300F">
        <w:rPr>
          <w:rFonts w:ascii="Arial" w:hAnsi="Arial" w:cs="Arial"/>
          <w:sz w:val="24"/>
          <w:szCs w:val="24"/>
        </w:rPr>
        <w:lastRenderedPageBreak/>
        <w:t xml:space="preserve">I. </w:t>
      </w:r>
      <w:r w:rsidR="00E47DAC" w:rsidRPr="00EE300F">
        <w:rPr>
          <w:rFonts w:ascii="Arial" w:hAnsi="Arial" w:cs="Arial"/>
          <w:sz w:val="24"/>
          <w:szCs w:val="24"/>
        </w:rPr>
        <w:t>Úvod</w:t>
      </w:r>
    </w:p>
    <w:p w:rsidR="00E47DAC" w:rsidRDefault="00E47DAC">
      <w:pPr>
        <w:rPr>
          <w:rFonts w:cs="Arial"/>
          <w:sz w:val="22"/>
          <w:szCs w:val="22"/>
        </w:rPr>
      </w:pPr>
    </w:p>
    <w:p w:rsidR="00A4567B" w:rsidRDefault="00591F58" w:rsidP="00591F5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Kontrola byla zaměřena na</w:t>
      </w:r>
      <w:r w:rsidR="00EF19C0">
        <w:rPr>
          <w:rFonts w:cs="Arial"/>
          <w:sz w:val="22"/>
          <w:szCs w:val="22"/>
        </w:rPr>
        <w:t xml:space="preserve"> dodržování pravidel pro účast státního </w:t>
      </w:r>
      <w:r w:rsidR="008F7EF9">
        <w:rPr>
          <w:rFonts w:cs="Arial"/>
          <w:sz w:val="22"/>
          <w:szCs w:val="22"/>
        </w:rPr>
        <w:t>rozpočtu na financování programů</w:t>
      </w:r>
      <w:r w:rsidR="00A4567B" w:rsidRPr="00A4567B">
        <w:rPr>
          <w:rFonts w:cs="Arial"/>
          <w:sz w:val="22"/>
          <w:szCs w:val="22"/>
        </w:rPr>
        <w:t xml:space="preserve"> </w:t>
      </w:r>
      <w:r w:rsidR="00A4567B">
        <w:rPr>
          <w:rFonts w:cs="Arial"/>
          <w:sz w:val="22"/>
          <w:szCs w:val="22"/>
        </w:rPr>
        <w:t>v působnosti MPSV</w:t>
      </w:r>
      <w:r w:rsidR="008F7EF9">
        <w:rPr>
          <w:rFonts w:cs="Arial"/>
          <w:sz w:val="22"/>
          <w:szCs w:val="22"/>
        </w:rPr>
        <w:t>,</w:t>
      </w:r>
      <w:r w:rsidR="00A4567B">
        <w:rPr>
          <w:rFonts w:cs="Arial"/>
          <w:sz w:val="22"/>
          <w:szCs w:val="22"/>
        </w:rPr>
        <w:t xml:space="preserve"> ze kterých bylo financováno pořizování a obnova nemovitého majetku ČSSZ, ÚP ČR a sociálních služeb. </w:t>
      </w:r>
      <w:r w:rsidR="00722D74">
        <w:rPr>
          <w:rFonts w:cs="Arial"/>
          <w:sz w:val="22"/>
          <w:szCs w:val="22"/>
        </w:rPr>
        <w:t>P</w:t>
      </w:r>
      <w:r w:rsidR="00A4567B">
        <w:rPr>
          <w:rFonts w:cs="Arial"/>
          <w:sz w:val="22"/>
          <w:szCs w:val="22"/>
        </w:rPr>
        <w:t>ravidla vyplývají ze zákona č. 218/2000 Sb.</w:t>
      </w:r>
      <w:r w:rsidR="00A4567B">
        <w:rPr>
          <w:rStyle w:val="Znakapoznpodarou"/>
          <w:rFonts w:cs="Arial"/>
          <w:sz w:val="22"/>
          <w:szCs w:val="22"/>
        </w:rPr>
        <w:footnoteReference w:id="1"/>
      </w:r>
      <w:r w:rsidR="00722D74">
        <w:rPr>
          <w:rFonts w:cs="Arial"/>
          <w:sz w:val="22"/>
          <w:szCs w:val="22"/>
        </w:rPr>
        <w:t xml:space="preserve"> a </w:t>
      </w:r>
      <w:r w:rsidR="00A4567B">
        <w:rPr>
          <w:rFonts w:cs="Arial"/>
          <w:sz w:val="22"/>
          <w:szCs w:val="22"/>
        </w:rPr>
        <w:t>z vyhlášky č. 560/2006 Sb.</w:t>
      </w:r>
      <w:r w:rsidR="00A4567B">
        <w:rPr>
          <w:rStyle w:val="Znakapoznpodarou"/>
          <w:rFonts w:cs="Arial"/>
          <w:sz w:val="22"/>
          <w:szCs w:val="22"/>
        </w:rPr>
        <w:footnoteReference w:id="2"/>
      </w:r>
      <w:r w:rsidR="00A4567B">
        <w:rPr>
          <w:rFonts w:cs="Arial"/>
          <w:sz w:val="22"/>
          <w:szCs w:val="22"/>
        </w:rPr>
        <w:t xml:space="preserve"> </w:t>
      </w:r>
      <w:r w:rsidR="0048285D">
        <w:rPr>
          <w:rFonts w:cs="Arial"/>
          <w:sz w:val="22"/>
          <w:szCs w:val="22"/>
        </w:rPr>
        <w:t>NKÚ zejména prověřil,</w:t>
      </w:r>
      <w:r w:rsidR="00A4567B">
        <w:rPr>
          <w:rFonts w:cs="Arial"/>
          <w:sz w:val="22"/>
          <w:szCs w:val="22"/>
        </w:rPr>
        <w:t xml:space="preserve"> zda </w:t>
      </w:r>
      <w:r w:rsidR="0048285D">
        <w:rPr>
          <w:rFonts w:cs="Arial"/>
          <w:sz w:val="22"/>
          <w:szCs w:val="22"/>
        </w:rPr>
        <w:t xml:space="preserve">je </w:t>
      </w:r>
      <w:r w:rsidR="00A4567B">
        <w:rPr>
          <w:rFonts w:cs="Arial"/>
          <w:sz w:val="22"/>
          <w:szCs w:val="22"/>
        </w:rPr>
        <w:t xml:space="preserve">realizací programů zabezpečováno účelné, hospodárné a efektivní použití peněžních prostředků státu. </w:t>
      </w:r>
    </w:p>
    <w:p w:rsidR="00A4567B" w:rsidRDefault="00A4567B" w:rsidP="00591F58">
      <w:pPr>
        <w:jc w:val="both"/>
        <w:rPr>
          <w:rFonts w:cs="Arial"/>
          <w:sz w:val="22"/>
          <w:szCs w:val="22"/>
        </w:rPr>
      </w:pPr>
    </w:p>
    <w:p w:rsidR="005561AC" w:rsidRDefault="00CF7D9E" w:rsidP="005561AC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Programem se rozumí soubor věcných, časových a finančních podmínek konkrétních akcí na pořízení nebo technické zhodnocení dlouhodobého majetku s</w:t>
      </w:r>
      <w:r w:rsidR="002E4625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výjimkou</w:t>
      </w:r>
      <w:r w:rsidR="002E4625">
        <w:rPr>
          <w:rFonts w:cs="Arial"/>
          <w:sz w:val="22"/>
          <w:szCs w:val="22"/>
        </w:rPr>
        <w:t xml:space="preserve"> finančního a </w:t>
      </w:r>
      <w:r>
        <w:rPr>
          <w:rFonts w:cs="Arial"/>
          <w:sz w:val="22"/>
          <w:szCs w:val="22"/>
        </w:rPr>
        <w:t xml:space="preserve">drobného dlouhodobého majetku. Dokumentace programu </w:t>
      </w:r>
      <w:r w:rsidR="00A4567B">
        <w:rPr>
          <w:rFonts w:cs="Arial"/>
          <w:sz w:val="22"/>
          <w:szCs w:val="22"/>
        </w:rPr>
        <w:t>má mj. obsahovat případné</w:t>
      </w:r>
      <w:r>
        <w:rPr>
          <w:rFonts w:cs="Arial"/>
          <w:sz w:val="22"/>
          <w:szCs w:val="22"/>
        </w:rPr>
        <w:t xml:space="preserve"> členění na podprogramy, harmonogram přípravy a reali</w:t>
      </w:r>
      <w:r w:rsidR="00A4567B">
        <w:rPr>
          <w:rFonts w:cs="Arial"/>
          <w:sz w:val="22"/>
          <w:szCs w:val="22"/>
        </w:rPr>
        <w:t>zace, bilanci potřeb a </w:t>
      </w:r>
      <w:r>
        <w:rPr>
          <w:rFonts w:cs="Arial"/>
          <w:sz w:val="22"/>
          <w:szCs w:val="22"/>
        </w:rPr>
        <w:t xml:space="preserve">zdrojů financování, specifikaci cílů spolu s jejich </w:t>
      </w:r>
      <w:proofErr w:type="spellStart"/>
      <w:r>
        <w:rPr>
          <w:rFonts w:cs="Arial"/>
          <w:sz w:val="22"/>
          <w:szCs w:val="22"/>
        </w:rPr>
        <w:t>tech</w:t>
      </w:r>
      <w:r w:rsidR="00A4567B">
        <w:rPr>
          <w:rFonts w:cs="Arial"/>
          <w:sz w:val="22"/>
          <w:szCs w:val="22"/>
        </w:rPr>
        <w:t>nicko-ekonomickým</w:t>
      </w:r>
      <w:proofErr w:type="spellEnd"/>
      <w:r w:rsidR="00A4567B">
        <w:rPr>
          <w:rFonts w:cs="Arial"/>
          <w:sz w:val="22"/>
          <w:szCs w:val="22"/>
        </w:rPr>
        <w:t xml:space="preserve"> zdůvodněním a </w:t>
      </w:r>
      <w:r>
        <w:rPr>
          <w:rFonts w:cs="Arial"/>
          <w:sz w:val="22"/>
          <w:szCs w:val="22"/>
        </w:rPr>
        <w:t>vyhodnocením efektivnosti vynaložených prostředků.</w:t>
      </w:r>
      <w:r w:rsidR="005561AC">
        <w:rPr>
          <w:rFonts w:cs="Arial"/>
          <w:sz w:val="22"/>
          <w:szCs w:val="22"/>
        </w:rPr>
        <w:t xml:space="preserve"> </w:t>
      </w:r>
    </w:p>
    <w:p w:rsidR="00422BA9" w:rsidRDefault="00422BA9" w:rsidP="00591F58">
      <w:pPr>
        <w:jc w:val="both"/>
        <w:rPr>
          <w:rFonts w:cs="Arial"/>
          <w:sz w:val="22"/>
          <w:szCs w:val="22"/>
        </w:rPr>
      </w:pPr>
    </w:p>
    <w:p w:rsidR="00422BA9" w:rsidRDefault="00422BA9" w:rsidP="00591F5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Registraci akce do programu provádí správce rozpočtové kapitoly (dále jen „správce</w:t>
      </w:r>
      <w:r w:rsidR="002A3BF5">
        <w:rPr>
          <w:rFonts w:cs="Arial"/>
          <w:sz w:val="22"/>
          <w:szCs w:val="22"/>
        </w:rPr>
        <w:t xml:space="preserve"> programu</w:t>
      </w:r>
      <w:r>
        <w:rPr>
          <w:rFonts w:cs="Arial"/>
          <w:sz w:val="22"/>
          <w:szCs w:val="22"/>
        </w:rPr>
        <w:t>“) na základě investičního záměru obsahuj</w:t>
      </w:r>
      <w:r w:rsidR="002A3BF5">
        <w:rPr>
          <w:rFonts w:cs="Arial"/>
          <w:sz w:val="22"/>
          <w:szCs w:val="22"/>
        </w:rPr>
        <w:t>ícího především věcné, časové a </w:t>
      </w:r>
      <w:r>
        <w:rPr>
          <w:rFonts w:cs="Arial"/>
          <w:sz w:val="22"/>
          <w:szCs w:val="22"/>
        </w:rPr>
        <w:t xml:space="preserve">finanční určení akce, její </w:t>
      </w:r>
      <w:proofErr w:type="spellStart"/>
      <w:r>
        <w:rPr>
          <w:rFonts w:cs="Arial"/>
          <w:sz w:val="22"/>
          <w:szCs w:val="22"/>
        </w:rPr>
        <w:t>technicko-ekonomické</w:t>
      </w:r>
      <w:proofErr w:type="spellEnd"/>
      <w:r>
        <w:rPr>
          <w:rFonts w:cs="Arial"/>
          <w:sz w:val="22"/>
          <w:szCs w:val="22"/>
        </w:rPr>
        <w:t xml:space="preserve"> zdůvodnění a vyjádření efektivnosti vložených prostředků. Správce</w:t>
      </w:r>
      <w:r w:rsidR="002A3BF5">
        <w:rPr>
          <w:rFonts w:cs="Arial"/>
          <w:sz w:val="22"/>
          <w:szCs w:val="22"/>
        </w:rPr>
        <w:t xml:space="preserve"> programu</w:t>
      </w:r>
      <w:r>
        <w:rPr>
          <w:rFonts w:cs="Arial"/>
          <w:sz w:val="22"/>
          <w:szCs w:val="22"/>
        </w:rPr>
        <w:t xml:space="preserve"> </w:t>
      </w:r>
      <w:r w:rsidR="002A3BF5">
        <w:rPr>
          <w:rFonts w:cs="Arial"/>
          <w:sz w:val="22"/>
          <w:szCs w:val="22"/>
        </w:rPr>
        <w:t xml:space="preserve">stanoví </w:t>
      </w:r>
      <w:r>
        <w:rPr>
          <w:rFonts w:cs="Arial"/>
          <w:sz w:val="22"/>
          <w:szCs w:val="22"/>
        </w:rPr>
        <w:t>podmín</w:t>
      </w:r>
      <w:r w:rsidR="00451831">
        <w:rPr>
          <w:rFonts w:cs="Arial"/>
          <w:sz w:val="22"/>
          <w:szCs w:val="22"/>
        </w:rPr>
        <w:t>ky pro další přípravu, zadání a </w:t>
      </w:r>
      <w:r>
        <w:rPr>
          <w:rFonts w:cs="Arial"/>
          <w:sz w:val="22"/>
          <w:szCs w:val="22"/>
        </w:rPr>
        <w:t xml:space="preserve">realizaci akce.  </w:t>
      </w:r>
      <w:r w:rsidR="00CF7D9E">
        <w:rPr>
          <w:rFonts w:cs="Arial"/>
          <w:sz w:val="22"/>
          <w:szCs w:val="22"/>
        </w:rPr>
        <w:t xml:space="preserve"> </w:t>
      </w:r>
    </w:p>
    <w:p w:rsidR="00422BA9" w:rsidRDefault="00422BA9" w:rsidP="00591F58">
      <w:pPr>
        <w:jc w:val="both"/>
        <w:rPr>
          <w:rFonts w:cs="Arial"/>
          <w:sz w:val="22"/>
          <w:szCs w:val="22"/>
        </w:rPr>
      </w:pPr>
    </w:p>
    <w:p w:rsidR="007A39FA" w:rsidRDefault="001A212B" w:rsidP="00591F5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Kontrol</w:t>
      </w:r>
      <w:r w:rsidR="002A3BF5">
        <w:rPr>
          <w:rFonts w:cs="Arial"/>
          <w:sz w:val="22"/>
          <w:szCs w:val="22"/>
        </w:rPr>
        <w:t>ovány byly tyto programy</w:t>
      </w:r>
      <w:r>
        <w:rPr>
          <w:rFonts w:cs="Arial"/>
          <w:sz w:val="22"/>
          <w:szCs w:val="22"/>
        </w:rPr>
        <w:t>:</w:t>
      </w:r>
    </w:p>
    <w:p w:rsidR="006369D4" w:rsidRDefault="001A212B" w:rsidP="0075110E">
      <w:p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451831">
        <w:rPr>
          <w:rFonts w:cs="Arial"/>
          <w:b/>
          <w:sz w:val="22"/>
          <w:szCs w:val="22"/>
        </w:rPr>
        <w:t>č. </w:t>
      </w:r>
      <w:r w:rsidRPr="001F2703">
        <w:rPr>
          <w:rFonts w:cs="Arial"/>
          <w:b/>
          <w:sz w:val="22"/>
          <w:szCs w:val="22"/>
        </w:rPr>
        <w:t>113 210</w:t>
      </w:r>
      <w:r>
        <w:rPr>
          <w:rFonts w:cs="Arial"/>
          <w:sz w:val="22"/>
          <w:szCs w:val="22"/>
        </w:rPr>
        <w:t xml:space="preserve"> </w:t>
      </w:r>
      <w:r w:rsidR="0048285D">
        <w:rPr>
          <w:rFonts w:cs="Arial"/>
          <w:sz w:val="22"/>
          <w:szCs w:val="22"/>
        </w:rPr>
        <w:t xml:space="preserve">– </w:t>
      </w:r>
      <w:r w:rsidRPr="00C12AAB">
        <w:rPr>
          <w:rFonts w:cs="Arial"/>
          <w:i/>
          <w:sz w:val="22"/>
          <w:szCs w:val="22"/>
        </w:rPr>
        <w:t>Rozvoj</w:t>
      </w:r>
      <w:r>
        <w:rPr>
          <w:rFonts w:cs="Arial"/>
          <w:i/>
          <w:sz w:val="22"/>
          <w:szCs w:val="22"/>
        </w:rPr>
        <w:t xml:space="preserve"> a obnova materiálně technické základny České správy sociálního zabezpečení</w:t>
      </w:r>
      <w:r w:rsidR="002A3BF5">
        <w:rPr>
          <w:rFonts w:cs="Arial"/>
          <w:sz w:val="22"/>
          <w:szCs w:val="22"/>
        </w:rPr>
        <w:t>,</w:t>
      </w:r>
    </w:p>
    <w:p w:rsidR="006369D4" w:rsidRDefault="001A212B" w:rsidP="0075110E">
      <w:p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287EFE" w:rsidRPr="001F2703">
        <w:rPr>
          <w:rFonts w:cs="Arial"/>
          <w:b/>
          <w:sz w:val="22"/>
          <w:szCs w:val="22"/>
        </w:rPr>
        <w:t>č.</w:t>
      </w:r>
      <w:r w:rsidR="00451831">
        <w:rPr>
          <w:rFonts w:cs="Arial"/>
          <w:b/>
          <w:sz w:val="22"/>
          <w:szCs w:val="22"/>
        </w:rPr>
        <w:t> </w:t>
      </w:r>
      <w:r w:rsidRPr="001F2703">
        <w:rPr>
          <w:rFonts w:cs="Arial"/>
          <w:b/>
          <w:sz w:val="22"/>
          <w:szCs w:val="22"/>
        </w:rPr>
        <w:t>113 220</w:t>
      </w:r>
      <w:r>
        <w:rPr>
          <w:rFonts w:cs="Arial"/>
          <w:sz w:val="22"/>
          <w:szCs w:val="22"/>
        </w:rPr>
        <w:t xml:space="preserve"> </w:t>
      </w:r>
      <w:r w:rsidR="0048285D">
        <w:rPr>
          <w:rFonts w:cs="Arial"/>
          <w:sz w:val="22"/>
          <w:szCs w:val="22"/>
        </w:rPr>
        <w:t xml:space="preserve">– </w:t>
      </w:r>
      <w:r>
        <w:rPr>
          <w:rFonts w:cs="Arial"/>
          <w:i/>
          <w:sz w:val="22"/>
          <w:szCs w:val="22"/>
        </w:rPr>
        <w:t>Rozvoj a obnova materiálně technické základny České správy sociálního zabezpečení</w:t>
      </w:r>
      <w:r w:rsidR="002A3BF5">
        <w:rPr>
          <w:rFonts w:cs="Arial"/>
          <w:sz w:val="22"/>
          <w:szCs w:val="22"/>
        </w:rPr>
        <w:t>,</w:t>
      </w:r>
    </w:p>
    <w:p w:rsidR="002A3BF5" w:rsidRDefault="001A212B" w:rsidP="0075110E">
      <w:p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451831">
        <w:rPr>
          <w:rFonts w:cs="Arial"/>
          <w:b/>
          <w:sz w:val="22"/>
          <w:szCs w:val="22"/>
        </w:rPr>
        <w:t>č. </w:t>
      </w:r>
      <w:r w:rsidR="00287EFE" w:rsidRPr="001F2703">
        <w:rPr>
          <w:rFonts w:cs="Arial"/>
          <w:b/>
          <w:sz w:val="22"/>
          <w:szCs w:val="22"/>
        </w:rPr>
        <w:t>113 030</w:t>
      </w:r>
      <w:r w:rsidR="00287EFE">
        <w:rPr>
          <w:rFonts w:cs="Arial"/>
          <w:sz w:val="22"/>
          <w:szCs w:val="22"/>
        </w:rPr>
        <w:t xml:space="preserve"> </w:t>
      </w:r>
      <w:r w:rsidR="0048285D">
        <w:rPr>
          <w:rFonts w:cs="Arial"/>
          <w:sz w:val="22"/>
          <w:szCs w:val="22"/>
        </w:rPr>
        <w:t xml:space="preserve">– </w:t>
      </w:r>
      <w:r w:rsidR="00287EFE">
        <w:rPr>
          <w:rFonts w:cs="Arial"/>
          <w:i/>
          <w:sz w:val="22"/>
          <w:szCs w:val="22"/>
        </w:rPr>
        <w:t>Rozvoj a obnova</w:t>
      </w:r>
      <w:r w:rsidR="007E1755">
        <w:rPr>
          <w:rFonts w:cs="Arial"/>
          <w:i/>
          <w:sz w:val="22"/>
          <w:szCs w:val="22"/>
        </w:rPr>
        <w:t xml:space="preserve"> materiálně technické základny ú</w:t>
      </w:r>
      <w:r w:rsidR="00287EFE">
        <w:rPr>
          <w:rFonts w:cs="Arial"/>
          <w:i/>
          <w:sz w:val="22"/>
          <w:szCs w:val="22"/>
        </w:rPr>
        <w:t>řadů práce</w:t>
      </w:r>
      <w:r w:rsidR="002A3BF5">
        <w:rPr>
          <w:rFonts w:cs="Arial"/>
          <w:sz w:val="22"/>
          <w:szCs w:val="22"/>
        </w:rPr>
        <w:t>,</w:t>
      </w:r>
    </w:p>
    <w:p w:rsidR="006369D4" w:rsidRDefault="00451831" w:rsidP="0075110E">
      <w:p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č. </w:t>
      </w:r>
      <w:r w:rsidR="00287EFE" w:rsidRPr="001F2703">
        <w:rPr>
          <w:rFonts w:cs="Arial"/>
          <w:b/>
          <w:sz w:val="22"/>
          <w:szCs w:val="22"/>
        </w:rPr>
        <w:t>113 340</w:t>
      </w:r>
      <w:r w:rsidR="00287EFE">
        <w:rPr>
          <w:rFonts w:cs="Arial"/>
          <w:sz w:val="22"/>
          <w:szCs w:val="22"/>
        </w:rPr>
        <w:t xml:space="preserve"> </w:t>
      </w:r>
      <w:r w:rsidR="0048285D">
        <w:rPr>
          <w:rFonts w:cs="Arial"/>
          <w:sz w:val="22"/>
          <w:szCs w:val="22"/>
        </w:rPr>
        <w:t xml:space="preserve">– </w:t>
      </w:r>
      <w:r w:rsidR="00287EFE">
        <w:rPr>
          <w:rFonts w:cs="Arial"/>
          <w:i/>
          <w:sz w:val="22"/>
          <w:szCs w:val="22"/>
        </w:rPr>
        <w:t>Integrovaný operační program v oblastech intervence zaměstnanosti a sociálních služeb</w:t>
      </w:r>
      <w:r w:rsidR="002A3BF5">
        <w:rPr>
          <w:rFonts w:cs="Arial"/>
          <w:sz w:val="22"/>
          <w:szCs w:val="22"/>
        </w:rPr>
        <w:t>,</w:t>
      </w:r>
    </w:p>
    <w:p w:rsidR="002A3BF5" w:rsidRDefault="00287EFE" w:rsidP="0075110E">
      <w:pPr>
        <w:ind w:left="284" w:hanging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- </w:t>
      </w:r>
      <w:r w:rsidR="00C12AAB">
        <w:rPr>
          <w:rFonts w:cs="Arial"/>
          <w:sz w:val="22"/>
          <w:szCs w:val="22"/>
        </w:rPr>
        <w:tab/>
      </w:r>
      <w:r w:rsidR="00451831">
        <w:rPr>
          <w:rFonts w:cs="Arial"/>
          <w:b/>
          <w:sz w:val="22"/>
          <w:szCs w:val="22"/>
        </w:rPr>
        <w:t>č. </w:t>
      </w:r>
      <w:r w:rsidRPr="001F2703">
        <w:rPr>
          <w:rFonts w:cs="Arial"/>
          <w:b/>
          <w:sz w:val="22"/>
          <w:szCs w:val="22"/>
        </w:rPr>
        <w:t>113 310</w:t>
      </w:r>
      <w:r>
        <w:rPr>
          <w:rFonts w:cs="Arial"/>
          <w:sz w:val="22"/>
          <w:szCs w:val="22"/>
        </w:rPr>
        <w:t xml:space="preserve"> </w:t>
      </w:r>
      <w:r w:rsidR="0048285D">
        <w:rPr>
          <w:rFonts w:cs="Arial"/>
          <w:sz w:val="22"/>
          <w:szCs w:val="22"/>
        </w:rPr>
        <w:t xml:space="preserve">– </w:t>
      </w:r>
      <w:r>
        <w:rPr>
          <w:rFonts w:cs="Arial"/>
          <w:i/>
          <w:sz w:val="22"/>
          <w:szCs w:val="22"/>
        </w:rPr>
        <w:t>Rozvoj a obnova materiálně technické základny sociálních služeb</w:t>
      </w:r>
      <w:r>
        <w:rPr>
          <w:rFonts w:cs="Arial"/>
          <w:sz w:val="22"/>
          <w:szCs w:val="22"/>
        </w:rPr>
        <w:t xml:space="preserve">. </w:t>
      </w:r>
    </w:p>
    <w:p w:rsidR="002A3BF5" w:rsidRDefault="002A3BF5" w:rsidP="001A212B">
      <w:pPr>
        <w:ind w:left="142" w:hanging="142"/>
        <w:jc w:val="both"/>
        <w:rPr>
          <w:rFonts w:cs="Arial"/>
          <w:sz w:val="22"/>
          <w:szCs w:val="22"/>
        </w:rPr>
      </w:pPr>
    </w:p>
    <w:p w:rsidR="005561AC" w:rsidRDefault="002A3BF5" w:rsidP="00591F58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Příjemcem prostředků z prvních dvou programů byl</w:t>
      </w:r>
      <w:r w:rsidR="00630C15">
        <w:rPr>
          <w:rFonts w:cs="Arial"/>
          <w:sz w:val="22"/>
          <w:szCs w:val="22"/>
        </w:rPr>
        <w:t>a ČSSZ</w:t>
      </w:r>
      <w:r w:rsidR="005561AC">
        <w:rPr>
          <w:rFonts w:cs="Arial"/>
          <w:sz w:val="22"/>
          <w:szCs w:val="22"/>
        </w:rPr>
        <w:t xml:space="preserve">, </w:t>
      </w:r>
      <w:r w:rsidR="00630C15">
        <w:rPr>
          <w:rFonts w:cs="Arial"/>
          <w:sz w:val="22"/>
          <w:szCs w:val="22"/>
        </w:rPr>
        <w:t xml:space="preserve">z dalších dvou </w:t>
      </w:r>
      <w:r>
        <w:rPr>
          <w:rFonts w:cs="Arial"/>
          <w:sz w:val="22"/>
          <w:szCs w:val="22"/>
        </w:rPr>
        <w:t>ÚP ČR</w:t>
      </w:r>
      <w:r w:rsidR="005561AC">
        <w:rPr>
          <w:rFonts w:cs="Arial"/>
          <w:sz w:val="22"/>
          <w:szCs w:val="22"/>
        </w:rPr>
        <w:t xml:space="preserve"> a </w:t>
      </w:r>
      <w:r>
        <w:rPr>
          <w:rFonts w:cs="Arial"/>
          <w:sz w:val="22"/>
          <w:szCs w:val="22"/>
        </w:rPr>
        <w:t>z posledního programu</w:t>
      </w:r>
      <w:r w:rsidR="005561AC">
        <w:rPr>
          <w:rFonts w:cs="Arial"/>
          <w:sz w:val="22"/>
          <w:szCs w:val="22"/>
        </w:rPr>
        <w:t xml:space="preserve"> jimi</w:t>
      </w:r>
      <w:r>
        <w:rPr>
          <w:rFonts w:cs="Arial"/>
          <w:sz w:val="22"/>
          <w:szCs w:val="22"/>
        </w:rPr>
        <w:t xml:space="preserve"> </w:t>
      </w:r>
      <w:r w:rsidRPr="002A3BF5">
        <w:rPr>
          <w:rFonts w:cs="Arial"/>
          <w:sz w:val="22"/>
          <w:szCs w:val="22"/>
        </w:rPr>
        <w:t>b</w:t>
      </w:r>
      <w:r w:rsidR="00287EFE" w:rsidRPr="002A3BF5">
        <w:rPr>
          <w:rFonts w:cs="Arial"/>
          <w:sz w:val="22"/>
          <w:szCs w:val="22"/>
        </w:rPr>
        <w:t>yly územní samosprávné celky, obecně prospěšné společnosti, občanská sdružení, církve a náboženské společnosti</w:t>
      </w:r>
      <w:r w:rsidR="00287EFE">
        <w:rPr>
          <w:rFonts w:cs="Arial"/>
          <w:sz w:val="22"/>
          <w:szCs w:val="22"/>
        </w:rPr>
        <w:t xml:space="preserve"> (původně</w:t>
      </w:r>
      <w:r w:rsidR="00D72522">
        <w:rPr>
          <w:rFonts w:cs="Arial"/>
          <w:sz w:val="22"/>
          <w:szCs w:val="22"/>
        </w:rPr>
        <w:t xml:space="preserve"> </w:t>
      </w:r>
      <w:r w:rsidR="002E45CA">
        <w:rPr>
          <w:rFonts w:cs="Arial"/>
          <w:sz w:val="22"/>
          <w:szCs w:val="22"/>
        </w:rPr>
        <w:t>byly</w:t>
      </w:r>
      <w:r w:rsidR="00287EFE">
        <w:rPr>
          <w:rFonts w:cs="Arial"/>
          <w:sz w:val="22"/>
          <w:szCs w:val="22"/>
        </w:rPr>
        <w:t xml:space="preserve"> </w:t>
      </w:r>
      <w:r w:rsidR="0048285D">
        <w:rPr>
          <w:rFonts w:cs="Arial"/>
          <w:sz w:val="22"/>
          <w:szCs w:val="22"/>
        </w:rPr>
        <w:t xml:space="preserve">příjemcem </w:t>
      </w:r>
      <w:r w:rsidR="00D72522">
        <w:rPr>
          <w:rFonts w:cs="Arial"/>
          <w:sz w:val="22"/>
          <w:szCs w:val="22"/>
        </w:rPr>
        <w:t>i </w:t>
      </w:r>
      <w:r w:rsidR="006369D4">
        <w:rPr>
          <w:rFonts w:cs="Arial"/>
          <w:sz w:val="22"/>
          <w:szCs w:val="22"/>
        </w:rPr>
        <w:t>příspěvkové organizace a </w:t>
      </w:r>
      <w:r w:rsidR="001F2703">
        <w:rPr>
          <w:rFonts w:cs="Arial"/>
          <w:sz w:val="22"/>
          <w:szCs w:val="22"/>
        </w:rPr>
        <w:t>organizační složky zřízené územními samosprávnými celky).</w:t>
      </w:r>
      <w:r w:rsidR="00630C15">
        <w:rPr>
          <w:rFonts w:cs="Arial"/>
          <w:sz w:val="22"/>
          <w:szCs w:val="22"/>
        </w:rPr>
        <w:t xml:space="preserve"> </w:t>
      </w:r>
      <w:r w:rsidR="00D72522">
        <w:rPr>
          <w:rFonts w:cs="Arial"/>
          <w:sz w:val="22"/>
          <w:szCs w:val="22"/>
        </w:rPr>
        <w:t>U </w:t>
      </w:r>
      <w:r w:rsidR="005561AC">
        <w:rPr>
          <w:rFonts w:cs="Arial"/>
          <w:sz w:val="22"/>
          <w:szCs w:val="22"/>
        </w:rPr>
        <w:t xml:space="preserve">příjemců prostředků bylo podrobněji kontrolováno 22 akcí </w:t>
      </w:r>
      <w:r w:rsidR="0048285D">
        <w:rPr>
          <w:rFonts w:cs="Arial"/>
          <w:sz w:val="22"/>
          <w:szCs w:val="22"/>
        </w:rPr>
        <w:t xml:space="preserve">(blíže viz </w:t>
      </w:r>
      <w:r w:rsidR="005561AC">
        <w:rPr>
          <w:rFonts w:cs="Arial"/>
          <w:sz w:val="22"/>
          <w:szCs w:val="22"/>
        </w:rPr>
        <w:t>přílo</w:t>
      </w:r>
      <w:r w:rsidR="0048285D">
        <w:rPr>
          <w:rFonts w:cs="Arial"/>
          <w:sz w:val="22"/>
          <w:szCs w:val="22"/>
        </w:rPr>
        <w:t>ha</w:t>
      </w:r>
      <w:r w:rsidR="005561AC">
        <w:rPr>
          <w:rFonts w:cs="Arial"/>
          <w:sz w:val="22"/>
          <w:szCs w:val="22"/>
        </w:rPr>
        <w:t xml:space="preserve"> č. 1</w:t>
      </w:r>
      <w:r w:rsidR="0048285D">
        <w:rPr>
          <w:rFonts w:cs="Arial"/>
          <w:sz w:val="22"/>
          <w:szCs w:val="22"/>
        </w:rPr>
        <w:t>)</w:t>
      </w:r>
      <w:r w:rsidR="005561AC">
        <w:rPr>
          <w:rFonts w:cs="Arial"/>
          <w:sz w:val="22"/>
          <w:szCs w:val="22"/>
        </w:rPr>
        <w:t xml:space="preserve">. </w:t>
      </w:r>
    </w:p>
    <w:p w:rsidR="003D463C" w:rsidRDefault="003D463C" w:rsidP="00591F58">
      <w:pPr>
        <w:jc w:val="both"/>
        <w:rPr>
          <w:rFonts w:cs="Arial"/>
          <w:sz w:val="22"/>
          <w:szCs w:val="22"/>
        </w:rPr>
      </w:pPr>
    </w:p>
    <w:p w:rsidR="00D72522" w:rsidRDefault="00A72B43" w:rsidP="00D72522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Kontrolní akce č. 14/05 byla zaměřena i na realizaci některých akcí, jejichž příprava byla </w:t>
      </w:r>
      <w:r w:rsidR="00C06EA9">
        <w:rPr>
          <w:rFonts w:cs="Arial"/>
          <w:sz w:val="22"/>
          <w:szCs w:val="22"/>
        </w:rPr>
        <w:t xml:space="preserve">kontrolována </w:t>
      </w:r>
      <w:r w:rsidR="009E06AF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předchozí</w:t>
      </w:r>
      <w:r w:rsidR="00C06EA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kontrolní akci č. 09/02</w:t>
      </w:r>
      <w:r>
        <w:rPr>
          <w:rStyle w:val="Znakapoznpodarou"/>
          <w:rFonts w:cs="Arial"/>
          <w:sz w:val="22"/>
          <w:szCs w:val="22"/>
        </w:rPr>
        <w:footnoteReference w:id="3"/>
      </w:r>
      <w:r w:rsidR="00785357">
        <w:rPr>
          <w:rFonts w:cs="Arial"/>
          <w:sz w:val="22"/>
          <w:szCs w:val="22"/>
        </w:rPr>
        <w:t>,</w:t>
      </w:r>
      <w:r>
        <w:rPr>
          <w:rFonts w:cs="Arial"/>
          <w:sz w:val="22"/>
          <w:szCs w:val="22"/>
        </w:rPr>
        <w:t xml:space="preserve"> a na plnění opatření k odstranění nedostatků z</w:t>
      </w:r>
      <w:r w:rsidR="000227AD">
        <w:rPr>
          <w:rFonts w:cs="Arial"/>
          <w:sz w:val="22"/>
          <w:szCs w:val="22"/>
        </w:rPr>
        <w:t xml:space="preserve">jištěných kontrolou č. 09/02. </w:t>
      </w:r>
      <w:r>
        <w:rPr>
          <w:rFonts w:cs="Arial"/>
          <w:sz w:val="22"/>
          <w:szCs w:val="22"/>
        </w:rPr>
        <w:t>Předchozí k</w:t>
      </w:r>
      <w:r w:rsidR="00D72522">
        <w:rPr>
          <w:rFonts w:cs="Arial"/>
          <w:sz w:val="22"/>
          <w:szCs w:val="22"/>
        </w:rPr>
        <w:t xml:space="preserve">ontrolní </w:t>
      </w:r>
      <w:r w:rsidR="00584289">
        <w:rPr>
          <w:rFonts w:cs="Arial"/>
          <w:sz w:val="22"/>
          <w:szCs w:val="22"/>
        </w:rPr>
        <w:t>akcí</w:t>
      </w:r>
      <w:r w:rsidR="00D72522">
        <w:rPr>
          <w:rFonts w:cs="Arial"/>
          <w:sz w:val="22"/>
          <w:szCs w:val="22"/>
        </w:rPr>
        <w:t xml:space="preserve"> č. 09/02</w:t>
      </w:r>
      <w:r w:rsidR="00584289">
        <w:rPr>
          <w:rFonts w:cs="Arial"/>
          <w:sz w:val="22"/>
          <w:szCs w:val="22"/>
        </w:rPr>
        <w:t xml:space="preserve"> </w:t>
      </w:r>
      <w:r w:rsidR="00D72522">
        <w:rPr>
          <w:rFonts w:cs="Arial"/>
          <w:sz w:val="22"/>
          <w:szCs w:val="22"/>
        </w:rPr>
        <w:t>bylo především zjištěno:</w:t>
      </w:r>
    </w:p>
    <w:p w:rsidR="001201D4" w:rsidRDefault="006A6C53" w:rsidP="00C12AAB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6A6C53">
        <w:rPr>
          <w:rFonts w:cs="Arial"/>
          <w:sz w:val="22"/>
          <w:szCs w:val="22"/>
        </w:rPr>
        <w:t xml:space="preserve">MPSV nemělo dostatečně ujasněny dlouhodobé výhledy potřeb. </w:t>
      </w:r>
    </w:p>
    <w:p w:rsidR="006A6C53" w:rsidRDefault="006A6C53" w:rsidP="00C12AAB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6A6C53">
        <w:rPr>
          <w:rFonts w:cs="Arial"/>
          <w:sz w:val="22"/>
          <w:szCs w:val="22"/>
        </w:rPr>
        <w:t xml:space="preserve">MPSV </w:t>
      </w:r>
      <w:r w:rsidR="000227AD" w:rsidRPr="006A6C53">
        <w:rPr>
          <w:rFonts w:cs="Arial"/>
          <w:sz w:val="22"/>
          <w:szCs w:val="22"/>
        </w:rPr>
        <w:t xml:space="preserve">vymezilo </w:t>
      </w:r>
      <w:r w:rsidR="000227AD">
        <w:rPr>
          <w:rFonts w:cs="Arial"/>
          <w:sz w:val="22"/>
          <w:szCs w:val="22"/>
        </w:rPr>
        <w:t>ne</w:t>
      </w:r>
      <w:r w:rsidR="007B54C1">
        <w:rPr>
          <w:rFonts w:cs="Arial"/>
          <w:sz w:val="22"/>
          <w:szCs w:val="22"/>
        </w:rPr>
        <w:t xml:space="preserve">dostatečně </w:t>
      </w:r>
      <w:r w:rsidR="000B16F7">
        <w:rPr>
          <w:rFonts w:cs="Arial"/>
          <w:sz w:val="22"/>
          <w:szCs w:val="22"/>
        </w:rPr>
        <w:t>c</w:t>
      </w:r>
      <w:r w:rsidR="000B16F7" w:rsidRPr="006A6C53">
        <w:rPr>
          <w:rFonts w:cs="Arial"/>
          <w:sz w:val="22"/>
          <w:szCs w:val="22"/>
        </w:rPr>
        <w:t>íle</w:t>
      </w:r>
      <w:r w:rsidR="000B16F7">
        <w:rPr>
          <w:rFonts w:cs="Arial"/>
          <w:sz w:val="22"/>
          <w:szCs w:val="22"/>
        </w:rPr>
        <w:t xml:space="preserve"> programů indikátory</w:t>
      </w:r>
      <w:r w:rsidRPr="006A6C53">
        <w:rPr>
          <w:rFonts w:cs="Arial"/>
          <w:sz w:val="22"/>
          <w:szCs w:val="22"/>
        </w:rPr>
        <w:t>.</w:t>
      </w:r>
    </w:p>
    <w:p w:rsidR="006A6C53" w:rsidRDefault="006A6C53" w:rsidP="00C12AAB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6A6C53">
        <w:rPr>
          <w:rFonts w:cs="Arial"/>
          <w:sz w:val="22"/>
          <w:szCs w:val="22"/>
        </w:rPr>
        <w:t xml:space="preserve">MPSV nevytvořilo </w:t>
      </w:r>
      <w:r w:rsidR="001201D4">
        <w:rPr>
          <w:rFonts w:cs="Arial"/>
          <w:sz w:val="22"/>
          <w:szCs w:val="22"/>
        </w:rPr>
        <w:t>podmín</w:t>
      </w:r>
      <w:r w:rsidR="007B54C1">
        <w:rPr>
          <w:rFonts w:cs="Arial"/>
          <w:sz w:val="22"/>
          <w:szCs w:val="22"/>
        </w:rPr>
        <w:t>k</w:t>
      </w:r>
      <w:r w:rsidR="001201D4">
        <w:rPr>
          <w:rFonts w:cs="Arial"/>
          <w:sz w:val="22"/>
          <w:szCs w:val="22"/>
        </w:rPr>
        <w:t xml:space="preserve">y </w:t>
      </w:r>
      <w:r w:rsidRPr="006A6C53">
        <w:rPr>
          <w:rFonts w:cs="Arial"/>
          <w:sz w:val="22"/>
          <w:szCs w:val="22"/>
        </w:rPr>
        <w:t>pro objektivní hodnocení plnění cílů a efektivnosti, hospodárnosti a účelnosti finančních prostředků vynaložených na realizaci programů.</w:t>
      </w:r>
    </w:p>
    <w:p w:rsidR="006A6C53" w:rsidRDefault="006A6C53" w:rsidP="00C12AAB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6A6C53">
        <w:rPr>
          <w:rFonts w:cs="Arial"/>
          <w:sz w:val="22"/>
          <w:szCs w:val="22"/>
        </w:rPr>
        <w:t xml:space="preserve">Systém výběru akcí </w:t>
      </w:r>
      <w:r w:rsidR="009E06AF">
        <w:rPr>
          <w:rFonts w:cs="Arial"/>
          <w:sz w:val="22"/>
          <w:szCs w:val="22"/>
        </w:rPr>
        <w:t>k </w:t>
      </w:r>
      <w:r w:rsidRPr="006A6C53">
        <w:rPr>
          <w:rFonts w:cs="Arial"/>
          <w:sz w:val="22"/>
          <w:szCs w:val="22"/>
        </w:rPr>
        <w:t>registraci do programů uplatňovaný MPSV nebyl transparentní.</w:t>
      </w:r>
    </w:p>
    <w:p w:rsidR="00CD1809" w:rsidRDefault="00CD1809" w:rsidP="00C12AAB">
      <w:pPr>
        <w:ind w:left="284" w:hanging="284"/>
        <w:jc w:val="both"/>
        <w:rPr>
          <w:rFonts w:cs="Arial"/>
          <w:sz w:val="20"/>
          <w:szCs w:val="20"/>
        </w:rPr>
      </w:pPr>
    </w:p>
    <w:p w:rsidR="00830BDF" w:rsidRPr="00043B6B" w:rsidRDefault="00830BDF" w:rsidP="00FD145C">
      <w:pPr>
        <w:ind w:left="624" w:hanging="624"/>
        <w:jc w:val="both"/>
        <w:rPr>
          <w:rFonts w:cs="Arial"/>
          <w:sz w:val="18"/>
          <w:szCs w:val="18"/>
        </w:rPr>
      </w:pPr>
      <w:r w:rsidRPr="00FD145C">
        <w:rPr>
          <w:rFonts w:cs="Arial"/>
          <w:b/>
          <w:sz w:val="18"/>
          <w:szCs w:val="18"/>
        </w:rPr>
        <w:t>Pozn</w:t>
      </w:r>
      <w:r w:rsidR="00797F91" w:rsidRPr="00FD145C">
        <w:rPr>
          <w:rFonts w:cs="Arial"/>
          <w:b/>
          <w:sz w:val="18"/>
          <w:szCs w:val="18"/>
        </w:rPr>
        <w:t>.:</w:t>
      </w:r>
      <w:r w:rsidRPr="00043B6B">
        <w:rPr>
          <w:rFonts w:cs="Arial"/>
          <w:sz w:val="18"/>
          <w:szCs w:val="18"/>
        </w:rPr>
        <w:tab/>
        <w:t xml:space="preserve">Právní předpisy uvedené </w:t>
      </w:r>
      <w:r w:rsidR="00150511">
        <w:rPr>
          <w:rFonts w:cs="Arial"/>
          <w:sz w:val="18"/>
          <w:szCs w:val="18"/>
        </w:rPr>
        <w:t>v </w:t>
      </w:r>
      <w:r w:rsidRPr="00043B6B">
        <w:rPr>
          <w:rFonts w:cs="Arial"/>
          <w:sz w:val="18"/>
          <w:szCs w:val="18"/>
        </w:rPr>
        <w:t>tomto kontrolním závěru jsou aplikovány ve znění účinném pro kontrolované období.</w:t>
      </w:r>
    </w:p>
    <w:p w:rsidR="00A72B43" w:rsidRDefault="00A72B43" w:rsidP="00A627FD">
      <w:pPr>
        <w:jc w:val="center"/>
        <w:rPr>
          <w:rFonts w:cs="Arial"/>
          <w:b/>
        </w:rPr>
      </w:pPr>
    </w:p>
    <w:p w:rsidR="00A627FD" w:rsidRDefault="00A627FD" w:rsidP="00A627FD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</w:rPr>
        <w:lastRenderedPageBreak/>
        <w:t>II. Skutečnosti zjištěné při kontrole</w:t>
      </w:r>
    </w:p>
    <w:p w:rsidR="00A627FD" w:rsidRDefault="00A627FD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627FD" w:rsidRPr="00A627FD" w:rsidRDefault="00A627FD" w:rsidP="00A627FD">
      <w:pPr>
        <w:pStyle w:val="Prosttext"/>
        <w:ind w:left="284" w:hanging="28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B1313A">
        <w:rPr>
          <w:rFonts w:ascii="Arial" w:hAnsi="Arial" w:cs="Arial"/>
          <w:b/>
          <w:sz w:val="22"/>
          <w:szCs w:val="22"/>
        </w:rPr>
        <w:tab/>
      </w:r>
      <w:r w:rsidRPr="00A627FD">
        <w:rPr>
          <w:rFonts w:ascii="Arial" w:hAnsi="Arial" w:cs="Arial"/>
          <w:b/>
          <w:sz w:val="22"/>
          <w:szCs w:val="22"/>
        </w:rPr>
        <w:t xml:space="preserve">Program č. 113 210 </w:t>
      </w:r>
      <w:r w:rsidR="00785357">
        <w:rPr>
          <w:rFonts w:ascii="Arial" w:hAnsi="Arial" w:cs="Arial"/>
          <w:b/>
          <w:sz w:val="22"/>
          <w:szCs w:val="22"/>
        </w:rPr>
        <w:t xml:space="preserve">– </w:t>
      </w:r>
      <w:r w:rsidRPr="00B1313A">
        <w:rPr>
          <w:rFonts w:ascii="Arial" w:hAnsi="Arial" w:cs="Arial"/>
          <w:b/>
          <w:i/>
          <w:sz w:val="22"/>
          <w:szCs w:val="22"/>
        </w:rPr>
        <w:t>Rozvoj a obnova materiálně technické základny České správy sociálního zabezpečení</w:t>
      </w:r>
    </w:p>
    <w:p w:rsidR="00A627FD" w:rsidRDefault="00A627FD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96E9F" w:rsidRDefault="00EC036C" w:rsidP="00B407F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</w:t>
      </w:r>
      <w:r w:rsidR="00A72B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programu, </w:t>
      </w:r>
      <w:r w:rsidR="00785357">
        <w:rPr>
          <w:rFonts w:ascii="Arial" w:hAnsi="Arial" w:cs="Arial"/>
          <w:sz w:val="22"/>
          <w:szCs w:val="22"/>
        </w:rPr>
        <w:t xml:space="preserve">kterou </w:t>
      </w:r>
      <w:r w:rsidR="00741A4B">
        <w:rPr>
          <w:rFonts w:ascii="Arial" w:hAnsi="Arial" w:cs="Arial"/>
          <w:sz w:val="22"/>
          <w:szCs w:val="22"/>
        </w:rPr>
        <w:t>Minist</w:t>
      </w:r>
      <w:r>
        <w:rPr>
          <w:rFonts w:ascii="Arial" w:hAnsi="Arial" w:cs="Arial"/>
          <w:sz w:val="22"/>
          <w:szCs w:val="22"/>
        </w:rPr>
        <w:t>erstv</w:t>
      </w:r>
      <w:r w:rsidR="00785357">
        <w:rPr>
          <w:rFonts w:ascii="Arial" w:hAnsi="Arial" w:cs="Arial"/>
          <w:sz w:val="22"/>
          <w:szCs w:val="22"/>
        </w:rPr>
        <w:t>o</w:t>
      </w:r>
      <w:r w:rsidR="00741A4B">
        <w:rPr>
          <w:rFonts w:ascii="Arial" w:hAnsi="Arial" w:cs="Arial"/>
          <w:sz w:val="22"/>
          <w:szCs w:val="22"/>
        </w:rPr>
        <w:t xml:space="preserve"> fina</w:t>
      </w:r>
      <w:r w:rsidR="00A72B43">
        <w:rPr>
          <w:rFonts w:ascii="Arial" w:hAnsi="Arial" w:cs="Arial"/>
          <w:sz w:val="22"/>
          <w:szCs w:val="22"/>
        </w:rPr>
        <w:t xml:space="preserve">ncí (dále jen „MF“) </w:t>
      </w:r>
      <w:r w:rsidR="00785357">
        <w:rPr>
          <w:rFonts w:ascii="Arial" w:hAnsi="Arial" w:cs="Arial"/>
          <w:sz w:val="22"/>
          <w:szCs w:val="22"/>
        </w:rPr>
        <w:t xml:space="preserve">schválilo </w:t>
      </w:r>
      <w:r w:rsidR="009E06A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lednu</w:t>
      </w:r>
      <w:r w:rsidR="00A72B43">
        <w:rPr>
          <w:rFonts w:ascii="Arial" w:hAnsi="Arial" w:cs="Arial"/>
          <w:sz w:val="22"/>
          <w:szCs w:val="22"/>
        </w:rPr>
        <w:t xml:space="preserve"> 2008</w:t>
      </w:r>
      <w:r>
        <w:rPr>
          <w:rFonts w:ascii="Arial" w:hAnsi="Arial" w:cs="Arial"/>
          <w:sz w:val="22"/>
          <w:szCs w:val="22"/>
        </w:rPr>
        <w:t xml:space="preserve">, byla </w:t>
      </w:r>
      <w:r w:rsidR="00741A4B">
        <w:rPr>
          <w:rFonts w:ascii="Arial" w:hAnsi="Arial" w:cs="Arial"/>
          <w:sz w:val="22"/>
          <w:szCs w:val="22"/>
        </w:rPr>
        <w:t>v letech 20</w:t>
      </w:r>
      <w:r>
        <w:rPr>
          <w:rFonts w:ascii="Arial" w:hAnsi="Arial" w:cs="Arial"/>
          <w:sz w:val="22"/>
          <w:szCs w:val="22"/>
        </w:rPr>
        <w:t>08 až 2010 třikrát aktualizována</w:t>
      </w:r>
      <w:r w:rsidR="00741A4B">
        <w:rPr>
          <w:rFonts w:ascii="Arial" w:hAnsi="Arial" w:cs="Arial"/>
          <w:sz w:val="22"/>
          <w:szCs w:val="22"/>
        </w:rPr>
        <w:t xml:space="preserve">. Důvodem byla především reakce na změnu úpravy systému financování programu v zákoně č. 218/2000 Sb., zařazení podprogramu pro oblast </w:t>
      </w:r>
      <w:r w:rsidR="005561AC">
        <w:rPr>
          <w:rFonts w:ascii="Arial" w:hAnsi="Arial" w:cs="Arial"/>
          <w:sz w:val="22"/>
          <w:szCs w:val="22"/>
        </w:rPr>
        <w:t>informačních a komunikačních technologií (dále jen „</w:t>
      </w:r>
      <w:proofErr w:type="spellStart"/>
      <w:r w:rsidR="005561AC">
        <w:rPr>
          <w:rFonts w:ascii="Arial" w:hAnsi="Arial" w:cs="Arial"/>
          <w:sz w:val="22"/>
          <w:szCs w:val="22"/>
        </w:rPr>
        <w:t>ICT</w:t>
      </w:r>
      <w:proofErr w:type="spellEnd"/>
      <w:r w:rsidR="005561AC">
        <w:rPr>
          <w:rFonts w:ascii="Arial" w:hAnsi="Arial" w:cs="Arial"/>
          <w:sz w:val="22"/>
          <w:szCs w:val="22"/>
        </w:rPr>
        <w:t>“)</w:t>
      </w:r>
      <w:r w:rsidR="00741A4B">
        <w:rPr>
          <w:rFonts w:ascii="Arial" w:hAnsi="Arial" w:cs="Arial"/>
          <w:sz w:val="22"/>
          <w:szCs w:val="22"/>
        </w:rPr>
        <w:t xml:space="preserve"> spolufinancovaného z</w:t>
      </w:r>
      <w:r w:rsidR="005A7A28">
        <w:rPr>
          <w:rFonts w:ascii="Arial" w:hAnsi="Arial" w:cs="Arial"/>
          <w:sz w:val="22"/>
          <w:szCs w:val="22"/>
        </w:rPr>
        <w:t> </w:t>
      </w:r>
      <w:r w:rsidR="00741A4B">
        <w:rPr>
          <w:rFonts w:ascii="Arial" w:hAnsi="Arial" w:cs="Arial"/>
          <w:sz w:val="22"/>
          <w:szCs w:val="22"/>
        </w:rPr>
        <w:t>prostředků</w:t>
      </w:r>
      <w:r w:rsidR="005A7A28">
        <w:rPr>
          <w:rFonts w:ascii="Arial" w:hAnsi="Arial" w:cs="Arial"/>
          <w:sz w:val="22"/>
          <w:szCs w:val="22"/>
        </w:rPr>
        <w:t xml:space="preserve"> Evropské unie (dále jen „EU“) </w:t>
      </w:r>
      <w:r w:rsidR="00741A4B">
        <w:rPr>
          <w:rFonts w:ascii="Arial" w:hAnsi="Arial" w:cs="Arial"/>
          <w:sz w:val="22"/>
          <w:szCs w:val="22"/>
        </w:rPr>
        <w:t>a podle sdělení MPSV i snižování výdajových rámců na financování programů.</w:t>
      </w:r>
      <w:r w:rsidR="005561AC">
        <w:rPr>
          <w:rFonts w:ascii="Arial" w:hAnsi="Arial" w:cs="Arial"/>
          <w:sz w:val="22"/>
          <w:szCs w:val="22"/>
        </w:rPr>
        <w:t xml:space="preserve"> </w:t>
      </w:r>
      <w:r w:rsidR="00D96E9F">
        <w:rPr>
          <w:rFonts w:ascii="Arial" w:hAnsi="Arial" w:cs="Arial"/>
          <w:sz w:val="22"/>
          <w:szCs w:val="22"/>
        </w:rPr>
        <w:t xml:space="preserve"> </w:t>
      </w:r>
      <w:r w:rsidR="006E16E9">
        <w:rPr>
          <w:rFonts w:ascii="Arial" w:hAnsi="Arial" w:cs="Arial"/>
          <w:sz w:val="22"/>
          <w:szCs w:val="22"/>
        </w:rPr>
        <w:t xml:space="preserve"> </w:t>
      </w:r>
    </w:p>
    <w:p w:rsidR="00D96E9F" w:rsidRDefault="00D96E9F" w:rsidP="00B407F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407F4" w:rsidRDefault="009A7D4E" w:rsidP="00B407F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se členil na </w:t>
      </w:r>
      <w:r w:rsidR="005A073E">
        <w:rPr>
          <w:rFonts w:ascii="Arial" w:hAnsi="Arial" w:cs="Arial"/>
          <w:sz w:val="22"/>
          <w:szCs w:val="22"/>
        </w:rPr>
        <w:t xml:space="preserve">tři podprogramy. Kontrola byla zaměřena na podprogram </w:t>
      </w:r>
      <w:r w:rsidR="00785357">
        <w:rPr>
          <w:rFonts w:ascii="Arial" w:hAnsi="Arial" w:cs="Arial"/>
          <w:sz w:val="22"/>
          <w:szCs w:val="22"/>
        </w:rPr>
        <w:br/>
      </w:r>
      <w:r w:rsidR="005A073E">
        <w:rPr>
          <w:rFonts w:ascii="Arial" w:hAnsi="Arial" w:cs="Arial"/>
          <w:sz w:val="22"/>
          <w:szCs w:val="22"/>
        </w:rPr>
        <w:t xml:space="preserve">č. 113 212 </w:t>
      </w:r>
      <w:r w:rsidR="00785357">
        <w:rPr>
          <w:rFonts w:ascii="Arial" w:hAnsi="Arial" w:cs="Arial"/>
          <w:sz w:val="22"/>
          <w:szCs w:val="22"/>
        </w:rPr>
        <w:t xml:space="preserve">– </w:t>
      </w:r>
      <w:r w:rsidR="005A073E">
        <w:rPr>
          <w:rFonts w:ascii="Arial" w:hAnsi="Arial" w:cs="Arial"/>
          <w:i/>
          <w:sz w:val="22"/>
          <w:szCs w:val="22"/>
        </w:rPr>
        <w:t>Pořízení, obnova a provozování majetku ve správě ČSSZ</w:t>
      </w:r>
      <w:r w:rsidR="005A073E">
        <w:rPr>
          <w:rFonts w:ascii="Arial" w:hAnsi="Arial" w:cs="Arial"/>
          <w:sz w:val="22"/>
          <w:szCs w:val="22"/>
        </w:rPr>
        <w:t xml:space="preserve">. </w:t>
      </w:r>
      <w:r w:rsidR="00927464">
        <w:rPr>
          <w:rFonts w:ascii="Arial" w:hAnsi="Arial" w:cs="Arial"/>
          <w:sz w:val="22"/>
          <w:szCs w:val="22"/>
        </w:rPr>
        <w:t>Zbylé</w:t>
      </w:r>
      <w:r w:rsidR="005A073E">
        <w:rPr>
          <w:rFonts w:ascii="Arial" w:hAnsi="Arial" w:cs="Arial"/>
          <w:sz w:val="22"/>
          <w:szCs w:val="22"/>
        </w:rPr>
        <w:t xml:space="preserve"> dva</w:t>
      </w:r>
      <w:r w:rsidR="00927464">
        <w:rPr>
          <w:rFonts w:ascii="Arial" w:hAnsi="Arial" w:cs="Arial"/>
          <w:sz w:val="22"/>
          <w:szCs w:val="22"/>
        </w:rPr>
        <w:t xml:space="preserve"> podprogramy</w:t>
      </w:r>
      <w:r w:rsidR="005A073E">
        <w:rPr>
          <w:rFonts w:ascii="Arial" w:hAnsi="Arial" w:cs="Arial"/>
          <w:sz w:val="22"/>
          <w:szCs w:val="22"/>
        </w:rPr>
        <w:t xml:space="preserve"> </w:t>
      </w:r>
      <w:r w:rsidR="00927464">
        <w:rPr>
          <w:rFonts w:ascii="Arial" w:hAnsi="Arial" w:cs="Arial"/>
          <w:sz w:val="22"/>
          <w:szCs w:val="22"/>
        </w:rPr>
        <w:t>se týkaly</w:t>
      </w:r>
      <w:r w:rsidR="005561A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561AC">
        <w:rPr>
          <w:rFonts w:ascii="Arial" w:hAnsi="Arial" w:cs="Arial"/>
          <w:sz w:val="22"/>
          <w:szCs w:val="22"/>
        </w:rPr>
        <w:t>ICT</w:t>
      </w:r>
      <w:proofErr w:type="spellEnd"/>
      <w:r w:rsidR="005A073E">
        <w:rPr>
          <w:rFonts w:ascii="Arial" w:hAnsi="Arial" w:cs="Arial"/>
          <w:sz w:val="22"/>
          <w:szCs w:val="22"/>
        </w:rPr>
        <w:t>.</w:t>
      </w:r>
      <w:r w:rsidR="00B407F4">
        <w:rPr>
          <w:rFonts w:ascii="Arial" w:hAnsi="Arial" w:cs="Arial"/>
          <w:sz w:val="22"/>
          <w:szCs w:val="22"/>
        </w:rPr>
        <w:t xml:space="preserve"> </w:t>
      </w:r>
    </w:p>
    <w:p w:rsidR="00B407F4" w:rsidRDefault="00B407F4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407F4" w:rsidRDefault="00B407F4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1.1 </w:t>
      </w:r>
      <w:r w:rsidR="00741A4B">
        <w:rPr>
          <w:rFonts w:ascii="Arial" w:hAnsi="Arial" w:cs="Arial"/>
          <w:b/>
          <w:sz w:val="22"/>
          <w:szCs w:val="22"/>
        </w:rPr>
        <w:t>Časové a finanční</w:t>
      </w:r>
      <w:r>
        <w:rPr>
          <w:rFonts w:ascii="Arial" w:hAnsi="Arial" w:cs="Arial"/>
          <w:b/>
          <w:sz w:val="22"/>
          <w:szCs w:val="22"/>
        </w:rPr>
        <w:t xml:space="preserve"> podmínky</w:t>
      </w:r>
      <w:r w:rsidR="005A073E">
        <w:rPr>
          <w:rFonts w:ascii="Arial" w:hAnsi="Arial" w:cs="Arial"/>
          <w:sz w:val="22"/>
          <w:szCs w:val="22"/>
        </w:rPr>
        <w:t xml:space="preserve"> </w:t>
      </w:r>
    </w:p>
    <w:p w:rsidR="00B407F4" w:rsidRDefault="00B407F4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41A4B" w:rsidRDefault="00741A4B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realizace programu byla stanovena na roky 2008 až 2010. Aktualizacemi dokumentace programu byla prodloužena do roku 2013. U kontrolovaného podprogramu č. 113 212 byla prodloužena</w:t>
      </w:r>
      <w:r w:rsidR="00927464">
        <w:rPr>
          <w:rFonts w:ascii="Arial" w:hAnsi="Arial" w:cs="Arial"/>
          <w:sz w:val="22"/>
          <w:szCs w:val="22"/>
        </w:rPr>
        <w:t xml:space="preserve"> jen</w:t>
      </w:r>
      <w:r>
        <w:rPr>
          <w:rFonts w:ascii="Arial" w:hAnsi="Arial" w:cs="Arial"/>
          <w:sz w:val="22"/>
          <w:szCs w:val="22"/>
        </w:rPr>
        <w:t xml:space="preserve"> do roku 2011.</w:t>
      </w:r>
      <w:r w:rsidR="005A7A28">
        <w:rPr>
          <w:rFonts w:ascii="Arial" w:hAnsi="Arial" w:cs="Arial"/>
          <w:sz w:val="22"/>
          <w:szCs w:val="22"/>
        </w:rPr>
        <w:t xml:space="preserve"> Podle MPSV byla důvodem prodloužení nutnost dofinancování akcí spolufinancovaných z prostředků EU.</w:t>
      </w:r>
    </w:p>
    <w:p w:rsidR="005533D0" w:rsidRDefault="005533D0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533D0" w:rsidRDefault="00897DCB" w:rsidP="005533D0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741A4B">
        <w:rPr>
          <w:rFonts w:ascii="Arial" w:hAnsi="Arial" w:cs="Arial"/>
          <w:sz w:val="22"/>
          <w:szCs w:val="22"/>
        </w:rPr>
        <w:t>inanční potřeba programu</w:t>
      </w:r>
      <w:r w:rsidR="005533D0">
        <w:rPr>
          <w:rFonts w:ascii="Arial" w:hAnsi="Arial" w:cs="Arial"/>
          <w:sz w:val="22"/>
          <w:szCs w:val="22"/>
        </w:rPr>
        <w:t xml:space="preserve"> byla</w:t>
      </w:r>
      <w:r w:rsidR="00741A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stanovena na </w:t>
      </w:r>
      <w:r w:rsidR="00741A4B">
        <w:rPr>
          <w:rFonts w:ascii="Arial" w:hAnsi="Arial" w:cs="Arial"/>
          <w:sz w:val="22"/>
          <w:szCs w:val="22"/>
        </w:rPr>
        <w:t>3 996 mil. Kč</w:t>
      </w:r>
      <w:r w:rsidR="005533D0">
        <w:rPr>
          <w:rFonts w:ascii="Arial" w:hAnsi="Arial" w:cs="Arial"/>
          <w:sz w:val="22"/>
          <w:szCs w:val="22"/>
        </w:rPr>
        <w:t>. A</w:t>
      </w:r>
      <w:r w:rsidR="00741A4B">
        <w:rPr>
          <w:rFonts w:ascii="Arial" w:hAnsi="Arial" w:cs="Arial"/>
          <w:sz w:val="22"/>
          <w:szCs w:val="22"/>
        </w:rPr>
        <w:t>ktualizacemi dokumentace programu</w:t>
      </w:r>
      <w:r w:rsidR="005533D0">
        <w:rPr>
          <w:rFonts w:ascii="Arial" w:hAnsi="Arial" w:cs="Arial"/>
          <w:sz w:val="22"/>
          <w:szCs w:val="22"/>
        </w:rPr>
        <w:t xml:space="preserve"> byla</w:t>
      </w:r>
      <w:r w:rsidR="00741A4B">
        <w:rPr>
          <w:rFonts w:ascii="Arial" w:hAnsi="Arial" w:cs="Arial"/>
          <w:sz w:val="22"/>
          <w:szCs w:val="22"/>
        </w:rPr>
        <w:t xml:space="preserve"> snížena na 2 593 mil. Kč.</w:t>
      </w:r>
      <w:r w:rsidR="005533D0">
        <w:rPr>
          <w:rFonts w:ascii="Arial" w:hAnsi="Arial" w:cs="Arial"/>
          <w:sz w:val="22"/>
          <w:szCs w:val="22"/>
        </w:rPr>
        <w:t xml:space="preserve"> </w:t>
      </w:r>
      <w:r w:rsidR="00CF6E3D">
        <w:rPr>
          <w:rFonts w:ascii="Arial" w:hAnsi="Arial" w:cs="Arial"/>
          <w:sz w:val="22"/>
          <w:szCs w:val="22"/>
        </w:rPr>
        <w:t>Finanční potřeba,</w:t>
      </w:r>
      <w:r w:rsidR="001B76A4">
        <w:rPr>
          <w:rFonts w:ascii="Arial" w:hAnsi="Arial" w:cs="Arial"/>
          <w:sz w:val="22"/>
          <w:szCs w:val="22"/>
        </w:rPr>
        <w:t xml:space="preserve"> </w:t>
      </w:r>
      <w:r w:rsidR="00927464">
        <w:rPr>
          <w:rFonts w:ascii="Arial" w:hAnsi="Arial" w:cs="Arial"/>
          <w:sz w:val="22"/>
          <w:szCs w:val="22"/>
        </w:rPr>
        <w:t xml:space="preserve">schválené </w:t>
      </w:r>
      <w:r w:rsidR="00FC3F7E">
        <w:rPr>
          <w:rFonts w:ascii="Arial" w:hAnsi="Arial" w:cs="Arial"/>
          <w:sz w:val="22"/>
          <w:szCs w:val="22"/>
        </w:rPr>
        <w:t xml:space="preserve">peněžní prostředky </w:t>
      </w:r>
      <w:r w:rsidR="005533D0">
        <w:rPr>
          <w:rFonts w:ascii="Arial" w:hAnsi="Arial" w:cs="Arial"/>
          <w:sz w:val="22"/>
          <w:szCs w:val="22"/>
        </w:rPr>
        <w:t>a</w:t>
      </w:r>
      <w:r w:rsidR="00927464">
        <w:rPr>
          <w:rFonts w:ascii="Arial" w:hAnsi="Arial" w:cs="Arial"/>
          <w:sz w:val="22"/>
          <w:szCs w:val="22"/>
        </w:rPr>
        <w:t> </w:t>
      </w:r>
      <w:r w:rsidR="00722D74">
        <w:rPr>
          <w:rFonts w:ascii="Arial" w:hAnsi="Arial" w:cs="Arial"/>
          <w:sz w:val="22"/>
          <w:szCs w:val="22"/>
        </w:rPr>
        <w:t>jejich čerpá</w:t>
      </w:r>
      <w:r w:rsidR="005A7A28">
        <w:rPr>
          <w:rFonts w:ascii="Arial" w:hAnsi="Arial" w:cs="Arial"/>
          <w:sz w:val="22"/>
          <w:szCs w:val="22"/>
        </w:rPr>
        <w:t>ní</w:t>
      </w:r>
      <w:r w:rsidR="005533D0">
        <w:rPr>
          <w:rFonts w:ascii="Arial" w:hAnsi="Arial" w:cs="Arial"/>
          <w:sz w:val="22"/>
          <w:szCs w:val="22"/>
        </w:rPr>
        <w:t xml:space="preserve"> na </w:t>
      </w:r>
      <w:r w:rsidR="00CF6E3D">
        <w:rPr>
          <w:rFonts w:ascii="Arial" w:hAnsi="Arial" w:cs="Arial"/>
          <w:sz w:val="22"/>
          <w:szCs w:val="22"/>
        </w:rPr>
        <w:t xml:space="preserve">podprogram </w:t>
      </w:r>
      <w:r w:rsidR="005A7A28">
        <w:rPr>
          <w:rFonts w:ascii="Arial" w:hAnsi="Arial" w:cs="Arial"/>
          <w:sz w:val="22"/>
          <w:szCs w:val="22"/>
        </w:rPr>
        <w:t>č. 113 212</w:t>
      </w:r>
      <w:r w:rsidR="005533D0">
        <w:rPr>
          <w:rFonts w:ascii="Arial" w:hAnsi="Arial" w:cs="Arial"/>
          <w:sz w:val="22"/>
          <w:szCs w:val="22"/>
        </w:rPr>
        <w:t xml:space="preserve"> jsou uvedeny v tabulce č. 1. </w:t>
      </w:r>
      <w:r w:rsidR="00FC3F7E">
        <w:rPr>
          <w:rFonts w:ascii="Arial" w:hAnsi="Arial" w:cs="Arial"/>
          <w:sz w:val="22"/>
          <w:szCs w:val="22"/>
        </w:rPr>
        <w:t xml:space="preserve"> </w:t>
      </w:r>
    </w:p>
    <w:p w:rsidR="004D5890" w:rsidRDefault="004D5890" w:rsidP="00CF6E3D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CF6E3D" w:rsidRDefault="00CF6E3D" w:rsidP="008B4B25">
      <w:pPr>
        <w:pStyle w:val="Prosttext"/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Tabulka č. 1 – Finanční podmínky podprogramu č. 113 212</w:t>
      </w:r>
      <w:r>
        <w:rPr>
          <w:rFonts w:ascii="Arial" w:hAnsi="Arial" w:cs="Arial"/>
          <w:b/>
          <w:sz w:val="22"/>
          <w:szCs w:val="22"/>
        </w:rPr>
        <w:tab/>
        <w:t>(</w:t>
      </w:r>
      <w:r w:rsidR="009E06AF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mil. Kč)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6"/>
        <w:gridCol w:w="1203"/>
        <w:gridCol w:w="1203"/>
        <w:gridCol w:w="1203"/>
        <w:gridCol w:w="1203"/>
        <w:gridCol w:w="1204"/>
      </w:tblGrid>
      <w:tr w:rsidR="00EF6A6A" w:rsidTr="0075110E">
        <w:tc>
          <w:tcPr>
            <w:tcW w:w="30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A6A" w:rsidRDefault="00EF6A6A" w:rsidP="00CF6E3D">
            <w:pPr>
              <w:pStyle w:val="Pros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A6A" w:rsidRPr="00B13F41" w:rsidRDefault="00EF6A6A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2008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A6A" w:rsidRPr="00B13F41" w:rsidRDefault="00EF6A6A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2009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F6A6A" w:rsidRPr="00B13F41" w:rsidRDefault="00EF6A6A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2010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6A" w:rsidRPr="00B13F41" w:rsidRDefault="00EF6A6A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2011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A6A" w:rsidRPr="00B13F41" w:rsidRDefault="00EF6A6A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EF6A6A" w:rsidTr="0075110E">
        <w:tc>
          <w:tcPr>
            <w:tcW w:w="3056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F6A6A" w:rsidRPr="005A7A28" w:rsidRDefault="00EF6A6A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596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619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1 790</w:t>
            </w:r>
          </w:p>
        </w:tc>
      </w:tr>
      <w:tr w:rsidR="00EF6A6A" w:rsidTr="0075110E">
        <w:tc>
          <w:tcPr>
            <w:tcW w:w="3056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6A6A" w:rsidRPr="005A7A28" w:rsidRDefault="00EF6A6A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Upravená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  <w:r w:rsidRPr="005A7A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20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120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331</w:t>
            </w:r>
          </w:p>
        </w:tc>
        <w:tc>
          <w:tcPr>
            <w:tcW w:w="1203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780</w:t>
            </w:r>
          </w:p>
        </w:tc>
      </w:tr>
      <w:tr w:rsidR="00EF6A6A" w:rsidTr="0075110E">
        <w:tc>
          <w:tcPr>
            <w:tcW w:w="3056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F6A6A" w:rsidRPr="005A7A28" w:rsidRDefault="00EF6A6A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Schválený rozpočet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575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554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195</w:t>
            </w:r>
          </w:p>
        </w:tc>
        <w:tc>
          <w:tcPr>
            <w:tcW w:w="1203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1 324</w:t>
            </w:r>
          </w:p>
        </w:tc>
      </w:tr>
      <w:tr w:rsidR="00EF6A6A" w:rsidTr="0075110E">
        <w:tc>
          <w:tcPr>
            <w:tcW w:w="3056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6A6A" w:rsidRPr="005A7A28" w:rsidRDefault="00EF6A6A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Upravený rozpočet</w:t>
            </w:r>
          </w:p>
        </w:tc>
        <w:tc>
          <w:tcPr>
            <w:tcW w:w="1203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282</w:t>
            </w:r>
          </w:p>
        </w:tc>
        <w:tc>
          <w:tcPr>
            <w:tcW w:w="120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483</w:t>
            </w:r>
          </w:p>
        </w:tc>
        <w:tc>
          <w:tcPr>
            <w:tcW w:w="1203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128</w:t>
            </w:r>
          </w:p>
        </w:tc>
        <w:tc>
          <w:tcPr>
            <w:tcW w:w="1203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893</w:t>
            </w:r>
          </w:p>
        </w:tc>
      </w:tr>
      <w:tr w:rsidR="00EF6A6A" w:rsidTr="0075110E">
        <w:tc>
          <w:tcPr>
            <w:tcW w:w="30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A6A" w:rsidRPr="005A7A28" w:rsidRDefault="00EF6A6A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Skutečné čerpání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1203" w:type="dxa"/>
            <w:tcBorders>
              <w:top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304</w:t>
            </w:r>
          </w:p>
        </w:tc>
        <w:tc>
          <w:tcPr>
            <w:tcW w:w="1203" w:type="dxa"/>
            <w:tcBorders>
              <w:top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278</w:t>
            </w:r>
          </w:p>
        </w:tc>
        <w:tc>
          <w:tcPr>
            <w:tcW w:w="1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F6A6A" w:rsidRPr="001B76A4" w:rsidRDefault="00EF6A6A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791</w:t>
            </w:r>
          </w:p>
        </w:tc>
      </w:tr>
    </w:tbl>
    <w:p w:rsidR="001B76A4" w:rsidRDefault="001B76A4" w:rsidP="00D5585B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460A1">
        <w:rPr>
          <w:rFonts w:ascii="Arial" w:hAnsi="Arial" w:cs="Arial"/>
          <w:b/>
          <w:sz w:val="18"/>
          <w:szCs w:val="18"/>
        </w:rPr>
        <w:t>Zdroj:</w:t>
      </w:r>
      <w:r>
        <w:rPr>
          <w:rFonts w:ascii="Arial" w:hAnsi="Arial" w:cs="Arial"/>
          <w:sz w:val="18"/>
          <w:szCs w:val="18"/>
        </w:rPr>
        <w:t xml:space="preserve"> </w:t>
      </w:r>
      <w:r w:rsidR="00785357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okumentace programu a její aktualizace, schválené rozpočty</w:t>
      </w:r>
      <w:r w:rsidR="00D558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630C15">
        <w:rPr>
          <w:rFonts w:ascii="Arial" w:hAnsi="Arial" w:cs="Arial"/>
          <w:sz w:val="18"/>
          <w:szCs w:val="18"/>
        </w:rPr>
        <w:t xml:space="preserve"> státní</w:t>
      </w:r>
      <w:r>
        <w:rPr>
          <w:rFonts w:ascii="Arial" w:hAnsi="Arial" w:cs="Arial"/>
          <w:sz w:val="18"/>
          <w:szCs w:val="18"/>
        </w:rPr>
        <w:t xml:space="preserve"> závěrečné účty let 2008 až 201</w:t>
      </w:r>
      <w:r w:rsidR="00810BC8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CF6E3D" w:rsidRDefault="00CF6E3D" w:rsidP="00CF6E3D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5A7A28" w:rsidRDefault="005A7A28" w:rsidP="00CF6E3D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tabulky č. 1 vyplývá, že schválená finanční potřeba 1 790 mil. Kč pro podprogram č. 113 212 byla aktualizacemi dokumentace programu snížena o 56 %. Podle MPSV byla důvodem snížení redukce finančních zdrojů. Kontrolou však bylo zjištěno, že </w:t>
      </w:r>
      <w:r w:rsidRPr="00A36465">
        <w:rPr>
          <w:rFonts w:ascii="Arial" w:hAnsi="Arial" w:cs="Arial"/>
          <w:b/>
          <w:sz w:val="22"/>
          <w:szCs w:val="22"/>
        </w:rPr>
        <w:t xml:space="preserve">MPSV </w:t>
      </w:r>
      <w:r>
        <w:rPr>
          <w:rFonts w:ascii="Arial" w:hAnsi="Arial" w:cs="Arial"/>
          <w:b/>
          <w:sz w:val="22"/>
          <w:szCs w:val="22"/>
        </w:rPr>
        <w:t>aktualizacemi</w:t>
      </w:r>
      <w:r w:rsidRPr="00A36465">
        <w:rPr>
          <w:rFonts w:ascii="Arial" w:hAnsi="Arial" w:cs="Arial"/>
          <w:b/>
          <w:sz w:val="22"/>
          <w:szCs w:val="22"/>
        </w:rPr>
        <w:t xml:space="preserve"> přizpůsobovalo finanční potřeb</w:t>
      </w:r>
      <w:r>
        <w:rPr>
          <w:rFonts w:ascii="Arial" w:hAnsi="Arial" w:cs="Arial"/>
          <w:b/>
          <w:sz w:val="22"/>
          <w:szCs w:val="22"/>
        </w:rPr>
        <w:t>y</w:t>
      </w:r>
      <w:r w:rsidR="00CD1809">
        <w:rPr>
          <w:rFonts w:ascii="Arial" w:hAnsi="Arial" w:cs="Arial"/>
          <w:b/>
          <w:sz w:val="22"/>
          <w:szCs w:val="22"/>
        </w:rPr>
        <w:t xml:space="preserve"> především</w:t>
      </w:r>
      <w:r w:rsidRPr="00A36465">
        <w:rPr>
          <w:rFonts w:ascii="Arial" w:hAnsi="Arial" w:cs="Arial"/>
          <w:b/>
          <w:sz w:val="22"/>
          <w:szCs w:val="22"/>
        </w:rPr>
        <w:t xml:space="preserve"> skutečnému čerpání</w:t>
      </w:r>
      <w:r w:rsidRPr="0075110E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neboť příprava a realizace akcí neprobíhal</w:t>
      </w:r>
      <w:r w:rsidR="000227AD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podle stanovených časových předpokladů. Ukazuje na to i </w:t>
      </w:r>
      <w:r w:rsidR="00AB222A">
        <w:rPr>
          <w:rFonts w:ascii="Arial" w:hAnsi="Arial" w:cs="Arial"/>
          <w:sz w:val="22"/>
          <w:szCs w:val="22"/>
        </w:rPr>
        <w:t>skutečnost</w:t>
      </w:r>
      <w:r>
        <w:rPr>
          <w:rFonts w:ascii="Arial" w:hAnsi="Arial" w:cs="Arial"/>
          <w:sz w:val="22"/>
          <w:szCs w:val="22"/>
        </w:rPr>
        <w:t xml:space="preserve">, že </w:t>
      </w:r>
      <w:r w:rsidRPr="00627BAE">
        <w:rPr>
          <w:rFonts w:ascii="Arial" w:hAnsi="Arial" w:cs="Arial"/>
          <w:b/>
          <w:sz w:val="22"/>
          <w:szCs w:val="22"/>
        </w:rPr>
        <w:t xml:space="preserve">schválené peněžní </w:t>
      </w:r>
      <w:r w:rsidR="00810BC8">
        <w:rPr>
          <w:rFonts w:ascii="Arial" w:hAnsi="Arial" w:cs="Arial"/>
          <w:b/>
          <w:sz w:val="22"/>
          <w:szCs w:val="22"/>
        </w:rPr>
        <w:t>prostředky byly vyčerpány jen z </w:t>
      </w:r>
      <w:r w:rsidRPr="00627BAE">
        <w:rPr>
          <w:rFonts w:ascii="Arial" w:hAnsi="Arial" w:cs="Arial"/>
          <w:b/>
          <w:sz w:val="22"/>
          <w:szCs w:val="22"/>
        </w:rPr>
        <w:t>60 %</w:t>
      </w:r>
      <w:r w:rsidRPr="0075110E">
        <w:rPr>
          <w:rFonts w:ascii="Arial" w:hAnsi="Arial" w:cs="Arial"/>
          <w:b/>
          <w:sz w:val="22"/>
          <w:szCs w:val="22"/>
        </w:rPr>
        <w:t>.</w:t>
      </w:r>
    </w:p>
    <w:p w:rsidR="005A7A28" w:rsidRDefault="005A7A28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4569E" w:rsidRDefault="00A4569E" w:rsidP="00A4569E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A4569E">
        <w:rPr>
          <w:rFonts w:ascii="Arial" w:hAnsi="Arial" w:cs="Arial"/>
          <w:b/>
          <w:sz w:val="22"/>
          <w:szCs w:val="22"/>
        </w:rPr>
        <w:t>MPSV nepředložilo žádné doklady, ze kterých by bylo možn</w:t>
      </w:r>
      <w:r w:rsidR="00785357">
        <w:rPr>
          <w:rFonts w:ascii="Arial" w:hAnsi="Arial" w:cs="Arial"/>
          <w:b/>
          <w:sz w:val="22"/>
          <w:szCs w:val="22"/>
        </w:rPr>
        <w:t>é</w:t>
      </w:r>
      <w:r w:rsidRPr="00A4569E">
        <w:rPr>
          <w:rFonts w:ascii="Arial" w:hAnsi="Arial" w:cs="Arial"/>
          <w:b/>
          <w:sz w:val="22"/>
          <w:szCs w:val="22"/>
        </w:rPr>
        <w:t xml:space="preserve"> ověřit správnost stanovení finanční potřeby programu č. 113</w:t>
      </w:r>
      <w:r>
        <w:rPr>
          <w:rFonts w:ascii="Arial" w:hAnsi="Arial" w:cs="Arial"/>
          <w:b/>
          <w:sz w:val="22"/>
          <w:szCs w:val="22"/>
        </w:rPr>
        <w:t> </w:t>
      </w:r>
      <w:r w:rsidRPr="00A4569E">
        <w:rPr>
          <w:rFonts w:ascii="Arial" w:hAnsi="Arial" w:cs="Arial"/>
          <w:b/>
          <w:sz w:val="22"/>
          <w:szCs w:val="22"/>
        </w:rPr>
        <w:t>210</w:t>
      </w:r>
      <w:r>
        <w:rPr>
          <w:rFonts w:ascii="Arial" w:hAnsi="Arial" w:cs="Arial"/>
          <w:b/>
          <w:sz w:val="22"/>
          <w:szCs w:val="22"/>
        </w:rPr>
        <w:t>, včetně podprogramu č. 113 212,</w:t>
      </w:r>
      <w:r w:rsidR="00C06EF6">
        <w:rPr>
          <w:rFonts w:ascii="Arial" w:hAnsi="Arial" w:cs="Arial"/>
          <w:b/>
          <w:sz w:val="22"/>
          <w:szCs w:val="22"/>
        </w:rPr>
        <w:t xml:space="preserve"> a </w:t>
      </w:r>
      <w:r w:rsidRPr="00A4569E">
        <w:rPr>
          <w:rFonts w:ascii="Arial" w:hAnsi="Arial" w:cs="Arial"/>
          <w:b/>
          <w:sz w:val="22"/>
          <w:szCs w:val="22"/>
        </w:rPr>
        <w:t>jejich změn</w:t>
      </w:r>
      <w:r>
        <w:rPr>
          <w:rFonts w:ascii="Arial" w:hAnsi="Arial" w:cs="Arial"/>
          <w:sz w:val="22"/>
          <w:szCs w:val="22"/>
        </w:rPr>
        <w:t>. S</w:t>
      </w:r>
      <w:r w:rsidR="008875D0">
        <w:rPr>
          <w:rFonts w:ascii="Arial" w:hAnsi="Arial" w:cs="Arial"/>
          <w:sz w:val="22"/>
          <w:szCs w:val="22"/>
        </w:rPr>
        <w:t>nižování</w:t>
      </w:r>
      <w:r>
        <w:rPr>
          <w:rFonts w:ascii="Arial" w:hAnsi="Arial" w:cs="Arial"/>
          <w:sz w:val="22"/>
          <w:szCs w:val="22"/>
        </w:rPr>
        <w:t xml:space="preserve"> finanční potřeby</w:t>
      </w:r>
      <w:r w:rsidR="008875D0">
        <w:rPr>
          <w:rFonts w:ascii="Arial" w:hAnsi="Arial" w:cs="Arial"/>
          <w:sz w:val="22"/>
          <w:szCs w:val="22"/>
        </w:rPr>
        <w:t xml:space="preserve"> v průběhu realizace programu vedlo </w:t>
      </w:r>
      <w:r w:rsidR="00602E9E" w:rsidRPr="008875D0">
        <w:rPr>
          <w:rFonts w:ascii="Arial" w:hAnsi="Arial" w:cs="Arial"/>
          <w:sz w:val="22"/>
          <w:szCs w:val="22"/>
        </w:rPr>
        <w:t>k rozsáhlým úpravám programu.</w:t>
      </w:r>
      <w:r w:rsidR="008875D0">
        <w:rPr>
          <w:rFonts w:ascii="Arial" w:hAnsi="Arial" w:cs="Arial"/>
          <w:sz w:val="22"/>
          <w:szCs w:val="22"/>
        </w:rPr>
        <w:t xml:space="preserve"> Ani v</w:t>
      </w:r>
      <w:r w:rsidR="00C06EF6">
        <w:rPr>
          <w:rFonts w:ascii="Arial" w:hAnsi="Arial" w:cs="Arial"/>
          <w:sz w:val="22"/>
          <w:szCs w:val="22"/>
        </w:rPr>
        <w:t> </w:t>
      </w:r>
      <w:r w:rsidR="008875D0">
        <w:rPr>
          <w:rFonts w:ascii="Arial" w:hAnsi="Arial" w:cs="Arial"/>
          <w:sz w:val="22"/>
          <w:szCs w:val="22"/>
        </w:rPr>
        <w:t>těchto</w:t>
      </w:r>
      <w:r w:rsidR="00C06EF6">
        <w:rPr>
          <w:rFonts w:ascii="Arial" w:hAnsi="Arial" w:cs="Arial"/>
          <w:sz w:val="22"/>
          <w:szCs w:val="22"/>
        </w:rPr>
        <w:t xml:space="preserve"> případech </w:t>
      </w:r>
      <w:r w:rsidRPr="00602E9E">
        <w:rPr>
          <w:rFonts w:ascii="Arial" w:hAnsi="Arial" w:cs="Arial"/>
          <w:b/>
          <w:sz w:val="22"/>
          <w:szCs w:val="22"/>
        </w:rPr>
        <w:t>MPSV nepředložilo žádné doklady, ze kterých by bylo možn</w:t>
      </w:r>
      <w:r w:rsidR="00785357">
        <w:rPr>
          <w:rFonts w:ascii="Arial" w:hAnsi="Arial" w:cs="Arial"/>
          <w:b/>
          <w:sz w:val="22"/>
          <w:szCs w:val="22"/>
        </w:rPr>
        <w:t>é</w:t>
      </w:r>
      <w:r w:rsidRPr="00602E9E">
        <w:rPr>
          <w:rFonts w:ascii="Arial" w:hAnsi="Arial" w:cs="Arial"/>
          <w:b/>
          <w:sz w:val="22"/>
          <w:szCs w:val="22"/>
        </w:rPr>
        <w:t xml:space="preserve"> ověřit správnost </w:t>
      </w:r>
      <w:r w:rsidR="00584289">
        <w:rPr>
          <w:rFonts w:ascii="Arial" w:hAnsi="Arial" w:cs="Arial"/>
          <w:b/>
          <w:sz w:val="22"/>
          <w:szCs w:val="22"/>
        </w:rPr>
        <w:t>provedených úprav</w:t>
      </w:r>
      <w:r w:rsidRPr="0075110E">
        <w:rPr>
          <w:rFonts w:ascii="Arial" w:hAnsi="Arial" w:cs="Arial"/>
          <w:b/>
          <w:sz w:val="22"/>
          <w:szCs w:val="22"/>
        </w:rPr>
        <w:t xml:space="preserve">. </w:t>
      </w:r>
    </w:p>
    <w:p w:rsidR="00E02051" w:rsidRDefault="00E02051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F2A0B" w:rsidRDefault="00BF2A0B">
      <w:pPr>
        <w:rPr>
          <w:rFonts w:eastAsiaTheme="minorHAnsi"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br w:type="page"/>
      </w:r>
    </w:p>
    <w:p w:rsidR="008C6A96" w:rsidRDefault="00FE15A8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 w:rsidR="0014478B">
        <w:rPr>
          <w:rFonts w:ascii="Arial" w:hAnsi="Arial" w:cs="Arial"/>
          <w:b/>
          <w:sz w:val="22"/>
          <w:szCs w:val="22"/>
        </w:rPr>
        <w:t>2</w:t>
      </w:r>
      <w:r w:rsidR="008C6A96">
        <w:rPr>
          <w:rFonts w:ascii="Arial" w:hAnsi="Arial" w:cs="Arial"/>
          <w:b/>
          <w:sz w:val="22"/>
          <w:szCs w:val="22"/>
        </w:rPr>
        <w:t xml:space="preserve"> Cíle, indikátory a parametry</w:t>
      </w:r>
    </w:p>
    <w:p w:rsidR="008C6A96" w:rsidRDefault="008C6A96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7134D" w:rsidRDefault="007878AC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oblast</w:t>
      </w:r>
      <w:r w:rsidR="00927464">
        <w:rPr>
          <w:rFonts w:ascii="Arial" w:hAnsi="Arial" w:cs="Arial"/>
          <w:sz w:val="22"/>
          <w:szCs w:val="22"/>
        </w:rPr>
        <w:t xml:space="preserve"> nemovitého majetku </w:t>
      </w:r>
      <w:r>
        <w:rPr>
          <w:rFonts w:ascii="Arial" w:hAnsi="Arial" w:cs="Arial"/>
          <w:sz w:val="22"/>
          <w:szCs w:val="22"/>
        </w:rPr>
        <w:t>bylo z</w:t>
      </w:r>
      <w:r w:rsidR="00E7280A">
        <w:rPr>
          <w:rFonts w:ascii="Arial" w:hAnsi="Arial" w:cs="Arial"/>
          <w:sz w:val="22"/>
          <w:szCs w:val="22"/>
        </w:rPr>
        <w:t xml:space="preserve">ákladním cílem programu zabezpečit v podmínkách ČSSZ odpovídající prostorové a materiální vybavení </w:t>
      </w:r>
      <w:r w:rsidR="005E5417">
        <w:rPr>
          <w:rFonts w:ascii="Arial" w:hAnsi="Arial" w:cs="Arial"/>
          <w:sz w:val="22"/>
          <w:szCs w:val="22"/>
        </w:rPr>
        <w:t>pro plynulé zajišťování úkolů</w:t>
      </w:r>
      <w:r w:rsidR="00E7280A">
        <w:rPr>
          <w:rFonts w:ascii="Arial" w:hAnsi="Arial" w:cs="Arial"/>
          <w:sz w:val="22"/>
          <w:szCs w:val="22"/>
        </w:rPr>
        <w:t xml:space="preserve"> vyplývající</w:t>
      </w:r>
      <w:r w:rsidR="00785357">
        <w:rPr>
          <w:rFonts w:ascii="Arial" w:hAnsi="Arial" w:cs="Arial"/>
          <w:sz w:val="22"/>
          <w:szCs w:val="22"/>
        </w:rPr>
        <w:t>ch</w:t>
      </w:r>
      <w:r w:rsidR="00E7280A">
        <w:rPr>
          <w:rFonts w:ascii="Arial" w:hAnsi="Arial" w:cs="Arial"/>
          <w:sz w:val="22"/>
          <w:szCs w:val="22"/>
        </w:rPr>
        <w:t xml:space="preserve"> ze zákona č. 582/1991 Sb.</w:t>
      </w:r>
      <w:r w:rsidR="00E7280A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E7280A">
        <w:rPr>
          <w:rFonts w:ascii="Arial" w:hAnsi="Arial" w:cs="Arial"/>
          <w:sz w:val="22"/>
          <w:szCs w:val="22"/>
        </w:rPr>
        <w:t xml:space="preserve"> Na tent</w:t>
      </w:r>
      <w:r w:rsidR="00897DCB">
        <w:rPr>
          <w:rFonts w:ascii="Arial" w:hAnsi="Arial" w:cs="Arial"/>
          <w:sz w:val="22"/>
          <w:szCs w:val="22"/>
        </w:rPr>
        <w:t xml:space="preserve">o </w:t>
      </w:r>
      <w:r w:rsidR="00DA3F86">
        <w:rPr>
          <w:rFonts w:ascii="Arial" w:hAnsi="Arial" w:cs="Arial"/>
          <w:sz w:val="22"/>
          <w:szCs w:val="22"/>
        </w:rPr>
        <w:t>cíl navazovalo v podprogramu č. </w:t>
      </w:r>
      <w:r w:rsidR="00897DCB">
        <w:rPr>
          <w:rFonts w:ascii="Arial" w:hAnsi="Arial" w:cs="Arial"/>
          <w:sz w:val="22"/>
          <w:szCs w:val="22"/>
        </w:rPr>
        <w:t>113 212 šest cílů</w:t>
      </w:r>
      <w:r w:rsidR="00B6258D">
        <w:rPr>
          <w:rFonts w:ascii="Arial" w:hAnsi="Arial" w:cs="Arial"/>
          <w:sz w:val="22"/>
          <w:szCs w:val="22"/>
        </w:rPr>
        <w:t>, z nichž n</w:t>
      </w:r>
      <w:r w:rsidR="00897DCB">
        <w:rPr>
          <w:rFonts w:ascii="Arial" w:hAnsi="Arial" w:cs="Arial"/>
          <w:sz w:val="22"/>
          <w:szCs w:val="22"/>
        </w:rPr>
        <w:t>ejvýznamnějšími byly „nákup, rekonstrukce a modernizace</w:t>
      </w:r>
      <w:r w:rsidR="005E5417">
        <w:rPr>
          <w:rFonts w:ascii="Arial" w:hAnsi="Arial" w:cs="Arial"/>
          <w:sz w:val="22"/>
          <w:szCs w:val="22"/>
        </w:rPr>
        <w:t xml:space="preserve"> nemovitostí ČSSZ“ a </w:t>
      </w:r>
      <w:r w:rsidR="00897DCB">
        <w:rPr>
          <w:rFonts w:ascii="Arial" w:hAnsi="Arial" w:cs="Arial"/>
          <w:sz w:val="22"/>
          <w:szCs w:val="22"/>
        </w:rPr>
        <w:t>„výstavba nových objektů nebo jejich příprava“.</w:t>
      </w:r>
    </w:p>
    <w:p w:rsidR="00A7134D" w:rsidRDefault="00A7134D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661CB" w:rsidRDefault="00A4569E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Cíle podprogramu č. 113 212 byly specifikovány indikátory. </w:t>
      </w:r>
      <w:r w:rsidR="00A7134D">
        <w:rPr>
          <w:rFonts w:ascii="Arial" w:hAnsi="Arial" w:cs="Arial"/>
          <w:sz w:val="22"/>
          <w:szCs w:val="22"/>
        </w:rPr>
        <w:t xml:space="preserve">Například v případě uvedených cílů jimi byly „počet objektů“ a „počet zpracovaných projektových dokumentací novostaveb“. Aktualizacemi dokumentace programu byly indikátory doplňovány a měněny i jejich hodnoty. </w:t>
      </w:r>
      <w:r w:rsidR="009E06AF">
        <w:rPr>
          <w:rFonts w:ascii="Arial" w:hAnsi="Arial" w:cs="Arial"/>
          <w:b/>
          <w:sz w:val="22"/>
          <w:szCs w:val="22"/>
        </w:rPr>
        <w:t>Z </w:t>
      </w:r>
      <w:r w:rsidR="007330FE">
        <w:rPr>
          <w:rFonts w:ascii="Arial" w:hAnsi="Arial" w:cs="Arial"/>
          <w:b/>
          <w:sz w:val="22"/>
          <w:szCs w:val="22"/>
        </w:rPr>
        <w:t xml:space="preserve">dokladů </w:t>
      </w:r>
      <w:r w:rsidR="0024116D">
        <w:rPr>
          <w:rFonts w:ascii="Arial" w:hAnsi="Arial" w:cs="Arial"/>
          <w:b/>
          <w:sz w:val="22"/>
          <w:szCs w:val="22"/>
        </w:rPr>
        <w:t>MPSV však ne</w:t>
      </w:r>
      <w:r w:rsidR="00A7134D" w:rsidRPr="00A4569E">
        <w:rPr>
          <w:rFonts w:ascii="Arial" w:hAnsi="Arial" w:cs="Arial"/>
          <w:b/>
          <w:sz w:val="22"/>
          <w:szCs w:val="22"/>
        </w:rPr>
        <w:t>bylo možn</w:t>
      </w:r>
      <w:r w:rsidR="00785357">
        <w:rPr>
          <w:rFonts w:ascii="Arial" w:hAnsi="Arial" w:cs="Arial"/>
          <w:b/>
          <w:sz w:val="22"/>
          <w:szCs w:val="22"/>
        </w:rPr>
        <w:t>é</w:t>
      </w:r>
      <w:r w:rsidR="00A7134D" w:rsidRPr="00A4569E">
        <w:rPr>
          <w:rFonts w:ascii="Arial" w:hAnsi="Arial" w:cs="Arial"/>
          <w:b/>
          <w:sz w:val="22"/>
          <w:szCs w:val="22"/>
        </w:rPr>
        <w:t xml:space="preserve"> objektivně ověřit správnost stanovení </w:t>
      </w:r>
      <w:r w:rsidR="00A7134D">
        <w:rPr>
          <w:rFonts w:ascii="Arial" w:hAnsi="Arial" w:cs="Arial"/>
          <w:b/>
          <w:sz w:val="22"/>
          <w:szCs w:val="22"/>
        </w:rPr>
        <w:t>indikátorů</w:t>
      </w:r>
      <w:r w:rsidR="007F37EC">
        <w:rPr>
          <w:rFonts w:ascii="Arial" w:hAnsi="Arial" w:cs="Arial"/>
          <w:b/>
          <w:sz w:val="22"/>
          <w:szCs w:val="22"/>
        </w:rPr>
        <w:t xml:space="preserve"> </w:t>
      </w:r>
      <w:r w:rsidR="00A7134D">
        <w:rPr>
          <w:rFonts w:ascii="Arial" w:hAnsi="Arial" w:cs="Arial"/>
          <w:b/>
          <w:sz w:val="22"/>
          <w:szCs w:val="22"/>
        </w:rPr>
        <w:t>podprogramu č. 113</w:t>
      </w:r>
      <w:r w:rsidR="007F37EC">
        <w:rPr>
          <w:rFonts w:ascii="Arial" w:hAnsi="Arial" w:cs="Arial"/>
          <w:b/>
          <w:sz w:val="22"/>
          <w:szCs w:val="22"/>
        </w:rPr>
        <w:t> </w:t>
      </w:r>
      <w:r w:rsidR="00A7134D">
        <w:rPr>
          <w:rFonts w:ascii="Arial" w:hAnsi="Arial" w:cs="Arial"/>
          <w:b/>
          <w:sz w:val="22"/>
          <w:szCs w:val="22"/>
        </w:rPr>
        <w:t>212</w:t>
      </w:r>
      <w:r w:rsidR="007F37EC">
        <w:rPr>
          <w:rFonts w:ascii="Arial" w:hAnsi="Arial" w:cs="Arial"/>
          <w:b/>
          <w:sz w:val="22"/>
          <w:szCs w:val="22"/>
        </w:rPr>
        <w:t xml:space="preserve">, včetně jejich hodnot </w:t>
      </w:r>
      <w:r w:rsidR="00A7134D" w:rsidRPr="00A4569E">
        <w:rPr>
          <w:rFonts w:ascii="Arial" w:hAnsi="Arial" w:cs="Arial"/>
          <w:b/>
          <w:sz w:val="22"/>
          <w:szCs w:val="22"/>
        </w:rPr>
        <w:t>a</w:t>
      </w:r>
      <w:r w:rsidR="007F37EC">
        <w:rPr>
          <w:rFonts w:ascii="Arial" w:hAnsi="Arial" w:cs="Arial"/>
          <w:b/>
          <w:sz w:val="22"/>
          <w:szCs w:val="22"/>
        </w:rPr>
        <w:t xml:space="preserve"> </w:t>
      </w:r>
      <w:r w:rsidR="00A7134D" w:rsidRPr="00A4569E">
        <w:rPr>
          <w:rFonts w:ascii="Arial" w:hAnsi="Arial" w:cs="Arial"/>
          <w:b/>
          <w:sz w:val="22"/>
          <w:szCs w:val="22"/>
        </w:rPr>
        <w:t>změn</w:t>
      </w:r>
      <w:r w:rsidR="00A7134D" w:rsidRPr="0075110E">
        <w:rPr>
          <w:rFonts w:ascii="Arial" w:hAnsi="Arial" w:cs="Arial"/>
          <w:b/>
          <w:sz w:val="22"/>
          <w:szCs w:val="22"/>
        </w:rPr>
        <w:t>.</w:t>
      </w:r>
    </w:p>
    <w:p w:rsidR="00A661CB" w:rsidRDefault="00A661CB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661CB" w:rsidRDefault="00A661CB" w:rsidP="00A661CB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Například zásadní změny indikátorů v rámci druhé aktualizace dokumentace programu zdůvodnilo MPSV na požadavek NKÚ jen obecně změnou plánovaného počtu zaměstnanců ČSSZ a snižování</w:t>
      </w:r>
      <w:r w:rsidR="00C06EF6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B50C8A">
        <w:rPr>
          <w:rFonts w:ascii="Arial" w:hAnsi="Arial" w:cs="Arial"/>
          <w:sz w:val="22"/>
          <w:szCs w:val="22"/>
        </w:rPr>
        <w:t>finančních rámců programu č. 113</w:t>
      </w:r>
      <w:r>
        <w:rPr>
          <w:rFonts w:ascii="Arial" w:hAnsi="Arial" w:cs="Arial"/>
          <w:sz w:val="22"/>
          <w:szCs w:val="22"/>
        </w:rPr>
        <w:t xml:space="preserve"> 210. </w:t>
      </w:r>
      <w:r w:rsidR="007330FE">
        <w:rPr>
          <w:rFonts w:ascii="Arial" w:hAnsi="Arial" w:cs="Arial"/>
          <w:sz w:val="22"/>
          <w:szCs w:val="22"/>
        </w:rPr>
        <w:t xml:space="preserve"> </w:t>
      </w:r>
    </w:p>
    <w:p w:rsidR="00A661CB" w:rsidRDefault="00A661CB" w:rsidP="0075110E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50C8A" w:rsidRDefault="00BD73CD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EC3FF8">
        <w:rPr>
          <w:rFonts w:ascii="Arial" w:hAnsi="Arial" w:cs="Arial"/>
          <w:b/>
          <w:sz w:val="22"/>
          <w:szCs w:val="22"/>
        </w:rPr>
        <w:t xml:space="preserve">ndikátory </w:t>
      </w:r>
      <w:r>
        <w:rPr>
          <w:rFonts w:ascii="Arial" w:hAnsi="Arial" w:cs="Arial"/>
          <w:b/>
          <w:sz w:val="22"/>
          <w:szCs w:val="22"/>
        </w:rPr>
        <w:t>v</w:t>
      </w:r>
      <w:r w:rsidR="00A661CB" w:rsidRPr="00EC3FF8">
        <w:rPr>
          <w:rFonts w:ascii="Arial" w:hAnsi="Arial" w:cs="Arial"/>
          <w:b/>
          <w:sz w:val="22"/>
          <w:szCs w:val="22"/>
        </w:rPr>
        <w:t xml:space="preserve"> některých případech </w:t>
      </w:r>
      <w:r w:rsidR="00B50DA6">
        <w:rPr>
          <w:rFonts w:ascii="Arial" w:hAnsi="Arial" w:cs="Arial"/>
          <w:b/>
          <w:sz w:val="22"/>
          <w:szCs w:val="22"/>
        </w:rPr>
        <w:t xml:space="preserve">nebyly </w:t>
      </w:r>
      <w:r w:rsidR="00A661CB" w:rsidRPr="00EC3FF8">
        <w:rPr>
          <w:rFonts w:ascii="Arial" w:hAnsi="Arial" w:cs="Arial"/>
          <w:b/>
          <w:sz w:val="22"/>
          <w:szCs w:val="22"/>
        </w:rPr>
        <w:t xml:space="preserve">objektivním ukazatelem pro </w:t>
      </w:r>
      <w:r w:rsidR="00B50C8A" w:rsidRPr="00EC3FF8">
        <w:rPr>
          <w:rFonts w:ascii="Arial" w:hAnsi="Arial" w:cs="Arial"/>
          <w:b/>
          <w:sz w:val="22"/>
          <w:szCs w:val="22"/>
        </w:rPr>
        <w:t>hodnocení míry naplňování stanovených cílů</w:t>
      </w:r>
      <w:r w:rsidR="00B50C8A" w:rsidRPr="0075110E">
        <w:rPr>
          <w:rFonts w:ascii="Arial" w:hAnsi="Arial" w:cs="Arial"/>
          <w:b/>
          <w:sz w:val="22"/>
          <w:szCs w:val="22"/>
        </w:rPr>
        <w:t>.</w:t>
      </w:r>
      <w:r w:rsidR="00B00037">
        <w:rPr>
          <w:rFonts w:ascii="Arial" w:hAnsi="Arial" w:cs="Arial"/>
          <w:sz w:val="22"/>
          <w:szCs w:val="22"/>
        </w:rPr>
        <w:t xml:space="preserve"> Příčinou bylo především to, že kvantitativní vymezení hodnot nemělo vazbu na kvalitativní vymezení. </w:t>
      </w:r>
      <w:r w:rsidR="00B50C8A">
        <w:rPr>
          <w:rFonts w:ascii="Arial" w:hAnsi="Arial" w:cs="Arial"/>
          <w:sz w:val="22"/>
          <w:szCs w:val="22"/>
        </w:rPr>
        <w:t>Například plnění indikátoru</w:t>
      </w:r>
      <w:r w:rsidR="00CD1809">
        <w:rPr>
          <w:rFonts w:ascii="Arial" w:hAnsi="Arial" w:cs="Arial"/>
          <w:sz w:val="22"/>
          <w:szCs w:val="22"/>
        </w:rPr>
        <w:t xml:space="preserve"> podprogramu č. 113 212</w:t>
      </w:r>
      <w:r w:rsidR="00B50C8A">
        <w:rPr>
          <w:rFonts w:ascii="Arial" w:hAnsi="Arial" w:cs="Arial"/>
          <w:sz w:val="22"/>
          <w:szCs w:val="22"/>
        </w:rPr>
        <w:t xml:space="preserve"> „počet objektů“ (jeho výchozí hodnota byla 106 objektů a cílo</w:t>
      </w:r>
      <w:r w:rsidR="00CD1809">
        <w:rPr>
          <w:rFonts w:ascii="Arial" w:hAnsi="Arial" w:cs="Arial"/>
          <w:sz w:val="22"/>
          <w:szCs w:val="22"/>
        </w:rPr>
        <w:t>vá 142 objektů) ovlivni</w:t>
      </w:r>
      <w:r w:rsidR="00B50C8A">
        <w:rPr>
          <w:rFonts w:ascii="Arial" w:hAnsi="Arial" w:cs="Arial"/>
          <w:sz w:val="22"/>
          <w:szCs w:val="22"/>
        </w:rPr>
        <w:t>lo</w:t>
      </w:r>
      <w:r w:rsidR="00CD1809">
        <w:rPr>
          <w:rFonts w:ascii="Arial" w:hAnsi="Arial" w:cs="Arial"/>
          <w:sz w:val="22"/>
          <w:szCs w:val="22"/>
        </w:rPr>
        <w:t xml:space="preserve"> v rámci první aktualizace programu</w:t>
      </w:r>
      <w:r>
        <w:rPr>
          <w:rFonts w:ascii="Arial" w:hAnsi="Arial" w:cs="Arial"/>
          <w:sz w:val="22"/>
          <w:szCs w:val="22"/>
        </w:rPr>
        <w:t xml:space="preserve"> kladně, avšak bez věcné podstaty, vyřazení</w:t>
      </w:r>
      <w:r w:rsidR="00CD1809">
        <w:rPr>
          <w:rFonts w:ascii="Arial" w:hAnsi="Arial" w:cs="Arial"/>
          <w:sz w:val="22"/>
          <w:szCs w:val="22"/>
        </w:rPr>
        <w:t xml:space="preserve"> dvou ze tří</w:t>
      </w:r>
      <w:r>
        <w:rPr>
          <w:rFonts w:ascii="Arial" w:hAnsi="Arial" w:cs="Arial"/>
          <w:sz w:val="22"/>
          <w:szCs w:val="22"/>
        </w:rPr>
        <w:t xml:space="preserve"> finančně </w:t>
      </w:r>
      <w:r w:rsidR="00CD1809">
        <w:rPr>
          <w:rFonts w:ascii="Arial" w:hAnsi="Arial" w:cs="Arial"/>
          <w:sz w:val="22"/>
          <w:szCs w:val="22"/>
        </w:rPr>
        <w:t>nejnáročnějších</w:t>
      </w:r>
      <w:r>
        <w:rPr>
          <w:rFonts w:ascii="Arial" w:hAnsi="Arial" w:cs="Arial"/>
          <w:sz w:val="22"/>
          <w:szCs w:val="22"/>
        </w:rPr>
        <w:t xml:space="preserve"> akcí a nové zařazení čtyř finančně méně náročných akcí</w:t>
      </w:r>
      <w:r w:rsidR="00B50C8A">
        <w:rPr>
          <w:rFonts w:ascii="Arial" w:hAnsi="Arial" w:cs="Arial"/>
          <w:sz w:val="22"/>
          <w:szCs w:val="22"/>
        </w:rPr>
        <w:t>.</w:t>
      </w:r>
      <w:r w:rsidR="00CD180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B50C8A" w:rsidRDefault="00B50C8A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694318" w:rsidRDefault="00BD73CD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Stanovené cíle a jejich indikátory měly být naplňovány</w:t>
      </w:r>
      <w:r w:rsidR="0069431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konkrétními akcemi uvedenými </w:t>
      </w:r>
      <w:r w:rsidR="00694318">
        <w:rPr>
          <w:rFonts w:ascii="Arial" w:hAnsi="Arial" w:cs="Arial"/>
          <w:sz w:val="22"/>
          <w:szCs w:val="22"/>
        </w:rPr>
        <w:t xml:space="preserve">v dokumentaci podprogramu č. 113 212. </w:t>
      </w:r>
      <w:r w:rsidR="00BF1D1B" w:rsidRPr="00AB45EA">
        <w:rPr>
          <w:rFonts w:ascii="Arial" w:hAnsi="Arial" w:cs="Arial"/>
          <w:sz w:val="22"/>
          <w:szCs w:val="22"/>
        </w:rPr>
        <w:t>Z  údajů a informací</w:t>
      </w:r>
      <w:r>
        <w:rPr>
          <w:rFonts w:ascii="Arial" w:hAnsi="Arial" w:cs="Arial"/>
          <w:sz w:val="22"/>
          <w:szCs w:val="22"/>
        </w:rPr>
        <w:t xml:space="preserve"> </w:t>
      </w:r>
      <w:r w:rsidR="000227AD" w:rsidRPr="00AB45EA">
        <w:rPr>
          <w:rFonts w:ascii="Arial" w:hAnsi="Arial" w:cs="Arial"/>
          <w:sz w:val="22"/>
          <w:szCs w:val="22"/>
        </w:rPr>
        <w:t xml:space="preserve">MPSV </w:t>
      </w:r>
      <w:r>
        <w:rPr>
          <w:rFonts w:ascii="Arial" w:hAnsi="Arial" w:cs="Arial"/>
          <w:sz w:val="22"/>
          <w:szCs w:val="22"/>
        </w:rPr>
        <w:t>však</w:t>
      </w:r>
      <w:r w:rsidR="00BF1D1B">
        <w:rPr>
          <w:rFonts w:ascii="Arial" w:hAnsi="Arial" w:cs="Arial"/>
          <w:sz w:val="22"/>
          <w:szCs w:val="22"/>
        </w:rPr>
        <w:t xml:space="preserve"> nebylo zřejmé, jaká část dané problematiky má být jejich realizací vyřešena. </w:t>
      </w:r>
      <w:r>
        <w:rPr>
          <w:rFonts w:ascii="Arial" w:hAnsi="Arial" w:cs="Arial"/>
          <w:b/>
          <w:sz w:val="22"/>
          <w:szCs w:val="22"/>
        </w:rPr>
        <w:t>Návrh</w:t>
      </w:r>
      <w:r w:rsidR="00CD1809">
        <w:rPr>
          <w:rFonts w:ascii="Arial" w:hAnsi="Arial" w:cs="Arial"/>
          <w:b/>
          <w:sz w:val="22"/>
          <w:szCs w:val="22"/>
        </w:rPr>
        <w:t xml:space="preserve"> akcí</w:t>
      </w:r>
      <w:r w:rsidR="00BF1D1B">
        <w:rPr>
          <w:rFonts w:ascii="Arial" w:hAnsi="Arial" w:cs="Arial"/>
          <w:b/>
          <w:sz w:val="22"/>
          <w:szCs w:val="22"/>
        </w:rPr>
        <w:t xml:space="preserve"> </w:t>
      </w:r>
      <w:r w:rsidR="00694318" w:rsidRPr="00694318">
        <w:rPr>
          <w:rFonts w:ascii="Arial" w:hAnsi="Arial" w:cs="Arial"/>
          <w:b/>
          <w:sz w:val="22"/>
          <w:szCs w:val="22"/>
        </w:rPr>
        <w:t>nevycházel ze závazných</w:t>
      </w:r>
      <w:r w:rsidR="00123EC2">
        <w:rPr>
          <w:rFonts w:ascii="Arial" w:hAnsi="Arial" w:cs="Arial"/>
          <w:b/>
          <w:sz w:val="22"/>
          <w:szCs w:val="22"/>
        </w:rPr>
        <w:t xml:space="preserve"> </w:t>
      </w:r>
      <w:r w:rsidR="00694318" w:rsidRPr="00694318">
        <w:rPr>
          <w:rFonts w:ascii="Arial" w:hAnsi="Arial" w:cs="Arial"/>
          <w:b/>
          <w:sz w:val="22"/>
          <w:szCs w:val="22"/>
        </w:rPr>
        <w:t>koncepčních materiálů, které by komplexně řešily</w:t>
      </w:r>
      <w:r w:rsidR="00694318">
        <w:rPr>
          <w:rFonts w:ascii="Arial" w:hAnsi="Arial" w:cs="Arial"/>
          <w:sz w:val="22"/>
          <w:szCs w:val="22"/>
        </w:rPr>
        <w:t xml:space="preserve"> </w:t>
      </w:r>
      <w:r w:rsidR="00694318" w:rsidRPr="00FC19EA">
        <w:rPr>
          <w:rFonts w:ascii="Arial" w:hAnsi="Arial" w:cs="Arial"/>
          <w:b/>
          <w:sz w:val="22"/>
          <w:szCs w:val="22"/>
        </w:rPr>
        <w:t>p</w:t>
      </w:r>
      <w:r w:rsidR="00694318" w:rsidRPr="00761CB0">
        <w:rPr>
          <w:rFonts w:ascii="Arial" w:hAnsi="Arial" w:cs="Arial"/>
          <w:b/>
          <w:sz w:val="22"/>
          <w:szCs w:val="22"/>
        </w:rPr>
        <w:t xml:space="preserve">otřeby pořizování a obnovy </w:t>
      </w:r>
      <w:r w:rsidR="00C318BD">
        <w:rPr>
          <w:rFonts w:ascii="Arial" w:hAnsi="Arial" w:cs="Arial"/>
          <w:b/>
          <w:sz w:val="22"/>
          <w:szCs w:val="22"/>
        </w:rPr>
        <w:t>nemovitého</w:t>
      </w:r>
      <w:r w:rsidR="00694318" w:rsidRPr="00761CB0">
        <w:rPr>
          <w:rFonts w:ascii="Arial" w:hAnsi="Arial" w:cs="Arial"/>
          <w:b/>
          <w:sz w:val="22"/>
          <w:szCs w:val="22"/>
        </w:rPr>
        <w:t xml:space="preserve"> majetku v působnosti ČSSZ</w:t>
      </w:r>
      <w:r w:rsidR="00694318" w:rsidRPr="0075110E">
        <w:rPr>
          <w:rFonts w:ascii="Arial" w:hAnsi="Arial" w:cs="Arial"/>
          <w:b/>
          <w:sz w:val="22"/>
          <w:szCs w:val="22"/>
        </w:rPr>
        <w:t>.</w:t>
      </w:r>
      <w:r w:rsidR="00BF1D1B">
        <w:rPr>
          <w:rFonts w:ascii="Arial" w:hAnsi="Arial" w:cs="Arial"/>
          <w:sz w:val="22"/>
          <w:szCs w:val="22"/>
        </w:rPr>
        <w:t xml:space="preserve"> To bylo jednou z příčin zásadních změn akcí</w:t>
      </w:r>
      <w:r w:rsidR="00C96301">
        <w:rPr>
          <w:rFonts w:ascii="Arial" w:hAnsi="Arial" w:cs="Arial"/>
          <w:sz w:val="22"/>
          <w:szCs w:val="22"/>
        </w:rPr>
        <w:t xml:space="preserve"> navržených</w:t>
      </w:r>
      <w:r w:rsidR="00BF1D1B">
        <w:rPr>
          <w:rFonts w:ascii="Arial" w:hAnsi="Arial" w:cs="Arial"/>
          <w:sz w:val="22"/>
          <w:szCs w:val="22"/>
        </w:rPr>
        <w:t xml:space="preserve"> k realizaci v rámci aktualizací dokumentace programu. </w:t>
      </w:r>
      <w:r w:rsidR="00694318">
        <w:rPr>
          <w:rFonts w:ascii="Arial" w:hAnsi="Arial" w:cs="Arial"/>
          <w:sz w:val="22"/>
          <w:szCs w:val="22"/>
        </w:rPr>
        <w:t xml:space="preserve"> </w:t>
      </w:r>
    </w:p>
    <w:p w:rsidR="00694318" w:rsidRDefault="00694318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F1D1B" w:rsidRDefault="00BF1D1B" w:rsidP="00BF1D1B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Například</w:t>
      </w:r>
      <w:r w:rsidR="00CD1809">
        <w:rPr>
          <w:rFonts w:ascii="Arial" w:hAnsi="Arial" w:cs="Arial"/>
          <w:sz w:val="22"/>
          <w:szCs w:val="22"/>
        </w:rPr>
        <w:t xml:space="preserve"> MPSV vyřadilo</w:t>
      </w:r>
      <w:r>
        <w:rPr>
          <w:rFonts w:ascii="Arial" w:hAnsi="Arial" w:cs="Arial"/>
          <w:sz w:val="22"/>
          <w:szCs w:val="22"/>
        </w:rPr>
        <w:t xml:space="preserve"> p</w:t>
      </w:r>
      <w:r w:rsidRPr="00BF1D1B">
        <w:rPr>
          <w:rFonts w:ascii="Arial" w:hAnsi="Arial" w:cs="Arial"/>
          <w:sz w:val="22"/>
          <w:szCs w:val="22"/>
        </w:rPr>
        <w:t xml:space="preserve">o </w:t>
      </w:r>
      <w:r w:rsidR="00E26629">
        <w:rPr>
          <w:rFonts w:ascii="Arial" w:hAnsi="Arial" w:cs="Arial"/>
          <w:sz w:val="22"/>
          <w:szCs w:val="22"/>
        </w:rPr>
        <w:t>necelém roce</w:t>
      </w:r>
      <w:r w:rsidRPr="00BF1D1B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zahájení</w:t>
      </w:r>
      <w:r w:rsidRPr="00BF1D1B">
        <w:rPr>
          <w:rFonts w:ascii="Arial" w:hAnsi="Arial" w:cs="Arial"/>
          <w:sz w:val="22"/>
          <w:szCs w:val="22"/>
        </w:rPr>
        <w:t xml:space="preserve"> realizace</w:t>
      </w:r>
      <w:r>
        <w:rPr>
          <w:rFonts w:ascii="Arial" w:hAnsi="Arial" w:cs="Arial"/>
          <w:sz w:val="22"/>
          <w:szCs w:val="22"/>
        </w:rPr>
        <w:t xml:space="preserve"> </w:t>
      </w:r>
      <w:r w:rsidR="00E26629">
        <w:rPr>
          <w:rFonts w:ascii="Arial" w:hAnsi="Arial" w:cs="Arial"/>
          <w:sz w:val="22"/>
          <w:szCs w:val="22"/>
        </w:rPr>
        <w:t>v prosinci 2008</w:t>
      </w:r>
      <w:r>
        <w:rPr>
          <w:rFonts w:ascii="Arial" w:hAnsi="Arial" w:cs="Arial"/>
          <w:sz w:val="22"/>
          <w:szCs w:val="22"/>
        </w:rPr>
        <w:t xml:space="preserve"> </w:t>
      </w:r>
      <w:r w:rsidR="003A62A2">
        <w:rPr>
          <w:rFonts w:ascii="Arial" w:hAnsi="Arial" w:cs="Arial"/>
          <w:sz w:val="22"/>
          <w:szCs w:val="22"/>
        </w:rPr>
        <w:t xml:space="preserve">v rámci první aktualizace </w:t>
      </w:r>
      <w:r>
        <w:rPr>
          <w:rFonts w:ascii="Arial" w:hAnsi="Arial" w:cs="Arial"/>
          <w:sz w:val="22"/>
          <w:szCs w:val="22"/>
        </w:rPr>
        <w:t>z</w:t>
      </w:r>
      <w:r w:rsidR="00CD1809">
        <w:rPr>
          <w:rFonts w:ascii="Arial" w:hAnsi="Arial" w:cs="Arial"/>
          <w:sz w:val="22"/>
          <w:szCs w:val="22"/>
        </w:rPr>
        <w:t> </w:t>
      </w:r>
      <w:r w:rsidRPr="00BF1D1B">
        <w:rPr>
          <w:rFonts w:ascii="Arial" w:hAnsi="Arial" w:cs="Arial"/>
          <w:sz w:val="22"/>
          <w:szCs w:val="22"/>
        </w:rPr>
        <w:t>podprogramu</w:t>
      </w:r>
      <w:r>
        <w:rPr>
          <w:rFonts w:ascii="Arial" w:hAnsi="Arial" w:cs="Arial"/>
          <w:sz w:val="22"/>
          <w:szCs w:val="22"/>
        </w:rPr>
        <w:t xml:space="preserve"> č. 113 212 mj. </w:t>
      </w:r>
      <w:r w:rsidRPr="00BF1D1B">
        <w:rPr>
          <w:rFonts w:ascii="Arial" w:hAnsi="Arial" w:cs="Arial"/>
          <w:sz w:val="22"/>
          <w:szCs w:val="22"/>
        </w:rPr>
        <w:t>dvě ze tří finančně nejnáročnějších</w:t>
      </w:r>
      <w:r>
        <w:rPr>
          <w:rFonts w:ascii="Arial" w:hAnsi="Arial" w:cs="Arial"/>
          <w:sz w:val="22"/>
          <w:szCs w:val="22"/>
        </w:rPr>
        <w:t xml:space="preserve"> akcí, </w:t>
      </w:r>
      <w:r w:rsidR="00B50DA6">
        <w:rPr>
          <w:rFonts w:ascii="Arial" w:hAnsi="Arial" w:cs="Arial"/>
          <w:sz w:val="22"/>
          <w:szCs w:val="22"/>
        </w:rPr>
        <w:t xml:space="preserve">které se </w:t>
      </w:r>
      <w:r w:rsidRPr="00BF1D1B">
        <w:rPr>
          <w:rFonts w:ascii="Arial" w:hAnsi="Arial" w:cs="Arial"/>
          <w:sz w:val="22"/>
          <w:szCs w:val="22"/>
        </w:rPr>
        <w:t>týka</w:t>
      </w:r>
      <w:r w:rsidR="00B50DA6">
        <w:rPr>
          <w:rFonts w:ascii="Arial" w:hAnsi="Arial" w:cs="Arial"/>
          <w:sz w:val="22"/>
          <w:szCs w:val="22"/>
        </w:rPr>
        <w:t>ly</w:t>
      </w:r>
      <w:r w:rsidRPr="00BF1D1B">
        <w:rPr>
          <w:rFonts w:ascii="Arial" w:hAnsi="Arial" w:cs="Arial"/>
          <w:sz w:val="22"/>
          <w:szCs w:val="22"/>
        </w:rPr>
        <w:t xml:space="preserve"> </w:t>
      </w:r>
      <w:r w:rsidR="00E26629">
        <w:rPr>
          <w:rFonts w:ascii="Arial" w:hAnsi="Arial" w:cs="Arial"/>
          <w:sz w:val="22"/>
          <w:szCs w:val="22"/>
        </w:rPr>
        <w:t>objektů v </w:t>
      </w:r>
      <w:r>
        <w:rPr>
          <w:rFonts w:ascii="Arial" w:hAnsi="Arial" w:cs="Arial"/>
          <w:sz w:val="22"/>
          <w:szCs w:val="22"/>
        </w:rPr>
        <w:t>Jihlavě a </w:t>
      </w:r>
      <w:r w:rsidRPr="00BF1D1B">
        <w:rPr>
          <w:rFonts w:ascii="Arial" w:hAnsi="Arial" w:cs="Arial"/>
          <w:sz w:val="22"/>
          <w:szCs w:val="22"/>
        </w:rPr>
        <w:t>Mostě</w:t>
      </w:r>
      <w:r>
        <w:rPr>
          <w:rFonts w:ascii="Arial" w:hAnsi="Arial" w:cs="Arial"/>
          <w:sz w:val="22"/>
          <w:szCs w:val="22"/>
        </w:rPr>
        <w:t xml:space="preserve">. </w:t>
      </w:r>
      <w:r w:rsidR="003A62A2">
        <w:rPr>
          <w:rFonts w:ascii="Arial" w:hAnsi="Arial" w:cs="Arial"/>
          <w:sz w:val="22"/>
          <w:szCs w:val="22"/>
        </w:rPr>
        <w:t>Vyřadilo i akci,</w:t>
      </w:r>
      <w:r>
        <w:rPr>
          <w:rFonts w:ascii="Arial" w:hAnsi="Arial" w:cs="Arial"/>
          <w:sz w:val="22"/>
          <w:szCs w:val="22"/>
        </w:rPr>
        <w:t xml:space="preserve"> týkající se objektu v Kroměříži, jejíž příprava proběhla v předchozím programu č.</w:t>
      </w:r>
      <w:r w:rsidR="00B50DA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213 110</w:t>
      </w:r>
      <w:r w:rsidR="00E26629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. </w:t>
      </w:r>
      <w:r w:rsidR="003A62A2">
        <w:rPr>
          <w:rFonts w:ascii="Arial" w:hAnsi="Arial" w:cs="Arial"/>
          <w:sz w:val="22"/>
          <w:szCs w:val="22"/>
        </w:rPr>
        <w:t>Tato akce však byla n</w:t>
      </w:r>
      <w:r w:rsidR="00E26629">
        <w:rPr>
          <w:rFonts w:ascii="Arial" w:hAnsi="Arial" w:cs="Arial"/>
          <w:sz w:val="22"/>
          <w:szCs w:val="22"/>
        </w:rPr>
        <w:t xml:space="preserve">akonec </w:t>
      </w:r>
      <w:r w:rsidR="00E26629" w:rsidRPr="00BF1D1B">
        <w:rPr>
          <w:rFonts w:ascii="Arial" w:hAnsi="Arial" w:cs="Arial"/>
          <w:sz w:val="22"/>
          <w:szCs w:val="22"/>
        </w:rPr>
        <w:t>v</w:t>
      </w:r>
      <w:r w:rsidR="00E26629">
        <w:rPr>
          <w:rFonts w:ascii="Arial" w:hAnsi="Arial" w:cs="Arial"/>
          <w:sz w:val="22"/>
          <w:szCs w:val="22"/>
        </w:rPr>
        <w:t> </w:t>
      </w:r>
      <w:r w:rsidR="00E26629" w:rsidRPr="00BF1D1B">
        <w:rPr>
          <w:rFonts w:ascii="Arial" w:hAnsi="Arial" w:cs="Arial"/>
          <w:sz w:val="22"/>
          <w:szCs w:val="22"/>
        </w:rPr>
        <w:t>podprogramu realizována.</w:t>
      </w:r>
      <w:r w:rsidR="00E26629">
        <w:rPr>
          <w:rFonts w:ascii="Arial" w:hAnsi="Arial" w:cs="Arial"/>
          <w:sz w:val="22"/>
          <w:szCs w:val="22"/>
        </w:rPr>
        <w:t xml:space="preserve"> Dále d</w:t>
      </w:r>
      <w:r w:rsidR="003A62A2">
        <w:rPr>
          <w:rFonts w:ascii="Arial" w:hAnsi="Arial" w:cs="Arial"/>
          <w:sz w:val="22"/>
          <w:szCs w:val="22"/>
        </w:rPr>
        <w:t>oplnilo</w:t>
      </w:r>
      <w:r w:rsidR="00E26629" w:rsidRPr="00BF1D1B">
        <w:rPr>
          <w:rFonts w:ascii="Arial" w:hAnsi="Arial" w:cs="Arial"/>
          <w:sz w:val="22"/>
          <w:szCs w:val="22"/>
        </w:rPr>
        <w:t xml:space="preserve"> čtyř</w:t>
      </w:r>
      <w:r w:rsidR="003A62A2">
        <w:rPr>
          <w:rFonts w:ascii="Arial" w:hAnsi="Arial" w:cs="Arial"/>
          <w:sz w:val="22"/>
          <w:szCs w:val="22"/>
        </w:rPr>
        <w:t>i nové akce, z </w:t>
      </w:r>
      <w:r w:rsidR="00E26629">
        <w:rPr>
          <w:rFonts w:ascii="Arial" w:hAnsi="Arial" w:cs="Arial"/>
          <w:sz w:val="22"/>
          <w:szCs w:val="22"/>
        </w:rPr>
        <w:t>nichž dvě</w:t>
      </w:r>
      <w:r w:rsidR="003A62A2">
        <w:rPr>
          <w:rFonts w:ascii="Arial" w:hAnsi="Arial" w:cs="Arial"/>
          <w:sz w:val="22"/>
          <w:szCs w:val="22"/>
        </w:rPr>
        <w:t xml:space="preserve"> </w:t>
      </w:r>
      <w:r w:rsidR="00E26629">
        <w:rPr>
          <w:rFonts w:ascii="Arial" w:hAnsi="Arial" w:cs="Arial"/>
          <w:sz w:val="22"/>
          <w:szCs w:val="22"/>
        </w:rPr>
        <w:t>v </w:t>
      </w:r>
      <w:r w:rsidR="00E26629" w:rsidRPr="00BF1D1B">
        <w:rPr>
          <w:rFonts w:ascii="Arial" w:hAnsi="Arial" w:cs="Arial"/>
          <w:sz w:val="22"/>
          <w:szCs w:val="22"/>
        </w:rPr>
        <w:t xml:space="preserve">následující aktualizaci </w:t>
      </w:r>
      <w:r w:rsidR="00E26629">
        <w:rPr>
          <w:rFonts w:ascii="Arial" w:hAnsi="Arial" w:cs="Arial"/>
          <w:sz w:val="22"/>
          <w:szCs w:val="22"/>
        </w:rPr>
        <w:t xml:space="preserve">programu v červnu 2010 </w:t>
      </w:r>
      <w:r w:rsidR="003A62A2">
        <w:rPr>
          <w:rFonts w:ascii="Arial" w:hAnsi="Arial" w:cs="Arial"/>
          <w:sz w:val="22"/>
          <w:szCs w:val="22"/>
        </w:rPr>
        <w:t>zase vyřadilo a nahradilo je</w:t>
      </w:r>
      <w:r w:rsidR="00E26629" w:rsidRPr="00BF1D1B">
        <w:rPr>
          <w:rFonts w:ascii="Arial" w:hAnsi="Arial" w:cs="Arial"/>
          <w:sz w:val="22"/>
          <w:szCs w:val="22"/>
        </w:rPr>
        <w:t xml:space="preserve"> akcemi již </w:t>
      </w:r>
      <w:r w:rsidR="009E06AF">
        <w:rPr>
          <w:rFonts w:ascii="Arial" w:hAnsi="Arial" w:cs="Arial"/>
          <w:sz w:val="22"/>
          <w:szCs w:val="22"/>
        </w:rPr>
        <w:t>v </w:t>
      </w:r>
      <w:r w:rsidR="00E26629" w:rsidRPr="00BF1D1B">
        <w:rPr>
          <w:rFonts w:ascii="Arial" w:hAnsi="Arial" w:cs="Arial"/>
          <w:sz w:val="22"/>
          <w:szCs w:val="22"/>
        </w:rPr>
        <w:t>té době realizovanými.</w:t>
      </w:r>
    </w:p>
    <w:p w:rsidR="00A661CB" w:rsidRDefault="00A661CB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76380" w:rsidRDefault="00C96301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budovy a stavby bylo </w:t>
      </w:r>
      <w:r w:rsidR="009E06AF">
        <w:rPr>
          <w:rFonts w:ascii="Arial" w:hAnsi="Arial" w:cs="Arial"/>
          <w:sz w:val="22"/>
          <w:szCs w:val="22"/>
        </w:rPr>
        <w:t>v </w:t>
      </w:r>
      <w:r w:rsidR="005A351D">
        <w:rPr>
          <w:rFonts w:ascii="Arial" w:hAnsi="Arial" w:cs="Arial"/>
          <w:sz w:val="22"/>
          <w:szCs w:val="22"/>
        </w:rPr>
        <w:t>podprogramu č. 113 212</w:t>
      </w:r>
      <w:r w:rsidR="00C763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uvedeno 12 parametrů, které byly </w:t>
      </w:r>
      <w:r w:rsidR="003B5AC3">
        <w:rPr>
          <w:rFonts w:ascii="Arial" w:hAnsi="Arial" w:cs="Arial"/>
          <w:sz w:val="22"/>
          <w:szCs w:val="22"/>
        </w:rPr>
        <w:t xml:space="preserve">rovněž </w:t>
      </w:r>
      <w:r w:rsidR="00B50DA6">
        <w:rPr>
          <w:rFonts w:ascii="Arial" w:hAnsi="Arial" w:cs="Arial"/>
          <w:sz w:val="22"/>
          <w:szCs w:val="22"/>
        </w:rPr>
        <w:t xml:space="preserve">upravovány </w:t>
      </w:r>
      <w:r>
        <w:rPr>
          <w:rFonts w:ascii="Arial" w:hAnsi="Arial" w:cs="Arial"/>
          <w:sz w:val="22"/>
          <w:szCs w:val="22"/>
        </w:rPr>
        <w:t>aktualizacemi</w:t>
      </w:r>
      <w:r w:rsidR="00C76380">
        <w:rPr>
          <w:rFonts w:ascii="Arial" w:hAnsi="Arial" w:cs="Arial"/>
          <w:sz w:val="22"/>
          <w:szCs w:val="22"/>
        </w:rPr>
        <w:t xml:space="preserve"> dokumentace programu. V případě parametrů týkajících se nákladů byly jejich hodnoty zvýšeny</w:t>
      </w:r>
      <w:r w:rsidR="00E26629">
        <w:rPr>
          <w:rFonts w:ascii="Arial" w:hAnsi="Arial" w:cs="Arial"/>
          <w:sz w:val="22"/>
          <w:szCs w:val="22"/>
        </w:rPr>
        <w:t>, například v rámci první aktualizace to bylo</w:t>
      </w:r>
      <w:r w:rsidR="00C76380">
        <w:rPr>
          <w:rFonts w:ascii="Arial" w:hAnsi="Arial" w:cs="Arial"/>
          <w:sz w:val="22"/>
          <w:szCs w:val="22"/>
        </w:rPr>
        <w:t xml:space="preserve"> v rozsahu od 4</w:t>
      </w:r>
      <w:r w:rsidR="005A351D">
        <w:rPr>
          <w:rFonts w:ascii="Arial" w:hAnsi="Arial" w:cs="Arial"/>
          <w:sz w:val="22"/>
          <w:szCs w:val="22"/>
        </w:rPr>
        <w:t xml:space="preserve"> </w:t>
      </w:r>
      <w:r w:rsidR="00C76380">
        <w:rPr>
          <w:rFonts w:ascii="Arial" w:hAnsi="Arial" w:cs="Arial"/>
          <w:sz w:val="22"/>
          <w:szCs w:val="22"/>
        </w:rPr>
        <w:t>% do 106</w:t>
      </w:r>
      <w:r w:rsidR="005A351D">
        <w:rPr>
          <w:rFonts w:ascii="Arial" w:hAnsi="Arial" w:cs="Arial"/>
          <w:sz w:val="22"/>
          <w:szCs w:val="22"/>
        </w:rPr>
        <w:t xml:space="preserve"> </w:t>
      </w:r>
      <w:r w:rsidR="00C76380">
        <w:rPr>
          <w:rFonts w:ascii="Arial" w:hAnsi="Arial" w:cs="Arial"/>
          <w:sz w:val="22"/>
          <w:szCs w:val="22"/>
        </w:rPr>
        <w:t xml:space="preserve">%. Úpravy hodnot zdůvodnilo </w:t>
      </w:r>
      <w:r w:rsidR="00B50DA6">
        <w:rPr>
          <w:rFonts w:ascii="Arial" w:hAnsi="Arial" w:cs="Arial"/>
          <w:sz w:val="22"/>
          <w:szCs w:val="22"/>
        </w:rPr>
        <w:t xml:space="preserve">MPSV </w:t>
      </w:r>
      <w:r w:rsidR="00C76380">
        <w:rPr>
          <w:rFonts w:ascii="Arial" w:hAnsi="Arial" w:cs="Arial"/>
          <w:sz w:val="22"/>
          <w:szCs w:val="22"/>
        </w:rPr>
        <w:t>průběhem přípravy akcí s tím, že limity byly objektivizovány na základě reálných cenových relací.</w:t>
      </w:r>
      <w:r w:rsidR="00E26629">
        <w:rPr>
          <w:rFonts w:ascii="Arial" w:hAnsi="Arial" w:cs="Arial"/>
          <w:sz w:val="22"/>
          <w:szCs w:val="22"/>
        </w:rPr>
        <w:t xml:space="preserve"> </w:t>
      </w:r>
      <w:r w:rsidR="00E26629" w:rsidRPr="00E26629">
        <w:rPr>
          <w:rFonts w:ascii="Arial" w:hAnsi="Arial" w:cs="Arial"/>
          <w:b/>
          <w:sz w:val="22"/>
          <w:szCs w:val="22"/>
        </w:rPr>
        <w:t>Podrobnější údaje k ověření hodnot parametrů MPSV nepředložilo</w:t>
      </w:r>
      <w:r w:rsidR="00E26629" w:rsidRPr="0075110E">
        <w:rPr>
          <w:rFonts w:ascii="Arial" w:hAnsi="Arial" w:cs="Arial"/>
          <w:b/>
          <w:sz w:val="22"/>
          <w:szCs w:val="22"/>
        </w:rPr>
        <w:t>.</w:t>
      </w:r>
    </w:p>
    <w:p w:rsidR="004E23B1" w:rsidRDefault="004E23B1" w:rsidP="006A6C53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F2A0B" w:rsidRDefault="00BF2A0B">
      <w:pPr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</w:rPr>
        <w:br w:type="page"/>
      </w:r>
    </w:p>
    <w:p w:rsidR="00B43F0D" w:rsidRDefault="00FE15A8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1.</w:t>
      </w:r>
      <w:r w:rsidR="00897DCB">
        <w:rPr>
          <w:rFonts w:ascii="Arial" w:hAnsi="Arial" w:cs="Arial"/>
          <w:b/>
          <w:sz w:val="22"/>
          <w:szCs w:val="22"/>
        </w:rPr>
        <w:t>3 Kontrolované akce</w:t>
      </w:r>
      <w:r w:rsidR="00BA170D">
        <w:rPr>
          <w:rFonts w:ascii="Arial" w:hAnsi="Arial" w:cs="Arial"/>
          <w:b/>
          <w:sz w:val="22"/>
          <w:szCs w:val="22"/>
        </w:rPr>
        <w:t xml:space="preserve"> z podprogramu č. 113 212</w:t>
      </w:r>
    </w:p>
    <w:p w:rsidR="0084736A" w:rsidRDefault="0084736A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62999" w:rsidRDefault="0084736A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Ke kontrole byly vybrány čtyři akce, </w:t>
      </w:r>
      <w:r w:rsidR="003B5AC3">
        <w:rPr>
          <w:rFonts w:ascii="Arial" w:hAnsi="Arial" w:cs="Arial"/>
          <w:sz w:val="22"/>
          <w:szCs w:val="22"/>
        </w:rPr>
        <w:t xml:space="preserve">které </w:t>
      </w:r>
      <w:r>
        <w:rPr>
          <w:rFonts w:ascii="Arial" w:hAnsi="Arial" w:cs="Arial"/>
          <w:sz w:val="22"/>
          <w:szCs w:val="22"/>
        </w:rPr>
        <w:t xml:space="preserve">se </w:t>
      </w:r>
      <w:r w:rsidR="003B5AC3">
        <w:rPr>
          <w:rFonts w:ascii="Arial" w:hAnsi="Arial" w:cs="Arial"/>
          <w:sz w:val="22"/>
          <w:szCs w:val="22"/>
        </w:rPr>
        <w:t xml:space="preserve">týkaly </w:t>
      </w:r>
      <w:r w:rsidR="00C06EF6">
        <w:rPr>
          <w:rFonts w:ascii="Arial" w:hAnsi="Arial" w:cs="Arial"/>
          <w:sz w:val="22"/>
          <w:szCs w:val="22"/>
        </w:rPr>
        <w:t>objektů</w:t>
      </w:r>
      <w:r w:rsidR="005F5E0E">
        <w:rPr>
          <w:rFonts w:ascii="Arial" w:hAnsi="Arial" w:cs="Arial"/>
          <w:sz w:val="22"/>
          <w:szCs w:val="22"/>
        </w:rPr>
        <w:t xml:space="preserve"> v Jihlavě, Opavě a Praze</w:t>
      </w:r>
      <w:r w:rsidR="00044D72">
        <w:rPr>
          <w:rFonts w:ascii="Arial" w:hAnsi="Arial" w:cs="Arial"/>
          <w:sz w:val="22"/>
          <w:szCs w:val="22"/>
        </w:rPr>
        <w:t>,</w:t>
      </w:r>
      <w:r w:rsidR="00584289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s </w:t>
      </w:r>
      <w:r w:rsidR="00584289">
        <w:rPr>
          <w:rFonts w:ascii="Arial" w:hAnsi="Arial" w:cs="Arial"/>
          <w:sz w:val="22"/>
          <w:szCs w:val="22"/>
        </w:rPr>
        <w:t>celkovými</w:t>
      </w:r>
      <w:r w:rsidR="00775117">
        <w:rPr>
          <w:rFonts w:ascii="Arial" w:hAnsi="Arial" w:cs="Arial"/>
          <w:sz w:val="22"/>
          <w:szCs w:val="22"/>
        </w:rPr>
        <w:t xml:space="preserve"> náklady 419,8 mil. Kč</w:t>
      </w:r>
      <w:r w:rsidR="00584289">
        <w:rPr>
          <w:rFonts w:ascii="Arial" w:hAnsi="Arial" w:cs="Arial"/>
          <w:sz w:val="22"/>
          <w:szCs w:val="22"/>
        </w:rPr>
        <w:t xml:space="preserve"> (viz příloha č. 1)</w:t>
      </w:r>
      <w:r w:rsidR="00775117">
        <w:rPr>
          <w:rFonts w:ascii="Arial" w:hAnsi="Arial" w:cs="Arial"/>
          <w:sz w:val="22"/>
          <w:szCs w:val="22"/>
        </w:rPr>
        <w:t xml:space="preserve">. </w:t>
      </w:r>
      <w:r w:rsidR="00262999">
        <w:rPr>
          <w:rFonts w:ascii="Arial" w:hAnsi="Arial" w:cs="Arial"/>
          <w:sz w:val="22"/>
          <w:szCs w:val="22"/>
        </w:rPr>
        <w:t>Kontrolou</w:t>
      </w:r>
      <w:r w:rsidR="00DB339F">
        <w:rPr>
          <w:rFonts w:ascii="Arial" w:hAnsi="Arial" w:cs="Arial"/>
          <w:sz w:val="22"/>
          <w:szCs w:val="22"/>
        </w:rPr>
        <w:t xml:space="preserve"> jejich</w:t>
      </w:r>
      <w:r w:rsidR="00E26629">
        <w:rPr>
          <w:rFonts w:ascii="Arial" w:hAnsi="Arial" w:cs="Arial"/>
          <w:sz w:val="22"/>
          <w:szCs w:val="22"/>
        </w:rPr>
        <w:t xml:space="preserve"> přípravy a realizace</w:t>
      </w:r>
      <w:r w:rsidR="00262999">
        <w:rPr>
          <w:rFonts w:ascii="Arial" w:hAnsi="Arial" w:cs="Arial"/>
          <w:sz w:val="22"/>
          <w:szCs w:val="22"/>
        </w:rPr>
        <w:t xml:space="preserve"> byly zjištěny následující nedostatky:</w:t>
      </w:r>
      <w:r w:rsidR="00584289">
        <w:rPr>
          <w:rFonts w:ascii="Arial" w:hAnsi="Arial" w:cs="Arial"/>
          <w:sz w:val="22"/>
          <w:szCs w:val="22"/>
        </w:rPr>
        <w:t xml:space="preserve"> </w:t>
      </w:r>
    </w:p>
    <w:p w:rsidR="002947F6" w:rsidRDefault="00262999" w:rsidP="0075110E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ČSSZ</w:t>
      </w:r>
      <w:r w:rsidR="00584289">
        <w:rPr>
          <w:rFonts w:ascii="Arial" w:hAnsi="Arial" w:cs="Arial"/>
          <w:sz w:val="22"/>
          <w:szCs w:val="22"/>
        </w:rPr>
        <w:t xml:space="preserve"> ukončila</w:t>
      </w:r>
      <w:r w:rsidR="002947F6">
        <w:rPr>
          <w:rFonts w:ascii="Arial" w:hAnsi="Arial" w:cs="Arial"/>
          <w:sz w:val="22"/>
          <w:szCs w:val="22"/>
        </w:rPr>
        <w:t xml:space="preserve"> v průběhu přípravy</w:t>
      </w:r>
      <w:r w:rsidR="00584289">
        <w:rPr>
          <w:rFonts w:ascii="Arial" w:hAnsi="Arial" w:cs="Arial"/>
          <w:sz w:val="22"/>
          <w:szCs w:val="22"/>
        </w:rPr>
        <w:t xml:space="preserve"> </w:t>
      </w:r>
      <w:r w:rsidR="002947F6">
        <w:rPr>
          <w:rFonts w:ascii="Arial" w:hAnsi="Arial" w:cs="Arial"/>
          <w:sz w:val="22"/>
          <w:szCs w:val="22"/>
        </w:rPr>
        <w:t>v roce 2009</w:t>
      </w:r>
      <w:r w:rsidR="00FC19EA">
        <w:rPr>
          <w:rFonts w:ascii="Arial" w:hAnsi="Arial" w:cs="Arial"/>
          <w:sz w:val="22"/>
          <w:szCs w:val="22"/>
        </w:rPr>
        <w:t xml:space="preserve"> finančně nejnáročnější</w:t>
      </w:r>
      <w:r w:rsidR="002947F6">
        <w:rPr>
          <w:rFonts w:ascii="Arial" w:hAnsi="Arial" w:cs="Arial"/>
          <w:sz w:val="22"/>
          <w:szCs w:val="22"/>
        </w:rPr>
        <w:t xml:space="preserve"> akci</w:t>
      </w:r>
      <w:r w:rsidR="00FC19EA">
        <w:rPr>
          <w:rFonts w:ascii="Arial" w:hAnsi="Arial" w:cs="Arial"/>
          <w:sz w:val="22"/>
          <w:szCs w:val="22"/>
        </w:rPr>
        <w:t xml:space="preserve"> podprogramu s předpokládanými náklady 153,6 mil. Kč</w:t>
      </w:r>
      <w:r w:rsidR="002947F6">
        <w:rPr>
          <w:rFonts w:ascii="Arial" w:hAnsi="Arial" w:cs="Arial"/>
          <w:sz w:val="22"/>
          <w:szCs w:val="22"/>
        </w:rPr>
        <w:t>, týkají</w:t>
      </w:r>
      <w:r w:rsidR="00FC19EA">
        <w:rPr>
          <w:rFonts w:ascii="Arial" w:hAnsi="Arial" w:cs="Arial"/>
          <w:sz w:val="22"/>
          <w:szCs w:val="22"/>
        </w:rPr>
        <w:t xml:space="preserve">cí se výstavby budovy v Jihlavě. ČSSZ vyčerpala na akci </w:t>
      </w:r>
      <w:r w:rsidR="002947F6">
        <w:rPr>
          <w:rFonts w:ascii="Arial" w:hAnsi="Arial" w:cs="Arial"/>
          <w:sz w:val="22"/>
          <w:szCs w:val="22"/>
        </w:rPr>
        <w:t>5,9 mil. Kč, z toho 3,3 mil. Kč na nákup pozemku. Pozemek byl v době kontroly nevyužitý a ze sdělení ČSSZ nebylo zřejmé, jak s ním bude naloženo. Zaměstnanci ČSSZ mají být umístěni v budově získané od ÚP ČR</w:t>
      </w:r>
      <w:r w:rsidR="003B5AC3">
        <w:rPr>
          <w:rFonts w:ascii="Arial" w:hAnsi="Arial" w:cs="Arial"/>
          <w:sz w:val="22"/>
          <w:szCs w:val="22"/>
        </w:rPr>
        <w:t>.</w:t>
      </w:r>
      <w:r w:rsidR="002947F6">
        <w:rPr>
          <w:rFonts w:ascii="Arial" w:hAnsi="Arial" w:cs="Arial"/>
          <w:sz w:val="22"/>
          <w:szCs w:val="22"/>
        </w:rPr>
        <w:t xml:space="preserve"> </w:t>
      </w:r>
      <w:r w:rsidR="003B5AC3">
        <w:rPr>
          <w:rFonts w:ascii="Arial" w:hAnsi="Arial" w:cs="Arial"/>
          <w:sz w:val="22"/>
          <w:szCs w:val="22"/>
        </w:rPr>
        <w:t>Tato budova</w:t>
      </w:r>
      <w:r w:rsidR="002947F6">
        <w:rPr>
          <w:rFonts w:ascii="Arial" w:hAnsi="Arial" w:cs="Arial"/>
          <w:sz w:val="22"/>
          <w:szCs w:val="22"/>
        </w:rPr>
        <w:t xml:space="preserve"> b</w:t>
      </w:r>
      <w:r w:rsidR="00FC19EA">
        <w:rPr>
          <w:rFonts w:ascii="Arial" w:hAnsi="Arial" w:cs="Arial"/>
          <w:sz w:val="22"/>
          <w:szCs w:val="22"/>
        </w:rPr>
        <w:t>yla v době kontroly rekonstruována</w:t>
      </w:r>
      <w:r w:rsidR="002947F6">
        <w:rPr>
          <w:rFonts w:ascii="Arial" w:hAnsi="Arial" w:cs="Arial"/>
          <w:sz w:val="22"/>
          <w:szCs w:val="22"/>
        </w:rPr>
        <w:t xml:space="preserve"> s předpokládanými náklady 17,5</w:t>
      </w:r>
      <w:r w:rsidR="003B5AC3">
        <w:rPr>
          <w:rFonts w:ascii="Arial" w:hAnsi="Arial" w:cs="Arial"/>
          <w:sz w:val="22"/>
          <w:szCs w:val="22"/>
        </w:rPr>
        <w:t> </w:t>
      </w:r>
      <w:r w:rsidR="002947F6">
        <w:rPr>
          <w:rFonts w:ascii="Arial" w:hAnsi="Arial" w:cs="Arial"/>
          <w:sz w:val="22"/>
          <w:szCs w:val="22"/>
        </w:rPr>
        <w:t>mil.</w:t>
      </w:r>
      <w:r w:rsidR="003B5AC3">
        <w:rPr>
          <w:rFonts w:ascii="Arial" w:hAnsi="Arial" w:cs="Arial"/>
          <w:sz w:val="22"/>
          <w:szCs w:val="22"/>
        </w:rPr>
        <w:t> </w:t>
      </w:r>
      <w:r w:rsidR="002947F6">
        <w:rPr>
          <w:rFonts w:ascii="Arial" w:hAnsi="Arial" w:cs="Arial"/>
          <w:sz w:val="22"/>
          <w:szCs w:val="22"/>
        </w:rPr>
        <w:t>Kč (viz bod 4.2).</w:t>
      </w:r>
      <w:r w:rsidR="00FC19EA">
        <w:rPr>
          <w:rFonts w:ascii="Arial" w:hAnsi="Arial" w:cs="Arial"/>
          <w:sz w:val="22"/>
          <w:szCs w:val="22"/>
        </w:rPr>
        <w:t xml:space="preserve"> </w:t>
      </w:r>
    </w:p>
    <w:p w:rsidR="006D3F98" w:rsidRDefault="008454BD" w:rsidP="0075110E">
      <w:pPr>
        <w:pStyle w:val="Prosttext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C0212F">
        <w:rPr>
          <w:rFonts w:ascii="Arial" w:hAnsi="Arial" w:cs="Arial"/>
          <w:sz w:val="22"/>
          <w:szCs w:val="22"/>
        </w:rPr>
        <w:t>MPSV stanovilo výdaje</w:t>
      </w:r>
      <w:r w:rsidR="00717B28">
        <w:rPr>
          <w:rFonts w:ascii="Arial" w:hAnsi="Arial" w:cs="Arial"/>
          <w:sz w:val="22"/>
          <w:szCs w:val="22"/>
        </w:rPr>
        <w:t xml:space="preserve"> na financování akce</w:t>
      </w:r>
      <w:r w:rsidR="005915F0">
        <w:rPr>
          <w:rFonts w:ascii="Arial" w:hAnsi="Arial" w:cs="Arial"/>
          <w:sz w:val="22"/>
          <w:szCs w:val="22"/>
        </w:rPr>
        <w:t xml:space="preserve"> výstavby budovy v Opavě až po čtyřech mě</w:t>
      </w:r>
      <w:r w:rsidR="00C0212F">
        <w:rPr>
          <w:rFonts w:ascii="Arial" w:hAnsi="Arial" w:cs="Arial"/>
          <w:sz w:val="22"/>
          <w:szCs w:val="22"/>
        </w:rPr>
        <w:t>sících od podání žádosti na jejich</w:t>
      </w:r>
      <w:r w:rsidR="005915F0">
        <w:rPr>
          <w:rFonts w:ascii="Arial" w:hAnsi="Arial" w:cs="Arial"/>
          <w:sz w:val="22"/>
          <w:szCs w:val="22"/>
        </w:rPr>
        <w:t xml:space="preserve"> vydání. Výstavba se tak dostala do nevhodných klimatických podmínek</w:t>
      </w:r>
      <w:r w:rsidR="00717B28">
        <w:rPr>
          <w:rFonts w:ascii="Arial" w:hAnsi="Arial" w:cs="Arial"/>
          <w:sz w:val="22"/>
          <w:szCs w:val="22"/>
        </w:rPr>
        <w:t>, což b</w:t>
      </w:r>
      <w:r w:rsidR="00227C8C">
        <w:rPr>
          <w:rFonts w:ascii="Arial" w:hAnsi="Arial" w:cs="Arial"/>
          <w:sz w:val="22"/>
          <w:szCs w:val="22"/>
        </w:rPr>
        <w:t>ylo příčinou vzniku části víceprací</w:t>
      </w:r>
      <w:r w:rsidR="00C06EF6">
        <w:rPr>
          <w:rFonts w:ascii="Arial" w:hAnsi="Arial" w:cs="Arial"/>
          <w:sz w:val="22"/>
          <w:szCs w:val="22"/>
        </w:rPr>
        <w:t xml:space="preserve"> a </w:t>
      </w:r>
      <w:r w:rsidR="00227C8C">
        <w:rPr>
          <w:rFonts w:ascii="Arial" w:hAnsi="Arial" w:cs="Arial"/>
          <w:sz w:val="22"/>
          <w:szCs w:val="22"/>
        </w:rPr>
        <w:t>prodloužení doby</w:t>
      </w:r>
      <w:r w:rsidR="006D3F98">
        <w:rPr>
          <w:rFonts w:ascii="Arial" w:hAnsi="Arial" w:cs="Arial"/>
          <w:sz w:val="22"/>
          <w:szCs w:val="22"/>
        </w:rPr>
        <w:t xml:space="preserve"> výstavby </w:t>
      </w:r>
      <w:r w:rsidR="00DA2D42">
        <w:rPr>
          <w:rFonts w:ascii="Arial" w:hAnsi="Arial" w:cs="Arial"/>
          <w:sz w:val="22"/>
          <w:szCs w:val="22"/>
        </w:rPr>
        <w:t>na deset měsíců</w:t>
      </w:r>
      <w:r w:rsidR="005915F0">
        <w:rPr>
          <w:rFonts w:ascii="Arial" w:hAnsi="Arial" w:cs="Arial"/>
          <w:sz w:val="22"/>
          <w:szCs w:val="22"/>
        </w:rPr>
        <w:t xml:space="preserve"> z původních šesti.</w:t>
      </w:r>
      <w:r w:rsidR="00717B28">
        <w:rPr>
          <w:rFonts w:ascii="Arial" w:hAnsi="Arial" w:cs="Arial"/>
          <w:sz w:val="22"/>
          <w:szCs w:val="22"/>
        </w:rPr>
        <w:t xml:space="preserve"> </w:t>
      </w:r>
    </w:p>
    <w:p w:rsidR="00EF58E0" w:rsidRDefault="006D3F98" w:rsidP="0075110E">
      <w:pPr>
        <w:pStyle w:val="Prosttext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Vícepráce v ceně 6,1 mil. Kč</w:t>
      </w:r>
      <w:r w:rsidR="00B00037">
        <w:rPr>
          <w:rFonts w:ascii="Arial" w:hAnsi="Arial" w:cs="Arial"/>
          <w:sz w:val="22"/>
          <w:szCs w:val="22"/>
        </w:rPr>
        <w:t xml:space="preserve"> bez DPH</w:t>
      </w:r>
      <w:r>
        <w:rPr>
          <w:rFonts w:ascii="Arial" w:hAnsi="Arial" w:cs="Arial"/>
          <w:sz w:val="22"/>
          <w:szCs w:val="22"/>
        </w:rPr>
        <w:t xml:space="preserve"> (7,6 % z ceny díla) nebyly zadány v souladu se zákonem č. 137/2006 Sb.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="00227C8C">
        <w:rPr>
          <w:rFonts w:ascii="Arial" w:hAnsi="Arial" w:cs="Arial"/>
          <w:sz w:val="22"/>
          <w:szCs w:val="22"/>
        </w:rPr>
        <w:t xml:space="preserve"> </w:t>
      </w:r>
      <w:r w:rsidR="000B64CD">
        <w:rPr>
          <w:rFonts w:ascii="Arial" w:hAnsi="Arial" w:cs="Arial"/>
          <w:sz w:val="22"/>
          <w:szCs w:val="22"/>
        </w:rPr>
        <w:t>Dodavatel</w:t>
      </w:r>
      <w:r w:rsidR="00C0212F">
        <w:rPr>
          <w:rFonts w:ascii="Arial" w:hAnsi="Arial" w:cs="Arial"/>
          <w:sz w:val="22"/>
          <w:szCs w:val="22"/>
        </w:rPr>
        <w:t xml:space="preserve"> navrhl v</w:t>
      </w:r>
      <w:r w:rsidR="00227C8C">
        <w:rPr>
          <w:rFonts w:ascii="Arial" w:hAnsi="Arial" w:cs="Arial"/>
          <w:sz w:val="22"/>
          <w:szCs w:val="22"/>
        </w:rPr>
        <w:t>ícepráce</w:t>
      </w:r>
      <w:r w:rsidR="00DC141C">
        <w:rPr>
          <w:rFonts w:ascii="Arial" w:hAnsi="Arial" w:cs="Arial"/>
          <w:sz w:val="22"/>
          <w:szCs w:val="22"/>
        </w:rPr>
        <w:t xml:space="preserve"> </w:t>
      </w:r>
      <w:r w:rsidR="00227C8C">
        <w:rPr>
          <w:rFonts w:ascii="Arial" w:hAnsi="Arial" w:cs="Arial"/>
          <w:sz w:val="22"/>
          <w:szCs w:val="22"/>
        </w:rPr>
        <w:t>v říjnu a listopadu 2009</w:t>
      </w:r>
      <w:r w:rsidR="00DC141C">
        <w:rPr>
          <w:rFonts w:ascii="Arial" w:hAnsi="Arial" w:cs="Arial"/>
          <w:sz w:val="22"/>
          <w:szCs w:val="22"/>
        </w:rPr>
        <w:t xml:space="preserve">, avšak </w:t>
      </w:r>
      <w:r w:rsidR="00C0212F">
        <w:rPr>
          <w:rFonts w:ascii="Arial" w:hAnsi="Arial" w:cs="Arial"/>
          <w:sz w:val="22"/>
          <w:szCs w:val="22"/>
        </w:rPr>
        <w:t xml:space="preserve">ČSSZ uzavřela </w:t>
      </w:r>
      <w:r w:rsidR="00DC141C">
        <w:rPr>
          <w:rFonts w:ascii="Arial" w:hAnsi="Arial" w:cs="Arial"/>
          <w:sz w:val="22"/>
          <w:szCs w:val="22"/>
        </w:rPr>
        <w:t>dodatek ke smlouvě</w:t>
      </w:r>
      <w:r w:rsidR="00C0212F">
        <w:rPr>
          <w:rFonts w:ascii="Arial" w:hAnsi="Arial" w:cs="Arial"/>
          <w:sz w:val="22"/>
          <w:szCs w:val="22"/>
        </w:rPr>
        <w:t xml:space="preserve"> až</w:t>
      </w:r>
      <w:r w:rsidR="00DC141C">
        <w:rPr>
          <w:rFonts w:ascii="Arial" w:hAnsi="Arial" w:cs="Arial"/>
          <w:sz w:val="22"/>
          <w:szCs w:val="22"/>
        </w:rPr>
        <w:t xml:space="preserve"> </w:t>
      </w:r>
      <w:r w:rsidR="001575F2">
        <w:rPr>
          <w:rFonts w:ascii="Arial" w:hAnsi="Arial" w:cs="Arial"/>
          <w:sz w:val="22"/>
          <w:szCs w:val="22"/>
        </w:rPr>
        <w:t xml:space="preserve">14 dní po zahájení přejímacího řízení stavby </w:t>
      </w:r>
      <w:r w:rsidR="00C96301">
        <w:rPr>
          <w:rFonts w:ascii="Arial" w:hAnsi="Arial" w:cs="Arial"/>
          <w:sz w:val="22"/>
          <w:szCs w:val="22"/>
        </w:rPr>
        <w:t xml:space="preserve">dne </w:t>
      </w:r>
      <w:r w:rsidR="001575F2">
        <w:rPr>
          <w:rFonts w:ascii="Arial" w:hAnsi="Arial" w:cs="Arial"/>
          <w:sz w:val="22"/>
          <w:szCs w:val="22"/>
        </w:rPr>
        <w:t>14. 5. 2010, přičemž vícepráce se týkaly i založení stavby.</w:t>
      </w:r>
      <w:r w:rsidR="00C0212F">
        <w:rPr>
          <w:rFonts w:ascii="Arial" w:hAnsi="Arial" w:cs="Arial"/>
          <w:sz w:val="22"/>
          <w:szCs w:val="22"/>
        </w:rPr>
        <w:t xml:space="preserve"> </w:t>
      </w:r>
    </w:p>
    <w:p w:rsidR="00DC141C" w:rsidRDefault="00C0212F" w:rsidP="0075110E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MPSV zaregistrovalo v dubnu 2008 do podprogramu akci</w:t>
      </w:r>
      <w:r w:rsidRPr="00DC141C">
        <w:rPr>
          <w:rFonts w:ascii="Arial" w:hAnsi="Arial" w:cs="Arial"/>
          <w:sz w:val="22"/>
          <w:szCs w:val="22"/>
        </w:rPr>
        <w:t xml:space="preserve"> výstavby administrativní budovy (arch</w:t>
      </w:r>
      <w:r w:rsidR="005037BF">
        <w:rPr>
          <w:rFonts w:ascii="Arial" w:hAnsi="Arial" w:cs="Arial"/>
          <w:sz w:val="22"/>
          <w:szCs w:val="22"/>
        </w:rPr>
        <w:t>i</w:t>
      </w:r>
      <w:r w:rsidRPr="00DC141C">
        <w:rPr>
          <w:rFonts w:ascii="Arial" w:hAnsi="Arial" w:cs="Arial"/>
          <w:sz w:val="22"/>
          <w:szCs w:val="22"/>
        </w:rPr>
        <w:t>vu) v</w:t>
      </w:r>
      <w:r>
        <w:rPr>
          <w:rFonts w:ascii="Arial" w:hAnsi="Arial" w:cs="Arial"/>
          <w:sz w:val="22"/>
          <w:szCs w:val="22"/>
        </w:rPr>
        <w:t> </w:t>
      </w:r>
      <w:r w:rsidRPr="00DC141C">
        <w:rPr>
          <w:rFonts w:ascii="Arial" w:hAnsi="Arial" w:cs="Arial"/>
          <w:sz w:val="22"/>
          <w:szCs w:val="22"/>
        </w:rPr>
        <w:t>Praze</w:t>
      </w:r>
      <w:r>
        <w:rPr>
          <w:rFonts w:ascii="Arial" w:hAnsi="Arial" w:cs="Arial"/>
          <w:sz w:val="22"/>
          <w:szCs w:val="22"/>
        </w:rPr>
        <w:t xml:space="preserve"> na základě investičního záměru,</w:t>
      </w:r>
      <w:r w:rsidR="0065614B">
        <w:rPr>
          <w:rFonts w:ascii="Arial" w:hAnsi="Arial" w:cs="Arial"/>
          <w:sz w:val="22"/>
          <w:szCs w:val="22"/>
        </w:rPr>
        <w:t xml:space="preserve"> který ČSSZ</w:t>
      </w:r>
      <w:r>
        <w:rPr>
          <w:rFonts w:ascii="Arial" w:hAnsi="Arial" w:cs="Arial"/>
          <w:sz w:val="22"/>
          <w:szCs w:val="22"/>
        </w:rPr>
        <w:t xml:space="preserve"> </w:t>
      </w:r>
      <w:r w:rsidR="0065614B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>vypracova</w:t>
      </w:r>
      <w:r w:rsidR="0065614B">
        <w:rPr>
          <w:rFonts w:ascii="Arial" w:hAnsi="Arial" w:cs="Arial"/>
          <w:sz w:val="22"/>
          <w:szCs w:val="22"/>
        </w:rPr>
        <w:t xml:space="preserve">la </w:t>
      </w:r>
      <w:r w:rsidR="000B64CD">
        <w:rPr>
          <w:rFonts w:ascii="Arial" w:hAnsi="Arial" w:cs="Arial"/>
          <w:sz w:val="22"/>
          <w:szCs w:val="22"/>
        </w:rPr>
        <w:t>v souladu se změnou</w:t>
      </w:r>
      <w:r w:rsidR="0065614B">
        <w:rPr>
          <w:rFonts w:ascii="Arial" w:hAnsi="Arial" w:cs="Arial"/>
          <w:sz w:val="22"/>
          <w:szCs w:val="22"/>
        </w:rPr>
        <w:t xml:space="preserve"> koncepce</w:t>
      </w:r>
      <w:r w:rsidR="001E1342">
        <w:rPr>
          <w:rFonts w:ascii="Arial" w:hAnsi="Arial" w:cs="Arial"/>
          <w:sz w:val="22"/>
          <w:szCs w:val="22"/>
        </w:rPr>
        <w:t xml:space="preserve"> archivace dokladů. Na </w:t>
      </w:r>
      <w:r w:rsidR="005037BF">
        <w:rPr>
          <w:rFonts w:ascii="Arial" w:hAnsi="Arial" w:cs="Arial"/>
          <w:sz w:val="22"/>
          <w:szCs w:val="22"/>
        </w:rPr>
        <w:t xml:space="preserve">koncepci </w:t>
      </w:r>
      <w:r w:rsidR="001E1342">
        <w:rPr>
          <w:rFonts w:ascii="Arial" w:hAnsi="Arial" w:cs="Arial"/>
          <w:sz w:val="22"/>
          <w:szCs w:val="22"/>
        </w:rPr>
        <w:t xml:space="preserve">změněnou </w:t>
      </w:r>
      <w:r w:rsidR="00DA79BA">
        <w:rPr>
          <w:rFonts w:ascii="Arial" w:hAnsi="Arial" w:cs="Arial"/>
          <w:sz w:val="22"/>
          <w:szCs w:val="22"/>
        </w:rPr>
        <w:t xml:space="preserve">již v roce 2007 </w:t>
      </w:r>
      <w:r w:rsidR="001E1342">
        <w:rPr>
          <w:rFonts w:ascii="Arial" w:hAnsi="Arial" w:cs="Arial"/>
          <w:sz w:val="22"/>
          <w:szCs w:val="22"/>
        </w:rPr>
        <w:t>bylo reagováno až v průběhu realizace akce v roce 2009. Došlo tak k věcným změnám stavby</w:t>
      </w:r>
      <w:r>
        <w:rPr>
          <w:rFonts w:ascii="Arial" w:hAnsi="Arial" w:cs="Arial"/>
          <w:sz w:val="22"/>
          <w:szCs w:val="22"/>
        </w:rPr>
        <w:t xml:space="preserve"> a </w:t>
      </w:r>
      <w:r w:rsidR="001E1342">
        <w:rPr>
          <w:rFonts w:ascii="Arial" w:hAnsi="Arial" w:cs="Arial"/>
          <w:sz w:val="22"/>
          <w:szCs w:val="22"/>
        </w:rPr>
        <w:t>navýšení nákladů o 10,7 mil. Kč. Dále bylo nutné s náklady 79,7 mil. Kč dovybavit</w:t>
      </w:r>
      <w:r w:rsidR="003A62A2">
        <w:rPr>
          <w:rFonts w:ascii="Arial" w:hAnsi="Arial" w:cs="Arial"/>
          <w:sz w:val="22"/>
          <w:szCs w:val="22"/>
        </w:rPr>
        <w:t xml:space="preserve"> novou</w:t>
      </w:r>
      <w:r w:rsidR="001E1342">
        <w:rPr>
          <w:rFonts w:ascii="Arial" w:hAnsi="Arial" w:cs="Arial"/>
          <w:sz w:val="22"/>
          <w:szCs w:val="22"/>
        </w:rPr>
        <w:t xml:space="preserve"> budovu archivačními systémy. </w:t>
      </w:r>
    </w:p>
    <w:p w:rsidR="00EB337C" w:rsidRDefault="00EB337C" w:rsidP="00262999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A73224" w:rsidRPr="00FE15A8" w:rsidRDefault="00FE15A8" w:rsidP="00FE15A8">
      <w:pPr>
        <w:pStyle w:val="Prosttext"/>
        <w:ind w:left="284" w:hanging="284"/>
        <w:jc w:val="both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 </w:t>
      </w:r>
      <w:r>
        <w:rPr>
          <w:rFonts w:ascii="Arial" w:hAnsi="Arial" w:cs="Arial"/>
          <w:b/>
          <w:sz w:val="22"/>
          <w:szCs w:val="22"/>
        </w:rPr>
        <w:tab/>
        <w:t>Program č. 113</w:t>
      </w:r>
      <w:r w:rsidR="00DA79BA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220</w:t>
      </w:r>
      <w:r w:rsidR="00DA79BA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FE15A8">
        <w:rPr>
          <w:rFonts w:ascii="Arial" w:hAnsi="Arial" w:cs="Arial"/>
          <w:b/>
          <w:i/>
          <w:sz w:val="22"/>
          <w:szCs w:val="22"/>
        </w:rPr>
        <w:t>Rozvoj a obnova materiálně technické základny České správy sociálního zabezpečení</w:t>
      </w:r>
    </w:p>
    <w:p w:rsidR="005F5E0E" w:rsidRDefault="005F5E0E" w:rsidP="006A6C53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897DCB" w:rsidRDefault="00897DC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Dokumentaci programu schválilo MF </w:t>
      </w:r>
      <w:r w:rsidR="009E06AF">
        <w:rPr>
          <w:rFonts w:ascii="Arial" w:hAnsi="Arial" w:cs="Arial"/>
          <w:sz w:val="22"/>
          <w:szCs w:val="22"/>
        </w:rPr>
        <w:t>v </w:t>
      </w:r>
      <w:r w:rsidR="00EC036C">
        <w:rPr>
          <w:rFonts w:ascii="Arial" w:hAnsi="Arial" w:cs="Arial"/>
          <w:sz w:val="22"/>
          <w:szCs w:val="22"/>
        </w:rPr>
        <w:t>lednu</w:t>
      </w:r>
      <w:r>
        <w:rPr>
          <w:rFonts w:ascii="Arial" w:hAnsi="Arial" w:cs="Arial"/>
          <w:sz w:val="22"/>
          <w:szCs w:val="22"/>
        </w:rPr>
        <w:t xml:space="preserve"> 2011. </w:t>
      </w:r>
      <w:r w:rsidR="00FE15A8">
        <w:rPr>
          <w:rFonts w:ascii="Arial" w:hAnsi="Arial" w:cs="Arial"/>
          <w:sz w:val="22"/>
          <w:szCs w:val="22"/>
        </w:rPr>
        <w:t>Progr</w:t>
      </w:r>
      <w:r>
        <w:rPr>
          <w:rFonts w:ascii="Arial" w:hAnsi="Arial" w:cs="Arial"/>
          <w:sz w:val="22"/>
          <w:szCs w:val="22"/>
        </w:rPr>
        <w:t>am navazoval na v letech 2010 a </w:t>
      </w:r>
      <w:r w:rsidR="00FE15A8">
        <w:rPr>
          <w:rFonts w:ascii="Arial" w:hAnsi="Arial" w:cs="Arial"/>
          <w:sz w:val="22"/>
          <w:szCs w:val="22"/>
        </w:rPr>
        <w:t>2011 ukončené podprogramy z programu č. 113</w:t>
      </w:r>
      <w:r w:rsidR="005E5417">
        <w:rPr>
          <w:rFonts w:ascii="Arial" w:hAnsi="Arial" w:cs="Arial"/>
          <w:sz w:val="22"/>
          <w:szCs w:val="22"/>
        </w:rPr>
        <w:t> </w:t>
      </w:r>
      <w:r w:rsidR="00FE15A8">
        <w:rPr>
          <w:rFonts w:ascii="Arial" w:hAnsi="Arial" w:cs="Arial"/>
          <w:sz w:val="22"/>
          <w:szCs w:val="22"/>
        </w:rPr>
        <w:t>210</w:t>
      </w:r>
      <w:r w:rsidR="005E5417">
        <w:rPr>
          <w:rFonts w:ascii="Arial" w:hAnsi="Arial" w:cs="Arial"/>
          <w:sz w:val="22"/>
          <w:szCs w:val="22"/>
        </w:rPr>
        <w:t xml:space="preserve"> a č</w:t>
      </w:r>
      <w:r>
        <w:rPr>
          <w:rFonts w:ascii="Arial" w:hAnsi="Arial" w:cs="Arial"/>
          <w:sz w:val="22"/>
          <w:szCs w:val="22"/>
        </w:rPr>
        <w:t xml:space="preserve">lenil se na dva podprogramy. </w:t>
      </w:r>
      <w:r w:rsidR="00B015F5">
        <w:rPr>
          <w:rFonts w:ascii="Arial" w:hAnsi="Arial" w:cs="Arial"/>
          <w:sz w:val="22"/>
          <w:szCs w:val="22"/>
        </w:rPr>
        <w:t>Kontrola byla zaměřena na podprogram č. </w:t>
      </w:r>
      <w:proofErr w:type="spellStart"/>
      <w:r w:rsidR="00B015F5">
        <w:rPr>
          <w:rFonts w:ascii="Arial" w:hAnsi="Arial" w:cs="Arial"/>
          <w:sz w:val="22"/>
          <w:szCs w:val="22"/>
        </w:rPr>
        <w:t>113V222</w:t>
      </w:r>
      <w:proofErr w:type="spellEnd"/>
      <w:r w:rsidR="003A3764">
        <w:rPr>
          <w:rFonts w:ascii="Arial" w:hAnsi="Arial" w:cs="Arial"/>
          <w:sz w:val="22"/>
          <w:szCs w:val="22"/>
        </w:rPr>
        <w:t xml:space="preserve"> –</w:t>
      </w:r>
      <w:r w:rsidR="00B015F5">
        <w:rPr>
          <w:rFonts w:ascii="Arial" w:hAnsi="Arial" w:cs="Arial"/>
          <w:sz w:val="22"/>
          <w:szCs w:val="22"/>
        </w:rPr>
        <w:t xml:space="preserve"> </w:t>
      </w:r>
      <w:r w:rsidR="00B015F5">
        <w:rPr>
          <w:rFonts w:ascii="Arial" w:hAnsi="Arial" w:cs="Arial"/>
          <w:i/>
          <w:sz w:val="22"/>
          <w:szCs w:val="22"/>
        </w:rPr>
        <w:t>Pořízení a obnova majetku ČSSZ</w:t>
      </w:r>
      <w:r w:rsidR="00B015F5">
        <w:rPr>
          <w:rFonts w:ascii="Arial" w:hAnsi="Arial" w:cs="Arial"/>
          <w:sz w:val="22"/>
          <w:szCs w:val="22"/>
        </w:rPr>
        <w:t xml:space="preserve">. Druhý </w:t>
      </w:r>
      <w:r w:rsidR="00D13CC5">
        <w:rPr>
          <w:rFonts w:ascii="Arial" w:hAnsi="Arial" w:cs="Arial"/>
          <w:sz w:val="22"/>
          <w:szCs w:val="22"/>
        </w:rPr>
        <w:t>pod</w:t>
      </w:r>
      <w:r w:rsidR="00B015F5">
        <w:rPr>
          <w:rFonts w:ascii="Arial" w:hAnsi="Arial" w:cs="Arial"/>
          <w:sz w:val="22"/>
          <w:szCs w:val="22"/>
        </w:rPr>
        <w:t xml:space="preserve">program </w:t>
      </w:r>
      <w:r w:rsidR="00C96301">
        <w:rPr>
          <w:rFonts w:ascii="Arial" w:hAnsi="Arial" w:cs="Arial"/>
          <w:sz w:val="22"/>
          <w:szCs w:val="22"/>
        </w:rPr>
        <w:t>se týkal</w:t>
      </w:r>
      <w:r w:rsidR="00B015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015F5">
        <w:rPr>
          <w:rFonts w:ascii="Arial" w:hAnsi="Arial" w:cs="Arial"/>
          <w:sz w:val="22"/>
          <w:szCs w:val="22"/>
        </w:rPr>
        <w:t>ICT</w:t>
      </w:r>
      <w:proofErr w:type="spellEnd"/>
      <w:r w:rsidR="00B015F5">
        <w:rPr>
          <w:rFonts w:ascii="Arial" w:hAnsi="Arial" w:cs="Arial"/>
          <w:sz w:val="22"/>
          <w:szCs w:val="22"/>
        </w:rPr>
        <w:t xml:space="preserve">. </w:t>
      </w:r>
    </w:p>
    <w:p w:rsidR="00FC5C68" w:rsidRDefault="00FC5C68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897DCB" w:rsidRPr="00897DCB" w:rsidRDefault="00897DCB" w:rsidP="00B015F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2.1 Časové a finanční podmínky</w:t>
      </w:r>
    </w:p>
    <w:p w:rsidR="00897DCB" w:rsidRDefault="00897DC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E3B04" w:rsidRDefault="00897DCB" w:rsidP="00DE3B0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realizace programu byla</w:t>
      </w:r>
      <w:r w:rsidR="00DE3B04">
        <w:rPr>
          <w:rFonts w:ascii="Arial" w:hAnsi="Arial" w:cs="Arial"/>
          <w:sz w:val="22"/>
          <w:szCs w:val="22"/>
        </w:rPr>
        <w:t xml:space="preserve"> stanovena na roky 2011 až 2015 a jeho finanční potřeba na 3 079 mil. Kč. Finanční potřeba, </w:t>
      </w:r>
      <w:r w:rsidR="00C96301">
        <w:rPr>
          <w:rFonts w:ascii="Arial" w:hAnsi="Arial" w:cs="Arial"/>
          <w:sz w:val="22"/>
          <w:szCs w:val="22"/>
        </w:rPr>
        <w:t xml:space="preserve">schválené </w:t>
      </w:r>
      <w:r w:rsidR="00FC3F7E">
        <w:rPr>
          <w:rFonts w:ascii="Arial" w:hAnsi="Arial" w:cs="Arial"/>
          <w:sz w:val="22"/>
          <w:szCs w:val="22"/>
        </w:rPr>
        <w:t xml:space="preserve">peněžní prostředky </w:t>
      </w:r>
      <w:r w:rsidR="00DE3B04">
        <w:rPr>
          <w:rFonts w:ascii="Arial" w:hAnsi="Arial" w:cs="Arial"/>
          <w:sz w:val="22"/>
          <w:szCs w:val="22"/>
        </w:rPr>
        <w:t xml:space="preserve">a jejich </w:t>
      </w:r>
      <w:r w:rsidR="005E5417">
        <w:rPr>
          <w:rFonts w:ascii="Arial" w:hAnsi="Arial" w:cs="Arial"/>
          <w:sz w:val="22"/>
          <w:szCs w:val="22"/>
        </w:rPr>
        <w:t>čerpá</w:t>
      </w:r>
      <w:r w:rsidR="00DE3B04">
        <w:rPr>
          <w:rFonts w:ascii="Arial" w:hAnsi="Arial" w:cs="Arial"/>
          <w:sz w:val="22"/>
          <w:szCs w:val="22"/>
        </w:rPr>
        <w:t>ní na podprogram č. </w:t>
      </w:r>
      <w:proofErr w:type="spellStart"/>
      <w:r w:rsidR="00DE3B04">
        <w:rPr>
          <w:rFonts w:ascii="Arial" w:hAnsi="Arial" w:cs="Arial"/>
          <w:sz w:val="22"/>
          <w:szCs w:val="22"/>
        </w:rPr>
        <w:t>113V222</w:t>
      </w:r>
      <w:proofErr w:type="spellEnd"/>
      <w:r w:rsidR="00DE3B04">
        <w:rPr>
          <w:rFonts w:ascii="Arial" w:hAnsi="Arial" w:cs="Arial"/>
          <w:sz w:val="22"/>
          <w:szCs w:val="22"/>
        </w:rPr>
        <w:t xml:space="preserve"> jsou uvedeny v tabulce č. 2. </w:t>
      </w:r>
      <w:r w:rsidR="00FC3F7E">
        <w:rPr>
          <w:rFonts w:ascii="Arial" w:hAnsi="Arial" w:cs="Arial"/>
          <w:sz w:val="22"/>
          <w:szCs w:val="22"/>
        </w:rPr>
        <w:t xml:space="preserve"> </w:t>
      </w:r>
    </w:p>
    <w:p w:rsidR="00897DCB" w:rsidRDefault="00897DC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B015F5" w:rsidRDefault="00B015F5" w:rsidP="008B4B25">
      <w:pPr>
        <w:pStyle w:val="Prosttext"/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Tabulka č. 2 – </w:t>
      </w:r>
      <w:r w:rsidR="00DE3B04">
        <w:rPr>
          <w:rFonts w:ascii="Arial" w:hAnsi="Arial" w:cs="Arial"/>
          <w:b/>
          <w:sz w:val="22"/>
          <w:szCs w:val="22"/>
        </w:rPr>
        <w:t>Finanční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E3B04">
        <w:rPr>
          <w:rFonts w:ascii="Arial" w:hAnsi="Arial" w:cs="Arial"/>
          <w:b/>
          <w:sz w:val="22"/>
          <w:szCs w:val="22"/>
        </w:rPr>
        <w:t>podmínky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E3B04">
        <w:rPr>
          <w:rFonts w:ascii="Arial" w:hAnsi="Arial" w:cs="Arial"/>
          <w:b/>
          <w:sz w:val="22"/>
          <w:szCs w:val="22"/>
        </w:rPr>
        <w:t>podprogramu</w:t>
      </w:r>
      <w:r>
        <w:rPr>
          <w:rFonts w:ascii="Arial" w:hAnsi="Arial" w:cs="Arial"/>
          <w:b/>
          <w:sz w:val="22"/>
          <w:szCs w:val="22"/>
        </w:rPr>
        <w:t xml:space="preserve"> č. </w:t>
      </w:r>
      <w:proofErr w:type="spellStart"/>
      <w:r>
        <w:rPr>
          <w:rFonts w:ascii="Arial" w:hAnsi="Arial" w:cs="Arial"/>
          <w:b/>
          <w:sz w:val="22"/>
          <w:szCs w:val="22"/>
        </w:rPr>
        <w:t>113</w:t>
      </w:r>
      <w:r w:rsidR="00DE3B04">
        <w:rPr>
          <w:rFonts w:ascii="Arial" w:hAnsi="Arial" w:cs="Arial"/>
          <w:b/>
          <w:sz w:val="22"/>
          <w:szCs w:val="22"/>
        </w:rPr>
        <w:t>V222</w:t>
      </w:r>
      <w:proofErr w:type="spellEnd"/>
      <w:r>
        <w:rPr>
          <w:rFonts w:ascii="Arial" w:hAnsi="Arial" w:cs="Arial"/>
          <w:b/>
          <w:sz w:val="22"/>
          <w:szCs w:val="22"/>
        </w:rPr>
        <w:tab/>
        <w:t>(</w:t>
      </w:r>
      <w:r w:rsidR="009E06AF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mil.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068"/>
        <w:gridCol w:w="1069"/>
        <w:gridCol w:w="1068"/>
        <w:gridCol w:w="1069"/>
        <w:gridCol w:w="1068"/>
        <w:gridCol w:w="1069"/>
      </w:tblGrid>
      <w:tr w:rsidR="00DE3B04" w:rsidTr="0075110E"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3B04" w:rsidRDefault="00DE3B04" w:rsidP="00DE3B04">
            <w:pPr>
              <w:pStyle w:val="Pros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3B04" w:rsidRPr="00B13F41" w:rsidRDefault="00DE3B04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261C3">
              <w:rPr>
                <w:rFonts w:ascii="Arial" w:hAnsi="Arial" w:cs="Arial"/>
                <w:b/>
                <w:sz w:val="22"/>
                <w:szCs w:val="22"/>
              </w:rPr>
              <w:t>11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B04" w:rsidRPr="00B13F41" w:rsidRDefault="00DE3B04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</w:t>
            </w:r>
            <w:r w:rsidR="002261C3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B04" w:rsidRPr="00B13F41" w:rsidRDefault="00DE3B04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2261C3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E3B04" w:rsidRPr="00B13F41" w:rsidRDefault="00DE3B04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</w:t>
            </w:r>
            <w:r w:rsidR="002261C3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B04" w:rsidRPr="00B13F41" w:rsidRDefault="002261C3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2015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3B04" w:rsidRPr="00B13F41" w:rsidRDefault="00DE3B04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DE3B04" w:rsidTr="0075110E">
        <w:tc>
          <w:tcPr>
            <w:tcW w:w="269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E3B04" w:rsidRPr="005A7A28" w:rsidRDefault="00DE3B04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166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238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139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605</w:t>
            </w:r>
          </w:p>
        </w:tc>
      </w:tr>
      <w:tr w:rsidR="00DE3B04" w:rsidTr="0075110E">
        <w:tc>
          <w:tcPr>
            <w:tcW w:w="2694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E3B04" w:rsidRPr="005A7A28" w:rsidRDefault="00DE3B04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Upravená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  <w:r w:rsidRPr="005A7A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E3B04" w:rsidTr="0075110E">
        <w:tc>
          <w:tcPr>
            <w:tcW w:w="269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E3B04" w:rsidRPr="005A7A28" w:rsidRDefault="00DE3B04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Schválený rozpočet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55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116</w:t>
            </w: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98</w:t>
            </w:r>
          </w:p>
        </w:tc>
        <w:tc>
          <w:tcPr>
            <w:tcW w:w="1068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289</w:t>
            </w:r>
          </w:p>
        </w:tc>
      </w:tr>
      <w:tr w:rsidR="00DE3B04" w:rsidTr="0075110E">
        <w:tc>
          <w:tcPr>
            <w:tcW w:w="2694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E3B04" w:rsidRPr="005A7A28" w:rsidRDefault="00DE3B04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Upravený rozpočet</w:t>
            </w:r>
          </w:p>
        </w:tc>
        <w:tc>
          <w:tcPr>
            <w:tcW w:w="1068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106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1068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88</w:t>
            </w:r>
          </w:p>
        </w:tc>
        <w:tc>
          <w:tcPr>
            <w:tcW w:w="1069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144</w:t>
            </w:r>
          </w:p>
        </w:tc>
      </w:tr>
      <w:tr w:rsidR="00DE3B04" w:rsidTr="0075110E">
        <w:tc>
          <w:tcPr>
            <w:tcW w:w="26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3B04" w:rsidRPr="005A7A28" w:rsidRDefault="00DE3B04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Skutečné čerpání</w:t>
            </w:r>
          </w:p>
        </w:tc>
        <w:tc>
          <w:tcPr>
            <w:tcW w:w="10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1068" w:type="dxa"/>
            <w:tcBorders>
              <w:top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56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0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E3B04" w:rsidRPr="001B76A4" w:rsidRDefault="002261C3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</w:tr>
    </w:tbl>
    <w:p w:rsidR="00DE3B04" w:rsidRDefault="00DE3B04" w:rsidP="005E5417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460A1">
        <w:rPr>
          <w:rFonts w:ascii="Arial" w:hAnsi="Arial" w:cs="Arial"/>
          <w:b/>
          <w:sz w:val="18"/>
          <w:szCs w:val="18"/>
        </w:rPr>
        <w:t>Zdroj:</w:t>
      </w:r>
      <w:r>
        <w:rPr>
          <w:rFonts w:ascii="Arial" w:hAnsi="Arial" w:cs="Arial"/>
          <w:sz w:val="18"/>
          <w:szCs w:val="18"/>
        </w:rPr>
        <w:t xml:space="preserve"> </w:t>
      </w:r>
      <w:r w:rsidR="00DA79BA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okumentace programu, schválené rozpočty</w:t>
      </w:r>
      <w:r w:rsidR="002261C3">
        <w:rPr>
          <w:rFonts w:ascii="Arial" w:hAnsi="Arial" w:cs="Arial"/>
          <w:sz w:val="18"/>
          <w:szCs w:val="18"/>
        </w:rPr>
        <w:t xml:space="preserve"> </w:t>
      </w:r>
      <w:r w:rsidR="006F1181">
        <w:rPr>
          <w:rFonts w:ascii="Arial" w:hAnsi="Arial" w:cs="Arial"/>
          <w:sz w:val="18"/>
          <w:szCs w:val="18"/>
        </w:rPr>
        <w:t>let</w:t>
      </w:r>
      <w:r w:rsidR="002261C3">
        <w:rPr>
          <w:rFonts w:ascii="Arial" w:hAnsi="Arial" w:cs="Arial"/>
          <w:sz w:val="18"/>
          <w:szCs w:val="18"/>
        </w:rPr>
        <w:t xml:space="preserve"> 2011 až 2014</w:t>
      </w:r>
      <w:r>
        <w:rPr>
          <w:rFonts w:ascii="Arial" w:hAnsi="Arial" w:cs="Arial"/>
          <w:sz w:val="18"/>
          <w:szCs w:val="18"/>
        </w:rPr>
        <w:t xml:space="preserve"> a</w:t>
      </w:r>
      <w:r w:rsidR="005E5417">
        <w:rPr>
          <w:rFonts w:ascii="Arial" w:hAnsi="Arial" w:cs="Arial"/>
          <w:sz w:val="18"/>
          <w:szCs w:val="18"/>
        </w:rPr>
        <w:t xml:space="preserve"> státní</w:t>
      </w:r>
      <w:r>
        <w:rPr>
          <w:rFonts w:ascii="Arial" w:hAnsi="Arial" w:cs="Arial"/>
          <w:sz w:val="18"/>
          <w:szCs w:val="18"/>
        </w:rPr>
        <w:t xml:space="preserve"> závěrečné účty let 20</w:t>
      </w:r>
      <w:r w:rsidR="002261C3">
        <w:rPr>
          <w:rFonts w:ascii="Arial" w:hAnsi="Arial" w:cs="Arial"/>
          <w:sz w:val="18"/>
          <w:szCs w:val="18"/>
        </w:rPr>
        <w:t>11</w:t>
      </w:r>
      <w:r>
        <w:rPr>
          <w:rFonts w:ascii="Arial" w:hAnsi="Arial" w:cs="Arial"/>
          <w:sz w:val="18"/>
          <w:szCs w:val="18"/>
        </w:rPr>
        <w:t xml:space="preserve"> až 201</w:t>
      </w:r>
      <w:r w:rsidR="002261C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E3B04" w:rsidRDefault="00DE3B04" w:rsidP="00B015F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F2A0B" w:rsidRDefault="00BF2A0B" w:rsidP="00B015F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0D6BFC" w:rsidRDefault="003E3426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FD451A">
        <w:rPr>
          <w:rFonts w:ascii="Arial" w:hAnsi="Arial" w:cs="Arial"/>
          <w:b/>
          <w:sz w:val="22"/>
          <w:szCs w:val="22"/>
        </w:rPr>
        <w:lastRenderedPageBreak/>
        <w:t xml:space="preserve">Schválené </w:t>
      </w:r>
      <w:r w:rsidR="005F04D2">
        <w:rPr>
          <w:rFonts w:ascii="Arial" w:hAnsi="Arial" w:cs="Arial"/>
          <w:b/>
          <w:sz w:val="22"/>
          <w:szCs w:val="22"/>
        </w:rPr>
        <w:t>peněžní</w:t>
      </w:r>
      <w:r w:rsidR="00FD451A" w:rsidRPr="00FD451A">
        <w:rPr>
          <w:rFonts w:ascii="Arial" w:hAnsi="Arial" w:cs="Arial"/>
          <w:b/>
          <w:sz w:val="22"/>
          <w:szCs w:val="22"/>
        </w:rPr>
        <w:t xml:space="preserve"> prostředky na podprogram č. </w:t>
      </w:r>
      <w:proofErr w:type="spellStart"/>
      <w:r w:rsidR="00FD451A" w:rsidRPr="00FD451A">
        <w:rPr>
          <w:rFonts w:ascii="Arial" w:hAnsi="Arial" w:cs="Arial"/>
          <w:b/>
          <w:sz w:val="22"/>
          <w:szCs w:val="22"/>
        </w:rPr>
        <w:t>113V222</w:t>
      </w:r>
      <w:proofErr w:type="spellEnd"/>
      <w:r w:rsidR="00FD451A" w:rsidRPr="00FD451A">
        <w:rPr>
          <w:rFonts w:ascii="Arial" w:hAnsi="Arial" w:cs="Arial"/>
          <w:b/>
          <w:sz w:val="22"/>
          <w:szCs w:val="22"/>
        </w:rPr>
        <w:t xml:space="preserve"> byly v letech 2011 až 2013 vyčerpány jen ze 42 %</w:t>
      </w:r>
      <w:r w:rsidR="00FD451A" w:rsidRPr="0075110E">
        <w:rPr>
          <w:rFonts w:ascii="Arial" w:hAnsi="Arial" w:cs="Arial"/>
          <w:b/>
          <w:sz w:val="22"/>
          <w:szCs w:val="22"/>
        </w:rPr>
        <w:t>,</w:t>
      </w:r>
      <w:r w:rsidR="00FD451A">
        <w:rPr>
          <w:rFonts w:ascii="Arial" w:hAnsi="Arial" w:cs="Arial"/>
          <w:sz w:val="22"/>
          <w:szCs w:val="22"/>
        </w:rPr>
        <w:t xml:space="preserve"> jak vyplývá z tabulky č. 2. MPSV nízké čerpání odůvodnilo redukcí finančních z</w:t>
      </w:r>
      <w:r w:rsidR="000B64CD">
        <w:rPr>
          <w:rFonts w:ascii="Arial" w:hAnsi="Arial" w:cs="Arial"/>
          <w:sz w:val="22"/>
          <w:szCs w:val="22"/>
        </w:rPr>
        <w:t>drojů. Zjištění NKÚ však ukázala</w:t>
      </w:r>
      <w:r w:rsidR="00FD451A">
        <w:rPr>
          <w:rFonts w:ascii="Arial" w:hAnsi="Arial" w:cs="Arial"/>
          <w:sz w:val="22"/>
          <w:szCs w:val="22"/>
        </w:rPr>
        <w:t xml:space="preserve">, že na nečerpání schválených </w:t>
      </w:r>
      <w:r w:rsidR="005F04D2">
        <w:rPr>
          <w:rFonts w:ascii="Arial" w:hAnsi="Arial" w:cs="Arial"/>
          <w:sz w:val="22"/>
          <w:szCs w:val="22"/>
        </w:rPr>
        <w:t>peněžních</w:t>
      </w:r>
      <w:r w:rsidR="00FD451A">
        <w:rPr>
          <w:rFonts w:ascii="Arial" w:hAnsi="Arial" w:cs="Arial"/>
          <w:sz w:val="22"/>
          <w:szCs w:val="22"/>
        </w:rPr>
        <w:t xml:space="preserve"> prostředků mělo významný podíl</w:t>
      </w:r>
      <w:r w:rsidR="002217A2">
        <w:rPr>
          <w:rFonts w:ascii="Arial" w:hAnsi="Arial" w:cs="Arial"/>
          <w:sz w:val="22"/>
          <w:szCs w:val="22"/>
        </w:rPr>
        <w:t xml:space="preserve"> </w:t>
      </w:r>
      <w:r w:rsidR="005E5417">
        <w:rPr>
          <w:rFonts w:ascii="Arial" w:hAnsi="Arial" w:cs="Arial"/>
          <w:sz w:val="22"/>
          <w:szCs w:val="22"/>
        </w:rPr>
        <w:t>především</w:t>
      </w:r>
      <w:r w:rsidR="00FD451A">
        <w:rPr>
          <w:rFonts w:ascii="Arial" w:hAnsi="Arial" w:cs="Arial"/>
          <w:sz w:val="22"/>
          <w:szCs w:val="22"/>
        </w:rPr>
        <w:t xml:space="preserve"> zpožďování přípravy a realizace akcí.</w:t>
      </w:r>
    </w:p>
    <w:p w:rsidR="000D6BFC" w:rsidRDefault="000D6BFC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413119" w:rsidRDefault="005E5417" w:rsidP="00413119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Například v roce 2012 měla být </w:t>
      </w:r>
      <w:r w:rsidR="00413119">
        <w:rPr>
          <w:rFonts w:ascii="Arial" w:hAnsi="Arial" w:cs="Arial"/>
          <w:sz w:val="22"/>
          <w:szCs w:val="22"/>
        </w:rPr>
        <w:t>zahájena</w:t>
      </w:r>
      <w:r>
        <w:rPr>
          <w:rFonts w:ascii="Arial" w:hAnsi="Arial" w:cs="Arial"/>
          <w:sz w:val="22"/>
          <w:szCs w:val="22"/>
        </w:rPr>
        <w:t xml:space="preserve"> realizace</w:t>
      </w:r>
      <w:r w:rsidR="00413119">
        <w:rPr>
          <w:rFonts w:ascii="Arial" w:hAnsi="Arial" w:cs="Arial"/>
          <w:sz w:val="22"/>
          <w:szCs w:val="22"/>
        </w:rPr>
        <w:t xml:space="preserve"> akce</w:t>
      </w:r>
      <w:r w:rsidR="00DA3F86">
        <w:rPr>
          <w:rFonts w:ascii="Arial" w:hAnsi="Arial" w:cs="Arial"/>
          <w:sz w:val="22"/>
          <w:szCs w:val="22"/>
        </w:rPr>
        <w:t xml:space="preserve"> týkající se budovy v</w:t>
      </w:r>
      <w:r>
        <w:rPr>
          <w:rFonts w:ascii="Arial" w:hAnsi="Arial" w:cs="Arial"/>
          <w:sz w:val="22"/>
          <w:szCs w:val="22"/>
        </w:rPr>
        <w:t> </w:t>
      </w:r>
      <w:r w:rsidR="00DA3F86">
        <w:rPr>
          <w:rFonts w:ascii="Arial" w:hAnsi="Arial" w:cs="Arial"/>
          <w:sz w:val="22"/>
          <w:szCs w:val="22"/>
        </w:rPr>
        <w:t xml:space="preserve">Mostě </w:t>
      </w:r>
      <w:r w:rsidR="00413119">
        <w:rPr>
          <w:rFonts w:ascii="Arial" w:hAnsi="Arial" w:cs="Arial"/>
          <w:sz w:val="22"/>
          <w:szCs w:val="22"/>
        </w:rPr>
        <w:t>(šlo o akci vyřazenou v roce 2008 z podprogramu č. 113 212 – viz bod 1</w:t>
      </w:r>
      <w:r w:rsidR="00DA3F86">
        <w:rPr>
          <w:rFonts w:ascii="Arial" w:hAnsi="Arial" w:cs="Arial"/>
          <w:sz w:val="22"/>
          <w:szCs w:val="22"/>
        </w:rPr>
        <w:t>.2</w:t>
      </w:r>
      <w:r w:rsidR="00413119">
        <w:rPr>
          <w:rFonts w:ascii="Arial" w:hAnsi="Arial" w:cs="Arial"/>
          <w:sz w:val="22"/>
          <w:szCs w:val="22"/>
        </w:rPr>
        <w:t xml:space="preserve">). </w:t>
      </w:r>
      <w:r>
        <w:rPr>
          <w:rFonts w:ascii="Arial" w:hAnsi="Arial" w:cs="Arial"/>
          <w:sz w:val="22"/>
          <w:szCs w:val="22"/>
        </w:rPr>
        <w:t>V době kontroly probíhalo p</w:t>
      </w:r>
      <w:r w:rsidR="00413119">
        <w:rPr>
          <w:rFonts w:ascii="Arial" w:hAnsi="Arial" w:cs="Arial"/>
          <w:sz w:val="22"/>
          <w:szCs w:val="22"/>
        </w:rPr>
        <w:t>odle sdělení MPSV</w:t>
      </w:r>
      <w:r w:rsidR="008103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teprve</w:t>
      </w:r>
      <w:r w:rsidR="002261C3">
        <w:rPr>
          <w:rFonts w:ascii="Arial" w:hAnsi="Arial" w:cs="Arial"/>
          <w:sz w:val="22"/>
          <w:szCs w:val="22"/>
        </w:rPr>
        <w:t xml:space="preserve"> jednání o převo</w:t>
      </w:r>
      <w:r w:rsidR="008103F3">
        <w:rPr>
          <w:rFonts w:ascii="Arial" w:hAnsi="Arial" w:cs="Arial"/>
          <w:sz w:val="22"/>
          <w:szCs w:val="22"/>
        </w:rPr>
        <w:t>du</w:t>
      </w:r>
      <w:r w:rsidR="00413119">
        <w:rPr>
          <w:rFonts w:ascii="Arial" w:hAnsi="Arial" w:cs="Arial"/>
          <w:sz w:val="22"/>
          <w:szCs w:val="22"/>
        </w:rPr>
        <w:t xml:space="preserve"> příslušnosti hospodaření k příslušnému objektu z ÚP ČR na ČSSZ. </w:t>
      </w:r>
    </w:p>
    <w:p w:rsidR="00D13CC5" w:rsidRDefault="00D13CC5" w:rsidP="00D13CC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FD451A" w:rsidRDefault="00FD451A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MPSV alokovalo na podprogram týkající se </w:t>
      </w:r>
      <w:proofErr w:type="spellStart"/>
      <w:r>
        <w:rPr>
          <w:rFonts w:ascii="Arial" w:hAnsi="Arial" w:cs="Arial"/>
          <w:sz w:val="22"/>
          <w:szCs w:val="22"/>
        </w:rPr>
        <w:t>ICT</w:t>
      </w:r>
      <w:proofErr w:type="spellEnd"/>
      <w:r>
        <w:rPr>
          <w:rFonts w:ascii="Arial" w:hAnsi="Arial" w:cs="Arial"/>
          <w:sz w:val="22"/>
          <w:szCs w:val="22"/>
        </w:rPr>
        <w:t xml:space="preserve"> 80 % prostředků programu č. 113 220. </w:t>
      </w:r>
      <w:r w:rsidR="00DA3F86">
        <w:rPr>
          <w:rFonts w:ascii="Arial" w:hAnsi="Arial" w:cs="Arial"/>
          <w:sz w:val="22"/>
          <w:szCs w:val="22"/>
        </w:rPr>
        <w:t>Odůvodnilo t</w:t>
      </w:r>
      <w:r>
        <w:rPr>
          <w:rFonts w:ascii="Arial" w:hAnsi="Arial" w:cs="Arial"/>
          <w:sz w:val="22"/>
          <w:szCs w:val="22"/>
        </w:rPr>
        <w:t>o klesajícími zdrojovými možnostmi státního rozpočtu s tím, že prioritně musí být zajištěny informační systémy ČSSZ. Schválené prostředky na tento podprogram však byly v letech 2011 až 2013 čer</w:t>
      </w:r>
      <w:r w:rsidR="00BD0096">
        <w:rPr>
          <w:rFonts w:ascii="Arial" w:hAnsi="Arial" w:cs="Arial"/>
          <w:sz w:val="22"/>
          <w:szCs w:val="22"/>
        </w:rPr>
        <w:t xml:space="preserve">pány jen ze 41 %, což MPSV odůvodnilo zásadní změnou koncepce </w:t>
      </w:r>
      <w:proofErr w:type="spellStart"/>
      <w:r w:rsidR="00BD0096">
        <w:rPr>
          <w:rFonts w:ascii="Arial" w:hAnsi="Arial" w:cs="Arial"/>
          <w:sz w:val="22"/>
          <w:szCs w:val="22"/>
        </w:rPr>
        <w:t>ICT</w:t>
      </w:r>
      <w:proofErr w:type="spellEnd"/>
      <w:r w:rsidR="00BD0096">
        <w:rPr>
          <w:rFonts w:ascii="Arial" w:hAnsi="Arial" w:cs="Arial"/>
          <w:sz w:val="22"/>
          <w:szCs w:val="22"/>
        </w:rPr>
        <w:t xml:space="preserve"> resortu do roku 2017. </w:t>
      </w:r>
    </w:p>
    <w:p w:rsidR="007A39FA" w:rsidRDefault="007A39FA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D0096" w:rsidRDefault="00BD0096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2261C3">
        <w:rPr>
          <w:rFonts w:ascii="Arial" w:hAnsi="Arial" w:cs="Arial"/>
          <w:b/>
          <w:sz w:val="22"/>
          <w:szCs w:val="22"/>
        </w:rPr>
        <w:t>.2 Cíle, indikátory a parametry</w:t>
      </w:r>
    </w:p>
    <w:p w:rsidR="00BD0096" w:rsidRDefault="00BD0096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A6548" w:rsidRDefault="00BD0096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 programu navazovaly na záměry stanovené v předchozím období let 2008 až 2010 pro program č. 113 210.</w:t>
      </w:r>
      <w:r w:rsidR="002261C3">
        <w:rPr>
          <w:rFonts w:ascii="Arial" w:hAnsi="Arial" w:cs="Arial"/>
          <w:sz w:val="22"/>
          <w:szCs w:val="22"/>
        </w:rPr>
        <w:t xml:space="preserve"> </w:t>
      </w:r>
      <w:r w:rsidR="00DA3F86">
        <w:rPr>
          <w:rFonts w:ascii="Arial" w:hAnsi="Arial" w:cs="Arial"/>
          <w:sz w:val="22"/>
          <w:szCs w:val="22"/>
        </w:rPr>
        <w:t xml:space="preserve">V podprogramu č. </w:t>
      </w:r>
      <w:proofErr w:type="spellStart"/>
      <w:r w:rsidR="00DA3F86">
        <w:rPr>
          <w:rFonts w:ascii="Arial" w:hAnsi="Arial" w:cs="Arial"/>
          <w:sz w:val="22"/>
          <w:szCs w:val="22"/>
        </w:rPr>
        <w:t>113V222</w:t>
      </w:r>
      <w:proofErr w:type="spellEnd"/>
      <w:r w:rsidR="00DA3F86">
        <w:rPr>
          <w:rFonts w:ascii="Arial" w:hAnsi="Arial" w:cs="Arial"/>
          <w:sz w:val="22"/>
          <w:szCs w:val="22"/>
        </w:rPr>
        <w:t xml:space="preserve"> na ně pro nemovitý majetek navazovaly čtyři cíle a indikátory. </w:t>
      </w:r>
      <w:r w:rsidR="00DA6548">
        <w:rPr>
          <w:rFonts w:ascii="Arial" w:hAnsi="Arial" w:cs="Arial"/>
          <w:sz w:val="22"/>
          <w:szCs w:val="22"/>
        </w:rPr>
        <w:t xml:space="preserve">Nejvýznamnějším </w:t>
      </w:r>
      <w:r w:rsidR="00DA3F86">
        <w:rPr>
          <w:rFonts w:ascii="Arial" w:hAnsi="Arial" w:cs="Arial"/>
          <w:sz w:val="22"/>
          <w:szCs w:val="22"/>
        </w:rPr>
        <w:t>z nich byl</w:t>
      </w:r>
      <w:r w:rsidR="00DA6548">
        <w:rPr>
          <w:rFonts w:ascii="Arial" w:hAnsi="Arial" w:cs="Arial"/>
          <w:sz w:val="22"/>
          <w:szCs w:val="22"/>
        </w:rPr>
        <w:t xml:space="preserve"> z pohledu zaměření kontrolní akce cíl </w:t>
      </w:r>
      <w:r w:rsidR="005E5417">
        <w:rPr>
          <w:rFonts w:ascii="Arial" w:hAnsi="Arial" w:cs="Arial"/>
          <w:sz w:val="22"/>
          <w:szCs w:val="22"/>
        </w:rPr>
        <w:t>„</w:t>
      </w:r>
      <w:r w:rsidR="00DA6548" w:rsidRPr="005E5417">
        <w:rPr>
          <w:rFonts w:ascii="Arial" w:hAnsi="Arial" w:cs="Arial"/>
          <w:sz w:val="22"/>
          <w:szCs w:val="22"/>
        </w:rPr>
        <w:t>uvedení objektů správ sociálního zabezpečení do provozuschopného stavu po majetkoprávním vypořádání</w:t>
      </w:r>
      <w:r w:rsidR="00DA6548">
        <w:rPr>
          <w:rFonts w:ascii="Arial" w:hAnsi="Arial" w:cs="Arial"/>
          <w:sz w:val="22"/>
          <w:szCs w:val="22"/>
        </w:rPr>
        <w:t>“.</w:t>
      </w:r>
      <w:r w:rsidR="00DA3F86">
        <w:rPr>
          <w:rFonts w:ascii="Arial" w:hAnsi="Arial" w:cs="Arial"/>
          <w:sz w:val="22"/>
          <w:szCs w:val="22"/>
        </w:rPr>
        <w:t xml:space="preserve"> </w:t>
      </w:r>
    </w:p>
    <w:p w:rsidR="00DA6548" w:rsidRDefault="00DA6548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8674C" w:rsidRDefault="000227AD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0227AD">
        <w:rPr>
          <w:rFonts w:ascii="Arial" w:hAnsi="Arial" w:cs="Arial"/>
          <w:b/>
          <w:sz w:val="22"/>
          <w:szCs w:val="22"/>
        </w:rPr>
        <w:t xml:space="preserve">V dokumentaci podprogramu č. </w:t>
      </w:r>
      <w:proofErr w:type="spellStart"/>
      <w:r w:rsidRPr="000227AD">
        <w:rPr>
          <w:rFonts w:ascii="Arial" w:hAnsi="Arial" w:cs="Arial"/>
          <w:b/>
          <w:sz w:val="22"/>
          <w:szCs w:val="22"/>
        </w:rPr>
        <w:t>113V222</w:t>
      </w:r>
      <w:proofErr w:type="spellEnd"/>
      <w:r w:rsidRPr="000227AD">
        <w:rPr>
          <w:rFonts w:ascii="Arial" w:hAnsi="Arial" w:cs="Arial"/>
          <w:b/>
          <w:sz w:val="22"/>
          <w:szCs w:val="22"/>
        </w:rPr>
        <w:t xml:space="preserve"> byl</w:t>
      </w:r>
      <w:r>
        <w:rPr>
          <w:rFonts w:ascii="Arial" w:hAnsi="Arial" w:cs="Arial"/>
          <w:b/>
          <w:sz w:val="22"/>
          <w:szCs w:val="22"/>
        </w:rPr>
        <w:t>y</w:t>
      </w:r>
      <w:r w:rsidRPr="000227AD">
        <w:rPr>
          <w:rFonts w:ascii="Arial" w:hAnsi="Arial" w:cs="Arial"/>
          <w:b/>
          <w:sz w:val="22"/>
          <w:szCs w:val="22"/>
        </w:rPr>
        <w:t xml:space="preserve"> uvedeny</w:t>
      </w:r>
      <w:r>
        <w:rPr>
          <w:rFonts w:ascii="Arial" w:hAnsi="Arial" w:cs="Arial"/>
          <w:sz w:val="22"/>
          <w:szCs w:val="22"/>
        </w:rPr>
        <w:t xml:space="preserve"> </w:t>
      </w:r>
      <w:r w:rsidRPr="000227AD">
        <w:rPr>
          <w:rFonts w:ascii="Arial" w:hAnsi="Arial" w:cs="Arial"/>
          <w:b/>
          <w:sz w:val="22"/>
          <w:szCs w:val="22"/>
        </w:rPr>
        <w:t>k</w:t>
      </w:r>
      <w:r w:rsidR="00DB2B69" w:rsidRPr="00696E3F">
        <w:rPr>
          <w:rFonts w:ascii="Arial" w:hAnsi="Arial" w:cs="Arial"/>
          <w:b/>
          <w:sz w:val="22"/>
          <w:szCs w:val="22"/>
        </w:rPr>
        <w:t>onkrétní akce</w:t>
      </w:r>
      <w:r w:rsidR="00DB2B69" w:rsidRPr="0075110E">
        <w:rPr>
          <w:rFonts w:ascii="Arial" w:hAnsi="Arial" w:cs="Arial"/>
          <w:b/>
          <w:sz w:val="22"/>
          <w:szCs w:val="22"/>
        </w:rPr>
        <w:t xml:space="preserve"> </w:t>
      </w:r>
      <w:r w:rsidR="00C34FEB" w:rsidRPr="00394E7F">
        <w:rPr>
          <w:rFonts w:ascii="Arial" w:hAnsi="Arial" w:cs="Arial"/>
          <w:b/>
          <w:sz w:val="22"/>
          <w:szCs w:val="22"/>
        </w:rPr>
        <w:t xml:space="preserve">pro </w:t>
      </w:r>
      <w:r w:rsidR="00C34FEB" w:rsidRPr="00C34FEB">
        <w:rPr>
          <w:rFonts w:ascii="Arial" w:hAnsi="Arial" w:cs="Arial"/>
          <w:b/>
          <w:sz w:val="22"/>
          <w:szCs w:val="22"/>
        </w:rPr>
        <w:t>naplňování stanovených cílů a indikátorů</w:t>
      </w:r>
      <w:r>
        <w:rPr>
          <w:rFonts w:ascii="Arial" w:hAnsi="Arial" w:cs="Arial"/>
          <w:b/>
          <w:sz w:val="22"/>
          <w:szCs w:val="22"/>
        </w:rPr>
        <w:t xml:space="preserve">. Akce však </w:t>
      </w:r>
      <w:r w:rsidR="00696E3F" w:rsidRPr="00696E3F">
        <w:rPr>
          <w:rFonts w:ascii="Arial" w:hAnsi="Arial" w:cs="Arial"/>
          <w:b/>
          <w:sz w:val="22"/>
          <w:szCs w:val="22"/>
        </w:rPr>
        <w:t>nevycházely</w:t>
      </w:r>
      <w:r w:rsidR="00696E3F" w:rsidRPr="0075110E">
        <w:rPr>
          <w:rFonts w:ascii="Arial" w:hAnsi="Arial" w:cs="Arial"/>
          <w:b/>
          <w:sz w:val="22"/>
          <w:szCs w:val="22"/>
        </w:rPr>
        <w:t xml:space="preserve"> </w:t>
      </w:r>
      <w:r w:rsidR="00696E3F" w:rsidRPr="00696E3F">
        <w:rPr>
          <w:rFonts w:ascii="Arial" w:hAnsi="Arial" w:cs="Arial"/>
          <w:b/>
          <w:sz w:val="22"/>
          <w:szCs w:val="22"/>
        </w:rPr>
        <w:t>z komplexních koncepčních materiálů řešících potřeby v oblasti nemovitého majetku ČSSZ</w:t>
      </w:r>
      <w:r w:rsidR="00696E3F" w:rsidRPr="0075110E">
        <w:rPr>
          <w:rFonts w:ascii="Arial" w:hAnsi="Arial" w:cs="Arial"/>
          <w:b/>
          <w:sz w:val="22"/>
          <w:szCs w:val="22"/>
        </w:rPr>
        <w:t>.</w:t>
      </w:r>
      <w:r w:rsidR="00696E3F">
        <w:rPr>
          <w:rFonts w:ascii="Arial" w:hAnsi="Arial" w:cs="Arial"/>
          <w:sz w:val="22"/>
          <w:szCs w:val="22"/>
        </w:rPr>
        <w:t xml:space="preserve"> </w:t>
      </w:r>
      <w:r w:rsidR="00584289">
        <w:rPr>
          <w:rFonts w:ascii="Arial" w:hAnsi="Arial" w:cs="Arial"/>
          <w:sz w:val="22"/>
          <w:szCs w:val="22"/>
        </w:rPr>
        <w:t xml:space="preserve">MPSV </w:t>
      </w:r>
      <w:r w:rsidR="009E06AF">
        <w:rPr>
          <w:rFonts w:ascii="Arial" w:hAnsi="Arial" w:cs="Arial"/>
          <w:sz w:val="22"/>
          <w:szCs w:val="22"/>
        </w:rPr>
        <w:t>v </w:t>
      </w:r>
      <w:r w:rsidR="00584289">
        <w:rPr>
          <w:rFonts w:ascii="Arial" w:hAnsi="Arial" w:cs="Arial"/>
          <w:sz w:val="22"/>
          <w:szCs w:val="22"/>
        </w:rPr>
        <w:t>dokumentaci</w:t>
      </w:r>
      <w:r w:rsidR="00696E3F">
        <w:rPr>
          <w:rFonts w:ascii="Arial" w:hAnsi="Arial" w:cs="Arial"/>
          <w:sz w:val="22"/>
          <w:szCs w:val="22"/>
        </w:rPr>
        <w:t xml:space="preserve"> programu</w:t>
      </w:r>
      <w:r w:rsidR="00584289">
        <w:rPr>
          <w:rFonts w:ascii="Arial" w:hAnsi="Arial" w:cs="Arial"/>
          <w:sz w:val="22"/>
          <w:szCs w:val="22"/>
        </w:rPr>
        <w:t xml:space="preserve"> uvedlo, že</w:t>
      </w:r>
      <w:r w:rsidR="00696E3F">
        <w:rPr>
          <w:rFonts w:ascii="Arial" w:hAnsi="Arial" w:cs="Arial"/>
          <w:sz w:val="22"/>
          <w:szCs w:val="22"/>
        </w:rPr>
        <w:t xml:space="preserve"> </w:t>
      </w:r>
      <w:r w:rsidR="00394E7F">
        <w:rPr>
          <w:rFonts w:ascii="Arial" w:hAnsi="Arial" w:cs="Arial"/>
          <w:sz w:val="22"/>
          <w:szCs w:val="22"/>
        </w:rPr>
        <w:t>vycház</w:t>
      </w:r>
      <w:r w:rsidR="0075110E">
        <w:rPr>
          <w:rFonts w:ascii="Arial" w:hAnsi="Arial" w:cs="Arial"/>
          <w:sz w:val="22"/>
          <w:szCs w:val="22"/>
        </w:rPr>
        <w:t>elo</w:t>
      </w:r>
      <w:r w:rsidR="00696E3F">
        <w:rPr>
          <w:rFonts w:ascii="Arial" w:hAnsi="Arial" w:cs="Arial"/>
          <w:sz w:val="22"/>
          <w:szCs w:val="22"/>
        </w:rPr>
        <w:t xml:space="preserve"> z materiálu </w:t>
      </w:r>
      <w:r w:rsidR="00696E3F">
        <w:rPr>
          <w:rFonts w:ascii="Arial" w:hAnsi="Arial" w:cs="Arial"/>
          <w:i/>
          <w:sz w:val="22"/>
          <w:szCs w:val="22"/>
        </w:rPr>
        <w:t>Strategické cíle ČSSZ pro období 2009–2013</w:t>
      </w:r>
      <w:r w:rsidR="00696E3F">
        <w:rPr>
          <w:rFonts w:ascii="Arial" w:hAnsi="Arial" w:cs="Arial"/>
          <w:sz w:val="22"/>
          <w:szCs w:val="22"/>
        </w:rPr>
        <w:t xml:space="preserve"> z února 2009. Tyto strategické cíle však nebyly zaměřeny na rozvoj materiálně technické základny ČSSZ. </w:t>
      </w:r>
    </w:p>
    <w:p w:rsidR="00D8674C" w:rsidRDefault="00D8674C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F46BB" w:rsidRDefault="005E5417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MPSV v případě n</w:t>
      </w:r>
      <w:r w:rsidR="00C34FEB">
        <w:rPr>
          <w:rFonts w:ascii="Arial" w:hAnsi="Arial" w:cs="Arial"/>
          <w:sz w:val="22"/>
          <w:szCs w:val="22"/>
        </w:rPr>
        <w:t xml:space="preserve">emovitého majetku </w:t>
      </w:r>
      <w:r w:rsidR="009C64F4">
        <w:rPr>
          <w:rFonts w:ascii="Arial" w:hAnsi="Arial" w:cs="Arial"/>
          <w:sz w:val="22"/>
          <w:szCs w:val="22"/>
        </w:rPr>
        <w:t xml:space="preserve">navrhlo </w:t>
      </w:r>
      <w:r w:rsidR="00C34FEB">
        <w:rPr>
          <w:rFonts w:ascii="Arial" w:hAnsi="Arial" w:cs="Arial"/>
          <w:sz w:val="22"/>
          <w:szCs w:val="22"/>
        </w:rPr>
        <w:t xml:space="preserve">z podprogramu </w:t>
      </w:r>
      <w:proofErr w:type="spellStart"/>
      <w:r w:rsidR="00C34FEB">
        <w:rPr>
          <w:rFonts w:ascii="Arial" w:hAnsi="Arial" w:cs="Arial"/>
          <w:sz w:val="22"/>
          <w:szCs w:val="22"/>
        </w:rPr>
        <w:t>113V222</w:t>
      </w:r>
      <w:proofErr w:type="spellEnd"/>
      <w:r w:rsidR="00C34FEB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k </w:t>
      </w:r>
      <w:r w:rsidR="007330FE">
        <w:rPr>
          <w:rFonts w:ascii="Arial" w:hAnsi="Arial" w:cs="Arial"/>
          <w:sz w:val="22"/>
          <w:szCs w:val="22"/>
        </w:rPr>
        <w:t xml:space="preserve">realizaci </w:t>
      </w:r>
      <w:r w:rsidR="00C34FEB">
        <w:rPr>
          <w:rFonts w:ascii="Arial" w:hAnsi="Arial" w:cs="Arial"/>
          <w:sz w:val="22"/>
          <w:szCs w:val="22"/>
        </w:rPr>
        <w:t xml:space="preserve">12 akcí. </w:t>
      </w:r>
      <w:r w:rsidR="00A61C25" w:rsidRPr="00C34FEB">
        <w:rPr>
          <w:rFonts w:ascii="Arial" w:hAnsi="Arial" w:cs="Arial"/>
          <w:b/>
          <w:sz w:val="22"/>
          <w:szCs w:val="22"/>
        </w:rPr>
        <w:t xml:space="preserve">V době kontroly bylo </w:t>
      </w:r>
      <w:r w:rsidR="00AB222A">
        <w:rPr>
          <w:rFonts w:ascii="Arial" w:hAnsi="Arial" w:cs="Arial"/>
          <w:b/>
          <w:sz w:val="22"/>
          <w:szCs w:val="22"/>
        </w:rPr>
        <w:t>dokončeno</w:t>
      </w:r>
      <w:r w:rsidR="00A61C25" w:rsidRPr="00C34FEB">
        <w:rPr>
          <w:rFonts w:ascii="Arial" w:hAnsi="Arial" w:cs="Arial"/>
          <w:b/>
          <w:sz w:val="22"/>
          <w:szCs w:val="22"/>
        </w:rPr>
        <w:t xml:space="preserve"> nebo</w:t>
      </w:r>
      <w:r w:rsidR="00C34FEB" w:rsidRPr="00C34FEB">
        <w:rPr>
          <w:rFonts w:ascii="Arial" w:hAnsi="Arial" w:cs="Arial"/>
          <w:b/>
          <w:sz w:val="22"/>
          <w:szCs w:val="22"/>
        </w:rPr>
        <w:t xml:space="preserve"> bylo</w:t>
      </w:r>
      <w:r w:rsidR="00A61C25" w:rsidRPr="00C34FEB">
        <w:rPr>
          <w:rFonts w:ascii="Arial" w:hAnsi="Arial" w:cs="Arial"/>
          <w:b/>
          <w:sz w:val="22"/>
          <w:szCs w:val="22"/>
        </w:rPr>
        <w:t xml:space="preserve"> </w:t>
      </w:r>
      <w:r w:rsidR="009E06AF">
        <w:rPr>
          <w:rFonts w:ascii="Arial" w:hAnsi="Arial" w:cs="Arial"/>
          <w:b/>
          <w:sz w:val="22"/>
          <w:szCs w:val="22"/>
        </w:rPr>
        <w:t>v </w:t>
      </w:r>
      <w:r w:rsidR="00A61C25" w:rsidRPr="00C34FEB">
        <w:rPr>
          <w:rFonts w:ascii="Arial" w:hAnsi="Arial" w:cs="Arial"/>
          <w:b/>
          <w:sz w:val="22"/>
          <w:szCs w:val="22"/>
        </w:rPr>
        <w:t>realizaci pouze šest z</w:t>
      </w:r>
      <w:r w:rsidR="00C34FEB">
        <w:rPr>
          <w:rFonts w:ascii="Arial" w:hAnsi="Arial" w:cs="Arial"/>
          <w:b/>
          <w:sz w:val="22"/>
          <w:szCs w:val="22"/>
        </w:rPr>
        <w:t> </w:t>
      </w:r>
      <w:r w:rsidR="00A61C25" w:rsidRPr="00C34FEB">
        <w:rPr>
          <w:rFonts w:ascii="Arial" w:hAnsi="Arial" w:cs="Arial"/>
          <w:b/>
          <w:sz w:val="22"/>
          <w:szCs w:val="22"/>
        </w:rPr>
        <w:t>nich</w:t>
      </w:r>
      <w:r w:rsidR="00C34FEB" w:rsidRPr="0075110E">
        <w:rPr>
          <w:rFonts w:ascii="Arial" w:hAnsi="Arial" w:cs="Arial"/>
          <w:b/>
          <w:sz w:val="22"/>
          <w:szCs w:val="22"/>
        </w:rPr>
        <w:t>,</w:t>
      </w:r>
      <w:r w:rsidR="00C34FEB">
        <w:rPr>
          <w:rFonts w:ascii="Arial" w:hAnsi="Arial" w:cs="Arial"/>
          <w:sz w:val="22"/>
          <w:szCs w:val="22"/>
        </w:rPr>
        <w:t xml:space="preserve"> ačkoliv podprogram má být ukončen v roce 2015</w:t>
      </w:r>
      <w:r w:rsidR="00A61C25">
        <w:rPr>
          <w:rFonts w:ascii="Arial" w:hAnsi="Arial" w:cs="Arial"/>
          <w:sz w:val="22"/>
          <w:szCs w:val="22"/>
        </w:rPr>
        <w:t>.</w:t>
      </w:r>
      <w:r w:rsidR="00D8674C">
        <w:rPr>
          <w:rFonts w:ascii="Arial" w:hAnsi="Arial" w:cs="Arial"/>
          <w:sz w:val="22"/>
          <w:szCs w:val="22"/>
        </w:rPr>
        <w:t xml:space="preserve"> Například</w:t>
      </w:r>
      <w:r w:rsidR="00C34FEB">
        <w:rPr>
          <w:rFonts w:ascii="Arial" w:hAnsi="Arial" w:cs="Arial"/>
          <w:sz w:val="22"/>
          <w:szCs w:val="22"/>
        </w:rPr>
        <w:t xml:space="preserve"> </w:t>
      </w:r>
      <w:r w:rsidR="00E53C5B">
        <w:rPr>
          <w:rFonts w:ascii="Arial" w:hAnsi="Arial" w:cs="Arial"/>
          <w:sz w:val="22"/>
          <w:szCs w:val="22"/>
        </w:rPr>
        <w:t xml:space="preserve">výše uvedený nejvýznamnější cíl podprogramu č. </w:t>
      </w:r>
      <w:proofErr w:type="spellStart"/>
      <w:r w:rsidR="00E53C5B">
        <w:rPr>
          <w:rFonts w:ascii="Arial" w:hAnsi="Arial" w:cs="Arial"/>
          <w:sz w:val="22"/>
          <w:szCs w:val="22"/>
        </w:rPr>
        <w:t>113V222</w:t>
      </w:r>
      <w:proofErr w:type="spellEnd"/>
      <w:r w:rsidR="00E53C5B">
        <w:rPr>
          <w:rFonts w:ascii="Arial" w:hAnsi="Arial" w:cs="Arial"/>
          <w:sz w:val="22"/>
          <w:szCs w:val="22"/>
        </w:rPr>
        <w:t xml:space="preserve"> měl být naplněn realizací pěti akcí. V realizaci však byla jen akce týkající se budovy v Jihlavě a v přípravě byla akce týkající se budovy v Jeseníku (viz i následující bod 2.3</w:t>
      </w:r>
      <w:r w:rsidR="009C64F4">
        <w:rPr>
          <w:rFonts w:ascii="Arial" w:hAnsi="Arial" w:cs="Arial"/>
          <w:sz w:val="22"/>
          <w:szCs w:val="22"/>
        </w:rPr>
        <w:t>)</w:t>
      </w:r>
      <w:r w:rsidR="00E53C5B">
        <w:rPr>
          <w:rFonts w:ascii="Arial" w:hAnsi="Arial" w:cs="Arial"/>
          <w:sz w:val="22"/>
          <w:szCs w:val="22"/>
        </w:rPr>
        <w:t xml:space="preserve">. </w:t>
      </w:r>
      <w:r w:rsidR="00BD1C66">
        <w:rPr>
          <w:rFonts w:ascii="Arial" w:hAnsi="Arial" w:cs="Arial"/>
          <w:sz w:val="22"/>
          <w:szCs w:val="22"/>
        </w:rPr>
        <w:t>Zbylé tři akce</w:t>
      </w:r>
      <w:r w:rsidR="00E53C5B">
        <w:rPr>
          <w:rFonts w:ascii="Arial" w:hAnsi="Arial" w:cs="Arial"/>
          <w:sz w:val="22"/>
          <w:szCs w:val="22"/>
        </w:rPr>
        <w:t xml:space="preserve"> týkající se budov</w:t>
      </w:r>
      <w:r w:rsidR="00BD1C66">
        <w:rPr>
          <w:rFonts w:ascii="Arial" w:hAnsi="Arial" w:cs="Arial"/>
          <w:sz w:val="22"/>
          <w:szCs w:val="22"/>
        </w:rPr>
        <w:t xml:space="preserve"> v</w:t>
      </w:r>
      <w:r w:rsidR="00E53C5B">
        <w:rPr>
          <w:rFonts w:ascii="Arial" w:hAnsi="Arial" w:cs="Arial"/>
          <w:sz w:val="22"/>
          <w:szCs w:val="22"/>
        </w:rPr>
        <w:t> </w:t>
      </w:r>
      <w:r w:rsidR="00BD1C66">
        <w:rPr>
          <w:rFonts w:ascii="Arial" w:hAnsi="Arial" w:cs="Arial"/>
          <w:sz w:val="22"/>
          <w:szCs w:val="22"/>
        </w:rPr>
        <w:t>Prostějově</w:t>
      </w:r>
      <w:r w:rsidR="00E53C5B">
        <w:rPr>
          <w:rFonts w:ascii="Arial" w:hAnsi="Arial" w:cs="Arial"/>
          <w:sz w:val="22"/>
          <w:szCs w:val="22"/>
        </w:rPr>
        <w:t xml:space="preserve">, </w:t>
      </w:r>
      <w:r w:rsidR="00BD1C66">
        <w:rPr>
          <w:rFonts w:ascii="Arial" w:hAnsi="Arial" w:cs="Arial"/>
          <w:sz w:val="22"/>
          <w:szCs w:val="22"/>
        </w:rPr>
        <w:t xml:space="preserve">Mostě a Děčíně nebyly zahájeny, ačkoliv k tomu mělo dojít v letech 2012 a 2013. Budovy v Jeseníku a Mostě </w:t>
      </w:r>
      <w:r w:rsidR="001F46BB">
        <w:rPr>
          <w:rFonts w:ascii="Arial" w:hAnsi="Arial" w:cs="Arial"/>
          <w:sz w:val="22"/>
          <w:szCs w:val="22"/>
        </w:rPr>
        <w:t>měly být</w:t>
      </w:r>
      <w:r w:rsidR="00810BC8">
        <w:rPr>
          <w:rFonts w:ascii="Arial" w:hAnsi="Arial" w:cs="Arial"/>
          <w:sz w:val="22"/>
          <w:szCs w:val="22"/>
        </w:rPr>
        <w:t xml:space="preserve"> původně</w:t>
      </w:r>
      <w:r w:rsidR="001F46BB">
        <w:rPr>
          <w:rFonts w:ascii="Arial" w:hAnsi="Arial" w:cs="Arial"/>
          <w:sz w:val="22"/>
          <w:szCs w:val="22"/>
        </w:rPr>
        <w:t xml:space="preserve"> realizovány již v rámci předchozího programu č. 113 210.</w:t>
      </w:r>
      <w:r w:rsidR="007330FE">
        <w:rPr>
          <w:rFonts w:ascii="Arial" w:hAnsi="Arial" w:cs="Arial"/>
          <w:sz w:val="22"/>
          <w:szCs w:val="22"/>
        </w:rPr>
        <w:t xml:space="preserve"> </w:t>
      </w:r>
    </w:p>
    <w:p w:rsidR="001F46BB" w:rsidRDefault="001F46B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F46BB" w:rsidRDefault="001F46BB" w:rsidP="001F46BB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2.3 Kontrolované akce z podprogramu č. </w:t>
      </w:r>
      <w:proofErr w:type="spellStart"/>
      <w:r>
        <w:rPr>
          <w:rFonts w:ascii="Arial" w:hAnsi="Arial" w:cs="Arial"/>
          <w:b/>
          <w:sz w:val="22"/>
          <w:szCs w:val="22"/>
        </w:rPr>
        <w:t>113V222</w:t>
      </w:r>
      <w:proofErr w:type="spellEnd"/>
    </w:p>
    <w:p w:rsidR="001F46BB" w:rsidRDefault="001F46B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B2B69" w:rsidRDefault="001F46B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kontrole byla vybrána</w:t>
      </w:r>
      <w:r w:rsidR="008103F3">
        <w:rPr>
          <w:rFonts w:ascii="Arial" w:hAnsi="Arial" w:cs="Arial"/>
          <w:sz w:val="22"/>
          <w:szCs w:val="22"/>
        </w:rPr>
        <w:t xml:space="preserve"> finančně nejnáročnější</w:t>
      </w:r>
      <w:r>
        <w:rPr>
          <w:rFonts w:ascii="Arial" w:hAnsi="Arial" w:cs="Arial"/>
          <w:sz w:val="22"/>
          <w:szCs w:val="22"/>
        </w:rPr>
        <w:t xml:space="preserve"> akce</w:t>
      </w:r>
      <w:r w:rsidR="00E53C5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týkající se </w:t>
      </w:r>
      <w:r w:rsidR="008103F3">
        <w:rPr>
          <w:rFonts w:ascii="Arial" w:hAnsi="Arial" w:cs="Arial"/>
          <w:sz w:val="22"/>
          <w:szCs w:val="22"/>
        </w:rPr>
        <w:t>výstavby budovy</w:t>
      </w:r>
      <w:r>
        <w:rPr>
          <w:rFonts w:ascii="Arial" w:hAnsi="Arial" w:cs="Arial"/>
          <w:sz w:val="22"/>
          <w:szCs w:val="22"/>
        </w:rPr>
        <w:t xml:space="preserve"> v</w:t>
      </w:r>
      <w:r w:rsidR="00044D72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Jeseníku</w:t>
      </w:r>
      <w:r w:rsidR="00044D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</w:t>
      </w:r>
      <w:r w:rsidR="007330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předpokládanými</w:t>
      </w:r>
      <w:r w:rsidR="007330FE">
        <w:rPr>
          <w:rFonts w:ascii="Arial" w:hAnsi="Arial" w:cs="Arial"/>
          <w:sz w:val="22"/>
          <w:szCs w:val="22"/>
        </w:rPr>
        <w:t xml:space="preserve"> celkovými</w:t>
      </w:r>
      <w:r>
        <w:rPr>
          <w:rFonts w:ascii="Arial" w:hAnsi="Arial" w:cs="Arial"/>
          <w:sz w:val="22"/>
          <w:szCs w:val="22"/>
        </w:rPr>
        <w:t xml:space="preserve"> náklady 137,8 mil. Kč</w:t>
      </w:r>
      <w:r w:rsidR="00E53C5B">
        <w:rPr>
          <w:rFonts w:ascii="Arial" w:hAnsi="Arial" w:cs="Arial"/>
          <w:sz w:val="22"/>
          <w:szCs w:val="22"/>
        </w:rPr>
        <w:t xml:space="preserve"> (viz příloha č.</w:t>
      </w:r>
      <w:r w:rsidR="004437DB">
        <w:rPr>
          <w:rFonts w:ascii="Arial" w:hAnsi="Arial" w:cs="Arial"/>
          <w:sz w:val="22"/>
          <w:szCs w:val="22"/>
        </w:rPr>
        <w:t> </w:t>
      </w:r>
      <w:r w:rsidR="00E53C5B">
        <w:rPr>
          <w:rFonts w:ascii="Arial" w:hAnsi="Arial" w:cs="Arial"/>
          <w:sz w:val="22"/>
          <w:szCs w:val="22"/>
        </w:rPr>
        <w:t>1). Její</w:t>
      </w:r>
      <w:r w:rsidR="008103F3">
        <w:rPr>
          <w:rFonts w:ascii="Arial" w:hAnsi="Arial" w:cs="Arial"/>
          <w:sz w:val="22"/>
          <w:szCs w:val="22"/>
        </w:rPr>
        <w:t xml:space="preserve"> realizace měla být zahájena v roce 2011</w:t>
      </w:r>
      <w:r w:rsidR="00E53C5B">
        <w:rPr>
          <w:rFonts w:ascii="Arial" w:hAnsi="Arial" w:cs="Arial"/>
          <w:sz w:val="22"/>
          <w:szCs w:val="22"/>
        </w:rPr>
        <w:t xml:space="preserve"> a </w:t>
      </w:r>
      <w:r w:rsidR="008103F3">
        <w:rPr>
          <w:rFonts w:ascii="Arial" w:hAnsi="Arial" w:cs="Arial"/>
          <w:sz w:val="22"/>
          <w:szCs w:val="22"/>
        </w:rPr>
        <w:t>dokončena</w:t>
      </w:r>
      <w:r w:rsidR="00E53C5B">
        <w:rPr>
          <w:rFonts w:ascii="Arial" w:hAnsi="Arial" w:cs="Arial"/>
          <w:sz w:val="22"/>
          <w:szCs w:val="22"/>
        </w:rPr>
        <w:t xml:space="preserve"> </w:t>
      </w:r>
      <w:r w:rsidR="009C64F4">
        <w:rPr>
          <w:rFonts w:ascii="Arial" w:hAnsi="Arial" w:cs="Arial"/>
          <w:sz w:val="22"/>
          <w:szCs w:val="22"/>
        </w:rPr>
        <w:t>má</w:t>
      </w:r>
      <w:r w:rsidR="00E53C5B">
        <w:rPr>
          <w:rFonts w:ascii="Arial" w:hAnsi="Arial" w:cs="Arial"/>
          <w:sz w:val="22"/>
          <w:szCs w:val="22"/>
        </w:rPr>
        <w:t xml:space="preserve"> být</w:t>
      </w:r>
      <w:r w:rsidR="008103F3">
        <w:rPr>
          <w:rFonts w:ascii="Arial" w:hAnsi="Arial" w:cs="Arial"/>
          <w:sz w:val="22"/>
          <w:szCs w:val="22"/>
        </w:rPr>
        <w:t xml:space="preserve"> do konce roku 2015. V době kontroly však nebylo ještě zahájeno stavební řízení. Důvodem </w:t>
      </w:r>
      <w:r w:rsidR="0065614B">
        <w:rPr>
          <w:rFonts w:ascii="Arial" w:hAnsi="Arial" w:cs="Arial"/>
          <w:sz w:val="22"/>
          <w:szCs w:val="22"/>
        </w:rPr>
        <w:t>byl</w:t>
      </w:r>
      <w:r w:rsidR="008103F3">
        <w:rPr>
          <w:rFonts w:ascii="Arial" w:hAnsi="Arial" w:cs="Arial"/>
          <w:sz w:val="22"/>
          <w:szCs w:val="22"/>
        </w:rPr>
        <w:t xml:space="preserve"> skluz v projektové přípravě, která </w:t>
      </w:r>
      <w:r w:rsidR="00E53C5B">
        <w:rPr>
          <w:rFonts w:ascii="Arial" w:hAnsi="Arial" w:cs="Arial"/>
          <w:sz w:val="22"/>
          <w:szCs w:val="22"/>
        </w:rPr>
        <w:t xml:space="preserve">nebyla </w:t>
      </w:r>
      <w:r w:rsidR="00394E7F">
        <w:rPr>
          <w:rFonts w:ascii="Arial" w:hAnsi="Arial" w:cs="Arial"/>
          <w:sz w:val="22"/>
          <w:szCs w:val="22"/>
        </w:rPr>
        <w:t>do</w:t>
      </w:r>
      <w:r w:rsidR="008103F3">
        <w:rPr>
          <w:rFonts w:ascii="Arial" w:hAnsi="Arial" w:cs="Arial"/>
          <w:sz w:val="22"/>
          <w:szCs w:val="22"/>
        </w:rPr>
        <w:t>končena</w:t>
      </w:r>
      <w:r w:rsidR="00E53C5B">
        <w:rPr>
          <w:rFonts w:ascii="Arial" w:hAnsi="Arial" w:cs="Arial"/>
          <w:sz w:val="22"/>
          <w:szCs w:val="22"/>
        </w:rPr>
        <w:t xml:space="preserve"> v plánovaném termínu</w:t>
      </w:r>
      <w:r w:rsidR="008103F3">
        <w:rPr>
          <w:rFonts w:ascii="Arial" w:hAnsi="Arial" w:cs="Arial"/>
          <w:sz w:val="22"/>
          <w:szCs w:val="22"/>
        </w:rPr>
        <w:t xml:space="preserve"> do 20. 12. 2013.  </w:t>
      </w:r>
    </w:p>
    <w:p w:rsidR="00DB2B69" w:rsidRDefault="00DB2B69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61C25" w:rsidRDefault="00A61C25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 Program č. 113</w:t>
      </w:r>
      <w:r w:rsidR="00394E7F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030</w:t>
      </w:r>
      <w:r w:rsidR="00394E7F">
        <w:rPr>
          <w:rFonts w:ascii="Arial" w:hAnsi="Arial" w:cs="Arial"/>
          <w:b/>
          <w:sz w:val="22"/>
          <w:szCs w:val="22"/>
        </w:rPr>
        <w:t xml:space="preserve"> –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>Rozvoj a obnova materiálně technické základny úřadů práce</w:t>
      </w:r>
    </w:p>
    <w:p w:rsidR="00A61C25" w:rsidRDefault="00A61C25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8B3A83" w:rsidRDefault="00EC036C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</w:t>
      </w:r>
      <w:r w:rsidR="00DA6548">
        <w:rPr>
          <w:rFonts w:ascii="Arial" w:hAnsi="Arial" w:cs="Arial"/>
          <w:sz w:val="22"/>
          <w:szCs w:val="22"/>
        </w:rPr>
        <w:t xml:space="preserve"> programu</w:t>
      </w:r>
      <w:r>
        <w:rPr>
          <w:rFonts w:ascii="Arial" w:hAnsi="Arial" w:cs="Arial"/>
          <w:sz w:val="22"/>
          <w:szCs w:val="22"/>
        </w:rPr>
        <w:t>,</w:t>
      </w:r>
      <w:r w:rsidR="008B3A83">
        <w:rPr>
          <w:rFonts w:ascii="Arial" w:hAnsi="Arial" w:cs="Arial"/>
          <w:sz w:val="22"/>
          <w:szCs w:val="22"/>
        </w:rPr>
        <w:t xml:space="preserve"> </w:t>
      </w:r>
      <w:r w:rsidR="00394E7F">
        <w:rPr>
          <w:rFonts w:ascii="Arial" w:hAnsi="Arial" w:cs="Arial"/>
          <w:sz w:val="22"/>
          <w:szCs w:val="22"/>
        </w:rPr>
        <w:t xml:space="preserve">kterou MF </w:t>
      </w:r>
      <w:r>
        <w:rPr>
          <w:rFonts w:ascii="Arial" w:hAnsi="Arial" w:cs="Arial"/>
          <w:sz w:val="22"/>
          <w:szCs w:val="22"/>
        </w:rPr>
        <w:t>schvál</w:t>
      </w:r>
      <w:r w:rsidR="00394E7F">
        <w:rPr>
          <w:rFonts w:ascii="Arial" w:hAnsi="Arial" w:cs="Arial"/>
          <w:sz w:val="22"/>
          <w:szCs w:val="22"/>
        </w:rPr>
        <w:t>ilo</w:t>
      </w:r>
      <w:r w:rsidR="006E16E9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srpnu</w:t>
      </w:r>
      <w:r w:rsidR="00A72B43">
        <w:rPr>
          <w:rFonts w:ascii="Arial" w:hAnsi="Arial" w:cs="Arial"/>
          <w:sz w:val="22"/>
          <w:szCs w:val="22"/>
        </w:rPr>
        <w:t xml:space="preserve"> 2007</w:t>
      </w:r>
      <w:r>
        <w:rPr>
          <w:rFonts w:ascii="Arial" w:hAnsi="Arial" w:cs="Arial"/>
          <w:sz w:val="22"/>
          <w:szCs w:val="22"/>
        </w:rPr>
        <w:t xml:space="preserve">, byla aktualizována </w:t>
      </w:r>
      <w:r w:rsidR="008B3A83">
        <w:rPr>
          <w:rFonts w:ascii="Arial" w:hAnsi="Arial" w:cs="Arial"/>
          <w:sz w:val="22"/>
          <w:szCs w:val="22"/>
        </w:rPr>
        <w:t>v březnu 2009. Důvodem byla reakce na změnu úpravy systému financování programu v zákoně č. 218/2000 Sb., koncepční změna v postavení a působnosti úřadů práce (</w:t>
      </w:r>
      <w:r w:rsidR="00086F0F">
        <w:rPr>
          <w:rFonts w:ascii="Arial" w:hAnsi="Arial" w:cs="Arial"/>
          <w:sz w:val="22"/>
          <w:szCs w:val="22"/>
        </w:rPr>
        <w:t>viz níže) a rozšíření</w:t>
      </w:r>
      <w:r w:rsidR="009C64F4">
        <w:rPr>
          <w:rFonts w:ascii="Arial" w:hAnsi="Arial" w:cs="Arial"/>
          <w:sz w:val="22"/>
          <w:szCs w:val="22"/>
        </w:rPr>
        <w:t xml:space="preserve"> zaměření programu</w:t>
      </w:r>
      <w:r w:rsidR="00086F0F">
        <w:rPr>
          <w:rFonts w:ascii="Arial" w:hAnsi="Arial" w:cs="Arial"/>
          <w:sz w:val="22"/>
          <w:szCs w:val="22"/>
        </w:rPr>
        <w:t xml:space="preserve"> o přípravu akcí</w:t>
      </w:r>
      <w:r w:rsidR="009C64F4">
        <w:rPr>
          <w:rFonts w:ascii="Arial" w:hAnsi="Arial" w:cs="Arial"/>
          <w:sz w:val="22"/>
          <w:szCs w:val="22"/>
        </w:rPr>
        <w:t>, jejichž realizace měla být následně financována</w:t>
      </w:r>
      <w:r w:rsidR="00086F0F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v </w:t>
      </w:r>
      <w:r w:rsidR="00086F0F">
        <w:rPr>
          <w:rFonts w:ascii="Arial" w:hAnsi="Arial" w:cs="Arial"/>
          <w:sz w:val="22"/>
          <w:szCs w:val="22"/>
        </w:rPr>
        <w:t>programu č. 113 340 z prostředků EU</w:t>
      </w:r>
      <w:r w:rsidR="001B218E">
        <w:rPr>
          <w:rFonts w:ascii="Arial" w:hAnsi="Arial" w:cs="Arial"/>
          <w:sz w:val="22"/>
          <w:szCs w:val="22"/>
        </w:rPr>
        <w:t xml:space="preserve"> (viz bod 4</w:t>
      </w:r>
      <w:r w:rsidR="004437DB">
        <w:rPr>
          <w:rFonts w:ascii="Arial" w:hAnsi="Arial" w:cs="Arial"/>
          <w:sz w:val="22"/>
          <w:szCs w:val="22"/>
        </w:rPr>
        <w:t>.</w:t>
      </w:r>
      <w:r w:rsidR="001B218E">
        <w:rPr>
          <w:rFonts w:ascii="Arial" w:hAnsi="Arial" w:cs="Arial"/>
          <w:sz w:val="22"/>
          <w:szCs w:val="22"/>
        </w:rPr>
        <w:t>)</w:t>
      </w:r>
      <w:r w:rsidR="00086F0F">
        <w:rPr>
          <w:rFonts w:ascii="Arial" w:hAnsi="Arial" w:cs="Arial"/>
          <w:sz w:val="22"/>
          <w:szCs w:val="22"/>
        </w:rPr>
        <w:t>.</w:t>
      </w:r>
    </w:p>
    <w:p w:rsidR="00DA6548" w:rsidRDefault="008B3A83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Program měl obdobné zaměření jako programy uvedené v předchozích bodech 1 a 2 s tím, že se týkal majetku ÚP ČR. Členil se na dva podprogramy, z nichž kontrola byla zaměřena na podprogram č. 113</w:t>
      </w:r>
      <w:r w:rsidR="004437DB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032</w:t>
      </w:r>
      <w:r w:rsidR="004437DB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Pořízení a reprodukce majetku ve správě úřadů práce</w:t>
      </w:r>
      <w:r>
        <w:rPr>
          <w:rFonts w:ascii="Arial" w:hAnsi="Arial" w:cs="Arial"/>
          <w:sz w:val="22"/>
          <w:szCs w:val="22"/>
        </w:rPr>
        <w:t>.</w:t>
      </w:r>
      <w:r w:rsidR="00627BA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Druhý podprogram se týkal </w:t>
      </w:r>
      <w:proofErr w:type="spellStart"/>
      <w:r>
        <w:rPr>
          <w:rFonts w:ascii="Arial" w:hAnsi="Arial" w:cs="Arial"/>
          <w:sz w:val="22"/>
          <w:szCs w:val="22"/>
        </w:rPr>
        <w:t>ICT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="0033348D">
        <w:rPr>
          <w:rFonts w:ascii="Arial" w:hAnsi="Arial" w:cs="Arial"/>
          <w:sz w:val="22"/>
          <w:szCs w:val="22"/>
        </w:rPr>
        <w:t xml:space="preserve"> </w:t>
      </w:r>
    </w:p>
    <w:p w:rsidR="00DA6548" w:rsidRDefault="00DA6548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86F0F" w:rsidRDefault="005A0B19" w:rsidP="00086F0F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Programy</w:t>
      </w:r>
      <w:r w:rsidR="00652A9C">
        <w:rPr>
          <w:rFonts w:ascii="Arial" w:hAnsi="Arial" w:cs="Arial"/>
          <w:sz w:val="22"/>
          <w:szCs w:val="22"/>
        </w:rPr>
        <w:t xml:space="preserve"> </w:t>
      </w:r>
      <w:r w:rsidR="00086F0F">
        <w:rPr>
          <w:rFonts w:ascii="Arial" w:hAnsi="Arial" w:cs="Arial"/>
          <w:sz w:val="22"/>
          <w:szCs w:val="22"/>
        </w:rPr>
        <w:t>č. 113</w:t>
      </w:r>
      <w:r w:rsidR="00652A9C">
        <w:rPr>
          <w:rFonts w:ascii="Arial" w:hAnsi="Arial" w:cs="Arial"/>
          <w:sz w:val="22"/>
          <w:szCs w:val="22"/>
        </w:rPr>
        <w:t> </w:t>
      </w:r>
      <w:r w:rsidR="00086F0F">
        <w:rPr>
          <w:rFonts w:ascii="Arial" w:hAnsi="Arial" w:cs="Arial"/>
          <w:sz w:val="22"/>
          <w:szCs w:val="22"/>
        </w:rPr>
        <w:t>030</w:t>
      </w:r>
      <w:r w:rsidR="00652A9C">
        <w:rPr>
          <w:rFonts w:ascii="Arial" w:hAnsi="Arial" w:cs="Arial"/>
          <w:sz w:val="22"/>
          <w:szCs w:val="22"/>
        </w:rPr>
        <w:t xml:space="preserve"> </w:t>
      </w:r>
      <w:r w:rsidR="00086F0F">
        <w:rPr>
          <w:rFonts w:ascii="Arial" w:hAnsi="Arial" w:cs="Arial"/>
          <w:sz w:val="22"/>
          <w:szCs w:val="22"/>
        </w:rPr>
        <w:t>a č. 113</w:t>
      </w:r>
      <w:r w:rsidR="00AA79F9">
        <w:rPr>
          <w:rFonts w:ascii="Arial" w:hAnsi="Arial" w:cs="Arial"/>
          <w:sz w:val="22"/>
          <w:szCs w:val="22"/>
        </w:rPr>
        <w:t> </w:t>
      </w:r>
      <w:r w:rsidR="00086F0F">
        <w:rPr>
          <w:rFonts w:ascii="Arial" w:hAnsi="Arial" w:cs="Arial"/>
          <w:sz w:val="22"/>
          <w:szCs w:val="22"/>
        </w:rPr>
        <w:t>340</w:t>
      </w:r>
      <w:r w:rsidR="001B218E">
        <w:rPr>
          <w:rFonts w:ascii="Arial" w:hAnsi="Arial" w:cs="Arial"/>
          <w:sz w:val="22"/>
          <w:szCs w:val="22"/>
        </w:rPr>
        <w:t xml:space="preserve"> negativně ovlivn</w:t>
      </w:r>
      <w:r w:rsidR="00652A9C">
        <w:rPr>
          <w:rFonts w:ascii="Arial" w:hAnsi="Arial" w:cs="Arial"/>
          <w:sz w:val="22"/>
          <w:szCs w:val="22"/>
        </w:rPr>
        <w:t>ily</w:t>
      </w:r>
      <w:r>
        <w:rPr>
          <w:rFonts w:ascii="Arial" w:hAnsi="Arial" w:cs="Arial"/>
          <w:sz w:val="22"/>
          <w:szCs w:val="22"/>
        </w:rPr>
        <w:t xml:space="preserve"> zásadní</w:t>
      </w:r>
      <w:r w:rsidR="00086F0F">
        <w:rPr>
          <w:rFonts w:ascii="Arial" w:hAnsi="Arial" w:cs="Arial"/>
          <w:sz w:val="22"/>
          <w:szCs w:val="22"/>
        </w:rPr>
        <w:t xml:space="preserve"> koncepční</w:t>
      </w:r>
      <w:r w:rsidR="00652A9C">
        <w:rPr>
          <w:rFonts w:ascii="Arial" w:hAnsi="Arial" w:cs="Arial"/>
          <w:sz w:val="22"/>
          <w:szCs w:val="22"/>
        </w:rPr>
        <w:t xml:space="preserve"> změny</w:t>
      </w:r>
      <w:r w:rsidR="00086F0F">
        <w:rPr>
          <w:rFonts w:ascii="Arial" w:hAnsi="Arial" w:cs="Arial"/>
          <w:sz w:val="22"/>
          <w:szCs w:val="22"/>
        </w:rPr>
        <w:t xml:space="preserve"> v pos</w:t>
      </w:r>
      <w:r>
        <w:rPr>
          <w:rFonts w:ascii="Arial" w:hAnsi="Arial" w:cs="Arial"/>
          <w:sz w:val="22"/>
          <w:szCs w:val="22"/>
        </w:rPr>
        <w:t>tavení a působnosti úřadů práce, ke kterým došlo v průběhu jejich realizace</w:t>
      </w:r>
      <w:r w:rsidR="00AA79F9">
        <w:rPr>
          <w:rFonts w:ascii="Arial" w:hAnsi="Arial" w:cs="Arial"/>
          <w:sz w:val="22"/>
          <w:szCs w:val="22"/>
        </w:rPr>
        <w:t>:</w:t>
      </w:r>
    </w:p>
    <w:p w:rsidR="00086F0F" w:rsidRDefault="00086F0F" w:rsidP="0075110E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5A0B19">
        <w:rPr>
          <w:rFonts w:ascii="Arial" w:hAnsi="Arial" w:cs="Arial"/>
          <w:sz w:val="22"/>
          <w:szCs w:val="22"/>
        </w:rPr>
        <w:t>V případě programu č. 113 030 šlo o ustoupení</w:t>
      </w:r>
      <w:r>
        <w:rPr>
          <w:rFonts w:ascii="Arial" w:hAnsi="Arial" w:cs="Arial"/>
          <w:sz w:val="22"/>
          <w:szCs w:val="22"/>
        </w:rPr>
        <w:t xml:space="preserve"> </w:t>
      </w:r>
      <w:r w:rsidR="00AA79F9">
        <w:rPr>
          <w:rFonts w:ascii="Arial" w:hAnsi="Arial" w:cs="Arial"/>
          <w:sz w:val="22"/>
          <w:szCs w:val="22"/>
        </w:rPr>
        <w:t xml:space="preserve">MPSV </w:t>
      </w:r>
      <w:r w:rsidR="005A0B19">
        <w:rPr>
          <w:rFonts w:ascii="Arial" w:hAnsi="Arial" w:cs="Arial"/>
          <w:sz w:val="22"/>
          <w:szCs w:val="22"/>
        </w:rPr>
        <w:t xml:space="preserve">z ledna 2008 </w:t>
      </w:r>
      <w:r>
        <w:rPr>
          <w:rFonts w:ascii="Arial" w:hAnsi="Arial" w:cs="Arial"/>
          <w:sz w:val="22"/>
          <w:szCs w:val="22"/>
        </w:rPr>
        <w:t xml:space="preserve">od záměru zřídit </w:t>
      </w:r>
      <w:r w:rsidR="000227AD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árodní úřad</w:t>
      </w:r>
      <w:r w:rsidR="005A0B19">
        <w:rPr>
          <w:rFonts w:ascii="Arial" w:hAnsi="Arial" w:cs="Arial"/>
          <w:sz w:val="22"/>
          <w:szCs w:val="22"/>
        </w:rPr>
        <w:t xml:space="preserve"> a </w:t>
      </w:r>
      <w:r w:rsidR="00AA79F9">
        <w:rPr>
          <w:rFonts w:ascii="Arial" w:hAnsi="Arial" w:cs="Arial"/>
          <w:sz w:val="22"/>
          <w:szCs w:val="22"/>
        </w:rPr>
        <w:t xml:space="preserve">okresní ředitelství </w:t>
      </w:r>
      <w:r>
        <w:rPr>
          <w:rFonts w:ascii="Arial" w:hAnsi="Arial" w:cs="Arial"/>
          <w:sz w:val="22"/>
          <w:szCs w:val="22"/>
        </w:rPr>
        <w:t>pro zaměstnanost a sociální správu.</w:t>
      </w:r>
    </w:p>
    <w:p w:rsidR="00223FE7" w:rsidRDefault="00086F0F" w:rsidP="0075110E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5A0B19">
        <w:rPr>
          <w:rFonts w:ascii="Arial" w:hAnsi="Arial" w:cs="Arial"/>
          <w:sz w:val="22"/>
          <w:szCs w:val="22"/>
        </w:rPr>
        <w:t xml:space="preserve">Oba uvedené programy byly ovlivněny </w:t>
      </w:r>
      <w:r w:rsidR="00856E57">
        <w:rPr>
          <w:rFonts w:ascii="Arial" w:hAnsi="Arial" w:cs="Arial"/>
          <w:sz w:val="22"/>
          <w:szCs w:val="22"/>
        </w:rPr>
        <w:t xml:space="preserve">zřízením ÚP ČR od 1. 4. 2011 na základě </w:t>
      </w:r>
      <w:r w:rsidR="00AA79F9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ákon</w:t>
      </w:r>
      <w:r w:rsidR="00856E57">
        <w:rPr>
          <w:rFonts w:ascii="Arial" w:hAnsi="Arial" w:cs="Arial"/>
          <w:sz w:val="22"/>
          <w:szCs w:val="22"/>
        </w:rPr>
        <w:t>a č. </w:t>
      </w:r>
      <w:r>
        <w:rPr>
          <w:rFonts w:ascii="Arial" w:hAnsi="Arial" w:cs="Arial"/>
          <w:sz w:val="22"/>
          <w:szCs w:val="22"/>
        </w:rPr>
        <w:t>73/2011 Sb.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8A6E9F">
        <w:rPr>
          <w:rFonts w:ascii="Arial" w:hAnsi="Arial" w:cs="Arial"/>
          <w:sz w:val="22"/>
          <w:szCs w:val="22"/>
        </w:rPr>
        <w:t xml:space="preserve"> </w:t>
      </w:r>
      <w:r w:rsidR="00852A6F">
        <w:rPr>
          <w:rFonts w:ascii="Arial" w:hAnsi="Arial" w:cs="Arial"/>
          <w:sz w:val="22"/>
          <w:szCs w:val="22"/>
        </w:rPr>
        <w:t>s novými organizačními jednotkami – kra</w:t>
      </w:r>
      <w:r w:rsidR="00182769">
        <w:rPr>
          <w:rFonts w:ascii="Arial" w:hAnsi="Arial" w:cs="Arial"/>
          <w:sz w:val="22"/>
          <w:szCs w:val="22"/>
        </w:rPr>
        <w:t xml:space="preserve">jskými pobočkami a </w:t>
      </w:r>
      <w:r w:rsidR="00AA79F9">
        <w:rPr>
          <w:rFonts w:ascii="Arial" w:hAnsi="Arial" w:cs="Arial"/>
          <w:sz w:val="22"/>
          <w:szCs w:val="22"/>
        </w:rPr>
        <w:t>G</w:t>
      </w:r>
      <w:r w:rsidR="00852A6F">
        <w:rPr>
          <w:rFonts w:ascii="Arial" w:hAnsi="Arial" w:cs="Arial"/>
          <w:sz w:val="22"/>
          <w:szCs w:val="22"/>
        </w:rPr>
        <w:t>enerální</w:t>
      </w:r>
      <w:r w:rsidR="00182769">
        <w:rPr>
          <w:rFonts w:ascii="Arial" w:hAnsi="Arial" w:cs="Arial"/>
          <w:sz w:val="22"/>
          <w:szCs w:val="22"/>
        </w:rPr>
        <w:t>m</w:t>
      </w:r>
      <w:r w:rsidR="00852A6F">
        <w:rPr>
          <w:rFonts w:ascii="Arial" w:hAnsi="Arial" w:cs="Arial"/>
          <w:sz w:val="22"/>
          <w:szCs w:val="22"/>
        </w:rPr>
        <w:t xml:space="preserve"> ředitelství</w:t>
      </w:r>
      <w:r w:rsidR="00182769">
        <w:rPr>
          <w:rFonts w:ascii="Arial" w:hAnsi="Arial" w:cs="Arial"/>
          <w:sz w:val="22"/>
          <w:szCs w:val="22"/>
        </w:rPr>
        <w:t>m</w:t>
      </w:r>
      <w:r w:rsidR="00852A6F">
        <w:rPr>
          <w:rFonts w:ascii="Arial" w:hAnsi="Arial" w:cs="Arial"/>
          <w:sz w:val="22"/>
          <w:szCs w:val="22"/>
        </w:rPr>
        <w:t xml:space="preserve"> ÚP</w:t>
      </w:r>
      <w:r w:rsidR="009C64F4">
        <w:rPr>
          <w:rFonts w:ascii="Arial" w:hAnsi="Arial" w:cs="Arial"/>
          <w:sz w:val="22"/>
          <w:szCs w:val="22"/>
        </w:rPr>
        <w:t xml:space="preserve"> ČR</w:t>
      </w:r>
      <w:r w:rsidR="00D9221A">
        <w:rPr>
          <w:rFonts w:ascii="Arial" w:hAnsi="Arial" w:cs="Arial"/>
          <w:sz w:val="22"/>
          <w:szCs w:val="22"/>
        </w:rPr>
        <w:t xml:space="preserve"> (dále jen „</w:t>
      </w:r>
      <w:proofErr w:type="spellStart"/>
      <w:r w:rsidR="00D9221A">
        <w:rPr>
          <w:rFonts w:ascii="Arial" w:hAnsi="Arial" w:cs="Arial"/>
          <w:sz w:val="22"/>
          <w:szCs w:val="22"/>
        </w:rPr>
        <w:t>GŘ</w:t>
      </w:r>
      <w:proofErr w:type="spellEnd"/>
      <w:r w:rsidR="00D9221A">
        <w:rPr>
          <w:rFonts w:ascii="Arial" w:hAnsi="Arial" w:cs="Arial"/>
          <w:sz w:val="22"/>
          <w:szCs w:val="22"/>
        </w:rPr>
        <w:t xml:space="preserve"> ÚP ČR“)</w:t>
      </w:r>
      <w:r w:rsidR="00223FE7">
        <w:rPr>
          <w:rFonts w:ascii="Arial" w:hAnsi="Arial" w:cs="Arial"/>
          <w:sz w:val="22"/>
          <w:szCs w:val="22"/>
        </w:rPr>
        <w:t xml:space="preserve">. </w:t>
      </w:r>
    </w:p>
    <w:p w:rsidR="00D831FA" w:rsidRPr="008A6E9F" w:rsidRDefault="00D831FA" w:rsidP="008A6E9F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086F0F" w:rsidRDefault="008A6E9F" w:rsidP="00086F0F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C318BD">
        <w:rPr>
          <w:rFonts w:ascii="Arial" w:hAnsi="Arial" w:cs="Arial"/>
          <w:b/>
          <w:sz w:val="22"/>
          <w:szCs w:val="22"/>
        </w:rPr>
        <w:t>Od počátku real</w:t>
      </w:r>
      <w:r w:rsidR="00C318BD">
        <w:rPr>
          <w:rFonts w:ascii="Arial" w:hAnsi="Arial" w:cs="Arial"/>
          <w:b/>
          <w:sz w:val="22"/>
          <w:szCs w:val="22"/>
        </w:rPr>
        <w:t>izace programů č.</w:t>
      </w:r>
      <w:r w:rsidR="004C41BF">
        <w:rPr>
          <w:rFonts w:ascii="Arial" w:hAnsi="Arial" w:cs="Arial"/>
          <w:b/>
          <w:sz w:val="22"/>
          <w:szCs w:val="22"/>
        </w:rPr>
        <w:t> </w:t>
      </w:r>
      <w:r w:rsidR="00C318BD">
        <w:rPr>
          <w:rFonts w:ascii="Arial" w:hAnsi="Arial" w:cs="Arial"/>
          <w:b/>
          <w:sz w:val="22"/>
          <w:szCs w:val="22"/>
        </w:rPr>
        <w:t xml:space="preserve">113 030 a </w:t>
      </w:r>
      <w:r w:rsidRPr="00C318BD">
        <w:rPr>
          <w:rFonts w:ascii="Arial" w:hAnsi="Arial" w:cs="Arial"/>
          <w:b/>
          <w:sz w:val="22"/>
          <w:szCs w:val="22"/>
        </w:rPr>
        <w:t>č.</w:t>
      </w:r>
      <w:r w:rsidR="004C41BF">
        <w:rPr>
          <w:rFonts w:ascii="Arial" w:hAnsi="Arial" w:cs="Arial"/>
          <w:b/>
          <w:sz w:val="22"/>
          <w:szCs w:val="22"/>
        </w:rPr>
        <w:t> </w:t>
      </w:r>
      <w:r w:rsidRPr="00C318BD">
        <w:rPr>
          <w:rFonts w:ascii="Arial" w:hAnsi="Arial" w:cs="Arial"/>
          <w:b/>
          <w:sz w:val="22"/>
          <w:szCs w:val="22"/>
        </w:rPr>
        <w:t>113</w:t>
      </w:r>
      <w:r w:rsidR="004C41BF">
        <w:rPr>
          <w:rFonts w:ascii="Arial" w:hAnsi="Arial" w:cs="Arial"/>
          <w:b/>
          <w:sz w:val="22"/>
          <w:szCs w:val="22"/>
        </w:rPr>
        <w:t> </w:t>
      </w:r>
      <w:r w:rsidRPr="00C318BD">
        <w:rPr>
          <w:rFonts w:ascii="Arial" w:hAnsi="Arial" w:cs="Arial"/>
          <w:b/>
          <w:sz w:val="22"/>
          <w:szCs w:val="22"/>
        </w:rPr>
        <w:t>340 neexistoval ujasněný koncepční dokument organizační struktury úřadů práce, který by byl výchozím předpokladem pro odpovídající přípravu a realizaci akcí a pro efektivní vynakládání peněžních prostředků státního rozpočtu</w:t>
      </w:r>
      <w:r w:rsidRPr="0075110E">
        <w:rPr>
          <w:rFonts w:ascii="Arial" w:hAnsi="Arial" w:cs="Arial"/>
          <w:b/>
          <w:sz w:val="22"/>
          <w:szCs w:val="22"/>
        </w:rPr>
        <w:t>.</w:t>
      </w:r>
      <w:r w:rsidR="00C318BD">
        <w:rPr>
          <w:rFonts w:ascii="Arial" w:hAnsi="Arial" w:cs="Arial"/>
          <w:sz w:val="22"/>
          <w:szCs w:val="22"/>
        </w:rPr>
        <w:t xml:space="preserve"> </w:t>
      </w:r>
      <w:r w:rsidR="00542E0B">
        <w:rPr>
          <w:rFonts w:ascii="Arial" w:hAnsi="Arial" w:cs="Arial"/>
          <w:sz w:val="22"/>
          <w:szCs w:val="22"/>
        </w:rPr>
        <w:t xml:space="preserve">Tento stav vedl </w:t>
      </w:r>
      <w:r w:rsidR="00086F0F">
        <w:rPr>
          <w:rFonts w:ascii="Arial" w:hAnsi="Arial" w:cs="Arial"/>
          <w:sz w:val="22"/>
          <w:szCs w:val="22"/>
        </w:rPr>
        <w:t xml:space="preserve">k významným změnám časových, finančních a věcných podmínek </w:t>
      </w:r>
      <w:r w:rsidR="00542E0B">
        <w:rPr>
          <w:rFonts w:ascii="Arial" w:hAnsi="Arial" w:cs="Arial"/>
          <w:sz w:val="22"/>
          <w:szCs w:val="22"/>
        </w:rPr>
        <w:t>v průběhu realizace</w:t>
      </w:r>
      <w:r w:rsidR="00542E0B" w:rsidRPr="00542E0B">
        <w:rPr>
          <w:rFonts w:ascii="Arial" w:hAnsi="Arial" w:cs="Arial"/>
          <w:sz w:val="22"/>
          <w:szCs w:val="22"/>
        </w:rPr>
        <w:t xml:space="preserve"> </w:t>
      </w:r>
      <w:r w:rsidR="00542E0B">
        <w:rPr>
          <w:rFonts w:ascii="Arial" w:hAnsi="Arial" w:cs="Arial"/>
          <w:sz w:val="22"/>
          <w:szCs w:val="22"/>
        </w:rPr>
        <w:t>obou programů</w:t>
      </w:r>
      <w:r w:rsidR="00086F0F">
        <w:rPr>
          <w:rFonts w:ascii="Arial" w:hAnsi="Arial" w:cs="Arial"/>
          <w:sz w:val="22"/>
          <w:szCs w:val="22"/>
        </w:rPr>
        <w:t>.</w:t>
      </w:r>
    </w:p>
    <w:p w:rsidR="00086F0F" w:rsidRDefault="00086F0F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86F0F" w:rsidRPr="00897DCB" w:rsidRDefault="00086F0F" w:rsidP="00086F0F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3.1 Časové a finanční podmínky</w:t>
      </w:r>
    </w:p>
    <w:p w:rsidR="00086F0F" w:rsidRDefault="00086F0F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846F2" w:rsidRDefault="00EF50A3" w:rsidP="00627BAE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realizace programu byla stanovena na roky 2008 a 2009</w:t>
      </w:r>
      <w:r w:rsidR="009C64F4">
        <w:rPr>
          <w:rFonts w:ascii="Arial" w:hAnsi="Arial" w:cs="Arial"/>
          <w:sz w:val="22"/>
          <w:szCs w:val="22"/>
        </w:rPr>
        <w:t xml:space="preserve"> a finanční potřeba na 609</w:t>
      </w:r>
      <w:r w:rsidR="00ED413D">
        <w:rPr>
          <w:rFonts w:ascii="Arial" w:hAnsi="Arial" w:cs="Arial"/>
          <w:sz w:val="22"/>
          <w:szCs w:val="22"/>
        </w:rPr>
        <w:t> </w:t>
      </w:r>
      <w:r w:rsidR="009C64F4">
        <w:rPr>
          <w:rFonts w:ascii="Arial" w:hAnsi="Arial" w:cs="Arial"/>
          <w:sz w:val="22"/>
          <w:szCs w:val="22"/>
        </w:rPr>
        <w:t>mil.</w:t>
      </w:r>
      <w:r w:rsidR="00ED413D">
        <w:rPr>
          <w:rFonts w:ascii="Arial" w:hAnsi="Arial" w:cs="Arial"/>
          <w:sz w:val="22"/>
          <w:szCs w:val="22"/>
        </w:rPr>
        <w:t> </w:t>
      </w:r>
      <w:r w:rsidR="009C64F4">
        <w:rPr>
          <w:rFonts w:ascii="Arial" w:hAnsi="Arial" w:cs="Arial"/>
          <w:sz w:val="22"/>
          <w:szCs w:val="22"/>
        </w:rPr>
        <w:t xml:space="preserve">Kč. </w:t>
      </w:r>
      <w:r>
        <w:rPr>
          <w:rFonts w:ascii="Arial" w:hAnsi="Arial" w:cs="Arial"/>
          <w:sz w:val="22"/>
          <w:szCs w:val="22"/>
        </w:rPr>
        <w:t>Důvodem krátké doby</w:t>
      </w:r>
      <w:r w:rsidR="00542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realizace byl</w:t>
      </w:r>
      <w:r w:rsidR="00542E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záměr zřídit s účinností od ledna 2009 výše uvedený národní úřad</w:t>
      </w:r>
      <w:r w:rsidR="00AB19E3">
        <w:rPr>
          <w:rFonts w:ascii="Arial" w:hAnsi="Arial" w:cs="Arial"/>
          <w:sz w:val="22"/>
          <w:szCs w:val="22"/>
        </w:rPr>
        <w:t xml:space="preserve"> a okresní ředitelství.</w:t>
      </w:r>
      <w:r w:rsidR="009C64F4">
        <w:rPr>
          <w:rFonts w:ascii="Arial" w:hAnsi="Arial" w:cs="Arial"/>
          <w:sz w:val="22"/>
          <w:szCs w:val="22"/>
        </w:rPr>
        <w:t xml:space="preserve"> </w:t>
      </w:r>
      <w:r w:rsidR="008835D0">
        <w:rPr>
          <w:rFonts w:ascii="Arial" w:hAnsi="Arial" w:cs="Arial"/>
          <w:sz w:val="22"/>
          <w:szCs w:val="22"/>
        </w:rPr>
        <w:t>MPSV</w:t>
      </w:r>
      <w:r w:rsidR="002846F2">
        <w:rPr>
          <w:rFonts w:ascii="Arial" w:hAnsi="Arial" w:cs="Arial"/>
          <w:sz w:val="22"/>
          <w:szCs w:val="22"/>
        </w:rPr>
        <w:t xml:space="preserve"> </w:t>
      </w:r>
      <w:r w:rsidR="00182769">
        <w:rPr>
          <w:rFonts w:ascii="Arial" w:hAnsi="Arial" w:cs="Arial"/>
          <w:sz w:val="22"/>
          <w:szCs w:val="22"/>
        </w:rPr>
        <w:t>po</w:t>
      </w:r>
      <w:r w:rsidR="002846F2">
        <w:rPr>
          <w:rFonts w:ascii="Arial" w:hAnsi="Arial" w:cs="Arial"/>
          <w:sz w:val="22"/>
          <w:szCs w:val="22"/>
        </w:rPr>
        <w:t xml:space="preserve"> ustoupení od tohoto záměru </w:t>
      </w:r>
      <w:r w:rsidR="00182769">
        <w:rPr>
          <w:rFonts w:ascii="Arial" w:hAnsi="Arial" w:cs="Arial"/>
          <w:sz w:val="22"/>
          <w:szCs w:val="22"/>
        </w:rPr>
        <w:t xml:space="preserve">prodloužilo </w:t>
      </w:r>
      <w:r w:rsidR="009C64F4">
        <w:rPr>
          <w:rFonts w:ascii="Arial" w:hAnsi="Arial" w:cs="Arial"/>
          <w:sz w:val="22"/>
          <w:szCs w:val="22"/>
        </w:rPr>
        <w:t>aktualizací</w:t>
      </w:r>
      <w:r w:rsidR="002846F2">
        <w:rPr>
          <w:rFonts w:ascii="Arial" w:hAnsi="Arial" w:cs="Arial"/>
          <w:sz w:val="22"/>
          <w:szCs w:val="22"/>
        </w:rPr>
        <w:t xml:space="preserve"> dokumentace </w:t>
      </w:r>
      <w:r w:rsidR="00561BDE">
        <w:rPr>
          <w:rFonts w:ascii="Arial" w:hAnsi="Arial" w:cs="Arial"/>
          <w:sz w:val="22"/>
          <w:szCs w:val="22"/>
        </w:rPr>
        <w:t>realizaci</w:t>
      </w:r>
      <w:r w:rsidR="009C64F4">
        <w:rPr>
          <w:rFonts w:ascii="Arial" w:hAnsi="Arial" w:cs="Arial"/>
          <w:sz w:val="22"/>
          <w:szCs w:val="22"/>
        </w:rPr>
        <w:t xml:space="preserve"> </w:t>
      </w:r>
      <w:r w:rsidR="00561BDE">
        <w:rPr>
          <w:rFonts w:ascii="Arial" w:hAnsi="Arial" w:cs="Arial"/>
          <w:sz w:val="22"/>
          <w:szCs w:val="22"/>
        </w:rPr>
        <w:t xml:space="preserve">programu </w:t>
      </w:r>
      <w:r w:rsidR="009C64F4">
        <w:rPr>
          <w:rFonts w:ascii="Arial" w:hAnsi="Arial" w:cs="Arial"/>
          <w:sz w:val="22"/>
          <w:szCs w:val="22"/>
        </w:rPr>
        <w:t>do konce roku 2013</w:t>
      </w:r>
      <w:r w:rsidR="00182769">
        <w:rPr>
          <w:rFonts w:ascii="Arial" w:hAnsi="Arial" w:cs="Arial"/>
          <w:sz w:val="22"/>
          <w:szCs w:val="22"/>
        </w:rPr>
        <w:t xml:space="preserve"> a </w:t>
      </w:r>
      <w:r w:rsidR="00763AF0">
        <w:rPr>
          <w:rFonts w:ascii="Arial" w:hAnsi="Arial" w:cs="Arial"/>
          <w:sz w:val="22"/>
          <w:szCs w:val="22"/>
        </w:rPr>
        <w:t>zvýšilo</w:t>
      </w:r>
      <w:r w:rsidR="00561BDE">
        <w:rPr>
          <w:rFonts w:ascii="Arial" w:hAnsi="Arial" w:cs="Arial"/>
          <w:sz w:val="22"/>
          <w:szCs w:val="22"/>
        </w:rPr>
        <w:t xml:space="preserve"> jeho</w:t>
      </w:r>
      <w:r w:rsidR="00763AF0">
        <w:rPr>
          <w:rFonts w:ascii="Arial" w:hAnsi="Arial" w:cs="Arial"/>
          <w:sz w:val="22"/>
          <w:szCs w:val="22"/>
        </w:rPr>
        <w:t xml:space="preserve"> fi</w:t>
      </w:r>
      <w:r w:rsidR="006155F2">
        <w:rPr>
          <w:rFonts w:ascii="Arial" w:hAnsi="Arial" w:cs="Arial"/>
          <w:sz w:val="22"/>
          <w:szCs w:val="22"/>
        </w:rPr>
        <w:t>nanční potřebu na 1 998 mil. Kč.</w:t>
      </w:r>
      <w:r w:rsidR="00763AF0">
        <w:rPr>
          <w:rFonts w:ascii="Arial" w:hAnsi="Arial" w:cs="Arial"/>
          <w:sz w:val="22"/>
          <w:szCs w:val="22"/>
        </w:rPr>
        <w:t xml:space="preserve"> Správnost stanovené</w:t>
      </w:r>
      <w:r w:rsidR="00763AF0" w:rsidRPr="0033348D">
        <w:rPr>
          <w:rFonts w:ascii="Arial" w:hAnsi="Arial" w:cs="Arial"/>
          <w:sz w:val="22"/>
          <w:szCs w:val="22"/>
        </w:rPr>
        <w:t xml:space="preserve"> finanční potřeby nebylo možn</w:t>
      </w:r>
      <w:r w:rsidR="00ED413D">
        <w:rPr>
          <w:rFonts w:ascii="Arial" w:hAnsi="Arial" w:cs="Arial"/>
          <w:sz w:val="22"/>
          <w:szCs w:val="22"/>
        </w:rPr>
        <w:t>é</w:t>
      </w:r>
      <w:r w:rsidR="00763AF0" w:rsidRPr="0033348D">
        <w:rPr>
          <w:rFonts w:ascii="Arial" w:hAnsi="Arial" w:cs="Arial"/>
          <w:sz w:val="22"/>
          <w:szCs w:val="22"/>
        </w:rPr>
        <w:t xml:space="preserve"> vyhodnotit</w:t>
      </w:r>
      <w:r w:rsidR="00763AF0">
        <w:rPr>
          <w:rFonts w:ascii="Arial" w:hAnsi="Arial" w:cs="Arial"/>
          <w:sz w:val="22"/>
          <w:szCs w:val="22"/>
        </w:rPr>
        <w:t xml:space="preserve">, neboť </w:t>
      </w:r>
      <w:r w:rsidR="00763AF0" w:rsidRPr="0033348D">
        <w:rPr>
          <w:rFonts w:ascii="Arial" w:hAnsi="Arial" w:cs="Arial"/>
          <w:b/>
          <w:sz w:val="22"/>
          <w:szCs w:val="22"/>
        </w:rPr>
        <w:t>MPSV nepředložilo žádný dokument, který b</w:t>
      </w:r>
      <w:r w:rsidR="00561BDE">
        <w:rPr>
          <w:rFonts w:ascii="Arial" w:hAnsi="Arial" w:cs="Arial"/>
          <w:b/>
          <w:sz w:val="22"/>
          <w:szCs w:val="22"/>
        </w:rPr>
        <w:t>y se problematikou pořizování a </w:t>
      </w:r>
      <w:r w:rsidR="00763AF0" w:rsidRPr="0033348D">
        <w:rPr>
          <w:rFonts w:ascii="Arial" w:hAnsi="Arial" w:cs="Arial"/>
          <w:b/>
          <w:sz w:val="22"/>
          <w:szCs w:val="22"/>
        </w:rPr>
        <w:t xml:space="preserve">obnovy nemovitého </w:t>
      </w:r>
      <w:r w:rsidR="00763AF0">
        <w:rPr>
          <w:rFonts w:ascii="Arial" w:hAnsi="Arial" w:cs="Arial"/>
          <w:b/>
          <w:sz w:val="22"/>
          <w:szCs w:val="22"/>
        </w:rPr>
        <w:t>majetku úřadů práce komplexně a </w:t>
      </w:r>
      <w:r w:rsidR="00763AF0" w:rsidRPr="0033348D">
        <w:rPr>
          <w:rFonts w:ascii="Arial" w:hAnsi="Arial" w:cs="Arial"/>
          <w:b/>
          <w:sz w:val="22"/>
          <w:szCs w:val="22"/>
        </w:rPr>
        <w:t>koncepčně zabýval</w:t>
      </w:r>
      <w:r w:rsidR="00763AF0" w:rsidRPr="0075110E">
        <w:rPr>
          <w:rFonts w:ascii="Arial" w:hAnsi="Arial" w:cs="Arial"/>
          <w:b/>
          <w:sz w:val="22"/>
          <w:szCs w:val="22"/>
        </w:rPr>
        <w:t>.</w:t>
      </w:r>
    </w:p>
    <w:p w:rsidR="002846F2" w:rsidRDefault="002846F2" w:rsidP="00627BAE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F50A3" w:rsidRDefault="00763AF0" w:rsidP="00EF50A3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55FC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aktualizované finanční potřeby programu </w:t>
      </w:r>
      <w:r w:rsidR="008A6C5B">
        <w:rPr>
          <w:rFonts w:ascii="Arial" w:hAnsi="Arial" w:cs="Arial"/>
          <w:sz w:val="22"/>
          <w:szCs w:val="22"/>
        </w:rPr>
        <w:t>však bylo</w:t>
      </w:r>
      <w:r>
        <w:rPr>
          <w:rFonts w:ascii="Arial" w:hAnsi="Arial" w:cs="Arial"/>
          <w:sz w:val="22"/>
          <w:szCs w:val="22"/>
        </w:rPr>
        <w:t xml:space="preserve"> vyčerpáno</w:t>
      </w:r>
      <w:r w:rsidR="002846F2">
        <w:rPr>
          <w:rFonts w:ascii="Arial" w:hAnsi="Arial" w:cs="Arial"/>
          <w:sz w:val="22"/>
          <w:szCs w:val="22"/>
        </w:rPr>
        <w:t xml:space="preserve"> jen </w:t>
      </w:r>
      <w:r w:rsidR="008835D0">
        <w:rPr>
          <w:rFonts w:ascii="Arial" w:hAnsi="Arial" w:cs="Arial"/>
          <w:sz w:val="22"/>
          <w:szCs w:val="22"/>
        </w:rPr>
        <w:t>63</w:t>
      </w:r>
      <w:r w:rsidR="00C318BD">
        <w:rPr>
          <w:rFonts w:ascii="Arial" w:hAnsi="Arial" w:cs="Arial"/>
          <w:sz w:val="22"/>
          <w:szCs w:val="22"/>
        </w:rPr>
        <w:t>6</w:t>
      </w:r>
      <w:r w:rsidR="008835D0">
        <w:rPr>
          <w:rFonts w:ascii="Arial" w:hAnsi="Arial" w:cs="Arial"/>
          <w:sz w:val="22"/>
          <w:szCs w:val="22"/>
        </w:rPr>
        <w:t xml:space="preserve"> mil. Kč, tj. 32 %</w:t>
      </w:r>
      <w:r w:rsidR="002846F2">
        <w:rPr>
          <w:rFonts w:ascii="Arial" w:hAnsi="Arial" w:cs="Arial"/>
          <w:sz w:val="22"/>
          <w:szCs w:val="22"/>
        </w:rPr>
        <w:t>.</w:t>
      </w:r>
      <w:r w:rsidR="00AB19E3">
        <w:rPr>
          <w:rFonts w:ascii="Arial" w:hAnsi="Arial" w:cs="Arial"/>
          <w:sz w:val="22"/>
          <w:szCs w:val="22"/>
        </w:rPr>
        <w:t xml:space="preserve"> </w:t>
      </w:r>
      <w:r w:rsidR="00627BAE">
        <w:rPr>
          <w:rFonts w:ascii="Arial" w:hAnsi="Arial" w:cs="Arial"/>
          <w:sz w:val="22"/>
          <w:szCs w:val="22"/>
        </w:rPr>
        <w:t>Důvodem nízkého čerpání byl</w:t>
      </w:r>
      <w:r w:rsidR="00C318BD">
        <w:rPr>
          <w:rFonts w:ascii="Arial" w:hAnsi="Arial" w:cs="Arial"/>
          <w:sz w:val="22"/>
          <w:szCs w:val="22"/>
        </w:rPr>
        <w:t>o</w:t>
      </w:r>
      <w:r w:rsidR="00627BAE">
        <w:rPr>
          <w:rFonts w:ascii="Arial" w:hAnsi="Arial" w:cs="Arial"/>
          <w:sz w:val="22"/>
          <w:szCs w:val="22"/>
        </w:rPr>
        <w:t xml:space="preserve"> </w:t>
      </w:r>
      <w:r w:rsidR="00AB19E3">
        <w:rPr>
          <w:rFonts w:ascii="Arial" w:hAnsi="Arial" w:cs="Arial"/>
          <w:sz w:val="22"/>
          <w:szCs w:val="22"/>
        </w:rPr>
        <w:t xml:space="preserve">mj. </w:t>
      </w:r>
      <w:r w:rsidR="00C318BD">
        <w:rPr>
          <w:rFonts w:ascii="Arial" w:hAnsi="Arial" w:cs="Arial"/>
          <w:sz w:val="22"/>
          <w:szCs w:val="22"/>
        </w:rPr>
        <w:t xml:space="preserve">zpožďování </w:t>
      </w:r>
      <w:r>
        <w:rPr>
          <w:rFonts w:ascii="Arial" w:hAnsi="Arial" w:cs="Arial"/>
          <w:sz w:val="22"/>
          <w:szCs w:val="22"/>
        </w:rPr>
        <w:t>přípravy a realizace</w:t>
      </w:r>
      <w:r w:rsidR="00627BAE">
        <w:rPr>
          <w:rFonts w:ascii="Arial" w:hAnsi="Arial" w:cs="Arial"/>
          <w:sz w:val="22"/>
          <w:szCs w:val="22"/>
        </w:rPr>
        <w:t xml:space="preserve"> akcí. MPSV proto v době kontroly předpokládalo prodloužení realizace programu do konce roku 2015.</w:t>
      </w:r>
      <w:r w:rsidR="002846F2">
        <w:rPr>
          <w:rFonts w:ascii="Arial" w:hAnsi="Arial" w:cs="Arial"/>
          <w:sz w:val="22"/>
          <w:szCs w:val="22"/>
        </w:rPr>
        <w:t xml:space="preserve"> </w:t>
      </w:r>
      <w:r w:rsidR="00EF50A3">
        <w:rPr>
          <w:rFonts w:ascii="Arial" w:hAnsi="Arial" w:cs="Arial"/>
          <w:sz w:val="22"/>
          <w:szCs w:val="22"/>
        </w:rPr>
        <w:t>Finanční potřeba</w:t>
      </w:r>
      <w:r w:rsidR="002846F2">
        <w:rPr>
          <w:rFonts w:ascii="Arial" w:hAnsi="Arial" w:cs="Arial"/>
          <w:sz w:val="22"/>
          <w:szCs w:val="22"/>
        </w:rPr>
        <w:t>,</w:t>
      </w:r>
      <w:r w:rsidR="002846F2" w:rsidRPr="002846F2">
        <w:rPr>
          <w:rFonts w:ascii="Arial" w:hAnsi="Arial" w:cs="Arial"/>
          <w:sz w:val="22"/>
          <w:szCs w:val="22"/>
        </w:rPr>
        <w:t xml:space="preserve"> </w:t>
      </w:r>
      <w:r w:rsidR="002846F2">
        <w:rPr>
          <w:rFonts w:ascii="Arial" w:hAnsi="Arial" w:cs="Arial"/>
          <w:sz w:val="22"/>
          <w:szCs w:val="22"/>
        </w:rPr>
        <w:t>schválené</w:t>
      </w:r>
      <w:r w:rsidR="00EF50A3">
        <w:rPr>
          <w:rFonts w:ascii="Arial" w:hAnsi="Arial" w:cs="Arial"/>
          <w:sz w:val="22"/>
          <w:szCs w:val="22"/>
        </w:rPr>
        <w:t xml:space="preserve"> </w:t>
      </w:r>
      <w:r w:rsidR="00FC3F7E">
        <w:rPr>
          <w:rFonts w:ascii="Arial" w:hAnsi="Arial" w:cs="Arial"/>
          <w:sz w:val="22"/>
          <w:szCs w:val="22"/>
        </w:rPr>
        <w:t xml:space="preserve">peněžní prostředky </w:t>
      </w:r>
      <w:r w:rsidR="00EF50A3">
        <w:rPr>
          <w:rFonts w:ascii="Arial" w:hAnsi="Arial" w:cs="Arial"/>
          <w:sz w:val="22"/>
          <w:szCs w:val="22"/>
        </w:rPr>
        <w:t>a jejich čerp</w:t>
      </w:r>
      <w:r w:rsidR="00844E70">
        <w:rPr>
          <w:rFonts w:ascii="Arial" w:hAnsi="Arial" w:cs="Arial"/>
          <w:sz w:val="22"/>
          <w:szCs w:val="22"/>
        </w:rPr>
        <w:t>á</w:t>
      </w:r>
      <w:r w:rsidR="00EF50A3">
        <w:rPr>
          <w:rFonts w:ascii="Arial" w:hAnsi="Arial" w:cs="Arial"/>
          <w:sz w:val="22"/>
          <w:szCs w:val="22"/>
        </w:rPr>
        <w:t>ní na podprogram č. 113 </w:t>
      </w:r>
      <w:r w:rsidR="008835D0">
        <w:rPr>
          <w:rFonts w:ascii="Arial" w:hAnsi="Arial" w:cs="Arial"/>
          <w:sz w:val="22"/>
          <w:szCs w:val="22"/>
        </w:rPr>
        <w:t>032</w:t>
      </w:r>
      <w:r w:rsidR="00EF50A3">
        <w:rPr>
          <w:rFonts w:ascii="Arial" w:hAnsi="Arial" w:cs="Arial"/>
          <w:sz w:val="22"/>
          <w:szCs w:val="22"/>
        </w:rPr>
        <w:t xml:space="preserve"> jsou uvedeny v tabulce č. </w:t>
      </w:r>
      <w:r w:rsidR="008835D0">
        <w:rPr>
          <w:rFonts w:ascii="Arial" w:hAnsi="Arial" w:cs="Arial"/>
          <w:sz w:val="22"/>
          <w:szCs w:val="22"/>
        </w:rPr>
        <w:t>3</w:t>
      </w:r>
      <w:r w:rsidR="00EF50A3">
        <w:rPr>
          <w:rFonts w:ascii="Arial" w:hAnsi="Arial" w:cs="Arial"/>
          <w:sz w:val="22"/>
          <w:szCs w:val="22"/>
        </w:rPr>
        <w:t>.</w:t>
      </w:r>
    </w:p>
    <w:p w:rsidR="00EF50A3" w:rsidRDefault="00EF50A3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8835D0" w:rsidRDefault="008835D0" w:rsidP="008B4B25">
      <w:pPr>
        <w:pStyle w:val="Prosttext"/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Tabulka č. </w:t>
      </w:r>
      <w:r w:rsidR="00D5585B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 xml:space="preserve"> – Finanční podmínky podprogramu č. 113 </w:t>
      </w:r>
      <w:r w:rsidR="00D5585B">
        <w:rPr>
          <w:rFonts w:ascii="Arial" w:hAnsi="Arial" w:cs="Arial"/>
          <w:b/>
          <w:sz w:val="22"/>
          <w:szCs w:val="22"/>
        </w:rPr>
        <w:t>032</w:t>
      </w:r>
      <w:r>
        <w:rPr>
          <w:rFonts w:ascii="Arial" w:hAnsi="Arial" w:cs="Arial"/>
          <w:b/>
          <w:sz w:val="22"/>
          <w:szCs w:val="22"/>
        </w:rPr>
        <w:tab/>
        <w:t>(</w:t>
      </w:r>
      <w:r w:rsidR="009E06AF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mil.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45"/>
        <w:gridCol w:w="945"/>
        <w:gridCol w:w="945"/>
        <w:gridCol w:w="945"/>
        <w:gridCol w:w="945"/>
        <w:gridCol w:w="945"/>
        <w:gridCol w:w="992"/>
      </w:tblGrid>
      <w:tr w:rsidR="00D5585B" w:rsidTr="0075110E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585B" w:rsidRDefault="00D5585B" w:rsidP="008835D0">
            <w:pPr>
              <w:pStyle w:val="Pros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85B" w:rsidRPr="00B13F41" w:rsidRDefault="00D5585B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2008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585B" w:rsidRPr="00B13F41" w:rsidRDefault="00D5585B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2009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585B" w:rsidRPr="00B13F41" w:rsidRDefault="00D5585B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585B" w:rsidRPr="00B13F41" w:rsidRDefault="00D5585B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2011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5585B" w:rsidRDefault="00010542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85B" w:rsidRPr="00B13F41" w:rsidRDefault="00D5585B" w:rsidP="0075110E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85B" w:rsidRPr="00B13F41" w:rsidRDefault="00D5585B" w:rsidP="0075110E">
            <w:pPr>
              <w:pStyle w:val="Prosttext"/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D5585B" w:rsidTr="0075110E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5585B" w:rsidRPr="005A7A28" w:rsidRDefault="00D5585B" w:rsidP="0075110E">
            <w:pPr>
              <w:pStyle w:val="Prosttext"/>
              <w:ind w:right="-250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408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169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577</w:t>
            </w:r>
          </w:p>
        </w:tc>
      </w:tr>
      <w:tr w:rsidR="00D5585B" w:rsidTr="0075110E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5585B" w:rsidRPr="005A7A28" w:rsidRDefault="00D5585B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Upravená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  <w:r w:rsidRPr="005A7A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427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313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Pr="001B76A4" w:rsidRDefault="00D5585B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367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1 965</w:t>
            </w:r>
          </w:p>
        </w:tc>
      </w:tr>
      <w:tr w:rsidR="00D5585B" w:rsidTr="0075110E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5585B" w:rsidRPr="005A7A28" w:rsidRDefault="00D5585B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Schválený rozpočet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010542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418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376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1 122</w:t>
            </w:r>
          </w:p>
        </w:tc>
      </w:tr>
      <w:tr w:rsidR="00D5585B" w:rsidTr="0075110E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5585B" w:rsidRPr="005A7A28" w:rsidRDefault="00D5585B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Upravený rozpočet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381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263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64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940</w:t>
            </w:r>
          </w:p>
        </w:tc>
      </w:tr>
      <w:tr w:rsidR="00D5585B" w:rsidTr="0075110E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585B" w:rsidRPr="005A7A28" w:rsidRDefault="00D5585B" w:rsidP="0075110E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Skutečné čerpání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145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95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61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5585B" w:rsidRPr="001B76A4" w:rsidRDefault="00010542" w:rsidP="0075110E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625</w:t>
            </w:r>
          </w:p>
        </w:tc>
      </w:tr>
    </w:tbl>
    <w:p w:rsidR="008835D0" w:rsidRDefault="008835D0" w:rsidP="00D5585B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B460A1">
        <w:rPr>
          <w:rFonts w:ascii="Arial" w:hAnsi="Arial" w:cs="Arial"/>
          <w:b/>
          <w:sz w:val="18"/>
          <w:szCs w:val="18"/>
        </w:rPr>
        <w:t>Zdroj:</w:t>
      </w:r>
      <w:r>
        <w:rPr>
          <w:rFonts w:ascii="Arial" w:hAnsi="Arial" w:cs="Arial"/>
          <w:sz w:val="18"/>
          <w:szCs w:val="18"/>
        </w:rPr>
        <w:t xml:space="preserve"> </w:t>
      </w:r>
      <w:r w:rsidR="00655FCF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okumentace programu a její aktualizace, schválené rozpočty</w:t>
      </w:r>
      <w:r w:rsidR="00D558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 w:rsidR="00763AF0">
        <w:rPr>
          <w:rFonts w:ascii="Arial" w:hAnsi="Arial" w:cs="Arial"/>
          <w:sz w:val="18"/>
          <w:szCs w:val="18"/>
        </w:rPr>
        <w:t xml:space="preserve"> státní</w:t>
      </w:r>
      <w:r>
        <w:rPr>
          <w:rFonts w:ascii="Arial" w:hAnsi="Arial" w:cs="Arial"/>
          <w:sz w:val="18"/>
          <w:szCs w:val="18"/>
        </w:rPr>
        <w:t xml:space="preserve"> závěrečné účty let 2008 až 201</w:t>
      </w:r>
      <w:r w:rsidR="00D5585B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EF50A3" w:rsidRDefault="00EF50A3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FC3F7E" w:rsidRDefault="008A6C5B" w:rsidP="00D5585B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tabulky č. 3 vyplývá, že </w:t>
      </w:r>
      <w:r w:rsidR="00FC3F7E" w:rsidRPr="00627BAE">
        <w:rPr>
          <w:rFonts w:ascii="Arial" w:hAnsi="Arial" w:cs="Arial"/>
          <w:b/>
          <w:sz w:val="22"/>
          <w:szCs w:val="22"/>
        </w:rPr>
        <w:t>schválené</w:t>
      </w:r>
      <w:r w:rsidR="00627BAE">
        <w:rPr>
          <w:rFonts w:ascii="Arial" w:hAnsi="Arial" w:cs="Arial"/>
          <w:b/>
          <w:sz w:val="22"/>
          <w:szCs w:val="22"/>
        </w:rPr>
        <w:t xml:space="preserve"> peněžní</w:t>
      </w:r>
      <w:r w:rsidR="00FC3F7E" w:rsidRPr="00627BAE">
        <w:rPr>
          <w:rFonts w:ascii="Arial" w:hAnsi="Arial" w:cs="Arial"/>
          <w:b/>
          <w:sz w:val="22"/>
          <w:szCs w:val="22"/>
        </w:rPr>
        <w:t xml:space="preserve"> prostředky byly vyčerpány jen z 56 %</w:t>
      </w:r>
      <w:r w:rsidR="00FC3F7E" w:rsidRPr="0075110E">
        <w:rPr>
          <w:rFonts w:ascii="Arial" w:hAnsi="Arial" w:cs="Arial"/>
          <w:b/>
          <w:sz w:val="22"/>
          <w:szCs w:val="22"/>
        </w:rPr>
        <w:t>.</w:t>
      </w:r>
      <w:r w:rsidR="00627BAE">
        <w:rPr>
          <w:rFonts w:ascii="Arial" w:hAnsi="Arial" w:cs="Arial"/>
          <w:sz w:val="22"/>
          <w:szCs w:val="22"/>
        </w:rPr>
        <w:t xml:space="preserve"> </w:t>
      </w:r>
      <w:r w:rsidR="00FC3F7E">
        <w:rPr>
          <w:rFonts w:ascii="Arial" w:hAnsi="Arial" w:cs="Arial"/>
          <w:sz w:val="22"/>
          <w:szCs w:val="22"/>
        </w:rPr>
        <w:t>To ukazuje</w:t>
      </w:r>
      <w:r>
        <w:rPr>
          <w:rFonts w:ascii="Arial" w:hAnsi="Arial" w:cs="Arial"/>
          <w:sz w:val="22"/>
          <w:szCs w:val="22"/>
        </w:rPr>
        <w:t xml:space="preserve"> i</w:t>
      </w:r>
      <w:r w:rsidR="00FC3F7E">
        <w:rPr>
          <w:rFonts w:ascii="Arial" w:hAnsi="Arial" w:cs="Arial"/>
          <w:sz w:val="22"/>
          <w:szCs w:val="22"/>
        </w:rPr>
        <w:t xml:space="preserve"> na nedostatky v</w:t>
      </w:r>
      <w:r w:rsidR="00627BAE">
        <w:rPr>
          <w:rFonts w:ascii="Arial" w:hAnsi="Arial" w:cs="Arial"/>
          <w:sz w:val="22"/>
          <w:szCs w:val="22"/>
        </w:rPr>
        <w:t> </w:t>
      </w:r>
      <w:r w:rsidR="00FC3F7E">
        <w:rPr>
          <w:rFonts w:ascii="Arial" w:hAnsi="Arial" w:cs="Arial"/>
          <w:sz w:val="22"/>
          <w:szCs w:val="22"/>
        </w:rPr>
        <w:t>nastavení</w:t>
      </w:r>
      <w:r w:rsidR="00627BAE">
        <w:rPr>
          <w:rFonts w:ascii="Arial" w:hAnsi="Arial" w:cs="Arial"/>
          <w:sz w:val="22"/>
          <w:szCs w:val="22"/>
        </w:rPr>
        <w:t xml:space="preserve"> finančních, časových a věcných</w:t>
      </w:r>
      <w:r>
        <w:rPr>
          <w:rFonts w:ascii="Arial" w:hAnsi="Arial" w:cs="Arial"/>
          <w:sz w:val="22"/>
          <w:szCs w:val="22"/>
        </w:rPr>
        <w:t xml:space="preserve"> podmínek programu č. </w:t>
      </w:r>
      <w:r w:rsidR="00FC3F7E">
        <w:rPr>
          <w:rFonts w:ascii="Arial" w:hAnsi="Arial" w:cs="Arial"/>
          <w:sz w:val="22"/>
          <w:szCs w:val="22"/>
        </w:rPr>
        <w:t>113 030, resp. podprogramu č. 113 032.</w:t>
      </w:r>
    </w:p>
    <w:p w:rsidR="00D831FA" w:rsidRDefault="00D831FA" w:rsidP="006A2A3C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9368E0" w:rsidRDefault="009368E0" w:rsidP="006A2A3C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9368E0" w:rsidRDefault="009368E0" w:rsidP="006A2A3C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9368E0" w:rsidRDefault="009368E0" w:rsidP="006A2A3C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6A2A3C" w:rsidRDefault="002237E9" w:rsidP="006A2A3C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3</w:t>
      </w:r>
      <w:r w:rsidR="006A2A3C">
        <w:rPr>
          <w:rFonts w:ascii="Arial" w:hAnsi="Arial" w:cs="Arial"/>
          <w:b/>
          <w:sz w:val="22"/>
          <w:szCs w:val="22"/>
        </w:rPr>
        <w:t xml:space="preserve">.2 Cíle, indikátory a parametry </w:t>
      </w:r>
    </w:p>
    <w:p w:rsidR="006A2A3C" w:rsidRDefault="006A2A3C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A4006" w:rsidRDefault="00450E7F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 programu</w:t>
      </w:r>
      <w:r w:rsidR="00AB19E3">
        <w:rPr>
          <w:rFonts w:ascii="Arial" w:hAnsi="Arial" w:cs="Arial"/>
          <w:sz w:val="22"/>
          <w:szCs w:val="22"/>
        </w:rPr>
        <w:t xml:space="preserve"> a</w:t>
      </w:r>
      <w:r w:rsidR="0033348D">
        <w:rPr>
          <w:rFonts w:ascii="Arial" w:hAnsi="Arial" w:cs="Arial"/>
          <w:sz w:val="22"/>
          <w:szCs w:val="22"/>
        </w:rPr>
        <w:t xml:space="preserve"> jeho podprogramů</w:t>
      </w:r>
      <w:r>
        <w:rPr>
          <w:rFonts w:ascii="Arial" w:hAnsi="Arial" w:cs="Arial"/>
          <w:sz w:val="22"/>
          <w:szCs w:val="22"/>
        </w:rPr>
        <w:t xml:space="preserve"> byly </w:t>
      </w:r>
      <w:r w:rsidR="000227AD">
        <w:rPr>
          <w:rFonts w:ascii="Arial" w:hAnsi="Arial" w:cs="Arial"/>
          <w:sz w:val="22"/>
          <w:szCs w:val="22"/>
        </w:rPr>
        <w:t xml:space="preserve">v březnu 2009 </w:t>
      </w:r>
      <w:r>
        <w:rPr>
          <w:rFonts w:ascii="Arial" w:hAnsi="Arial" w:cs="Arial"/>
          <w:sz w:val="22"/>
          <w:szCs w:val="22"/>
        </w:rPr>
        <w:t xml:space="preserve">významně upraveny aktualizací dokumentace. </w:t>
      </w:r>
      <w:r w:rsidR="0033348D">
        <w:rPr>
          <w:rFonts w:ascii="Arial" w:hAnsi="Arial" w:cs="Arial"/>
          <w:sz w:val="22"/>
          <w:szCs w:val="22"/>
        </w:rPr>
        <w:t>Pro kontrolovaný podprogram</w:t>
      </w:r>
      <w:r>
        <w:rPr>
          <w:rFonts w:ascii="Arial" w:hAnsi="Arial" w:cs="Arial"/>
          <w:sz w:val="22"/>
          <w:szCs w:val="22"/>
        </w:rPr>
        <w:t xml:space="preserve"> č. 113</w:t>
      </w:r>
      <w:r w:rsidR="0033348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032</w:t>
      </w:r>
      <w:r w:rsidR="0033348D">
        <w:rPr>
          <w:rFonts w:ascii="Arial" w:hAnsi="Arial" w:cs="Arial"/>
          <w:sz w:val="22"/>
          <w:szCs w:val="22"/>
        </w:rPr>
        <w:t xml:space="preserve"> bylo</w:t>
      </w:r>
      <w:r w:rsidR="008A6C5B">
        <w:rPr>
          <w:rFonts w:ascii="Arial" w:hAnsi="Arial" w:cs="Arial"/>
          <w:sz w:val="22"/>
          <w:szCs w:val="22"/>
        </w:rPr>
        <w:t xml:space="preserve"> původně</w:t>
      </w:r>
      <w:r w:rsidR="0033348D">
        <w:rPr>
          <w:rFonts w:ascii="Arial" w:hAnsi="Arial" w:cs="Arial"/>
          <w:sz w:val="22"/>
          <w:szCs w:val="22"/>
        </w:rPr>
        <w:t xml:space="preserve"> stanoveno </w:t>
      </w:r>
      <w:r w:rsidR="00024FC3">
        <w:rPr>
          <w:rFonts w:ascii="Arial" w:hAnsi="Arial" w:cs="Arial"/>
          <w:sz w:val="22"/>
          <w:szCs w:val="22"/>
        </w:rPr>
        <w:t>pět</w:t>
      </w:r>
      <w:r w:rsidR="0033348D">
        <w:rPr>
          <w:rFonts w:ascii="Arial" w:hAnsi="Arial" w:cs="Arial"/>
          <w:sz w:val="22"/>
          <w:szCs w:val="22"/>
        </w:rPr>
        <w:t xml:space="preserve"> cílů, z nichž </w:t>
      </w:r>
      <w:r w:rsidR="00D831FA">
        <w:rPr>
          <w:rFonts w:ascii="Arial" w:hAnsi="Arial" w:cs="Arial"/>
          <w:sz w:val="22"/>
          <w:szCs w:val="22"/>
        </w:rPr>
        <w:t xml:space="preserve">byl </w:t>
      </w:r>
      <w:r w:rsidR="0033348D">
        <w:rPr>
          <w:rFonts w:ascii="Arial" w:hAnsi="Arial" w:cs="Arial"/>
          <w:sz w:val="22"/>
          <w:szCs w:val="22"/>
        </w:rPr>
        <w:t xml:space="preserve">v rámci aktualizace jeden vyřazen, </w:t>
      </w:r>
      <w:r w:rsidR="00024FC3">
        <w:rPr>
          <w:rFonts w:ascii="Arial" w:hAnsi="Arial" w:cs="Arial"/>
          <w:sz w:val="22"/>
          <w:szCs w:val="22"/>
        </w:rPr>
        <w:t>tři</w:t>
      </w:r>
      <w:r w:rsidR="0033348D">
        <w:rPr>
          <w:rFonts w:ascii="Arial" w:hAnsi="Arial" w:cs="Arial"/>
          <w:sz w:val="22"/>
          <w:szCs w:val="22"/>
        </w:rPr>
        <w:t xml:space="preserve"> nové doplněny a dva byly změněny. Z pohl</w:t>
      </w:r>
      <w:r w:rsidR="00024FC3">
        <w:rPr>
          <w:rFonts w:ascii="Arial" w:hAnsi="Arial" w:cs="Arial"/>
          <w:sz w:val="22"/>
          <w:szCs w:val="22"/>
        </w:rPr>
        <w:t>edu kontrolní akce byl</w:t>
      </w:r>
      <w:r w:rsidR="00763AF0">
        <w:rPr>
          <w:rFonts w:ascii="Arial" w:hAnsi="Arial" w:cs="Arial"/>
          <w:sz w:val="22"/>
          <w:szCs w:val="22"/>
        </w:rPr>
        <w:t>y</w:t>
      </w:r>
      <w:r w:rsidR="0033348D">
        <w:rPr>
          <w:rFonts w:ascii="Arial" w:hAnsi="Arial" w:cs="Arial"/>
          <w:sz w:val="22"/>
          <w:szCs w:val="22"/>
        </w:rPr>
        <w:t xml:space="preserve"> nejvýznam</w:t>
      </w:r>
      <w:r w:rsidR="00AB19E3">
        <w:rPr>
          <w:rFonts w:ascii="Arial" w:hAnsi="Arial" w:cs="Arial"/>
          <w:sz w:val="22"/>
          <w:szCs w:val="22"/>
        </w:rPr>
        <w:t>nější</w:t>
      </w:r>
      <w:r w:rsidR="00763AF0">
        <w:rPr>
          <w:rFonts w:ascii="Arial" w:hAnsi="Arial" w:cs="Arial"/>
          <w:sz w:val="22"/>
          <w:szCs w:val="22"/>
        </w:rPr>
        <w:t xml:space="preserve"> tři</w:t>
      </w:r>
      <w:r w:rsidR="00AB19E3">
        <w:rPr>
          <w:rFonts w:ascii="Arial" w:hAnsi="Arial" w:cs="Arial"/>
          <w:sz w:val="22"/>
          <w:szCs w:val="22"/>
        </w:rPr>
        <w:t xml:space="preserve"> </w:t>
      </w:r>
      <w:r w:rsidR="00024FC3">
        <w:rPr>
          <w:rFonts w:ascii="Arial" w:hAnsi="Arial" w:cs="Arial"/>
          <w:sz w:val="22"/>
          <w:szCs w:val="22"/>
        </w:rPr>
        <w:t>cíl</w:t>
      </w:r>
      <w:r w:rsidR="00763AF0">
        <w:rPr>
          <w:rFonts w:ascii="Arial" w:hAnsi="Arial" w:cs="Arial"/>
          <w:sz w:val="22"/>
          <w:szCs w:val="22"/>
        </w:rPr>
        <w:t>e zaměřené</w:t>
      </w:r>
      <w:r w:rsidR="0033348D">
        <w:rPr>
          <w:rFonts w:ascii="Arial" w:hAnsi="Arial" w:cs="Arial"/>
          <w:sz w:val="22"/>
          <w:szCs w:val="22"/>
        </w:rPr>
        <w:t xml:space="preserve"> na budov</w:t>
      </w:r>
      <w:r w:rsidR="00763AF0">
        <w:rPr>
          <w:rFonts w:ascii="Arial" w:hAnsi="Arial" w:cs="Arial"/>
          <w:sz w:val="22"/>
          <w:szCs w:val="22"/>
        </w:rPr>
        <w:t>y</w:t>
      </w:r>
      <w:r w:rsidR="0033348D">
        <w:rPr>
          <w:rFonts w:ascii="Arial" w:hAnsi="Arial" w:cs="Arial"/>
          <w:sz w:val="22"/>
          <w:szCs w:val="22"/>
        </w:rPr>
        <w:t xml:space="preserve"> úřadů práce a</w:t>
      </w:r>
      <w:r w:rsidR="00AB19E3">
        <w:rPr>
          <w:rFonts w:ascii="Arial" w:hAnsi="Arial" w:cs="Arial"/>
          <w:sz w:val="22"/>
          <w:szCs w:val="22"/>
        </w:rPr>
        <w:t xml:space="preserve"> </w:t>
      </w:r>
      <w:r w:rsidR="00763AF0">
        <w:rPr>
          <w:rFonts w:ascii="Arial" w:hAnsi="Arial" w:cs="Arial"/>
          <w:sz w:val="22"/>
          <w:szCs w:val="22"/>
        </w:rPr>
        <w:t xml:space="preserve">na </w:t>
      </w:r>
      <w:r w:rsidR="00024FC3">
        <w:rPr>
          <w:rFonts w:ascii="Arial" w:hAnsi="Arial" w:cs="Arial"/>
          <w:sz w:val="22"/>
          <w:szCs w:val="22"/>
        </w:rPr>
        <w:t>komplexní přípravu akcí.</w:t>
      </w:r>
      <w:r w:rsidR="00763AF0">
        <w:rPr>
          <w:rFonts w:ascii="Arial" w:hAnsi="Arial" w:cs="Arial"/>
          <w:sz w:val="22"/>
          <w:szCs w:val="22"/>
        </w:rPr>
        <w:t xml:space="preserve"> Tyto c</w:t>
      </w:r>
      <w:r w:rsidR="00907668">
        <w:rPr>
          <w:rFonts w:ascii="Arial" w:hAnsi="Arial" w:cs="Arial"/>
          <w:sz w:val="22"/>
          <w:szCs w:val="22"/>
        </w:rPr>
        <w:t>íle byly specifikovány indikátory vyjadřující</w:t>
      </w:r>
      <w:r w:rsidR="00AB19E3">
        <w:rPr>
          <w:rFonts w:ascii="Arial" w:hAnsi="Arial" w:cs="Arial"/>
          <w:sz w:val="22"/>
          <w:szCs w:val="22"/>
        </w:rPr>
        <w:t>mi</w:t>
      </w:r>
      <w:r w:rsidR="00907668">
        <w:rPr>
          <w:rFonts w:ascii="Arial" w:hAnsi="Arial" w:cs="Arial"/>
          <w:sz w:val="22"/>
          <w:szCs w:val="22"/>
        </w:rPr>
        <w:t xml:space="preserve"> počty objektů či pracovišť, které mají být pořízeny, zrekonstruovány</w:t>
      </w:r>
      <w:r w:rsidR="00763AF0">
        <w:rPr>
          <w:rFonts w:ascii="Arial" w:hAnsi="Arial" w:cs="Arial"/>
          <w:sz w:val="22"/>
          <w:szCs w:val="22"/>
        </w:rPr>
        <w:t>, opraveny</w:t>
      </w:r>
      <w:r w:rsidR="00907668">
        <w:rPr>
          <w:rFonts w:ascii="Arial" w:hAnsi="Arial" w:cs="Arial"/>
          <w:sz w:val="22"/>
          <w:szCs w:val="22"/>
        </w:rPr>
        <w:t xml:space="preserve"> apod.</w:t>
      </w:r>
      <w:r w:rsidR="008A6C5B">
        <w:rPr>
          <w:rFonts w:ascii="Arial" w:hAnsi="Arial" w:cs="Arial"/>
          <w:sz w:val="22"/>
          <w:szCs w:val="22"/>
        </w:rPr>
        <w:t>,</w:t>
      </w:r>
      <w:r w:rsidR="00907668">
        <w:rPr>
          <w:rFonts w:ascii="Arial" w:hAnsi="Arial" w:cs="Arial"/>
          <w:sz w:val="22"/>
          <w:szCs w:val="22"/>
        </w:rPr>
        <w:t xml:space="preserve"> </w:t>
      </w:r>
      <w:r w:rsidR="008A6C5B">
        <w:rPr>
          <w:rFonts w:ascii="Arial" w:hAnsi="Arial" w:cs="Arial"/>
          <w:sz w:val="22"/>
          <w:szCs w:val="22"/>
        </w:rPr>
        <w:t>nebo</w:t>
      </w:r>
      <w:r w:rsidR="00907668">
        <w:rPr>
          <w:rFonts w:ascii="Arial" w:hAnsi="Arial" w:cs="Arial"/>
          <w:sz w:val="22"/>
          <w:szCs w:val="22"/>
        </w:rPr>
        <w:t xml:space="preserve"> vyjadřující</w:t>
      </w:r>
      <w:r w:rsidR="00AB19E3">
        <w:rPr>
          <w:rFonts w:ascii="Arial" w:hAnsi="Arial" w:cs="Arial"/>
          <w:sz w:val="22"/>
          <w:szCs w:val="22"/>
        </w:rPr>
        <w:t>mi</w:t>
      </w:r>
      <w:r w:rsidR="00907668">
        <w:rPr>
          <w:rFonts w:ascii="Arial" w:hAnsi="Arial" w:cs="Arial"/>
          <w:sz w:val="22"/>
          <w:szCs w:val="22"/>
        </w:rPr>
        <w:t xml:space="preserve"> počty zpracovaných projektových dokumentací novostaveb.</w:t>
      </w:r>
    </w:p>
    <w:p w:rsidR="00A94055" w:rsidRDefault="00A94055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F0488" w:rsidRDefault="00907668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7F0488">
        <w:rPr>
          <w:rFonts w:ascii="Arial" w:hAnsi="Arial" w:cs="Arial"/>
          <w:b/>
          <w:sz w:val="22"/>
          <w:szCs w:val="22"/>
        </w:rPr>
        <w:t>V </w:t>
      </w:r>
      <w:r w:rsidR="00BA4006">
        <w:rPr>
          <w:rFonts w:ascii="Arial" w:hAnsi="Arial" w:cs="Arial"/>
          <w:b/>
          <w:sz w:val="22"/>
          <w:szCs w:val="22"/>
        </w:rPr>
        <w:t>nastavení</w:t>
      </w:r>
      <w:r w:rsidRPr="007F0488">
        <w:rPr>
          <w:rFonts w:ascii="Arial" w:hAnsi="Arial" w:cs="Arial"/>
          <w:b/>
          <w:sz w:val="22"/>
          <w:szCs w:val="22"/>
        </w:rPr>
        <w:t xml:space="preserve"> indikátorů byly zjištěny obdobné nedostatky jako u programu č. 113</w:t>
      </w:r>
      <w:r w:rsidR="007F0488" w:rsidRPr="007F0488">
        <w:rPr>
          <w:rFonts w:ascii="Arial" w:hAnsi="Arial" w:cs="Arial"/>
          <w:b/>
          <w:sz w:val="22"/>
          <w:szCs w:val="22"/>
        </w:rPr>
        <w:t> </w:t>
      </w:r>
      <w:r w:rsidRPr="007F0488">
        <w:rPr>
          <w:rFonts w:ascii="Arial" w:hAnsi="Arial" w:cs="Arial"/>
          <w:b/>
          <w:sz w:val="22"/>
          <w:szCs w:val="22"/>
        </w:rPr>
        <w:t>21</w:t>
      </w:r>
      <w:r w:rsidR="007F0488" w:rsidRPr="007F0488">
        <w:rPr>
          <w:rFonts w:ascii="Arial" w:hAnsi="Arial" w:cs="Arial"/>
          <w:b/>
          <w:sz w:val="22"/>
          <w:szCs w:val="22"/>
        </w:rPr>
        <w:t xml:space="preserve">0 </w:t>
      </w:r>
      <w:r w:rsidR="005C05D4">
        <w:rPr>
          <w:rFonts w:ascii="Arial" w:hAnsi="Arial" w:cs="Arial"/>
          <w:sz w:val="22"/>
          <w:szCs w:val="22"/>
        </w:rPr>
        <w:t>(viz bod 1</w:t>
      </w:r>
      <w:r w:rsidR="008A6C5B">
        <w:rPr>
          <w:rFonts w:ascii="Arial" w:hAnsi="Arial" w:cs="Arial"/>
          <w:sz w:val="22"/>
          <w:szCs w:val="22"/>
        </w:rPr>
        <w:t>.2</w:t>
      </w:r>
      <w:r w:rsidR="00AB222A">
        <w:rPr>
          <w:rFonts w:ascii="Arial" w:hAnsi="Arial" w:cs="Arial"/>
          <w:sz w:val="22"/>
          <w:szCs w:val="22"/>
        </w:rPr>
        <w:t xml:space="preserve"> kontrolního závěru</w:t>
      </w:r>
      <w:r w:rsidR="005C05D4">
        <w:rPr>
          <w:rFonts w:ascii="Arial" w:hAnsi="Arial" w:cs="Arial"/>
          <w:sz w:val="22"/>
          <w:szCs w:val="22"/>
        </w:rPr>
        <w:t>):</w:t>
      </w:r>
      <w:r w:rsidR="007F0488">
        <w:rPr>
          <w:rFonts w:ascii="Arial" w:hAnsi="Arial" w:cs="Arial"/>
          <w:sz w:val="22"/>
          <w:szCs w:val="22"/>
        </w:rPr>
        <w:t xml:space="preserve"> </w:t>
      </w:r>
    </w:p>
    <w:p w:rsidR="007F0488" w:rsidRDefault="00D96E9F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n</w:t>
      </w:r>
      <w:r w:rsidR="007F0488">
        <w:rPr>
          <w:rFonts w:ascii="Arial" w:hAnsi="Arial" w:cs="Arial"/>
          <w:sz w:val="22"/>
          <w:szCs w:val="22"/>
        </w:rPr>
        <w:t>ebylo možn</w:t>
      </w:r>
      <w:r w:rsidR="008F2CE2">
        <w:rPr>
          <w:rFonts w:ascii="Arial" w:hAnsi="Arial" w:cs="Arial"/>
          <w:sz w:val="22"/>
          <w:szCs w:val="22"/>
        </w:rPr>
        <w:t>é</w:t>
      </w:r>
      <w:r w:rsidR="007F0488">
        <w:rPr>
          <w:rFonts w:ascii="Arial" w:hAnsi="Arial" w:cs="Arial"/>
          <w:sz w:val="22"/>
          <w:szCs w:val="22"/>
        </w:rPr>
        <w:t xml:space="preserve"> objektivně ověřit správnost stanovení hodnot indikátorů</w:t>
      </w:r>
      <w:r w:rsidR="008F2CE2">
        <w:rPr>
          <w:rFonts w:ascii="Arial" w:hAnsi="Arial" w:cs="Arial"/>
          <w:sz w:val="22"/>
          <w:szCs w:val="22"/>
        </w:rPr>
        <w:t xml:space="preserve"> ani</w:t>
      </w:r>
      <w:r w:rsidR="005C05D4">
        <w:rPr>
          <w:rFonts w:ascii="Arial" w:hAnsi="Arial" w:cs="Arial"/>
          <w:sz w:val="22"/>
          <w:szCs w:val="22"/>
        </w:rPr>
        <w:t xml:space="preserve"> jejich zásadních změn </w:t>
      </w:r>
      <w:r w:rsidR="008F2CE2">
        <w:rPr>
          <w:rFonts w:ascii="Arial" w:hAnsi="Arial" w:cs="Arial"/>
          <w:sz w:val="22"/>
          <w:szCs w:val="22"/>
        </w:rPr>
        <w:t xml:space="preserve">uskutečněných </w:t>
      </w:r>
      <w:r w:rsidR="005C05D4">
        <w:rPr>
          <w:rFonts w:ascii="Arial" w:hAnsi="Arial" w:cs="Arial"/>
          <w:sz w:val="22"/>
          <w:szCs w:val="22"/>
        </w:rPr>
        <w:t>v rámci a</w:t>
      </w:r>
      <w:r>
        <w:rPr>
          <w:rFonts w:ascii="Arial" w:hAnsi="Arial" w:cs="Arial"/>
          <w:sz w:val="22"/>
          <w:szCs w:val="22"/>
        </w:rPr>
        <w:t>ktualizace dokumentace programu,</w:t>
      </w:r>
    </w:p>
    <w:p w:rsidR="005C05D4" w:rsidRDefault="005C05D4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D96E9F">
        <w:rPr>
          <w:rFonts w:ascii="Arial" w:hAnsi="Arial" w:cs="Arial"/>
          <w:sz w:val="22"/>
          <w:szCs w:val="22"/>
        </w:rPr>
        <w:t>a</w:t>
      </w:r>
      <w:r w:rsidR="00024FC3">
        <w:rPr>
          <w:rFonts w:ascii="Arial" w:hAnsi="Arial" w:cs="Arial"/>
          <w:sz w:val="22"/>
          <w:szCs w:val="22"/>
        </w:rPr>
        <w:t>ž na výjimky n</w:t>
      </w:r>
      <w:r>
        <w:rPr>
          <w:rFonts w:ascii="Arial" w:hAnsi="Arial" w:cs="Arial"/>
          <w:sz w:val="22"/>
          <w:szCs w:val="22"/>
        </w:rPr>
        <w:t>ebyla stano</w:t>
      </w:r>
      <w:r w:rsidR="00D96E9F">
        <w:rPr>
          <w:rFonts w:ascii="Arial" w:hAnsi="Arial" w:cs="Arial"/>
          <w:sz w:val="22"/>
          <w:szCs w:val="22"/>
        </w:rPr>
        <w:t>vena výchozí hodnota indikátorů,</w:t>
      </w:r>
    </w:p>
    <w:p w:rsidR="005C05D4" w:rsidRDefault="00D96E9F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h</w:t>
      </w:r>
      <w:r w:rsidR="007F0488">
        <w:rPr>
          <w:rFonts w:ascii="Arial" w:hAnsi="Arial" w:cs="Arial"/>
          <w:sz w:val="22"/>
          <w:szCs w:val="22"/>
        </w:rPr>
        <w:t xml:space="preserve">odnota indikátoru </w:t>
      </w:r>
      <w:r w:rsidR="000B64CD">
        <w:rPr>
          <w:rFonts w:ascii="Arial" w:hAnsi="Arial" w:cs="Arial"/>
          <w:sz w:val="22"/>
          <w:szCs w:val="22"/>
        </w:rPr>
        <w:t xml:space="preserve">„počet </w:t>
      </w:r>
      <w:r w:rsidR="007F0488">
        <w:rPr>
          <w:rFonts w:ascii="Arial" w:hAnsi="Arial" w:cs="Arial"/>
          <w:sz w:val="22"/>
          <w:szCs w:val="22"/>
        </w:rPr>
        <w:t>komplexně zrekonstruovaných pracovišť v objektech“ nebyla kvalitativně vymezena rozsahem rekonstrukce příslušných pracovišť.</w:t>
      </w:r>
    </w:p>
    <w:p w:rsidR="00116672" w:rsidRDefault="00116672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41078A" w:rsidRDefault="005C05D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FE41A4">
        <w:rPr>
          <w:rFonts w:ascii="Arial" w:hAnsi="Arial" w:cs="Arial"/>
          <w:b/>
          <w:sz w:val="22"/>
          <w:szCs w:val="22"/>
        </w:rPr>
        <w:t xml:space="preserve">Na nedostatky </w:t>
      </w:r>
      <w:r w:rsidR="00FE41A4" w:rsidRPr="00FE41A4">
        <w:rPr>
          <w:rFonts w:ascii="Arial" w:hAnsi="Arial" w:cs="Arial"/>
          <w:b/>
          <w:sz w:val="22"/>
          <w:szCs w:val="22"/>
        </w:rPr>
        <w:t>ve specifikaci cílů indikátory ukazuje i to, že v době kontroly byla většina indikátorů podprogramu č. 113 032 plněna, ačkoliv jeho finanční potřeba byla vyčerpána jen z 32 %</w:t>
      </w:r>
      <w:r w:rsidR="00FE41A4" w:rsidRPr="0037156F">
        <w:rPr>
          <w:rFonts w:ascii="Arial" w:hAnsi="Arial" w:cs="Arial"/>
          <w:b/>
          <w:sz w:val="22"/>
          <w:szCs w:val="22"/>
        </w:rPr>
        <w:t>.</w:t>
      </w:r>
      <w:r w:rsidR="00FE41A4">
        <w:rPr>
          <w:rFonts w:ascii="Arial" w:hAnsi="Arial" w:cs="Arial"/>
          <w:sz w:val="22"/>
          <w:szCs w:val="22"/>
        </w:rPr>
        <w:t xml:space="preserve"> MPSV to zdůvodnilo tím, že vzhledem ke snížení prostředků státního rozpočtu </w:t>
      </w:r>
      <w:r w:rsidR="00561BDE">
        <w:rPr>
          <w:rFonts w:ascii="Arial" w:hAnsi="Arial" w:cs="Arial"/>
          <w:sz w:val="22"/>
          <w:szCs w:val="22"/>
        </w:rPr>
        <w:t xml:space="preserve">byly </w:t>
      </w:r>
      <w:r w:rsidR="00FE41A4">
        <w:rPr>
          <w:rFonts w:ascii="Arial" w:hAnsi="Arial" w:cs="Arial"/>
          <w:sz w:val="22"/>
          <w:szCs w:val="22"/>
        </w:rPr>
        <w:t>v jednotlivých letech realizovány finančně méně náročné akce.</w:t>
      </w:r>
      <w:r w:rsidR="00FC5C68">
        <w:rPr>
          <w:rFonts w:ascii="Arial" w:hAnsi="Arial" w:cs="Arial"/>
          <w:sz w:val="22"/>
          <w:szCs w:val="22"/>
        </w:rPr>
        <w:t xml:space="preserve"> Výše uvedené nízké čerpání schválených peněžních prostředků však toto zdůvodněn</w:t>
      </w:r>
      <w:r w:rsidR="001F7BD3">
        <w:rPr>
          <w:rFonts w:ascii="Arial" w:hAnsi="Arial" w:cs="Arial"/>
          <w:sz w:val="22"/>
          <w:szCs w:val="22"/>
        </w:rPr>
        <w:t xml:space="preserve">í </w:t>
      </w:r>
      <w:r w:rsidR="003F28CD">
        <w:rPr>
          <w:rFonts w:ascii="Arial" w:hAnsi="Arial" w:cs="Arial"/>
          <w:sz w:val="22"/>
          <w:szCs w:val="22"/>
        </w:rPr>
        <w:t>potvrzuje jen zčásti</w:t>
      </w:r>
      <w:r w:rsidR="001F7BD3">
        <w:rPr>
          <w:rFonts w:ascii="Arial" w:hAnsi="Arial" w:cs="Arial"/>
          <w:sz w:val="22"/>
          <w:szCs w:val="22"/>
        </w:rPr>
        <w:t>. Bylo zjištěno, že na nečerpání se</w:t>
      </w:r>
      <w:r w:rsidR="00FC5C68">
        <w:rPr>
          <w:rFonts w:ascii="Arial" w:hAnsi="Arial" w:cs="Arial"/>
          <w:sz w:val="22"/>
          <w:szCs w:val="22"/>
        </w:rPr>
        <w:t xml:space="preserve"> významně podílelo i zpožďování přípravy a realizace akcí</w:t>
      </w:r>
      <w:r w:rsidR="0041078A">
        <w:rPr>
          <w:rFonts w:ascii="Arial" w:hAnsi="Arial" w:cs="Arial"/>
          <w:sz w:val="22"/>
          <w:szCs w:val="22"/>
        </w:rPr>
        <w:t>.</w:t>
      </w:r>
    </w:p>
    <w:p w:rsidR="0041078A" w:rsidRDefault="0041078A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1F7BD3" w:rsidRDefault="0041078A" w:rsidP="0041078A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FC5C68">
        <w:rPr>
          <w:rFonts w:ascii="Arial" w:hAnsi="Arial" w:cs="Arial"/>
          <w:sz w:val="22"/>
          <w:szCs w:val="22"/>
        </w:rPr>
        <w:t xml:space="preserve">apříklad </w:t>
      </w:r>
      <w:r w:rsidR="001F7BD3">
        <w:rPr>
          <w:rFonts w:ascii="Arial" w:hAnsi="Arial" w:cs="Arial"/>
          <w:sz w:val="22"/>
          <w:szCs w:val="22"/>
        </w:rPr>
        <w:t xml:space="preserve">MPSV </w:t>
      </w:r>
      <w:r w:rsidR="006E39C9">
        <w:rPr>
          <w:rFonts w:ascii="Arial" w:hAnsi="Arial" w:cs="Arial"/>
          <w:sz w:val="22"/>
          <w:szCs w:val="22"/>
        </w:rPr>
        <w:t xml:space="preserve">zaregistrovalo v říjnu 2007 do podprogramu č. 113 032 </w:t>
      </w:r>
      <w:r w:rsidR="001F7BD3">
        <w:rPr>
          <w:rFonts w:ascii="Arial" w:hAnsi="Arial" w:cs="Arial"/>
          <w:sz w:val="22"/>
          <w:szCs w:val="22"/>
        </w:rPr>
        <w:t>akci týkající se budovy v Praze 9 jako zásadní s termínem realizace do září 2009. V červenci 2008 ji však před zahájením realizace ukončilo z důvodu změny koncepce využití budovy. V květnu 2009 pak do</w:t>
      </w:r>
      <w:r w:rsidR="006E39C9">
        <w:rPr>
          <w:rFonts w:ascii="Arial" w:hAnsi="Arial" w:cs="Arial"/>
          <w:sz w:val="22"/>
          <w:szCs w:val="22"/>
        </w:rPr>
        <w:t xml:space="preserve"> tohoto</w:t>
      </w:r>
      <w:r w:rsidR="001F7BD3">
        <w:rPr>
          <w:rFonts w:ascii="Arial" w:hAnsi="Arial" w:cs="Arial"/>
          <w:sz w:val="22"/>
          <w:szCs w:val="22"/>
        </w:rPr>
        <w:t xml:space="preserve"> podprogramu zaregistrovalo přípravu této akce s termínem dokončení do listopadu 2009. </w:t>
      </w:r>
      <w:r w:rsidR="006E39C9">
        <w:rPr>
          <w:rFonts w:ascii="Arial" w:hAnsi="Arial" w:cs="Arial"/>
          <w:sz w:val="22"/>
          <w:szCs w:val="22"/>
        </w:rPr>
        <w:t>Ta však z důvod</w:t>
      </w:r>
      <w:r w:rsidR="003F28CD">
        <w:rPr>
          <w:rFonts w:ascii="Arial" w:hAnsi="Arial" w:cs="Arial"/>
          <w:sz w:val="22"/>
          <w:szCs w:val="22"/>
        </w:rPr>
        <w:t>u</w:t>
      </w:r>
      <w:r w:rsidR="006E39C9">
        <w:rPr>
          <w:rFonts w:ascii="Arial" w:hAnsi="Arial" w:cs="Arial"/>
          <w:sz w:val="22"/>
          <w:szCs w:val="22"/>
        </w:rPr>
        <w:t xml:space="preserve"> dalších problémů v přípravě nebyla v době kontroly ještě dokončena.</w:t>
      </w:r>
    </w:p>
    <w:p w:rsidR="001F7BD3" w:rsidRDefault="001F7BD3" w:rsidP="0037156F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C05D4" w:rsidRDefault="00FE41A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Obdobně jako u programu č. 113 210 nebylo z MPSV předložených </w:t>
      </w:r>
      <w:r w:rsidR="003007F2">
        <w:rPr>
          <w:rFonts w:ascii="Arial" w:hAnsi="Arial" w:cs="Arial"/>
          <w:sz w:val="22"/>
          <w:szCs w:val="22"/>
        </w:rPr>
        <w:t>dokladů</w:t>
      </w:r>
      <w:r>
        <w:rPr>
          <w:rFonts w:ascii="Arial" w:hAnsi="Arial" w:cs="Arial"/>
          <w:sz w:val="22"/>
          <w:szCs w:val="22"/>
        </w:rPr>
        <w:t xml:space="preserve"> zřejmé, jaká část problematiky má být realizací akcí zařazených do p</w:t>
      </w:r>
      <w:r w:rsidR="001106AD">
        <w:rPr>
          <w:rFonts w:ascii="Arial" w:hAnsi="Arial" w:cs="Arial"/>
          <w:sz w:val="22"/>
          <w:szCs w:val="22"/>
        </w:rPr>
        <w:t>odprogramu č. 113 032 vyřešena.</w:t>
      </w:r>
    </w:p>
    <w:p w:rsidR="005C05D4" w:rsidRDefault="005C05D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63041" w:rsidRDefault="00E63041" w:rsidP="00E63041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3.3 Kontrolované akce z podprogramu č. 113</w:t>
      </w:r>
      <w:r w:rsidR="00BA170D">
        <w:rPr>
          <w:rFonts w:ascii="Arial" w:hAnsi="Arial" w:cs="Arial"/>
          <w:b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>032</w:t>
      </w:r>
    </w:p>
    <w:p w:rsidR="00183289" w:rsidRDefault="00183289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75B72" w:rsidRDefault="00BA170D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kontrole byly vybrány dvě akce rekon</w:t>
      </w:r>
      <w:r w:rsidR="00AB222A">
        <w:rPr>
          <w:rFonts w:ascii="Arial" w:hAnsi="Arial" w:cs="Arial"/>
          <w:sz w:val="22"/>
          <w:szCs w:val="22"/>
        </w:rPr>
        <w:t>strukcí budov v Mělníku a Znojmě</w:t>
      </w:r>
      <w:r>
        <w:rPr>
          <w:rFonts w:ascii="Arial" w:hAnsi="Arial" w:cs="Arial"/>
          <w:sz w:val="22"/>
          <w:szCs w:val="22"/>
        </w:rPr>
        <w:t xml:space="preserve"> s celkovými náklady 142,</w:t>
      </w:r>
      <w:r w:rsidR="00024FC3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mil. Kč</w:t>
      </w:r>
      <w:r w:rsidR="00FC5C68">
        <w:rPr>
          <w:rFonts w:ascii="Arial" w:hAnsi="Arial" w:cs="Arial"/>
          <w:sz w:val="22"/>
          <w:szCs w:val="22"/>
        </w:rPr>
        <w:t xml:space="preserve"> (viz příloha č. 1)</w:t>
      </w:r>
      <w:r>
        <w:rPr>
          <w:rFonts w:ascii="Arial" w:hAnsi="Arial" w:cs="Arial"/>
          <w:sz w:val="22"/>
          <w:szCs w:val="22"/>
        </w:rPr>
        <w:t>. Kontrolou jejich přípravy a realizace</w:t>
      </w:r>
      <w:r w:rsidR="00D75B72">
        <w:rPr>
          <w:rFonts w:ascii="Arial" w:hAnsi="Arial" w:cs="Arial"/>
          <w:sz w:val="22"/>
          <w:szCs w:val="22"/>
        </w:rPr>
        <w:t xml:space="preserve"> byly zjištěny</w:t>
      </w:r>
      <w:r w:rsidR="007A39FA">
        <w:rPr>
          <w:rFonts w:ascii="Arial" w:hAnsi="Arial" w:cs="Arial"/>
          <w:sz w:val="22"/>
          <w:szCs w:val="22"/>
        </w:rPr>
        <w:t xml:space="preserve"> především nedostatky</w:t>
      </w:r>
      <w:r w:rsidR="003007F2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v </w:t>
      </w:r>
      <w:r w:rsidR="007A39FA">
        <w:rPr>
          <w:rFonts w:ascii="Arial" w:hAnsi="Arial" w:cs="Arial"/>
          <w:sz w:val="22"/>
          <w:szCs w:val="22"/>
        </w:rPr>
        <w:t>zadávání veřejných zakázek na stavební práce:</w:t>
      </w:r>
      <w:r w:rsidR="00FC5C68">
        <w:rPr>
          <w:rFonts w:ascii="Arial" w:hAnsi="Arial" w:cs="Arial"/>
          <w:sz w:val="22"/>
          <w:szCs w:val="22"/>
        </w:rPr>
        <w:t xml:space="preserve"> </w:t>
      </w:r>
    </w:p>
    <w:p w:rsidR="007A39FA" w:rsidRDefault="00D75B72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U akce</w:t>
      </w:r>
      <w:r w:rsidR="003F28CD">
        <w:rPr>
          <w:rFonts w:ascii="Arial" w:hAnsi="Arial" w:cs="Arial"/>
          <w:sz w:val="22"/>
          <w:szCs w:val="22"/>
        </w:rPr>
        <w:t xml:space="preserve"> rekonstrukce</w:t>
      </w:r>
      <w:r>
        <w:rPr>
          <w:rFonts w:ascii="Arial" w:hAnsi="Arial" w:cs="Arial"/>
          <w:sz w:val="22"/>
          <w:szCs w:val="22"/>
        </w:rPr>
        <w:t xml:space="preserve"> budovy v Mělníku </w:t>
      </w:r>
      <w:r w:rsidR="007A39FA">
        <w:rPr>
          <w:rFonts w:ascii="Arial" w:hAnsi="Arial" w:cs="Arial"/>
          <w:sz w:val="22"/>
          <w:szCs w:val="22"/>
        </w:rPr>
        <w:t>šlo o</w:t>
      </w:r>
      <w:r>
        <w:rPr>
          <w:rFonts w:ascii="Arial" w:hAnsi="Arial" w:cs="Arial"/>
          <w:sz w:val="22"/>
          <w:szCs w:val="22"/>
        </w:rPr>
        <w:t xml:space="preserve"> </w:t>
      </w:r>
      <w:r w:rsidR="007A39FA">
        <w:rPr>
          <w:rFonts w:ascii="Arial" w:hAnsi="Arial" w:cs="Arial"/>
          <w:sz w:val="22"/>
          <w:szCs w:val="22"/>
        </w:rPr>
        <w:t>nedostatečně vymezené požadavky</w:t>
      </w:r>
      <w:r>
        <w:rPr>
          <w:rFonts w:ascii="Arial" w:hAnsi="Arial" w:cs="Arial"/>
          <w:sz w:val="22"/>
          <w:szCs w:val="22"/>
        </w:rPr>
        <w:t xml:space="preserve"> na profesní kvalifikační předpoklady</w:t>
      </w:r>
      <w:r w:rsidR="007A39FA">
        <w:rPr>
          <w:rFonts w:ascii="Arial" w:hAnsi="Arial" w:cs="Arial"/>
          <w:sz w:val="22"/>
          <w:szCs w:val="22"/>
        </w:rPr>
        <w:t>. Z tohoto důvodu</w:t>
      </w:r>
      <w:r>
        <w:rPr>
          <w:rFonts w:ascii="Arial" w:hAnsi="Arial" w:cs="Arial"/>
          <w:sz w:val="22"/>
          <w:szCs w:val="22"/>
        </w:rPr>
        <w:t xml:space="preserve"> byl vyloučen uchazeč s cenou o</w:t>
      </w:r>
      <w:r w:rsidR="00C12AAB">
        <w:rPr>
          <w:rFonts w:ascii="Arial" w:hAnsi="Arial" w:cs="Arial"/>
          <w:sz w:val="22"/>
          <w:szCs w:val="22"/>
        </w:rPr>
        <w:t> </w:t>
      </w:r>
      <w:r w:rsidR="00BA4006">
        <w:rPr>
          <w:rFonts w:ascii="Arial" w:hAnsi="Arial" w:cs="Arial"/>
          <w:sz w:val="22"/>
          <w:szCs w:val="22"/>
        </w:rPr>
        <w:t>0,6</w:t>
      </w:r>
      <w:r w:rsidR="00C12AAB">
        <w:rPr>
          <w:rFonts w:ascii="Arial" w:hAnsi="Arial" w:cs="Arial"/>
          <w:sz w:val="22"/>
          <w:szCs w:val="22"/>
        </w:rPr>
        <w:t> </w:t>
      </w:r>
      <w:r w:rsidR="00BA4006">
        <w:rPr>
          <w:rFonts w:ascii="Arial" w:hAnsi="Arial" w:cs="Arial"/>
          <w:sz w:val="22"/>
          <w:szCs w:val="22"/>
        </w:rPr>
        <w:t>mil</w:t>
      </w:r>
      <w:r w:rsidR="007A39FA">
        <w:rPr>
          <w:rFonts w:ascii="Arial" w:hAnsi="Arial" w:cs="Arial"/>
          <w:sz w:val="22"/>
          <w:szCs w:val="22"/>
        </w:rPr>
        <w:t>. Kč nižší, než byla cena vybraného uchazeče.</w:t>
      </w:r>
      <w:r w:rsidR="00CE17B5">
        <w:rPr>
          <w:rFonts w:ascii="Arial" w:hAnsi="Arial" w:cs="Arial"/>
          <w:sz w:val="22"/>
          <w:szCs w:val="22"/>
        </w:rPr>
        <w:t xml:space="preserve"> Dále</w:t>
      </w:r>
      <w:r w:rsidR="001F6215">
        <w:rPr>
          <w:rFonts w:ascii="Arial" w:hAnsi="Arial" w:cs="Arial"/>
          <w:sz w:val="22"/>
          <w:szCs w:val="22"/>
        </w:rPr>
        <w:t xml:space="preserve"> šlo</w:t>
      </w:r>
      <w:r w:rsidR="00CE17B5">
        <w:rPr>
          <w:rFonts w:ascii="Arial" w:hAnsi="Arial" w:cs="Arial"/>
          <w:sz w:val="22"/>
          <w:szCs w:val="22"/>
        </w:rPr>
        <w:t xml:space="preserve"> o v</w:t>
      </w:r>
      <w:r w:rsidR="007A39FA">
        <w:rPr>
          <w:rFonts w:ascii="Arial" w:hAnsi="Arial" w:cs="Arial"/>
          <w:sz w:val="22"/>
          <w:szCs w:val="22"/>
        </w:rPr>
        <w:t>ícepráce v c</w:t>
      </w:r>
      <w:r w:rsidR="00CE17B5">
        <w:rPr>
          <w:rFonts w:ascii="Arial" w:hAnsi="Arial" w:cs="Arial"/>
          <w:sz w:val="22"/>
          <w:szCs w:val="22"/>
        </w:rPr>
        <w:t>eně 5</w:t>
      </w:r>
      <w:r w:rsidR="00BA4006">
        <w:rPr>
          <w:rFonts w:ascii="Arial" w:hAnsi="Arial" w:cs="Arial"/>
          <w:sz w:val="22"/>
          <w:szCs w:val="22"/>
        </w:rPr>
        <w:t>,</w:t>
      </w:r>
      <w:r w:rsidR="00CE17B5">
        <w:rPr>
          <w:rFonts w:ascii="Arial" w:hAnsi="Arial" w:cs="Arial"/>
          <w:sz w:val="22"/>
          <w:szCs w:val="22"/>
        </w:rPr>
        <w:t>3</w:t>
      </w:r>
      <w:r w:rsidR="00C12AAB">
        <w:rPr>
          <w:rFonts w:ascii="Arial" w:hAnsi="Arial" w:cs="Arial"/>
          <w:sz w:val="22"/>
          <w:szCs w:val="22"/>
        </w:rPr>
        <w:t> </w:t>
      </w:r>
      <w:r w:rsidR="00BA4006">
        <w:rPr>
          <w:rFonts w:ascii="Arial" w:hAnsi="Arial" w:cs="Arial"/>
          <w:sz w:val="22"/>
          <w:szCs w:val="22"/>
        </w:rPr>
        <w:t>mil</w:t>
      </w:r>
      <w:r w:rsidR="00CE17B5">
        <w:rPr>
          <w:rFonts w:ascii="Arial" w:hAnsi="Arial" w:cs="Arial"/>
          <w:sz w:val="22"/>
          <w:szCs w:val="22"/>
        </w:rPr>
        <w:t>. Kč bez DPH (12,7 </w:t>
      </w:r>
      <w:r w:rsidR="007A39FA">
        <w:rPr>
          <w:rFonts w:ascii="Arial" w:hAnsi="Arial" w:cs="Arial"/>
          <w:sz w:val="22"/>
          <w:szCs w:val="22"/>
        </w:rPr>
        <w:t xml:space="preserve">% </w:t>
      </w:r>
      <w:r w:rsidR="00CA3237">
        <w:rPr>
          <w:rFonts w:ascii="Arial" w:hAnsi="Arial" w:cs="Arial"/>
          <w:sz w:val="22"/>
          <w:szCs w:val="22"/>
        </w:rPr>
        <w:t>z </w:t>
      </w:r>
      <w:r w:rsidR="007A39FA">
        <w:rPr>
          <w:rFonts w:ascii="Arial" w:hAnsi="Arial" w:cs="Arial"/>
          <w:sz w:val="22"/>
          <w:szCs w:val="22"/>
        </w:rPr>
        <w:t>ceny</w:t>
      </w:r>
      <w:r w:rsidR="00CA3237">
        <w:rPr>
          <w:rFonts w:ascii="Arial" w:hAnsi="Arial" w:cs="Arial"/>
          <w:sz w:val="22"/>
          <w:szCs w:val="22"/>
        </w:rPr>
        <w:t xml:space="preserve"> díla</w:t>
      </w:r>
      <w:r w:rsidR="007A39FA">
        <w:rPr>
          <w:rFonts w:ascii="Arial" w:hAnsi="Arial" w:cs="Arial"/>
          <w:sz w:val="22"/>
          <w:szCs w:val="22"/>
        </w:rPr>
        <w:t>)</w:t>
      </w:r>
      <w:r w:rsidR="00CE17B5">
        <w:rPr>
          <w:rFonts w:ascii="Arial" w:hAnsi="Arial" w:cs="Arial"/>
          <w:sz w:val="22"/>
          <w:szCs w:val="22"/>
        </w:rPr>
        <w:t>, které</w:t>
      </w:r>
      <w:r w:rsidR="007A39FA">
        <w:rPr>
          <w:rFonts w:ascii="Arial" w:hAnsi="Arial" w:cs="Arial"/>
          <w:sz w:val="22"/>
          <w:szCs w:val="22"/>
        </w:rPr>
        <w:t xml:space="preserve"> nebyly zadány v souladu se zákonem č.</w:t>
      </w:r>
      <w:r w:rsidR="00C12AAB">
        <w:rPr>
          <w:rFonts w:ascii="Arial" w:hAnsi="Arial" w:cs="Arial"/>
          <w:sz w:val="22"/>
          <w:szCs w:val="22"/>
        </w:rPr>
        <w:t> </w:t>
      </w:r>
      <w:r w:rsidR="007A39FA">
        <w:rPr>
          <w:rFonts w:ascii="Arial" w:hAnsi="Arial" w:cs="Arial"/>
          <w:sz w:val="22"/>
          <w:szCs w:val="22"/>
        </w:rPr>
        <w:t xml:space="preserve">137/2006 Sb. </w:t>
      </w:r>
    </w:p>
    <w:p w:rsidR="001B218E" w:rsidRDefault="007A39FA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U ak</w:t>
      </w:r>
      <w:r w:rsidR="00AB222A">
        <w:rPr>
          <w:rFonts w:ascii="Arial" w:hAnsi="Arial" w:cs="Arial"/>
          <w:sz w:val="22"/>
          <w:szCs w:val="22"/>
        </w:rPr>
        <w:t>ce</w:t>
      </w:r>
      <w:r w:rsidR="00952D7B">
        <w:rPr>
          <w:rFonts w:ascii="Arial" w:hAnsi="Arial" w:cs="Arial"/>
          <w:sz w:val="22"/>
          <w:szCs w:val="22"/>
        </w:rPr>
        <w:t xml:space="preserve"> rekonstrukce</w:t>
      </w:r>
      <w:r w:rsidR="00AB222A">
        <w:rPr>
          <w:rFonts w:ascii="Arial" w:hAnsi="Arial" w:cs="Arial"/>
          <w:sz w:val="22"/>
          <w:szCs w:val="22"/>
        </w:rPr>
        <w:t xml:space="preserve"> budovy ve Znojmě</w:t>
      </w:r>
      <w:r w:rsidR="001B218E">
        <w:rPr>
          <w:rFonts w:ascii="Arial" w:hAnsi="Arial" w:cs="Arial"/>
          <w:sz w:val="22"/>
          <w:szCs w:val="22"/>
        </w:rPr>
        <w:t xml:space="preserve"> mohlo dojít k narušení soutěžního prostředí, neboť</w:t>
      </w:r>
      <w:r w:rsidR="00CE17B5">
        <w:rPr>
          <w:rFonts w:ascii="Arial" w:hAnsi="Arial" w:cs="Arial"/>
          <w:sz w:val="22"/>
          <w:szCs w:val="22"/>
        </w:rPr>
        <w:t xml:space="preserve"> vybraný uchazeč </w:t>
      </w:r>
      <w:r w:rsidR="001B218E">
        <w:rPr>
          <w:rFonts w:ascii="Arial" w:hAnsi="Arial" w:cs="Arial"/>
          <w:sz w:val="22"/>
          <w:szCs w:val="22"/>
        </w:rPr>
        <w:t xml:space="preserve">realizoval </w:t>
      </w:r>
      <w:r w:rsidR="00CE17B5">
        <w:rPr>
          <w:rFonts w:ascii="Arial" w:hAnsi="Arial" w:cs="Arial"/>
          <w:sz w:val="22"/>
          <w:szCs w:val="22"/>
        </w:rPr>
        <w:t>stavební práce</w:t>
      </w:r>
      <w:r w:rsidR="001B218E">
        <w:rPr>
          <w:rFonts w:ascii="Arial" w:hAnsi="Arial" w:cs="Arial"/>
          <w:sz w:val="22"/>
          <w:szCs w:val="22"/>
        </w:rPr>
        <w:t xml:space="preserve"> v rozsahu 26 % prostřednictvím subdodavatele, který se jako uchazeč o tuto veřejnou zakázku umístil na druhém místě ze tří uchazečů. Ačkoliv vybraný uchazeč ve své nabídce uvedl, že veřejnou zakázku bude realizovat vlastními kapacitami, celkový rozsah prací realizovaný</w:t>
      </w:r>
      <w:r w:rsidR="000227AD">
        <w:rPr>
          <w:rFonts w:ascii="Arial" w:hAnsi="Arial" w:cs="Arial"/>
          <w:sz w:val="22"/>
          <w:szCs w:val="22"/>
        </w:rPr>
        <w:t>ch</w:t>
      </w:r>
      <w:r w:rsidR="001B218E">
        <w:rPr>
          <w:rFonts w:ascii="Arial" w:hAnsi="Arial" w:cs="Arial"/>
          <w:sz w:val="22"/>
          <w:szCs w:val="22"/>
        </w:rPr>
        <w:t xml:space="preserve"> subdodavateli </w:t>
      </w:r>
      <w:r w:rsidR="003007F2">
        <w:rPr>
          <w:rFonts w:ascii="Arial" w:hAnsi="Arial" w:cs="Arial"/>
          <w:sz w:val="22"/>
          <w:szCs w:val="22"/>
        </w:rPr>
        <w:t xml:space="preserve">byl </w:t>
      </w:r>
      <w:r w:rsidR="001B218E">
        <w:rPr>
          <w:rFonts w:ascii="Arial" w:hAnsi="Arial" w:cs="Arial"/>
          <w:sz w:val="22"/>
          <w:szCs w:val="22"/>
        </w:rPr>
        <w:t>49</w:t>
      </w:r>
      <w:r w:rsidR="009368E0">
        <w:rPr>
          <w:rFonts w:ascii="Arial" w:hAnsi="Arial" w:cs="Arial"/>
          <w:sz w:val="22"/>
          <w:szCs w:val="22"/>
        </w:rPr>
        <w:t> </w:t>
      </w:r>
      <w:r w:rsidR="001B218E">
        <w:rPr>
          <w:rFonts w:ascii="Arial" w:hAnsi="Arial" w:cs="Arial"/>
          <w:sz w:val="22"/>
          <w:szCs w:val="22"/>
        </w:rPr>
        <w:t xml:space="preserve">%. </w:t>
      </w:r>
    </w:p>
    <w:p w:rsidR="00D831FA" w:rsidRDefault="00D831FA" w:rsidP="001F6215">
      <w:pPr>
        <w:pStyle w:val="Prosttext"/>
        <w:ind w:left="284" w:hanging="284"/>
        <w:jc w:val="both"/>
        <w:rPr>
          <w:rFonts w:ascii="Arial" w:hAnsi="Arial" w:cs="Arial"/>
          <w:b/>
          <w:sz w:val="22"/>
          <w:szCs w:val="22"/>
        </w:rPr>
      </w:pPr>
    </w:p>
    <w:p w:rsidR="00BF2A0B" w:rsidRDefault="00BF2A0B">
      <w:pPr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</w:rPr>
        <w:br w:type="page"/>
      </w:r>
    </w:p>
    <w:p w:rsidR="00D867C0" w:rsidRDefault="00D867C0" w:rsidP="0037156F">
      <w:pPr>
        <w:pStyle w:val="Prosttext"/>
        <w:ind w:left="284" w:hanging="284"/>
        <w:rPr>
          <w:rFonts w:ascii="Arial" w:hAnsi="Arial" w:cs="Arial"/>
          <w:b/>
          <w:sz w:val="22"/>
          <w:szCs w:val="22"/>
        </w:rPr>
      </w:pPr>
    </w:p>
    <w:p w:rsidR="001F6215" w:rsidRPr="001F6215" w:rsidRDefault="005B0954" w:rsidP="0037156F">
      <w:pPr>
        <w:pStyle w:val="Prosttext"/>
        <w:ind w:left="284" w:hanging="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</w:t>
      </w:r>
      <w:r>
        <w:rPr>
          <w:rFonts w:ascii="Arial" w:hAnsi="Arial" w:cs="Arial"/>
          <w:b/>
          <w:sz w:val="22"/>
          <w:szCs w:val="22"/>
        </w:rPr>
        <w:tab/>
        <w:t>Program č. 113 3</w:t>
      </w:r>
      <w:r w:rsidR="001F6215">
        <w:rPr>
          <w:rFonts w:ascii="Arial" w:hAnsi="Arial" w:cs="Arial"/>
          <w:b/>
          <w:sz w:val="22"/>
          <w:szCs w:val="22"/>
        </w:rPr>
        <w:t xml:space="preserve">40 </w:t>
      </w:r>
      <w:r w:rsidR="00952D7B">
        <w:rPr>
          <w:rFonts w:ascii="Arial" w:hAnsi="Arial" w:cs="Arial"/>
          <w:b/>
          <w:sz w:val="22"/>
          <w:szCs w:val="22"/>
        </w:rPr>
        <w:t xml:space="preserve">– </w:t>
      </w:r>
      <w:r w:rsidR="001F6215">
        <w:rPr>
          <w:rFonts w:ascii="Arial" w:hAnsi="Arial" w:cs="Arial"/>
          <w:b/>
          <w:i/>
          <w:sz w:val="22"/>
          <w:szCs w:val="22"/>
        </w:rPr>
        <w:t>Integrovaný operační program v oblastech intervence zaměstnanosti a sociálních služeb</w:t>
      </w:r>
    </w:p>
    <w:p w:rsidR="00E63041" w:rsidRDefault="00E63041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33442" w:rsidRDefault="003F492F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sloužil</w:t>
      </w:r>
      <w:r w:rsidR="00E03F4D">
        <w:rPr>
          <w:rFonts w:ascii="Arial" w:hAnsi="Arial" w:cs="Arial"/>
          <w:sz w:val="22"/>
          <w:szCs w:val="22"/>
        </w:rPr>
        <w:t xml:space="preserve"> k</w:t>
      </w:r>
      <w:r w:rsidR="00B74AE5">
        <w:rPr>
          <w:rFonts w:ascii="Arial" w:hAnsi="Arial" w:cs="Arial"/>
          <w:sz w:val="22"/>
          <w:szCs w:val="22"/>
        </w:rPr>
        <w:t xml:space="preserve"> předfinancování </w:t>
      </w:r>
      <w:r w:rsidR="00E03F4D">
        <w:rPr>
          <w:rFonts w:ascii="Arial" w:hAnsi="Arial" w:cs="Arial"/>
          <w:sz w:val="22"/>
          <w:szCs w:val="22"/>
        </w:rPr>
        <w:t>projektů</w:t>
      </w:r>
      <w:r w:rsidR="00B74AE5">
        <w:rPr>
          <w:rFonts w:ascii="Arial" w:hAnsi="Arial" w:cs="Arial"/>
          <w:sz w:val="22"/>
          <w:szCs w:val="22"/>
        </w:rPr>
        <w:t xml:space="preserve"> (akcí) spoluf</w:t>
      </w:r>
      <w:r>
        <w:rPr>
          <w:rFonts w:ascii="Arial" w:hAnsi="Arial" w:cs="Arial"/>
          <w:sz w:val="22"/>
          <w:szCs w:val="22"/>
        </w:rPr>
        <w:t>inancovaných z prostředků EU z </w:t>
      </w:r>
      <w:r w:rsidRPr="0037156F">
        <w:rPr>
          <w:rFonts w:ascii="Arial" w:hAnsi="Arial" w:cs="Arial"/>
          <w:i/>
          <w:sz w:val="22"/>
          <w:szCs w:val="22"/>
        </w:rPr>
        <w:t>I</w:t>
      </w:r>
      <w:r w:rsidR="00B74AE5" w:rsidRPr="0037156F">
        <w:rPr>
          <w:rFonts w:ascii="Arial" w:hAnsi="Arial" w:cs="Arial"/>
          <w:i/>
          <w:sz w:val="22"/>
          <w:szCs w:val="22"/>
        </w:rPr>
        <w:t xml:space="preserve">ntegrovaného operačního </w:t>
      </w:r>
      <w:r w:rsidR="007330FE" w:rsidRPr="0037156F">
        <w:rPr>
          <w:rFonts w:ascii="Arial" w:hAnsi="Arial" w:cs="Arial"/>
          <w:i/>
          <w:sz w:val="22"/>
          <w:szCs w:val="22"/>
        </w:rPr>
        <w:t>programu</w:t>
      </w:r>
      <w:r w:rsidR="009C4D99">
        <w:rPr>
          <w:rFonts w:ascii="Arial" w:hAnsi="Arial" w:cs="Arial"/>
          <w:sz w:val="22"/>
          <w:szCs w:val="22"/>
        </w:rPr>
        <w:t xml:space="preserve"> (dále jen „</w:t>
      </w:r>
      <w:proofErr w:type="spellStart"/>
      <w:r w:rsidR="009C4D99">
        <w:rPr>
          <w:rFonts w:ascii="Arial" w:hAnsi="Arial" w:cs="Arial"/>
          <w:sz w:val="22"/>
          <w:szCs w:val="22"/>
        </w:rPr>
        <w:t>IOP</w:t>
      </w:r>
      <w:proofErr w:type="spellEnd"/>
      <w:r w:rsidR="009C4D99">
        <w:rPr>
          <w:rFonts w:ascii="Arial" w:hAnsi="Arial" w:cs="Arial"/>
          <w:sz w:val="22"/>
          <w:szCs w:val="22"/>
        </w:rPr>
        <w:t>“).</w:t>
      </w:r>
      <w:r w:rsidR="00A5097C">
        <w:rPr>
          <w:rFonts w:ascii="Arial" w:hAnsi="Arial" w:cs="Arial"/>
          <w:sz w:val="22"/>
          <w:szCs w:val="22"/>
        </w:rPr>
        <w:t xml:space="preserve"> Říd</w:t>
      </w:r>
      <w:r w:rsidR="00952D7B">
        <w:rPr>
          <w:rFonts w:ascii="Arial" w:hAnsi="Arial" w:cs="Arial"/>
          <w:sz w:val="22"/>
          <w:szCs w:val="22"/>
        </w:rPr>
        <w:t>i</w:t>
      </w:r>
      <w:r w:rsidR="00A5097C">
        <w:rPr>
          <w:rFonts w:ascii="Arial" w:hAnsi="Arial" w:cs="Arial"/>
          <w:sz w:val="22"/>
          <w:szCs w:val="22"/>
        </w:rPr>
        <w:t>cím orgánem bylo Ministerstvo pro místní rozvoj (dále jen „MMR“) a zprostředkujícími subjekty MPSV a Centrum</w:t>
      </w:r>
      <w:r w:rsidR="00C63C42">
        <w:rPr>
          <w:rFonts w:ascii="Arial" w:hAnsi="Arial" w:cs="Arial"/>
          <w:sz w:val="22"/>
          <w:szCs w:val="22"/>
        </w:rPr>
        <w:t xml:space="preserve"> pro regionální rozvoj (příspěvková organizace MMR)</w:t>
      </w:r>
      <w:r w:rsidR="00A5097C">
        <w:rPr>
          <w:rFonts w:ascii="Arial" w:hAnsi="Arial" w:cs="Arial"/>
          <w:sz w:val="22"/>
          <w:szCs w:val="22"/>
        </w:rPr>
        <w:t xml:space="preserve">. </w:t>
      </w:r>
      <w:r w:rsidR="009C4D99">
        <w:rPr>
          <w:rFonts w:ascii="Arial" w:hAnsi="Arial" w:cs="Arial"/>
          <w:sz w:val="22"/>
          <w:szCs w:val="22"/>
        </w:rPr>
        <w:t>Příprava</w:t>
      </w:r>
      <w:r>
        <w:rPr>
          <w:rFonts w:ascii="Arial" w:hAnsi="Arial" w:cs="Arial"/>
          <w:sz w:val="22"/>
          <w:szCs w:val="22"/>
        </w:rPr>
        <w:t xml:space="preserve"> většiny</w:t>
      </w:r>
      <w:r w:rsidR="009C4D99">
        <w:rPr>
          <w:rFonts w:ascii="Arial" w:hAnsi="Arial" w:cs="Arial"/>
          <w:sz w:val="22"/>
          <w:szCs w:val="22"/>
        </w:rPr>
        <w:t xml:space="preserve"> akcí</w:t>
      </w:r>
      <w:r w:rsidR="00D33442">
        <w:rPr>
          <w:rFonts w:ascii="Arial" w:hAnsi="Arial" w:cs="Arial"/>
          <w:sz w:val="22"/>
          <w:szCs w:val="22"/>
        </w:rPr>
        <w:t xml:space="preserve"> byla financována z programu č. </w:t>
      </w:r>
      <w:r w:rsidR="009C4D99">
        <w:rPr>
          <w:rFonts w:ascii="Arial" w:hAnsi="Arial" w:cs="Arial"/>
          <w:sz w:val="22"/>
          <w:szCs w:val="22"/>
        </w:rPr>
        <w:t xml:space="preserve">113 030. </w:t>
      </w:r>
    </w:p>
    <w:p w:rsidR="00D33442" w:rsidRDefault="00D33442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C4DCF" w:rsidRDefault="00D33442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Dokumentace programu neobsahovala (v souladu s pokyny MF) veškeré náležitosti požadované zákonem č. 218/2000 Sb. a vyhláškou č. 560/2006 Sb. </w:t>
      </w:r>
      <w:r w:rsidR="000232BE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ostupováno </w:t>
      </w:r>
      <w:r w:rsidR="000232BE">
        <w:rPr>
          <w:rFonts w:ascii="Arial" w:hAnsi="Arial" w:cs="Arial"/>
          <w:sz w:val="22"/>
          <w:szCs w:val="22"/>
        </w:rPr>
        <w:t xml:space="preserve">bylo </w:t>
      </w:r>
      <w:r>
        <w:rPr>
          <w:rFonts w:ascii="Arial" w:hAnsi="Arial" w:cs="Arial"/>
          <w:sz w:val="22"/>
          <w:szCs w:val="22"/>
        </w:rPr>
        <w:t xml:space="preserve">podle příslušných dokumentů </w:t>
      </w:r>
      <w:proofErr w:type="spellStart"/>
      <w:r>
        <w:rPr>
          <w:rFonts w:ascii="Arial" w:hAnsi="Arial" w:cs="Arial"/>
          <w:sz w:val="22"/>
          <w:szCs w:val="22"/>
        </w:rPr>
        <w:t>IOP</w:t>
      </w:r>
      <w:proofErr w:type="spellEnd"/>
      <w:r>
        <w:rPr>
          <w:rFonts w:ascii="Arial" w:hAnsi="Arial" w:cs="Arial"/>
          <w:sz w:val="22"/>
          <w:szCs w:val="22"/>
        </w:rPr>
        <w:t xml:space="preserve">, které byly přílohou dokumentace programu. </w:t>
      </w:r>
      <w:r w:rsidR="00927464">
        <w:rPr>
          <w:rFonts w:ascii="Arial" w:hAnsi="Arial" w:cs="Arial"/>
          <w:sz w:val="22"/>
          <w:szCs w:val="22"/>
        </w:rPr>
        <w:t xml:space="preserve">Dokumentace, </w:t>
      </w:r>
      <w:r w:rsidR="00952D7B">
        <w:rPr>
          <w:rFonts w:ascii="Arial" w:hAnsi="Arial" w:cs="Arial"/>
          <w:sz w:val="22"/>
          <w:szCs w:val="22"/>
        </w:rPr>
        <w:t xml:space="preserve">kterou </w:t>
      </w:r>
      <w:r w:rsidR="009C4D99">
        <w:rPr>
          <w:rFonts w:ascii="Arial" w:hAnsi="Arial" w:cs="Arial"/>
          <w:sz w:val="22"/>
          <w:szCs w:val="22"/>
        </w:rPr>
        <w:t>MF</w:t>
      </w:r>
      <w:r w:rsidR="005421A9">
        <w:rPr>
          <w:rFonts w:ascii="Arial" w:hAnsi="Arial" w:cs="Arial"/>
          <w:sz w:val="22"/>
          <w:szCs w:val="22"/>
        </w:rPr>
        <w:t xml:space="preserve"> </w:t>
      </w:r>
      <w:r w:rsidR="00952D7B">
        <w:rPr>
          <w:rFonts w:ascii="Arial" w:hAnsi="Arial" w:cs="Arial"/>
          <w:sz w:val="22"/>
          <w:szCs w:val="22"/>
        </w:rPr>
        <w:t xml:space="preserve">schválilo </w:t>
      </w:r>
      <w:r w:rsidR="009E06AF">
        <w:rPr>
          <w:rFonts w:ascii="Arial" w:hAnsi="Arial" w:cs="Arial"/>
          <w:sz w:val="22"/>
          <w:szCs w:val="22"/>
        </w:rPr>
        <w:t>v </w:t>
      </w:r>
      <w:r w:rsidR="00EC036C">
        <w:rPr>
          <w:rFonts w:ascii="Arial" w:hAnsi="Arial" w:cs="Arial"/>
          <w:sz w:val="22"/>
          <w:szCs w:val="22"/>
        </w:rPr>
        <w:t>listopadu</w:t>
      </w:r>
      <w:r w:rsidR="00E03F4D">
        <w:rPr>
          <w:rFonts w:ascii="Arial" w:hAnsi="Arial" w:cs="Arial"/>
          <w:sz w:val="22"/>
          <w:szCs w:val="22"/>
        </w:rPr>
        <w:t xml:space="preserve"> 2008</w:t>
      </w:r>
      <w:r w:rsidR="006E16E9">
        <w:rPr>
          <w:rFonts w:ascii="Arial" w:hAnsi="Arial" w:cs="Arial"/>
          <w:sz w:val="22"/>
          <w:szCs w:val="22"/>
        </w:rPr>
        <w:t>, byla v</w:t>
      </w:r>
      <w:r w:rsidR="009C4D99">
        <w:rPr>
          <w:rFonts w:ascii="Arial" w:hAnsi="Arial" w:cs="Arial"/>
          <w:sz w:val="22"/>
          <w:szCs w:val="22"/>
        </w:rPr>
        <w:t xml:space="preserve"> červenci 2009 </w:t>
      </w:r>
      <w:r w:rsidR="00E03F4D">
        <w:rPr>
          <w:rFonts w:ascii="Arial" w:hAnsi="Arial" w:cs="Arial"/>
          <w:sz w:val="22"/>
          <w:szCs w:val="22"/>
        </w:rPr>
        <w:t>aktualizována</w:t>
      </w:r>
      <w:r w:rsidR="006E16E9">
        <w:rPr>
          <w:rFonts w:ascii="Arial" w:hAnsi="Arial" w:cs="Arial"/>
          <w:sz w:val="22"/>
          <w:szCs w:val="22"/>
        </w:rPr>
        <w:t xml:space="preserve"> z </w:t>
      </w:r>
      <w:r w:rsidR="009C4D99">
        <w:rPr>
          <w:rFonts w:ascii="Arial" w:hAnsi="Arial" w:cs="Arial"/>
          <w:sz w:val="22"/>
          <w:szCs w:val="22"/>
        </w:rPr>
        <w:t>důvodu</w:t>
      </w:r>
      <w:r w:rsidR="00E03F4D">
        <w:rPr>
          <w:rFonts w:ascii="Arial" w:hAnsi="Arial" w:cs="Arial"/>
          <w:sz w:val="22"/>
          <w:szCs w:val="22"/>
        </w:rPr>
        <w:t xml:space="preserve"> rozšíření věcné náplně programu o podporu, kterou ne</w:t>
      </w:r>
      <w:r w:rsidR="009C4D99">
        <w:rPr>
          <w:rFonts w:ascii="Arial" w:hAnsi="Arial" w:cs="Arial"/>
          <w:sz w:val="22"/>
          <w:szCs w:val="22"/>
        </w:rPr>
        <w:t>šlo financovat z prostředků EU. Program se členil na dva podprogramy, které byly zaměřeny na služby</w:t>
      </w:r>
      <w:r w:rsidR="00EC036C">
        <w:rPr>
          <w:rFonts w:ascii="Arial" w:hAnsi="Arial" w:cs="Arial"/>
          <w:sz w:val="22"/>
          <w:szCs w:val="22"/>
        </w:rPr>
        <w:t xml:space="preserve"> v oblasti sociální integrace a </w:t>
      </w:r>
      <w:r w:rsidR="009C4D99">
        <w:rPr>
          <w:rFonts w:ascii="Arial" w:hAnsi="Arial" w:cs="Arial"/>
          <w:sz w:val="22"/>
          <w:szCs w:val="22"/>
        </w:rPr>
        <w:t xml:space="preserve">v oblasti zaměstnanosti (analogicky k oblastem intervence </w:t>
      </w:r>
      <w:proofErr w:type="spellStart"/>
      <w:r w:rsidR="009C4D99">
        <w:rPr>
          <w:rFonts w:ascii="Arial" w:hAnsi="Arial" w:cs="Arial"/>
          <w:sz w:val="22"/>
          <w:szCs w:val="22"/>
        </w:rPr>
        <w:t>IOP</w:t>
      </w:r>
      <w:proofErr w:type="spellEnd"/>
      <w:r w:rsidR="009C4D99">
        <w:rPr>
          <w:rFonts w:ascii="Arial" w:hAnsi="Arial" w:cs="Arial"/>
          <w:sz w:val="22"/>
          <w:szCs w:val="22"/>
        </w:rPr>
        <w:t>).</w:t>
      </w:r>
      <w:r w:rsidR="00BA4006">
        <w:rPr>
          <w:rFonts w:ascii="Arial" w:hAnsi="Arial" w:cs="Arial"/>
          <w:sz w:val="22"/>
          <w:szCs w:val="22"/>
        </w:rPr>
        <w:t xml:space="preserve"> </w:t>
      </w:r>
      <w:r w:rsidR="009C4D99">
        <w:rPr>
          <w:rFonts w:ascii="Arial" w:hAnsi="Arial" w:cs="Arial"/>
          <w:sz w:val="22"/>
          <w:szCs w:val="22"/>
        </w:rPr>
        <w:t xml:space="preserve">Kontrola byla zaměřena na podprogram 113 </w:t>
      </w:r>
      <w:proofErr w:type="spellStart"/>
      <w:r w:rsidR="009C4D99">
        <w:rPr>
          <w:rFonts w:ascii="Arial" w:hAnsi="Arial" w:cs="Arial"/>
          <w:sz w:val="22"/>
          <w:szCs w:val="22"/>
        </w:rPr>
        <w:t>34D</w:t>
      </w:r>
      <w:proofErr w:type="spellEnd"/>
      <w:r w:rsidR="009C4D99">
        <w:rPr>
          <w:rFonts w:ascii="Arial" w:hAnsi="Arial" w:cs="Arial"/>
          <w:sz w:val="22"/>
          <w:szCs w:val="22"/>
        </w:rPr>
        <w:t xml:space="preserve"> </w:t>
      </w:r>
      <w:r w:rsidR="00952D7B">
        <w:rPr>
          <w:rFonts w:ascii="Arial" w:hAnsi="Arial" w:cs="Arial"/>
          <w:sz w:val="22"/>
          <w:szCs w:val="22"/>
        </w:rPr>
        <w:t xml:space="preserve">– </w:t>
      </w:r>
      <w:r w:rsidR="009C4D99">
        <w:rPr>
          <w:rFonts w:ascii="Arial" w:hAnsi="Arial" w:cs="Arial"/>
          <w:i/>
          <w:sz w:val="22"/>
          <w:szCs w:val="22"/>
        </w:rPr>
        <w:t>Služby v oblasti zaměstnanosti (pro oblast intervence 3.3)</w:t>
      </w:r>
      <w:r w:rsidR="00DC4DCF">
        <w:rPr>
          <w:rFonts w:ascii="Arial" w:hAnsi="Arial" w:cs="Arial"/>
          <w:sz w:val="22"/>
          <w:szCs w:val="22"/>
        </w:rPr>
        <w:t xml:space="preserve">. </w:t>
      </w:r>
    </w:p>
    <w:p w:rsidR="006273AE" w:rsidRDefault="006273AE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232BE" w:rsidRDefault="003007F2" w:rsidP="00B015F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</w:t>
      </w:r>
      <w:r w:rsidR="003F492F" w:rsidRPr="003F492F">
        <w:rPr>
          <w:rFonts w:ascii="Arial" w:hAnsi="Arial" w:cs="Arial"/>
          <w:b/>
          <w:sz w:val="22"/>
          <w:szCs w:val="22"/>
        </w:rPr>
        <w:t xml:space="preserve">ealizace </w:t>
      </w:r>
      <w:r w:rsidR="00BA4006">
        <w:rPr>
          <w:rFonts w:ascii="Arial" w:hAnsi="Arial" w:cs="Arial"/>
          <w:b/>
          <w:sz w:val="22"/>
          <w:szCs w:val="22"/>
        </w:rPr>
        <w:t>pod</w:t>
      </w:r>
      <w:r w:rsidR="003F492F" w:rsidRPr="003F492F">
        <w:rPr>
          <w:rFonts w:ascii="Arial" w:hAnsi="Arial" w:cs="Arial"/>
          <w:b/>
          <w:sz w:val="22"/>
          <w:szCs w:val="22"/>
        </w:rPr>
        <w:t>programu č. 113</w:t>
      </w:r>
      <w:r>
        <w:rPr>
          <w:rFonts w:ascii="Arial" w:hAnsi="Arial" w:cs="Arial"/>
          <w:b/>
          <w:sz w:val="22"/>
          <w:szCs w:val="22"/>
        </w:rPr>
        <w:t> </w:t>
      </w:r>
      <w:proofErr w:type="spellStart"/>
      <w:r w:rsidR="003F492F" w:rsidRPr="003F492F">
        <w:rPr>
          <w:rFonts w:ascii="Arial" w:hAnsi="Arial" w:cs="Arial"/>
          <w:b/>
          <w:sz w:val="22"/>
          <w:szCs w:val="22"/>
        </w:rPr>
        <w:t>34</w:t>
      </w:r>
      <w:r w:rsidR="00BA4006">
        <w:rPr>
          <w:rFonts w:ascii="Arial" w:hAnsi="Arial" w:cs="Arial"/>
          <w:b/>
          <w:sz w:val="22"/>
          <w:szCs w:val="22"/>
        </w:rPr>
        <w:t>D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byla</w:t>
      </w:r>
      <w:r w:rsidR="003F492F" w:rsidRPr="003F492F">
        <w:rPr>
          <w:rFonts w:ascii="Arial" w:hAnsi="Arial" w:cs="Arial"/>
          <w:b/>
          <w:sz w:val="22"/>
          <w:szCs w:val="22"/>
        </w:rPr>
        <w:t xml:space="preserve"> negativně ovlivněna </w:t>
      </w:r>
      <w:r w:rsidR="000232BE" w:rsidRPr="003F492F">
        <w:rPr>
          <w:rFonts w:ascii="Arial" w:hAnsi="Arial" w:cs="Arial"/>
          <w:b/>
          <w:sz w:val="22"/>
          <w:szCs w:val="22"/>
        </w:rPr>
        <w:t>neexistencí ujasněného koncepčního dokumentu organizační struktury</w:t>
      </w:r>
      <w:r w:rsidR="000232BE">
        <w:rPr>
          <w:rFonts w:ascii="Arial" w:hAnsi="Arial" w:cs="Arial"/>
          <w:b/>
          <w:sz w:val="22"/>
          <w:szCs w:val="22"/>
        </w:rPr>
        <w:t xml:space="preserve"> úřadů práce</w:t>
      </w:r>
      <w:r w:rsidR="004962BD">
        <w:rPr>
          <w:rFonts w:ascii="Arial" w:hAnsi="Arial" w:cs="Arial"/>
          <w:b/>
          <w:sz w:val="22"/>
          <w:szCs w:val="22"/>
        </w:rPr>
        <w:t xml:space="preserve"> a vznikem ÚP ČR od 1. 4. 2011 na základě zákona č. 73/2011 Sb.</w:t>
      </w:r>
      <w:r w:rsidR="004962BD" w:rsidRPr="0037156F">
        <w:rPr>
          <w:rFonts w:ascii="Arial" w:hAnsi="Arial" w:cs="Arial"/>
          <w:b/>
          <w:sz w:val="22"/>
          <w:szCs w:val="22"/>
        </w:rPr>
        <w:t>,</w:t>
      </w:r>
      <w:r w:rsidR="004962BD">
        <w:rPr>
          <w:rFonts w:ascii="Arial" w:hAnsi="Arial" w:cs="Arial"/>
          <w:sz w:val="22"/>
          <w:szCs w:val="22"/>
        </w:rPr>
        <w:t xml:space="preserve"> jak bylo uvedeno </w:t>
      </w:r>
      <w:r w:rsidR="009E06AF">
        <w:rPr>
          <w:rFonts w:ascii="Arial" w:hAnsi="Arial" w:cs="Arial"/>
          <w:sz w:val="22"/>
          <w:szCs w:val="22"/>
        </w:rPr>
        <w:t>v </w:t>
      </w:r>
      <w:r w:rsidR="004962BD">
        <w:rPr>
          <w:rFonts w:ascii="Arial" w:hAnsi="Arial" w:cs="Arial"/>
          <w:sz w:val="22"/>
          <w:szCs w:val="22"/>
        </w:rPr>
        <w:t>bodě 3.</w:t>
      </w:r>
    </w:p>
    <w:p w:rsidR="000232BE" w:rsidRDefault="000232BE" w:rsidP="00B015F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D831FA" w:rsidRPr="0037156F" w:rsidRDefault="00D831FA" w:rsidP="004962BD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B779D5">
        <w:rPr>
          <w:rFonts w:ascii="Arial" w:hAnsi="Arial" w:cs="Arial"/>
          <w:sz w:val="22"/>
          <w:szCs w:val="22"/>
        </w:rPr>
        <w:t xml:space="preserve">MPSV </w:t>
      </w:r>
      <w:r w:rsidR="006E39C9">
        <w:rPr>
          <w:rFonts w:ascii="Arial" w:hAnsi="Arial" w:cs="Arial"/>
          <w:sz w:val="22"/>
          <w:szCs w:val="22"/>
        </w:rPr>
        <w:t xml:space="preserve">v souvislosti </w:t>
      </w:r>
      <w:r w:rsidR="009E06AF">
        <w:rPr>
          <w:rFonts w:ascii="Arial" w:hAnsi="Arial" w:cs="Arial"/>
          <w:sz w:val="22"/>
          <w:szCs w:val="22"/>
        </w:rPr>
        <w:t>s </w:t>
      </w:r>
      <w:r w:rsidR="006E39C9">
        <w:rPr>
          <w:rFonts w:ascii="Arial" w:hAnsi="Arial" w:cs="Arial"/>
          <w:sz w:val="22"/>
          <w:szCs w:val="22"/>
        </w:rPr>
        <w:t>uvedeným zákonem</w:t>
      </w:r>
      <w:r w:rsidR="000232BE" w:rsidRPr="00B779D5">
        <w:rPr>
          <w:rFonts w:ascii="Arial" w:hAnsi="Arial" w:cs="Arial"/>
          <w:sz w:val="22"/>
          <w:szCs w:val="22"/>
        </w:rPr>
        <w:t xml:space="preserve"> </w:t>
      </w:r>
      <w:r w:rsidR="004962BD" w:rsidRPr="00B779D5">
        <w:rPr>
          <w:rFonts w:ascii="Arial" w:hAnsi="Arial" w:cs="Arial"/>
          <w:sz w:val="22"/>
          <w:szCs w:val="22"/>
        </w:rPr>
        <w:t xml:space="preserve">uvádělo, že </w:t>
      </w:r>
      <w:proofErr w:type="spellStart"/>
      <w:r w:rsidR="004962BD" w:rsidRPr="00B779D5">
        <w:rPr>
          <w:rFonts w:ascii="Arial" w:hAnsi="Arial" w:cs="Arial"/>
          <w:sz w:val="22"/>
          <w:szCs w:val="22"/>
        </w:rPr>
        <w:t>GŘ</w:t>
      </w:r>
      <w:proofErr w:type="spellEnd"/>
      <w:r w:rsidRPr="00B779D5">
        <w:rPr>
          <w:rFonts w:ascii="Arial" w:hAnsi="Arial" w:cs="Arial"/>
          <w:sz w:val="22"/>
          <w:szCs w:val="22"/>
        </w:rPr>
        <w:t xml:space="preserve"> ÚP ČR bude sídlit ve stávajících prostorách MPSV, krajské pobočky v budovách současných úřadů práce, změna nebude mít zvýšené nároky na státní rozpočet</w:t>
      </w:r>
      <w:r w:rsidR="00FA0CAB">
        <w:rPr>
          <w:rFonts w:ascii="Arial" w:hAnsi="Arial" w:cs="Arial"/>
          <w:sz w:val="22"/>
          <w:szCs w:val="22"/>
        </w:rPr>
        <w:t xml:space="preserve"> a</w:t>
      </w:r>
      <w:r w:rsidRPr="00B779D5">
        <w:rPr>
          <w:rFonts w:ascii="Arial" w:hAnsi="Arial" w:cs="Arial"/>
          <w:sz w:val="22"/>
          <w:szCs w:val="22"/>
        </w:rPr>
        <w:t xml:space="preserve"> nebudou nutní noví úředníci ani nové budovy</w:t>
      </w:r>
      <w:r>
        <w:rPr>
          <w:rFonts w:ascii="Arial" w:hAnsi="Arial" w:cs="Arial"/>
          <w:sz w:val="22"/>
          <w:szCs w:val="22"/>
        </w:rPr>
        <w:t>. Přijetím zákona mělo být již v prvním roce dosaženo úspory provozních nákladů ve výši cca</w:t>
      </w:r>
      <w:r w:rsidR="000227AD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175</w:t>
      </w:r>
      <w:r w:rsidR="00E60C2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mil.</w:t>
      </w:r>
      <w:r w:rsidR="00E60C20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Kč. </w:t>
      </w:r>
      <w:r w:rsidR="0091058F">
        <w:rPr>
          <w:rFonts w:ascii="Arial" w:hAnsi="Arial" w:cs="Arial"/>
          <w:b/>
          <w:sz w:val="22"/>
          <w:szCs w:val="22"/>
        </w:rPr>
        <w:t>V následujících letech po vzniku ÚP ČR</w:t>
      </w:r>
      <w:r w:rsidRPr="006155F2">
        <w:rPr>
          <w:rFonts w:ascii="Arial" w:hAnsi="Arial" w:cs="Arial"/>
          <w:b/>
          <w:sz w:val="22"/>
          <w:szCs w:val="22"/>
        </w:rPr>
        <w:t xml:space="preserve"> však MPSV odůvodňovalo nezbytnost nákupu budovy v Praze 7</w:t>
      </w:r>
      <w:r w:rsidR="0091058F" w:rsidRPr="0091058F">
        <w:rPr>
          <w:rFonts w:ascii="Arial" w:hAnsi="Arial" w:cs="Arial"/>
          <w:b/>
          <w:sz w:val="22"/>
          <w:szCs w:val="22"/>
        </w:rPr>
        <w:t xml:space="preserve"> </w:t>
      </w:r>
      <w:r w:rsidR="009E06AF">
        <w:rPr>
          <w:rFonts w:ascii="Arial" w:hAnsi="Arial" w:cs="Arial"/>
          <w:b/>
          <w:sz w:val="22"/>
          <w:szCs w:val="22"/>
        </w:rPr>
        <w:t>s</w:t>
      </w:r>
      <w:r w:rsidR="00FA0CAB">
        <w:rPr>
          <w:rFonts w:ascii="Arial" w:hAnsi="Arial" w:cs="Arial"/>
          <w:b/>
          <w:sz w:val="22"/>
          <w:szCs w:val="22"/>
        </w:rPr>
        <w:t> </w:t>
      </w:r>
      <w:r w:rsidR="0091058F">
        <w:rPr>
          <w:rFonts w:ascii="Arial" w:hAnsi="Arial" w:cs="Arial"/>
          <w:b/>
          <w:sz w:val="22"/>
          <w:szCs w:val="22"/>
        </w:rPr>
        <w:t>celkovými</w:t>
      </w:r>
      <w:r w:rsidR="00FA0CAB">
        <w:rPr>
          <w:rFonts w:ascii="Arial" w:hAnsi="Arial" w:cs="Arial"/>
          <w:b/>
          <w:sz w:val="22"/>
          <w:szCs w:val="22"/>
        </w:rPr>
        <w:t xml:space="preserve"> </w:t>
      </w:r>
      <w:r w:rsidR="0091058F" w:rsidRPr="006155F2">
        <w:rPr>
          <w:rFonts w:ascii="Arial" w:hAnsi="Arial" w:cs="Arial"/>
          <w:b/>
          <w:sz w:val="22"/>
          <w:szCs w:val="22"/>
        </w:rPr>
        <w:t>náklady 329 mil. Kč</w:t>
      </w:r>
      <w:r w:rsidR="00BF2A0B">
        <w:rPr>
          <w:rFonts w:ascii="Arial" w:hAnsi="Arial" w:cs="Arial"/>
          <w:b/>
          <w:sz w:val="22"/>
          <w:szCs w:val="22"/>
        </w:rPr>
        <w:t>,</w:t>
      </w:r>
      <w:r w:rsidR="0091058F">
        <w:rPr>
          <w:rFonts w:ascii="Arial" w:hAnsi="Arial" w:cs="Arial"/>
          <w:b/>
          <w:sz w:val="22"/>
          <w:szCs w:val="22"/>
        </w:rPr>
        <w:t xml:space="preserve"> ve které mělo sídlit mj. </w:t>
      </w:r>
      <w:proofErr w:type="spellStart"/>
      <w:r w:rsidR="00214928">
        <w:rPr>
          <w:rFonts w:ascii="Arial" w:hAnsi="Arial" w:cs="Arial"/>
          <w:b/>
          <w:sz w:val="22"/>
          <w:szCs w:val="22"/>
        </w:rPr>
        <w:t>GŘ</w:t>
      </w:r>
      <w:proofErr w:type="spellEnd"/>
      <w:r w:rsidR="00214928">
        <w:rPr>
          <w:rFonts w:ascii="Arial" w:hAnsi="Arial" w:cs="Arial"/>
          <w:b/>
          <w:sz w:val="22"/>
          <w:szCs w:val="22"/>
        </w:rPr>
        <w:t xml:space="preserve"> ÚP ČR</w:t>
      </w:r>
      <w:r w:rsidR="000227AD">
        <w:rPr>
          <w:rFonts w:ascii="Arial" w:hAnsi="Arial" w:cs="Arial"/>
          <w:b/>
          <w:sz w:val="22"/>
          <w:szCs w:val="22"/>
        </w:rPr>
        <w:t>,</w:t>
      </w:r>
      <w:r w:rsidR="0091058F">
        <w:rPr>
          <w:rFonts w:ascii="Arial" w:hAnsi="Arial" w:cs="Arial"/>
          <w:b/>
          <w:sz w:val="22"/>
          <w:szCs w:val="22"/>
        </w:rPr>
        <w:t xml:space="preserve"> i </w:t>
      </w:r>
      <w:r w:rsidR="004962BD">
        <w:rPr>
          <w:rFonts w:ascii="Arial" w:hAnsi="Arial" w:cs="Arial"/>
          <w:b/>
          <w:sz w:val="22"/>
          <w:szCs w:val="22"/>
        </w:rPr>
        <w:t>pořizování</w:t>
      </w:r>
      <w:r w:rsidR="00277AEB">
        <w:rPr>
          <w:rFonts w:ascii="Arial" w:hAnsi="Arial" w:cs="Arial"/>
          <w:b/>
          <w:sz w:val="22"/>
          <w:szCs w:val="22"/>
        </w:rPr>
        <w:t xml:space="preserve"> </w:t>
      </w:r>
      <w:r w:rsidR="004962BD">
        <w:rPr>
          <w:rFonts w:ascii="Arial" w:hAnsi="Arial" w:cs="Arial"/>
          <w:b/>
          <w:sz w:val="22"/>
          <w:szCs w:val="22"/>
        </w:rPr>
        <w:t>dalších budov</w:t>
      </w:r>
      <w:r w:rsidR="0091058F">
        <w:rPr>
          <w:rFonts w:ascii="Arial" w:hAnsi="Arial" w:cs="Arial"/>
          <w:b/>
          <w:sz w:val="22"/>
          <w:szCs w:val="22"/>
        </w:rPr>
        <w:t xml:space="preserve"> mj.</w:t>
      </w:r>
      <w:r w:rsidRPr="006155F2">
        <w:rPr>
          <w:rFonts w:ascii="Arial" w:hAnsi="Arial" w:cs="Arial"/>
          <w:b/>
          <w:sz w:val="22"/>
          <w:szCs w:val="22"/>
        </w:rPr>
        <w:t xml:space="preserve"> nevytvořením odpovídajících materiálně technických podmínek pro řízení a efektivní fungování ÚP ČR</w:t>
      </w:r>
      <w:r w:rsidRPr="0037156F">
        <w:rPr>
          <w:rFonts w:ascii="Arial" w:hAnsi="Arial" w:cs="Arial"/>
          <w:b/>
          <w:sz w:val="22"/>
          <w:szCs w:val="22"/>
        </w:rPr>
        <w:t>.</w:t>
      </w:r>
    </w:p>
    <w:p w:rsidR="00D831FA" w:rsidRDefault="00D831FA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E395F" w:rsidRDefault="000E395F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4.1 Časové a finanční podmínky</w:t>
      </w:r>
    </w:p>
    <w:p w:rsidR="000E395F" w:rsidRDefault="000E395F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B0954" w:rsidRDefault="000E395F" w:rsidP="005B095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Doba realizace programu byla stanovena na duben 2009 až prosinec 2014.</w:t>
      </w:r>
      <w:r w:rsidR="00804F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Jeho finanční potřeba činila 3 589 mil. Kč, z toho 3 019 mil. Kč mělo být uhrazeno z prostředků EU. </w:t>
      </w:r>
      <w:r w:rsidR="005B0954">
        <w:rPr>
          <w:rFonts w:ascii="Arial" w:hAnsi="Arial" w:cs="Arial"/>
          <w:sz w:val="22"/>
          <w:szCs w:val="22"/>
        </w:rPr>
        <w:t xml:space="preserve">Aktualizací dokumentace byla finanční potřeba zvýšena na 4 193 mil. Kč, z toho </w:t>
      </w:r>
      <w:r w:rsidR="003007F2">
        <w:rPr>
          <w:rFonts w:ascii="Arial" w:hAnsi="Arial" w:cs="Arial"/>
          <w:sz w:val="22"/>
          <w:szCs w:val="22"/>
        </w:rPr>
        <w:t xml:space="preserve">z prostředků EU </w:t>
      </w:r>
      <w:r w:rsidR="005B0954">
        <w:rPr>
          <w:rFonts w:ascii="Arial" w:hAnsi="Arial" w:cs="Arial"/>
          <w:sz w:val="22"/>
          <w:szCs w:val="22"/>
        </w:rPr>
        <w:t>mělo být uhrazeno 3 259 mil. Kč.</w:t>
      </w:r>
      <w:r w:rsidR="003007F2">
        <w:rPr>
          <w:rFonts w:ascii="Arial" w:hAnsi="Arial" w:cs="Arial"/>
          <w:sz w:val="22"/>
          <w:szCs w:val="22"/>
        </w:rPr>
        <w:t xml:space="preserve"> </w:t>
      </w:r>
      <w:r w:rsidR="005B0954">
        <w:rPr>
          <w:rFonts w:ascii="Arial" w:hAnsi="Arial" w:cs="Arial"/>
          <w:sz w:val="22"/>
          <w:szCs w:val="22"/>
        </w:rPr>
        <w:t xml:space="preserve">Finanční potřeba, </w:t>
      </w:r>
      <w:r w:rsidR="003007F2">
        <w:rPr>
          <w:rFonts w:ascii="Arial" w:hAnsi="Arial" w:cs="Arial"/>
          <w:sz w:val="22"/>
          <w:szCs w:val="22"/>
        </w:rPr>
        <w:t xml:space="preserve">schválené </w:t>
      </w:r>
      <w:r w:rsidR="005B0954">
        <w:rPr>
          <w:rFonts w:ascii="Arial" w:hAnsi="Arial" w:cs="Arial"/>
          <w:sz w:val="22"/>
          <w:szCs w:val="22"/>
        </w:rPr>
        <w:t>peněžní prostředky a</w:t>
      </w:r>
      <w:r w:rsidR="003007F2">
        <w:rPr>
          <w:rFonts w:ascii="Arial" w:hAnsi="Arial" w:cs="Arial"/>
          <w:sz w:val="22"/>
          <w:szCs w:val="22"/>
        </w:rPr>
        <w:t> j</w:t>
      </w:r>
      <w:r w:rsidR="005B0954">
        <w:rPr>
          <w:rFonts w:ascii="Arial" w:hAnsi="Arial" w:cs="Arial"/>
          <w:sz w:val="22"/>
          <w:szCs w:val="22"/>
        </w:rPr>
        <w:t xml:space="preserve">ejich </w:t>
      </w:r>
      <w:r w:rsidR="00BA4006">
        <w:rPr>
          <w:rFonts w:ascii="Arial" w:hAnsi="Arial" w:cs="Arial"/>
          <w:sz w:val="22"/>
          <w:szCs w:val="22"/>
        </w:rPr>
        <w:t>čerpá</w:t>
      </w:r>
      <w:r w:rsidR="005B0954">
        <w:rPr>
          <w:rFonts w:ascii="Arial" w:hAnsi="Arial" w:cs="Arial"/>
          <w:sz w:val="22"/>
          <w:szCs w:val="22"/>
        </w:rPr>
        <w:t>ní na podprogram č. 113 </w:t>
      </w:r>
      <w:proofErr w:type="spellStart"/>
      <w:r w:rsidR="005B0954">
        <w:rPr>
          <w:rFonts w:ascii="Arial" w:hAnsi="Arial" w:cs="Arial"/>
          <w:sz w:val="22"/>
          <w:szCs w:val="22"/>
        </w:rPr>
        <w:t>34D</w:t>
      </w:r>
      <w:proofErr w:type="spellEnd"/>
      <w:r w:rsidR="005B0954">
        <w:rPr>
          <w:rFonts w:ascii="Arial" w:hAnsi="Arial" w:cs="Arial"/>
          <w:sz w:val="22"/>
          <w:szCs w:val="22"/>
        </w:rPr>
        <w:t xml:space="preserve"> jsou uvedeny v tabulce č. 4. </w:t>
      </w:r>
      <w:r w:rsidR="003007F2">
        <w:rPr>
          <w:rFonts w:ascii="Arial" w:hAnsi="Arial" w:cs="Arial"/>
          <w:sz w:val="22"/>
          <w:szCs w:val="22"/>
        </w:rPr>
        <w:t xml:space="preserve"> </w:t>
      </w:r>
      <w:r w:rsidR="005B0954">
        <w:rPr>
          <w:rFonts w:ascii="Arial" w:hAnsi="Arial" w:cs="Arial"/>
          <w:sz w:val="22"/>
          <w:szCs w:val="22"/>
        </w:rPr>
        <w:t xml:space="preserve"> </w:t>
      </w:r>
    </w:p>
    <w:p w:rsidR="005B0954" w:rsidRDefault="005B0954" w:rsidP="005B0954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5B0954" w:rsidRDefault="005B0954" w:rsidP="00811467">
      <w:pPr>
        <w:pStyle w:val="Prosttext"/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Tabulka č. 4 – Finanční podmínky podprogramu č. 113 </w:t>
      </w:r>
      <w:proofErr w:type="spellStart"/>
      <w:r>
        <w:rPr>
          <w:rFonts w:ascii="Arial" w:hAnsi="Arial" w:cs="Arial"/>
          <w:b/>
          <w:sz w:val="22"/>
          <w:szCs w:val="22"/>
        </w:rPr>
        <w:t>34D</w:t>
      </w:r>
      <w:proofErr w:type="spellEnd"/>
      <w:r>
        <w:rPr>
          <w:rFonts w:ascii="Arial" w:hAnsi="Arial" w:cs="Arial"/>
          <w:b/>
          <w:sz w:val="22"/>
          <w:szCs w:val="22"/>
        </w:rPr>
        <w:tab/>
        <w:t>(</w:t>
      </w:r>
      <w:r w:rsidR="009E06AF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mil. Kč)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945"/>
        <w:gridCol w:w="945"/>
        <w:gridCol w:w="945"/>
        <w:gridCol w:w="945"/>
        <w:gridCol w:w="945"/>
        <w:gridCol w:w="945"/>
        <w:gridCol w:w="992"/>
      </w:tblGrid>
      <w:tr w:rsidR="005B0954" w:rsidTr="0037156F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B0954" w:rsidRDefault="005B0954" w:rsidP="005B0954">
            <w:pPr>
              <w:pStyle w:val="Pros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954" w:rsidRPr="00B13F41" w:rsidRDefault="005B0954" w:rsidP="0037156F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2009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954" w:rsidRPr="00B13F41" w:rsidRDefault="005B0954" w:rsidP="0037156F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954" w:rsidRPr="00B13F41" w:rsidRDefault="005B0954" w:rsidP="0037156F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2011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954" w:rsidRDefault="005B0954" w:rsidP="0037156F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0954" w:rsidRPr="00B13F41" w:rsidRDefault="005B0954" w:rsidP="0037156F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954" w:rsidRPr="00B13F41" w:rsidRDefault="005B0954" w:rsidP="0037156F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954" w:rsidRPr="00B13F41" w:rsidRDefault="005B0954" w:rsidP="0037156F">
            <w:pPr>
              <w:pStyle w:val="Prosttext"/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5B0954" w:rsidTr="0037156F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B0954" w:rsidRPr="005A7A28" w:rsidRDefault="005B0954" w:rsidP="0037156F">
            <w:pPr>
              <w:pStyle w:val="Prosttex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343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359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196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205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B0954" w:rsidRPr="001B76A4" w:rsidRDefault="005B0954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1 316</w:t>
            </w:r>
          </w:p>
        </w:tc>
      </w:tr>
      <w:tr w:rsidR="005B0954" w:rsidTr="0037156F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B0954" w:rsidRPr="005A7A28" w:rsidRDefault="005B0954" w:rsidP="0037156F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Upravená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  <w:r w:rsidRPr="005A7A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356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358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375</w:t>
            </w:r>
          </w:p>
        </w:tc>
        <w:tc>
          <w:tcPr>
            <w:tcW w:w="1890" w:type="dxa"/>
            <w:gridSpan w:val="2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B0954" w:rsidRPr="001B76A4" w:rsidRDefault="005B0954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B0954" w:rsidRPr="001B76A4" w:rsidRDefault="005B0954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1 735</w:t>
            </w:r>
          </w:p>
        </w:tc>
      </w:tr>
      <w:tr w:rsidR="005B0954" w:rsidTr="0037156F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B0954" w:rsidRPr="005A7A28" w:rsidRDefault="005B0954" w:rsidP="0037156F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Schválený rozpočet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5B0954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5B0954" w:rsidRPr="001B76A4" w:rsidRDefault="005B0954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5B0954" w:rsidRPr="001B76A4" w:rsidRDefault="00907D79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1 752</w:t>
            </w:r>
          </w:p>
        </w:tc>
      </w:tr>
      <w:tr w:rsidR="005B0954" w:rsidTr="0037156F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B0954" w:rsidRPr="005A7A28" w:rsidRDefault="005B0954" w:rsidP="0037156F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Upravený rozpočet</w:t>
            </w:r>
          </w:p>
        </w:tc>
        <w:tc>
          <w:tcPr>
            <w:tcW w:w="945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B0954" w:rsidRPr="001B76A4" w:rsidRDefault="00907D79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B0954" w:rsidRPr="001B76A4" w:rsidRDefault="00907D79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349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B0954" w:rsidRPr="001B76A4" w:rsidRDefault="00907D79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194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B0954" w:rsidRPr="001B76A4" w:rsidRDefault="00907D79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5B0954" w:rsidRPr="001B76A4" w:rsidRDefault="00907D79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397</w:t>
            </w:r>
          </w:p>
        </w:tc>
        <w:tc>
          <w:tcPr>
            <w:tcW w:w="945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5B0954" w:rsidRPr="001B76A4" w:rsidRDefault="00907D79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5B0954" w:rsidRPr="001B76A4" w:rsidRDefault="00907D79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1 492</w:t>
            </w:r>
          </w:p>
        </w:tc>
      </w:tr>
      <w:tr w:rsidR="005B0954" w:rsidTr="0037156F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0954" w:rsidRPr="005A7A28" w:rsidRDefault="005B0954" w:rsidP="0037156F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Skutečné čerpání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0954" w:rsidRPr="001B76A4" w:rsidRDefault="00907D79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5B0954" w:rsidRPr="001B76A4" w:rsidRDefault="00907D79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5B0954" w:rsidRPr="001B76A4" w:rsidRDefault="00907D79" w:rsidP="005E1417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5B0954" w:rsidRPr="001B76A4" w:rsidRDefault="00907D79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204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5B0954" w:rsidRPr="001B76A4" w:rsidRDefault="00907D79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446</w:t>
            </w:r>
          </w:p>
        </w:tc>
        <w:tc>
          <w:tcPr>
            <w:tcW w:w="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0954" w:rsidRPr="001B76A4" w:rsidRDefault="00907D79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B0954" w:rsidRPr="001B76A4" w:rsidRDefault="00907D79" w:rsidP="0037156F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716</w:t>
            </w:r>
          </w:p>
        </w:tc>
      </w:tr>
    </w:tbl>
    <w:p w:rsidR="005B0954" w:rsidRDefault="005B0954" w:rsidP="005B0954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117C">
        <w:rPr>
          <w:rFonts w:ascii="Arial" w:hAnsi="Arial" w:cs="Arial"/>
          <w:b/>
          <w:sz w:val="18"/>
          <w:szCs w:val="18"/>
        </w:rPr>
        <w:t>Zdroj:</w:t>
      </w:r>
      <w:r>
        <w:rPr>
          <w:rFonts w:ascii="Arial" w:hAnsi="Arial" w:cs="Arial"/>
          <w:sz w:val="18"/>
          <w:szCs w:val="18"/>
        </w:rPr>
        <w:t xml:space="preserve"> </w:t>
      </w:r>
      <w:r w:rsidR="00773BCD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okumentace programu a její aktualizace, schválené rozpočty na roky 2009 až 2014 a</w:t>
      </w:r>
      <w:r w:rsidR="00BA4006">
        <w:rPr>
          <w:rFonts w:ascii="Arial" w:hAnsi="Arial" w:cs="Arial"/>
          <w:sz w:val="18"/>
          <w:szCs w:val="18"/>
        </w:rPr>
        <w:t xml:space="preserve"> státní</w:t>
      </w:r>
      <w:r>
        <w:rPr>
          <w:rFonts w:ascii="Arial" w:hAnsi="Arial" w:cs="Arial"/>
          <w:sz w:val="18"/>
          <w:szCs w:val="18"/>
        </w:rPr>
        <w:t xml:space="preserve"> závěrečné účty let 2009 až 2013.</w:t>
      </w:r>
      <w:r>
        <w:rPr>
          <w:rFonts w:ascii="Arial" w:hAnsi="Arial" w:cs="Arial"/>
          <w:sz w:val="22"/>
          <w:szCs w:val="22"/>
        </w:rPr>
        <w:t xml:space="preserve"> </w:t>
      </w:r>
    </w:p>
    <w:p w:rsidR="00D867C0" w:rsidRDefault="00D867C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6F1473" w:rsidRDefault="00907D79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tabulky č. 4 vyplývá, že </w:t>
      </w:r>
      <w:r w:rsidR="009E06AF">
        <w:rPr>
          <w:rFonts w:ascii="Arial" w:hAnsi="Arial" w:cs="Arial"/>
          <w:b/>
          <w:sz w:val="22"/>
          <w:szCs w:val="22"/>
        </w:rPr>
        <w:t>z </w:t>
      </w:r>
      <w:r w:rsidRPr="006F1473">
        <w:rPr>
          <w:rFonts w:ascii="Arial" w:hAnsi="Arial" w:cs="Arial"/>
          <w:b/>
          <w:sz w:val="22"/>
          <w:szCs w:val="22"/>
        </w:rPr>
        <w:t>upravené finanční potřeby na roky 2009 až 2014 bylo v letech 2009 až 2013 vyčerpáno jen 41 %</w:t>
      </w:r>
      <w:r w:rsidRPr="0037156F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3007F2">
        <w:rPr>
          <w:rFonts w:ascii="Arial" w:hAnsi="Arial" w:cs="Arial"/>
          <w:sz w:val="22"/>
          <w:szCs w:val="22"/>
        </w:rPr>
        <w:t>S</w:t>
      </w:r>
      <w:r w:rsidRPr="00907D79">
        <w:rPr>
          <w:rFonts w:ascii="Arial" w:hAnsi="Arial" w:cs="Arial"/>
          <w:sz w:val="22"/>
          <w:szCs w:val="22"/>
        </w:rPr>
        <w:t>chválené peněžní prostředky byly v letech 2009 až 2013 vyčerpány ze</w:t>
      </w:r>
      <w:r w:rsidR="00773BCD">
        <w:rPr>
          <w:rFonts w:ascii="Arial" w:hAnsi="Arial" w:cs="Arial"/>
          <w:sz w:val="22"/>
          <w:szCs w:val="22"/>
        </w:rPr>
        <w:t xml:space="preserve"> </w:t>
      </w:r>
      <w:r w:rsidRPr="00907D79">
        <w:rPr>
          <w:rFonts w:ascii="Arial" w:hAnsi="Arial" w:cs="Arial"/>
          <w:sz w:val="22"/>
          <w:szCs w:val="22"/>
        </w:rPr>
        <w:t>75 %</w:t>
      </w:r>
      <w:r>
        <w:rPr>
          <w:rFonts w:ascii="Arial" w:hAnsi="Arial" w:cs="Arial"/>
          <w:sz w:val="22"/>
          <w:szCs w:val="22"/>
        </w:rPr>
        <w:t>.</w:t>
      </w:r>
      <w:r w:rsidR="0078518E">
        <w:rPr>
          <w:rFonts w:ascii="Arial" w:hAnsi="Arial" w:cs="Arial"/>
          <w:sz w:val="22"/>
          <w:szCs w:val="22"/>
        </w:rPr>
        <w:t xml:space="preserve"> Ačko</w:t>
      </w:r>
      <w:r w:rsidR="00DC3990">
        <w:rPr>
          <w:rFonts w:ascii="Arial" w:hAnsi="Arial" w:cs="Arial"/>
          <w:sz w:val="22"/>
          <w:szCs w:val="22"/>
        </w:rPr>
        <w:t>liv realizace podprogramu č. 113</w:t>
      </w:r>
      <w:r w:rsidR="007851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8518E">
        <w:rPr>
          <w:rFonts w:ascii="Arial" w:hAnsi="Arial" w:cs="Arial"/>
          <w:sz w:val="22"/>
          <w:szCs w:val="22"/>
        </w:rPr>
        <w:t>34D</w:t>
      </w:r>
      <w:proofErr w:type="spellEnd"/>
      <w:r w:rsidR="0078518E">
        <w:rPr>
          <w:rFonts w:ascii="Arial" w:hAnsi="Arial" w:cs="Arial"/>
          <w:sz w:val="22"/>
          <w:szCs w:val="22"/>
        </w:rPr>
        <w:t xml:space="preserve"> měla probíhat od dubna </w:t>
      </w:r>
      <w:r w:rsidR="0078518E">
        <w:rPr>
          <w:rFonts w:ascii="Arial" w:hAnsi="Arial" w:cs="Arial"/>
          <w:sz w:val="22"/>
          <w:szCs w:val="22"/>
        </w:rPr>
        <w:lastRenderedPageBreak/>
        <w:t>2009, peněžní prostředky začaly být v omeze</w:t>
      </w:r>
      <w:r w:rsidR="00DC3990">
        <w:rPr>
          <w:rFonts w:ascii="Arial" w:hAnsi="Arial" w:cs="Arial"/>
          <w:sz w:val="22"/>
          <w:szCs w:val="22"/>
        </w:rPr>
        <w:t xml:space="preserve">né míře čerpány až v roce 2011. </w:t>
      </w:r>
      <w:r w:rsidR="0078518E">
        <w:rPr>
          <w:rFonts w:ascii="Arial" w:hAnsi="Arial" w:cs="Arial"/>
          <w:sz w:val="22"/>
          <w:szCs w:val="22"/>
        </w:rPr>
        <w:t xml:space="preserve">Podle </w:t>
      </w:r>
      <w:r w:rsidR="006F1473">
        <w:rPr>
          <w:rFonts w:ascii="Arial" w:hAnsi="Arial" w:cs="Arial"/>
          <w:sz w:val="22"/>
          <w:szCs w:val="22"/>
        </w:rPr>
        <w:t>sdělení</w:t>
      </w:r>
      <w:r w:rsidR="00DC3990">
        <w:rPr>
          <w:rFonts w:ascii="Arial" w:hAnsi="Arial" w:cs="Arial"/>
          <w:sz w:val="22"/>
          <w:szCs w:val="22"/>
        </w:rPr>
        <w:t xml:space="preserve"> MPSV</w:t>
      </w:r>
      <w:r w:rsidR="0091058F">
        <w:rPr>
          <w:rFonts w:ascii="Arial" w:hAnsi="Arial" w:cs="Arial"/>
          <w:sz w:val="22"/>
          <w:szCs w:val="22"/>
        </w:rPr>
        <w:t xml:space="preserve"> to bylo</w:t>
      </w:r>
      <w:r w:rsidR="007A50C2">
        <w:rPr>
          <w:rFonts w:ascii="Arial" w:hAnsi="Arial" w:cs="Arial"/>
          <w:sz w:val="22"/>
          <w:szCs w:val="22"/>
        </w:rPr>
        <w:t xml:space="preserve"> </w:t>
      </w:r>
      <w:r w:rsidR="00773BCD">
        <w:rPr>
          <w:rFonts w:ascii="Arial" w:hAnsi="Arial" w:cs="Arial"/>
          <w:sz w:val="22"/>
          <w:szCs w:val="22"/>
        </w:rPr>
        <w:t xml:space="preserve">způsobeno </w:t>
      </w:r>
      <w:r w:rsidR="007A50C2">
        <w:rPr>
          <w:rFonts w:ascii="Arial" w:hAnsi="Arial" w:cs="Arial"/>
          <w:sz w:val="22"/>
          <w:szCs w:val="22"/>
        </w:rPr>
        <w:t>především</w:t>
      </w:r>
      <w:r w:rsidR="002935BE">
        <w:rPr>
          <w:rFonts w:ascii="Arial" w:hAnsi="Arial" w:cs="Arial"/>
          <w:sz w:val="22"/>
          <w:szCs w:val="22"/>
        </w:rPr>
        <w:t>:</w:t>
      </w:r>
      <w:r w:rsidR="0078518E">
        <w:rPr>
          <w:rFonts w:ascii="Arial" w:hAnsi="Arial" w:cs="Arial"/>
          <w:sz w:val="22"/>
          <w:szCs w:val="22"/>
        </w:rPr>
        <w:t xml:space="preserve"> </w:t>
      </w:r>
    </w:p>
    <w:p w:rsidR="006F1473" w:rsidRDefault="00A5097C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78518E">
        <w:rPr>
          <w:rFonts w:ascii="Arial" w:hAnsi="Arial" w:cs="Arial"/>
          <w:sz w:val="22"/>
          <w:szCs w:val="22"/>
        </w:rPr>
        <w:t>p</w:t>
      </w:r>
      <w:r w:rsidR="006F1473">
        <w:rPr>
          <w:rFonts w:ascii="Arial" w:hAnsi="Arial" w:cs="Arial"/>
          <w:sz w:val="22"/>
          <w:szCs w:val="22"/>
        </w:rPr>
        <w:t>ozdní</w:t>
      </w:r>
      <w:r w:rsidR="0091058F">
        <w:rPr>
          <w:rFonts w:ascii="Arial" w:hAnsi="Arial" w:cs="Arial"/>
          <w:sz w:val="22"/>
          <w:szCs w:val="22"/>
        </w:rPr>
        <w:t>m</w:t>
      </w:r>
      <w:r w:rsidR="006F1473">
        <w:rPr>
          <w:rFonts w:ascii="Arial" w:hAnsi="Arial" w:cs="Arial"/>
          <w:sz w:val="22"/>
          <w:szCs w:val="22"/>
        </w:rPr>
        <w:t xml:space="preserve"> zahájení</w:t>
      </w:r>
      <w:r w:rsidR="0091058F">
        <w:rPr>
          <w:rFonts w:ascii="Arial" w:hAnsi="Arial" w:cs="Arial"/>
          <w:sz w:val="22"/>
          <w:szCs w:val="22"/>
        </w:rPr>
        <w:t>m</w:t>
      </w:r>
      <w:r w:rsidR="006F1473">
        <w:rPr>
          <w:rFonts w:ascii="Arial" w:hAnsi="Arial" w:cs="Arial"/>
          <w:sz w:val="22"/>
          <w:szCs w:val="22"/>
        </w:rPr>
        <w:t xml:space="preserve"> realizace</w:t>
      </w:r>
      <w:r w:rsidR="0078518E">
        <w:rPr>
          <w:rFonts w:ascii="Arial" w:hAnsi="Arial" w:cs="Arial"/>
          <w:sz w:val="22"/>
          <w:szCs w:val="22"/>
        </w:rPr>
        <w:t xml:space="preserve"> programu č. 113 340</w:t>
      </w:r>
      <w:r w:rsidR="006F1473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z </w:t>
      </w:r>
      <w:r w:rsidR="0091058F">
        <w:rPr>
          <w:rFonts w:ascii="Arial" w:hAnsi="Arial" w:cs="Arial"/>
          <w:sz w:val="22"/>
          <w:szCs w:val="22"/>
        </w:rPr>
        <w:t>důvod</w:t>
      </w:r>
      <w:r w:rsidR="00773BCD">
        <w:rPr>
          <w:rFonts w:ascii="Arial" w:hAnsi="Arial" w:cs="Arial"/>
          <w:sz w:val="22"/>
          <w:szCs w:val="22"/>
        </w:rPr>
        <w:t>u</w:t>
      </w:r>
      <w:r w:rsidR="0091058F">
        <w:rPr>
          <w:rFonts w:ascii="Arial" w:hAnsi="Arial" w:cs="Arial"/>
          <w:sz w:val="22"/>
          <w:szCs w:val="22"/>
        </w:rPr>
        <w:t xml:space="preserve"> administrativních problémů</w:t>
      </w:r>
      <w:r w:rsidR="006F1473">
        <w:rPr>
          <w:rFonts w:ascii="Arial" w:hAnsi="Arial" w:cs="Arial"/>
          <w:sz w:val="22"/>
          <w:szCs w:val="22"/>
        </w:rPr>
        <w:t xml:space="preserve"> (zapojení dvou zprostředkujících subjektů a metodické problémy na straně </w:t>
      </w:r>
      <w:r w:rsidR="0078518E">
        <w:rPr>
          <w:rFonts w:ascii="Arial" w:hAnsi="Arial" w:cs="Arial"/>
          <w:sz w:val="22"/>
          <w:szCs w:val="22"/>
        </w:rPr>
        <w:t>říd</w:t>
      </w:r>
      <w:r w:rsidR="00773BCD">
        <w:rPr>
          <w:rFonts w:ascii="Arial" w:hAnsi="Arial" w:cs="Arial"/>
          <w:sz w:val="22"/>
          <w:szCs w:val="22"/>
        </w:rPr>
        <w:t>i</w:t>
      </w:r>
      <w:r w:rsidR="0078518E">
        <w:rPr>
          <w:rFonts w:ascii="Arial" w:hAnsi="Arial" w:cs="Arial"/>
          <w:sz w:val="22"/>
          <w:szCs w:val="22"/>
        </w:rPr>
        <w:t xml:space="preserve">cího orgánu </w:t>
      </w:r>
      <w:proofErr w:type="spellStart"/>
      <w:r w:rsidR="0078518E">
        <w:rPr>
          <w:rFonts w:ascii="Arial" w:hAnsi="Arial" w:cs="Arial"/>
          <w:sz w:val="22"/>
          <w:szCs w:val="22"/>
        </w:rPr>
        <w:t>IOP</w:t>
      </w:r>
      <w:proofErr w:type="spellEnd"/>
      <w:r w:rsidR="0078518E">
        <w:rPr>
          <w:rFonts w:ascii="Arial" w:hAnsi="Arial" w:cs="Arial"/>
          <w:sz w:val="22"/>
          <w:szCs w:val="22"/>
        </w:rPr>
        <w:t>),</w:t>
      </w:r>
    </w:p>
    <w:p w:rsidR="00A5097C" w:rsidRDefault="0078518E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2935BE">
        <w:rPr>
          <w:rFonts w:ascii="Arial" w:hAnsi="Arial" w:cs="Arial"/>
          <w:sz w:val="22"/>
          <w:szCs w:val="22"/>
        </w:rPr>
        <w:t>podcenění</w:t>
      </w:r>
      <w:r w:rsidR="0091058F">
        <w:rPr>
          <w:rFonts w:ascii="Arial" w:hAnsi="Arial" w:cs="Arial"/>
          <w:sz w:val="22"/>
          <w:szCs w:val="22"/>
        </w:rPr>
        <w:t>m</w:t>
      </w:r>
      <w:r w:rsidR="002935BE">
        <w:rPr>
          <w:rFonts w:ascii="Arial" w:hAnsi="Arial" w:cs="Arial"/>
          <w:sz w:val="22"/>
          <w:szCs w:val="22"/>
        </w:rPr>
        <w:t xml:space="preserve"> časové náročnosti projektů a jejich přípravy</w:t>
      </w:r>
      <w:r>
        <w:rPr>
          <w:rFonts w:ascii="Arial" w:hAnsi="Arial" w:cs="Arial"/>
          <w:sz w:val="22"/>
          <w:szCs w:val="22"/>
        </w:rPr>
        <w:t>,</w:t>
      </w:r>
    </w:p>
    <w:p w:rsidR="00A5097C" w:rsidRDefault="0078518E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A5097C">
        <w:rPr>
          <w:rFonts w:ascii="Arial" w:hAnsi="Arial" w:cs="Arial"/>
          <w:sz w:val="22"/>
          <w:szCs w:val="22"/>
        </w:rPr>
        <w:t>přijetí</w:t>
      </w:r>
      <w:r w:rsidR="007A50C2">
        <w:rPr>
          <w:rFonts w:ascii="Arial" w:hAnsi="Arial" w:cs="Arial"/>
          <w:sz w:val="22"/>
          <w:szCs w:val="22"/>
        </w:rPr>
        <w:t>m</w:t>
      </w:r>
      <w:r w:rsidR="00A5097C">
        <w:rPr>
          <w:rFonts w:ascii="Arial" w:hAnsi="Arial" w:cs="Arial"/>
          <w:sz w:val="22"/>
          <w:szCs w:val="22"/>
        </w:rPr>
        <w:t xml:space="preserve"> zákona č. 73/2011 Sb., na jehož základě se změnila organizační struktura úřadů práce</w:t>
      </w:r>
      <w:r>
        <w:rPr>
          <w:rFonts w:ascii="Arial" w:hAnsi="Arial" w:cs="Arial"/>
          <w:sz w:val="22"/>
          <w:szCs w:val="22"/>
        </w:rPr>
        <w:t xml:space="preserve"> a došlo ke změně kompetencí při realizaci projektů</w:t>
      </w:r>
      <w:r w:rsidR="00A5097C">
        <w:rPr>
          <w:rFonts w:ascii="Arial" w:hAnsi="Arial" w:cs="Arial"/>
          <w:sz w:val="22"/>
          <w:szCs w:val="22"/>
        </w:rPr>
        <w:t>.</w:t>
      </w:r>
    </w:p>
    <w:p w:rsidR="00474BCE" w:rsidRDefault="00474BCE" w:rsidP="00E862A9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E862A9" w:rsidRDefault="00E862A9" w:rsidP="00E862A9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4.2 Cíle</w:t>
      </w:r>
      <w:r w:rsidR="00D33442">
        <w:rPr>
          <w:rFonts w:ascii="Arial" w:hAnsi="Arial" w:cs="Arial"/>
          <w:b/>
          <w:sz w:val="22"/>
          <w:szCs w:val="22"/>
        </w:rPr>
        <w:t xml:space="preserve"> (aktivity)</w:t>
      </w:r>
      <w:r>
        <w:rPr>
          <w:rFonts w:ascii="Arial" w:hAnsi="Arial" w:cs="Arial"/>
          <w:b/>
          <w:sz w:val="22"/>
          <w:szCs w:val="22"/>
        </w:rPr>
        <w:t xml:space="preserve">, indikátory a parametry </w:t>
      </w:r>
    </w:p>
    <w:p w:rsidR="006F1473" w:rsidRDefault="006F1473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C3990" w:rsidRDefault="00DC4DCF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Kontrola byla zaměřena na dvě ze tří aktivit podprogramu č. 113 </w:t>
      </w:r>
      <w:proofErr w:type="spellStart"/>
      <w:r>
        <w:rPr>
          <w:rFonts w:ascii="Arial" w:hAnsi="Arial" w:cs="Arial"/>
          <w:sz w:val="22"/>
          <w:szCs w:val="22"/>
        </w:rPr>
        <w:t>34D</w:t>
      </w:r>
      <w:proofErr w:type="spellEnd"/>
      <w:r>
        <w:rPr>
          <w:rFonts w:ascii="Arial" w:hAnsi="Arial" w:cs="Arial"/>
          <w:sz w:val="22"/>
          <w:szCs w:val="22"/>
        </w:rPr>
        <w:t xml:space="preserve">, u kterých byl příjemcem peněžních prostředků ÚP ČR. Tyto aktivity se týkaly investiční podpory transformace a posilování služeb zaměstnanosti a vybudování dalších školicích středisek služeb zaměstnanosti. </w:t>
      </w:r>
      <w:r w:rsidR="00D33442">
        <w:rPr>
          <w:rFonts w:ascii="Arial" w:hAnsi="Arial" w:cs="Arial"/>
          <w:sz w:val="22"/>
          <w:szCs w:val="22"/>
        </w:rPr>
        <w:t>Pro každou z</w:t>
      </w:r>
      <w:r>
        <w:rPr>
          <w:rFonts w:ascii="Arial" w:hAnsi="Arial" w:cs="Arial"/>
          <w:sz w:val="22"/>
          <w:szCs w:val="22"/>
        </w:rPr>
        <w:t xml:space="preserve"> nich </w:t>
      </w:r>
      <w:r w:rsidR="00AA0B43">
        <w:rPr>
          <w:rFonts w:ascii="Arial" w:hAnsi="Arial" w:cs="Arial"/>
          <w:sz w:val="22"/>
          <w:szCs w:val="22"/>
        </w:rPr>
        <w:t>byl stanoven jeden indikátor výsledku a jeden indikátor výstupu. Například</w:t>
      </w:r>
      <w:r w:rsidR="00DC3990">
        <w:rPr>
          <w:rFonts w:ascii="Arial" w:hAnsi="Arial" w:cs="Arial"/>
          <w:sz w:val="22"/>
          <w:szCs w:val="22"/>
        </w:rPr>
        <w:t xml:space="preserve"> </w:t>
      </w:r>
      <w:r w:rsidR="00DC3990" w:rsidRPr="00DC3990">
        <w:rPr>
          <w:rFonts w:ascii="Arial" w:hAnsi="Arial" w:cs="Arial"/>
          <w:sz w:val="22"/>
          <w:szCs w:val="22"/>
        </w:rPr>
        <w:t>podle indikátorů výstupu mělo být podpořeno 12 institucí</w:t>
      </w:r>
      <w:r w:rsidR="00DC3990">
        <w:rPr>
          <w:rFonts w:ascii="Arial" w:hAnsi="Arial" w:cs="Arial"/>
          <w:sz w:val="22"/>
          <w:szCs w:val="22"/>
        </w:rPr>
        <w:t xml:space="preserve"> </w:t>
      </w:r>
      <w:r w:rsidR="00DC3990" w:rsidRPr="00DC3990">
        <w:rPr>
          <w:rFonts w:ascii="Arial" w:hAnsi="Arial" w:cs="Arial"/>
          <w:sz w:val="22"/>
          <w:szCs w:val="22"/>
        </w:rPr>
        <w:t>a tři školicí střediska služeb zaměstnanosti.</w:t>
      </w:r>
    </w:p>
    <w:p w:rsidR="00DC3990" w:rsidRDefault="00DC3990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54C90" w:rsidRDefault="00254C90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254C90">
        <w:rPr>
          <w:rFonts w:ascii="Arial" w:hAnsi="Arial" w:cs="Arial"/>
          <w:sz w:val="22"/>
          <w:szCs w:val="22"/>
        </w:rPr>
        <w:t xml:space="preserve">Vypracování návrhu projektů vhodných </w:t>
      </w:r>
      <w:r w:rsidR="009E06AF">
        <w:rPr>
          <w:rFonts w:ascii="Arial" w:hAnsi="Arial" w:cs="Arial"/>
          <w:sz w:val="22"/>
          <w:szCs w:val="22"/>
        </w:rPr>
        <w:t>k </w:t>
      </w:r>
      <w:r w:rsidRPr="00254C90">
        <w:rPr>
          <w:rFonts w:ascii="Arial" w:hAnsi="Arial" w:cs="Arial"/>
          <w:sz w:val="22"/>
          <w:szCs w:val="22"/>
        </w:rPr>
        <w:t xml:space="preserve">realizaci zadalo MPSV obchodní společnosti (celková úhrada za poradenství </w:t>
      </w:r>
      <w:r w:rsidR="009E06AF">
        <w:rPr>
          <w:rFonts w:ascii="Arial" w:hAnsi="Arial" w:cs="Arial"/>
          <w:sz w:val="22"/>
          <w:szCs w:val="22"/>
        </w:rPr>
        <w:t>v </w:t>
      </w:r>
      <w:r w:rsidRPr="00254C90">
        <w:rPr>
          <w:rFonts w:ascii="Arial" w:hAnsi="Arial" w:cs="Arial"/>
          <w:sz w:val="22"/>
          <w:szCs w:val="22"/>
        </w:rPr>
        <w:t xml:space="preserve">rámci </w:t>
      </w:r>
      <w:proofErr w:type="spellStart"/>
      <w:r w:rsidRPr="00254C90">
        <w:rPr>
          <w:rFonts w:ascii="Arial" w:hAnsi="Arial" w:cs="Arial"/>
          <w:sz w:val="22"/>
          <w:szCs w:val="22"/>
        </w:rPr>
        <w:t>IOP</w:t>
      </w:r>
      <w:proofErr w:type="spellEnd"/>
      <w:r w:rsidRPr="00254C90">
        <w:rPr>
          <w:rFonts w:ascii="Arial" w:hAnsi="Arial" w:cs="Arial"/>
          <w:sz w:val="22"/>
          <w:szCs w:val="22"/>
        </w:rPr>
        <w:t xml:space="preserve"> činila 1,1 mil. Kč). Ta realizovala </w:t>
      </w:r>
      <w:r w:rsidR="009E06AF">
        <w:rPr>
          <w:rFonts w:ascii="Arial" w:hAnsi="Arial" w:cs="Arial"/>
          <w:sz w:val="22"/>
          <w:szCs w:val="22"/>
        </w:rPr>
        <w:t>v </w:t>
      </w:r>
      <w:r w:rsidRPr="00254C90">
        <w:rPr>
          <w:rFonts w:ascii="Arial" w:hAnsi="Arial" w:cs="Arial"/>
          <w:sz w:val="22"/>
          <w:szCs w:val="22"/>
        </w:rPr>
        <w:t xml:space="preserve">období od listopadu 2009 do září 2013 čtyři výběry, </w:t>
      </w:r>
      <w:r w:rsidR="009E06AF">
        <w:rPr>
          <w:rFonts w:ascii="Arial" w:hAnsi="Arial" w:cs="Arial"/>
          <w:sz w:val="22"/>
          <w:szCs w:val="22"/>
        </w:rPr>
        <w:t>v </w:t>
      </w:r>
      <w:r w:rsidRPr="00254C90">
        <w:rPr>
          <w:rFonts w:ascii="Arial" w:hAnsi="Arial" w:cs="Arial"/>
          <w:sz w:val="22"/>
          <w:szCs w:val="22"/>
        </w:rPr>
        <w:t xml:space="preserve">rámci nichž měnila </w:t>
      </w:r>
      <w:r>
        <w:rPr>
          <w:rFonts w:ascii="Arial" w:hAnsi="Arial" w:cs="Arial"/>
          <w:sz w:val="22"/>
          <w:szCs w:val="22"/>
        </w:rPr>
        <w:t>po</w:t>
      </w:r>
      <w:r w:rsidRPr="00254C90">
        <w:rPr>
          <w:rFonts w:ascii="Arial" w:hAnsi="Arial" w:cs="Arial"/>
          <w:sz w:val="22"/>
          <w:szCs w:val="22"/>
        </w:rPr>
        <w:t xml:space="preserve">dle požadavků MPSV výběrová kritéria a vzorek projektů, </w:t>
      </w:r>
      <w:r w:rsidR="009E06AF">
        <w:rPr>
          <w:rFonts w:ascii="Arial" w:hAnsi="Arial" w:cs="Arial"/>
          <w:sz w:val="22"/>
          <w:szCs w:val="22"/>
        </w:rPr>
        <w:t>z </w:t>
      </w:r>
      <w:r w:rsidRPr="00254C90">
        <w:rPr>
          <w:rFonts w:ascii="Arial" w:hAnsi="Arial" w:cs="Arial"/>
          <w:sz w:val="22"/>
          <w:szCs w:val="22"/>
        </w:rPr>
        <w:t>nichž byl výběr prováděn. Celkem společnost navrhla 52</w:t>
      </w:r>
      <w:r w:rsidR="00C41352">
        <w:rPr>
          <w:rFonts w:ascii="Arial" w:hAnsi="Arial" w:cs="Arial"/>
          <w:sz w:val="22"/>
          <w:szCs w:val="22"/>
        </w:rPr>
        <w:t> </w:t>
      </w:r>
      <w:r w:rsidRPr="00254C90">
        <w:rPr>
          <w:rFonts w:ascii="Arial" w:hAnsi="Arial" w:cs="Arial"/>
          <w:sz w:val="22"/>
          <w:szCs w:val="22"/>
        </w:rPr>
        <w:t xml:space="preserve">projektů (šest </w:t>
      </w:r>
      <w:r w:rsidR="009E06AF">
        <w:rPr>
          <w:rFonts w:ascii="Arial" w:hAnsi="Arial" w:cs="Arial"/>
          <w:sz w:val="22"/>
          <w:szCs w:val="22"/>
        </w:rPr>
        <w:t>z </w:t>
      </w:r>
      <w:r w:rsidRPr="00254C90">
        <w:rPr>
          <w:rFonts w:ascii="Arial" w:hAnsi="Arial" w:cs="Arial"/>
          <w:sz w:val="22"/>
          <w:szCs w:val="22"/>
        </w:rPr>
        <w:t xml:space="preserve">nich opakovaně), </w:t>
      </w:r>
      <w:r w:rsidR="009E06AF">
        <w:rPr>
          <w:rFonts w:ascii="Arial" w:hAnsi="Arial" w:cs="Arial"/>
          <w:sz w:val="22"/>
          <w:szCs w:val="22"/>
        </w:rPr>
        <w:t>z </w:t>
      </w:r>
      <w:r w:rsidRPr="00254C90">
        <w:rPr>
          <w:rFonts w:ascii="Arial" w:hAnsi="Arial" w:cs="Arial"/>
          <w:sz w:val="22"/>
          <w:szCs w:val="22"/>
        </w:rPr>
        <w:t xml:space="preserve">nichž </w:t>
      </w:r>
      <w:r w:rsidR="007A50C2" w:rsidRPr="00254C90">
        <w:rPr>
          <w:rFonts w:ascii="Arial" w:hAnsi="Arial" w:cs="Arial"/>
          <w:sz w:val="22"/>
          <w:szCs w:val="22"/>
        </w:rPr>
        <w:t xml:space="preserve">MPSV </w:t>
      </w:r>
      <w:r w:rsidR="009E06AF">
        <w:rPr>
          <w:rFonts w:ascii="Arial" w:hAnsi="Arial" w:cs="Arial"/>
          <w:sz w:val="22"/>
          <w:szCs w:val="22"/>
        </w:rPr>
        <w:t>k </w:t>
      </w:r>
      <w:r w:rsidRPr="00254C90">
        <w:rPr>
          <w:rFonts w:ascii="Arial" w:hAnsi="Arial" w:cs="Arial"/>
          <w:sz w:val="22"/>
          <w:szCs w:val="22"/>
        </w:rPr>
        <w:t xml:space="preserve">realizaci schválilo 14 projektů. </w:t>
      </w:r>
      <w:r w:rsidRPr="00254C90">
        <w:rPr>
          <w:rFonts w:ascii="Arial" w:hAnsi="Arial" w:cs="Arial"/>
          <w:b/>
          <w:sz w:val="22"/>
          <w:szCs w:val="22"/>
        </w:rPr>
        <w:t xml:space="preserve">Výběr projektů </w:t>
      </w:r>
      <w:r w:rsidR="009E06AF">
        <w:rPr>
          <w:rFonts w:ascii="Arial" w:hAnsi="Arial" w:cs="Arial"/>
          <w:b/>
          <w:sz w:val="22"/>
          <w:szCs w:val="22"/>
        </w:rPr>
        <w:t>k </w:t>
      </w:r>
      <w:r w:rsidRPr="00254C90">
        <w:rPr>
          <w:rFonts w:ascii="Arial" w:hAnsi="Arial" w:cs="Arial"/>
          <w:b/>
          <w:sz w:val="22"/>
          <w:szCs w:val="22"/>
        </w:rPr>
        <w:t xml:space="preserve">zařazení do podprogramu č. 113 </w:t>
      </w:r>
      <w:proofErr w:type="spellStart"/>
      <w:r w:rsidRPr="00254C90">
        <w:rPr>
          <w:rFonts w:ascii="Arial" w:hAnsi="Arial" w:cs="Arial"/>
          <w:b/>
          <w:sz w:val="22"/>
          <w:szCs w:val="22"/>
        </w:rPr>
        <w:t>34D</w:t>
      </w:r>
      <w:proofErr w:type="spellEnd"/>
      <w:r w:rsidR="007A50C2">
        <w:rPr>
          <w:rFonts w:ascii="Arial" w:hAnsi="Arial" w:cs="Arial"/>
          <w:b/>
          <w:sz w:val="22"/>
          <w:szCs w:val="22"/>
        </w:rPr>
        <w:t xml:space="preserve"> tak byl poměrně komplikovaný a </w:t>
      </w:r>
      <w:r w:rsidRPr="00254C90">
        <w:rPr>
          <w:rFonts w:ascii="Arial" w:hAnsi="Arial" w:cs="Arial"/>
          <w:b/>
          <w:sz w:val="22"/>
          <w:szCs w:val="22"/>
        </w:rPr>
        <w:t>málo transparentní</w:t>
      </w:r>
      <w:r w:rsidRPr="0037156F">
        <w:rPr>
          <w:rFonts w:ascii="Arial" w:hAnsi="Arial" w:cs="Arial"/>
          <w:b/>
          <w:sz w:val="22"/>
          <w:szCs w:val="22"/>
        </w:rPr>
        <w:t>.</w:t>
      </w:r>
      <w:r w:rsidR="007A50C2">
        <w:rPr>
          <w:rFonts w:ascii="Arial" w:hAnsi="Arial" w:cs="Arial"/>
          <w:sz w:val="22"/>
          <w:szCs w:val="22"/>
        </w:rPr>
        <w:t xml:space="preserve"> </w:t>
      </w:r>
    </w:p>
    <w:p w:rsidR="005005F0" w:rsidRDefault="005005F0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45171B" w:rsidRDefault="005005F0" w:rsidP="005005F0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Například</w:t>
      </w:r>
      <w:r w:rsidR="00804FD8">
        <w:rPr>
          <w:rFonts w:ascii="Arial" w:hAnsi="Arial" w:cs="Arial"/>
          <w:sz w:val="22"/>
          <w:szCs w:val="22"/>
        </w:rPr>
        <w:t xml:space="preserve"> změna nastavení kritérií pro třetí výběr, který proběhl 11. 7. 2013, umožnila vybrat k realizaci pracoviště ÚP</w:t>
      </w:r>
      <w:r w:rsidR="00F87870">
        <w:rPr>
          <w:rFonts w:ascii="Arial" w:hAnsi="Arial" w:cs="Arial"/>
          <w:sz w:val="22"/>
          <w:szCs w:val="22"/>
        </w:rPr>
        <w:t> </w:t>
      </w:r>
      <w:r w:rsidR="00804FD8">
        <w:rPr>
          <w:rFonts w:ascii="Arial" w:hAnsi="Arial" w:cs="Arial"/>
          <w:sz w:val="22"/>
          <w:szCs w:val="22"/>
        </w:rPr>
        <w:t>ČR Praha</w:t>
      </w:r>
      <w:r w:rsidR="00D9221A">
        <w:rPr>
          <w:rFonts w:ascii="Arial" w:hAnsi="Arial" w:cs="Arial"/>
          <w:sz w:val="22"/>
          <w:szCs w:val="22"/>
        </w:rPr>
        <w:t>-východ a</w:t>
      </w:r>
      <w:r w:rsidR="007330FE">
        <w:rPr>
          <w:rFonts w:ascii="Arial" w:hAnsi="Arial" w:cs="Arial"/>
          <w:sz w:val="22"/>
          <w:szCs w:val="22"/>
        </w:rPr>
        <w:t xml:space="preserve"> ÚP</w:t>
      </w:r>
      <w:r w:rsidR="00F87870">
        <w:rPr>
          <w:rFonts w:ascii="Arial" w:hAnsi="Arial" w:cs="Arial"/>
          <w:sz w:val="22"/>
          <w:szCs w:val="22"/>
        </w:rPr>
        <w:t> </w:t>
      </w:r>
      <w:r w:rsidR="007330FE">
        <w:rPr>
          <w:rFonts w:ascii="Arial" w:hAnsi="Arial" w:cs="Arial"/>
          <w:sz w:val="22"/>
          <w:szCs w:val="22"/>
        </w:rPr>
        <w:t>ČR</w:t>
      </w:r>
      <w:r w:rsidR="00D9221A">
        <w:rPr>
          <w:rFonts w:ascii="Arial" w:hAnsi="Arial" w:cs="Arial"/>
          <w:sz w:val="22"/>
          <w:szCs w:val="22"/>
        </w:rPr>
        <w:t xml:space="preserve"> Praha-západ, jejichž umístění bylo plánováno do nově pořizované budovy pro </w:t>
      </w:r>
      <w:proofErr w:type="spellStart"/>
      <w:r w:rsidR="00D9221A">
        <w:rPr>
          <w:rFonts w:ascii="Arial" w:hAnsi="Arial" w:cs="Arial"/>
          <w:sz w:val="22"/>
          <w:szCs w:val="22"/>
        </w:rPr>
        <w:t>GŘ</w:t>
      </w:r>
      <w:proofErr w:type="spellEnd"/>
      <w:r w:rsidR="00F87870">
        <w:rPr>
          <w:rFonts w:ascii="Arial" w:hAnsi="Arial" w:cs="Arial"/>
          <w:sz w:val="22"/>
          <w:szCs w:val="22"/>
        </w:rPr>
        <w:t> </w:t>
      </w:r>
      <w:r w:rsidR="00D9221A">
        <w:rPr>
          <w:rFonts w:ascii="Arial" w:hAnsi="Arial" w:cs="Arial"/>
          <w:sz w:val="22"/>
          <w:szCs w:val="22"/>
        </w:rPr>
        <w:t>ÚP</w:t>
      </w:r>
      <w:r w:rsidR="00F87870">
        <w:rPr>
          <w:rFonts w:ascii="Arial" w:hAnsi="Arial" w:cs="Arial"/>
          <w:sz w:val="22"/>
          <w:szCs w:val="22"/>
        </w:rPr>
        <w:t> </w:t>
      </w:r>
      <w:r w:rsidR="00D9221A">
        <w:rPr>
          <w:rFonts w:ascii="Arial" w:hAnsi="Arial" w:cs="Arial"/>
          <w:sz w:val="22"/>
          <w:szCs w:val="22"/>
        </w:rPr>
        <w:t>ČR</w:t>
      </w:r>
      <w:r w:rsidR="002935BE">
        <w:rPr>
          <w:rFonts w:ascii="Arial" w:hAnsi="Arial" w:cs="Arial"/>
          <w:sz w:val="22"/>
          <w:szCs w:val="22"/>
        </w:rPr>
        <w:t xml:space="preserve"> v Praze 7</w:t>
      </w:r>
      <w:r w:rsidR="00D9221A">
        <w:rPr>
          <w:rFonts w:ascii="Arial" w:hAnsi="Arial" w:cs="Arial"/>
          <w:sz w:val="22"/>
          <w:szCs w:val="22"/>
        </w:rPr>
        <w:t>.</w:t>
      </w:r>
      <w:r w:rsidR="00AF5E19">
        <w:rPr>
          <w:rFonts w:ascii="Arial" w:hAnsi="Arial" w:cs="Arial"/>
          <w:sz w:val="22"/>
          <w:szCs w:val="22"/>
        </w:rPr>
        <w:t xml:space="preserve"> </w:t>
      </w:r>
      <w:r w:rsidR="005C0D4D">
        <w:rPr>
          <w:rFonts w:ascii="Arial" w:hAnsi="Arial" w:cs="Arial"/>
          <w:sz w:val="22"/>
          <w:szCs w:val="22"/>
        </w:rPr>
        <w:t>V této budově mělo sídlit také call centrum ÚP</w:t>
      </w:r>
      <w:r w:rsidR="00F87870">
        <w:rPr>
          <w:rFonts w:ascii="Arial" w:hAnsi="Arial" w:cs="Arial"/>
          <w:sz w:val="22"/>
          <w:szCs w:val="22"/>
        </w:rPr>
        <w:t> </w:t>
      </w:r>
      <w:r w:rsidR="005C0D4D">
        <w:rPr>
          <w:rFonts w:ascii="Arial" w:hAnsi="Arial" w:cs="Arial"/>
          <w:sz w:val="22"/>
          <w:szCs w:val="22"/>
        </w:rPr>
        <w:t>ČR a mělo být vytvořeno</w:t>
      </w:r>
      <w:r w:rsidR="002935BE">
        <w:rPr>
          <w:rFonts w:ascii="Arial" w:hAnsi="Arial" w:cs="Arial"/>
          <w:sz w:val="22"/>
          <w:szCs w:val="22"/>
        </w:rPr>
        <w:t xml:space="preserve"> nové</w:t>
      </w:r>
      <w:r w:rsidR="005C0D4D">
        <w:rPr>
          <w:rFonts w:ascii="Arial" w:hAnsi="Arial" w:cs="Arial"/>
          <w:sz w:val="22"/>
          <w:szCs w:val="22"/>
        </w:rPr>
        <w:t xml:space="preserve"> centrální školicí středisko.</w:t>
      </w:r>
      <w:r w:rsidR="002D4369">
        <w:rPr>
          <w:rFonts w:ascii="Arial" w:hAnsi="Arial" w:cs="Arial"/>
          <w:sz w:val="22"/>
          <w:szCs w:val="22"/>
        </w:rPr>
        <w:t xml:space="preserve"> </w:t>
      </w:r>
      <w:r w:rsidR="00D9221A">
        <w:rPr>
          <w:rFonts w:ascii="Arial" w:hAnsi="Arial" w:cs="Arial"/>
          <w:sz w:val="22"/>
          <w:szCs w:val="22"/>
        </w:rPr>
        <w:t xml:space="preserve">Nákup administrativní budovy pro </w:t>
      </w:r>
      <w:proofErr w:type="spellStart"/>
      <w:r w:rsidR="00D9221A">
        <w:rPr>
          <w:rFonts w:ascii="Arial" w:hAnsi="Arial" w:cs="Arial"/>
          <w:sz w:val="22"/>
          <w:szCs w:val="22"/>
        </w:rPr>
        <w:t>GŘ</w:t>
      </w:r>
      <w:proofErr w:type="spellEnd"/>
      <w:r w:rsidR="00F87870">
        <w:rPr>
          <w:rFonts w:ascii="Arial" w:hAnsi="Arial" w:cs="Arial"/>
          <w:sz w:val="22"/>
          <w:szCs w:val="22"/>
        </w:rPr>
        <w:t> </w:t>
      </w:r>
      <w:r w:rsidR="00D9221A">
        <w:rPr>
          <w:rFonts w:ascii="Arial" w:hAnsi="Arial" w:cs="Arial"/>
          <w:sz w:val="22"/>
          <w:szCs w:val="22"/>
        </w:rPr>
        <w:t>ÚP</w:t>
      </w:r>
      <w:r w:rsidR="00F87870">
        <w:rPr>
          <w:rFonts w:ascii="Arial" w:hAnsi="Arial" w:cs="Arial"/>
          <w:sz w:val="22"/>
          <w:szCs w:val="22"/>
        </w:rPr>
        <w:t> </w:t>
      </w:r>
      <w:r w:rsidR="00AF5E19">
        <w:rPr>
          <w:rFonts w:ascii="Arial" w:hAnsi="Arial" w:cs="Arial"/>
          <w:sz w:val="22"/>
          <w:szCs w:val="22"/>
        </w:rPr>
        <w:t>ČR</w:t>
      </w:r>
      <w:r w:rsidR="00D9221A">
        <w:rPr>
          <w:rFonts w:ascii="Arial" w:hAnsi="Arial" w:cs="Arial"/>
          <w:sz w:val="22"/>
          <w:szCs w:val="22"/>
        </w:rPr>
        <w:t xml:space="preserve"> nebyl součástí</w:t>
      </w:r>
      <w:r w:rsidR="008A6E9F">
        <w:rPr>
          <w:rFonts w:ascii="Arial" w:hAnsi="Arial" w:cs="Arial"/>
          <w:sz w:val="22"/>
          <w:szCs w:val="22"/>
        </w:rPr>
        <w:t xml:space="preserve"> uvedeného</w:t>
      </w:r>
      <w:r w:rsidR="00D9221A">
        <w:rPr>
          <w:rFonts w:ascii="Arial" w:hAnsi="Arial" w:cs="Arial"/>
          <w:sz w:val="22"/>
          <w:szCs w:val="22"/>
        </w:rPr>
        <w:t xml:space="preserve"> návrhu 52 </w:t>
      </w:r>
      <w:r w:rsidR="008A6E9F">
        <w:rPr>
          <w:rFonts w:ascii="Arial" w:hAnsi="Arial" w:cs="Arial"/>
          <w:sz w:val="22"/>
          <w:szCs w:val="22"/>
        </w:rPr>
        <w:t>projektů</w:t>
      </w:r>
      <w:r w:rsidR="00786B68">
        <w:rPr>
          <w:rFonts w:ascii="Arial" w:hAnsi="Arial" w:cs="Arial"/>
          <w:sz w:val="22"/>
          <w:szCs w:val="22"/>
        </w:rPr>
        <w:t xml:space="preserve"> ani s ním nebylo poč</w:t>
      </w:r>
      <w:r w:rsidR="00884302">
        <w:rPr>
          <w:rFonts w:ascii="Arial" w:hAnsi="Arial" w:cs="Arial"/>
          <w:sz w:val="22"/>
          <w:szCs w:val="22"/>
        </w:rPr>
        <w:t>ítáno v dokumentaci programu č. </w:t>
      </w:r>
      <w:r w:rsidR="00786B68">
        <w:rPr>
          <w:rFonts w:ascii="Arial" w:hAnsi="Arial" w:cs="Arial"/>
          <w:sz w:val="22"/>
          <w:szCs w:val="22"/>
        </w:rPr>
        <w:t>113 340.</w:t>
      </w:r>
      <w:r w:rsidR="00E67FC2">
        <w:rPr>
          <w:rFonts w:ascii="Arial" w:hAnsi="Arial" w:cs="Arial"/>
          <w:sz w:val="22"/>
          <w:szCs w:val="22"/>
        </w:rPr>
        <w:t xml:space="preserve"> Zařazení tohoto projektu do podprogramu zdůvodnilo </w:t>
      </w:r>
      <w:r w:rsidR="00A65259">
        <w:rPr>
          <w:rFonts w:ascii="Arial" w:hAnsi="Arial" w:cs="Arial"/>
          <w:sz w:val="22"/>
          <w:szCs w:val="22"/>
        </w:rPr>
        <w:t xml:space="preserve">MPSV </w:t>
      </w:r>
      <w:r w:rsidR="00E67FC2">
        <w:rPr>
          <w:rFonts w:ascii="Arial" w:hAnsi="Arial" w:cs="Arial"/>
          <w:sz w:val="22"/>
          <w:szCs w:val="22"/>
        </w:rPr>
        <w:t>mj. náhradou za projekty, jejichž realizace by byla z časových důvodů a stavu přípravy neuskutečnitelná.</w:t>
      </w:r>
      <w:r w:rsidR="00AF5E19">
        <w:rPr>
          <w:rFonts w:ascii="Arial" w:hAnsi="Arial" w:cs="Arial"/>
          <w:sz w:val="22"/>
          <w:szCs w:val="22"/>
        </w:rPr>
        <w:t xml:space="preserve"> </w:t>
      </w:r>
      <w:r w:rsidR="00D9221A">
        <w:rPr>
          <w:rFonts w:ascii="Arial" w:hAnsi="Arial" w:cs="Arial"/>
          <w:sz w:val="22"/>
          <w:szCs w:val="22"/>
        </w:rPr>
        <w:t>Projekt nákupu budovy schválilo vedení MPSV</w:t>
      </w:r>
      <w:r w:rsidR="00254C90">
        <w:rPr>
          <w:rFonts w:ascii="Arial" w:hAnsi="Arial" w:cs="Arial"/>
          <w:sz w:val="22"/>
          <w:szCs w:val="22"/>
        </w:rPr>
        <w:t xml:space="preserve"> </w:t>
      </w:r>
      <w:r w:rsidR="0045171B">
        <w:rPr>
          <w:rFonts w:ascii="Arial" w:hAnsi="Arial" w:cs="Arial"/>
          <w:sz w:val="22"/>
          <w:szCs w:val="22"/>
        </w:rPr>
        <w:t xml:space="preserve">25. 7. </w:t>
      </w:r>
      <w:r w:rsidR="007A50C2">
        <w:rPr>
          <w:rFonts w:ascii="Arial" w:hAnsi="Arial" w:cs="Arial"/>
          <w:sz w:val="22"/>
          <w:szCs w:val="22"/>
        </w:rPr>
        <w:t>2013 v návaznosti na jí</w:t>
      </w:r>
      <w:r w:rsidR="00D9221A">
        <w:rPr>
          <w:rFonts w:ascii="Arial" w:hAnsi="Arial" w:cs="Arial"/>
          <w:sz w:val="22"/>
          <w:szCs w:val="22"/>
        </w:rPr>
        <w:t xml:space="preserve">m vypracovaný materiál </w:t>
      </w:r>
      <w:r w:rsidR="00AF5E19">
        <w:rPr>
          <w:rFonts w:ascii="Arial" w:hAnsi="Arial" w:cs="Arial"/>
          <w:i/>
          <w:sz w:val="22"/>
          <w:szCs w:val="22"/>
        </w:rPr>
        <w:t>Další postup v Integrovaném operačním programu, oblastech intervence sociálních služeb a zaměstnanosti s ohledem na riziko ztráty části alokace</w:t>
      </w:r>
      <w:r w:rsidR="00AF5E19">
        <w:rPr>
          <w:rFonts w:ascii="Arial" w:hAnsi="Arial" w:cs="Arial"/>
          <w:sz w:val="22"/>
          <w:szCs w:val="22"/>
        </w:rPr>
        <w:t>.</w:t>
      </w:r>
      <w:r w:rsidR="00E67FC2">
        <w:rPr>
          <w:rFonts w:ascii="Arial" w:hAnsi="Arial" w:cs="Arial"/>
          <w:sz w:val="22"/>
          <w:szCs w:val="22"/>
        </w:rPr>
        <w:t xml:space="preserve"> </w:t>
      </w:r>
      <w:r w:rsidR="00AF5E19">
        <w:rPr>
          <w:rFonts w:ascii="Arial" w:hAnsi="Arial" w:cs="Arial"/>
          <w:sz w:val="22"/>
          <w:szCs w:val="22"/>
        </w:rPr>
        <w:t>Nákup schválila</w:t>
      </w:r>
      <w:r w:rsidR="0045171B">
        <w:rPr>
          <w:rFonts w:ascii="Arial" w:hAnsi="Arial" w:cs="Arial"/>
          <w:sz w:val="22"/>
          <w:szCs w:val="22"/>
        </w:rPr>
        <w:t xml:space="preserve"> po několika jednáních</w:t>
      </w:r>
      <w:r w:rsidR="00254C90">
        <w:rPr>
          <w:rFonts w:ascii="Arial" w:hAnsi="Arial" w:cs="Arial"/>
          <w:sz w:val="22"/>
          <w:szCs w:val="22"/>
        </w:rPr>
        <w:t xml:space="preserve"> </w:t>
      </w:r>
      <w:r w:rsidR="00AF5E19">
        <w:rPr>
          <w:rFonts w:ascii="Arial" w:hAnsi="Arial" w:cs="Arial"/>
          <w:sz w:val="22"/>
          <w:szCs w:val="22"/>
        </w:rPr>
        <w:t>vláda usnese</w:t>
      </w:r>
      <w:r w:rsidR="002935BE">
        <w:rPr>
          <w:rFonts w:ascii="Arial" w:hAnsi="Arial" w:cs="Arial"/>
          <w:sz w:val="22"/>
          <w:szCs w:val="22"/>
        </w:rPr>
        <w:t>ním ze d</w:t>
      </w:r>
      <w:r w:rsidR="0045171B">
        <w:rPr>
          <w:rFonts w:ascii="Arial" w:hAnsi="Arial" w:cs="Arial"/>
          <w:sz w:val="22"/>
          <w:szCs w:val="22"/>
        </w:rPr>
        <w:t>ne 6. </w:t>
      </w:r>
      <w:r w:rsidR="002935BE">
        <w:rPr>
          <w:rFonts w:ascii="Arial" w:hAnsi="Arial" w:cs="Arial"/>
          <w:sz w:val="22"/>
          <w:szCs w:val="22"/>
        </w:rPr>
        <w:t>listopadu 2013 č. </w:t>
      </w:r>
      <w:r w:rsidR="00AF5E19">
        <w:rPr>
          <w:rFonts w:ascii="Arial" w:hAnsi="Arial" w:cs="Arial"/>
          <w:sz w:val="22"/>
          <w:szCs w:val="22"/>
        </w:rPr>
        <w:t>842</w:t>
      </w:r>
      <w:r w:rsidR="00AF5E19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AF5E19">
        <w:rPr>
          <w:rFonts w:ascii="Arial" w:hAnsi="Arial" w:cs="Arial"/>
          <w:sz w:val="22"/>
          <w:szCs w:val="22"/>
        </w:rPr>
        <w:t>.</w:t>
      </w:r>
      <w:r w:rsidR="00E67FC2">
        <w:rPr>
          <w:rFonts w:ascii="Arial" w:hAnsi="Arial" w:cs="Arial"/>
          <w:sz w:val="22"/>
          <w:szCs w:val="22"/>
        </w:rPr>
        <w:t xml:space="preserve"> </w:t>
      </w:r>
    </w:p>
    <w:p w:rsidR="00AA0B43" w:rsidRDefault="00AA0B43" w:rsidP="005005F0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</w:p>
    <w:p w:rsidR="0072637A" w:rsidRDefault="007A50C2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Rovněž</w:t>
      </w:r>
      <w:r w:rsidR="0045171B">
        <w:rPr>
          <w:rFonts w:ascii="Arial" w:hAnsi="Arial" w:cs="Arial"/>
          <w:sz w:val="22"/>
          <w:szCs w:val="22"/>
        </w:rPr>
        <w:t xml:space="preserve"> </w:t>
      </w:r>
      <w:r w:rsidR="0045171B" w:rsidRPr="0037156F">
        <w:rPr>
          <w:rFonts w:ascii="Arial" w:hAnsi="Arial" w:cs="Arial"/>
          <w:b/>
          <w:sz w:val="22"/>
          <w:szCs w:val="22"/>
        </w:rPr>
        <w:t>výběr projektů</w:t>
      </w:r>
      <w:r w:rsidR="0045171B">
        <w:rPr>
          <w:rFonts w:ascii="Arial" w:hAnsi="Arial" w:cs="Arial"/>
          <w:sz w:val="22"/>
          <w:szCs w:val="22"/>
        </w:rPr>
        <w:t xml:space="preserve"> týkající</w:t>
      </w:r>
      <w:r w:rsidR="00A65259">
        <w:rPr>
          <w:rFonts w:ascii="Arial" w:hAnsi="Arial" w:cs="Arial"/>
          <w:sz w:val="22"/>
          <w:szCs w:val="22"/>
        </w:rPr>
        <w:t>ch</w:t>
      </w:r>
      <w:r w:rsidR="0045171B">
        <w:rPr>
          <w:rFonts w:ascii="Arial" w:hAnsi="Arial" w:cs="Arial"/>
          <w:sz w:val="22"/>
          <w:szCs w:val="22"/>
        </w:rPr>
        <w:t xml:space="preserve"> se školicích středisek služeb zaměstnanosti </w:t>
      </w:r>
      <w:r w:rsidR="0072637A" w:rsidRPr="0072637A">
        <w:rPr>
          <w:rFonts w:ascii="Arial" w:hAnsi="Arial" w:cs="Arial"/>
          <w:b/>
          <w:sz w:val="22"/>
          <w:szCs w:val="22"/>
        </w:rPr>
        <w:t>nevycházel ze závazné koncepce, která by</w:t>
      </w:r>
      <w:r w:rsidR="00254C90">
        <w:rPr>
          <w:rFonts w:ascii="Arial" w:hAnsi="Arial" w:cs="Arial"/>
          <w:b/>
          <w:sz w:val="22"/>
          <w:szCs w:val="22"/>
        </w:rPr>
        <w:t xml:space="preserve"> potřeby ÚP ČR ve vzdělávací oblasti objektivně v</w:t>
      </w:r>
      <w:r>
        <w:rPr>
          <w:rFonts w:ascii="Arial" w:hAnsi="Arial" w:cs="Arial"/>
          <w:b/>
          <w:sz w:val="22"/>
          <w:szCs w:val="22"/>
        </w:rPr>
        <w:t xml:space="preserve">ymezila </w:t>
      </w:r>
      <w:r w:rsidRPr="007A50C2">
        <w:rPr>
          <w:rFonts w:ascii="Arial" w:hAnsi="Arial" w:cs="Arial"/>
          <w:sz w:val="22"/>
          <w:szCs w:val="22"/>
        </w:rPr>
        <w:t>a </w:t>
      </w:r>
      <w:r w:rsidR="00254C90" w:rsidRPr="007A50C2">
        <w:rPr>
          <w:rFonts w:ascii="Arial" w:hAnsi="Arial" w:cs="Arial"/>
          <w:sz w:val="22"/>
          <w:szCs w:val="22"/>
        </w:rPr>
        <w:t xml:space="preserve">v návaznosti na to </w:t>
      </w:r>
      <w:r w:rsidR="0072637A" w:rsidRPr="007A50C2">
        <w:rPr>
          <w:rFonts w:ascii="Arial" w:hAnsi="Arial" w:cs="Arial"/>
          <w:sz w:val="22"/>
          <w:szCs w:val="22"/>
        </w:rPr>
        <w:t>řešila například</w:t>
      </w:r>
      <w:r w:rsidR="00E67FC2" w:rsidRPr="007A50C2">
        <w:rPr>
          <w:rFonts w:ascii="Arial" w:hAnsi="Arial" w:cs="Arial"/>
          <w:sz w:val="22"/>
          <w:szCs w:val="22"/>
        </w:rPr>
        <w:t xml:space="preserve"> počty a </w:t>
      </w:r>
      <w:r w:rsidR="0072637A" w:rsidRPr="007A50C2">
        <w:rPr>
          <w:rFonts w:ascii="Arial" w:hAnsi="Arial" w:cs="Arial"/>
          <w:sz w:val="22"/>
          <w:szCs w:val="22"/>
        </w:rPr>
        <w:t>umístění školicích středisek</w:t>
      </w:r>
      <w:r w:rsidR="0072637A">
        <w:rPr>
          <w:rFonts w:ascii="Arial" w:hAnsi="Arial" w:cs="Arial"/>
          <w:sz w:val="22"/>
          <w:szCs w:val="22"/>
        </w:rPr>
        <w:t>.</w:t>
      </w:r>
      <w:r w:rsidR="00173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</w:t>
      </w:r>
      <w:r w:rsidR="00A65259">
        <w:rPr>
          <w:rFonts w:ascii="Arial" w:hAnsi="Arial" w:cs="Arial"/>
          <w:sz w:val="22"/>
          <w:szCs w:val="22"/>
        </w:rPr>
        <w:t>následně</w:t>
      </w:r>
      <w:r>
        <w:rPr>
          <w:rFonts w:ascii="Arial" w:hAnsi="Arial" w:cs="Arial"/>
          <w:sz w:val="22"/>
          <w:szCs w:val="22"/>
        </w:rPr>
        <w:t xml:space="preserve"> vedlo</w:t>
      </w:r>
      <w:r w:rsidR="00173205">
        <w:rPr>
          <w:rFonts w:ascii="Arial" w:hAnsi="Arial" w:cs="Arial"/>
          <w:sz w:val="22"/>
          <w:szCs w:val="22"/>
        </w:rPr>
        <w:t xml:space="preserve"> k řadě koncepčních změn:</w:t>
      </w:r>
      <w:r w:rsidR="0034714C">
        <w:rPr>
          <w:rFonts w:ascii="Arial" w:hAnsi="Arial" w:cs="Arial"/>
          <w:sz w:val="22"/>
          <w:szCs w:val="22"/>
        </w:rPr>
        <w:t xml:space="preserve"> </w:t>
      </w:r>
    </w:p>
    <w:p w:rsidR="0072637A" w:rsidRDefault="00173205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2D4369">
        <w:rPr>
          <w:rFonts w:ascii="Arial" w:hAnsi="Arial" w:cs="Arial"/>
          <w:sz w:val="22"/>
          <w:szCs w:val="22"/>
        </w:rPr>
        <w:t>Podle záměrů MPSV měla být v programu č. 113 030 provedena</w:t>
      </w:r>
      <w:r w:rsidR="005D1B9D">
        <w:rPr>
          <w:rFonts w:ascii="Arial" w:hAnsi="Arial" w:cs="Arial"/>
          <w:sz w:val="22"/>
          <w:szCs w:val="22"/>
        </w:rPr>
        <w:t xml:space="preserve"> příprava výstavby nebo rekonstrukcí školicích středisek pro úřady práce ve Žďáru nad Sázavou</w:t>
      </w:r>
      <w:r w:rsidR="00B818DB">
        <w:rPr>
          <w:rFonts w:ascii="Arial" w:hAnsi="Arial" w:cs="Arial"/>
          <w:sz w:val="22"/>
          <w:szCs w:val="22"/>
        </w:rPr>
        <w:t xml:space="preserve"> (budova v Rokytně)</w:t>
      </w:r>
      <w:r w:rsidR="005D1B9D">
        <w:rPr>
          <w:rFonts w:ascii="Arial" w:hAnsi="Arial" w:cs="Arial"/>
          <w:sz w:val="22"/>
          <w:szCs w:val="22"/>
        </w:rPr>
        <w:t xml:space="preserve">, Hradci Králové, Sokolově, Olomouci a Písku. </w:t>
      </w:r>
      <w:r w:rsidR="00D83915">
        <w:rPr>
          <w:rFonts w:ascii="Arial" w:hAnsi="Arial" w:cs="Arial"/>
          <w:sz w:val="22"/>
          <w:szCs w:val="22"/>
        </w:rPr>
        <w:t>R</w:t>
      </w:r>
      <w:r w:rsidR="005D1B9D">
        <w:rPr>
          <w:rFonts w:ascii="Arial" w:hAnsi="Arial" w:cs="Arial"/>
          <w:sz w:val="22"/>
          <w:szCs w:val="22"/>
        </w:rPr>
        <w:t>ealizace měla proběhnout v pod</w:t>
      </w:r>
      <w:r w:rsidR="002D4369">
        <w:rPr>
          <w:rFonts w:ascii="Arial" w:hAnsi="Arial" w:cs="Arial"/>
          <w:sz w:val="22"/>
          <w:szCs w:val="22"/>
        </w:rPr>
        <w:t xml:space="preserve">programu č. 113 </w:t>
      </w:r>
      <w:proofErr w:type="spellStart"/>
      <w:r w:rsidR="002D4369">
        <w:rPr>
          <w:rFonts w:ascii="Arial" w:hAnsi="Arial" w:cs="Arial"/>
          <w:sz w:val="22"/>
          <w:szCs w:val="22"/>
        </w:rPr>
        <w:t>34D</w:t>
      </w:r>
      <w:proofErr w:type="spellEnd"/>
      <w:r w:rsidR="002D4369">
        <w:rPr>
          <w:rFonts w:ascii="Arial" w:hAnsi="Arial" w:cs="Arial"/>
          <w:sz w:val="22"/>
          <w:szCs w:val="22"/>
        </w:rPr>
        <w:t>. Realizován však byl</w:t>
      </w:r>
      <w:r w:rsidR="005D1B9D">
        <w:rPr>
          <w:rFonts w:ascii="Arial" w:hAnsi="Arial" w:cs="Arial"/>
          <w:sz w:val="22"/>
          <w:szCs w:val="22"/>
        </w:rPr>
        <w:t xml:space="preserve"> jen </w:t>
      </w:r>
      <w:r w:rsidR="002D4369">
        <w:rPr>
          <w:rFonts w:ascii="Arial" w:hAnsi="Arial" w:cs="Arial"/>
          <w:sz w:val="22"/>
          <w:szCs w:val="22"/>
        </w:rPr>
        <w:t xml:space="preserve">projekt </w:t>
      </w:r>
      <w:r w:rsidR="0072637A">
        <w:rPr>
          <w:rFonts w:ascii="Arial" w:hAnsi="Arial" w:cs="Arial"/>
          <w:sz w:val="22"/>
          <w:szCs w:val="22"/>
        </w:rPr>
        <w:t>v Hradci Králové a</w:t>
      </w:r>
      <w:r w:rsidR="007849CA">
        <w:rPr>
          <w:rFonts w:ascii="Arial" w:hAnsi="Arial" w:cs="Arial"/>
          <w:sz w:val="22"/>
          <w:szCs w:val="22"/>
        </w:rPr>
        <w:t> </w:t>
      </w:r>
      <w:r w:rsidR="002D4369">
        <w:rPr>
          <w:rFonts w:ascii="Arial" w:hAnsi="Arial" w:cs="Arial"/>
          <w:sz w:val="22"/>
          <w:szCs w:val="22"/>
        </w:rPr>
        <w:t>projekt v </w:t>
      </w:r>
      <w:r w:rsidR="0072637A">
        <w:rPr>
          <w:rFonts w:ascii="Arial" w:hAnsi="Arial" w:cs="Arial"/>
          <w:sz w:val="22"/>
          <w:szCs w:val="22"/>
        </w:rPr>
        <w:t>Sokolově</w:t>
      </w:r>
      <w:r w:rsidR="002D4369">
        <w:rPr>
          <w:rFonts w:ascii="Arial" w:hAnsi="Arial" w:cs="Arial"/>
          <w:sz w:val="22"/>
          <w:szCs w:val="22"/>
        </w:rPr>
        <w:t xml:space="preserve"> má být dokončen</w:t>
      </w:r>
      <w:r w:rsidR="00C20921">
        <w:rPr>
          <w:rFonts w:ascii="Arial" w:hAnsi="Arial" w:cs="Arial"/>
          <w:sz w:val="22"/>
          <w:szCs w:val="22"/>
        </w:rPr>
        <w:t xml:space="preserve"> do </w:t>
      </w:r>
      <w:r w:rsidR="002D4369">
        <w:rPr>
          <w:rFonts w:ascii="Arial" w:hAnsi="Arial" w:cs="Arial"/>
          <w:sz w:val="22"/>
          <w:szCs w:val="22"/>
        </w:rPr>
        <w:t>dubna 2015</w:t>
      </w:r>
      <w:r w:rsidR="0072637A">
        <w:rPr>
          <w:rFonts w:ascii="Arial" w:hAnsi="Arial" w:cs="Arial"/>
          <w:sz w:val="22"/>
          <w:szCs w:val="22"/>
        </w:rPr>
        <w:t>.</w:t>
      </w:r>
      <w:r w:rsidR="002D4369">
        <w:rPr>
          <w:rFonts w:ascii="Arial" w:hAnsi="Arial" w:cs="Arial"/>
          <w:sz w:val="22"/>
          <w:szCs w:val="22"/>
        </w:rPr>
        <w:t xml:space="preserve"> </w:t>
      </w:r>
      <w:r w:rsidR="007849CA">
        <w:rPr>
          <w:rFonts w:ascii="Arial" w:hAnsi="Arial" w:cs="Arial"/>
          <w:sz w:val="22"/>
          <w:szCs w:val="22"/>
        </w:rPr>
        <w:t>P</w:t>
      </w:r>
      <w:r w:rsidR="002D4369">
        <w:rPr>
          <w:rFonts w:ascii="Arial" w:hAnsi="Arial" w:cs="Arial"/>
          <w:sz w:val="22"/>
          <w:szCs w:val="22"/>
        </w:rPr>
        <w:t xml:space="preserve">rojekt </w:t>
      </w:r>
      <w:r w:rsidR="009E06AF">
        <w:rPr>
          <w:rFonts w:ascii="Arial" w:hAnsi="Arial" w:cs="Arial"/>
          <w:sz w:val="22"/>
          <w:szCs w:val="22"/>
        </w:rPr>
        <w:t>v </w:t>
      </w:r>
      <w:r w:rsidR="00D83915">
        <w:rPr>
          <w:rFonts w:ascii="Arial" w:hAnsi="Arial" w:cs="Arial"/>
          <w:sz w:val="22"/>
          <w:szCs w:val="22"/>
        </w:rPr>
        <w:t>Rokytně</w:t>
      </w:r>
      <w:r w:rsidR="007849CA">
        <w:rPr>
          <w:rFonts w:ascii="Arial" w:hAnsi="Arial" w:cs="Arial"/>
          <w:sz w:val="22"/>
          <w:szCs w:val="22"/>
        </w:rPr>
        <w:t xml:space="preserve"> s předpokládanými náklady 60 mil. Kč</w:t>
      </w:r>
      <w:r w:rsidR="00D83915">
        <w:rPr>
          <w:rFonts w:ascii="Arial" w:hAnsi="Arial" w:cs="Arial"/>
          <w:sz w:val="22"/>
          <w:szCs w:val="22"/>
        </w:rPr>
        <w:t xml:space="preserve"> a termínem dokončení do roku 2013</w:t>
      </w:r>
      <w:r w:rsidR="007849CA">
        <w:rPr>
          <w:rFonts w:ascii="Arial" w:hAnsi="Arial" w:cs="Arial"/>
          <w:sz w:val="22"/>
          <w:szCs w:val="22"/>
        </w:rPr>
        <w:t xml:space="preserve"> byl v průběhu realizace zastaven</w:t>
      </w:r>
      <w:r w:rsidR="002D4369">
        <w:rPr>
          <w:rFonts w:ascii="Arial" w:hAnsi="Arial" w:cs="Arial"/>
          <w:sz w:val="22"/>
          <w:szCs w:val="22"/>
        </w:rPr>
        <w:t>. D</w:t>
      </w:r>
      <w:r w:rsidR="00B818DB">
        <w:rPr>
          <w:rFonts w:ascii="Arial" w:hAnsi="Arial" w:cs="Arial"/>
          <w:sz w:val="22"/>
          <w:szCs w:val="22"/>
        </w:rPr>
        <w:t xml:space="preserve">ůvodem bylo přemístění školicího střediska do Pardubic, jehož výstavba </w:t>
      </w:r>
      <w:r w:rsidR="007B6A24">
        <w:rPr>
          <w:rFonts w:ascii="Arial" w:hAnsi="Arial" w:cs="Arial"/>
          <w:sz w:val="22"/>
          <w:szCs w:val="22"/>
        </w:rPr>
        <w:t xml:space="preserve">byla do </w:t>
      </w:r>
      <w:r w:rsidR="00E26548">
        <w:rPr>
          <w:rFonts w:ascii="Arial" w:hAnsi="Arial" w:cs="Arial"/>
          <w:sz w:val="22"/>
          <w:szCs w:val="22"/>
        </w:rPr>
        <w:t>podprogramu č. </w:t>
      </w:r>
      <w:r w:rsidR="00B818DB">
        <w:rPr>
          <w:rFonts w:ascii="Arial" w:hAnsi="Arial" w:cs="Arial"/>
          <w:sz w:val="22"/>
          <w:szCs w:val="22"/>
        </w:rPr>
        <w:t xml:space="preserve">113 </w:t>
      </w:r>
      <w:proofErr w:type="spellStart"/>
      <w:r w:rsidR="00B818DB">
        <w:rPr>
          <w:rFonts w:ascii="Arial" w:hAnsi="Arial" w:cs="Arial"/>
          <w:sz w:val="22"/>
          <w:szCs w:val="22"/>
        </w:rPr>
        <w:t>34D</w:t>
      </w:r>
      <w:proofErr w:type="spellEnd"/>
      <w:r w:rsidR="007849CA">
        <w:rPr>
          <w:rFonts w:ascii="Arial" w:hAnsi="Arial" w:cs="Arial"/>
          <w:sz w:val="22"/>
          <w:szCs w:val="22"/>
        </w:rPr>
        <w:t xml:space="preserve"> </w:t>
      </w:r>
      <w:r w:rsidR="00E26548">
        <w:rPr>
          <w:rFonts w:ascii="Arial" w:hAnsi="Arial" w:cs="Arial"/>
          <w:sz w:val="22"/>
          <w:szCs w:val="22"/>
        </w:rPr>
        <w:t>zařazena v roce 2012</w:t>
      </w:r>
      <w:r w:rsidR="00B818DB">
        <w:rPr>
          <w:rFonts w:ascii="Arial" w:hAnsi="Arial" w:cs="Arial"/>
          <w:sz w:val="22"/>
          <w:szCs w:val="22"/>
        </w:rPr>
        <w:t xml:space="preserve">. </w:t>
      </w:r>
      <w:r w:rsidR="00B818DB" w:rsidRPr="0089490B">
        <w:rPr>
          <w:rFonts w:ascii="Arial" w:hAnsi="Arial" w:cs="Arial"/>
          <w:b/>
          <w:sz w:val="22"/>
          <w:szCs w:val="22"/>
        </w:rPr>
        <w:t>ÚP</w:t>
      </w:r>
      <w:r w:rsidR="00760A40">
        <w:rPr>
          <w:rFonts w:ascii="Arial" w:hAnsi="Arial" w:cs="Arial"/>
          <w:b/>
          <w:sz w:val="22"/>
          <w:szCs w:val="22"/>
        </w:rPr>
        <w:t xml:space="preserve"> ČR</w:t>
      </w:r>
      <w:r w:rsidR="00B818DB" w:rsidRPr="0089490B">
        <w:rPr>
          <w:rFonts w:ascii="Arial" w:hAnsi="Arial" w:cs="Arial"/>
          <w:b/>
          <w:sz w:val="22"/>
          <w:szCs w:val="22"/>
        </w:rPr>
        <w:t xml:space="preserve"> tak zůstala </w:t>
      </w:r>
      <w:r w:rsidR="007330FE" w:rsidRPr="0089490B">
        <w:rPr>
          <w:rFonts w:ascii="Arial" w:hAnsi="Arial" w:cs="Arial"/>
          <w:b/>
          <w:sz w:val="22"/>
          <w:szCs w:val="22"/>
        </w:rPr>
        <w:t>v</w:t>
      </w:r>
      <w:r w:rsidR="007330FE">
        <w:rPr>
          <w:rFonts w:ascii="Arial" w:hAnsi="Arial" w:cs="Arial"/>
          <w:b/>
          <w:sz w:val="22"/>
          <w:szCs w:val="22"/>
        </w:rPr>
        <w:t> </w:t>
      </w:r>
      <w:r w:rsidR="007330FE" w:rsidRPr="0089490B">
        <w:rPr>
          <w:rFonts w:ascii="Arial" w:hAnsi="Arial" w:cs="Arial"/>
          <w:b/>
          <w:sz w:val="22"/>
          <w:szCs w:val="22"/>
        </w:rPr>
        <w:t>Rokytně</w:t>
      </w:r>
      <w:r w:rsidR="007330FE">
        <w:rPr>
          <w:rFonts w:ascii="Arial" w:hAnsi="Arial" w:cs="Arial"/>
          <w:b/>
          <w:sz w:val="22"/>
          <w:szCs w:val="22"/>
        </w:rPr>
        <w:t xml:space="preserve"> </w:t>
      </w:r>
      <w:r w:rsidR="00B818DB" w:rsidRPr="0089490B">
        <w:rPr>
          <w:rFonts w:ascii="Arial" w:hAnsi="Arial" w:cs="Arial"/>
          <w:b/>
          <w:sz w:val="22"/>
          <w:szCs w:val="22"/>
        </w:rPr>
        <w:lastRenderedPageBreak/>
        <w:t>rozestavěná budova</w:t>
      </w:r>
      <w:r w:rsidR="00B818DB" w:rsidRPr="0037156F">
        <w:rPr>
          <w:rFonts w:ascii="Arial" w:hAnsi="Arial" w:cs="Arial"/>
          <w:b/>
          <w:sz w:val="22"/>
          <w:szCs w:val="22"/>
        </w:rPr>
        <w:t>.</w:t>
      </w:r>
      <w:r w:rsidR="002D4369">
        <w:rPr>
          <w:rFonts w:ascii="Arial" w:hAnsi="Arial" w:cs="Arial"/>
          <w:sz w:val="22"/>
          <w:szCs w:val="22"/>
        </w:rPr>
        <w:t xml:space="preserve"> Od realizace zbylých dvou projektů</w:t>
      </w:r>
      <w:r w:rsidR="00E67FC2">
        <w:rPr>
          <w:rFonts w:ascii="Arial" w:hAnsi="Arial" w:cs="Arial"/>
          <w:sz w:val="22"/>
          <w:szCs w:val="22"/>
        </w:rPr>
        <w:t xml:space="preserve"> v Olomouci a </w:t>
      </w:r>
      <w:r w:rsidR="007849CA">
        <w:rPr>
          <w:rFonts w:ascii="Arial" w:hAnsi="Arial" w:cs="Arial"/>
          <w:sz w:val="22"/>
          <w:szCs w:val="22"/>
        </w:rPr>
        <w:t>Písku</w:t>
      </w:r>
      <w:r w:rsidR="002D4369">
        <w:rPr>
          <w:rFonts w:ascii="Arial" w:hAnsi="Arial" w:cs="Arial"/>
          <w:sz w:val="22"/>
          <w:szCs w:val="22"/>
        </w:rPr>
        <w:t xml:space="preserve"> bylo upuštěno</w:t>
      </w:r>
      <w:r w:rsidR="007330FE">
        <w:rPr>
          <w:rFonts w:ascii="Arial" w:hAnsi="Arial" w:cs="Arial"/>
          <w:sz w:val="22"/>
          <w:szCs w:val="22"/>
        </w:rPr>
        <w:t>.</w:t>
      </w:r>
    </w:p>
    <w:p w:rsidR="0089490B" w:rsidRDefault="00173205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26548">
        <w:rPr>
          <w:rFonts w:ascii="Arial" w:hAnsi="Arial" w:cs="Arial"/>
          <w:sz w:val="22"/>
          <w:szCs w:val="22"/>
        </w:rPr>
        <w:t>Do projektu, který se týkal nákupu nové budovy v Praze 7</w:t>
      </w:r>
      <w:r w:rsidR="000B64CD" w:rsidRPr="000B64CD">
        <w:rPr>
          <w:rFonts w:ascii="Arial" w:hAnsi="Arial" w:cs="Arial"/>
          <w:sz w:val="22"/>
          <w:szCs w:val="22"/>
        </w:rPr>
        <w:t xml:space="preserve"> </w:t>
      </w:r>
      <w:r w:rsidR="000B64CD">
        <w:rPr>
          <w:rFonts w:ascii="Arial" w:hAnsi="Arial" w:cs="Arial"/>
          <w:sz w:val="22"/>
          <w:szCs w:val="22"/>
        </w:rPr>
        <w:t>v roce 2013</w:t>
      </w:r>
      <w:r w:rsidR="00E26548">
        <w:rPr>
          <w:rFonts w:ascii="Arial" w:hAnsi="Arial" w:cs="Arial"/>
          <w:sz w:val="22"/>
          <w:szCs w:val="22"/>
        </w:rPr>
        <w:t>, zařadil ÚP</w:t>
      </w:r>
      <w:r w:rsidR="000D7813">
        <w:rPr>
          <w:rFonts w:ascii="Arial" w:hAnsi="Arial" w:cs="Arial"/>
          <w:sz w:val="22"/>
          <w:szCs w:val="22"/>
        </w:rPr>
        <w:t> </w:t>
      </w:r>
      <w:r w:rsidR="00E26548">
        <w:rPr>
          <w:rFonts w:ascii="Arial" w:hAnsi="Arial" w:cs="Arial"/>
          <w:sz w:val="22"/>
          <w:szCs w:val="22"/>
        </w:rPr>
        <w:t>ČR</w:t>
      </w:r>
      <w:r w:rsidR="00044D72">
        <w:rPr>
          <w:rFonts w:ascii="Arial" w:hAnsi="Arial" w:cs="Arial"/>
          <w:sz w:val="22"/>
          <w:szCs w:val="22"/>
        </w:rPr>
        <w:t xml:space="preserve"> i </w:t>
      </w:r>
      <w:r w:rsidR="00E26548">
        <w:rPr>
          <w:rFonts w:ascii="Arial" w:hAnsi="Arial" w:cs="Arial"/>
          <w:sz w:val="22"/>
          <w:szCs w:val="22"/>
        </w:rPr>
        <w:t xml:space="preserve">zřízení centrálního školicího střediska, </w:t>
      </w:r>
      <w:r w:rsidR="00B068F8">
        <w:rPr>
          <w:rFonts w:ascii="Arial" w:hAnsi="Arial" w:cs="Arial"/>
          <w:sz w:val="22"/>
          <w:szCs w:val="22"/>
        </w:rPr>
        <w:t xml:space="preserve">avšak </w:t>
      </w:r>
      <w:r w:rsidR="00E26548">
        <w:rPr>
          <w:rFonts w:ascii="Arial" w:hAnsi="Arial" w:cs="Arial"/>
          <w:sz w:val="22"/>
          <w:szCs w:val="22"/>
        </w:rPr>
        <w:t>z podkladů</w:t>
      </w:r>
      <w:r w:rsidR="00044D72">
        <w:rPr>
          <w:rFonts w:ascii="Arial" w:hAnsi="Arial" w:cs="Arial"/>
          <w:sz w:val="22"/>
          <w:szCs w:val="22"/>
        </w:rPr>
        <w:t xml:space="preserve"> </w:t>
      </w:r>
      <w:r w:rsidR="00B068F8">
        <w:rPr>
          <w:rFonts w:ascii="Arial" w:hAnsi="Arial" w:cs="Arial"/>
          <w:sz w:val="22"/>
          <w:szCs w:val="22"/>
        </w:rPr>
        <w:t>k </w:t>
      </w:r>
      <w:r w:rsidR="00044D72">
        <w:rPr>
          <w:rFonts w:ascii="Arial" w:hAnsi="Arial" w:cs="Arial"/>
          <w:sz w:val="22"/>
          <w:szCs w:val="22"/>
        </w:rPr>
        <w:t>programů</w:t>
      </w:r>
      <w:r w:rsidR="00B068F8">
        <w:rPr>
          <w:rFonts w:ascii="Arial" w:hAnsi="Arial" w:cs="Arial"/>
          <w:sz w:val="22"/>
          <w:szCs w:val="22"/>
        </w:rPr>
        <w:t>m</w:t>
      </w:r>
      <w:r w:rsidR="00044D72">
        <w:rPr>
          <w:rFonts w:ascii="Arial" w:hAnsi="Arial" w:cs="Arial"/>
          <w:sz w:val="22"/>
          <w:szCs w:val="22"/>
        </w:rPr>
        <w:t xml:space="preserve"> č. </w:t>
      </w:r>
      <w:r w:rsidR="0089490B">
        <w:rPr>
          <w:rFonts w:ascii="Arial" w:hAnsi="Arial" w:cs="Arial"/>
          <w:sz w:val="22"/>
          <w:szCs w:val="22"/>
        </w:rPr>
        <w:t>113 030 a</w:t>
      </w:r>
      <w:r w:rsidR="00C41352">
        <w:rPr>
          <w:rFonts w:ascii="Arial" w:hAnsi="Arial" w:cs="Arial"/>
          <w:sz w:val="22"/>
          <w:szCs w:val="22"/>
        </w:rPr>
        <w:t> </w:t>
      </w:r>
      <w:r w:rsidR="0089490B">
        <w:rPr>
          <w:rFonts w:ascii="Arial" w:hAnsi="Arial" w:cs="Arial"/>
          <w:sz w:val="22"/>
          <w:szCs w:val="22"/>
        </w:rPr>
        <w:t xml:space="preserve">113 340 nevyplývá, že by </w:t>
      </w:r>
      <w:r w:rsidR="00E26548">
        <w:rPr>
          <w:rFonts w:ascii="Arial" w:hAnsi="Arial" w:cs="Arial"/>
          <w:sz w:val="22"/>
          <w:szCs w:val="22"/>
        </w:rPr>
        <w:t>se</w:t>
      </w:r>
      <w:r w:rsidR="0089490B">
        <w:rPr>
          <w:rFonts w:ascii="Arial" w:hAnsi="Arial" w:cs="Arial"/>
          <w:sz w:val="22"/>
          <w:szCs w:val="22"/>
        </w:rPr>
        <w:t xml:space="preserve"> zřízením </w:t>
      </w:r>
      <w:r w:rsidR="00E26548">
        <w:rPr>
          <w:rFonts w:ascii="Arial" w:hAnsi="Arial" w:cs="Arial"/>
          <w:sz w:val="22"/>
          <w:szCs w:val="22"/>
        </w:rPr>
        <w:t xml:space="preserve">tohoto školicího střediska </w:t>
      </w:r>
      <w:r w:rsidR="00044D72">
        <w:rPr>
          <w:rFonts w:ascii="Arial" w:hAnsi="Arial" w:cs="Arial"/>
          <w:sz w:val="22"/>
          <w:szCs w:val="22"/>
        </w:rPr>
        <w:t xml:space="preserve">bylo </w:t>
      </w:r>
      <w:r w:rsidR="00E26548">
        <w:rPr>
          <w:rFonts w:ascii="Arial" w:hAnsi="Arial" w:cs="Arial"/>
          <w:sz w:val="22"/>
          <w:szCs w:val="22"/>
        </w:rPr>
        <w:t>počítáno.</w:t>
      </w:r>
      <w:r w:rsidR="0089490B">
        <w:rPr>
          <w:rFonts w:ascii="Arial" w:hAnsi="Arial" w:cs="Arial"/>
          <w:sz w:val="22"/>
          <w:szCs w:val="22"/>
        </w:rPr>
        <w:t xml:space="preserve"> </w:t>
      </w:r>
      <w:r w:rsidR="00044D72">
        <w:rPr>
          <w:rFonts w:ascii="Arial" w:hAnsi="Arial" w:cs="Arial"/>
          <w:sz w:val="22"/>
          <w:szCs w:val="22"/>
        </w:rPr>
        <w:t>V</w:t>
      </w:r>
      <w:r w:rsidR="0089490B">
        <w:rPr>
          <w:rFonts w:ascii="Arial" w:hAnsi="Arial" w:cs="Arial"/>
          <w:sz w:val="22"/>
          <w:szCs w:val="22"/>
        </w:rPr>
        <w:t>e zdůvodnění projektu výstavby školicího střediska v</w:t>
      </w:r>
      <w:r w:rsidR="00955CC6">
        <w:rPr>
          <w:rFonts w:ascii="Arial" w:hAnsi="Arial" w:cs="Arial"/>
          <w:sz w:val="22"/>
          <w:szCs w:val="22"/>
        </w:rPr>
        <w:t> </w:t>
      </w:r>
      <w:r w:rsidR="0089490B">
        <w:rPr>
          <w:rFonts w:ascii="Arial" w:hAnsi="Arial" w:cs="Arial"/>
          <w:sz w:val="22"/>
          <w:szCs w:val="22"/>
        </w:rPr>
        <w:t>Pardubicích</w:t>
      </w:r>
      <w:r w:rsidR="00955CC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(viz předchozí odrážka)</w:t>
      </w:r>
      <w:r w:rsidR="0089490B">
        <w:rPr>
          <w:rFonts w:ascii="Arial" w:hAnsi="Arial" w:cs="Arial"/>
          <w:sz w:val="22"/>
          <w:szCs w:val="22"/>
        </w:rPr>
        <w:t xml:space="preserve"> bylo uvedeno, že se v něm předpokládá vzdělávání</w:t>
      </w:r>
      <w:r w:rsidR="00955CC6">
        <w:rPr>
          <w:rFonts w:ascii="Arial" w:hAnsi="Arial" w:cs="Arial"/>
          <w:sz w:val="22"/>
          <w:szCs w:val="22"/>
        </w:rPr>
        <w:t xml:space="preserve"> cca 4,5 tis. zaměstnanců</w:t>
      </w:r>
      <w:r w:rsidR="0089490B">
        <w:rPr>
          <w:rFonts w:ascii="Arial" w:hAnsi="Arial" w:cs="Arial"/>
          <w:sz w:val="22"/>
          <w:szCs w:val="22"/>
        </w:rPr>
        <w:t xml:space="preserve"> z</w:t>
      </w:r>
      <w:r w:rsidR="007B6A24">
        <w:rPr>
          <w:rFonts w:ascii="Arial" w:hAnsi="Arial" w:cs="Arial"/>
          <w:sz w:val="22"/>
          <w:szCs w:val="22"/>
        </w:rPr>
        <w:t> </w:t>
      </w:r>
      <w:r w:rsidR="009B29FA">
        <w:rPr>
          <w:rFonts w:ascii="Arial" w:hAnsi="Arial" w:cs="Arial"/>
          <w:sz w:val="22"/>
          <w:szCs w:val="22"/>
        </w:rPr>
        <w:t xml:space="preserve">devíti krajských </w:t>
      </w:r>
      <w:r w:rsidR="0089490B">
        <w:rPr>
          <w:rFonts w:ascii="Arial" w:hAnsi="Arial" w:cs="Arial"/>
          <w:sz w:val="22"/>
          <w:szCs w:val="22"/>
        </w:rPr>
        <w:t>poboček</w:t>
      </w:r>
      <w:r w:rsidR="007B6A24">
        <w:rPr>
          <w:rFonts w:ascii="Arial" w:hAnsi="Arial" w:cs="Arial"/>
          <w:sz w:val="22"/>
          <w:szCs w:val="22"/>
        </w:rPr>
        <w:t xml:space="preserve"> </w:t>
      </w:r>
      <w:r w:rsidR="00B068F8">
        <w:rPr>
          <w:rFonts w:ascii="Arial" w:hAnsi="Arial" w:cs="Arial"/>
          <w:sz w:val="22"/>
          <w:szCs w:val="22"/>
        </w:rPr>
        <w:t>ÚP ČR</w:t>
      </w:r>
      <w:r w:rsidR="0089490B">
        <w:rPr>
          <w:rFonts w:ascii="Arial" w:hAnsi="Arial" w:cs="Arial"/>
          <w:sz w:val="22"/>
          <w:szCs w:val="22"/>
        </w:rPr>
        <w:t>, včetně hlavního města Prahy.</w:t>
      </w:r>
      <w:r w:rsidR="00044D72">
        <w:rPr>
          <w:rFonts w:ascii="Arial" w:hAnsi="Arial" w:cs="Arial"/>
          <w:sz w:val="22"/>
          <w:szCs w:val="22"/>
        </w:rPr>
        <w:t xml:space="preserve"> </w:t>
      </w:r>
    </w:p>
    <w:p w:rsidR="00C20921" w:rsidRDefault="00173205" w:rsidP="00C12AAB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B0B65">
        <w:rPr>
          <w:rFonts w:ascii="Arial" w:hAnsi="Arial" w:cs="Arial"/>
          <w:sz w:val="22"/>
          <w:szCs w:val="22"/>
        </w:rPr>
        <w:t xml:space="preserve">V roce 2006 bylo s náklady 44,6 mil. Kč </w:t>
      </w:r>
      <w:r w:rsidR="00B068F8">
        <w:rPr>
          <w:rFonts w:ascii="Arial" w:hAnsi="Arial" w:cs="Arial"/>
          <w:sz w:val="22"/>
          <w:szCs w:val="22"/>
        </w:rPr>
        <w:t xml:space="preserve">dokončeno </w:t>
      </w:r>
      <w:r w:rsidR="006B0B65">
        <w:rPr>
          <w:rFonts w:ascii="Arial" w:hAnsi="Arial" w:cs="Arial"/>
          <w:sz w:val="22"/>
          <w:szCs w:val="22"/>
        </w:rPr>
        <w:t>školicí středisko v Jihlavě (viz kontrolní závěr z kontrolní akce č. 09/</w:t>
      </w:r>
      <w:r w:rsidR="007330FE">
        <w:rPr>
          <w:rFonts w:ascii="Arial" w:hAnsi="Arial" w:cs="Arial"/>
          <w:sz w:val="22"/>
          <w:szCs w:val="22"/>
        </w:rPr>
        <w:t>02). Využití školicího střediska</w:t>
      </w:r>
      <w:r w:rsidR="006B0B65">
        <w:rPr>
          <w:rFonts w:ascii="Arial" w:hAnsi="Arial" w:cs="Arial"/>
          <w:sz w:val="22"/>
          <w:szCs w:val="22"/>
        </w:rPr>
        <w:t xml:space="preserve"> bylo velmi nízké,</w:t>
      </w:r>
      <w:r w:rsidR="00044D72">
        <w:rPr>
          <w:rFonts w:ascii="Arial" w:hAnsi="Arial" w:cs="Arial"/>
          <w:sz w:val="22"/>
          <w:szCs w:val="22"/>
        </w:rPr>
        <w:t xml:space="preserve"> proto byla</w:t>
      </w:r>
      <w:r w:rsidR="006B0B65">
        <w:rPr>
          <w:rFonts w:ascii="Arial" w:hAnsi="Arial" w:cs="Arial"/>
          <w:sz w:val="22"/>
          <w:szCs w:val="22"/>
        </w:rPr>
        <w:t xml:space="preserve"> </w:t>
      </w:r>
      <w:r w:rsidR="00980B14">
        <w:rPr>
          <w:rFonts w:ascii="Arial" w:hAnsi="Arial" w:cs="Arial"/>
          <w:sz w:val="22"/>
          <w:szCs w:val="22"/>
        </w:rPr>
        <w:t xml:space="preserve">jeho </w:t>
      </w:r>
      <w:r w:rsidR="006B0B65">
        <w:rPr>
          <w:rFonts w:ascii="Arial" w:hAnsi="Arial" w:cs="Arial"/>
          <w:sz w:val="22"/>
          <w:szCs w:val="22"/>
        </w:rPr>
        <w:t>část pronajímána</w:t>
      </w:r>
      <w:r w:rsidR="007B6A24">
        <w:rPr>
          <w:rFonts w:ascii="Arial" w:hAnsi="Arial" w:cs="Arial"/>
          <w:sz w:val="22"/>
          <w:szCs w:val="22"/>
        </w:rPr>
        <w:t xml:space="preserve"> </w:t>
      </w:r>
      <w:r w:rsidR="006B0B65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ro jiné účely</w:t>
      </w:r>
      <w:r w:rsidR="00044D72">
        <w:rPr>
          <w:rFonts w:ascii="Arial" w:hAnsi="Arial" w:cs="Arial"/>
          <w:sz w:val="22"/>
          <w:szCs w:val="22"/>
        </w:rPr>
        <w:t>. O</w:t>
      </w:r>
      <w:r w:rsidR="006B0B65">
        <w:rPr>
          <w:rFonts w:ascii="Arial" w:hAnsi="Arial" w:cs="Arial"/>
          <w:sz w:val="22"/>
          <w:szCs w:val="22"/>
        </w:rPr>
        <w:t>d poloviny ro</w:t>
      </w:r>
      <w:r w:rsidR="00044D72">
        <w:rPr>
          <w:rFonts w:ascii="Arial" w:hAnsi="Arial" w:cs="Arial"/>
          <w:sz w:val="22"/>
          <w:szCs w:val="22"/>
        </w:rPr>
        <w:t>ku 2012 nebylo využíváno vůbec a</w:t>
      </w:r>
      <w:r w:rsidR="007B6A24">
        <w:rPr>
          <w:rFonts w:ascii="Arial" w:hAnsi="Arial" w:cs="Arial"/>
          <w:sz w:val="22"/>
          <w:szCs w:val="22"/>
        </w:rPr>
        <w:t xml:space="preserve"> ÚP ČR</w:t>
      </w:r>
      <w:r w:rsidR="00044D72">
        <w:rPr>
          <w:rFonts w:ascii="Arial" w:hAnsi="Arial" w:cs="Arial"/>
          <w:sz w:val="22"/>
          <w:szCs w:val="22"/>
        </w:rPr>
        <w:t xml:space="preserve"> </w:t>
      </w:r>
      <w:r w:rsidR="007B6A24">
        <w:rPr>
          <w:rFonts w:ascii="Arial" w:hAnsi="Arial" w:cs="Arial"/>
          <w:sz w:val="22"/>
          <w:szCs w:val="22"/>
        </w:rPr>
        <w:t>předal</w:t>
      </w:r>
      <w:r w:rsidR="007849CA">
        <w:rPr>
          <w:rFonts w:ascii="Arial" w:hAnsi="Arial" w:cs="Arial"/>
          <w:sz w:val="22"/>
          <w:szCs w:val="22"/>
        </w:rPr>
        <w:t xml:space="preserve"> </w:t>
      </w:r>
      <w:r w:rsidR="007B6A24">
        <w:rPr>
          <w:rFonts w:ascii="Arial" w:hAnsi="Arial" w:cs="Arial"/>
          <w:sz w:val="22"/>
          <w:szCs w:val="22"/>
        </w:rPr>
        <w:t>v</w:t>
      </w:r>
      <w:r w:rsidR="00C20921">
        <w:rPr>
          <w:rFonts w:ascii="Arial" w:hAnsi="Arial" w:cs="Arial"/>
          <w:sz w:val="22"/>
          <w:szCs w:val="22"/>
        </w:rPr>
        <w:t> prosinci 2012</w:t>
      </w:r>
      <w:r w:rsidR="00044D72">
        <w:rPr>
          <w:rFonts w:ascii="Arial" w:hAnsi="Arial" w:cs="Arial"/>
          <w:sz w:val="22"/>
          <w:szCs w:val="22"/>
        </w:rPr>
        <w:t xml:space="preserve"> jeho objekt</w:t>
      </w:r>
      <w:r w:rsidR="00C20921">
        <w:rPr>
          <w:rFonts w:ascii="Arial" w:hAnsi="Arial" w:cs="Arial"/>
          <w:sz w:val="22"/>
          <w:szCs w:val="22"/>
        </w:rPr>
        <w:t xml:space="preserve"> </w:t>
      </w:r>
      <w:r w:rsidR="007B6A24">
        <w:rPr>
          <w:rFonts w:ascii="Arial" w:hAnsi="Arial" w:cs="Arial"/>
          <w:sz w:val="22"/>
          <w:szCs w:val="22"/>
        </w:rPr>
        <w:t>jako nepotřebný</w:t>
      </w:r>
      <w:r w:rsidR="00044D72">
        <w:rPr>
          <w:rFonts w:ascii="Arial" w:hAnsi="Arial" w:cs="Arial"/>
          <w:sz w:val="22"/>
          <w:szCs w:val="22"/>
        </w:rPr>
        <w:t xml:space="preserve"> </w:t>
      </w:r>
      <w:r w:rsidR="00C20921">
        <w:rPr>
          <w:rFonts w:ascii="Arial" w:hAnsi="Arial" w:cs="Arial"/>
          <w:sz w:val="22"/>
          <w:szCs w:val="22"/>
        </w:rPr>
        <w:t>ČSSZ. Ta jej v současné době rekonstruuje s náklady 17,5 mil. Kč (v</w:t>
      </w:r>
      <w:r w:rsidR="00760A40">
        <w:rPr>
          <w:rFonts w:ascii="Arial" w:hAnsi="Arial" w:cs="Arial"/>
          <w:sz w:val="22"/>
          <w:szCs w:val="22"/>
        </w:rPr>
        <w:t>iz bod 1.3 kontrolního závěru).</w:t>
      </w:r>
      <w:r w:rsidR="00044D72">
        <w:rPr>
          <w:rFonts w:ascii="Arial" w:hAnsi="Arial" w:cs="Arial"/>
          <w:sz w:val="22"/>
          <w:szCs w:val="22"/>
        </w:rPr>
        <w:t xml:space="preserve"> </w:t>
      </w:r>
    </w:p>
    <w:p w:rsidR="00A94055" w:rsidRDefault="00A94055" w:rsidP="00760A40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760A40" w:rsidRDefault="00760A40" w:rsidP="00760A40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4.3 Kontrolované akce z podprogramu č. 113 </w:t>
      </w:r>
      <w:proofErr w:type="spellStart"/>
      <w:r>
        <w:rPr>
          <w:rFonts w:ascii="Arial" w:hAnsi="Arial" w:cs="Arial"/>
          <w:b/>
          <w:sz w:val="22"/>
          <w:szCs w:val="22"/>
        </w:rPr>
        <w:t>34D</w:t>
      </w:r>
      <w:proofErr w:type="spellEnd"/>
    </w:p>
    <w:p w:rsidR="00760A40" w:rsidRPr="00760A40" w:rsidRDefault="00760A40" w:rsidP="00760A40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B16F7" w:rsidRDefault="000B16F7" w:rsidP="00907D79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kontrole byly vybrány tři akce</w:t>
      </w:r>
      <w:r w:rsidR="00044D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E516A6">
        <w:rPr>
          <w:rFonts w:ascii="Arial" w:hAnsi="Arial" w:cs="Arial"/>
          <w:sz w:val="22"/>
          <w:szCs w:val="22"/>
        </w:rPr>
        <w:t xml:space="preserve">které se </w:t>
      </w:r>
      <w:r>
        <w:rPr>
          <w:rFonts w:ascii="Arial" w:hAnsi="Arial" w:cs="Arial"/>
          <w:sz w:val="22"/>
          <w:szCs w:val="22"/>
        </w:rPr>
        <w:t>týka</w:t>
      </w:r>
      <w:r w:rsidR="00E516A6">
        <w:rPr>
          <w:rFonts w:ascii="Arial" w:hAnsi="Arial" w:cs="Arial"/>
          <w:sz w:val="22"/>
          <w:szCs w:val="22"/>
        </w:rPr>
        <w:t>ly</w:t>
      </w:r>
      <w:r>
        <w:rPr>
          <w:rFonts w:ascii="Arial" w:hAnsi="Arial" w:cs="Arial"/>
          <w:sz w:val="22"/>
          <w:szCs w:val="22"/>
        </w:rPr>
        <w:t xml:space="preserve"> objektů v </w:t>
      </w:r>
      <w:r w:rsidR="00DC0056">
        <w:rPr>
          <w:rFonts w:ascii="Arial" w:hAnsi="Arial" w:cs="Arial"/>
          <w:sz w:val="22"/>
          <w:szCs w:val="22"/>
        </w:rPr>
        <w:t>Karlových Varech, Pardubicích a </w:t>
      </w:r>
      <w:r>
        <w:rPr>
          <w:rFonts w:ascii="Arial" w:hAnsi="Arial" w:cs="Arial"/>
          <w:sz w:val="22"/>
          <w:szCs w:val="22"/>
        </w:rPr>
        <w:t>Praze</w:t>
      </w:r>
      <w:r w:rsidR="00DC0056">
        <w:rPr>
          <w:rFonts w:ascii="Arial" w:hAnsi="Arial" w:cs="Arial"/>
          <w:sz w:val="22"/>
          <w:szCs w:val="22"/>
        </w:rPr>
        <w:t> 7</w:t>
      </w:r>
      <w:r w:rsidR="00044D72">
        <w:rPr>
          <w:rFonts w:ascii="Arial" w:hAnsi="Arial" w:cs="Arial"/>
          <w:sz w:val="22"/>
          <w:szCs w:val="22"/>
        </w:rPr>
        <w:t>,</w:t>
      </w:r>
      <w:r w:rsidR="00DB339F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s </w:t>
      </w:r>
      <w:r w:rsidR="00DB339F">
        <w:rPr>
          <w:rFonts w:ascii="Arial" w:hAnsi="Arial" w:cs="Arial"/>
          <w:sz w:val="22"/>
          <w:szCs w:val="22"/>
        </w:rPr>
        <w:t>celkovými</w:t>
      </w:r>
      <w:r>
        <w:rPr>
          <w:rFonts w:ascii="Arial" w:hAnsi="Arial" w:cs="Arial"/>
          <w:sz w:val="22"/>
          <w:szCs w:val="22"/>
        </w:rPr>
        <w:t xml:space="preserve"> náklady 674,5 mil. Kč</w:t>
      </w:r>
      <w:r w:rsidR="00DB339F">
        <w:rPr>
          <w:rFonts w:ascii="Arial" w:hAnsi="Arial" w:cs="Arial"/>
          <w:sz w:val="22"/>
          <w:szCs w:val="22"/>
        </w:rPr>
        <w:t xml:space="preserve"> (viz příloha č. 1)</w:t>
      </w:r>
      <w:r>
        <w:rPr>
          <w:rFonts w:ascii="Arial" w:hAnsi="Arial" w:cs="Arial"/>
          <w:sz w:val="22"/>
          <w:szCs w:val="22"/>
        </w:rPr>
        <w:t>.</w:t>
      </w:r>
      <w:r w:rsidR="0017320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Kontrolou</w:t>
      </w:r>
      <w:r w:rsidR="00173205">
        <w:rPr>
          <w:rFonts w:ascii="Arial" w:hAnsi="Arial" w:cs="Arial"/>
          <w:sz w:val="22"/>
          <w:szCs w:val="22"/>
        </w:rPr>
        <w:t xml:space="preserve"> jejich přípravy a </w:t>
      </w:r>
      <w:r>
        <w:rPr>
          <w:rFonts w:ascii="Arial" w:hAnsi="Arial" w:cs="Arial"/>
          <w:sz w:val="22"/>
          <w:szCs w:val="22"/>
        </w:rPr>
        <w:t>realizace byly zjištěny následující nedostatky:</w:t>
      </w:r>
    </w:p>
    <w:p w:rsidR="006F148F" w:rsidRDefault="000B16F7" w:rsidP="0037156F">
      <w:pPr>
        <w:pStyle w:val="Prosttext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 w:rsidR="00625614">
        <w:rPr>
          <w:rFonts w:ascii="Arial" w:hAnsi="Arial" w:cs="Arial"/>
          <w:sz w:val="22"/>
          <w:szCs w:val="22"/>
        </w:rPr>
        <w:tab/>
      </w:r>
      <w:r w:rsidR="007849CA">
        <w:rPr>
          <w:rFonts w:ascii="Arial" w:hAnsi="Arial" w:cs="Arial"/>
          <w:sz w:val="22"/>
          <w:szCs w:val="22"/>
        </w:rPr>
        <w:t>U akce</w:t>
      </w:r>
      <w:r w:rsidR="00E516A6">
        <w:rPr>
          <w:rFonts w:ascii="Arial" w:hAnsi="Arial" w:cs="Arial"/>
          <w:sz w:val="22"/>
          <w:szCs w:val="22"/>
        </w:rPr>
        <w:t xml:space="preserve"> výstavby</w:t>
      </w:r>
      <w:r w:rsidR="007849CA">
        <w:rPr>
          <w:rFonts w:ascii="Arial" w:hAnsi="Arial" w:cs="Arial"/>
          <w:sz w:val="22"/>
          <w:szCs w:val="22"/>
        </w:rPr>
        <w:t xml:space="preserve"> objektu v Karlových Varech trvalo </w:t>
      </w:r>
      <w:r w:rsidR="00420084">
        <w:rPr>
          <w:rFonts w:ascii="Arial" w:hAnsi="Arial" w:cs="Arial"/>
          <w:sz w:val="22"/>
          <w:szCs w:val="22"/>
        </w:rPr>
        <w:t>zprostředkujícím subjektům</w:t>
      </w:r>
      <w:r w:rsidR="007849CA">
        <w:rPr>
          <w:rFonts w:ascii="Arial" w:hAnsi="Arial" w:cs="Arial"/>
          <w:sz w:val="22"/>
          <w:szCs w:val="22"/>
        </w:rPr>
        <w:t xml:space="preserve"> p</w:t>
      </w:r>
      <w:r w:rsidR="00C71AD5">
        <w:rPr>
          <w:rFonts w:ascii="Arial" w:hAnsi="Arial" w:cs="Arial"/>
          <w:sz w:val="22"/>
          <w:szCs w:val="22"/>
        </w:rPr>
        <w:t xml:space="preserve">osouzení výběru dodavatele stavebních prací pro vydání stanovení výdajů od jejich zaslání úřadem práce více než </w:t>
      </w:r>
      <w:r w:rsidR="006F148F">
        <w:rPr>
          <w:rFonts w:ascii="Arial" w:hAnsi="Arial" w:cs="Arial"/>
          <w:sz w:val="22"/>
          <w:szCs w:val="22"/>
        </w:rPr>
        <w:t>2,5 měsíce.</w:t>
      </w:r>
      <w:r w:rsidR="00990E33">
        <w:rPr>
          <w:rFonts w:ascii="Arial" w:hAnsi="Arial" w:cs="Arial"/>
          <w:sz w:val="22"/>
          <w:szCs w:val="22"/>
        </w:rPr>
        <w:t xml:space="preserve"> Úřad práce tak nedodržel</w:t>
      </w:r>
      <w:r w:rsidR="006F148F">
        <w:rPr>
          <w:rFonts w:ascii="Arial" w:hAnsi="Arial" w:cs="Arial"/>
          <w:sz w:val="22"/>
          <w:szCs w:val="22"/>
        </w:rPr>
        <w:t xml:space="preserve"> maximální lhůt</w:t>
      </w:r>
      <w:r w:rsidR="004853DD">
        <w:rPr>
          <w:rFonts w:ascii="Arial" w:hAnsi="Arial" w:cs="Arial"/>
          <w:sz w:val="22"/>
          <w:szCs w:val="22"/>
        </w:rPr>
        <w:t>u</w:t>
      </w:r>
      <w:r w:rsidR="00990E33">
        <w:rPr>
          <w:rFonts w:ascii="Arial" w:hAnsi="Arial" w:cs="Arial"/>
          <w:sz w:val="22"/>
          <w:szCs w:val="22"/>
        </w:rPr>
        <w:t xml:space="preserve"> pro uzavření smlouvy stanovenou</w:t>
      </w:r>
      <w:r w:rsidR="006F148F">
        <w:rPr>
          <w:rFonts w:ascii="Arial" w:hAnsi="Arial" w:cs="Arial"/>
          <w:sz w:val="22"/>
          <w:szCs w:val="22"/>
        </w:rPr>
        <w:t xml:space="preserve"> zákonem č. 137/2006 Sb.</w:t>
      </w:r>
      <w:r w:rsidR="00D25A28">
        <w:rPr>
          <w:rFonts w:ascii="Arial" w:hAnsi="Arial" w:cs="Arial"/>
          <w:sz w:val="22"/>
          <w:szCs w:val="22"/>
        </w:rPr>
        <w:t xml:space="preserve"> a porušil</w:t>
      </w:r>
      <w:r w:rsidR="00990E33">
        <w:rPr>
          <w:rFonts w:ascii="Arial" w:hAnsi="Arial" w:cs="Arial"/>
          <w:sz w:val="22"/>
          <w:szCs w:val="22"/>
        </w:rPr>
        <w:t xml:space="preserve"> jednu </w:t>
      </w:r>
      <w:r w:rsidR="009E06AF">
        <w:rPr>
          <w:rFonts w:ascii="Arial" w:hAnsi="Arial" w:cs="Arial"/>
          <w:sz w:val="22"/>
          <w:szCs w:val="22"/>
        </w:rPr>
        <w:t>z </w:t>
      </w:r>
      <w:r w:rsidR="00990E33">
        <w:rPr>
          <w:rFonts w:ascii="Arial" w:hAnsi="Arial" w:cs="Arial"/>
          <w:sz w:val="22"/>
          <w:szCs w:val="22"/>
        </w:rPr>
        <w:t>podmínek</w:t>
      </w:r>
      <w:r w:rsidR="00D25A28">
        <w:rPr>
          <w:rFonts w:ascii="Arial" w:hAnsi="Arial" w:cs="Arial"/>
          <w:sz w:val="22"/>
          <w:szCs w:val="22"/>
        </w:rPr>
        <w:t xml:space="preserve"> pro čerpání prostředků z podprogramu.</w:t>
      </w:r>
      <w:r w:rsidR="006F148F">
        <w:rPr>
          <w:rFonts w:ascii="Arial" w:hAnsi="Arial" w:cs="Arial"/>
          <w:sz w:val="22"/>
          <w:szCs w:val="22"/>
        </w:rPr>
        <w:t xml:space="preserve"> </w:t>
      </w:r>
    </w:p>
    <w:p w:rsidR="00E15A9A" w:rsidRDefault="000547DE" w:rsidP="0037156F">
      <w:pPr>
        <w:pStyle w:val="Prosttext"/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990E3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budově</w:t>
      </w:r>
      <w:r w:rsidR="00990E33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s </w:t>
      </w:r>
      <w:r w:rsidR="00D25A28">
        <w:rPr>
          <w:rFonts w:ascii="Arial" w:hAnsi="Arial" w:cs="Arial"/>
          <w:sz w:val="22"/>
          <w:szCs w:val="22"/>
        </w:rPr>
        <w:t>projektovanou kapacitou 75 zaměstnanců</w:t>
      </w:r>
      <w:r w:rsidR="00044D72">
        <w:rPr>
          <w:rFonts w:ascii="Arial" w:hAnsi="Arial" w:cs="Arial"/>
          <w:sz w:val="22"/>
          <w:szCs w:val="22"/>
        </w:rPr>
        <w:t>, kterou ÚP ČR pořídil</w:t>
      </w:r>
      <w:r w:rsidR="00695069">
        <w:rPr>
          <w:rFonts w:ascii="Arial" w:hAnsi="Arial" w:cs="Arial"/>
          <w:sz w:val="22"/>
          <w:szCs w:val="22"/>
        </w:rPr>
        <w:t xml:space="preserve"> v roce 2012</w:t>
      </w:r>
      <w:r w:rsidR="00044D72">
        <w:rPr>
          <w:rFonts w:ascii="Arial" w:hAnsi="Arial" w:cs="Arial"/>
          <w:sz w:val="22"/>
          <w:szCs w:val="22"/>
        </w:rPr>
        <w:t>,</w:t>
      </w:r>
      <w:r w:rsidR="00695069">
        <w:rPr>
          <w:rFonts w:ascii="Arial" w:hAnsi="Arial" w:cs="Arial"/>
          <w:sz w:val="22"/>
          <w:szCs w:val="22"/>
        </w:rPr>
        <w:t xml:space="preserve"> </w:t>
      </w:r>
      <w:r w:rsidR="00990E33">
        <w:rPr>
          <w:rFonts w:ascii="Arial" w:hAnsi="Arial" w:cs="Arial"/>
          <w:sz w:val="22"/>
          <w:szCs w:val="22"/>
        </w:rPr>
        <w:t>bylo</w:t>
      </w:r>
      <w:r w:rsidR="00D25A28">
        <w:rPr>
          <w:rFonts w:ascii="Arial" w:hAnsi="Arial" w:cs="Arial"/>
          <w:sz w:val="22"/>
          <w:szCs w:val="22"/>
        </w:rPr>
        <w:t xml:space="preserve"> v době kontroly</w:t>
      </w:r>
      <w:r w:rsidR="0039188B">
        <w:rPr>
          <w:rFonts w:ascii="Arial" w:hAnsi="Arial" w:cs="Arial"/>
          <w:sz w:val="22"/>
          <w:szCs w:val="22"/>
        </w:rPr>
        <w:t xml:space="preserve"> umístěno</w:t>
      </w:r>
      <w:r w:rsidR="00D25A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43 % víc</w:t>
      </w:r>
      <w:r w:rsidR="00D25A28">
        <w:rPr>
          <w:rFonts w:ascii="Arial" w:hAnsi="Arial" w:cs="Arial"/>
          <w:sz w:val="22"/>
          <w:szCs w:val="22"/>
        </w:rPr>
        <w:t>e zaměstnanců</w:t>
      </w:r>
      <w:r>
        <w:rPr>
          <w:rFonts w:ascii="Arial" w:hAnsi="Arial" w:cs="Arial"/>
          <w:sz w:val="22"/>
          <w:szCs w:val="22"/>
        </w:rPr>
        <w:t xml:space="preserve">. Dalších devět zaměstnanců </w:t>
      </w:r>
      <w:r w:rsidR="00D25A28">
        <w:rPr>
          <w:rFonts w:ascii="Arial" w:hAnsi="Arial" w:cs="Arial"/>
          <w:sz w:val="22"/>
          <w:szCs w:val="22"/>
        </w:rPr>
        <w:t>zůstalo</w:t>
      </w:r>
      <w:r w:rsidRPr="000547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původní budově, která </w:t>
      </w:r>
      <w:r w:rsidR="00D25A28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 xml:space="preserve"> podle úřadu práce v řadě kritérií nevyhovující. P</w:t>
      </w:r>
      <w:r w:rsidR="00173205">
        <w:rPr>
          <w:rFonts w:ascii="Arial" w:hAnsi="Arial" w:cs="Arial"/>
          <w:sz w:val="22"/>
          <w:szCs w:val="22"/>
        </w:rPr>
        <w:t xml:space="preserve">ořízení kapacitně </w:t>
      </w:r>
      <w:r w:rsidR="00D25A28">
        <w:rPr>
          <w:rFonts w:ascii="Arial" w:hAnsi="Arial" w:cs="Arial"/>
          <w:sz w:val="22"/>
          <w:szCs w:val="22"/>
        </w:rPr>
        <w:t>nedostatečné</w:t>
      </w:r>
      <w:r w:rsidR="00173205">
        <w:rPr>
          <w:rFonts w:ascii="Arial" w:hAnsi="Arial" w:cs="Arial"/>
          <w:sz w:val="22"/>
          <w:szCs w:val="22"/>
        </w:rPr>
        <w:t xml:space="preserve"> budovy</w:t>
      </w:r>
      <w:r w:rsidR="006D53DA">
        <w:rPr>
          <w:rFonts w:ascii="Arial" w:hAnsi="Arial" w:cs="Arial"/>
          <w:sz w:val="22"/>
          <w:szCs w:val="22"/>
        </w:rPr>
        <w:t xml:space="preserve"> </w:t>
      </w:r>
      <w:r w:rsidR="0039188B">
        <w:rPr>
          <w:rFonts w:ascii="Arial" w:hAnsi="Arial" w:cs="Arial"/>
          <w:sz w:val="22"/>
          <w:szCs w:val="22"/>
        </w:rPr>
        <w:t xml:space="preserve">bylo </w:t>
      </w:r>
      <w:r w:rsidR="00CF269B">
        <w:rPr>
          <w:rFonts w:ascii="Arial" w:hAnsi="Arial" w:cs="Arial"/>
          <w:sz w:val="22"/>
          <w:szCs w:val="22"/>
        </w:rPr>
        <w:t xml:space="preserve">důsledkem </w:t>
      </w:r>
      <w:r w:rsidR="0039188B">
        <w:rPr>
          <w:rFonts w:ascii="Arial" w:hAnsi="Arial" w:cs="Arial"/>
          <w:sz w:val="22"/>
          <w:szCs w:val="22"/>
        </w:rPr>
        <w:t xml:space="preserve">především </w:t>
      </w:r>
      <w:r w:rsidR="00173205">
        <w:rPr>
          <w:rFonts w:ascii="Arial" w:hAnsi="Arial" w:cs="Arial"/>
          <w:sz w:val="22"/>
          <w:szCs w:val="22"/>
        </w:rPr>
        <w:t>uvedené</w:t>
      </w:r>
      <w:r w:rsidR="00CF269B">
        <w:rPr>
          <w:rFonts w:ascii="Arial" w:hAnsi="Arial" w:cs="Arial"/>
          <w:sz w:val="22"/>
          <w:szCs w:val="22"/>
        </w:rPr>
        <w:t xml:space="preserve"> </w:t>
      </w:r>
      <w:r w:rsidR="00E15A9A">
        <w:rPr>
          <w:rFonts w:ascii="Arial" w:hAnsi="Arial" w:cs="Arial"/>
          <w:sz w:val="22"/>
          <w:szCs w:val="22"/>
        </w:rPr>
        <w:t>koncepční neujasněnosti organizace a činnosti ÚP ČR v době výstavby</w:t>
      </w:r>
      <w:r w:rsidR="007577C3">
        <w:rPr>
          <w:rFonts w:ascii="Arial" w:hAnsi="Arial" w:cs="Arial"/>
          <w:sz w:val="22"/>
          <w:szCs w:val="22"/>
        </w:rPr>
        <w:t xml:space="preserve"> budovy.</w:t>
      </w:r>
    </w:p>
    <w:p w:rsidR="00AA62F6" w:rsidRDefault="00B06FDF" w:rsidP="0037156F">
      <w:pPr>
        <w:pStyle w:val="Prosttext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907529">
        <w:rPr>
          <w:rFonts w:ascii="Arial" w:hAnsi="Arial" w:cs="Arial"/>
          <w:sz w:val="22"/>
          <w:szCs w:val="22"/>
        </w:rPr>
        <w:t>Pro objekt v Pardubicích byla</w:t>
      </w:r>
      <w:r w:rsidR="00D25A28">
        <w:rPr>
          <w:rFonts w:ascii="Arial" w:hAnsi="Arial" w:cs="Arial"/>
          <w:sz w:val="22"/>
          <w:szCs w:val="22"/>
        </w:rPr>
        <w:t xml:space="preserve"> </w:t>
      </w:r>
      <w:r w:rsidR="00907529">
        <w:rPr>
          <w:rFonts w:ascii="Arial" w:hAnsi="Arial" w:cs="Arial"/>
          <w:sz w:val="22"/>
          <w:szCs w:val="22"/>
        </w:rPr>
        <w:t>navržena</w:t>
      </w:r>
      <w:r w:rsidR="00F872AA">
        <w:rPr>
          <w:rFonts w:ascii="Arial" w:hAnsi="Arial" w:cs="Arial"/>
          <w:sz w:val="22"/>
          <w:szCs w:val="22"/>
        </w:rPr>
        <w:t xml:space="preserve"> rekonstrukce stávající budovy</w:t>
      </w:r>
      <w:r w:rsidR="00907529">
        <w:rPr>
          <w:rFonts w:ascii="Arial" w:hAnsi="Arial" w:cs="Arial"/>
          <w:sz w:val="22"/>
          <w:szCs w:val="22"/>
        </w:rPr>
        <w:t xml:space="preserve"> a její </w:t>
      </w:r>
      <w:r w:rsidR="00AA62F6">
        <w:rPr>
          <w:rFonts w:ascii="Arial" w:hAnsi="Arial" w:cs="Arial"/>
          <w:sz w:val="22"/>
          <w:szCs w:val="22"/>
        </w:rPr>
        <w:t>dostavba na sousedním pozemku</w:t>
      </w:r>
      <w:r w:rsidR="00D25A28">
        <w:rPr>
          <w:rFonts w:ascii="Arial" w:hAnsi="Arial" w:cs="Arial"/>
          <w:sz w:val="22"/>
          <w:szCs w:val="22"/>
        </w:rPr>
        <w:t xml:space="preserve"> s předpokládanými náklady 130 mil. Kč</w:t>
      </w:r>
      <w:r w:rsidR="003D4E7F">
        <w:rPr>
          <w:rFonts w:ascii="Arial" w:hAnsi="Arial" w:cs="Arial"/>
          <w:sz w:val="22"/>
          <w:szCs w:val="22"/>
        </w:rPr>
        <w:t>.</w:t>
      </w:r>
      <w:r w:rsidR="00990E33">
        <w:rPr>
          <w:rFonts w:ascii="Arial" w:hAnsi="Arial" w:cs="Arial"/>
          <w:sz w:val="22"/>
          <w:szCs w:val="22"/>
        </w:rPr>
        <w:t xml:space="preserve"> </w:t>
      </w:r>
      <w:r w:rsidR="003D4E7F">
        <w:rPr>
          <w:rFonts w:ascii="Arial" w:hAnsi="Arial" w:cs="Arial"/>
          <w:sz w:val="22"/>
          <w:szCs w:val="22"/>
        </w:rPr>
        <w:t>Tuto variantu</w:t>
      </w:r>
      <w:r w:rsidR="00CA3237">
        <w:rPr>
          <w:rFonts w:ascii="Arial" w:hAnsi="Arial" w:cs="Arial"/>
          <w:sz w:val="22"/>
          <w:szCs w:val="22"/>
        </w:rPr>
        <w:t xml:space="preserve"> ale</w:t>
      </w:r>
      <w:r w:rsidR="00990E33">
        <w:rPr>
          <w:rFonts w:ascii="Arial" w:hAnsi="Arial" w:cs="Arial"/>
          <w:sz w:val="22"/>
          <w:szCs w:val="22"/>
        </w:rPr>
        <w:t xml:space="preserve"> </w:t>
      </w:r>
      <w:r w:rsidR="00907529">
        <w:rPr>
          <w:rFonts w:ascii="Arial" w:hAnsi="Arial" w:cs="Arial"/>
          <w:sz w:val="22"/>
          <w:szCs w:val="22"/>
        </w:rPr>
        <w:t>MPSV v</w:t>
      </w:r>
      <w:r w:rsidR="00862317">
        <w:rPr>
          <w:rFonts w:ascii="Arial" w:hAnsi="Arial" w:cs="Arial"/>
          <w:sz w:val="22"/>
          <w:szCs w:val="22"/>
        </w:rPr>
        <w:t> </w:t>
      </w:r>
      <w:r w:rsidR="00907529">
        <w:rPr>
          <w:rFonts w:ascii="Arial" w:hAnsi="Arial" w:cs="Arial"/>
          <w:sz w:val="22"/>
          <w:szCs w:val="22"/>
        </w:rPr>
        <w:t>roce</w:t>
      </w:r>
      <w:r w:rsidR="00990E33">
        <w:rPr>
          <w:rFonts w:ascii="Arial" w:hAnsi="Arial" w:cs="Arial"/>
          <w:sz w:val="22"/>
          <w:szCs w:val="22"/>
        </w:rPr>
        <w:t xml:space="preserve"> 2007 a </w:t>
      </w:r>
      <w:r w:rsidR="00862317">
        <w:rPr>
          <w:rFonts w:ascii="Arial" w:hAnsi="Arial" w:cs="Arial"/>
          <w:sz w:val="22"/>
          <w:szCs w:val="22"/>
        </w:rPr>
        <w:t xml:space="preserve">následně ani v roce </w:t>
      </w:r>
      <w:r w:rsidR="00907529">
        <w:rPr>
          <w:rFonts w:ascii="Arial" w:hAnsi="Arial" w:cs="Arial"/>
          <w:sz w:val="22"/>
          <w:szCs w:val="22"/>
        </w:rPr>
        <w:t>2010 neschválilo</w:t>
      </w:r>
      <w:r w:rsidR="00990E33">
        <w:rPr>
          <w:rFonts w:ascii="Arial" w:hAnsi="Arial" w:cs="Arial"/>
          <w:sz w:val="22"/>
          <w:szCs w:val="22"/>
        </w:rPr>
        <w:t xml:space="preserve">. </w:t>
      </w:r>
      <w:r w:rsidR="00BF6454">
        <w:rPr>
          <w:rFonts w:ascii="Arial" w:hAnsi="Arial" w:cs="Arial"/>
          <w:sz w:val="22"/>
          <w:szCs w:val="22"/>
        </w:rPr>
        <w:t>Uváděným d</w:t>
      </w:r>
      <w:r w:rsidR="00990E33">
        <w:rPr>
          <w:rFonts w:ascii="Arial" w:hAnsi="Arial" w:cs="Arial"/>
          <w:sz w:val="22"/>
          <w:szCs w:val="22"/>
        </w:rPr>
        <w:t>ůvodem byla velikost</w:t>
      </w:r>
      <w:r w:rsidR="00907529">
        <w:rPr>
          <w:rFonts w:ascii="Arial" w:hAnsi="Arial" w:cs="Arial"/>
          <w:sz w:val="22"/>
          <w:szCs w:val="22"/>
        </w:rPr>
        <w:t xml:space="preserve"> pozemku</w:t>
      </w:r>
      <w:r w:rsidR="00C40B2D">
        <w:rPr>
          <w:rFonts w:ascii="Arial" w:hAnsi="Arial" w:cs="Arial"/>
          <w:sz w:val="22"/>
          <w:szCs w:val="22"/>
        </w:rPr>
        <w:t xml:space="preserve"> 3 775 </w:t>
      </w:r>
      <w:proofErr w:type="spellStart"/>
      <w:r w:rsidR="00BF6454">
        <w:rPr>
          <w:rFonts w:ascii="Arial" w:hAnsi="Arial" w:cs="Arial"/>
          <w:sz w:val="22"/>
          <w:szCs w:val="22"/>
        </w:rPr>
        <w:t>m</w:t>
      </w:r>
      <w:r w:rsidR="00BF6454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990E33">
        <w:rPr>
          <w:rFonts w:ascii="Arial" w:hAnsi="Arial" w:cs="Arial"/>
          <w:sz w:val="22"/>
          <w:szCs w:val="22"/>
        </w:rPr>
        <w:t xml:space="preserve">, který jeho </w:t>
      </w:r>
      <w:r w:rsidR="00907529">
        <w:rPr>
          <w:rFonts w:ascii="Arial" w:hAnsi="Arial" w:cs="Arial"/>
          <w:sz w:val="22"/>
          <w:szCs w:val="22"/>
        </w:rPr>
        <w:t>vlastník nabízel k prodeji pouze</w:t>
      </w:r>
      <w:r w:rsidR="00990E33">
        <w:rPr>
          <w:rFonts w:ascii="Arial" w:hAnsi="Arial" w:cs="Arial"/>
          <w:sz w:val="22"/>
          <w:szCs w:val="22"/>
        </w:rPr>
        <w:t xml:space="preserve"> jako celek</w:t>
      </w:r>
      <w:r w:rsidR="00BF6454">
        <w:rPr>
          <w:rFonts w:ascii="Arial" w:hAnsi="Arial" w:cs="Arial"/>
          <w:sz w:val="22"/>
          <w:szCs w:val="22"/>
        </w:rPr>
        <w:t xml:space="preserve"> za 15 mil. Kč, přičemž pro výstavbu</w:t>
      </w:r>
      <w:r w:rsidR="0039188B">
        <w:rPr>
          <w:rFonts w:ascii="Arial" w:hAnsi="Arial" w:cs="Arial"/>
          <w:sz w:val="22"/>
          <w:szCs w:val="22"/>
        </w:rPr>
        <w:t xml:space="preserve"> by</w:t>
      </w:r>
      <w:r w:rsidR="00BF6454">
        <w:rPr>
          <w:rFonts w:ascii="Arial" w:hAnsi="Arial" w:cs="Arial"/>
          <w:sz w:val="22"/>
          <w:szCs w:val="22"/>
        </w:rPr>
        <w:t xml:space="preserve"> byla dostačující výměra 1 200 </w:t>
      </w:r>
      <w:proofErr w:type="spellStart"/>
      <w:r w:rsidR="00BF6454" w:rsidRPr="00BF6454">
        <w:rPr>
          <w:rFonts w:ascii="Arial" w:hAnsi="Arial" w:cs="Arial"/>
          <w:sz w:val="22"/>
          <w:szCs w:val="22"/>
        </w:rPr>
        <w:t>m</w:t>
      </w:r>
      <w:r w:rsidR="00BF6454" w:rsidRPr="00BF6454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BF6454">
        <w:rPr>
          <w:rFonts w:ascii="Arial" w:hAnsi="Arial" w:cs="Arial"/>
          <w:sz w:val="22"/>
          <w:szCs w:val="22"/>
        </w:rPr>
        <w:t xml:space="preserve">. </w:t>
      </w:r>
      <w:r w:rsidR="00DC0056">
        <w:rPr>
          <w:rFonts w:ascii="Arial" w:hAnsi="Arial" w:cs="Arial"/>
          <w:sz w:val="22"/>
          <w:szCs w:val="22"/>
        </w:rPr>
        <w:t xml:space="preserve">MPSV nakonec schválilo </w:t>
      </w:r>
      <w:r w:rsidR="00BF6454">
        <w:rPr>
          <w:rFonts w:ascii="Arial" w:hAnsi="Arial" w:cs="Arial"/>
          <w:sz w:val="22"/>
          <w:szCs w:val="22"/>
        </w:rPr>
        <w:t xml:space="preserve">v roce 2012 </w:t>
      </w:r>
      <w:r w:rsidR="00DC0056">
        <w:rPr>
          <w:rFonts w:ascii="Arial" w:hAnsi="Arial" w:cs="Arial"/>
          <w:sz w:val="22"/>
          <w:szCs w:val="22"/>
        </w:rPr>
        <w:t>variantu výstavby zcela nové budovy</w:t>
      </w:r>
      <w:r w:rsidR="00F07558">
        <w:rPr>
          <w:rFonts w:ascii="Arial" w:hAnsi="Arial" w:cs="Arial"/>
          <w:sz w:val="22"/>
          <w:szCs w:val="22"/>
        </w:rPr>
        <w:t xml:space="preserve"> v jiné lokalitě na pozemcích o výměře 13 672 </w:t>
      </w:r>
      <w:proofErr w:type="spellStart"/>
      <w:r w:rsidR="00F07558">
        <w:rPr>
          <w:rFonts w:ascii="Arial" w:hAnsi="Arial" w:cs="Arial"/>
          <w:sz w:val="22"/>
          <w:szCs w:val="22"/>
        </w:rPr>
        <w:t>m</w:t>
      </w:r>
      <w:r w:rsidR="00F07558">
        <w:rPr>
          <w:rFonts w:ascii="Arial" w:hAnsi="Arial" w:cs="Arial"/>
          <w:sz w:val="22"/>
          <w:szCs w:val="22"/>
          <w:vertAlign w:val="superscript"/>
        </w:rPr>
        <w:t>2</w:t>
      </w:r>
      <w:proofErr w:type="spellEnd"/>
      <w:r w:rsidR="00F07558">
        <w:rPr>
          <w:rFonts w:ascii="Arial" w:hAnsi="Arial" w:cs="Arial"/>
          <w:sz w:val="22"/>
          <w:szCs w:val="22"/>
        </w:rPr>
        <w:t xml:space="preserve">, které úřad práce získal bezúplatně. Předpokládané náklady na schválenou variantu </w:t>
      </w:r>
      <w:r w:rsidR="00C40B2D">
        <w:rPr>
          <w:rFonts w:ascii="Arial" w:hAnsi="Arial" w:cs="Arial"/>
          <w:sz w:val="22"/>
          <w:szCs w:val="22"/>
        </w:rPr>
        <w:t>267 </w:t>
      </w:r>
      <w:r w:rsidR="00AA62F6">
        <w:rPr>
          <w:rFonts w:ascii="Arial" w:hAnsi="Arial" w:cs="Arial"/>
          <w:sz w:val="22"/>
          <w:szCs w:val="22"/>
        </w:rPr>
        <w:t>mil. Kč</w:t>
      </w:r>
      <w:r w:rsidR="00F07558">
        <w:rPr>
          <w:rFonts w:ascii="Arial" w:hAnsi="Arial" w:cs="Arial"/>
          <w:sz w:val="22"/>
          <w:szCs w:val="22"/>
        </w:rPr>
        <w:t xml:space="preserve"> byly </w:t>
      </w:r>
      <w:r w:rsidR="00D25A28">
        <w:rPr>
          <w:rFonts w:ascii="Arial" w:hAnsi="Arial" w:cs="Arial"/>
          <w:sz w:val="22"/>
          <w:szCs w:val="22"/>
        </w:rPr>
        <w:t xml:space="preserve">více než </w:t>
      </w:r>
      <w:r w:rsidR="00DC0056">
        <w:rPr>
          <w:rFonts w:ascii="Arial" w:hAnsi="Arial" w:cs="Arial"/>
          <w:sz w:val="22"/>
          <w:szCs w:val="22"/>
        </w:rPr>
        <w:t>dvojn</w:t>
      </w:r>
      <w:r w:rsidR="00F07558">
        <w:rPr>
          <w:rFonts w:ascii="Arial" w:hAnsi="Arial" w:cs="Arial"/>
          <w:sz w:val="22"/>
          <w:szCs w:val="22"/>
        </w:rPr>
        <w:t>ásobné</w:t>
      </w:r>
      <w:r w:rsidR="00D25A28">
        <w:rPr>
          <w:rFonts w:ascii="Arial" w:hAnsi="Arial" w:cs="Arial"/>
          <w:sz w:val="22"/>
          <w:szCs w:val="22"/>
        </w:rPr>
        <w:t xml:space="preserve"> </w:t>
      </w:r>
      <w:r w:rsidR="0020412E">
        <w:rPr>
          <w:rFonts w:ascii="Arial" w:hAnsi="Arial" w:cs="Arial"/>
          <w:sz w:val="22"/>
          <w:szCs w:val="22"/>
        </w:rPr>
        <w:t>o</w:t>
      </w:r>
      <w:r w:rsidR="00D25A28">
        <w:rPr>
          <w:rFonts w:ascii="Arial" w:hAnsi="Arial" w:cs="Arial"/>
          <w:sz w:val="22"/>
          <w:szCs w:val="22"/>
        </w:rPr>
        <w:t>proti neschválené variantě.</w:t>
      </w:r>
    </w:p>
    <w:p w:rsidR="00805F96" w:rsidRDefault="00AA62F6" w:rsidP="0037156F">
      <w:pPr>
        <w:pStyle w:val="Prosttext"/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05F96">
        <w:rPr>
          <w:rFonts w:ascii="Arial" w:hAnsi="Arial" w:cs="Arial"/>
          <w:sz w:val="22"/>
          <w:szCs w:val="22"/>
        </w:rPr>
        <w:t xml:space="preserve">V průběhu přípravy akce odstoupil </w:t>
      </w:r>
      <w:r w:rsidR="00805F96" w:rsidRPr="00862317">
        <w:rPr>
          <w:rFonts w:ascii="Arial" w:hAnsi="Arial" w:cs="Arial"/>
          <w:sz w:val="22"/>
          <w:szCs w:val="22"/>
        </w:rPr>
        <w:t>zpracovatel</w:t>
      </w:r>
      <w:r w:rsidR="00805F96" w:rsidRPr="00805F96">
        <w:rPr>
          <w:rFonts w:ascii="Arial" w:hAnsi="Arial" w:cs="Arial"/>
          <w:sz w:val="22"/>
          <w:szCs w:val="22"/>
        </w:rPr>
        <w:t xml:space="preserve"> </w:t>
      </w:r>
      <w:r w:rsidR="00805F96" w:rsidRPr="00862317">
        <w:rPr>
          <w:rFonts w:ascii="Arial" w:hAnsi="Arial" w:cs="Arial"/>
          <w:sz w:val="22"/>
          <w:szCs w:val="22"/>
        </w:rPr>
        <w:t>projektové dokumentace</w:t>
      </w:r>
      <w:r w:rsidR="00805F96">
        <w:rPr>
          <w:rFonts w:ascii="Arial" w:hAnsi="Arial" w:cs="Arial"/>
          <w:sz w:val="22"/>
          <w:szCs w:val="22"/>
        </w:rPr>
        <w:t xml:space="preserve"> od smlouvy. To vedlo k prodloužení přípravy a spojení vypracování zbylých</w:t>
      </w:r>
      <w:r w:rsidR="0039188B">
        <w:rPr>
          <w:rFonts w:ascii="Arial" w:hAnsi="Arial" w:cs="Arial"/>
          <w:sz w:val="22"/>
          <w:szCs w:val="22"/>
        </w:rPr>
        <w:t xml:space="preserve"> stupňů</w:t>
      </w:r>
      <w:r w:rsidR="00805F96">
        <w:rPr>
          <w:rFonts w:ascii="Arial" w:hAnsi="Arial" w:cs="Arial"/>
          <w:sz w:val="22"/>
          <w:szCs w:val="22"/>
        </w:rPr>
        <w:t xml:space="preserve"> projektových dokumentací a</w:t>
      </w:r>
      <w:r w:rsidR="0039188B">
        <w:rPr>
          <w:rFonts w:ascii="Arial" w:hAnsi="Arial" w:cs="Arial"/>
          <w:sz w:val="22"/>
          <w:szCs w:val="22"/>
        </w:rPr>
        <w:t xml:space="preserve"> provedení </w:t>
      </w:r>
      <w:r w:rsidR="00805F96">
        <w:rPr>
          <w:rFonts w:ascii="Arial" w:hAnsi="Arial" w:cs="Arial"/>
          <w:sz w:val="22"/>
          <w:szCs w:val="22"/>
        </w:rPr>
        <w:t xml:space="preserve">stavebních prací do jedné veřejné zakázky. </w:t>
      </w:r>
      <w:r w:rsidR="009E06AF">
        <w:rPr>
          <w:rFonts w:ascii="Arial" w:hAnsi="Arial" w:cs="Arial"/>
          <w:sz w:val="22"/>
          <w:szCs w:val="22"/>
        </w:rPr>
        <w:t>V </w:t>
      </w:r>
      <w:r w:rsidR="00805F96" w:rsidRPr="00862317">
        <w:rPr>
          <w:rFonts w:ascii="Arial" w:hAnsi="Arial" w:cs="Arial"/>
          <w:sz w:val="22"/>
          <w:szCs w:val="22"/>
        </w:rPr>
        <w:t>době kontroly</w:t>
      </w:r>
      <w:r w:rsidR="00805F96">
        <w:rPr>
          <w:rFonts w:ascii="Arial" w:hAnsi="Arial" w:cs="Arial"/>
          <w:sz w:val="22"/>
          <w:szCs w:val="22"/>
        </w:rPr>
        <w:t xml:space="preserve"> tak</w:t>
      </w:r>
      <w:r w:rsidR="00805F96" w:rsidRPr="00862317">
        <w:rPr>
          <w:rFonts w:ascii="Arial" w:hAnsi="Arial" w:cs="Arial"/>
          <w:sz w:val="22"/>
          <w:szCs w:val="22"/>
        </w:rPr>
        <w:t xml:space="preserve"> nebylo ještě zahájeno stavební řízení. Ze stanovení výdajů, které MPSV vydalo již </w:t>
      </w:r>
      <w:r w:rsidR="009E06AF">
        <w:rPr>
          <w:rFonts w:ascii="Arial" w:hAnsi="Arial" w:cs="Arial"/>
          <w:sz w:val="22"/>
          <w:szCs w:val="22"/>
        </w:rPr>
        <w:t>v </w:t>
      </w:r>
      <w:r w:rsidR="00805F96" w:rsidRPr="00862317">
        <w:rPr>
          <w:rFonts w:ascii="Arial" w:hAnsi="Arial" w:cs="Arial"/>
          <w:sz w:val="22"/>
          <w:szCs w:val="22"/>
        </w:rPr>
        <w:t>říjnu 2012</w:t>
      </w:r>
      <w:r w:rsidR="0039188B">
        <w:rPr>
          <w:rFonts w:ascii="Arial" w:hAnsi="Arial" w:cs="Arial"/>
          <w:sz w:val="22"/>
          <w:szCs w:val="22"/>
        </w:rPr>
        <w:t>,</w:t>
      </w:r>
      <w:r w:rsidR="00805F96" w:rsidRPr="00862317">
        <w:rPr>
          <w:rFonts w:ascii="Arial" w:hAnsi="Arial" w:cs="Arial"/>
          <w:sz w:val="22"/>
          <w:szCs w:val="22"/>
        </w:rPr>
        <w:t xml:space="preserve"> </w:t>
      </w:r>
      <w:r w:rsidR="00805F96">
        <w:rPr>
          <w:rFonts w:ascii="Arial" w:hAnsi="Arial" w:cs="Arial"/>
          <w:sz w:val="22"/>
          <w:szCs w:val="22"/>
        </w:rPr>
        <w:t>na částku 267 mil. Kč (změnou z </w:t>
      </w:r>
      <w:r w:rsidR="00805F96" w:rsidRPr="00862317">
        <w:rPr>
          <w:rFonts w:ascii="Arial" w:hAnsi="Arial" w:cs="Arial"/>
          <w:sz w:val="22"/>
          <w:szCs w:val="22"/>
        </w:rPr>
        <w:t xml:space="preserve">ledna 2014 </w:t>
      </w:r>
      <w:r w:rsidR="00805F96">
        <w:rPr>
          <w:rFonts w:ascii="Arial" w:hAnsi="Arial" w:cs="Arial"/>
          <w:sz w:val="22"/>
          <w:szCs w:val="22"/>
        </w:rPr>
        <w:t>ji snížilo</w:t>
      </w:r>
      <w:r w:rsidR="00805F96" w:rsidRPr="00862317">
        <w:rPr>
          <w:rFonts w:ascii="Arial" w:hAnsi="Arial" w:cs="Arial"/>
          <w:sz w:val="22"/>
          <w:szCs w:val="22"/>
        </w:rPr>
        <w:t xml:space="preserve"> na 259 mil. Kč), bylo vyčerpáno 0,8 mil. Kč. Existuje tak zvýšené riziko, že přidělené peněžní prostředky nebudou ve stanoveném programo</w:t>
      </w:r>
      <w:r w:rsidR="00805F96">
        <w:rPr>
          <w:rFonts w:ascii="Arial" w:hAnsi="Arial" w:cs="Arial"/>
          <w:sz w:val="22"/>
          <w:szCs w:val="22"/>
        </w:rPr>
        <w:t>v</w:t>
      </w:r>
      <w:r w:rsidR="003D4E7F">
        <w:rPr>
          <w:rFonts w:ascii="Arial" w:hAnsi="Arial" w:cs="Arial"/>
          <w:sz w:val="22"/>
          <w:szCs w:val="22"/>
        </w:rPr>
        <w:t>ém</w:t>
      </w:r>
      <w:r w:rsidR="00805F96">
        <w:rPr>
          <w:rFonts w:ascii="Arial" w:hAnsi="Arial" w:cs="Arial"/>
          <w:sz w:val="22"/>
          <w:szCs w:val="22"/>
        </w:rPr>
        <w:t xml:space="preserve"> období pro </w:t>
      </w:r>
      <w:proofErr w:type="spellStart"/>
      <w:r w:rsidR="00805F96">
        <w:rPr>
          <w:rFonts w:ascii="Arial" w:hAnsi="Arial" w:cs="Arial"/>
          <w:sz w:val="22"/>
          <w:szCs w:val="22"/>
        </w:rPr>
        <w:t>IOP</w:t>
      </w:r>
      <w:proofErr w:type="spellEnd"/>
      <w:r w:rsidR="00805F96">
        <w:rPr>
          <w:rFonts w:ascii="Arial" w:hAnsi="Arial" w:cs="Arial"/>
          <w:sz w:val="22"/>
          <w:szCs w:val="22"/>
        </w:rPr>
        <w:t xml:space="preserve"> vyčerpány.</w:t>
      </w:r>
    </w:p>
    <w:p w:rsidR="007022FA" w:rsidRDefault="00BD4EFF" w:rsidP="0037156F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  <w:t>V případě nákupu budovy v</w:t>
      </w:r>
      <w:r w:rsidR="00DC005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Praze</w:t>
      </w:r>
      <w:r w:rsidR="00DC0056">
        <w:rPr>
          <w:rFonts w:ascii="Arial" w:hAnsi="Arial" w:cs="Arial"/>
          <w:sz w:val="22"/>
          <w:szCs w:val="22"/>
        </w:rPr>
        <w:t xml:space="preserve"> 7</w:t>
      </w:r>
      <w:r>
        <w:rPr>
          <w:rFonts w:ascii="Arial" w:hAnsi="Arial" w:cs="Arial"/>
          <w:sz w:val="22"/>
          <w:szCs w:val="22"/>
        </w:rPr>
        <w:t xml:space="preserve"> nedoložil</w:t>
      </w:r>
      <w:r w:rsidR="0014107C" w:rsidRPr="0014107C">
        <w:rPr>
          <w:rFonts w:ascii="Arial" w:hAnsi="Arial" w:cs="Arial"/>
          <w:sz w:val="22"/>
          <w:szCs w:val="22"/>
        </w:rPr>
        <w:t xml:space="preserve"> </w:t>
      </w:r>
      <w:r w:rsidR="0014107C">
        <w:rPr>
          <w:rFonts w:ascii="Arial" w:hAnsi="Arial" w:cs="Arial"/>
          <w:sz w:val="22"/>
          <w:szCs w:val="22"/>
        </w:rPr>
        <w:t>ÚP ČR</w:t>
      </w:r>
      <w:r>
        <w:rPr>
          <w:rFonts w:ascii="Arial" w:hAnsi="Arial" w:cs="Arial"/>
          <w:sz w:val="22"/>
          <w:szCs w:val="22"/>
        </w:rPr>
        <w:t>, že provedl řádný výběr vhodných nemovitostí</w:t>
      </w:r>
      <w:r w:rsidR="003F492F">
        <w:rPr>
          <w:rFonts w:ascii="Arial" w:hAnsi="Arial" w:cs="Arial"/>
          <w:sz w:val="22"/>
          <w:szCs w:val="22"/>
        </w:rPr>
        <w:t xml:space="preserve">, což byla jedna z podmínek stanovených v dokumentaci </w:t>
      </w:r>
      <w:proofErr w:type="spellStart"/>
      <w:r w:rsidR="00DC0056">
        <w:rPr>
          <w:rFonts w:ascii="Arial" w:hAnsi="Arial" w:cs="Arial"/>
          <w:sz w:val="22"/>
          <w:szCs w:val="22"/>
        </w:rPr>
        <w:t>IOP</w:t>
      </w:r>
      <w:proofErr w:type="spellEnd"/>
      <w:r w:rsidR="003F492F">
        <w:rPr>
          <w:rFonts w:ascii="Arial" w:hAnsi="Arial" w:cs="Arial"/>
          <w:sz w:val="22"/>
          <w:szCs w:val="22"/>
        </w:rPr>
        <w:t>.</w:t>
      </w:r>
      <w:r w:rsidR="00862317">
        <w:rPr>
          <w:rFonts w:ascii="Arial" w:hAnsi="Arial" w:cs="Arial"/>
          <w:sz w:val="22"/>
          <w:szCs w:val="22"/>
        </w:rPr>
        <w:t xml:space="preserve"> Nedostatkem byla zejména chybějící jednoznačná k</w:t>
      </w:r>
      <w:r w:rsidR="00E53453">
        <w:rPr>
          <w:rFonts w:ascii="Arial" w:hAnsi="Arial" w:cs="Arial"/>
          <w:sz w:val="22"/>
          <w:szCs w:val="22"/>
        </w:rPr>
        <w:t>ritéria pro výběr nemovitost</w:t>
      </w:r>
      <w:r w:rsidR="009834E3">
        <w:rPr>
          <w:rFonts w:ascii="Arial" w:hAnsi="Arial" w:cs="Arial"/>
          <w:sz w:val="22"/>
          <w:szCs w:val="22"/>
        </w:rPr>
        <w:t>i</w:t>
      </w:r>
      <w:r w:rsidR="00E53453">
        <w:rPr>
          <w:rFonts w:ascii="Arial" w:hAnsi="Arial" w:cs="Arial"/>
          <w:sz w:val="22"/>
          <w:szCs w:val="22"/>
        </w:rPr>
        <w:t xml:space="preserve"> a </w:t>
      </w:r>
      <w:r w:rsidR="00862317">
        <w:rPr>
          <w:rFonts w:ascii="Arial" w:hAnsi="Arial" w:cs="Arial"/>
          <w:sz w:val="22"/>
          <w:szCs w:val="22"/>
        </w:rPr>
        <w:t>nedoložení dokladů použitých k výběru.</w:t>
      </w:r>
      <w:r w:rsidR="00DC0056">
        <w:rPr>
          <w:rFonts w:ascii="Arial" w:hAnsi="Arial" w:cs="Arial"/>
          <w:sz w:val="22"/>
          <w:szCs w:val="22"/>
        </w:rPr>
        <w:t xml:space="preserve"> Nedoložil </w:t>
      </w:r>
      <w:r w:rsidR="00980B14">
        <w:rPr>
          <w:rFonts w:ascii="Arial" w:hAnsi="Arial" w:cs="Arial"/>
          <w:sz w:val="22"/>
          <w:szCs w:val="22"/>
        </w:rPr>
        <w:t xml:space="preserve">ani </w:t>
      </w:r>
      <w:r w:rsidR="00DC0056">
        <w:rPr>
          <w:rFonts w:ascii="Arial" w:hAnsi="Arial" w:cs="Arial"/>
          <w:sz w:val="22"/>
          <w:szCs w:val="22"/>
        </w:rPr>
        <w:t xml:space="preserve">věrohodné údaje o </w:t>
      </w:r>
      <w:r w:rsidR="00FD51AE">
        <w:rPr>
          <w:rFonts w:ascii="Arial" w:hAnsi="Arial" w:cs="Arial"/>
          <w:sz w:val="22"/>
          <w:szCs w:val="22"/>
        </w:rPr>
        <w:t>počtech</w:t>
      </w:r>
      <w:r w:rsidR="00DC0056">
        <w:rPr>
          <w:rFonts w:ascii="Arial" w:hAnsi="Arial" w:cs="Arial"/>
          <w:sz w:val="22"/>
          <w:szCs w:val="22"/>
        </w:rPr>
        <w:t xml:space="preserve"> zaměstnanců,</w:t>
      </w:r>
      <w:r w:rsidR="007577C3">
        <w:rPr>
          <w:rFonts w:ascii="Arial" w:hAnsi="Arial" w:cs="Arial"/>
          <w:sz w:val="22"/>
          <w:szCs w:val="22"/>
        </w:rPr>
        <w:t xml:space="preserve"> kte</w:t>
      </w:r>
      <w:r w:rsidR="00FD51AE">
        <w:rPr>
          <w:rFonts w:ascii="Arial" w:hAnsi="Arial" w:cs="Arial"/>
          <w:sz w:val="22"/>
          <w:szCs w:val="22"/>
        </w:rPr>
        <w:t>ří by měli v budově pracovat</w:t>
      </w:r>
      <w:r w:rsidR="007577C3">
        <w:rPr>
          <w:rFonts w:ascii="Arial" w:hAnsi="Arial" w:cs="Arial"/>
          <w:sz w:val="22"/>
          <w:szCs w:val="22"/>
        </w:rPr>
        <w:t>.</w:t>
      </w:r>
      <w:r w:rsidR="00FD51AE">
        <w:rPr>
          <w:rFonts w:ascii="Arial" w:hAnsi="Arial" w:cs="Arial"/>
          <w:sz w:val="22"/>
          <w:szCs w:val="22"/>
        </w:rPr>
        <w:t xml:space="preserve"> </w:t>
      </w:r>
    </w:p>
    <w:p w:rsidR="00BF2A0B" w:rsidRDefault="00BF2A0B">
      <w:pPr>
        <w:rPr>
          <w:rFonts w:eastAsiaTheme="minorHAnsi" w:cs="Arial"/>
          <w:sz w:val="22"/>
          <w:szCs w:val="22"/>
          <w:lang w:eastAsia="en-US"/>
        </w:rPr>
      </w:pPr>
      <w:r>
        <w:rPr>
          <w:rFonts w:cs="Arial"/>
          <w:sz w:val="22"/>
          <w:szCs w:val="22"/>
        </w:rPr>
        <w:br w:type="page"/>
      </w:r>
    </w:p>
    <w:p w:rsidR="00471143" w:rsidRDefault="00865197" w:rsidP="0037156F">
      <w:pPr>
        <w:pStyle w:val="Prosttext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5.</w:t>
      </w:r>
      <w:r>
        <w:rPr>
          <w:rFonts w:ascii="Arial" w:hAnsi="Arial" w:cs="Arial"/>
          <w:b/>
          <w:sz w:val="22"/>
          <w:szCs w:val="22"/>
        </w:rPr>
        <w:tab/>
        <w:t xml:space="preserve">Program č. 113 310 </w:t>
      </w:r>
      <w:r w:rsidR="003D4E7F">
        <w:rPr>
          <w:rFonts w:ascii="Arial" w:hAnsi="Arial" w:cs="Arial"/>
          <w:b/>
          <w:sz w:val="22"/>
          <w:szCs w:val="22"/>
        </w:rPr>
        <w:t xml:space="preserve">– </w:t>
      </w:r>
      <w:r w:rsidRPr="00865197">
        <w:rPr>
          <w:rFonts w:ascii="Arial" w:hAnsi="Arial" w:cs="Arial"/>
          <w:b/>
          <w:i/>
          <w:sz w:val="22"/>
          <w:szCs w:val="22"/>
        </w:rPr>
        <w:t>Rozvoj a obnova materiálně technické základny sociálních služeb</w:t>
      </w:r>
    </w:p>
    <w:p w:rsidR="00B015F5" w:rsidRDefault="00B015F5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865197" w:rsidRDefault="006E16E9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Dokumentace</w:t>
      </w:r>
      <w:r w:rsidR="00865197">
        <w:rPr>
          <w:rFonts w:ascii="Arial" w:hAnsi="Arial" w:cs="Arial"/>
          <w:sz w:val="22"/>
          <w:szCs w:val="22"/>
        </w:rPr>
        <w:t xml:space="preserve"> programu</w:t>
      </w:r>
      <w:r w:rsidR="00927464">
        <w:rPr>
          <w:rFonts w:ascii="Arial" w:hAnsi="Arial" w:cs="Arial"/>
          <w:sz w:val="22"/>
          <w:szCs w:val="22"/>
        </w:rPr>
        <w:t xml:space="preserve">, </w:t>
      </w:r>
      <w:r w:rsidR="003D4E7F">
        <w:rPr>
          <w:rFonts w:ascii="Arial" w:hAnsi="Arial" w:cs="Arial"/>
          <w:sz w:val="22"/>
          <w:szCs w:val="22"/>
        </w:rPr>
        <w:t xml:space="preserve">kterou </w:t>
      </w:r>
      <w:r w:rsidR="00865197">
        <w:rPr>
          <w:rFonts w:ascii="Arial" w:hAnsi="Arial" w:cs="Arial"/>
          <w:sz w:val="22"/>
          <w:szCs w:val="22"/>
        </w:rPr>
        <w:t xml:space="preserve">MF </w:t>
      </w:r>
      <w:r w:rsidR="003D4E7F">
        <w:rPr>
          <w:rFonts w:ascii="Arial" w:hAnsi="Arial" w:cs="Arial"/>
          <w:sz w:val="22"/>
          <w:szCs w:val="22"/>
        </w:rPr>
        <w:t xml:space="preserve">schválilo </w:t>
      </w:r>
      <w:r w:rsidR="009E06AF">
        <w:rPr>
          <w:rFonts w:ascii="Arial" w:hAnsi="Arial" w:cs="Arial"/>
          <w:sz w:val="22"/>
          <w:szCs w:val="22"/>
        </w:rPr>
        <w:t>v </w:t>
      </w:r>
      <w:r w:rsidR="00EC036C">
        <w:rPr>
          <w:rFonts w:ascii="Arial" w:hAnsi="Arial" w:cs="Arial"/>
          <w:sz w:val="22"/>
          <w:szCs w:val="22"/>
        </w:rPr>
        <w:t>květnu</w:t>
      </w:r>
      <w:r w:rsidR="00865197">
        <w:rPr>
          <w:rFonts w:ascii="Arial" w:hAnsi="Arial" w:cs="Arial"/>
          <w:sz w:val="22"/>
          <w:szCs w:val="22"/>
        </w:rPr>
        <w:t xml:space="preserve"> 2007</w:t>
      </w:r>
      <w:r>
        <w:rPr>
          <w:rFonts w:ascii="Arial" w:hAnsi="Arial" w:cs="Arial"/>
          <w:sz w:val="22"/>
          <w:szCs w:val="22"/>
        </w:rPr>
        <w:t xml:space="preserve">, byla </w:t>
      </w:r>
      <w:r w:rsidR="00865197">
        <w:rPr>
          <w:rFonts w:ascii="Arial" w:hAnsi="Arial" w:cs="Arial"/>
          <w:sz w:val="22"/>
          <w:szCs w:val="22"/>
        </w:rPr>
        <w:t>v letech 2008 až 2013 čtyřikrát aktualizována</w:t>
      </w:r>
      <w:r w:rsidR="002C588A">
        <w:rPr>
          <w:rFonts w:ascii="Arial" w:hAnsi="Arial" w:cs="Arial"/>
          <w:sz w:val="22"/>
          <w:szCs w:val="22"/>
        </w:rPr>
        <w:t xml:space="preserve">. </w:t>
      </w:r>
      <w:r w:rsidR="00865197">
        <w:rPr>
          <w:rFonts w:ascii="Arial" w:hAnsi="Arial" w:cs="Arial"/>
          <w:sz w:val="22"/>
          <w:szCs w:val="22"/>
        </w:rPr>
        <w:t>Důvod</w:t>
      </w:r>
      <w:r w:rsidR="002C588A">
        <w:rPr>
          <w:rFonts w:ascii="Arial" w:hAnsi="Arial" w:cs="Arial"/>
          <w:sz w:val="22"/>
          <w:szCs w:val="22"/>
        </w:rPr>
        <w:t xml:space="preserve">em bylo </w:t>
      </w:r>
      <w:r w:rsidR="00504A3D">
        <w:rPr>
          <w:rFonts w:ascii="Arial" w:hAnsi="Arial" w:cs="Arial"/>
          <w:sz w:val="22"/>
          <w:szCs w:val="22"/>
        </w:rPr>
        <w:t>především zařaze</w:t>
      </w:r>
      <w:r w:rsidR="00865197">
        <w:rPr>
          <w:rFonts w:ascii="Arial" w:hAnsi="Arial" w:cs="Arial"/>
          <w:sz w:val="22"/>
          <w:szCs w:val="22"/>
        </w:rPr>
        <w:t xml:space="preserve">ní </w:t>
      </w:r>
      <w:r w:rsidR="004E3528">
        <w:rPr>
          <w:rFonts w:ascii="Arial" w:hAnsi="Arial" w:cs="Arial"/>
          <w:sz w:val="22"/>
          <w:szCs w:val="22"/>
        </w:rPr>
        <w:t xml:space="preserve">dvou </w:t>
      </w:r>
      <w:r w:rsidR="00865197">
        <w:rPr>
          <w:rFonts w:ascii="Arial" w:hAnsi="Arial" w:cs="Arial"/>
          <w:sz w:val="22"/>
          <w:szCs w:val="22"/>
        </w:rPr>
        <w:t>nových podprogramů a</w:t>
      </w:r>
      <w:r w:rsidR="00A94055">
        <w:rPr>
          <w:rFonts w:ascii="Arial" w:hAnsi="Arial" w:cs="Arial"/>
          <w:sz w:val="22"/>
          <w:szCs w:val="22"/>
        </w:rPr>
        <w:t> </w:t>
      </w:r>
      <w:r w:rsidR="009E06AF">
        <w:rPr>
          <w:rFonts w:ascii="Arial" w:hAnsi="Arial" w:cs="Arial"/>
          <w:sz w:val="22"/>
          <w:szCs w:val="22"/>
        </w:rPr>
        <w:t>v </w:t>
      </w:r>
      <w:r w:rsidR="00504A3D">
        <w:rPr>
          <w:rFonts w:ascii="Arial" w:hAnsi="Arial" w:cs="Arial"/>
          <w:sz w:val="22"/>
          <w:szCs w:val="22"/>
        </w:rPr>
        <w:t>případě</w:t>
      </w:r>
      <w:r w:rsidR="002C588A">
        <w:rPr>
          <w:rFonts w:ascii="Arial" w:hAnsi="Arial" w:cs="Arial"/>
          <w:sz w:val="22"/>
          <w:szCs w:val="22"/>
        </w:rPr>
        <w:t xml:space="preserve"> čtvrté aktualizace</w:t>
      </w:r>
      <w:r w:rsidR="00504A3D">
        <w:rPr>
          <w:rFonts w:ascii="Arial" w:hAnsi="Arial" w:cs="Arial"/>
          <w:sz w:val="22"/>
          <w:szCs w:val="22"/>
        </w:rPr>
        <w:t xml:space="preserve">, kterou MF vzalo na vědomí, </w:t>
      </w:r>
      <w:r w:rsidR="00865197">
        <w:rPr>
          <w:rFonts w:ascii="Arial" w:hAnsi="Arial" w:cs="Arial"/>
          <w:sz w:val="22"/>
          <w:szCs w:val="22"/>
        </w:rPr>
        <w:t xml:space="preserve">prodloužení doby realizace </w:t>
      </w:r>
      <w:r w:rsidR="00504A3D">
        <w:rPr>
          <w:rFonts w:ascii="Arial" w:hAnsi="Arial" w:cs="Arial"/>
          <w:sz w:val="22"/>
          <w:szCs w:val="22"/>
        </w:rPr>
        <w:t>a snížení finanční potřeby programu</w:t>
      </w:r>
      <w:r w:rsidR="002C588A">
        <w:rPr>
          <w:rFonts w:ascii="Arial" w:hAnsi="Arial" w:cs="Arial"/>
          <w:sz w:val="22"/>
          <w:szCs w:val="22"/>
        </w:rPr>
        <w:t>.</w:t>
      </w:r>
      <w:r w:rsidR="00A111BA">
        <w:rPr>
          <w:rFonts w:ascii="Arial" w:hAnsi="Arial" w:cs="Arial"/>
          <w:sz w:val="22"/>
          <w:szCs w:val="22"/>
        </w:rPr>
        <w:t xml:space="preserve"> </w:t>
      </w:r>
      <w:r w:rsidR="00CA3237">
        <w:rPr>
          <w:rFonts w:ascii="Arial" w:hAnsi="Arial" w:cs="Arial"/>
          <w:sz w:val="22"/>
          <w:szCs w:val="22"/>
        </w:rPr>
        <w:t>Z</w:t>
      </w:r>
      <w:r w:rsidR="00A111BA">
        <w:rPr>
          <w:rFonts w:ascii="Arial" w:hAnsi="Arial" w:cs="Arial"/>
          <w:sz w:val="22"/>
          <w:szCs w:val="22"/>
        </w:rPr>
        <w:t>droji financování</w:t>
      </w:r>
      <w:r w:rsidR="00CA3237">
        <w:rPr>
          <w:rFonts w:ascii="Arial" w:hAnsi="Arial" w:cs="Arial"/>
          <w:sz w:val="22"/>
          <w:szCs w:val="22"/>
        </w:rPr>
        <w:t xml:space="preserve"> programu</w:t>
      </w:r>
      <w:r w:rsidR="00A111BA">
        <w:rPr>
          <w:rFonts w:ascii="Arial" w:hAnsi="Arial" w:cs="Arial"/>
          <w:sz w:val="22"/>
          <w:szCs w:val="22"/>
        </w:rPr>
        <w:t xml:space="preserve"> byly</w:t>
      </w:r>
      <w:r w:rsidR="00CA3237">
        <w:rPr>
          <w:rFonts w:ascii="Arial" w:hAnsi="Arial" w:cs="Arial"/>
          <w:sz w:val="22"/>
          <w:szCs w:val="22"/>
        </w:rPr>
        <w:t xml:space="preserve"> především</w:t>
      </w:r>
      <w:r w:rsidR="0081750E">
        <w:rPr>
          <w:rFonts w:ascii="Arial" w:hAnsi="Arial" w:cs="Arial"/>
          <w:sz w:val="22"/>
          <w:szCs w:val="22"/>
        </w:rPr>
        <w:t xml:space="preserve"> prostředky státního rozpočtu a</w:t>
      </w:r>
      <w:r w:rsidR="00CA3237">
        <w:rPr>
          <w:rFonts w:ascii="Arial" w:hAnsi="Arial" w:cs="Arial"/>
          <w:sz w:val="22"/>
          <w:szCs w:val="22"/>
        </w:rPr>
        <w:t xml:space="preserve"> dále</w:t>
      </w:r>
      <w:r w:rsidR="0081750E">
        <w:rPr>
          <w:rFonts w:ascii="Arial" w:hAnsi="Arial" w:cs="Arial"/>
          <w:sz w:val="22"/>
          <w:szCs w:val="22"/>
        </w:rPr>
        <w:t> </w:t>
      </w:r>
      <w:r w:rsidR="00A111BA">
        <w:rPr>
          <w:rFonts w:ascii="Arial" w:hAnsi="Arial" w:cs="Arial"/>
          <w:sz w:val="22"/>
          <w:szCs w:val="22"/>
        </w:rPr>
        <w:t>vlastní zdroje účastníků programu</w:t>
      </w:r>
      <w:r w:rsidR="00CA3237">
        <w:rPr>
          <w:rFonts w:ascii="Arial" w:hAnsi="Arial" w:cs="Arial"/>
          <w:sz w:val="22"/>
          <w:szCs w:val="22"/>
        </w:rPr>
        <w:t xml:space="preserve"> a dotace z územních rozpočtů</w:t>
      </w:r>
      <w:r w:rsidR="00A111BA">
        <w:rPr>
          <w:rFonts w:ascii="Arial" w:hAnsi="Arial" w:cs="Arial"/>
          <w:sz w:val="22"/>
          <w:szCs w:val="22"/>
        </w:rPr>
        <w:t>.</w:t>
      </w:r>
    </w:p>
    <w:p w:rsidR="00865197" w:rsidRDefault="00865197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865197" w:rsidRPr="00865197" w:rsidRDefault="00865197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 se členil na čtyři podprogramy. Kontrola byla zaměřena na podprogramy </w:t>
      </w:r>
      <w:r w:rsidR="0021421F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č. 113</w:t>
      </w:r>
      <w:r w:rsidR="002142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313</w:t>
      </w:r>
      <w:r w:rsidR="0021421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Podpora reprodukce majetku služeb sociální péče</w:t>
      </w:r>
      <w:r>
        <w:rPr>
          <w:rFonts w:ascii="Arial" w:hAnsi="Arial" w:cs="Arial"/>
          <w:sz w:val="22"/>
          <w:szCs w:val="22"/>
        </w:rPr>
        <w:t xml:space="preserve"> a č. 113</w:t>
      </w:r>
      <w:r w:rsidR="0021421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314</w:t>
      </w:r>
      <w:r w:rsidR="0021421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Podpora výstavby domov</w:t>
      </w:r>
      <w:r w:rsidR="00504A3D">
        <w:rPr>
          <w:rFonts w:ascii="Arial" w:hAnsi="Arial" w:cs="Arial"/>
          <w:i/>
          <w:sz w:val="22"/>
          <w:szCs w:val="22"/>
        </w:rPr>
        <w:t>ů</w:t>
      </w:r>
      <w:r>
        <w:rPr>
          <w:rFonts w:ascii="Arial" w:hAnsi="Arial" w:cs="Arial"/>
          <w:i/>
          <w:sz w:val="22"/>
          <w:szCs w:val="22"/>
        </w:rPr>
        <w:t xml:space="preserve"> důchodců</w:t>
      </w:r>
      <w:r w:rsidR="00A23E20">
        <w:rPr>
          <w:rFonts w:ascii="Arial" w:hAnsi="Arial" w:cs="Arial"/>
          <w:i/>
          <w:sz w:val="22"/>
          <w:szCs w:val="22"/>
        </w:rPr>
        <w:t xml:space="preserve"> </w:t>
      </w:r>
      <w:r w:rsidR="00A23E20">
        <w:rPr>
          <w:rFonts w:ascii="Arial" w:hAnsi="Arial" w:cs="Arial"/>
          <w:sz w:val="22"/>
          <w:szCs w:val="22"/>
        </w:rPr>
        <w:t>(tento podprogram byl do programu zařazen v listopadu 2008)</w:t>
      </w:r>
      <w:r>
        <w:rPr>
          <w:rFonts w:ascii="Arial" w:hAnsi="Arial" w:cs="Arial"/>
          <w:sz w:val="22"/>
          <w:szCs w:val="22"/>
        </w:rPr>
        <w:t>. Zbylé dva podprogramy byly zaměřeny na služby sociální prevence, včetně po</w:t>
      </w:r>
      <w:r w:rsidR="004E3528">
        <w:rPr>
          <w:rFonts w:ascii="Arial" w:hAnsi="Arial" w:cs="Arial"/>
          <w:sz w:val="22"/>
          <w:szCs w:val="22"/>
        </w:rPr>
        <w:t xml:space="preserve">dpory mobility, a na </w:t>
      </w:r>
      <w:r w:rsidR="00A23E20">
        <w:rPr>
          <w:rFonts w:ascii="Arial" w:hAnsi="Arial" w:cs="Arial"/>
          <w:sz w:val="22"/>
          <w:szCs w:val="22"/>
        </w:rPr>
        <w:t>reprodukci majetku</w:t>
      </w:r>
      <w:r w:rsidR="00CA3237">
        <w:rPr>
          <w:rFonts w:ascii="Arial" w:hAnsi="Arial" w:cs="Arial"/>
          <w:sz w:val="22"/>
          <w:szCs w:val="22"/>
        </w:rPr>
        <w:t xml:space="preserve"> v odvětví práce a sociálních věcí</w:t>
      </w:r>
      <w:r w:rsidR="00A23E20">
        <w:rPr>
          <w:rFonts w:ascii="Arial" w:hAnsi="Arial" w:cs="Arial"/>
          <w:sz w:val="22"/>
          <w:szCs w:val="22"/>
        </w:rPr>
        <w:t xml:space="preserve"> podle návrhů Poslanecké sněmovny Parlamentu České republiky. </w:t>
      </w:r>
      <w:r>
        <w:rPr>
          <w:rFonts w:ascii="Arial" w:hAnsi="Arial" w:cs="Arial"/>
          <w:sz w:val="22"/>
          <w:szCs w:val="22"/>
        </w:rPr>
        <w:t xml:space="preserve"> </w:t>
      </w:r>
    </w:p>
    <w:p w:rsidR="00805F96" w:rsidRDefault="00805F96" w:rsidP="00B015F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A23E20" w:rsidRDefault="00A23E2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5.1 Časové a finanční podmínky</w:t>
      </w:r>
    </w:p>
    <w:p w:rsidR="00A23E20" w:rsidRDefault="00A23E2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70317" w:rsidRDefault="00A23E2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realizace programu byla stanovena na období od června 2007 do prosince 2013. </w:t>
      </w:r>
      <w:r w:rsidR="00667C69">
        <w:rPr>
          <w:rFonts w:ascii="Arial" w:hAnsi="Arial" w:cs="Arial"/>
          <w:sz w:val="22"/>
          <w:szCs w:val="22"/>
        </w:rPr>
        <w:t>Čtvrtou a</w:t>
      </w:r>
      <w:r>
        <w:rPr>
          <w:rFonts w:ascii="Arial" w:hAnsi="Arial" w:cs="Arial"/>
          <w:sz w:val="22"/>
          <w:szCs w:val="22"/>
        </w:rPr>
        <w:t>ktualizací</w:t>
      </w:r>
      <w:r w:rsidR="00504A3D">
        <w:rPr>
          <w:rFonts w:ascii="Arial" w:hAnsi="Arial" w:cs="Arial"/>
          <w:sz w:val="22"/>
          <w:szCs w:val="22"/>
        </w:rPr>
        <w:t>, schválenou MPSV 19. 12.</w:t>
      </w:r>
      <w:r>
        <w:rPr>
          <w:rFonts w:ascii="Arial" w:hAnsi="Arial" w:cs="Arial"/>
          <w:sz w:val="22"/>
          <w:szCs w:val="22"/>
        </w:rPr>
        <w:t xml:space="preserve"> 2013</w:t>
      </w:r>
      <w:r w:rsidR="00504A3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byla</w:t>
      </w:r>
      <w:r w:rsidR="00504A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prodloužena do konce roku 2018. MPSV </w:t>
      </w:r>
      <w:r w:rsidR="00504A3D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zdůvodnilo </w:t>
      </w:r>
      <w:r w:rsidR="00667C69">
        <w:rPr>
          <w:rFonts w:ascii="Arial" w:hAnsi="Arial" w:cs="Arial"/>
          <w:sz w:val="22"/>
          <w:szCs w:val="22"/>
        </w:rPr>
        <w:t>úspornými</w:t>
      </w:r>
      <w:r>
        <w:rPr>
          <w:rFonts w:ascii="Arial" w:hAnsi="Arial" w:cs="Arial"/>
          <w:sz w:val="22"/>
          <w:szCs w:val="22"/>
        </w:rPr>
        <w:t xml:space="preserve"> opatření</w:t>
      </w:r>
      <w:r w:rsidR="00667C69">
        <w:rPr>
          <w:rFonts w:ascii="Arial" w:hAnsi="Arial" w:cs="Arial"/>
          <w:sz w:val="22"/>
          <w:szCs w:val="22"/>
        </w:rPr>
        <w:t>mi</w:t>
      </w:r>
      <w:r>
        <w:rPr>
          <w:rFonts w:ascii="Arial" w:hAnsi="Arial" w:cs="Arial"/>
          <w:sz w:val="22"/>
          <w:szCs w:val="22"/>
        </w:rPr>
        <w:t xml:space="preserve"> vlády</w:t>
      </w:r>
      <w:r w:rsidR="00667C69">
        <w:rPr>
          <w:rFonts w:ascii="Arial" w:hAnsi="Arial" w:cs="Arial"/>
          <w:sz w:val="22"/>
          <w:szCs w:val="22"/>
        </w:rPr>
        <w:t>, kdy</w:t>
      </w:r>
      <w:r>
        <w:rPr>
          <w:rFonts w:ascii="Arial" w:hAnsi="Arial" w:cs="Arial"/>
          <w:sz w:val="22"/>
          <w:szCs w:val="22"/>
        </w:rPr>
        <w:t xml:space="preserve"> od roku 2010 nemohlo v plné výši využít alokované prostředky a tím naplnit cíle pro původní časové období.</w:t>
      </w:r>
      <w:r w:rsidR="00BF6454">
        <w:rPr>
          <w:rFonts w:ascii="Arial" w:hAnsi="Arial" w:cs="Arial"/>
          <w:sz w:val="22"/>
          <w:szCs w:val="22"/>
        </w:rPr>
        <w:t xml:space="preserve"> </w:t>
      </w:r>
      <w:r w:rsidR="00C70317">
        <w:rPr>
          <w:rFonts w:ascii="Arial" w:hAnsi="Arial" w:cs="Arial"/>
          <w:sz w:val="22"/>
          <w:szCs w:val="22"/>
        </w:rPr>
        <w:t>F</w:t>
      </w:r>
      <w:r w:rsidR="00962293">
        <w:rPr>
          <w:rFonts w:ascii="Arial" w:hAnsi="Arial" w:cs="Arial"/>
          <w:sz w:val="22"/>
          <w:szCs w:val="22"/>
        </w:rPr>
        <w:t>inanční potřeba programu</w:t>
      </w:r>
      <w:r w:rsidR="00D51F09">
        <w:rPr>
          <w:rFonts w:ascii="Arial" w:hAnsi="Arial" w:cs="Arial"/>
          <w:sz w:val="22"/>
          <w:szCs w:val="22"/>
        </w:rPr>
        <w:t xml:space="preserve"> </w:t>
      </w:r>
      <w:r w:rsidR="00CA3237">
        <w:rPr>
          <w:rFonts w:ascii="Arial" w:hAnsi="Arial" w:cs="Arial"/>
          <w:sz w:val="22"/>
          <w:szCs w:val="22"/>
        </w:rPr>
        <w:t>týkající se prostředků státního rozpočtu</w:t>
      </w:r>
      <w:r w:rsidR="00C70317">
        <w:rPr>
          <w:rFonts w:ascii="Arial" w:hAnsi="Arial" w:cs="Arial"/>
          <w:sz w:val="22"/>
          <w:szCs w:val="22"/>
        </w:rPr>
        <w:t xml:space="preserve"> byla stanovena na </w:t>
      </w:r>
      <w:r w:rsidR="00D51F09">
        <w:rPr>
          <w:rFonts w:ascii="Arial" w:hAnsi="Arial" w:cs="Arial"/>
          <w:sz w:val="22"/>
          <w:szCs w:val="22"/>
        </w:rPr>
        <w:t>2 </w:t>
      </w:r>
      <w:r w:rsidR="00962293">
        <w:rPr>
          <w:rFonts w:ascii="Arial" w:hAnsi="Arial" w:cs="Arial"/>
          <w:sz w:val="22"/>
          <w:szCs w:val="22"/>
        </w:rPr>
        <w:t>730</w:t>
      </w:r>
      <w:r w:rsidR="00C41352">
        <w:rPr>
          <w:rFonts w:ascii="Arial" w:hAnsi="Arial" w:cs="Arial"/>
          <w:sz w:val="22"/>
          <w:szCs w:val="22"/>
        </w:rPr>
        <w:t> </w:t>
      </w:r>
      <w:r w:rsidR="00962293">
        <w:rPr>
          <w:rFonts w:ascii="Arial" w:hAnsi="Arial" w:cs="Arial"/>
          <w:sz w:val="22"/>
          <w:szCs w:val="22"/>
        </w:rPr>
        <w:t>mil.</w:t>
      </w:r>
      <w:r w:rsidR="00C41352">
        <w:rPr>
          <w:rFonts w:ascii="Arial" w:hAnsi="Arial" w:cs="Arial"/>
          <w:sz w:val="22"/>
          <w:szCs w:val="22"/>
        </w:rPr>
        <w:t> </w:t>
      </w:r>
      <w:r w:rsidR="00962293">
        <w:rPr>
          <w:rFonts w:ascii="Arial" w:hAnsi="Arial" w:cs="Arial"/>
          <w:sz w:val="22"/>
          <w:szCs w:val="22"/>
        </w:rPr>
        <w:t>Kč</w:t>
      </w:r>
      <w:r w:rsidR="00D51F09">
        <w:rPr>
          <w:rFonts w:ascii="Arial" w:hAnsi="Arial" w:cs="Arial"/>
          <w:sz w:val="22"/>
          <w:szCs w:val="22"/>
        </w:rPr>
        <w:t>. A</w:t>
      </w:r>
      <w:r w:rsidR="00C70317">
        <w:rPr>
          <w:rFonts w:ascii="Arial" w:hAnsi="Arial" w:cs="Arial"/>
          <w:sz w:val="22"/>
          <w:szCs w:val="22"/>
        </w:rPr>
        <w:t>ktualizací</w:t>
      </w:r>
      <w:r w:rsidR="00962293">
        <w:rPr>
          <w:rFonts w:ascii="Arial" w:hAnsi="Arial" w:cs="Arial"/>
          <w:sz w:val="22"/>
          <w:szCs w:val="22"/>
        </w:rPr>
        <w:t xml:space="preserve"> dokumentace programu</w:t>
      </w:r>
      <w:r w:rsidR="00C70317">
        <w:rPr>
          <w:rFonts w:ascii="Arial" w:hAnsi="Arial" w:cs="Arial"/>
          <w:sz w:val="22"/>
          <w:szCs w:val="22"/>
        </w:rPr>
        <w:t xml:space="preserve"> byla </w:t>
      </w:r>
      <w:r w:rsidR="00962293">
        <w:rPr>
          <w:rFonts w:ascii="Arial" w:hAnsi="Arial" w:cs="Arial"/>
          <w:sz w:val="22"/>
          <w:szCs w:val="22"/>
        </w:rPr>
        <w:t xml:space="preserve">v roce 2008 </w:t>
      </w:r>
      <w:r w:rsidR="00C70317">
        <w:rPr>
          <w:rFonts w:ascii="Arial" w:hAnsi="Arial" w:cs="Arial"/>
          <w:sz w:val="22"/>
          <w:szCs w:val="22"/>
        </w:rPr>
        <w:t xml:space="preserve">zvýšena </w:t>
      </w:r>
      <w:r w:rsidR="000B64CD">
        <w:rPr>
          <w:rFonts w:ascii="Arial" w:hAnsi="Arial" w:cs="Arial"/>
          <w:sz w:val="22"/>
          <w:szCs w:val="22"/>
        </w:rPr>
        <w:t>na 4 730 mil. Kč.</w:t>
      </w:r>
    </w:p>
    <w:p w:rsidR="00C70317" w:rsidRDefault="00C70317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A23E20" w:rsidRPr="00A23E20" w:rsidRDefault="006D53DA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Zdrojem financování podprogramu č. 113 314 měly být v</w:t>
      </w:r>
      <w:r w:rsidR="00962293">
        <w:rPr>
          <w:rFonts w:ascii="Arial" w:hAnsi="Arial" w:cs="Arial"/>
          <w:sz w:val="22"/>
          <w:szCs w:val="22"/>
        </w:rPr>
        <w:t xml:space="preserve">e výši 2 000 mil. Kč </w:t>
      </w:r>
      <w:r w:rsidR="00E325E4">
        <w:rPr>
          <w:rFonts w:ascii="Arial" w:hAnsi="Arial" w:cs="Arial"/>
          <w:sz w:val="22"/>
          <w:szCs w:val="22"/>
        </w:rPr>
        <w:t>prostřed</w:t>
      </w:r>
      <w:r w:rsidR="00C70317">
        <w:rPr>
          <w:rFonts w:ascii="Arial" w:hAnsi="Arial" w:cs="Arial"/>
          <w:sz w:val="22"/>
          <w:szCs w:val="22"/>
        </w:rPr>
        <w:t>ky býv</w:t>
      </w:r>
      <w:r w:rsidR="00DB6586">
        <w:rPr>
          <w:rFonts w:ascii="Arial" w:hAnsi="Arial" w:cs="Arial"/>
          <w:sz w:val="22"/>
          <w:szCs w:val="22"/>
        </w:rPr>
        <w:t>alého</w:t>
      </w:r>
      <w:r w:rsidR="00C70317">
        <w:rPr>
          <w:rFonts w:ascii="Arial" w:hAnsi="Arial" w:cs="Arial"/>
          <w:sz w:val="22"/>
          <w:szCs w:val="22"/>
        </w:rPr>
        <w:t xml:space="preserve"> Fondu národního majetku, které </w:t>
      </w:r>
      <w:r w:rsidR="00702787">
        <w:rPr>
          <w:rFonts w:ascii="Arial" w:hAnsi="Arial" w:cs="Arial"/>
          <w:sz w:val="22"/>
          <w:szCs w:val="22"/>
        </w:rPr>
        <w:t>měly být</w:t>
      </w:r>
      <w:r w:rsidR="00980979">
        <w:rPr>
          <w:rFonts w:ascii="Arial" w:hAnsi="Arial" w:cs="Arial"/>
          <w:sz w:val="22"/>
          <w:szCs w:val="22"/>
        </w:rPr>
        <w:t xml:space="preserve"> do rozpočtu</w:t>
      </w:r>
      <w:r w:rsidR="00702787">
        <w:rPr>
          <w:rFonts w:ascii="Arial" w:hAnsi="Arial" w:cs="Arial"/>
          <w:sz w:val="22"/>
          <w:szCs w:val="22"/>
        </w:rPr>
        <w:t xml:space="preserve"> MPSV poskytnuty na základě zákona č. 178/2005 Sb.</w:t>
      </w:r>
      <w:r w:rsidR="00702787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980979">
        <w:rPr>
          <w:rFonts w:ascii="Arial" w:hAnsi="Arial" w:cs="Arial"/>
          <w:sz w:val="22"/>
          <w:szCs w:val="22"/>
        </w:rPr>
        <w:t xml:space="preserve"> ve znění účinném od 18. 9. 2006. </w:t>
      </w:r>
      <w:r w:rsidR="004E3528">
        <w:rPr>
          <w:rFonts w:ascii="Arial" w:hAnsi="Arial" w:cs="Arial"/>
          <w:sz w:val="22"/>
          <w:szCs w:val="22"/>
        </w:rPr>
        <w:t>MF je</w:t>
      </w:r>
      <w:r w:rsidR="00EB47DD">
        <w:rPr>
          <w:rFonts w:ascii="Arial" w:hAnsi="Arial" w:cs="Arial"/>
          <w:sz w:val="22"/>
          <w:szCs w:val="22"/>
        </w:rPr>
        <w:t xml:space="preserve"> uvolnilo až v roce 2008 a jen ve výši</w:t>
      </w:r>
      <w:r w:rsidR="00D0230A">
        <w:rPr>
          <w:rFonts w:ascii="Arial" w:hAnsi="Arial" w:cs="Arial"/>
          <w:sz w:val="22"/>
          <w:szCs w:val="22"/>
        </w:rPr>
        <w:t xml:space="preserve"> 500 mil. Kč. Novelou zákona č. </w:t>
      </w:r>
      <w:r w:rsidR="00EB47DD">
        <w:rPr>
          <w:rFonts w:ascii="Arial" w:hAnsi="Arial" w:cs="Arial"/>
          <w:sz w:val="22"/>
          <w:szCs w:val="22"/>
        </w:rPr>
        <w:t xml:space="preserve">178/2005 Sb. byla s účinností od ledna 2012 možnost financovat výstavbu domovů důchodců </w:t>
      </w:r>
      <w:r w:rsidR="009E06AF"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těchto</w:t>
      </w:r>
      <w:r w:rsidR="004E3A75">
        <w:rPr>
          <w:rFonts w:ascii="Arial" w:hAnsi="Arial" w:cs="Arial"/>
          <w:sz w:val="22"/>
          <w:szCs w:val="22"/>
        </w:rPr>
        <w:t xml:space="preserve"> </w:t>
      </w:r>
      <w:r w:rsidR="00EB47DD">
        <w:rPr>
          <w:rFonts w:ascii="Arial" w:hAnsi="Arial" w:cs="Arial"/>
          <w:sz w:val="22"/>
          <w:szCs w:val="22"/>
        </w:rPr>
        <w:t xml:space="preserve">prostředků </w:t>
      </w:r>
      <w:r w:rsidR="004E3528">
        <w:rPr>
          <w:rFonts w:ascii="Arial" w:hAnsi="Arial" w:cs="Arial"/>
          <w:sz w:val="22"/>
          <w:szCs w:val="22"/>
        </w:rPr>
        <w:t>zrušena</w:t>
      </w:r>
      <w:r w:rsidR="00EB47DD">
        <w:rPr>
          <w:rFonts w:ascii="Arial" w:hAnsi="Arial" w:cs="Arial"/>
          <w:sz w:val="22"/>
          <w:szCs w:val="22"/>
        </w:rPr>
        <w:t>.</w:t>
      </w:r>
      <w:r w:rsidR="00C70317">
        <w:rPr>
          <w:rFonts w:ascii="Arial" w:hAnsi="Arial" w:cs="Arial"/>
          <w:sz w:val="22"/>
          <w:szCs w:val="22"/>
        </w:rPr>
        <w:t xml:space="preserve"> </w:t>
      </w:r>
      <w:r w:rsidR="0081750E">
        <w:rPr>
          <w:rFonts w:ascii="Arial" w:hAnsi="Arial" w:cs="Arial"/>
          <w:sz w:val="22"/>
          <w:szCs w:val="22"/>
        </w:rPr>
        <w:t>Z předpokládané potřeby tak byla v podprogramu č. 113 314 vyčerpána necelá č</w:t>
      </w:r>
      <w:r w:rsidR="00C70317">
        <w:rPr>
          <w:rFonts w:ascii="Arial" w:hAnsi="Arial" w:cs="Arial"/>
          <w:sz w:val="22"/>
          <w:szCs w:val="22"/>
        </w:rPr>
        <w:t>tvrtina, jak ukazuje tabulka č. </w:t>
      </w:r>
      <w:r w:rsidR="0081750E">
        <w:rPr>
          <w:rFonts w:ascii="Arial" w:hAnsi="Arial" w:cs="Arial"/>
          <w:sz w:val="22"/>
          <w:szCs w:val="22"/>
        </w:rPr>
        <w:t>6.</w:t>
      </w:r>
      <w:r w:rsidR="00424866">
        <w:rPr>
          <w:rFonts w:ascii="Arial" w:hAnsi="Arial" w:cs="Arial"/>
          <w:sz w:val="22"/>
          <w:szCs w:val="22"/>
        </w:rPr>
        <w:t xml:space="preserve"> V návaznosti na to MPSV </w:t>
      </w:r>
      <w:r w:rsidR="009E06AF">
        <w:rPr>
          <w:rFonts w:ascii="Arial" w:hAnsi="Arial" w:cs="Arial"/>
          <w:sz w:val="22"/>
          <w:szCs w:val="22"/>
        </w:rPr>
        <w:t>v </w:t>
      </w:r>
      <w:r w:rsidR="00C70317">
        <w:rPr>
          <w:rFonts w:ascii="Arial" w:hAnsi="Arial" w:cs="Arial"/>
          <w:sz w:val="22"/>
          <w:szCs w:val="22"/>
        </w:rPr>
        <w:t>aktualizaci dokumentace</w:t>
      </w:r>
      <w:r w:rsidR="00424866">
        <w:rPr>
          <w:rFonts w:ascii="Arial" w:hAnsi="Arial" w:cs="Arial"/>
          <w:sz w:val="22"/>
          <w:szCs w:val="22"/>
        </w:rPr>
        <w:t xml:space="preserve"> programu</w:t>
      </w:r>
      <w:r w:rsidR="00C70317">
        <w:rPr>
          <w:rFonts w:ascii="Arial" w:hAnsi="Arial" w:cs="Arial"/>
          <w:sz w:val="22"/>
          <w:szCs w:val="22"/>
        </w:rPr>
        <w:t xml:space="preserve"> </w:t>
      </w:r>
      <w:r w:rsidR="00990E33">
        <w:rPr>
          <w:rFonts w:ascii="Arial" w:hAnsi="Arial" w:cs="Arial"/>
          <w:sz w:val="22"/>
          <w:szCs w:val="22"/>
        </w:rPr>
        <w:t>z </w:t>
      </w:r>
      <w:r w:rsidR="00C90C99">
        <w:rPr>
          <w:rFonts w:ascii="Arial" w:hAnsi="Arial" w:cs="Arial"/>
          <w:sz w:val="22"/>
          <w:szCs w:val="22"/>
        </w:rPr>
        <w:t>prosince</w:t>
      </w:r>
      <w:r w:rsidR="00990E33">
        <w:rPr>
          <w:rFonts w:ascii="Arial" w:hAnsi="Arial" w:cs="Arial"/>
          <w:sz w:val="22"/>
          <w:szCs w:val="22"/>
        </w:rPr>
        <w:t xml:space="preserve"> 2013 snížilo finanční potřebu </w:t>
      </w:r>
      <w:r w:rsidR="00424866">
        <w:rPr>
          <w:rFonts w:ascii="Arial" w:hAnsi="Arial" w:cs="Arial"/>
          <w:sz w:val="22"/>
          <w:szCs w:val="22"/>
        </w:rPr>
        <w:t>programu z</w:t>
      </w:r>
      <w:r w:rsidR="00CE791E">
        <w:rPr>
          <w:rFonts w:ascii="Arial" w:hAnsi="Arial" w:cs="Arial"/>
          <w:sz w:val="22"/>
          <w:szCs w:val="22"/>
        </w:rPr>
        <w:t xml:space="preserve">e </w:t>
      </w:r>
      <w:r w:rsidR="00424866">
        <w:rPr>
          <w:rFonts w:ascii="Arial" w:hAnsi="Arial" w:cs="Arial"/>
          <w:sz w:val="22"/>
          <w:szCs w:val="22"/>
        </w:rPr>
        <w:t>4 730 mil. Kč</w:t>
      </w:r>
      <w:r w:rsidR="00990E33">
        <w:rPr>
          <w:rFonts w:ascii="Arial" w:hAnsi="Arial" w:cs="Arial"/>
          <w:sz w:val="22"/>
          <w:szCs w:val="22"/>
        </w:rPr>
        <w:t xml:space="preserve"> </w:t>
      </w:r>
      <w:r w:rsidR="00C70317">
        <w:rPr>
          <w:rFonts w:ascii="Arial" w:hAnsi="Arial" w:cs="Arial"/>
          <w:sz w:val="22"/>
          <w:szCs w:val="22"/>
        </w:rPr>
        <w:t>na 3 492 mil. Kč.</w:t>
      </w:r>
    </w:p>
    <w:p w:rsidR="00865197" w:rsidRDefault="00865197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B47DD" w:rsidRDefault="00BF6454" w:rsidP="00EB47DD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Finanční potřeby</w:t>
      </w:r>
      <w:r w:rsidR="00990E33">
        <w:rPr>
          <w:rFonts w:ascii="Arial" w:hAnsi="Arial" w:cs="Arial"/>
          <w:sz w:val="22"/>
          <w:szCs w:val="22"/>
        </w:rPr>
        <w:t xml:space="preserve"> </w:t>
      </w:r>
      <w:r w:rsidR="00D51F09">
        <w:rPr>
          <w:rFonts w:ascii="Arial" w:hAnsi="Arial" w:cs="Arial"/>
          <w:sz w:val="22"/>
          <w:szCs w:val="22"/>
        </w:rPr>
        <w:t>programu týkající se prostředků státního rozpočtu,</w:t>
      </w:r>
      <w:r w:rsidR="00EB47DD">
        <w:rPr>
          <w:rFonts w:ascii="Arial" w:hAnsi="Arial" w:cs="Arial"/>
          <w:sz w:val="22"/>
          <w:szCs w:val="22"/>
        </w:rPr>
        <w:t xml:space="preserve"> peněžní prostředky schválené ve státním rozpočtu a jejich </w:t>
      </w:r>
      <w:r w:rsidR="00990E33">
        <w:rPr>
          <w:rFonts w:ascii="Arial" w:hAnsi="Arial" w:cs="Arial"/>
          <w:sz w:val="22"/>
          <w:szCs w:val="22"/>
        </w:rPr>
        <w:t>čerpá</w:t>
      </w:r>
      <w:r w:rsidR="00EB47DD">
        <w:rPr>
          <w:rFonts w:ascii="Arial" w:hAnsi="Arial" w:cs="Arial"/>
          <w:sz w:val="22"/>
          <w:szCs w:val="22"/>
        </w:rPr>
        <w:t>ní</w:t>
      </w:r>
      <w:r w:rsidR="0090411B">
        <w:rPr>
          <w:rFonts w:ascii="Arial" w:hAnsi="Arial" w:cs="Arial"/>
          <w:sz w:val="22"/>
          <w:szCs w:val="22"/>
        </w:rPr>
        <w:t xml:space="preserve"> </w:t>
      </w:r>
      <w:r w:rsidR="00BA5739">
        <w:rPr>
          <w:rFonts w:ascii="Arial" w:hAnsi="Arial" w:cs="Arial"/>
          <w:sz w:val="22"/>
          <w:szCs w:val="22"/>
        </w:rPr>
        <w:t>do roku</w:t>
      </w:r>
      <w:r w:rsidR="0090411B">
        <w:rPr>
          <w:rFonts w:ascii="Arial" w:hAnsi="Arial" w:cs="Arial"/>
          <w:sz w:val="22"/>
          <w:szCs w:val="22"/>
        </w:rPr>
        <w:t xml:space="preserve"> 2013</w:t>
      </w:r>
      <w:r w:rsidR="00C90C99">
        <w:rPr>
          <w:rFonts w:ascii="Arial" w:hAnsi="Arial" w:cs="Arial"/>
          <w:sz w:val="22"/>
          <w:szCs w:val="22"/>
        </w:rPr>
        <w:t xml:space="preserve"> na podprogramy č. 113 313 a </w:t>
      </w:r>
      <w:r w:rsidR="00EB47DD">
        <w:rPr>
          <w:rFonts w:ascii="Arial" w:hAnsi="Arial" w:cs="Arial"/>
          <w:sz w:val="22"/>
          <w:szCs w:val="22"/>
        </w:rPr>
        <w:t>113 314 jsou uvedeny v tabulkách č. 5 a</w:t>
      </w:r>
      <w:r w:rsidR="004E3528">
        <w:rPr>
          <w:rFonts w:ascii="Arial" w:hAnsi="Arial" w:cs="Arial"/>
          <w:sz w:val="22"/>
          <w:szCs w:val="22"/>
        </w:rPr>
        <w:t xml:space="preserve"> </w:t>
      </w:r>
      <w:r w:rsidR="00EB47DD">
        <w:rPr>
          <w:rFonts w:ascii="Arial" w:hAnsi="Arial" w:cs="Arial"/>
          <w:sz w:val="22"/>
          <w:szCs w:val="22"/>
        </w:rPr>
        <w:t>6.</w:t>
      </w:r>
    </w:p>
    <w:p w:rsidR="00EB47DD" w:rsidRDefault="00EB47DD" w:rsidP="00EB47DD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B47DD" w:rsidRDefault="00EB47DD" w:rsidP="00811467">
      <w:pPr>
        <w:pStyle w:val="Prosttext"/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Tabulka č. 5 – Finanční podmínky podprogramu č. 113 313</w:t>
      </w:r>
      <w:r>
        <w:rPr>
          <w:rFonts w:ascii="Arial" w:hAnsi="Arial" w:cs="Arial"/>
          <w:b/>
          <w:sz w:val="22"/>
          <w:szCs w:val="22"/>
        </w:rPr>
        <w:tab/>
        <w:t>(v mil. Kč)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10"/>
        <w:gridCol w:w="810"/>
        <w:gridCol w:w="810"/>
        <w:gridCol w:w="810"/>
        <w:gridCol w:w="810"/>
        <w:gridCol w:w="810"/>
        <w:gridCol w:w="810"/>
        <w:gridCol w:w="992"/>
      </w:tblGrid>
      <w:tr w:rsidR="0090411B" w:rsidTr="005451E5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11B" w:rsidRDefault="0090411B" w:rsidP="00EB47DD">
            <w:pPr>
              <w:pStyle w:val="Pros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411B" w:rsidRPr="00B13F41" w:rsidRDefault="0090411B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</w:t>
            </w:r>
            <w:r w:rsidR="00BA5739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11B" w:rsidRDefault="00BA5739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2008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11B" w:rsidRPr="00B13F41" w:rsidRDefault="0090411B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2009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11B" w:rsidRPr="00B13F41" w:rsidRDefault="0090411B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11B" w:rsidRPr="00B13F41" w:rsidRDefault="0090411B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0411B" w:rsidRDefault="0090411B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0411B" w:rsidRPr="00B13F41" w:rsidRDefault="0090411B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0411B" w:rsidRPr="00B13F41" w:rsidRDefault="0090411B" w:rsidP="005451E5">
            <w:pPr>
              <w:pStyle w:val="Prosttext"/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743CAD" w:rsidTr="005451E5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3CAD" w:rsidRPr="005A7A28" w:rsidRDefault="00743CAD" w:rsidP="005451E5">
            <w:pPr>
              <w:pStyle w:val="Prosttex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330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371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377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380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2 448</w:t>
            </w:r>
          </w:p>
        </w:tc>
      </w:tr>
      <w:tr w:rsidR="00743CAD" w:rsidTr="005451E5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43CAD" w:rsidRPr="005A7A28" w:rsidRDefault="00743CAD" w:rsidP="005451E5">
            <w:pPr>
              <w:pStyle w:val="Prosttex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Upravená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>. potřeba</w:t>
            </w:r>
            <w:r w:rsidRPr="005451E5">
              <w:rPr>
                <w:rFonts w:ascii="Arial" w:hAnsi="Arial" w:cs="Arial"/>
                <w:sz w:val="22"/>
                <w:szCs w:val="22"/>
              </w:rPr>
              <w:t>*</w:t>
            </w:r>
            <w:r w:rsidRPr="005A7A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743CAD" w:rsidRPr="001B76A4" w:rsidRDefault="00743CAD" w:rsidP="00CE3438">
            <w:pPr>
              <w:pStyle w:val="Prosttex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228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518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452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461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743CAD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510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743CAD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2 681</w:t>
            </w:r>
          </w:p>
        </w:tc>
      </w:tr>
      <w:tr w:rsidR="00D0230A" w:rsidTr="005451E5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0230A" w:rsidRPr="00743CAD" w:rsidRDefault="00D0230A" w:rsidP="005451E5">
            <w:pPr>
              <w:pStyle w:val="Prosttext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Schválený rozpočet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0230A" w:rsidRPr="005451E5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51E5">
              <w:rPr>
                <w:rFonts w:ascii="Arial" w:hAnsi="Arial" w:cs="Arial"/>
                <w:sz w:val="22"/>
                <w:szCs w:val="22"/>
              </w:rPr>
              <w:t>*</w:t>
            </w:r>
            <w:r w:rsidR="00D0230A" w:rsidRPr="005451E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0230A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51E5">
              <w:rPr>
                <w:rFonts w:ascii="Arial" w:hAnsi="Arial" w:cs="Arial"/>
                <w:sz w:val="22"/>
                <w:szCs w:val="22"/>
              </w:rPr>
              <w:t>*</w:t>
            </w:r>
            <w:r w:rsidR="00D0230A" w:rsidRPr="005451E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504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0230A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51E5">
              <w:rPr>
                <w:rFonts w:ascii="Arial" w:hAnsi="Arial" w:cs="Arial"/>
                <w:sz w:val="22"/>
                <w:szCs w:val="22"/>
              </w:rPr>
              <w:t>*</w:t>
            </w:r>
            <w:r w:rsidR="00D0230A" w:rsidRPr="005451E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0230A" w:rsidRDefault="00743CAD" w:rsidP="005451E5">
            <w:pPr>
              <w:ind w:right="57"/>
              <w:jc w:val="right"/>
              <w:rPr>
                <w:rFonts w:eastAsia="Times New Roman"/>
              </w:rPr>
            </w:pPr>
            <w:r w:rsidRPr="005451E5">
              <w:rPr>
                <w:rFonts w:cs="Arial"/>
                <w:sz w:val="22"/>
                <w:szCs w:val="22"/>
              </w:rPr>
              <w:t>*</w:t>
            </w:r>
            <w:r w:rsidR="00D0230A" w:rsidRPr="005451E5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D0230A" w:rsidTr="005451E5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0230A" w:rsidRPr="005A7A28" w:rsidRDefault="00D0230A" w:rsidP="005451E5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Upravený rozpočet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135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482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174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0230A" w:rsidRDefault="00743CAD" w:rsidP="005451E5">
            <w:pPr>
              <w:ind w:right="57"/>
              <w:jc w:val="right"/>
              <w:rPr>
                <w:rFonts w:eastAsia="Times New Roman"/>
              </w:rPr>
            </w:pPr>
            <w:r w:rsidRPr="005451E5">
              <w:rPr>
                <w:rFonts w:cs="Arial"/>
                <w:sz w:val="22"/>
                <w:szCs w:val="22"/>
              </w:rPr>
              <w:t>*</w:t>
            </w:r>
            <w:r w:rsidR="00D0230A" w:rsidRPr="005451E5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</w:t>
            </w:r>
          </w:p>
        </w:tc>
        <w:tc>
          <w:tcPr>
            <w:tcW w:w="8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D0230A" w:rsidRPr="001B76A4" w:rsidRDefault="00D0230A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A5739" w:rsidTr="005451E5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739" w:rsidRPr="005A7A28" w:rsidRDefault="00BA5739" w:rsidP="005451E5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Skutečné čerpání</w:t>
            </w:r>
          </w:p>
        </w:tc>
        <w:tc>
          <w:tcPr>
            <w:tcW w:w="8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372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177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99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79</w:t>
            </w:r>
          </w:p>
        </w:tc>
        <w:tc>
          <w:tcPr>
            <w:tcW w:w="8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907</w:t>
            </w:r>
          </w:p>
        </w:tc>
      </w:tr>
    </w:tbl>
    <w:p w:rsidR="00BA5739" w:rsidRDefault="00EB47DD" w:rsidP="00BA5739">
      <w:pPr>
        <w:pStyle w:val="Prosttext"/>
        <w:ind w:left="567" w:hanging="567"/>
        <w:jc w:val="both"/>
        <w:rPr>
          <w:rFonts w:ascii="Arial" w:hAnsi="Arial" w:cs="Arial"/>
          <w:sz w:val="18"/>
          <w:szCs w:val="18"/>
        </w:rPr>
      </w:pPr>
      <w:r w:rsidRPr="0048117C">
        <w:rPr>
          <w:rFonts w:ascii="Arial" w:hAnsi="Arial" w:cs="Arial"/>
          <w:b/>
          <w:sz w:val="18"/>
          <w:szCs w:val="18"/>
        </w:rPr>
        <w:t>Zdroj:</w:t>
      </w:r>
      <w:r>
        <w:rPr>
          <w:rFonts w:ascii="Arial" w:hAnsi="Arial" w:cs="Arial"/>
          <w:sz w:val="18"/>
          <w:szCs w:val="18"/>
        </w:rPr>
        <w:t xml:space="preserve"> </w:t>
      </w:r>
      <w:r w:rsidR="00CE791E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okumentace programu a její aktualizace, schválené rozpočty </w:t>
      </w:r>
      <w:r w:rsidR="00BF6454">
        <w:rPr>
          <w:rFonts w:ascii="Arial" w:hAnsi="Arial" w:cs="Arial"/>
          <w:sz w:val="18"/>
          <w:szCs w:val="18"/>
        </w:rPr>
        <w:t>a státní závěrečné účty let</w:t>
      </w:r>
      <w:r>
        <w:rPr>
          <w:rFonts w:ascii="Arial" w:hAnsi="Arial" w:cs="Arial"/>
          <w:sz w:val="18"/>
          <w:szCs w:val="18"/>
        </w:rPr>
        <w:t xml:space="preserve"> 200</w:t>
      </w:r>
      <w:r w:rsidR="00BA5739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 xml:space="preserve"> až</w:t>
      </w:r>
      <w:r w:rsidR="00BF6454">
        <w:rPr>
          <w:rFonts w:ascii="Arial" w:hAnsi="Arial" w:cs="Arial"/>
          <w:sz w:val="18"/>
          <w:szCs w:val="18"/>
        </w:rPr>
        <w:t xml:space="preserve"> 2013</w:t>
      </w:r>
      <w:r>
        <w:rPr>
          <w:rFonts w:ascii="Arial" w:hAnsi="Arial" w:cs="Arial"/>
          <w:sz w:val="18"/>
          <w:szCs w:val="18"/>
        </w:rPr>
        <w:t>.</w:t>
      </w:r>
    </w:p>
    <w:p w:rsidR="00743CAD" w:rsidRDefault="00743CAD" w:rsidP="00743CAD">
      <w:pPr>
        <w:pStyle w:val="Prosttex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  <w:t>Podle třetí aktualizace dokumentace programu z března 2009, platné do konce roku 2013.</w:t>
      </w:r>
    </w:p>
    <w:p w:rsidR="00743CAD" w:rsidRDefault="00743CAD" w:rsidP="00743CAD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**</w:t>
      </w:r>
      <w:r>
        <w:rPr>
          <w:rFonts w:ascii="Arial" w:hAnsi="Arial" w:cs="Arial"/>
          <w:sz w:val="18"/>
          <w:szCs w:val="18"/>
        </w:rPr>
        <w:tab/>
        <w:t>MPSV v uvedených letech na podprogram</w:t>
      </w:r>
      <w:r w:rsidR="004E3528">
        <w:rPr>
          <w:rFonts w:ascii="Arial" w:hAnsi="Arial" w:cs="Arial"/>
          <w:sz w:val="18"/>
          <w:szCs w:val="18"/>
        </w:rPr>
        <w:t xml:space="preserve"> peněžní prostředky</w:t>
      </w:r>
      <w:r>
        <w:rPr>
          <w:rFonts w:ascii="Arial" w:hAnsi="Arial" w:cs="Arial"/>
          <w:sz w:val="18"/>
          <w:szCs w:val="18"/>
        </w:rPr>
        <w:t xml:space="preserve"> nerozepisovalo.</w:t>
      </w:r>
    </w:p>
    <w:p w:rsidR="00BF2A0B" w:rsidRDefault="00BF2A0B">
      <w:pPr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cs="Arial"/>
          <w:b/>
          <w:sz w:val="22"/>
          <w:szCs w:val="22"/>
        </w:rPr>
        <w:br w:type="page"/>
      </w:r>
    </w:p>
    <w:p w:rsidR="00EB47DD" w:rsidRDefault="00EB47DD" w:rsidP="005E1417">
      <w:pPr>
        <w:pStyle w:val="Prosttext"/>
        <w:tabs>
          <w:tab w:val="right" w:pos="9072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Tabulka č. 6 – Finanční podmínky podprogramu č. 113 314</w:t>
      </w:r>
      <w:r>
        <w:rPr>
          <w:rFonts w:ascii="Arial" w:hAnsi="Arial" w:cs="Arial"/>
          <w:b/>
          <w:sz w:val="22"/>
          <w:szCs w:val="22"/>
        </w:rPr>
        <w:tab/>
        <w:t>(</w:t>
      </w:r>
      <w:r w:rsidR="009E06AF">
        <w:rPr>
          <w:rFonts w:ascii="Arial" w:hAnsi="Arial" w:cs="Arial"/>
          <w:b/>
          <w:sz w:val="22"/>
          <w:szCs w:val="22"/>
        </w:rPr>
        <w:t>v </w:t>
      </w:r>
      <w:r>
        <w:rPr>
          <w:rFonts w:ascii="Arial" w:hAnsi="Arial" w:cs="Arial"/>
          <w:b/>
          <w:sz w:val="22"/>
          <w:szCs w:val="22"/>
        </w:rPr>
        <w:t>mil. Kč)</w:t>
      </w:r>
    </w:p>
    <w:tbl>
      <w:tblPr>
        <w:tblStyle w:val="Mkatabulky"/>
        <w:tblW w:w="907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134"/>
        <w:gridCol w:w="1134"/>
        <w:gridCol w:w="1134"/>
        <w:gridCol w:w="1134"/>
        <w:gridCol w:w="992"/>
      </w:tblGrid>
      <w:tr w:rsidR="00BA5739" w:rsidTr="005451E5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5739" w:rsidRDefault="00BA5739" w:rsidP="00BA5739">
            <w:pPr>
              <w:pStyle w:val="Prosttex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B13F41" w:rsidRDefault="00BA5739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2009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739" w:rsidRPr="00B13F41" w:rsidRDefault="00BA5739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739" w:rsidRPr="00B13F41" w:rsidRDefault="00BA5739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A5739" w:rsidRPr="00B13F41" w:rsidRDefault="00BA5739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739" w:rsidRDefault="00BA5739" w:rsidP="005451E5">
            <w:pPr>
              <w:pStyle w:val="Prosttext"/>
              <w:spacing w:before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2013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B13F41" w:rsidRDefault="00BA5739" w:rsidP="005451E5">
            <w:pPr>
              <w:pStyle w:val="Prosttext"/>
              <w:spacing w:before="20"/>
              <w:ind w:left="-108" w:right="-10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Celkem</w:t>
            </w:r>
          </w:p>
        </w:tc>
      </w:tr>
      <w:tr w:rsidR="00BA5739" w:rsidTr="005451E5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A5739" w:rsidRPr="005A7A28" w:rsidRDefault="00BA5739" w:rsidP="005451E5">
            <w:pPr>
              <w:pStyle w:val="Prosttex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Stanovená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gramStart"/>
            <w:r w:rsidRPr="005A7A28">
              <w:rPr>
                <w:rFonts w:ascii="Arial" w:hAnsi="Arial" w:cs="Arial"/>
                <w:sz w:val="22"/>
                <w:szCs w:val="22"/>
              </w:rPr>
              <w:t>potřeba</w:t>
            </w:r>
            <w:proofErr w:type="gramEnd"/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499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A5739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</w:t>
            </w:r>
          </w:p>
        </w:tc>
      </w:tr>
      <w:tr w:rsidR="00BA5739" w:rsidTr="005451E5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A5739" w:rsidRPr="005A7A28" w:rsidRDefault="00BA5739" w:rsidP="005451E5">
            <w:pPr>
              <w:pStyle w:val="Prosttext"/>
              <w:ind w:right="-108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 xml:space="preserve">Upravená </w:t>
            </w:r>
            <w:proofErr w:type="spellStart"/>
            <w:r w:rsidRPr="005A7A28">
              <w:rPr>
                <w:rFonts w:ascii="Arial" w:hAnsi="Arial" w:cs="Arial"/>
                <w:sz w:val="22"/>
                <w:szCs w:val="22"/>
              </w:rPr>
              <w:t>fin</w:t>
            </w:r>
            <w:proofErr w:type="spellEnd"/>
            <w:r w:rsidRPr="005A7A28">
              <w:rPr>
                <w:rFonts w:ascii="Arial" w:hAnsi="Arial" w:cs="Arial"/>
                <w:sz w:val="22"/>
                <w:szCs w:val="22"/>
              </w:rPr>
              <w:t>. potřeba</w:t>
            </w:r>
            <w:r w:rsidR="00743CAD" w:rsidRPr="005451E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A5739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2 000</w:t>
            </w:r>
          </w:p>
        </w:tc>
      </w:tr>
      <w:tr w:rsidR="00BA5739" w:rsidTr="005451E5">
        <w:tc>
          <w:tcPr>
            <w:tcW w:w="2410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A5739" w:rsidRPr="005A7A28" w:rsidRDefault="00BA5739" w:rsidP="00CE3438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Schválený rozpočet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51E5">
              <w:rPr>
                <w:rFonts w:ascii="Arial" w:hAnsi="Arial" w:cs="Arial"/>
                <w:sz w:val="22"/>
                <w:szCs w:val="22"/>
              </w:rPr>
              <w:t>*</w:t>
            </w:r>
            <w:r w:rsidR="00D0230A" w:rsidRPr="005451E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743CAD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451E5">
              <w:rPr>
                <w:rFonts w:ascii="Arial" w:hAnsi="Arial" w:cs="Arial"/>
                <w:sz w:val="22"/>
                <w:szCs w:val="22"/>
              </w:rPr>
              <w:t>*</w:t>
            </w:r>
            <w:r w:rsidR="00D0230A" w:rsidRPr="005451E5">
              <w:rPr>
                <w:rFonts w:ascii="Arial" w:hAnsi="Arial" w:cs="Arial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BA5739" w:rsidTr="005451E5">
        <w:tc>
          <w:tcPr>
            <w:tcW w:w="2410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A5739" w:rsidRPr="005A7A28" w:rsidRDefault="00BA5739" w:rsidP="00CE3438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Upravený rozpočet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107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401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804</w:t>
            </w:r>
          </w:p>
        </w:tc>
      </w:tr>
      <w:tr w:rsidR="00BA5739" w:rsidTr="005451E5"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5739" w:rsidRPr="005A7A28" w:rsidRDefault="00BA5739" w:rsidP="00CE3438">
            <w:pPr>
              <w:pStyle w:val="Prosttext"/>
              <w:rPr>
                <w:rFonts w:ascii="Arial" w:hAnsi="Arial" w:cs="Arial"/>
                <w:sz w:val="22"/>
                <w:szCs w:val="22"/>
              </w:rPr>
            </w:pPr>
            <w:r w:rsidRPr="005A7A28">
              <w:rPr>
                <w:rFonts w:ascii="Arial" w:hAnsi="Arial" w:cs="Arial"/>
                <w:sz w:val="22"/>
                <w:szCs w:val="22"/>
              </w:rPr>
              <w:t>Skutečné čerpání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212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76</w:t>
            </w: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A5739" w:rsidRPr="001B76A4" w:rsidRDefault="00BA5739" w:rsidP="005451E5">
            <w:pPr>
              <w:pStyle w:val="Prosttext"/>
              <w:ind w:right="57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</w:t>
            </w:r>
          </w:p>
        </w:tc>
      </w:tr>
    </w:tbl>
    <w:p w:rsidR="00D0230A" w:rsidRDefault="00EB47DD" w:rsidP="00EB47DD">
      <w:pPr>
        <w:pStyle w:val="Prosttext"/>
        <w:ind w:left="567" w:hanging="567"/>
        <w:jc w:val="both"/>
        <w:rPr>
          <w:rFonts w:ascii="Arial" w:hAnsi="Arial" w:cs="Arial"/>
          <w:sz w:val="18"/>
          <w:szCs w:val="18"/>
        </w:rPr>
      </w:pPr>
      <w:r w:rsidRPr="0048117C">
        <w:rPr>
          <w:rFonts w:ascii="Arial" w:hAnsi="Arial" w:cs="Arial"/>
          <w:b/>
          <w:sz w:val="18"/>
          <w:szCs w:val="18"/>
        </w:rPr>
        <w:t>Zdroj:</w:t>
      </w:r>
      <w:r>
        <w:rPr>
          <w:rFonts w:ascii="Arial" w:hAnsi="Arial" w:cs="Arial"/>
          <w:sz w:val="18"/>
          <w:szCs w:val="18"/>
        </w:rPr>
        <w:t xml:space="preserve"> </w:t>
      </w:r>
      <w:r w:rsidR="00CE791E"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okumentace programu a její aktualizace, schválené rozpočty </w:t>
      </w:r>
      <w:r w:rsidR="00BF6454">
        <w:rPr>
          <w:rFonts w:ascii="Arial" w:hAnsi="Arial" w:cs="Arial"/>
          <w:sz w:val="18"/>
          <w:szCs w:val="18"/>
        </w:rPr>
        <w:t xml:space="preserve">a státní závěrečné účty let </w:t>
      </w:r>
      <w:r>
        <w:rPr>
          <w:rFonts w:ascii="Arial" w:hAnsi="Arial" w:cs="Arial"/>
          <w:sz w:val="18"/>
          <w:szCs w:val="18"/>
        </w:rPr>
        <w:t>200</w:t>
      </w:r>
      <w:r w:rsidR="00D0230A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až 2013.</w:t>
      </w:r>
    </w:p>
    <w:p w:rsidR="00743CAD" w:rsidRDefault="00743CAD" w:rsidP="00743CAD">
      <w:pPr>
        <w:pStyle w:val="Prosttext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>
        <w:rPr>
          <w:rFonts w:ascii="Arial" w:hAnsi="Arial" w:cs="Arial"/>
          <w:sz w:val="18"/>
          <w:szCs w:val="18"/>
        </w:rPr>
        <w:tab/>
        <w:t>Podle třetí aktualizace dokumentace programu z března 2009, platné do konce roku 2013.</w:t>
      </w:r>
    </w:p>
    <w:p w:rsidR="00D0230A" w:rsidRDefault="00D0230A" w:rsidP="00743CAD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8"/>
          <w:szCs w:val="18"/>
        </w:rPr>
        <w:t>*</w:t>
      </w:r>
      <w:r w:rsidR="00743CAD">
        <w:rPr>
          <w:rFonts w:ascii="Arial" w:hAnsi="Arial" w:cs="Arial"/>
          <w:sz w:val="18"/>
          <w:szCs w:val="18"/>
        </w:rPr>
        <w:t>*</w:t>
      </w:r>
      <w:r w:rsidR="00743CA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MPSV v uvedených letech na podprogram</w:t>
      </w:r>
      <w:r w:rsidR="004E3528">
        <w:rPr>
          <w:rFonts w:ascii="Arial" w:hAnsi="Arial" w:cs="Arial"/>
          <w:sz w:val="18"/>
          <w:szCs w:val="18"/>
        </w:rPr>
        <w:t xml:space="preserve"> peněžní prostředky</w:t>
      </w:r>
      <w:r>
        <w:rPr>
          <w:rFonts w:ascii="Arial" w:hAnsi="Arial" w:cs="Arial"/>
          <w:sz w:val="18"/>
          <w:szCs w:val="18"/>
        </w:rPr>
        <w:t xml:space="preserve"> nerozepisovalo.</w:t>
      </w:r>
    </w:p>
    <w:p w:rsidR="00EB47DD" w:rsidRDefault="00EB47DD" w:rsidP="00EB47DD">
      <w:pPr>
        <w:pStyle w:val="Prosttex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="00B83600" w:rsidRDefault="00424866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0230A">
        <w:rPr>
          <w:rFonts w:ascii="Arial" w:hAnsi="Arial" w:cs="Arial"/>
          <w:sz w:val="22"/>
          <w:szCs w:val="22"/>
        </w:rPr>
        <w:t>eněžní prostředky podle upravených rozpočtů byly na podprogram č. 113 313 vyčerpány v letech 2007 až 2013</w:t>
      </w:r>
      <w:r w:rsidR="004E3528">
        <w:rPr>
          <w:rFonts w:ascii="Arial" w:hAnsi="Arial" w:cs="Arial"/>
          <w:sz w:val="22"/>
          <w:szCs w:val="22"/>
        </w:rPr>
        <w:t xml:space="preserve">, </w:t>
      </w:r>
      <w:r w:rsidR="00D0230A">
        <w:rPr>
          <w:rFonts w:ascii="Arial" w:hAnsi="Arial" w:cs="Arial"/>
          <w:sz w:val="22"/>
          <w:szCs w:val="22"/>
        </w:rPr>
        <w:t xml:space="preserve">bez roku 2011, </w:t>
      </w:r>
      <w:r w:rsidR="009E06AF">
        <w:rPr>
          <w:rFonts w:ascii="Arial" w:hAnsi="Arial" w:cs="Arial"/>
          <w:sz w:val="22"/>
          <w:szCs w:val="22"/>
        </w:rPr>
        <w:t>z </w:t>
      </w:r>
      <w:r>
        <w:rPr>
          <w:rFonts w:ascii="Arial" w:hAnsi="Arial" w:cs="Arial"/>
          <w:sz w:val="22"/>
          <w:szCs w:val="22"/>
        </w:rPr>
        <w:t>82 % a na podprogram</w:t>
      </w:r>
      <w:r w:rsidR="00D0230A">
        <w:rPr>
          <w:rFonts w:ascii="Arial" w:hAnsi="Arial" w:cs="Arial"/>
          <w:sz w:val="22"/>
          <w:szCs w:val="22"/>
        </w:rPr>
        <w:t xml:space="preserve"> č. 113 314 </w:t>
      </w:r>
      <w:r w:rsidR="009E06A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letech</w:t>
      </w:r>
      <w:r w:rsidR="00D0230A">
        <w:rPr>
          <w:rFonts w:ascii="Arial" w:hAnsi="Arial" w:cs="Arial"/>
          <w:sz w:val="22"/>
          <w:szCs w:val="22"/>
        </w:rPr>
        <w:t xml:space="preserve"> 2009 až 2013 jen</w:t>
      </w:r>
      <w:r w:rsidR="009B2997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z </w:t>
      </w:r>
      <w:r w:rsidR="00B83600">
        <w:rPr>
          <w:rFonts w:ascii="Arial" w:hAnsi="Arial" w:cs="Arial"/>
          <w:sz w:val="22"/>
          <w:szCs w:val="22"/>
        </w:rPr>
        <w:t>61 %</w:t>
      </w:r>
      <w:r>
        <w:rPr>
          <w:rFonts w:ascii="Arial" w:hAnsi="Arial" w:cs="Arial"/>
          <w:sz w:val="22"/>
          <w:szCs w:val="22"/>
        </w:rPr>
        <w:t>, jak ukazují tabulky č. 5 a 6.</w:t>
      </w:r>
      <w:r w:rsidR="00B83600">
        <w:rPr>
          <w:rFonts w:ascii="Arial" w:hAnsi="Arial" w:cs="Arial"/>
          <w:sz w:val="22"/>
          <w:szCs w:val="22"/>
        </w:rPr>
        <w:t xml:space="preserve"> </w:t>
      </w:r>
      <w:r w:rsidR="00B83600" w:rsidRPr="00B83600">
        <w:rPr>
          <w:rFonts w:ascii="Arial" w:hAnsi="Arial" w:cs="Arial"/>
          <w:b/>
          <w:sz w:val="22"/>
          <w:szCs w:val="22"/>
        </w:rPr>
        <w:t>Jednou z příčin nízkého čerpání bylo prodlužování</w:t>
      </w:r>
      <w:r w:rsidR="00B83600">
        <w:rPr>
          <w:rFonts w:ascii="Arial" w:hAnsi="Arial" w:cs="Arial"/>
          <w:b/>
          <w:sz w:val="22"/>
          <w:szCs w:val="22"/>
        </w:rPr>
        <w:t xml:space="preserve"> stanovených termínů přípravy a </w:t>
      </w:r>
      <w:r w:rsidR="00B83600" w:rsidRPr="00B83600">
        <w:rPr>
          <w:rFonts w:ascii="Arial" w:hAnsi="Arial" w:cs="Arial"/>
          <w:b/>
          <w:sz w:val="22"/>
          <w:szCs w:val="22"/>
        </w:rPr>
        <w:t>realizace akcí zařazených do podprogramů, jak bylo</w:t>
      </w:r>
      <w:r w:rsidR="00BF6454">
        <w:rPr>
          <w:rFonts w:ascii="Arial" w:hAnsi="Arial" w:cs="Arial"/>
          <w:b/>
          <w:sz w:val="22"/>
          <w:szCs w:val="22"/>
        </w:rPr>
        <w:t xml:space="preserve"> kontrolou</w:t>
      </w:r>
      <w:r w:rsidR="00B83600" w:rsidRPr="00B83600">
        <w:rPr>
          <w:rFonts w:ascii="Arial" w:hAnsi="Arial" w:cs="Arial"/>
          <w:b/>
          <w:sz w:val="22"/>
          <w:szCs w:val="22"/>
        </w:rPr>
        <w:t xml:space="preserve"> zjištěno u devíti z deseti kontrolovaných akcí</w:t>
      </w:r>
      <w:r w:rsidR="00B83600" w:rsidRPr="005451E5">
        <w:rPr>
          <w:rFonts w:ascii="Arial" w:hAnsi="Arial" w:cs="Arial"/>
          <w:b/>
          <w:sz w:val="22"/>
          <w:szCs w:val="22"/>
        </w:rPr>
        <w:t>.</w:t>
      </w:r>
      <w:r w:rsidR="00B83600">
        <w:rPr>
          <w:rFonts w:ascii="Arial" w:hAnsi="Arial" w:cs="Arial"/>
          <w:sz w:val="22"/>
          <w:szCs w:val="22"/>
        </w:rPr>
        <w:t xml:space="preserve"> </w:t>
      </w:r>
    </w:p>
    <w:p w:rsidR="00805F96" w:rsidRDefault="00805F96" w:rsidP="00B015F5">
      <w:pPr>
        <w:pStyle w:val="Prosttext"/>
        <w:jc w:val="both"/>
        <w:rPr>
          <w:rFonts w:ascii="Arial" w:hAnsi="Arial" w:cs="Arial"/>
          <w:b/>
          <w:sz w:val="22"/>
          <w:szCs w:val="22"/>
        </w:rPr>
      </w:pPr>
    </w:p>
    <w:p w:rsidR="00B83600" w:rsidRDefault="00B8360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5.2 Cíle, indikátory a parametry</w:t>
      </w:r>
    </w:p>
    <w:p w:rsidR="00B83600" w:rsidRDefault="00B8360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4B41E4" w:rsidRPr="00BF6454" w:rsidRDefault="004E3528" w:rsidP="004B41E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0674FA">
        <w:rPr>
          <w:rFonts w:ascii="Arial" w:hAnsi="Arial" w:cs="Arial"/>
          <w:sz w:val="22"/>
          <w:szCs w:val="22"/>
        </w:rPr>
        <w:t>odprogramů č. 113 313 a 113 314 se</w:t>
      </w:r>
      <w:r w:rsidR="00E87189">
        <w:rPr>
          <w:rFonts w:ascii="Arial" w:hAnsi="Arial" w:cs="Arial"/>
          <w:sz w:val="22"/>
          <w:szCs w:val="22"/>
        </w:rPr>
        <w:t xml:space="preserve"> z pěti cílů programu</w:t>
      </w:r>
      <w:r w:rsidR="000674FA">
        <w:rPr>
          <w:rFonts w:ascii="Arial" w:hAnsi="Arial" w:cs="Arial"/>
          <w:sz w:val="22"/>
          <w:szCs w:val="22"/>
        </w:rPr>
        <w:t xml:space="preserve"> týkaly </w:t>
      </w:r>
      <w:r w:rsidR="00E87189">
        <w:rPr>
          <w:rFonts w:ascii="Arial" w:hAnsi="Arial" w:cs="Arial"/>
          <w:sz w:val="22"/>
          <w:szCs w:val="22"/>
        </w:rPr>
        <w:t>tři</w:t>
      </w:r>
      <w:r w:rsidR="000674FA">
        <w:rPr>
          <w:rFonts w:ascii="Arial" w:hAnsi="Arial" w:cs="Arial"/>
          <w:sz w:val="22"/>
          <w:szCs w:val="22"/>
        </w:rPr>
        <w:t xml:space="preserve"> cíle zaměřené na z</w:t>
      </w:r>
      <w:r w:rsidR="000674FA" w:rsidRPr="000674FA">
        <w:rPr>
          <w:rFonts w:ascii="Arial" w:hAnsi="Arial" w:cs="Arial"/>
          <w:sz w:val="22"/>
          <w:szCs w:val="22"/>
        </w:rPr>
        <w:t>vyšování kapacit pobytových zařízení sociálních služeb</w:t>
      </w:r>
      <w:r w:rsidR="00E87189">
        <w:rPr>
          <w:rFonts w:ascii="Arial" w:hAnsi="Arial" w:cs="Arial"/>
          <w:sz w:val="22"/>
          <w:szCs w:val="22"/>
        </w:rPr>
        <w:t xml:space="preserve">, </w:t>
      </w:r>
      <w:r w:rsidR="000674FA">
        <w:rPr>
          <w:rFonts w:ascii="Arial" w:hAnsi="Arial" w:cs="Arial"/>
          <w:sz w:val="22"/>
          <w:szCs w:val="22"/>
        </w:rPr>
        <w:t>zkvalitnění pobytových služeb sociální péče</w:t>
      </w:r>
      <w:r w:rsidR="00381F81">
        <w:rPr>
          <w:rFonts w:ascii="Arial" w:hAnsi="Arial" w:cs="Arial"/>
          <w:sz w:val="22"/>
          <w:szCs w:val="22"/>
        </w:rPr>
        <w:t xml:space="preserve"> a snižování energetické náročnosti objektů</w:t>
      </w:r>
      <w:r w:rsidR="000674FA">
        <w:rPr>
          <w:rFonts w:ascii="Arial" w:hAnsi="Arial" w:cs="Arial"/>
          <w:sz w:val="22"/>
          <w:szCs w:val="22"/>
        </w:rPr>
        <w:t xml:space="preserve">. </w:t>
      </w:r>
      <w:r w:rsidR="0081750E">
        <w:rPr>
          <w:rFonts w:ascii="Arial" w:hAnsi="Arial" w:cs="Arial"/>
          <w:sz w:val="22"/>
          <w:szCs w:val="22"/>
        </w:rPr>
        <w:t>Jejich v</w:t>
      </w:r>
      <w:r w:rsidR="00E87189">
        <w:rPr>
          <w:rFonts w:ascii="Arial" w:hAnsi="Arial" w:cs="Arial"/>
          <w:sz w:val="22"/>
          <w:szCs w:val="22"/>
        </w:rPr>
        <w:t xml:space="preserve">ěcnou náplní </w:t>
      </w:r>
      <w:r w:rsidR="0081750E">
        <w:rPr>
          <w:rFonts w:ascii="Arial" w:hAnsi="Arial" w:cs="Arial"/>
          <w:sz w:val="22"/>
          <w:szCs w:val="22"/>
        </w:rPr>
        <w:t xml:space="preserve">byly </w:t>
      </w:r>
      <w:r w:rsidR="008A54C6">
        <w:rPr>
          <w:rFonts w:ascii="Arial" w:hAnsi="Arial" w:cs="Arial"/>
          <w:sz w:val="22"/>
          <w:szCs w:val="22"/>
        </w:rPr>
        <w:t xml:space="preserve">v podstatě </w:t>
      </w:r>
      <w:r w:rsidR="00E87189">
        <w:rPr>
          <w:rFonts w:ascii="Arial" w:hAnsi="Arial" w:cs="Arial"/>
          <w:sz w:val="22"/>
          <w:szCs w:val="22"/>
        </w:rPr>
        <w:t>nákupy, výstavby, rekonstrukce a modernizace budov nebo jejich částí.</w:t>
      </w:r>
      <w:r w:rsidR="0081750E">
        <w:rPr>
          <w:rFonts w:ascii="Arial" w:hAnsi="Arial" w:cs="Arial"/>
          <w:sz w:val="22"/>
          <w:szCs w:val="22"/>
        </w:rPr>
        <w:t xml:space="preserve"> </w:t>
      </w:r>
      <w:r w:rsidR="008A54C6">
        <w:rPr>
          <w:rFonts w:ascii="Arial" w:hAnsi="Arial" w:cs="Arial"/>
          <w:sz w:val="22"/>
          <w:szCs w:val="22"/>
        </w:rPr>
        <w:t>V d</w:t>
      </w:r>
      <w:r w:rsidR="006D53DA" w:rsidRPr="00BF6454">
        <w:rPr>
          <w:rFonts w:ascii="Arial" w:hAnsi="Arial" w:cs="Arial"/>
          <w:sz w:val="22"/>
          <w:szCs w:val="22"/>
        </w:rPr>
        <w:t>okumentac</w:t>
      </w:r>
      <w:r w:rsidR="008A54C6">
        <w:rPr>
          <w:rFonts w:ascii="Arial" w:hAnsi="Arial" w:cs="Arial"/>
          <w:sz w:val="22"/>
          <w:szCs w:val="22"/>
        </w:rPr>
        <w:t>ích</w:t>
      </w:r>
      <w:r w:rsidR="006D53DA" w:rsidRPr="00BF6454">
        <w:rPr>
          <w:rFonts w:ascii="Arial" w:hAnsi="Arial" w:cs="Arial"/>
          <w:sz w:val="22"/>
          <w:szCs w:val="22"/>
        </w:rPr>
        <w:t xml:space="preserve"> programu a </w:t>
      </w:r>
      <w:r w:rsidR="004B41E4" w:rsidRPr="00BF6454">
        <w:rPr>
          <w:rFonts w:ascii="Arial" w:hAnsi="Arial" w:cs="Arial"/>
          <w:sz w:val="22"/>
          <w:szCs w:val="22"/>
        </w:rPr>
        <w:t xml:space="preserve">podprogramů však </w:t>
      </w:r>
      <w:r w:rsidR="008A54C6">
        <w:rPr>
          <w:rFonts w:ascii="Arial" w:hAnsi="Arial" w:cs="Arial"/>
          <w:sz w:val="22"/>
          <w:szCs w:val="22"/>
        </w:rPr>
        <w:t>nebyla obsažena</w:t>
      </w:r>
      <w:r w:rsidR="004B41E4" w:rsidRPr="00BF6454">
        <w:rPr>
          <w:rFonts w:ascii="Arial" w:hAnsi="Arial" w:cs="Arial"/>
          <w:sz w:val="22"/>
          <w:szCs w:val="22"/>
        </w:rPr>
        <w:t xml:space="preserve"> technicko-ekonomick</w:t>
      </w:r>
      <w:r w:rsidR="00980B14">
        <w:rPr>
          <w:rFonts w:ascii="Arial" w:hAnsi="Arial" w:cs="Arial"/>
          <w:sz w:val="22"/>
          <w:szCs w:val="22"/>
        </w:rPr>
        <w:t>á</w:t>
      </w:r>
      <w:r w:rsidR="004B41E4" w:rsidRPr="00BF6454">
        <w:rPr>
          <w:rFonts w:ascii="Arial" w:hAnsi="Arial" w:cs="Arial"/>
          <w:sz w:val="22"/>
          <w:szCs w:val="22"/>
        </w:rPr>
        <w:t xml:space="preserve"> zdůvodnění cílů, jak požaduje zákon č. 218/2000 Sb.</w:t>
      </w:r>
    </w:p>
    <w:p w:rsidR="00DE4310" w:rsidRDefault="00DE431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4B41E4" w:rsidRDefault="00992599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992599">
        <w:rPr>
          <w:rFonts w:ascii="Arial" w:hAnsi="Arial" w:cs="Arial"/>
          <w:b/>
          <w:sz w:val="22"/>
          <w:szCs w:val="22"/>
        </w:rPr>
        <w:t xml:space="preserve">Cíle programu a jeho podprogramů nevycházely </w:t>
      </w:r>
      <w:r w:rsidR="009E06AF">
        <w:rPr>
          <w:rFonts w:ascii="Arial" w:hAnsi="Arial" w:cs="Arial"/>
          <w:b/>
          <w:sz w:val="22"/>
          <w:szCs w:val="22"/>
        </w:rPr>
        <w:t>z </w:t>
      </w:r>
      <w:r w:rsidRPr="00992599">
        <w:rPr>
          <w:rFonts w:ascii="Arial" w:hAnsi="Arial" w:cs="Arial"/>
          <w:b/>
          <w:sz w:val="22"/>
          <w:szCs w:val="22"/>
        </w:rPr>
        <w:t>koncepčních dokumentů, které by stanovovaly priority rozvoje sociálních služeb, analyzovaly existující zdroje a potřeby osob, kterým jsou sociální služby určeny</w:t>
      </w:r>
      <w:r w:rsidR="00E80D8E">
        <w:rPr>
          <w:rFonts w:ascii="Arial" w:hAnsi="Arial" w:cs="Arial"/>
          <w:b/>
          <w:sz w:val="22"/>
          <w:szCs w:val="22"/>
        </w:rPr>
        <w:t>,</w:t>
      </w:r>
      <w:r w:rsidRPr="00992599">
        <w:rPr>
          <w:rFonts w:ascii="Arial" w:hAnsi="Arial" w:cs="Arial"/>
          <w:b/>
          <w:sz w:val="22"/>
          <w:szCs w:val="22"/>
        </w:rPr>
        <w:t xml:space="preserve"> apod</w:t>
      </w:r>
      <w:r w:rsidRPr="005451E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02307E">
        <w:rPr>
          <w:rFonts w:ascii="Arial" w:hAnsi="Arial" w:cs="Arial"/>
          <w:sz w:val="22"/>
          <w:szCs w:val="22"/>
        </w:rPr>
        <w:t>MPSV</w:t>
      </w:r>
      <w:r w:rsidR="00DE2501">
        <w:rPr>
          <w:rFonts w:ascii="Arial" w:hAnsi="Arial" w:cs="Arial"/>
          <w:sz w:val="22"/>
          <w:szCs w:val="22"/>
        </w:rPr>
        <w:t xml:space="preserve"> </w:t>
      </w:r>
      <w:r w:rsidR="004B41E4">
        <w:rPr>
          <w:rFonts w:ascii="Arial" w:hAnsi="Arial" w:cs="Arial"/>
          <w:sz w:val="22"/>
          <w:szCs w:val="22"/>
        </w:rPr>
        <w:t>mělo</w:t>
      </w:r>
      <w:r w:rsidR="0002307E">
        <w:rPr>
          <w:rFonts w:ascii="Arial" w:hAnsi="Arial" w:cs="Arial"/>
          <w:sz w:val="22"/>
          <w:szCs w:val="22"/>
        </w:rPr>
        <w:t xml:space="preserve"> </w:t>
      </w:r>
      <w:r w:rsidR="006D53DA">
        <w:rPr>
          <w:rFonts w:ascii="Arial" w:hAnsi="Arial" w:cs="Arial"/>
          <w:sz w:val="22"/>
          <w:szCs w:val="22"/>
        </w:rPr>
        <w:t xml:space="preserve">koncepční dokument uvedeného charakteru zpracovat </w:t>
      </w:r>
      <w:r w:rsidR="004B41E4">
        <w:rPr>
          <w:rFonts w:ascii="Arial" w:hAnsi="Arial" w:cs="Arial"/>
          <w:sz w:val="22"/>
          <w:szCs w:val="22"/>
        </w:rPr>
        <w:t>podle zákona č. 108/2006 Sb.</w:t>
      </w:r>
      <w:r w:rsidR="004B41E4"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="00DE2501">
        <w:rPr>
          <w:rFonts w:ascii="Arial" w:hAnsi="Arial" w:cs="Arial"/>
          <w:sz w:val="22"/>
          <w:szCs w:val="22"/>
        </w:rPr>
        <w:t xml:space="preserve"> V letech 2009 až 2011 jej i začalo připravovat, ale práce na něm v dubnu 2011 pozastavilo. Důvod</w:t>
      </w:r>
      <w:r w:rsidR="00E80D8E">
        <w:rPr>
          <w:rFonts w:ascii="Arial" w:hAnsi="Arial" w:cs="Arial"/>
          <w:sz w:val="22"/>
          <w:szCs w:val="22"/>
        </w:rPr>
        <w:t>y</w:t>
      </w:r>
      <w:r w:rsidR="00DE2501">
        <w:rPr>
          <w:rFonts w:ascii="Arial" w:hAnsi="Arial" w:cs="Arial"/>
          <w:sz w:val="22"/>
          <w:szCs w:val="22"/>
        </w:rPr>
        <w:t xml:space="preserve"> </w:t>
      </w:r>
      <w:r w:rsidR="00E80D8E">
        <w:rPr>
          <w:rFonts w:ascii="Arial" w:hAnsi="Arial" w:cs="Arial"/>
          <w:sz w:val="22"/>
          <w:szCs w:val="22"/>
        </w:rPr>
        <w:t xml:space="preserve">byly </w:t>
      </w:r>
      <w:r w:rsidR="00DE2501">
        <w:rPr>
          <w:rFonts w:ascii="Arial" w:hAnsi="Arial" w:cs="Arial"/>
          <w:sz w:val="22"/>
          <w:szCs w:val="22"/>
        </w:rPr>
        <w:t>podle MPSV zejména příprava a spuštění sociální reformy od ledna 2012 a přehodnocení form</w:t>
      </w:r>
      <w:r w:rsidR="006D53DA">
        <w:rPr>
          <w:rFonts w:ascii="Arial" w:hAnsi="Arial" w:cs="Arial"/>
          <w:sz w:val="22"/>
          <w:szCs w:val="22"/>
        </w:rPr>
        <w:t>y a </w:t>
      </w:r>
      <w:r w:rsidR="00DE2501">
        <w:rPr>
          <w:rFonts w:ascii="Arial" w:hAnsi="Arial" w:cs="Arial"/>
          <w:sz w:val="22"/>
          <w:szCs w:val="22"/>
        </w:rPr>
        <w:t>obsahu strategického materiálu.</w:t>
      </w:r>
    </w:p>
    <w:p w:rsidR="004B41E4" w:rsidRDefault="004B41E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4B41E4" w:rsidRDefault="004B41E4" w:rsidP="004B41E4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 podprogramů byly specifikovány indikátory,</w:t>
      </w:r>
      <w:r w:rsidR="00BF6454">
        <w:rPr>
          <w:rFonts w:ascii="Arial" w:hAnsi="Arial" w:cs="Arial"/>
          <w:sz w:val="22"/>
          <w:szCs w:val="22"/>
        </w:rPr>
        <w:t xml:space="preserve"> které vyjadřovaly</w:t>
      </w:r>
      <w:r>
        <w:rPr>
          <w:rFonts w:ascii="Arial" w:hAnsi="Arial" w:cs="Arial"/>
          <w:sz w:val="22"/>
          <w:szCs w:val="22"/>
        </w:rPr>
        <w:t xml:space="preserve"> například</w:t>
      </w:r>
      <w:r w:rsidR="00BF6454">
        <w:rPr>
          <w:rFonts w:ascii="Arial" w:hAnsi="Arial" w:cs="Arial"/>
          <w:sz w:val="22"/>
          <w:szCs w:val="22"/>
        </w:rPr>
        <w:t xml:space="preserve"> počty</w:t>
      </w:r>
      <w:r>
        <w:rPr>
          <w:rFonts w:ascii="Arial" w:hAnsi="Arial" w:cs="Arial"/>
          <w:sz w:val="22"/>
          <w:szCs w:val="22"/>
        </w:rPr>
        <w:t xml:space="preserve"> zvýšení nebo modernizace lůžek ve stávajících zařízeních, počty nových lůžek apod. MPSV v rámci aktualizací dokumentace programu hodnoty některých indikátorů měnilo, přesouvalo mezi cíli a některé indikátory </w:t>
      </w:r>
      <w:r w:rsidR="00E80D8E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 xml:space="preserve">přidávalo. </w:t>
      </w:r>
      <w:r w:rsidR="00A0270B">
        <w:rPr>
          <w:rFonts w:ascii="Arial" w:hAnsi="Arial" w:cs="Arial"/>
          <w:sz w:val="22"/>
          <w:szCs w:val="22"/>
        </w:rPr>
        <w:t>Ú</w:t>
      </w:r>
      <w:r>
        <w:rPr>
          <w:rFonts w:ascii="Arial" w:hAnsi="Arial" w:cs="Arial"/>
          <w:sz w:val="22"/>
          <w:szCs w:val="22"/>
        </w:rPr>
        <w:t xml:space="preserve">pravy hodnot nebyly doprovázeny odpovídajícími úpravami finančních parametrů. </w:t>
      </w:r>
      <w:r w:rsidRPr="00DE4310">
        <w:rPr>
          <w:rFonts w:ascii="Arial" w:hAnsi="Arial" w:cs="Arial"/>
          <w:b/>
          <w:sz w:val="22"/>
          <w:szCs w:val="22"/>
        </w:rPr>
        <w:t>Správnost hodnot indikátorů a jejich změn nebylo možn</w:t>
      </w:r>
      <w:r w:rsidR="00E80D8E">
        <w:rPr>
          <w:rFonts w:ascii="Arial" w:hAnsi="Arial" w:cs="Arial"/>
          <w:b/>
          <w:sz w:val="22"/>
          <w:szCs w:val="22"/>
        </w:rPr>
        <w:t>é</w:t>
      </w:r>
      <w:r w:rsidRPr="00DE4310">
        <w:rPr>
          <w:rFonts w:ascii="Arial" w:hAnsi="Arial" w:cs="Arial"/>
          <w:b/>
          <w:sz w:val="22"/>
          <w:szCs w:val="22"/>
        </w:rPr>
        <w:t xml:space="preserve"> z dokladů MPSV objektivně ověřit</w:t>
      </w:r>
      <w:r w:rsidRPr="005451E5"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MPSV pouze sdělilo, že byly stanoveny na základě kvalifikovaného odhadu potřeb. </w:t>
      </w:r>
    </w:p>
    <w:p w:rsidR="004B41E4" w:rsidRDefault="004B41E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263C60" w:rsidRDefault="00EC3FF8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Obdobně jako </w:t>
      </w:r>
      <w:r w:rsidR="00E80D8E">
        <w:rPr>
          <w:rFonts w:ascii="Arial" w:hAnsi="Arial" w:cs="Arial"/>
          <w:sz w:val="22"/>
          <w:szCs w:val="22"/>
        </w:rPr>
        <w:t>u</w:t>
      </w:r>
      <w:r w:rsidR="009B2997">
        <w:rPr>
          <w:rFonts w:ascii="Arial" w:hAnsi="Arial" w:cs="Arial"/>
          <w:sz w:val="22"/>
          <w:szCs w:val="22"/>
        </w:rPr>
        <w:t> předchozích program</w:t>
      </w:r>
      <w:r w:rsidR="00E80D8E">
        <w:rPr>
          <w:rFonts w:ascii="Arial" w:hAnsi="Arial" w:cs="Arial"/>
          <w:sz w:val="22"/>
          <w:szCs w:val="22"/>
        </w:rPr>
        <w:t>ů i zde NKÚ konstatuje</w:t>
      </w:r>
      <w:r>
        <w:rPr>
          <w:rFonts w:ascii="Arial" w:hAnsi="Arial" w:cs="Arial"/>
          <w:sz w:val="22"/>
          <w:szCs w:val="22"/>
        </w:rPr>
        <w:t>,</w:t>
      </w:r>
      <w:r w:rsidR="00E80D8E">
        <w:rPr>
          <w:rFonts w:ascii="Arial" w:hAnsi="Arial" w:cs="Arial"/>
          <w:sz w:val="22"/>
          <w:szCs w:val="22"/>
        </w:rPr>
        <w:t xml:space="preserve"> že</w:t>
      </w:r>
      <w:r>
        <w:rPr>
          <w:rFonts w:ascii="Arial" w:hAnsi="Arial" w:cs="Arial"/>
          <w:sz w:val="22"/>
          <w:szCs w:val="22"/>
        </w:rPr>
        <w:t xml:space="preserve"> </w:t>
      </w:r>
      <w:r w:rsidRPr="00EC3FF8">
        <w:rPr>
          <w:rFonts w:ascii="Arial" w:hAnsi="Arial" w:cs="Arial"/>
          <w:b/>
          <w:sz w:val="22"/>
          <w:szCs w:val="22"/>
        </w:rPr>
        <w:t xml:space="preserve">některé indikátory </w:t>
      </w:r>
      <w:r w:rsidR="00E80D8E" w:rsidRPr="00EC3FF8">
        <w:rPr>
          <w:rFonts w:ascii="Arial" w:hAnsi="Arial" w:cs="Arial"/>
          <w:b/>
          <w:sz w:val="22"/>
          <w:szCs w:val="22"/>
        </w:rPr>
        <w:t xml:space="preserve">nebyly </w:t>
      </w:r>
      <w:r w:rsidRPr="00EC3FF8">
        <w:rPr>
          <w:rFonts w:ascii="Arial" w:hAnsi="Arial" w:cs="Arial"/>
          <w:b/>
          <w:sz w:val="22"/>
          <w:szCs w:val="22"/>
        </w:rPr>
        <w:t>z důvodu chybějící vazby mezi kvantitativním</w:t>
      </w:r>
      <w:r w:rsidR="00263C60">
        <w:rPr>
          <w:rFonts w:ascii="Arial" w:hAnsi="Arial" w:cs="Arial"/>
          <w:b/>
          <w:sz w:val="22"/>
          <w:szCs w:val="22"/>
        </w:rPr>
        <w:t xml:space="preserve"> a</w:t>
      </w:r>
      <w:r w:rsidRPr="00EC3FF8">
        <w:rPr>
          <w:rFonts w:ascii="Arial" w:hAnsi="Arial" w:cs="Arial"/>
          <w:b/>
          <w:sz w:val="22"/>
          <w:szCs w:val="22"/>
        </w:rPr>
        <w:t xml:space="preserve"> kvalitativním vymezením objektivním ukazatelem pro hodnocení míry naplňování stanovených cílů</w:t>
      </w:r>
      <w:r w:rsidRPr="005451E5">
        <w:rPr>
          <w:rFonts w:ascii="Arial" w:hAnsi="Arial" w:cs="Arial"/>
          <w:b/>
          <w:sz w:val="22"/>
          <w:szCs w:val="22"/>
        </w:rPr>
        <w:t>.</w:t>
      </w:r>
    </w:p>
    <w:p w:rsidR="00263C60" w:rsidRDefault="00263C60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E4310" w:rsidRDefault="00EC3FF8" w:rsidP="00263C60">
      <w:pPr>
        <w:pStyle w:val="Prosttext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Například </w:t>
      </w:r>
      <w:r w:rsidR="009E06A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případě indikátoru</w:t>
      </w:r>
      <w:r w:rsidR="000B64CD">
        <w:rPr>
          <w:rFonts w:ascii="Arial" w:hAnsi="Arial" w:cs="Arial"/>
          <w:sz w:val="22"/>
          <w:szCs w:val="22"/>
        </w:rPr>
        <w:t xml:space="preserve"> vyjadřujícího počet modernizovaných</w:t>
      </w:r>
      <w:r w:rsidRPr="000B64CD">
        <w:rPr>
          <w:rFonts w:ascii="Arial" w:hAnsi="Arial" w:cs="Arial"/>
          <w:sz w:val="22"/>
          <w:szCs w:val="22"/>
        </w:rPr>
        <w:t xml:space="preserve"> lůžek</w:t>
      </w:r>
      <w:r w:rsidR="000B64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nebyl pojem „modernizované lůžko“ nijak blíže vymezen.</w:t>
      </w:r>
      <w:r w:rsidR="006B68AA">
        <w:rPr>
          <w:rFonts w:ascii="Arial" w:hAnsi="Arial" w:cs="Arial"/>
          <w:sz w:val="22"/>
          <w:szCs w:val="22"/>
        </w:rPr>
        <w:t xml:space="preserve"> Jeho cílovou hodnotu stanovilo MPSV na 1 300 zmodernizovaných lůžek (</w:t>
      </w:r>
      <w:r w:rsidR="00472497">
        <w:rPr>
          <w:rFonts w:ascii="Arial" w:hAnsi="Arial" w:cs="Arial"/>
          <w:sz w:val="22"/>
          <w:szCs w:val="22"/>
        </w:rPr>
        <w:t xml:space="preserve">jde o zvýšenou hodnotu o 600 lůžek po </w:t>
      </w:r>
      <w:r w:rsidR="00A0270B">
        <w:rPr>
          <w:rFonts w:ascii="Arial" w:hAnsi="Arial" w:cs="Arial"/>
          <w:sz w:val="22"/>
          <w:szCs w:val="22"/>
        </w:rPr>
        <w:t>druhé aktualizaci</w:t>
      </w:r>
      <w:r w:rsidR="006B68AA">
        <w:rPr>
          <w:rFonts w:ascii="Arial" w:hAnsi="Arial" w:cs="Arial"/>
          <w:sz w:val="22"/>
          <w:szCs w:val="22"/>
        </w:rPr>
        <w:t xml:space="preserve"> dokumentace programu). Plnění stanovené hodnoty </w:t>
      </w:r>
      <w:r w:rsidR="00A0270B">
        <w:rPr>
          <w:rFonts w:ascii="Arial" w:hAnsi="Arial" w:cs="Arial"/>
          <w:sz w:val="22"/>
          <w:szCs w:val="22"/>
        </w:rPr>
        <w:t>zásadně ovlivňovala náročnost</w:t>
      </w:r>
      <w:r w:rsidR="006B68AA">
        <w:rPr>
          <w:rFonts w:ascii="Arial" w:hAnsi="Arial" w:cs="Arial"/>
          <w:sz w:val="22"/>
          <w:szCs w:val="22"/>
        </w:rPr>
        <w:t xml:space="preserve"> rekonstrukce nebo modernizace.</w:t>
      </w:r>
      <w:r w:rsidR="00263C60">
        <w:rPr>
          <w:rFonts w:ascii="Arial" w:hAnsi="Arial" w:cs="Arial"/>
          <w:sz w:val="22"/>
          <w:szCs w:val="22"/>
        </w:rPr>
        <w:t xml:space="preserve"> </w:t>
      </w:r>
      <w:r w:rsidR="00A0270B">
        <w:rPr>
          <w:rFonts w:ascii="Arial" w:hAnsi="Arial" w:cs="Arial"/>
          <w:sz w:val="22"/>
          <w:szCs w:val="22"/>
        </w:rPr>
        <w:t>Z téměř jedné třetiny tak u</w:t>
      </w:r>
      <w:r w:rsidR="006B68AA">
        <w:rPr>
          <w:rFonts w:ascii="Arial" w:hAnsi="Arial" w:cs="Arial"/>
          <w:sz w:val="22"/>
          <w:szCs w:val="22"/>
        </w:rPr>
        <w:t>vedenou c</w:t>
      </w:r>
      <w:r>
        <w:rPr>
          <w:rFonts w:ascii="Arial" w:hAnsi="Arial" w:cs="Arial"/>
          <w:sz w:val="22"/>
          <w:szCs w:val="22"/>
        </w:rPr>
        <w:t xml:space="preserve">ílovou hodnotu naplnila hodnotou </w:t>
      </w:r>
      <w:r w:rsidR="006B68AA">
        <w:rPr>
          <w:rFonts w:ascii="Arial" w:hAnsi="Arial" w:cs="Arial"/>
          <w:sz w:val="22"/>
          <w:szCs w:val="22"/>
        </w:rPr>
        <w:t xml:space="preserve">403 lůžek </w:t>
      </w:r>
      <w:r>
        <w:rPr>
          <w:rFonts w:ascii="Arial" w:hAnsi="Arial" w:cs="Arial"/>
          <w:sz w:val="22"/>
          <w:szCs w:val="22"/>
        </w:rPr>
        <w:t>jediná</w:t>
      </w:r>
      <w:r w:rsidR="006B68AA">
        <w:rPr>
          <w:rFonts w:ascii="Arial" w:hAnsi="Arial" w:cs="Arial"/>
          <w:sz w:val="22"/>
          <w:szCs w:val="22"/>
        </w:rPr>
        <w:t xml:space="preserve"> akce s účastí státního rozpočtu ve výši jen 1,43 mil. Kč. </w:t>
      </w:r>
      <w:r w:rsidR="00263C60">
        <w:rPr>
          <w:rFonts w:ascii="Arial" w:hAnsi="Arial" w:cs="Arial"/>
          <w:sz w:val="22"/>
          <w:szCs w:val="22"/>
        </w:rPr>
        <w:t xml:space="preserve">U této akce tak náklady na jedno lůžko činily </w:t>
      </w:r>
      <w:r w:rsidR="00263C60">
        <w:rPr>
          <w:rFonts w:ascii="Arial" w:hAnsi="Arial" w:cs="Arial"/>
          <w:sz w:val="22"/>
          <w:szCs w:val="22"/>
        </w:rPr>
        <w:lastRenderedPageBreak/>
        <w:t>3</w:t>
      </w:r>
      <w:r w:rsidR="00AB222A">
        <w:rPr>
          <w:rFonts w:ascii="Arial" w:hAnsi="Arial" w:cs="Arial"/>
          <w:sz w:val="22"/>
          <w:szCs w:val="22"/>
        </w:rPr>
        <w:t>,</w:t>
      </w:r>
      <w:r w:rsidR="00263C60">
        <w:rPr>
          <w:rFonts w:ascii="Arial" w:hAnsi="Arial" w:cs="Arial"/>
          <w:sz w:val="22"/>
          <w:szCs w:val="22"/>
        </w:rPr>
        <w:t>5</w:t>
      </w:r>
      <w:r w:rsidR="00E60C20">
        <w:rPr>
          <w:rFonts w:ascii="Arial" w:hAnsi="Arial" w:cs="Arial"/>
          <w:sz w:val="22"/>
          <w:szCs w:val="22"/>
        </w:rPr>
        <w:t> </w:t>
      </w:r>
      <w:r w:rsidR="00AB222A">
        <w:rPr>
          <w:rFonts w:ascii="Arial" w:hAnsi="Arial" w:cs="Arial"/>
          <w:sz w:val="22"/>
          <w:szCs w:val="22"/>
        </w:rPr>
        <w:t>tis.</w:t>
      </w:r>
      <w:r w:rsidR="00E60C20">
        <w:rPr>
          <w:rFonts w:ascii="Arial" w:hAnsi="Arial" w:cs="Arial"/>
          <w:sz w:val="22"/>
          <w:szCs w:val="22"/>
        </w:rPr>
        <w:t> </w:t>
      </w:r>
      <w:r w:rsidR="00263C60">
        <w:rPr>
          <w:rFonts w:ascii="Arial" w:hAnsi="Arial" w:cs="Arial"/>
          <w:sz w:val="22"/>
          <w:szCs w:val="22"/>
        </w:rPr>
        <w:t>Kč, kdežto u řady jiných akcí, kde byla prováděna rozsáhlejší modernizace, přesahovaly náklady</w:t>
      </w:r>
      <w:r w:rsidR="00472497">
        <w:rPr>
          <w:rFonts w:ascii="Arial" w:hAnsi="Arial" w:cs="Arial"/>
          <w:sz w:val="22"/>
          <w:szCs w:val="22"/>
        </w:rPr>
        <w:t xml:space="preserve"> na lůžko</w:t>
      </w:r>
      <w:r w:rsidR="00263C60">
        <w:rPr>
          <w:rFonts w:ascii="Arial" w:hAnsi="Arial" w:cs="Arial"/>
          <w:sz w:val="22"/>
          <w:szCs w:val="22"/>
        </w:rPr>
        <w:t xml:space="preserve"> 1 000 </w:t>
      </w:r>
      <w:r w:rsidR="00AB222A">
        <w:rPr>
          <w:rFonts w:ascii="Arial" w:hAnsi="Arial" w:cs="Arial"/>
          <w:sz w:val="22"/>
          <w:szCs w:val="22"/>
        </w:rPr>
        <w:t>tis.</w:t>
      </w:r>
      <w:r w:rsidR="00263C60">
        <w:rPr>
          <w:rFonts w:ascii="Arial" w:hAnsi="Arial" w:cs="Arial"/>
          <w:sz w:val="22"/>
          <w:szCs w:val="22"/>
        </w:rPr>
        <w:t xml:space="preserve"> Kč.</w:t>
      </w:r>
    </w:p>
    <w:p w:rsidR="00EC3FF8" w:rsidRDefault="00EC3FF8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C90C99" w:rsidRDefault="008C1B01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C1B01">
        <w:rPr>
          <w:rFonts w:ascii="Arial" w:hAnsi="Arial" w:cs="Arial"/>
          <w:b/>
          <w:sz w:val="22"/>
          <w:szCs w:val="22"/>
        </w:rPr>
        <w:t>C</w:t>
      </w:r>
      <w:r w:rsidR="00C90C99" w:rsidRPr="008C1B01">
        <w:rPr>
          <w:rFonts w:ascii="Arial" w:hAnsi="Arial" w:cs="Arial"/>
          <w:b/>
          <w:sz w:val="22"/>
          <w:szCs w:val="22"/>
        </w:rPr>
        <w:t>hybí</w:t>
      </w:r>
      <w:r w:rsidRPr="008C1B01">
        <w:rPr>
          <w:rFonts w:ascii="Arial" w:hAnsi="Arial" w:cs="Arial"/>
          <w:b/>
          <w:sz w:val="22"/>
          <w:szCs w:val="22"/>
        </w:rPr>
        <w:t xml:space="preserve"> i</w:t>
      </w:r>
      <w:r w:rsidR="00C90C99" w:rsidRPr="008C1B01">
        <w:rPr>
          <w:rFonts w:ascii="Arial" w:hAnsi="Arial" w:cs="Arial"/>
          <w:b/>
          <w:sz w:val="22"/>
          <w:szCs w:val="22"/>
        </w:rPr>
        <w:t xml:space="preserve"> vazba</w:t>
      </w:r>
      <w:r w:rsidRPr="008C1B01">
        <w:rPr>
          <w:rFonts w:ascii="Arial" w:hAnsi="Arial" w:cs="Arial"/>
          <w:b/>
          <w:sz w:val="22"/>
          <w:szCs w:val="22"/>
        </w:rPr>
        <w:t xml:space="preserve"> indikátorů</w:t>
      </w:r>
      <w:r w:rsidR="00C90C99" w:rsidRPr="008C1B01">
        <w:rPr>
          <w:rFonts w:ascii="Arial" w:hAnsi="Arial" w:cs="Arial"/>
          <w:b/>
          <w:sz w:val="22"/>
          <w:szCs w:val="22"/>
        </w:rPr>
        <w:t xml:space="preserve"> </w:t>
      </w:r>
      <w:r w:rsidR="00674814" w:rsidRPr="008C1B01">
        <w:rPr>
          <w:rFonts w:ascii="Arial" w:hAnsi="Arial" w:cs="Arial"/>
          <w:b/>
          <w:sz w:val="22"/>
          <w:szCs w:val="22"/>
        </w:rPr>
        <w:t>na změnu kapacity zařízení sociálních služeb po dokončení akce</w:t>
      </w:r>
      <w:r w:rsidR="00674814" w:rsidRPr="005451E5">
        <w:rPr>
          <w:rFonts w:ascii="Arial" w:hAnsi="Arial" w:cs="Arial"/>
          <w:b/>
          <w:sz w:val="22"/>
          <w:szCs w:val="22"/>
        </w:rPr>
        <w:t>.</w:t>
      </w:r>
      <w:r w:rsidR="00674814">
        <w:rPr>
          <w:rFonts w:ascii="Arial" w:hAnsi="Arial" w:cs="Arial"/>
          <w:sz w:val="22"/>
          <w:szCs w:val="22"/>
        </w:rPr>
        <w:t xml:space="preserve"> Indikátory sice </w:t>
      </w:r>
      <w:r>
        <w:rPr>
          <w:rFonts w:ascii="Arial" w:hAnsi="Arial" w:cs="Arial"/>
          <w:sz w:val="22"/>
          <w:szCs w:val="22"/>
        </w:rPr>
        <w:t>ukazují</w:t>
      </w:r>
      <w:r w:rsidR="00674814">
        <w:rPr>
          <w:rFonts w:ascii="Arial" w:hAnsi="Arial" w:cs="Arial"/>
          <w:sz w:val="22"/>
          <w:szCs w:val="22"/>
        </w:rPr>
        <w:t xml:space="preserve"> počty nových nebo zmodernizovaných lůžek, ale v</w:t>
      </w:r>
      <w:r>
        <w:rPr>
          <w:rFonts w:ascii="Arial" w:hAnsi="Arial" w:cs="Arial"/>
          <w:sz w:val="22"/>
          <w:szCs w:val="22"/>
        </w:rPr>
        <w:t> </w:t>
      </w:r>
      <w:r w:rsidR="00674814">
        <w:rPr>
          <w:rFonts w:ascii="Arial" w:hAnsi="Arial" w:cs="Arial"/>
          <w:sz w:val="22"/>
          <w:szCs w:val="22"/>
        </w:rPr>
        <w:t>případech</w:t>
      </w:r>
      <w:r>
        <w:rPr>
          <w:rFonts w:ascii="Arial" w:hAnsi="Arial" w:cs="Arial"/>
          <w:sz w:val="22"/>
          <w:szCs w:val="22"/>
        </w:rPr>
        <w:t xml:space="preserve">, kdy </w:t>
      </w:r>
      <w:r w:rsidR="00674814">
        <w:rPr>
          <w:rFonts w:ascii="Arial" w:hAnsi="Arial" w:cs="Arial"/>
          <w:sz w:val="22"/>
          <w:szCs w:val="22"/>
        </w:rPr>
        <w:t>dochází ke snížení původní kapacity</w:t>
      </w:r>
      <w:r>
        <w:rPr>
          <w:rFonts w:ascii="Arial" w:hAnsi="Arial" w:cs="Arial"/>
          <w:sz w:val="22"/>
          <w:szCs w:val="22"/>
        </w:rPr>
        <w:t xml:space="preserve">, neukazují stav objektivně. </w:t>
      </w:r>
      <w:r w:rsidR="00674814">
        <w:rPr>
          <w:rFonts w:ascii="Arial" w:hAnsi="Arial" w:cs="Arial"/>
          <w:sz w:val="22"/>
          <w:szCs w:val="22"/>
        </w:rPr>
        <w:t>Například u akce</w:t>
      </w:r>
      <w:r>
        <w:rPr>
          <w:rFonts w:ascii="Arial" w:hAnsi="Arial" w:cs="Arial"/>
          <w:sz w:val="22"/>
          <w:szCs w:val="22"/>
        </w:rPr>
        <w:t xml:space="preserve"> týkající se Domova</w:t>
      </w:r>
      <w:r w:rsidR="00674814">
        <w:rPr>
          <w:rFonts w:ascii="Arial" w:hAnsi="Arial" w:cs="Arial"/>
          <w:sz w:val="22"/>
          <w:szCs w:val="22"/>
        </w:rPr>
        <w:t xml:space="preserve"> Horte</w:t>
      </w:r>
      <w:r>
        <w:rPr>
          <w:rFonts w:ascii="Arial" w:hAnsi="Arial" w:cs="Arial"/>
          <w:sz w:val="22"/>
          <w:szCs w:val="22"/>
        </w:rPr>
        <w:t>nzie ve Frenštátě pod Radhoštěm</w:t>
      </w:r>
      <w:r w:rsidR="00674814">
        <w:rPr>
          <w:rFonts w:ascii="Arial" w:hAnsi="Arial" w:cs="Arial"/>
          <w:sz w:val="22"/>
          <w:szCs w:val="22"/>
        </w:rPr>
        <w:t xml:space="preserve"> stanovilo MPSV hodnotu indikátoru</w:t>
      </w:r>
      <w:r>
        <w:rPr>
          <w:rFonts w:ascii="Arial" w:hAnsi="Arial" w:cs="Arial"/>
          <w:sz w:val="22"/>
          <w:szCs w:val="22"/>
        </w:rPr>
        <w:t xml:space="preserve"> vyjadřujícího </w:t>
      </w:r>
      <w:r w:rsidR="00674814">
        <w:rPr>
          <w:rFonts w:ascii="Arial" w:hAnsi="Arial" w:cs="Arial"/>
          <w:sz w:val="22"/>
          <w:szCs w:val="22"/>
        </w:rPr>
        <w:t>poč</w:t>
      </w:r>
      <w:r>
        <w:rPr>
          <w:rFonts w:ascii="Arial" w:hAnsi="Arial" w:cs="Arial"/>
          <w:sz w:val="22"/>
          <w:szCs w:val="22"/>
        </w:rPr>
        <w:t>e</w:t>
      </w:r>
      <w:r w:rsidR="00674814" w:rsidRPr="00674814">
        <w:rPr>
          <w:rFonts w:ascii="Arial" w:hAnsi="Arial" w:cs="Arial"/>
          <w:sz w:val="22"/>
          <w:szCs w:val="22"/>
        </w:rPr>
        <w:t>t modernizovaných lůžek</w:t>
      </w:r>
      <w:r>
        <w:rPr>
          <w:rFonts w:ascii="Arial" w:hAnsi="Arial" w:cs="Arial"/>
          <w:sz w:val="22"/>
          <w:szCs w:val="22"/>
        </w:rPr>
        <w:t xml:space="preserve"> na 87, ale před realizací akce byla kapacita zařízení 109 lůžek. Obdobně tomu bylo u </w:t>
      </w:r>
      <w:r w:rsidR="003E69F2">
        <w:rPr>
          <w:rFonts w:ascii="Arial" w:hAnsi="Arial" w:cs="Arial"/>
          <w:sz w:val="22"/>
          <w:szCs w:val="22"/>
        </w:rPr>
        <w:t xml:space="preserve">dvou </w:t>
      </w:r>
      <w:r>
        <w:rPr>
          <w:rFonts w:ascii="Arial" w:hAnsi="Arial" w:cs="Arial"/>
          <w:sz w:val="22"/>
          <w:szCs w:val="22"/>
        </w:rPr>
        <w:t>akcí týkajících se domo</w:t>
      </w:r>
      <w:r w:rsidR="001E6991">
        <w:rPr>
          <w:rFonts w:ascii="Arial" w:hAnsi="Arial" w:cs="Arial"/>
          <w:sz w:val="22"/>
          <w:szCs w:val="22"/>
        </w:rPr>
        <w:t>va důchodců ve Ždírci, kde se po dokončení akc</w:t>
      </w:r>
      <w:r w:rsidR="003E69F2">
        <w:rPr>
          <w:rFonts w:ascii="Arial" w:hAnsi="Arial" w:cs="Arial"/>
          <w:sz w:val="22"/>
          <w:szCs w:val="22"/>
        </w:rPr>
        <w:t>í</w:t>
      </w:r>
      <w:r w:rsidR="001E6991">
        <w:rPr>
          <w:rFonts w:ascii="Arial" w:hAnsi="Arial" w:cs="Arial"/>
          <w:sz w:val="22"/>
          <w:szCs w:val="22"/>
        </w:rPr>
        <w:t xml:space="preserve"> snížil počet lůžek o tři.</w:t>
      </w:r>
      <w:r>
        <w:rPr>
          <w:rFonts w:ascii="Arial" w:hAnsi="Arial" w:cs="Arial"/>
          <w:sz w:val="22"/>
          <w:szCs w:val="22"/>
        </w:rPr>
        <w:t xml:space="preserve"> V tomto případě </w:t>
      </w:r>
      <w:r w:rsidR="001E6991">
        <w:rPr>
          <w:rFonts w:ascii="Arial" w:hAnsi="Arial" w:cs="Arial"/>
          <w:sz w:val="22"/>
          <w:szCs w:val="22"/>
        </w:rPr>
        <w:t>byla hodnota indikátoru vyjadřujícího počet modernizovaných lůžek 54 a počet nových lůžek 60.</w:t>
      </w:r>
    </w:p>
    <w:p w:rsidR="00C90C99" w:rsidRDefault="00C90C99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F74AE6" w:rsidRDefault="0081750E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Zásadním cílem programu (naplňovaným realizací ak</w:t>
      </w:r>
      <w:r w:rsidR="0048117C">
        <w:rPr>
          <w:rFonts w:ascii="Arial" w:hAnsi="Arial" w:cs="Arial"/>
          <w:sz w:val="22"/>
          <w:szCs w:val="22"/>
        </w:rPr>
        <w:t xml:space="preserve">cí </w:t>
      </w:r>
      <w:r w:rsidR="009E06AF">
        <w:rPr>
          <w:rFonts w:ascii="Arial" w:hAnsi="Arial" w:cs="Arial"/>
          <w:sz w:val="22"/>
          <w:szCs w:val="22"/>
        </w:rPr>
        <w:t>v </w:t>
      </w:r>
      <w:r w:rsidR="0048117C">
        <w:rPr>
          <w:rFonts w:ascii="Arial" w:hAnsi="Arial" w:cs="Arial"/>
          <w:sz w:val="22"/>
          <w:szCs w:val="22"/>
        </w:rPr>
        <w:t>podprogramech č. 113 313 a </w:t>
      </w:r>
      <w:r w:rsidR="00D96E9F">
        <w:rPr>
          <w:rFonts w:ascii="Arial" w:hAnsi="Arial" w:cs="Arial"/>
          <w:sz w:val="22"/>
          <w:szCs w:val="22"/>
        </w:rPr>
        <w:t>113</w:t>
      </w:r>
      <w:r>
        <w:rPr>
          <w:rFonts w:ascii="Arial" w:hAnsi="Arial" w:cs="Arial"/>
          <w:sz w:val="22"/>
          <w:szCs w:val="22"/>
        </w:rPr>
        <w:t> </w:t>
      </w:r>
      <w:r w:rsidR="00D96E9F">
        <w:rPr>
          <w:rFonts w:ascii="Arial" w:hAnsi="Arial" w:cs="Arial"/>
          <w:sz w:val="22"/>
          <w:szCs w:val="22"/>
        </w:rPr>
        <w:t>314</w:t>
      </w:r>
      <w:r>
        <w:rPr>
          <w:rFonts w:ascii="Arial" w:hAnsi="Arial" w:cs="Arial"/>
          <w:sz w:val="22"/>
          <w:szCs w:val="22"/>
        </w:rPr>
        <w:t>)</w:t>
      </w:r>
      <w:r w:rsidR="00D96E9F">
        <w:rPr>
          <w:rFonts w:ascii="Arial" w:hAnsi="Arial" w:cs="Arial"/>
          <w:sz w:val="22"/>
          <w:szCs w:val="22"/>
        </w:rPr>
        <w:t xml:space="preserve"> bylo zvyšování kapacit pobytových zařízení sociálních služeb.</w:t>
      </w:r>
      <w:r w:rsidR="004D5890">
        <w:rPr>
          <w:rFonts w:ascii="Arial" w:hAnsi="Arial" w:cs="Arial"/>
          <w:sz w:val="22"/>
          <w:szCs w:val="22"/>
        </w:rPr>
        <w:t xml:space="preserve"> Z dokumentace programu nebylo zřejmé, </w:t>
      </w:r>
      <w:r w:rsidR="003E69F2">
        <w:rPr>
          <w:rFonts w:ascii="Arial" w:hAnsi="Arial" w:cs="Arial"/>
          <w:sz w:val="22"/>
          <w:szCs w:val="22"/>
        </w:rPr>
        <w:t xml:space="preserve">do </w:t>
      </w:r>
      <w:r w:rsidR="004D5890">
        <w:rPr>
          <w:rFonts w:ascii="Arial" w:hAnsi="Arial" w:cs="Arial"/>
          <w:sz w:val="22"/>
          <w:szCs w:val="22"/>
        </w:rPr>
        <w:t>jaké mí</w:t>
      </w:r>
      <w:r w:rsidR="003E69F2">
        <w:rPr>
          <w:rFonts w:ascii="Arial" w:hAnsi="Arial" w:cs="Arial"/>
          <w:sz w:val="22"/>
          <w:szCs w:val="22"/>
        </w:rPr>
        <w:t>ry</w:t>
      </w:r>
      <w:r w:rsidR="004D5890">
        <w:rPr>
          <w:rFonts w:ascii="Arial" w:hAnsi="Arial" w:cs="Arial"/>
          <w:sz w:val="22"/>
          <w:szCs w:val="22"/>
        </w:rPr>
        <w:t xml:space="preserve"> bude realizací programu daná problematika (nedostatečná kapacita zařízení sociálních služeb) vyřešena.</w:t>
      </w:r>
      <w:r w:rsidR="00D25A30">
        <w:rPr>
          <w:rFonts w:ascii="Arial" w:hAnsi="Arial" w:cs="Arial"/>
          <w:sz w:val="22"/>
          <w:szCs w:val="22"/>
        </w:rPr>
        <w:t xml:space="preserve"> Bylo zjištěno, že </w:t>
      </w:r>
      <w:r w:rsidR="00D25A30" w:rsidRPr="00D25A30">
        <w:rPr>
          <w:rFonts w:ascii="Arial" w:hAnsi="Arial" w:cs="Arial"/>
          <w:b/>
          <w:sz w:val="22"/>
          <w:szCs w:val="22"/>
        </w:rPr>
        <w:t>přínos programu pro řešení uvedených potřeb byl velmi nízký</w:t>
      </w:r>
      <w:r w:rsidR="00D25A30" w:rsidRPr="005451E5">
        <w:rPr>
          <w:rFonts w:ascii="Arial" w:hAnsi="Arial" w:cs="Arial"/>
          <w:b/>
          <w:sz w:val="22"/>
          <w:szCs w:val="22"/>
        </w:rPr>
        <w:t>.</w:t>
      </w:r>
      <w:r w:rsidR="00D25A30">
        <w:rPr>
          <w:rFonts w:ascii="Arial" w:hAnsi="Arial" w:cs="Arial"/>
          <w:sz w:val="22"/>
          <w:szCs w:val="22"/>
        </w:rPr>
        <w:t xml:space="preserve"> </w:t>
      </w:r>
      <w:r w:rsidR="00D96E9F">
        <w:rPr>
          <w:rFonts w:ascii="Arial" w:hAnsi="Arial" w:cs="Arial"/>
          <w:sz w:val="22"/>
          <w:szCs w:val="22"/>
        </w:rPr>
        <w:t>Například v zařízeních typu domov pro seniory a domov se zvláštním režimem mělo být v rámci obou podprogramů vybudováno 1 950 lůžek</w:t>
      </w:r>
      <w:r w:rsidR="007330FE">
        <w:rPr>
          <w:rFonts w:ascii="Arial" w:hAnsi="Arial" w:cs="Arial"/>
          <w:sz w:val="22"/>
          <w:szCs w:val="22"/>
        </w:rPr>
        <w:t>.</w:t>
      </w:r>
      <w:r w:rsidR="00D25A30">
        <w:rPr>
          <w:rFonts w:ascii="Arial" w:hAnsi="Arial" w:cs="Arial"/>
          <w:sz w:val="22"/>
          <w:szCs w:val="22"/>
        </w:rPr>
        <w:t xml:space="preserve"> </w:t>
      </w:r>
      <w:r w:rsidR="00D96E9F">
        <w:rPr>
          <w:rFonts w:ascii="Arial" w:hAnsi="Arial" w:cs="Arial"/>
          <w:sz w:val="22"/>
          <w:szCs w:val="22"/>
        </w:rPr>
        <w:t xml:space="preserve">V porovnání se stávající kapacitou </w:t>
      </w:r>
      <w:r w:rsidR="00F74AE6">
        <w:rPr>
          <w:rFonts w:ascii="Arial" w:hAnsi="Arial" w:cs="Arial"/>
          <w:sz w:val="22"/>
          <w:szCs w:val="22"/>
        </w:rPr>
        <w:t>(podle údajů z roku 2007) šlo o </w:t>
      </w:r>
      <w:r w:rsidR="009E329A">
        <w:rPr>
          <w:rFonts w:ascii="Arial" w:hAnsi="Arial" w:cs="Arial"/>
          <w:sz w:val="22"/>
          <w:szCs w:val="22"/>
        </w:rPr>
        <w:t xml:space="preserve">navýšení </w:t>
      </w:r>
      <w:r w:rsidR="003E69F2">
        <w:rPr>
          <w:rFonts w:ascii="Arial" w:hAnsi="Arial" w:cs="Arial"/>
          <w:sz w:val="22"/>
          <w:szCs w:val="22"/>
        </w:rPr>
        <w:t xml:space="preserve">počtu </w:t>
      </w:r>
      <w:r w:rsidR="009E329A">
        <w:rPr>
          <w:rFonts w:ascii="Arial" w:hAnsi="Arial" w:cs="Arial"/>
          <w:sz w:val="22"/>
          <w:szCs w:val="22"/>
        </w:rPr>
        <w:t xml:space="preserve">lůžek </w:t>
      </w:r>
      <w:r w:rsidR="00D25A30">
        <w:rPr>
          <w:rFonts w:ascii="Arial" w:hAnsi="Arial" w:cs="Arial"/>
          <w:sz w:val="22"/>
          <w:szCs w:val="22"/>
        </w:rPr>
        <w:t>jen o 4,3 </w:t>
      </w:r>
      <w:r w:rsidR="009E329A">
        <w:rPr>
          <w:rFonts w:ascii="Arial" w:hAnsi="Arial" w:cs="Arial"/>
          <w:sz w:val="22"/>
          <w:szCs w:val="22"/>
        </w:rPr>
        <w:t>%.</w:t>
      </w:r>
      <w:r w:rsidR="00F74AE6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V </w:t>
      </w:r>
      <w:r w:rsidR="00F74AE6">
        <w:rPr>
          <w:rFonts w:ascii="Arial" w:hAnsi="Arial" w:cs="Arial"/>
          <w:sz w:val="22"/>
          <w:szCs w:val="22"/>
        </w:rPr>
        <w:t>letech 2007 až 2013 byl</w:t>
      </w:r>
      <w:r w:rsidR="005F0CD5">
        <w:rPr>
          <w:rFonts w:ascii="Arial" w:hAnsi="Arial" w:cs="Arial"/>
          <w:sz w:val="22"/>
          <w:szCs w:val="22"/>
        </w:rPr>
        <w:t>o z tohoto počtu vybudováno 895 </w:t>
      </w:r>
      <w:r w:rsidR="00F74AE6">
        <w:rPr>
          <w:rFonts w:ascii="Arial" w:hAnsi="Arial" w:cs="Arial"/>
          <w:sz w:val="22"/>
          <w:szCs w:val="22"/>
        </w:rPr>
        <w:t>lůžek</w:t>
      </w:r>
      <w:r w:rsidR="00980B14">
        <w:rPr>
          <w:rFonts w:ascii="Arial" w:hAnsi="Arial" w:cs="Arial"/>
          <w:sz w:val="22"/>
          <w:szCs w:val="22"/>
        </w:rPr>
        <w:t>, tj.</w:t>
      </w:r>
      <w:r w:rsidR="00F74AE6">
        <w:rPr>
          <w:rFonts w:ascii="Arial" w:hAnsi="Arial" w:cs="Arial"/>
          <w:sz w:val="22"/>
          <w:szCs w:val="22"/>
        </w:rPr>
        <w:t xml:space="preserve"> roční navýšení bylo řádově ve stovkách lůžek. </w:t>
      </w:r>
      <w:r w:rsidR="009E06AF">
        <w:rPr>
          <w:rFonts w:ascii="Arial" w:hAnsi="Arial" w:cs="Arial"/>
          <w:sz w:val="22"/>
          <w:szCs w:val="22"/>
        </w:rPr>
        <w:t>V </w:t>
      </w:r>
      <w:r w:rsidR="00F74AE6">
        <w:rPr>
          <w:rFonts w:ascii="Arial" w:hAnsi="Arial" w:cs="Arial"/>
          <w:sz w:val="22"/>
          <w:szCs w:val="22"/>
        </w:rPr>
        <w:t>analytickém materiálu</w:t>
      </w:r>
      <w:r w:rsidR="00980B14">
        <w:rPr>
          <w:rStyle w:val="Znakapoznpodarou"/>
          <w:rFonts w:ascii="Arial" w:hAnsi="Arial" w:cs="Arial"/>
          <w:sz w:val="22"/>
          <w:szCs w:val="22"/>
        </w:rPr>
        <w:footnoteReference w:id="11"/>
      </w:r>
      <w:r w:rsidR="00F74AE6">
        <w:rPr>
          <w:rFonts w:ascii="Arial" w:hAnsi="Arial" w:cs="Arial"/>
          <w:sz w:val="22"/>
          <w:szCs w:val="22"/>
        </w:rPr>
        <w:t xml:space="preserve"> Výzkumného ústavu práce a sociálních věcí, v.</w:t>
      </w:r>
      <w:r w:rsidR="009834E3">
        <w:rPr>
          <w:rFonts w:ascii="Arial" w:hAnsi="Arial" w:cs="Arial"/>
          <w:sz w:val="22"/>
          <w:szCs w:val="22"/>
        </w:rPr>
        <w:t> </w:t>
      </w:r>
      <w:r w:rsidR="00F74AE6">
        <w:rPr>
          <w:rFonts w:ascii="Arial" w:hAnsi="Arial" w:cs="Arial"/>
          <w:sz w:val="22"/>
          <w:szCs w:val="22"/>
        </w:rPr>
        <w:t>v.</w:t>
      </w:r>
      <w:r w:rsidR="009834E3">
        <w:rPr>
          <w:rFonts w:ascii="Arial" w:hAnsi="Arial" w:cs="Arial"/>
          <w:sz w:val="22"/>
          <w:szCs w:val="22"/>
        </w:rPr>
        <w:t> </w:t>
      </w:r>
      <w:r w:rsidR="00F74AE6">
        <w:rPr>
          <w:rFonts w:ascii="Arial" w:hAnsi="Arial" w:cs="Arial"/>
          <w:sz w:val="22"/>
          <w:szCs w:val="22"/>
        </w:rPr>
        <w:t>i</w:t>
      </w:r>
      <w:r w:rsidR="009834E3">
        <w:rPr>
          <w:rFonts w:ascii="Arial" w:hAnsi="Arial" w:cs="Arial"/>
          <w:sz w:val="22"/>
          <w:szCs w:val="22"/>
        </w:rPr>
        <w:t>.</w:t>
      </w:r>
      <w:r w:rsidR="00F74AE6">
        <w:rPr>
          <w:rFonts w:ascii="Arial" w:hAnsi="Arial" w:cs="Arial"/>
          <w:sz w:val="22"/>
          <w:szCs w:val="22"/>
        </w:rPr>
        <w:t>, byla přitom uváděna r</w:t>
      </w:r>
      <w:r w:rsidR="00F74AE6" w:rsidRPr="00D25A30">
        <w:rPr>
          <w:rFonts w:ascii="Arial" w:hAnsi="Arial" w:cs="Arial"/>
          <w:sz w:val="22"/>
          <w:szCs w:val="22"/>
        </w:rPr>
        <w:t>oční potřeba navyšování kapacit uvedených zařízení sociálních služeb</w:t>
      </w:r>
      <w:r w:rsidR="00F74AE6">
        <w:rPr>
          <w:rFonts w:ascii="Arial" w:hAnsi="Arial" w:cs="Arial"/>
          <w:sz w:val="22"/>
          <w:szCs w:val="22"/>
        </w:rPr>
        <w:t xml:space="preserve"> řádově v tisících lůž</w:t>
      </w:r>
      <w:r w:rsidR="00E2768D">
        <w:rPr>
          <w:rFonts w:ascii="Arial" w:hAnsi="Arial" w:cs="Arial"/>
          <w:sz w:val="22"/>
          <w:szCs w:val="22"/>
        </w:rPr>
        <w:t>ek</w:t>
      </w:r>
      <w:r w:rsidR="00F74AE6">
        <w:rPr>
          <w:rFonts w:ascii="Arial" w:hAnsi="Arial" w:cs="Arial"/>
          <w:sz w:val="22"/>
          <w:szCs w:val="22"/>
        </w:rPr>
        <w:t xml:space="preserve">. </w:t>
      </w:r>
    </w:p>
    <w:p w:rsidR="00F74AE6" w:rsidRDefault="00F74AE6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96E9F" w:rsidRDefault="00133CC3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Byla zjištěna </w:t>
      </w:r>
      <w:r w:rsidRPr="00133CC3">
        <w:rPr>
          <w:rFonts w:ascii="Arial" w:hAnsi="Arial" w:cs="Arial"/>
          <w:b/>
          <w:sz w:val="22"/>
          <w:szCs w:val="22"/>
        </w:rPr>
        <w:t>vysoká regionální disparita podpory poskytnuté z kontrolovaných podprogramů</w:t>
      </w:r>
      <w:r w:rsidRPr="005451E5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kterou nelze odůvodnit</w:t>
      </w:r>
      <w:r w:rsidR="00A0270B">
        <w:rPr>
          <w:rFonts w:ascii="Arial" w:hAnsi="Arial" w:cs="Arial"/>
          <w:sz w:val="22"/>
          <w:szCs w:val="22"/>
        </w:rPr>
        <w:t xml:space="preserve"> různou</w:t>
      </w:r>
      <w:r>
        <w:rPr>
          <w:rFonts w:ascii="Arial" w:hAnsi="Arial" w:cs="Arial"/>
          <w:sz w:val="22"/>
          <w:szCs w:val="22"/>
        </w:rPr>
        <w:t xml:space="preserve"> poptávkou po sociálních službách. Téměř tři čtvrtiny prostředků státního rozpočtu (74 %) bylo rozděleno na akce realizované ve Zlínském, Pardubickém</w:t>
      </w:r>
      <w:r w:rsidR="00A0270B">
        <w:rPr>
          <w:rFonts w:ascii="Arial" w:hAnsi="Arial" w:cs="Arial"/>
          <w:sz w:val="22"/>
          <w:szCs w:val="22"/>
        </w:rPr>
        <w:t xml:space="preserve"> a Králov</w:t>
      </w:r>
      <w:r w:rsidR="003E69F2">
        <w:rPr>
          <w:rFonts w:ascii="Arial" w:hAnsi="Arial" w:cs="Arial"/>
          <w:sz w:val="22"/>
          <w:szCs w:val="22"/>
        </w:rPr>
        <w:t>é</w:t>
      </w:r>
      <w:r w:rsidR="00A0270B">
        <w:rPr>
          <w:rFonts w:ascii="Arial" w:hAnsi="Arial" w:cs="Arial"/>
          <w:sz w:val="22"/>
          <w:szCs w:val="22"/>
        </w:rPr>
        <w:t xml:space="preserve">hradeckém kraji a </w:t>
      </w:r>
      <w:r w:rsidR="009E06AF">
        <w:rPr>
          <w:rFonts w:ascii="Arial" w:hAnsi="Arial" w:cs="Arial"/>
          <w:sz w:val="22"/>
          <w:szCs w:val="22"/>
        </w:rPr>
        <w:t>v </w:t>
      </w:r>
      <w:r w:rsidR="003E69F2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raji Vysočina. Naproti tomu v Jihočeském kraji nebyla realizována žádná akce a </w:t>
      </w:r>
      <w:r w:rsidR="00A0270B">
        <w:rPr>
          <w:rFonts w:ascii="Arial" w:hAnsi="Arial" w:cs="Arial"/>
          <w:sz w:val="22"/>
          <w:szCs w:val="22"/>
        </w:rPr>
        <w:t>na území hlavního města Prahy a </w:t>
      </w:r>
      <w:r>
        <w:rPr>
          <w:rFonts w:ascii="Arial" w:hAnsi="Arial" w:cs="Arial"/>
          <w:sz w:val="22"/>
          <w:szCs w:val="22"/>
        </w:rPr>
        <w:t xml:space="preserve">v Libereckém kraji jen jedna akce.  </w:t>
      </w:r>
    </w:p>
    <w:p w:rsidR="00D96E9F" w:rsidRDefault="00D96E9F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2768D" w:rsidRDefault="00A111BA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Parametry programu a jeho podprogramů zpravidla vyjadřovaly maximální náklady na měrnou jednotku. </w:t>
      </w:r>
      <w:r w:rsidR="0073218A">
        <w:rPr>
          <w:rFonts w:ascii="Arial" w:hAnsi="Arial" w:cs="Arial"/>
          <w:sz w:val="22"/>
          <w:szCs w:val="22"/>
        </w:rPr>
        <w:t xml:space="preserve">Naplnění parametrů (kritérií) bylo podmínkou pro poskytnutí dotace. </w:t>
      </w:r>
      <w:r w:rsidR="0073218A" w:rsidRPr="0073218A">
        <w:rPr>
          <w:rFonts w:ascii="Arial" w:hAnsi="Arial" w:cs="Arial"/>
          <w:b/>
          <w:sz w:val="22"/>
          <w:szCs w:val="22"/>
        </w:rPr>
        <w:t xml:space="preserve">MPSV však nestanovilo jednotný postup pro </w:t>
      </w:r>
      <w:r w:rsidR="00E2768D">
        <w:rPr>
          <w:rFonts w:ascii="Arial" w:hAnsi="Arial" w:cs="Arial"/>
          <w:b/>
          <w:sz w:val="22"/>
          <w:szCs w:val="22"/>
        </w:rPr>
        <w:t>výpočet</w:t>
      </w:r>
      <w:r w:rsidR="0073218A" w:rsidRPr="0073218A">
        <w:rPr>
          <w:rFonts w:ascii="Arial" w:hAnsi="Arial" w:cs="Arial"/>
          <w:b/>
          <w:sz w:val="22"/>
          <w:szCs w:val="22"/>
        </w:rPr>
        <w:t xml:space="preserve"> hodnot parametrů</w:t>
      </w:r>
      <w:r w:rsidR="00E2768D" w:rsidRPr="005451E5">
        <w:rPr>
          <w:rFonts w:ascii="Arial" w:hAnsi="Arial" w:cs="Arial"/>
          <w:b/>
          <w:sz w:val="22"/>
          <w:szCs w:val="22"/>
        </w:rPr>
        <w:t>.</w:t>
      </w:r>
      <w:r w:rsidR="00E2768D">
        <w:rPr>
          <w:rFonts w:ascii="Arial" w:hAnsi="Arial" w:cs="Arial"/>
          <w:sz w:val="22"/>
          <w:szCs w:val="22"/>
        </w:rPr>
        <w:t xml:space="preserve"> Účastníci programu v žádostech o poskytnutí dotace</w:t>
      </w:r>
      <w:r w:rsidR="0073218A">
        <w:rPr>
          <w:rFonts w:ascii="Arial" w:hAnsi="Arial" w:cs="Arial"/>
          <w:sz w:val="22"/>
          <w:szCs w:val="22"/>
        </w:rPr>
        <w:t>, a</w:t>
      </w:r>
      <w:r w:rsidR="00E2768D">
        <w:rPr>
          <w:rFonts w:ascii="Arial" w:hAnsi="Arial" w:cs="Arial"/>
          <w:sz w:val="22"/>
          <w:szCs w:val="22"/>
        </w:rPr>
        <w:t>le i MPSV při jejich posuzování</w:t>
      </w:r>
      <w:r w:rsidR="0073218A">
        <w:rPr>
          <w:rFonts w:ascii="Arial" w:hAnsi="Arial" w:cs="Arial"/>
          <w:sz w:val="22"/>
          <w:szCs w:val="22"/>
        </w:rPr>
        <w:t xml:space="preserve"> </w:t>
      </w:r>
      <w:r w:rsidR="00E2768D">
        <w:rPr>
          <w:rFonts w:ascii="Arial" w:hAnsi="Arial" w:cs="Arial"/>
          <w:sz w:val="22"/>
          <w:szCs w:val="22"/>
        </w:rPr>
        <w:t>vycházeli z rozdílných výchozích hodnot nákladů. Byly používá</w:t>
      </w:r>
      <w:r w:rsidR="00A0270B">
        <w:rPr>
          <w:rFonts w:ascii="Arial" w:hAnsi="Arial" w:cs="Arial"/>
          <w:sz w:val="22"/>
          <w:szCs w:val="22"/>
        </w:rPr>
        <w:t>ny celkové náklady akce, náklady</w:t>
      </w:r>
      <w:r w:rsidR="00E2768D">
        <w:rPr>
          <w:rFonts w:ascii="Arial" w:hAnsi="Arial" w:cs="Arial"/>
          <w:sz w:val="22"/>
          <w:szCs w:val="22"/>
        </w:rPr>
        <w:t xml:space="preserve"> jen stavebních objektů, nákl</w:t>
      </w:r>
      <w:r w:rsidR="00D51F09">
        <w:rPr>
          <w:rFonts w:ascii="Arial" w:hAnsi="Arial" w:cs="Arial"/>
          <w:sz w:val="22"/>
          <w:szCs w:val="22"/>
        </w:rPr>
        <w:t>ady stavebních objektů snížené</w:t>
      </w:r>
      <w:r w:rsidR="00E2768D">
        <w:rPr>
          <w:rFonts w:ascii="Arial" w:hAnsi="Arial" w:cs="Arial"/>
          <w:sz w:val="22"/>
          <w:szCs w:val="22"/>
        </w:rPr>
        <w:t xml:space="preserve"> o různé odpočty apod.  </w:t>
      </w:r>
    </w:p>
    <w:p w:rsidR="0073218A" w:rsidRDefault="0073218A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A61E5" w:rsidRDefault="00133CC3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5.3 Kontrolované akc</w:t>
      </w:r>
      <w:r w:rsidR="00222E46">
        <w:rPr>
          <w:rFonts w:ascii="Arial" w:hAnsi="Arial" w:cs="Arial"/>
          <w:b/>
          <w:sz w:val="22"/>
          <w:szCs w:val="22"/>
        </w:rPr>
        <w:t xml:space="preserve">e z podprogramů č. 113 313 a </w:t>
      </w:r>
      <w:r>
        <w:rPr>
          <w:rFonts w:ascii="Arial" w:hAnsi="Arial" w:cs="Arial"/>
          <w:b/>
          <w:sz w:val="22"/>
          <w:szCs w:val="22"/>
        </w:rPr>
        <w:t>113 314</w:t>
      </w:r>
    </w:p>
    <w:p w:rsidR="00133CC3" w:rsidRDefault="00133CC3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0674FA" w:rsidRDefault="00B5097E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podprogramu č. 113 313 bylo ke kontrole vybráno sedm akcí, </w:t>
      </w:r>
      <w:r w:rsidR="003111B1">
        <w:rPr>
          <w:rFonts w:ascii="Arial" w:hAnsi="Arial" w:cs="Arial"/>
          <w:sz w:val="22"/>
          <w:szCs w:val="22"/>
        </w:rPr>
        <w:t>které se týkaly</w:t>
      </w:r>
      <w:r>
        <w:rPr>
          <w:rFonts w:ascii="Arial" w:hAnsi="Arial" w:cs="Arial"/>
          <w:sz w:val="22"/>
          <w:szCs w:val="22"/>
        </w:rPr>
        <w:t xml:space="preserve"> objektů sociální péče ve Ždírci (dvě akce), Valašské Bystřici, Zborovicích</w:t>
      </w:r>
      <w:r w:rsidR="00D66979">
        <w:rPr>
          <w:rFonts w:ascii="Arial" w:hAnsi="Arial" w:cs="Arial"/>
          <w:sz w:val="22"/>
          <w:szCs w:val="22"/>
        </w:rPr>
        <w:t>, Kvasicích, Uherském Ostrohu a </w:t>
      </w:r>
      <w:r>
        <w:rPr>
          <w:rFonts w:ascii="Arial" w:hAnsi="Arial" w:cs="Arial"/>
          <w:sz w:val="22"/>
          <w:szCs w:val="22"/>
        </w:rPr>
        <w:t>Frenštátě pod Radhoštěm</w:t>
      </w:r>
      <w:r w:rsidR="00222E46">
        <w:rPr>
          <w:rFonts w:ascii="Arial" w:hAnsi="Arial" w:cs="Arial"/>
          <w:sz w:val="22"/>
          <w:szCs w:val="22"/>
        </w:rPr>
        <w:t>,</w:t>
      </w:r>
      <w:r w:rsidR="00DB339F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s </w:t>
      </w:r>
      <w:r w:rsidR="00DB339F">
        <w:rPr>
          <w:rFonts w:ascii="Arial" w:hAnsi="Arial" w:cs="Arial"/>
          <w:sz w:val="22"/>
          <w:szCs w:val="22"/>
        </w:rPr>
        <w:t>celkovými</w:t>
      </w:r>
      <w:r>
        <w:rPr>
          <w:rFonts w:ascii="Arial" w:hAnsi="Arial" w:cs="Arial"/>
          <w:sz w:val="22"/>
          <w:szCs w:val="22"/>
        </w:rPr>
        <w:t xml:space="preserve"> náklady 366,6 mil. Kč</w:t>
      </w:r>
      <w:r w:rsidR="00DB339F">
        <w:rPr>
          <w:rFonts w:ascii="Arial" w:hAnsi="Arial" w:cs="Arial"/>
          <w:sz w:val="22"/>
          <w:szCs w:val="22"/>
        </w:rPr>
        <w:t xml:space="preserve"> a z </w:t>
      </w:r>
      <w:r>
        <w:rPr>
          <w:rFonts w:ascii="Arial" w:hAnsi="Arial" w:cs="Arial"/>
          <w:sz w:val="22"/>
          <w:szCs w:val="22"/>
        </w:rPr>
        <w:t>podprogramu č.</w:t>
      </w:r>
      <w:r w:rsidR="003111B1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113 314 bylo vybráno pět akcí, </w:t>
      </w:r>
      <w:r w:rsidR="003111B1">
        <w:rPr>
          <w:rFonts w:ascii="Arial" w:hAnsi="Arial" w:cs="Arial"/>
          <w:sz w:val="22"/>
          <w:szCs w:val="22"/>
        </w:rPr>
        <w:t>které se týkaly</w:t>
      </w:r>
      <w:r>
        <w:rPr>
          <w:rFonts w:ascii="Arial" w:hAnsi="Arial" w:cs="Arial"/>
          <w:sz w:val="22"/>
          <w:szCs w:val="22"/>
        </w:rPr>
        <w:t xml:space="preserve"> objektů ve Znojmě, Velkém Meziříčí, Jihlavě, Valašské Bystřici a Bystřici pod Hostýnem</w:t>
      </w:r>
      <w:r w:rsidR="00222E46">
        <w:rPr>
          <w:rFonts w:ascii="Arial" w:hAnsi="Arial" w:cs="Arial"/>
          <w:sz w:val="22"/>
          <w:szCs w:val="22"/>
        </w:rPr>
        <w:t>,</w:t>
      </w:r>
      <w:r w:rsidR="00DB339F">
        <w:rPr>
          <w:rFonts w:ascii="Arial" w:hAnsi="Arial" w:cs="Arial"/>
          <w:sz w:val="22"/>
          <w:szCs w:val="22"/>
        </w:rPr>
        <w:t xml:space="preserve"> </w:t>
      </w:r>
      <w:r w:rsidR="009E06AF">
        <w:rPr>
          <w:rFonts w:ascii="Arial" w:hAnsi="Arial" w:cs="Arial"/>
          <w:sz w:val="22"/>
          <w:szCs w:val="22"/>
        </w:rPr>
        <w:t>s </w:t>
      </w:r>
      <w:r w:rsidR="00DB339F">
        <w:rPr>
          <w:rFonts w:ascii="Arial" w:hAnsi="Arial" w:cs="Arial"/>
          <w:sz w:val="22"/>
          <w:szCs w:val="22"/>
        </w:rPr>
        <w:t>celkovými</w:t>
      </w:r>
      <w:r>
        <w:rPr>
          <w:rFonts w:ascii="Arial" w:hAnsi="Arial" w:cs="Arial"/>
          <w:sz w:val="22"/>
          <w:szCs w:val="22"/>
        </w:rPr>
        <w:t xml:space="preserve"> náklady </w:t>
      </w:r>
      <w:r w:rsidR="00E57F17">
        <w:rPr>
          <w:rFonts w:ascii="Arial" w:hAnsi="Arial" w:cs="Arial"/>
          <w:sz w:val="22"/>
          <w:szCs w:val="22"/>
        </w:rPr>
        <w:t>537,7</w:t>
      </w:r>
      <w:r>
        <w:rPr>
          <w:rFonts w:ascii="Arial" w:hAnsi="Arial" w:cs="Arial"/>
          <w:sz w:val="22"/>
          <w:szCs w:val="22"/>
        </w:rPr>
        <w:t xml:space="preserve"> mil. Kč</w:t>
      </w:r>
      <w:r w:rsidR="00DB339F">
        <w:rPr>
          <w:rFonts w:ascii="Arial" w:hAnsi="Arial" w:cs="Arial"/>
          <w:sz w:val="22"/>
          <w:szCs w:val="22"/>
        </w:rPr>
        <w:t xml:space="preserve"> (viz</w:t>
      </w:r>
      <w:r w:rsidR="003111B1">
        <w:rPr>
          <w:rFonts w:ascii="Arial" w:hAnsi="Arial" w:cs="Arial"/>
          <w:sz w:val="22"/>
          <w:szCs w:val="22"/>
        </w:rPr>
        <w:t> </w:t>
      </w:r>
      <w:r w:rsidR="00DB339F">
        <w:rPr>
          <w:rFonts w:ascii="Arial" w:hAnsi="Arial" w:cs="Arial"/>
          <w:sz w:val="22"/>
          <w:szCs w:val="22"/>
        </w:rPr>
        <w:t>příloha č. 1)</w:t>
      </w:r>
      <w:r>
        <w:rPr>
          <w:rFonts w:ascii="Arial" w:hAnsi="Arial" w:cs="Arial"/>
          <w:sz w:val="22"/>
          <w:szCs w:val="22"/>
        </w:rPr>
        <w:t>.</w:t>
      </w:r>
      <w:r w:rsidR="00472497">
        <w:rPr>
          <w:rFonts w:ascii="Arial" w:hAnsi="Arial" w:cs="Arial"/>
          <w:sz w:val="22"/>
          <w:szCs w:val="22"/>
        </w:rPr>
        <w:t xml:space="preserve"> </w:t>
      </w:r>
      <w:r w:rsidR="00A42E38">
        <w:rPr>
          <w:rFonts w:ascii="Arial" w:hAnsi="Arial" w:cs="Arial"/>
          <w:sz w:val="22"/>
          <w:szCs w:val="22"/>
        </w:rPr>
        <w:t>Kontrolou přípravy a realizace vybraných akcí byly zjištěny například následující nedostatky:</w:t>
      </w:r>
    </w:p>
    <w:p w:rsidR="00AE2F44" w:rsidRDefault="00A42E38" w:rsidP="00DB6586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30273">
        <w:rPr>
          <w:rFonts w:ascii="Arial" w:hAnsi="Arial" w:cs="Arial"/>
          <w:sz w:val="22"/>
          <w:szCs w:val="22"/>
        </w:rPr>
        <w:t>U pěti akcí n</w:t>
      </w:r>
      <w:r>
        <w:rPr>
          <w:rFonts w:ascii="Arial" w:hAnsi="Arial" w:cs="Arial"/>
          <w:sz w:val="22"/>
          <w:szCs w:val="22"/>
        </w:rPr>
        <w:t>ebyly dodrženy podmínky</w:t>
      </w:r>
      <w:r w:rsidR="003111B1">
        <w:rPr>
          <w:rFonts w:ascii="Arial" w:hAnsi="Arial" w:cs="Arial"/>
          <w:sz w:val="22"/>
          <w:szCs w:val="22"/>
        </w:rPr>
        <w:t>, které</w:t>
      </w:r>
      <w:r>
        <w:rPr>
          <w:rFonts w:ascii="Arial" w:hAnsi="Arial" w:cs="Arial"/>
          <w:sz w:val="22"/>
          <w:szCs w:val="22"/>
        </w:rPr>
        <w:t xml:space="preserve"> </w:t>
      </w:r>
      <w:r w:rsidR="003111B1">
        <w:rPr>
          <w:rFonts w:ascii="Arial" w:hAnsi="Arial" w:cs="Arial"/>
          <w:sz w:val="22"/>
          <w:szCs w:val="22"/>
        </w:rPr>
        <w:t xml:space="preserve">MPSV </w:t>
      </w:r>
      <w:r>
        <w:rPr>
          <w:rFonts w:ascii="Arial" w:hAnsi="Arial" w:cs="Arial"/>
          <w:sz w:val="22"/>
          <w:szCs w:val="22"/>
        </w:rPr>
        <w:t>stanov</w:t>
      </w:r>
      <w:r w:rsidR="003111B1">
        <w:rPr>
          <w:rFonts w:ascii="Arial" w:hAnsi="Arial" w:cs="Arial"/>
          <w:sz w:val="22"/>
          <w:szCs w:val="22"/>
        </w:rPr>
        <w:t>ilo</w:t>
      </w:r>
      <w:r>
        <w:rPr>
          <w:rFonts w:ascii="Arial" w:hAnsi="Arial" w:cs="Arial"/>
          <w:sz w:val="22"/>
          <w:szCs w:val="22"/>
        </w:rPr>
        <w:t xml:space="preserve"> </w:t>
      </w:r>
      <w:r w:rsidR="00630273">
        <w:rPr>
          <w:rFonts w:ascii="Arial" w:hAnsi="Arial" w:cs="Arial"/>
          <w:sz w:val="22"/>
          <w:szCs w:val="22"/>
        </w:rPr>
        <w:t>v registračních listech akcí a </w:t>
      </w:r>
      <w:r>
        <w:rPr>
          <w:rFonts w:ascii="Arial" w:hAnsi="Arial" w:cs="Arial"/>
          <w:sz w:val="22"/>
          <w:szCs w:val="22"/>
        </w:rPr>
        <w:t>v rozhodnutích o poskytnutí dotace. Jednalo se</w:t>
      </w:r>
      <w:r w:rsidR="00A0270B">
        <w:rPr>
          <w:rFonts w:ascii="Arial" w:hAnsi="Arial" w:cs="Arial"/>
          <w:sz w:val="22"/>
          <w:szCs w:val="22"/>
        </w:rPr>
        <w:t xml:space="preserve"> například</w:t>
      </w:r>
      <w:r>
        <w:rPr>
          <w:rFonts w:ascii="Arial" w:hAnsi="Arial" w:cs="Arial"/>
          <w:sz w:val="22"/>
          <w:szCs w:val="22"/>
        </w:rPr>
        <w:t xml:space="preserve"> o nedodržení parametrů akce, použití úvěru pro financování akce bez souhlasu MPSV, nedostatky při zadávání veřejných zakázek, pozdní oznámení změn parametrů</w:t>
      </w:r>
      <w:r w:rsidR="00A0270B">
        <w:rPr>
          <w:rFonts w:ascii="Arial" w:hAnsi="Arial" w:cs="Arial"/>
          <w:sz w:val="22"/>
          <w:szCs w:val="22"/>
        </w:rPr>
        <w:t xml:space="preserve"> akce</w:t>
      </w:r>
      <w:r>
        <w:rPr>
          <w:rFonts w:ascii="Arial" w:hAnsi="Arial" w:cs="Arial"/>
          <w:sz w:val="22"/>
          <w:szCs w:val="22"/>
        </w:rPr>
        <w:t xml:space="preserve"> apod.</w:t>
      </w:r>
      <w:r w:rsidR="00472497">
        <w:rPr>
          <w:rFonts w:ascii="Arial" w:hAnsi="Arial" w:cs="Arial"/>
          <w:sz w:val="22"/>
          <w:szCs w:val="22"/>
        </w:rPr>
        <w:t xml:space="preserve"> </w:t>
      </w:r>
      <w:r w:rsidR="00A0270B">
        <w:rPr>
          <w:rFonts w:ascii="Arial" w:hAnsi="Arial" w:cs="Arial"/>
          <w:sz w:val="22"/>
          <w:szCs w:val="22"/>
        </w:rPr>
        <w:t>Porušení podmín</w:t>
      </w:r>
      <w:r w:rsidR="00D51F09">
        <w:rPr>
          <w:rFonts w:ascii="Arial" w:hAnsi="Arial" w:cs="Arial"/>
          <w:sz w:val="22"/>
          <w:szCs w:val="22"/>
        </w:rPr>
        <w:t>e</w:t>
      </w:r>
      <w:r w:rsidR="009C2DEB">
        <w:rPr>
          <w:rFonts w:ascii="Arial" w:hAnsi="Arial" w:cs="Arial"/>
          <w:sz w:val="22"/>
          <w:szCs w:val="22"/>
        </w:rPr>
        <w:t xml:space="preserve">k, za </w:t>
      </w:r>
      <w:r w:rsidR="009C2DEB">
        <w:rPr>
          <w:rFonts w:ascii="Arial" w:hAnsi="Arial" w:cs="Arial"/>
          <w:sz w:val="22"/>
          <w:szCs w:val="22"/>
        </w:rPr>
        <w:lastRenderedPageBreak/>
        <w:t>kter</w:t>
      </w:r>
      <w:r w:rsidR="00A0270B">
        <w:rPr>
          <w:rFonts w:ascii="Arial" w:hAnsi="Arial" w:cs="Arial"/>
          <w:sz w:val="22"/>
          <w:szCs w:val="22"/>
        </w:rPr>
        <w:t>ých byla dotace poskytnuta, je</w:t>
      </w:r>
      <w:r w:rsidR="009C2DEB">
        <w:rPr>
          <w:rFonts w:ascii="Arial" w:hAnsi="Arial" w:cs="Arial"/>
          <w:sz w:val="22"/>
          <w:szCs w:val="22"/>
        </w:rPr>
        <w:t xml:space="preserve"> podle zákona č. 218/2000 Sb. neoprávněným použitím peněžních prostředků státního rozpočtu a porušením rozpočtové kázně. Ve většině ze zjištěných případů se však jednalo </w:t>
      </w:r>
      <w:r w:rsidR="00DB339F">
        <w:rPr>
          <w:rFonts w:ascii="Arial" w:hAnsi="Arial" w:cs="Arial"/>
          <w:sz w:val="22"/>
          <w:szCs w:val="22"/>
        </w:rPr>
        <w:t>o</w:t>
      </w:r>
      <w:r w:rsidR="009C2DEB">
        <w:rPr>
          <w:rFonts w:ascii="Arial" w:hAnsi="Arial" w:cs="Arial"/>
          <w:sz w:val="22"/>
          <w:szCs w:val="22"/>
        </w:rPr>
        <w:t xml:space="preserve"> nedodržení</w:t>
      </w:r>
      <w:r w:rsidR="00DB339F">
        <w:rPr>
          <w:rFonts w:ascii="Arial" w:hAnsi="Arial" w:cs="Arial"/>
          <w:sz w:val="22"/>
          <w:szCs w:val="22"/>
        </w:rPr>
        <w:t xml:space="preserve"> podmínek</w:t>
      </w:r>
      <w:r w:rsidR="00AE2F44">
        <w:rPr>
          <w:rFonts w:ascii="Arial" w:hAnsi="Arial" w:cs="Arial"/>
          <w:sz w:val="22"/>
          <w:szCs w:val="22"/>
        </w:rPr>
        <w:t>, která neměla dopad na užití dotace ze státního rozpočtu</w:t>
      </w:r>
      <w:r w:rsidR="00BE1747">
        <w:rPr>
          <w:rFonts w:ascii="Arial" w:hAnsi="Arial" w:cs="Arial"/>
          <w:sz w:val="22"/>
          <w:szCs w:val="22"/>
        </w:rPr>
        <w:t xml:space="preserve"> a</w:t>
      </w:r>
      <w:r w:rsidR="003111B1">
        <w:rPr>
          <w:rFonts w:ascii="Arial" w:hAnsi="Arial" w:cs="Arial"/>
          <w:sz w:val="22"/>
          <w:szCs w:val="22"/>
        </w:rPr>
        <w:t>ni na</w:t>
      </w:r>
      <w:r w:rsidR="00BE1747">
        <w:rPr>
          <w:rFonts w:ascii="Arial" w:hAnsi="Arial" w:cs="Arial"/>
          <w:sz w:val="22"/>
          <w:szCs w:val="22"/>
        </w:rPr>
        <w:t xml:space="preserve"> splnění cílů akc</w:t>
      </w:r>
      <w:r w:rsidR="003111B1">
        <w:rPr>
          <w:rFonts w:ascii="Arial" w:hAnsi="Arial" w:cs="Arial"/>
          <w:sz w:val="22"/>
          <w:szCs w:val="22"/>
        </w:rPr>
        <w:t>í</w:t>
      </w:r>
      <w:r w:rsidR="00AE2F44">
        <w:rPr>
          <w:rFonts w:ascii="Arial" w:hAnsi="Arial" w:cs="Arial"/>
          <w:sz w:val="22"/>
          <w:szCs w:val="22"/>
        </w:rPr>
        <w:t xml:space="preserve"> (viz</w:t>
      </w:r>
      <w:r w:rsidR="00537EBE">
        <w:rPr>
          <w:rFonts w:ascii="Arial" w:hAnsi="Arial" w:cs="Arial"/>
          <w:sz w:val="22"/>
          <w:szCs w:val="22"/>
        </w:rPr>
        <w:t xml:space="preserve"> i</w:t>
      </w:r>
      <w:r w:rsidR="003111B1">
        <w:rPr>
          <w:rFonts w:ascii="Arial" w:hAnsi="Arial" w:cs="Arial"/>
          <w:sz w:val="22"/>
          <w:szCs w:val="22"/>
        </w:rPr>
        <w:t> </w:t>
      </w:r>
      <w:r w:rsidR="00AE2F44">
        <w:rPr>
          <w:rFonts w:ascii="Arial" w:hAnsi="Arial" w:cs="Arial"/>
          <w:sz w:val="22"/>
          <w:szCs w:val="22"/>
        </w:rPr>
        <w:t>následující bod 6</w:t>
      </w:r>
      <w:r w:rsidR="00077CDD">
        <w:rPr>
          <w:rFonts w:ascii="Arial" w:hAnsi="Arial" w:cs="Arial"/>
          <w:sz w:val="22"/>
          <w:szCs w:val="22"/>
        </w:rPr>
        <w:t>.1</w:t>
      </w:r>
      <w:r w:rsidR="00AE2F44">
        <w:rPr>
          <w:rFonts w:ascii="Arial" w:hAnsi="Arial" w:cs="Arial"/>
          <w:sz w:val="22"/>
          <w:szCs w:val="22"/>
        </w:rPr>
        <w:t>).</w:t>
      </w:r>
    </w:p>
    <w:p w:rsidR="00630273" w:rsidRDefault="00AE2F44" w:rsidP="00DB6586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630273">
        <w:rPr>
          <w:rFonts w:ascii="Arial" w:hAnsi="Arial" w:cs="Arial"/>
          <w:sz w:val="22"/>
          <w:szCs w:val="22"/>
        </w:rPr>
        <w:t xml:space="preserve">U </w:t>
      </w:r>
      <w:r w:rsidR="00461253">
        <w:rPr>
          <w:rFonts w:ascii="Arial" w:hAnsi="Arial" w:cs="Arial"/>
          <w:sz w:val="22"/>
          <w:szCs w:val="22"/>
        </w:rPr>
        <w:t>desíti</w:t>
      </w:r>
      <w:r w:rsidR="00630273">
        <w:rPr>
          <w:rFonts w:ascii="Arial" w:hAnsi="Arial" w:cs="Arial"/>
          <w:sz w:val="22"/>
          <w:szCs w:val="22"/>
        </w:rPr>
        <w:t xml:space="preserve"> akcí byly</w:t>
      </w:r>
      <w:r w:rsidR="00461253">
        <w:rPr>
          <w:rFonts w:ascii="Arial" w:hAnsi="Arial" w:cs="Arial"/>
          <w:sz w:val="22"/>
          <w:szCs w:val="22"/>
        </w:rPr>
        <w:t xml:space="preserve"> zjištěny</w:t>
      </w:r>
      <w:r w:rsidR="00630273"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sz w:val="22"/>
          <w:szCs w:val="22"/>
        </w:rPr>
        <w:t xml:space="preserve">edostatky </w:t>
      </w:r>
      <w:r w:rsidR="009E06A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zadávání veřejných za</w:t>
      </w:r>
      <w:r w:rsidR="00630273">
        <w:rPr>
          <w:rFonts w:ascii="Arial" w:hAnsi="Arial" w:cs="Arial"/>
          <w:sz w:val="22"/>
          <w:szCs w:val="22"/>
        </w:rPr>
        <w:t>kázek, kdy byl porušen zákon č. </w:t>
      </w:r>
      <w:r>
        <w:rPr>
          <w:rFonts w:ascii="Arial" w:hAnsi="Arial" w:cs="Arial"/>
          <w:sz w:val="22"/>
          <w:szCs w:val="22"/>
        </w:rPr>
        <w:t xml:space="preserve">137/2006 Sb. nebo závazná metodika stanovená </w:t>
      </w:r>
      <w:r w:rsidR="009E06A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dokumentaci programu č.</w:t>
      </w:r>
      <w:r w:rsidR="00DB658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113 310 (</w:t>
      </w:r>
      <w:r w:rsidR="009E06AF">
        <w:rPr>
          <w:rFonts w:ascii="Arial" w:hAnsi="Arial" w:cs="Arial"/>
          <w:sz w:val="22"/>
          <w:szCs w:val="22"/>
        </w:rPr>
        <w:t>v </w:t>
      </w:r>
      <w:r>
        <w:rPr>
          <w:rFonts w:ascii="Arial" w:hAnsi="Arial" w:cs="Arial"/>
          <w:sz w:val="22"/>
          <w:szCs w:val="22"/>
        </w:rPr>
        <w:t>případech nedodržení metodiky šlo především o veřejné zakázky malého rozsahu). Jednalo se o nevyloučení uchazečů, kteří nesplnili kvalifikační podmínky nebo požadavky vyplývající ze zadávací dokumentace, nedodržení zákonem č. 137/2006 Sb. stanovených lhůt,</w:t>
      </w:r>
      <w:r w:rsidR="00191170">
        <w:rPr>
          <w:rFonts w:ascii="Arial" w:hAnsi="Arial" w:cs="Arial"/>
          <w:sz w:val="22"/>
          <w:szCs w:val="22"/>
        </w:rPr>
        <w:t xml:space="preserve"> nedodržení zásady rovného zacházení,</w:t>
      </w:r>
      <w:r>
        <w:rPr>
          <w:rFonts w:ascii="Arial" w:hAnsi="Arial" w:cs="Arial"/>
          <w:sz w:val="22"/>
          <w:szCs w:val="22"/>
        </w:rPr>
        <w:t xml:space="preserve"> nesprávné postupy</w:t>
      </w:r>
      <w:r w:rsidR="00630273">
        <w:rPr>
          <w:rFonts w:ascii="Arial" w:hAnsi="Arial" w:cs="Arial"/>
          <w:sz w:val="22"/>
          <w:szCs w:val="22"/>
        </w:rPr>
        <w:t xml:space="preserve"> při zadávání dodatečných prací, </w:t>
      </w:r>
      <w:r w:rsidR="00DB339F">
        <w:rPr>
          <w:rFonts w:ascii="Arial" w:hAnsi="Arial" w:cs="Arial"/>
          <w:sz w:val="22"/>
          <w:szCs w:val="22"/>
        </w:rPr>
        <w:t>oslovení menšího počtu uchazečů</w:t>
      </w:r>
      <w:r w:rsidR="00630273">
        <w:rPr>
          <w:rFonts w:ascii="Arial" w:hAnsi="Arial" w:cs="Arial"/>
          <w:sz w:val="22"/>
          <w:szCs w:val="22"/>
        </w:rPr>
        <w:t>, než stanovila uvedená metodika</w:t>
      </w:r>
      <w:r w:rsidR="003111B1">
        <w:rPr>
          <w:rFonts w:ascii="Arial" w:hAnsi="Arial" w:cs="Arial"/>
          <w:sz w:val="22"/>
          <w:szCs w:val="22"/>
        </w:rPr>
        <w:t>,</w:t>
      </w:r>
      <w:r w:rsidR="00630273">
        <w:rPr>
          <w:rFonts w:ascii="Arial" w:hAnsi="Arial" w:cs="Arial"/>
          <w:sz w:val="22"/>
          <w:szCs w:val="22"/>
        </w:rPr>
        <w:t xml:space="preserve"> apod. </w:t>
      </w:r>
    </w:p>
    <w:p w:rsidR="00361217" w:rsidRDefault="00361217" w:rsidP="00A42E38">
      <w:pPr>
        <w:pStyle w:val="Prosttext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562C86" w:rsidRDefault="00D66979" w:rsidP="00A42E38">
      <w:pPr>
        <w:pStyle w:val="Prosttext"/>
        <w:ind w:left="142" w:hanging="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 </w:t>
      </w:r>
      <w:r w:rsidR="00D661EF">
        <w:rPr>
          <w:rFonts w:ascii="Arial" w:hAnsi="Arial" w:cs="Arial"/>
          <w:b/>
          <w:sz w:val="22"/>
          <w:szCs w:val="22"/>
        </w:rPr>
        <w:t>O</w:t>
      </w:r>
      <w:r w:rsidR="00562C86">
        <w:rPr>
          <w:rFonts w:ascii="Arial" w:hAnsi="Arial" w:cs="Arial"/>
          <w:b/>
          <w:sz w:val="22"/>
          <w:szCs w:val="22"/>
        </w:rPr>
        <w:t>statní</w:t>
      </w:r>
      <w:r w:rsidR="00D661EF">
        <w:rPr>
          <w:rFonts w:ascii="Arial" w:hAnsi="Arial" w:cs="Arial"/>
          <w:b/>
          <w:sz w:val="22"/>
          <w:szCs w:val="22"/>
        </w:rPr>
        <w:t xml:space="preserve"> vybraná</w:t>
      </w:r>
      <w:r w:rsidR="00562C86">
        <w:rPr>
          <w:rFonts w:ascii="Arial" w:hAnsi="Arial" w:cs="Arial"/>
          <w:b/>
          <w:sz w:val="22"/>
          <w:szCs w:val="22"/>
        </w:rPr>
        <w:t xml:space="preserve"> zjištění</w:t>
      </w:r>
    </w:p>
    <w:p w:rsidR="00562C86" w:rsidRDefault="00562C86" w:rsidP="00A42E38">
      <w:pPr>
        <w:pStyle w:val="Prosttext"/>
        <w:ind w:left="142" w:hanging="142"/>
        <w:jc w:val="both"/>
        <w:rPr>
          <w:rFonts w:ascii="Arial" w:hAnsi="Arial" w:cs="Arial"/>
          <w:b/>
          <w:sz w:val="22"/>
          <w:szCs w:val="22"/>
        </w:rPr>
      </w:pPr>
    </w:p>
    <w:p w:rsidR="009C2DEB" w:rsidRDefault="00562C86" w:rsidP="00A42E38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6.1</w:t>
      </w:r>
      <w:r w:rsidR="00093BDC">
        <w:rPr>
          <w:rFonts w:ascii="Arial" w:hAnsi="Arial" w:cs="Arial"/>
          <w:sz w:val="22"/>
          <w:szCs w:val="22"/>
        </w:rPr>
        <w:t xml:space="preserve"> </w:t>
      </w:r>
      <w:r w:rsidR="00093BDC">
        <w:rPr>
          <w:rFonts w:ascii="Arial" w:hAnsi="Arial" w:cs="Arial"/>
          <w:b/>
          <w:sz w:val="22"/>
          <w:szCs w:val="22"/>
        </w:rPr>
        <w:t>Nedodržení podmínek, za kterých byly prostředky státního rozpočtu poskytnuty</w:t>
      </w:r>
    </w:p>
    <w:p w:rsidR="00093BDC" w:rsidRDefault="00093BDC" w:rsidP="00A42E38">
      <w:pPr>
        <w:pStyle w:val="Prosttext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093BDC" w:rsidRDefault="00093BDC" w:rsidP="00093BDC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Kontrolou byla zjištěna řada porušení podmínek</w:t>
      </w:r>
      <w:r w:rsidR="003111B1">
        <w:rPr>
          <w:rFonts w:ascii="Arial" w:hAnsi="Arial" w:cs="Arial"/>
          <w:sz w:val="22"/>
          <w:szCs w:val="22"/>
        </w:rPr>
        <w:t>, které</w:t>
      </w:r>
      <w:r>
        <w:rPr>
          <w:rFonts w:ascii="Arial" w:hAnsi="Arial" w:cs="Arial"/>
          <w:sz w:val="22"/>
          <w:szCs w:val="22"/>
        </w:rPr>
        <w:t xml:space="preserve"> </w:t>
      </w:r>
      <w:r w:rsidR="003111B1">
        <w:rPr>
          <w:rFonts w:ascii="Arial" w:hAnsi="Arial" w:cs="Arial"/>
          <w:sz w:val="22"/>
          <w:szCs w:val="22"/>
        </w:rPr>
        <w:t xml:space="preserve">MPSV </w:t>
      </w:r>
      <w:r>
        <w:rPr>
          <w:rFonts w:ascii="Arial" w:hAnsi="Arial" w:cs="Arial"/>
          <w:sz w:val="22"/>
          <w:szCs w:val="22"/>
        </w:rPr>
        <w:t>stanov</w:t>
      </w:r>
      <w:r w:rsidR="003111B1">
        <w:rPr>
          <w:rFonts w:ascii="Arial" w:hAnsi="Arial" w:cs="Arial"/>
          <w:sz w:val="22"/>
          <w:szCs w:val="22"/>
        </w:rPr>
        <w:t>ilo</w:t>
      </w:r>
      <w:r>
        <w:rPr>
          <w:rFonts w:ascii="Arial" w:hAnsi="Arial" w:cs="Arial"/>
          <w:sz w:val="22"/>
          <w:szCs w:val="22"/>
        </w:rPr>
        <w:t xml:space="preserve"> v souvislosti s poskytováním peněžních prostředků z programů. Ve většině případů neměla tato porušení negativní dopad </w:t>
      </w:r>
      <w:r w:rsidR="001B3E73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čerpání peněžních prostředků</w:t>
      </w:r>
      <w:r w:rsidR="001B3E73">
        <w:rPr>
          <w:rFonts w:ascii="Arial" w:hAnsi="Arial" w:cs="Arial"/>
          <w:sz w:val="22"/>
          <w:szCs w:val="22"/>
        </w:rPr>
        <w:t xml:space="preserve"> a</w:t>
      </w:r>
      <w:r w:rsidR="003111B1">
        <w:rPr>
          <w:rFonts w:ascii="Arial" w:hAnsi="Arial" w:cs="Arial"/>
          <w:sz w:val="22"/>
          <w:szCs w:val="22"/>
        </w:rPr>
        <w:t>ni na</w:t>
      </w:r>
      <w:r w:rsidR="001B3E73">
        <w:rPr>
          <w:rFonts w:ascii="Arial" w:hAnsi="Arial" w:cs="Arial"/>
          <w:sz w:val="22"/>
          <w:szCs w:val="22"/>
        </w:rPr>
        <w:t xml:space="preserve"> splnění cílů akc</w:t>
      </w:r>
      <w:r w:rsidR="003111B1">
        <w:rPr>
          <w:rFonts w:ascii="Arial" w:hAnsi="Arial" w:cs="Arial"/>
          <w:sz w:val="22"/>
          <w:szCs w:val="22"/>
        </w:rPr>
        <w:t>í</w:t>
      </w:r>
      <w:r w:rsidR="000148F2">
        <w:rPr>
          <w:rFonts w:ascii="Arial" w:hAnsi="Arial" w:cs="Arial"/>
          <w:sz w:val="22"/>
          <w:szCs w:val="22"/>
        </w:rPr>
        <w:t>. Například se jednalo o </w:t>
      </w:r>
      <w:r>
        <w:rPr>
          <w:rFonts w:ascii="Arial" w:hAnsi="Arial" w:cs="Arial"/>
          <w:sz w:val="22"/>
          <w:szCs w:val="22"/>
        </w:rPr>
        <w:t>překročení stanoveného te</w:t>
      </w:r>
      <w:r w:rsidR="00917192">
        <w:rPr>
          <w:rFonts w:ascii="Arial" w:hAnsi="Arial" w:cs="Arial"/>
          <w:sz w:val="22"/>
          <w:szCs w:val="22"/>
        </w:rPr>
        <w:t>rmínu ukončení akce o sedm dní</w:t>
      </w:r>
      <w:r w:rsidR="00E15A71">
        <w:rPr>
          <w:rFonts w:ascii="Arial" w:hAnsi="Arial" w:cs="Arial"/>
          <w:sz w:val="22"/>
          <w:szCs w:val="22"/>
        </w:rPr>
        <w:t>, neoznámení navýšení ná</w:t>
      </w:r>
      <w:r w:rsidR="005F20B2">
        <w:rPr>
          <w:rFonts w:ascii="Arial" w:hAnsi="Arial" w:cs="Arial"/>
          <w:sz w:val="22"/>
          <w:szCs w:val="22"/>
        </w:rPr>
        <w:t>kladů hrazených</w:t>
      </w:r>
      <w:r w:rsidR="00E15A71">
        <w:rPr>
          <w:rFonts w:ascii="Arial" w:hAnsi="Arial" w:cs="Arial"/>
          <w:sz w:val="22"/>
          <w:szCs w:val="22"/>
        </w:rPr>
        <w:t xml:space="preserve"> z vlastních zdrojů o 0,07 % (76 tis. Kč) MPSV</w:t>
      </w:r>
      <w:r w:rsidR="00917192">
        <w:rPr>
          <w:rFonts w:ascii="Arial" w:hAnsi="Arial" w:cs="Arial"/>
          <w:sz w:val="22"/>
          <w:szCs w:val="22"/>
        </w:rPr>
        <w:t>, nedodržení zákona č. </w:t>
      </w:r>
      <w:r w:rsidR="00741B0D">
        <w:rPr>
          <w:rFonts w:ascii="Arial" w:hAnsi="Arial" w:cs="Arial"/>
          <w:sz w:val="22"/>
          <w:szCs w:val="22"/>
        </w:rPr>
        <w:t>137/2006 Sb. bez ovlivnění</w:t>
      </w:r>
      <w:r w:rsidR="000148F2">
        <w:rPr>
          <w:rFonts w:ascii="Arial" w:hAnsi="Arial" w:cs="Arial"/>
          <w:sz w:val="22"/>
          <w:szCs w:val="22"/>
        </w:rPr>
        <w:t xml:space="preserve"> výsledku zadávacího řízení</w:t>
      </w:r>
      <w:r w:rsidR="00741B0D">
        <w:rPr>
          <w:rFonts w:ascii="Arial" w:hAnsi="Arial" w:cs="Arial"/>
          <w:sz w:val="22"/>
          <w:szCs w:val="22"/>
        </w:rPr>
        <w:t xml:space="preserve"> apod.</w:t>
      </w:r>
    </w:p>
    <w:p w:rsidR="00741B0D" w:rsidRDefault="00741B0D" w:rsidP="00093BDC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41B0D" w:rsidRPr="00093BDC" w:rsidRDefault="00741B0D" w:rsidP="00093BDC">
      <w:pPr>
        <w:pStyle w:val="Prosttext"/>
        <w:jc w:val="both"/>
        <w:rPr>
          <w:rFonts w:ascii="Arial" w:hAnsi="Arial" w:cs="Arial"/>
          <w:sz w:val="22"/>
          <w:szCs w:val="22"/>
        </w:rPr>
      </w:pPr>
      <w:r w:rsidRPr="008D12D4">
        <w:rPr>
          <w:rFonts w:ascii="Arial" w:hAnsi="Arial" w:cs="Arial"/>
          <w:b/>
          <w:sz w:val="22"/>
          <w:szCs w:val="22"/>
        </w:rPr>
        <w:t>MPSV ve zjištěných případech nevyužilo</w:t>
      </w:r>
      <w:r w:rsidR="00917192">
        <w:rPr>
          <w:rFonts w:ascii="Arial" w:hAnsi="Arial" w:cs="Arial"/>
          <w:b/>
          <w:sz w:val="22"/>
          <w:szCs w:val="22"/>
        </w:rPr>
        <w:t xml:space="preserve"> dostatečně možnosti dané § 14 zákona č. </w:t>
      </w:r>
      <w:r w:rsidRPr="008D12D4">
        <w:rPr>
          <w:rFonts w:ascii="Arial" w:hAnsi="Arial" w:cs="Arial"/>
          <w:b/>
          <w:sz w:val="22"/>
          <w:szCs w:val="22"/>
        </w:rPr>
        <w:t>218/2000 Sb. vyčlenit z podmínek stanovených pro čerpání peněžních prostředků z programů méně závažné podmínky nebo uvést, která nesplnění podmínek jsou méně závažná</w:t>
      </w:r>
      <w:r w:rsidRPr="005451E5">
        <w:rPr>
          <w:rFonts w:ascii="Arial" w:hAnsi="Arial" w:cs="Arial"/>
          <w:b/>
          <w:sz w:val="22"/>
          <w:szCs w:val="22"/>
        </w:rPr>
        <w:t>.</w:t>
      </w:r>
      <w:r w:rsidR="008D12D4">
        <w:rPr>
          <w:rFonts w:ascii="Arial" w:hAnsi="Arial" w:cs="Arial"/>
          <w:sz w:val="22"/>
          <w:szCs w:val="22"/>
        </w:rPr>
        <w:t xml:space="preserve"> Podle </w:t>
      </w:r>
      <w:r w:rsidR="003111B1">
        <w:rPr>
          <w:rFonts w:ascii="Arial" w:hAnsi="Arial" w:cs="Arial"/>
          <w:sz w:val="22"/>
          <w:szCs w:val="22"/>
        </w:rPr>
        <w:t>zmíněného</w:t>
      </w:r>
      <w:r w:rsidR="008D12D4">
        <w:rPr>
          <w:rFonts w:ascii="Arial" w:hAnsi="Arial" w:cs="Arial"/>
          <w:sz w:val="22"/>
          <w:szCs w:val="22"/>
        </w:rPr>
        <w:t xml:space="preserve"> zákona </w:t>
      </w:r>
      <w:r w:rsidR="003111B1">
        <w:rPr>
          <w:rFonts w:ascii="Arial" w:hAnsi="Arial" w:cs="Arial"/>
          <w:sz w:val="22"/>
          <w:szCs w:val="22"/>
        </w:rPr>
        <w:t xml:space="preserve">proto </w:t>
      </w:r>
      <w:r w:rsidR="008D12D4">
        <w:rPr>
          <w:rFonts w:ascii="Arial" w:hAnsi="Arial" w:cs="Arial"/>
          <w:sz w:val="22"/>
          <w:szCs w:val="22"/>
        </w:rPr>
        <w:t>i</w:t>
      </w:r>
      <w:r w:rsidR="006B734F">
        <w:rPr>
          <w:rFonts w:ascii="Arial" w:hAnsi="Arial" w:cs="Arial"/>
          <w:sz w:val="22"/>
          <w:szCs w:val="22"/>
        </w:rPr>
        <w:t xml:space="preserve"> </w:t>
      </w:r>
      <w:r w:rsidR="00917192">
        <w:rPr>
          <w:rFonts w:ascii="Arial" w:hAnsi="Arial" w:cs="Arial"/>
          <w:sz w:val="22"/>
          <w:szCs w:val="22"/>
        </w:rPr>
        <w:t>výše uvedená</w:t>
      </w:r>
      <w:r w:rsidR="006B734F">
        <w:rPr>
          <w:rFonts w:ascii="Arial" w:hAnsi="Arial" w:cs="Arial"/>
          <w:sz w:val="22"/>
          <w:szCs w:val="22"/>
        </w:rPr>
        <w:t xml:space="preserve"> </w:t>
      </w:r>
      <w:r w:rsidR="00917192">
        <w:rPr>
          <w:rFonts w:ascii="Arial" w:hAnsi="Arial" w:cs="Arial"/>
          <w:sz w:val="22"/>
          <w:szCs w:val="22"/>
        </w:rPr>
        <w:t>nedodržení</w:t>
      </w:r>
      <w:r w:rsidR="006B734F">
        <w:rPr>
          <w:rFonts w:ascii="Arial" w:hAnsi="Arial" w:cs="Arial"/>
          <w:sz w:val="22"/>
          <w:szCs w:val="22"/>
        </w:rPr>
        <w:t xml:space="preserve"> podmínek </w:t>
      </w:r>
      <w:r w:rsidR="00F16887">
        <w:rPr>
          <w:rFonts w:ascii="Arial" w:hAnsi="Arial" w:cs="Arial"/>
          <w:sz w:val="22"/>
          <w:szCs w:val="22"/>
        </w:rPr>
        <w:t>indikovala</w:t>
      </w:r>
      <w:r w:rsidR="006B734F">
        <w:rPr>
          <w:rFonts w:ascii="Arial" w:hAnsi="Arial" w:cs="Arial"/>
          <w:sz w:val="22"/>
          <w:szCs w:val="22"/>
        </w:rPr>
        <w:t xml:space="preserve"> </w:t>
      </w:r>
      <w:r w:rsidR="008D12D4">
        <w:rPr>
          <w:rFonts w:ascii="Arial" w:hAnsi="Arial" w:cs="Arial"/>
          <w:sz w:val="22"/>
          <w:szCs w:val="22"/>
        </w:rPr>
        <w:t xml:space="preserve">porušení rozpočtové kázně. </w:t>
      </w:r>
    </w:p>
    <w:p w:rsidR="00EB47DD" w:rsidRDefault="00EB47DD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EB47DD" w:rsidRDefault="008D12D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6.2 Metodika zadávání veřejných zakázek programu č. 113 310</w:t>
      </w:r>
    </w:p>
    <w:p w:rsidR="008D12D4" w:rsidRPr="008D12D4" w:rsidRDefault="008D12D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D0230A" w:rsidRDefault="008D12D4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MPSV stanovilo účastníkům programu č. 113 310 povinnost postupovat při zadávání veřejných zakázek podle zákona č. 137/2006 Sb. a</w:t>
      </w:r>
      <w:r w:rsidR="00CD0C7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podle m</w:t>
      </w:r>
      <w:r w:rsidR="003D7228">
        <w:rPr>
          <w:rFonts w:ascii="Arial" w:hAnsi="Arial" w:cs="Arial"/>
          <w:sz w:val="22"/>
          <w:szCs w:val="22"/>
        </w:rPr>
        <w:t>etodiky</w:t>
      </w:r>
      <w:r w:rsidR="005F20B2">
        <w:rPr>
          <w:rFonts w:ascii="Arial" w:hAnsi="Arial" w:cs="Arial"/>
          <w:sz w:val="22"/>
          <w:szCs w:val="22"/>
        </w:rPr>
        <w:t xml:space="preserve"> uvedené</w:t>
      </w:r>
      <w:r w:rsidR="003D7228">
        <w:rPr>
          <w:rFonts w:ascii="Arial" w:hAnsi="Arial" w:cs="Arial"/>
          <w:sz w:val="22"/>
          <w:szCs w:val="22"/>
        </w:rPr>
        <w:t xml:space="preserve"> v dokumentaci programu. </w:t>
      </w:r>
      <w:r w:rsidR="003D7228" w:rsidRPr="003D7228">
        <w:rPr>
          <w:rFonts w:ascii="Arial" w:hAnsi="Arial" w:cs="Arial"/>
          <w:b/>
          <w:sz w:val="22"/>
          <w:szCs w:val="22"/>
        </w:rPr>
        <w:t>Metodika však nebyla v některých případech</w:t>
      </w:r>
      <w:r w:rsidR="00917192">
        <w:rPr>
          <w:rFonts w:ascii="Arial" w:hAnsi="Arial" w:cs="Arial"/>
          <w:b/>
          <w:sz w:val="22"/>
          <w:szCs w:val="22"/>
        </w:rPr>
        <w:t xml:space="preserve"> v souladu se zákonem č. </w:t>
      </w:r>
      <w:r w:rsidR="003D7228" w:rsidRPr="003D7228">
        <w:rPr>
          <w:rFonts w:ascii="Arial" w:hAnsi="Arial" w:cs="Arial"/>
          <w:b/>
          <w:sz w:val="22"/>
          <w:szCs w:val="22"/>
        </w:rPr>
        <w:t>137/2006 Sb</w:t>
      </w:r>
      <w:r w:rsidR="003D7228" w:rsidRPr="005451E5">
        <w:rPr>
          <w:rFonts w:ascii="Arial" w:hAnsi="Arial" w:cs="Arial"/>
          <w:b/>
          <w:sz w:val="22"/>
          <w:szCs w:val="22"/>
        </w:rPr>
        <w:t>.</w:t>
      </w:r>
      <w:r w:rsidR="003D7228">
        <w:rPr>
          <w:rFonts w:ascii="Arial" w:hAnsi="Arial" w:cs="Arial"/>
          <w:sz w:val="22"/>
          <w:szCs w:val="22"/>
        </w:rPr>
        <w:t xml:space="preserve"> Například podle zákona č. 137/2006 Sb. mohl zadavatel zvolit jako hodnot</w:t>
      </w:r>
      <w:r w:rsidR="003111B1">
        <w:rPr>
          <w:rFonts w:ascii="Arial" w:hAnsi="Arial" w:cs="Arial"/>
          <w:sz w:val="22"/>
          <w:szCs w:val="22"/>
        </w:rPr>
        <w:t>i</w:t>
      </w:r>
      <w:r w:rsidR="003D7228">
        <w:rPr>
          <w:rFonts w:ascii="Arial" w:hAnsi="Arial" w:cs="Arial"/>
          <w:sz w:val="22"/>
          <w:szCs w:val="22"/>
        </w:rPr>
        <w:t xml:space="preserve">cí kritérium nabídek ekonomickou výhodnost nabídky nebo nejnižší nabídkovou cenu. V metodice však MPSV stanovilo </w:t>
      </w:r>
      <w:r w:rsidR="00F32A34">
        <w:rPr>
          <w:rFonts w:ascii="Arial" w:hAnsi="Arial" w:cs="Arial"/>
          <w:sz w:val="22"/>
          <w:szCs w:val="22"/>
        </w:rPr>
        <w:t>jako</w:t>
      </w:r>
      <w:r w:rsidR="003D7228">
        <w:rPr>
          <w:rFonts w:ascii="Arial" w:hAnsi="Arial" w:cs="Arial"/>
          <w:sz w:val="22"/>
          <w:szCs w:val="22"/>
        </w:rPr>
        <w:t xml:space="preserve"> hodnot</w:t>
      </w:r>
      <w:r w:rsidR="003111B1">
        <w:rPr>
          <w:rFonts w:ascii="Arial" w:hAnsi="Arial" w:cs="Arial"/>
          <w:sz w:val="22"/>
          <w:szCs w:val="22"/>
        </w:rPr>
        <w:t>i</w:t>
      </w:r>
      <w:r w:rsidR="003D7228">
        <w:rPr>
          <w:rFonts w:ascii="Arial" w:hAnsi="Arial" w:cs="Arial"/>
          <w:sz w:val="22"/>
          <w:szCs w:val="22"/>
        </w:rPr>
        <w:t xml:space="preserve">cí kritérium </w:t>
      </w:r>
      <w:r w:rsidR="00F32A34">
        <w:rPr>
          <w:rFonts w:ascii="Arial" w:hAnsi="Arial" w:cs="Arial"/>
          <w:sz w:val="22"/>
          <w:szCs w:val="22"/>
        </w:rPr>
        <w:t>jen nejnižší nabídkovou cenu</w:t>
      </w:r>
      <w:r w:rsidR="003D7228">
        <w:rPr>
          <w:rFonts w:ascii="Arial" w:hAnsi="Arial" w:cs="Arial"/>
          <w:sz w:val="22"/>
          <w:szCs w:val="22"/>
        </w:rPr>
        <w:t xml:space="preserve">. </w:t>
      </w:r>
      <w:r w:rsidR="00630273">
        <w:rPr>
          <w:rFonts w:ascii="Arial" w:hAnsi="Arial" w:cs="Arial"/>
          <w:sz w:val="22"/>
          <w:szCs w:val="22"/>
        </w:rPr>
        <w:t xml:space="preserve"> </w:t>
      </w:r>
    </w:p>
    <w:p w:rsidR="00EB47DD" w:rsidRDefault="00EB47DD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3D7228" w:rsidRDefault="003D7228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6.3 </w:t>
      </w:r>
      <w:r w:rsidR="00917ACB">
        <w:rPr>
          <w:rFonts w:ascii="Arial" w:hAnsi="Arial" w:cs="Arial"/>
          <w:b/>
          <w:sz w:val="22"/>
          <w:szCs w:val="22"/>
        </w:rPr>
        <w:t xml:space="preserve">Plnění opatření k odstranění nedostatků </w:t>
      </w:r>
      <w:r w:rsidR="00980B14">
        <w:rPr>
          <w:rFonts w:ascii="Arial" w:hAnsi="Arial" w:cs="Arial"/>
          <w:b/>
          <w:sz w:val="22"/>
          <w:szCs w:val="22"/>
        </w:rPr>
        <w:t xml:space="preserve">zjištěných </w:t>
      </w:r>
      <w:r w:rsidR="00917ACB">
        <w:rPr>
          <w:rFonts w:ascii="Arial" w:hAnsi="Arial" w:cs="Arial"/>
          <w:b/>
          <w:sz w:val="22"/>
          <w:szCs w:val="22"/>
        </w:rPr>
        <w:t>kontrolní akc</w:t>
      </w:r>
      <w:r w:rsidR="00980B14">
        <w:rPr>
          <w:rFonts w:ascii="Arial" w:hAnsi="Arial" w:cs="Arial"/>
          <w:b/>
          <w:sz w:val="22"/>
          <w:szCs w:val="22"/>
        </w:rPr>
        <w:t>í</w:t>
      </w:r>
      <w:r w:rsidR="00917ACB">
        <w:rPr>
          <w:rFonts w:ascii="Arial" w:hAnsi="Arial" w:cs="Arial"/>
          <w:b/>
          <w:sz w:val="22"/>
          <w:szCs w:val="22"/>
        </w:rPr>
        <w:t xml:space="preserve"> č. 09/02</w:t>
      </w:r>
    </w:p>
    <w:p w:rsidR="00917ACB" w:rsidRDefault="00917AC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7D000F" w:rsidRDefault="006C3D9B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Opatření navržená MPSV ke kontrolnímu závěru z kontrolní akce č. 09/02 vzala vláda na vědomí usnesením ze dne 18. ledna 2010 č. 58</w:t>
      </w:r>
      <w:r w:rsidRPr="005F20B2">
        <w:rPr>
          <w:rStyle w:val="Znakapoznpodarou"/>
          <w:rFonts w:ascii="Arial" w:hAnsi="Arial" w:cs="Arial"/>
          <w:sz w:val="22"/>
          <w:szCs w:val="22"/>
        </w:rPr>
        <w:footnoteReference w:id="12"/>
      </w:r>
      <w:r>
        <w:rPr>
          <w:rFonts w:ascii="Arial" w:hAnsi="Arial" w:cs="Arial"/>
          <w:sz w:val="22"/>
          <w:szCs w:val="22"/>
        </w:rPr>
        <w:t xml:space="preserve">. </w:t>
      </w:r>
      <w:r w:rsidR="00C3025B">
        <w:rPr>
          <w:rFonts w:ascii="Arial" w:hAnsi="Arial" w:cs="Arial"/>
          <w:sz w:val="22"/>
          <w:szCs w:val="22"/>
        </w:rPr>
        <w:t>P</w:t>
      </w:r>
      <w:r w:rsidR="00F32A34">
        <w:rPr>
          <w:rFonts w:ascii="Arial" w:hAnsi="Arial" w:cs="Arial"/>
          <w:sz w:val="22"/>
          <w:szCs w:val="22"/>
        </w:rPr>
        <w:t>rogramů č. </w:t>
      </w:r>
      <w:r w:rsidR="00172D91">
        <w:rPr>
          <w:rFonts w:ascii="Arial" w:hAnsi="Arial" w:cs="Arial"/>
          <w:sz w:val="22"/>
          <w:szCs w:val="22"/>
        </w:rPr>
        <w:t xml:space="preserve">113 210, </w:t>
      </w:r>
      <w:r w:rsidR="00917ACB">
        <w:rPr>
          <w:rFonts w:ascii="Arial" w:hAnsi="Arial" w:cs="Arial"/>
          <w:sz w:val="22"/>
          <w:szCs w:val="22"/>
        </w:rPr>
        <w:t xml:space="preserve">113 030 </w:t>
      </w:r>
      <w:r w:rsidR="00172D91">
        <w:rPr>
          <w:rFonts w:ascii="Arial" w:hAnsi="Arial" w:cs="Arial"/>
          <w:sz w:val="22"/>
          <w:szCs w:val="22"/>
        </w:rPr>
        <w:t xml:space="preserve">a </w:t>
      </w:r>
      <w:r w:rsidR="00F32A34">
        <w:rPr>
          <w:rFonts w:ascii="Arial" w:hAnsi="Arial" w:cs="Arial"/>
          <w:sz w:val="22"/>
          <w:szCs w:val="22"/>
        </w:rPr>
        <w:t>113 310 se týkala</w:t>
      </w:r>
      <w:r w:rsidR="00C3025B">
        <w:rPr>
          <w:rFonts w:ascii="Arial" w:hAnsi="Arial" w:cs="Arial"/>
          <w:sz w:val="22"/>
          <w:szCs w:val="22"/>
        </w:rPr>
        <w:t xml:space="preserve"> čtyři</w:t>
      </w:r>
      <w:r w:rsidR="00F32A34">
        <w:rPr>
          <w:rFonts w:ascii="Arial" w:hAnsi="Arial" w:cs="Arial"/>
          <w:sz w:val="22"/>
          <w:szCs w:val="22"/>
        </w:rPr>
        <w:t xml:space="preserve"> </w:t>
      </w:r>
      <w:r w:rsidR="00C3025B">
        <w:rPr>
          <w:rFonts w:ascii="Arial" w:hAnsi="Arial" w:cs="Arial"/>
          <w:sz w:val="22"/>
          <w:szCs w:val="22"/>
        </w:rPr>
        <w:t xml:space="preserve">opatření </w:t>
      </w:r>
      <w:r w:rsidR="009E06AF">
        <w:rPr>
          <w:rFonts w:ascii="Arial" w:hAnsi="Arial" w:cs="Arial"/>
          <w:sz w:val="22"/>
          <w:szCs w:val="22"/>
        </w:rPr>
        <w:t>v </w:t>
      </w:r>
      <w:r w:rsidR="00222E46">
        <w:rPr>
          <w:rFonts w:ascii="Arial" w:hAnsi="Arial" w:cs="Arial"/>
          <w:sz w:val="22"/>
          <w:szCs w:val="22"/>
        </w:rPr>
        <w:t>oblastech</w:t>
      </w:r>
      <w:r w:rsidR="00F32A34">
        <w:rPr>
          <w:rFonts w:ascii="Arial" w:hAnsi="Arial" w:cs="Arial"/>
          <w:sz w:val="22"/>
          <w:szCs w:val="22"/>
        </w:rPr>
        <w:t xml:space="preserve"> věcných cílů a indikátorů, vymezení finančních, časových a věcných podmínek, vymezení obsahu investič</w:t>
      </w:r>
      <w:r w:rsidR="00222E46">
        <w:rPr>
          <w:rFonts w:ascii="Arial" w:hAnsi="Arial" w:cs="Arial"/>
          <w:sz w:val="22"/>
          <w:szCs w:val="22"/>
        </w:rPr>
        <w:t>ního záměru a </w:t>
      </w:r>
      <w:r w:rsidR="00C3025B">
        <w:rPr>
          <w:rFonts w:ascii="Arial" w:hAnsi="Arial" w:cs="Arial"/>
          <w:sz w:val="22"/>
          <w:szCs w:val="22"/>
        </w:rPr>
        <w:t>transparentnost</w:t>
      </w:r>
      <w:r w:rsidR="00222E46">
        <w:rPr>
          <w:rFonts w:ascii="Arial" w:hAnsi="Arial" w:cs="Arial"/>
          <w:sz w:val="22"/>
          <w:szCs w:val="22"/>
        </w:rPr>
        <w:t>i</w:t>
      </w:r>
      <w:r w:rsidR="00F32A34">
        <w:rPr>
          <w:rFonts w:ascii="Arial" w:hAnsi="Arial" w:cs="Arial"/>
          <w:sz w:val="22"/>
          <w:szCs w:val="22"/>
        </w:rPr>
        <w:t xml:space="preserve"> výběru akcí.</w:t>
      </w:r>
      <w:r w:rsidR="00430DCE">
        <w:rPr>
          <w:rFonts w:ascii="Arial" w:hAnsi="Arial" w:cs="Arial"/>
          <w:sz w:val="22"/>
          <w:szCs w:val="22"/>
        </w:rPr>
        <w:t xml:space="preserve"> </w:t>
      </w:r>
      <w:r w:rsidR="00430DCE" w:rsidRPr="00430DCE">
        <w:rPr>
          <w:rFonts w:ascii="Arial" w:hAnsi="Arial" w:cs="Arial"/>
          <w:b/>
          <w:sz w:val="22"/>
          <w:szCs w:val="22"/>
        </w:rPr>
        <w:t>Opatření však nebyla splněna nebo byla splněna jen částečně</w:t>
      </w:r>
      <w:r w:rsidR="007D000F" w:rsidRPr="005451E5">
        <w:rPr>
          <w:rFonts w:ascii="Arial" w:hAnsi="Arial" w:cs="Arial"/>
          <w:b/>
          <w:sz w:val="22"/>
          <w:szCs w:val="22"/>
        </w:rPr>
        <w:t>:</w:t>
      </w:r>
    </w:p>
    <w:p w:rsidR="007D000F" w:rsidRDefault="007D000F" w:rsidP="00F75B8A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F32A34">
        <w:rPr>
          <w:rFonts w:ascii="Arial" w:hAnsi="Arial" w:cs="Arial"/>
          <w:sz w:val="22"/>
          <w:szCs w:val="22"/>
        </w:rPr>
        <w:t>Předpokladem pro realizaci prvních dvou opatře</w:t>
      </w:r>
      <w:r w:rsidR="00430DCE">
        <w:rPr>
          <w:rFonts w:ascii="Arial" w:hAnsi="Arial" w:cs="Arial"/>
          <w:sz w:val="22"/>
          <w:szCs w:val="22"/>
        </w:rPr>
        <w:t>ní mělo být vypracování koncepcí</w:t>
      </w:r>
      <w:r w:rsidR="00F32A34">
        <w:rPr>
          <w:rFonts w:ascii="Arial" w:hAnsi="Arial" w:cs="Arial"/>
          <w:sz w:val="22"/>
          <w:szCs w:val="22"/>
        </w:rPr>
        <w:t xml:space="preserve"> materiálně technické základny </w:t>
      </w:r>
      <w:r w:rsidR="00917192">
        <w:rPr>
          <w:rFonts w:ascii="Arial" w:hAnsi="Arial" w:cs="Arial"/>
          <w:sz w:val="22"/>
          <w:szCs w:val="22"/>
        </w:rPr>
        <w:t>ČSSZ a ÚP ČR</w:t>
      </w:r>
      <w:r w:rsidR="00F32A34">
        <w:rPr>
          <w:rFonts w:ascii="Arial" w:hAnsi="Arial" w:cs="Arial"/>
          <w:sz w:val="22"/>
          <w:szCs w:val="22"/>
        </w:rPr>
        <w:t xml:space="preserve">. </w:t>
      </w:r>
      <w:r w:rsidR="00430DCE">
        <w:rPr>
          <w:rFonts w:ascii="Arial" w:hAnsi="Arial" w:cs="Arial"/>
          <w:sz w:val="22"/>
          <w:szCs w:val="22"/>
        </w:rPr>
        <w:t xml:space="preserve">Kontrolou bylo zjištěno, že tato opatření nebyla splněna, neboť koncepce materiálně technické základny nebyly zpracovány. </w:t>
      </w:r>
    </w:p>
    <w:p w:rsidR="007D000F" w:rsidRDefault="007D000F" w:rsidP="00F75B8A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ab/>
      </w:r>
      <w:r w:rsidR="00430DCE">
        <w:rPr>
          <w:rFonts w:ascii="Arial" w:hAnsi="Arial" w:cs="Arial"/>
          <w:sz w:val="22"/>
          <w:szCs w:val="22"/>
        </w:rPr>
        <w:t>Třetí opatření,</w:t>
      </w:r>
      <w:r>
        <w:rPr>
          <w:rFonts w:ascii="Arial" w:hAnsi="Arial" w:cs="Arial"/>
          <w:sz w:val="22"/>
          <w:szCs w:val="22"/>
        </w:rPr>
        <w:t xml:space="preserve"> které se týkalo vymezení </w:t>
      </w:r>
      <w:r w:rsidR="00430DCE">
        <w:rPr>
          <w:rFonts w:ascii="Arial" w:hAnsi="Arial" w:cs="Arial"/>
          <w:sz w:val="22"/>
          <w:szCs w:val="22"/>
        </w:rPr>
        <w:t>konkrétního způsobu hodno</w:t>
      </w:r>
      <w:r>
        <w:rPr>
          <w:rFonts w:ascii="Arial" w:hAnsi="Arial" w:cs="Arial"/>
          <w:sz w:val="22"/>
          <w:szCs w:val="22"/>
        </w:rPr>
        <w:t xml:space="preserve">cení efektivnosti dané akce v dokumentaci programu, nebylo splněno u </w:t>
      </w:r>
      <w:r w:rsidR="00C3025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rogramů č. 113 030 a č. 113 310. </w:t>
      </w:r>
    </w:p>
    <w:p w:rsidR="00430DCE" w:rsidRDefault="007D000F" w:rsidP="00F75B8A">
      <w:pPr>
        <w:pStyle w:val="Prosttext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-</w:t>
      </w:r>
      <w:r>
        <w:rPr>
          <w:rFonts w:ascii="Arial" w:hAnsi="Arial" w:cs="Arial"/>
          <w:sz w:val="22"/>
          <w:szCs w:val="22"/>
        </w:rPr>
        <w:tab/>
      </w:r>
      <w:r w:rsidR="00430DCE">
        <w:rPr>
          <w:rFonts w:ascii="Arial" w:hAnsi="Arial" w:cs="Arial"/>
          <w:sz w:val="22"/>
          <w:szCs w:val="22"/>
        </w:rPr>
        <w:t>Ke čtvrtému opatření, které předpokládalo zřídit v rámci jednotlivých programů seznam všech nepřijatých akcí, včetně zdůvodnění nepřijetí, MPSV uvedlo, že k žádnému vr</w:t>
      </w:r>
      <w:r w:rsidR="00D3155B">
        <w:rPr>
          <w:rFonts w:ascii="Arial" w:hAnsi="Arial" w:cs="Arial"/>
          <w:sz w:val="22"/>
          <w:szCs w:val="22"/>
        </w:rPr>
        <w:t>a</w:t>
      </w:r>
      <w:r w:rsidR="00430DCE">
        <w:rPr>
          <w:rFonts w:ascii="Arial" w:hAnsi="Arial" w:cs="Arial"/>
          <w:sz w:val="22"/>
          <w:szCs w:val="22"/>
        </w:rPr>
        <w:t>cení investičních záměrů z důvod</w:t>
      </w:r>
      <w:r w:rsidR="00D3155B">
        <w:rPr>
          <w:rFonts w:ascii="Arial" w:hAnsi="Arial" w:cs="Arial"/>
          <w:sz w:val="22"/>
          <w:szCs w:val="22"/>
        </w:rPr>
        <w:t>u</w:t>
      </w:r>
      <w:r w:rsidR="00430DCE">
        <w:rPr>
          <w:rFonts w:ascii="Arial" w:hAnsi="Arial" w:cs="Arial"/>
          <w:sz w:val="22"/>
          <w:szCs w:val="22"/>
        </w:rPr>
        <w:t xml:space="preserve"> jejich nezaregistrování</w:t>
      </w:r>
      <w:r w:rsidR="00D3155B">
        <w:rPr>
          <w:rFonts w:ascii="Arial" w:hAnsi="Arial" w:cs="Arial"/>
          <w:sz w:val="22"/>
          <w:szCs w:val="22"/>
        </w:rPr>
        <w:t xml:space="preserve"> nedochází</w:t>
      </w:r>
      <w:r w:rsidR="00430DCE">
        <w:rPr>
          <w:rFonts w:ascii="Arial" w:hAnsi="Arial" w:cs="Arial"/>
          <w:sz w:val="22"/>
          <w:szCs w:val="22"/>
        </w:rPr>
        <w:t xml:space="preserve">. </w:t>
      </w:r>
    </w:p>
    <w:p w:rsidR="00430DCE" w:rsidRDefault="00430DCE" w:rsidP="00B015F5">
      <w:pPr>
        <w:pStyle w:val="Prosttext"/>
        <w:jc w:val="both"/>
        <w:rPr>
          <w:rFonts w:ascii="Arial" w:hAnsi="Arial" w:cs="Arial"/>
          <w:sz w:val="22"/>
          <w:szCs w:val="22"/>
        </w:rPr>
      </w:pPr>
    </w:p>
    <w:p w:rsidR="00BC2277" w:rsidRDefault="00BC2277" w:rsidP="005451E5">
      <w:pPr>
        <w:rPr>
          <w:rFonts w:cs="Arial"/>
          <w:b/>
        </w:rPr>
      </w:pPr>
    </w:p>
    <w:p w:rsidR="001201D4" w:rsidRPr="00EE300F" w:rsidRDefault="001201D4" w:rsidP="001201D4">
      <w:pPr>
        <w:jc w:val="center"/>
        <w:rPr>
          <w:rFonts w:cs="Arial"/>
        </w:rPr>
      </w:pPr>
      <w:r w:rsidRPr="00EE300F">
        <w:rPr>
          <w:rFonts w:cs="Arial"/>
          <w:b/>
        </w:rPr>
        <w:t>III. Shrnutí a vyhodnocení</w:t>
      </w:r>
    </w:p>
    <w:p w:rsidR="001201D4" w:rsidRDefault="001201D4" w:rsidP="001201D4">
      <w:pPr>
        <w:jc w:val="both"/>
        <w:rPr>
          <w:rFonts w:cs="Arial"/>
          <w:sz w:val="22"/>
          <w:szCs w:val="22"/>
        </w:rPr>
      </w:pPr>
    </w:p>
    <w:p w:rsidR="00172D91" w:rsidRDefault="001201D4" w:rsidP="001201D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Kontrolní akce byla zaměřena na pořizování a obnovu nemovitého majetku </w:t>
      </w:r>
      <w:r w:rsidR="00805F96">
        <w:rPr>
          <w:rFonts w:cs="Arial"/>
          <w:sz w:val="22"/>
          <w:szCs w:val="22"/>
        </w:rPr>
        <w:t xml:space="preserve">ČSSZ, ÚP ČR a sociálních služeb </w:t>
      </w:r>
      <w:r w:rsidR="009E06AF">
        <w:rPr>
          <w:rFonts w:cs="Arial"/>
          <w:sz w:val="22"/>
          <w:szCs w:val="22"/>
        </w:rPr>
        <w:t>z </w:t>
      </w:r>
      <w:r>
        <w:rPr>
          <w:rFonts w:cs="Arial"/>
          <w:sz w:val="22"/>
          <w:szCs w:val="22"/>
        </w:rPr>
        <w:t>pět</w:t>
      </w:r>
      <w:r w:rsidR="00805F96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 xml:space="preserve"> progr</w:t>
      </w:r>
      <w:r w:rsidR="00805F96">
        <w:rPr>
          <w:rFonts w:cs="Arial"/>
          <w:sz w:val="22"/>
          <w:szCs w:val="22"/>
        </w:rPr>
        <w:t>amů, jejichž správcem bylo MPSV.</w:t>
      </w:r>
      <w:r w:rsidR="00172D91">
        <w:rPr>
          <w:rFonts w:cs="Arial"/>
          <w:sz w:val="22"/>
          <w:szCs w:val="22"/>
        </w:rPr>
        <w:t xml:space="preserve"> Konkrétně bylo kontrolováno šest jejich podprogramů, z nichž bylo v letech 2009 až 2013 vynaloženo na nemovitý</w:t>
      </w:r>
      <w:r w:rsidR="00172D91" w:rsidRPr="001201D4">
        <w:rPr>
          <w:rFonts w:cs="Arial"/>
          <w:sz w:val="22"/>
          <w:szCs w:val="22"/>
        </w:rPr>
        <w:t xml:space="preserve"> majetek ČSSZ 871 mil. Kč, ÚP ČR 1 3</w:t>
      </w:r>
      <w:r w:rsidR="00172D91">
        <w:rPr>
          <w:rFonts w:cs="Arial"/>
          <w:sz w:val="22"/>
          <w:szCs w:val="22"/>
        </w:rPr>
        <w:t>41</w:t>
      </w:r>
      <w:r w:rsidR="00172D91" w:rsidRPr="001201D4">
        <w:rPr>
          <w:rFonts w:cs="Arial"/>
          <w:sz w:val="22"/>
          <w:szCs w:val="22"/>
        </w:rPr>
        <w:t xml:space="preserve"> mil. Kč a sociálních služeb 1 396 mil. Kč. U příjemců peněžních prostředků bylo kontrolováno 22 akcí s celkovými náklady 2</w:t>
      </w:r>
      <w:r w:rsidR="00E60C20">
        <w:rPr>
          <w:rFonts w:cs="Arial"/>
          <w:sz w:val="22"/>
          <w:szCs w:val="22"/>
        </w:rPr>
        <w:t> </w:t>
      </w:r>
      <w:r w:rsidR="00172D91" w:rsidRPr="001201D4">
        <w:rPr>
          <w:rFonts w:cs="Arial"/>
          <w:sz w:val="22"/>
          <w:szCs w:val="22"/>
        </w:rPr>
        <w:t>279</w:t>
      </w:r>
      <w:r w:rsidR="00E60C20">
        <w:rPr>
          <w:rFonts w:cs="Arial"/>
          <w:sz w:val="22"/>
          <w:szCs w:val="22"/>
        </w:rPr>
        <w:t> </w:t>
      </w:r>
      <w:r w:rsidR="00172D91" w:rsidRPr="001201D4">
        <w:rPr>
          <w:rFonts w:cs="Arial"/>
          <w:sz w:val="22"/>
          <w:szCs w:val="22"/>
        </w:rPr>
        <w:t>mil.</w:t>
      </w:r>
      <w:r w:rsidR="00E60C20">
        <w:rPr>
          <w:rFonts w:cs="Arial"/>
          <w:sz w:val="22"/>
          <w:szCs w:val="22"/>
        </w:rPr>
        <w:t> </w:t>
      </w:r>
      <w:r w:rsidR="00172D91" w:rsidRPr="001201D4">
        <w:rPr>
          <w:rFonts w:cs="Arial"/>
          <w:sz w:val="22"/>
          <w:szCs w:val="22"/>
        </w:rPr>
        <w:t>Kč. Podrobnější údaje o kontrolovaných akcích jsou uvedeny v tabulce č. 7 a</w:t>
      </w:r>
      <w:r w:rsidR="00E60C20">
        <w:rPr>
          <w:rFonts w:cs="Arial"/>
          <w:sz w:val="22"/>
          <w:szCs w:val="22"/>
        </w:rPr>
        <w:t> </w:t>
      </w:r>
      <w:r w:rsidR="00BF08D7">
        <w:rPr>
          <w:rFonts w:cs="Arial"/>
          <w:sz w:val="22"/>
          <w:szCs w:val="22"/>
        </w:rPr>
        <w:t>v </w:t>
      </w:r>
      <w:r w:rsidR="00172D91" w:rsidRPr="001201D4">
        <w:rPr>
          <w:rFonts w:cs="Arial"/>
          <w:sz w:val="22"/>
          <w:szCs w:val="22"/>
        </w:rPr>
        <w:t>příloze č. 1.</w:t>
      </w:r>
    </w:p>
    <w:p w:rsidR="00CE3438" w:rsidRPr="001201D4" w:rsidRDefault="00CE3438" w:rsidP="001201D4">
      <w:pPr>
        <w:jc w:val="both"/>
        <w:rPr>
          <w:rFonts w:cs="Arial"/>
          <w:sz w:val="22"/>
          <w:szCs w:val="22"/>
        </w:rPr>
      </w:pPr>
    </w:p>
    <w:p w:rsidR="001201D4" w:rsidRPr="001201D4" w:rsidRDefault="001201D4" w:rsidP="005451E5">
      <w:pPr>
        <w:ind w:right="1"/>
        <w:jc w:val="both"/>
        <w:rPr>
          <w:rFonts w:cs="Arial"/>
          <w:b/>
          <w:sz w:val="22"/>
          <w:szCs w:val="22"/>
        </w:rPr>
      </w:pPr>
      <w:r w:rsidRPr="001201D4">
        <w:rPr>
          <w:rFonts w:cs="Arial"/>
          <w:b/>
          <w:sz w:val="22"/>
          <w:szCs w:val="22"/>
        </w:rPr>
        <w:t>Tabulka č. 7 – Údaje o kontrolovaných akcích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296"/>
        <w:gridCol w:w="1205"/>
        <w:gridCol w:w="1205"/>
        <w:gridCol w:w="1113"/>
      </w:tblGrid>
      <w:tr w:rsidR="001201D4" w:rsidRPr="001201D4" w:rsidTr="005451E5">
        <w:tc>
          <w:tcPr>
            <w:tcW w:w="32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1D4" w:rsidRPr="00E60C20" w:rsidRDefault="001201D4" w:rsidP="005451E5">
            <w:pPr>
              <w:ind w:left="-108" w:right="-108"/>
              <w:jc w:val="center"/>
              <w:rPr>
                <w:rFonts w:eastAsia="Times New Roman"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Jedn</w:t>
            </w:r>
            <w:r w:rsidR="00C37284">
              <w:rPr>
                <w:rFonts w:cs="Arial"/>
                <w:sz w:val="20"/>
                <w:szCs w:val="20"/>
              </w:rPr>
              <w:t>otka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01D4" w:rsidRPr="00E60C20" w:rsidRDefault="00222E46" w:rsidP="00CE3438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Č</w:t>
            </w:r>
            <w:r w:rsidR="001201D4" w:rsidRPr="00E60C20">
              <w:rPr>
                <w:rFonts w:cs="Arial"/>
                <w:sz w:val="20"/>
                <w:szCs w:val="20"/>
              </w:rPr>
              <w:t>SSZ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01D4" w:rsidRPr="00E60C20" w:rsidRDefault="001201D4" w:rsidP="00CE3438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ÚP ČR</w:t>
            </w:r>
          </w:p>
        </w:tc>
        <w:tc>
          <w:tcPr>
            <w:tcW w:w="12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Sociální služby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01D4" w:rsidRPr="00E60C20" w:rsidRDefault="001201D4" w:rsidP="00CE3438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Celkem</w:t>
            </w:r>
          </w:p>
        </w:tc>
      </w:tr>
      <w:tr w:rsidR="001201D4" w:rsidRPr="001201D4" w:rsidTr="005451E5">
        <w:trPr>
          <w:trHeight w:val="660"/>
        </w:trPr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:rsidR="001201D4" w:rsidRPr="00E60C20" w:rsidRDefault="001201D4" w:rsidP="001201D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60C20">
              <w:rPr>
                <w:rFonts w:cs="Arial"/>
                <w:b/>
                <w:sz w:val="20"/>
                <w:szCs w:val="20"/>
              </w:rPr>
              <w:t>Pořízení a obnova budov</w:t>
            </w:r>
          </w:p>
          <w:p w:rsidR="001201D4" w:rsidRPr="00E60C20" w:rsidRDefault="001201D4" w:rsidP="001201D4">
            <w:pPr>
              <w:jc w:val="both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 xml:space="preserve">   - počet</w:t>
            </w:r>
          </w:p>
          <w:p w:rsidR="001201D4" w:rsidRPr="00E60C20" w:rsidRDefault="001201D4" w:rsidP="001201D4">
            <w:pPr>
              <w:jc w:val="both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 xml:space="preserve">   - celkové náklady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ks</w:t>
            </w: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mil. Kč</w:t>
            </w:r>
          </w:p>
        </w:tc>
        <w:tc>
          <w:tcPr>
            <w:tcW w:w="12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5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558</w:t>
            </w:r>
          </w:p>
        </w:tc>
        <w:tc>
          <w:tcPr>
            <w:tcW w:w="1205" w:type="dxa"/>
            <w:tcBorders>
              <w:top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5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817</w:t>
            </w:r>
          </w:p>
        </w:tc>
        <w:tc>
          <w:tcPr>
            <w:tcW w:w="12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12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904</w:t>
            </w: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22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2 279</w:t>
            </w:r>
          </w:p>
        </w:tc>
      </w:tr>
      <w:tr w:rsidR="001201D4" w:rsidRPr="001201D4" w:rsidTr="005451E5">
        <w:trPr>
          <w:trHeight w:val="875"/>
        </w:trPr>
        <w:tc>
          <w:tcPr>
            <w:tcW w:w="3261" w:type="dxa"/>
            <w:tcBorders>
              <w:right w:val="single" w:sz="12" w:space="0" w:color="auto"/>
            </w:tcBorders>
          </w:tcPr>
          <w:p w:rsidR="001201D4" w:rsidRPr="00E60C20" w:rsidRDefault="001201D4" w:rsidP="001201D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60C20">
              <w:rPr>
                <w:rFonts w:cs="Arial"/>
                <w:b/>
                <w:sz w:val="20"/>
                <w:szCs w:val="20"/>
              </w:rPr>
              <w:t>Pořízení budov</w:t>
            </w:r>
          </w:p>
          <w:p w:rsidR="001201D4" w:rsidRPr="00E60C20" w:rsidRDefault="001201D4" w:rsidP="001201D4">
            <w:pPr>
              <w:jc w:val="both"/>
              <w:rPr>
                <w:rFonts w:cs="Arial"/>
                <w:sz w:val="20"/>
                <w:szCs w:val="20"/>
              </w:rPr>
            </w:pPr>
            <w:r w:rsidRPr="005451E5">
              <w:rPr>
                <w:rFonts w:cs="Arial"/>
                <w:sz w:val="20"/>
                <w:szCs w:val="20"/>
              </w:rPr>
              <w:t xml:space="preserve">   </w:t>
            </w:r>
            <w:r w:rsidRPr="00E60C20">
              <w:rPr>
                <w:rFonts w:cs="Arial"/>
                <w:sz w:val="20"/>
                <w:szCs w:val="20"/>
              </w:rPr>
              <w:t>- počet</w:t>
            </w:r>
          </w:p>
          <w:p w:rsidR="001201D4" w:rsidRPr="00E60C20" w:rsidRDefault="001201D4" w:rsidP="001201D4">
            <w:pPr>
              <w:jc w:val="both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 xml:space="preserve">   - celkové náklady</w:t>
            </w:r>
          </w:p>
          <w:p w:rsidR="001201D4" w:rsidRPr="00E60C20" w:rsidRDefault="00B17D0A" w:rsidP="00BF08D7">
            <w:pPr>
              <w:jc w:val="both"/>
              <w:rPr>
                <w:rFonts w:cs="Arial"/>
                <w:sz w:val="20"/>
                <w:szCs w:val="20"/>
                <w:vertAlign w:val="superscript"/>
              </w:rPr>
            </w:pPr>
            <w:r w:rsidRPr="00E60C20">
              <w:rPr>
                <w:rFonts w:cs="Arial"/>
                <w:sz w:val="20"/>
                <w:szCs w:val="20"/>
              </w:rPr>
              <w:t xml:space="preserve">   - zaměstnanci/lůž</w:t>
            </w:r>
            <w:r w:rsidR="001201D4" w:rsidRPr="00E60C20">
              <w:rPr>
                <w:rFonts w:cs="Arial"/>
                <w:sz w:val="20"/>
                <w:szCs w:val="20"/>
              </w:rPr>
              <w:t>k</w:t>
            </w:r>
            <w:r w:rsidRPr="00E60C20">
              <w:rPr>
                <w:rFonts w:cs="Arial"/>
                <w:sz w:val="20"/>
                <w:szCs w:val="20"/>
              </w:rPr>
              <w:t>a</w:t>
            </w:r>
            <w:r w:rsidR="001201D4" w:rsidRPr="005451E5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</w:tcPr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ks</w:t>
            </w: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mil. Kč</w:t>
            </w: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5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558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382</w:t>
            </w:r>
          </w:p>
        </w:tc>
        <w:tc>
          <w:tcPr>
            <w:tcW w:w="1205" w:type="dxa"/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3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675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506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6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610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417</w:t>
            </w:r>
          </w:p>
        </w:tc>
        <w:tc>
          <w:tcPr>
            <w:tcW w:w="1113" w:type="dxa"/>
            <w:tcBorders>
              <w:lef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14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1 843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x</w:t>
            </w:r>
          </w:p>
        </w:tc>
      </w:tr>
      <w:tr w:rsidR="001201D4" w:rsidRPr="001201D4" w:rsidTr="005451E5">
        <w:tc>
          <w:tcPr>
            <w:tcW w:w="3261" w:type="dxa"/>
            <w:tcBorders>
              <w:right w:val="single" w:sz="12" w:space="0" w:color="auto"/>
            </w:tcBorders>
          </w:tcPr>
          <w:p w:rsidR="001201D4" w:rsidRPr="00E60C20" w:rsidRDefault="001201D4" w:rsidP="001201D4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E60C20">
              <w:rPr>
                <w:rFonts w:cs="Arial"/>
                <w:b/>
                <w:sz w:val="20"/>
                <w:szCs w:val="20"/>
              </w:rPr>
              <w:t>Obnova budov</w:t>
            </w:r>
          </w:p>
          <w:p w:rsidR="001201D4" w:rsidRPr="00E60C20" w:rsidRDefault="001201D4" w:rsidP="001201D4">
            <w:pPr>
              <w:jc w:val="both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 xml:space="preserve">   - počet</w:t>
            </w:r>
          </w:p>
          <w:p w:rsidR="001201D4" w:rsidRPr="00E60C20" w:rsidRDefault="001201D4" w:rsidP="001201D4">
            <w:pPr>
              <w:jc w:val="both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 xml:space="preserve">   - celkové náklady</w:t>
            </w:r>
          </w:p>
          <w:p w:rsidR="001201D4" w:rsidRPr="00E60C20" w:rsidRDefault="00B17D0A" w:rsidP="00BF08D7">
            <w:pPr>
              <w:jc w:val="both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 xml:space="preserve">   - zaměstnanci/lůž</w:t>
            </w:r>
            <w:r w:rsidR="001201D4" w:rsidRPr="00E60C20">
              <w:rPr>
                <w:rFonts w:cs="Arial"/>
                <w:sz w:val="20"/>
                <w:szCs w:val="20"/>
              </w:rPr>
              <w:t>k</w:t>
            </w:r>
            <w:r w:rsidRPr="00E60C20">
              <w:rPr>
                <w:rFonts w:cs="Arial"/>
                <w:sz w:val="20"/>
                <w:szCs w:val="20"/>
              </w:rPr>
              <w:t>a</w:t>
            </w:r>
            <w:r w:rsidR="001201D4" w:rsidRPr="005451E5">
              <w:rPr>
                <w:rFonts w:cs="Arial"/>
                <w:sz w:val="20"/>
                <w:szCs w:val="20"/>
              </w:rPr>
              <w:t>**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ks</w:t>
            </w: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mil. Kč</w:t>
            </w:r>
          </w:p>
          <w:p w:rsidR="001201D4" w:rsidRPr="00E60C20" w:rsidRDefault="001201D4" w:rsidP="001201D4">
            <w:pPr>
              <w:jc w:val="center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počet</w:t>
            </w:r>
          </w:p>
        </w:tc>
        <w:tc>
          <w:tcPr>
            <w:tcW w:w="1296" w:type="dxa"/>
            <w:tcBorders>
              <w:lef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0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0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1205" w:type="dxa"/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2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142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1205" w:type="dxa"/>
            <w:tcBorders>
              <w:right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-23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6</w:t>
            </w:r>
            <w:r w:rsidRPr="005451E5">
              <w:rPr>
                <w:rFonts w:cs="Arial"/>
                <w:sz w:val="20"/>
                <w:szCs w:val="20"/>
              </w:rPr>
              <w:t>*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294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111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8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436</w:t>
            </w:r>
          </w:p>
          <w:p w:rsidR="001201D4" w:rsidRPr="00E60C20" w:rsidRDefault="001201D4" w:rsidP="00CE3438">
            <w:pPr>
              <w:ind w:right="57"/>
              <w:jc w:val="right"/>
              <w:rPr>
                <w:rFonts w:cs="Arial"/>
                <w:sz w:val="20"/>
                <w:szCs w:val="20"/>
              </w:rPr>
            </w:pPr>
            <w:r w:rsidRPr="00E60C20">
              <w:rPr>
                <w:rFonts w:cs="Arial"/>
                <w:sz w:val="20"/>
                <w:szCs w:val="20"/>
              </w:rPr>
              <w:t>x</w:t>
            </w:r>
          </w:p>
        </w:tc>
      </w:tr>
    </w:tbl>
    <w:p w:rsidR="001201D4" w:rsidRPr="001201D4" w:rsidRDefault="001201D4" w:rsidP="001201D4">
      <w:pPr>
        <w:ind w:left="284" w:hanging="284"/>
        <w:jc w:val="both"/>
        <w:rPr>
          <w:rFonts w:cs="Arial"/>
          <w:sz w:val="18"/>
          <w:szCs w:val="18"/>
        </w:rPr>
      </w:pPr>
      <w:r w:rsidRPr="005451E5">
        <w:rPr>
          <w:rFonts w:cs="Arial"/>
          <w:sz w:val="20"/>
          <w:szCs w:val="20"/>
        </w:rPr>
        <w:t>*</w:t>
      </w:r>
      <w:r w:rsidRPr="001201D4">
        <w:rPr>
          <w:rFonts w:cs="Arial"/>
          <w:sz w:val="18"/>
          <w:szCs w:val="18"/>
        </w:rPr>
        <w:t xml:space="preserve"> </w:t>
      </w:r>
      <w:r w:rsidRPr="001201D4">
        <w:rPr>
          <w:rFonts w:cs="Arial"/>
          <w:sz w:val="18"/>
          <w:szCs w:val="18"/>
        </w:rPr>
        <w:tab/>
        <w:t>Údaj zahrnuje i případnou přístavbu objektu.</w:t>
      </w:r>
    </w:p>
    <w:p w:rsidR="001201D4" w:rsidRDefault="001201D4" w:rsidP="00BF08D7">
      <w:pPr>
        <w:ind w:left="284" w:hanging="284"/>
        <w:jc w:val="both"/>
        <w:rPr>
          <w:rFonts w:cs="Arial"/>
          <w:sz w:val="18"/>
          <w:szCs w:val="18"/>
        </w:rPr>
      </w:pPr>
      <w:r w:rsidRPr="005451E5">
        <w:rPr>
          <w:rFonts w:cs="Arial"/>
          <w:sz w:val="20"/>
          <w:szCs w:val="20"/>
        </w:rPr>
        <w:t>**</w:t>
      </w:r>
      <w:r w:rsidRPr="001201D4">
        <w:rPr>
          <w:rFonts w:cs="Arial"/>
          <w:sz w:val="18"/>
          <w:szCs w:val="18"/>
        </w:rPr>
        <w:t xml:space="preserve"> </w:t>
      </w:r>
      <w:r w:rsidR="00BF08D7">
        <w:rPr>
          <w:rFonts w:cs="Arial"/>
          <w:sz w:val="18"/>
          <w:szCs w:val="18"/>
        </w:rPr>
        <w:tab/>
      </w:r>
      <w:r w:rsidRPr="001201D4">
        <w:rPr>
          <w:rFonts w:cs="Arial"/>
          <w:sz w:val="18"/>
          <w:szCs w:val="18"/>
        </w:rPr>
        <w:t>Počet zaměstnanců platí pro budovy ČSSZ a ÚP ČR a počet lůžek pro budovy sociálních služeb.</w:t>
      </w:r>
    </w:p>
    <w:p w:rsidR="00F75B8A" w:rsidRPr="005451E5" w:rsidRDefault="00F75B8A" w:rsidP="001201D4">
      <w:pPr>
        <w:ind w:left="284" w:hanging="284"/>
        <w:jc w:val="both"/>
        <w:rPr>
          <w:rFonts w:cs="Arial"/>
          <w:sz w:val="22"/>
          <w:szCs w:val="22"/>
        </w:rPr>
      </w:pPr>
    </w:p>
    <w:p w:rsidR="001201D4" w:rsidRPr="001201D4" w:rsidRDefault="001201D4" w:rsidP="001201D4">
      <w:pPr>
        <w:jc w:val="both"/>
        <w:rPr>
          <w:rFonts w:cs="Arial"/>
          <w:b/>
          <w:sz w:val="22"/>
          <w:szCs w:val="22"/>
        </w:rPr>
      </w:pPr>
      <w:r w:rsidRPr="001201D4">
        <w:rPr>
          <w:rFonts w:cs="Arial"/>
          <w:b/>
          <w:sz w:val="22"/>
          <w:szCs w:val="22"/>
        </w:rPr>
        <w:t>1. Zjištěné nedostatky</w:t>
      </w:r>
    </w:p>
    <w:p w:rsidR="001201D4" w:rsidRDefault="001201D4" w:rsidP="001201D4">
      <w:pPr>
        <w:jc w:val="both"/>
        <w:rPr>
          <w:rFonts w:cs="Arial"/>
          <w:sz w:val="22"/>
          <w:szCs w:val="22"/>
        </w:rPr>
      </w:pPr>
    </w:p>
    <w:p w:rsidR="00EB3390" w:rsidRDefault="001201D4" w:rsidP="001201D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činnosti MPSV</w:t>
      </w:r>
      <w:r w:rsidR="00EB3390">
        <w:rPr>
          <w:rFonts w:cs="Arial"/>
          <w:sz w:val="22"/>
          <w:szCs w:val="22"/>
        </w:rPr>
        <w:t xml:space="preserve"> jako správce </w:t>
      </w:r>
      <w:r w:rsidR="006C3D9B">
        <w:rPr>
          <w:rFonts w:cs="Arial"/>
          <w:sz w:val="22"/>
          <w:szCs w:val="22"/>
        </w:rPr>
        <w:t xml:space="preserve">programů </w:t>
      </w:r>
      <w:r>
        <w:rPr>
          <w:rFonts w:cs="Arial"/>
          <w:sz w:val="22"/>
          <w:szCs w:val="22"/>
        </w:rPr>
        <w:t>byly zjištěny zejména</w:t>
      </w:r>
      <w:r w:rsidR="00EB3390">
        <w:rPr>
          <w:rFonts w:cs="Arial"/>
          <w:sz w:val="22"/>
          <w:szCs w:val="22"/>
        </w:rPr>
        <w:t xml:space="preserve"> nedostatky týkající se zpracování dokumentací programů, včetně jejich změn, a registrace akcí do </w:t>
      </w:r>
      <w:r w:rsidR="00B17D0A">
        <w:rPr>
          <w:rFonts w:cs="Arial"/>
          <w:sz w:val="22"/>
          <w:szCs w:val="22"/>
        </w:rPr>
        <w:t>programů</w:t>
      </w:r>
      <w:r w:rsidR="00EB3390">
        <w:rPr>
          <w:rFonts w:cs="Arial"/>
          <w:sz w:val="22"/>
          <w:szCs w:val="22"/>
        </w:rPr>
        <w:t xml:space="preserve">. Konkrétně bylo zjištěno: </w:t>
      </w:r>
    </w:p>
    <w:p w:rsidR="00EB3390" w:rsidRDefault="001201D4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EB3390" w:rsidRPr="002B27FB">
        <w:rPr>
          <w:rFonts w:cs="Arial"/>
          <w:b/>
          <w:sz w:val="22"/>
          <w:szCs w:val="22"/>
        </w:rPr>
        <w:t>Stanovené cíle</w:t>
      </w:r>
      <w:r w:rsidR="00B17D0A" w:rsidRPr="002B27FB">
        <w:rPr>
          <w:rFonts w:cs="Arial"/>
          <w:b/>
          <w:sz w:val="22"/>
          <w:szCs w:val="22"/>
        </w:rPr>
        <w:t xml:space="preserve"> a </w:t>
      </w:r>
      <w:r w:rsidR="00EB3390" w:rsidRPr="002B27FB">
        <w:rPr>
          <w:rFonts w:cs="Arial"/>
          <w:b/>
          <w:sz w:val="22"/>
          <w:szCs w:val="22"/>
        </w:rPr>
        <w:t xml:space="preserve">jejich specifikace indikátory nezobrazovaly objektivně </w:t>
      </w:r>
      <w:r w:rsidR="009D0AA4" w:rsidRPr="002B27FB">
        <w:rPr>
          <w:rFonts w:cs="Arial"/>
          <w:b/>
          <w:sz w:val="22"/>
          <w:szCs w:val="22"/>
        </w:rPr>
        <w:t>potřeby v oblasti nemovitého majetku ČSSZ, ÚP ČR a sociálních služeb</w:t>
      </w:r>
      <w:r w:rsidR="009D0AA4" w:rsidRPr="005451E5">
        <w:rPr>
          <w:rFonts w:cs="Arial"/>
          <w:b/>
          <w:sz w:val="22"/>
          <w:szCs w:val="22"/>
        </w:rPr>
        <w:t>,</w:t>
      </w:r>
      <w:r w:rsidR="009D0AA4">
        <w:rPr>
          <w:rFonts w:cs="Arial"/>
          <w:sz w:val="22"/>
          <w:szCs w:val="22"/>
        </w:rPr>
        <w:t xml:space="preserve"> neboť nevycházely ze závazných koncepčních materiálů a nebyl z nich zřejmý dopad na míru vyřešení dané problematiky po realizaci programů.</w:t>
      </w:r>
    </w:p>
    <w:p w:rsidR="001201D4" w:rsidRDefault="001201D4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9D0AA4" w:rsidRPr="002B27FB">
        <w:rPr>
          <w:rFonts w:cs="Arial"/>
          <w:b/>
          <w:sz w:val="22"/>
          <w:szCs w:val="22"/>
        </w:rPr>
        <w:t>Z</w:t>
      </w:r>
      <w:r w:rsidR="00BF08D7">
        <w:rPr>
          <w:rFonts w:cs="Arial"/>
          <w:b/>
          <w:sz w:val="22"/>
          <w:szCs w:val="22"/>
        </w:rPr>
        <w:t> </w:t>
      </w:r>
      <w:r w:rsidR="009D0AA4" w:rsidRPr="002B27FB">
        <w:rPr>
          <w:rFonts w:cs="Arial"/>
          <w:b/>
          <w:sz w:val="22"/>
          <w:szCs w:val="22"/>
        </w:rPr>
        <w:t>podkladů</w:t>
      </w:r>
      <w:r w:rsidR="00BF08D7">
        <w:rPr>
          <w:rFonts w:cs="Arial"/>
          <w:b/>
          <w:sz w:val="22"/>
          <w:szCs w:val="22"/>
        </w:rPr>
        <w:t>, které</w:t>
      </w:r>
      <w:r w:rsidR="009D0AA4" w:rsidRPr="002B27FB">
        <w:rPr>
          <w:rFonts w:cs="Arial"/>
          <w:b/>
          <w:sz w:val="22"/>
          <w:szCs w:val="22"/>
        </w:rPr>
        <w:t xml:space="preserve"> </w:t>
      </w:r>
      <w:r w:rsidR="00BF08D7" w:rsidRPr="002B27FB">
        <w:rPr>
          <w:rFonts w:cs="Arial"/>
          <w:b/>
          <w:sz w:val="22"/>
          <w:szCs w:val="22"/>
        </w:rPr>
        <w:t xml:space="preserve">MPSV </w:t>
      </w:r>
      <w:r w:rsidR="009D0AA4" w:rsidRPr="002B27FB">
        <w:rPr>
          <w:rFonts w:cs="Arial"/>
          <w:b/>
          <w:sz w:val="22"/>
          <w:szCs w:val="22"/>
        </w:rPr>
        <w:t>předlož</w:t>
      </w:r>
      <w:r w:rsidR="00BF08D7">
        <w:rPr>
          <w:rFonts w:cs="Arial"/>
          <w:b/>
          <w:sz w:val="22"/>
          <w:szCs w:val="22"/>
        </w:rPr>
        <w:t xml:space="preserve">ilo ke kontrole, </w:t>
      </w:r>
      <w:r w:rsidR="009D0AA4" w:rsidRPr="002B27FB">
        <w:rPr>
          <w:rFonts w:cs="Arial"/>
          <w:b/>
          <w:sz w:val="22"/>
          <w:szCs w:val="22"/>
        </w:rPr>
        <w:t>nebylo možn</w:t>
      </w:r>
      <w:r w:rsidR="00BF08D7">
        <w:rPr>
          <w:rFonts w:cs="Arial"/>
          <w:b/>
          <w:sz w:val="22"/>
          <w:szCs w:val="22"/>
        </w:rPr>
        <w:t>é</w:t>
      </w:r>
      <w:r w:rsidR="009D0AA4" w:rsidRPr="002B27FB">
        <w:rPr>
          <w:rFonts w:cs="Arial"/>
          <w:b/>
          <w:sz w:val="22"/>
          <w:szCs w:val="22"/>
        </w:rPr>
        <w:t xml:space="preserve"> ověřit správnost stanovení indikátorů a</w:t>
      </w:r>
      <w:r w:rsidR="00BF08D7">
        <w:rPr>
          <w:rFonts w:cs="Arial"/>
          <w:b/>
          <w:sz w:val="22"/>
          <w:szCs w:val="22"/>
        </w:rPr>
        <w:t xml:space="preserve"> </w:t>
      </w:r>
      <w:r w:rsidR="009D0AA4" w:rsidRPr="002B27FB">
        <w:rPr>
          <w:rFonts w:cs="Arial"/>
          <w:b/>
          <w:sz w:val="22"/>
          <w:szCs w:val="22"/>
        </w:rPr>
        <w:t>jejich hodnot</w:t>
      </w:r>
      <w:r w:rsidR="009D0AA4" w:rsidRPr="005451E5">
        <w:rPr>
          <w:rFonts w:cs="Arial"/>
          <w:b/>
          <w:sz w:val="22"/>
          <w:szCs w:val="22"/>
        </w:rPr>
        <w:t>.</w:t>
      </w:r>
      <w:r w:rsidR="009D0AA4">
        <w:rPr>
          <w:rFonts w:cs="Arial"/>
          <w:sz w:val="22"/>
          <w:szCs w:val="22"/>
        </w:rPr>
        <w:t xml:space="preserve"> </w:t>
      </w:r>
      <w:r w:rsidR="00222E46">
        <w:rPr>
          <w:rFonts w:cs="Arial"/>
          <w:sz w:val="22"/>
          <w:szCs w:val="22"/>
        </w:rPr>
        <w:t>Přitom v</w:t>
      </w:r>
      <w:r>
        <w:rPr>
          <w:rFonts w:cs="Arial"/>
          <w:sz w:val="22"/>
          <w:szCs w:val="22"/>
        </w:rPr>
        <w:t> některých případech</w:t>
      </w:r>
      <w:r w:rsidR="001E6991">
        <w:rPr>
          <w:rFonts w:cs="Arial"/>
          <w:sz w:val="22"/>
          <w:szCs w:val="22"/>
        </w:rPr>
        <w:t xml:space="preserve"> nebyly</w:t>
      </w:r>
      <w:r w:rsidR="00222E46">
        <w:rPr>
          <w:rFonts w:cs="Arial"/>
          <w:sz w:val="22"/>
          <w:szCs w:val="22"/>
        </w:rPr>
        <w:t xml:space="preserve"> stanovené</w:t>
      </w:r>
      <w:r w:rsidR="001E6991">
        <w:rPr>
          <w:rFonts w:cs="Arial"/>
          <w:sz w:val="22"/>
          <w:szCs w:val="22"/>
        </w:rPr>
        <w:t xml:space="preserve"> </w:t>
      </w:r>
      <w:r w:rsidR="009D0AA4">
        <w:rPr>
          <w:rFonts w:cs="Arial"/>
          <w:sz w:val="22"/>
          <w:szCs w:val="22"/>
        </w:rPr>
        <w:t xml:space="preserve">indikátory </w:t>
      </w:r>
      <w:r>
        <w:rPr>
          <w:rFonts w:cs="Arial"/>
          <w:sz w:val="22"/>
          <w:szCs w:val="22"/>
        </w:rPr>
        <w:t xml:space="preserve">objektivním ukazatelem pro hodnocení míry naplňování stanovených cílů. </w:t>
      </w:r>
    </w:p>
    <w:p w:rsidR="000F52CA" w:rsidRDefault="009D0AA4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874A6B">
        <w:rPr>
          <w:rFonts w:cs="Arial"/>
          <w:sz w:val="22"/>
          <w:szCs w:val="22"/>
        </w:rPr>
        <w:t xml:space="preserve">V případě programů č. 113 030 a 113 340 byla počáteční fáze </w:t>
      </w:r>
      <w:r w:rsidR="000F52CA">
        <w:rPr>
          <w:rFonts w:cs="Arial"/>
          <w:sz w:val="22"/>
          <w:szCs w:val="22"/>
        </w:rPr>
        <w:t>realizace</w:t>
      </w:r>
      <w:r>
        <w:rPr>
          <w:rFonts w:cs="Arial"/>
          <w:sz w:val="22"/>
          <w:szCs w:val="22"/>
        </w:rPr>
        <w:t xml:space="preserve"> </w:t>
      </w:r>
      <w:r w:rsidR="00874A6B">
        <w:rPr>
          <w:rFonts w:cs="Arial"/>
          <w:sz w:val="22"/>
          <w:szCs w:val="22"/>
        </w:rPr>
        <w:t>negativně ovlivněna</w:t>
      </w:r>
      <w:r w:rsidR="000F52CA">
        <w:rPr>
          <w:rFonts w:cs="Arial"/>
          <w:sz w:val="22"/>
          <w:szCs w:val="22"/>
        </w:rPr>
        <w:t xml:space="preserve"> neujasněnost</w:t>
      </w:r>
      <w:r w:rsidR="00874A6B">
        <w:rPr>
          <w:rFonts w:cs="Arial"/>
          <w:sz w:val="22"/>
          <w:szCs w:val="22"/>
        </w:rPr>
        <w:t>í</w:t>
      </w:r>
      <w:r w:rsidR="000F52CA">
        <w:rPr>
          <w:rFonts w:cs="Arial"/>
          <w:sz w:val="22"/>
          <w:szCs w:val="22"/>
        </w:rPr>
        <w:t xml:space="preserve"> organizační struktury úřa</w:t>
      </w:r>
      <w:r w:rsidR="002877EE">
        <w:rPr>
          <w:rFonts w:cs="Arial"/>
          <w:sz w:val="22"/>
          <w:szCs w:val="22"/>
        </w:rPr>
        <w:t>dů práce a od dubna 2011 vznik</w:t>
      </w:r>
      <w:r w:rsidR="00874A6B">
        <w:rPr>
          <w:rFonts w:cs="Arial"/>
          <w:sz w:val="22"/>
          <w:szCs w:val="22"/>
        </w:rPr>
        <w:t>em</w:t>
      </w:r>
      <w:r w:rsidR="002877EE">
        <w:rPr>
          <w:rFonts w:cs="Arial"/>
          <w:sz w:val="22"/>
          <w:szCs w:val="22"/>
        </w:rPr>
        <w:t xml:space="preserve"> Ú</w:t>
      </w:r>
      <w:r w:rsidR="000F52CA">
        <w:rPr>
          <w:rFonts w:cs="Arial"/>
          <w:sz w:val="22"/>
          <w:szCs w:val="22"/>
        </w:rPr>
        <w:t>P</w:t>
      </w:r>
      <w:r w:rsidR="00C41352">
        <w:rPr>
          <w:rFonts w:cs="Arial"/>
          <w:sz w:val="22"/>
          <w:szCs w:val="22"/>
        </w:rPr>
        <w:t> </w:t>
      </w:r>
      <w:r w:rsidR="000F52CA">
        <w:rPr>
          <w:rFonts w:cs="Arial"/>
          <w:sz w:val="22"/>
          <w:szCs w:val="22"/>
        </w:rPr>
        <w:t>ČR</w:t>
      </w:r>
      <w:r w:rsidR="00874A6B">
        <w:rPr>
          <w:rFonts w:cs="Arial"/>
          <w:sz w:val="22"/>
          <w:szCs w:val="22"/>
        </w:rPr>
        <w:t xml:space="preserve"> na základě zákona č. 73/2011 Sb.</w:t>
      </w:r>
      <w:r w:rsidR="000F52CA">
        <w:rPr>
          <w:rFonts w:cs="Arial"/>
          <w:sz w:val="22"/>
          <w:szCs w:val="22"/>
        </w:rPr>
        <w:t>, který přinesl zásadní změnu</w:t>
      </w:r>
      <w:r>
        <w:rPr>
          <w:rFonts w:cs="Arial"/>
          <w:sz w:val="22"/>
          <w:szCs w:val="22"/>
        </w:rPr>
        <w:t xml:space="preserve"> </w:t>
      </w:r>
      <w:r w:rsidR="009E06AF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postavení a </w:t>
      </w:r>
      <w:r w:rsidR="001201D4">
        <w:rPr>
          <w:rFonts w:cs="Arial"/>
          <w:sz w:val="22"/>
          <w:szCs w:val="22"/>
        </w:rPr>
        <w:t>půs</w:t>
      </w:r>
      <w:r w:rsidR="000F52CA">
        <w:rPr>
          <w:rFonts w:cs="Arial"/>
          <w:sz w:val="22"/>
          <w:szCs w:val="22"/>
        </w:rPr>
        <w:t>obnosti</w:t>
      </w:r>
      <w:r w:rsidR="00874A6B">
        <w:rPr>
          <w:rFonts w:cs="Arial"/>
          <w:sz w:val="22"/>
          <w:szCs w:val="22"/>
        </w:rPr>
        <w:t xml:space="preserve"> úřadů práce</w:t>
      </w:r>
      <w:r w:rsidR="000F52CA">
        <w:rPr>
          <w:rFonts w:cs="Arial"/>
          <w:sz w:val="22"/>
          <w:szCs w:val="22"/>
        </w:rPr>
        <w:t>.</w:t>
      </w:r>
    </w:p>
    <w:p w:rsidR="001201D4" w:rsidRDefault="001201D4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Pr="002B27FB">
        <w:rPr>
          <w:rFonts w:cs="Arial"/>
          <w:b/>
          <w:sz w:val="22"/>
          <w:szCs w:val="22"/>
        </w:rPr>
        <w:t xml:space="preserve">MPSV </w:t>
      </w:r>
      <w:r w:rsidR="002877EE" w:rsidRPr="002B27FB">
        <w:rPr>
          <w:rFonts w:cs="Arial"/>
          <w:b/>
          <w:sz w:val="22"/>
          <w:szCs w:val="22"/>
        </w:rPr>
        <w:t xml:space="preserve">měnilo </w:t>
      </w:r>
      <w:r w:rsidRPr="002B27FB">
        <w:rPr>
          <w:rFonts w:cs="Arial"/>
          <w:b/>
          <w:sz w:val="22"/>
          <w:szCs w:val="22"/>
        </w:rPr>
        <w:t>neúměrně často v průběhu realizace finanční potře</w:t>
      </w:r>
      <w:r w:rsidR="002877EE" w:rsidRPr="002B27FB">
        <w:rPr>
          <w:rFonts w:cs="Arial"/>
          <w:b/>
          <w:sz w:val="22"/>
          <w:szCs w:val="22"/>
        </w:rPr>
        <w:t>bu podprogramů</w:t>
      </w:r>
      <w:r w:rsidR="002877EE" w:rsidRPr="00980B14">
        <w:rPr>
          <w:rFonts w:cs="Arial"/>
          <w:b/>
          <w:sz w:val="22"/>
          <w:szCs w:val="22"/>
        </w:rPr>
        <w:t>,</w:t>
      </w:r>
      <w:r w:rsidR="002877EE">
        <w:rPr>
          <w:rFonts w:cs="Arial"/>
          <w:sz w:val="22"/>
          <w:szCs w:val="22"/>
        </w:rPr>
        <w:t xml:space="preserve"> přitom schválenými rozpočty přidělené peněžní prostředky na ně byly vyčerpány jen v rozmezí od 42 % do 82 %. </w:t>
      </w:r>
      <w:r w:rsidRPr="002B27FB">
        <w:rPr>
          <w:rFonts w:cs="Arial"/>
          <w:b/>
          <w:sz w:val="22"/>
          <w:szCs w:val="22"/>
        </w:rPr>
        <w:t>MPSV měnilo i akce, které předpokládalo z programů financovat</w:t>
      </w:r>
      <w:r>
        <w:rPr>
          <w:rFonts w:cs="Arial"/>
          <w:sz w:val="22"/>
          <w:szCs w:val="22"/>
        </w:rPr>
        <w:t xml:space="preserve"> (netýká se programu č. 113 310, u kterého nebyly konkrétní akce předem stanoveny). </w:t>
      </w:r>
      <w:r w:rsidR="00874A6B">
        <w:rPr>
          <w:rFonts w:cs="Arial"/>
          <w:sz w:val="22"/>
          <w:szCs w:val="22"/>
        </w:rPr>
        <w:t>Například v</w:t>
      </w:r>
      <w:r>
        <w:rPr>
          <w:rFonts w:cs="Arial"/>
          <w:sz w:val="22"/>
          <w:szCs w:val="22"/>
        </w:rPr>
        <w:t xml:space="preserve">ýznamným zásahem do realizace podprogramu č. 113 </w:t>
      </w:r>
      <w:proofErr w:type="spellStart"/>
      <w:r>
        <w:rPr>
          <w:rFonts w:cs="Arial"/>
          <w:sz w:val="22"/>
          <w:szCs w:val="22"/>
        </w:rPr>
        <w:t>34D</w:t>
      </w:r>
      <w:proofErr w:type="spellEnd"/>
      <w:r>
        <w:rPr>
          <w:rFonts w:cs="Arial"/>
          <w:sz w:val="22"/>
          <w:szCs w:val="22"/>
        </w:rPr>
        <w:t xml:space="preserve"> bylo dodatečné zařazení nákupu budovy v Praze 7 pro ÚP ČR s předpokládanými náklady 329</w:t>
      </w:r>
      <w:r w:rsidR="00E60C20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mil.</w:t>
      </w:r>
      <w:r w:rsidR="006E53E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Kč</w:t>
      </w:r>
      <w:r w:rsidRPr="009E6F3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v červenci 2013, tj. v době, kdy hrozilo riziko, že finanční prostředky </w:t>
      </w:r>
      <w:r>
        <w:rPr>
          <w:rFonts w:cs="Arial"/>
          <w:sz w:val="22"/>
          <w:szCs w:val="22"/>
        </w:rPr>
        <w:lastRenderedPageBreak/>
        <w:t>alokované v </w:t>
      </w:r>
      <w:proofErr w:type="spellStart"/>
      <w:r>
        <w:rPr>
          <w:rFonts w:cs="Arial"/>
          <w:sz w:val="22"/>
          <w:szCs w:val="22"/>
        </w:rPr>
        <w:t>IOP</w:t>
      </w:r>
      <w:proofErr w:type="spellEnd"/>
      <w:r>
        <w:rPr>
          <w:rFonts w:cs="Arial"/>
          <w:sz w:val="22"/>
          <w:szCs w:val="22"/>
        </w:rPr>
        <w:t xml:space="preserve"> nebudou vyčerpány. MPSV přitom v souvislosti se zákonem č. 73/2011</w:t>
      </w:r>
      <w:r w:rsidR="006E53E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Sb. uvádělo, že jeho přijetí nebude mj. vyžadovat pořízení nových budov.</w:t>
      </w:r>
    </w:p>
    <w:p w:rsidR="001201D4" w:rsidRDefault="001201D4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9E06AF">
        <w:rPr>
          <w:rFonts w:cs="Arial"/>
          <w:sz w:val="22"/>
          <w:szCs w:val="22"/>
        </w:rPr>
        <w:t>V </w:t>
      </w:r>
      <w:r w:rsidR="00874A6B">
        <w:rPr>
          <w:rFonts w:cs="Arial"/>
          <w:sz w:val="22"/>
          <w:szCs w:val="22"/>
        </w:rPr>
        <w:t>případě</w:t>
      </w:r>
      <w:r>
        <w:rPr>
          <w:rFonts w:cs="Arial"/>
          <w:sz w:val="22"/>
          <w:szCs w:val="22"/>
        </w:rPr>
        <w:t xml:space="preserve"> podprogramu č. 113 </w:t>
      </w:r>
      <w:proofErr w:type="spellStart"/>
      <w:r>
        <w:rPr>
          <w:rFonts w:cs="Arial"/>
          <w:sz w:val="22"/>
          <w:szCs w:val="22"/>
        </w:rPr>
        <w:t>34D</w:t>
      </w:r>
      <w:proofErr w:type="spellEnd"/>
      <w:r>
        <w:rPr>
          <w:rFonts w:cs="Arial"/>
          <w:sz w:val="22"/>
          <w:szCs w:val="22"/>
        </w:rPr>
        <w:t xml:space="preserve"> (spolufinancovaného z prostředků EU) nastavilo MPSV poměrně komplikovaný a málo transparentní systém předvýběru vhodných projektů (akcí).</w:t>
      </w:r>
    </w:p>
    <w:p w:rsidR="001201D4" w:rsidRDefault="001201D4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  <w:t xml:space="preserve">V případě programu č. 113 310 stanovilo MPSV účastníkům programu povinnost postupovat při výběru dodavatelů podle interní metodiky, která nebyla </w:t>
      </w:r>
      <w:r w:rsidR="009E06AF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některých ustanoveních v souladu se zákonem č. 137/2006 Sb.</w:t>
      </w:r>
    </w:p>
    <w:p w:rsidR="001201D4" w:rsidRDefault="001201D4" w:rsidP="001201D4">
      <w:pPr>
        <w:ind w:left="142" w:hanging="142"/>
        <w:jc w:val="both"/>
        <w:rPr>
          <w:rFonts w:cs="Arial"/>
          <w:sz w:val="22"/>
          <w:szCs w:val="22"/>
        </w:rPr>
      </w:pPr>
    </w:p>
    <w:p w:rsidR="001201D4" w:rsidRDefault="001201D4" w:rsidP="001201D4">
      <w:pPr>
        <w:jc w:val="both"/>
        <w:rPr>
          <w:rFonts w:cs="Arial"/>
          <w:sz w:val="22"/>
          <w:szCs w:val="22"/>
        </w:rPr>
      </w:pPr>
      <w:r w:rsidRPr="002B27FB">
        <w:rPr>
          <w:rFonts w:cs="Arial"/>
          <w:b/>
          <w:sz w:val="22"/>
          <w:szCs w:val="22"/>
        </w:rPr>
        <w:t>Kontrolou akcí týkajících se</w:t>
      </w:r>
      <w:r w:rsidR="00361217" w:rsidRPr="002B27FB">
        <w:rPr>
          <w:rFonts w:cs="Arial"/>
          <w:b/>
          <w:sz w:val="22"/>
          <w:szCs w:val="22"/>
        </w:rPr>
        <w:t xml:space="preserve"> nemovitého majetku</w:t>
      </w:r>
      <w:r w:rsidRPr="002B27FB">
        <w:rPr>
          <w:rFonts w:cs="Arial"/>
          <w:b/>
          <w:sz w:val="22"/>
          <w:szCs w:val="22"/>
        </w:rPr>
        <w:t xml:space="preserve"> ČSSZ</w:t>
      </w:r>
      <w:r w:rsidR="0039112F" w:rsidRPr="002B27FB">
        <w:rPr>
          <w:rFonts w:cs="Arial"/>
          <w:b/>
          <w:sz w:val="22"/>
          <w:szCs w:val="22"/>
        </w:rPr>
        <w:t xml:space="preserve">, </w:t>
      </w:r>
      <w:r w:rsidRPr="002B27FB">
        <w:rPr>
          <w:rFonts w:cs="Arial"/>
          <w:b/>
          <w:sz w:val="22"/>
          <w:szCs w:val="22"/>
        </w:rPr>
        <w:t>ÚP ČR</w:t>
      </w:r>
      <w:r w:rsidR="0039112F" w:rsidRPr="002B27FB">
        <w:rPr>
          <w:rFonts w:cs="Arial"/>
          <w:b/>
          <w:sz w:val="22"/>
          <w:szCs w:val="22"/>
        </w:rPr>
        <w:t xml:space="preserve"> a sociálních služeb</w:t>
      </w:r>
      <w:r w:rsidRPr="002B27FB">
        <w:rPr>
          <w:rFonts w:cs="Arial"/>
          <w:b/>
          <w:sz w:val="22"/>
          <w:szCs w:val="22"/>
        </w:rPr>
        <w:t xml:space="preserve"> byly zjištěny zejména tyto nedostatky</w:t>
      </w:r>
      <w:r w:rsidRPr="005451E5">
        <w:rPr>
          <w:rFonts w:cs="Arial"/>
          <w:b/>
          <w:sz w:val="22"/>
          <w:szCs w:val="22"/>
        </w:rPr>
        <w:t>:</w:t>
      </w:r>
    </w:p>
    <w:p w:rsidR="00AF386C" w:rsidRDefault="001201D4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874A6B">
        <w:rPr>
          <w:rFonts w:cs="Arial"/>
          <w:sz w:val="22"/>
          <w:szCs w:val="22"/>
        </w:rPr>
        <w:t>Provádění z</w:t>
      </w:r>
      <w:r>
        <w:rPr>
          <w:rFonts w:cs="Arial"/>
          <w:sz w:val="22"/>
          <w:szCs w:val="22"/>
        </w:rPr>
        <w:t>ásadní</w:t>
      </w:r>
      <w:r w:rsidR="00874A6B">
        <w:rPr>
          <w:rFonts w:cs="Arial"/>
          <w:sz w:val="22"/>
          <w:szCs w:val="22"/>
        </w:rPr>
        <w:t>ch věcných změn</w:t>
      </w:r>
      <w:r>
        <w:rPr>
          <w:rFonts w:cs="Arial"/>
          <w:sz w:val="22"/>
          <w:szCs w:val="22"/>
        </w:rPr>
        <w:t xml:space="preserve"> v průběhu přípravy a realizace některých akcí</w:t>
      </w:r>
      <w:r w:rsidR="00874A6B">
        <w:rPr>
          <w:rFonts w:cs="Arial"/>
          <w:sz w:val="22"/>
          <w:szCs w:val="22"/>
        </w:rPr>
        <w:t>.</w:t>
      </w:r>
    </w:p>
    <w:p w:rsidR="00FD51AE" w:rsidRDefault="00AF386C" w:rsidP="00F75B8A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  <w:t xml:space="preserve">ÚP ČR nedoložil, že před realizací </w:t>
      </w:r>
      <w:r w:rsidR="001201D4" w:rsidRPr="00FD51AE">
        <w:rPr>
          <w:rFonts w:cs="Arial"/>
          <w:sz w:val="22"/>
          <w:szCs w:val="22"/>
        </w:rPr>
        <w:t>nákupu budovy v Praze 7 provedl řádný výběr vhodných nemovitostí.</w:t>
      </w:r>
      <w:r w:rsidR="001201D4">
        <w:rPr>
          <w:rFonts w:cs="Arial"/>
          <w:sz w:val="22"/>
          <w:szCs w:val="22"/>
        </w:rPr>
        <w:t xml:space="preserve"> </w:t>
      </w:r>
      <w:r w:rsidR="00FD51AE">
        <w:rPr>
          <w:rFonts w:cs="Arial"/>
          <w:sz w:val="22"/>
          <w:szCs w:val="22"/>
        </w:rPr>
        <w:t xml:space="preserve">Nedoložil </w:t>
      </w:r>
      <w:r w:rsidR="000C249A">
        <w:rPr>
          <w:rFonts w:cs="Arial"/>
          <w:sz w:val="22"/>
          <w:szCs w:val="22"/>
        </w:rPr>
        <w:t xml:space="preserve">ani </w:t>
      </w:r>
      <w:r w:rsidR="00FD51AE">
        <w:rPr>
          <w:rFonts w:cs="Arial"/>
          <w:sz w:val="22"/>
          <w:szCs w:val="22"/>
        </w:rPr>
        <w:t xml:space="preserve">věrohodné údaje o počtech zaměstnanců, kteří by měli v budově pracovat. </w:t>
      </w:r>
    </w:p>
    <w:p w:rsidR="001201D4" w:rsidRDefault="001201D4" w:rsidP="005451E5">
      <w:pPr>
        <w:spacing w:after="120"/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AF386C">
        <w:rPr>
          <w:rFonts w:cs="Arial"/>
          <w:sz w:val="22"/>
          <w:szCs w:val="22"/>
        </w:rPr>
        <w:t>V případě objektu ÚP</w:t>
      </w:r>
      <w:r w:rsidR="00DC6822">
        <w:rPr>
          <w:rFonts w:cs="Arial"/>
          <w:sz w:val="22"/>
          <w:szCs w:val="22"/>
        </w:rPr>
        <w:t> </w:t>
      </w:r>
      <w:r w:rsidR="00AF386C">
        <w:rPr>
          <w:rFonts w:cs="Arial"/>
          <w:sz w:val="22"/>
          <w:szCs w:val="22"/>
        </w:rPr>
        <w:t>ČR</w:t>
      </w:r>
      <w:r>
        <w:rPr>
          <w:rFonts w:cs="Arial"/>
          <w:sz w:val="22"/>
          <w:szCs w:val="22"/>
        </w:rPr>
        <w:t xml:space="preserve"> v Pardubicích byla </w:t>
      </w:r>
      <w:r w:rsidR="009E06AF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přípravě vari</w:t>
      </w:r>
      <w:r w:rsidR="00222E46">
        <w:rPr>
          <w:rFonts w:cs="Arial"/>
          <w:sz w:val="22"/>
          <w:szCs w:val="22"/>
        </w:rPr>
        <w:t>anta (novostavba), která byla o </w:t>
      </w:r>
      <w:r>
        <w:rPr>
          <w:rFonts w:cs="Arial"/>
          <w:sz w:val="22"/>
          <w:szCs w:val="22"/>
        </w:rPr>
        <w:t>cca 130</w:t>
      </w:r>
      <w:r w:rsidR="006E53E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mil.</w:t>
      </w:r>
      <w:r w:rsidR="006E53EE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Kč dražší než jiná varianta (rekonstrukce a dostavba stávající budovy). Levnější variantu MPSV neschválilo</w:t>
      </w:r>
      <w:r w:rsidR="00AF386C">
        <w:rPr>
          <w:rFonts w:cs="Arial"/>
          <w:sz w:val="22"/>
          <w:szCs w:val="22"/>
        </w:rPr>
        <w:t xml:space="preserve"> </w:t>
      </w:r>
      <w:r w:rsidR="009E06AF">
        <w:rPr>
          <w:rFonts w:cs="Arial"/>
          <w:sz w:val="22"/>
          <w:szCs w:val="22"/>
        </w:rPr>
        <w:t>s </w:t>
      </w:r>
      <w:r w:rsidR="00AF386C">
        <w:rPr>
          <w:rFonts w:cs="Arial"/>
          <w:sz w:val="22"/>
          <w:szCs w:val="22"/>
        </w:rPr>
        <w:t>odůvodněním</w:t>
      </w:r>
      <w:r>
        <w:rPr>
          <w:rFonts w:cs="Arial"/>
          <w:sz w:val="22"/>
          <w:szCs w:val="22"/>
        </w:rPr>
        <w:t>,</w:t>
      </w:r>
      <w:r w:rsidR="00AF386C">
        <w:rPr>
          <w:rFonts w:cs="Arial"/>
          <w:sz w:val="22"/>
          <w:szCs w:val="22"/>
        </w:rPr>
        <w:t xml:space="preserve"> že </w:t>
      </w:r>
      <w:r>
        <w:rPr>
          <w:rFonts w:cs="Arial"/>
          <w:sz w:val="22"/>
          <w:szCs w:val="22"/>
        </w:rPr>
        <w:t>potřebný pozemek pro dostavbu, který jeho majitel nabízel pouze jako celek za cenu 15 mil. Kč, by byl pro dostavbu nadměrně velký.</w:t>
      </w:r>
      <w:r>
        <w:rPr>
          <w:rFonts w:cs="Arial"/>
          <w:color w:val="FF0000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 </w:t>
      </w:r>
    </w:p>
    <w:p w:rsidR="001201D4" w:rsidRDefault="001201D4" w:rsidP="005451E5">
      <w:pPr>
        <w:spacing w:after="120"/>
        <w:ind w:left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 souvislosti s</w:t>
      </w:r>
      <w:r w:rsidR="00AF386C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výstavbou</w:t>
      </w:r>
      <w:r w:rsidR="00AF386C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objektu v Pardubicích </w:t>
      </w:r>
      <w:r w:rsidR="00AF386C">
        <w:rPr>
          <w:rFonts w:cs="Arial"/>
          <w:sz w:val="22"/>
          <w:szCs w:val="22"/>
        </w:rPr>
        <w:t>zastavil ÚP ČR realizaci</w:t>
      </w:r>
      <w:r>
        <w:rPr>
          <w:rFonts w:cs="Arial"/>
          <w:sz w:val="22"/>
          <w:szCs w:val="22"/>
        </w:rPr>
        <w:t xml:space="preserve"> </w:t>
      </w:r>
      <w:r w:rsidR="00AF386C">
        <w:rPr>
          <w:rFonts w:cs="Arial"/>
          <w:sz w:val="22"/>
          <w:szCs w:val="22"/>
        </w:rPr>
        <w:t>výstavby</w:t>
      </w:r>
      <w:r>
        <w:rPr>
          <w:rFonts w:cs="Arial"/>
          <w:sz w:val="22"/>
          <w:szCs w:val="22"/>
        </w:rPr>
        <w:t xml:space="preserve"> budovy v Rokytně s předpokládanými náklady 60 mil. Kč a termínem ukončení do roku 2013. Pro rozestavěnou budovu nedoložil další využití.</w:t>
      </w:r>
    </w:p>
    <w:p w:rsidR="001201D4" w:rsidRDefault="001201D4" w:rsidP="005451E5">
      <w:pPr>
        <w:ind w:left="284" w:hanging="28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</w:r>
      <w:r w:rsidR="00AF386C">
        <w:rPr>
          <w:rFonts w:cs="Arial"/>
          <w:sz w:val="22"/>
          <w:szCs w:val="22"/>
        </w:rPr>
        <w:t>ČSSZ zastavila v</w:t>
      </w:r>
      <w:r>
        <w:rPr>
          <w:rFonts w:cs="Arial"/>
          <w:sz w:val="22"/>
          <w:szCs w:val="22"/>
        </w:rPr>
        <w:t xml:space="preserve"> roce 2009 </w:t>
      </w:r>
      <w:r w:rsidR="00AF386C">
        <w:rPr>
          <w:rFonts w:cs="Arial"/>
          <w:sz w:val="22"/>
          <w:szCs w:val="22"/>
        </w:rPr>
        <w:t>výstavbu</w:t>
      </w:r>
      <w:r>
        <w:rPr>
          <w:rFonts w:cs="Arial"/>
          <w:sz w:val="22"/>
          <w:szCs w:val="22"/>
        </w:rPr>
        <w:t xml:space="preserve"> budovy v Jihlavě. Na akci bylo vyčerpáno 5,9 mil.</w:t>
      </w:r>
      <w:r w:rsidR="00C41352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Kč, z toho 3,3 mil. Kč na pozemek, který byl v době kontroly nevyužitý. ČSSZ řeší potřeby v Jihlavě rekonstrukcí jiné budovy s předpokládanými náklady 17,5 mil. Kč. Tuto budovu pořídil tamní úřad práce v roce 2006 s náklady 44,6 mil. Kč, ale neměl pro ni dostatečné využití.</w:t>
      </w:r>
    </w:p>
    <w:p w:rsidR="0039112F" w:rsidRDefault="001201D4" w:rsidP="00F75B8A">
      <w:pPr>
        <w:ind w:left="284" w:hanging="284"/>
        <w:jc w:val="both"/>
        <w:rPr>
          <w:rFonts w:cs="Arial"/>
          <w:color w:val="FF0000"/>
          <w:sz w:val="22"/>
          <w:szCs w:val="22"/>
        </w:rPr>
      </w:pPr>
      <w:r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ab/>
        <w:t xml:space="preserve">ÚP ČR pořídil v roce 2012 </w:t>
      </w:r>
      <w:r w:rsidR="00101C69">
        <w:rPr>
          <w:rFonts w:cs="Arial"/>
          <w:sz w:val="22"/>
          <w:szCs w:val="22"/>
        </w:rPr>
        <w:t xml:space="preserve">kapacitně nedostačující </w:t>
      </w:r>
      <w:r>
        <w:rPr>
          <w:rFonts w:cs="Arial"/>
          <w:sz w:val="22"/>
          <w:szCs w:val="22"/>
        </w:rPr>
        <w:t xml:space="preserve">budovu v Karlových Varech. </w:t>
      </w:r>
    </w:p>
    <w:p w:rsidR="0039112F" w:rsidRPr="0039112F" w:rsidRDefault="0039112F" w:rsidP="00F75B8A">
      <w:pPr>
        <w:ind w:left="284" w:hanging="284"/>
        <w:jc w:val="both"/>
        <w:rPr>
          <w:rFonts w:cs="Arial"/>
          <w:color w:val="FF0000"/>
          <w:sz w:val="22"/>
          <w:szCs w:val="22"/>
        </w:rPr>
      </w:pPr>
      <w:r w:rsidRPr="000B64CD">
        <w:rPr>
          <w:rFonts w:cs="Arial"/>
          <w:sz w:val="22"/>
          <w:szCs w:val="22"/>
        </w:rPr>
        <w:t>-</w:t>
      </w:r>
      <w:r>
        <w:rPr>
          <w:rFonts w:cs="Arial"/>
          <w:color w:val="FF0000"/>
          <w:sz w:val="22"/>
          <w:szCs w:val="22"/>
        </w:rPr>
        <w:tab/>
      </w:r>
      <w:r w:rsidR="001201D4">
        <w:rPr>
          <w:rFonts w:cs="Arial"/>
          <w:sz w:val="22"/>
          <w:szCs w:val="22"/>
        </w:rPr>
        <w:t>U akcí,</w:t>
      </w:r>
      <w:r w:rsidR="00DC6822">
        <w:rPr>
          <w:rFonts w:cs="Arial"/>
          <w:sz w:val="22"/>
          <w:szCs w:val="22"/>
        </w:rPr>
        <w:t xml:space="preserve"> které se</w:t>
      </w:r>
      <w:r w:rsidR="001201D4">
        <w:rPr>
          <w:rFonts w:cs="Arial"/>
          <w:sz w:val="22"/>
          <w:szCs w:val="22"/>
        </w:rPr>
        <w:t xml:space="preserve"> týka</w:t>
      </w:r>
      <w:r w:rsidR="00DC6822">
        <w:rPr>
          <w:rFonts w:cs="Arial"/>
          <w:sz w:val="22"/>
          <w:szCs w:val="22"/>
        </w:rPr>
        <w:t>ly</w:t>
      </w:r>
      <w:r w:rsidR="001201D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nemovitého majetku</w:t>
      </w:r>
      <w:r w:rsidR="001201D4">
        <w:rPr>
          <w:rFonts w:cs="Arial"/>
          <w:sz w:val="22"/>
          <w:szCs w:val="22"/>
        </w:rPr>
        <w:t xml:space="preserve"> sociálních služeb, byly </w:t>
      </w:r>
      <w:r w:rsidR="00DC6822">
        <w:rPr>
          <w:rFonts w:cs="Arial"/>
          <w:sz w:val="22"/>
          <w:szCs w:val="22"/>
        </w:rPr>
        <w:t xml:space="preserve">zjištěny </w:t>
      </w:r>
      <w:r w:rsidR="001201D4">
        <w:rPr>
          <w:rFonts w:cs="Arial"/>
          <w:sz w:val="22"/>
          <w:szCs w:val="22"/>
        </w:rPr>
        <w:t>zejména nedostat</w:t>
      </w:r>
      <w:r>
        <w:rPr>
          <w:rFonts w:cs="Arial"/>
          <w:sz w:val="22"/>
          <w:szCs w:val="22"/>
        </w:rPr>
        <w:t xml:space="preserve">ky v zadávání veřejných zakázek a </w:t>
      </w:r>
      <w:r w:rsidR="00DC6822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dodržování předpokládaných</w:t>
      </w:r>
      <w:r w:rsidR="001201D4">
        <w:rPr>
          <w:rFonts w:cs="Arial"/>
          <w:sz w:val="22"/>
          <w:szCs w:val="22"/>
        </w:rPr>
        <w:t xml:space="preserve"> termínů přípravy a realizace akcí</w:t>
      </w:r>
      <w:r>
        <w:rPr>
          <w:rFonts w:cs="Arial"/>
          <w:sz w:val="22"/>
          <w:szCs w:val="22"/>
        </w:rPr>
        <w:t xml:space="preserve">. </w:t>
      </w:r>
    </w:p>
    <w:p w:rsidR="0039112F" w:rsidRDefault="0039112F" w:rsidP="001201D4">
      <w:pPr>
        <w:jc w:val="both"/>
        <w:rPr>
          <w:rFonts w:cs="Arial"/>
          <w:sz w:val="22"/>
          <w:szCs w:val="22"/>
        </w:rPr>
      </w:pPr>
    </w:p>
    <w:p w:rsidR="001201D4" w:rsidRDefault="002B27FB" w:rsidP="001201D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Zjištěna byla</w:t>
      </w:r>
      <w:r w:rsidR="0039112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 řada</w:t>
      </w:r>
      <w:r w:rsidR="001201D4">
        <w:rPr>
          <w:rFonts w:cs="Arial"/>
          <w:sz w:val="22"/>
          <w:szCs w:val="22"/>
        </w:rPr>
        <w:t xml:space="preserve"> případů</w:t>
      </w:r>
      <w:r w:rsidR="0039112F">
        <w:rPr>
          <w:rFonts w:cs="Arial"/>
          <w:sz w:val="22"/>
          <w:szCs w:val="22"/>
        </w:rPr>
        <w:t xml:space="preserve"> </w:t>
      </w:r>
      <w:r w:rsidR="0039112F" w:rsidRPr="002B27FB">
        <w:rPr>
          <w:rFonts w:cs="Arial"/>
          <w:b/>
          <w:sz w:val="22"/>
          <w:szCs w:val="22"/>
        </w:rPr>
        <w:t>nedodržení stanovených</w:t>
      </w:r>
      <w:r w:rsidR="001201D4" w:rsidRPr="002B27FB">
        <w:rPr>
          <w:rFonts w:cs="Arial"/>
          <w:b/>
          <w:sz w:val="22"/>
          <w:szCs w:val="22"/>
        </w:rPr>
        <w:t xml:space="preserve"> podmín</w:t>
      </w:r>
      <w:r w:rsidR="0039112F" w:rsidRPr="002B27FB">
        <w:rPr>
          <w:rFonts w:cs="Arial"/>
          <w:b/>
          <w:sz w:val="22"/>
          <w:szCs w:val="22"/>
        </w:rPr>
        <w:t>e</w:t>
      </w:r>
      <w:r w:rsidR="001201D4" w:rsidRPr="002B27FB">
        <w:rPr>
          <w:rFonts w:cs="Arial"/>
          <w:b/>
          <w:sz w:val="22"/>
          <w:szCs w:val="22"/>
        </w:rPr>
        <w:t xml:space="preserve">k pro čerpání </w:t>
      </w:r>
      <w:r w:rsidR="0039112F" w:rsidRPr="002B27FB">
        <w:rPr>
          <w:rFonts w:cs="Arial"/>
          <w:b/>
          <w:sz w:val="22"/>
          <w:szCs w:val="22"/>
        </w:rPr>
        <w:t>prostředků</w:t>
      </w:r>
      <w:r w:rsidR="001201D4" w:rsidRPr="002B27FB">
        <w:rPr>
          <w:rFonts w:cs="Arial"/>
          <w:b/>
          <w:sz w:val="22"/>
          <w:szCs w:val="22"/>
        </w:rPr>
        <w:t xml:space="preserve"> státního rozpočtu, přičemž </w:t>
      </w:r>
      <w:r w:rsidR="0039112F" w:rsidRPr="002B27FB">
        <w:rPr>
          <w:rFonts w:cs="Arial"/>
          <w:b/>
          <w:sz w:val="22"/>
          <w:szCs w:val="22"/>
        </w:rPr>
        <w:t>většinou</w:t>
      </w:r>
      <w:r w:rsidR="001201D4" w:rsidRPr="002B27FB">
        <w:rPr>
          <w:rFonts w:cs="Arial"/>
          <w:b/>
          <w:sz w:val="22"/>
          <w:szCs w:val="22"/>
        </w:rPr>
        <w:t xml:space="preserve"> šlo o </w:t>
      </w:r>
      <w:r w:rsidR="0039112F" w:rsidRPr="002B27FB">
        <w:rPr>
          <w:rFonts w:cs="Arial"/>
          <w:b/>
          <w:sz w:val="22"/>
          <w:szCs w:val="22"/>
        </w:rPr>
        <w:t>nedodržení</w:t>
      </w:r>
      <w:r w:rsidR="001201D4" w:rsidRPr="002B27FB">
        <w:rPr>
          <w:rFonts w:cs="Arial"/>
          <w:b/>
          <w:sz w:val="22"/>
          <w:szCs w:val="22"/>
        </w:rPr>
        <w:t xml:space="preserve">, které nemělo žádný dopad na </w:t>
      </w:r>
      <w:r w:rsidR="0039112F" w:rsidRPr="002B27FB">
        <w:rPr>
          <w:rFonts w:cs="Arial"/>
          <w:b/>
          <w:sz w:val="22"/>
          <w:szCs w:val="22"/>
        </w:rPr>
        <w:t>užití</w:t>
      </w:r>
      <w:r w:rsidR="001201D4" w:rsidRPr="002B27FB">
        <w:rPr>
          <w:rFonts w:cs="Arial"/>
          <w:b/>
          <w:sz w:val="22"/>
          <w:szCs w:val="22"/>
        </w:rPr>
        <w:t xml:space="preserve"> prostředků</w:t>
      </w:r>
      <w:r w:rsidR="0039112F" w:rsidRPr="002B27FB">
        <w:rPr>
          <w:rFonts w:cs="Arial"/>
          <w:b/>
          <w:sz w:val="22"/>
          <w:szCs w:val="22"/>
        </w:rPr>
        <w:t xml:space="preserve"> státního rozpočtu</w:t>
      </w:r>
      <w:r w:rsidR="001201D4" w:rsidRPr="002B27FB">
        <w:rPr>
          <w:rFonts w:cs="Arial"/>
          <w:b/>
          <w:sz w:val="22"/>
          <w:szCs w:val="22"/>
        </w:rPr>
        <w:t xml:space="preserve"> a</w:t>
      </w:r>
      <w:r w:rsidR="00482EEC">
        <w:rPr>
          <w:rFonts w:cs="Arial"/>
          <w:b/>
          <w:sz w:val="22"/>
          <w:szCs w:val="22"/>
        </w:rPr>
        <w:t>ni na</w:t>
      </w:r>
      <w:r w:rsidR="001201D4" w:rsidRPr="002B27FB">
        <w:rPr>
          <w:rFonts w:cs="Arial"/>
          <w:b/>
          <w:sz w:val="22"/>
          <w:szCs w:val="22"/>
        </w:rPr>
        <w:t xml:space="preserve"> splnění cílů akce</w:t>
      </w:r>
      <w:r w:rsidR="001201D4" w:rsidRPr="005451E5">
        <w:rPr>
          <w:rFonts w:cs="Arial"/>
          <w:b/>
          <w:sz w:val="22"/>
          <w:szCs w:val="22"/>
        </w:rPr>
        <w:t>.</w:t>
      </w:r>
      <w:r w:rsidR="001201D4">
        <w:rPr>
          <w:rFonts w:cs="Arial"/>
          <w:sz w:val="22"/>
          <w:szCs w:val="22"/>
        </w:rPr>
        <w:t xml:space="preserve"> I tato </w:t>
      </w:r>
      <w:r w:rsidR="0039112F">
        <w:rPr>
          <w:rFonts w:cs="Arial"/>
          <w:sz w:val="22"/>
          <w:szCs w:val="22"/>
        </w:rPr>
        <w:t>nedodržení podmínek však</w:t>
      </w:r>
      <w:r w:rsidR="001201D4">
        <w:rPr>
          <w:rFonts w:cs="Arial"/>
          <w:sz w:val="22"/>
          <w:szCs w:val="22"/>
        </w:rPr>
        <w:t xml:space="preserve"> indikovala podle zákona č. 218/2000 Sb. porušení rozpočtové kázně, neboť MPSV </w:t>
      </w:r>
      <w:r w:rsidR="00482EEC">
        <w:rPr>
          <w:rFonts w:cs="Arial"/>
          <w:sz w:val="22"/>
          <w:szCs w:val="22"/>
        </w:rPr>
        <w:t xml:space="preserve">nevyužilo </w:t>
      </w:r>
      <w:r w:rsidR="001201D4">
        <w:rPr>
          <w:rFonts w:cs="Arial"/>
          <w:sz w:val="22"/>
          <w:szCs w:val="22"/>
        </w:rPr>
        <w:t>dostatečně možnosti dané uvedeným zákonem a nevymezilo podmínky, které lze považovat za méně závažné</w:t>
      </w:r>
      <w:r w:rsidR="001201D4" w:rsidRPr="006A7DC0">
        <w:rPr>
          <w:rFonts w:cs="Arial"/>
          <w:sz w:val="22"/>
          <w:szCs w:val="22"/>
        </w:rPr>
        <w:t xml:space="preserve"> </w:t>
      </w:r>
      <w:r w:rsidR="001201D4">
        <w:rPr>
          <w:rFonts w:cs="Arial"/>
          <w:sz w:val="22"/>
          <w:szCs w:val="22"/>
        </w:rPr>
        <w:t xml:space="preserve">nebo jejichž nesplnění jsou méně závažná. </w:t>
      </w:r>
    </w:p>
    <w:p w:rsidR="001201D4" w:rsidRDefault="001201D4" w:rsidP="001201D4">
      <w:pPr>
        <w:jc w:val="both"/>
        <w:rPr>
          <w:rFonts w:cs="Arial"/>
          <w:sz w:val="22"/>
          <w:szCs w:val="22"/>
        </w:rPr>
      </w:pPr>
    </w:p>
    <w:p w:rsidR="001201D4" w:rsidRPr="001201D4" w:rsidRDefault="001201D4" w:rsidP="001201D4">
      <w:pPr>
        <w:jc w:val="both"/>
        <w:rPr>
          <w:rFonts w:cs="Arial"/>
          <w:b/>
          <w:sz w:val="22"/>
          <w:szCs w:val="22"/>
        </w:rPr>
      </w:pPr>
      <w:r w:rsidRPr="001201D4">
        <w:rPr>
          <w:rFonts w:cs="Arial"/>
          <w:b/>
          <w:sz w:val="22"/>
          <w:szCs w:val="22"/>
        </w:rPr>
        <w:t>2. Vyhodnocení</w:t>
      </w:r>
    </w:p>
    <w:p w:rsidR="001201D4" w:rsidRDefault="001201D4" w:rsidP="001201D4">
      <w:pPr>
        <w:jc w:val="both"/>
        <w:rPr>
          <w:rFonts w:cs="Arial"/>
          <w:sz w:val="22"/>
          <w:szCs w:val="22"/>
        </w:rPr>
      </w:pPr>
    </w:p>
    <w:p w:rsidR="001201D4" w:rsidRDefault="001201D4" w:rsidP="001201D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Zjištění ukázala, že </w:t>
      </w:r>
      <w:r w:rsidRPr="00BB4BE7">
        <w:rPr>
          <w:rFonts w:cs="Arial"/>
          <w:b/>
          <w:sz w:val="22"/>
          <w:szCs w:val="22"/>
        </w:rPr>
        <w:t xml:space="preserve">MPSV potlačilo </w:t>
      </w:r>
      <w:r w:rsidR="0039112F" w:rsidRPr="00BB4BE7">
        <w:rPr>
          <w:rFonts w:cs="Arial"/>
          <w:b/>
          <w:sz w:val="22"/>
          <w:szCs w:val="22"/>
        </w:rPr>
        <w:t>základní princip</w:t>
      </w:r>
      <w:r w:rsidRPr="00BB4BE7">
        <w:rPr>
          <w:rFonts w:cs="Arial"/>
          <w:b/>
          <w:sz w:val="22"/>
          <w:szCs w:val="22"/>
        </w:rPr>
        <w:t xml:space="preserve"> systému financování programů vyplývající ze zákona č. 218/2000 Sb. a z vyhlášky č. 560/2006 Sb.</w:t>
      </w:r>
      <w:r>
        <w:rPr>
          <w:rFonts w:cs="Arial"/>
          <w:sz w:val="22"/>
          <w:szCs w:val="22"/>
        </w:rPr>
        <w:t xml:space="preserve"> Programy nebyly průkazným souborem věcných, časových a finančních podmínek pro realizaci akcí a pro objektivní hodnocení plnění stanovených cílů. Účinnost systému financování programů snižoval</w:t>
      </w:r>
      <w:r w:rsidR="00482EEC">
        <w:rPr>
          <w:rFonts w:cs="Arial"/>
          <w:sz w:val="22"/>
          <w:szCs w:val="22"/>
        </w:rPr>
        <w:t>o</w:t>
      </w:r>
      <w:r>
        <w:rPr>
          <w:rFonts w:cs="Arial"/>
          <w:sz w:val="22"/>
          <w:szCs w:val="22"/>
        </w:rPr>
        <w:t xml:space="preserve"> velk</w:t>
      </w:r>
      <w:r w:rsidR="00482EEC">
        <w:rPr>
          <w:rFonts w:cs="Arial"/>
          <w:sz w:val="22"/>
          <w:szCs w:val="22"/>
        </w:rPr>
        <w:t>é</w:t>
      </w:r>
      <w:r>
        <w:rPr>
          <w:rFonts w:cs="Arial"/>
          <w:sz w:val="22"/>
          <w:szCs w:val="22"/>
        </w:rPr>
        <w:t xml:space="preserve"> množství zásadních změn věcných, časových a finančních podmínek prováděných MPSV v průběhu realizace</w:t>
      </w:r>
      <w:r w:rsidRPr="00891402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programů. Změny přitom nebyly podloženy odpovídajícími </w:t>
      </w:r>
      <w:proofErr w:type="spellStart"/>
      <w:r>
        <w:rPr>
          <w:rFonts w:cs="Arial"/>
          <w:sz w:val="22"/>
          <w:szCs w:val="22"/>
        </w:rPr>
        <w:t>technicko-ekonomickými</w:t>
      </w:r>
      <w:proofErr w:type="spellEnd"/>
      <w:r>
        <w:rPr>
          <w:rFonts w:cs="Arial"/>
          <w:sz w:val="22"/>
          <w:szCs w:val="22"/>
        </w:rPr>
        <w:t xml:space="preserve"> zdůvodněními cílů a vyhodnoceními efektivnosti vložených prostředků. </w:t>
      </w:r>
      <w:r w:rsidR="003E5D05" w:rsidRPr="00BB4BE7">
        <w:rPr>
          <w:rFonts w:cs="Arial"/>
          <w:b/>
          <w:sz w:val="22"/>
          <w:szCs w:val="22"/>
        </w:rPr>
        <w:t>MPSV tak realizací</w:t>
      </w:r>
      <w:r w:rsidRPr="00BB4BE7">
        <w:rPr>
          <w:rFonts w:cs="Arial"/>
          <w:b/>
          <w:sz w:val="22"/>
          <w:szCs w:val="22"/>
        </w:rPr>
        <w:t xml:space="preserve"> programů </w:t>
      </w:r>
      <w:r w:rsidR="003E5D05" w:rsidRPr="00BB4BE7">
        <w:rPr>
          <w:rFonts w:cs="Arial"/>
          <w:b/>
          <w:sz w:val="22"/>
          <w:szCs w:val="22"/>
        </w:rPr>
        <w:t>n</w:t>
      </w:r>
      <w:r w:rsidRPr="00BB4BE7">
        <w:rPr>
          <w:rFonts w:cs="Arial"/>
          <w:b/>
          <w:sz w:val="22"/>
          <w:szCs w:val="22"/>
        </w:rPr>
        <w:t>ezaji</w:t>
      </w:r>
      <w:r w:rsidR="003E5D05" w:rsidRPr="00BB4BE7">
        <w:rPr>
          <w:rFonts w:cs="Arial"/>
          <w:b/>
          <w:sz w:val="22"/>
          <w:szCs w:val="22"/>
        </w:rPr>
        <w:t>šťovalo</w:t>
      </w:r>
      <w:r w:rsidRPr="00BB4BE7">
        <w:rPr>
          <w:rFonts w:cs="Arial"/>
          <w:b/>
          <w:sz w:val="22"/>
          <w:szCs w:val="22"/>
        </w:rPr>
        <w:t xml:space="preserve"> zcela účelnou, hospodárnou a efektivní alokaci peněžních prostředků na pořizování a obnovu nemovitého majetku</w:t>
      </w:r>
      <w:r w:rsidRPr="005451E5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</w:p>
    <w:p w:rsidR="001201D4" w:rsidRDefault="001201D4" w:rsidP="001201D4">
      <w:pPr>
        <w:jc w:val="both"/>
        <w:rPr>
          <w:rFonts w:cs="Arial"/>
          <w:sz w:val="22"/>
          <w:szCs w:val="22"/>
        </w:rPr>
      </w:pPr>
    </w:p>
    <w:p w:rsidR="001201D4" w:rsidRDefault="001201D4" w:rsidP="001201D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Zásadním problémem byla </w:t>
      </w:r>
      <w:r w:rsidRPr="00BB4BE7">
        <w:rPr>
          <w:rFonts w:cs="Arial"/>
          <w:b/>
          <w:sz w:val="22"/>
          <w:szCs w:val="22"/>
        </w:rPr>
        <w:t>neexistence závazných koncepcí řešících potřeby pořizování a obnovy nemovitého majetku z dlouhodobého hlediska</w:t>
      </w:r>
      <w:r w:rsidRPr="005451E5">
        <w:rPr>
          <w:rFonts w:cs="Arial"/>
          <w:b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To vedlo </w:t>
      </w:r>
      <w:r w:rsidR="00150BC0">
        <w:rPr>
          <w:rFonts w:cs="Arial"/>
          <w:sz w:val="22"/>
          <w:szCs w:val="22"/>
        </w:rPr>
        <w:t xml:space="preserve">v průběhu realizace </w:t>
      </w:r>
      <w:r>
        <w:rPr>
          <w:rFonts w:cs="Arial"/>
          <w:sz w:val="22"/>
          <w:szCs w:val="22"/>
        </w:rPr>
        <w:t>progr</w:t>
      </w:r>
      <w:r w:rsidR="00150BC0">
        <w:rPr>
          <w:rFonts w:cs="Arial"/>
          <w:sz w:val="22"/>
          <w:szCs w:val="22"/>
        </w:rPr>
        <w:t>amů týkajících se ČSSZ a ÚP ČR</w:t>
      </w:r>
      <w:r w:rsidR="00150BC0" w:rsidRPr="00150BC0">
        <w:rPr>
          <w:rFonts w:cs="Arial"/>
          <w:sz w:val="22"/>
          <w:szCs w:val="22"/>
        </w:rPr>
        <w:t xml:space="preserve"> </w:t>
      </w:r>
      <w:r w:rsidR="00150BC0">
        <w:rPr>
          <w:rFonts w:cs="Arial"/>
          <w:sz w:val="22"/>
          <w:szCs w:val="22"/>
        </w:rPr>
        <w:t>k zásadním věcným změnám</w:t>
      </w:r>
      <w:r w:rsidR="00BB4BE7">
        <w:rPr>
          <w:rFonts w:cs="Arial"/>
          <w:sz w:val="22"/>
          <w:szCs w:val="22"/>
        </w:rPr>
        <w:t xml:space="preserve"> a následnému</w:t>
      </w:r>
      <w:r>
        <w:rPr>
          <w:rFonts w:cs="Arial"/>
          <w:sz w:val="22"/>
          <w:szCs w:val="22"/>
        </w:rPr>
        <w:t xml:space="preserve"> zastavování</w:t>
      </w:r>
      <w:r w:rsidR="00BB4BE7">
        <w:rPr>
          <w:rFonts w:cs="Arial"/>
          <w:sz w:val="22"/>
          <w:szCs w:val="22"/>
        </w:rPr>
        <w:t xml:space="preserve"> některých</w:t>
      </w:r>
      <w:r>
        <w:rPr>
          <w:rFonts w:cs="Arial"/>
          <w:sz w:val="22"/>
          <w:szCs w:val="22"/>
        </w:rPr>
        <w:t xml:space="preserve"> akcí, u kterých již byly vynaloženy peněžní prostředky na přípravu nebo i realizaci. Byl pořizován i nepotřebný nebo kapacitně nevyhovující </w:t>
      </w:r>
      <w:r w:rsidR="00DB639A">
        <w:rPr>
          <w:rFonts w:cs="Arial"/>
          <w:sz w:val="22"/>
          <w:szCs w:val="22"/>
        </w:rPr>
        <w:t xml:space="preserve">nemovitý </w:t>
      </w:r>
      <w:r>
        <w:rPr>
          <w:rFonts w:cs="Arial"/>
          <w:sz w:val="22"/>
          <w:szCs w:val="22"/>
        </w:rPr>
        <w:t>majetek, popř. bylo neúměrně zvyšováno riziko takového pořízení, jak naznačují zjištění týkající se například pořizovaných objektů školicích středisek ÚP</w:t>
      </w:r>
      <w:r w:rsidR="00DB639A">
        <w:rPr>
          <w:rFonts w:cs="Arial"/>
          <w:sz w:val="22"/>
          <w:szCs w:val="22"/>
        </w:rPr>
        <w:t> </w:t>
      </w:r>
      <w:r>
        <w:rPr>
          <w:rFonts w:cs="Arial"/>
          <w:sz w:val="22"/>
          <w:szCs w:val="22"/>
        </w:rPr>
        <w:t>ČR nebo nákupu jeho budovy v Praze 7.</w:t>
      </w:r>
    </w:p>
    <w:p w:rsidR="001201D4" w:rsidRDefault="001201D4" w:rsidP="001201D4">
      <w:pPr>
        <w:jc w:val="both"/>
        <w:rPr>
          <w:rFonts w:cs="Arial"/>
          <w:sz w:val="22"/>
          <w:szCs w:val="22"/>
        </w:rPr>
      </w:pPr>
    </w:p>
    <w:p w:rsidR="001201D4" w:rsidRDefault="001201D4" w:rsidP="001201D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Podle MPSV realizaci programů negativně ovlivnily redukce zdrojů financování vyplývající z úsporných opatření vlády v uplynulých letech. Významné nečerpání prostředků, které byly </w:t>
      </w:r>
      <w:r w:rsidR="009E06AF">
        <w:rPr>
          <w:rFonts w:cs="Arial"/>
          <w:sz w:val="22"/>
          <w:szCs w:val="22"/>
        </w:rPr>
        <w:t>v </w:t>
      </w:r>
      <w:r>
        <w:rPr>
          <w:rFonts w:cs="Arial"/>
          <w:sz w:val="22"/>
          <w:szCs w:val="22"/>
        </w:rPr>
        <w:t>rozpočtech schváleny v jednotlivých letech, a zjištění NKÚ však ukazují, že redukce finančních zdroj</w:t>
      </w:r>
      <w:r w:rsidR="00DB639A">
        <w:rPr>
          <w:rFonts w:cs="Arial"/>
          <w:sz w:val="22"/>
          <w:szCs w:val="22"/>
        </w:rPr>
        <w:t>ů</w:t>
      </w:r>
      <w:r>
        <w:rPr>
          <w:rFonts w:cs="Arial"/>
          <w:sz w:val="22"/>
          <w:szCs w:val="22"/>
        </w:rPr>
        <w:t xml:space="preserve"> nebyla rozhodujícím negativním vlivem. </w:t>
      </w:r>
    </w:p>
    <w:p w:rsidR="001201D4" w:rsidRDefault="001201D4" w:rsidP="001201D4">
      <w:pPr>
        <w:jc w:val="both"/>
        <w:rPr>
          <w:rFonts w:cs="Arial"/>
          <w:sz w:val="22"/>
          <w:szCs w:val="22"/>
        </w:rPr>
      </w:pPr>
    </w:p>
    <w:p w:rsidR="001201D4" w:rsidRDefault="001201D4" w:rsidP="0039112F">
      <w:pPr>
        <w:jc w:val="both"/>
        <w:rPr>
          <w:rFonts w:cs="Arial"/>
          <w:sz w:val="22"/>
          <w:szCs w:val="22"/>
        </w:rPr>
      </w:pPr>
      <w:r w:rsidRPr="00BB4BE7">
        <w:rPr>
          <w:rFonts w:cs="Arial"/>
          <w:b/>
          <w:sz w:val="22"/>
          <w:szCs w:val="22"/>
        </w:rPr>
        <w:t xml:space="preserve">Zjištění z kontrolní akce také ukázala, že </w:t>
      </w:r>
      <w:r w:rsidR="00DB639A">
        <w:rPr>
          <w:rFonts w:cs="Arial"/>
          <w:b/>
          <w:sz w:val="22"/>
          <w:szCs w:val="22"/>
        </w:rPr>
        <w:t>o</w:t>
      </w:r>
      <w:r w:rsidRPr="00BB4BE7">
        <w:rPr>
          <w:rFonts w:cs="Arial"/>
          <w:b/>
          <w:sz w:val="22"/>
          <w:szCs w:val="22"/>
        </w:rPr>
        <w:t>proti stavu, na který NKÚ poukázal v předchozí kontrolní akci č. 09/02, nedošlo k podstatnému zlepšení</w:t>
      </w:r>
      <w:r w:rsidRPr="005451E5">
        <w:rPr>
          <w:rFonts w:cs="Arial"/>
          <w:b/>
          <w:sz w:val="22"/>
          <w:szCs w:val="22"/>
        </w:rPr>
        <w:t xml:space="preserve">. </w:t>
      </w:r>
    </w:p>
    <w:p w:rsidR="001201D4" w:rsidRDefault="001201D4" w:rsidP="001201D4">
      <w:pPr>
        <w:rPr>
          <w:rFonts w:cs="Arial"/>
          <w:sz w:val="22"/>
          <w:szCs w:val="22"/>
        </w:rPr>
      </w:pPr>
    </w:p>
    <w:p w:rsidR="001201D4" w:rsidRPr="001201D4" w:rsidRDefault="001201D4" w:rsidP="001201D4">
      <w:pPr>
        <w:jc w:val="both"/>
        <w:rPr>
          <w:rFonts w:cs="Arial"/>
          <w:sz w:val="22"/>
          <w:szCs w:val="22"/>
        </w:rPr>
      </w:pPr>
      <w:r w:rsidRPr="001201D4">
        <w:rPr>
          <w:rFonts w:cs="Arial"/>
          <w:b/>
          <w:sz w:val="22"/>
          <w:szCs w:val="22"/>
        </w:rPr>
        <w:t>3. Doporučení</w:t>
      </w:r>
    </w:p>
    <w:p w:rsidR="001201D4" w:rsidRPr="001201D4" w:rsidRDefault="001201D4" w:rsidP="001201D4"/>
    <w:p w:rsidR="001201D4" w:rsidRPr="001201D4" w:rsidRDefault="00150BC0" w:rsidP="001201D4">
      <w:pPr>
        <w:rPr>
          <w:sz w:val="22"/>
          <w:szCs w:val="22"/>
        </w:rPr>
      </w:pPr>
      <w:r>
        <w:rPr>
          <w:sz w:val="22"/>
          <w:szCs w:val="22"/>
        </w:rPr>
        <w:t>NKÚ doporučuje přijmout</w:t>
      </w:r>
      <w:r w:rsidR="001201D4" w:rsidRPr="001201D4">
        <w:rPr>
          <w:sz w:val="22"/>
          <w:szCs w:val="22"/>
        </w:rPr>
        <w:t xml:space="preserve"> opatření k odstranění nedostatků</w:t>
      </w:r>
      <w:r w:rsidR="00BB4BE7">
        <w:rPr>
          <w:sz w:val="22"/>
          <w:szCs w:val="22"/>
        </w:rPr>
        <w:t xml:space="preserve"> především</w:t>
      </w:r>
      <w:r w:rsidR="001201D4" w:rsidRPr="001201D4">
        <w:rPr>
          <w:sz w:val="22"/>
          <w:szCs w:val="22"/>
        </w:rPr>
        <w:t xml:space="preserve"> v těchto směrech:</w:t>
      </w:r>
    </w:p>
    <w:p w:rsidR="001201D4" w:rsidRPr="001201D4" w:rsidRDefault="001201D4" w:rsidP="005451E5">
      <w:pPr>
        <w:ind w:left="284" w:hanging="284"/>
        <w:jc w:val="both"/>
        <w:rPr>
          <w:sz w:val="22"/>
          <w:szCs w:val="22"/>
        </w:rPr>
      </w:pPr>
      <w:r w:rsidRPr="001201D4">
        <w:rPr>
          <w:sz w:val="22"/>
          <w:szCs w:val="22"/>
        </w:rPr>
        <w:t>-</w:t>
      </w:r>
      <w:r w:rsidRPr="001201D4">
        <w:rPr>
          <w:sz w:val="22"/>
          <w:szCs w:val="22"/>
        </w:rPr>
        <w:tab/>
        <w:t>Zabezpečit, aby části dokumentací programů, týkající se pořizování a obnovy nemovitého majetku</w:t>
      </w:r>
      <w:r w:rsidR="00980B14">
        <w:rPr>
          <w:sz w:val="22"/>
          <w:szCs w:val="22"/>
        </w:rPr>
        <w:t>,</w:t>
      </w:r>
      <w:r w:rsidRPr="001201D4">
        <w:rPr>
          <w:sz w:val="22"/>
          <w:szCs w:val="22"/>
        </w:rPr>
        <w:t xml:space="preserve"> vycházely ze závazných koncepčních materiálů.</w:t>
      </w:r>
    </w:p>
    <w:p w:rsidR="001201D4" w:rsidRPr="001201D4" w:rsidRDefault="001201D4" w:rsidP="00EA285C">
      <w:pPr>
        <w:ind w:left="284" w:hanging="284"/>
        <w:jc w:val="both"/>
        <w:rPr>
          <w:sz w:val="22"/>
          <w:szCs w:val="22"/>
        </w:rPr>
      </w:pPr>
      <w:r w:rsidRPr="001201D4">
        <w:rPr>
          <w:sz w:val="22"/>
          <w:szCs w:val="22"/>
        </w:rPr>
        <w:t>-</w:t>
      </w:r>
      <w:r w:rsidRPr="001201D4">
        <w:rPr>
          <w:sz w:val="22"/>
          <w:szCs w:val="22"/>
        </w:rPr>
        <w:tab/>
        <w:t>V případě změn v průběhu realizace programů, zejména finančních podmínek, provádět neprodleně navazující změny cílů, jejich indikátorů a dalších podmínek tak, aby programy byly objektivním a průkazným souborem věcných, časových a finančních podmínek pro realizaci akcí a řádné hodnocení plnění stanovených cílů.</w:t>
      </w:r>
    </w:p>
    <w:p w:rsidR="001201D4" w:rsidRPr="001201D4" w:rsidRDefault="001201D4" w:rsidP="00EA285C">
      <w:pPr>
        <w:ind w:left="284" w:hanging="284"/>
        <w:jc w:val="both"/>
        <w:rPr>
          <w:sz w:val="22"/>
          <w:szCs w:val="22"/>
        </w:rPr>
      </w:pPr>
      <w:r w:rsidRPr="001201D4">
        <w:rPr>
          <w:sz w:val="22"/>
          <w:szCs w:val="22"/>
        </w:rPr>
        <w:t>-</w:t>
      </w:r>
      <w:r w:rsidRPr="001201D4">
        <w:rPr>
          <w:sz w:val="22"/>
          <w:szCs w:val="22"/>
        </w:rPr>
        <w:tab/>
        <w:t>Stanovit indikátory tak, aby byly objektivními a průkaznými ukazateli plnění stanovených cílů.</w:t>
      </w:r>
    </w:p>
    <w:p w:rsidR="00CD0C75" w:rsidRDefault="001201D4" w:rsidP="00EA285C">
      <w:pPr>
        <w:ind w:left="284" w:hanging="284"/>
        <w:jc w:val="both"/>
        <w:rPr>
          <w:rFonts w:cs="Arial"/>
          <w:sz w:val="22"/>
          <w:szCs w:val="22"/>
        </w:rPr>
      </w:pPr>
      <w:r w:rsidRPr="001201D4">
        <w:rPr>
          <w:sz w:val="22"/>
          <w:szCs w:val="22"/>
        </w:rPr>
        <w:t>-</w:t>
      </w:r>
      <w:r w:rsidRPr="001201D4">
        <w:rPr>
          <w:sz w:val="22"/>
          <w:szCs w:val="22"/>
        </w:rPr>
        <w:tab/>
        <w:t>Při stanov</w:t>
      </w:r>
      <w:r w:rsidR="00DB639A">
        <w:rPr>
          <w:sz w:val="22"/>
          <w:szCs w:val="22"/>
        </w:rPr>
        <w:t>ování</w:t>
      </w:r>
      <w:r w:rsidRPr="001201D4">
        <w:rPr>
          <w:sz w:val="22"/>
          <w:szCs w:val="22"/>
        </w:rPr>
        <w:t xml:space="preserve"> podmínek pro čerpání prostředků z</w:t>
      </w:r>
      <w:r w:rsidR="00150BC0">
        <w:rPr>
          <w:sz w:val="22"/>
          <w:szCs w:val="22"/>
        </w:rPr>
        <w:t> </w:t>
      </w:r>
      <w:r w:rsidRPr="001201D4">
        <w:rPr>
          <w:sz w:val="22"/>
          <w:szCs w:val="22"/>
        </w:rPr>
        <w:t>programů</w:t>
      </w:r>
      <w:r w:rsidR="00150BC0">
        <w:rPr>
          <w:sz w:val="22"/>
          <w:szCs w:val="22"/>
        </w:rPr>
        <w:t xml:space="preserve"> více</w:t>
      </w:r>
      <w:r w:rsidRPr="001201D4">
        <w:rPr>
          <w:sz w:val="22"/>
          <w:szCs w:val="22"/>
        </w:rPr>
        <w:t xml:space="preserve"> zohledňovat </w:t>
      </w:r>
      <w:r w:rsidR="00DB639A">
        <w:rPr>
          <w:sz w:val="22"/>
          <w:szCs w:val="22"/>
        </w:rPr>
        <w:t xml:space="preserve">– </w:t>
      </w:r>
      <w:r w:rsidRPr="001201D4">
        <w:rPr>
          <w:sz w:val="22"/>
          <w:szCs w:val="22"/>
        </w:rPr>
        <w:t>ve vztahu k porušení rozpočtové kázně podle zákona č. 218/2000 Sb.</w:t>
      </w:r>
      <w:r w:rsidR="00BF2A0B">
        <w:rPr>
          <w:sz w:val="22"/>
          <w:szCs w:val="22"/>
        </w:rPr>
        <w:t xml:space="preserve">, </w:t>
      </w:r>
      <w:r w:rsidR="00DB639A">
        <w:rPr>
          <w:sz w:val="22"/>
          <w:szCs w:val="22"/>
        </w:rPr>
        <w:t>jaké budou při nedodržení těchto podmínek</w:t>
      </w:r>
      <w:r w:rsidRPr="001201D4">
        <w:rPr>
          <w:sz w:val="22"/>
          <w:szCs w:val="22"/>
        </w:rPr>
        <w:t xml:space="preserve"> dopady na užití prostředků státního rozpočtu a splnění cílů akce.</w:t>
      </w:r>
    </w:p>
    <w:p w:rsidR="000B64CD" w:rsidRDefault="000B64CD" w:rsidP="000B64CD">
      <w:pPr>
        <w:jc w:val="both"/>
        <w:rPr>
          <w:rFonts w:cs="Arial"/>
          <w:sz w:val="22"/>
          <w:szCs w:val="22"/>
        </w:rPr>
      </w:pPr>
    </w:p>
    <w:p w:rsidR="008E3956" w:rsidRDefault="008E395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8E3956" w:rsidRPr="008E3956" w:rsidRDefault="008E3956" w:rsidP="008E3956">
      <w:pPr>
        <w:contextualSpacing/>
        <w:jc w:val="right"/>
        <w:rPr>
          <w:rFonts w:cs="Arial"/>
          <w:sz w:val="22"/>
          <w:szCs w:val="22"/>
        </w:rPr>
      </w:pPr>
      <w:r w:rsidRPr="008E3956">
        <w:rPr>
          <w:rFonts w:cs="Arial"/>
          <w:sz w:val="22"/>
          <w:szCs w:val="22"/>
        </w:rPr>
        <w:lastRenderedPageBreak/>
        <w:t>Příloha č. 1</w:t>
      </w:r>
    </w:p>
    <w:p w:rsidR="008E3956" w:rsidRPr="008E3956" w:rsidRDefault="008E3956" w:rsidP="008E3956">
      <w:pPr>
        <w:contextualSpacing/>
        <w:jc w:val="center"/>
        <w:rPr>
          <w:rFonts w:cs="Arial"/>
          <w:b/>
          <w:sz w:val="22"/>
          <w:szCs w:val="22"/>
        </w:rPr>
      </w:pPr>
    </w:p>
    <w:p w:rsidR="008E3956" w:rsidRPr="008E3956" w:rsidRDefault="008E3956" w:rsidP="008E3956">
      <w:pPr>
        <w:contextualSpacing/>
        <w:jc w:val="center"/>
        <w:rPr>
          <w:rFonts w:cs="Arial"/>
          <w:b/>
          <w:sz w:val="22"/>
          <w:szCs w:val="22"/>
        </w:rPr>
      </w:pPr>
    </w:p>
    <w:p w:rsidR="008E3956" w:rsidRPr="008E3956" w:rsidRDefault="008E3956" w:rsidP="008E3956">
      <w:pPr>
        <w:contextualSpacing/>
        <w:jc w:val="center"/>
        <w:rPr>
          <w:rFonts w:cs="Arial"/>
          <w:b/>
          <w:sz w:val="22"/>
          <w:szCs w:val="22"/>
        </w:rPr>
      </w:pPr>
      <w:r w:rsidRPr="008E3956">
        <w:rPr>
          <w:rFonts w:cs="Arial"/>
          <w:b/>
          <w:sz w:val="22"/>
          <w:szCs w:val="22"/>
        </w:rPr>
        <w:t>Přehled kontrolovaných akcí</w:t>
      </w:r>
    </w:p>
    <w:p w:rsidR="008E3956" w:rsidRPr="008E3956" w:rsidRDefault="008E3956" w:rsidP="008E3956">
      <w:pPr>
        <w:contextualSpacing/>
        <w:jc w:val="center"/>
        <w:rPr>
          <w:rFonts w:cs="Arial"/>
          <w:sz w:val="22"/>
          <w:szCs w:val="22"/>
        </w:rPr>
      </w:pPr>
    </w:p>
    <w:p w:rsidR="008E3956" w:rsidRPr="008E3956" w:rsidRDefault="008E3956" w:rsidP="008E3956">
      <w:pPr>
        <w:contextualSpacing/>
        <w:jc w:val="center"/>
        <w:rPr>
          <w:rFonts w:cs="Arial"/>
          <w:sz w:val="22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  <w:gridCol w:w="1275"/>
        <w:gridCol w:w="1276"/>
      </w:tblGrid>
      <w:tr w:rsidR="008E3956" w:rsidRPr="008E3956" w:rsidTr="00C12AAB">
        <w:trPr>
          <w:trHeight w:val="520"/>
        </w:trPr>
        <w:tc>
          <w:tcPr>
            <w:tcW w:w="6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Akce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Ukončení realizace</w:t>
            </w:r>
          </w:p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(rok)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b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Celkové náklady</w:t>
            </w:r>
          </w:p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(</w:t>
            </w:r>
            <w:r w:rsidR="00FF4889">
              <w:rPr>
                <w:rFonts w:cs="Arial"/>
                <w:sz w:val="22"/>
                <w:szCs w:val="22"/>
              </w:rPr>
              <w:t>v </w:t>
            </w:r>
            <w:r w:rsidRPr="008E3956">
              <w:rPr>
                <w:rFonts w:cs="Arial"/>
                <w:sz w:val="22"/>
                <w:szCs w:val="22"/>
              </w:rPr>
              <w:t>mil. Kč)</w:t>
            </w:r>
          </w:p>
        </w:tc>
      </w:tr>
      <w:tr w:rsidR="008E3956" w:rsidRPr="008E3956" w:rsidTr="00C12AAB">
        <w:trPr>
          <w:trHeight w:val="340"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Program č. 113 210 – podprogram č. 113 212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1. ČSSZ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výstavba administrativní budovy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86,6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2. ČSSZ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dovybavení nové budovy ČSSZ archiv. </w:t>
            </w:r>
            <w:proofErr w:type="gramStart"/>
            <w:r w:rsidRPr="008E3956">
              <w:rPr>
                <w:rFonts w:cs="Arial"/>
                <w:sz w:val="22"/>
                <w:szCs w:val="22"/>
              </w:rPr>
              <w:t>systémy</w:t>
            </w:r>
            <w:proofErr w:type="gramEnd"/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79,7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  <w:vertAlign w:val="superscript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3.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KSSZ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 xml:space="preserve"> Jihlava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výstavba objektu</w:t>
            </w:r>
            <w:r w:rsidRPr="00BF2A0B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2009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  <w:vertAlign w:val="superscript"/>
              </w:rPr>
            </w:pPr>
            <w:r w:rsidRPr="008E3956">
              <w:rPr>
                <w:rFonts w:cs="Arial"/>
                <w:sz w:val="22"/>
                <w:szCs w:val="22"/>
              </w:rPr>
              <w:t>153,6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4. OSSZ Opava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administrativní budova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99,9</w:t>
            </w:r>
          </w:p>
        </w:tc>
      </w:tr>
      <w:tr w:rsidR="008E3956" w:rsidRPr="008E3956" w:rsidTr="00C12AAB">
        <w:trPr>
          <w:trHeight w:val="340"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 xml:space="preserve">Program č. 113 220 – podprogram č. </w:t>
            </w:r>
            <w:proofErr w:type="spellStart"/>
            <w:r w:rsidRPr="008E3956">
              <w:rPr>
                <w:rFonts w:cs="Arial"/>
                <w:b/>
                <w:sz w:val="22"/>
                <w:szCs w:val="22"/>
              </w:rPr>
              <w:t>113V222</w:t>
            </w:r>
            <w:proofErr w:type="spellEnd"/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5. OSSZ, ÚP a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SÚIP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 xml:space="preserve"> Jeseník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výstavba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admin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 xml:space="preserve">. </w:t>
            </w:r>
            <w:proofErr w:type="gramStart"/>
            <w:r w:rsidRPr="008E3956">
              <w:rPr>
                <w:rFonts w:cs="Arial"/>
                <w:sz w:val="22"/>
                <w:szCs w:val="22"/>
              </w:rPr>
              <w:t>budovy</w:t>
            </w:r>
            <w:proofErr w:type="gramEnd"/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  <w:vertAlign w:val="superscript"/>
              </w:rPr>
            </w:pPr>
            <w:r w:rsidRPr="008E3956">
              <w:rPr>
                <w:rFonts w:cs="Arial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137,8</w:t>
            </w:r>
          </w:p>
        </w:tc>
      </w:tr>
      <w:tr w:rsidR="008E3956" w:rsidRPr="008E3956" w:rsidTr="00C12AAB">
        <w:trPr>
          <w:trHeight w:val="340"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Program č. 113 030 – podprogram č. 113 032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6. ÚP Mělník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rek.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administr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>. budovy, Nová č. p. 2571, Mělník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2009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56,2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7. ÚP Znojmo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rek. </w:t>
            </w:r>
            <w:proofErr w:type="spellStart"/>
            <w:proofErr w:type="gramStart"/>
            <w:r w:rsidRPr="008E3956">
              <w:rPr>
                <w:rFonts w:cs="Arial"/>
                <w:sz w:val="22"/>
                <w:szCs w:val="22"/>
              </w:rPr>
              <w:t>obj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>.</w:t>
            </w:r>
            <w:proofErr w:type="gramEnd"/>
            <w:r w:rsidRPr="008E3956">
              <w:rPr>
                <w:rFonts w:cs="Arial"/>
                <w:sz w:val="22"/>
                <w:szCs w:val="22"/>
              </w:rPr>
              <w:t xml:space="preserve"> ÚP a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FÚ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 xml:space="preserve"> Znojmo, nám. Svobody 8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86,5</w:t>
            </w:r>
          </w:p>
        </w:tc>
      </w:tr>
      <w:tr w:rsidR="008E3956" w:rsidRPr="008E3956" w:rsidTr="00C12AAB">
        <w:trPr>
          <w:trHeight w:val="340"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 xml:space="preserve">Program č. 113 340 – podprogram č. 113 </w:t>
            </w:r>
            <w:proofErr w:type="spellStart"/>
            <w:r w:rsidRPr="008E3956">
              <w:rPr>
                <w:rFonts w:cs="Arial"/>
                <w:b/>
                <w:sz w:val="22"/>
                <w:szCs w:val="22"/>
              </w:rPr>
              <w:t>34D</w:t>
            </w:r>
            <w:proofErr w:type="spellEnd"/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8. ÚP ČR Karlovy Vary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výstavba nového sídla úřadu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78,4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284" w:hanging="284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9. ÚP ČR Pardubice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výstavba budovy a školicího střediska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2015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267,1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FF4889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10. </w:t>
            </w:r>
            <w:r w:rsidR="00FF4889">
              <w:rPr>
                <w:rFonts w:cs="Arial"/>
                <w:sz w:val="22"/>
                <w:szCs w:val="22"/>
              </w:rPr>
              <w:t>Ú</w:t>
            </w:r>
            <w:r w:rsidRPr="008E3956">
              <w:rPr>
                <w:rFonts w:cs="Arial"/>
                <w:sz w:val="22"/>
                <w:szCs w:val="22"/>
              </w:rPr>
              <w:t xml:space="preserve">P ČR Praha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nákup administrativní budovy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2014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329,0</w:t>
            </w:r>
          </w:p>
        </w:tc>
      </w:tr>
      <w:tr w:rsidR="008E3956" w:rsidRPr="008E3956" w:rsidTr="00C12AAB">
        <w:trPr>
          <w:trHeight w:val="340"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Program č. 113 310 – podprogram č. 113 313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11. Domov důchodců Ždírec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rekonstrukce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55,2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>12. Přístavba k domovu důchodců Ždírec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72,7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13. Domov pro seniory Valašská Bystřice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rekonstrukce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21,5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14.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ÚSP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 xml:space="preserve"> pro dospělé Zborovice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přístavba nové budovy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75,9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15.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ÚSP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 xml:space="preserve"> pro mládež Kvasice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rek. </w:t>
            </w:r>
            <w:proofErr w:type="gramStart"/>
            <w:r w:rsidRPr="008E3956">
              <w:rPr>
                <w:rFonts w:cs="Arial"/>
                <w:sz w:val="22"/>
                <w:szCs w:val="22"/>
              </w:rPr>
              <w:t>objektu</w:t>
            </w:r>
            <w:proofErr w:type="gramEnd"/>
            <w:r w:rsidRPr="008E3956">
              <w:rPr>
                <w:rFonts w:cs="Arial"/>
                <w:sz w:val="22"/>
                <w:szCs w:val="22"/>
              </w:rPr>
              <w:t xml:space="preserve"> a úpravy exteriéru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2009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31,8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16. Domov pro seniory Uherský Ostroh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8E3956">
              <w:rPr>
                <w:rFonts w:cs="Arial"/>
                <w:sz w:val="22"/>
                <w:szCs w:val="22"/>
              </w:rPr>
              <w:t>rek. a přístavba</w:t>
            </w:r>
            <w:proofErr w:type="gramEnd"/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2010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58,2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17. Domov Hortensie Frenštát p. </w:t>
            </w:r>
            <w:proofErr w:type="spellStart"/>
            <w:r w:rsidRPr="008E3956">
              <w:rPr>
                <w:rFonts w:cs="Arial"/>
                <w:sz w:val="22"/>
                <w:szCs w:val="22"/>
              </w:rPr>
              <w:t>Radh</w:t>
            </w:r>
            <w:proofErr w:type="spellEnd"/>
            <w:r w:rsidRPr="008E3956">
              <w:rPr>
                <w:rFonts w:cs="Arial"/>
                <w:sz w:val="22"/>
                <w:szCs w:val="22"/>
              </w:rPr>
              <w:t xml:space="preserve">.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</w:t>
            </w:r>
            <w:proofErr w:type="gramStart"/>
            <w:r w:rsidRPr="008E3956">
              <w:rPr>
                <w:rFonts w:cs="Arial"/>
                <w:sz w:val="22"/>
                <w:szCs w:val="22"/>
              </w:rPr>
              <w:t>rek. a nástavba</w:t>
            </w:r>
            <w:proofErr w:type="gramEnd"/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51,3</w:t>
            </w:r>
          </w:p>
        </w:tc>
      </w:tr>
      <w:tr w:rsidR="008E3956" w:rsidRPr="008E3956" w:rsidTr="00C12AAB">
        <w:trPr>
          <w:trHeight w:val="340"/>
        </w:trPr>
        <w:tc>
          <w:tcPr>
            <w:tcW w:w="91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Program č. 113 310 – podprogram č. 113 314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>18. Výstavba pavilonu domova důchodců ve Znojmě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154,1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19. Domov pro seniory Velké Meziříčí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novostavba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133,6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</w:tcBorders>
            <w:vAlign w:val="center"/>
          </w:tcPr>
          <w:p w:rsidR="008E3956" w:rsidRPr="008E3956" w:rsidRDefault="008E3956" w:rsidP="00DE221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20. </w:t>
            </w:r>
            <w:r w:rsidR="00DE221B">
              <w:rPr>
                <w:rFonts w:cs="Arial"/>
                <w:sz w:val="22"/>
                <w:szCs w:val="22"/>
              </w:rPr>
              <w:t xml:space="preserve">DS </w:t>
            </w:r>
            <w:r w:rsidRPr="008E3956">
              <w:rPr>
                <w:rFonts w:cs="Arial"/>
                <w:sz w:val="22"/>
                <w:szCs w:val="22"/>
              </w:rPr>
              <w:t>Stříbrné Terasy</w:t>
            </w:r>
            <w:r w:rsidR="00DE221B">
              <w:rPr>
                <w:rFonts w:cs="Arial"/>
                <w:sz w:val="22"/>
                <w:szCs w:val="22"/>
              </w:rPr>
              <w:t>,</w:t>
            </w:r>
            <w:r w:rsidRPr="008E3956">
              <w:rPr>
                <w:rFonts w:cs="Arial"/>
                <w:sz w:val="22"/>
                <w:szCs w:val="22"/>
              </w:rPr>
              <w:t xml:space="preserve"> Jihlava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rek. </w:t>
            </w:r>
            <w:proofErr w:type="gramStart"/>
            <w:r w:rsidRPr="008E3956">
              <w:rPr>
                <w:rFonts w:cs="Arial"/>
                <w:sz w:val="22"/>
                <w:szCs w:val="22"/>
              </w:rPr>
              <w:t>budovy</w:t>
            </w:r>
            <w:proofErr w:type="gramEnd"/>
            <w:r w:rsidRPr="008E3956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2013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111,5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E3956" w:rsidRPr="008E3956" w:rsidRDefault="008E3956" w:rsidP="00C12AAB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 xml:space="preserve">21. Domov pro seniory Valašská Bystřice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přístavba</w:t>
            </w:r>
          </w:p>
        </w:tc>
        <w:tc>
          <w:tcPr>
            <w:tcW w:w="1275" w:type="dxa"/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2011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23,0</w:t>
            </w:r>
          </w:p>
        </w:tc>
      </w:tr>
      <w:tr w:rsidR="008E3956" w:rsidRPr="008E3956" w:rsidTr="00C12AAB">
        <w:trPr>
          <w:trHeight w:val="340"/>
        </w:trPr>
        <w:tc>
          <w:tcPr>
            <w:tcW w:w="6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4E0DDC">
            <w:pPr>
              <w:ind w:left="142" w:hanging="142"/>
              <w:contextualSpacing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ab/>
              <w:t>22. Centrum pro seniory ZAHRADA</w:t>
            </w:r>
            <w:r w:rsidR="00FF4889">
              <w:rPr>
                <w:rFonts w:cs="Arial"/>
                <w:sz w:val="22"/>
                <w:szCs w:val="22"/>
              </w:rPr>
              <w:t>,</w:t>
            </w:r>
            <w:r w:rsidRPr="008E3956">
              <w:rPr>
                <w:rFonts w:cs="Arial"/>
                <w:sz w:val="22"/>
                <w:szCs w:val="22"/>
              </w:rPr>
              <w:t xml:space="preserve"> Bystřice p. H. </w:t>
            </w:r>
            <w:r w:rsidR="00FF4889">
              <w:rPr>
                <w:rFonts w:cs="Arial"/>
                <w:sz w:val="22"/>
                <w:szCs w:val="22"/>
              </w:rPr>
              <w:t>–</w:t>
            </w:r>
            <w:r w:rsidRPr="008E3956">
              <w:rPr>
                <w:rFonts w:cs="Arial"/>
                <w:sz w:val="22"/>
                <w:szCs w:val="22"/>
              </w:rPr>
              <w:t xml:space="preserve"> dostavba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center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2012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sz w:val="22"/>
                <w:szCs w:val="22"/>
              </w:rPr>
            </w:pPr>
            <w:r w:rsidRPr="008E3956">
              <w:rPr>
                <w:rFonts w:cs="Arial"/>
                <w:sz w:val="22"/>
                <w:szCs w:val="22"/>
              </w:rPr>
              <w:t>115,5</w:t>
            </w:r>
          </w:p>
        </w:tc>
      </w:tr>
      <w:tr w:rsidR="008E3956" w:rsidRPr="008E3956" w:rsidTr="00C12AAB">
        <w:trPr>
          <w:trHeight w:val="340"/>
        </w:trPr>
        <w:tc>
          <w:tcPr>
            <w:tcW w:w="79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rPr>
                <w:rFonts w:cs="Arial"/>
                <w:b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C e l k e m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3956" w:rsidRPr="008E3956" w:rsidRDefault="008E3956" w:rsidP="00C12AAB">
            <w:pPr>
              <w:contextualSpacing/>
              <w:jc w:val="right"/>
              <w:rPr>
                <w:rFonts w:cs="Arial"/>
                <w:b/>
                <w:sz w:val="22"/>
                <w:szCs w:val="22"/>
              </w:rPr>
            </w:pPr>
            <w:r w:rsidRPr="008E3956">
              <w:rPr>
                <w:rFonts w:cs="Arial"/>
                <w:b/>
                <w:sz w:val="22"/>
                <w:szCs w:val="22"/>
              </w:rPr>
              <w:t>2 279,1</w:t>
            </w:r>
          </w:p>
        </w:tc>
      </w:tr>
    </w:tbl>
    <w:p w:rsidR="008E3956" w:rsidRPr="008E3956" w:rsidRDefault="008E3956" w:rsidP="00DE221B">
      <w:pPr>
        <w:spacing w:before="120" w:after="120"/>
        <w:ind w:left="284" w:hanging="284"/>
        <w:rPr>
          <w:rFonts w:cs="Arial"/>
          <w:sz w:val="18"/>
          <w:szCs w:val="18"/>
        </w:rPr>
      </w:pPr>
      <w:r w:rsidRPr="00BF2A0B">
        <w:rPr>
          <w:rFonts w:cs="Arial"/>
          <w:sz w:val="20"/>
          <w:szCs w:val="20"/>
        </w:rPr>
        <w:t>*</w:t>
      </w:r>
      <w:r w:rsidR="00DE221B">
        <w:rPr>
          <w:rFonts w:cs="Arial"/>
          <w:sz w:val="20"/>
          <w:szCs w:val="20"/>
        </w:rPr>
        <w:tab/>
      </w:r>
      <w:r w:rsidRPr="008E3956">
        <w:rPr>
          <w:rFonts w:cs="Arial"/>
          <w:sz w:val="18"/>
          <w:szCs w:val="18"/>
        </w:rPr>
        <w:t>Akce byla v roce 2009 zastavena. Uhrazena byla pouze příprava akce s náklady ve výši 5,9 mil. Kč.</w:t>
      </w:r>
    </w:p>
    <w:p w:rsidR="008E3956" w:rsidRPr="008E3956" w:rsidRDefault="008E3956" w:rsidP="000B64CD">
      <w:pPr>
        <w:jc w:val="both"/>
        <w:rPr>
          <w:rFonts w:cs="Arial"/>
          <w:sz w:val="22"/>
          <w:szCs w:val="22"/>
        </w:rPr>
      </w:pPr>
      <w:bookmarkStart w:id="0" w:name="_GoBack"/>
      <w:bookmarkEnd w:id="0"/>
    </w:p>
    <w:sectPr w:rsidR="008E3956" w:rsidRPr="008E3956" w:rsidSect="005B5A51">
      <w:footerReference w:type="default" r:id="rId10"/>
      <w:headerReference w:type="first" r:id="rId11"/>
      <w:pgSz w:w="11907" w:h="16839" w:code="9"/>
      <w:pgMar w:top="1417" w:right="1417" w:bottom="1417" w:left="141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B14" w:rsidRDefault="00980B14">
      <w:r>
        <w:separator/>
      </w:r>
    </w:p>
  </w:endnote>
  <w:endnote w:type="continuationSeparator" w:id="0">
    <w:p w:rsidR="00980B14" w:rsidRDefault="0098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4" w:rsidRPr="009A12AE" w:rsidRDefault="00980B14" w:rsidP="009A12AE">
    <w:pPr>
      <w:pStyle w:val="Zpat"/>
      <w:jc w:val="center"/>
      <w:rPr>
        <w:rFonts w:cs="Arial"/>
        <w:sz w:val="22"/>
        <w:szCs w:val="22"/>
      </w:rPr>
    </w:pPr>
    <w:r w:rsidRPr="009A12AE">
      <w:rPr>
        <w:rFonts w:cs="Arial"/>
        <w:sz w:val="22"/>
        <w:szCs w:val="22"/>
      </w:rPr>
      <w:fldChar w:fldCharType="begin"/>
    </w:r>
    <w:r w:rsidRPr="009A12AE">
      <w:rPr>
        <w:rFonts w:cs="Arial"/>
        <w:sz w:val="22"/>
        <w:szCs w:val="22"/>
      </w:rPr>
      <w:instrText xml:space="preserve"> PAGE   \* MERGEFORMAT </w:instrText>
    </w:r>
    <w:r w:rsidRPr="009A12AE">
      <w:rPr>
        <w:rFonts w:cs="Arial"/>
        <w:sz w:val="22"/>
        <w:szCs w:val="22"/>
      </w:rPr>
      <w:fldChar w:fldCharType="separate"/>
    </w:r>
    <w:r w:rsidR="00DE221B">
      <w:rPr>
        <w:rFonts w:cs="Arial"/>
        <w:noProof/>
        <w:sz w:val="22"/>
        <w:szCs w:val="22"/>
      </w:rPr>
      <w:t>19</w:t>
    </w:r>
    <w:r w:rsidRPr="009A12AE">
      <w:rPr>
        <w:rFonts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B14" w:rsidRDefault="00980B14">
      <w:r>
        <w:separator/>
      </w:r>
    </w:p>
  </w:footnote>
  <w:footnote w:type="continuationSeparator" w:id="0">
    <w:p w:rsidR="00980B14" w:rsidRDefault="00980B14">
      <w:r>
        <w:continuationSeparator/>
      </w:r>
    </w:p>
  </w:footnote>
  <w:footnote w:id="1">
    <w:p w:rsidR="00980B14" w:rsidRPr="00C06EA9" w:rsidRDefault="00980B14" w:rsidP="00A4567B">
      <w:pPr>
        <w:pStyle w:val="Textpoznpodarou"/>
        <w:ind w:left="284" w:hanging="284"/>
        <w:jc w:val="both"/>
        <w:rPr>
          <w:sz w:val="18"/>
          <w:szCs w:val="18"/>
        </w:rPr>
      </w:pPr>
      <w:r w:rsidRPr="00EF19C0">
        <w:rPr>
          <w:rStyle w:val="Znakapoznpodarou"/>
          <w:sz w:val="18"/>
          <w:szCs w:val="18"/>
        </w:rPr>
        <w:footnoteRef/>
      </w:r>
      <w:r w:rsidRPr="00EF19C0">
        <w:rPr>
          <w:sz w:val="18"/>
          <w:szCs w:val="18"/>
        </w:rPr>
        <w:t xml:space="preserve"> </w:t>
      </w:r>
      <w:r w:rsidRPr="00EF19C0">
        <w:rPr>
          <w:sz w:val="18"/>
          <w:szCs w:val="18"/>
        </w:rPr>
        <w:tab/>
        <w:t xml:space="preserve">Zákon č. </w:t>
      </w:r>
      <w:r>
        <w:rPr>
          <w:sz w:val="18"/>
          <w:szCs w:val="18"/>
        </w:rPr>
        <w:t xml:space="preserve">218/2000 Sb., </w:t>
      </w:r>
      <w:r w:rsidRPr="0075110E">
        <w:rPr>
          <w:sz w:val="18"/>
          <w:szCs w:val="18"/>
        </w:rPr>
        <w:t>o rozpočtových pravidlech a o změně některých souvisejících zákonů (rozpočtová pravidla)</w:t>
      </w:r>
      <w:r w:rsidRPr="00C06EA9">
        <w:rPr>
          <w:sz w:val="18"/>
          <w:szCs w:val="18"/>
        </w:rPr>
        <w:t>.</w:t>
      </w:r>
    </w:p>
  </w:footnote>
  <w:footnote w:id="2">
    <w:p w:rsidR="00980B14" w:rsidRPr="00C06EA9" w:rsidRDefault="00980B14" w:rsidP="00A4567B">
      <w:pPr>
        <w:pStyle w:val="Textpoznpodarou"/>
        <w:ind w:left="284" w:hanging="284"/>
        <w:rPr>
          <w:sz w:val="18"/>
          <w:szCs w:val="18"/>
        </w:rPr>
      </w:pPr>
      <w:r w:rsidRPr="00C06EA9">
        <w:rPr>
          <w:rStyle w:val="Znakapoznpodarou"/>
          <w:sz w:val="18"/>
          <w:szCs w:val="18"/>
        </w:rPr>
        <w:footnoteRef/>
      </w:r>
      <w:r w:rsidRPr="00C06EA9">
        <w:rPr>
          <w:sz w:val="18"/>
          <w:szCs w:val="18"/>
        </w:rPr>
        <w:t xml:space="preserve"> </w:t>
      </w:r>
      <w:r w:rsidRPr="00C06EA9">
        <w:rPr>
          <w:sz w:val="18"/>
          <w:szCs w:val="18"/>
        </w:rPr>
        <w:tab/>
        <w:t xml:space="preserve">Vyhláška č. 560/2006 Sb., </w:t>
      </w:r>
      <w:r w:rsidRPr="0075110E">
        <w:rPr>
          <w:sz w:val="18"/>
          <w:szCs w:val="18"/>
        </w:rPr>
        <w:t>o účasti státního rozpočtu na financování programů reprodukce majetku</w:t>
      </w:r>
      <w:r w:rsidRPr="00C06EA9">
        <w:rPr>
          <w:sz w:val="18"/>
          <w:szCs w:val="18"/>
        </w:rPr>
        <w:t>.</w:t>
      </w:r>
    </w:p>
  </w:footnote>
  <w:footnote w:id="3">
    <w:p w:rsidR="00980B14" w:rsidRPr="005B5A51" w:rsidRDefault="00980B14" w:rsidP="00A72B43">
      <w:pPr>
        <w:pStyle w:val="Textpoznpodarou"/>
        <w:ind w:left="284" w:hanging="284"/>
        <w:jc w:val="both"/>
        <w:rPr>
          <w:sz w:val="18"/>
          <w:szCs w:val="18"/>
        </w:rPr>
      </w:pPr>
      <w:r w:rsidRPr="005B5A51">
        <w:rPr>
          <w:rStyle w:val="Znakapoznpodarou"/>
          <w:sz w:val="18"/>
          <w:szCs w:val="18"/>
        </w:rPr>
        <w:footnoteRef/>
      </w:r>
      <w:r w:rsidRPr="005B5A51">
        <w:rPr>
          <w:sz w:val="18"/>
          <w:szCs w:val="18"/>
        </w:rPr>
        <w:t xml:space="preserve"> </w:t>
      </w:r>
      <w:r w:rsidRPr="005B5A51">
        <w:rPr>
          <w:sz w:val="18"/>
          <w:szCs w:val="18"/>
        </w:rPr>
        <w:tab/>
      </w:r>
      <w:r>
        <w:rPr>
          <w:sz w:val="18"/>
          <w:szCs w:val="18"/>
        </w:rPr>
        <w:t>K</w:t>
      </w:r>
      <w:r w:rsidRPr="005B5A51">
        <w:rPr>
          <w:sz w:val="18"/>
          <w:szCs w:val="18"/>
        </w:rPr>
        <w:t>ontrolní závěr</w:t>
      </w:r>
      <w:r>
        <w:rPr>
          <w:sz w:val="18"/>
          <w:szCs w:val="18"/>
        </w:rPr>
        <w:t xml:space="preserve"> z k</w:t>
      </w:r>
      <w:r w:rsidRPr="005B5A51">
        <w:rPr>
          <w:sz w:val="18"/>
          <w:szCs w:val="18"/>
        </w:rPr>
        <w:t>ontrolní akce č. 0</w:t>
      </w:r>
      <w:r>
        <w:rPr>
          <w:sz w:val="18"/>
          <w:szCs w:val="18"/>
        </w:rPr>
        <w:t xml:space="preserve">9/02 – </w:t>
      </w:r>
      <w:r>
        <w:rPr>
          <w:i/>
          <w:sz w:val="18"/>
          <w:szCs w:val="18"/>
        </w:rPr>
        <w:t>Peněžní prostředky určené na financování vybraných programů v působnosti Ministerstva práce a sociálních věcí</w:t>
      </w:r>
      <w:r w:rsidRPr="005B5A51">
        <w:rPr>
          <w:sz w:val="18"/>
          <w:szCs w:val="18"/>
        </w:rPr>
        <w:t xml:space="preserve"> byl zveřejněn </w:t>
      </w:r>
      <w:r>
        <w:rPr>
          <w:sz w:val="18"/>
          <w:szCs w:val="18"/>
        </w:rPr>
        <w:t>v částce 4</w:t>
      </w:r>
      <w:r w:rsidRPr="005B5A51">
        <w:rPr>
          <w:sz w:val="18"/>
          <w:szCs w:val="18"/>
        </w:rPr>
        <w:t>/2009</w:t>
      </w:r>
      <w:r>
        <w:rPr>
          <w:sz w:val="18"/>
          <w:szCs w:val="18"/>
        </w:rPr>
        <w:t xml:space="preserve"> </w:t>
      </w:r>
      <w:r w:rsidRPr="005B5A51">
        <w:rPr>
          <w:i/>
          <w:sz w:val="18"/>
          <w:szCs w:val="18"/>
        </w:rPr>
        <w:t>Věstníku NK</w:t>
      </w:r>
      <w:r>
        <w:rPr>
          <w:i/>
          <w:sz w:val="18"/>
          <w:szCs w:val="18"/>
        </w:rPr>
        <w:t>Ú</w:t>
      </w:r>
      <w:r w:rsidRPr="005B5A51">
        <w:rPr>
          <w:sz w:val="18"/>
          <w:szCs w:val="18"/>
        </w:rPr>
        <w:t>.</w:t>
      </w:r>
      <w:r>
        <w:rPr>
          <w:sz w:val="18"/>
          <w:szCs w:val="18"/>
        </w:rPr>
        <w:t xml:space="preserve">   </w:t>
      </w:r>
    </w:p>
  </w:footnote>
  <w:footnote w:id="4">
    <w:p w:rsidR="00980B14" w:rsidRPr="00B50DA6" w:rsidRDefault="00980B14" w:rsidP="00E7280A">
      <w:pPr>
        <w:pStyle w:val="Textpoznpodarou"/>
        <w:ind w:left="284" w:hanging="284"/>
        <w:rPr>
          <w:sz w:val="18"/>
          <w:szCs w:val="18"/>
        </w:rPr>
      </w:pPr>
      <w:r w:rsidRPr="00E7280A">
        <w:rPr>
          <w:rStyle w:val="Znakapoznpodarou"/>
          <w:sz w:val="18"/>
          <w:szCs w:val="18"/>
        </w:rPr>
        <w:footnoteRef/>
      </w:r>
      <w:r w:rsidRPr="00E7280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Zákon č. 582/1991 Sb., </w:t>
      </w:r>
      <w:r w:rsidRPr="0075110E">
        <w:rPr>
          <w:sz w:val="18"/>
          <w:szCs w:val="18"/>
        </w:rPr>
        <w:t>o organizaci a provádění sociálního zabezpečení</w:t>
      </w:r>
      <w:r w:rsidRPr="00B50DA6">
        <w:rPr>
          <w:sz w:val="18"/>
          <w:szCs w:val="18"/>
        </w:rPr>
        <w:t>.</w:t>
      </w:r>
    </w:p>
  </w:footnote>
  <w:footnote w:id="5">
    <w:p w:rsidR="00980B14" w:rsidRPr="00DC1A48" w:rsidRDefault="00980B14" w:rsidP="00DC1A48">
      <w:pPr>
        <w:pStyle w:val="Textpoznpodarou"/>
        <w:ind w:left="284" w:hanging="284"/>
        <w:jc w:val="both"/>
        <w:rPr>
          <w:sz w:val="18"/>
          <w:szCs w:val="18"/>
        </w:rPr>
      </w:pPr>
      <w:r w:rsidRPr="00E26629">
        <w:rPr>
          <w:rStyle w:val="Znakapoznpodarou"/>
          <w:sz w:val="18"/>
          <w:szCs w:val="18"/>
        </w:rPr>
        <w:footnoteRef/>
      </w:r>
      <w:r w:rsidRPr="00E2662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Program č. 213 110 – </w:t>
      </w:r>
      <w:r>
        <w:rPr>
          <w:i/>
          <w:sz w:val="18"/>
          <w:szCs w:val="18"/>
        </w:rPr>
        <w:t xml:space="preserve">Rozvoj a obnova </w:t>
      </w:r>
      <w:r w:rsidRPr="00E26629">
        <w:rPr>
          <w:i/>
          <w:sz w:val="18"/>
          <w:szCs w:val="18"/>
        </w:rPr>
        <w:t>materiálně technické základny České správy sociálního zabezpečení</w:t>
      </w:r>
      <w:r w:rsidRPr="00DC1A48">
        <w:rPr>
          <w:sz w:val="18"/>
          <w:szCs w:val="18"/>
        </w:rPr>
        <w:t>,</w:t>
      </w:r>
      <w:r>
        <w:rPr>
          <w:i/>
          <w:sz w:val="18"/>
          <w:szCs w:val="18"/>
        </w:rPr>
        <w:t xml:space="preserve"> </w:t>
      </w:r>
      <w:r w:rsidRPr="00DC1A48">
        <w:rPr>
          <w:sz w:val="18"/>
          <w:szCs w:val="18"/>
        </w:rPr>
        <w:t>který byl realizován</w:t>
      </w:r>
      <w:r>
        <w:rPr>
          <w:sz w:val="18"/>
          <w:szCs w:val="18"/>
        </w:rPr>
        <w:t xml:space="preserve"> v </w:t>
      </w:r>
      <w:r w:rsidRPr="00DC1A48">
        <w:rPr>
          <w:sz w:val="18"/>
          <w:szCs w:val="18"/>
        </w:rPr>
        <w:t>letech 2003 až 2007.</w:t>
      </w:r>
      <w:r>
        <w:rPr>
          <w:sz w:val="18"/>
          <w:szCs w:val="18"/>
        </w:rPr>
        <w:t xml:space="preserve"> </w:t>
      </w:r>
    </w:p>
  </w:footnote>
  <w:footnote w:id="6">
    <w:p w:rsidR="00980B14" w:rsidRPr="00227C8C" w:rsidRDefault="00980B14" w:rsidP="006D3F98">
      <w:pPr>
        <w:pStyle w:val="Textpoznpodarou"/>
        <w:ind w:left="284" w:hanging="284"/>
        <w:jc w:val="both"/>
        <w:rPr>
          <w:sz w:val="18"/>
          <w:szCs w:val="18"/>
        </w:rPr>
      </w:pPr>
      <w:r w:rsidRPr="006D3F98">
        <w:rPr>
          <w:rStyle w:val="Znakapoznpodarou"/>
          <w:sz w:val="18"/>
          <w:szCs w:val="18"/>
        </w:rPr>
        <w:footnoteRef/>
      </w:r>
      <w:r w:rsidRPr="006D3F98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Zákon č. 137/2006 Sb</w:t>
      </w:r>
      <w:r w:rsidRPr="00DA79BA">
        <w:rPr>
          <w:sz w:val="18"/>
          <w:szCs w:val="18"/>
        </w:rPr>
        <w:t xml:space="preserve">., </w:t>
      </w:r>
      <w:r w:rsidRPr="0075110E">
        <w:rPr>
          <w:sz w:val="18"/>
          <w:szCs w:val="18"/>
        </w:rPr>
        <w:t>o veřejných zakázkách</w:t>
      </w:r>
      <w:r w:rsidRPr="00DA79BA">
        <w:rPr>
          <w:sz w:val="18"/>
          <w:szCs w:val="18"/>
        </w:rPr>
        <w:t>.</w:t>
      </w:r>
      <w:r>
        <w:rPr>
          <w:sz w:val="18"/>
          <w:szCs w:val="18"/>
        </w:rPr>
        <w:t xml:space="preserve"> </w:t>
      </w:r>
    </w:p>
  </w:footnote>
  <w:footnote w:id="7">
    <w:p w:rsidR="00980B14" w:rsidRPr="00655FCF" w:rsidRDefault="00980B14" w:rsidP="00086F0F">
      <w:pPr>
        <w:pStyle w:val="Textpoznpodarou"/>
        <w:ind w:left="284" w:hanging="284"/>
        <w:rPr>
          <w:sz w:val="18"/>
          <w:szCs w:val="18"/>
        </w:rPr>
      </w:pPr>
      <w:r w:rsidRPr="001E3FBA">
        <w:rPr>
          <w:rStyle w:val="Znakapoznpodarou"/>
          <w:sz w:val="18"/>
          <w:szCs w:val="18"/>
        </w:rPr>
        <w:footnoteRef/>
      </w:r>
      <w:r w:rsidRPr="001E3FBA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Zákon č. 73/2011 Sb</w:t>
      </w:r>
      <w:r w:rsidRPr="00655FCF">
        <w:rPr>
          <w:sz w:val="18"/>
          <w:szCs w:val="18"/>
        </w:rPr>
        <w:t xml:space="preserve">., </w:t>
      </w:r>
      <w:r w:rsidRPr="0075110E">
        <w:rPr>
          <w:sz w:val="18"/>
          <w:szCs w:val="18"/>
        </w:rPr>
        <w:t>o Úřadu práce České republiky a o změně souvisejících zákonů</w:t>
      </w:r>
      <w:r w:rsidRPr="00655FCF">
        <w:rPr>
          <w:sz w:val="18"/>
          <w:szCs w:val="18"/>
        </w:rPr>
        <w:t>.</w:t>
      </w:r>
    </w:p>
  </w:footnote>
  <w:footnote w:id="8">
    <w:p w:rsidR="00980B14" w:rsidRPr="00AF5E19" w:rsidRDefault="00980B14" w:rsidP="00AF5E19">
      <w:pPr>
        <w:pStyle w:val="Textpoznpodarou"/>
        <w:ind w:left="284" w:hanging="284"/>
        <w:jc w:val="both"/>
        <w:rPr>
          <w:sz w:val="18"/>
          <w:szCs w:val="18"/>
        </w:rPr>
      </w:pPr>
      <w:r w:rsidRPr="00AF5E19">
        <w:rPr>
          <w:rStyle w:val="Znakapoznpodarou"/>
          <w:sz w:val="18"/>
          <w:szCs w:val="18"/>
        </w:rPr>
        <w:footnoteRef/>
      </w:r>
      <w:r w:rsidRPr="00AF5E19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Usnesení vlády ze dne 6. listopadu 2013 č. 842, </w:t>
      </w:r>
      <w:r>
        <w:rPr>
          <w:i/>
          <w:sz w:val="18"/>
          <w:szCs w:val="18"/>
        </w:rPr>
        <w:t>o nákupu administrativního objektu v Praze 7, Dobrovského č. 1278/25 pro Úřad práce České republiky</w:t>
      </w:r>
      <w:r>
        <w:rPr>
          <w:sz w:val="18"/>
          <w:szCs w:val="18"/>
        </w:rPr>
        <w:t>.</w:t>
      </w:r>
    </w:p>
  </w:footnote>
  <w:footnote w:id="9">
    <w:p w:rsidR="00980B14" w:rsidRPr="008A54C6" w:rsidRDefault="00980B14" w:rsidP="00702787">
      <w:pPr>
        <w:pStyle w:val="Textpoznpodarou"/>
        <w:ind w:left="284" w:hanging="284"/>
        <w:jc w:val="both"/>
        <w:rPr>
          <w:sz w:val="18"/>
          <w:szCs w:val="18"/>
        </w:rPr>
      </w:pPr>
      <w:r w:rsidRPr="00702787">
        <w:rPr>
          <w:rStyle w:val="Znakapoznpodarou"/>
          <w:sz w:val="18"/>
          <w:szCs w:val="18"/>
        </w:rPr>
        <w:footnoteRef/>
      </w:r>
      <w:r w:rsidRPr="00702787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Zákon č. 178/2005 Sb., </w:t>
      </w:r>
      <w:r w:rsidRPr="005451E5">
        <w:rPr>
          <w:sz w:val="18"/>
          <w:szCs w:val="18"/>
        </w:rPr>
        <w:t>o zrušení Fondu národního majetku České republiky a o působnosti Ministerstva financí při privatizaci majetku České republiky (zákon o zrušení Fondu národního majetku)</w:t>
      </w:r>
      <w:r w:rsidRPr="008A54C6">
        <w:rPr>
          <w:sz w:val="18"/>
          <w:szCs w:val="18"/>
        </w:rPr>
        <w:t>.</w:t>
      </w:r>
    </w:p>
  </w:footnote>
  <w:footnote w:id="10">
    <w:p w:rsidR="00980B14" w:rsidRPr="00DE2501" w:rsidRDefault="00980B14" w:rsidP="004B41E4">
      <w:pPr>
        <w:pStyle w:val="Textpoznpodarou"/>
        <w:ind w:left="284" w:hanging="284"/>
        <w:rPr>
          <w:sz w:val="18"/>
          <w:szCs w:val="18"/>
        </w:rPr>
      </w:pPr>
      <w:r w:rsidRPr="00DE2501">
        <w:rPr>
          <w:rStyle w:val="Znakapoznpodarou"/>
          <w:sz w:val="18"/>
          <w:szCs w:val="18"/>
        </w:rPr>
        <w:footnoteRef/>
      </w:r>
      <w:r w:rsidRPr="00DE250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Zákon č. 108/2006 Sb</w:t>
      </w:r>
      <w:r w:rsidRPr="00E80D8E">
        <w:rPr>
          <w:sz w:val="18"/>
          <w:szCs w:val="18"/>
        </w:rPr>
        <w:t xml:space="preserve">., </w:t>
      </w:r>
      <w:r w:rsidRPr="005451E5">
        <w:rPr>
          <w:sz w:val="18"/>
          <w:szCs w:val="18"/>
        </w:rPr>
        <w:t>o sociálních službách</w:t>
      </w:r>
      <w:r w:rsidRPr="00E80D8E">
        <w:rPr>
          <w:sz w:val="18"/>
          <w:szCs w:val="18"/>
        </w:rPr>
        <w:t>.</w:t>
      </w:r>
    </w:p>
  </w:footnote>
  <w:footnote w:id="11">
    <w:p w:rsidR="00980B14" w:rsidRDefault="00980B14" w:rsidP="00980B14">
      <w:pPr>
        <w:pStyle w:val="Textpoznpodarou"/>
        <w:ind w:left="284" w:hanging="284"/>
      </w:pPr>
      <w:r>
        <w:rPr>
          <w:rStyle w:val="Znakapoznpodarou"/>
        </w:rPr>
        <w:footnoteRef/>
      </w:r>
      <w:r>
        <w:rPr>
          <w:sz w:val="18"/>
          <w:szCs w:val="18"/>
        </w:rPr>
        <w:tab/>
        <w:t xml:space="preserve">Závěrečná zpráva o řešení projektu </w:t>
      </w:r>
      <w:r>
        <w:rPr>
          <w:i/>
          <w:sz w:val="18"/>
          <w:szCs w:val="18"/>
        </w:rPr>
        <w:t>Analýza a prognóza potřeb poskytování sociálních služeb pro seniory a osoby se zdravotním postižením</w:t>
      </w:r>
      <w:r>
        <w:rPr>
          <w:sz w:val="18"/>
          <w:szCs w:val="18"/>
        </w:rPr>
        <w:t xml:space="preserve"> z roku 2009.</w:t>
      </w:r>
    </w:p>
  </w:footnote>
  <w:footnote w:id="12">
    <w:p w:rsidR="00980B14" w:rsidRPr="00A627FD" w:rsidRDefault="00980B14" w:rsidP="006C3D9B">
      <w:pPr>
        <w:pStyle w:val="Textpoznpodarou"/>
        <w:ind w:left="284" w:hanging="284"/>
        <w:jc w:val="both"/>
        <w:rPr>
          <w:i/>
          <w:sz w:val="18"/>
          <w:szCs w:val="18"/>
        </w:rPr>
      </w:pPr>
      <w:r w:rsidRPr="00A627FD">
        <w:rPr>
          <w:rStyle w:val="Znakapoznpodarou"/>
          <w:sz w:val="18"/>
          <w:szCs w:val="18"/>
        </w:rPr>
        <w:footnoteRef/>
      </w:r>
      <w:r w:rsidRPr="00A627FD"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 xml:space="preserve">Usnesení vlády ze dne 18. ledna 2010 č. 58, </w:t>
      </w:r>
      <w:r>
        <w:rPr>
          <w:i/>
          <w:sz w:val="18"/>
          <w:szCs w:val="18"/>
        </w:rPr>
        <w:t xml:space="preserve">ke Kontrolnímu závěru Nejvyššího kontrolního úřadu z kontrolní akce č. 09/02 Peněžní prostředky určené na financování vybraných programů v působnosti Ministerstva práce a sociálních věcí.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B14" w:rsidRDefault="00980B14" w:rsidP="008F7EF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12646"/>
    <w:multiLevelType w:val="hybridMultilevel"/>
    <w:tmpl w:val="1D0CB2D4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E23B1"/>
    <w:multiLevelType w:val="hybridMultilevel"/>
    <w:tmpl w:val="F66C19A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2E0770"/>
    <w:multiLevelType w:val="hybridMultilevel"/>
    <w:tmpl w:val="E738EBB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18432D"/>
    <w:multiLevelType w:val="hybridMultilevel"/>
    <w:tmpl w:val="8A62476E"/>
    <w:lvl w:ilvl="0" w:tplc="149C25E0">
      <w:start w:val="86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E731B7"/>
    <w:multiLevelType w:val="hybridMultilevel"/>
    <w:tmpl w:val="05EEDE6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5C74D3"/>
    <w:multiLevelType w:val="hybridMultilevel"/>
    <w:tmpl w:val="503EB9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C70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947176"/>
    <w:multiLevelType w:val="hybridMultilevel"/>
    <w:tmpl w:val="6D0836B2"/>
    <w:lvl w:ilvl="0" w:tplc="326CAC2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6740E1D"/>
    <w:multiLevelType w:val="hybridMultilevel"/>
    <w:tmpl w:val="3626978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342631"/>
    <w:multiLevelType w:val="hybridMultilevel"/>
    <w:tmpl w:val="C382EE62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5634D4"/>
    <w:multiLevelType w:val="hybridMultilevel"/>
    <w:tmpl w:val="C610C8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655B62"/>
    <w:multiLevelType w:val="hybridMultilevel"/>
    <w:tmpl w:val="0AD4EA34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5023E7"/>
    <w:multiLevelType w:val="hybridMultilevel"/>
    <w:tmpl w:val="2A28B4C0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AB4D70"/>
    <w:multiLevelType w:val="hybridMultilevel"/>
    <w:tmpl w:val="0DFE168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B65532"/>
    <w:multiLevelType w:val="hybridMultilevel"/>
    <w:tmpl w:val="641A913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628CB9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015C03"/>
    <w:multiLevelType w:val="hybridMultilevel"/>
    <w:tmpl w:val="794CEED4"/>
    <w:lvl w:ilvl="0" w:tplc="E71E0C04">
      <w:start w:val="213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35431729"/>
    <w:multiLevelType w:val="hybridMultilevel"/>
    <w:tmpl w:val="663A15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C37367"/>
    <w:multiLevelType w:val="hybridMultilevel"/>
    <w:tmpl w:val="2FA8A592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E330C0"/>
    <w:multiLevelType w:val="hybridMultilevel"/>
    <w:tmpl w:val="EDCC3EC0"/>
    <w:lvl w:ilvl="0" w:tplc="83642D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E5171A"/>
    <w:multiLevelType w:val="hybridMultilevel"/>
    <w:tmpl w:val="F382606A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1457BA"/>
    <w:multiLevelType w:val="hybridMultilevel"/>
    <w:tmpl w:val="7B0CFAD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351ACF"/>
    <w:multiLevelType w:val="hybridMultilevel"/>
    <w:tmpl w:val="76B699B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1B5C85"/>
    <w:multiLevelType w:val="hybridMultilevel"/>
    <w:tmpl w:val="204A35A2"/>
    <w:lvl w:ilvl="0" w:tplc="04090001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D730D060">
      <w:numFmt w:val="bullet"/>
      <w:lvlText w:val=""/>
      <w:lvlJc w:val="left"/>
      <w:pPr>
        <w:tabs>
          <w:tab w:val="num" w:pos="1670"/>
        </w:tabs>
        <w:ind w:left="1670" w:hanging="42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2">
    <w:nsid w:val="3E6D2D64"/>
    <w:multiLevelType w:val="hybridMultilevel"/>
    <w:tmpl w:val="B3C4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D31C07"/>
    <w:multiLevelType w:val="hybridMultilevel"/>
    <w:tmpl w:val="6544787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AF6044"/>
    <w:multiLevelType w:val="hybridMultilevel"/>
    <w:tmpl w:val="A5F8A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572DAD"/>
    <w:multiLevelType w:val="hybridMultilevel"/>
    <w:tmpl w:val="0ACC873E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3C06B4"/>
    <w:multiLevelType w:val="hybridMultilevel"/>
    <w:tmpl w:val="BC4E78FC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363FEA"/>
    <w:multiLevelType w:val="hybridMultilevel"/>
    <w:tmpl w:val="A6E29592"/>
    <w:lvl w:ilvl="0" w:tplc="1C1814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E05241"/>
    <w:multiLevelType w:val="hybridMultilevel"/>
    <w:tmpl w:val="018CBCF8"/>
    <w:lvl w:ilvl="0" w:tplc="50C622A2">
      <w:start w:val="3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9A67638"/>
    <w:multiLevelType w:val="hybridMultilevel"/>
    <w:tmpl w:val="42F4E558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7A3576"/>
    <w:multiLevelType w:val="hybridMultilevel"/>
    <w:tmpl w:val="3ED0058C"/>
    <w:lvl w:ilvl="0" w:tplc="5628C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3544B"/>
    <w:multiLevelType w:val="hybridMultilevel"/>
    <w:tmpl w:val="F880E046"/>
    <w:lvl w:ilvl="0" w:tplc="7E9E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8F2C9B"/>
    <w:multiLevelType w:val="hybridMultilevel"/>
    <w:tmpl w:val="C98ED4D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9F13CD"/>
    <w:multiLevelType w:val="hybridMultilevel"/>
    <w:tmpl w:val="8E329716"/>
    <w:lvl w:ilvl="0" w:tplc="814CD9DE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FC1D27"/>
    <w:multiLevelType w:val="hybridMultilevel"/>
    <w:tmpl w:val="2BE8CB08"/>
    <w:lvl w:ilvl="0" w:tplc="4FF613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0C0093"/>
    <w:multiLevelType w:val="hybridMultilevel"/>
    <w:tmpl w:val="71BE2962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C42E15"/>
    <w:multiLevelType w:val="hybridMultilevel"/>
    <w:tmpl w:val="2E3C165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075E99"/>
    <w:multiLevelType w:val="hybridMultilevel"/>
    <w:tmpl w:val="D95ACE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6664646B"/>
    <w:multiLevelType w:val="hybridMultilevel"/>
    <w:tmpl w:val="47F030BC"/>
    <w:lvl w:ilvl="0" w:tplc="E3BA1A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9812FF"/>
    <w:multiLevelType w:val="hybridMultilevel"/>
    <w:tmpl w:val="15629028"/>
    <w:lvl w:ilvl="0" w:tplc="687CE4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71C6C2A"/>
    <w:multiLevelType w:val="hybridMultilevel"/>
    <w:tmpl w:val="92C28F96"/>
    <w:lvl w:ilvl="0" w:tplc="48A0B2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2A6C09"/>
    <w:multiLevelType w:val="hybridMultilevel"/>
    <w:tmpl w:val="C6A08B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874B99"/>
    <w:multiLevelType w:val="hybridMultilevel"/>
    <w:tmpl w:val="D40682D8"/>
    <w:lvl w:ilvl="0" w:tplc="DD244446">
      <w:numFmt w:val="bullet"/>
      <w:lvlText w:val="–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AD5910"/>
    <w:multiLevelType w:val="hybridMultilevel"/>
    <w:tmpl w:val="B3149166"/>
    <w:lvl w:ilvl="0" w:tplc="6BF04F32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>
    <w:nsid w:val="7A490F27"/>
    <w:multiLevelType w:val="hybridMultilevel"/>
    <w:tmpl w:val="FFB45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6A152B"/>
    <w:multiLevelType w:val="hybridMultilevel"/>
    <w:tmpl w:val="13EA6EAC"/>
    <w:lvl w:ilvl="0" w:tplc="5906B534">
      <w:start w:val="58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9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1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8" w:hanging="360"/>
      </w:pPr>
      <w:rPr>
        <w:rFonts w:ascii="Wingdings" w:hAnsi="Wingdings" w:hint="default"/>
      </w:rPr>
    </w:lvl>
  </w:abstractNum>
  <w:abstractNum w:abstractNumId="46">
    <w:nsid w:val="7BEC4F84"/>
    <w:multiLevelType w:val="hybridMultilevel"/>
    <w:tmpl w:val="4C8032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755B04"/>
    <w:multiLevelType w:val="hybridMultilevel"/>
    <w:tmpl w:val="C1020A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44"/>
  </w:num>
  <w:num w:numId="4">
    <w:abstractNumId w:val="13"/>
  </w:num>
  <w:num w:numId="5">
    <w:abstractNumId w:val="9"/>
  </w:num>
  <w:num w:numId="6">
    <w:abstractNumId w:val="31"/>
  </w:num>
  <w:num w:numId="7">
    <w:abstractNumId w:val="27"/>
  </w:num>
  <w:num w:numId="8">
    <w:abstractNumId w:val="34"/>
  </w:num>
  <w:num w:numId="9">
    <w:abstractNumId w:val="38"/>
  </w:num>
  <w:num w:numId="10">
    <w:abstractNumId w:val="46"/>
  </w:num>
  <w:num w:numId="11">
    <w:abstractNumId w:val="22"/>
  </w:num>
  <w:num w:numId="12">
    <w:abstractNumId w:val="41"/>
  </w:num>
  <w:num w:numId="13">
    <w:abstractNumId w:val="47"/>
  </w:num>
  <w:num w:numId="14">
    <w:abstractNumId w:val="6"/>
  </w:num>
  <w:num w:numId="15">
    <w:abstractNumId w:val="15"/>
  </w:num>
  <w:num w:numId="16">
    <w:abstractNumId w:val="24"/>
  </w:num>
  <w:num w:numId="17">
    <w:abstractNumId w:val="33"/>
  </w:num>
  <w:num w:numId="18">
    <w:abstractNumId w:val="45"/>
  </w:num>
  <w:num w:numId="19">
    <w:abstractNumId w:val="39"/>
  </w:num>
  <w:num w:numId="20">
    <w:abstractNumId w:val="1"/>
  </w:num>
  <w:num w:numId="21">
    <w:abstractNumId w:val="43"/>
  </w:num>
  <w:num w:numId="22">
    <w:abstractNumId w:val="28"/>
  </w:num>
  <w:num w:numId="23">
    <w:abstractNumId w:val="3"/>
  </w:num>
  <w:num w:numId="24">
    <w:abstractNumId w:val="14"/>
  </w:num>
  <w:num w:numId="25">
    <w:abstractNumId w:val="8"/>
  </w:num>
  <w:num w:numId="26">
    <w:abstractNumId w:val="21"/>
  </w:num>
  <w:num w:numId="27">
    <w:abstractNumId w:val="30"/>
  </w:num>
  <w:num w:numId="28">
    <w:abstractNumId w:val="12"/>
  </w:num>
  <w:num w:numId="29">
    <w:abstractNumId w:val="36"/>
  </w:num>
  <w:num w:numId="30">
    <w:abstractNumId w:val="42"/>
  </w:num>
  <w:num w:numId="31">
    <w:abstractNumId w:val="18"/>
  </w:num>
  <w:num w:numId="32">
    <w:abstractNumId w:val="2"/>
  </w:num>
  <w:num w:numId="33">
    <w:abstractNumId w:val="4"/>
  </w:num>
  <w:num w:numId="34">
    <w:abstractNumId w:val="10"/>
  </w:num>
  <w:num w:numId="35">
    <w:abstractNumId w:val="20"/>
  </w:num>
  <w:num w:numId="36">
    <w:abstractNumId w:val="37"/>
  </w:num>
  <w:num w:numId="37">
    <w:abstractNumId w:val="26"/>
  </w:num>
  <w:num w:numId="38">
    <w:abstractNumId w:val="17"/>
  </w:num>
  <w:num w:numId="39">
    <w:abstractNumId w:val="40"/>
  </w:num>
  <w:num w:numId="40">
    <w:abstractNumId w:val="19"/>
  </w:num>
  <w:num w:numId="41">
    <w:abstractNumId w:val="0"/>
  </w:num>
  <w:num w:numId="42">
    <w:abstractNumId w:val="25"/>
  </w:num>
  <w:num w:numId="43">
    <w:abstractNumId w:val="11"/>
  </w:num>
  <w:num w:numId="44">
    <w:abstractNumId w:val="23"/>
  </w:num>
  <w:num w:numId="45">
    <w:abstractNumId w:val="7"/>
  </w:num>
  <w:num w:numId="46">
    <w:abstractNumId w:val="35"/>
  </w:num>
  <w:num w:numId="47">
    <w:abstractNumId w:val="32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52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90B"/>
    <w:rsid w:val="00000881"/>
    <w:rsid w:val="00000932"/>
    <w:rsid w:val="00000F96"/>
    <w:rsid w:val="00001B91"/>
    <w:rsid w:val="00002073"/>
    <w:rsid w:val="0000236D"/>
    <w:rsid w:val="0000330E"/>
    <w:rsid w:val="000033DB"/>
    <w:rsid w:val="00003D20"/>
    <w:rsid w:val="000044CF"/>
    <w:rsid w:val="00004DB0"/>
    <w:rsid w:val="00005220"/>
    <w:rsid w:val="0000580F"/>
    <w:rsid w:val="00005C3E"/>
    <w:rsid w:val="00005C47"/>
    <w:rsid w:val="00005C6C"/>
    <w:rsid w:val="000066B9"/>
    <w:rsid w:val="00006886"/>
    <w:rsid w:val="00006B02"/>
    <w:rsid w:val="00007773"/>
    <w:rsid w:val="000104BD"/>
    <w:rsid w:val="00010542"/>
    <w:rsid w:val="0001113E"/>
    <w:rsid w:val="000112F9"/>
    <w:rsid w:val="000119C8"/>
    <w:rsid w:val="00011EF7"/>
    <w:rsid w:val="00013006"/>
    <w:rsid w:val="000131C6"/>
    <w:rsid w:val="00013507"/>
    <w:rsid w:val="00013A3C"/>
    <w:rsid w:val="00014603"/>
    <w:rsid w:val="000148F2"/>
    <w:rsid w:val="000152B0"/>
    <w:rsid w:val="0001567E"/>
    <w:rsid w:val="00015CCB"/>
    <w:rsid w:val="00015F28"/>
    <w:rsid w:val="000163B7"/>
    <w:rsid w:val="000172AE"/>
    <w:rsid w:val="00017EC7"/>
    <w:rsid w:val="00020834"/>
    <w:rsid w:val="00020A05"/>
    <w:rsid w:val="00020DE5"/>
    <w:rsid w:val="00021026"/>
    <w:rsid w:val="000218CA"/>
    <w:rsid w:val="000225B8"/>
    <w:rsid w:val="000227AD"/>
    <w:rsid w:val="0002307E"/>
    <w:rsid w:val="000232BE"/>
    <w:rsid w:val="00023D6D"/>
    <w:rsid w:val="00023EA1"/>
    <w:rsid w:val="00024A45"/>
    <w:rsid w:val="00024E81"/>
    <w:rsid w:val="00024FC3"/>
    <w:rsid w:val="000254CB"/>
    <w:rsid w:val="00025A70"/>
    <w:rsid w:val="00025E01"/>
    <w:rsid w:val="00026AFA"/>
    <w:rsid w:val="00027D3C"/>
    <w:rsid w:val="00030772"/>
    <w:rsid w:val="000307C5"/>
    <w:rsid w:val="0003087F"/>
    <w:rsid w:val="00030DD7"/>
    <w:rsid w:val="0003111A"/>
    <w:rsid w:val="00031292"/>
    <w:rsid w:val="000314CC"/>
    <w:rsid w:val="00031A57"/>
    <w:rsid w:val="00031C8A"/>
    <w:rsid w:val="00031D26"/>
    <w:rsid w:val="00032482"/>
    <w:rsid w:val="000326DA"/>
    <w:rsid w:val="000328E1"/>
    <w:rsid w:val="00033741"/>
    <w:rsid w:val="000342ED"/>
    <w:rsid w:val="000343CF"/>
    <w:rsid w:val="000343E1"/>
    <w:rsid w:val="00034844"/>
    <w:rsid w:val="000357D3"/>
    <w:rsid w:val="00037363"/>
    <w:rsid w:val="00037520"/>
    <w:rsid w:val="000406B5"/>
    <w:rsid w:val="000407CE"/>
    <w:rsid w:val="00041909"/>
    <w:rsid w:val="00041943"/>
    <w:rsid w:val="000419A7"/>
    <w:rsid w:val="00041F40"/>
    <w:rsid w:val="00041F64"/>
    <w:rsid w:val="0004223E"/>
    <w:rsid w:val="000423CF"/>
    <w:rsid w:val="00042D81"/>
    <w:rsid w:val="00042F15"/>
    <w:rsid w:val="000437B0"/>
    <w:rsid w:val="00043891"/>
    <w:rsid w:val="00043B34"/>
    <w:rsid w:val="00043B6B"/>
    <w:rsid w:val="0004461C"/>
    <w:rsid w:val="00044D72"/>
    <w:rsid w:val="000459C2"/>
    <w:rsid w:val="00045E0B"/>
    <w:rsid w:val="000465B1"/>
    <w:rsid w:val="00046CD6"/>
    <w:rsid w:val="00050E1F"/>
    <w:rsid w:val="000515CE"/>
    <w:rsid w:val="00051EBF"/>
    <w:rsid w:val="00052837"/>
    <w:rsid w:val="00052F4A"/>
    <w:rsid w:val="000530F1"/>
    <w:rsid w:val="00054517"/>
    <w:rsid w:val="00054696"/>
    <w:rsid w:val="000547DE"/>
    <w:rsid w:val="000549C6"/>
    <w:rsid w:val="00054BBC"/>
    <w:rsid w:val="000550B4"/>
    <w:rsid w:val="000558EC"/>
    <w:rsid w:val="000559BB"/>
    <w:rsid w:val="00055A17"/>
    <w:rsid w:val="000569A4"/>
    <w:rsid w:val="00056F50"/>
    <w:rsid w:val="00057193"/>
    <w:rsid w:val="00057577"/>
    <w:rsid w:val="00057A70"/>
    <w:rsid w:val="00057CBE"/>
    <w:rsid w:val="00060C32"/>
    <w:rsid w:val="000613C2"/>
    <w:rsid w:val="00061429"/>
    <w:rsid w:val="0006260B"/>
    <w:rsid w:val="00064144"/>
    <w:rsid w:val="000641DB"/>
    <w:rsid w:val="000642CE"/>
    <w:rsid w:val="00064524"/>
    <w:rsid w:val="0006454E"/>
    <w:rsid w:val="000647BD"/>
    <w:rsid w:val="00064DEF"/>
    <w:rsid w:val="00064F00"/>
    <w:rsid w:val="00066699"/>
    <w:rsid w:val="0006671D"/>
    <w:rsid w:val="00066725"/>
    <w:rsid w:val="00066D9F"/>
    <w:rsid w:val="000674FA"/>
    <w:rsid w:val="00067667"/>
    <w:rsid w:val="00070408"/>
    <w:rsid w:val="0007064B"/>
    <w:rsid w:val="000706B4"/>
    <w:rsid w:val="000710D5"/>
    <w:rsid w:val="00071186"/>
    <w:rsid w:val="00071622"/>
    <w:rsid w:val="00071B68"/>
    <w:rsid w:val="00071FA4"/>
    <w:rsid w:val="00072445"/>
    <w:rsid w:val="000732F3"/>
    <w:rsid w:val="00074954"/>
    <w:rsid w:val="00074A01"/>
    <w:rsid w:val="00075C06"/>
    <w:rsid w:val="00076806"/>
    <w:rsid w:val="00077153"/>
    <w:rsid w:val="00077196"/>
    <w:rsid w:val="00077727"/>
    <w:rsid w:val="00077CDD"/>
    <w:rsid w:val="0008015B"/>
    <w:rsid w:val="00080987"/>
    <w:rsid w:val="00080C12"/>
    <w:rsid w:val="00081221"/>
    <w:rsid w:val="000813FB"/>
    <w:rsid w:val="0008264D"/>
    <w:rsid w:val="000828E4"/>
    <w:rsid w:val="00082FB7"/>
    <w:rsid w:val="000839E5"/>
    <w:rsid w:val="000843F6"/>
    <w:rsid w:val="00084EF4"/>
    <w:rsid w:val="00084F19"/>
    <w:rsid w:val="000855DB"/>
    <w:rsid w:val="00086D3E"/>
    <w:rsid w:val="00086F0F"/>
    <w:rsid w:val="00087183"/>
    <w:rsid w:val="00087884"/>
    <w:rsid w:val="00087A8A"/>
    <w:rsid w:val="00087ABD"/>
    <w:rsid w:val="000903FF"/>
    <w:rsid w:val="0009092D"/>
    <w:rsid w:val="000913CB"/>
    <w:rsid w:val="00091459"/>
    <w:rsid w:val="000926DA"/>
    <w:rsid w:val="000927F6"/>
    <w:rsid w:val="0009286D"/>
    <w:rsid w:val="000928EE"/>
    <w:rsid w:val="0009336C"/>
    <w:rsid w:val="00093BDC"/>
    <w:rsid w:val="00093E2F"/>
    <w:rsid w:val="00094A2D"/>
    <w:rsid w:val="00095329"/>
    <w:rsid w:val="00095904"/>
    <w:rsid w:val="0009635C"/>
    <w:rsid w:val="00096F81"/>
    <w:rsid w:val="0009709F"/>
    <w:rsid w:val="000979E8"/>
    <w:rsid w:val="000A0A28"/>
    <w:rsid w:val="000A0E63"/>
    <w:rsid w:val="000A15CA"/>
    <w:rsid w:val="000A2538"/>
    <w:rsid w:val="000A41A3"/>
    <w:rsid w:val="000A446F"/>
    <w:rsid w:val="000A46D3"/>
    <w:rsid w:val="000A4816"/>
    <w:rsid w:val="000A53CC"/>
    <w:rsid w:val="000A58F6"/>
    <w:rsid w:val="000A7392"/>
    <w:rsid w:val="000B04BE"/>
    <w:rsid w:val="000B114F"/>
    <w:rsid w:val="000B1348"/>
    <w:rsid w:val="000B16F7"/>
    <w:rsid w:val="000B1C04"/>
    <w:rsid w:val="000B25C3"/>
    <w:rsid w:val="000B3145"/>
    <w:rsid w:val="000B3678"/>
    <w:rsid w:val="000B3978"/>
    <w:rsid w:val="000B3B08"/>
    <w:rsid w:val="000B3B74"/>
    <w:rsid w:val="000B5FE2"/>
    <w:rsid w:val="000B64CD"/>
    <w:rsid w:val="000B710A"/>
    <w:rsid w:val="000B7411"/>
    <w:rsid w:val="000B75F0"/>
    <w:rsid w:val="000C1234"/>
    <w:rsid w:val="000C1C55"/>
    <w:rsid w:val="000C1DFD"/>
    <w:rsid w:val="000C2190"/>
    <w:rsid w:val="000C249A"/>
    <w:rsid w:val="000C28BB"/>
    <w:rsid w:val="000C3130"/>
    <w:rsid w:val="000C320D"/>
    <w:rsid w:val="000C40E9"/>
    <w:rsid w:val="000C4C9A"/>
    <w:rsid w:val="000C5338"/>
    <w:rsid w:val="000C64AC"/>
    <w:rsid w:val="000C6DA4"/>
    <w:rsid w:val="000C6F9D"/>
    <w:rsid w:val="000C7BDF"/>
    <w:rsid w:val="000D0088"/>
    <w:rsid w:val="000D0135"/>
    <w:rsid w:val="000D01D6"/>
    <w:rsid w:val="000D05D4"/>
    <w:rsid w:val="000D0ED6"/>
    <w:rsid w:val="000D17BB"/>
    <w:rsid w:val="000D18A3"/>
    <w:rsid w:val="000D18F3"/>
    <w:rsid w:val="000D1CB4"/>
    <w:rsid w:val="000D202F"/>
    <w:rsid w:val="000D225C"/>
    <w:rsid w:val="000D225E"/>
    <w:rsid w:val="000D350B"/>
    <w:rsid w:val="000D62D0"/>
    <w:rsid w:val="000D6416"/>
    <w:rsid w:val="000D6A32"/>
    <w:rsid w:val="000D6BFC"/>
    <w:rsid w:val="000D6EB0"/>
    <w:rsid w:val="000D6EB6"/>
    <w:rsid w:val="000D702C"/>
    <w:rsid w:val="000D7813"/>
    <w:rsid w:val="000D7D68"/>
    <w:rsid w:val="000E101D"/>
    <w:rsid w:val="000E1099"/>
    <w:rsid w:val="000E123D"/>
    <w:rsid w:val="000E196A"/>
    <w:rsid w:val="000E1CA1"/>
    <w:rsid w:val="000E1E4B"/>
    <w:rsid w:val="000E23CC"/>
    <w:rsid w:val="000E395F"/>
    <w:rsid w:val="000E398D"/>
    <w:rsid w:val="000E399D"/>
    <w:rsid w:val="000E4219"/>
    <w:rsid w:val="000E5022"/>
    <w:rsid w:val="000E5071"/>
    <w:rsid w:val="000E53AF"/>
    <w:rsid w:val="000E5629"/>
    <w:rsid w:val="000E5967"/>
    <w:rsid w:val="000E62B1"/>
    <w:rsid w:val="000E650F"/>
    <w:rsid w:val="000E661B"/>
    <w:rsid w:val="000E7129"/>
    <w:rsid w:val="000F0258"/>
    <w:rsid w:val="000F0864"/>
    <w:rsid w:val="000F1FF6"/>
    <w:rsid w:val="000F272E"/>
    <w:rsid w:val="000F31D0"/>
    <w:rsid w:val="000F3776"/>
    <w:rsid w:val="000F37A0"/>
    <w:rsid w:val="000F3957"/>
    <w:rsid w:val="000F4618"/>
    <w:rsid w:val="000F4E31"/>
    <w:rsid w:val="000F52CA"/>
    <w:rsid w:val="000F5FE2"/>
    <w:rsid w:val="000F5FF1"/>
    <w:rsid w:val="000F6159"/>
    <w:rsid w:val="000F659A"/>
    <w:rsid w:val="000F6E30"/>
    <w:rsid w:val="000F7CC7"/>
    <w:rsid w:val="001002B8"/>
    <w:rsid w:val="0010034C"/>
    <w:rsid w:val="0010159A"/>
    <w:rsid w:val="001019FC"/>
    <w:rsid w:val="00101C69"/>
    <w:rsid w:val="001021F7"/>
    <w:rsid w:val="0010231F"/>
    <w:rsid w:val="00102DC9"/>
    <w:rsid w:val="0010304D"/>
    <w:rsid w:val="0010376B"/>
    <w:rsid w:val="00103A3A"/>
    <w:rsid w:val="0010471F"/>
    <w:rsid w:val="00104BDC"/>
    <w:rsid w:val="00105AD0"/>
    <w:rsid w:val="00106174"/>
    <w:rsid w:val="00106532"/>
    <w:rsid w:val="00106833"/>
    <w:rsid w:val="0010688E"/>
    <w:rsid w:val="00106D02"/>
    <w:rsid w:val="00110594"/>
    <w:rsid w:val="001106AD"/>
    <w:rsid w:val="00110FFD"/>
    <w:rsid w:val="0011171A"/>
    <w:rsid w:val="00111936"/>
    <w:rsid w:val="00111E71"/>
    <w:rsid w:val="001129ED"/>
    <w:rsid w:val="00112B51"/>
    <w:rsid w:val="001135CA"/>
    <w:rsid w:val="0011376D"/>
    <w:rsid w:val="00113B93"/>
    <w:rsid w:val="001140CF"/>
    <w:rsid w:val="001140E8"/>
    <w:rsid w:val="00115CEF"/>
    <w:rsid w:val="00115E25"/>
    <w:rsid w:val="0011637B"/>
    <w:rsid w:val="00116672"/>
    <w:rsid w:val="00116982"/>
    <w:rsid w:val="00117DC9"/>
    <w:rsid w:val="001201D4"/>
    <w:rsid w:val="001208DD"/>
    <w:rsid w:val="00120AA3"/>
    <w:rsid w:val="0012129B"/>
    <w:rsid w:val="00121642"/>
    <w:rsid w:val="00121A3E"/>
    <w:rsid w:val="00121B6F"/>
    <w:rsid w:val="00122D95"/>
    <w:rsid w:val="00122F13"/>
    <w:rsid w:val="00123E8E"/>
    <w:rsid w:val="00123EC2"/>
    <w:rsid w:val="00124136"/>
    <w:rsid w:val="0012511E"/>
    <w:rsid w:val="00125B7B"/>
    <w:rsid w:val="00126303"/>
    <w:rsid w:val="001265E7"/>
    <w:rsid w:val="00126713"/>
    <w:rsid w:val="00127E65"/>
    <w:rsid w:val="001302F2"/>
    <w:rsid w:val="001325AD"/>
    <w:rsid w:val="00132A7F"/>
    <w:rsid w:val="001332BC"/>
    <w:rsid w:val="0013397D"/>
    <w:rsid w:val="00133CC3"/>
    <w:rsid w:val="00134C4E"/>
    <w:rsid w:val="0013587A"/>
    <w:rsid w:val="00135D90"/>
    <w:rsid w:val="00135E06"/>
    <w:rsid w:val="001360A2"/>
    <w:rsid w:val="001368E7"/>
    <w:rsid w:val="00137D95"/>
    <w:rsid w:val="00140B7F"/>
    <w:rsid w:val="00140D10"/>
    <w:rsid w:val="0014107C"/>
    <w:rsid w:val="0014114C"/>
    <w:rsid w:val="00141355"/>
    <w:rsid w:val="001415FD"/>
    <w:rsid w:val="0014163E"/>
    <w:rsid w:val="001418C0"/>
    <w:rsid w:val="00141C97"/>
    <w:rsid w:val="00141FA2"/>
    <w:rsid w:val="00141FDE"/>
    <w:rsid w:val="00142073"/>
    <w:rsid w:val="001422A6"/>
    <w:rsid w:val="001425AD"/>
    <w:rsid w:val="00142A6C"/>
    <w:rsid w:val="00142B1D"/>
    <w:rsid w:val="00143392"/>
    <w:rsid w:val="00143C9D"/>
    <w:rsid w:val="0014414B"/>
    <w:rsid w:val="001442C8"/>
    <w:rsid w:val="00144332"/>
    <w:rsid w:val="0014478B"/>
    <w:rsid w:val="00144916"/>
    <w:rsid w:val="0014534E"/>
    <w:rsid w:val="0014548A"/>
    <w:rsid w:val="001456CE"/>
    <w:rsid w:val="00145861"/>
    <w:rsid w:val="001468BA"/>
    <w:rsid w:val="00147599"/>
    <w:rsid w:val="0014762A"/>
    <w:rsid w:val="00147A69"/>
    <w:rsid w:val="00147AE0"/>
    <w:rsid w:val="00147EAF"/>
    <w:rsid w:val="00150511"/>
    <w:rsid w:val="00150BC0"/>
    <w:rsid w:val="00151B47"/>
    <w:rsid w:val="00151D94"/>
    <w:rsid w:val="001523C1"/>
    <w:rsid w:val="00152479"/>
    <w:rsid w:val="00152B55"/>
    <w:rsid w:val="001531E3"/>
    <w:rsid w:val="0015334F"/>
    <w:rsid w:val="00153700"/>
    <w:rsid w:val="00153BF0"/>
    <w:rsid w:val="00154178"/>
    <w:rsid w:val="00154C1C"/>
    <w:rsid w:val="001550CC"/>
    <w:rsid w:val="0015511A"/>
    <w:rsid w:val="00155CDC"/>
    <w:rsid w:val="00155DE6"/>
    <w:rsid w:val="001564AB"/>
    <w:rsid w:val="00156C62"/>
    <w:rsid w:val="001575F2"/>
    <w:rsid w:val="0016027D"/>
    <w:rsid w:val="00160429"/>
    <w:rsid w:val="001608A3"/>
    <w:rsid w:val="00160905"/>
    <w:rsid w:val="00160D42"/>
    <w:rsid w:val="00160E9D"/>
    <w:rsid w:val="00160F69"/>
    <w:rsid w:val="001616E0"/>
    <w:rsid w:val="00161978"/>
    <w:rsid w:val="0016199E"/>
    <w:rsid w:val="00161C93"/>
    <w:rsid w:val="001625D9"/>
    <w:rsid w:val="00162A88"/>
    <w:rsid w:val="00162B1D"/>
    <w:rsid w:val="00162C1D"/>
    <w:rsid w:val="00163354"/>
    <w:rsid w:val="001645EF"/>
    <w:rsid w:val="00164813"/>
    <w:rsid w:val="001671F8"/>
    <w:rsid w:val="00167879"/>
    <w:rsid w:val="001702DE"/>
    <w:rsid w:val="00170BEB"/>
    <w:rsid w:val="00171086"/>
    <w:rsid w:val="00171371"/>
    <w:rsid w:val="001715AC"/>
    <w:rsid w:val="001718B7"/>
    <w:rsid w:val="00171A28"/>
    <w:rsid w:val="00171A41"/>
    <w:rsid w:val="001725CE"/>
    <w:rsid w:val="00172804"/>
    <w:rsid w:val="00172D91"/>
    <w:rsid w:val="00173205"/>
    <w:rsid w:val="00173420"/>
    <w:rsid w:val="00173BFF"/>
    <w:rsid w:val="00173E69"/>
    <w:rsid w:val="00173EA1"/>
    <w:rsid w:val="0017418E"/>
    <w:rsid w:val="001742A7"/>
    <w:rsid w:val="00174783"/>
    <w:rsid w:val="00174F59"/>
    <w:rsid w:val="00175157"/>
    <w:rsid w:val="0017558B"/>
    <w:rsid w:val="00176033"/>
    <w:rsid w:val="001766BF"/>
    <w:rsid w:val="00176AE7"/>
    <w:rsid w:val="00177D39"/>
    <w:rsid w:val="00177E1E"/>
    <w:rsid w:val="00180090"/>
    <w:rsid w:val="00180600"/>
    <w:rsid w:val="0018067B"/>
    <w:rsid w:val="00180B46"/>
    <w:rsid w:val="00180F3B"/>
    <w:rsid w:val="001826FC"/>
    <w:rsid w:val="00182769"/>
    <w:rsid w:val="00182F04"/>
    <w:rsid w:val="00183289"/>
    <w:rsid w:val="00184540"/>
    <w:rsid w:val="00184724"/>
    <w:rsid w:val="001862F0"/>
    <w:rsid w:val="00186FC6"/>
    <w:rsid w:val="0018767F"/>
    <w:rsid w:val="0019012B"/>
    <w:rsid w:val="00190D5F"/>
    <w:rsid w:val="00191170"/>
    <w:rsid w:val="00191DF5"/>
    <w:rsid w:val="001922FC"/>
    <w:rsid w:val="00192304"/>
    <w:rsid w:val="00192BC2"/>
    <w:rsid w:val="00193533"/>
    <w:rsid w:val="0019357D"/>
    <w:rsid w:val="00194005"/>
    <w:rsid w:val="00194298"/>
    <w:rsid w:val="00194F87"/>
    <w:rsid w:val="0019536B"/>
    <w:rsid w:val="00195A5C"/>
    <w:rsid w:val="00195B7C"/>
    <w:rsid w:val="0019670B"/>
    <w:rsid w:val="00196F2C"/>
    <w:rsid w:val="001A03F3"/>
    <w:rsid w:val="001A08A9"/>
    <w:rsid w:val="001A094E"/>
    <w:rsid w:val="001A0E1F"/>
    <w:rsid w:val="001A0FC2"/>
    <w:rsid w:val="001A1518"/>
    <w:rsid w:val="001A15D3"/>
    <w:rsid w:val="001A1AAC"/>
    <w:rsid w:val="001A1CBF"/>
    <w:rsid w:val="001A1F1B"/>
    <w:rsid w:val="001A212B"/>
    <w:rsid w:val="001A3388"/>
    <w:rsid w:val="001A37F7"/>
    <w:rsid w:val="001A3FD4"/>
    <w:rsid w:val="001A4061"/>
    <w:rsid w:val="001A4FFF"/>
    <w:rsid w:val="001A50E5"/>
    <w:rsid w:val="001A5628"/>
    <w:rsid w:val="001A5D01"/>
    <w:rsid w:val="001A71B5"/>
    <w:rsid w:val="001B0CFC"/>
    <w:rsid w:val="001B12AA"/>
    <w:rsid w:val="001B1A8D"/>
    <w:rsid w:val="001B2131"/>
    <w:rsid w:val="001B218E"/>
    <w:rsid w:val="001B2565"/>
    <w:rsid w:val="001B2A38"/>
    <w:rsid w:val="001B2B19"/>
    <w:rsid w:val="001B2B2B"/>
    <w:rsid w:val="001B2F10"/>
    <w:rsid w:val="001B3CC9"/>
    <w:rsid w:val="001B3E73"/>
    <w:rsid w:val="001B3EE5"/>
    <w:rsid w:val="001B5134"/>
    <w:rsid w:val="001B537D"/>
    <w:rsid w:val="001B5477"/>
    <w:rsid w:val="001B54CD"/>
    <w:rsid w:val="001B57E8"/>
    <w:rsid w:val="001B69B3"/>
    <w:rsid w:val="001B6DAD"/>
    <w:rsid w:val="001B76A4"/>
    <w:rsid w:val="001C196B"/>
    <w:rsid w:val="001C1BE9"/>
    <w:rsid w:val="001C1FB7"/>
    <w:rsid w:val="001C422A"/>
    <w:rsid w:val="001C43C9"/>
    <w:rsid w:val="001C43FA"/>
    <w:rsid w:val="001C561C"/>
    <w:rsid w:val="001C6A88"/>
    <w:rsid w:val="001C78EE"/>
    <w:rsid w:val="001C7DEA"/>
    <w:rsid w:val="001D03FD"/>
    <w:rsid w:val="001D0FC2"/>
    <w:rsid w:val="001D2E18"/>
    <w:rsid w:val="001D370A"/>
    <w:rsid w:val="001D37E1"/>
    <w:rsid w:val="001D61A3"/>
    <w:rsid w:val="001D727C"/>
    <w:rsid w:val="001E1342"/>
    <w:rsid w:val="001E1BDA"/>
    <w:rsid w:val="001E237D"/>
    <w:rsid w:val="001E2767"/>
    <w:rsid w:val="001E31FA"/>
    <w:rsid w:val="001E3FBA"/>
    <w:rsid w:val="001E41B1"/>
    <w:rsid w:val="001E5AF6"/>
    <w:rsid w:val="001E5B89"/>
    <w:rsid w:val="001E5BD3"/>
    <w:rsid w:val="001E6991"/>
    <w:rsid w:val="001E71A6"/>
    <w:rsid w:val="001E71E7"/>
    <w:rsid w:val="001F0078"/>
    <w:rsid w:val="001F028E"/>
    <w:rsid w:val="001F04A5"/>
    <w:rsid w:val="001F0576"/>
    <w:rsid w:val="001F071B"/>
    <w:rsid w:val="001F0D00"/>
    <w:rsid w:val="001F2703"/>
    <w:rsid w:val="001F28F7"/>
    <w:rsid w:val="001F32ED"/>
    <w:rsid w:val="001F46BB"/>
    <w:rsid w:val="001F47D9"/>
    <w:rsid w:val="001F4AA4"/>
    <w:rsid w:val="001F5500"/>
    <w:rsid w:val="001F57C1"/>
    <w:rsid w:val="001F60FB"/>
    <w:rsid w:val="001F6215"/>
    <w:rsid w:val="001F633D"/>
    <w:rsid w:val="001F6CE7"/>
    <w:rsid w:val="001F7BD3"/>
    <w:rsid w:val="0020085D"/>
    <w:rsid w:val="00201C5B"/>
    <w:rsid w:val="00201E5D"/>
    <w:rsid w:val="00202300"/>
    <w:rsid w:val="002026C0"/>
    <w:rsid w:val="00203DCE"/>
    <w:rsid w:val="00203FDA"/>
    <w:rsid w:val="0020412E"/>
    <w:rsid w:val="002041DA"/>
    <w:rsid w:val="0020444C"/>
    <w:rsid w:val="00204CEA"/>
    <w:rsid w:val="002052B0"/>
    <w:rsid w:val="0020536C"/>
    <w:rsid w:val="002053B9"/>
    <w:rsid w:val="002055CF"/>
    <w:rsid w:val="00206604"/>
    <w:rsid w:val="00210221"/>
    <w:rsid w:val="00210672"/>
    <w:rsid w:val="00210DAC"/>
    <w:rsid w:val="002112BF"/>
    <w:rsid w:val="00211AB9"/>
    <w:rsid w:val="002120C1"/>
    <w:rsid w:val="002125EB"/>
    <w:rsid w:val="00212868"/>
    <w:rsid w:val="00212FBB"/>
    <w:rsid w:val="0021421F"/>
    <w:rsid w:val="00214928"/>
    <w:rsid w:val="00216406"/>
    <w:rsid w:val="002178C3"/>
    <w:rsid w:val="002207F9"/>
    <w:rsid w:val="00220899"/>
    <w:rsid w:val="00220BE9"/>
    <w:rsid w:val="0022140D"/>
    <w:rsid w:val="002217A2"/>
    <w:rsid w:val="00222E46"/>
    <w:rsid w:val="002231C0"/>
    <w:rsid w:val="0022321D"/>
    <w:rsid w:val="002237E9"/>
    <w:rsid w:val="00223FE7"/>
    <w:rsid w:val="00224385"/>
    <w:rsid w:val="002245B0"/>
    <w:rsid w:val="00225082"/>
    <w:rsid w:val="00225295"/>
    <w:rsid w:val="00225A49"/>
    <w:rsid w:val="00225AD3"/>
    <w:rsid w:val="00225AEE"/>
    <w:rsid w:val="002261C3"/>
    <w:rsid w:val="00226524"/>
    <w:rsid w:val="002268E1"/>
    <w:rsid w:val="00226C3E"/>
    <w:rsid w:val="00227C8C"/>
    <w:rsid w:val="00230AF7"/>
    <w:rsid w:val="002313A4"/>
    <w:rsid w:val="00231891"/>
    <w:rsid w:val="00233586"/>
    <w:rsid w:val="00233807"/>
    <w:rsid w:val="00233994"/>
    <w:rsid w:val="00233B2D"/>
    <w:rsid w:val="002341B5"/>
    <w:rsid w:val="00235288"/>
    <w:rsid w:val="00235671"/>
    <w:rsid w:val="00235DB4"/>
    <w:rsid w:val="00236071"/>
    <w:rsid w:val="00236495"/>
    <w:rsid w:val="002364A9"/>
    <w:rsid w:val="0023655C"/>
    <w:rsid w:val="0023666E"/>
    <w:rsid w:val="00236DAD"/>
    <w:rsid w:val="0023784B"/>
    <w:rsid w:val="002404C4"/>
    <w:rsid w:val="0024071F"/>
    <w:rsid w:val="00241158"/>
    <w:rsid w:val="0024116D"/>
    <w:rsid w:val="0024159C"/>
    <w:rsid w:val="0024175C"/>
    <w:rsid w:val="00242A4C"/>
    <w:rsid w:val="002433C3"/>
    <w:rsid w:val="00243D37"/>
    <w:rsid w:val="00244A9F"/>
    <w:rsid w:val="00244C66"/>
    <w:rsid w:val="00245685"/>
    <w:rsid w:val="00245B80"/>
    <w:rsid w:val="002460FB"/>
    <w:rsid w:val="00250426"/>
    <w:rsid w:val="002506B7"/>
    <w:rsid w:val="00251810"/>
    <w:rsid w:val="00251995"/>
    <w:rsid w:val="00251B25"/>
    <w:rsid w:val="002521DD"/>
    <w:rsid w:val="00252631"/>
    <w:rsid w:val="00252CFD"/>
    <w:rsid w:val="002538C5"/>
    <w:rsid w:val="00254047"/>
    <w:rsid w:val="00254C90"/>
    <w:rsid w:val="00255EB1"/>
    <w:rsid w:val="00256320"/>
    <w:rsid w:val="00256572"/>
    <w:rsid w:val="00256EFA"/>
    <w:rsid w:val="00257267"/>
    <w:rsid w:val="00257504"/>
    <w:rsid w:val="002602FB"/>
    <w:rsid w:val="00260848"/>
    <w:rsid w:val="002609EA"/>
    <w:rsid w:val="002611AB"/>
    <w:rsid w:val="00261540"/>
    <w:rsid w:val="00261C74"/>
    <w:rsid w:val="0026274F"/>
    <w:rsid w:val="00262999"/>
    <w:rsid w:val="00262AD6"/>
    <w:rsid w:val="00262B21"/>
    <w:rsid w:val="00262DF8"/>
    <w:rsid w:val="00262E38"/>
    <w:rsid w:val="002634F2"/>
    <w:rsid w:val="00263C60"/>
    <w:rsid w:val="00263EAF"/>
    <w:rsid w:val="00263EDA"/>
    <w:rsid w:val="00264E84"/>
    <w:rsid w:val="00265587"/>
    <w:rsid w:val="00265970"/>
    <w:rsid w:val="00265BFF"/>
    <w:rsid w:val="00266517"/>
    <w:rsid w:val="00266632"/>
    <w:rsid w:val="00266664"/>
    <w:rsid w:val="0026683C"/>
    <w:rsid w:val="0026712E"/>
    <w:rsid w:val="00267306"/>
    <w:rsid w:val="002675B4"/>
    <w:rsid w:val="00267B5B"/>
    <w:rsid w:val="002701B7"/>
    <w:rsid w:val="002706B5"/>
    <w:rsid w:val="002716D4"/>
    <w:rsid w:val="00271D19"/>
    <w:rsid w:val="0027368D"/>
    <w:rsid w:val="002740E9"/>
    <w:rsid w:val="0027414F"/>
    <w:rsid w:val="00274CA4"/>
    <w:rsid w:val="002752AF"/>
    <w:rsid w:val="00275A7A"/>
    <w:rsid w:val="00275C51"/>
    <w:rsid w:val="00276F6C"/>
    <w:rsid w:val="0027715A"/>
    <w:rsid w:val="0027732A"/>
    <w:rsid w:val="00277434"/>
    <w:rsid w:val="00277AEB"/>
    <w:rsid w:val="0028011C"/>
    <w:rsid w:val="00280D14"/>
    <w:rsid w:val="002813A9"/>
    <w:rsid w:val="00281932"/>
    <w:rsid w:val="0028216D"/>
    <w:rsid w:val="00283969"/>
    <w:rsid w:val="002846F2"/>
    <w:rsid w:val="00284AAA"/>
    <w:rsid w:val="00285FA7"/>
    <w:rsid w:val="00285FBA"/>
    <w:rsid w:val="002867B7"/>
    <w:rsid w:val="00286C01"/>
    <w:rsid w:val="00286C26"/>
    <w:rsid w:val="002877EE"/>
    <w:rsid w:val="00287824"/>
    <w:rsid w:val="00287A57"/>
    <w:rsid w:val="00287D23"/>
    <w:rsid w:val="00287EFE"/>
    <w:rsid w:val="002906F9"/>
    <w:rsid w:val="00291500"/>
    <w:rsid w:val="00291E7B"/>
    <w:rsid w:val="00292390"/>
    <w:rsid w:val="00292459"/>
    <w:rsid w:val="002928DA"/>
    <w:rsid w:val="00293017"/>
    <w:rsid w:val="002932D8"/>
    <w:rsid w:val="002935A5"/>
    <w:rsid w:val="002935BE"/>
    <w:rsid w:val="00293C31"/>
    <w:rsid w:val="0029441E"/>
    <w:rsid w:val="002947F6"/>
    <w:rsid w:val="00294A2D"/>
    <w:rsid w:val="00295758"/>
    <w:rsid w:val="00295FE9"/>
    <w:rsid w:val="00296193"/>
    <w:rsid w:val="002961A0"/>
    <w:rsid w:val="002970F8"/>
    <w:rsid w:val="00297590"/>
    <w:rsid w:val="002975F0"/>
    <w:rsid w:val="002976D5"/>
    <w:rsid w:val="002979E6"/>
    <w:rsid w:val="002A028B"/>
    <w:rsid w:val="002A08E4"/>
    <w:rsid w:val="002A094F"/>
    <w:rsid w:val="002A097F"/>
    <w:rsid w:val="002A0F56"/>
    <w:rsid w:val="002A1F47"/>
    <w:rsid w:val="002A21F9"/>
    <w:rsid w:val="002A23C8"/>
    <w:rsid w:val="002A31B4"/>
    <w:rsid w:val="002A3666"/>
    <w:rsid w:val="002A38AB"/>
    <w:rsid w:val="002A3B7E"/>
    <w:rsid w:val="002A3BF5"/>
    <w:rsid w:val="002A4B86"/>
    <w:rsid w:val="002A546C"/>
    <w:rsid w:val="002A5E06"/>
    <w:rsid w:val="002A601F"/>
    <w:rsid w:val="002A60F6"/>
    <w:rsid w:val="002A62ED"/>
    <w:rsid w:val="002A7DC1"/>
    <w:rsid w:val="002B023D"/>
    <w:rsid w:val="002B0259"/>
    <w:rsid w:val="002B0F05"/>
    <w:rsid w:val="002B1B19"/>
    <w:rsid w:val="002B2032"/>
    <w:rsid w:val="002B27FB"/>
    <w:rsid w:val="002B40EE"/>
    <w:rsid w:val="002B449A"/>
    <w:rsid w:val="002B452A"/>
    <w:rsid w:val="002B49C3"/>
    <w:rsid w:val="002B5587"/>
    <w:rsid w:val="002B5B65"/>
    <w:rsid w:val="002B6023"/>
    <w:rsid w:val="002B64F0"/>
    <w:rsid w:val="002B667A"/>
    <w:rsid w:val="002B6CC1"/>
    <w:rsid w:val="002B706F"/>
    <w:rsid w:val="002B71FA"/>
    <w:rsid w:val="002B77AD"/>
    <w:rsid w:val="002B7D05"/>
    <w:rsid w:val="002C052C"/>
    <w:rsid w:val="002C1910"/>
    <w:rsid w:val="002C1E06"/>
    <w:rsid w:val="002C2D4B"/>
    <w:rsid w:val="002C321C"/>
    <w:rsid w:val="002C43D4"/>
    <w:rsid w:val="002C4CBB"/>
    <w:rsid w:val="002C5128"/>
    <w:rsid w:val="002C5723"/>
    <w:rsid w:val="002C588A"/>
    <w:rsid w:val="002C60C3"/>
    <w:rsid w:val="002C62BA"/>
    <w:rsid w:val="002C6584"/>
    <w:rsid w:val="002C69F1"/>
    <w:rsid w:val="002C6AF1"/>
    <w:rsid w:val="002C7AB8"/>
    <w:rsid w:val="002C7C29"/>
    <w:rsid w:val="002D0280"/>
    <w:rsid w:val="002D04B5"/>
    <w:rsid w:val="002D07DD"/>
    <w:rsid w:val="002D0E06"/>
    <w:rsid w:val="002D15C9"/>
    <w:rsid w:val="002D2772"/>
    <w:rsid w:val="002D3D19"/>
    <w:rsid w:val="002D3D44"/>
    <w:rsid w:val="002D4369"/>
    <w:rsid w:val="002D5E03"/>
    <w:rsid w:val="002E0186"/>
    <w:rsid w:val="002E0973"/>
    <w:rsid w:val="002E0A3E"/>
    <w:rsid w:val="002E15B2"/>
    <w:rsid w:val="002E1C5F"/>
    <w:rsid w:val="002E2E1C"/>
    <w:rsid w:val="002E3346"/>
    <w:rsid w:val="002E35D3"/>
    <w:rsid w:val="002E3C7D"/>
    <w:rsid w:val="002E3D05"/>
    <w:rsid w:val="002E45CA"/>
    <w:rsid w:val="002E4625"/>
    <w:rsid w:val="002E51F0"/>
    <w:rsid w:val="002E5898"/>
    <w:rsid w:val="002E5B89"/>
    <w:rsid w:val="002E7555"/>
    <w:rsid w:val="002E7D5C"/>
    <w:rsid w:val="002F0581"/>
    <w:rsid w:val="002F070D"/>
    <w:rsid w:val="002F0F7A"/>
    <w:rsid w:val="002F1F14"/>
    <w:rsid w:val="002F1F30"/>
    <w:rsid w:val="002F2131"/>
    <w:rsid w:val="002F2767"/>
    <w:rsid w:val="002F2FAC"/>
    <w:rsid w:val="002F375C"/>
    <w:rsid w:val="002F39A5"/>
    <w:rsid w:val="002F3D42"/>
    <w:rsid w:val="002F41D2"/>
    <w:rsid w:val="002F564D"/>
    <w:rsid w:val="002F5868"/>
    <w:rsid w:val="002F61D6"/>
    <w:rsid w:val="002F68DF"/>
    <w:rsid w:val="002F6A21"/>
    <w:rsid w:val="002F6B67"/>
    <w:rsid w:val="002F71ED"/>
    <w:rsid w:val="002F723B"/>
    <w:rsid w:val="002F745A"/>
    <w:rsid w:val="002F75BA"/>
    <w:rsid w:val="00300043"/>
    <w:rsid w:val="003002FF"/>
    <w:rsid w:val="003007B2"/>
    <w:rsid w:val="003007F2"/>
    <w:rsid w:val="003012CE"/>
    <w:rsid w:val="00301A10"/>
    <w:rsid w:val="00302053"/>
    <w:rsid w:val="00302146"/>
    <w:rsid w:val="00304520"/>
    <w:rsid w:val="003059F1"/>
    <w:rsid w:val="0030698E"/>
    <w:rsid w:val="00306F79"/>
    <w:rsid w:val="003073C5"/>
    <w:rsid w:val="0030741C"/>
    <w:rsid w:val="00307855"/>
    <w:rsid w:val="00310BDA"/>
    <w:rsid w:val="003110B8"/>
    <w:rsid w:val="0031110D"/>
    <w:rsid w:val="003111B1"/>
    <w:rsid w:val="00311871"/>
    <w:rsid w:val="00313118"/>
    <w:rsid w:val="0031325B"/>
    <w:rsid w:val="003137B1"/>
    <w:rsid w:val="00314BCF"/>
    <w:rsid w:val="00315100"/>
    <w:rsid w:val="00315B4B"/>
    <w:rsid w:val="00315C2F"/>
    <w:rsid w:val="003166A9"/>
    <w:rsid w:val="0031679F"/>
    <w:rsid w:val="00316E13"/>
    <w:rsid w:val="00317254"/>
    <w:rsid w:val="00320241"/>
    <w:rsid w:val="00320B18"/>
    <w:rsid w:val="00320C8C"/>
    <w:rsid w:val="003214CE"/>
    <w:rsid w:val="003217BE"/>
    <w:rsid w:val="0032182E"/>
    <w:rsid w:val="00321AF2"/>
    <w:rsid w:val="0032236E"/>
    <w:rsid w:val="0032250E"/>
    <w:rsid w:val="003231D6"/>
    <w:rsid w:val="0032329B"/>
    <w:rsid w:val="00323725"/>
    <w:rsid w:val="00323CC7"/>
    <w:rsid w:val="00323E94"/>
    <w:rsid w:val="00323F1A"/>
    <w:rsid w:val="003241F1"/>
    <w:rsid w:val="003245B8"/>
    <w:rsid w:val="00324B7C"/>
    <w:rsid w:val="0032616D"/>
    <w:rsid w:val="003262A8"/>
    <w:rsid w:val="00327081"/>
    <w:rsid w:val="00327AD6"/>
    <w:rsid w:val="0033001F"/>
    <w:rsid w:val="003317CA"/>
    <w:rsid w:val="00331980"/>
    <w:rsid w:val="00331F06"/>
    <w:rsid w:val="0033217F"/>
    <w:rsid w:val="003325F1"/>
    <w:rsid w:val="003329C3"/>
    <w:rsid w:val="00332DC7"/>
    <w:rsid w:val="00332FAF"/>
    <w:rsid w:val="0033348D"/>
    <w:rsid w:val="0033422D"/>
    <w:rsid w:val="00334643"/>
    <w:rsid w:val="00334C96"/>
    <w:rsid w:val="00336063"/>
    <w:rsid w:val="00336171"/>
    <w:rsid w:val="00337293"/>
    <w:rsid w:val="003379D9"/>
    <w:rsid w:val="003405F5"/>
    <w:rsid w:val="003409EE"/>
    <w:rsid w:val="00342486"/>
    <w:rsid w:val="003428C0"/>
    <w:rsid w:val="003432FA"/>
    <w:rsid w:val="0034365F"/>
    <w:rsid w:val="00343F6F"/>
    <w:rsid w:val="0034446D"/>
    <w:rsid w:val="00344D8C"/>
    <w:rsid w:val="003459A8"/>
    <w:rsid w:val="00345B02"/>
    <w:rsid w:val="00345C6E"/>
    <w:rsid w:val="00346154"/>
    <w:rsid w:val="00346ED1"/>
    <w:rsid w:val="0034714C"/>
    <w:rsid w:val="00347495"/>
    <w:rsid w:val="00347A55"/>
    <w:rsid w:val="00347E78"/>
    <w:rsid w:val="00347F22"/>
    <w:rsid w:val="003501FD"/>
    <w:rsid w:val="003516A8"/>
    <w:rsid w:val="00351CCE"/>
    <w:rsid w:val="00352769"/>
    <w:rsid w:val="003527E5"/>
    <w:rsid w:val="00352FDD"/>
    <w:rsid w:val="003530A0"/>
    <w:rsid w:val="003530D9"/>
    <w:rsid w:val="003532A3"/>
    <w:rsid w:val="00353B0A"/>
    <w:rsid w:val="0035498B"/>
    <w:rsid w:val="003554C0"/>
    <w:rsid w:val="00357E3F"/>
    <w:rsid w:val="0036057B"/>
    <w:rsid w:val="003609B2"/>
    <w:rsid w:val="00361034"/>
    <w:rsid w:val="00361217"/>
    <w:rsid w:val="00361986"/>
    <w:rsid w:val="00361D3F"/>
    <w:rsid w:val="00361FBE"/>
    <w:rsid w:val="0036238B"/>
    <w:rsid w:val="003632BC"/>
    <w:rsid w:val="0036343D"/>
    <w:rsid w:val="00363DD0"/>
    <w:rsid w:val="003654BF"/>
    <w:rsid w:val="00366780"/>
    <w:rsid w:val="00367296"/>
    <w:rsid w:val="00367A0B"/>
    <w:rsid w:val="00367ED2"/>
    <w:rsid w:val="00367EF5"/>
    <w:rsid w:val="00370161"/>
    <w:rsid w:val="00370D8B"/>
    <w:rsid w:val="00370EEE"/>
    <w:rsid w:val="00370F52"/>
    <w:rsid w:val="003710CA"/>
    <w:rsid w:val="0037139B"/>
    <w:rsid w:val="0037156F"/>
    <w:rsid w:val="00371A1A"/>
    <w:rsid w:val="00371B53"/>
    <w:rsid w:val="00372011"/>
    <w:rsid w:val="003734EE"/>
    <w:rsid w:val="00374B2E"/>
    <w:rsid w:val="00374DED"/>
    <w:rsid w:val="00374E61"/>
    <w:rsid w:val="00375005"/>
    <w:rsid w:val="00375947"/>
    <w:rsid w:val="00376323"/>
    <w:rsid w:val="003773C8"/>
    <w:rsid w:val="00377735"/>
    <w:rsid w:val="00377A18"/>
    <w:rsid w:val="00380A3C"/>
    <w:rsid w:val="00380E69"/>
    <w:rsid w:val="00380E77"/>
    <w:rsid w:val="00381031"/>
    <w:rsid w:val="003817CB"/>
    <w:rsid w:val="00381F81"/>
    <w:rsid w:val="00382C5D"/>
    <w:rsid w:val="00382C98"/>
    <w:rsid w:val="00382D65"/>
    <w:rsid w:val="00382FF4"/>
    <w:rsid w:val="00383A58"/>
    <w:rsid w:val="00383DA1"/>
    <w:rsid w:val="0038550A"/>
    <w:rsid w:val="00386336"/>
    <w:rsid w:val="0038635C"/>
    <w:rsid w:val="00386617"/>
    <w:rsid w:val="00387A5A"/>
    <w:rsid w:val="00390646"/>
    <w:rsid w:val="00390D42"/>
    <w:rsid w:val="0039112F"/>
    <w:rsid w:val="003913FF"/>
    <w:rsid w:val="0039188B"/>
    <w:rsid w:val="0039225F"/>
    <w:rsid w:val="003935E8"/>
    <w:rsid w:val="003936B9"/>
    <w:rsid w:val="003938BB"/>
    <w:rsid w:val="00393B90"/>
    <w:rsid w:val="00394E7F"/>
    <w:rsid w:val="00396DA8"/>
    <w:rsid w:val="00396FA1"/>
    <w:rsid w:val="00397981"/>
    <w:rsid w:val="0039799D"/>
    <w:rsid w:val="003A022D"/>
    <w:rsid w:val="003A0481"/>
    <w:rsid w:val="003A0581"/>
    <w:rsid w:val="003A0932"/>
    <w:rsid w:val="003A0EBC"/>
    <w:rsid w:val="003A142D"/>
    <w:rsid w:val="003A1A1E"/>
    <w:rsid w:val="003A2679"/>
    <w:rsid w:val="003A27F3"/>
    <w:rsid w:val="003A2BA0"/>
    <w:rsid w:val="003A3681"/>
    <w:rsid w:val="003A3764"/>
    <w:rsid w:val="003A4000"/>
    <w:rsid w:val="003A40C3"/>
    <w:rsid w:val="003A4481"/>
    <w:rsid w:val="003A4B8E"/>
    <w:rsid w:val="003A4DA0"/>
    <w:rsid w:val="003A5668"/>
    <w:rsid w:val="003A62A2"/>
    <w:rsid w:val="003A6650"/>
    <w:rsid w:val="003A6F58"/>
    <w:rsid w:val="003A732C"/>
    <w:rsid w:val="003A7746"/>
    <w:rsid w:val="003B0FC5"/>
    <w:rsid w:val="003B1208"/>
    <w:rsid w:val="003B1653"/>
    <w:rsid w:val="003B1F73"/>
    <w:rsid w:val="003B247C"/>
    <w:rsid w:val="003B287C"/>
    <w:rsid w:val="003B29E1"/>
    <w:rsid w:val="003B3007"/>
    <w:rsid w:val="003B34C2"/>
    <w:rsid w:val="003B4908"/>
    <w:rsid w:val="003B490B"/>
    <w:rsid w:val="003B509B"/>
    <w:rsid w:val="003B5AC3"/>
    <w:rsid w:val="003B6D0E"/>
    <w:rsid w:val="003B7745"/>
    <w:rsid w:val="003B789C"/>
    <w:rsid w:val="003B7ED7"/>
    <w:rsid w:val="003C01C4"/>
    <w:rsid w:val="003C074F"/>
    <w:rsid w:val="003C0E19"/>
    <w:rsid w:val="003C0EB0"/>
    <w:rsid w:val="003C12E8"/>
    <w:rsid w:val="003C1C3D"/>
    <w:rsid w:val="003C33D4"/>
    <w:rsid w:val="003C3CE6"/>
    <w:rsid w:val="003C4D47"/>
    <w:rsid w:val="003C56C7"/>
    <w:rsid w:val="003C5C52"/>
    <w:rsid w:val="003C5DEC"/>
    <w:rsid w:val="003C6486"/>
    <w:rsid w:val="003C663C"/>
    <w:rsid w:val="003C6D0E"/>
    <w:rsid w:val="003C7688"/>
    <w:rsid w:val="003C7C0B"/>
    <w:rsid w:val="003D1391"/>
    <w:rsid w:val="003D27CF"/>
    <w:rsid w:val="003D4507"/>
    <w:rsid w:val="003D463C"/>
    <w:rsid w:val="003D4E7F"/>
    <w:rsid w:val="003D683E"/>
    <w:rsid w:val="003D7228"/>
    <w:rsid w:val="003D79D3"/>
    <w:rsid w:val="003E0542"/>
    <w:rsid w:val="003E0C7C"/>
    <w:rsid w:val="003E11C3"/>
    <w:rsid w:val="003E1EF4"/>
    <w:rsid w:val="003E2019"/>
    <w:rsid w:val="003E2576"/>
    <w:rsid w:val="003E2F16"/>
    <w:rsid w:val="003E32D4"/>
    <w:rsid w:val="003E3426"/>
    <w:rsid w:val="003E36B0"/>
    <w:rsid w:val="003E37A1"/>
    <w:rsid w:val="003E3EED"/>
    <w:rsid w:val="003E436A"/>
    <w:rsid w:val="003E4602"/>
    <w:rsid w:val="003E5D05"/>
    <w:rsid w:val="003E60A1"/>
    <w:rsid w:val="003E61C3"/>
    <w:rsid w:val="003E643B"/>
    <w:rsid w:val="003E64F1"/>
    <w:rsid w:val="003E67F9"/>
    <w:rsid w:val="003E6877"/>
    <w:rsid w:val="003E69F2"/>
    <w:rsid w:val="003E75C1"/>
    <w:rsid w:val="003F0277"/>
    <w:rsid w:val="003F046B"/>
    <w:rsid w:val="003F070E"/>
    <w:rsid w:val="003F18CF"/>
    <w:rsid w:val="003F22E7"/>
    <w:rsid w:val="003F28CD"/>
    <w:rsid w:val="003F3594"/>
    <w:rsid w:val="003F38E8"/>
    <w:rsid w:val="003F492F"/>
    <w:rsid w:val="003F4DE4"/>
    <w:rsid w:val="003F4E3D"/>
    <w:rsid w:val="003F4E96"/>
    <w:rsid w:val="003F51DE"/>
    <w:rsid w:val="003F6CB9"/>
    <w:rsid w:val="003F6D77"/>
    <w:rsid w:val="003F72F2"/>
    <w:rsid w:val="003F75C8"/>
    <w:rsid w:val="003F77BE"/>
    <w:rsid w:val="003F7B5D"/>
    <w:rsid w:val="003F7C6A"/>
    <w:rsid w:val="00400393"/>
    <w:rsid w:val="00401605"/>
    <w:rsid w:val="00402464"/>
    <w:rsid w:val="00402BE6"/>
    <w:rsid w:val="00402D68"/>
    <w:rsid w:val="00402D91"/>
    <w:rsid w:val="004030D0"/>
    <w:rsid w:val="0040374F"/>
    <w:rsid w:val="004042DB"/>
    <w:rsid w:val="00404632"/>
    <w:rsid w:val="00405BE6"/>
    <w:rsid w:val="004064FE"/>
    <w:rsid w:val="004066D6"/>
    <w:rsid w:val="00407431"/>
    <w:rsid w:val="0041078A"/>
    <w:rsid w:val="0041094C"/>
    <w:rsid w:val="00411CB8"/>
    <w:rsid w:val="00411DDC"/>
    <w:rsid w:val="00412A45"/>
    <w:rsid w:val="00412BD9"/>
    <w:rsid w:val="00412D07"/>
    <w:rsid w:val="00412F8F"/>
    <w:rsid w:val="00413119"/>
    <w:rsid w:val="004131AD"/>
    <w:rsid w:val="00413C47"/>
    <w:rsid w:val="00414ABF"/>
    <w:rsid w:val="00414B15"/>
    <w:rsid w:val="00414D3A"/>
    <w:rsid w:val="00415098"/>
    <w:rsid w:val="00415771"/>
    <w:rsid w:val="00416193"/>
    <w:rsid w:val="00417C8E"/>
    <w:rsid w:val="00420043"/>
    <w:rsid w:val="00420084"/>
    <w:rsid w:val="00420445"/>
    <w:rsid w:val="004205B3"/>
    <w:rsid w:val="00421448"/>
    <w:rsid w:val="0042175C"/>
    <w:rsid w:val="004218CB"/>
    <w:rsid w:val="00421E08"/>
    <w:rsid w:val="00422BA9"/>
    <w:rsid w:val="0042347F"/>
    <w:rsid w:val="00423D11"/>
    <w:rsid w:val="00423FF0"/>
    <w:rsid w:val="00424866"/>
    <w:rsid w:val="00424C2D"/>
    <w:rsid w:val="00425014"/>
    <w:rsid w:val="004254AE"/>
    <w:rsid w:val="00425BAA"/>
    <w:rsid w:val="00430278"/>
    <w:rsid w:val="004305D4"/>
    <w:rsid w:val="00430CEE"/>
    <w:rsid w:val="00430DCE"/>
    <w:rsid w:val="00430F1D"/>
    <w:rsid w:val="00431190"/>
    <w:rsid w:val="0043270E"/>
    <w:rsid w:val="00432BEE"/>
    <w:rsid w:val="004334D9"/>
    <w:rsid w:val="00434336"/>
    <w:rsid w:val="004357F7"/>
    <w:rsid w:val="00436C29"/>
    <w:rsid w:val="00436FE4"/>
    <w:rsid w:val="00437689"/>
    <w:rsid w:val="004379AD"/>
    <w:rsid w:val="00437D19"/>
    <w:rsid w:val="0044076A"/>
    <w:rsid w:val="00440A71"/>
    <w:rsid w:val="00440E58"/>
    <w:rsid w:val="00440F95"/>
    <w:rsid w:val="0044156E"/>
    <w:rsid w:val="004420AF"/>
    <w:rsid w:val="0044225D"/>
    <w:rsid w:val="004423DF"/>
    <w:rsid w:val="00443032"/>
    <w:rsid w:val="00443443"/>
    <w:rsid w:val="004437DB"/>
    <w:rsid w:val="0044382A"/>
    <w:rsid w:val="00443949"/>
    <w:rsid w:val="00443C05"/>
    <w:rsid w:val="00444832"/>
    <w:rsid w:val="00444854"/>
    <w:rsid w:val="004468EB"/>
    <w:rsid w:val="00446FF8"/>
    <w:rsid w:val="004476A7"/>
    <w:rsid w:val="0044798F"/>
    <w:rsid w:val="00447B00"/>
    <w:rsid w:val="004502BA"/>
    <w:rsid w:val="004505F8"/>
    <w:rsid w:val="00450E7F"/>
    <w:rsid w:val="0045171B"/>
    <w:rsid w:val="00451831"/>
    <w:rsid w:val="00452318"/>
    <w:rsid w:val="00452559"/>
    <w:rsid w:val="004528D2"/>
    <w:rsid w:val="00452BDA"/>
    <w:rsid w:val="00453835"/>
    <w:rsid w:val="00453B39"/>
    <w:rsid w:val="00453D50"/>
    <w:rsid w:val="004541FF"/>
    <w:rsid w:val="00455704"/>
    <w:rsid w:val="00455A18"/>
    <w:rsid w:val="00455C05"/>
    <w:rsid w:val="004563AF"/>
    <w:rsid w:val="00457503"/>
    <w:rsid w:val="00457C80"/>
    <w:rsid w:val="00457E68"/>
    <w:rsid w:val="0046040B"/>
    <w:rsid w:val="00460687"/>
    <w:rsid w:val="00461010"/>
    <w:rsid w:val="00461253"/>
    <w:rsid w:val="00461467"/>
    <w:rsid w:val="004617F4"/>
    <w:rsid w:val="00461BC3"/>
    <w:rsid w:val="00461BDC"/>
    <w:rsid w:val="004621FE"/>
    <w:rsid w:val="00462C92"/>
    <w:rsid w:val="0046306C"/>
    <w:rsid w:val="0046326E"/>
    <w:rsid w:val="00463B09"/>
    <w:rsid w:val="0046403D"/>
    <w:rsid w:val="0046417E"/>
    <w:rsid w:val="00464DC0"/>
    <w:rsid w:val="00464E56"/>
    <w:rsid w:val="00465DFE"/>
    <w:rsid w:val="004660EA"/>
    <w:rsid w:val="004666F5"/>
    <w:rsid w:val="00466B44"/>
    <w:rsid w:val="00467297"/>
    <w:rsid w:val="00467C75"/>
    <w:rsid w:val="0047020D"/>
    <w:rsid w:val="00470A1F"/>
    <w:rsid w:val="00470ADE"/>
    <w:rsid w:val="00471143"/>
    <w:rsid w:val="00472497"/>
    <w:rsid w:val="00472692"/>
    <w:rsid w:val="0047280B"/>
    <w:rsid w:val="0047371F"/>
    <w:rsid w:val="00473FD7"/>
    <w:rsid w:val="0047425E"/>
    <w:rsid w:val="00474BCE"/>
    <w:rsid w:val="00475654"/>
    <w:rsid w:val="00477441"/>
    <w:rsid w:val="00477B72"/>
    <w:rsid w:val="0048021D"/>
    <w:rsid w:val="00480434"/>
    <w:rsid w:val="00480A9C"/>
    <w:rsid w:val="0048117C"/>
    <w:rsid w:val="00481299"/>
    <w:rsid w:val="004826A3"/>
    <w:rsid w:val="004827C3"/>
    <w:rsid w:val="0048285D"/>
    <w:rsid w:val="0048297F"/>
    <w:rsid w:val="00482EEC"/>
    <w:rsid w:val="004837AA"/>
    <w:rsid w:val="00483E99"/>
    <w:rsid w:val="004853DD"/>
    <w:rsid w:val="00485900"/>
    <w:rsid w:val="00485B34"/>
    <w:rsid w:val="00485CB1"/>
    <w:rsid w:val="00486AA2"/>
    <w:rsid w:val="00487375"/>
    <w:rsid w:val="004879EE"/>
    <w:rsid w:val="00490D8F"/>
    <w:rsid w:val="00491482"/>
    <w:rsid w:val="00491C48"/>
    <w:rsid w:val="0049213C"/>
    <w:rsid w:val="004927A0"/>
    <w:rsid w:val="00492930"/>
    <w:rsid w:val="00492B9C"/>
    <w:rsid w:val="00492E74"/>
    <w:rsid w:val="00493528"/>
    <w:rsid w:val="00494608"/>
    <w:rsid w:val="00494B16"/>
    <w:rsid w:val="00494DEF"/>
    <w:rsid w:val="00494FD7"/>
    <w:rsid w:val="004961EC"/>
    <w:rsid w:val="004962BD"/>
    <w:rsid w:val="00496AB7"/>
    <w:rsid w:val="00497D13"/>
    <w:rsid w:val="00497D33"/>
    <w:rsid w:val="004A0235"/>
    <w:rsid w:val="004A0EFF"/>
    <w:rsid w:val="004A1078"/>
    <w:rsid w:val="004A1233"/>
    <w:rsid w:val="004A1725"/>
    <w:rsid w:val="004A1BA8"/>
    <w:rsid w:val="004A2CA9"/>
    <w:rsid w:val="004A4673"/>
    <w:rsid w:val="004A4AF5"/>
    <w:rsid w:val="004A5560"/>
    <w:rsid w:val="004A6B78"/>
    <w:rsid w:val="004A6E29"/>
    <w:rsid w:val="004A76A1"/>
    <w:rsid w:val="004A7D52"/>
    <w:rsid w:val="004B07DF"/>
    <w:rsid w:val="004B0F26"/>
    <w:rsid w:val="004B1248"/>
    <w:rsid w:val="004B2742"/>
    <w:rsid w:val="004B2E60"/>
    <w:rsid w:val="004B3500"/>
    <w:rsid w:val="004B4092"/>
    <w:rsid w:val="004B4192"/>
    <w:rsid w:val="004B41E4"/>
    <w:rsid w:val="004B4316"/>
    <w:rsid w:val="004B48CE"/>
    <w:rsid w:val="004B5553"/>
    <w:rsid w:val="004B5FDA"/>
    <w:rsid w:val="004B61A5"/>
    <w:rsid w:val="004B6E5E"/>
    <w:rsid w:val="004B7281"/>
    <w:rsid w:val="004C076A"/>
    <w:rsid w:val="004C08A0"/>
    <w:rsid w:val="004C09D0"/>
    <w:rsid w:val="004C0AB6"/>
    <w:rsid w:val="004C0C18"/>
    <w:rsid w:val="004C1221"/>
    <w:rsid w:val="004C146D"/>
    <w:rsid w:val="004C2AC9"/>
    <w:rsid w:val="004C2BA4"/>
    <w:rsid w:val="004C2DA2"/>
    <w:rsid w:val="004C3573"/>
    <w:rsid w:val="004C3661"/>
    <w:rsid w:val="004C3B8C"/>
    <w:rsid w:val="004C40C7"/>
    <w:rsid w:val="004C4189"/>
    <w:rsid w:val="004C41BF"/>
    <w:rsid w:val="004C4C23"/>
    <w:rsid w:val="004C4D3A"/>
    <w:rsid w:val="004C4E36"/>
    <w:rsid w:val="004C5379"/>
    <w:rsid w:val="004C5EA3"/>
    <w:rsid w:val="004C6991"/>
    <w:rsid w:val="004C6B00"/>
    <w:rsid w:val="004C6B23"/>
    <w:rsid w:val="004C6BC7"/>
    <w:rsid w:val="004C7B1A"/>
    <w:rsid w:val="004C7EB2"/>
    <w:rsid w:val="004D0421"/>
    <w:rsid w:val="004D0A8E"/>
    <w:rsid w:val="004D0B8D"/>
    <w:rsid w:val="004D1154"/>
    <w:rsid w:val="004D26FF"/>
    <w:rsid w:val="004D2EB4"/>
    <w:rsid w:val="004D3193"/>
    <w:rsid w:val="004D3406"/>
    <w:rsid w:val="004D3796"/>
    <w:rsid w:val="004D3D5C"/>
    <w:rsid w:val="004D5890"/>
    <w:rsid w:val="004D7280"/>
    <w:rsid w:val="004D72A8"/>
    <w:rsid w:val="004D7484"/>
    <w:rsid w:val="004E07C4"/>
    <w:rsid w:val="004E0DDC"/>
    <w:rsid w:val="004E1577"/>
    <w:rsid w:val="004E1BEC"/>
    <w:rsid w:val="004E1DF2"/>
    <w:rsid w:val="004E1EC0"/>
    <w:rsid w:val="004E23B1"/>
    <w:rsid w:val="004E2588"/>
    <w:rsid w:val="004E2685"/>
    <w:rsid w:val="004E3528"/>
    <w:rsid w:val="004E3A75"/>
    <w:rsid w:val="004E408D"/>
    <w:rsid w:val="004E42B9"/>
    <w:rsid w:val="004E4693"/>
    <w:rsid w:val="004E474A"/>
    <w:rsid w:val="004E4964"/>
    <w:rsid w:val="004E5AE9"/>
    <w:rsid w:val="004E5B5E"/>
    <w:rsid w:val="004E5B8C"/>
    <w:rsid w:val="004E647E"/>
    <w:rsid w:val="004E6D91"/>
    <w:rsid w:val="004E7035"/>
    <w:rsid w:val="004E71C3"/>
    <w:rsid w:val="004E725A"/>
    <w:rsid w:val="004E779A"/>
    <w:rsid w:val="004F088C"/>
    <w:rsid w:val="004F0C9A"/>
    <w:rsid w:val="004F0D80"/>
    <w:rsid w:val="004F187D"/>
    <w:rsid w:val="004F3124"/>
    <w:rsid w:val="004F426A"/>
    <w:rsid w:val="004F54B3"/>
    <w:rsid w:val="004F566B"/>
    <w:rsid w:val="004F5AB6"/>
    <w:rsid w:val="004F5D1D"/>
    <w:rsid w:val="004F5F98"/>
    <w:rsid w:val="004F6F8B"/>
    <w:rsid w:val="004F7254"/>
    <w:rsid w:val="004F7D98"/>
    <w:rsid w:val="005005F0"/>
    <w:rsid w:val="00500C69"/>
    <w:rsid w:val="0050124D"/>
    <w:rsid w:val="005012C0"/>
    <w:rsid w:val="005014F5"/>
    <w:rsid w:val="0050184D"/>
    <w:rsid w:val="00502D63"/>
    <w:rsid w:val="00503447"/>
    <w:rsid w:val="00503750"/>
    <w:rsid w:val="005037BF"/>
    <w:rsid w:val="00503941"/>
    <w:rsid w:val="00503952"/>
    <w:rsid w:val="00503C3B"/>
    <w:rsid w:val="0050428D"/>
    <w:rsid w:val="00504691"/>
    <w:rsid w:val="00504A3D"/>
    <w:rsid w:val="005056D7"/>
    <w:rsid w:val="00505A53"/>
    <w:rsid w:val="00505B30"/>
    <w:rsid w:val="00505EF8"/>
    <w:rsid w:val="0050623D"/>
    <w:rsid w:val="0050734A"/>
    <w:rsid w:val="00510023"/>
    <w:rsid w:val="00510863"/>
    <w:rsid w:val="00510E6B"/>
    <w:rsid w:val="005113AD"/>
    <w:rsid w:val="00512231"/>
    <w:rsid w:val="00512C66"/>
    <w:rsid w:val="0051323B"/>
    <w:rsid w:val="0051333D"/>
    <w:rsid w:val="0051386E"/>
    <w:rsid w:val="00513B71"/>
    <w:rsid w:val="0051468D"/>
    <w:rsid w:val="0051494D"/>
    <w:rsid w:val="00514C6C"/>
    <w:rsid w:val="0051518E"/>
    <w:rsid w:val="005152BC"/>
    <w:rsid w:val="0051542A"/>
    <w:rsid w:val="00517A19"/>
    <w:rsid w:val="005207E0"/>
    <w:rsid w:val="00521127"/>
    <w:rsid w:val="005211B2"/>
    <w:rsid w:val="00522C42"/>
    <w:rsid w:val="00522D42"/>
    <w:rsid w:val="00522F55"/>
    <w:rsid w:val="00523275"/>
    <w:rsid w:val="00523A52"/>
    <w:rsid w:val="00524F8D"/>
    <w:rsid w:val="00525331"/>
    <w:rsid w:val="00525945"/>
    <w:rsid w:val="00525B84"/>
    <w:rsid w:val="00526192"/>
    <w:rsid w:val="005262A9"/>
    <w:rsid w:val="005262E4"/>
    <w:rsid w:val="005264BD"/>
    <w:rsid w:val="00527595"/>
    <w:rsid w:val="005276F9"/>
    <w:rsid w:val="0052771A"/>
    <w:rsid w:val="00530B06"/>
    <w:rsid w:val="00530B59"/>
    <w:rsid w:val="0053112F"/>
    <w:rsid w:val="00531385"/>
    <w:rsid w:val="00531952"/>
    <w:rsid w:val="00531B8F"/>
    <w:rsid w:val="00532930"/>
    <w:rsid w:val="00532984"/>
    <w:rsid w:val="00533040"/>
    <w:rsid w:val="00533E8B"/>
    <w:rsid w:val="00534BFA"/>
    <w:rsid w:val="005356ED"/>
    <w:rsid w:val="00536AE4"/>
    <w:rsid w:val="00536F52"/>
    <w:rsid w:val="0053761C"/>
    <w:rsid w:val="005378B0"/>
    <w:rsid w:val="00537EB3"/>
    <w:rsid w:val="00537EBE"/>
    <w:rsid w:val="00537EFC"/>
    <w:rsid w:val="005402D7"/>
    <w:rsid w:val="0054056E"/>
    <w:rsid w:val="00540573"/>
    <w:rsid w:val="00540E91"/>
    <w:rsid w:val="00541D5C"/>
    <w:rsid w:val="005421A9"/>
    <w:rsid w:val="005422D6"/>
    <w:rsid w:val="00542554"/>
    <w:rsid w:val="00542591"/>
    <w:rsid w:val="00542D05"/>
    <w:rsid w:val="00542E0B"/>
    <w:rsid w:val="00543CEA"/>
    <w:rsid w:val="0054437F"/>
    <w:rsid w:val="005446DE"/>
    <w:rsid w:val="00544718"/>
    <w:rsid w:val="00544765"/>
    <w:rsid w:val="00544FA1"/>
    <w:rsid w:val="005451E5"/>
    <w:rsid w:val="005460EA"/>
    <w:rsid w:val="005467F0"/>
    <w:rsid w:val="0054695B"/>
    <w:rsid w:val="00546F15"/>
    <w:rsid w:val="005477A2"/>
    <w:rsid w:val="00550320"/>
    <w:rsid w:val="005504A5"/>
    <w:rsid w:val="00550E46"/>
    <w:rsid w:val="00551243"/>
    <w:rsid w:val="00551769"/>
    <w:rsid w:val="005519B7"/>
    <w:rsid w:val="00551C9A"/>
    <w:rsid w:val="0055235B"/>
    <w:rsid w:val="005533D0"/>
    <w:rsid w:val="00553974"/>
    <w:rsid w:val="00554650"/>
    <w:rsid w:val="00554FF2"/>
    <w:rsid w:val="0055560D"/>
    <w:rsid w:val="005559E9"/>
    <w:rsid w:val="00555A4F"/>
    <w:rsid w:val="005561AC"/>
    <w:rsid w:val="005570BE"/>
    <w:rsid w:val="00557940"/>
    <w:rsid w:val="00557D62"/>
    <w:rsid w:val="00557EF0"/>
    <w:rsid w:val="005607B9"/>
    <w:rsid w:val="00560B85"/>
    <w:rsid w:val="00561BDE"/>
    <w:rsid w:val="0056233B"/>
    <w:rsid w:val="00562A51"/>
    <w:rsid w:val="00562B73"/>
    <w:rsid w:val="00562C86"/>
    <w:rsid w:val="00562D96"/>
    <w:rsid w:val="005642F4"/>
    <w:rsid w:val="00564313"/>
    <w:rsid w:val="00564978"/>
    <w:rsid w:val="00564EBB"/>
    <w:rsid w:val="00565D6A"/>
    <w:rsid w:val="00566A8C"/>
    <w:rsid w:val="00566C7E"/>
    <w:rsid w:val="0056717F"/>
    <w:rsid w:val="00567B17"/>
    <w:rsid w:val="00570B82"/>
    <w:rsid w:val="00570E53"/>
    <w:rsid w:val="005718A0"/>
    <w:rsid w:val="005720E6"/>
    <w:rsid w:val="005724C3"/>
    <w:rsid w:val="005729C7"/>
    <w:rsid w:val="00572E82"/>
    <w:rsid w:val="00572F77"/>
    <w:rsid w:val="0057357B"/>
    <w:rsid w:val="00573718"/>
    <w:rsid w:val="00574EA9"/>
    <w:rsid w:val="005753A1"/>
    <w:rsid w:val="005760AF"/>
    <w:rsid w:val="00576987"/>
    <w:rsid w:val="005774CE"/>
    <w:rsid w:val="005777A3"/>
    <w:rsid w:val="00577A7B"/>
    <w:rsid w:val="00580127"/>
    <w:rsid w:val="005812A5"/>
    <w:rsid w:val="00581DBF"/>
    <w:rsid w:val="0058326E"/>
    <w:rsid w:val="00583329"/>
    <w:rsid w:val="005834B1"/>
    <w:rsid w:val="0058352B"/>
    <w:rsid w:val="005838B7"/>
    <w:rsid w:val="00583A41"/>
    <w:rsid w:val="00584289"/>
    <w:rsid w:val="00585028"/>
    <w:rsid w:val="00586B32"/>
    <w:rsid w:val="00587679"/>
    <w:rsid w:val="0059015E"/>
    <w:rsid w:val="00590661"/>
    <w:rsid w:val="005915F0"/>
    <w:rsid w:val="005919CC"/>
    <w:rsid w:val="00591F58"/>
    <w:rsid w:val="005923E7"/>
    <w:rsid w:val="00592611"/>
    <w:rsid w:val="005926FF"/>
    <w:rsid w:val="005927B6"/>
    <w:rsid w:val="00592ED9"/>
    <w:rsid w:val="00592FDE"/>
    <w:rsid w:val="00592FE6"/>
    <w:rsid w:val="005931E4"/>
    <w:rsid w:val="0059348C"/>
    <w:rsid w:val="00593A13"/>
    <w:rsid w:val="005954D3"/>
    <w:rsid w:val="00596199"/>
    <w:rsid w:val="005972F4"/>
    <w:rsid w:val="005A073E"/>
    <w:rsid w:val="005A0B19"/>
    <w:rsid w:val="005A0BC1"/>
    <w:rsid w:val="005A1304"/>
    <w:rsid w:val="005A2B90"/>
    <w:rsid w:val="005A2D77"/>
    <w:rsid w:val="005A2E40"/>
    <w:rsid w:val="005A351D"/>
    <w:rsid w:val="005A38A2"/>
    <w:rsid w:val="005A39D0"/>
    <w:rsid w:val="005A3D43"/>
    <w:rsid w:val="005A4010"/>
    <w:rsid w:val="005A4CC6"/>
    <w:rsid w:val="005A564F"/>
    <w:rsid w:val="005A7722"/>
    <w:rsid w:val="005A7A28"/>
    <w:rsid w:val="005A7C93"/>
    <w:rsid w:val="005B009E"/>
    <w:rsid w:val="005B0933"/>
    <w:rsid w:val="005B0954"/>
    <w:rsid w:val="005B0A49"/>
    <w:rsid w:val="005B1BC4"/>
    <w:rsid w:val="005B1D52"/>
    <w:rsid w:val="005B1E0B"/>
    <w:rsid w:val="005B2922"/>
    <w:rsid w:val="005B2F76"/>
    <w:rsid w:val="005B3624"/>
    <w:rsid w:val="005B3903"/>
    <w:rsid w:val="005B4B4D"/>
    <w:rsid w:val="005B4E81"/>
    <w:rsid w:val="005B56E2"/>
    <w:rsid w:val="005B5A51"/>
    <w:rsid w:val="005B5EE5"/>
    <w:rsid w:val="005B665B"/>
    <w:rsid w:val="005B69B1"/>
    <w:rsid w:val="005B7EC4"/>
    <w:rsid w:val="005C0398"/>
    <w:rsid w:val="005C05D4"/>
    <w:rsid w:val="005C0D4D"/>
    <w:rsid w:val="005C0D9C"/>
    <w:rsid w:val="005C105E"/>
    <w:rsid w:val="005C1082"/>
    <w:rsid w:val="005C1434"/>
    <w:rsid w:val="005C2A50"/>
    <w:rsid w:val="005C3502"/>
    <w:rsid w:val="005C4F27"/>
    <w:rsid w:val="005C5203"/>
    <w:rsid w:val="005C560C"/>
    <w:rsid w:val="005C5697"/>
    <w:rsid w:val="005C7158"/>
    <w:rsid w:val="005C75C9"/>
    <w:rsid w:val="005D0225"/>
    <w:rsid w:val="005D0527"/>
    <w:rsid w:val="005D08B8"/>
    <w:rsid w:val="005D0D84"/>
    <w:rsid w:val="005D1278"/>
    <w:rsid w:val="005D1A73"/>
    <w:rsid w:val="005D1B9D"/>
    <w:rsid w:val="005D4151"/>
    <w:rsid w:val="005D5494"/>
    <w:rsid w:val="005D6267"/>
    <w:rsid w:val="005D6FF9"/>
    <w:rsid w:val="005D77BD"/>
    <w:rsid w:val="005E0230"/>
    <w:rsid w:val="005E04B5"/>
    <w:rsid w:val="005E05E5"/>
    <w:rsid w:val="005E0A06"/>
    <w:rsid w:val="005E0AB8"/>
    <w:rsid w:val="005E1417"/>
    <w:rsid w:val="005E199B"/>
    <w:rsid w:val="005E1E7B"/>
    <w:rsid w:val="005E2246"/>
    <w:rsid w:val="005E2660"/>
    <w:rsid w:val="005E273B"/>
    <w:rsid w:val="005E30C8"/>
    <w:rsid w:val="005E44FA"/>
    <w:rsid w:val="005E5417"/>
    <w:rsid w:val="005E7C04"/>
    <w:rsid w:val="005F04D2"/>
    <w:rsid w:val="005F061D"/>
    <w:rsid w:val="005F0C85"/>
    <w:rsid w:val="005F0CD5"/>
    <w:rsid w:val="005F0CDE"/>
    <w:rsid w:val="005F0FFB"/>
    <w:rsid w:val="005F1E84"/>
    <w:rsid w:val="005F20B1"/>
    <w:rsid w:val="005F20B2"/>
    <w:rsid w:val="005F2181"/>
    <w:rsid w:val="005F2A54"/>
    <w:rsid w:val="005F3755"/>
    <w:rsid w:val="005F37A5"/>
    <w:rsid w:val="005F3C9F"/>
    <w:rsid w:val="005F4C42"/>
    <w:rsid w:val="005F4CA5"/>
    <w:rsid w:val="005F543F"/>
    <w:rsid w:val="005F5D8A"/>
    <w:rsid w:val="005F5D8E"/>
    <w:rsid w:val="005F5E0E"/>
    <w:rsid w:val="005F5E17"/>
    <w:rsid w:val="005F63B8"/>
    <w:rsid w:val="005F63C4"/>
    <w:rsid w:val="005F6C7F"/>
    <w:rsid w:val="005F7203"/>
    <w:rsid w:val="005F7485"/>
    <w:rsid w:val="005F7753"/>
    <w:rsid w:val="00600F1B"/>
    <w:rsid w:val="00601D92"/>
    <w:rsid w:val="00601E41"/>
    <w:rsid w:val="00602760"/>
    <w:rsid w:val="0060284B"/>
    <w:rsid w:val="00602E9E"/>
    <w:rsid w:val="006037AB"/>
    <w:rsid w:val="0060510F"/>
    <w:rsid w:val="00605650"/>
    <w:rsid w:val="006061D6"/>
    <w:rsid w:val="00607473"/>
    <w:rsid w:val="00607D7B"/>
    <w:rsid w:val="006101EC"/>
    <w:rsid w:val="00610D3B"/>
    <w:rsid w:val="006110B9"/>
    <w:rsid w:val="00612F76"/>
    <w:rsid w:val="006134F1"/>
    <w:rsid w:val="006136B6"/>
    <w:rsid w:val="006138C2"/>
    <w:rsid w:val="0061444E"/>
    <w:rsid w:val="0061463F"/>
    <w:rsid w:val="00614EF9"/>
    <w:rsid w:val="006155F2"/>
    <w:rsid w:val="006165E7"/>
    <w:rsid w:val="0061681B"/>
    <w:rsid w:val="006177A1"/>
    <w:rsid w:val="00617A2C"/>
    <w:rsid w:val="0062143E"/>
    <w:rsid w:val="006229AA"/>
    <w:rsid w:val="00622F5C"/>
    <w:rsid w:val="006235C4"/>
    <w:rsid w:val="00623A07"/>
    <w:rsid w:val="00624315"/>
    <w:rsid w:val="00624D07"/>
    <w:rsid w:val="00625614"/>
    <w:rsid w:val="00625684"/>
    <w:rsid w:val="00625B88"/>
    <w:rsid w:val="00625CFB"/>
    <w:rsid w:val="00625E35"/>
    <w:rsid w:val="0062715B"/>
    <w:rsid w:val="006273AE"/>
    <w:rsid w:val="00627BAE"/>
    <w:rsid w:val="00627DAF"/>
    <w:rsid w:val="00630273"/>
    <w:rsid w:val="00630BAC"/>
    <w:rsid w:val="00630BDC"/>
    <w:rsid w:val="00630C15"/>
    <w:rsid w:val="0063110C"/>
    <w:rsid w:val="006312D5"/>
    <w:rsid w:val="00631481"/>
    <w:rsid w:val="00631FF2"/>
    <w:rsid w:val="0063224C"/>
    <w:rsid w:val="006328F7"/>
    <w:rsid w:val="00632EAC"/>
    <w:rsid w:val="00632F91"/>
    <w:rsid w:val="00633E0D"/>
    <w:rsid w:val="0063422C"/>
    <w:rsid w:val="006344F8"/>
    <w:rsid w:val="0063489F"/>
    <w:rsid w:val="006348B6"/>
    <w:rsid w:val="006348B8"/>
    <w:rsid w:val="00634A5D"/>
    <w:rsid w:val="00635682"/>
    <w:rsid w:val="006358AE"/>
    <w:rsid w:val="00635A2D"/>
    <w:rsid w:val="0063668C"/>
    <w:rsid w:val="006368F7"/>
    <w:rsid w:val="00636944"/>
    <w:rsid w:val="006369D4"/>
    <w:rsid w:val="00636B55"/>
    <w:rsid w:val="00636C61"/>
    <w:rsid w:val="006373ED"/>
    <w:rsid w:val="00637493"/>
    <w:rsid w:val="00637967"/>
    <w:rsid w:val="00637B66"/>
    <w:rsid w:val="00637E06"/>
    <w:rsid w:val="00640589"/>
    <w:rsid w:val="006417AE"/>
    <w:rsid w:val="00641F85"/>
    <w:rsid w:val="00642731"/>
    <w:rsid w:val="00642870"/>
    <w:rsid w:val="00642EEE"/>
    <w:rsid w:val="0064383B"/>
    <w:rsid w:val="00643891"/>
    <w:rsid w:val="00643A2A"/>
    <w:rsid w:val="00644499"/>
    <w:rsid w:val="0064482E"/>
    <w:rsid w:val="0064535F"/>
    <w:rsid w:val="006462DB"/>
    <w:rsid w:val="006468BB"/>
    <w:rsid w:val="00647767"/>
    <w:rsid w:val="00650EAA"/>
    <w:rsid w:val="00651C20"/>
    <w:rsid w:val="0065276A"/>
    <w:rsid w:val="00652998"/>
    <w:rsid w:val="00652A9C"/>
    <w:rsid w:val="00652B7E"/>
    <w:rsid w:val="00652FC8"/>
    <w:rsid w:val="006543BA"/>
    <w:rsid w:val="00654441"/>
    <w:rsid w:val="00655A73"/>
    <w:rsid w:val="00655C7B"/>
    <w:rsid w:val="00655EA0"/>
    <w:rsid w:val="00655FCF"/>
    <w:rsid w:val="0065614B"/>
    <w:rsid w:val="00657DF3"/>
    <w:rsid w:val="0066205D"/>
    <w:rsid w:val="00663026"/>
    <w:rsid w:val="00663112"/>
    <w:rsid w:val="00663CAD"/>
    <w:rsid w:val="00664453"/>
    <w:rsid w:val="00664ADF"/>
    <w:rsid w:val="006655F7"/>
    <w:rsid w:val="006656B4"/>
    <w:rsid w:val="00665C19"/>
    <w:rsid w:val="006660AE"/>
    <w:rsid w:val="00666B65"/>
    <w:rsid w:val="00666C65"/>
    <w:rsid w:val="00666EC5"/>
    <w:rsid w:val="00666F3C"/>
    <w:rsid w:val="00667772"/>
    <w:rsid w:val="0066790E"/>
    <w:rsid w:val="00667C69"/>
    <w:rsid w:val="00670891"/>
    <w:rsid w:val="00671911"/>
    <w:rsid w:val="00671F70"/>
    <w:rsid w:val="00672956"/>
    <w:rsid w:val="006734B0"/>
    <w:rsid w:val="0067366E"/>
    <w:rsid w:val="00674814"/>
    <w:rsid w:val="006753D6"/>
    <w:rsid w:val="0067564A"/>
    <w:rsid w:val="00675842"/>
    <w:rsid w:val="00675E97"/>
    <w:rsid w:val="00675FD2"/>
    <w:rsid w:val="00676869"/>
    <w:rsid w:val="00676E77"/>
    <w:rsid w:val="00677DFC"/>
    <w:rsid w:val="00677F37"/>
    <w:rsid w:val="0068064E"/>
    <w:rsid w:val="00680A9F"/>
    <w:rsid w:val="00680DEA"/>
    <w:rsid w:val="006811F6"/>
    <w:rsid w:val="0068148F"/>
    <w:rsid w:val="0068158B"/>
    <w:rsid w:val="00681B0D"/>
    <w:rsid w:val="00681C95"/>
    <w:rsid w:val="006823EA"/>
    <w:rsid w:val="00682A0F"/>
    <w:rsid w:val="00682A8B"/>
    <w:rsid w:val="00682AAD"/>
    <w:rsid w:val="00682D13"/>
    <w:rsid w:val="006832E6"/>
    <w:rsid w:val="0068424C"/>
    <w:rsid w:val="00684A34"/>
    <w:rsid w:val="00684E7E"/>
    <w:rsid w:val="006854E7"/>
    <w:rsid w:val="006854F4"/>
    <w:rsid w:val="006858D4"/>
    <w:rsid w:val="006865D0"/>
    <w:rsid w:val="00686C5D"/>
    <w:rsid w:val="00686E78"/>
    <w:rsid w:val="00687035"/>
    <w:rsid w:val="00687072"/>
    <w:rsid w:val="00687651"/>
    <w:rsid w:val="00687738"/>
    <w:rsid w:val="00687815"/>
    <w:rsid w:val="006879AF"/>
    <w:rsid w:val="00687F8E"/>
    <w:rsid w:val="0069058A"/>
    <w:rsid w:val="00691AF7"/>
    <w:rsid w:val="00692D9C"/>
    <w:rsid w:val="00693110"/>
    <w:rsid w:val="00693C56"/>
    <w:rsid w:val="00694318"/>
    <w:rsid w:val="00694496"/>
    <w:rsid w:val="00694B7F"/>
    <w:rsid w:val="00695069"/>
    <w:rsid w:val="00695257"/>
    <w:rsid w:val="00695D02"/>
    <w:rsid w:val="00695DC0"/>
    <w:rsid w:val="00696759"/>
    <w:rsid w:val="00696E3F"/>
    <w:rsid w:val="0069771F"/>
    <w:rsid w:val="006A190C"/>
    <w:rsid w:val="006A24D4"/>
    <w:rsid w:val="006A2A3C"/>
    <w:rsid w:val="006A4744"/>
    <w:rsid w:val="006A4F47"/>
    <w:rsid w:val="006A6C53"/>
    <w:rsid w:val="006A6CF0"/>
    <w:rsid w:val="006A7430"/>
    <w:rsid w:val="006A7B8E"/>
    <w:rsid w:val="006A7DC0"/>
    <w:rsid w:val="006B0092"/>
    <w:rsid w:val="006B0B65"/>
    <w:rsid w:val="006B123D"/>
    <w:rsid w:val="006B1452"/>
    <w:rsid w:val="006B1790"/>
    <w:rsid w:val="006B1946"/>
    <w:rsid w:val="006B1DAC"/>
    <w:rsid w:val="006B1DC1"/>
    <w:rsid w:val="006B285F"/>
    <w:rsid w:val="006B34BF"/>
    <w:rsid w:val="006B3797"/>
    <w:rsid w:val="006B475E"/>
    <w:rsid w:val="006B4CBD"/>
    <w:rsid w:val="006B5CC1"/>
    <w:rsid w:val="006B5DE6"/>
    <w:rsid w:val="006B6130"/>
    <w:rsid w:val="006B68AA"/>
    <w:rsid w:val="006B696C"/>
    <w:rsid w:val="006B6E06"/>
    <w:rsid w:val="006B6F29"/>
    <w:rsid w:val="006B734F"/>
    <w:rsid w:val="006B787F"/>
    <w:rsid w:val="006C155E"/>
    <w:rsid w:val="006C2094"/>
    <w:rsid w:val="006C2237"/>
    <w:rsid w:val="006C2365"/>
    <w:rsid w:val="006C2486"/>
    <w:rsid w:val="006C25E5"/>
    <w:rsid w:val="006C2F3A"/>
    <w:rsid w:val="006C3D9B"/>
    <w:rsid w:val="006C3DC4"/>
    <w:rsid w:val="006C4B12"/>
    <w:rsid w:val="006C53E6"/>
    <w:rsid w:val="006C56D2"/>
    <w:rsid w:val="006C5943"/>
    <w:rsid w:val="006C5B48"/>
    <w:rsid w:val="006C664B"/>
    <w:rsid w:val="006C664D"/>
    <w:rsid w:val="006C6EEA"/>
    <w:rsid w:val="006C711A"/>
    <w:rsid w:val="006C7215"/>
    <w:rsid w:val="006C75E1"/>
    <w:rsid w:val="006C7992"/>
    <w:rsid w:val="006C7D39"/>
    <w:rsid w:val="006C7E76"/>
    <w:rsid w:val="006D024A"/>
    <w:rsid w:val="006D0411"/>
    <w:rsid w:val="006D07EA"/>
    <w:rsid w:val="006D0A26"/>
    <w:rsid w:val="006D0B06"/>
    <w:rsid w:val="006D0E1E"/>
    <w:rsid w:val="006D11E2"/>
    <w:rsid w:val="006D17D9"/>
    <w:rsid w:val="006D1CC1"/>
    <w:rsid w:val="006D3446"/>
    <w:rsid w:val="006D3F98"/>
    <w:rsid w:val="006D4195"/>
    <w:rsid w:val="006D460E"/>
    <w:rsid w:val="006D47C3"/>
    <w:rsid w:val="006D53DA"/>
    <w:rsid w:val="006D568B"/>
    <w:rsid w:val="006D5F7B"/>
    <w:rsid w:val="006D5FB1"/>
    <w:rsid w:val="006D606E"/>
    <w:rsid w:val="006D6507"/>
    <w:rsid w:val="006D700C"/>
    <w:rsid w:val="006D7B49"/>
    <w:rsid w:val="006E0102"/>
    <w:rsid w:val="006E0E9F"/>
    <w:rsid w:val="006E1254"/>
    <w:rsid w:val="006E16E9"/>
    <w:rsid w:val="006E18E3"/>
    <w:rsid w:val="006E21E6"/>
    <w:rsid w:val="006E2276"/>
    <w:rsid w:val="006E318F"/>
    <w:rsid w:val="006E3703"/>
    <w:rsid w:val="006E39C9"/>
    <w:rsid w:val="006E4676"/>
    <w:rsid w:val="006E50FD"/>
    <w:rsid w:val="006E52AF"/>
    <w:rsid w:val="006E53EE"/>
    <w:rsid w:val="006E5D2E"/>
    <w:rsid w:val="006E61F3"/>
    <w:rsid w:val="006E6B7E"/>
    <w:rsid w:val="006E74AD"/>
    <w:rsid w:val="006F055A"/>
    <w:rsid w:val="006F0733"/>
    <w:rsid w:val="006F0A85"/>
    <w:rsid w:val="006F1181"/>
    <w:rsid w:val="006F1468"/>
    <w:rsid w:val="006F1473"/>
    <w:rsid w:val="006F148F"/>
    <w:rsid w:val="006F1605"/>
    <w:rsid w:val="006F2FFF"/>
    <w:rsid w:val="006F3550"/>
    <w:rsid w:val="006F3A71"/>
    <w:rsid w:val="006F3F3F"/>
    <w:rsid w:val="006F4053"/>
    <w:rsid w:val="006F4786"/>
    <w:rsid w:val="006F47BA"/>
    <w:rsid w:val="006F5CA0"/>
    <w:rsid w:val="006F5F53"/>
    <w:rsid w:val="006F69D6"/>
    <w:rsid w:val="006F6BA9"/>
    <w:rsid w:val="006F77E2"/>
    <w:rsid w:val="007000AC"/>
    <w:rsid w:val="00701076"/>
    <w:rsid w:val="00701276"/>
    <w:rsid w:val="0070196F"/>
    <w:rsid w:val="00701AF0"/>
    <w:rsid w:val="007022FA"/>
    <w:rsid w:val="00702787"/>
    <w:rsid w:val="00703E8A"/>
    <w:rsid w:val="00704509"/>
    <w:rsid w:val="007062DB"/>
    <w:rsid w:val="0070699C"/>
    <w:rsid w:val="00706B0D"/>
    <w:rsid w:val="00706EDD"/>
    <w:rsid w:val="0070777B"/>
    <w:rsid w:val="007077E9"/>
    <w:rsid w:val="0071012B"/>
    <w:rsid w:val="00710ED3"/>
    <w:rsid w:val="0071110D"/>
    <w:rsid w:val="00711CD0"/>
    <w:rsid w:val="00712711"/>
    <w:rsid w:val="00713181"/>
    <w:rsid w:val="007134FE"/>
    <w:rsid w:val="00714162"/>
    <w:rsid w:val="00714812"/>
    <w:rsid w:val="00714EE0"/>
    <w:rsid w:val="007161D7"/>
    <w:rsid w:val="007164A8"/>
    <w:rsid w:val="007164FB"/>
    <w:rsid w:val="00717757"/>
    <w:rsid w:val="00717B28"/>
    <w:rsid w:val="00717B5E"/>
    <w:rsid w:val="00720389"/>
    <w:rsid w:val="007203DF"/>
    <w:rsid w:val="00720C60"/>
    <w:rsid w:val="00720E75"/>
    <w:rsid w:val="00722439"/>
    <w:rsid w:val="007227A3"/>
    <w:rsid w:val="00722D74"/>
    <w:rsid w:val="00722DE9"/>
    <w:rsid w:val="00723710"/>
    <w:rsid w:val="00723950"/>
    <w:rsid w:val="00723983"/>
    <w:rsid w:val="007249AC"/>
    <w:rsid w:val="0072524F"/>
    <w:rsid w:val="00725458"/>
    <w:rsid w:val="00726123"/>
    <w:rsid w:val="007261F2"/>
    <w:rsid w:val="0072637A"/>
    <w:rsid w:val="00730837"/>
    <w:rsid w:val="0073131D"/>
    <w:rsid w:val="0073196A"/>
    <w:rsid w:val="00731B0C"/>
    <w:rsid w:val="00731D56"/>
    <w:rsid w:val="0073218A"/>
    <w:rsid w:val="007330FE"/>
    <w:rsid w:val="0073317A"/>
    <w:rsid w:val="0073329F"/>
    <w:rsid w:val="00733A39"/>
    <w:rsid w:val="00733B11"/>
    <w:rsid w:val="00734578"/>
    <w:rsid w:val="00734C2E"/>
    <w:rsid w:val="0073599E"/>
    <w:rsid w:val="00735E7A"/>
    <w:rsid w:val="007362A7"/>
    <w:rsid w:val="00736FE4"/>
    <w:rsid w:val="00737705"/>
    <w:rsid w:val="0074053E"/>
    <w:rsid w:val="0074076E"/>
    <w:rsid w:val="00740A31"/>
    <w:rsid w:val="00740DA7"/>
    <w:rsid w:val="00740F6E"/>
    <w:rsid w:val="007414A8"/>
    <w:rsid w:val="00741516"/>
    <w:rsid w:val="00741A4B"/>
    <w:rsid w:val="00741B0D"/>
    <w:rsid w:val="00743007"/>
    <w:rsid w:val="007438F4"/>
    <w:rsid w:val="00743912"/>
    <w:rsid w:val="00743A44"/>
    <w:rsid w:val="00743CAD"/>
    <w:rsid w:val="00745FAC"/>
    <w:rsid w:val="0074618B"/>
    <w:rsid w:val="00746609"/>
    <w:rsid w:val="00746908"/>
    <w:rsid w:val="00746DF4"/>
    <w:rsid w:val="007477ED"/>
    <w:rsid w:val="007506FC"/>
    <w:rsid w:val="007508EA"/>
    <w:rsid w:val="00750CE3"/>
    <w:rsid w:val="0075110E"/>
    <w:rsid w:val="0075155A"/>
    <w:rsid w:val="007527B9"/>
    <w:rsid w:val="007530C6"/>
    <w:rsid w:val="00754418"/>
    <w:rsid w:val="0075463A"/>
    <w:rsid w:val="007552A7"/>
    <w:rsid w:val="0075538F"/>
    <w:rsid w:val="0075560F"/>
    <w:rsid w:val="007558B2"/>
    <w:rsid w:val="007561CC"/>
    <w:rsid w:val="00756312"/>
    <w:rsid w:val="00756562"/>
    <w:rsid w:val="00757034"/>
    <w:rsid w:val="007577C3"/>
    <w:rsid w:val="00757897"/>
    <w:rsid w:val="00760141"/>
    <w:rsid w:val="007608B5"/>
    <w:rsid w:val="00760A40"/>
    <w:rsid w:val="007615AC"/>
    <w:rsid w:val="00761CB0"/>
    <w:rsid w:val="00762030"/>
    <w:rsid w:val="00762A2A"/>
    <w:rsid w:val="00762DF4"/>
    <w:rsid w:val="007633F2"/>
    <w:rsid w:val="007637EC"/>
    <w:rsid w:val="00763AF0"/>
    <w:rsid w:val="007640A4"/>
    <w:rsid w:val="00764685"/>
    <w:rsid w:val="00764A74"/>
    <w:rsid w:val="00765046"/>
    <w:rsid w:val="007668F3"/>
    <w:rsid w:val="00766C04"/>
    <w:rsid w:val="00766FAF"/>
    <w:rsid w:val="007677F9"/>
    <w:rsid w:val="00767971"/>
    <w:rsid w:val="00767C06"/>
    <w:rsid w:val="0077108F"/>
    <w:rsid w:val="00772362"/>
    <w:rsid w:val="007731C0"/>
    <w:rsid w:val="00773BCD"/>
    <w:rsid w:val="00774735"/>
    <w:rsid w:val="00774FD1"/>
    <w:rsid w:val="00775117"/>
    <w:rsid w:val="0077539F"/>
    <w:rsid w:val="00775A4B"/>
    <w:rsid w:val="00776040"/>
    <w:rsid w:val="00776523"/>
    <w:rsid w:val="007803BB"/>
    <w:rsid w:val="00780745"/>
    <w:rsid w:val="00781014"/>
    <w:rsid w:val="007816A1"/>
    <w:rsid w:val="0078175A"/>
    <w:rsid w:val="00781AD5"/>
    <w:rsid w:val="00781CBC"/>
    <w:rsid w:val="0078265F"/>
    <w:rsid w:val="0078333E"/>
    <w:rsid w:val="0078374C"/>
    <w:rsid w:val="00784232"/>
    <w:rsid w:val="007847A7"/>
    <w:rsid w:val="007849CA"/>
    <w:rsid w:val="00784AFD"/>
    <w:rsid w:val="0078518E"/>
    <w:rsid w:val="00785357"/>
    <w:rsid w:val="00785E9B"/>
    <w:rsid w:val="00785FC9"/>
    <w:rsid w:val="00786472"/>
    <w:rsid w:val="00786B68"/>
    <w:rsid w:val="007878AC"/>
    <w:rsid w:val="007905C9"/>
    <w:rsid w:val="00790DA6"/>
    <w:rsid w:val="007914E2"/>
    <w:rsid w:val="00792AEC"/>
    <w:rsid w:val="0079312A"/>
    <w:rsid w:val="0079344E"/>
    <w:rsid w:val="007935FC"/>
    <w:rsid w:val="007939F2"/>
    <w:rsid w:val="007948FA"/>
    <w:rsid w:val="00794A4A"/>
    <w:rsid w:val="007956E7"/>
    <w:rsid w:val="00796C4C"/>
    <w:rsid w:val="00797103"/>
    <w:rsid w:val="00797B24"/>
    <w:rsid w:val="00797F91"/>
    <w:rsid w:val="007A0B63"/>
    <w:rsid w:val="007A0D4D"/>
    <w:rsid w:val="007A1BC0"/>
    <w:rsid w:val="007A20EE"/>
    <w:rsid w:val="007A35C4"/>
    <w:rsid w:val="007A387D"/>
    <w:rsid w:val="007A39A0"/>
    <w:rsid w:val="007A39FA"/>
    <w:rsid w:val="007A3B72"/>
    <w:rsid w:val="007A50C2"/>
    <w:rsid w:val="007A516F"/>
    <w:rsid w:val="007A5196"/>
    <w:rsid w:val="007A57ED"/>
    <w:rsid w:val="007A5CE0"/>
    <w:rsid w:val="007A61E5"/>
    <w:rsid w:val="007A6634"/>
    <w:rsid w:val="007A67F8"/>
    <w:rsid w:val="007A6C55"/>
    <w:rsid w:val="007A7F4A"/>
    <w:rsid w:val="007B0508"/>
    <w:rsid w:val="007B05B5"/>
    <w:rsid w:val="007B1295"/>
    <w:rsid w:val="007B14D0"/>
    <w:rsid w:val="007B1BA3"/>
    <w:rsid w:val="007B2294"/>
    <w:rsid w:val="007B2554"/>
    <w:rsid w:val="007B399E"/>
    <w:rsid w:val="007B3D05"/>
    <w:rsid w:val="007B40AA"/>
    <w:rsid w:val="007B40BB"/>
    <w:rsid w:val="007B498A"/>
    <w:rsid w:val="007B49FE"/>
    <w:rsid w:val="007B5259"/>
    <w:rsid w:val="007B54C1"/>
    <w:rsid w:val="007B601D"/>
    <w:rsid w:val="007B68CC"/>
    <w:rsid w:val="007B6A24"/>
    <w:rsid w:val="007B6CC8"/>
    <w:rsid w:val="007B78BD"/>
    <w:rsid w:val="007B7A9C"/>
    <w:rsid w:val="007C0203"/>
    <w:rsid w:val="007C0476"/>
    <w:rsid w:val="007C0573"/>
    <w:rsid w:val="007C13EB"/>
    <w:rsid w:val="007C23FF"/>
    <w:rsid w:val="007C2A01"/>
    <w:rsid w:val="007C3291"/>
    <w:rsid w:val="007C3BFD"/>
    <w:rsid w:val="007C4325"/>
    <w:rsid w:val="007C45EB"/>
    <w:rsid w:val="007C5222"/>
    <w:rsid w:val="007C5432"/>
    <w:rsid w:val="007C5AF5"/>
    <w:rsid w:val="007C5D42"/>
    <w:rsid w:val="007C7F32"/>
    <w:rsid w:val="007D000F"/>
    <w:rsid w:val="007D006F"/>
    <w:rsid w:val="007D00E0"/>
    <w:rsid w:val="007D0FD1"/>
    <w:rsid w:val="007D10FE"/>
    <w:rsid w:val="007D1AAC"/>
    <w:rsid w:val="007D24DA"/>
    <w:rsid w:val="007D3BDE"/>
    <w:rsid w:val="007D4072"/>
    <w:rsid w:val="007D427E"/>
    <w:rsid w:val="007D6A4A"/>
    <w:rsid w:val="007D6DC4"/>
    <w:rsid w:val="007D7508"/>
    <w:rsid w:val="007D7C50"/>
    <w:rsid w:val="007E0756"/>
    <w:rsid w:val="007E1755"/>
    <w:rsid w:val="007E1976"/>
    <w:rsid w:val="007E1980"/>
    <w:rsid w:val="007E3210"/>
    <w:rsid w:val="007E33E4"/>
    <w:rsid w:val="007E382B"/>
    <w:rsid w:val="007E44BD"/>
    <w:rsid w:val="007E4515"/>
    <w:rsid w:val="007E4E7C"/>
    <w:rsid w:val="007E681F"/>
    <w:rsid w:val="007E685B"/>
    <w:rsid w:val="007E6ACA"/>
    <w:rsid w:val="007E7695"/>
    <w:rsid w:val="007F0283"/>
    <w:rsid w:val="007F0488"/>
    <w:rsid w:val="007F08E3"/>
    <w:rsid w:val="007F13F9"/>
    <w:rsid w:val="007F1ED9"/>
    <w:rsid w:val="007F31DA"/>
    <w:rsid w:val="007F3367"/>
    <w:rsid w:val="007F37EC"/>
    <w:rsid w:val="007F3BC0"/>
    <w:rsid w:val="007F3FE2"/>
    <w:rsid w:val="007F47F5"/>
    <w:rsid w:val="007F718D"/>
    <w:rsid w:val="007F7E38"/>
    <w:rsid w:val="008003D0"/>
    <w:rsid w:val="00801731"/>
    <w:rsid w:val="0080248B"/>
    <w:rsid w:val="00802614"/>
    <w:rsid w:val="00803A70"/>
    <w:rsid w:val="00804518"/>
    <w:rsid w:val="0080487E"/>
    <w:rsid w:val="00804FD6"/>
    <w:rsid w:val="00804FD8"/>
    <w:rsid w:val="0080513F"/>
    <w:rsid w:val="0080593D"/>
    <w:rsid w:val="00805F96"/>
    <w:rsid w:val="00806D82"/>
    <w:rsid w:val="00806E1B"/>
    <w:rsid w:val="008103F3"/>
    <w:rsid w:val="00810B35"/>
    <w:rsid w:val="00810BC8"/>
    <w:rsid w:val="00810C83"/>
    <w:rsid w:val="008110EB"/>
    <w:rsid w:val="008110F7"/>
    <w:rsid w:val="00811182"/>
    <w:rsid w:val="00811467"/>
    <w:rsid w:val="008117B2"/>
    <w:rsid w:val="00811833"/>
    <w:rsid w:val="0081188F"/>
    <w:rsid w:val="008121BE"/>
    <w:rsid w:val="0081264C"/>
    <w:rsid w:val="00813008"/>
    <w:rsid w:val="00813F25"/>
    <w:rsid w:val="00814D33"/>
    <w:rsid w:val="00814EDD"/>
    <w:rsid w:val="008156C1"/>
    <w:rsid w:val="00816029"/>
    <w:rsid w:val="0081614C"/>
    <w:rsid w:val="00816894"/>
    <w:rsid w:val="00816933"/>
    <w:rsid w:val="0081750E"/>
    <w:rsid w:val="00817AC6"/>
    <w:rsid w:val="00817AE6"/>
    <w:rsid w:val="00817F11"/>
    <w:rsid w:val="00820060"/>
    <w:rsid w:val="00820575"/>
    <w:rsid w:val="0082071B"/>
    <w:rsid w:val="008207B5"/>
    <w:rsid w:val="00820B56"/>
    <w:rsid w:val="00820E5E"/>
    <w:rsid w:val="00820F12"/>
    <w:rsid w:val="0082126D"/>
    <w:rsid w:val="008216FE"/>
    <w:rsid w:val="00821D98"/>
    <w:rsid w:val="00822BB3"/>
    <w:rsid w:val="00822C15"/>
    <w:rsid w:val="00823B2D"/>
    <w:rsid w:val="00824EE4"/>
    <w:rsid w:val="00825727"/>
    <w:rsid w:val="008258B5"/>
    <w:rsid w:val="00825903"/>
    <w:rsid w:val="00825D60"/>
    <w:rsid w:val="00825F29"/>
    <w:rsid w:val="00825FFE"/>
    <w:rsid w:val="00826EEB"/>
    <w:rsid w:val="00826F64"/>
    <w:rsid w:val="0082730E"/>
    <w:rsid w:val="00827934"/>
    <w:rsid w:val="00830BDF"/>
    <w:rsid w:val="00830CA0"/>
    <w:rsid w:val="00832192"/>
    <w:rsid w:val="008324C9"/>
    <w:rsid w:val="00833ED1"/>
    <w:rsid w:val="00834625"/>
    <w:rsid w:val="0083582D"/>
    <w:rsid w:val="00836B00"/>
    <w:rsid w:val="00837170"/>
    <w:rsid w:val="00837499"/>
    <w:rsid w:val="00837D4C"/>
    <w:rsid w:val="00837F48"/>
    <w:rsid w:val="00840771"/>
    <w:rsid w:val="008409FA"/>
    <w:rsid w:val="00840DED"/>
    <w:rsid w:val="0084142C"/>
    <w:rsid w:val="00841790"/>
    <w:rsid w:val="00841BA1"/>
    <w:rsid w:val="00842297"/>
    <w:rsid w:val="008425D8"/>
    <w:rsid w:val="00842C0B"/>
    <w:rsid w:val="00843056"/>
    <w:rsid w:val="008434EF"/>
    <w:rsid w:val="008437A8"/>
    <w:rsid w:val="00843ADC"/>
    <w:rsid w:val="00844463"/>
    <w:rsid w:val="0084483E"/>
    <w:rsid w:val="00844C99"/>
    <w:rsid w:val="00844E70"/>
    <w:rsid w:val="00844F10"/>
    <w:rsid w:val="008453ED"/>
    <w:rsid w:val="008454BD"/>
    <w:rsid w:val="00845EEE"/>
    <w:rsid w:val="008470B8"/>
    <w:rsid w:val="0084736A"/>
    <w:rsid w:val="008500C4"/>
    <w:rsid w:val="008501F9"/>
    <w:rsid w:val="00851217"/>
    <w:rsid w:val="00851239"/>
    <w:rsid w:val="008516EF"/>
    <w:rsid w:val="00851729"/>
    <w:rsid w:val="00852643"/>
    <w:rsid w:val="00852A6F"/>
    <w:rsid w:val="008534E4"/>
    <w:rsid w:val="0085415B"/>
    <w:rsid w:val="00854741"/>
    <w:rsid w:val="00854D3B"/>
    <w:rsid w:val="00855DFC"/>
    <w:rsid w:val="00855E50"/>
    <w:rsid w:val="00856AE5"/>
    <w:rsid w:val="00856D75"/>
    <w:rsid w:val="00856E57"/>
    <w:rsid w:val="0085708B"/>
    <w:rsid w:val="008578CD"/>
    <w:rsid w:val="00857B15"/>
    <w:rsid w:val="00860DC3"/>
    <w:rsid w:val="00861BD6"/>
    <w:rsid w:val="00861C9F"/>
    <w:rsid w:val="00862317"/>
    <w:rsid w:val="008632A6"/>
    <w:rsid w:val="0086390D"/>
    <w:rsid w:val="00864DC3"/>
    <w:rsid w:val="00864ECB"/>
    <w:rsid w:val="00865197"/>
    <w:rsid w:val="008666C6"/>
    <w:rsid w:val="00867B06"/>
    <w:rsid w:val="008712C1"/>
    <w:rsid w:val="00871332"/>
    <w:rsid w:val="0087328F"/>
    <w:rsid w:val="00873436"/>
    <w:rsid w:val="0087444C"/>
    <w:rsid w:val="00874A6B"/>
    <w:rsid w:val="00874C86"/>
    <w:rsid w:val="00874EA8"/>
    <w:rsid w:val="00874F7B"/>
    <w:rsid w:val="00875253"/>
    <w:rsid w:val="008753ED"/>
    <w:rsid w:val="00875432"/>
    <w:rsid w:val="00876278"/>
    <w:rsid w:val="0087692D"/>
    <w:rsid w:val="008770CD"/>
    <w:rsid w:val="00877352"/>
    <w:rsid w:val="0087748D"/>
    <w:rsid w:val="008777F8"/>
    <w:rsid w:val="0087783C"/>
    <w:rsid w:val="008807FD"/>
    <w:rsid w:val="008809F3"/>
    <w:rsid w:val="008809FB"/>
    <w:rsid w:val="00881899"/>
    <w:rsid w:val="00882518"/>
    <w:rsid w:val="0088314C"/>
    <w:rsid w:val="008835D0"/>
    <w:rsid w:val="00883F9B"/>
    <w:rsid w:val="00884302"/>
    <w:rsid w:val="0088486D"/>
    <w:rsid w:val="00885045"/>
    <w:rsid w:val="00885097"/>
    <w:rsid w:val="00885946"/>
    <w:rsid w:val="00885A29"/>
    <w:rsid w:val="00886699"/>
    <w:rsid w:val="00886EE9"/>
    <w:rsid w:val="0088709D"/>
    <w:rsid w:val="008875D0"/>
    <w:rsid w:val="00887706"/>
    <w:rsid w:val="00890076"/>
    <w:rsid w:val="008905E0"/>
    <w:rsid w:val="008911E4"/>
    <w:rsid w:val="00891402"/>
    <w:rsid w:val="0089158D"/>
    <w:rsid w:val="00892557"/>
    <w:rsid w:val="00892F39"/>
    <w:rsid w:val="00893184"/>
    <w:rsid w:val="008931C9"/>
    <w:rsid w:val="00893379"/>
    <w:rsid w:val="00893535"/>
    <w:rsid w:val="00894660"/>
    <w:rsid w:val="00894886"/>
    <w:rsid w:val="0089490B"/>
    <w:rsid w:val="0089568E"/>
    <w:rsid w:val="008958C0"/>
    <w:rsid w:val="008975B4"/>
    <w:rsid w:val="00897B69"/>
    <w:rsid w:val="00897DCB"/>
    <w:rsid w:val="008A0110"/>
    <w:rsid w:val="008A049C"/>
    <w:rsid w:val="008A066D"/>
    <w:rsid w:val="008A0CC1"/>
    <w:rsid w:val="008A0FDD"/>
    <w:rsid w:val="008A1059"/>
    <w:rsid w:val="008A1C6F"/>
    <w:rsid w:val="008A2261"/>
    <w:rsid w:val="008A2427"/>
    <w:rsid w:val="008A242C"/>
    <w:rsid w:val="008A2813"/>
    <w:rsid w:val="008A2BD5"/>
    <w:rsid w:val="008A318B"/>
    <w:rsid w:val="008A54C6"/>
    <w:rsid w:val="008A5649"/>
    <w:rsid w:val="008A5AE1"/>
    <w:rsid w:val="008A6084"/>
    <w:rsid w:val="008A6C5B"/>
    <w:rsid w:val="008A6C63"/>
    <w:rsid w:val="008A6D36"/>
    <w:rsid w:val="008A6E9F"/>
    <w:rsid w:val="008A702A"/>
    <w:rsid w:val="008A7203"/>
    <w:rsid w:val="008A72B1"/>
    <w:rsid w:val="008A74FF"/>
    <w:rsid w:val="008B074B"/>
    <w:rsid w:val="008B085A"/>
    <w:rsid w:val="008B29FC"/>
    <w:rsid w:val="008B2EB8"/>
    <w:rsid w:val="008B3266"/>
    <w:rsid w:val="008B35D4"/>
    <w:rsid w:val="008B3A83"/>
    <w:rsid w:val="008B4684"/>
    <w:rsid w:val="008B4B25"/>
    <w:rsid w:val="008B503C"/>
    <w:rsid w:val="008B5262"/>
    <w:rsid w:val="008B54A0"/>
    <w:rsid w:val="008B55D7"/>
    <w:rsid w:val="008B611E"/>
    <w:rsid w:val="008B646A"/>
    <w:rsid w:val="008B72CB"/>
    <w:rsid w:val="008B7405"/>
    <w:rsid w:val="008B759D"/>
    <w:rsid w:val="008B769F"/>
    <w:rsid w:val="008C03C3"/>
    <w:rsid w:val="008C0580"/>
    <w:rsid w:val="008C0685"/>
    <w:rsid w:val="008C090E"/>
    <w:rsid w:val="008C1077"/>
    <w:rsid w:val="008C11F0"/>
    <w:rsid w:val="008C1B01"/>
    <w:rsid w:val="008C1D9F"/>
    <w:rsid w:val="008C2A97"/>
    <w:rsid w:val="008C2DDC"/>
    <w:rsid w:val="008C38B5"/>
    <w:rsid w:val="008C4824"/>
    <w:rsid w:val="008C4E4E"/>
    <w:rsid w:val="008C4FA8"/>
    <w:rsid w:val="008C521F"/>
    <w:rsid w:val="008C55E2"/>
    <w:rsid w:val="008C5669"/>
    <w:rsid w:val="008C62D2"/>
    <w:rsid w:val="008C6332"/>
    <w:rsid w:val="008C65F7"/>
    <w:rsid w:val="008C665E"/>
    <w:rsid w:val="008C6A96"/>
    <w:rsid w:val="008C71A2"/>
    <w:rsid w:val="008C72EC"/>
    <w:rsid w:val="008C7D1F"/>
    <w:rsid w:val="008D06D2"/>
    <w:rsid w:val="008D12D4"/>
    <w:rsid w:val="008D2496"/>
    <w:rsid w:val="008D2E5B"/>
    <w:rsid w:val="008D3C28"/>
    <w:rsid w:val="008D3F97"/>
    <w:rsid w:val="008D464C"/>
    <w:rsid w:val="008D4821"/>
    <w:rsid w:val="008D496B"/>
    <w:rsid w:val="008D4AAA"/>
    <w:rsid w:val="008D505D"/>
    <w:rsid w:val="008D568F"/>
    <w:rsid w:val="008D628C"/>
    <w:rsid w:val="008D64F4"/>
    <w:rsid w:val="008D64F9"/>
    <w:rsid w:val="008E0901"/>
    <w:rsid w:val="008E1B8F"/>
    <w:rsid w:val="008E1EE5"/>
    <w:rsid w:val="008E2949"/>
    <w:rsid w:val="008E2BC9"/>
    <w:rsid w:val="008E2E99"/>
    <w:rsid w:val="008E3956"/>
    <w:rsid w:val="008E4476"/>
    <w:rsid w:val="008E4B95"/>
    <w:rsid w:val="008E5422"/>
    <w:rsid w:val="008E6536"/>
    <w:rsid w:val="008E71B4"/>
    <w:rsid w:val="008E7491"/>
    <w:rsid w:val="008F0017"/>
    <w:rsid w:val="008F0DDE"/>
    <w:rsid w:val="008F119B"/>
    <w:rsid w:val="008F1361"/>
    <w:rsid w:val="008F245A"/>
    <w:rsid w:val="008F25C8"/>
    <w:rsid w:val="008F2B10"/>
    <w:rsid w:val="008F2CE2"/>
    <w:rsid w:val="008F2DEC"/>
    <w:rsid w:val="008F3676"/>
    <w:rsid w:val="008F3757"/>
    <w:rsid w:val="008F3794"/>
    <w:rsid w:val="008F3F86"/>
    <w:rsid w:val="008F4290"/>
    <w:rsid w:val="008F4458"/>
    <w:rsid w:val="008F5167"/>
    <w:rsid w:val="008F519B"/>
    <w:rsid w:val="008F6808"/>
    <w:rsid w:val="008F6B69"/>
    <w:rsid w:val="008F7EF9"/>
    <w:rsid w:val="009004DB"/>
    <w:rsid w:val="0090060E"/>
    <w:rsid w:val="00900FA8"/>
    <w:rsid w:val="00901164"/>
    <w:rsid w:val="009013C1"/>
    <w:rsid w:val="00901F09"/>
    <w:rsid w:val="00902843"/>
    <w:rsid w:val="0090325B"/>
    <w:rsid w:val="00903288"/>
    <w:rsid w:val="00903D12"/>
    <w:rsid w:val="0090411B"/>
    <w:rsid w:val="0090533A"/>
    <w:rsid w:val="00905B1E"/>
    <w:rsid w:val="00905C0B"/>
    <w:rsid w:val="00906E55"/>
    <w:rsid w:val="0090746C"/>
    <w:rsid w:val="00907529"/>
    <w:rsid w:val="00907668"/>
    <w:rsid w:val="009078EF"/>
    <w:rsid w:val="00907D79"/>
    <w:rsid w:val="0091051D"/>
    <w:rsid w:val="0091058F"/>
    <w:rsid w:val="00910D55"/>
    <w:rsid w:val="009111DA"/>
    <w:rsid w:val="00911B42"/>
    <w:rsid w:val="00912D0D"/>
    <w:rsid w:val="00913104"/>
    <w:rsid w:val="009136EF"/>
    <w:rsid w:val="00913DA4"/>
    <w:rsid w:val="00914BF8"/>
    <w:rsid w:val="00915F86"/>
    <w:rsid w:val="0091678E"/>
    <w:rsid w:val="00917192"/>
    <w:rsid w:val="00917ACB"/>
    <w:rsid w:val="00917B99"/>
    <w:rsid w:val="00917C21"/>
    <w:rsid w:val="00917E99"/>
    <w:rsid w:val="00920574"/>
    <w:rsid w:val="0092090D"/>
    <w:rsid w:val="00920BF2"/>
    <w:rsid w:val="00920C5D"/>
    <w:rsid w:val="0092161B"/>
    <w:rsid w:val="00922431"/>
    <w:rsid w:val="00922983"/>
    <w:rsid w:val="00922C87"/>
    <w:rsid w:val="00923283"/>
    <w:rsid w:val="0092344D"/>
    <w:rsid w:val="00923DFF"/>
    <w:rsid w:val="00924C13"/>
    <w:rsid w:val="00924EAF"/>
    <w:rsid w:val="00924ECB"/>
    <w:rsid w:val="00925496"/>
    <w:rsid w:val="00925EFE"/>
    <w:rsid w:val="00926207"/>
    <w:rsid w:val="00926534"/>
    <w:rsid w:val="009267D1"/>
    <w:rsid w:val="00926E74"/>
    <w:rsid w:val="00927207"/>
    <w:rsid w:val="00927464"/>
    <w:rsid w:val="00927D99"/>
    <w:rsid w:val="00927DD9"/>
    <w:rsid w:val="0093035C"/>
    <w:rsid w:val="00930613"/>
    <w:rsid w:val="009319C5"/>
    <w:rsid w:val="00931BD8"/>
    <w:rsid w:val="00933300"/>
    <w:rsid w:val="0093472F"/>
    <w:rsid w:val="00934FB4"/>
    <w:rsid w:val="0093509F"/>
    <w:rsid w:val="00935502"/>
    <w:rsid w:val="009355AD"/>
    <w:rsid w:val="009368E0"/>
    <w:rsid w:val="0094111C"/>
    <w:rsid w:val="009413DF"/>
    <w:rsid w:val="00941EA2"/>
    <w:rsid w:val="00942077"/>
    <w:rsid w:val="0094307C"/>
    <w:rsid w:val="00943252"/>
    <w:rsid w:val="00944526"/>
    <w:rsid w:val="00944ECF"/>
    <w:rsid w:val="00944F12"/>
    <w:rsid w:val="00945808"/>
    <w:rsid w:val="00945AB1"/>
    <w:rsid w:val="00946BE2"/>
    <w:rsid w:val="00947143"/>
    <w:rsid w:val="009472A2"/>
    <w:rsid w:val="009476B5"/>
    <w:rsid w:val="00947A5E"/>
    <w:rsid w:val="00950B5D"/>
    <w:rsid w:val="0095123B"/>
    <w:rsid w:val="00951EAE"/>
    <w:rsid w:val="0095209D"/>
    <w:rsid w:val="0095213B"/>
    <w:rsid w:val="00952224"/>
    <w:rsid w:val="00952490"/>
    <w:rsid w:val="009527A5"/>
    <w:rsid w:val="00952D7B"/>
    <w:rsid w:val="00953D0A"/>
    <w:rsid w:val="0095401D"/>
    <w:rsid w:val="009540B0"/>
    <w:rsid w:val="00955CC6"/>
    <w:rsid w:val="009569A7"/>
    <w:rsid w:val="00956B22"/>
    <w:rsid w:val="0095777D"/>
    <w:rsid w:val="00960017"/>
    <w:rsid w:val="00960242"/>
    <w:rsid w:val="009612DD"/>
    <w:rsid w:val="009619F0"/>
    <w:rsid w:val="009619FE"/>
    <w:rsid w:val="00962293"/>
    <w:rsid w:val="009623B6"/>
    <w:rsid w:val="00963178"/>
    <w:rsid w:val="009633AA"/>
    <w:rsid w:val="0096405B"/>
    <w:rsid w:val="009643EC"/>
    <w:rsid w:val="0096484B"/>
    <w:rsid w:val="00964FA6"/>
    <w:rsid w:val="0096718D"/>
    <w:rsid w:val="00967261"/>
    <w:rsid w:val="009672DC"/>
    <w:rsid w:val="0096741E"/>
    <w:rsid w:val="009676A0"/>
    <w:rsid w:val="00971964"/>
    <w:rsid w:val="00971AF8"/>
    <w:rsid w:val="00971C25"/>
    <w:rsid w:val="0097250A"/>
    <w:rsid w:val="00972B03"/>
    <w:rsid w:val="00972E21"/>
    <w:rsid w:val="00972E84"/>
    <w:rsid w:val="00973081"/>
    <w:rsid w:val="00975D4F"/>
    <w:rsid w:val="00976ADB"/>
    <w:rsid w:val="009777CF"/>
    <w:rsid w:val="00977EDB"/>
    <w:rsid w:val="00977EE4"/>
    <w:rsid w:val="00977FBC"/>
    <w:rsid w:val="009801C9"/>
    <w:rsid w:val="009808CA"/>
    <w:rsid w:val="00980979"/>
    <w:rsid w:val="00980B14"/>
    <w:rsid w:val="009828BA"/>
    <w:rsid w:val="00982AF5"/>
    <w:rsid w:val="009832E5"/>
    <w:rsid w:val="009834E3"/>
    <w:rsid w:val="00983786"/>
    <w:rsid w:val="009847DC"/>
    <w:rsid w:val="00984AC1"/>
    <w:rsid w:val="00986619"/>
    <w:rsid w:val="00986728"/>
    <w:rsid w:val="009868A7"/>
    <w:rsid w:val="0098792A"/>
    <w:rsid w:val="00990149"/>
    <w:rsid w:val="009903D7"/>
    <w:rsid w:val="00990CA5"/>
    <w:rsid w:val="00990D6E"/>
    <w:rsid w:val="00990E33"/>
    <w:rsid w:val="009910C0"/>
    <w:rsid w:val="00991331"/>
    <w:rsid w:val="00992599"/>
    <w:rsid w:val="009928A3"/>
    <w:rsid w:val="0099292A"/>
    <w:rsid w:val="00992EA9"/>
    <w:rsid w:val="0099454E"/>
    <w:rsid w:val="0099546D"/>
    <w:rsid w:val="009959D3"/>
    <w:rsid w:val="00995C8D"/>
    <w:rsid w:val="00995E6A"/>
    <w:rsid w:val="00995F6C"/>
    <w:rsid w:val="009966D0"/>
    <w:rsid w:val="00997866"/>
    <w:rsid w:val="009A00DD"/>
    <w:rsid w:val="009A06F7"/>
    <w:rsid w:val="009A1173"/>
    <w:rsid w:val="009A11D0"/>
    <w:rsid w:val="009A1212"/>
    <w:rsid w:val="009A12AE"/>
    <w:rsid w:val="009A1A0E"/>
    <w:rsid w:val="009A1A75"/>
    <w:rsid w:val="009A279F"/>
    <w:rsid w:val="009A33DA"/>
    <w:rsid w:val="009A4A40"/>
    <w:rsid w:val="009A4F6D"/>
    <w:rsid w:val="009A54F1"/>
    <w:rsid w:val="009A557B"/>
    <w:rsid w:val="009A5821"/>
    <w:rsid w:val="009A5AA7"/>
    <w:rsid w:val="009A670E"/>
    <w:rsid w:val="009A7D4E"/>
    <w:rsid w:val="009B029C"/>
    <w:rsid w:val="009B1811"/>
    <w:rsid w:val="009B1A55"/>
    <w:rsid w:val="009B1FC5"/>
    <w:rsid w:val="009B2541"/>
    <w:rsid w:val="009B2997"/>
    <w:rsid w:val="009B29FA"/>
    <w:rsid w:val="009B2A5D"/>
    <w:rsid w:val="009B4005"/>
    <w:rsid w:val="009B4BE6"/>
    <w:rsid w:val="009B5407"/>
    <w:rsid w:val="009B5435"/>
    <w:rsid w:val="009B575C"/>
    <w:rsid w:val="009B5B69"/>
    <w:rsid w:val="009B69D1"/>
    <w:rsid w:val="009B6DF3"/>
    <w:rsid w:val="009B7709"/>
    <w:rsid w:val="009B792B"/>
    <w:rsid w:val="009C0062"/>
    <w:rsid w:val="009C02D8"/>
    <w:rsid w:val="009C0D71"/>
    <w:rsid w:val="009C0DAD"/>
    <w:rsid w:val="009C1291"/>
    <w:rsid w:val="009C1D01"/>
    <w:rsid w:val="009C1D40"/>
    <w:rsid w:val="009C20CC"/>
    <w:rsid w:val="009C2BEC"/>
    <w:rsid w:val="009C2DEB"/>
    <w:rsid w:val="009C368F"/>
    <w:rsid w:val="009C4C95"/>
    <w:rsid w:val="009C4D99"/>
    <w:rsid w:val="009C4EE5"/>
    <w:rsid w:val="009C5448"/>
    <w:rsid w:val="009C64F4"/>
    <w:rsid w:val="009C6725"/>
    <w:rsid w:val="009C680D"/>
    <w:rsid w:val="009C6DDD"/>
    <w:rsid w:val="009C7D11"/>
    <w:rsid w:val="009C7F1C"/>
    <w:rsid w:val="009D0503"/>
    <w:rsid w:val="009D0692"/>
    <w:rsid w:val="009D0AA4"/>
    <w:rsid w:val="009D0B05"/>
    <w:rsid w:val="009D0F4C"/>
    <w:rsid w:val="009D13E9"/>
    <w:rsid w:val="009D14BC"/>
    <w:rsid w:val="009D17D3"/>
    <w:rsid w:val="009D203E"/>
    <w:rsid w:val="009D292A"/>
    <w:rsid w:val="009D3140"/>
    <w:rsid w:val="009D364B"/>
    <w:rsid w:val="009D3793"/>
    <w:rsid w:val="009D3E26"/>
    <w:rsid w:val="009D42AC"/>
    <w:rsid w:val="009D452F"/>
    <w:rsid w:val="009D4E80"/>
    <w:rsid w:val="009D52A0"/>
    <w:rsid w:val="009D5642"/>
    <w:rsid w:val="009D57D5"/>
    <w:rsid w:val="009D63E2"/>
    <w:rsid w:val="009D68FB"/>
    <w:rsid w:val="009D732B"/>
    <w:rsid w:val="009E06AF"/>
    <w:rsid w:val="009E1CB2"/>
    <w:rsid w:val="009E1F16"/>
    <w:rsid w:val="009E2450"/>
    <w:rsid w:val="009E24A5"/>
    <w:rsid w:val="009E31AA"/>
    <w:rsid w:val="009E329A"/>
    <w:rsid w:val="009E412D"/>
    <w:rsid w:val="009E4181"/>
    <w:rsid w:val="009E444E"/>
    <w:rsid w:val="009E61EE"/>
    <w:rsid w:val="009E65E3"/>
    <w:rsid w:val="009E660A"/>
    <w:rsid w:val="009E6F3B"/>
    <w:rsid w:val="009E71FE"/>
    <w:rsid w:val="009F0167"/>
    <w:rsid w:val="009F04BC"/>
    <w:rsid w:val="009F0B36"/>
    <w:rsid w:val="009F0BE1"/>
    <w:rsid w:val="009F1684"/>
    <w:rsid w:val="009F356F"/>
    <w:rsid w:val="009F36AD"/>
    <w:rsid w:val="009F3A73"/>
    <w:rsid w:val="009F3FFB"/>
    <w:rsid w:val="009F439A"/>
    <w:rsid w:val="009F4D8D"/>
    <w:rsid w:val="009F53BD"/>
    <w:rsid w:val="009F550C"/>
    <w:rsid w:val="009F57C8"/>
    <w:rsid w:val="009F63B2"/>
    <w:rsid w:val="009F6942"/>
    <w:rsid w:val="00A008E8"/>
    <w:rsid w:val="00A00905"/>
    <w:rsid w:val="00A01409"/>
    <w:rsid w:val="00A01CC1"/>
    <w:rsid w:val="00A0270B"/>
    <w:rsid w:val="00A03D23"/>
    <w:rsid w:val="00A03F1D"/>
    <w:rsid w:val="00A04ABD"/>
    <w:rsid w:val="00A04EA5"/>
    <w:rsid w:val="00A051A6"/>
    <w:rsid w:val="00A05690"/>
    <w:rsid w:val="00A05DD3"/>
    <w:rsid w:val="00A05FE9"/>
    <w:rsid w:val="00A06675"/>
    <w:rsid w:val="00A10C16"/>
    <w:rsid w:val="00A10FA6"/>
    <w:rsid w:val="00A111BA"/>
    <w:rsid w:val="00A11898"/>
    <w:rsid w:val="00A120FB"/>
    <w:rsid w:val="00A13512"/>
    <w:rsid w:val="00A13C71"/>
    <w:rsid w:val="00A142D1"/>
    <w:rsid w:val="00A148A0"/>
    <w:rsid w:val="00A14D9D"/>
    <w:rsid w:val="00A155BA"/>
    <w:rsid w:val="00A158CC"/>
    <w:rsid w:val="00A1592C"/>
    <w:rsid w:val="00A15A27"/>
    <w:rsid w:val="00A1675E"/>
    <w:rsid w:val="00A16920"/>
    <w:rsid w:val="00A16E48"/>
    <w:rsid w:val="00A17091"/>
    <w:rsid w:val="00A171B6"/>
    <w:rsid w:val="00A174B3"/>
    <w:rsid w:val="00A17F05"/>
    <w:rsid w:val="00A201CB"/>
    <w:rsid w:val="00A204D8"/>
    <w:rsid w:val="00A207D5"/>
    <w:rsid w:val="00A21096"/>
    <w:rsid w:val="00A22242"/>
    <w:rsid w:val="00A22264"/>
    <w:rsid w:val="00A22570"/>
    <w:rsid w:val="00A22E51"/>
    <w:rsid w:val="00A23A00"/>
    <w:rsid w:val="00A23E20"/>
    <w:rsid w:val="00A23F99"/>
    <w:rsid w:val="00A24140"/>
    <w:rsid w:val="00A24C93"/>
    <w:rsid w:val="00A24DD4"/>
    <w:rsid w:val="00A2552E"/>
    <w:rsid w:val="00A25751"/>
    <w:rsid w:val="00A25E02"/>
    <w:rsid w:val="00A25FC5"/>
    <w:rsid w:val="00A27672"/>
    <w:rsid w:val="00A30584"/>
    <w:rsid w:val="00A30E44"/>
    <w:rsid w:val="00A314B2"/>
    <w:rsid w:val="00A3180D"/>
    <w:rsid w:val="00A32050"/>
    <w:rsid w:val="00A32209"/>
    <w:rsid w:val="00A3265F"/>
    <w:rsid w:val="00A32ADA"/>
    <w:rsid w:val="00A32AE1"/>
    <w:rsid w:val="00A32E3F"/>
    <w:rsid w:val="00A339D3"/>
    <w:rsid w:val="00A342F9"/>
    <w:rsid w:val="00A34E2C"/>
    <w:rsid w:val="00A34F96"/>
    <w:rsid w:val="00A3547A"/>
    <w:rsid w:val="00A35D62"/>
    <w:rsid w:val="00A3616A"/>
    <w:rsid w:val="00A36465"/>
    <w:rsid w:val="00A3653C"/>
    <w:rsid w:val="00A36950"/>
    <w:rsid w:val="00A37278"/>
    <w:rsid w:val="00A3741A"/>
    <w:rsid w:val="00A410FB"/>
    <w:rsid w:val="00A41A09"/>
    <w:rsid w:val="00A427F9"/>
    <w:rsid w:val="00A428D5"/>
    <w:rsid w:val="00A42B46"/>
    <w:rsid w:val="00A42E38"/>
    <w:rsid w:val="00A42EFA"/>
    <w:rsid w:val="00A4301B"/>
    <w:rsid w:val="00A43D61"/>
    <w:rsid w:val="00A45167"/>
    <w:rsid w:val="00A4567B"/>
    <w:rsid w:val="00A4569E"/>
    <w:rsid w:val="00A45FB6"/>
    <w:rsid w:val="00A46081"/>
    <w:rsid w:val="00A4691B"/>
    <w:rsid w:val="00A47EBA"/>
    <w:rsid w:val="00A47FFA"/>
    <w:rsid w:val="00A5097C"/>
    <w:rsid w:val="00A51932"/>
    <w:rsid w:val="00A52229"/>
    <w:rsid w:val="00A524C8"/>
    <w:rsid w:val="00A52D20"/>
    <w:rsid w:val="00A53BD6"/>
    <w:rsid w:val="00A53D94"/>
    <w:rsid w:val="00A547E3"/>
    <w:rsid w:val="00A551AC"/>
    <w:rsid w:val="00A552E4"/>
    <w:rsid w:val="00A5596A"/>
    <w:rsid w:val="00A55A29"/>
    <w:rsid w:val="00A561CE"/>
    <w:rsid w:val="00A5633F"/>
    <w:rsid w:val="00A5641B"/>
    <w:rsid w:val="00A56775"/>
    <w:rsid w:val="00A56A18"/>
    <w:rsid w:val="00A6023B"/>
    <w:rsid w:val="00A617D8"/>
    <w:rsid w:val="00A61A50"/>
    <w:rsid w:val="00A61C25"/>
    <w:rsid w:val="00A61DE5"/>
    <w:rsid w:val="00A6239B"/>
    <w:rsid w:val="00A62540"/>
    <w:rsid w:val="00A627FD"/>
    <w:rsid w:val="00A63108"/>
    <w:rsid w:val="00A6388A"/>
    <w:rsid w:val="00A63AD2"/>
    <w:rsid w:val="00A63CDA"/>
    <w:rsid w:val="00A63EB5"/>
    <w:rsid w:val="00A6456A"/>
    <w:rsid w:val="00A64DA5"/>
    <w:rsid w:val="00A65259"/>
    <w:rsid w:val="00A661CB"/>
    <w:rsid w:val="00A674DD"/>
    <w:rsid w:val="00A67910"/>
    <w:rsid w:val="00A67A2B"/>
    <w:rsid w:val="00A67EAE"/>
    <w:rsid w:val="00A7009F"/>
    <w:rsid w:val="00A7024A"/>
    <w:rsid w:val="00A70277"/>
    <w:rsid w:val="00A70768"/>
    <w:rsid w:val="00A709BF"/>
    <w:rsid w:val="00A70D2A"/>
    <w:rsid w:val="00A7134D"/>
    <w:rsid w:val="00A71DE0"/>
    <w:rsid w:val="00A7209C"/>
    <w:rsid w:val="00A729AF"/>
    <w:rsid w:val="00A729F7"/>
    <w:rsid w:val="00A72B43"/>
    <w:rsid w:val="00A73224"/>
    <w:rsid w:val="00A73374"/>
    <w:rsid w:val="00A7403F"/>
    <w:rsid w:val="00A741F2"/>
    <w:rsid w:val="00A74B17"/>
    <w:rsid w:val="00A75249"/>
    <w:rsid w:val="00A7525E"/>
    <w:rsid w:val="00A75399"/>
    <w:rsid w:val="00A7607E"/>
    <w:rsid w:val="00A762C5"/>
    <w:rsid w:val="00A77F83"/>
    <w:rsid w:val="00A807E7"/>
    <w:rsid w:val="00A80ED8"/>
    <w:rsid w:val="00A81B3A"/>
    <w:rsid w:val="00A81C21"/>
    <w:rsid w:val="00A81D98"/>
    <w:rsid w:val="00A82174"/>
    <w:rsid w:val="00A82D0F"/>
    <w:rsid w:val="00A82FD2"/>
    <w:rsid w:val="00A8351D"/>
    <w:rsid w:val="00A836DB"/>
    <w:rsid w:val="00A842B7"/>
    <w:rsid w:val="00A853AB"/>
    <w:rsid w:val="00A85939"/>
    <w:rsid w:val="00A86DF7"/>
    <w:rsid w:val="00A870E9"/>
    <w:rsid w:val="00A87AF6"/>
    <w:rsid w:val="00A87B32"/>
    <w:rsid w:val="00A9032C"/>
    <w:rsid w:val="00A90AA9"/>
    <w:rsid w:val="00A9126B"/>
    <w:rsid w:val="00A91550"/>
    <w:rsid w:val="00A91777"/>
    <w:rsid w:val="00A91BB7"/>
    <w:rsid w:val="00A92204"/>
    <w:rsid w:val="00A927F1"/>
    <w:rsid w:val="00A93399"/>
    <w:rsid w:val="00A94055"/>
    <w:rsid w:val="00A95018"/>
    <w:rsid w:val="00A9515E"/>
    <w:rsid w:val="00AA023A"/>
    <w:rsid w:val="00AA0639"/>
    <w:rsid w:val="00AA0B43"/>
    <w:rsid w:val="00AA0D62"/>
    <w:rsid w:val="00AA11D8"/>
    <w:rsid w:val="00AA12FB"/>
    <w:rsid w:val="00AA1A37"/>
    <w:rsid w:val="00AA26D8"/>
    <w:rsid w:val="00AA2D89"/>
    <w:rsid w:val="00AA367F"/>
    <w:rsid w:val="00AA3695"/>
    <w:rsid w:val="00AA3A1A"/>
    <w:rsid w:val="00AA3B5D"/>
    <w:rsid w:val="00AA4033"/>
    <w:rsid w:val="00AA4402"/>
    <w:rsid w:val="00AA48ED"/>
    <w:rsid w:val="00AA5329"/>
    <w:rsid w:val="00AA5530"/>
    <w:rsid w:val="00AA5697"/>
    <w:rsid w:val="00AA5CC6"/>
    <w:rsid w:val="00AA6068"/>
    <w:rsid w:val="00AA62F6"/>
    <w:rsid w:val="00AA7044"/>
    <w:rsid w:val="00AA7239"/>
    <w:rsid w:val="00AA79F9"/>
    <w:rsid w:val="00AA7D06"/>
    <w:rsid w:val="00AA7D36"/>
    <w:rsid w:val="00AA7F82"/>
    <w:rsid w:val="00AB19E3"/>
    <w:rsid w:val="00AB21D1"/>
    <w:rsid w:val="00AB222A"/>
    <w:rsid w:val="00AB2264"/>
    <w:rsid w:val="00AB25D0"/>
    <w:rsid w:val="00AB4355"/>
    <w:rsid w:val="00AB45EA"/>
    <w:rsid w:val="00AB4D59"/>
    <w:rsid w:val="00AB55F9"/>
    <w:rsid w:val="00AB6614"/>
    <w:rsid w:val="00AB662B"/>
    <w:rsid w:val="00AB6A9C"/>
    <w:rsid w:val="00AB7D51"/>
    <w:rsid w:val="00AB7D98"/>
    <w:rsid w:val="00AC0A12"/>
    <w:rsid w:val="00AC0F4F"/>
    <w:rsid w:val="00AC0F8A"/>
    <w:rsid w:val="00AC1136"/>
    <w:rsid w:val="00AC161B"/>
    <w:rsid w:val="00AC16A4"/>
    <w:rsid w:val="00AC19AB"/>
    <w:rsid w:val="00AC1A02"/>
    <w:rsid w:val="00AC2755"/>
    <w:rsid w:val="00AC2BC3"/>
    <w:rsid w:val="00AC3133"/>
    <w:rsid w:val="00AC32E7"/>
    <w:rsid w:val="00AC3338"/>
    <w:rsid w:val="00AC33D2"/>
    <w:rsid w:val="00AC3842"/>
    <w:rsid w:val="00AC4496"/>
    <w:rsid w:val="00AC45DF"/>
    <w:rsid w:val="00AC47F7"/>
    <w:rsid w:val="00AC6184"/>
    <w:rsid w:val="00AC7AE9"/>
    <w:rsid w:val="00AC7E07"/>
    <w:rsid w:val="00AD25B0"/>
    <w:rsid w:val="00AD2E20"/>
    <w:rsid w:val="00AD30E3"/>
    <w:rsid w:val="00AD3995"/>
    <w:rsid w:val="00AD39A2"/>
    <w:rsid w:val="00AD47DD"/>
    <w:rsid w:val="00AD4B4E"/>
    <w:rsid w:val="00AD4B83"/>
    <w:rsid w:val="00AD62A2"/>
    <w:rsid w:val="00AD6E24"/>
    <w:rsid w:val="00AE1799"/>
    <w:rsid w:val="00AE19E9"/>
    <w:rsid w:val="00AE2095"/>
    <w:rsid w:val="00AE26A2"/>
    <w:rsid w:val="00AE28B1"/>
    <w:rsid w:val="00AE28EB"/>
    <w:rsid w:val="00AE2F24"/>
    <w:rsid w:val="00AE2F44"/>
    <w:rsid w:val="00AE3A56"/>
    <w:rsid w:val="00AE3C96"/>
    <w:rsid w:val="00AE5206"/>
    <w:rsid w:val="00AE521E"/>
    <w:rsid w:val="00AE5248"/>
    <w:rsid w:val="00AE5D74"/>
    <w:rsid w:val="00AE6432"/>
    <w:rsid w:val="00AE6818"/>
    <w:rsid w:val="00AE69DE"/>
    <w:rsid w:val="00AE6AE6"/>
    <w:rsid w:val="00AE7192"/>
    <w:rsid w:val="00AF040E"/>
    <w:rsid w:val="00AF042F"/>
    <w:rsid w:val="00AF05D4"/>
    <w:rsid w:val="00AF0D54"/>
    <w:rsid w:val="00AF1325"/>
    <w:rsid w:val="00AF1340"/>
    <w:rsid w:val="00AF1459"/>
    <w:rsid w:val="00AF1B7F"/>
    <w:rsid w:val="00AF22E3"/>
    <w:rsid w:val="00AF258E"/>
    <w:rsid w:val="00AF3197"/>
    <w:rsid w:val="00AF3280"/>
    <w:rsid w:val="00AF375C"/>
    <w:rsid w:val="00AF386C"/>
    <w:rsid w:val="00AF3B03"/>
    <w:rsid w:val="00AF4C84"/>
    <w:rsid w:val="00AF4C9B"/>
    <w:rsid w:val="00AF4DE8"/>
    <w:rsid w:val="00AF5033"/>
    <w:rsid w:val="00AF5169"/>
    <w:rsid w:val="00AF5183"/>
    <w:rsid w:val="00AF5CC7"/>
    <w:rsid w:val="00AF5D3E"/>
    <w:rsid w:val="00AF5E19"/>
    <w:rsid w:val="00AF6858"/>
    <w:rsid w:val="00AF6954"/>
    <w:rsid w:val="00AF6CB6"/>
    <w:rsid w:val="00AF6CF7"/>
    <w:rsid w:val="00AF749B"/>
    <w:rsid w:val="00AF7B5D"/>
    <w:rsid w:val="00B00037"/>
    <w:rsid w:val="00B00307"/>
    <w:rsid w:val="00B00891"/>
    <w:rsid w:val="00B00949"/>
    <w:rsid w:val="00B01014"/>
    <w:rsid w:val="00B015F5"/>
    <w:rsid w:val="00B0169E"/>
    <w:rsid w:val="00B01889"/>
    <w:rsid w:val="00B02275"/>
    <w:rsid w:val="00B02657"/>
    <w:rsid w:val="00B03363"/>
    <w:rsid w:val="00B03FD1"/>
    <w:rsid w:val="00B06137"/>
    <w:rsid w:val="00B06538"/>
    <w:rsid w:val="00B068F8"/>
    <w:rsid w:val="00B06FDF"/>
    <w:rsid w:val="00B07B16"/>
    <w:rsid w:val="00B07C9D"/>
    <w:rsid w:val="00B104F1"/>
    <w:rsid w:val="00B1070F"/>
    <w:rsid w:val="00B10E04"/>
    <w:rsid w:val="00B116F9"/>
    <w:rsid w:val="00B119DA"/>
    <w:rsid w:val="00B11C91"/>
    <w:rsid w:val="00B12444"/>
    <w:rsid w:val="00B1294A"/>
    <w:rsid w:val="00B129E8"/>
    <w:rsid w:val="00B1313A"/>
    <w:rsid w:val="00B13230"/>
    <w:rsid w:val="00B13F41"/>
    <w:rsid w:val="00B14069"/>
    <w:rsid w:val="00B143B3"/>
    <w:rsid w:val="00B145FC"/>
    <w:rsid w:val="00B1476B"/>
    <w:rsid w:val="00B15C49"/>
    <w:rsid w:val="00B1694C"/>
    <w:rsid w:val="00B1705E"/>
    <w:rsid w:val="00B17D0A"/>
    <w:rsid w:val="00B17DD0"/>
    <w:rsid w:val="00B20265"/>
    <w:rsid w:val="00B20B8A"/>
    <w:rsid w:val="00B21368"/>
    <w:rsid w:val="00B21405"/>
    <w:rsid w:val="00B21520"/>
    <w:rsid w:val="00B21ED4"/>
    <w:rsid w:val="00B21F67"/>
    <w:rsid w:val="00B22532"/>
    <w:rsid w:val="00B22B40"/>
    <w:rsid w:val="00B24319"/>
    <w:rsid w:val="00B24337"/>
    <w:rsid w:val="00B24BDD"/>
    <w:rsid w:val="00B25853"/>
    <w:rsid w:val="00B25D0B"/>
    <w:rsid w:val="00B27432"/>
    <w:rsid w:val="00B27B29"/>
    <w:rsid w:val="00B27B2D"/>
    <w:rsid w:val="00B3011F"/>
    <w:rsid w:val="00B3037B"/>
    <w:rsid w:val="00B30CAC"/>
    <w:rsid w:val="00B31491"/>
    <w:rsid w:val="00B315AF"/>
    <w:rsid w:val="00B31E6C"/>
    <w:rsid w:val="00B324BD"/>
    <w:rsid w:val="00B332A6"/>
    <w:rsid w:val="00B33386"/>
    <w:rsid w:val="00B3415C"/>
    <w:rsid w:val="00B34FED"/>
    <w:rsid w:val="00B356C1"/>
    <w:rsid w:val="00B35884"/>
    <w:rsid w:val="00B36023"/>
    <w:rsid w:val="00B3604B"/>
    <w:rsid w:val="00B36129"/>
    <w:rsid w:val="00B36517"/>
    <w:rsid w:val="00B36868"/>
    <w:rsid w:val="00B36BD1"/>
    <w:rsid w:val="00B36F71"/>
    <w:rsid w:val="00B374DF"/>
    <w:rsid w:val="00B3766B"/>
    <w:rsid w:val="00B37A03"/>
    <w:rsid w:val="00B37E03"/>
    <w:rsid w:val="00B404FF"/>
    <w:rsid w:val="00B407F4"/>
    <w:rsid w:val="00B4097F"/>
    <w:rsid w:val="00B40CBB"/>
    <w:rsid w:val="00B41527"/>
    <w:rsid w:val="00B416F4"/>
    <w:rsid w:val="00B43C85"/>
    <w:rsid w:val="00B43DF6"/>
    <w:rsid w:val="00B43F0D"/>
    <w:rsid w:val="00B43F83"/>
    <w:rsid w:val="00B442FD"/>
    <w:rsid w:val="00B44791"/>
    <w:rsid w:val="00B44B4E"/>
    <w:rsid w:val="00B44C6B"/>
    <w:rsid w:val="00B44F8C"/>
    <w:rsid w:val="00B450C6"/>
    <w:rsid w:val="00B450EB"/>
    <w:rsid w:val="00B460A1"/>
    <w:rsid w:val="00B46D2B"/>
    <w:rsid w:val="00B46F9C"/>
    <w:rsid w:val="00B4766E"/>
    <w:rsid w:val="00B5097E"/>
    <w:rsid w:val="00B50C8A"/>
    <w:rsid w:val="00B50D31"/>
    <w:rsid w:val="00B50D62"/>
    <w:rsid w:val="00B50DA6"/>
    <w:rsid w:val="00B51775"/>
    <w:rsid w:val="00B51B3E"/>
    <w:rsid w:val="00B52AB2"/>
    <w:rsid w:val="00B532DB"/>
    <w:rsid w:val="00B5464E"/>
    <w:rsid w:val="00B547E8"/>
    <w:rsid w:val="00B547F8"/>
    <w:rsid w:val="00B54E8B"/>
    <w:rsid w:val="00B555D6"/>
    <w:rsid w:val="00B57F3E"/>
    <w:rsid w:val="00B6033F"/>
    <w:rsid w:val="00B60B57"/>
    <w:rsid w:val="00B60CEB"/>
    <w:rsid w:val="00B614E8"/>
    <w:rsid w:val="00B6258D"/>
    <w:rsid w:val="00B6268E"/>
    <w:rsid w:val="00B62D4B"/>
    <w:rsid w:val="00B637DD"/>
    <w:rsid w:val="00B638D6"/>
    <w:rsid w:val="00B639E6"/>
    <w:rsid w:val="00B63B13"/>
    <w:rsid w:val="00B63C59"/>
    <w:rsid w:val="00B6413C"/>
    <w:rsid w:val="00B6517F"/>
    <w:rsid w:val="00B65500"/>
    <w:rsid w:val="00B659FB"/>
    <w:rsid w:val="00B664DA"/>
    <w:rsid w:val="00B6658E"/>
    <w:rsid w:val="00B666B6"/>
    <w:rsid w:val="00B667E8"/>
    <w:rsid w:val="00B71185"/>
    <w:rsid w:val="00B71532"/>
    <w:rsid w:val="00B71F51"/>
    <w:rsid w:val="00B72579"/>
    <w:rsid w:val="00B734E8"/>
    <w:rsid w:val="00B73897"/>
    <w:rsid w:val="00B73E87"/>
    <w:rsid w:val="00B740A4"/>
    <w:rsid w:val="00B74221"/>
    <w:rsid w:val="00B746A9"/>
    <w:rsid w:val="00B74A64"/>
    <w:rsid w:val="00B74AE5"/>
    <w:rsid w:val="00B74D55"/>
    <w:rsid w:val="00B7569D"/>
    <w:rsid w:val="00B75F16"/>
    <w:rsid w:val="00B7698A"/>
    <w:rsid w:val="00B779D5"/>
    <w:rsid w:val="00B8026C"/>
    <w:rsid w:val="00B809F8"/>
    <w:rsid w:val="00B818DB"/>
    <w:rsid w:val="00B81DEB"/>
    <w:rsid w:val="00B82C95"/>
    <w:rsid w:val="00B831A1"/>
    <w:rsid w:val="00B83600"/>
    <w:rsid w:val="00B83771"/>
    <w:rsid w:val="00B83A62"/>
    <w:rsid w:val="00B83AA9"/>
    <w:rsid w:val="00B84034"/>
    <w:rsid w:val="00B8504F"/>
    <w:rsid w:val="00B8667B"/>
    <w:rsid w:val="00B867F7"/>
    <w:rsid w:val="00B869DE"/>
    <w:rsid w:val="00B86F5C"/>
    <w:rsid w:val="00B874EA"/>
    <w:rsid w:val="00B90DB2"/>
    <w:rsid w:val="00B919F3"/>
    <w:rsid w:val="00B91A8A"/>
    <w:rsid w:val="00B94668"/>
    <w:rsid w:val="00B94B65"/>
    <w:rsid w:val="00B96307"/>
    <w:rsid w:val="00B965AE"/>
    <w:rsid w:val="00B96B55"/>
    <w:rsid w:val="00B977CF"/>
    <w:rsid w:val="00B97828"/>
    <w:rsid w:val="00B97EC5"/>
    <w:rsid w:val="00BA170D"/>
    <w:rsid w:val="00BA18B1"/>
    <w:rsid w:val="00BA1CEF"/>
    <w:rsid w:val="00BA1E84"/>
    <w:rsid w:val="00BA1FCB"/>
    <w:rsid w:val="00BA2038"/>
    <w:rsid w:val="00BA25A7"/>
    <w:rsid w:val="00BA2696"/>
    <w:rsid w:val="00BA2948"/>
    <w:rsid w:val="00BA2CC3"/>
    <w:rsid w:val="00BA3051"/>
    <w:rsid w:val="00BA30CE"/>
    <w:rsid w:val="00BA33A6"/>
    <w:rsid w:val="00BA4006"/>
    <w:rsid w:val="00BA4119"/>
    <w:rsid w:val="00BA449C"/>
    <w:rsid w:val="00BA5739"/>
    <w:rsid w:val="00BA6D57"/>
    <w:rsid w:val="00BA709C"/>
    <w:rsid w:val="00BA73E5"/>
    <w:rsid w:val="00BA79E1"/>
    <w:rsid w:val="00BA7A53"/>
    <w:rsid w:val="00BA7A55"/>
    <w:rsid w:val="00BA7A92"/>
    <w:rsid w:val="00BB006E"/>
    <w:rsid w:val="00BB0305"/>
    <w:rsid w:val="00BB054A"/>
    <w:rsid w:val="00BB0DB8"/>
    <w:rsid w:val="00BB16CF"/>
    <w:rsid w:val="00BB1E0D"/>
    <w:rsid w:val="00BB2409"/>
    <w:rsid w:val="00BB27AA"/>
    <w:rsid w:val="00BB2CF6"/>
    <w:rsid w:val="00BB3056"/>
    <w:rsid w:val="00BB396F"/>
    <w:rsid w:val="00BB423A"/>
    <w:rsid w:val="00BB4BE7"/>
    <w:rsid w:val="00BB5EA1"/>
    <w:rsid w:val="00BB674A"/>
    <w:rsid w:val="00BB6DBE"/>
    <w:rsid w:val="00BB72D2"/>
    <w:rsid w:val="00BB789F"/>
    <w:rsid w:val="00BC0A0C"/>
    <w:rsid w:val="00BC0A3F"/>
    <w:rsid w:val="00BC2277"/>
    <w:rsid w:val="00BC24EC"/>
    <w:rsid w:val="00BC296A"/>
    <w:rsid w:val="00BC3CD5"/>
    <w:rsid w:val="00BC3F4A"/>
    <w:rsid w:val="00BC407B"/>
    <w:rsid w:val="00BC49D1"/>
    <w:rsid w:val="00BC4F19"/>
    <w:rsid w:val="00BC523C"/>
    <w:rsid w:val="00BC585A"/>
    <w:rsid w:val="00BC5B22"/>
    <w:rsid w:val="00BC5BBB"/>
    <w:rsid w:val="00BC5BD1"/>
    <w:rsid w:val="00BC6A61"/>
    <w:rsid w:val="00BC6E7B"/>
    <w:rsid w:val="00BC75EC"/>
    <w:rsid w:val="00BC7805"/>
    <w:rsid w:val="00BC7A24"/>
    <w:rsid w:val="00BD0096"/>
    <w:rsid w:val="00BD031F"/>
    <w:rsid w:val="00BD126F"/>
    <w:rsid w:val="00BD1315"/>
    <w:rsid w:val="00BD1470"/>
    <w:rsid w:val="00BD1C66"/>
    <w:rsid w:val="00BD2316"/>
    <w:rsid w:val="00BD3289"/>
    <w:rsid w:val="00BD377C"/>
    <w:rsid w:val="00BD3C9A"/>
    <w:rsid w:val="00BD413F"/>
    <w:rsid w:val="00BD45CA"/>
    <w:rsid w:val="00BD4C23"/>
    <w:rsid w:val="00BD4EFF"/>
    <w:rsid w:val="00BD55CB"/>
    <w:rsid w:val="00BD5BDC"/>
    <w:rsid w:val="00BD5D56"/>
    <w:rsid w:val="00BD61AE"/>
    <w:rsid w:val="00BD630D"/>
    <w:rsid w:val="00BD66A1"/>
    <w:rsid w:val="00BD6FDB"/>
    <w:rsid w:val="00BD7124"/>
    <w:rsid w:val="00BD736B"/>
    <w:rsid w:val="00BD737D"/>
    <w:rsid w:val="00BD73CD"/>
    <w:rsid w:val="00BD743C"/>
    <w:rsid w:val="00BD7FAA"/>
    <w:rsid w:val="00BE015B"/>
    <w:rsid w:val="00BE046B"/>
    <w:rsid w:val="00BE0E92"/>
    <w:rsid w:val="00BE1747"/>
    <w:rsid w:val="00BE17C0"/>
    <w:rsid w:val="00BE1A0A"/>
    <w:rsid w:val="00BE1CD3"/>
    <w:rsid w:val="00BE217C"/>
    <w:rsid w:val="00BE2407"/>
    <w:rsid w:val="00BE25B9"/>
    <w:rsid w:val="00BE2612"/>
    <w:rsid w:val="00BE2954"/>
    <w:rsid w:val="00BE2AA4"/>
    <w:rsid w:val="00BE376A"/>
    <w:rsid w:val="00BE3799"/>
    <w:rsid w:val="00BE4E7E"/>
    <w:rsid w:val="00BE55C5"/>
    <w:rsid w:val="00BE617B"/>
    <w:rsid w:val="00BE6403"/>
    <w:rsid w:val="00BE656D"/>
    <w:rsid w:val="00BE676D"/>
    <w:rsid w:val="00BE67AB"/>
    <w:rsid w:val="00BE6998"/>
    <w:rsid w:val="00BE7C52"/>
    <w:rsid w:val="00BF031B"/>
    <w:rsid w:val="00BF05F3"/>
    <w:rsid w:val="00BF08D7"/>
    <w:rsid w:val="00BF154E"/>
    <w:rsid w:val="00BF1CA4"/>
    <w:rsid w:val="00BF1D1B"/>
    <w:rsid w:val="00BF2A0B"/>
    <w:rsid w:val="00BF2FE2"/>
    <w:rsid w:val="00BF395F"/>
    <w:rsid w:val="00BF3DB8"/>
    <w:rsid w:val="00BF4996"/>
    <w:rsid w:val="00BF6099"/>
    <w:rsid w:val="00BF6129"/>
    <w:rsid w:val="00BF6454"/>
    <w:rsid w:val="00BF71E3"/>
    <w:rsid w:val="00BF7E75"/>
    <w:rsid w:val="00C00405"/>
    <w:rsid w:val="00C0212F"/>
    <w:rsid w:val="00C04CDB"/>
    <w:rsid w:val="00C04EC8"/>
    <w:rsid w:val="00C0509C"/>
    <w:rsid w:val="00C0546A"/>
    <w:rsid w:val="00C05BCF"/>
    <w:rsid w:val="00C05F41"/>
    <w:rsid w:val="00C066D8"/>
    <w:rsid w:val="00C06EA9"/>
    <w:rsid w:val="00C06EF6"/>
    <w:rsid w:val="00C10ECE"/>
    <w:rsid w:val="00C11055"/>
    <w:rsid w:val="00C1134F"/>
    <w:rsid w:val="00C117A9"/>
    <w:rsid w:val="00C12AAB"/>
    <w:rsid w:val="00C12CB7"/>
    <w:rsid w:val="00C12F37"/>
    <w:rsid w:val="00C14FAF"/>
    <w:rsid w:val="00C151B7"/>
    <w:rsid w:val="00C152B8"/>
    <w:rsid w:val="00C1579C"/>
    <w:rsid w:val="00C16FF4"/>
    <w:rsid w:val="00C174A4"/>
    <w:rsid w:val="00C20921"/>
    <w:rsid w:val="00C20BB3"/>
    <w:rsid w:val="00C20EA1"/>
    <w:rsid w:val="00C21610"/>
    <w:rsid w:val="00C21781"/>
    <w:rsid w:val="00C224F9"/>
    <w:rsid w:val="00C226D7"/>
    <w:rsid w:val="00C22AC8"/>
    <w:rsid w:val="00C22BF9"/>
    <w:rsid w:val="00C23B4D"/>
    <w:rsid w:val="00C23E01"/>
    <w:rsid w:val="00C24929"/>
    <w:rsid w:val="00C24D9B"/>
    <w:rsid w:val="00C25111"/>
    <w:rsid w:val="00C25482"/>
    <w:rsid w:val="00C25556"/>
    <w:rsid w:val="00C26F99"/>
    <w:rsid w:val="00C27078"/>
    <w:rsid w:val="00C270C6"/>
    <w:rsid w:val="00C2790C"/>
    <w:rsid w:val="00C27EA4"/>
    <w:rsid w:val="00C3025B"/>
    <w:rsid w:val="00C302C6"/>
    <w:rsid w:val="00C30B75"/>
    <w:rsid w:val="00C30FD5"/>
    <w:rsid w:val="00C310F9"/>
    <w:rsid w:val="00C318BD"/>
    <w:rsid w:val="00C318E5"/>
    <w:rsid w:val="00C31BBF"/>
    <w:rsid w:val="00C31D2E"/>
    <w:rsid w:val="00C31DF0"/>
    <w:rsid w:val="00C32026"/>
    <w:rsid w:val="00C32C9F"/>
    <w:rsid w:val="00C332E7"/>
    <w:rsid w:val="00C33C54"/>
    <w:rsid w:val="00C33C67"/>
    <w:rsid w:val="00C345E4"/>
    <w:rsid w:val="00C34A52"/>
    <w:rsid w:val="00C34FEB"/>
    <w:rsid w:val="00C3522D"/>
    <w:rsid w:val="00C359F0"/>
    <w:rsid w:val="00C35D93"/>
    <w:rsid w:val="00C36336"/>
    <w:rsid w:val="00C36464"/>
    <w:rsid w:val="00C37159"/>
    <w:rsid w:val="00C37284"/>
    <w:rsid w:val="00C37B67"/>
    <w:rsid w:val="00C400E9"/>
    <w:rsid w:val="00C40B2D"/>
    <w:rsid w:val="00C41263"/>
    <w:rsid w:val="00C41352"/>
    <w:rsid w:val="00C417AA"/>
    <w:rsid w:val="00C417AE"/>
    <w:rsid w:val="00C41D2F"/>
    <w:rsid w:val="00C420B7"/>
    <w:rsid w:val="00C4244C"/>
    <w:rsid w:val="00C42497"/>
    <w:rsid w:val="00C428C4"/>
    <w:rsid w:val="00C42A5D"/>
    <w:rsid w:val="00C42C95"/>
    <w:rsid w:val="00C430C9"/>
    <w:rsid w:val="00C43F54"/>
    <w:rsid w:val="00C44681"/>
    <w:rsid w:val="00C44978"/>
    <w:rsid w:val="00C453B3"/>
    <w:rsid w:val="00C455BF"/>
    <w:rsid w:val="00C45925"/>
    <w:rsid w:val="00C45FF2"/>
    <w:rsid w:val="00C461FB"/>
    <w:rsid w:val="00C465F9"/>
    <w:rsid w:val="00C466ED"/>
    <w:rsid w:val="00C47091"/>
    <w:rsid w:val="00C470F0"/>
    <w:rsid w:val="00C47254"/>
    <w:rsid w:val="00C4738E"/>
    <w:rsid w:val="00C4774E"/>
    <w:rsid w:val="00C478A4"/>
    <w:rsid w:val="00C4794F"/>
    <w:rsid w:val="00C479A3"/>
    <w:rsid w:val="00C50544"/>
    <w:rsid w:val="00C50670"/>
    <w:rsid w:val="00C50C26"/>
    <w:rsid w:val="00C50C30"/>
    <w:rsid w:val="00C51D3E"/>
    <w:rsid w:val="00C51E52"/>
    <w:rsid w:val="00C52231"/>
    <w:rsid w:val="00C52255"/>
    <w:rsid w:val="00C52569"/>
    <w:rsid w:val="00C52898"/>
    <w:rsid w:val="00C52F0D"/>
    <w:rsid w:val="00C5410C"/>
    <w:rsid w:val="00C5500D"/>
    <w:rsid w:val="00C5505E"/>
    <w:rsid w:val="00C5592C"/>
    <w:rsid w:val="00C55A92"/>
    <w:rsid w:val="00C55AF1"/>
    <w:rsid w:val="00C55E70"/>
    <w:rsid w:val="00C56F36"/>
    <w:rsid w:val="00C57425"/>
    <w:rsid w:val="00C577FA"/>
    <w:rsid w:val="00C602FB"/>
    <w:rsid w:val="00C61166"/>
    <w:rsid w:val="00C61376"/>
    <w:rsid w:val="00C6168C"/>
    <w:rsid w:val="00C62235"/>
    <w:rsid w:val="00C63352"/>
    <w:rsid w:val="00C63C42"/>
    <w:rsid w:val="00C63CA7"/>
    <w:rsid w:val="00C63F45"/>
    <w:rsid w:val="00C6469C"/>
    <w:rsid w:val="00C64C3A"/>
    <w:rsid w:val="00C64CB6"/>
    <w:rsid w:val="00C6513C"/>
    <w:rsid w:val="00C654ED"/>
    <w:rsid w:val="00C66028"/>
    <w:rsid w:val="00C66B7F"/>
    <w:rsid w:val="00C66F1F"/>
    <w:rsid w:val="00C66F6B"/>
    <w:rsid w:val="00C675C3"/>
    <w:rsid w:val="00C67A91"/>
    <w:rsid w:val="00C67BE1"/>
    <w:rsid w:val="00C70317"/>
    <w:rsid w:val="00C70B3A"/>
    <w:rsid w:val="00C71265"/>
    <w:rsid w:val="00C71AD5"/>
    <w:rsid w:val="00C71CD7"/>
    <w:rsid w:val="00C7201B"/>
    <w:rsid w:val="00C72BBB"/>
    <w:rsid w:val="00C73F00"/>
    <w:rsid w:val="00C740B1"/>
    <w:rsid w:val="00C74C83"/>
    <w:rsid w:val="00C75C46"/>
    <w:rsid w:val="00C75FC0"/>
    <w:rsid w:val="00C76256"/>
    <w:rsid w:val="00C76380"/>
    <w:rsid w:val="00C76537"/>
    <w:rsid w:val="00C76F9D"/>
    <w:rsid w:val="00C77661"/>
    <w:rsid w:val="00C7778D"/>
    <w:rsid w:val="00C77A99"/>
    <w:rsid w:val="00C77B0D"/>
    <w:rsid w:val="00C80F06"/>
    <w:rsid w:val="00C82312"/>
    <w:rsid w:val="00C82495"/>
    <w:rsid w:val="00C82621"/>
    <w:rsid w:val="00C82F60"/>
    <w:rsid w:val="00C831B6"/>
    <w:rsid w:val="00C8381C"/>
    <w:rsid w:val="00C83966"/>
    <w:rsid w:val="00C83F96"/>
    <w:rsid w:val="00C84161"/>
    <w:rsid w:val="00C84F24"/>
    <w:rsid w:val="00C85617"/>
    <w:rsid w:val="00C85ABF"/>
    <w:rsid w:val="00C85D9A"/>
    <w:rsid w:val="00C85FF3"/>
    <w:rsid w:val="00C8672F"/>
    <w:rsid w:val="00C86DEA"/>
    <w:rsid w:val="00C90227"/>
    <w:rsid w:val="00C90C3D"/>
    <w:rsid w:val="00C90C99"/>
    <w:rsid w:val="00C91216"/>
    <w:rsid w:val="00C9126E"/>
    <w:rsid w:val="00C93533"/>
    <w:rsid w:val="00C93CE7"/>
    <w:rsid w:val="00C95D21"/>
    <w:rsid w:val="00C96301"/>
    <w:rsid w:val="00C967D1"/>
    <w:rsid w:val="00C96A43"/>
    <w:rsid w:val="00C979D8"/>
    <w:rsid w:val="00CA00F8"/>
    <w:rsid w:val="00CA016D"/>
    <w:rsid w:val="00CA0F57"/>
    <w:rsid w:val="00CA131D"/>
    <w:rsid w:val="00CA1619"/>
    <w:rsid w:val="00CA18AC"/>
    <w:rsid w:val="00CA2837"/>
    <w:rsid w:val="00CA2D27"/>
    <w:rsid w:val="00CA301C"/>
    <w:rsid w:val="00CA30D6"/>
    <w:rsid w:val="00CA3237"/>
    <w:rsid w:val="00CA374A"/>
    <w:rsid w:val="00CA3A21"/>
    <w:rsid w:val="00CA4462"/>
    <w:rsid w:val="00CA4CC3"/>
    <w:rsid w:val="00CA56AC"/>
    <w:rsid w:val="00CA5C8F"/>
    <w:rsid w:val="00CA5E93"/>
    <w:rsid w:val="00CA5FD8"/>
    <w:rsid w:val="00CA60A2"/>
    <w:rsid w:val="00CA6518"/>
    <w:rsid w:val="00CA67FD"/>
    <w:rsid w:val="00CA6DB2"/>
    <w:rsid w:val="00CA73A4"/>
    <w:rsid w:val="00CA787B"/>
    <w:rsid w:val="00CB04B2"/>
    <w:rsid w:val="00CB061C"/>
    <w:rsid w:val="00CB0CC6"/>
    <w:rsid w:val="00CB24A4"/>
    <w:rsid w:val="00CB2B98"/>
    <w:rsid w:val="00CB2D83"/>
    <w:rsid w:val="00CB31B2"/>
    <w:rsid w:val="00CB38CF"/>
    <w:rsid w:val="00CB4450"/>
    <w:rsid w:val="00CB4EE1"/>
    <w:rsid w:val="00CB514A"/>
    <w:rsid w:val="00CB5258"/>
    <w:rsid w:val="00CB55AF"/>
    <w:rsid w:val="00CB5BFA"/>
    <w:rsid w:val="00CB5E8A"/>
    <w:rsid w:val="00CB6902"/>
    <w:rsid w:val="00CB6EC0"/>
    <w:rsid w:val="00CB6F14"/>
    <w:rsid w:val="00CC165F"/>
    <w:rsid w:val="00CC17AE"/>
    <w:rsid w:val="00CC1D97"/>
    <w:rsid w:val="00CC2532"/>
    <w:rsid w:val="00CC29AA"/>
    <w:rsid w:val="00CC43AF"/>
    <w:rsid w:val="00CC4753"/>
    <w:rsid w:val="00CC479A"/>
    <w:rsid w:val="00CC4E1C"/>
    <w:rsid w:val="00CC59FB"/>
    <w:rsid w:val="00CC5F10"/>
    <w:rsid w:val="00CC6193"/>
    <w:rsid w:val="00CC6BC7"/>
    <w:rsid w:val="00CC6C16"/>
    <w:rsid w:val="00CC6C2B"/>
    <w:rsid w:val="00CC6CD1"/>
    <w:rsid w:val="00CC6F58"/>
    <w:rsid w:val="00CC76A9"/>
    <w:rsid w:val="00CC7709"/>
    <w:rsid w:val="00CC7A76"/>
    <w:rsid w:val="00CC7A77"/>
    <w:rsid w:val="00CC7D8F"/>
    <w:rsid w:val="00CD0075"/>
    <w:rsid w:val="00CD0C75"/>
    <w:rsid w:val="00CD0FDF"/>
    <w:rsid w:val="00CD1357"/>
    <w:rsid w:val="00CD163E"/>
    <w:rsid w:val="00CD17F8"/>
    <w:rsid w:val="00CD1809"/>
    <w:rsid w:val="00CD1D0A"/>
    <w:rsid w:val="00CD2295"/>
    <w:rsid w:val="00CD33C4"/>
    <w:rsid w:val="00CD38D3"/>
    <w:rsid w:val="00CD3938"/>
    <w:rsid w:val="00CD3B88"/>
    <w:rsid w:val="00CD4DB8"/>
    <w:rsid w:val="00CD5388"/>
    <w:rsid w:val="00CD5C6C"/>
    <w:rsid w:val="00CD60C0"/>
    <w:rsid w:val="00CD6666"/>
    <w:rsid w:val="00CD6700"/>
    <w:rsid w:val="00CD70A7"/>
    <w:rsid w:val="00CD787B"/>
    <w:rsid w:val="00CD7AE6"/>
    <w:rsid w:val="00CD7F4A"/>
    <w:rsid w:val="00CE0261"/>
    <w:rsid w:val="00CE06F0"/>
    <w:rsid w:val="00CE1045"/>
    <w:rsid w:val="00CE1192"/>
    <w:rsid w:val="00CE17B5"/>
    <w:rsid w:val="00CE1CB7"/>
    <w:rsid w:val="00CE291F"/>
    <w:rsid w:val="00CE315F"/>
    <w:rsid w:val="00CE3288"/>
    <w:rsid w:val="00CE3438"/>
    <w:rsid w:val="00CE3568"/>
    <w:rsid w:val="00CE3F00"/>
    <w:rsid w:val="00CE4083"/>
    <w:rsid w:val="00CE409D"/>
    <w:rsid w:val="00CE4955"/>
    <w:rsid w:val="00CE4F4A"/>
    <w:rsid w:val="00CE51C2"/>
    <w:rsid w:val="00CE615B"/>
    <w:rsid w:val="00CE6538"/>
    <w:rsid w:val="00CE6695"/>
    <w:rsid w:val="00CE6B77"/>
    <w:rsid w:val="00CE764E"/>
    <w:rsid w:val="00CE791E"/>
    <w:rsid w:val="00CE7FC9"/>
    <w:rsid w:val="00CE7FCF"/>
    <w:rsid w:val="00CF0EE2"/>
    <w:rsid w:val="00CF11CF"/>
    <w:rsid w:val="00CF1289"/>
    <w:rsid w:val="00CF16CB"/>
    <w:rsid w:val="00CF1ACA"/>
    <w:rsid w:val="00CF269B"/>
    <w:rsid w:val="00CF44B3"/>
    <w:rsid w:val="00CF4560"/>
    <w:rsid w:val="00CF4930"/>
    <w:rsid w:val="00CF54EC"/>
    <w:rsid w:val="00CF5839"/>
    <w:rsid w:val="00CF5E40"/>
    <w:rsid w:val="00CF62CF"/>
    <w:rsid w:val="00CF6CA4"/>
    <w:rsid w:val="00CF6E3D"/>
    <w:rsid w:val="00CF6FB0"/>
    <w:rsid w:val="00CF72AE"/>
    <w:rsid w:val="00CF7D7A"/>
    <w:rsid w:val="00CF7D9E"/>
    <w:rsid w:val="00D00670"/>
    <w:rsid w:val="00D00AE5"/>
    <w:rsid w:val="00D0132F"/>
    <w:rsid w:val="00D01C2E"/>
    <w:rsid w:val="00D01FE3"/>
    <w:rsid w:val="00D0230A"/>
    <w:rsid w:val="00D0256E"/>
    <w:rsid w:val="00D03804"/>
    <w:rsid w:val="00D039F9"/>
    <w:rsid w:val="00D04971"/>
    <w:rsid w:val="00D05110"/>
    <w:rsid w:val="00D0582E"/>
    <w:rsid w:val="00D05ADB"/>
    <w:rsid w:val="00D10AAD"/>
    <w:rsid w:val="00D10BDA"/>
    <w:rsid w:val="00D11351"/>
    <w:rsid w:val="00D1139F"/>
    <w:rsid w:val="00D115EB"/>
    <w:rsid w:val="00D124AF"/>
    <w:rsid w:val="00D127B4"/>
    <w:rsid w:val="00D12EAE"/>
    <w:rsid w:val="00D12ECA"/>
    <w:rsid w:val="00D13C51"/>
    <w:rsid w:val="00D13CC5"/>
    <w:rsid w:val="00D14196"/>
    <w:rsid w:val="00D14707"/>
    <w:rsid w:val="00D14FB8"/>
    <w:rsid w:val="00D15759"/>
    <w:rsid w:val="00D15835"/>
    <w:rsid w:val="00D16452"/>
    <w:rsid w:val="00D16A5D"/>
    <w:rsid w:val="00D16C09"/>
    <w:rsid w:val="00D175FA"/>
    <w:rsid w:val="00D17893"/>
    <w:rsid w:val="00D17B20"/>
    <w:rsid w:val="00D17B52"/>
    <w:rsid w:val="00D200A9"/>
    <w:rsid w:val="00D20A68"/>
    <w:rsid w:val="00D20F99"/>
    <w:rsid w:val="00D22039"/>
    <w:rsid w:val="00D22F9B"/>
    <w:rsid w:val="00D23606"/>
    <w:rsid w:val="00D23B8B"/>
    <w:rsid w:val="00D242A2"/>
    <w:rsid w:val="00D24480"/>
    <w:rsid w:val="00D24938"/>
    <w:rsid w:val="00D24AC0"/>
    <w:rsid w:val="00D24CDC"/>
    <w:rsid w:val="00D250D0"/>
    <w:rsid w:val="00D256C2"/>
    <w:rsid w:val="00D25968"/>
    <w:rsid w:val="00D25A28"/>
    <w:rsid w:val="00D25A30"/>
    <w:rsid w:val="00D2608A"/>
    <w:rsid w:val="00D2651A"/>
    <w:rsid w:val="00D2697F"/>
    <w:rsid w:val="00D270EC"/>
    <w:rsid w:val="00D27B09"/>
    <w:rsid w:val="00D302FC"/>
    <w:rsid w:val="00D30A1A"/>
    <w:rsid w:val="00D3109E"/>
    <w:rsid w:val="00D31312"/>
    <w:rsid w:val="00D3141F"/>
    <w:rsid w:val="00D3155B"/>
    <w:rsid w:val="00D327E3"/>
    <w:rsid w:val="00D32ECF"/>
    <w:rsid w:val="00D33442"/>
    <w:rsid w:val="00D33B6D"/>
    <w:rsid w:val="00D33F7F"/>
    <w:rsid w:val="00D344B2"/>
    <w:rsid w:val="00D35484"/>
    <w:rsid w:val="00D35AF7"/>
    <w:rsid w:val="00D35F64"/>
    <w:rsid w:val="00D361DA"/>
    <w:rsid w:val="00D36366"/>
    <w:rsid w:val="00D36547"/>
    <w:rsid w:val="00D36F5B"/>
    <w:rsid w:val="00D37ADD"/>
    <w:rsid w:val="00D37B0A"/>
    <w:rsid w:val="00D37C79"/>
    <w:rsid w:val="00D40E6B"/>
    <w:rsid w:val="00D41E85"/>
    <w:rsid w:val="00D422B0"/>
    <w:rsid w:val="00D425B9"/>
    <w:rsid w:val="00D42DDB"/>
    <w:rsid w:val="00D449FD"/>
    <w:rsid w:val="00D44A77"/>
    <w:rsid w:val="00D4548B"/>
    <w:rsid w:val="00D45997"/>
    <w:rsid w:val="00D46525"/>
    <w:rsid w:val="00D469C0"/>
    <w:rsid w:val="00D47645"/>
    <w:rsid w:val="00D50408"/>
    <w:rsid w:val="00D50902"/>
    <w:rsid w:val="00D50BDC"/>
    <w:rsid w:val="00D51F09"/>
    <w:rsid w:val="00D52061"/>
    <w:rsid w:val="00D520E2"/>
    <w:rsid w:val="00D52251"/>
    <w:rsid w:val="00D5262C"/>
    <w:rsid w:val="00D52757"/>
    <w:rsid w:val="00D52F55"/>
    <w:rsid w:val="00D52FA1"/>
    <w:rsid w:val="00D5332E"/>
    <w:rsid w:val="00D535DB"/>
    <w:rsid w:val="00D53A27"/>
    <w:rsid w:val="00D54236"/>
    <w:rsid w:val="00D54AC8"/>
    <w:rsid w:val="00D5585B"/>
    <w:rsid w:val="00D56265"/>
    <w:rsid w:val="00D57D86"/>
    <w:rsid w:val="00D57D9E"/>
    <w:rsid w:val="00D6067B"/>
    <w:rsid w:val="00D6070B"/>
    <w:rsid w:val="00D62779"/>
    <w:rsid w:val="00D629EA"/>
    <w:rsid w:val="00D641EB"/>
    <w:rsid w:val="00D64ECB"/>
    <w:rsid w:val="00D6544A"/>
    <w:rsid w:val="00D6567D"/>
    <w:rsid w:val="00D659A1"/>
    <w:rsid w:val="00D65EF1"/>
    <w:rsid w:val="00D661EF"/>
    <w:rsid w:val="00D66979"/>
    <w:rsid w:val="00D66B1F"/>
    <w:rsid w:val="00D67E02"/>
    <w:rsid w:val="00D711D8"/>
    <w:rsid w:val="00D7173B"/>
    <w:rsid w:val="00D7204E"/>
    <w:rsid w:val="00D72257"/>
    <w:rsid w:val="00D72522"/>
    <w:rsid w:val="00D728B8"/>
    <w:rsid w:val="00D729D5"/>
    <w:rsid w:val="00D73F03"/>
    <w:rsid w:val="00D741C2"/>
    <w:rsid w:val="00D759F1"/>
    <w:rsid w:val="00D75B72"/>
    <w:rsid w:val="00D761EE"/>
    <w:rsid w:val="00D76B4E"/>
    <w:rsid w:val="00D77226"/>
    <w:rsid w:val="00D8170D"/>
    <w:rsid w:val="00D81EC8"/>
    <w:rsid w:val="00D831FA"/>
    <w:rsid w:val="00D83915"/>
    <w:rsid w:val="00D83B90"/>
    <w:rsid w:val="00D84514"/>
    <w:rsid w:val="00D847D0"/>
    <w:rsid w:val="00D84BFD"/>
    <w:rsid w:val="00D84E21"/>
    <w:rsid w:val="00D861CD"/>
    <w:rsid w:val="00D8674C"/>
    <w:rsid w:val="00D86778"/>
    <w:rsid w:val="00D867C0"/>
    <w:rsid w:val="00D86C17"/>
    <w:rsid w:val="00D872D2"/>
    <w:rsid w:val="00D87357"/>
    <w:rsid w:val="00D90608"/>
    <w:rsid w:val="00D90A53"/>
    <w:rsid w:val="00D920FB"/>
    <w:rsid w:val="00D9221A"/>
    <w:rsid w:val="00D922F1"/>
    <w:rsid w:val="00D9248A"/>
    <w:rsid w:val="00D9346A"/>
    <w:rsid w:val="00D9353A"/>
    <w:rsid w:val="00D9375D"/>
    <w:rsid w:val="00D93A38"/>
    <w:rsid w:val="00D94131"/>
    <w:rsid w:val="00D95CF6"/>
    <w:rsid w:val="00D9622C"/>
    <w:rsid w:val="00D9629F"/>
    <w:rsid w:val="00D96E9F"/>
    <w:rsid w:val="00D97542"/>
    <w:rsid w:val="00DA0328"/>
    <w:rsid w:val="00DA0443"/>
    <w:rsid w:val="00DA0556"/>
    <w:rsid w:val="00DA05B3"/>
    <w:rsid w:val="00DA23FC"/>
    <w:rsid w:val="00DA2589"/>
    <w:rsid w:val="00DA2782"/>
    <w:rsid w:val="00DA2BEF"/>
    <w:rsid w:val="00DA2D42"/>
    <w:rsid w:val="00DA3572"/>
    <w:rsid w:val="00DA3F86"/>
    <w:rsid w:val="00DA401C"/>
    <w:rsid w:val="00DA427E"/>
    <w:rsid w:val="00DA42A9"/>
    <w:rsid w:val="00DA4E73"/>
    <w:rsid w:val="00DA51D8"/>
    <w:rsid w:val="00DA5232"/>
    <w:rsid w:val="00DA6548"/>
    <w:rsid w:val="00DA75DB"/>
    <w:rsid w:val="00DA780C"/>
    <w:rsid w:val="00DA7998"/>
    <w:rsid w:val="00DA79BA"/>
    <w:rsid w:val="00DA7AF8"/>
    <w:rsid w:val="00DA7B97"/>
    <w:rsid w:val="00DB0142"/>
    <w:rsid w:val="00DB01EC"/>
    <w:rsid w:val="00DB0BBB"/>
    <w:rsid w:val="00DB0EA1"/>
    <w:rsid w:val="00DB115A"/>
    <w:rsid w:val="00DB1189"/>
    <w:rsid w:val="00DB1DB6"/>
    <w:rsid w:val="00DB23ED"/>
    <w:rsid w:val="00DB2515"/>
    <w:rsid w:val="00DB2B69"/>
    <w:rsid w:val="00DB339F"/>
    <w:rsid w:val="00DB3727"/>
    <w:rsid w:val="00DB44A6"/>
    <w:rsid w:val="00DB528D"/>
    <w:rsid w:val="00DB5B26"/>
    <w:rsid w:val="00DB5E62"/>
    <w:rsid w:val="00DB639A"/>
    <w:rsid w:val="00DB6586"/>
    <w:rsid w:val="00DB6644"/>
    <w:rsid w:val="00DB66DB"/>
    <w:rsid w:val="00DB7327"/>
    <w:rsid w:val="00DB7F76"/>
    <w:rsid w:val="00DC0056"/>
    <w:rsid w:val="00DC0769"/>
    <w:rsid w:val="00DC0B87"/>
    <w:rsid w:val="00DC0D8A"/>
    <w:rsid w:val="00DC0E52"/>
    <w:rsid w:val="00DC115F"/>
    <w:rsid w:val="00DC141C"/>
    <w:rsid w:val="00DC1775"/>
    <w:rsid w:val="00DC1A48"/>
    <w:rsid w:val="00DC1DC8"/>
    <w:rsid w:val="00DC272B"/>
    <w:rsid w:val="00DC284A"/>
    <w:rsid w:val="00DC33A4"/>
    <w:rsid w:val="00DC3581"/>
    <w:rsid w:val="00DC3990"/>
    <w:rsid w:val="00DC3B4E"/>
    <w:rsid w:val="00DC461C"/>
    <w:rsid w:val="00DC47C7"/>
    <w:rsid w:val="00DC4DCF"/>
    <w:rsid w:val="00DC53AC"/>
    <w:rsid w:val="00DC53BA"/>
    <w:rsid w:val="00DC5D44"/>
    <w:rsid w:val="00DC6822"/>
    <w:rsid w:val="00DC6D51"/>
    <w:rsid w:val="00DC7C7A"/>
    <w:rsid w:val="00DC7DF7"/>
    <w:rsid w:val="00DD0129"/>
    <w:rsid w:val="00DD0992"/>
    <w:rsid w:val="00DD0EE2"/>
    <w:rsid w:val="00DD18C9"/>
    <w:rsid w:val="00DD1F0E"/>
    <w:rsid w:val="00DD2BE6"/>
    <w:rsid w:val="00DD31A7"/>
    <w:rsid w:val="00DD4C0D"/>
    <w:rsid w:val="00DD4C9B"/>
    <w:rsid w:val="00DD4D18"/>
    <w:rsid w:val="00DD563E"/>
    <w:rsid w:val="00DD5C29"/>
    <w:rsid w:val="00DD672F"/>
    <w:rsid w:val="00DD68F8"/>
    <w:rsid w:val="00DD784D"/>
    <w:rsid w:val="00DD79C8"/>
    <w:rsid w:val="00DE0A51"/>
    <w:rsid w:val="00DE1471"/>
    <w:rsid w:val="00DE189A"/>
    <w:rsid w:val="00DE1BB2"/>
    <w:rsid w:val="00DE2194"/>
    <w:rsid w:val="00DE221B"/>
    <w:rsid w:val="00DE2501"/>
    <w:rsid w:val="00DE2AB6"/>
    <w:rsid w:val="00DE3B04"/>
    <w:rsid w:val="00DE400F"/>
    <w:rsid w:val="00DE4310"/>
    <w:rsid w:val="00DE44F7"/>
    <w:rsid w:val="00DE4962"/>
    <w:rsid w:val="00DE5B80"/>
    <w:rsid w:val="00DE6583"/>
    <w:rsid w:val="00DE709F"/>
    <w:rsid w:val="00DE7313"/>
    <w:rsid w:val="00DE774A"/>
    <w:rsid w:val="00DF0D66"/>
    <w:rsid w:val="00DF0E3D"/>
    <w:rsid w:val="00DF1A4B"/>
    <w:rsid w:val="00DF1B40"/>
    <w:rsid w:val="00DF21A4"/>
    <w:rsid w:val="00DF23F1"/>
    <w:rsid w:val="00DF2922"/>
    <w:rsid w:val="00DF3B01"/>
    <w:rsid w:val="00DF458D"/>
    <w:rsid w:val="00DF4A4A"/>
    <w:rsid w:val="00DF519A"/>
    <w:rsid w:val="00DF5A27"/>
    <w:rsid w:val="00DF5FBE"/>
    <w:rsid w:val="00DF61D0"/>
    <w:rsid w:val="00DF6C8A"/>
    <w:rsid w:val="00DF715D"/>
    <w:rsid w:val="00DF7486"/>
    <w:rsid w:val="00DF76D1"/>
    <w:rsid w:val="00DF79A2"/>
    <w:rsid w:val="00DF7A18"/>
    <w:rsid w:val="00DF7DCC"/>
    <w:rsid w:val="00E0012D"/>
    <w:rsid w:val="00E00326"/>
    <w:rsid w:val="00E00B9C"/>
    <w:rsid w:val="00E014C0"/>
    <w:rsid w:val="00E0152A"/>
    <w:rsid w:val="00E0192D"/>
    <w:rsid w:val="00E01E47"/>
    <w:rsid w:val="00E02051"/>
    <w:rsid w:val="00E02AED"/>
    <w:rsid w:val="00E038D0"/>
    <w:rsid w:val="00E03CCA"/>
    <w:rsid w:val="00E03F4D"/>
    <w:rsid w:val="00E03FB5"/>
    <w:rsid w:val="00E04842"/>
    <w:rsid w:val="00E0496B"/>
    <w:rsid w:val="00E05A55"/>
    <w:rsid w:val="00E0637B"/>
    <w:rsid w:val="00E06505"/>
    <w:rsid w:val="00E0680E"/>
    <w:rsid w:val="00E06933"/>
    <w:rsid w:val="00E06BC9"/>
    <w:rsid w:val="00E101AC"/>
    <w:rsid w:val="00E10EB5"/>
    <w:rsid w:val="00E1223C"/>
    <w:rsid w:val="00E14167"/>
    <w:rsid w:val="00E15335"/>
    <w:rsid w:val="00E15A71"/>
    <w:rsid w:val="00E15A9A"/>
    <w:rsid w:val="00E1611B"/>
    <w:rsid w:val="00E16312"/>
    <w:rsid w:val="00E16B59"/>
    <w:rsid w:val="00E16FEC"/>
    <w:rsid w:val="00E17D38"/>
    <w:rsid w:val="00E20656"/>
    <w:rsid w:val="00E20780"/>
    <w:rsid w:val="00E20A0C"/>
    <w:rsid w:val="00E20F42"/>
    <w:rsid w:val="00E218BA"/>
    <w:rsid w:val="00E21A9E"/>
    <w:rsid w:val="00E21DBE"/>
    <w:rsid w:val="00E22683"/>
    <w:rsid w:val="00E232AE"/>
    <w:rsid w:val="00E23372"/>
    <w:rsid w:val="00E238EC"/>
    <w:rsid w:val="00E24A16"/>
    <w:rsid w:val="00E24DEA"/>
    <w:rsid w:val="00E24EE7"/>
    <w:rsid w:val="00E252F0"/>
    <w:rsid w:val="00E25F2A"/>
    <w:rsid w:val="00E26548"/>
    <w:rsid w:val="00E26629"/>
    <w:rsid w:val="00E2768D"/>
    <w:rsid w:val="00E3003E"/>
    <w:rsid w:val="00E3022B"/>
    <w:rsid w:val="00E303BE"/>
    <w:rsid w:val="00E306DA"/>
    <w:rsid w:val="00E3124F"/>
    <w:rsid w:val="00E316D9"/>
    <w:rsid w:val="00E325E4"/>
    <w:rsid w:val="00E32E67"/>
    <w:rsid w:val="00E330C5"/>
    <w:rsid w:val="00E33560"/>
    <w:rsid w:val="00E3413B"/>
    <w:rsid w:val="00E347E7"/>
    <w:rsid w:val="00E353E9"/>
    <w:rsid w:val="00E3589F"/>
    <w:rsid w:val="00E35F3B"/>
    <w:rsid w:val="00E36EA9"/>
    <w:rsid w:val="00E37B9B"/>
    <w:rsid w:val="00E401CF"/>
    <w:rsid w:val="00E40299"/>
    <w:rsid w:val="00E40F41"/>
    <w:rsid w:val="00E41393"/>
    <w:rsid w:val="00E41E97"/>
    <w:rsid w:val="00E43879"/>
    <w:rsid w:val="00E43C46"/>
    <w:rsid w:val="00E43E9C"/>
    <w:rsid w:val="00E44044"/>
    <w:rsid w:val="00E441BF"/>
    <w:rsid w:val="00E449B5"/>
    <w:rsid w:val="00E4592C"/>
    <w:rsid w:val="00E47864"/>
    <w:rsid w:val="00E47BD0"/>
    <w:rsid w:val="00E47DAC"/>
    <w:rsid w:val="00E501A6"/>
    <w:rsid w:val="00E501EB"/>
    <w:rsid w:val="00E5076A"/>
    <w:rsid w:val="00E50DBB"/>
    <w:rsid w:val="00E50E83"/>
    <w:rsid w:val="00E516A6"/>
    <w:rsid w:val="00E52403"/>
    <w:rsid w:val="00E532A8"/>
    <w:rsid w:val="00E53453"/>
    <w:rsid w:val="00E53C5B"/>
    <w:rsid w:val="00E53D05"/>
    <w:rsid w:val="00E55777"/>
    <w:rsid w:val="00E55FBC"/>
    <w:rsid w:val="00E56B33"/>
    <w:rsid w:val="00E56C37"/>
    <w:rsid w:val="00E57F17"/>
    <w:rsid w:val="00E60643"/>
    <w:rsid w:val="00E60C20"/>
    <w:rsid w:val="00E60CD7"/>
    <w:rsid w:val="00E61322"/>
    <w:rsid w:val="00E61F75"/>
    <w:rsid w:val="00E63041"/>
    <w:rsid w:val="00E636AB"/>
    <w:rsid w:val="00E643C2"/>
    <w:rsid w:val="00E64C3E"/>
    <w:rsid w:val="00E64E56"/>
    <w:rsid w:val="00E6576C"/>
    <w:rsid w:val="00E65973"/>
    <w:rsid w:val="00E65F0D"/>
    <w:rsid w:val="00E666D7"/>
    <w:rsid w:val="00E679D3"/>
    <w:rsid w:val="00E67FC2"/>
    <w:rsid w:val="00E70AE1"/>
    <w:rsid w:val="00E70C20"/>
    <w:rsid w:val="00E70D73"/>
    <w:rsid w:val="00E71169"/>
    <w:rsid w:val="00E711F0"/>
    <w:rsid w:val="00E71D09"/>
    <w:rsid w:val="00E7280A"/>
    <w:rsid w:val="00E7374D"/>
    <w:rsid w:val="00E73D04"/>
    <w:rsid w:val="00E745B4"/>
    <w:rsid w:val="00E7461B"/>
    <w:rsid w:val="00E7484B"/>
    <w:rsid w:val="00E750A5"/>
    <w:rsid w:val="00E761A1"/>
    <w:rsid w:val="00E766D7"/>
    <w:rsid w:val="00E76BCC"/>
    <w:rsid w:val="00E76CA4"/>
    <w:rsid w:val="00E7793F"/>
    <w:rsid w:val="00E77F8B"/>
    <w:rsid w:val="00E80D8E"/>
    <w:rsid w:val="00E80EAC"/>
    <w:rsid w:val="00E811CA"/>
    <w:rsid w:val="00E8174E"/>
    <w:rsid w:val="00E81FD0"/>
    <w:rsid w:val="00E823CA"/>
    <w:rsid w:val="00E826FF"/>
    <w:rsid w:val="00E8284D"/>
    <w:rsid w:val="00E82BD9"/>
    <w:rsid w:val="00E82F8D"/>
    <w:rsid w:val="00E83082"/>
    <w:rsid w:val="00E83EFF"/>
    <w:rsid w:val="00E83F2D"/>
    <w:rsid w:val="00E83F55"/>
    <w:rsid w:val="00E8408A"/>
    <w:rsid w:val="00E841DA"/>
    <w:rsid w:val="00E846ED"/>
    <w:rsid w:val="00E84760"/>
    <w:rsid w:val="00E8476C"/>
    <w:rsid w:val="00E856C5"/>
    <w:rsid w:val="00E86030"/>
    <w:rsid w:val="00E8618A"/>
    <w:rsid w:val="00E862A9"/>
    <w:rsid w:val="00E86DD1"/>
    <w:rsid w:val="00E87189"/>
    <w:rsid w:val="00E876E4"/>
    <w:rsid w:val="00E90DE0"/>
    <w:rsid w:val="00E928DA"/>
    <w:rsid w:val="00E93B7F"/>
    <w:rsid w:val="00E950BB"/>
    <w:rsid w:val="00E95263"/>
    <w:rsid w:val="00E9554E"/>
    <w:rsid w:val="00E95A51"/>
    <w:rsid w:val="00E96D01"/>
    <w:rsid w:val="00E973CA"/>
    <w:rsid w:val="00E97504"/>
    <w:rsid w:val="00EA04E4"/>
    <w:rsid w:val="00EA0A7C"/>
    <w:rsid w:val="00EA0C40"/>
    <w:rsid w:val="00EA1C34"/>
    <w:rsid w:val="00EA285C"/>
    <w:rsid w:val="00EA2978"/>
    <w:rsid w:val="00EA2F88"/>
    <w:rsid w:val="00EA3450"/>
    <w:rsid w:val="00EA437D"/>
    <w:rsid w:val="00EA4EE5"/>
    <w:rsid w:val="00EA57AA"/>
    <w:rsid w:val="00EA5879"/>
    <w:rsid w:val="00EA5895"/>
    <w:rsid w:val="00EA5C4C"/>
    <w:rsid w:val="00EA6ABD"/>
    <w:rsid w:val="00EA6E50"/>
    <w:rsid w:val="00EA7311"/>
    <w:rsid w:val="00EA7784"/>
    <w:rsid w:val="00EA7A80"/>
    <w:rsid w:val="00EB06C3"/>
    <w:rsid w:val="00EB0B3A"/>
    <w:rsid w:val="00EB102E"/>
    <w:rsid w:val="00EB29FE"/>
    <w:rsid w:val="00EB2F66"/>
    <w:rsid w:val="00EB3012"/>
    <w:rsid w:val="00EB337C"/>
    <w:rsid w:val="00EB3390"/>
    <w:rsid w:val="00EB3E72"/>
    <w:rsid w:val="00EB44DF"/>
    <w:rsid w:val="00EB47DD"/>
    <w:rsid w:val="00EB54FC"/>
    <w:rsid w:val="00EB57B5"/>
    <w:rsid w:val="00EB643C"/>
    <w:rsid w:val="00EB68F7"/>
    <w:rsid w:val="00EB6C92"/>
    <w:rsid w:val="00EB6E9A"/>
    <w:rsid w:val="00EB718C"/>
    <w:rsid w:val="00EB7472"/>
    <w:rsid w:val="00EB757A"/>
    <w:rsid w:val="00EB760D"/>
    <w:rsid w:val="00EB7654"/>
    <w:rsid w:val="00EB7667"/>
    <w:rsid w:val="00EB7F63"/>
    <w:rsid w:val="00EC036C"/>
    <w:rsid w:val="00EC03AB"/>
    <w:rsid w:val="00EC0BF9"/>
    <w:rsid w:val="00EC12B7"/>
    <w:rsid w:val="00EC1A2B"/>
    <w:rsid w:val="00EC321D"/>
    <w:rsid w:val="00EC3531"/>
    <w:rsid w:val="00EC3FF3"/>
    <w:rsid w:val="00EC3FF8"/>
    <w:rsid w:val="00EC438F"/>
    <w:rsid w:val="00EC48D1"/>
    <w:rsid w:val="00EC5A39"/>
    <w:rsid w:val="00EC5E74"/>
    <w:rsid w:val="00EC6532"/>
    <w:rsid w:val="00EC6D5D"/>
    <w:rsid w:val="00EC7046"/>
    <w:rsid w:val="00EC71CC"/>
    <w:rsid w:val="00EC71E5"/>
    <w:rsid w:val="00EC7404"/>
    <w:rsid w:val="00EC7ECE"/>
    <w:rsid w:val="00ED0A9A"/>
    <w:rsid w:val="00ED13C7"/>
    <w:rsid w:val="00ED1871"/>
    <w:rsid w:val="00ED1A4B"/>
    <w:rsid w:val="00ED1C10"/>
    <w:rsid w:val="00ED1DAC"/>
    <w:rsid w:val="00ED2717"/>
    <w:rsid w:val="00ED2DAA"/>
    <w:rsid w:val="00ED3218"/>
    <w:rsid w:val="00ED32B8"/>
    <w:rsid w:val="00ED3581"/>
    <w:rsid w:val="00ED39F1"/>
    <w:rsid w:val="00ED3A9B"/>
    <w:rsid w:val="00ED413D"/>
    <w:rsid w:val="00ED44B0"/>
    <w:rsid w:val="00ED4951"/>
    <w:rsid w:val="00ED4965"/>
    <w:rsid w:val="00ED6065"/>
    <w:rsid w:val="00ED63EC"/>
    <w:rsid w:val="00ED6577"/>
    <w:rsid w:val="00ED6A52"/>
    <w:rsid w:val="00ED701C"/>
    <w:rsid w:val="00ED7815"/>
    <w:rsid w:val="00EE05C0"/>
    <w:rsid w:val="00EE0737"/>
    <w:rsid w:val="00EE0CAD"/>
    <w:rsid w:val="00EE0EFE"/>
    <w:rsid w:val="00EE206D"/>
    <w:rsid w:val="00EE28AB"/>
    <w:rsid w:val="00EE300F"/>
    <w:rsid w:val="00EE3AAE"/>
    <w:rsid w:val="00EE3C69"/>
    <w:rsid w:val="00EE5052"/>
    <w:rsid w:val="00EE590D"/>
    <w:rsid w:val="00EE5923"/>
    <w:rsid w:val="00EE5EFB"/>
    <w:rsid w:val="00EE62E5"/>
    <w:rsid w:val="00EE6CFF"/>
    <w:rsid w:val="00EE7084"/>
    <w:rsid w:val="00EE7633"/>
    <w:rsid w:val="00EE79B1"/>
    <w:rsid w:val="00EF0149"/>
    <w:rsid w:val="00EF08AD"/>
    <w:rsid w:val="00EF1746"/>
    <w:rsid w:val="00EF19C0"/>
    <w:rsid w:val="00EF23B6"/>
    <w:rsid w:val="00EF2436"/>
    <w:rsid w:val="00EF2C66"/>
    <w:rsid w:val="00EF3356"/>
    <w:rsid w:val="00EF33BE"/>
    <w:rsid w:val="00EF37FB"/>
    <w:rsid w:val="00EF3FDC"/>
    <w:rsid w:val="00EF40A5"/>
    <w:rsid w:val="00EF4214"/>
    <w:rsid w:val="00EF4EE1"/>
    <w:rsid w:val="00EF50A3"/>
    <w:rsid w:val="00EF57CE"/>
    <w:rsid w:val="00EF58E0"/>
    <w:rsid w:val="00EF5AB2"/>
    <w:rsid w:val="00EF5CFA"/>
    <w:rsid w:val="00EF658A"/>
    <w:rsid w:val="00EF690E"/>
    <w:rsid w:val="00EF6A6A"/>
    <w:rsid w:val="00EF73D4"/>
    <w:rsid w:val="00EF791F"/>
    <w:rsid w:val="00EF7998"/>
    <w:rsid w:val="00EF7A22"/>
    <w:rsid w:val="00EF7CC1"/>
    <w:rsid w:val="00F0086F"/>
    <w:rsid w:val="00F00A2F"/>
    <w:rsid w:val="00F0183A"/>
    <w:rsid w:val="00F01E16"/>
    <w:rsid w:val="00F02DD4"/>
    <w:rsid w:val="00F02DFD"/>
    <w:rsid w:val="00F02F78"/>
    <w:rsid w:val="00F03025"/>
    <w:rsid w:val="00F0307C"/>
    <w:rsid w:val="00F037E7"/>
    <w:rsid w:val="00F03A20"/>
    <w:rsid w:val="00F03BD3"/>
    <w:rsid w:val="00F0404B"/>
    <w:rsid w:val="00F044C9"/>
    <w:rsid w:val="00F045AD"/>
    <w:rsid w:val="00F04602"/>
    <w:rsid w:val="00F05BAB"/>
    <w:rsid w:val="00F060B8"/>
    <w:rsid w:val="00F062AB"/>
    <w:rsid w:val="00F0674E"/>
    <w:rsid w:val="00F07558"/>
    <w:rsid w:val="00F07CBF"/>
    <w:rsid w:val="00F07E79"/>
    <w:rsid w:val="00F107C8"/>
    <w:rsid w:val="00F10B18"/>
    <w:rsid w:val="00F10C36"/>
    <w:rsid w:val="00F11C9F"/>
    <w:rsid w:val="00F1226D"/>
    <w:rsid w:val="00F126A3"/>
    <w:rsid w:val="00F12763"/>
    <w:rsid w:val="00F13AFC"/>
    <w:rsid w:val="00F13EB3"/>
    <w:rsid w:val="00F13F08"/>
    <w:rsid w:val="00F14678"/>
    <w:rsid w:val="00F14CF1"/>
    <w:rsid w:val="00F14F12"/>
    <w:rsid w:val="00F1578B"/>
    <w:rsid w:val="00F15CBB"/>
    <w:rsid w:val="00F16887"/>
    <w:rsid w:val="00F16A08"/>
    <w:rsid w:val="00F1755B"/>
    <w:rsid w:val="00F20438"/>
    <w:rsid w:val="00F20FEC"/>
    <w:rsid w:val="00F216C6"/>
    <w:rsid w:val="00F22583"/>
    <w:rsid w:val="00F229AB"/>
    <w:rsid w:val="00F2334B"/>
    <w:rsid w:val="00F242C4"/>
    <w:rsid w:val="00F2491C"/>
    <w:rsid w:val="00F24E37"/>
    <w:rsid w:val="00F251A9"/>
    <w:rsid w:val="00F2523C"/>
    <w:rsid w:val="00F25282"/>
    <w:rsid w:val="00F2548A"/>
    <w:rsid w:val="00F26123"/>
    <w:rsid w:val="00F26336"/>
    <w:rsid w:val="00F26767"/>
    <w:rsid w:val="00F2698F"/>
    <w:rsid w:val="00F26D89"/>
    <w:rsid w:val="00F270F4"/>
    <w:rsid w:val="00F27730"/>
    <w:rsid w:val="00F31384"/>
    <w:rsid w:val="00F316EA"/>
    <w:rsid w:val="00F326E3"/>
    <w:rsid w:val="00F32855"/>
    <w:rsid w:val="00F32A34"/>
    <w:rsid w:val="00F32DA9"/>
    <w:rsid w:val="00F33658"/>
    <w:rsid w:val="00F33718"/>
    <w:rsid w:val="00F34AD3"/>
    <w:rsid w:val="00F3577A"/>
    <w:rsid w:val="00F36260"/>
    <w:rsid w:val="00F365CD"/>
    <w:rsid w:val="00F36743"/>
    <w:rsid w:val="00F37CF5"/>
    <w:rsid w:val="00F4058F"/>
    <w:rsid w:val="00F40725"/>
    <w:rsid w:val="00F4099A"/>
    <w:rsid w:val="00F41805"/>
    <w:rsid w:val="00F41923"/>
    <w:rsid w:val="00F41A88"/>
    <w:rsid w:val="00F422A4"/>
    <w:rsid w:val="00F43763"/>
    <w:rsid w:val="00F441B7"/>
    <w:rsid w:val="00F45495"/>
    <w:rsid w:val="00F45930"/>
    <w:rsid w:val="00F45ADC"/>
    <w:rsid w:val="00F46FA3"/>
    <w:rsid w:val="00F477AF"/>
    <w:rsid w:val="00F47B42"/>
    <w:rsid w:val="00F47F8D"/>
    <w:rsid w:val="00F50043"/>
    <w:rsid w:val="00F515EC"/>
    <w:rsid w:val="00F51B18"/>
    <w:rsid w:val="00F52A59"/>
    <w:rsid w:val="00F52B30"/>
    <w:rsid w:val="00F52D8B"/>
    <w:rsid w:val="00F53749"/>
    <w:rsid w:val="00F53D62"/>
    <w:rsid w:val="00F54B05"/>
    <w:rsid w:val="00F54FC0"/>
    <w:rsid w:val="00F557C3"/>
    <w:rsid w:val="00F559D1"/>
    <w:rsid w:val="00F5630D"/>
    <w:rsid w:val="00F56708"/>
    <w:rsid w:val="00F56712"/>
    <w:rsid w:val="00F56EA2"/>
    <w:rsid w:val="00F56F50"/>
    <w:rsid w:val="00F57828"/>
    <w:rsid w:val="00F57AFD"/>
    <w:rsid w:val="00F57CC9"/>
    <w:rsid w:val="00F57EC4"/>
    <w:rsid w:val="00F6029F"/>
    <w:rsid w:val="00F618C5"/>
    <w:rsid w:val="00F6295B"/>
    <w:rsid w:val="00F63232"/>
    <w:rsid w:val="00F63C24"/>
    <w:rsid w:val="00F63DFE"/>
    <w:rsid w:val="00F641BE"/>
    <w:rsid w:val="00F649FE"/>
    <w:rsid w:val="00F64A0A"/>
    <w:rsid w:val="00F65334"/>
    <w:rsid w:val="00F65B68"/>
    <w:rsid w:val="00F65BAD"/>
    <w:rsid w:val="00F6615F"/>
    <w:rsid w:val="00F67157"/>
    <w:rsid w:val="00F6780B"/>
    <w:rsid w:val="00F67A7F"/>
    <w:rsid w:val="00F67B77"/>
    <w:rsid w:val="00F710A0"/>
    <w:rsid w:val="00F71216"/>
    <w:rsid w:val="00F71757"/>
    <w:rsid w:val="00F71ABB"/>
    <w:rsid w:val="00F72B96"/>
    <w:rsid w:val="00F72BB7"/>
    <w:rsid w:val="00F72CD7"/>
    <w:rsid w:val="00F72E25"/>
    <w:rsid w:val="00F72EC9"/>
    <w:rsid w:val="00F734B3"/>
    <w:rsid w:val="00F737AD"/>
    <w:rsid w:val="00F738AA"/>
    <w:rsid w:val="00F73C18"/>
    <w:rsid w:val="00F73C38"/>
    <w:rsid w:val="00F745B5"/>
    <w:rsid w:val="00F7481E"/>
    <w:rsid w:val="00F748D8"/>
    <w:rsid w:val="00F74AE6"/>
    <w:rsid w:val="00F7508B"/>
    <w:rsid w:val="00F750CE"/>
    <w:rsid w:val="00F7586D"/>
    <w:rsid w:val="00F75B8A"/>
    <w:rsid w:val="00F762FA"/>
    <w:rsid w:val="00F76BC7"/>
    <w:rsid w:val="00F77008"/>
    <w:rsid w:val="00F771D5"/>
    <w:rsid w:val="00F7725C"/>
    <w:rsid w:val="00F77D60"/>
    <w:rsid w:val="00F803C0"/>
    <w:rsid w:val="00F80489"/>
    <w:rsid w:val="00F817A0"/>
    <w:rsid w:val="00F82A8E"/>
    <w:rsid w:val="00F82E95"/>
    <w:rsid w:val="00F83456"/>
    <w:rsid w:val="00F83628"/>
    <w:rsid w:val="00F837CD"/>
    <w:rsid w:val="00F83875"/>
    <w:rsid w:val="00F83D7F"/>
    <w:rsid w:val="00F843D3"/>
    <w:rsid w:val="00F847A5"/>
    <w:rsid w:val="00F84D77"/>
    <w:rsid w:val="00F84DAF"/>
    <w:rsid w:val="00F866AD"/>
    <w:rsid w:val="00F86860"/>
    <w:rsid w:val="00F87171"/>
    <w:rsid w:val="00F872AA"/>
    <w:rsid w:val="00F87870"/>
    <w:rsid w:val="00F878A7"/>
    <w:rsid w:val="00F87DAF"/>
    <w:rsid w:val="00F87E05"/>
    <w:rsid w:val="00F91080"/>
    <w:rsid w:val="00F929C3"/>
    <w:rsid w:val="00F929D1"/>
    <w:rsid w:val="00F92D19"/>
    <w:rsid w:val="00F930B6"/>
    <w:rsid w:val="00F9384D"/>
    <w:rsid w:val="00F94A2A"/>
    <w:rsid w:val="00F956E6"/>
    <w:rsid w:val="00F95DEB"/>
    <w:rsid w:val="00F96407"/>
    <w:rsid w:val="00F966DF"/>
    <w:rsid w:val="00F96874"/>
    <w:rsid w:val="00F96AA8"/>
    <w:rsid w:val="00F9704E"/>
    <w:rsid w:val="00F97721"/>
    <w:rsid w:val="00F97CD4"/>
    <w:rsid w:val="00FA023A"/>
    <w:rsid w:val="00FA0CAB"/>
    <w:rsid w:val="00FA0DE0"/>
    <w:rsid w:val="00FA15FD"/>
    <w:rsid w:val="00FA34D5"/>
    <w:rsid w:val="00FA3896"/>
    <w:rsid w:val="00FA4994"/>
    <w:rsid w:val="00FA5199"/>
    <w:rsid w:val="00FA59F5"/>
    <w:rsid w:val="00FA5A27"/>
    <w:rsid w:val="00FA5E8A"/>
    <w:rsid w:val="00FA6BB1"/>
    <w:rsid w:val="00FA6FD7"/>
    <w:rsid w:val="00FA7508"/>
    <w:rsid w:val="00FA7EDB"/>
    <w:rsid w:val="00FB0E34"/>
    <w:rsid w:val="00FB0EAF"/>
    <w:rsid w:val="00FB2DE2"/>
    <w:rsid w:val="00FB3045"/>
    <w:rsid w:val="00FB4389"/>
    <w:rsid w:val="00FB46D1"/>
    <w:rsid w:val="00FB50FD"/>
    <w:rsid w:val="00FB524C"/>
    <w:rsid w:val="00FB5316"/>
    <w:rsid w:val="00FB59EA"/>
    <w:rsid w:val="00FB633A"/>
    <w:rsid w:val="00FB6B8B"/>
    <w:rsid w:val="00FB6C55"/>
    <w:rsid w:val="00FB706D"/>
    <w:rsid w:val="00FB70B5"/>
    <w:rsid w:val="00FB74D5"/>
    <w:rsid w:val="00FB7993"/>
    <w:rsid w:val="00FC0F42"/>
    <w:rsid w:val="00FC19EA"/>
    <w:rsid w:val="00FC1C03"/>
    <w:rsid w:val="00FC3EDF"/>
    <w:rsid w:val="00FC3EF0"/>
    <w:rsid w:val="00FC3F7E"/>
    <w:rsid w:val="00FC4453"/>
    <w:rsid w:val="00FC4981"/>
    <w:rsid w:val="00FC5C68"/>
    <w:rsid w:val="00FC6653"/>
    <w:rsid w:val="00FD008B"/>
    <w:rsid w:val="00FD0C3C"/>
    <w:rsid w:val="00FD0CCF"/>
    <w:rsid w:val="00FD0E12"/>
    <w:rsid w:val="00FD140C"/>
    <w:rsid w:val="00FD145C"/>
    <w:rsid w:val="00FD1762"/>
    <w:rsid w:val="00FD215A"/>
    <w:rsid w:val="00FD2665"/>
    <w:rsid w:val="00FD39BE"/>
    <w:rsid w:val="00FD3D98"/>
    <w:rsid w:val="00FD40D8"/>
    <w:rsid w:val="00FD447D"/>
    <w:rsid w:val="00FD451A"/>
    <w:rsid w:val="00FD461F"/>
    <w:rsid w:val="00FD50A4"/>
    <w:rsid w:val="00FD51AE"/>
    <w:rsid w:val="00FD520B"/>
    <w:rsid w:val="00FD5B60"/>
    <w:rsid w:val="00FD5F3A"/>
    <w:rsid w:val="00FD6D5F"/>
    <w:rsid w:val="00FD7198"/>
    <w:rsid w:val="00FD74A7"/>
    <w:rsid w:val="00FE015D"/>
    <w:rsid w:val="00FE0E7A"/>
    <w:rsid w:val="00FE15A8"/>
    <w:rsid w:val="00FE16C2"/>
    <w:rsid w:val="00FE190B"/>
    <w:rsid w:val="00FE218F"/>
    <w:rsid w:val="00FE2DDD"/>
    <w:rsid w:val="00FE3640"/>
    <w:rsid w:val="00FE3C3F"/>
    <w:rsid w:val="00FE3D8E"/>
    <w:rsid w:val="00FE3F3A"/>
    <w:rsid w:val="00FE41A4"/>
    <w:rsid w:val="00FE4629"/>
    <w:rsid w:val="00FE490F"/>
    <w:rsid w:val="00FE584F"/>
    <w:rsid w:val="00FE5F1E"/>
    <w:rsid w:val="00FE62BA"/>
    <w:rsid w:val="00FE6954"/>
    <w:rsid w:val="00FE6A6E"/>
    <w:rsid w:val="00FE6B87"/>
    <w:rsid w:val="00FF2154"/>
    <w:rsid w:val="00FF25E7"/>
    <w:rsid w:val="00FF2716"/>
    <w:rsid w:val="00FF32F9"/>
    <w:rsid w:val="00FF340F"/>
    <w:rsid w:val="00FF344D"/>
    <w:rsid w:val="00FF4889"/>
    <w:rsid w:val="00FF554B"/>
    <w:rsid w:val="00FF5DE6"/>
    <w:rsid w:val="00FF5FF2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39E5"/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rsid w:val="00074A01"/>
    <w:pPr>
      <w:keepNext/>
      <w:keepLines/>
      <w:suppressAutoHyphens/>
      <w:overflowPunct w:val="0"/>
      <w:autoSpaceDE w:val="0"/>
      <w:autoSpaceDN w:val="0"/>
      <w:adjustRightInd w:val="0"/>
      <w:spacing w:before="480" w:after="240"/>
      <w:textAlignment w:val="baseline"/>
      <w:outlineLvl w:val="0"/>
    </w:pPr>
    <w:rPr>
      <w:rFonts w:ascii="Arial Narrow" w:hAnsi="Arial Narrow"/>
      <w:b/>
      <w:kern w:val="36"/>
      <w:sz w:val="36"/>
      <w:szCs w:val="20"/>
    </w:rPr>
  </w:style>
  <w:style w:type="paragraph" w:styleId="Nadpis2">
    <w:name w:val="heading 2"/>
    <w:basedOn w:val="Normln"/>
    <w:next w:val="Normln"/>
    <w:qFormat/>
    <w:rsid w:val="00074A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qFormat/>
    <w:rsid w:val="00074A0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qFormat/>
    <w:rsid w:val="00074A0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4A0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qFormat/>
    <w:rsid w:val="00074A0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074A01"/>
    <w:rPr>
      <w:rFonts w:ascii="Arial Narrow" w:hAnsi="Arial Narrow"/>
      <w:b/>
      <w:kern w:val="36"/>
      <w:sz w:val="36"/>
    </w:rPr>
  </w:style>
  <w:style w:type="character" w:customStyle="1" w:styleId="Nadpis2Char">
    <w:name w:val="Nadpis 2 Char"/>
    <w:basedOn w:val="Standardnpsmoodstavce"/>
    <w:rsid w:val="00074A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Vrazncitt">
    <w:name w:val="Intense Quote"/>
    <w:basedOn w:val="Normln"/>
    <w:next w:val="Normln"/>
    <w:qFormat/>
    <w:rsid w:val="00074A0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basedOn w:val="Standardnpsmoodstavce"/>
    <w:rsid w:val="00074A01"/>
    <w:rPr>
      <w:b/>
      <w:bCs/>
      <w:i/>
      <w:iCs/>
      <w:color w:val="4F81BD"/>
      <w:sz w:val="24"/>
      <w:szCs w:val="24"/>
    </w:rPr>
  </w:style>
  <w:style w:type="character" w:styleId="Zdraznnintenzivn">
    <w:name w:val="Intense Emphasis"/>
    <w:basedOn w:val="Standardnpsmoodstavce"/>
    <w:qFormat/>
    <w:rsid w:val="00074A01"/>
    <w:rPr>
      <w:b/>
      <w:bCs/>
      <w:i/>
      <w:iCs/>
      <w:color w:val="4F81BD"/>
    </w:rPr>
  </w:style>
  <w:style w:type="paragraph" w:customStyle="1" w:styleId="Bn">
    <w:name w:val="Běžný"/>
    <w:basedOn w:val="Normln"/>
    <w:qFormat/>
    <w:rsid w:val="00074A01"/>
    <w:pPr>
      <w:spacing w:before="40" w:line="276" w:lineRule="auto"/>
      <w:ind w:firstLine="284"/>
      <w:jc w:val="both"/>
    </w:pPr>
    <w:rPr>
      <w:rFonts w:ascii="Palatino Linotype" w:eastAsia="Calibri" w:hAnsi="Palatino Linotype"/>
      <w:sz w:val="22"/>
      <w:szCs w:val="22"/>
    </w:rPr>
  </w:style>
  <w:style w:type="character" w:customStyle="1" w:styleId="Nadpis3Char">
    <w:name w:val="Nadpis 3 Char"/>
    <w:basedOn w:val="Standardnpsmoodstavce"/>
    <w:uiPriority w:val="9"/>
    <w:rsid w:val="00074A0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Zkladntext3">
    <w:name w:val="Body Text 3"/>
    <w:basedOn w:val="Normln"/>
    <w:unhideWhenUsed/>
    <w:rsid w:val="00074A01"/>
    <w:pPr>
      <w:spacing w:after="120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rsid w:val="00074A01"/>
    <w:rPr>
      <w:sz w:val="16"/>
      <w:szCs w:val="16"/>
      <w:lang w:eastAsia="en-US"/>
    </w:rPr>
  </w:style>
  <w:style w:type="character" w:customStyle="1" w:styleId="Nadpis4Char">
    <w:name w:val="Nadpis 4 Char"/>
    <w:basedOn w:val="Standardnpsmoodstavce"/>
    <w:rsid w:val="00074A0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semiHidden/>
    <w:rsid w:val="00074A0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semiHidden/>
    <w:rsid w:val="00074A01"/>
    <w:rPr>
      <w:rFonts w:ascii="Cambria" w:eastAsia="Times New Roman" w:hAnsi="Cambria" w:cs="Times New Roman"/>
      <w:sz w:val="22"/>
      <w:szCs w:val="22"/>
    </w:rPr>
  </w:style>
  <w:style w:type="paragraph" w:styleId="Zkladntextodsazen">
    <w:name w:val="Body Text Indent"/>
    <w:basedOn w:val="Normln"/>
    <w:unhideWhenUsed/>
    <w:rsid w:val="00074A0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semiHidden/>
    <w:rsid w:val="00074A01"/>
    <w:rPr>
      <w:sz w:val="24"/>
      <w:szCs w:val="24"/>
    </w:rPr>
  </w:style>
  <w:style w:type="paragraph" w:customStyle="1" w:styleId="Zkladn">
    <w:name w:val="Základní"/>
    <w:basedOn w:val="Normln"/>
    <w:rsid w:val="00074A01"/>
    <w:pPr>
      <w:spacing w:before="120"/>
      <w:jc w:val="both"/>
    </w:pPr>
    <w:rPr>
      <w:lang w:eastAsia="en-US"/>
    </w:rPr>
  </w:style>
  <w:style w:type="paragraph" w:styleId="Textpoznpodarou">
    <w:name w:val="footnote text"/>
    <w:basedOn w:val="Normln"/>
    <w:uiPriority w:val="99"/>
    <w:semiHidden/>
    <w:unhideWhenUsed/>
    <w:rsid w:val="00074A01"/>
    <w:rPr>
      <w:sz w:val="20"/>
      <w:szCs w:val="20"/>
    </w:rPr>
  </w:style>
  <w:style w:type="character" w:customStyle="1" w:styleId="TextpoznpodarouChar">
    <w:name w:val="Text pozn. pod čarou Char"/>
    <w:basedOn w:val="Standardnpsmoodstavce"/>
    <w:uiPriority w:val="99"/>
    <w:semiHidden/>
    <w:rsid w:val="00074A01"/>
  </w:style>
  <w:style w:type="character" w:styleId="Znakapoznpodarou">
    <w:name w:val="footnote reference"/>
    <w:aliases w:val="Footnote,Footnote call"/>
    <w:basedOn w:val="Standardnpsmoodstavce"/>
    <w:uiPriority w:val="99"/>
    <w:semiHidden/>
    <w:unhideWhenUsed/>
    <w:rsid w:val="00074A01"/>
    <w:rPr>
      <w:vertAlign w:val="superscript"/>
    </w:rPr>
  </w:style>
  <w:style w:type="paragraph" w:styleId="Zhlav">
    <w:name w:val="head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9"/>
    <w:rsid w:val="00074A01"/>
    <w:rPr>
      <w:sz w:val="24"/>
      <w:szCs w:val="24"/>
    </w:rPr>
  </w:style>
  <w:style w:type="paragraph" w:styleId="Zpat">
    <w:name w:val="footer"/>
    <w:basedOn w:val="Normln"/>
    <w:uiPriority w:val="99"/>
    <w:unhideWhenUsed/>
    <w:rsid w:val="00074A0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074A0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A709C"/>
    <w:pPr>
      <w:ind w:left="708"/>
    </w:pPr>
  </w:style>
  <w:style w:type="character" w:styleId="Odkaznakoment">
    <w:name w:val="annotation reference"/>
    <w:basedOn w:val="Standardnpsmoodstavce"/>
    <w:uiPriority w:val="99"/>
    <w:semiHidden/>
    <w:unhideWhenUsed/>
    <w:rsid w:val="00B66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67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67E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7E8"/>
    <w:rPr>
      <w:b/>
      <w:bCs/>
    </w:rPr>
  </w:style>
  <w:style w:type="paragraph" w:styleId="Revize">
    <w:name w:val="Revision"/>
    <w:hidden/>
    <w:uiPriority w:val="99"/>
    <w:semiHidden/>
    <w:rsid w:val="00B667E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66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67E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03A70"/>
    <w:rPr>
      <w:rFonts w:ascii="Arial" w:eastAsia="Calibri" w:hAnsi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rsid w:val="00C41D2F"/>
    <w:pPr>
      <w:jc w:val="both"/>
    </w:pPr>
    <w:rPr>
      <w:rFonts w:cs="Arial"/>
      <w:i/>
      <w:sz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C41D2F"/>
    <w:rPr>
      <w:rFonts w:ascii="Arial" w:hAnsi="Arial" w:cs="Arial"/>
      <w:i/>
      <w:sz w:val="22"/>
      <w:szCs w:val="24"/>
      <w:lang w:eastAsia="en-US"/>
    </w:rPr>
  </w:style>
  <w:style w:type="paragraph" w:styleId="Prosttext">
    <w:name w:val="Plain Text"/>
    <w:basedOn w:val="Normln"/>
    <w:link w:val="ProsttextChar"/>
    <w:uiPriority w:val="99"/>
    <w:unhideWhenUsed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430278"/>
    <w:rPr>
      <w:rFonts w:ascii="Consolas" w:eastAsiaTheme="minorHAnsi" w:hAnsi="Consolas" w:cstheme="minorBidi"/>
      <w:sz w:val="21"/>
      <w:szCs w:val="21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695DC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95DC0"/>
    <w:rPr>
      <w:rFonts w:ascii="Arial" w:hAnsi="Arial"/>
      <w:sz w:val="16"/>
      <w:szCs w:val="16"/>
    </w:rPr>
  </w:style>
  <w:style w:type="paragraph" w:customStyle="1" w:styleId="NadpisKZ">
    <w:name w:val="Nadpis KZ"/>
    <w:basedOn w:val="Zkladntext2"/>
    <w:rsid w:val="004827C3"/>
  </w:style>
  <w:style w:type="paragraph" w:styleId="Zkladntext2">
    <w:name w:val="Body Text 2"/>
    <w:basedOn w:val="Normln"/>
    <w:link w:val="Zkladntext2Char"/>
    <w:uiPriority w:val="99"/>
    <w:semiHidden/>
    <w:unhideWhenUsed/>
    <w:rsid w:val="004827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4827C3"/>
    <w:rPr>
      <w:rFonts w:ascii="Arial" w:hAnsi="Arial"/>
      <w:sz w:val="24"/>
      <w:szCs w:val="24"/>
    </w:rPr>
  </w:style>
  <w:style w:type="paragraph" w:customStyle="1" w:styleId="Char4CharCharCharCharCharCharCharCharCharChar">
    <w:name w:val="Char4 Char Char Char Char Char Char Char Char Char Char"/>
    <w:basedOn w:val="Normln"/>
    <w:rsid w:val="000F3776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unhideWhenUsed/>
    <w:rsid w:val="00925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3C4C1E-EB25-4D01-8254-2813E9209500}"/>
</file>

<file path=customXml/itemProps2.xml><?xml version="1.0" encoding="utf-8"?>
<ds:datastoreItem xmlns:ds="http://schemas.openxmlformats.org/officeDocument/2006/customXml" ds:itemID="{FC80157A-B5BD-4BDB-9132-8BA3FA9B026B}"/>
</file>

<file path=customXml/itemProps3.xml><?xml version="1.0" encoding="utf-8"?>
<ds:datastoreItem xmlns:ds="http://schemas.openxmlformats.org/officeDocument/2006/customXml" ds:itemID="{BC3A20C4-3EA3-4DDF-8CEF-B12B915D1FD5}"/>
</file>

<file path=customXml/itemProps4.xml><?xml version="1.0" encoding="utf-8"?>
<ds:datastoreItem xmlns:ds="http://schemas.openxmlformats.org/officeDocument/2006/customXml" ds:itemID="{407A7E32-1BEE-4CA1-91D7-2840A5351F38}"/>
</file>

<file path=docProps/app.xml><?xml version="1.0" encoding="utf-8"?>
<Properties xmlns="http://schemas.openxmlformats.org/officeDocument/2006/extended-properties" xmlns:vt="http://schemas.openxmlformats.org/officeDocument/2006/docPropsVTypes">
  <Template>279D5DA1.dotm</Template>
  <TotalTime>58</TotalTime>
  <Pages>19</Pages>
  <Words>8235</Words>
  <Characters>48590</Characters>
  <Application>Microsoft Office Word</Application>
  <DocSecurity>0</DocSecurity>
  <Lines>404</Lines>
  <Paragraphs>113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Nejvyšší kontrolní úřad</Company>
  <LinksUpToDate>false</LinksUpToDate>
  <CharactersWithSpaces>56712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14/05</dc:title>
  <dc:creator>HLUSICKOVA</dc:creator>
  <cp:lastModifiedBy>GREŠOVÁ Romana</cp:lastModifiedBy>
  <cp:revision>5</cp:revision>
  <cp:lastPrinted>2014-10-10T09:39:00Z</cp:lastPrinted>
  <dcterms:created xsi:type="dcterms:W3CDTF">2014-10-30T09:27:00Z</dcterms:created>
  <dcterms:modified xsi:type="dcterms:W3CDTF">2014-10-31T08:12:00Z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08/14-30/318/08</vt:lpwstr>
  </property>
  <property fmtid="{D5CDD505-2E9C-101B-9397-08002B2CF9AE}" pid="3" name="SZ_Spis_Pisemnost">
    <vt:lpwstr>08/14</vt:lpwstr>
  </property>
  <property fmtid="{D5CDD505-2E9C-101B-9397-08002B2CF9AE}" pid="4" name="DisplayName_SpisovyUzel_PoziceZodpo_Pisemnost">
    <vt:lpwstr>30</vt:lpwstr>
  </property>
  <property fmtid="{D5CDD505-2E9C-101B-9397-08002B2CF9AE}" pid="5" name="Zkratka_SpisovyUzel_PoziceZodpo_Pisemnost">
    <vt:lpwstr>30</vt:lpwstr>
  </property>
  <property fmtid="{D5CDD505-2E9C-101B-9397-08002B2CF9AE}" pid="6" name="Key_BarCode_Pisemnost">
    <vt:lpwstr>*B000054401*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08-12715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ContentTypeId">
    <vt:lpwstr>0x0101002F7A625AE9F5AB4A939F92BCAA7FEC02</vt:lpwstr>
  </property>
</Properties>
</file>