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9F" w:rsidRDefault="00A46D9F" w:rsidP="00954277">
      <w:pPr>
        <w:rPr>
          <w:rFonts w:ascii="Arial" w:hAnsi="Arial" w:cs="Arial"/>
          <w:sz w:val="22"/>
        </w:rPr>
      </w:pPr>
    </w:p>
    <w:p w:rsidR="005D3E1F" w:rsidRPr="00015A04" w:rsidRDefault="005D3E1F" w:rsidP="00954277">
      <w:pPr>
        <w:rPr>
          <w:rFonts w:ascii="Arial" w:hAnsi="Arial" w:cs="Arial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A55752" wp14:editId="6A13AB85">
            <wp:simplePos x="0" y="0"/>
            <wp:positionH relativeFrom="column">
              <wp:posOffset>2524125</wp:posOffset>
            </wp:positionH>
            <wp:positionV relativeFrom="paragraph">
              <wp:posOffset>-152400</wp:posOffset>
            </wp:positionV>
            <wp:extent cx="791210" cy="559435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E1F" w:rsidRPr="00015A04" w:rsidRDefault="005D3E1F" w:rsidP="00954277">
      <w:pPr>
        <w:rPr>
          <w:rFonts w:ascii="Arial" w:hAnsi="Arial" w:cs="Arial"/>
          <w:sz w:val="22"/>
        </w:rPr>
      </w:pPr>
    </w:p>
    <w:p w:rsidR="005D3E1F" w:rsidRPr="00015A04" w:rsidRDefault="005D3E1F" w:rsidP="00954277">
      <w:pPr>
        <w:jc w:val="center"/>
        <w:rPr>
          <w:rFonts w:ascii="Arial" w:hAnsi="Arial" w:cs="Arial"/>
          <w:b/>
          <w:sz w:val="22"/>
        </w:rPr>
      </w:pPr>
    </w:p>
    <w:p w:rsidR="005D3E1F" w:rsidRPr="00015A04" w:rsidRDefault="005D3E1F" w:rsidP="00954277">
      <w:pPr>
        <w:rPr>
          <w:rFonts w:ascii="Arial" w:hAnsi="Arial" w:cs="Arial"/>
          <w:b/>
          <w:sz w:val="22"/>
        </w:rPr>
      </w:pPr>
    </w:p>
    <w:p w:rsidR="005D3E1F" w:rsidRPr="00B857A3" w:rsidRDefault="005D3E1F" w:rsidP="009542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57A3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:rsidR="005D3E1F" w:rsidRPr="00B857A3" w:rsidRDefault="005D3E1F" w:rsidP="009542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D3E1F" w:rsidRPr="00B857A3" w:rsidRDefault="005D3E1F" w:rsidP="0095427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57A3">
        <w:rPr>
          <w:rFonts w:asciiTheme="minorHAnsi" w:hAnsiTheme="minorHAnsi" w:cstheme="minorHAnsi"/>
          <w:b/>
          <w:sz w:val="28"/>
          <w:szCs w:val="28"/>
        </w:rPr>
        <w:t>1</w:t>
      </w:r>
      <w:r w:rsidR="00E14E30" w:rsidRPr="00B857A3">
        <w:rPr>
          <w:rFonts w:asciiTheme="minorHAnsi" w:hAnsiTheme="minorHAnsi" w:cstheme="minorHAnsi"/>
          <w:b/>
          <w:sz w:val="28"/>
          <w:szCs w:val="28"/>
        </w:rPr>
        <w:t>4</w:t>
      </w:r>
      <w:r w:rsidRPr="00B857A3">
        <w:rPr>
          <w:rFonts w:asciiTheme="minorHAnsi" w:hAnsiTheme="minorHAnsi" w:cstheme="minorHAnsi"/>
          <w:b/>
          <w:sz w:val="28"/>
          <w:szCs w:val="28"/>
        </w:rPr>
        <w:t>/</w:t>
      </w:r>
      <w:r w:rsidR="00E14E30" w:rsidRPr="00B857A3">
        <w:rPr>
          <w:rFonts w:asciiTheme="minorHAnsi" w:hAnsiTheme="minorHAnsi" w:cstheme="minorHAnsi"/>
          <w:b/>
          <w:sz w:val="28"/>
          <w:szCs w:val="28"/>
        </w:rPr>
        <w:t>13</w:t>
      </w:r>
    </w:p>
    <w:p w:rsidR="005D3E1F" w:rsidRPr="00B857A3" w:rsidRDefault="005D3E1F" w:rsidP="009542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D3E1F" w:rsidRPr="00B857A3" w:rsidRDefault="00447817" w:rsidP="00954277">
      <w:pPr>
        <w:jc w:val="center"/>
        <w:rPr>
          <w:rFonts w:asciiTheme="minorHAnsi" w:hAnsiTheme="minorHAnsi" w:cstheme="minorHAnsi"/>
          <w:sz w:val="22"/>
        </w:rPr>
      </w:pPr>
      <w:r w:rsidRPr="00B857A3">
        <w:rPr>
          <w:rFonts w:asciiTheme="minorHAnsi" w:hAnsiTheme="minorHAnsi" w:cstheme="minorHAnsi"/>
          <w:b/>
          <w:sz w:val="28"/>
          <w:szCs w:val="28"/>
        </w:rPr>
        <w:t xml:space="preserve">Peněžní prostředky Evropské unie a státního rozpočtu určené na realizaci projektu </w:t>
      </w:r>
      <w:r w:rsidR="00380B36" w:rsidRPr="000F3025">
        <w:rPr>
          <w:rFonts w:asciiTheme="minorHAnsi" w:hAnsiTheme="minorHAnsi" w:cstheme="minorHAnsi"/>
          <w:b/>
          <w:i/>
          <w:sz w:val="28"/>
          <w:szCs w:val="28"/>
        </w:rPr>
        <w:t>O</w:t>
      </w:r>
      <w:r w:rsidRPr="000F3025">
        <w:rPr>
          <w:rFonts w:asciiTheme="minorHAnsi" w:hAnsiTheme="minorHAnsi" w:cstheme="minorHAnsi"/>
          <w:b/>
          <w:i/>
          <w:sz w:val="28"/>
          <w:szCs w:val="28"/>
        </w:rPr>
        <w:t xml:space="preserve">bnova rybníka Jordán </w:t>
      </w:r>
      <w:r w:rsidR="0091206F" w:rsidRPr="000F3025">
        <w:rPr>
          <w:rFonts w:asciiTheme="minorHAnsi" w:hAnsiTheme="minorHAnsi" w:cstheme="minorHAnsi"/>
          <w:b/>
          <w:i/>
          <w:sz w:val="28"/>
          <w:szCs w:val="28"/>
        </w:rPr>
        <w:t>v </w:t>
      </w:r>
      <w:r w:rsidRPr="000F3025">
        <w:rPr>
          <w:rFonts w:asciiTheme="minorHAnsi" w:hAnsiTheme="minorHAnsi" w:cstheme="minorHAnsi"/>
          <w:b/>
          <w:i/>
          <w:sz w:val="28"/>
          <w:szCs w:val="28"/>
        </w:rPr>
        <w:t>Táboře</w:t>
      </w:r>
    </w:p>
    <w:p w:rsidR="005D3E1F" w:rsidRPr="00015A04" w:rsidRDefault="005D3E1F" w:rsidP="00954277">
      <w:pPr>
        <w:rPr>
          <w:rFonts w:ascii="Arial" w:hAnsi="Arial" w:cs="Arial"/>
          <w:sz w:val="22"/>
        </w:rPr>
      </w:pP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szCs w:val="24"/>
        </w:rPr>
        <w:t xml:space="preserve">Kontrolní akce byla zařazena do plánu kontrolní činnosti Nejvyššího kontrolního úřadu (dále </w:t>
      </w:r>
      <w:r w:rsidR="00DB4534" w:rsidRPr="00B857A3">
        <w:rPr>
          <w:rFonts w:asciiTheme="minorHAnsi" w:hAnsiTheme="minorHAnsi" w:cstheme="minorHAnsi"/>
          <w:szCs w:val="24"/>
        </w:rPr>
        <w:t>také</w:t>
      </w:r>
      <w:r w:rsidRPr="00B857A3">
        <w:rPr>
          <w:rFonts w:asciiTheme="minorHAnsi" w:hAnsiTheme="minorHAnsi" w:cstheme="minorHAnsi"/>
          <w:szCs w:val="24"/>
        </w:rPr>
        <w:t xml:space="preserve"> „NKÚ“) na rok 201</w:t>
      </w:r>
      <w:r w:rsidR="00447817" w:rsidRPr="00B857A3">
        <w:rPr>
          <w:rFonts w:asciiTheme="minorHAnsi" w:hAnsiTheme="minorHAnsi" w:cstheme="minorHAnsi"/>
          <w:szCs w:val="24"/>
        </w:rPr>
        <w:t>4</w:t>
      </w:r>
      <w:r w:rsidRPr="00B857A3">
        <w:rPr>
          <w:rFonts w:asciiTheme="minorHAnsi" w:hAnsiTheme="minorHAnsi" w:cstheme="minorHAnsi"/>
          <w:szCs w:val="24"/>
        </w:rPr>
        <w:t xml:space="preserve"> pod číslem 1</w:t>
      </w:r>
      <w:r w:rsidR="00447817" w:rsidRPr="00B857A3">
        <w:rPr>
          <w:rFonts w:asciiTheme="minorHAnsi" w:hAnsiTheme="minorHAnsi" w:cstheme="minorHAnsi"/>
          <w:szCs w:val="24"/>
        </w:rPr>
        <w:t>4</w:t>
      </w:r>
      <w:r w:rsidRPr="00B857A3">
        <w:rPr>
          <w:rFonts w:asciiTheme="minorHAnsi" w:hAnsiTheme="minorHAnsi" w:cstheme="minorHAnsi"/>
          <w:szCs w:val="24"/>
        </w:rPr>
        <w:t>/</w:t>
      </w:r>
      <w:r w:rsidR="00447817" w:rsidRPr="00B857A3">
        <w:rPr>
          <w:rFonts w:asciiTheme="minorHAnsi" w:hAnsiTheme="minorHAnsi" w:cstheme="minorHAnsi"/>
          <w:szCs w:val="24"/>
        </w:rPr>
        <w:t>13</w:t>
      </w:r>
      <w:r w:rsidRPr="00B857A3">
        <w:rPr>
          <w:rFonts w:asciiTheme="minorHAnsi" w:hAnsiTheme="minorHAnsi" w:cstheme="minorHAnsi"/>
          <w:szCs w:val="24"/>
        </w:rPr>
        <w:t xml:space="preserve">. Kontrolní akci řídil a kontrolní závěr vypracoval člen NKÚ Ing. </w:t>
      </w:r>
      <w:r w:rsidR="00447817" w:rsidRPr="00B857A3">
        <w:rPr>
          <w:rFonts w:asciiTheme="minorHAnsi" w:hAnsiTheme="minorHAnsi" w:cstheme="minorHAnsi"/>
          <w:szCs w:val="24"/>
        </w:rPr>
        <w:t>Rudolf Kufa</w:t>
      </w:r>
      <w:r w:rsidRPr="00B857A3">
        <w:rPr>
          <w:rFonts w:asciiTheme="minorHAnsi" w:hAnsiTheme="minorHAnsi" w:cstheme="minorHAnsi"/>
          <w:szCs w:val="24"/>
        </w:rPr>
        <w:t>.</w:t>
      </w: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noProof/>
          <w:szCs w:val="24"/>
          <w:lang w:eastAsia="cs-CZ"/>
        </w:rPr>
        <w:t>Cílem kontroly bylo prověřit</w:t>
      </w:r>
      <w:r w:rsidRPr="00B857A3">
        <w:rPr>
          <w:rFonts w:asciiTheme="minorHAnsi" w:hAnsiTheme="minorHAnsi" w:cstheme="minorHAnsi"/>
          <w:szCs w:val="24"/>
        </w:rPr>
        <w:t xml:space="preserve"> </w:t>
      </w:r>
      <w:r w:rsidR="00447817" w:rsidRPr="00B857A3">
        <w:rPr>
          <w:rFonts w:asciiTheme="minorHAnsi" w:hAnsiTheme="minorHAnsi" w:cstheme="minorHAnsi"/>
          <w:szCs w:val="24"/>
        </w:rPr>
        <w:t xml:space="preserve">čerpání a užití peněžních prostředků Evropské unie a státního rozpočtu určených na realizaci projektu </w:t>
      </w:r>
      <w:r w:rsidR="00447817" w:rsidRPr="000F3025">
        <w:rPr>
          <w:rFonts w:asciiTheme="minorHAnsi" w:hAnsiTheme="minorHAnsi" w:cstheme="minorHAnsi"/>
          <w:i/>
          <w:szCs w:val="24"/>
        </w:rPr>
        <w:t>Obnova rybníka Jordán v Táboře</w:t>
      </w:r>
      <w:r w:rsidR="00447817" w:rsidRPr="00B857A3">
        <w:rPr>
          <w:rFonts w:asciiTheme="minorHAnsi" w:hAnsiTheme="minorHAnsi" w:cstheme="minorHAnsi"/>
          <w:szCs w:val="24"/>
        </w:rPr>
        <w:t xml:space="preserve">. </w:t>
      </w: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szCs w:val="24"/>
        </w:rPr>
        <w:t xml:space="preserve">Kontrola byla prováděna v době od </w:t>
      </w:r>
      <w:r w:rsidR="00447817" w:rsidRPr="00B857A3">
        <w:rPr>
          <w:rFonts w:asciiTheme="minorHAnsi" w:hAnsiTheme="minorHAnsi" w:cstheme="minorHAnsi"/>
          <w:szCs w:val="24"/>
        </w:rPr>
        <w:t>dubna</w:t>
      </w:r>
      <w:r w:rsidRPr="00B857A3">
        <w:rPr>
          <w:rFonts w:asciiTheme="minorHAnsi" w:hAnsiTheme="minorHAnsi" w:cstheme="minorHAnsi"/>
          <w:szCs w:val="24"/>
        </w:rPr>
        <w:t xml:space="preserve"> do </w:t>
      </w:r>
      <w:r w:rsidR="00447817" w:rsidRPr="00B857A3">
        <w:rPr>
          <w:rFonts w:asciiTheme="minorHAnsi" w:hAnsiTheme="minorHAnsi" w:cstheme="minorHAnsi"/>
          <w:szCs w:val="24"/>
        </w:rPr>
        <w:t>září</w:t>
      </w:r>
      <w:r w:rsidRPr="00B857A3">
        <w:rPr>
          <w:rFonts w:asciiTheme="minorHAnsi" w:hAnsiTheme="minorHAnsi" w:cstheme="minorHAnsi"/>
          <w:szCs w:val="24"/>
        </w:rPr>
        <w:t xml:space="preserve"> 201</w:t>
      </w:r>
      <w:r w:rsidR="00447817" w:rsidRPr="00B857A3">
        <w:rPr>
          <w:rFonts w:asciiTheme="minorHAnsi" w:hAnsiTheme="minorHAnsi" w:cstheme="minorHAnsi"/>
          <w:szCs w:val="24"/>
        </w:rPr>
        <w:t>4</w:t>
      </w:r>
      <w:r w:rsidRPr="00B857A3">
        <w:rPr>
          <w:rFonts w:asciiTheme="minorHAnsi" w:hAnsiTheme="minorHAnsi" w:cstheme="minorHAnsi"/>
          <w:szCs w:val="24"/>
        </w:rPr>
        <w:t>.</w:t>
      </w: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szCs w:val="24"/>
        </w:rPr>
        <w:t>Kontrolovaným obdobím byly roky 20</w:t>
      </w:r>
      <w:r w:rsidR="00447817" w:rsidRPr="00B857A3">
        <w:rPr>
          <w:rFonts w:asciiTheme="minorHAnsi" w:hAnsiTheme="minorHAnsi" w:cstheme="minorHAnsi"/>
          <w:szCs w:val="24"/>
        </w:rPr>
        <w:t>08</w:t>
      </w:r>
      <w:r w:rsidRPr="00B857A3">
        <w:rPr>
          <w:rFonts w:asciiTheme="minorHAnsi" w:hAnsiTheme="minorHAnsi" w:cstheme="minorHAnsi"/>
          <w:szCs w:val="24"/>
        </w:rPr>
        <w:t xml:space="preserve"> a</w:t>
      </w:r>
      <w:r w:rsidR="00CA6C9F" w:rsidRPr="00B857A3">
        <w:rPr>
          <w:rFonts w:asciiTheme="minorHAnsi" w:hAnsiTheme="minorHAnsi" w:cstheme="minorHAnsi"/>
          <w:szCs w:val="24"/>
        </w:rPr>
        <w:t>ž</w:t>
      </w:r>
      <w:r w:rsidRPr="00B857A3">
        <w:rPr>
          <w:rFonts w:asciiTheme="minorHAnsi" w:hAnsiTheme="minorHAnsi" w:cstheme="minorHAnsi"/>
          <w:szCs w:val="24"/>
        </w:rPr>
        <w:t xml:space="preserve"> 201</w:t>
      </w:r>
      <w:r w:rsidR="00447817" w:rsidRPr="00B857A3">
        <w:rPr>
          <w:rFonts w:asciiTheme="minorHAnsi" w:hAnsiTheme="minorHAnsi" w:cstheme="minorHAnsi"/>
          <w:szCs w:val="24"/>
        </w:rPr>
        <w:t>4</w:t>
      </w:r>
      <w:r w:rsidRPr="00B857A3">
        <w:rPr>
          <w:rFonts w:asciiTheme="minorHAnsi" w:hAnsiTheme="minorHAnsi" w:cstheme="minorHAnsi"/>
          <w:szCs w:val="24"/>
        </w:rPr>
        <w:t>, v případě věcných souvislostí i období předchozí a následující.</w:t>
      </w: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szCs w:val="24"/>
        </w:rPr>
        <w:t>Kontrolované osoby:</w:t>
      </w:r>
    </w:p>
    <w:p w:rsidR="005D3E1F" w:rsidRPr="00B857A3" w:rsidRDefault="00447817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szCs w:val="24"/>
        </w:rPr>
        <w:t>S</w:t>
      </w:r>
      <w:r w:rsidR="009A1275" w:rsidRPr="00B857A3">
        <w:rPr>
          <w:rFonts w:asciiTheme="minorHAnsi" w:hAnsiTheme="minorHAnsi" w:cstheme="minorHAnsi"/>
          <w:szCs w:val="24"/>
        </w:rPr>
        <w:t>tátní fond životního prostředí České republiky, město Tábor</w:t>
      </w:r>
      <w:r w:rsidR="00A43B3F" w:rsidRPr="00B857A3">
        <w:rPr>
          <w:rFonts w:asciiTheme="minorHAnsi" w:hAnsiTheme="minorHAnsi" w:cstheme="minorHAnsi"/>
          <w:szCs w:val="24"/>
        </w:rPr>
        <w:t>.</w:t>
      </w:r>
    </w:p>
    <w:p w:rsidR="00A43B3F" w:rsidRPr="00B857A3" w:rsidRDefault="00A43B3F" w:rsidP="00954277">
      <w:pPr>
        <w:rPr>
          <w:rFonts w:asciiTheme="minorHAnsi" w:hAnsiTheme="minorHAnsi" w:cstheme="minorHAnsi"/>
          <w:szCs w:val="24"/>
        </w:rPr>
      </w:pPr>
    </w:p>
    <w:p w:rsidR="00A43B3F" w:rsidRPr="00B857A3" w:rsidRDefault="005E69F6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szCs w:val="24"/>
        </w:rPr>
        <w:t>Námitky proti kontrolním protokolům nebyly podány</w:t>
      </w:r>
      <w:r w:rsidR="00212787" w:rsidRPr="00B857A3">
        <w:rPr>
          <w:rFonts w:asciiTheme="minorHAnsi" w:hAnsiTheme="minorHAnsi" w:cstheme="minorHAnsi"/>
          <w:szCs w:val="24"/>
        </w:rPr>
        <w:t>.</w:t>
      </w:r>
    </w:p>
    <w:p w:rsidR="005E69F6" w:rsidRPr="00B857A3" w:rsidRDefault="005E69F6" w:rsidP="00954277">
      <w:pPr>
        <w:rPr>
          <w:rFonts w:asciiTheme="minorHAnsi" w:hAnsiTheme="minorHAnsi" w:cstheme="minorHAnsi"/>
          <w:szCs w:val="24"/>
        </w:rPr>
      </w:pPr>
    </w:p>
    <w:p w:rsidR="005E69F6" w:rsidRPr="00B857A3" w:rsidRDefault="005E69F6" w:rsidP="00954277">
      <w:pPr>
        <w:rPr>
          <w:rFonts w:asciiTheme="minorHAnsi" w:hAnsiTheme="minorHAnsi" w:cstheme="minorHAnsi"/>
          <w:szCs w:val="24"/>
        </w:rPr>
      </w:pP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proofErr w:type="gramStart"/>
      <w:r w:rsidRPr="00B857A3">
        <w:rPr>
          <w:rFonts w:asciiTheme="minorHAnsi" w:hAnsiTheme="minorHAnsi" w:cstheme="minorHAnsi"/>
          <w:b/>
          <w:i/>
          <w:szCs w:val="24"/>
        </w:rPr>
        <w:t>K o l e g i u m   N K Ú</w:t>
      </w:r>
      <w:r w:rsidRPr="00B857A3">
        <w:rPr>
          <w:rFonts w:asciiTheme="minorHAnsi" w:hAnsiTheme="minorHAnsi" w:cstheme="minorHAnsi"/>
          <w:szCs w:val="24"/>
        </w:rPr>
        <w:t xml:space="preserve">   na</w:t>
      </w:r>
      <w:proofErr w:type="gramEnd"/>
      <w:r w:rsidRPr="00B857A3">
        <w:rPr>
          <w:rFonts w:asciiTheme="minorHAnsi" w:hAnsiTheme="minorHAnsi" w:cstheme="minorHAnsi"/>
          <w:szCs w:val="24"/>
        </w:rPr>
        <w:t xml:space="preserve"> svém</w:t>
      </w:r>
      <w:r w:rsidR="00A43B3F" w:rsidRPr="00B857A3">
        <w:rPr>
          <w:rFonts w:asciiTheme="minorHAnsi" w:hAnsiTheme="minorHAnsi" w:cstheme="minorHAnsi"/>
          <w:szCs w:val="24"/>
        </w:rPr>
        <w:t xml:space="preserve"> </w:t>
      </w:r>
      <w:r w:rsidR="00B857A3">
        <w:rPr>
          <w:rFonts w:asciiTheme="minorHAnsi" w:hAnsiTheme="minorHAnsi" w:cstheme="minorHAnsi"/>
          <w:szCs w:val="24"/>
        </w:rPr>
        <w:t>XX.</w:t>
      </w:r>
      <w:r w:rsidR="00A43B3F" w:rsidRPr="00B857A3">
        <w:rPr>
          <w:rFonts w:asciiTheme="minorHAnsi" w:hAnsiTheme="minorHAnsi" w:cstheme="minorHAnsi"/>
          <w:szCs w:val="24"/>
        </w:rPr>
        <w:t xml:space="preserve"> </w:t>
      </w:r>
      <w:r w:rsidR="00F9726B">
        <w:rPr>
          <w:rFonts w:asciiTheme="minorHAnsi" w:hAnsiTheme="minorHAnsi" w:cstheme="minorHAnsi"/>
          <w:szCs w:val="24"/>
        </w:rPr>
        <w:t>jednání</w:t>
      </w:r>
      <w:r w:rsidRPr="00B857A3">
        <w:rPr>
          <w:rFonts w:asciiTheme="minorHAnsi" w:hAnsiTheme="minorHAnsi" w:cstheme="minorHAnsi"/>
          <w:szCs w:val="24"/>
        </w:rPr>
        <w:t>, k</w:t>
      </w:r>
      <w:r w:rsidR="00B857A3">
        <w:rPr>
          <w:rFonts w:asciiTheme="minorHAnsi" w:hAnsiTheme="minorHAnsi" w:cstheme="minorHAnsi"/>
          <w:szCs w:val="24"/>
        </w:rPr>
        <w:t xml:space="preserve">teré se konalo </w:t>
      </w:r>
      <w:r w:rsidRPr="00B857A3">
        <w:rPr>
          <w:rFonts w:asciiTheme="minorHAnsi" w:hAnsiTheme="minorHAnsi" w:cstheme="minorHAnsi"/>
          <w:szCs w:val="24"/>
        </w:rPr>
        <w:t xml:space="preserve">dne </w:t>
      </w:r>
      <w:r w:rsidR="00B857A3">
        <w:rPr>
          <w:rFonts w:asciiTheme="minorHAnsi" w:hAnsiTheme="minorHAnsi" w:cstheme="minorHAnsi"/>
          <w:szCs w:val="24"/>
        </w:rPr>
        <w:t>15. prosince</w:t>
      </w:r>
      <w:r w:rsidR="00A43B3F" w:rsidRPr="00B857A3">
        <w:rPr>
          <w:rFonts w:asciiTheme="minorHAnsi" w:hAnsiTheme="minorHAnsi" w:cstheme="minorHAnsi"/>
          <w:szCs w:val="24"/>
        </w:rPr>
        <w:t xml:space="preserve"> </w:t>
      </w:r>
      <w:r w:rsidRPr="00B857A3">
        <w:rPr>
          <w:rFonts w:asciiTheme="minorHAnsi" w:hAnsiTheme="minorHAnsi" w:cstheme="minorHAnsi"/>
          <w:szCs w:val="24"/>
        </w:rPr>
        <w:t>201</w:t>
      </w:r>
      <w:r w:rsidR="009A1275" w:rsidRPr="00B857A3">
        <w:rPr>
          <w:rFonts w:asciiTheme="minorHAnsi" w:hAnsiTheme="minorHAnsi" w:cstheme="minorHAnsi"/>
          <w:szCs w:val="24"/>
        </w:rPr>
        <w:t>4</w:t>
      </w:r>
      <w:r w:rsidRPr="00B857A3">
        <w:rPr>
          <w:rFonts w:asciiTheme="minorHAnsi" w:hAnsiTheme="minorHAnsi" w:cstheme="minorHAnsi"/>
          <w:szCs w:val="24"/>
        </w:rPr>
        <w:t>,</w:t>
      </w: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b/>
          <w:i/>
          <w:szCs w:val="24"/>
        </w:rPr>
        <w:t>s c h v á l i l o</w:t>
      </w:r>
      <w:r w:rsidRPr="00B857A3">
        <w:rPr>
          <w:rFonts w:asciiTheme="minorHAnsi" w:hAnsiTheme="minorHAnsi" w:cstheme="minorHAnsi"/>
          <w:szCs w:val="24"/>
        </w:rPr>
        <w:t xml:space="preserve">   usnesením č. </w:t>
      </w:r>
      <w:r w:rsidR="00BF557D">
        <w:rPr>
          <w:rFonts w:asciiTheme="minorHAnsi" w:hAnsiTheme="minorHAnsi" w:cstheme="minorHAnsi"/>
          <w:szCs w:val="24"/>
        </w:rPr>
        <w:t>10</w:t>
      </w:r>
      <w:r w:rsidR="00A43B3F" w:rsidRPr="00B857A3">
        <w:rPr>
          <w:rFonts w:asciiTheme="minorHAnsi" w:hAnsiTheme="minorHAnsi" w:cstheme="minorHAnsi"/>
          <w:szCs w:val="24"/>
        </w:rPr>
        <w:t>/</w:t>
      </w:r>
      <w:r w:rsidR="00B857A3">
        <w:rPr>
          <w:rFonts w:asciiTheme="minorHAnsi" w:hAnsiTheme="minorHAnsi" w:cstheme="minorHAnsi"/>
          <w:szCs w:val="24"/>
        </w:rPr>
        <w:t>XX</w:t>
      </w:r>
      <w:r w:rsidR="00A43B3F" w:rsidRPr="00B857A3">
        <w:rPr>
          <w:rFonts w:asciiTheme="minorHAnsi" w:hAnsiTheme="minorHAnsi" w:cstheme="minorHAnsi"/>
          <w:szCs w:val="24"/>
        </w:rPr>
        <w:t>/201</w:t>
      </w:r>
      <w:r w:rsidR="009A1275" w:rsidRPr="00B857A3">
        <w:rPr>
          <w:rFonts w:asciiTheme="minorHAnsi" w:hAnsiTheme="minorHAnsi" w:cstheme="minorHAnsi"/>
          <w:szCs w:val="24"/>
        </w:rPr>
        <w:t>4</w:t>
      </w:r>
    </w:p>
    <w:p w:rsidR="005D3E1F" w:rsidRPr="00B857A3" w:rsidRDefault="005D3E1F" w:rsidP="00954277">
      <w:pPr>
        <w:rPr>
          <w:rFonts w:asciiTheme="minorHAnsi" w:hAnsiTheme="minorHAnsi" w:cstheme="minorHAnsi"/>
          <w:szCs w:val="24"/>
        </w:rPr>
      </w:pPr>
      <w:r w:rsidRPr="00B857A3">
        <w:rPr>
          <w:rFonts w:asciiTheme="minorHAnsi" w:hAnsiTheme="minorHAnsi" w:cstheme="minorHAnsi"/>
          <w:b/>
          <w:i/>
          <w:szCs w:val="24"/>
        </w:rPr>
        <w:t>k o n t r o l n í</w:t>
      </w:r>
      <w:r w:rsidRPr="00B857A3">
        <w:rPr>
          <w:rFonts w:asciiTheme="minorHAnsi" w:hAnsiTheme="minorHAnsi" w:cstheme="minorHAnsi"/>
          <w:szCs w:val="24"/>
        </w:rPr>
        <w:t xml:space="preserve">   </w:t>
      </w:r>
      <w:r w:rsidRPr="00B857A3">
        <w:rPr>
          <w:rFonts w:asciiTheme="minorHAnsi" w:hAnsiTheme="minorHAnsi" w:cstheme="minorHAnsi"/>
          <w:b/>
          <w:i/>
          <w:szCs w:val="24"/>
        </w:rPr>
        <w:t>z á v ě r</w:t>
      </w:r>
      <w:r w:rsidRPr="00B857A3">
        <w:rPr>
          <w:rFonts w:asciiTheme="minorHAnsi" w:hAnsiTheme="minorHAnsi" w:cstheme="minorHAnsi"/>
          <w:szCs w:val="24"/>
        </w:rPr>
        <w:t xml:space="preserve">   v tomto znění:</w:t>
      </w:r>
    </w:p>
    <w:p w:rsidR="005D3E1F" w:rsidRDefault="005D3E1F" w:rsidP="00954277">
      <w:pPr>
        <w:rPr>
          <w:rFonts w:ascii="Arial" w:hAnsi="Arial" w:cs="Arial"/>
          <w:sz w:val="22"/>
        </w:rPr>
      </w:pPr>
    </w:p>
    <w:p w:rsidR="00BF50B7" w:rsidRDefault="00BF50B7" w:rsidP="00954277">
      <w:pPr>
        <w:rPr>
          <w:rFonts w:ascii="Arial" w:hAnsi="Arial" w:cs="Arial"/>
          <w:sz w:val="22"/>
        </w:rPr>
      </w:pPr>
    </w:p>
    <w:p w:rsidR="005D3E1F" w:rsidRPr="007B793D" w:rsidRDefault="005D3E1F" w:rsidP="0095427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793D">
        <w:rPr>
          <w:rFonts w:asciiTheme="minorHAnsi" w:hAnsiTheme="minorHAnsi" w:cstheme="minorHAnsi"/>
          <w:b/>
          <w:sz w:val="26"/>
          <w:szCs w:val="26"/>
        </w:rPr>
        <w:t xml:space="preserve">I. </w:t>
      </w:r>
      <w:r w:rsidR="00AE5435" w:rsidRPr="007B793D">
        <w:rPr>
          <w:rFonts w:asciiTheme="minorHAnsi" w:hAnsiTheme="minorHAnsi" w:cstheme="minorHAnsi"/>
          <w:b/>
          <w:sz w:val="26"/>
          <w:szCs w:val="26"/>
        </w:rPr>
        <w:t>Ú</w:t>
      </w:r>
      <w:r w:rsidRPr="007B793D">
        <w:rPr>
          <w:rFonts w:asciiTheme="minorHAnsi" w:hAnsiTheme="minorHAnsi" w:cstheme="minorHAnsi"/>
          <w:b/>
          <w:sz w:val="26"/>
          <w:szCs w:val="26"/>
        </w:rPr>
        <w:t>vod</w:t>
      </w:r>
    </w:p>
    <w:p w:rsidR="005D3E1F" w:rsidRDefault="005D3E1F" w:rsidP="00954277">
      <w:pPr>
        <w:rPr>
          <w:rFonts w:ascii="Arial" w:hAnsi="Arial" w:cs="Arial"/>
          <w:sz w:val="22"/>
        </w:rPr>
      </w:pPr>
    </w:p>
    <w:p w:rsidR="00BF50B7" w:rsidRPr="007B793D" w:rsidRDefault="00A37709" w:rsidP="00954277">
      <w:pPr>
        <w:rPr>
          <w:rFonts w:asciiTheme="minorHAnsi" w:hAnsiTheme="minorHAnsi" w:cstheme="minorHAnsi"/>
          <w:szCs w:val="24"/>
        </w:rPr>
      </w:pPr>
      <w:r w:rsidRPr="007B793D">
        <w:rPr>
          <w:rFonts w:asciiTheme="minorHAnsi" w:hAnsiTheme="minorHAnsi" w:cstheme="minorHAnsi"/>
          <w:szCs w:val="24"/>
        </w:rPr>
        <w:t xml:space="preserve">Operační program </w:t>
      </w:r>
      <w:r w:rsidRPr="000F3025">
        <w:rPr>
          <w:rFonts w:asciiTheme="minorHAnsi" w:hAnsiTheme="minorHAnsi" w:cstheme="minorHAnsi"/>
          <w:i/>
          <w:szCs w:val="24"/>
        </w:rPr>
        <w:t>Životní prostředí</w:t>
      </w:r>
      <w:r w:rsidRPr="007B793D">
        <w:rPr>
          <w:rFonts w:asciiTheme="minorHAnsi" w:hAnsiTheme="minorHAnsi" w:cstheme="minorHAnsi"/>
          <w:szCs w:val="24"/>
        </w:rPr>
        <w:t xml:space="preserve"> (dále </w:t>
      </w:r>
      <w:r w:rsidR="00DB4534" w:rsidRPr="007B793D">
        <w:rPr>
          <w:rFonts w:asciiTheme="minorHAnsi" w:hAnsiTheme="minorHAnsi" w:cstheme="minorHAnsi"/>
          <w:szCs w:val="24"/>
        </w:rPr>
        <w:t>také</w:t>
      </w:r>
      <w:r w:rsidRPr="007B793D">
        <w:rPr>
          <w:rFonts w:asciiTheme="minorHAnsi" w:hAnsiTheme="minorHAnsi" w:cstheme="minorHAnsi"/>
          <w:szCs w:val="24"/>
        </w:rPr>
        <w:t xml:space="preserve"> „OPŽP“) vytváří rámec pro přípravu projektů, které mohly být </w:t>
      </w:r>
      <w:r w:rsidR="0091206F">
        <w:rPr>
          <w:rFonts w:asciiTheme="minorHAnsi" w:hAnsiTheme="minorHAnsi" w:cstheme="minorHAnsi"/>
          <w:szCs w:val="24"/>
        </w:rPr>
        <w:t>v </w:t>
      </w:r>
      <w:r w:rsidRPr="007B793D">
        <w:rPr>
          <w:rFonts w:asciiTheme="minorHAnsi" w:hAnsiTheme="minorHAnsi" w:cstheme="minorHAnsi"/>
          <w:szCs w:val="24"/>
        </w:rPr>
        <w:t xml:space="preserve">programovém období 2007–2013 spolufinancovány </w:t>
      </w:r>
      <w:r w:rsidR="0091206F">
        <w:rPr>
          <w:rFonts w:asciiTheme="minorHAnsi" w:hAnsiTheme="minorHAnsi" w:cstheme="minorHAnsi"/>
          <w:szCs w:val="24"/>
        </w:rPr>
        <w:t>z </w:t>
      </w:r>
      <w:r w:rsidRPr="000F3025">
        <w:rPr>
          <w:rFonts w:asciiTheme="minorHAnsi" w:hAnsiTheme="minorHAnsi" w:cstheme="minorHAnsi"/>
          <w:i/>
          <w:szCs w:val="24"/>
        </w:rPr>
        <w:t>Fondu soudržnosti</w:t>
      </w:r>
      <w:r w:rsidRPr="007B793D">
        <w:rPr>
          <w:rFonts w:asciiTheme="minorHAnsi" w:hAnsiTheme="minorHAnsi" w:cstheme="minorHAnsi"/>
          <w:szCs w:val="24"/>
        </w:rPr>
        <w:t xml:space="preserve"> a</w:t>
      </w:r>
      <w:r w:rsidR="00E22AFD">
        <w:rPr>
          <w:rFonts w:asciiTheme="minorHAnsi" w:hAnsiTheme="minorHAnsi" w:cstheme="minorHAnsi"/>
          <w:szCs w:val="24"/>
        </w:rPr>
        <w:t> </w:t>
      </w:r>
      <w:r w:rsidRPr="000F3025">
        <w:rPr>
          <w:rFonts w:asciiTheme="minorHAnsi" w:hAnsiTheme="minorHAnsi" w:cstheme="minorHAnsi"/>
          <w:i/>
          <w:szCs w:val="24"/>
        </w:rPr>
        <w:t>Evropského fondu pro regionální rozvoj</w:t>
      </w:r>
      <w:r w:rsidRPr="007B793D">
        <w:rPr>
          <w:rFonts w:asciiTheme="minorHAnsi" w:hAnsiTheme="minorHAnsi" w:cstheme="minorHAnsi"/>
          <w:szCs w:val="24"/>
        </w:rPr>
        <w:t xml:space="preserve"> (dále </w:t>
      </w:r>
      <w:r w:rsidR="00DB4534" w:rsidRPr="007B793D">
        <w:rPr>
          <w:rFonts w:asciiTheme="minorHAnsi" w:hAnsiTheme="minorHAnsi" w:cstheme="minorHAnsi"/>
          <w:szCs w:val="24"/>
        </w:rPr>
        <w:t>také</w:t>
      </w:r>
      <w:r w:rsidRPr="007B793D">
        <w:rPr>
          <w:rFonts w:asciiTheme="minorHAnsi" w:hAnsiTheme="minorHAnsi" w:cstheme="minorHAnsi"/>
          <w:szCs w:val="24"/>
        </w:rPr>
        <w:t xml:space="preserve"> „ERDF“), jejichž globálním cílem je </w:t>
      </w:r>
      <w:r w:rsidR="009443B5" w:rsidRPr="007B793D">
        <w:rPr>
          <w:rFonts w:asciiTheme="minorHAnsi" w:hAnsiTheme="minorHAnsi" w:cstheme="minorHAnsi"/>
          <w:i/>
          <w:szCs w:val="24"/>
        </w:rPr>
        <w:t>„</w:t>
      </w:r>
      <w:r w:rsidRPr="007B793D">
        <w:rPr>
          <w:rFonts w:asciiTheme="minorHAnsi" w:hAnsiTheme="minorHAnsi" w:cstheme="minorHAnsi"/>
          <w:i/>
          <w:szCs w:val="24"/>
        </w:rPr>
        <w:t xml:space="preserve">zlepšit stav jednotlivých složek životního prostředí a podpořit tak udržitelný rozvoj, dlouhodobou konkurenceschopnost a zaměstnanost </w:t>
      </w:r>
      <w:r w:rsidR="0091206F">
        <w:rPr>
          <w:rFonts w:asciiTheme="minorHAnsi" w:hAnsiTheme="minorHAnsi" w:cstheme="minorHAnsi"/>
          <w:i/>
          <w:szCs w:val="24"/>
        </w:rPr>
        <w:t>v </w:t>
      </w:r>
      <w:r w:rsidRPr="007B793D">
        <w:rPr>
          <w:rFonts w:asciiTheme="minorHAnsi" w:hAnsiTheme="minorHAnsi" w:cstheme="minorHAnsi"/>
          <w:i/>
          <w:szCs w:val="24"/>
        </w:rPr>
        <w:t xml:space="preserve">regionech </w:t>
      </w:r>
      <w:r w:rsidR="0091206F">
        <w:rPr>
          <w:rFonts w:asciiTheme="minorHAnsi" w:hAnsiTheme="minorHAnsi" w:cstheme="minorHAnsi"/>
          <w:i/>
          <w:szCs w:val="24"/>
        </w:rPr>
        <w:t>v </w:t>
      </w:r>
      <w:r w:rsidRPr="007B793D">
        <w:rPr>
          <w:rFonts w:asciiTheme="minorHAnsi" w:hAnsiTheme="minorHAnsi" w:cstheme="minorHAnsi"/>
          <w:i/>
          <w:szCs w:val="24"/>
        </w:rPr>
        <w:t>rámci cíle Konvergence politiky hospodářské a sociální soudržnosti EU</w:t>
      </w:r>
      <w:r w:rsidR="009443B5" w:rsidRPr="007B793D">
        <w:rPr>
          <w:rFonts w:asciiTheme="minorHAnsi" w:hAnsiTheme="minorHAnsi" w:cstheme="minorHAnsi"/>
          <w:i/>
          <w:szCs w:val="24"/>
        </w:rPr>
        <w:t>“</w:t>
      </w:r>
      <w:r w:rsidRPr="007B793D">
        <w:rPr>
          <w:rFonts w:asciiTheme="minorHAnsi" w:hAnsiTheme="minorHAnsi" w:cstheme="minorHAnsi"/>
          <w:szCs w:val="24"/>
        </w:rPr>
        <w:t xml:space="preserve">. </w:t>
      </w:r>
      <w:r w:rsidR="00BF50B7" w:rsidRPr="007B793D">
        <w:rPr>
          <w:rFonts w:asciiTheme="minorHAnsi" w:hAnsiTheme="minorHAnsi" w:cstheme="minorHAnsi"/>
          <w:szCs w:val="24"/>
        </w:rPr>
        <w:t>Říd</w:t>
      </w:r>
      <w:r w:rsidR="00F9726B">
        <w:rPr>
          <w:rFonts w:asciiTheme="minorHAnsi" w:hAnsiTheme="minorHAnsi" w:cstheme="minorHAnsi"/>
          <w:szCs w:val="24"/>
        </w:rPr>
        <w:t>i</w:t>
      </w:r>
      <w:r w:rsidR="00BF50B7" w:rsidRPr="007B793D">
        <w:rPr>
          <w:rFonts w:asciiTheme="minorHAnsi" w:hAnsiTheme="minorHAnsi" w:cstheme="minorHAnsi"/>
          <w:szCs w:val="24"/>
        </w:rPr>
        <w:t>cím orgánem OPŽP je Ministerstvo životního prostředí (dále také „MŽP“).</w:t>
      </w:r>
    </w:p>
    <w:p w:rsidR="00BF50B7" w:rsidRDefault="00BF50B7" w:rsidP="00954277">
      <w:pPr>
        <w:rPr>
          <w:rFonts w:ascii="Arial" w:hAnsi="Arial" w:cs="Arial"/>
          <w:sz w:val="22"/>
        </w:rPr>
      </w:pPr>
    </w:p>
    <w:p w:rsidR="00BF50B7" w:rsidRDefault="00BF50B7" w:rsidP="000F3025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E36AA">
        <w:rPr>
          <w:rFonts w:asciiTheme="minorHAnsi" w:hAnsiTheme="minorHAnsi" w:cstheme="minorHAnsi"/>
          <w:b/>
          <w:sz w:val="20"/>
          <w:szCs w:val="20"/>
        </w:rPr>
        <w:t>Pozn.:</w:t>
      </w:r>
      <w:r w:rsidRPr="001E36AA">
        <w:rPr>
          <w:rFonts w:asciiTheme="minorHAnsi" w:hAnsiTheme="minorHAnsi" w:cstheme="minorHAnsi"/>
          <w:sz w:val="20"/>
          <w:szCs w:val="20"/>
        </w:rPr>
        <w:tab/>
        <w:t>Všechny právní předpisy uváděné v tomto kontrolním závěru jsou aplikovány ve znění účinném pro kontrolované období.</w:t>
      </w:r>
    </w:p>
    <w:p w:rsidR="00BF557D" w:rsidRPr="000F3025" w:rsidRDefault="00BF557D" w:rsidP="00C23C29">
      <w:pPr>
        <w:pStyle w:val="Zkladntextodsazen2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:rsidR="00427AF7" w:rsidRPr="001F6A09" w:rsidRDefault="002552A5" w:rsidP="00954277">
      <w:pPr>
        <w:rPr>
          <w:rFonts w:asciiTheme="minorHAnsi" w:hAnsiTheme="minorHAnsi" w:cstheme="minorHAnsi"/>
          <w:szCs w:val="24"/>
        </w:rPr>
      </w:pPr>
      <w:r w:rsidRPr="001F6A09">
        <w:rPr>
          <w:rFonts w:asciiTheme="minorHAnsi" w:hAnsiTheme="minorHAnsi" w:cstheme="minorHAnsi"/>
          <w:szCs w:val="24"/>
        </w:rPr>
        <w:lastRenderedPageBreak/>
        <w:t>Podle</w:t>
      </w:r>
      <w:r w:rsidR="00427AF7" w:rsidRPr="001F6A09">
        <w:rPr>
          <w:rFonts w:asciiTheme="minorHAnsi" w:hAnsiTheme="minorHAnsi" w:cstheme="minorHAnsi"/>
          <w:szCs w:val="24"/>
        </w:rPr>
        <w:t xml:space="preserve"> čl.</w:t>
      </w:r>
      <w:r w:rsidR="00BF50B7" w:rsidRPr="001F6A09">
        <w:rPr>
          <w:rFonts w:asciiTheme="minorHAnsi" w:hAnsiTheme="minorHAnsi" w:cstheme="minorHAnsi"/>
          <w:szCs w:val="24"/>
        </w:rPr>
        <w:t> </w:t>
      </w:r>
      <w:r w:rsidR="00427AF7" w:rsidRPr="001F6A09">
        <w:rPr>
          <w:rFonts w:asciiTheme="minorHAnsi" w:hAnsiTheme="minorHAnsi" w:cstheme="minorHAnsi"/>
          <w:szCs w:val="24"/>
        </w:rPr>
        <w:t xml:space="preserve">59 odst. 2 nařízení </w:t>
      </w:r>
      <w:r w:rsidR="001D6F0A" w:rsidRPr="001F6A09">
        <w:rPr>
          <w:rFonts w:asciiTheme="minorHAnsi" w:hAnsiTheme="minorHAnsi" w:cstheme="minorHAnsi"/>
          <w:szCs w:val="24"/>
        </w:rPr>
        <w:t>Rady (ES) č. 1083/2006</w:t>
      </w:r>
      <w:r w:rsidR="00BF50B7" w:rsidRPr="001F6A09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1D6F0A" w:rsidRPr="001F6A09">
        <w:rPr>
          <w:rFonts w:asciiTheme="minorHAnsi" w:hAnsiTheme="minorHAnsi" w:cstheme="minorHAnsi"/>
          <w:szCs w:val="24"/>
        </w:rPr>
        <w:t xml:space="preserve"> </w:t>
      </w:r>
      <w:r w:rsidR="00427AF7" w:rsidRPr="001F6A09">
        <w:rPr>
          <w:rFonts w:asciiTheme="minorHAnsi" w:hAnsiTheme="minorHAnsi" w:cstheme="minorHAnsi"/>
          <w:szCs w:val="24"/>
        </w:rPr>
        <w:t xml:space="preserve">delegovalo MŽP výkon některých činností </w:t>
      </w:r>
      <w:r w:rsidR="0091206F">
        <w:rPr>
          <w:rFonts w:asciiTheme="minorHAnsi" w:hAnsiTheme="minorHAnsi" w:cstheme="minorHAnsi"/>
          <w:szCs w:val="24"/>
        </w:rPr>
        <w:t>v </w:t>
      </w:r>
      <w:r w:rsidR="00427AF7" w:rsidRPr="001F6A09">
        <w:rPr>
          <w:rFonts w:asciiTheme="minorHAnsi" w:hAnsiTheme="minorHAnsi" w:cstheme="minorHAnsi"/>
          <w:szCs w:val="24"/>
        </w:rPr>
        <w:t xml:space="preserve">rámci implementace na </w:t>
      </w:r>
      <w:r w:rsidR="00CA6C9F" w:rsidRPr="001F6A09">
        <w:rPr>
          <w:rFonts w:asciiTheme="minorHAnsi" w:hAnsiTheme="minorHAnsi" w:cstheme="minorHAnsi"/>
          <w:szCs w:val="24"/>
        </w:rPr>
        <w:t xml:space="preserve">zprostředkující subjekt </w:t>
      </w:r>
      <w:r w:rsidR="001D6F0A" w:rsidRPr="001F6A09">
        <w:rPr>
          <w:rFonts w:asciiTheme="minorHAnsi" w:hAnsiTheme="minorHAnsi" w:cstheme="minorHAnsi"/>
          <w:szCs w:val="24"/>
        </w:rPr>
        <w:t xml:space="preserve">Státní fond životního prostředí České republiky (dále </w:t>
      </w:r>
      <w:r w:rsidR="00DB4534" w:rsidRPr="001F6A09">
        <w:rPr>
          <w:rFonts w:asciiTheme="minorHAnsi" w:hAnsiTheme="minorHAnsi" w:cstheme="minorHAnsi"/>
          <w:szCs w:val="24"/>
        </w:rPr>
        <w:t>také</w:t>
      </w:r>
      <w:r w:rsidR="001D6F0A" w:rsidRPr="001F6A09">
        <w:rPr>
          <w:rFonts w:asciiTheme="minorHAnsi" w:hAnsiTheme="minorHAnsi" w:cstheme="minorHAnsi"/>
          <w:szCs w:val="24"/>
        </w:rPr>
        <w:t xml:space="preserve"> „</w:t>
      </w:r>
      <w:r w:rsidR="00427AF7" w:rsidRPr="001F6A09">
        <w:rPr>
          <w:rFonts w:asciiTheme="minorHAnsi" w:hAnsiTheme="minorHAnsi" w:cstheme="minorHAnsi"/>
          <w:szCs w:val="24"/>
        </w:rPr>
        <w:t>SFŽP</w:t>
      </w:r>
      <w:r w:rsidR="001D6F0A" w:rsidRPr="001F6A09">
        <w:rPr>
          <w:rFonts w:asciiTheme="minorHAnsi" w:hAnsiTheme="minorHAnsi" w:cstheme="minorHAnsi"/>
          <w:szCs w:val="24"/>
        </w:rPr>
        <w:t xml:space="preserve">“) a Agenturu ochrany přírody a krajiny České republiky (dále </w:t>
      </w:r>
      <w:r w:rsidR="00DB4534" w:rsidRPr="001F6A09">
        <w:rPr>
          <w:rFonts w:asciiTheme="minorHAnsi" w:hAnsiTheme="minorHAnsi" w:cstheme="minorHAnsi"/>
          <w:szCs w:val="24"/>
        </w:rPr>
        <w:t>také</w:t>
      </w:r>
      <w:r w:rsidR="001D6F0A" w:rsidRPr="001F6A09">
        <w:rPr>
          <w:rFonts w:asciiTheme="minorHAnsi" w:hAnsiTheme="minorHAnsi" w:cstheme="minorHAnsi"/>
          <w:szCs w:val="24"/>
        </w:rPr>
        <w:t xml:space="preserve"> „AOPK“).</w:t>
      </w:r>
      <w:r w:rsidR="00B5733E" w:rsidRPr="001F6A09">
        <w:rPr>
          <w:rFonts w:asciiTheme="minorHAnsi" w:hAnsiTheme="minorHAnsi" w:cstheme="minorHAnsi"/>
          <w:szCs w:val="24"/>
        </w:rPr>
        <w:t xml:space="preserve"> Rozdělení činností mezi MŽP, SFŽP a AOPK upravuje delegační dohoda</w:t>
      </w:r>
      <w:r w:rsidR="00B5733E" w:rsidRPr="001F6A09">
        <w:rPr>
          <w:rStyle w:val="Znakapoznpodarou"/>
          <w:rFonts w:asciiTheme="minorHAnsi" w:hAnsiTheme="minorHAnsi" w:cstheme="minorHAnsi"/>
          <w:szCs w:val="24"/>
        </w:rPr>
        <w:footnoteReference w:id="2"/>
      </w:r>
      <w:r w:rsidR="00B5733E" w:rsidRPr="001F6A09">
        <w:rPr>
          <w:rFonts w:asciiTheme="minorHAnsi" w:hAnsiTheme="minorHAnsi" w:cstheme="minorHAnsi"/>
          <w:szCs w:val="24"/>
        </w:rPr>
        <w:t xml:space="preserve">. </w:t>
      </w:r>
    </w:p>
    <w:p w:rsidR="00B5733E" w:rsidRPr="001F6A09" w:rsidRDefault="00B5733E" w:rsidP="00954277">
      <w:pPr>
        <w:rPr>
          <w:rFonts w:asciiTheme="minorHAnsi" w:hAnsiTheme="minorHAnsi" w:cstheme="minorHAnsi"/>
          <w:szCs w:val="24"/>
        </w:rPr>
      </w:pPr>
    </w:p>
    <w:p w:rsidR="00A37709" w:rsidRPr="001F6A09" w:rsidRDefault="002B13C8" w:rsidP="00954277">
      <w:pPr>
        <w:rPr>
          <w:rFonts w:asciiTheme="minorHAnsi" w:hAnsiTheme="minorHAnsi" w:cstheme="minorHAnsi"/>
          <w:szCs w:val="24"/>
        </w:rPr>
      </w:pPr>
      <w:r w:rsidRPr="001F6A09">
        <w:rPr>
          <w:rFonts w:asciiTheme="minorHAnsi" w:hAnsiTheme="minorHAnsi" w:cstheme="minorHAnsi"/>
          <w:szCs w:val="24"/>
        </w:rPr>
        <w:t xml:space="preserve">Projekt </w:t>
      </w:r>
      <w:r w:rsidRPr="000F3025">
        <w:rPr>
          <w:rFonts w:asciiTheme="minorHAnsi" w:hAnsiTheme="minorHAnsi" w:cstheme="minorHAnsi"/>
          <w:i/>
          <w:szCs w:val="24"/>
        </w:rPr>
        <w:t>Obnova rybníka Jordán v</w:t>
      </w:r>
      <w:r w:rsidR="00DC365E" w:rsidRPr="000F3025">
        <w:rPr>
          <w:rFonts w:asciiTheme="minorHAnsi" w:hAnsiTheme="minorHAnsi" w:cstheme="minorHAnsi"/>
          <w:i/>
          <w:szCs w:val="24"/>
        </w:rPr>
        <w:t> </w:t>
      </w:r>
      <w:r w:rsidRPr="000F3025">
        <w:rPr>
          <w:rFonts w:asciiTheme="minorHAnsi" w:hAnsiTheme="minorHAnsi" w:cstheme="minorHAnsi"/>
          <w:i/>
          <w:szCs w:val="24"/>
        </w:rPr>
        <w:t>Táboře</w:t>
      </w:r>
      <w:r w:rsidRPr="001F6A09">
        <w:rPr>
          <w:rFonts w:asciiTheme="minorHAnsi" w:hAnsiTheme="minorHAnsi" w:cstheme="minorHAnsi"/>
          <w:szCs w:val="24"/>
        </w:rPr>
        <w:t xml:space="preserve"> (dále </w:t>
      </w:r>
      <w:r w:rsidR="00DB4534" w:rsidRPr="001F6A09">
        <w:rPr>
          <w:rFonts w:asciiTheme="minorHAnsi" w:hAnsiTheme="minorHAnsi" w:cstheme="minorHAnsi"/>
          <w:szCs w:val="24"/>
        </w:rPr>
        <w:t>také</w:t>
      </w:r>
      <w:r w:rsidRPr="001F6A09">
        <w:rPr>
          <w:rFonts w:asciiTheme="minorHAnsi" w:hAnsiTheme="minorHAnsi" w:cstheme="minorHAnsi"/>
          <w:szCs w:val="24"/>
        </w:rPr>
        <w:t xml:space="preserve"> „Projekt“) je financován </w:t>
      </w:r>
      <w:r w:rsidR="0091206F">
        <w:rPr>
          <w:rFonts w:asciiTheme="minorHAnsi" w:hAnsiTheme="minorHAnsi" w:cstheme="minorHAnsi"/>
          <w:szCs w:val="24"/>
        </w:rPr>
        <w:t>v </w:t>
      </w:r>
      <w:r w:rsidRPr="001F6A09">
        <w:rPr>
          <w:rFonts w:asciiTheme="minorHAnsi" w:hAnsiTheme="minorHAnsi" w:cstheme="minorHAnsi"/>
          <w:szCs w:val="24"/>
        </w:rPr>
        <w:t xml:space="preserve">rámci </w:t>
      </w:r>
      <w:r w:rsidR="00906249" w:rsidRPr="001F6A09">
        <w:rPr>
          <w:rFonts w:asciiTheme="minorHAnsi" w:hAnsiTheme="minorHAnsi" w:cstheme="minorHAnsi"/>
          <w:szCs w:val="24"/>
        </w:rPr>
        <w:t>prioritní osy</w:t>
      </w:r>
      <w:r w:rsidRPr="001F6A09">
        <w:rPr>
          <w:rFonts w:asciiTheme="minorHAnsi" w:hAnsiTheme="minorHAnsi" w:cstheme="minorHAnsi"/>
          <w:szCs w:val="24"/>
        </w:rPr>
        <w:t xml:space="preserve"> 6 </w:t>
      </w:r>
      <w:r w:rsidRPr="000F3025">
        <w:rPr>
          <w:rFonts w:asciiTheme="minorHAnsi" w:hAnsiTheme="minorHAnsi" w:cstheme="minorHAnsi"/>
          <w:i/>
          <w:szCs w:val="24"/>
        </w:rPr>
        <w:t>Zlepšování stavu přírody a krajiny</w:t>
      </w:r>
      <w:r w:rsidRPr="001F6A09">
        <w:rPr>
          <w:rFonts w:asciiTheme="minorHAnsi" w:hAnsiTheme="minorHAnsi" w:cstheme="minorHAnsi"/>
          <w:szCs w:val="24"/>
        </w:rPr>
        <w:t xml:space="preserve">, </w:t>
      </w:r>
      <w:r w:rsidR="00F9726B">
        <w:rPr>
          <w:rFonts w:asciiTheme="minorHAnsi" w:hAnsiTheme="minorHAnsi" w:cstheme="minorHAnsi"/>
          <w:szCs w:val="24"/>
        </w:rPr>
        <w:t>a to z </w:t>
      </w:r>
      <w:r w:rsidR="00906249" w:rsidRPr="001F6A09">
        <w:rPr>
          <w:rFonts w:asciiTheme="minorHAnsi" w:hAnsiTheme="minorHAnsi" w:cstheme="minorHAnsi"/>
          <w:szCs w:val="24"/>
        </w:rPr>
        <w:t>oblast</w:t>
      </w:r>
      <w:r w:rsidR="00F9726B">
        <w:rPr>
          <w:rFonts w:asciiTheme="minorHAnsi" w:hAnsiTheme="minorHAnsi" w:cstheme="minorHAnsi"/>
          <w:szCs w:val="24"/>
        </w:rPr>
        <w:t>i</w:t>
      </w:r>
      <w:r w:rsidR="00906249" w:rsidRPr="001F6A09">
        <w:rPr>
          <w:rFonts w:asciiTheme="minorHAnsi" w:hAnsiTheme="minorHAnsi" w:cstheme="minorHAnsi"/>
          <w:szCs w:val="24"/>
        </w:rPr>
        <w:t xml:space="preserve"> podpory</w:t>
      </w:r>
      <w:r w:rsidRPr="001F6A09">
        <w:rPr>
          <w:rFonts w:asciiTheme="minorHAnsi" w:hAnsiTheme="minorHAnsi" w:cstheme="minorHAnsi"/>
          <w:szCs w:val="24"/>
        </w:rPr>
        <w:t xml:space="preserve"> 6.4 </w:t>
      </w:r>
      <w:r w:rsidRPr="000F3025">
        <w:rPr>
          <w:rFonts w:asciiTheme="minorHAnsi" w:hAnsiTheme="minorHAnsi" w:cstheme="minorHAnsi"/>
          <w:i/>
          <w:szCs w:val="24"/>
        </w:rPr>
        <w:t>Optimalizace vodního režimu krajiny</w:t>
      </w:r>
      <w:r w:rsidRPr="001F6A09">
        <w:rPr>
          <w:rFonts w:asciiTheme="minorHAnsi" w:hAnsiTheme="minorHAnsi" w:cstheme="minorHAnsi"/>
          <w:szCs w:val="24"/>
        </w:rPr>
        <w:t xml:space="preserve">. </w:t>
      </w:r>
      <w:r w:rsidR="001D6F0A" w:rsidRPr="001F6A09">
        <w:rPr>
          <w:rFonts w:asciiTheme="minorHAnsi" w:hAnsiTheme="minorHAnsi" w:cstheme="minorHAnsi"/>
          <w:szCs w:val="24"/>
        </w:rPr>
        <w:t xml:space="preserve">Globálním cílem oblasti podpory 6.4 je </w:t>
      </w:r>
      <w:r w:rsidR="00DC365E" w:rsidRPr="001F6A09">
        <w:rPr>
          <w:rFonts w:asciiTheme="minorHAnsi" w:hAnsiTheme="minorHAnsi" w:cstheme="minorHAnsi"/>
          <w:szCs w:val="24"/>
        </w:rPr>
        <w:t>„</w:t>
      </w:r>
      <w:r w:rsidR="001D6F0A" w:rsidRPr="001F6A09">
        <w:rPr>
          <w:rFonts w:asciiTheme="minorHAnsi" w:hAnsiTheme="minorHAnsi" w:cstheme="minorHAnsi"/>
          <w:i/>
          <w:szCs w:val="24"/>
        </w:rPr>
        <w:t>optimalizace vodního režimu krajiny</w:t>
      </w:r>
      <w:r w:rsidR="00DC365E" w:rsidRPr="001F6A09">
        <w:rPr>
          <w:rFonts w:asciiTheme="minorHAnsi" w:hAnsiTheme="minorHAnsi" w:cstheme="minorHAnsi"/>
          <w:szCs w:val="24"/>
        </w:rPr>
        <w:t>“</w:t>
      </w:r>
      <w:r w:rsidR="001D6F0A" w:rsidRPr="001F6A09">
        <w:rPr>
          <w:rFonts w:asciiTheme="minorHAnsi" w:hAnsiTheme="minorHAnsi" w:cstheme="minorHAnsi"/>
          <w:szCs w:val="24"/>
        </w:rPr>
        <w:t xml:space="preserve">. </w:t>
      </w:r>
      <w:r w:rsidR="00DC365E" w:rsidRPr="001F6A09">
        <w:rPr>
          <w:rFonts w:asciiTheme="minorHAnsi" w:hAnsiTheme="minorHAnsi" w:cstheme="minorHAnsi"/>
          <w:szCs w:val="24"/>
        </w:rPr>
        <w:t>Jejím s</w:t>
      </w:r>
      <w:r w:rsidR="001D6F0A" w:rsidRPr="001F6A09">
        <w:rPr>
          <w:rFonts w:asciiTheme="minorHAnsi" w:hAnsiTheme="minorHAnsi" w:cstheme="minorHAnsi"/>
          <w:szCs w:val="24"/>
        </w:rPr>
        <w:t xml:space="preserve">pecifickým cílem je </w:t>
      </w:r>
      <w:r w:rsidR="00DC365E" w:rsidRPr="001F6A09">
        <w:rPr>
          <w:rFonts w:asciiTheme="minorHAnsi" w:hAnsiTheme="minorHAnsi" w:cstheme="minorHAnsi"/>
          <w:szCs w:val="24"/>
        </w:rPr>
        <w:t>„</w:t>
      </w:r>
      <w:r w:rsidR="001D6F0A" w:rsidRPr="001F6A09">
        <w:rPr>
          <w:rFonts w:asciiTheme="minorHAnsi" w:hAnsiTheme="minorHAnsi" w:cstheme="minorHAnsi"/>
          <w:i/>
          <w:szCs w:val="24"/>
        </w:rPr>
        <w:t xml:space="preserve">náprava </w:t>
      </w:r>
      <w:r w:rsidR="0091206F">
        <w:rPr>
          <w:rFonts w:asciiTheme="minorHAnsi" w:hAnsiTheme="minorHAnsi" w:cstheme="minorHAnsi"/>
          <w:i/>
          <w:szCs w:val="24"/>
        </w:rPr>
        <w:t>v </w:t>
      </w:r>
      <w:r w:rsidR="001D6F0A" w:rsidRPr="001F6A09">
        <w:rPr>
          <w:rFonts w:asciiTheme="minorHAnsi" w:hAnsiTheme="minorHAnsi" w:cstheme="minorHAnsi"/>
          <w:i/>
          <w:szCs w:val="24"/>
        </w:rPr>
        <w:t xml:space="preserve">minulosti nevhodně upravených toků, nevhodných odvodnění a jiných zásahů negativně ovlivňujících vodní režim </w:t>
      </w:r>
      <w:r w:rsidR="0091206F">
        <w:rPr>
          <w:rFonts w:asciiTheme="minorHAnsi" w:hAnsiTheme="minorHAnsi" w:cstheme="minorHAnsi"/>
          <w:i/>
          <w:szCs w:val="24"/>
        </w:rPr>
        <w:t>v </w:t>
      </w:r>
      <w:r w:rsidR="001D6F0A" w:rsidRPr="001F6A09">
        <w:rPr>
          <w:rFonts w:asciiTheme="minorHAnsi" w:hAnsiTheme="minorHAnsi" w:cstheme="minorHAnsi"/>
          <w:i/>
          <w:szCs w:val="24"/>
        </w:rPr>
        <w:t>krajině, zvyšování retenční schopnosti krajiny a snížení výskytu negativních vlivů vodní eroze a sucha</w:t>
      </w:r>
      <w:r w:rsidR="00DC365E" w:rsidRPr="001F6A09">
        <w:rPr>
          <w:rFonts w:asciiTheme="minorHAnsi" w:hAnsiTheme="minorHAnsi" w:cstheme="minorHAnsi"/>
          <w:i/>
          <w:szCs w:val="24"/>
        </w:rPr>
        <w:t>“</w:t>
      </w:r>
      <w:r w:rsidR="001D6F0A" w:rsidRPr="001F6A09">
        <w:rPr>
          <w:rFonts w:asciiTheme="minorHAnsi" w:hAnsiTheme="minorHAnsi" w:cstheme="minorHAnsi"/>
          <w:szCs w:val="24"/>
        </w:rPr>
        <w:t>.</w:t>
      </w:r>
      <w:r w:rsidR="00452B33" w:rsidRPr="001F6A09">
        <w:rPr>
          <w:rFonts w:asciiTheme="minorHAnsi" w:hAnsiTheme="minorHAnsi" w:cstheme="minorHAnsi"/>
          <w:szCs w:val="24"/>
        </w:rPr>
        <w:t xml:space="preserve"> Předmětem Projektu je vybudování spodní výpusti vodní nádrže a její odbahnění. Příjemcem podpory je město Tábor</w:t>
      </w:r>
      <w:r w:rsidR="008A0AE8" w:rsidRPr="001F6A09">
        <w:rPr>
          <w:rFonts w:asciiTheme="minorHAnsi" w:hAnsiTheme="minorHAnsi" w:cstheme="minorHAnsi"/>
          <w:szCs w:val="24"/>
        </w:rPr>
        <w:t>.</w:t>
      </w:r>
    </w:p>
    <w:p w:rsidR="001D6F0A" w:rsidRPr="001F6A09" w:rsidRDefault="001D6F0A" w:rsidP="00954277">
      <w:pPr>
        <w:rPr>
          <w:rFonts w:asciiTheme="minorHAnsi" w:hAnsiTheme="minorHAnsi" w:cstheme="minorHAnsi"/>
          <w:szCs w:val="24"/>
        </w:rPr>
      </w:pPr>
    </w:p>
    <w:p w:rsidR="00452B33" w:rsidRPr="001F6A09" w:rsidRDefault="00FD3D4A" w:rsidP="00954277">
      <w:pPr>
        <w:rPr>
          <w:rFonts w:asciiTheme="minorHAnsi" w:hAnsiTheme="minorHAnsi" w:cstheme="minorHAnsi"/>
          <w:szCs w:val="24"/>
        </w:rPr>
      </w:pPr>
      <w:r w:rsidRPr="001F6A09">
        <w:rPr>
          <w:rFonts w:asciiTheme="minorHAnsi" w:hAnsiTheme="minorHAnsi" w:cstheme="minorHAnsi"/>
          <w:szCs w:val="24"/>
        </w:rPr>
        <w:t xml:space="preserve">Podpora </w:t>
      </w:r>
      <w:r w:rsidR="0091206F">
        <w:rPr>
          <w:rFonts w:asciiTheme="minorHAnsi" w:hAnsiTheme="minorHAnsi" w:cstheme="minorHAnsi"/>
          <w:szCs w:val="24"/>
        </w:rPr>
        <w:t>v </w:t>
      </w:r>
      <w:r w:rsidRPr="001F6A09">
        <w:rPr>
          <w:rFonts w:asciiTheme="minorHAnsi" w:hAnsiTheme="minorHAnsi" w:cstheme="minorHAnsi"/>
          <w:szCs w:val="24"/>
        </w:rPr>
        <w:t xml:space="preserve">rámci </w:t>
      </w:r>
      <w:r w:rsidR="00906249" w:rsidRPr="001F6A09">
        <w:rPr>
          <w:rFonts w:asciiTheme="minorHAnsi" w:hAnsiTheme="minorHAnsi" w:cstheme="minorHAnsi"/>
          <w:szCs w:val="24"/>
        </w:rPr>
        <w:t>prioritní osy</w:t>
      </w:r>
      <w:r w:rsidRPr="001F6A09">
        <w:rPr>
          <w:rFonts w:asciiTheme="minorHAnsi" w:hAnsiTheme="minorHAnsi" w:cstheme="minorHAnsi"/>
          <w:szCs w:val="24"/>
        </w:rPr>
        <w:t xml:space="preserve"> 6 je u projektů předkládaných veřejnými subjekty poskytována formou dotace </w:t>
      </w:r>
      <w:r w:rsidR="0091206F">
        <w:rPr>
          <w:rFonts w:asciiTheme="minorHAnsi" w:hAnsiTheme="minorHAnsi" w:cstheme="minorHAnsi"/>
          <w:szCs w:val="24"/>
        </w:rPr>
        <w:t>z </w:t>
      </w:r>
      <w:r w:rsidRPr="001F6A09">
        <w:rPr>
          <w:rFonts w:asciiTheme="minorHAnsi" w:hAnsiTheme="minorHAnsi" w:cstheme="minorHAnsi"/>
          <w:szCs w:val="24"/>
        </w:rPr>
        <w:t xml:space="preserve">prostředků ERDF </w:t>
      </w:r>
      <w:r w:rsidR="0091206F">
        <w:rPr>
          <w:rFonts w:asciiTheme="minorHAnsi" w:hAnsiTheme="minorHAnsi" w:cstheme="minorHAnsi"/>
          <w:szCs w:val="24"/>
        </w:rPr>
        <w:t>s </w:t>
      </w:r>
      <w:r w:rsidRPr="001F6A09">
        <w:rPr>
          <w:rFonts w:asciiTheme="minorHAnsi" w:hAnsiTheme="minorHAnsi" w:cstheme="minorHAnsi"/>
          <w:szCs w:val="24"/>
        </w:rPr>
        <w:t xml:space="preserve">maximální hranicí do 85 % celkových způsobilých veřejných výdajů. Finanční účast příjemce podpory na spolufinancování projektu je </w:t>
      </w:r>
      <w:r w:rsidR="00F3433F" w:rsidRPr="001F6A09">
        <w:rPr>
          <w:rFonts w:asciiTheme="minorHAnsi" w:hAnsiTheme="minorHAnsi" w:cstheme="minorHAnsi"/>
          <w:szCs w:val="24"/>
        </w:rPr>
        <w:t>požadována ve výši minimálně</w:t>
      </w:r>
      <w:r w:rsidRPr="001F6A09">
        <w:rPr>
          <w:rFonts w:asciiTheme="minorHAnsi" w:hAnsiTheme="minorHAnsi" w:cstheme="minorHAnsi"/>
          <w:szCs w:val="24"/>
        </w:rPr>
        <w:t xml:space="preserve"> 10 % </w:t>
      </w:r>
      <w:r w:rsidR="0091206F">
        <w:rPr>
          <w:rFonts w:asciiTheme="minorHAnsi" w:hAnsiTheme="minorHAnsi" w:cstheme="minorHAnsi"/>
          <w:szCs w:val="24"/>
        </w:rPr>
        <w:t>z </w:t>
      </w:r>
      <w:r w:rsidRPr="001F6A09">
        <w:rPr>
          <w:rFonts w:asciiTheme="minorHAnsi" w:hAnsiTheme="minorHAnsi" w:cstheme="minorHAnsi"/>
          <w:szCs w:val="24"/>
        </w:rPr>
        <w:t xml:space="preserve">celkových způsobilých </w:t>
      </w:r>
      <w:r w:rsidR="00C36643" w:rsidRPr="001F6A09">
        <w:rPr>
          <w:rFonts w:asciiTheme="minorHAnsi" w:hAnsiTheme="minorHAnsi" w:cstheme="minorHAnsi"/>
          <w:szCs w:val="24"/>
        </w:rPr>
        <w:t xml:space="preserve">veřejných </w:t>
      </w:r>
      <w:r w:rsidRPr="001F6A09">
        <w:rPr>
          <w:rFonts w:asciiTheme="minorHAnsi" w:hAnsiTheme="minorHAnsi" w:cstheme="minorHAnsi"/>
          <w:szCs w:val="24"/>
        </w:rPr>
        <w:t>výdajů projektu.</w:t>
      </w:r>
      <w:r w:rsidR="00DB4534" w:rsidRPr="001F6A09">
        <w:rPr>
          <w:rFonts w:asciiTheme="minorHAnsi" w:hAnsiTheme="minorHAnsi" w:cstheme="minorHAnsi"/>
          <w:szCs w:val="24"/>
        </w:rPr>
        <w:t xml:space="preserve"> </w:t>
      </w:r>
      <w:r w:rsidR="005436D4" w:rsidRPr="001F6A09">
        <w:rPr>
          <w:rFonts w:asciiTheme="minorHAnsi" w:hAnsiTheme="minorHAnsi" w:cstheme="minorHAnsi"/>
          <w:szCs w:val="24"/>
        </w:rPr>
        <w:t xml:space="preserve">Projekt je spolufinancován z prostředků SFŽP ve výši 5 % celkových způsobilých veřejných výdajů projektu. </w:t>
      </w:r>
      <w:r w:rsidR="0033399A" w:rsidRPr="001F6A09">
        <w:rPr>
          <w:rFonts w:asciiTheme="minorHAnsi" w:hAnsiTheme="minorHAnsi" w:cstheme="minorHAnsi"/>
          <w:szCs w:val="24"/>
        </w:rPr>
        <w:t xml:space="preserve">Financování Projektu je uvedeno v tabulce č. 1.  </w:t>
      </w:r>
    </w:p>
    <w:p w:rsidR="00C973BF" w:rsidRDefault="00C973BF" w:rsidP="00954277">
      <w:pPr>
        <w:rPr>
          <w:rFonts w:ascii="Arial" w:hAnsi="Arial" w:cs="Arial"/>
          <w:sz w:val="22"/>
        </w:rPr>
      </w:pPr>
    </w:p>
    <w:p w:rsidR="00C973BF" w:rsidRDefault="00C973BF" w:rsidP="00954277">
      <w:pPr>
        <w:rPr>
          <w:rFonts w:ascii="Arial" w:hAnsi="Arial" w:cs="Arial"/>
          <w:sz w:val="22"/>
        </w:rPr>
      </w:pPr>
    </w:p>
    <w:p w:rsidR="00F448F1" w:rsidRPr="001F6A09" w:rsidRDefault="00F448F1" w:rsidP="00954277">
      <w:pPr>
        <w:rPr>
          <w:rFonts w:asciiTheme="minorHAnsi" w:hAnsiTheme="minorHAnsi" w:cstheme="minorHAnsi"/>
          <w:b/>
          <w:szCs w:val="24"/>
        </w:rPr>
      </w:pPr>
      <w:r w:rsidRPr="001F6A09">
        <w:rPr>
          <w:rFonts w:asciiTheme="minorHAnsi" w:hAnsiTheme="minorHAnsi" w:cstheme="minorHAnsi"/>
          <w:b/>
          <w:szCs w:val="24"/>
        </w:rPr>
        <w:t>Tabulka č. 1 – Financování Projektu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3185"/>
        <w:gridCol w:w="2533"/>
      </w:tblGrid>
      <w:tr w:rsidR="00F448F1" w:rsidRPr="00B7531B" w:rsidTr="000F3025">
        <w:trPr>
          <w:trHeight w:val="42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rPr>
                <w:sz w:val="20"/>
                <w:szCs w:val="20"/>
              </w:rPr>
            </w:pPr>
            <w:r w:rsidRPr="00B7531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Default="00F448F1" w:rsidP="00954277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Rozhodnutí o poskytnutí dotace</w:t>
            </w:r>
          </w:p>
          <w:p w:rsidR="00A50ECF" w:rsidRPr="00B7531B" w:rsidRDefault="00654EA9" w:rsidP="00954277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91206F">
              <w:rPr>
                <w:rFonts w:ascii="Arial" w:hAnsi="Arial" w:cs="Arial"/>
                <w:b/>
                <w:color w:val="000000"/>
                <w:sz w:val="20"/>
                <w:szCs w:val="20"/>
              </w:rPr>
              <w:t>v </w:t>
            </w:r>
            <w:r w:rsidR="00A50ECF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Default="00F448F1" w:rsidP="00954277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/>
                <w:color w:val="000000"/>
                <w:sz w:val="20"/>
                <w:szCs w:val="20"/>
              </w:rPr>
              <w:t>Skutečnost k 30. 6. 2014</w:t>
            </w:r>
          </w:p>
          <w:p w:rsidR="00A50ECF" w:rsidRPr="00B7531B" w:rsidRDefault="00654EA9" w:rsidP="00954277">
            <w:pPr>
              <w:keepNext/>
              <w:keepLines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91206F">
              <w:rPr>
                <w:rFonts w:ascii="Arial" w:hAnsi="Arial" w:cs="Arial"/>
                <w:b/>
                <w:color w:val="000000"/>
                <w:sz w:val="20"/>
                <w:szCs w:val="20"/>
              </w:rPr>
              <w:t>v </w:t>
            </w:r>
            <w:r w:rsidR="00A50ECF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F448F1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rPr>
                <w:rFonts w:ascii="Arial" w:hAnsi="Arial" w:cs="Arial"/>
                <w:sz w:val="20"/>
                <w:szCs w:val="20"/>
              </w:rPr>
            </w:pPr>
            <w:r w:rsidRPr="00B7531B">
              <w:rPr>
                <w:rFonts w:ascii="Arial" w:hAnsi="Arial" w:cs="Arial"/>
                <w:sz w:val="20"/>
                <w:szCs w:val="20"/>
              </w:rPr>
              <w:t>Celkové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466 402 461,00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419 939 492,50</w:t>
            </w:r>
          </w:p>
        </w:tc>
      </w:tr>
      <w:tr w:rsidR="00F448F1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Celkové způsobilé </w:t>
            </w:r>
            <w:r w:rsidR="00C3664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veřejné</w:t>
            </w:r>
            <w:r w:rsidR="00C36643"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výdaje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0C1E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441 652 626,00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355 792 167,0</w:t>
            </w:r>
            <w:r w:rsidR="00782B1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5604E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4E" w:rsidRPr="00B7531B" w:rsidRDefault="0065604E" w:rsidP="00954277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Celkové nezpůsobilé výdaje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4E" w:rsidRPr="00B7531B" w:rsidRDefault="0065604E" w:rsidP="00954277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24 749 835,00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04E" w:rsidRPr="00B7531B" w:rsidRDefault="0065604E" w:rsidP="00954277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F448F1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 xml:space="preserve">Dotace </w:t>
            </w:r>
            <w:r w:rsidR="0091206F">
              <w:rPr>
                <w:rFonts w:ascii="Arial" w:hAnsi="Arial" w:cs="Arial"/>
                <w:color w:val="000000"/>
                <w:sz w:val="20"/>
                <w:szCs w:val="20"/>
              </w:rPr>
              <w:t>z </w:t>
            </w:r>
            <w:r w:rsidR="0065604E" w:rsidRPr="00B7531B">
              <w:rPr>
                <w:rFonts w:ascii="Arial" w:hAnsi="Arial" w:cs="Arial"/>
                <w:color w:val="000000"/>
                <w:sz w:val="20"/>
                <w:szCs w:val="20"/>
              </w:rPr>
              <w:t>ERDF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375 404 732,10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302 423 341,55</w:t>
            </w:r>
          </w:p>
        </w:tc>
      </w:tr>
      <w:tr w:rsidR="00F448F1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65604E" w:rsidP="0095427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SFŽP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22 082 631,30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17 789 608,23</w:t>
            </w:r>
          </w:p>
        </w:tc>
      </w:tr>
      <w:tr w:rsidR="00F448F1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Podpora 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397 487 363,40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320 212 949,78</w:t>
            </w:r>
          </w:p>
        </w:tc>
      </w:tr>
      <w:tr w:rsidR="00F448F1" w:rsidRPr="00B7531B" w:rsidTr="000F3025">
        <w:trPr>
          <w:trHeight w:val="34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F1" w:rsidRPr="00B7531B" w:rsidRDefault="00F448F1" w:rsidP="00954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Vlastní zdroje města Tábor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44 165 262,60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8F1" w:rsidRPr="00B7531B" w:rsidRDefault="00F448F1" w:rsidP="0095427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531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</w:tbl>
    <w:p w:rsidR="00F448F1" w:rsidRPr="001F6A09" w:rsidRDefault="00F448F1" w:rsidP="000F3025">
      <w:pPr>
        <w:ind w:left="567" w:right="565" w:hanging="567"/>
        <w:rPr>
          <w:rFonts w:asciiTheme="minorHAnsi" w:hAnsiTheme="minorHAnsi" w:cstheme="minorHAnsi"/>
          <w:sz w:val="20"/>
          <w:szCs w:val="20"/>
        </w:rPr>
      </w:pPr>
      <w:r w:rsidRPr="001F6A09">
        <w:rPr>
          <w:rFonts w:asciiTheme="minorHAnsi" w:hAnsiTheme="minorHAnsi" w:cstheme="minorHAnsi"/>
          <w:b/>
          <w:sz w:val="20"/>
          <w:szCs w:val="20"/>
        </w:rPr>
        <w:t>Zdroj:</w:t>
      </w:r>
      <w:r w:rsidRPr="001F6A09">
        <w:rPr>
          <w:rFonts w:asciiTheme="minorHAnsi" w:hAnsiTheme="minorHAnsi" w:cstheme="minorHAnsi"/>
          <w:sz w:val="20"/>
          <w:szCs w:val="20"/>
        </w:rPr>
        <w:t xml:space="preserve"> </w:t>
      </w:r>
      <w:r w:rsidR="00654EA9">
        <w:rPr>
          <w:rFonts w:asciiTheme="minorHAnsi" w:hAnsiTheme="minorHAnsi" w:cstheme="minorHAnsi"/>
          <w:sz w:val="20"/>
          <w:szCs w:val="20"/>
        </w:rPr>
        <w:tab/>
        <w:t>r</w:t>
      </w:r>
      <w:r w:rsidRPr="001F6A09">
        <w:rPr>
          <w:rFonts w:asciiTheme="minorHAnsi" w:hAnsiTheme="minorHAnsi" w:cstheme="minorHAnsi"/>
          <w:sz w:val="20"/>
          <w:szCs w:val="20"/>
        </w:rPr>
        <w:t xml:space="preserve">ozhodnutí o poskytnutí dotace, </w:t>
      </w:r>
      <w:r w:rsidR="00654EA9">
        <w:rPr>
          <w:rFonts w:asciiTheme="minorHAnsi" w:hAnsiTheme="minorHAnsi" w:cstheme="minorHAnsi"/>
          <w:sz w:val="20"/>
          <w:szCs w:val="20"/>
        </w:rPr>
        <w:t>ž</w:t>
      </w:r>
      <w:r w:rsidRPr="001F6A09">
        <w:rPr>
          <w:rFonts w:asciiTheme="minorHAnsi" w:hAnsiTheme="minorHAnsi" w:cstheme="minorHAnsi"/>
          <w:sz w:val="20"/>
          <w:szCs w:val="20"/>
        </w:rPr>
        <w:t>ádosti o platbu, účet 042</w:t>
      </w:r>
      <w:r w:rsidR="00A50ECF" w:rsidRPr="001F6A09">
        <w:rPr>
          <w:rFonts w:asciiTheme="minorHAnsi" w:hAnsiTheme="minorHAnsi" w:cstheme="minorHAnsi"/>
          <w:sz w:val="20"/>
          <w:szCs w:val="20"/>
        </w:rPr>
        <w:t xml:space="preserve"> – </w:t>
      </w:r>
      <w:r w:rsidR="00A50ECF" w:rsidRPr="000F3025">
        <w:rPr>
          <w:rFonts w:asciiTheme="minorHAnsi" w:hAnsiTheme="minorHAnsi" w:cstheme="minorHAnsi"/>
          <w:i/>
          <w:sz w:val="20"/>
          <w:szCs w:val="20"/>
        </w:rPr>
        <w:t>Nedokončený dlouhodobý hmotný majetek</w:t>
      </w:r>
      <w:r w:rsidR="001F6A09" w:rsidRPr="001F6A09">
        <w:rPr>
          <w:rFonts w:asciiTheme="minorHAnsi" w:hAnsiTheme="minorHAnsi" w:cstheme="minorHAnsi"/>
          <w:sz w:val="20"/>
          <w:szCs w:val="20"/>
        </w:rPr>
        <w:t>.</w:t>
      </w:r>
      <w:r w:rsidR="00A50ECF" w:rsidRPr="001F6A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48F1" w:rsidRPr="001F6A09" w:rsidRDefault="001F6A09" w:rsidP="000F3025">
      <w:pPr>
        <w:ind w:left="284" w:hanging="284"/>
        <w:rPr>
          <w:rFonts w:asciiTheme="minorHAnsi" w:hAnsiTheme="minorHAnsi" w:cstheme="minorHAnsi"/>
          <w:sz w:val="20"/>
          <w:szCs w:val="20"/>
          <w:lang w:eastAsia="cs-CZ"/>
        </w:rPr>
      </w:pPr>
      <w:r>
        <w:rPr>
          <w:rFonts w:asciiTheme="minorHAnsi" w:hAnsiTheme="minorHAnsi" w:cstheme="minorHAnsi"/>
          <w:sz w:val="20"/>
          <w:szCs w:val="20"/>
          <w:lang w:eastAsia="cs-CZ"/>
        </w:rPr>
        <w:t>*</w:t>
      </w:r>
      <w:r w:rsidR="00654EA9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654EA9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F448F1" w:rsidRPr="001F6A09">
        <w:rPr>
          <w:rFonts w:asciiTheme="minorHAnsi" w:hAnsiTheme="minorHAnsi" w:cstheme="minorHAnsi"/>
          <w:sz w:val="20"/>
          <w:szCs w:val="20"/>
          <w:lang w:eastAsia="cs-CZ"/>
        </w:rPr>
        <w:t>Skutečný stav nezpůsobilých výdajů a vlastních zdrojů nelze k 30. 6. 2014 vyčíslit, neboť některé faktury zahrn</w:t>
      </w:r>
      <w:r w:rsidR="00654EA9">
        <w:rPr>
          <w:rFonts w:asciiTheme="minorHAnsi" w:hAnsiTheme="minorHAnsi" w:cstheme="minorHAnsi"/>
          <w:sz w:val="20"/>
          <w:szCs w:val="20"/>
          <w:lang w:eastAsia="cs-CZ"/>
        </w:rPr>
        <w:t>ují</w:t>
      </w:r>
      <w:r w:rsidR="00F448F1" w:rsidRPr="001F6A09">
        <w:rPr>
          <w:rFonts w:asciiTheme="minorHAnsi" w:hAnsiTheme="minorHAnsi" w:cstheme="minorHAnsi"/>
          <w:sz w:val="20"/>
          <w:szCs w:val="20"/>
          <w:lang w:eastAsia="cs-CZ"/>
        </w:rPr>
        <w:t xml:space="preserve"> vícepráce, o jejichž proplacení dosud příjemce podpory nepožádal. Příjemce podpory má možnost požádat o proplacení víceprací pouze jednou za celou dobu realizace financování Projektu</w:t>
      </w:r>
      <w:r w:rsidR="00654EA9">
        <w:rPr>
          <w:rFonts w:asciiTheme="minorHAnsi" w:hAnsiTheme="minorHAnsi" w:cstheme="minorHAnsi"/>
          <w:sz w:val="20"/>
          <w:szCs w:val="20"/>
          <w:lang w:eastAsia="cs-CZ"/>
        </w:rPr>
        <w:t>, a to formou</w:t>
      </w:r>
      <w:r w:rsidR="00F448F1" w:rsidRPr="001F6A09">
        <w:rPr>
          <w:rFonts w:asciiTheme="minorHAnsi" w:hAnsiTheme="minorHAnsi" w:cstheme="minorHAnsi"/>
          <w:sz w:val="20"/>
          <w:szCs w:val="20"/>
          <w:lang w:eastAsia="cs-CZ"/>
        </w:rPr>
        <w:t xml:space="preserve"> samostatné žádosti o platbu. Celková výše fakturovaných víceprací k 30. 6. 2014 činila 41 938 642,88 Kč.</w:t>
      </w:r>
    </w:p>
    <w:p w:rsidR="0013187C" w:rsidRDefault="0013187C" w:rsidP="00BF557D">
      <w:pPr>
        <w:rPr>
          <w:rFonts w:asciiTheme="minorHAnsi" w:hAnsiTheme="minorHAnsi" w:cstheme="minorHAnsi"/>
          <w:b/>
          <w:sz w:val="26"/>
          <w:szCs w:val="26"/>
        </w:rPr>
      </w:pPr>
    </w:p>
    <w:p w:rsidR="0008011A" w:rsidRDefault="0008011A" w:rsidP="00BF557D">
      <w:pPr>
        <w:rPr>
          <w:rFonts w:asciiTheme="minorHAnsi" w:hAnsiTheme="minorHAnsi" w:cstheme="minorHAnsi"/>
          <w:b/>
          <w:sz w:val="26"/>
          <w:szCs w:val="26"/>
        </w:rPr>
      </w:pPr>
    </w:p>
    <w:p w:rsidR="007B2219" w:rsidRDefault="007B2219" w:rsidP="00BF557D">
      <w:pPr>
        <w:rPr>
          <w:rFonts w:asciiTheme="minorHAnsi" w:hAnsiTheme="minorHAnsi" w:cstheme="minorHAnsi"/>
          <w:b/>
          <w:sz w:val="26"/>
          <w:szCs w:val="26"/>
        </w:rPr>
      </w:pPr>
    </w:p>
    <w:p w:rsidR="005D3E1F" w:rsidRPr="00FF28B4" w:rsidRDefault="005D3E1F" w:rsidP="0095427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F28B4">
        <w:rPr>
          <w:rFonts w:asciiTheme="minorHAnsi" w:hAnsiTheme="minorHAnsi" w:cstheme="minorHAnsi"/>
          <w:b/>
          <w:sz w:val="26"/>
          <w:szCs w:val="26"/>
        </w:rPr>
        <w:lastRenderedPageBreak/>
        <w:t>II. Skutečnosti zjištěné při kontrole</w:t>
      </w:r>
    </w:p>
    <w:p w:rsidR="005D3E1F" w:rsidRPr="00015A04" w:rsidRDefault="005D3E1F" w:rsidP="00954277">
      <w:pPr>
        <w:rPr>
          <w:rFonts w:ascii="Arial" w:hAnsi="Arial" w:cs="Arial"/>
          <w:sz w:val="22"/>
        </w:rPr>
      </w:pPr>
    </w:p>
    <w:p w:rsidR="005D3E1F" w:rsidRPr="00FF28B4" w:rsidRDefault="00702FE2" w:rsidP="00954277">
      <w:pPr>
        <w:rPr>
          <w:rFonts w:asciiTheme="minorHAnsi" w:hAnsiTheme="minorHAnsi" w:cstheme="minorHAnsi"/>
          <w:b/>
          <w:szCs w:val="24"/>
        </w:rPr>
      </w:pPr>
      <w:r w:rsidRPr="00FF28B4">
        <w:rPr>
          <w:rFonts w:asciiTheme="minorHAnsi" w:hAnsiTheme="minorHAnsi" w:cstheme="minorHAnsi"/>
          <w:b/>
          <w:szCs w:val="24"/>
        </w:rPr>
        <w:t>1. Státní fond životního prostředí České republiky</w:t>
      </w:r>
      <w:r w:rsidR="00855CC6" w:rsidRPr="00FF28B4">
        <w:rPr>
          <w:rFonts w:asciiTheme="minorHAnsi" w:hAnsiTheme="minorHAnsi" w:cstheme="minorHAnsi"/>
          <w:b/>
          <w:szCs w:val="24"/>
        </w:rPr>
        <w:t xml:space="preserve"> – zprostředkující subjekt</w:t>
      </w:r>
    </w:p>
    <w:p w:rsidR="00CF3850" w:rsidRPr="00FF28B4" w:rsidRDefault="00CF3850" w:rsidP="00954277">
      <w:pPr>
        <w:rPr>
          <w:rFonts w:asciiTheme="minorHAnsi" w:hAnsiTheme="minorHAnsi" w:cstheme="minorHAnsi"/>
          <w:szCs w:val="24"/>
        </w:rPr>
      </w:pPr>
    </w:p>
    <w:p w:rsidR="009D4605" w:rsidRPr="00FF28B4" w:rsidRDefault="00827BE1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Kontrole byla podrobena činnost SFŽP v oblasti </w:t>
      </w:r>
      <w:r w:rsidR="00964026" w:rsidRPr="00FF28B4">
        <w:rPr>
          <w:rFonts w:asciiTheme="minorHAnsi" w:hAnsiTheme="minorHAnsi" w:cstheme="minorHAnsi"/>
          <w:szCs w:val="24"/>
        </w:rPr>
        <w:t xml:space="preserve">organizačního a metodického zajištění realizace </w:t>
      </w:r>
      <w:r w:rsidR="00A50ECF" w:rsidRPr="00FF28B4">
        <w:rPr>
          <w:rFonts w:asciiTheme="minorHAnsi" w:hAnsiTheme="minorHAnsi" w:cstheme="minorHAnsi"/>
          <w:szCs w:val="24"/>
        </w:rPr>
        <w:t>P</w:t>
      </w:r>
      <w:r w:rsidR="00964026" w:rsidRPr="00FF28B4">
        <w:rPr>
          <w:rFonts w:asciiTheme="minorHAnsi" w:hAnsiTheme="minorHAnsi" w:cstheme="minorHAnsi"/>
          <w:szCs w:val="24"/>
        </w:rPr>
        <w:t>rojektu</w:t>
      </w:r>
      <w:r w:rsidR="009C7A44" w:rsidRPr="00FF28B4">
        <w:rPr>
          <w:rFonts w:asciiTheme="minorHAnsi" w:hAnsiTheme="minorHAnsi" w:cstheme="minorHAnsi"/>
          <w:szCs w:val="24"/>
        </w:rPr>
        <w:t xml:space="preserve"> a jeho</w:t>
      </w:r>
      <w:r w:rsidR="00964026" w:rsidRPr="00FF28B4">
        <w:rPr>
          <w:rFonts w:asciiTheme="minorHAnsi" w:hAnsiTheme="minorHAnsi" w:cstheme="minorHAnsi"/>
          <w:szCs w:val="24"/>
        </w:rPr>
        <w:t xml:space="preserve"> </w:t>
      </w:r>
      <w:r w:rsidRPr="00FF28B4">
        <w:rPr>
          <w:rFonts w:asciiTheme="minorHAnsi" w:hAnsiTheme="minorHAnsi" w:cstheme="minorHAnsi"/>
          <w:szCs w:val="24"/>
        </w:rPr>
        <w:t>administrace</w:t>
      </w:r>
      <w:r w:rsidR="009C7A44" w:rsidRPr="00FF28B4">
        <w:rPr>
          <w:rFonts w:asciiTheme="minorHAnsi" w:hAnsiTheme="minorHAnsi" w:cstheme="minorHAnsi"/>
          <w:szCs w:val="24"/>
        </w:rPr>
        <w:t>.</w:t>
      </w:r>
      <w:r w:rsidRPr="00FF28B4">
        <w:rPr>
          <w:rFonts w:asciiTheme="minorHAnsi" w:hAnsiTheme="minorHAnsi" w:cstheme="minorHAnsi"/>
          <w:szCs w:val="24"/>
        </w:rPr>
        <w:t xml:space="preserve"> </w:t>
      </w:r>
    </w:p>
    <w:p w:rsidR="00ED433E" w:rsidRPr="00FF28B4" w:rsidRDefault="00ED433E" w:rsidP="00954277">
      <w:pPr>
        <w:rPr>
          <w:rFonts w:asciiTheme="minorHAnsi" w:hAnsiTheme="minorHAnsi" w:cstheme="minorHAnsi"/>
          <w:szCs w:val="24"/>
        </w:rPr>
      </w:pPr>
    </w:p>
    <w:p w:rsidR="00827BE1" w:rsidRPr="00FF28B4" w:rsidRDefault="009D4605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SFŽP zpracoval </w:t>
      </w:r>
      <w:r w:rsidR="00CD21BE" w:rsidRPr="000F3025">
        <w:rPr>
          <w:rFonts w:asciiTheme="minorHAnsi" w:hAnsiTheme="minorHAnsi" w:cstheme="minorHAnsi"/>
          <w:i/>
          <w:szCs w:val="24"/>
        </w:rPr>
        <w:t>Závazné pokyny pro žadatele a příjemce podpory v OPŽP</w:t>
      </w:r>
      <w:r w:rsidR="00CD21BE" w:rsidRPr="00FF28B4">
        <w:rPr>
          <w:rFonts w:asciiTheme="minorHAnsi" w:hAnsiTheme="minorHAnsi" w:cstheme="minorHAnsi"/>
          <w:szCs w:val="24"/>
        </w:rPr>
        <w:t xml:space="preserve">, které byly průběžně aktualizovány a </w:t>
      </w:r>
      <w:r w:rsidR="0008011A" w:rsidRPr="00FF28B4">
        <w:rPr>
          <w:rFonts w:asciiTheme="minorHAnsi" w:hAnsiTheme="minorHAnsi" w:cstheme="minorHAnsi"/>
          <w:szCs w:val="24"/>
        </w:rPr>
        <w:t xml:space="preserve">byly </w:t>
      </w:r>
      <w:r w:rsidR="00CD21BE" w:rsidRPr="00FF28B4">
        <w:rPr>
          <w:rFonts w:asciiTheme="minorHAnsi" w:hAnsiTheme="minorHAnsi" w:cstheme="minorHAnsi"/>
          <w:szCs w:val="24"/>
        </w:rPr>
        <w:t>spolu s dalšími předpisy, informacemi a kontakty dostupné na w</w:t>
      </w:r>
      <w:r w:rsidR="003A3E87" w:rsidRPr="00FF28B4">
        <w:rPr>
          <w:rFonts w:asciiTheme="minorHAnsi" w:hAnsiTheme="minorHAnsi" w:cstheme="minorHAnsi"/>
          <w:szCs w:val="24"/>
        </w:rPr>
        <w:t xml:space="preserve">ebových stránkách www.opzp.cz. </w:t>
      </w:r>
    </w:p>
    <w:p w:rsidR="00BD314C" w:rsidRPr="00FF28B4" w:rsidRDefault="00BD314C" w:rsidP="00954277">
      <w:pPr>
        <w:rPr>
          <w:rFonts w:asciiTheme="minorHAnsi" w:hAnsiTheme="minorHAnsi" w:cstheme="minorHAnsi"/>
          <w:szCs w:val="24"/>
        </w:rPr>
      </w:pPr>
    </w:p>
    <w:p w:rsidR="0008011A" w:rsidRDefault="00BD314C" w:rsidP="00954277">
      <w:pPr>
        <w:rPr>
          <w:rFonts w:asciiTheme="minorHAnsi" w:hAnsiTheme="minorHAnsi" w:cstheme="minorHAnsi"/>
          <w:bCs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Administraci žádosti o podporu na realizaci Projektu provedl SFŽP v souladu s delegační dohodou ve spolupráci s AOPK. </w:t>
      </w:r>
      <w:r w:rsidR="0085139A" w:rsidRPr="00FF28B4">
        <w:rPr>
          <w:rFonts w:asciiTheme="minorHAnsi" w:hAnsiTheme="minorHAnsi" w:cstheme="minorHAnsi"/>
          <w:szCs w:val="24"/>
        </w:rPr>
        <w:t xml:space="preserve">AOPK provedla kontrolu </w:t>
      </w:r>
      <w:r w:rsidR="00FF28B4">
        <w:rPr>
          <w:rFonts w:asciiTheme="minorHAnsi" w:hAnsiTheme="minorHAnsi" w:cstheme="minorHAnsi"/>
          <w:szCs w:val="24"/>
        </w:rPr>
        <w:t>úplnosti, formální správnosti a </w:t>
      </w:r>
      <w:r w:rsidR="0085139A" w:rsidRPr="00FF28B4">
        <w:rPr>
          <w:rFonts w:asciiTheme="minorHAnsi" w:hAnsiTheme="minorHAnsi" w:cstheme="minorHAnsi"/>
          <w:szCs w:val="24"/>
        </w:rPr>
        <w:t xml:space="preserve">přijatelnosti žádosti o podporu. </w:t>
      </w:r>
      <w:r w:rsidR="008802E5" w:rsidRPr="00FF28B4">
        <w:rPr>
          <w:rFonts w:asciiTheme="minorHAnsi" w:hAnsiTheme="minorHAnsi" w:cstheme="minorHAnsi"/>
          <w:szCs w:val="24"/>
        </w:rPr>
        <w:t>Žádost o podporu pod</w:t>
      </w:r>
      <w:r w:rsidR="009C7A44" w:rsidRPr="00FF28B4">
        <w:rPr>
          <w:rFonts w:asciiTheme="minorHAnsi" w:hAnsiTheme="minorHAnsi" w:cstheme="minorHAnsi"/>
          <w:szCs w:val="24"/>
        </w:rPr>
        <w:t>alo město Tábor v řádném termínu.</w:t>
      </w:r>
      <w:r w:rsidR="008802E5" w:rsidRPr="00FF28B4">
        <w:rPr>
          <w:rFonts w:asciiTheme="minorHAnsi" w:hAnsiTheme="minorHAnsi" w:cstheme="minorHAnsi"/>
          <w:szCs w:val="24"/>
        </w:rPr>
        <w:t xml:space="preserve"> </w:t>
      </w:r>
      <w:r w:rsidR="009C7A44" w:rsidRPr="00FF28B4">
        <w:rPr>
          <w:rFonts w:asciiTheme="minorHAnsi" w:hAnsiTheme="minorHAnsi" w:cstheme="minorHAnsi"/>
          <w:szCs w:val="24"/>
        </w:rPr>
        <w:t>B</w:t>
      </w:r>
      <w:r w:rsidR="008802E5" w:rsidRPr="00FF28B4">
        <w:rPr>
          <w:rFonts w:asciiTheme="minorHAnsi" w:hAnsiTheme="minorHAnsi" w:cstheme="minorHAnsi"/>
          <w:szCs w:val="24"/>
        </w:rPr>
        <w:t>yla úplná</w:t>
      </w:r>
      <w:r w:rsidR="00A50ECF" w:rsidRPr="00FF28B4">
        <w:rPr>
          <w:rFonts w:asciiTheme="minorHAnsi" w:hAnsiTheme="minorHAnsi" w:cstheme="minorHAnsi"/>
          <w:szCs w:val="24"/>
        </w:rPr>
        <w:t>,</w:t>
      </w:r>
      <w:r w:rsidR="008802E5" w:rsidRPr="00FF28B4">
        <w:rPr>
          <w:rFonts w:asciiTheme="minorHAnsi" w:hAnsiTheme="minorHAnsi" w:cstheme="minorHAnsi"/>
          <w:szCs w:val="24"/>
        </w:rPr>
        <w:t xml:space="preserve"> formálně správná a Projekt splnil obecná </w:t>
      </w:r>
      <w:r w:rsidR="0008011A">
        <w:rPr>
          <w:rFonts w:asciiTheme="minorHAnsi" w:hAnsiTheme="minorHAnsi" w:cstheme="minorHAnsi"/>
          <w:szCs w:val="24"/>
        </w:rPr>
        <w:t>i</w:t>
      </w:r>
      <w:r w:rsidR="008802E5" w:rsidRPr="00FF28B4">
        <w:rPr>
          <w:rFonts w:asciiTheme="minorHAnsi" w:hAnsiTheme="minorHAnsi" w:cstheme="minorHAnsi"/>
          <w:szCs w:val="24"/>
        </w:rPr>
        <w:t xml:space="preserve"> specifická kritéria přijatelnosti. SFŽP žádost o podporu akceptoval dne 16. 2. 2009.</w:t>
      </w:r>
      <w:r w:rsidR="00D238AC" w:rsidRPr="00FF28B4">
        <w:rPr>
          <w:rFonts w:asciiTheme="minorHAnsi" w:hAnsiTheme="minorHAnsi" w:cstheme="minorHAnsi"/>
          <w:szCs w:val="24"/>
        </w:rPr>
        <w:t xml:space="preserve"> Následně provedla AOPK hodnocení Projektu z hledi</w:t>
      </w:r>
      <w:r w:rsidR="00FF28B4">
        <w:rPr>
          <w:rFonts w:asciiTheme="minorHAnsi" w:hAnsiTheme="minorHAnsi" w:cstheme="minorHAnsi"/>
          <w:szCs w:val="24"/>
        </w:rPr>
        <w:t>ska ekologického, technického a </w:t>
      </w:r>
      <w:r w:rsidR="00D238AC" w:rsidRPr="00FF28B4">
        <w:rPr>
          <w:rFonts w:asciiTheme="minorHAnsi" w:hAnsiTheme="minorHAnsi" w:cstheme="minorHAnsi"/>
          <w:szCs w:val="24"/>
        </w:rPr>
        <w:t>ekonomického dle kritérií zveřejněných v rámci 6.</w:t>
      </w:r>
      <w:r w:rsidR="0008011A">
        <w:rPr>
          <w:rFonts w:asciiTheme="minorHAnsi" w:hAnsiTheme="minorHAnsi" w:cstheme="minorHAnsi"/>
          <w:szCs w:val="24"/>
        </w:rPr>
        <w:t> </w:t>
      </w:r>
      <w:r w:rsidR="00D238AC" w:rsidRPr="00FF28B4">
        <w:rPr>
          <w:rFonts w:asciiTheme="minorHAnsi" w:hAnsiTheme="minorHAnsi" w:cstheme="minorHAnsi"/>
          <w:szCs w:val="24"/>
        </w:rPr>
        <w:t xml:space="preserve">výzvy pro </w:t>
      </w:r>
      <w:r w:rsidR="00D238AC" w:rsidRPr="00FF28B4">
        <w:rPr>
          <w:rFonts w:asciiTheme="minorHAnsi" w:hAnsiTheme="minorHAnsi" w:cstheme="minorHAnsi"/>
          <w:bCs/>
          <w:szCs w:val="24"/>
        </w:rPr>
        <w:t>po</w:t>
      </w:r>
      <w:r w:rsidR="00E8187C" w:rsidRPr="00FF28B4">
        <w:rPr>
          <w:rFonts w:asciiTheme="minorHAnsi" w:hAnsiTheme="minorHAnsi" w:cstheme="minorHAnsi"/>
          <w:bCs/>
          <w:szCs w:val="24"/>
        </w:rPr>
        <w:t>dávání žádostí o podporu z OPŽP</w:t>
      </w:r>
      <w:r w:rsidR="00D238AC" w:rsidRPr="00FF28B4">
        <w:rPr>
          <w:rFonts w:asciiTheme="minorHAnsi" w:hAnsiTheme="minorHAnsi" w:cstheme="minorHAnsi"/>
          <w:bCs/>
          <w:szCs w:val="24"/>
        </w:rPr>
        <w:t xml:space="preserve">. </w:t>
      </w:r>
    </w:p>
    <w:p w:rsidR="0008011A" w:rsidRDefault="0008011A" w:rsidP="00954277">
      <w:pPr>
        <w:rPr>
          <w:rFonts w:asciiTheme="minorHAnsi" w:hAnsiTheme="minorHAnsi" w:cstheme="minorHAnsi"/>
          <w:bCs/>
          <w:szCs w:val="24"/>
        </w:rPr>
      </w:pPr>
    </w:p>
    <w:p w:rsidR="00155607" w:rsidRPr="00FF28B4" w:rsidRDefault="009C7A44" w:rsidP="00954277">
      <w:pPr>
        <w:rPr>
          <w:rFonts w:asciiTheme="minorHAnsi" w:hAnsiTheme="minorHAnsi" w:cstheme="minorHAnsi"/>
          <w:bCs/>
          <w:szCs w:val="24"/>
        </w:rPr>
      </w:pPr>
      <w:r w:rsidRPr="00FF28B4">
        <w:rPr>
          <w:rFonts w:asciiTheme="minorHAnsi" w:hAnsiTheme="minorHAnsi" w:cstheme="minorHAnsi"/>
          <w:bCs/>
          <w:szCs w:val="24"/>
        </w:rPr>
        <w:t xml:space="preserve">Součástí hodnocení technické kvality projektu bylo posouzení jeho nákladovosti. </w:t>
      </w:r>
      <w:r w:rsidR="00E8187C" w:rsidRPr="00FF28B4">
        <w:rPr>
          <w:rFonts w:asciiTheme="minorHAnsi" w:hAnsiTheme="minorHAnsi" w:cstheme="minorHAnsi"/>
          <w:bCs/>
          <w:szCs w:val="24"/>
        </w:rPr>
        <w:t xml:space="preserve">Měřítkem pro posouzení nákladovosti Projektu byla výše obvyklých nákladů, kterou MŽP stanovilo pro opatření </w:t>
      </w:r>
      <w:r w:rsidR="00E8187C" w:rsidRPr="00FF28B4">
        <w:rPr>
          <w:rFonts w:asciiTheme="minorHAnsi" w:hAnsiTheme="minorHAnsi" w:cstheme="minorHAnsi"/>
          <w:bCs/>
          <w:i/>
          <w:szCs w:val="24"/>
        </w:rPr>
        <w:t xml:space="preserve">„výstavba a zásadní rekonstrukce malých vodních nádrží, která spočívá </w:t>
      </w:r>
      <w:r w:rsidR="0091206F">
        <w:rPr>
          <w:rFonts w:asciiTheme="minorHAnsi" w:hAnsiTheme="minorHAnsi" w:cstheme="minorHAnsi"/>
          <w:bCs/>
          <w:i/>
          <w:szCs w:val="24"/>
        </w:rPr>
        <w:t>v </w:t>
      </w:r>
      <w:r w:rsidR="00E8187C" w:rsidRPr="00FF28B4">
        <w:rPr>
          <w:rFonts w:asciiTheme="minorHAnsi" w:hAnsiTheme="minorHAnsi" w:cstheme="minorHAnsi"/>
          <w:bCs/>
          <w:i/>
          <w:szCs w:val="24"/>
        </w:rPr>
        <w:t>odtěžení sedimentu, výstavbě nebo rekonstrukci technických objektů včetně výsadeb doprovodných břehových porostů a vyvolaných investic“</w:t>
      </w:r>
      <w:r w:rsidR="00FF28B4">
        <w:rPr>
          <w:rFonts w:asciiTheme="minorHAnsi" w:hAnsiTheme="minorHAnsi" w:cstheme="minorHAnsi"/>
          <w:bCs/>
          <w:szCs w:val="24"/>
        </w:rPr>
        <w:t>. Náklady Projektu činily 149 </w:t>
      </w:r>
      <w:r w:rsidR="00856B96" w:rsidRPr="00FF28B4">
        <w:rPr>
          <w:rFonts w:asciiTheme="minorHAnsi" w:hAnsiTheme="minorHAnsi" w:cstheme="minorHAnsi"/>
          <w:bCs/>
          <w:szCs w:val="24"/>
        </w:rPr>
        <w:t xml:space="preserve">% obvyklých nákladů </w:t>
      </w:r>
      <w:r w:rsidR="0008011A" w:rsidRPr="00FF28B4">
        <w:rPr>
          <w:rFonts w:asciiTheme="minorHAnsi" w:hAnsiTheme="minorHAnsi" w:cstheme="minorHAnsi"/>
          <w:bCs/>
          <w:szCs w:val="24"/>
        </w:rPr>
        <w:t>stanov</w:t>
      </w:r>
      <w:r w:rsidR="0008011A">
        <w:rPr>
          <w:rFonts w:asciiTheme="minorHAnsi" w:hAnsiTheme="minorHAnsi" w:cstheme="minorHAnsi"/>
          <w:bCs/>
          <w:szCs w:val="24"/>
        </w:rPr>
        <w:t>ených</w:t>
      </w:r>
      <w:r w:rsidR="0008011A" w:rsidRPr="00FF28B4">
        <w:rPr>
          <w:rFonts w:asciiTheme="minorHAnsi" w:hAnsiTheme="minorHAnsi" w:cstheme="minorHAnsi"/>
          <w:bCs/>
          <w:szCs w:val="24"/>
        </w:rPr>
        <w:t xml:space="preserve"> pro </w:t>
      </w:r>
      <w:r w:rsidR="00856B96" w:rsidRPr="00FF28B4">
        <w:rPr>
          <w:rFonts w:asciiTheme="minorHAnsi" w:hAnsiTheme="minorHAnsi" w:cstheme="minorHAnsi"/>
          <w:bCs/>
          <w:szCs w:val="24"/>
        </w:rPr>
        <w:t xml:space="preserve">příslušné opatření. </w:t>
      </w:r>
      <w:r w:rsidR="00EA1766" w:rsidRPr="00FF28B4">
        <w:rPr>
          <w:rFonts w:asciiTheme="minorHAnsi" w:hAnsiTheme="minorHAnsi" w:cstheme="minorHAnsi"/>
          <w:bCs/>
          <w:szCs w:val="24"/>
        </w:rPr>
        <w:t>Výše nákladů projektu byla ovlivněna především</w:t>
      </w:r>
      <w:r w:rsidR="00856B96" w:rsidRPr="00FF28B4">
        <w:rPr>
          <w:rFonts w:asciiTheme="minorHAnsi" w:hAnsiTheme="minorHAnsi" w:cstheme="minorHAnsi"/>
          <w:bCs/>
          <w:szCs w:val="24"/>
        </w:rPr>
        <w:t xml:space="preserve"> vysokými náklady na odbahnění, které byly </w:t>
      </w:r>
      <w:r w:rsidR="00831445" w:rsidRPr="00FF28B4">
        <w:rPr>
          <w:rFonts w:asciiTheme="minorHAnsi" w:hAnsiTheme="minorHAnsi" w:cstheme="minorHAnsi"/>
          <w:bCs/>
          <w:szCs w:val="24"/>
        </w:rPr>
        <w:t>vyvolány dlouhou dojezdovou vzdálen</w:t>
      </w:r>
      <w:r w:rsidR="00155607" w:rsidRPr="00FF28B4">
        <w:rPr>
          <w:rFonts w:asciiTheme="minorHAnsi" w:hAnsiTheme="minorHAnsi" w:cstheme="minorHAnsi"/>
          <w:bCs/>
          <w:szCs w:val="24"/>
        </w:rPr>
        <w:t xml:space="preserve">ostí na určené skládky. MŽP stanovilo maximální hranici pro schválení projektu 150 % obvyklých nákladů </w:t>
      </w:r>
      <w:r w:rsidR="0008011A" w:rsidRPr="00FF28B4">
        <w:rPr>
          <w:rFonts w:asciiTheme="minorHAnsi" w:hAnsiTheme="minorHAnsi" w:cstheme="minorHAnsi"/>
          <w:bCs/>
          <w:szCs w:val="24"/>
        </w:rPr>
        <w:t>stanov</w:t>
      </w:r>
      <w:r w:rsidR="0008011A">
        <w:rPr>
          <w:rFonts w:asciiTheme="minorHAnsi" w:hAnsiTheme="minorHAnsi" w:cstheme="minorHAnsi"/>
          <w:bCs/>
          <w:szCs w:val="24"/>
        </w:rPr>
        <w:t>ených</w:t>
      </w:r>
      <w:r w:rsidR="0008011A" w:rsidRPr="00FF28B4">
        <w:rPr>
          <w:rFonts w:asciiTheme="minorHAnsi" w:hAnsiTheme="minorHAnsi" w:cstheme="minorHAnsi"/>
          <w:bCs/>
          <w:szCs w:val="24"/>
        </w:rPr>
        <w:t xml:space="preserve"> pro </w:t>
      </w:r>
      <w:r w:rsidR="00155607" w:rsidRPr="00FF28B4">
        <w:rPr>
          <w:rFonts w:asciiTheme="minorHAnsi" w:hAnsiTheme="minorHAnsi" w:cstheme="minorHAnsi"/>
          <w:bCs/>
          <w:szCs w:val="24"/>
        </w:rPr>
        <w:t xml:space="preserve">opatření. </w:t>
      </w:r>
      <w:r w:rsidR="00420AE8" w:rsidRPr="00FF28B4">
        <w:rPr>
          <w:rFonts w:asciiTheme="minorHAnsi" w:hAnsiTheme="minorHAnsi" w:cstheme="minorHAnsi"/>
          <w:bCs/>
          <w:szCs w:val="24"/>
        </w:rPr>
        <w:t xml:space="preserve">SFŽP při hodnocení žádosti o podporu postupoval </w:t>
      </w:r>
      <w:r w:rsidR="0091206F">
        <w:rPr>
          <w:rFonts w:asciiTheme="minorHAnsi" w:hAnsiTheme="minorHAnsi" w:cstheme="minorHAnsi"/>
          <w:bCs/>
          <w:szCs w:val="24"/>
        </w:rPr>
        <w:t>v </w:t>
      </w:r>
      <w:r w:rsidR="00420AE8" w:rsidRPr="00FF28B4">
        <w:rPr>
          <w:rFonts w:asciiTheme="minorHAnsi" w:hAnsiTheme="minorHAnsi" w:cstheme="minorHAnsi"/>
          <w:bCs/>
          <w:szCs w:val="24"/>
        </w:rPr>
        <w:t xml:space="preserve">souladu </w:t>
      </w:r>
      <w:r w:rsidR="00CA6C9F" w:rsidRPr="00FF28B4">
        <w:rPr>
          <w:rFonts w:asciiTheme="minorHAnsi" w:hAnsiTheme="minorHAnsi" w:cstheme="minorHAnsi"/>
          <w:bCs/>
          <w:szCs w:val="24"/>
        </w:rPr>
        <w:t xml:space="preserve">se </w:t>
      </w:r>
      <w:r w:rsidR="0008011A">
        <w:rPr>
          <w:rFonts w:asciiTheme="minorHAnsi" w:hAnsiTheme="minorHAnsi" w:cstheme="minorHAnsi"/>
          <w:bCs/>
          <w:szCs w:val="24"/>
        </w:rPr>
        <w:t>s</w:t>
      </w:r>
      <w:r w:rsidR="00420AE8" w:rsidRPr="00FF28B4">
        <w:rPr>
          <w:rFonts w:asciiTheme="minorHAnsi" w:hAnsiTheme="minorHAnsi" w:cstheme="minorHAnsi"/>
          <w:bCs/>
          <w:szCs w:val="24"/>
        </w:rPr>
        <w:t>měrnicí MŽP č. 5/2008.</w:t>
      </w:r>
      <w:r w:rsidR="00420AE8" w:rsidRPr="00FF28B4">
        <w:rPr>
          <w:rStyle w:val="Znakapoznpodarou"/>
          <w:rFonts w:asciiTheme="minorHAnsi" w:hAnsiTheme="minorHAnsi" w:cstheme="minorHAnsi"/>
          <w:bCs/>
          <w:szCs w:val="24"/>
        </w:rPr>
        <w:footnoteReference w:id="3"/>
      </w:r>
      <w:r w:rsidR="00420AE8" w:rsidRPr="00FF28B4">
        <w:rPr>
          <w:rFonts w:asciiTheme="minorHAnsi" w:hAnsiTheme="minorHAnsi" w:cstheme="minorHAnsi"/>
          <w:bCs/>
          <w:szCs w:val="24"/>
        </w:rPr>
        <w:t xml:space="preserve"> </w:t>
      </w:r>
    </w:p>
    <w:p w:rsidR="0008011A" w:rsidRDefault="0008011A" w:rsidP="00954277">
      <w:pPr>
        <w:rPr>
          <w:rFonts w:asciiTheme="minorHAnsi" w:hAnsiTheme="minorHAnsi" w:cstheme="minorHAnsi"/>
          <w:bCs/>
          <w:szCs w:val="24"/>
        </w:rPr>
      </w:pPr>
    </w:p>
    <w:p w:rsidR="00BD314C" w:rsidRPr="00FF28B4" w:rsidRDefault="00C637EE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bCs/>
          <w:szCs w:val="24"/>
        </w:rPr>
        <w:t>Rada SFŽP doporučila žádost o podporu ke schválení 16.</w:t>
      </w:r>
      <w:r w:rsidR="00EF4308" w:rsidRPr="00FF28B4">
        <w:rPr>
          <w:rFonts w:asciiTheme="minorHAnsi" w:hAnsiTheme="minorHAnsi" w:cstheme="minorHAnsi"/>
          <w:bCs/>
          <w:szCs w:val="24"/>
        </w:rPr>
        <w:t> </w:t>
      </w:r>
      <w:r w:rsidRPr="00FF28B4">
        <w:rPr>
          <w:rFonts w:asciiTheme="minorHAnsi" w:hAnsiTheme="minorHAnsi" w:cstheme="minorHAnsi"/>
          <w:bCs/>
          <w:szCs w:val="24"/>
        </w:rPr>
        <w:t>3.</w:t>
      </w:r>
      <w:r w:rsidR="00EF4308" w:rsidRPr="00FF28B4">
        <w:rPr>
          <w:rFonts w:asciiTheme="minorHAnsi" w:hAnsiTheme="minorHAnsi" w:cstheme="minorHAnsi"/>
          <w:bCs/>
          <w:szCs w:val="24"/>
        </w:rPr>
        <w:t> </w:t>
      </w:r>
      <w:r w:rsidRPr="00FF28B4">
        <w:rPr>
          <w:rFonts w:asciiTheme="minorHAnsi" w:hAnsiTheme="minorHAnsi" w:cstheme="minorHAnsi"/>
          <w:bCs/>
          <w:szCs w:val="24"/>
        </w:rPr>
        <w:t>2009. Dne 5.</w:t>
      </w:r>
      <w:r w:rsidR="00F14992" w:rsidRPr="00FF28B4">
        <w:rPr>
          <w:rFonts w:asciiTheme="minorHAnsi" w:hAnsiTheme="minorHAnsi" w:cstheme="minorHAnsi"/>
          <w:bCs/>
          <w:szCs w:val="24"/>
        </w:rPr>
        <w:t> </w:t>
      </w:r>
      <w:r w:rsidRPr="00FF28B4">
        <w:rPr>
          <w:rFonts w:asciiTheme="minorHAnsi" w:hAnsiTheme="minorHAnsi" w:cstheme="minorHAnsi"/>
          <w:bCs/>
          <w:szCs w:val="24"/>
        </w:rPr>
        <w:t>5.</w:t>
      </w:r>
      <w:r w:rsidR="00F14992" w:rsidRPr="00FF28B4">
        <w:rPr>
          <w:rFonts w:asciiTheme="minorHAnsi" w:hAnsiTheme="minorHAnsi" w:cstheme="minorHAnsi"/>
          <w:bCs/>
          <w:szCs w:val="24"/>
        </w:rPr>
        <w:t> </w:t>
      </w:r>
      <w:r w:rsidRPr="00FF28B4">
        <w:rPr>
          <w:rFonts w:asciiTheme="minorHAnsi" w:hAnsiTheme="minorHAnsi" w:cstheme="minorHAnsi"/>
          <w:bCs/>
          <w:szCs w:val="24"/>
        </w:rPr>
        <w:t xml:space="preserve">2009 vydal ministr životního prostředí </w:t>
      </w:r>
      <w:r w:rsidR="0008011A">
        <w:rPr>
          <w:rFonts w:asciiTheme="minorHAnsi" w:hAnsiTheme="minorHAnsi" w:cstheme="minorHAnsi"/>
          <w:bCs/>
          <w:szCs w:val="24"/>
        </w:rPr>
        <w:t>r</w:t>
      </w:r>
      <w:r w:rsidRPr="00FF28B4">
        <w:rPr>
          <w:rFonts w:asciiTheme="minorHAnsi" w:hAnsiTheme="minorHAnsi" w:cstheme="minorHAnsi"/>
          <w:bCs/>
          <w:szCs w:val="24"/>
        </w:rPr>
        <w:t xml:space="preserve">ozhodnutí o poskytnutí podpory na spolufinancování projektu </w:t>
      </w:r>
      <w:r w:rsidR="0091206F">
        <w:rPr>
          <w:rFonts w:asciiTheme="minorHAnsi" w:hAnsiTheme="minorHAnsi" w:cstheme="minorHAnsi"/>
          <w:bCs/>
          <w:szCs w:val="24"/>
        </w:rPr>
        <w:t>v </w:t>
      </w:r>
      <w:r w:rsidRPr="00FF28B4">
        <w:rPr>
          <w:rFonts w:asciiTheme="minorHAnsi" w:hAnsiTheme="minorHAnsi" w:cstheme="minorHAnsi"/>
          <w:bCs/>
          <w:szCs w:val="24"/>
        </w:rPr>
        <w:t xml:space="preserve">rámci OPŽP </w:t>
      </w:r>
      <w:r w:rsidR="0091206F">
        <w:rPr>
          <w:rFonts w:asciiTheme="minorHAnsi" w:hAnsiTheme="minorHAnsi" w:cstheme="minorHAnsi"/>
          <w:bCs/>
          <w:szCs w:val="24"/>
        </w:rPr>
        <w:t>z </w:t>
      </w:r>
      <w:r w:rsidRPr="00FF28B4">
        <w:rPr>
          <w:rFonts w:asciiTheme="minorHAnsi" w:hAnsiTheme="minorHAnsi" w:cstheme="minorHAnsi"/>
          <w:bCs/>
          <w:szCs w:val="24"/>
        </w:rPr>
        <w:t xml:space="preserve">prostředků SFŽP. </w:t>
      </w:r>
    </w:p>
    <w:p w:rsidR="00BD314C" w:rsidRPr="00FF28B4" w:rsidRDefault="00BD314C" w:rsidP="00954277">
      <w:pPr>
        <w:rPr>
          <w:rFonts w:asciiTheme="minorHAnsi" w:hAnsiTheme="minorHAnsi" w:cstheme="minorHAnsi"/>
          <w:szCs w:val="24"/>
        </w:rPr>
      </w:pPr>
    </w:p>
    <w:p w:rsidR="00EE27C1" w:rsidRPr="00FF28B4" w:rsidRDefault="00EE27C1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SFŽP </w:t>
      </w:r>
      <w:r w:rsidR="0091206F">
        <w:rPr>
          <w:rFonts w:asciiTheme="minorHAnsi" w:hAnsiTheme="minorHAnsi" w:cstheme="minorHAnsi"/>
          <w:szCs w:val="24"/>
        </w:rPr>
        <w:t>k </w:t>
      </w:r>
      <w:r w:rsidRPr="00FF28B4">
        <w:rPr>
          <w:rFonts w:asciiTheme="minorHAnsi" w:hAnsiTheme="minorHAnsi" w:cstheme="minorHAnsi"/>
          <w:szCs w:val="24"/>
        </w:rPr>
        <w:t xml:space="preserve">30. 6. 2014 prověřil 18 </w:t>
      </w:r>
      <w:r w:rsidR="00223D38" w:rsidRPr="00FF28B4">
        <w:rPr>
          <w:rFonts w:asciiTheme="minorHAnsi" w:hAnsiTheme="minorHAnsi" w:cstheme="minorHAnsi"/>
          <w:szCs w:val="24"/>
        </w:rPr>
        <w:t>ž</w:t>
      </w:r>
      <w:r w:rsidRPr="00FF28B4">
        <w:rPr>
          <w:rFonts w:asciiTheme="minorHAnsi" w:hAnsiTheme="minorHAnsi" w:cstheme="minorHAnsi"/>
          <w:szCs w:val="24"/>
        </w:rPr>
        <w:t>ádostí o platbu</w:t>
      </w:r>
      <w:r w:rsidR="00223D38" w:rsidRPr="00FF28B4">
        <w:rPr>
          <w:rFonts w:asciiTheme="minorHAnsi" w:hAnsiTheme="minorHAnsi" w:cstheme="minorHAnsi"/>
          <w:szCs w:val="24"/>
        </w:rPr>
        <w:t>.</w:t>
      </w:r>
      <w:r w:rsidRPr="00FF28B4">
        <w:rPr>
          <w:rFonts w:asciiTheme="minorHAnsi" w:hAnsiTheme="minorHAnsi" w:cstheme="minorHAnsi"/>
          <w:szCs w:val="24"/>
        </w:rPr>
        <w:t xml:space="preserve"> Celková výše schválené a vyplacené podpory činila 320 212 949,78 Kč.</w:t>
      </w:r>
      <w:r w:rsidR="00223D38" w:rsidRPr="00FF28B4">
        <w:rPr>
          <w:rFonts w:asciiTheme="minorHAnsi" w:hAnsiTheme="minorHAnsi" w:cstheme="minorHAnsi"/>
          <w:szCs w:val="24"/>
        </w:rPr>
        <w:t xml:space="preserve"> </w:t>
      </w:r>
      <w:r w:rsidR="00EA1766" w:rsidRPr="00FF28B4">
        <w:rPr>
          <w:rFonts w:asciiTheme="minorHAnsi" w:hAnsiTheme="minorHAnsi" w:cstheme="minorHAnsi"/>
          <w:szCs w:val="24"/>
        </w:rPr>
        <w:t>P</w:t>
      </w:r>
      <w:r w:rsidR="00223D38" w:rsidRPr="00FF28B4">
        <w:rPr>
          <w:rFonts w:asciiTheme="minorHAnsi" w:hAnsiTheme="minorHAnsi" w:cstheme="minorHAnsi"/>
          <w:szCs w:val="24"/>
        </w:rPr>
        <w:t xml:space="preserve">latby byly provedeny po ukončení administrativní kontroly. SFŽP proplatil příjemci pouze způsobilé výdaje, které byly řádně doloženy, </w:t>
      </w:r>
      <w:r w:rsidR="00FF28B4">
        <w:rPr>
          <w:rFonts w:asciiTheme="minorHAnsi" w:hAnsiTheme="minorHAnsi" w:cstheme="minorHAnsi"/>
          <w:szCs w:val="24"/>
        </w:rPr>
        <w:t>souvisely s </w:t>
      </w:r>
      <w:r w:rsidR="00223D38" w:rsidRPr="00FF28B4">
        <w:rPr>
          <w:rFonts w:asciiTheme="minorHAnsi" w:hAnsiTheme="minorHAnsi" w:cstheme="minorHAnsi"/>
          <w:szCs w:val="24"/>
        </w:rPr>
        <w:t xml:space="preserve">realizací Projektu a byly </w:t>
      </w:r>
      <w:r w:rsidR="00A50ECF" w:rsidRPr="00FF28B4">
        <w:rPr>
          <w:rFonts w:asciiTheme="minorHAnsi" w:hAnsiTheme="minorHAnsi" w:cstheme="minorHAnsi"/>
          <w:szCs w:val="24"/>
        </w:rPr>
        <w:t xml:space="preserve">vynaloženy </w:t>
      </w:r>
      <w:r w:rsidR="0091206F">
        <w:rPr>
          <w:rFonts w:asciiTheme="minorHAnsi" w:hAnsiTheme="minorHAnsi" w:cstheme="minorHAnsi"/>
          <w:szCs w:val="24"/>
        </w:rPr>
        <w:t>v </w:t>
      </w:r>
      <w:r w:rsidR="00223D38" w:rsidRPr="00FF28B4">
        <w:rPr>
          <w:rFonts w:asciiTheme="minorHAnsi" w:hAnsiTheme="minorHAnsi" w:cstheme="minorHAnsi"/>
          <w:szCs w:val="24"/>
        </w:rPr>
        <w:t xml:space="preserve">souladu </w:t>
      </w:r>
      <w:r w:rsidR="0091206F">
        <w:rPr>
          <w:rFonts w:asciiTheme="minorHAnsi" w:hAnsiTheme="minorHAnsi" w:cstheme="minorHAnsi"/>
          <w:szCs w:val="24"/>
        </w:rPr>
        <w:t>s </w:t>
      </w:r>
      <w:r w:rsidR="0008011A">
        <w:rPr>
          <w:rFonts w:asciiTheme="minorHAnsi" w:hAnsiTheme="minorHAnsi" w:cstheme="minorHAnsi"/>
          <w:szCs w:val="24"/>
        </w:rPr>
        <w:t>r</w:t>
      </w:r>
      <w:r w:rsidR="00223D38" w:rsidRPr="00FF28B4">
        <w:rPr>
          <w:rFonts w:asciiTheme="minorHAnsi" w:hAnsiTheme="minorHAnsi" w:cstheme="minorHAnsi"/>
          <w:szCs w:val="24"/>
        </w:rPr>
        <w:t>o</w:t>
      </w:r>
      <w:r w:rsidR="00FF28B4">
        <w:rPr>
          <w:rFonts w:asciiTheme="minorHAnsi" w:hAnsiTheme="minorHAnsi" w:cstheme="minorHAnsi"/>
          <w:szCs w:val="24"/>
        </w:rPr>
        <w:t>zhodnutím o poskytnutí dotace a </w:t>
      </w:r>
      <w:r w:rsidR="0008011A">
        <w:rPr>
          <w:rFonts w:asciiTheme="minorHAnsi" w:hAnsiTheme="minorHAnsi" w:cstheme="minorHAnsi"/>
          <w:szCs w:val="24"/>
        </w:rPr>
        <w:t>s</w:t>
      </w:r>
      <w:r w:rsidR="00223D38" w:rsidRPr="00FF28B4">
        <w:rPr>
          <w:rFonts w:asciiTheme="minorHAnsi" w:hAnsiTheme="minorHAnsi" w:cstheme="minorHAnsi"/>
          <w:szCs w:val="24"/>
        </w:rPr>
        <w:t>mlouvou o</w:t>
      </w:r>
      <w:r w:rsidR="00102721">
        <w:rPr>
          <w:rFonts w:asciiTheme="minorHAnsi" w:hAnsiTheme="minorHAnsi" w:cstheme="minorHAnsi"/>
          <w:szCs w:val="24"/>
        </w:rPr>
        <w:t> </w:t>
      </w:r>
      <w:r w:rsidR="00223D38" w:rsidRPr="00FF28B4">
        <w:rPr>
          <w:rFonts w:asciiTheme="minorHAnsi" w:hAnsiTheme="minorHAnsi" w:cstheme="minorHAnsi"/>
          <w:szCs w:val="24"/>
        </w:rPr>
        <w:t xml:space="preserve">poskytnutí podpory ze SFŽP </w:t>
      </w:r>
      <w:r w:rsidR="0091206F">
        <w:rPr>
          <w:rFonts w:asciiTheme="minorHAnsi" w:hAnsiTheme="minorHAnsi" w:cstheme="minorHAnsi"/>
          <w:szCs w:val="24"/>
        </w:rPr>
        <w:t>v </w:t>
      </w:r>
      <w:r w:rsidR="00223D38" w:rsidRPr="00FF28B4">
        <w:rPr>
          <w:rFonts w:asciiTheme="minorHAnsi" w:hAnsiTheme="minorHAnsi" w:cstheme="minorHAnsi"/>
          <w:szCs w:val="24"/>
        </w:rPr>
        <w:t xml:space="preserve">rámci OPŽP. </w:t>
      </w:r>
    </w:p>
    <w:p w:rsidR="00420AE8" w:rsidRPr="00FF28B4" w:rsidRDefault="00420AE8" w:rsidP="00954277">
      <w:pPr>
        <w:rPr>
          <w:rFonts w:asciiTheme="minorHAnsi" w:hAnsiTheme="minorHAnsi" w:cstheme="minorHAnsi"/>
          <w:szCs w:val="24"/>
        </w:rPr>
      </w:pPr>
    </w:p>
    <w:p w:rsidR="00F309F6" w:rsidRPr="00FF28B4" w:rsidRDefault="00611E76" w:rsidP="007B0C05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Hlavním nástrojem pro podporu průběžného monitorování </w:t>
      </w:r>
      <w:r w:rsidR="009D4923" w:rsidRPr="00FF28B4">
        <w:rPr>
          <w:rFonts w:asciiTheme="minorHAnsi" w:hAnsiTheme="minorHAnsi" w:cstheme="minorHAnsi"/>
          <w:szCs w:val="24"/>
        </w:rPr>
        <w:t>P</w:t>
      </w:r>
      <w:r w:rsidRPr="00FF28B4">
        <w:rPr>
          <w:rFonts w:asciiTheme="minorHAnsi" w:hAnsiTheme="minorHAnsi" w:cstheme="minorHAnsi"/>
          <w:szCs w:val="24"/>
        </w:rPr>
        <w:t>rojekt</w:t>
      </w:r>
      <w:r w:rsidR="0066372F" w:rsidRPr="00FF28B4">
        <w:rPr>
          <w:rFonts w:asciiTheme="minorHAnsi" w:hAnsiTheme="minorHAnsi" w:cstheme="minorHAnsi"/>
          <w:szCs w:val="24"/>
        </w:rPr>
        <w:t>u</w:t>
      </w:r>
      <w:r w:rsidRPr="00FF28B4">
        <w:rPr>
          <w:rFonts w:asciiTheme="minorHAnsi" w:hAnsiTheme="minorHAnsi" w:cstheme="minorHAnsi"/>
          <w:szCs w:val="24"/>
        </w:rPr>
        <w:t xml:space="preserve"> </w:t>
      </w:r>
      <w:r w:rsidR="00EE27C1" w:rsidRPr="00FF28B4">
        <w:rPr>
          <w:rFonts w:asciiTheme="minorHAnsi" w:hAnsiTheme="minorHAnsi" w:cstheme="minorHAnsi"/>
          <w:szCs w:val="24"/>
        </w:rPr>
        <w:t>je</w:t>
      </w:r>
      <w:r w:rsidRPr="00FF28B4">
        <w:rPr>
          <w:rFonts w:asciiTheme="minorHAnsi" w:hAnsiTheme="minorHAnsi" w:cstheme="minorHAnsi"/>
          <w:szCs w:val="24"/>
        </w:rPr>
        <w:t xml:space="preserve"> informační systém </w:t>
      </w:r>
      <w:r w:rsidR="00CA6C9F" w:rsidRPr="00FF28B4">
        <w:rPr>
          <w:rFonts w:asciiTheme="minorHAnsi" w:hAnsiTheme="minorHAnsi" w:cstheme="minorHAnsi"/>
          <w:szCs w:val="24"/>
        </w:rPr>
        <w:t>z</w:t>
      </w:r>
      <w:r w:rsidR="0066372F" w:rsidRPr="00FF28B4">
        <w:rPr>
          <w:rFonts w:asciiTheme="minorHAnsi" w:hAnsiTheme="minorHAnsi" w:cstheme="minorHAnsi"/>
          <w:szCs w:val="24"/>
        </w:rPr>
        <w:t>prostředkujícího subjektu</w:t>
      </w:r>
      <w:r w:rsidR="007B2219">
        <w:rPr>
          <w:rFonts w:asciiTheme="minorHAnsi" w:hAnsiTheme="minorHAnsi" w:cstheme="minorHAnsi"/>
          <w:szCs w:val="24"/>
        </w:rPr>
        <w:t xml:space="preserve"> – tento systém</w:t>
      </w:r>
      <w:r w:rsidRPr="00FF28B4">
        <w:rPr>
          <w:rFonts w:asciiTheme="minorHAnsi" w:hAnsiTheme="minorHAnsi" w:cstheme="minorHAnsi"/>
          <w:szCs w:val="24"/>
        </w:rPr>
        <w:t xml:space="preserve"> umožňuje zpracovávat aktuální data </w:t>
      </w:r>
      <w:r w:rsidR="0091206F">
        <w:rPr>
          <w:rFonts w:asciiTheme="minorHAnsi" w:hAnsiTheme="minorHAnsi" w:cstheme="minorHAnsi"/>
          <w:szCs w:val="24"/>
        </w:rPr>
        <w:t>v </w:t>
      </w:r>
      <w:r w:rsidRPr="00FF28B4">
        <w:rPr>
          <w:rFonts w:asciiTheme="minorHAnsi" w:hAnsiTheme="minorHAnsi" w:cstheme="minorHAnsi"/>
          <w:szCs w:val="24"/>
        </w:rPr>
        <w:t>reálném čase.</w:t>
      </w:r>
      <w:r w:rsidR="009D4923" w:rsidRPr="00FF28B4">
        <w:rPr>
          <w:rFonts w:asciiTheme="minorHAnsi" w:hAnsiTheme="minorHAnsi" w:cstheme="minorHAnsi"/>
          <w:szCs w:val="24"/>
        </w:rPr>
        <w:t xml:space="preserve"> </w:t>
      </w:r>
    </w:p>
    <w:p w:rsidR="007B0C05" w:rsidRPr="00FF28B4" w:rsidRDefault="007B0C05" w:rsidP="007B0C05">
      <w:pPr>
        <w:rPr>
          <w:rFonts w:asciiTheme="minorHAnsi" w:hAnsiTheme="minorHAnsi" w:cstheme="minorHAnsi"/>
          <w:szCs w:val="24"/>
        </w:rPr>
      </w:pPr>
    </w:p>
    <w:p w:rsidR="00611E76" w:rsidRPr="00FF28B4" w:rsidRDefault="003C0133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lastRenderedPageBreak/>
        <w:t xml:space="preserve">Kromě průběžných monitorovacích zpráv příjemce dotace byly nedílnou součástí monitoringu fyzické kontroly realizace Projektu na místě. </w:t>
      </w:r>
      <w:r w:rsidR="00F309F6" w:rsidRPr="00FF28B4">
        <w:rPr>
          <w:rFonts w:asciiTheme="minorHAnsi" w:hAnsiTheme="minorHAnsi" w:cstheme="minorHAnsi"/>
          <w:szCs w:val="24"/>
        </w:rPr>
        <w:t xml:space="preserve">O změnách </w:t>
      </w:r>
      <w:r w:rsidR="0091206F">
        <w:rPr>
          <w:rFonts w:asciiTheme="minorHAnsi" w:hAnsiTheme="minorHAnsi" w:cstheme="minorHAnsi"/>
          <w:szCs w:val="24"/>
        </w:rPr>
        <w:t>v </w:t>
      </w:r>
      <w:r w:rsidR="00F309F6" w:rsidRPr="00FF28B4">
        <w:rPr>
          <w:rFonts w:asciiTheme="minorHAnsi" w:hAnsiTheme="minorHAnsi" w:cstheme="minorHAnsi"/>
          <w:szCs w:val="24"/>
        </w:rPr>
        <w:t xml:space="preserve">průběhu realizace díla </w:t>
      </w:r>
      <w:r w:rsidR="0091206F">
        <w:rPr>
          <w:rFonts w:asciiTheme="minorHAnsi" w:hAnsiTheme="minorHAnsi" w:cstheme="minorHAnsi"/>
          <w:szCs w:val="24"/>
        </w:rPr>
        <w:t>z </w:t>
      </w:r>
      <w:r w:rsidR="009443B5" w:rsidRPr="00FF28B4">
        <w:rPr>
          <w:rFonts w:asciiTheme="minorHAnsi" w:hAnsiTheme="minorHAnsi" w:cstheme="minorHAnsi"/>
          <w:szCs w:val="24"/>
        </w:rPr>
        <w:t xml:space="preserve">finančního </w:t>
      </w:r>
      <w:r w:rsidR="00F309F6" w:rsidRPr="00FF28B4">
        <w:rPr>
          <w:rFonts w:asciiTheme="minorHAnsi" w:hAnsiTheme="minorHAnsi" w:cstheme="minorHAnsi"/>
          <w:szCs w:val="24"/>
        </w:rPr>
        <w:t xml:space="preserve">hlediska byl SFŽP informován prostřednictvím aktualizovaného finančního platebního kalendáře, který příjemce podpory </w:t>
      </w:r>
      <w:r w:rsidR="007B0C05" w:rsidRPr="00FF28B4">
        <w:rPr>
          <w:rFonts w:asciiTheme="minorHAnsi" w:hAnsiTheme="minorHAnsi" w:cstheme="minorHAnsi"/>
          <w:szCs w:val="24"/>
        </w:rPr>
        <w:t>aktualizoval</w:t>
      </w:r>
      <w:r w:rsidR="00F309F6" w:rsidRPr="00FF28B4">
        <w:rPr>
          <w:rFonts w:asciiTheme="minorHAnsi" w:hAnsiTheme="minorHAnsi" w:cstheme="minorHAnsi"/>
          <w:szCs w:val="24"/>
        </w:rPr>
        <w:t xml:space="preserve"> </w:t>
      </w:r>
      <w:r w:rsidR="00E10B1E" w:rsidRPr="00FF28B4">
        <w:rPr>
          <w:rFonts w:asciiTheme="minorHAnsi" w:hAnsiTheme="minorHAnsi" w:cstheme="minorHAnsi"/>
          <w:szCs w:val="24"/>
        </w:rPr>
        <w:t>před každým podáním ž</w:t>
      </w:r>
      <w:r w:rsidR="00FF28B4">
        <w:rPr>
          <w:rFonts w:asciiTheme="minorHAnsi" w:hAnsiTheme="minorHAnsi" w:cstheme="minorHAnsi"/>
          <w:szCs w:val="24"/>
        </w:rPr>
        <w:t>ádosti o </w:t>
      </w:r>
      <w:r w:rsidR="00E10B1E" w:rsidRPr="00FF28B4">
        <w:rPr>
          <w:rFonts w:asciiTheme="minorHAnsi" w:hAnsiTheme="minorHAnsi" w:cstheme="minorHAnsi"/>
          <w:szCs w:val="24"/>
        </w:rPr>
        <w:t xml:space="preserve">platbu, minimálně však </w:t>
      </w:r>
      <w:r w:rsidR="00F309F6" w:rsidRPr="00FF28B4">
        <w:rPr>
          <w:rFonts w:asciiTheme="minorHAnsi" w:hAnsiTheme="minorHAnsi" w:cstheme="minorHAnsi"/>
          <w:szCs w:val="24"/>
        </w:rPr>
        <w:t>1x za čtvrtletí</w:t>
      </w:r>
      <w:r w:rsidR="00E10B1E" w:rsidRPr="00FF28B4">
        <w:rPr>
          <w:rFonts w:asciiTheme="minorHAnsi" w:hAnsiTheme="minorHAnsi" w:cstheme="minorHAnsi"/>
          <w:szCs w:val="24"/>
        </w:rPr>
        <w:t>.</w:t>
      </w:r>
      <w:r w:rsidR="00F309F6" w:rsidRPr="00FF28B4">
        <w:rPr>
          <w:rFonts w:asciiTheme="minorHAnsi" w:hAnsiTheme="minorHAnsi" w:cstheme="minorHAnsi"/>
          <w:szCs w:val="24"/>
        </w:rPr>
        <w:t xml:space="preserve"> </w:t>
      </w:r>
    </w:p>
    <w:p w:rsidR="00611E76" w:rsidRPr="00FF28B4" w:rsidRDefault="00611E76" w:rsidP="00954277">
      <w:pPr>
        <w:rPr>
          <w:rFonts w:asciiTheme="minorHAnsi" w:hAnsiTheme="minorHAnsi" w:cstheme="minorHAnsi"/>
          <w:szCs w:val="24"/>
        </w:rPr>
      </w:pPr>
    </w:p>
    <w:p w:rsidR="00B61F40" w:rsidRPr="00FF28B4" w:rsidRDefault="00194C16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SFŽP </w:t>
      </w:r>
      <w:r w:rsidR="007B2219">
        <w:rPr>
          <w:rFonts w:asciiTheme="minorHAnsi" w:hAnsiTheme="minorHAnsi" w:cstheme="minorHAnsi"/>
          <w:szCs w:val="24"/>
        </w:rPr>
        <w:t>vy</w:t>
      </w:r>
      <w:r w:rsidRPr="00FF28B4">
        <w:rPr>
          <w:rFonts w:asciiTheme="minorHAnsi" w:hAnsiTheme="minorHAnsi" w:cstheme="minorHAnsi"/>
          <w:szCs w:val="24"/>
        </w:rPr>
        <w:t xml:space="preserve">pracoval analýzu rizik Projektu na rok 2012 a 2013. </w:t>
      </w:r>
      <w:r w:rsidR="0091206F">
        <w:rPr>
          <w:rFonts w:asciiTheme="minorHAnsi" w:hAnsiTheme="minorHAnsi" w:cstheme="minorHAnsi"/>
          <w:szCs w:val="24"/>
        </w:rPr>
        <w:t>V </w:t>
      </w:r>
      <w:r w:rsidRPr="00FF28B4">
        <w:rPr>
          <w:rFonts w:asciiTheme="minorHAnsi" w:hAnsiTheme="minorHAnsi" w:cstheme="minorHAnsi"/>
          <w:szCs w:val="24"/>
        </w:rPr>
        <w:t xml:space="preserve">obou letech byl Projekt hodnocen jako nerizikový. </w:t>
      </w:r>
    </w:p>
    <w:p w:rsidR="007B2219" w:rsidRDefault="007B2219" w:rsidP="00954277">
      <w:pPr>
        <w:rPr>
          <w:rFonts w:asciiTheme="minorHAnsi" w:hAnsiTheme="minorHAnsi" w:cstheme="minorHAnsi"/>
          <w:szCs w:val="24"/>
        </w:rPr>
      </w:pPr>
    </w:p>
    <w:p w:rsidR="00194C16" w:rsidRPr="00FF28B4" w:rsidRDefault="00194C16" w:rsidP="00954277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Předběžnou kontrolu </w:t>
      </w:r>
      <w:r w:rsidR="009443B5" w:rsidRPr="00FF28B4">
        <w:rPr>
          <w:rFonts w:asciiTheme="minorHAnsi" w:hAnsiTheme="minorHAnsi" w:cstheme="minorHAnsi"/>
          <w:szCs w:val="24"/>
        </w:rPr>
        <w:t xml:space="preserve">Projektu </w:t>
      </w:r>
      <w:r w:rsidR="00CA6C9F" w:rsidRPr="00FF28B4">
        <w:rPr>
          <w:rFonts w:asciiTheme="minorHAnsi" w:hAnsiTheme="minorHAnsi" w:cstheme="minorHAnsi"/>
          <w:szCs w:val="24"/>
        </w:rPr>
        <w:t xml:space="preserve">prováděl SFŽP </w:t>
      </w:r>
      <w:r w:rsidR="0091206F">
        <w:rPr>
          <w:rFonts w:asciiTheme="minorHAnsi" w:hAnsiTheme="minorHAnsi" w:cstheme="minorHAnsi"/>
          <w:szCs w:val="24"/>
        </w:rPr>
        <w:t>v </w:t>
      </w:r>
      <w:r w:rsidRPr="00FF28B4">
        <w:rPr>
          <w:rFonts w:asciiTheme="minorHAnsi" w:hAnsiTheme="minorHAnsi" w:cstheme="minorHAnsi"/>
          <w:szCs w:val="24"/>
        </w:rPr>
        <w:t>soulad</w:t>
      </w:r>
      <w:r w:rsidR="00FF28B4">
        <w:rPr>
          <w:rFonts w:asciiTheme="minorHAnsi" w:hAnsiTheme="minorHAnsi" w:cstheme="minorHAnsi"/>
          <w:szCs w:val="24"/>
        </w:rPr>
        <w:t xml:space="preserve">u </w:t>
      </w:r>
      <w:r w:rsidR="0091206F">
        <w:rPr>
          <w:rFonts w:asciiTheme="minorHAnsi" w:hAnsiTheme="minorHAnsi" w:cstheme="minorHAnsi"/>
          <w:szCs w:val="24"/>
        </w:rPr>
        <w:t>s </w:t>
      </w:r>
      <w:r w:rsidR="007B2219">
        <w:rPr>
          <w:rFonts w:asciiTheme="minorHAnsi" w:hAnsiTheme="minorHAnsi" w:cstheme="minorHAnsi"/>
          <w:szCs w:val="24"/>
        </w:rPr>
        <w:t>i</w:t>
      </w:r>
      <w:r w:rsidR="00FF28B4">
        <w:rPr>
          <w:rFonts w:asciiTheme="minorHAnsi" w:hAnsiTheme="minorHAnsi" w:cstheme="minorHAnsi"/>
          <w:szCs w:val="24"/>
        </w:rPr>
        <w:t>mplementačním dokumentem a </w:t>
      </w:r>
      <w:r w:rsidR="00CA6C9F" w:rsidRPr="00FF28B4">
        <w:rPr>
          <w:rFonts w:asciiTheme="minorHAnsi" w:hAnsiTheme="minorHAnsi" w:cstheme="minorHAnsi"/>
          <w:szCs w:val="24"/>
        </w:rPr>
        <w:t>d</w:t>
      </w:r>
      <w:r w:rsidRPr="00FF28B4">
        <w:rPr>
          <w:rFonts w:asciiTheme="minorHAnsi" w:hAnsiTheme="minorHAnsi" w:cstheme="minorHAnsi"/>
          <w:szCs w:val="24"/>
        </w:rPr>
        <w:t xml:space="preserve">elegační dohodou ve spolupráci </w:t>
      </w:r>
      <w:r w:rsidR="0091206F">
        <w:rPr>
          <w:rFonts w:asciiTheme="minorHAnsi" w:hAnsiTheme="minorHAnsi" w:cstheme="minorHAnsi"/>
          <w:szCs w:val="24"/>
        </w:rPr>
        <w:t>s </w:t>
      </w:r>
      <w:r w:rsidRPr="00FF28B4">
        <w:rPr>
          <w:rFonts w:asciiTheme="minorHAnsi" w:hAnsiTheme="minorHAnsi" w:cstheme="minorHAnsi"/>
          <w:szCs w:val="24"/>
        </w:rPr>
        <w:t xml:space="preserve">AOPK. AOPK provedla administrativní kontrolu úplnosti žádosti o podporu a kontrolu obecné a specifické přijatelnosti Projektu. SFŽP </w:t>
      </w:r>
      <w:r w:rsidR="007B2219" w:rsidRPr="00FF28B4">
        <w:rPr>
          <w:rFonts w:asciiTheme="minorHAnsi" w:hAnsiTheme="minorHAnsi" w:cstheme="minorHAnsi"/>
          <w:szCs w:val="24"/>
        </w:rPr>
        <w:t>ověř</w:t>
      </w:r>
      <w:r w:rsidR="007B2219">
        <w:rPr>
          <w:rFonts w:asciiTheme="minorHAnsi" w:hAnsiTheme="minorHAnsi" w:cstheme="minorHAnsi"/>
          <w:szCs w:val="24"/>
        </w:rPr>
        <w:t>il</w:t>
      </w:r>
      <w:r w:rsidR="007B2219" w:rsidRPr="00FF28B4">
        <w:rPr>
          <w:rFonts w:asciiTheme="minorHAnsi" w:hAnsiTheme="minorHAnsi" w:cstheme="minorHAnsi"/>
          <w:szCs w:val="24"/>
        </w:rPr>
        <w:t xml:space="preserve"> </w:t>
      </w:r>
      <w:r w:rsidR="00C64C1C" w:rsidRPr="00FF28B4">
        <w:rPr>
          <w:rFonts w:asciiTheme="minorHAnsi" w:hAnsiTheme="minorHAnsi" w:cstheme="minorHAnsi"/>
          <w:szCs w:val="24"/>
        </w:rPr>
        <w:t>výsledk</w:t>
      </w:r>
      <w:r w:rsidR="007B2219">
        <w:rPr>
          <w:rFonts w:asciiTheme="minorHAnsi" w:hAnsiTheme="minorHAnsi" w:cstheme="minorHAnsi"/>
          <w:szCs w:val="24"/>
        </w:rPr>
        <w:t>y</w:t>
      </w:r>
      <w:r w:rsidRPr="00FF28B4">
        <w:rPr>
          <w:rFonts w:asciiTheme="minorHAnsi" w:hAnsiTheme="minorHAnsi" w:cstheme="minorHAnsi"/>
          <w:szCs w:val="24"/>
        </w:rPr>
        <w:t xml:space="preserve"> </w:t>
      </w:r>
      <w:r w:rsidR="008B596C" w:rsidRPr="00FF28B4">
        <w:rPr>
          <w:rFonts w:asciiTheme="minorHAnsi" w:hAnsiTheme="minorHAnsi" w:cstheme="minorHAnsi"/>
          <w:szCs w:val="24"/>
        </w:rPr>
        <w:t xml:space="preserve">kontrol AOPK </w:t>
      </w:r>
      <w:r w:rsidRPr="00FF28B4">
        <w:rPr>
          <w:rFonts w:asciiTheme="minorHAnsi" w:hAnsiTheme="minorHAnsi" w:cstheme="minorHAnsi"/>
          <w:szCs w:val="24"/>
        </w:rPr>
        <w:t xml:space="preserve">a </w:t>
      </w:r>
      <w:r w:rsidR="007B2219">
        <w:rPr>
          <w:rFonts w:asciiTheme="minorHAnsi" w:hAnsiTheme="minorHAnsi" w:cstheme="minorHAnsi"/>
          <w:szCs w:val="24"/>
        </w:rPr>
        <w:t xml:space="preserve">provedl </w:t>
      </w:r>
      <w:r w:rsidRPr="00FF28B4">
        <w:rPr>
          <w:rFonts w:asciiTheme="minorHAnsi" w:hAnsiTheme="minorHAnsi" w:cstheme="minorHAnsi"/>
          <w:szCs w:val="24"/>
        </w:rPr>
        <w:t>administrativní kontrolu zadá</w:t>
      </w:r>
      <w:r w:rsidR="007B2219">
        <w:rPr>
          <w:rFonts w:asciiTheme="minorHAnsi" w:hAnsiTheme="minorHAnsi" w:cstheme="minorHAnsi"/>
          <w:szCs w:val="24"/>
        </w:rPr>
        <w:t>vá</w:t>
      </w:r>
      <w:r w:rsidRPr="00FF28B4">
        <w:rPr>
          <w:rFonts w:asciiTheme="minorHAnsi" w:hAnsiTheme="minorHAnsi" w:cstheme="minorHAnsi"/>
          <w:szCs w:val="24"/>
        </w:rPr>
        <w:t xml:space="preserve">ní veřejných zakázek. Kontrola veřejných zakázek proběhla ve dvou fázích. </w:t>
      </w:r>
      <w:r w:rsidR="0091206F">
        <w:rPr>
          <w:rFonts w:asciiTheme="minorHAnsi" w:hAnsiTheme="minorHAnsi" w:cstheme="minorHAnsi"/>
          <w:szCs w:val="24"/>
        </w:rPr>
        <w:t>V </w:t>
      </w:r>
      <w:r w:rsidRPr="00FF28B4">
        <w:rPr>
          <w:rFonts w:asciiTheme="minorHAnsi" w:hAnsiTheme="minorHAnsi" w:cstheme="minorHAnsi"/>
          <w:szCs w:val="24"/>
        </w:rPr>
        <w:t>první fáz</w:t>
      </w:r>
      <w:r w:rsidR="00FF28B4">
        <w:rPr>
          <w:rFonts w:asciiTheme="minorHAnsi" w:hAnsiTheme="minorHAnsi" w:cstheme="minorHAnsi"/>
          <w:szCs w:val="24"/>
        </w:rPr>
        <w:t>i projektový manažer prověřil a </w:t>
      </w:r>
      <w:r w:rsidRPr="00FF28B4">
        <w:rPr>
          <w:rFonts w:asciiTheme="minorHAnsi" w:hAnsiTheme="minorHAnsi" w:cstheme="minorHAnsi"/>
          <w:szCs w:val="24"/>
        </w:rPr>
        <w:t>schválil oznámení o zakázce a zadávací dokumentaci. Ve druhé fázi provedl kontrolu zadá</w:t>
      </w:r>
      <w:r w:rsidR="007B2219">
        <w:rPr>
          <w:rFonts w:asciiTheme="minorHAnsi" w:hAnsiTheme="minorHAnsi" w:cstheme="minorHAnsi"/>
          <w:szCs w:val="24"/>
        </w:rPr>
        <w:t>vá</w:t>
      </w:r>
      <w:r w:rsidRPr="00FF28B4">
        <w:rPr>
          <w:rFonts w:asciiTheme="minorHAnsi" w:hAnsiTheme="minorHAnsi" w:cstheme="minorHAnsi"/>
          <w:szCs w:val="24"/>
        </w:rPr>
        <w:t>ní veřejných zakázek.</w:t>
      </w:r>
    </w:p>
    <w:p w:rsidR="007B2219" w:rsidRDefault="007B2219" w:rsidP="00954277">
      <w:pPr>
        <w:rPr>
          <w:rFonts w:asciiTheme="minorHAnsi" w:hAnsiTheme="minorHAnsi" w:cstheme="minorHAnsi"/>
          <w:szCs w:val="24"/>
        </w:rPr>
      </w:pPr>
    </w:p>
    <w:p w:rsidR="00194C16" w:rsidRDefault="0091206F" w:rsidP="0095427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 </w:t>
      </w:r>
      <w:r w:rsidR="00194C16" w:rsidRPr="00FF28B4">
        <w:rPr>
          <w:rFonts w:asciiTheme="minorHAnsi" w:hAnsiTheme="minorHAnsi" w:cstheme="minorHAnsi"/>
          <w:szCs w:val="24"/>
        </w:rPr>
        <w:t xml:space="preserve">rámci průběžné kontroly </w:t>
      </w:r>
      <w:r w:rsidR="009443B5" w:rsidRPr="00FF28B4">
        <w:rPr>
          <w:rFonts w:asciiTheme="minorHAnsi" w:hAnsiTheme="minorHAnsi" w:cstheme="minorHAnsi"/>
          <w:szCs w:val="24"/>
        </w:rPr>
        <w:t xml:space="preserve">Projektu </w:t>
      </w:r>
      <w:r w:rsidR="00AE481D" w:rsidRPr="00FF28B4">
        <w:rPr>
          <w:rFonts w:asciiTheme="minorHAnsi" w:hAnsiTheme="minorHAnsi" w:cstheme="minorHAnsi"/>
          <w:szCs w:val="24"/>
        </w:rPr>
        <w:t>prováděl</w:t>
      </w:r>
      <w:r w:rsidR="00194C16" w:rsidRPr="00FF28B4">
        <w:rPr>
          <w:rFonts w:asciiTheme="minorHAnsi" w:hAnsiTheme="minorHAnsi" w:cstheme="minorHAnsi"/>
          <w:szCs w:val="24"/>
        </w:rPr>
        <w:t xml:space="preserve"> projektový </w:t>
      </w:r>
      <w:r w:rsidR="00AE481D" w:rsidRPr="00FF28B4">
        <w:rPr>
          <w:rFonts w:asciiTheme="minorHAnsi" w:hAnsiTheme="minorHAnsi" w:cstheme="minorHAnsi"/>
          <w:szCs w:val="24"/>
        </w:rPr>
        <w:t xml:space="preserve">manažer věcnou a formální kontrolu a finanční manažer formální a finanční kontrolu žádostí o platbu. </w:t>
      </w:r>
      <w:r w:rsidR="00430AD0" w:rsidRPr="00FF28B4">
        <w:rPr>
          <w:rFonts w:asciiTheme="minorHAnsi" w:hAnsiTheme="minorHAnsi" w:cstheme="minorHAnsi"/>
          <w:szCs w:val="24"/>
        </w:rPr>
        <w:t>Součástí průběžné kontroly bylo</w:t>
      </w:r>
      <w:r w:rsidR="00194C16" w:rsidRPr="00FF28B4">
        <w:rPr>
          <w:rFonts w:asciiTheme="minorHAnsi" w:hAnsiTheme="minorHAnsi" w:cstheme="minorHAnsi"/>
          <w:szCs w:val="24"/>
        </w:rPr>
        <w:t xml:space="preserve"> 20 kontrol fyzické realizace Projektu na místě. </w:t>
      </w:r>
      <w:r w:rsidR="00B61F40" w:rsidRPr="00FF28B4">
        <w:rPr>
          <w:rFonts w:asciiTheme="minorHAnsi" w:hAnsiTheme="minorHAnsi" w:cstheme="minorHAnsi"/>
          <w:szCs w:val="24"/>
        </w:rPr>
        <w:t>Věcná a formální kontrola faktur a vyčíslení nezpůsobilých výdajů a víceprací byl</w:t>
      </w:r>
      <w:r w:rsidR="007B2219">
        <w:rPr>
          <w:rFonts w:asciiTheme="minorHAnsi" w:hAnsiTheme="minorHAnsi" w:cstheme="minorHAnsi"/>
          <w:szCs w:val="24"/>
        </w:rPr>
        <w:t>y</w:t>
      </w:r>
      <w:r w:rsidR="00B61F40" w:rsidRPr="00FF28B4">
        <w:rPr>
          <w:rFonts w:asciiTheme="minorHAnsi" w:hAnsiTheme="minorHAnsi" w:cstheme="minorHAnsi"/>
          <w:szCs w:val="24"/>
        </w:rPr>
        <w:t xml:space="preserve"> proveden</w:t>
      </w:r>
      <w:r w:rsidR="007B2219">
        <w:rPr>
          <w:rFonts w:asciiTheme="minorHAnsi" w:hAnsiTheme="minorHAnsi" w:cstheme="minorHAnsi"/>
          <w:szCs w:val="24"/>
        </w:rPr>
        <w:t>y</w:t>
      </w:r>
      <w:r w:rsidR="00B61F40" w:rsidRPr="00FF28B4">
        <w:rPr>
          <w:rFonts w:asciiTheme="minorHAnsi" w:hAnsiTheme="minorHAnsi" w:cstheme="minorHAnsi"/>
          <w:szCs w:val="24"/>
        </w:rPr>
        <w:t xml:space="preserve"> formou </w:t>
      </w:r>
      <w:r w:rsidR="00AE481D" w:rsidRPr="000F3025">
        <w:rPr>
          <w:rFonts w:asciiTheme="minorHAnsi" w:hAnsiTheme="minorHAnsi" w:cstheme="minorHAnsi"/>
          <w:szCs w:val="24"/>
        </w:rPr>
        <w:t>„</w:t>
      </w:r>
      <w:r w:rsidR="00B61F40" w:rsidRPr="00FF28B4">
        <w:rPr>
          <w:rFonts w:asciiTheme="minorHAnsi" w:hAnsiTheme="minorHAnsi" w:cstheme="minorHAnsi"/>
          <w:i/>
          <w:szCs w:val="24"/>
        </w:rPr>
        <w:t>křížové kontroly</w:t>
      </w:r>
      <w:r w:rsidR="00AE481D" w:rsidRPr="000F3025">
        <w:rPr>
          <w:rFonts w:asciiTheme="minorHAnsi" w:hAnsiTheme="minorHAnsi" w:cstheme="minorHAnsi"/>
          <w:szCs w:val="24"/>
        </w:rPr>
        <w:t>“</w:t>
      </w:r>
      <w:r w:rsidR="00FF28B4" w:rsidRPr="003148F4">
        <w:rPr>
          <w:rFonts w:asciiTheme="minorHAnsi" w:hAnsiTheme="minorHAnsi" w:cstheme="minorHAnsi"/>
          <w:szCs w:val="24"/>
        </w:rPr>
        <w:t xml:space="preserve">, </w:t>
      </w:r>
      <w:r w:rsidR="00FF28B4">
        <w:rPr>
          <w:rFonts w:asciiTheme="minorHAnsi" w:hAnsiTheme="minorHAnsi" w:cstheme="minorHAnsi"/>
          <w:szCs w:val="24"/>
        </w:rPr>
        <w:t>tj. </w:t>
      </w:r>
      <w:r w:rsidR="00B61F40" w:rsidRPr="00FF28B4">
        <w:rPr>
          <w:rFonts w:asciiTheme="minorHAnsi" w:hAnsiTheme="minorHAnsi" w:cstheme="minorHAnsi"/>
          <w:szCs w:val="24"/>
        </w:rPr>
        <w:t xml:space="preserve">dvěma projektovými manažery. </w:t>
      </w:r>
    </w:p>
    <w:p w:rsidR="003148F4" w:rsidRPr="00FF28B4" w:rsidRDefault="003148F4" w:rsidP="00954277">
      <w:pPr>
        <w:rPr>
          <w:rFonts w:asciiTheme="minorHAnsi" w:hAnsiTheme="minorHAnsi" w:cstheme="minorHAnsi"/>
          <w:szCs w:val="24"/>
        </w:rPr>
      </w:pPr>
    </w:p>
    <w:p w:rsidR="004B5E73" w:rsidRPr="00FF28B4" w:rsidRDefault="00194C16" w:rsidP="009E2EFC">
      <w:pPr>
        <w:rPr>
          <w:rFonts w:asciiTheme="minorHAnsi" w:hAnsiTheme="minorHAnsi" w:cstheme="minorHAnsi"/>
          <w:szCs w:val="24"/>
        </w:rPr>
      </w:pPr>
      <w:r w:rsidRPr="00FF28B4">
        <w:rPr>
          <w:rFonts w:asciiTheme="minorHAnsi" w:hAnsiTheme="minorHAnsi" w:cstheme="minorHAnsi"/>
          <w:szCs w:val="24"/>
        </w:rPr>
        <w:t xml:space="preserve">Následná kontrola </w:t>
      </w:r>
      <w:r w:rsidR="009443B5" w:rsidRPr="00FF28B4">
        <w:rPr>
          <w:rFonts w:asciiTheme="minorHAnsi" w:hAnsiTheme="minorHAnsi" w:cstheme="minorHAnsi"/>
          <w:szCs w:val="24"/>
        </w:rPr>
        <w:t xml:space="preserve">Projektu </w:t>
      </w:r>
      <w:r w:rsidR="004B5E73" w:rsidRPr="00FF28B4">
        <w:rPr>
          <w:rFonts w:asciiTheme="minorHAnsi" w:hAnsiTheme="minorHAnsi" w:cstheme="minorHAnsi"/>
          <w:szCs w:val="24"/>
        </w:rPr>
        <w:t xml:space="preserve">dosud </w:t>
      </w:r>
      <w:r w:rsidRPr="00FF28B4">
        <w:rPr>
          <w:rFonts w:asciiTheme="minorHAnsi" w:hAnsiTheme="minorHAnsi" w:cstheme="minorHAnsi"/>
          <w:szCs w:val="24"/>
        </w:rPr>
        <w:t>nebyla provedena. Termín pro předložení dokumentace k</w:t>
      </w:r>
      <w:r w:rsidR="009443B5" w:rsidRPr="00FF28B4">
        <w:rPr>
          <w:rFonts w:asciiTheme="minorHAnsi" w:hAnsiTheme="minorHAnsi" w:cstheme="minorHAnsi"/>
          <w:szCs w:val="24"/>
        </w:rPr>
        <w:t> </w:t>
      </w:r>
      <w:r w:rsidRPr="00FF28B4">
        <w:rPr>
          <w:rFonts w:asciiTheme="minorHAnsi" w:hAnsiTheme="minorHAnsi" w:cstheme="minorHAnsi"/>
          <w:szCs w:val="24"/>
        </w:rPr>
        <w:t xml:space="preserve">závěrečnému vyhodnocení </w:t>
      </w:r>
      <w:proofErr w:type="gramStart"/>
      <w:r w:rsidRPr="00FF28B4">
        <w:rPr>
          <w:rFonts w:asciiTheme="minorHAnsi" w:hAnsiTheme="minorHAnsi" w:cstheme="minorHAnsi"/>
          <w:szCs w:val="24"/>
        </w:rPr>
        <w:t>je</w:t>
      </w:r>
      <w:proofErr w:type="gramEnd"/>
      <w:r w:rsidRPr="00FF28B4">
        <w:rPr>
          <w:rFonts w:asciiTheme="minorHAnsi" w:hAnsiTheme="minorHAnsi" w:cstheme="minorHAnsi"/>
          <w:szCs w:val="24"/>
        </w:rPr>
        <w:t xml:space="preserve"> </w:t>
      </w:r>
      <w:r w:rsidR="0091206F">
        <w:rPr>
          <w:rFonts w:asciiTheme="minorHAnsi" w:hAnsiTheme="minorHAnsi" w:cstheme="minorHAnsi"/>
          <w:szCs w:val="24"/>
        </w:rPr>
        <w:t>v </w:t>
      </w:r>
      <w:r w:rsidR="003148F4" w:rsidRPr="000F3025">
        <w:rPr>
          <w:rFonts w:asciiTheme="minorHAnsi" w:hAnsiTheme="minorHAnsi" w:cstheme="minorHAnsi"/>
          <w:i/>
          <w:szCs w:val="24"/>
        </w:rPr>
        <w:t>r</w:t>
      </w:r>
      <w:r w:rsidRPr="000F3025">
        <w:rPr>
          <w:rFonts w:asciiTheme="minorHAnsi" w:hAnsiTheme="minorHAnsi" w:cstheme="minorHAnsi"/>
          <w:i/>
          <w:szCs w:val="24"/>
        </w:rPr>
        <w:t>ozhodnutí o poskytnutí dotace</w:t>
      </w:r>
      <w:r w:rsidRPr="00FF28B4">
        <w:rPr>
          <w:rFonts w:asciiTheme="minorHAnsi" w:hAnsiTheme="minorHAnsi" w:cstheme="minorHAnsi"/>
          <w:szCs w:val="24"/>
        </w:rPr>
        <w:t xml:space="preserve"> stanoven do 30. 11. 2015. </w:t>
      </w:r>
      <w:r w:rsidR="00B61F40" w:rsidRPr="00FF28B4">
        <w:rPr>
          <w:rFonts w:asciiTheme="minorHAnsi" w:hAnsiTheme="minorHAnsi" w:cstheme="minorHAnsi"/>
          <w:szCs w:val="24"/>
        </w:rPr>
        <w:t xml:space="preserve">SFŽP rovněž </w:t>
      </w:r>
      <w:proofErr w:type="gramStart"/>
      <w:r w:rsidRPr="00FF28B4">
        <w:rPr>
          <w:rFonts w:asciiTheme="minorHAnsi" w:hAnsiTheme="minorHAnsi" w:cstheme="minorHAnsi"/>
          <w:szCs w:val="24"/>
        </w:rPr>
        <w:t>provedl</w:t>
      </w:r>
      <w:proofErr w:type="gramEnd"/>
      <w:r w:rsidRPr="00FF28B4">
        <w:rPr>
          <w:rFonts w:asciiTheme="minorHAnsi" w:hAnsiTheme="minorHAnsi" w:cstheme="minorHAnsi"/>
          <w:szCs w:val="24"/>
        </w:rPr>
        <w:t xml:space="preserve"> veřejnosprávní kontrolu Projektu. Předmětem </w:t>
      </w:r>
      <w:r w:rsidR="003148F4">
        <w:rPr>
          <w:rFonts w:asciiTheme="minorHAnsi" w:hAnsiTheme="minorHAnsi" w:cstheme="minorHAnsi"/>
          <w:szCs w:val="24"/>
        </w:rPr>
        <w:t xml:space="preserve">této </w:t>
      </w:r>
      <w:r w:rsidRPr="00FF28B4">
        <w:rPr>
          <w:rFonts w:asciiTheme="minorHAnsi" w:hAnsiTheme="minorHAnsi" w:cstheme="minorHAnsi"/>
          <w:szCs w:val="24"/>
        </w:rPr>
        <w:t>kontroly byl</w:t>
      </w:r>
      <w:r w:rsidR="003148F4">
        <w:rPr>
          <w:rFonts w:asciiTheme="minorHAnsi" w:hAnsiTheme="minorHAnsi" w:cstheme="minorHAnsi"/>
          <w:szCs w:val="24"/>
        </w:rPr>
        <w:t>y</w:t>
      </w:r>
      <w:r w:rsidRPr="00FF28B4">
        <w:rPr>
          <w:rFonts w:asciiTheme="minorHAnsi" w:hAnsiTheme="minorHAnsi" w:cstheme="minorHAnsi"/>
          <w:szCs w:val="24"/>
        </w:rPr>
        <w:t xml:space="preserve"> </w:t>
      </w:r>
      <w:r w:rsidR="00122733" w:rsidRPr="00FF28B4">
        <w:rPr>
          <w:rFonts w:asciiTheme="minorHAnsi" w:hAnsiTheme="minorHAnsi" w:cstheme="minorHAnsi"/>
          <w:szCs w:val="24"/>
        </w:rPr>
        <w:t>h</w:t>
      </w:r>
      <w:r w:rsidRPr="00FF28B4">
        <w:rPr>
          <w:rFonts w:asciiTheme="minorHAnsi" w:hAnsiTheme="minorHAnsi" w:cstheme="minorHAnsi"/>
          <w:szCs w:val="24"/>
        </w:rPr>
        <w:t xml:space="preserve">ospodárnost, efektivnost a účelnost využití finančních prostředků </w:t>
      </w:r>
      <w:r w:rsidR="00122733" w:rsidRPr="00FF28B4">
        <w:rPr>
          <w:rFonts w:asciiTheme="minorHAnsi" w:hAnsiTheme="minorHAnsi" w:cstheme="minorHAnsi"/>
          <w:szCs w:val="24"/>
        </w:rPr>
        <w:t xml:space="preserve">vynaložených na realizaci Projektu. </w:t>
      </w:r>
      <w:r w:rsidRPr="00FF28B4">
        <w:rPr>
          <w:rFonts w:asciiTheme="minorHAnsi" w:hAnsiTheme="minorHAnsi" w:cstheme="minorHAnsi"/>
          <w:szCs w:val="24"/>
        </w:rPr>
        <w:t>Kontrolováno bylo období od 16.</w:t>
      </w:r>
      <w:r w:rsidR="009443B5" w:rsidRPr="00FF28B4">
        <w:rPr>
          <w:rFonts w:asciiTheme="minorHAnsi" w:hAnsiTheme="minorHAnsi" w:cstheme="minorHAnsi"/>
          <w:szCs w:val="24"/>
        </w:rPr>
        <w:t> </w:t>
      </w:r>
      <w:r w:rsidRPr="00FF28B4">
        <w:rPr>
          <w:rFonts w:asciiTheme="minorHAnsi" w:hAnsiTheme="minorHAnsi" w:cstheme="minorHAnsi"/>
          <w:szCs w:val="24"/>
        </w:rPr>
        <w:t>2.</w:t>
      </w:r>
      <w:r w:rsidR="009443B5" w:rsidRPr="00FF28B4">
        <w:rPr>
          <w:rFonts w:asciiTheme="minorHAnsi" w:hAnsiTheme="minorHAnsi" w:cstheme="minorHAnsi"/>
          <w:szCs w:val="24"/>
        </w:rPr>
        <w:t> </w:t>
      </w:r>
      <w:r w:rsidRPr="00FF28B4">
        <w:rPr>
          <w:rFonts w:asciiTheme="minorHAnsi" w:hAnsiTheme="minorHAnsi" w:cstheme="minorHAnsi"/>
          <w:szCs w:val="24"/>
        </w:rPr>
        <w:t>2</w:t>
      </w:r>
      <w:r w:rsidR="00572EFC" w:rsidRPr="00FF28B4">
        <w:rPr>
          <w:rFonts w:asciiTheme="minorHAnsi" w:hAnsiTheme="minorHAnsi" w:cstheme="minorHAnsi"/>
          <w:szCs w:val="24"/>
        </w:rPr>
        <w:t xml:space="preserve">009 </w:t>
      </w:r>
      <w:r w:rsidR="00770EBA" w:rsidRPr="00FF28B4">
        <w:rPr>
          <w:rFonts w:asciiTheme="minorHAnsi" w:hAnsiTheme="minorHAnsi" w:cstheme="minorHAnsi"/>
          <w:szCs w:val="24"/>
        </w:rPr>
        <w:t>do</w:t>
      </w:r>
      <w:r w:rsidR="00572EFC" w:rsidRPr="00FF28B4">
        <w:rPr>
          <w:rFonts w:asciiTheme="minorHAnsi" w:hAnsiTheme="minorHAnsi" w:cstheme="minorHAnsi"/>
          <w:szCs w:val="24"/>
        </w:rPr>
        <w:t xml:space="preserve"> 9. 1. 2013. SFŽP kontrolou </w:t>
      </w:r>
      <w:r w:rsidR="00BD3D19" w:rsidRPr="00FF28B4">
        <w:rPr>
          <w:rFonts w:asciiTheme="minorHAnsi" w:hAnsiTheme="minorHAnsi" w:cstheme="minorHAnsi"/>
          <w:szCs w:val="24"/>
        </w:rPr>
        <w:t>nezjistil</w:t>
      </w:r>
      <w:r w:rsidR="00572EFC" w:rsidRPr="00FF28B4">
        <w:rPr>
          <w:rFonts w:asciiTheme="minorHAnsi" w:hAnsiTheme="minorHAnsi" w:cstheme="minorHAnsi"/>
          <w:szCs w:val="24"/>
        </w:rPr>
        <w:t xml:space="preserve"> závady</w:t>
      </w:r>
      <w:r w:rsidR="009E2EFC" w:rsidRPr="00FF28B4">
        <w:rPr>
          <w:rFonts w:asciiTheme="minorHAnsi" w:hAnsiTheme="minorHAnsi" w:cstheme="minorHAnsi"/>
          <w:szCs w:val="24"/>
        </w:rPr>
        <w:t>.</w:t>
      </w:r>
    </w:p>
    <w:p w:rsidR="00CD26AD" w:rsidRPr="00AE481D" w:rsidRDefault="00CD26AD" w:rsidP="00954277">
      <w:pPr>
        <w:rPr>
          <w:rFonts w:ascii="Arial" w:hAnsi="Arial" w:cs="Arial"/>
          <w:sz w:val="22"/>
        </w:rPr>
      </w:pPr>
    </w:p>
    <w:p w:rsidR="00BD314C" w:rsidRPr="00F74798" w:rsidRDefault="00855CC6" w:rsidP="00954277">
      <w:pPr>
        <w:rPr>
          <w:rFonts w:asciiTheme="minorHAnsi" w:hAnsiTheme="minorHAnsi" w:cstheme="minorHAnsi"/>
          <w:b/>
          <w:szCs w:val="24"/>
        </w:rPr>
      </w:pPr>
      <w:r w:rsidRPr="00F74798">
        <w:rPr>
          <w:rFonts w:asciiTheme="minorHAnsi" w:hAnsiTheme="minorHAnsi" w:cstheme="minorHAnsi"/>
          <w:b/>
          <w:szCs w:val="24"/>
        </w:rPr>
        <w:t xml:space="preserve">2. </w:t>
      </w:r>
      <w:r w:rsidR="00394B55">
        <w:rPr>
          <w:rFonts w:asciiTheme="minorHAnsi" w:hAnsiTheme="minorHAnsi" w:cstheme="minorHAnsi"/>
          <w:b/>
          <w:szCs w:val="24"/>
        </w:rPr>
        <w:t>M</w:t>
      </w:r>
      <w:r w:rsidRPr="00F74798">
        <w:rPr>
          <w:rFonts w:asciiTheme="minorHAnsi" w:hAnsiTheme="minorHAnsi" w:cstheme="minorHAnsi"/>
          <w:b/>
          <w:szCs w:val="24"/>
        </w:rPr>
        <w:t xml:space="preserve">ěsto Tábor – příjemce dotace </w:t>
      </w:r>
    </w:p>
    <w:p w:rsidR="00E16DF0" w:rsidRPr="00F74798" w:rsidRDefault="00E16DF0" w:rsidP="00954277">
      <w:pPr>
        <w:rPr>
          <w:rFonts w:asciiTheme="minorHAnsi" w:hAnsiTheme="minorHAnsi" w:cstheme="minorHAnsi"/>
          <w:szCs w:val="24"/>
        </w:rPr>
      </w:pPr>
    </w:p>
    <w:p w:rsidR="00611E76" w:rsidRPr="00F74798" w:rsidRDefault="00D13352" w:rsidP="00954277">
      <w:pPr>
        <w:rPr>
          <w:rFonts w:asciiTheme="minorHAnsi" w:hAnsiTheme="minorHAnsi" w:cstheme="minorHAnsi"/>
          <w:szCs w:val="24"/>
        </w:rPr>
      </w:pPr>
      <w:r w:rsidRPr="00F74798">
        <w:rPr>
          <w:rFonts w:asciiTheme="minorHAnsi" w:hAnsiTheme="minorHAnsi" w:cstheme="minorHAnsi"/>
          <w:szCs w:val="24"/>
        </w:rPr>
        <w:t xml:space="preserve">Kontrole byla podrobena věcná a finanční stránka realizace Projektu, zadávací řízení, účetnictví a plnění povinné publicity. </w:t>
      </w:r>
    </w:p>
    <w:p w:rsidR="003148F4" w:rsidRDefault="003148F4" w:rsidP="00954277">
      <w:pPr>
        <w:rPr>
          <w:rFonts w:asciiTheme="minorHAnsi" w:hAnsiTheme="minorHAnsi" w:cstheme="minorHAnsi"/>
          <w:szCs w:val="24"/>
        </w:rPr>
      </w:pPr>
    </w:p>
    <w:p w:rsidR="00611E76" w:rsidRPr="00F74798" w:rsidRDefault="00240F27" w:rsidP="00954277">
      <w:pPr>
        <w:rPr>
          <w:rFonts w:asciiTheme="minorHAnsi" w:hAnsiTheme="minorHAnsi" w:cstheme="minorHAnsi"/>
          <w:szCs w:val="24"/>
        </w:rPr>
      </w:pPr>
      <w:r w:rsidRPr="00F74798">
        <w:rPr>
          <w:rFonts w:asciiTheme="minorHAnsi" w:hAnsiTheme="minorHAnsi" w:cstheme="minorHAnsi"/>
          <w:szCs w:val="24"/>
        </w:rPr>
        <w:t xml:space="preserve">Předmětem Projektu bylo vybudování spodní výpusti vodní nádrže Jordán </w:t>
      </w:r>
      <w:r w:rsidR="00CA0AF9" w:rsidRPr="00F74798">
        <w:rPr>
          <w:rFonts w:asciiTheme="minorHAnsi" w:hAnsiTheme="minorHAnsi" w:cstheme="minorHAnsi"/>
          <w:szCs w:val="24"/>
        </w:rPr>
        <w:t>v</w:t>
      </w:r>
      <w:r w:rsidR="00C30B82" w:rsidRPr="00F74798">
        <w:rPr>
          <w:rFonts w:asciiTheme="minorHAnsi" w:hAnsiTheme="minorHAnsi" w:cstheme="minorHAnsi"/>
          <w:szCs w:val="24"/>
        </w:rPr>
        <w:t> </w:t>
      </w:r>
      <w:r w:rsidR="00CA0AF9" w:rsidRPr="00F74798">
        <w:rPr>
          <w:rFonts w:asciiTheme="minorHAnsi" w:hAnsiTheme="minorHAnsi" w:cstheme="minorHAnsi"/>
          <w:szCs w:val="24"/>
        </w:rPr>
        <w:t>T</w:t>
      </w:r>
      <w:r w:rsidR="00C30B82" w:rsidRPr="00F74798">
        <w:rPr>
          <w:rFonts w:asciiTheme="minorHAnsi" w:hAnsiTheme="minorHAnsi" w:cstheme="minorHAnsi"/>
          <w:szCs w:val="24"/>
        </w:rPr>
        <w:t>áboře a</w:t>
      </w:r>
      <w:r w:rsidR="003148F4">
        <w:rPr>
          <w:rFonts w:asciiTheme="minorHAnsi" w:hAnsiTheme="minorHAnsi" w:cstheme="minorHAnsi"/>
          <w:szCs w:val="24"/>
        </w:rPr>
        <w:t> </w:t>
      </w:r>
      <w:r w:rsidRPr="00F74798">
        <w:rPr>
          <w:rFonts w:asciiTheme="minorHAnsi" w:hAnsiTheme="minorHAnsi" w:cstheme="minorHAnsi"/>
          <w:szCs w:val="24"/>
        </w:rPr>
        <w:t>odbahnění</w:t>
      </w:r>
      <w:r w:rsidR="003148F4">
        <w:rPr>
          <w:rFonts w:asciiTheme="minorHAnsi" w:hAnsiTheme="minorHAnsi" w:cstheme="minorHAnsi"/>
          <w:szCs w:val="24"/>
        </w:rPr>
        <w:t xml:space="preserve"> </w:t>
      </w:r>
      <w:r w:rsidR="003148F4" w:rsidRPr="00F74798">
        <w:rPr>
          <w:rFonts w:asciiTheme="minorHAnsi" w:hAnsiTheme="minorHAnsi" w:cstheme="minorHAnsi"/>
          <w:szCs w:val="24"/>
        </w:rPr>
        <w:t>nádrže</w:t>
      </w:r>
      <w:r w:rsidRPr="00F74798">
        <w:rPr>
          <w:rFonts w:asciiTheme="minorHAnsi" w:hAnsiTheme="minorHAnsi" w:cstheme="minorHAnsi"/>
          <w:szCs w:val="24"/>
        </w:rPr>
        <w:t xml:space="preserve">. </w:t>
      </w:r>
      <w:r w:rsidR="003148F4">
        <w:rPr>
          <w:rFonts w:asciiTheme="minorHAnsi" w:hAnsiTheme="minorHAnsi" w:cstheme="minorHAnsi"/>
          <w:szCs w:val="24"/>
        </w:rPr>
        <w:t>Ta</w:t>
      </w:r>
      <w:r w:rsidRPr="00F74798">
        <w:rPr>
          <w:rFonts w:asciiTheme="minorHAnsi" w:hAnsiTheme="minorHAnsi" w:cstheme="minorHAnsi"/>
          <w:szCs w:val="24"/>
        </w:rPr>
        <w:t xml:space="preserve"> </w:t>
      </w:r>
      <w:r w:rsidR="00CA0AF9" w:rsidRPr="00F74798">
        <w:rPr>
          <w:rFonts w:asciiTheme="minorHAnsi" w:hAnsiTheme="minorHAnsi" w:cstheme="minorHAnsi"/>
          <w:szCs w:val="24"/>
        </w:rPr>
        <w:t xml:space="preserve">byla vybudována v roce 1492 a </w:t>
      </w:r>
      <w:r w:rsidR="007B0C05" w:rsidRPr="00F74798">
        <w:rPr>
          <w:rFonts w:asciiTheme="minorHAnsi" w:hAnsiTheme="minorHAnsi" w:cstheme="minorHAnsi"/>
          <w:szCs w:val="24"/>
        </w:rPr>
        <w:t>je</w:t>
      </w:r>
      <w:r w:rsidR="00CA0AF9" w:rsidRPr="00F74798">
        <w:rPr>
          <w:rFonts w:asciiTheme="minorHAnsi" w:hAnsiTheme="minorHAnsi" w:cstheme="minorHAnsi"/>
          <w:szCs w:val="24"/>
        </w:rPr>
        <w:t xml:space="preserve"> technickou kulturní památkou. Vodní dílo bylo naposledy vypuštěno před 170 lety</w:t>
      </w:r>
      <w:r w:rsidR="007728B2" w:rsidRPr="00F74798">
        <w:rPr>
          <w:rFonts w:asciiTheme="minorHAnsi" w:hAnsiTheme="minorHAnsi" w:cstheme="minorHAnsi"/>
          <w:szCs w:val="24"/>
        </w:rPr>
        <w:t>. Mocnost sedimentu místy přesahovala dva metry</w:t>
      </w:r>
      <w:r w:rsidR="009443B5" w:rsidRPr="00F74798">
        <w:rPr>
          <w:rFonts w:asciiTheme="minorHAnsi" w:hAnsiTheme="minorHAnsi" w:cstheme="minorHAnsi"/>
          <w:szCs w:val="24"/>
        </w:rPr>
        <w:t xml:space="preserve"> a jeho odtěžené množství představovalo </w:t>
      </w:r>
      <w:r w:rsidR="00C30B82" w:rsidRPr="00F74798">
        <w:rPr>
          <w:rFonts w:asciiTheme="minorHAnsi" w:hAnsiTheme="minorHAnsi" w:cstheme="minorHAnsi"/>
          <w:szCs w:val="24"/>
        </w:rPr>
        <w:t>268 687 m</w:t>
      </w:r>
      <w:r w:rsidR="00C30B82" w:rsidRPr="00F74798">
        <w:rPr>
          <w:rFonts w:asciiTheme="minorHAnsi" w:hAnsiTheme="minorHAnsi" w:cstheme="minorHAnsi"/>
          <w:szCs w:val="24"/>
          <w:vertAlign w:val="superscript"/>
        </w:rPr>
        <w:t>3</w:t>
      </w:r>
      <w:r w:rsidR="009443B5" w:rsidRPr="00F74798">
        <w:rPr>
          <w:rFonts w:asciiTheme="minorHAnsi" w:hAnsiTheme="minorHAnsi" w:cstheme="minorHAnsi"/>
          <w:szCs w:val="24"/>
        </w:rPr>
        <w:t>.</w:t>
      </w:r>
      <w:r w:rsidR="00C30B82" w:rsidRPr="00F74798">
        <w:rPr>
          <w:rFonts w:asciiTheme="minorHAnsi" w:hAnsiTheme="minorHAnsi" w:cstheme="minorHAnsi"/>
          <w:szCs w:val="24"/>
        </w:rPr>
        <w:t xml:space="preserve"> </w:t>
      </w:r>
      <w:r w:rsidR="007728B2" w:rsidRPr="00F74798">
        <w:rPr>
          <w:rFonts w:asciiTheme="minorHAnsi" w:hAnsiTheme="minorHAnsi" w:cstheme="minorHAnsi"/>
          <w:szCs w:val="24"/>
        </w:rPr>
        <w:t>Cílem Projektu</w:t>
      </w:r>
      <w:r w:rsidR="007307D2" w:rsidRPr="00F74798">
        <w:rPr>
          <w:rFonts w:asciiTheme="minorHAnsi" w:hAnsiTheme="minorHAnsi" w:cstheme="minorHAnsi"/>
          <w:szCs w:val="24"/>
        </w:rPr>
        <w:t xml:space="preserve"> bylo především zvýšení retenční </w:t>
      </w:r>
      <w:r w:rsidR="005230D3" w:rsidRPr="00F74798">
        <w:rPr>
          <w:rFonts w:asciiTheme="minorHAnsi" w:hAnsiTheme="minorHAnsi" w:cstheme="minorHAnsi"/>
          <w:szCs w:val="24"/>
        </w:rPr>
        <w:t>kapacity vodního díla a jeho bezpečnosti z hlediska předcházení povodňov</w:t>
      </w:r>
      <w:r w:rsidR="00E16DF0" w:rsidRPr="00F74798">
        <w:rPr>
          <w:rFonts w:asciiTheme="minorHAnsi" w:hAnsiTheme="minorHAnsi" w:cstheme="minorHAnsi"/>
          <w:szCs w:val="24"/>
        </w:rPr>
        <w:t>ým</w:t>
      </w:r>
      <w:r w:rsidR="005230D3" w:rsidRPr="00F74798">
        <w:rPr>
          <w:rFonts w:asciiTheme="minorHAnsi" w:hAnsiTheme="minorHAnsi" w:cstheme="minorHAnsi"/>
          <w:szCs w:val="24"/>
        </w:rPr>
        <w:t xml:space="preserve"> škod</w:t>
      </w:r>
      <w:r w:rsidR="00E16DF0" w:rsidRPr="00F74798">
        <w:rPr>
          <w:rFonts w:asciiTheme="minorHAnsi" w:hAnsiTheme="minorHAnsi" w:cstheme="minorHAnsi"/>
          <w:szCs w:val="24"/>
        </w:rPr>
        <w:t>ám</w:t>
      </w:r>
      <w:r w:rsidR="005230D3" w:rsidRPr="00F74798">
        <w:rPr>
          <w:rFonts w:asciiTheme="minorHAnsi" w:hAnsiTheme="minorHAnsi" w:cstheme="minorHAnsi"/>
          <w:szCs w:val="24"/>
        </w:rPr>
        <w:t xml:space="preserve">. Cíle </w:t>
      </w:r>
      <w:r w:rsidR="00770EBA" w:rsidRPr="00F74798">
        <w:rPr>
          <w:rFonts w:asciiTheme="minorHAnsi" w:hAnsiTheme="minorHAnsi" w:cstheme="minorHAnsi"/>
          <w:szCs w:val="24"/>
        </w:rPr>
        <w:t>P</w:t>
      </w:r>
      <w:r w:rsidR="005230D3" w:rsidRPr="00F74798">
        <w:rPr>
          <w:rFonts w:asciiTheme="minorHAnsi" w:hAnsiTheme="minorHAnsi" w:cstheme="minorHAnsi"/>
          <w:szCs w:val="24"/>
        </w:rPr>
        <w:t xml:space="preserve">rojektu jsou v souladu </w:t>
      </w:r>
      <w:r w:rsidR="0091206F">
        <w:rPr>
          <w:rFonts w:asciiTheme="minorHAnsi" w:hAnsiTheme="minorHAnsi" w:cstheme="minorHAnsi"/>
          <w:szCs w:val="24"/>
        </w:rPr>
        <w:t>s </w:t>
      </w:r>
      <w:r w:rsidR="005230D3" w:rsidRPr="00F74798">
        <w:rPr>
          <w:rFonts w:asciiTheme="minorHAnsi" w:hAnsiTheme="minorHAnsi" w:cstheme="minorHAnsi"/>
          <w:szCs w:val="24"/>
        </w:rPr>
        <w:t>cílem oblasti podpory 6.4</w:t>
      </w:r>
      <w:r w:rsidR="00E16DF0" w:rsidRPr="00F74798">
        <w:rPr>
          <w:rFonts w:asciiTheme="minorHAnsi" w:hAnsiTheme="minorHAnsi" w:cstheme="minorHAnsi"/>
          <w:szCs w:val="24"/>
        </w:rPr>
        <w:t> </w:t>
      </w:r>
      <w:r w:rsidR="005230D3" w:rsidRPr="00F74798">
        <w:rPr>
          <w:rFonts w:asciiTheme="minorHAnsi" w:hAnsiTheme="minorHAnsi" w:cstheme="minorHAnsi"/>
          <w:szCs w:val="24"/>
        </w:rPr>
        <w:t>OPŽP.</w:t>
      </w:r>
    </w:p>
    <w:p w:rsidR="005230D3" w:rsidRPr="00F74798" w:rsidRDefault="005230D3" w:rsidP="00954277">
      <w:pPr>
        <w:rPr>
          <w:rFonts w:asciiTheme="minorHAnsi" w:hAnsiTheme="minorHAnsi" w:cstheme="minorHAnsi"/>
          <w:szCs w:val="24"/>
        </w:rPr>
      </w:pPr>
    </w:p>
    <w:p w:rsidR="00C14EAE" w:rsidRPr="00F74798" w:rsidRDefault="00316BB3" w:rsidP="00954277">
      <w:pPr>
        <w:rPr>
          <w:rFonts w:asciiTheme="minorHAnsi" w:hAnsiTheme="minorHAnsi" w:cstheme="minorHAnsi"/>
          <w:szCs w:val="24"/>
        </w:rPr>
      </w:pPr>
      <w:r w:rsidRPr="00F74798">
        <w:rPr>
          <w:rFonts w:asciiTheme="minorHAnsi" w:hAnsiTheme="minorHAnsi" w:cstheme="minorHAnsi"/>
          <w:szCs w:val="24"/>
        </w:rPr>
        <w:t xml:space="preserve">Příjemce dotace </w:t>
      </w:r>
      <w:r w:rsidR="0091206F">
        <w:rPr>
          <w:rFonts w:asciiTheme="minorHAnsi" w:hAnsiTheme="minorHAnsi" w:cstheme="minorHAnsi"/>
          <w:szCs w:val="24"/>
        </w:rPr>
        <w:t>v </w:t>
      </w:r>
      <w:r w:rsidRPr="00F74798">
        <w:rPr>
          <w:rFonts w:asciiTheme="minorHAnsi" w:hAnsiTheme="minorHAnsi" w:cstheme="minorHAnsi"/>
          <w:szCs w:val="24"/>
        </w:rPr>
        <w:t xml:space="preserve">souvislosti </w:t>
      </w:r>
      <w:r w:rsidR="0091206F">
        <w:rPr>
          <w:rFonts w:asciiTheme="minorHAnsi" w:hAnsiTheme="minorHAnsi" w:cstheme="minorHAnsi"/>
          <w:szCs w:val="24"/>
        </w:rPr>
        <w:t>s </w:t>
      </w:r>
      <w:r w:rsidRPr="00F74798">
        <w:rPr>
          <w:rFonts w:asciiTheme="minorHAnsi" w:hAnsiTheme="minorHAnsi" w:cstheme="minorHAnsi"/>
          <w:szCs w:val="24"/>
        </w:rPr>
        <w:t xml:space="preserve">realizací Projektu zadal 14 </w:t>
      </w:r>
      <w:r w:rsidR="007B0C05" w:rsidRPr="00F74798">
        <w:rPr>
          <w:rFonts w:asciiTheme="minorHAnsi" w:hAnsiTheme="minorHAnsi" w:cstheme="minorHAnsi"/>
          <w:szCs w:val="24"/>
        </w:rPr>
        <w:t xml:space="preserve">veřejných </w:t>
      </w:r>
      <w:r w:rsidRPr="00F74798">
        <w:rPr>
          <w:rFonts w:asciiTheme="minorHAnsi" w:hAnsiTheme="minorHAnsi" w:cstheme="minorHAnsi"/>
          <w:szCs w:val="24"/>
        </w:rPr>
        <w:t xml:space="preserve">zakázek na práce, dodávky a služby. Dvě nadlimitní veřejné zakázky příjemce dotace zadal formou otevřeného zadávacího řízení a dvanáct </w:t>
      </w:r>
      <w:r w:rsidR="007B0C05" w:rsidRPr="00F74798">
        <w:rPr>
          <w:rFonts w:asciiTheme="minorHAnsi" w:hAnsiTheme="minorHAnsi" w:cstheme="minorHAnsi"/>
          <w:szCs w:val="24"/>
        </w:rPr>
        <w:t xml:space="preserve">veřejných </w:t>
      </w:r>
      <w:r w:rsidRPr="00F74798">
        <w:rPr>
          <w:rFonts w:asciiTheme="minorHAnsi" w:hAnsiTheme="minorHAnsi" w:cstheme="minorHAnsi"/>
          <w:szCs w:val="24"/>
        </w:rPr>
        <w:t xml:space="preserve">zakázek zadal mimo režim zákona č. 137/2006 </w:t>
      </w:r>
      <w:r w:rsidR="00666B89" w:rsidRPr="00F74798">
        <w:rPr>
          <w:rFonts w:asciiTheme="minorHAnsi" w:hAnsiTheme="minorHAnsi" w:cstheme="minorHAnsi"/>
          <w:szCs w:val="24"/>
        </w:rPr>
        <w:t>Sb.</w:t>
      </w:r>
      <w:r w:rsidR="00E16FE6">
        <w:rPr>
          <w:rStyle w:val="Znakapoznpodarou"/>
          <w:rFonts w:asciiTheme="minorHAnsi" w:hAnsiTheme="minorHAnsi"/>
          <w:szCs w:val="24"/>
        </w:rPr>
        <w:footnoteReference w:id="4"/>
      </w:r>
      <w:r w:rsidRPr="00F74798">
        <w:rPr>
          <w:rFonts w:asciiTheme="minorHAnsi" w:hAnsiTheme="minorHAnsi" w:cstheme="minorHAnsi"/>
          <w:szCs w:val="24"/>
        </w:rPr>
        <w:t xml:space="preserve"> jako zakázky malého rozsahu. </w:t>
      </w:r>
      <w:r w:rsidR="0091206F">
        <w:rPr>
          <w:rFonts w:asciiTheme="minorHAnsi" w:hAnsiTheme="minorHAnsi" w:cstheme="minorHAnsi"/>
          <w:szCs w:val="24"/>
        </w:rPr>
        <w:t>Z </w:t>
      </w:r>
      <w:r w:rsidRPr="00F74798">
        <w:rPr>
          <w:rFonts w:asciiTheme="minorHAnsi" w:hAnsiTheme="minorHAnsi" w:cstheme="minorHAnsi"/>
          <w:szCs w:val="24"/>
        </w:rPr>
        <w:t xml:space="preserve">toho dvě </w:t>
      </w:r>
      <w:r w:rsidR="007B0C05" w:rsidRPr="00F74798">
        <w:rPr>
          <w:rFonts w:asciiTheme="minorHAnsi" w:hAnsiTheme="minorHAnsi" w:cstheme="minorHAnsi"/>
          <w:szCs w:val="24"/>
        </w:rPr>
        <w:t xml:space="preserve">veřejné </w:t>
      </w:r>
      <w:r w:rsidRPr="00F74798">
        <w:rPr>
          <w:rFonts w:asciiTheme="minorHAnsi" w:hAnsiTheme="minorHAnsi" w:cstheme="minorHAnsi"/>
          <w:szCs w:val="24"/>
        </w:rPr>
        <w:t xml:space="preserve">zakázky byly zadány výzvou </w:t>
      </w:r>
      <w:r w:rsidR="0091206F">
        <w:rPr>
          <w:rFonts w:asciiTheme="minorHAnsi" w:hAnsiTheme="minorHAnsi" w:cstheme="minorHAnsi"/>
          <w:szCs w:val="24"/>
        </w:rPr>
        <w:t>k </w:t>
      </w:r>
      <w:r w:rsidRPr="00F74798">
        <w:rPr>
          <w:rFonts w:asciiTheme="minorHAnsi" w:hAnsiTheme="minorHAnsi" w:cstheme="minorHAnsi"/>
          <w:szCs w:val="24"/>
        </w:rPr>
        <w:t xml:space="preserve">podání </w:t>
      </w:r>
      <w:r w:rsidRPr="00F74798">
        <w:rPr>
          <w:rFonts w:asciiTheme="minorHAnsi" w:hAnsiTheme="minorHAnsi" w:cstheme="minorHAnsi"/>
          <w:szCs w:val="24"/>
        </w:rPr>
        <w:lastRenderedPageBreak/>
        <w:t>nabídky, ostatní byly zadány formou objednávky</w:t>
      </w:r>
      <w:r w:rsidR="00E16DF0" w:rsidRPr="00F74798">
        <w:rPr>
          <w:rFonts w:asciiTheme="minorHAnsi" w:hAnsiTheme="minorHAnsi" w:cstheme="minorHAnsi"/>
          <w:szCs w:val="24"/>
        </w:rPr>
        <w:t xml:space="preserve"> konkrétnímu dodavateli</w:t>
      </w:r>
      <w:r w:rsidRPr="00F74798">
        <w:rPr>
          <w:rFonts w:asciiTheme="minorHAnsi" w:hAnsiTheme="minorHAnsi" w:cstheme="minorHAnsi"/>
          <w:szCs w:val="24"/>
        </w:rPr>
        <w:t>.</w:t>
      </w:r>
      <w:r w:rsidR="003148F4">
        <w:rPr>
          <w:rFonts w:asciiTheme="minorHAnsi" w:hAnsiTheme="minorHAnsi" w:cstheme="minorHAnsi"/>
          <w:szCs w:val="24"/>
        </w:rPr>
        <w:t xml:space="preserve"> </w:t>
      </w:r>
      <w:r w:rsidR="00812997" w:rsidRPr="00F74798">
        <w:rPr>
          <w:rFonts w:asciiTheme="minorHAnsi" w:hAnsiTheme="minorHAnsi" w:cstheme="minorHAnsi"/>
          <w:szCs w:val="24"/>
        </w:rPr>
        <w:t xml:space="preserve">Příjemce dotace postupoval při zadávání </w:t>
      </w:r>
      <w:r w:rsidR="00BD3D19" w:rsidRPr="00F74798">
        <w:rPr>
          <w:rFonts w:asciiTheme="minorHAnsi" w:hAnsiTheme="minorHAnsi" w:cstheme="minorHAnsi"/>
          <w:szCs w:val="24"/>
        </w:rPr>
        <w:t xml:space="preserve">veřejných </w:t>
      </w:r>
      <w:r w:rsidR="00812997" w:rsidRPr="00F74798">
        <w:rPr>
          <w:rFonts w:asciiTheme="minorHAnsi" w:hAnsiTheme="minorHAnsi" w:cstheme="minorHAnsi"/>
          <w:szCs w:val="24"/>
        </w:rPr>
        <w:t>zakázek v souladu se zákonem č.</w:t>
      </w:r>
      <w:r w:rsidR="00BD3D19" w:rsidRPr="00F74798">
        <w:rPr>
          <w:rFonts w:asciiTheme="minorHAnsi" w:hAnsiTheme="minorHAnsi" w:cstheme="minorHAnsi"/>
          <w:szCs w:val="24"/>
        </w:rPr>
        <w:t> </w:t>
      </w:r>
      <w:r w:rsidR="00812997" w:rsidRPr="00F74798">
        <w:rPr>
          <w:rFonts w:asciiTheme="minorHAnsi" w:hAnsiTheme="minorHAnsi" w:cstheme="minorHAnsi"/>
          <w:szCs w:val="24"/>
        </w:rPr>
        <w:t xml:space="preserve">137/2006 Sb. Uzavřené smlouvy </w:t>
      </w:r>
      <w:r w:rsidR="00D056E6" w:rsidRPr="00F74798">
        <w:rPr>
          <w:rFonts w:asciiTheme="minorHAnsi" w:hAnsiTheme="minorHAnsi" w:cstheme="minorHAnsi"/>
          <w:szCs w:val="24"/>
        </w:rPr>
        <w:t>odpovídaly</w:t>
      </w:r>
      <w:r w:rsidR="00636E6A" w:rsidRPr="00F74798">
        <w:rPr>
          <w:rFonts w:asciiTheme="minorHAnsi" w:hAnsiTheme="minorHAnsi" w:cstheme="minorHAnsi"/>
          <w:szCs w:val="24"/>
        </w:rPr>
        <w:t xml:space="preserve"> </w:t>
      </w:r>
      <w:r w:rsidR="009C2036" w:rsidRPr="00F74798">
        <w:rPr>
          <w:rFonts w:asciiTheme="minorHAnsi" w:hAnsiTheme="minorHAnsi" w:cstheme="minorHAnsi"/>
          <w:szCs w:val="24"/>
        </w:rPr>
        <w:t xml:space="preserve">zadávacím podmínkám a </w:t>
      </w:r>
      <w:r w:rsidR="00636E6A" w:rsidRPr="00F74798">
        <w:rPr>
          <w:rFonts w:asciiTheme="minorHAnsi" w:hAnsiTheme="minorHAnsi" w:cstheme="minorHAnsi"/>
          <w:szCs w:val="24"/>
        </w:rPr>
        <w:t>předloženým nabídkám vítězných uchazečů</w:t>
      </w:r>
      <w:r w:rsidR="00D056E6" w:rsidRPr="00F74798">
        <w:rPr>
          <w:rFonts w:asciiTheme="minorHAnsi" w:hAnsiTheme="minorHAnsi" w:cstheme="minorHAnsi"/>
          <w:szCs w:val="24"/>
        </w:rPr>
        <w:t>.</w:t>
      </w:r>
      <w:r w:rsidR="00636E6A" w:rsidRPr="00F74798">
        <w:rPr>
          <w:rFonts w:asciiTheme="minorHAnsi" w:hAnsiTheme="minorHAnsi" w:cstheme="minorHAnsi"/>
          <w:szCs w:val="24"/>
        </w:rPr>
        <w:t xml:space="preserve"> </w:t>
      </w:r>
    </w:p>
    <w:p w:rsidR="00B161BB" w:rsidRDefault="00B161BB" w:rsidP="000F3025">
      <w:pPr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:rsidR="00FC7A69" w:rsidRPr="00F74798" w:rsidRDefault="00636E6A" w:rsidP="00127669">
      <w:pPr>
        <w:rPr>
          <w:rFonts w:asciiTheme="minorHAnsi" w:hAnsiTheme="minorHAnsi" w:cstheme="minorHAnsi"/>
          <w:szCs w:val="24"/>
        </w:rPr>
      </w:pPr>
      <w:r w:rsidRPr="00F74798">
        <w:rPr>
          <w:rFonts w:asciiTheme="minorHAnsi" w:hAnsiTheme="minorHAnsi" w:cstheme="minorHAnsi"/>
          <w:szCs w:val="24"/>
        </w:rPr>
        <w:t>Rozhodnutím o poskytnutí dotace</w:t>
      </w:r>
      <w:r w:rsidR="00E875D5" w:rsidRPr="00F74798">
        <w:rPr>
          <w:rFonts w:asciiTheme="minorHAnsi" w:hAnsiTheme="minorHAnsi" w:cstheme="minorHAnsi"/>
          <w:szCs w:val="24"/>
        </w:rPr>
        <w:t xml:space="preserve"> vydaným </w:t>
      </w:r>
      <w:r w:rsidR="00C9692A">
        <w:rPr>
          <w:rFonts w:asciiTheme="minorHAnsi" w:hAnsiTheme="minorHAnsi" w:cstheme="minorHAnsi"/>
          <w:szCs w:val="24"/>
        </w:rPr>
        <w:t>Ministerstvem</w:t>
      </w:r>
      <w:r w:rsidR="00C9692A" w:rsidRPr="007B793D">
        <w:rPr>
          <w:rFonts w:asciiTheme="minorHAnsi" w:hAnsiTheme="minorHAnsi" w:cstheme="minorHAnsi"/>
          <w:szCs w:val="24"/>
        </w:rPr>
        <w:t xml:space="preserve"> životního prostředí</w:t>
      </w:r>
      <w:r w:rsidRPr="00F74798">
        <w:rPr>
          <w:rFonts w:asciiTheme="minorHAnsi" w:hAnsiTheme="minorHAnsi" w:cstheme="minorHAnsi"/>
          <w:szCs w:val="24"/>
        </w:rPr>
        <w:t xml:space="preserve"> a </w:t>
      </w:r>
      <w:r w:rsidR="003148F4">
        <w:rPr>
          <w:rFonts w:asciiTheme="minorHAnsi" w:hAnsiTheme="minorHAnsi" w:cstheme="minorHAnsi"/>
          <w:szCs w:val="24"/>
        </w:rPr>
        <w:t>s</w:t>
      </w:r>
      <w:r w:rsidR="00FC7A69" w:rsidRPr="00F74798">
        <w:rPr>
          <w:rFonts w:asciiTheme="minorHAnsi" w:hAnsiTheme="minorHAnsi" w:cstheme="minorHAnsi"/>
          <w:szCs w:val="24"/>
        </w:rPr>
        <w:t>mlouvou o</w:t>
      </w:r>
      <w:r w:rsidR="00C9692A">
        <w:rPr>
          <w:rFonts w:asciiTheme="minorHAnsi" w:hAnsiTheme="minorHAnsi" w:cstheme="minorHAnsi"/>
          <w:szCs w:val="24"/>
        </w:rPr>
        <w:t> </w:t>
      </w:r>
      <w:r w:rsidR="00FC7A69" w:rsidRPr="00F74798">
        <w:rPr>
          <w:rFonts w:asciiTheme="minorHAnsi" w:hAnsiTheme="minorHAnsi" w:cstheme="minorHAnsi"/>
          <w:szCs w:val="24"/>
        </w:rPr>
        <w:t xml:space="preserve">poskytnutí podpory ze </w:t>
      </w:r>
      <w:r w:rsidR="00E16DF0" w:rsidRPr="00F74798">
        <w:rPr>
          <w:rFonts w:asciiTheme="minorHAnsi" w:hAnsiTheme="minorHAnsi" w:cstheme="minorHAnsi"/>
          <w:szCs w:val="24"/>
        </w:rPr>
        <w:t>SFŽP</w:t>
      </w:r>
      <w:r w:rsidR="00FC7A69" w:rsidRPr="00F74798">
        <w:rPr>
          <w:rFonts w:asciiTheme="minorHAnsi" w:hAnsiTheme="minorHAnsi" w:cstheme="minorHAnsi"/>
          <w:szCs w:val="24"/>
        </w:rPr>
        <w:t xml:space="preserve"> byly pro realizaci </w:t>
      </w:r>
      <w:r w:rsidR="00770EBA" w:rsidRPr="00F74798">
        <w:rPr>
          <w:rFonts w:asciiTheme="minorHAnsi" w:hAnsiTheme="minorHAnsi" w:cstheme="minorHAnsi"/>
          <w:szCs w:val="24"/>
        </w:rPr>
        <w:t>P</w:t>
      </w:r>
      <w:r w:rsidR="00FC7A69" w:rsidRPr="00F74798">
        <w:rPr>
          <w:rFonts w:asciiTheme="minorHAnsi" w:hAnsiTheme="minorHAnsi" w:cstheme="minorHAnsi"/>
          <w:szCs w:val="24"/>
        </w:rPr>
        <w:t>rojektu stanoven</w:t>
      </w:r>
      <w:r w:rsidR="003148F4">
        <w:rPr>
          <w:rFonts w:asciiTheme="minorHAnsi" w:hAnsiTheme="minorHAnsi" w:cstheme="minorHAnsi"/>
          <w:szCs w:val="24"/>
        </w:rPr>
        <w:t>y</w:t>
      </w:r>
      <w:r w:rsidR="00FC7A69" w:rsidRPr="00F74798">
        <w:rPr>
          <w:rFonts w:asciiTheme="minorHAnsi" w:hAnsiTheme="minorHAnsi" w:cstheme="minorHAnsi"/>
          <w:szCs w:val="24"/>
        </w:rPr>
        <w:t xml:space="preserve"> tyto základní podmínky:</w:t>
      </w:r>
    </w:p>
    <w:p w:rsidR="00C14EAE" w:rsidRPr="00F74798" w:rsidRDefault="00FC7A69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F74798">
        <w:rPr>
          <w:rFonts w:asciiTheme="minorHAnsi" w:eastAsia="Calibri" w:hAnsiTheme="minorHAnsi" w:cstheme="minorHAnsi"/>
          <w:szCs w:val="24"/>
          <w:lang w:val="cs-CZ"/>
        </w:rPr>
        <w:t xml:space="preserve">ukončení realizace </w:t>
      </w:r>
      <w:r w:rsidR="00770EBA" w:rsidRPr="00F74798">
        <w:rPr>
          <w:rFonts w:asciiTheme="minorHAnsi" w:eastAsia="Calibri" w:hAnsiTheme="minorHAnsi" w:cstheme="minorHAnsi"/>
          <w:szCs w:val="24"/>
          <w:lang w:val="cs-CZ"/>
        </w:rPr>
        <w:t>P</w:t>
      </w:r>
      <w:r w:rsidRPr="00F74798">
        <w:rPr>
          <w:rFonts w:asciiTheme="minorHAnsi" w:eastAsia="Calibri" w:hAnsiTheme="minorHAnsi" w:cstheme="minorHAnsi"/>
          <w:szCs w:val="24"/>
          <w:lang w:val="cs-CZ"/>
        </w:rPr>
        <w:t>rojektu do 31. 8. 2015</w:t>
      </w:r>
      <w:r w:rsidR="003148F4">
        <w:rPr>
          <w:rFonts w:asciiTheme="minorHAnsi" w:eastAsia="Calibri" w:hAnsiTheme="minorHAnsi" w:cstheme="minorHAnsi"/>
          <w:szCs w:val="24"/>
          <w:lang w:val="cs-CZ"/>
        </w:rPr>
        <w:t>,</w:t>
      </w:r>
      <w:r w:rsidRPr="00F74798">
        <w:rPr>
          <w:rFonts w:asciiTheme="minorHAnsi" w:hAnsiTheme="minorHAnsi" w:cstheme="minorHAnsi"/>
          <w:szCs w:val="24"/>
          <w:lang w:val="cs-CZ"/>
        </w:rPr>
        <w:t xml:space="preserve"> </w:t>
      </w:r>
    </w:p>
    <w:p w:rsidR="00FC7A69" w:rsidRPr="00B161BB" w:rsidRDefault="00FC7A69" w:rsidP="00954277">
      <w:pPr>
        <w:pStyle w:val="Odstavecseseznamem"/>
        <w:numPr>
          <w:ilvl w:val="0"/>
          <w:numId w:val="14"/>
        </w:numPr>
        <w:rPr>
          <w:rFonts w:asciiTheme="minorHAnsi" w:eastAsia="Calibri" w:hAnsiTheme="minorHAnsi" w:cstheme="minorHAnsi"/>
          <w:szCs w:val="24"/>
          <w:lang w:val="cs-CZ"/>
        </w:rPr>
      </w:pPr>
      <w:r w:rsidRPr="00B161BB">
        <w:rPr>
          <w:rFonts w:asciiTheme="minorHAnsi" w:eastAsia="Calibri" w:hAnsiTheme="minorHAnsi" w:cstheme="minorHAnsi"/>
          <w:szCs w:val="24"/>
          <w:lang w:val="cs-CZ"/>
        </w:rPr>
        <w:t>předložení dokumentace k závěrečnému vyhodnocení akce do 30. 11. 2015</w:t>
      </w:r>
      <w:r w:rsidR="003148F4">
        <w:rPr>
          <w:rFonts w:asciiTheme="minorHAnsi" w:eastAsia="Calibri" w:hAnsiTheme="minorHAnsi" w:cstheme="minorHAnsi"/>
          <w:szCs w:val="24"/>
          <w:lang w:val="cs-CZ"/>
        </w:rPr>
        <w:t>,</w:t>
      </w:r>
      <w:r w:rsidRPr="00B161BB">
        <w:rPr>
          <w:rFonts w:asciiTheme="minorHAnsi" w:eastAsia="Calibri" w:hAnsiTheme="minorHAnsi" w:cstheme="minorHAnsi"/>
          <w:szCs w:val="24"/>
          <w:lang w:val="cs-CZ"/>
        </w:rPr>
        <w:t xml:space="preserve"> </w:t>
      </w:r>
    </w:p>
    <w:p w:rsidR="00906FBC" w:rsidRPr="00B161BB" w:rsidRDefault="00906FBC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B161BB">
        <w:rPr>
          <w:rFonts w:asciiTheme="minorHAnsi" w:hAnsiTheme="minorHAnsi" w:cstheme="minorHAnsi"/>
          <w:szCs w:val="24"/>
          <w:lang w:val="cs-CZ"/>
        </w:rPr>
        <w:t>minimální celkový akumulační prostor vodní nádrže při HMAX: 2 760 000 m</w:t>
      </w:r>
      <w:r w:rsidRPr="00B161BB">
        <w:rPr>
          <w:rFonts w:asciiTheme="minorHAnsi" w:hAnsiTheme="minorHAnsi" w:cstheme="minorHAnsi"/>
          <w:szCs w:val="24"/>
          <w:vertAlign w:val="superscript"/>
          <w:lang w:val="cs-CZ"/>
        </w:rPr>
        <w:t>3</w:t>
      </w:r>
      <w:r w:rsidR="003148F4" w:rsidRPr="000F3025">
        <w:rPr>
          <w:rFonts w:asciiTheme="minorHAnsi" w:hAnsiTheme="minorHAnsi" w:cstheme="minorHAnsi"/>
          <w:szCs w:val="24"/>
          <w:lang w:val="cs-CZ"/>
        </w:rPr>
        <w:t>,</w:t>
      </w:r>
      <w:r w:rsidRPr="00B161BB">
        <w:rPr>
          <w:rFonts w:asciiTheme="minorHAnsi" w:hAnsiTheme="minorHAnsi" w:cstheme="minorHAnsi"/>
          <w:szCs w:val="24"/>
          <w:lang w:val="cs-CZ"/>
        </w:rPr>
        <w:t xml:space="preserve"> </w:t>
      </w:r>
    </w:p>
    <w:p w:rsidR="00906FBC" w:rsidRPr="00B161BB" w:rsidRDefault="00906FBC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B161BB">
        <w:rPr>
          <w:rFonts w:asciiTheme="minorHAnsi" w:hAnsiTheme="minorHAnsi" w:cstheme="minorHAnsi"/>
          <w:szCs w:val="24"/>
          <w:lang w:val="cs-CZ"/>
        </w:rPr>
        <w:t xml:space="preserve">minimální </w:t>
      </w:r>
      <w:r w:rsidRPr="00B161BB">
        <w:rPr>
          <w:rFonts w:asciiTheme="minorHAnsi" w:eastAsia="Calibri" w:hAnsiTheme="minorHAnsi" w:cstheme="minorHAnsi"/>
          <w:szCs w:val="24"/>
          <w:lang w:val="cs-CZ"/>
        </w:rPr>
        <w:t>celková vodní plocha obnovené vodní nádrže při HMAX: 55 ha</w:t>
      </w:r>
      <w:r w:rsidR="003148F4">
        <w:rPr>
          <w:rFonts w:asciiTheme="minorHAnsi" w:eastAsia="Calibri" w:hAnsiTheme="minorHAnsi" w:cstheme="minorHAnsi"/>
          <w:szCs w:val="24"/>
          <w:lang w:val="cs-CZ"/>
        </w:rPr>
        <w:t>,</w:t>
      </w:r>
    </w:p>
    <w:p w:rsidR="00FC7A69" w:rsidRPr="00B161BB" w:rsidRDefault="00FC7A69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B161BB">
        <w:rPr>
          <w:rFonts w:asciiTheme="minorHAnsi" w:hAnsiTheme="minorHAnsi" w:cstheme="minorHAnsi"/>
          <w:szCs w:val="24"/>
          <w:lang w:val="cs-CZ"/>
        </w:rPr>
        <w:t xml:space="preserve">maximální výše dotace z ERDF </w:t>
      </w:r>
      <w:r w:rsidRPr="00B161BB">
        <w:rPr>
          <w:rFonts w:asciiTheme="minorHAnsi" w:eastAsia="Calibri" w:hAnsiTheme="minorHAnsi" w:cstheme="minorHAnsi"/>
          <w:szCs w:val="24"/>
          <w:lang w:val="cs-CZ"/>
        </w:rPr>
        <w:t>375 404 732,10 Kč (85 % způsobilých veřejných výdajů)</w:t>
      </w:r>
      <w:r w:rsidR="003148F4">
        <w:rPr>
          <w:rFonts w:asciiTheme="minorHAnsi" w:eastAsia="Calibri" w:hAnsiTheme="minorHAnsi" w:cstheme="minorHAnsi"/>
          <w:szCs w:val="24"/>
          <w:lang w:val="cs-CZ"/>
        </w:rPr>
        <w:t>,</w:t>
      </w:r>
    </w:p>
    <w:p w:rsidR="00FC7A69" w:rsidRPr="00B161BB" w:rsidRDefault="00FC7A69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B161BB">
        <w:rPr>
          <w:rFonts w:asciiTheme="minorHAnsi" w:eastAsia="Calibri" w:hAnsiTheme="minorHAnsi" w:cstheme="minorHAnsi"/>
          <w:szCs w:val="24"/>
          <w:lang w:val="cs-CZ"/>
        </w:rPr>
        <w:t>maximální výše dotace ze SFŽP 22 082 631,30 Kč (5 % způsobilých veřejných výdajů)</w:t>
      </w:r>
      <w:r w:rsidR="003148F4">
        <w:rPr>
          <w:rFonts w:asciiTheme="minorHAnsi" w:eastAsia="Calibri" w:hAnsiTheme="minorHAnsi" w:cstheme="minorHAnsi"/>
          <w:szCs w:val="24"/>
          <w:lang w:val="cs-CZ"/>
        </w:rPr>
        <w:t>,</w:t>
      </w:r>
    </w:p>
    <w:p w:rsidR="008928FC" w:rsidRPr="00B161BB" w:rsidRDefault="00FC7A69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B161BB">
        <w:rPr>
          <w:rFonts w:asciiTheme="minorHAnsi" w:hAnsiTheme="minorHAnsi" w:cstheme="minorHAnsi"/>
          <w:szCs w:val="24"/>
          <w:lang w:val="cs-CZ"/>
        </w:rPr>
        <w:t xml:space="preserve">minimální výše vlastních zdrojů příjemce dotace </w:t>
      </w:r>
      <w:r w:rsidR="008928FC" w:rsidRPr="00B161BB">
        <w:rPr>
          <w:rFonts w:asciiTheme="minorHAnsi" w:eastAsia="Calibri" w:hAnsiTheme="minorHAnsi" w:cstheme="minorHAnsi"/>
          <w:szCs w:val="24"/>
          <w:lang w:val="cs-CZ"/>
        </w:rPr>
        <w:t>44 165 262,60 Kč (10 % způsobilých veřejných výdajů)</w:t>
      </w:r>
      <w:r w:rsidR="003148F4">
        <w:rPr>
          <w:rFonts w:asciiTheme="minorHAnsi" w:eastAsia="Calibri" w:hAnsiTheme="minorHAnsi" w:cstheme="minorHAnsi"/>
          <w:szCs w:val="24"/>
          <w:lang w:val="cs-CZ"/>
        </w:rPr>
        <w:t>,</w:t>
      </w:r>
    </w:p>
    <w:p w:rsidR="00906FBC" w:rsidRPr="00B161BB" w:rsidRDefault="00906FBC" w:rsidP="0095427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zCs w:val="24"/>
          <w:lang w:val="cs-CZ"/>
        </w:rPr>
      </w:pPr>
      <w:r w:rsidRPr="00B161BB">
        <w:rPr>
          <w:rFonts w:asciiTheme="minorHAnsi" w:hAnsiTheme="minorHAnsi" w:cstheme="minorHAnsi"/>
          <w:szCs w:val="24"/>
          <w:lang w:val="cs-CZ"/>
        </w:rPr>
        <w:t xml:space="preserve">realizovat akci dle dokumentace uvedené </w:t>
      </w:r>
      <w:r w:rsidR="0091206F">
        <w:rPr>
          <w:rFonts w:asciiTheme="minorHAnsi" w:hAnsiTheme="minorHAnsi" w:cstheme="minorHAnsi"/>
          <w:szCs w:val="24"/>
          <w:lang w:val="cs-CZ"/>
        </w:rPr>
        <w:t>v </w:t>
      </w:r>
      <w:r w:rsidRPr="00B161BB">
        <w:rPr>
          <w:rFonts w:asciiTheme="minorHAnsi" w:hAnsiTheme="minorHAnsi" w:cstheme="minorHAnsi"/>
          <w:szCs w:val="24"/>
          <w:lang w:val="cs-CZ"/>
        </w:rPr>
        <w:t xml:space="preserve">technické a finanční příloze </w:t>
      </w:r>
      <w:r w:rsidR="00B161BB" w:rsidRPr="000F3025">
        <w:rPr>
          <w:rFonts w:asciiTheme="minorHAnsi" w:hAnsiTheme="minorHAnsi" w:cstheme="minorHAnsi"/>
          <w:i/>
          <w:szCs w:val="24"/>
          <w:lang w:val="cs-CZ"/>
        </w:rPr>
        <w:t>rozhodnutí o </w:t>
      </w:r>
      <w:r w:rsidRPr="000F3025">
        <w:rPr>
          <w:rFonts w:asciiTheme="minorHAnsi" w:hAnsiTheme="minorHAnsi" w:cstheme="minorHAnsi"/>
          <w:i/>
          <w:szCs w:val="24"/>
          <w:lang w:val="cs-CZ"/>
        </w:rPr>
        <w:t>poskytnutí dotace</w:t>
      </w:r>
      <w:r w:rsidRPr="00B161BB">
        <w:rPr>
          <w:rFonts w:asciiTheme="minorHAnsi" w:hAnsiTheme="minorHAnsi" w:cstheme="minorHAnsi"/>
          <w:szCs w:val="24"/>
          <w:lang w:val="cs-CZ"/>
        </w:rPr>
        <w:t xml:space="preserve"> </w:t>
      </w:r>
      <w:r w:rsidR="0091206F">
        <w:rPr>
          <w:rFonts w:asciiTheme="minorHAnsi" w:hAnsiTheme="minorHAnsi" w:cstheme="minorHAnsi"/>
          <w:szCs w:val="24"/>
          <w:lang w:val="cs-CZ"/>
        </w:rPr>
        <w:t>v </w:t>
      </w:r>
      <w:r w:rsidRPr="00B161BB">
        <w:rPr>
          <w:rFonts w:asciiTheme="minorHAnsi" w:hAnsiTheme="minorHAnsi" w:cstheme="minorHAnsi"/>
          <w:szCs w:val="24"/>
          <w:lang w:val="cs-CZ"/>
        </w:rPr>
        <w:t xml:space="preserve">souladu </w:t>
      </w:r>
      <w:r w:rsidR="0091206F">
        <w:rPr>
          <w:rFonts w:asciiTheme="minorHAnsi" w:hAnsiTheme="minorHAnsi" w:cstheme="minorHAnsi"/>
          <w:szCs w:val="24"/>
          <w:lang w:val="cs-CZ"/>
        </w:rPr>
        <w:t>s </w:t>
      </w:r>
      <w:r w:rsidRPr="00B161BB">
        <w:rPr>
          <w:rFonts w:asciiTheme="minorHAnsi" w:hAnsiTheme="minorHAnsi" w:cstheme="minorHAnsi"/>
          <w:szCs w:val="24"/>
          <w:lang w:val="cs-CZ"/>
        </w:rPr>
        <w:t>předloženou žádostí o podporu.</w:t>
      </w:r>
    </w:p>
    <w:p w:rsidR="00636E6A" w:rsidRDefault="00636E6A" w:rsidP="00954277">
      <w:pPr>
        <w:rPr>
          <w:rFonts w:ascii="Arial" w:hAnsi="Arial" w:cs="Arial"/>
          <w:sz w:val="22"/>
        </w:rPr>
      </w:pPr>
    </w:p>
    <w:p w:rsidR="0011226C" w:rsidRPr="00B161BB" w:rsidRDefault="0011226C" w:rsidP="00954277">
      <w:pPr>
        <w:rPr>
          <w:rFonts w:asciiTheme="minorHAnsi" w:hAnsiTheme="minorHAnsi" w:cstheme="minorHAnsi"/>
          <w:szCs w:val="24"/>
        </w:rPr>
      </w:pPr>
      <w:r w:rsidRPr="00B161BB">
        <w:rPr>
          <w:rFonts w:asciiTheme="minorHAnsi" w:hAnsiTheme="minorHAnsi" w:cstheme="minorHAnsi"/>
          <w:szCs w:val="24"/>
        </w:rPr>
        <w:t xml:space="preserve">Stavební práce byly zahájeny </w:t>
      </w:r>
      <w:r w:rsidR="00770EBA" w:rsidRPr="00B161BB">
        <w:rPr>
          <w:rFonts w:asciiTheme="minorHAnsi" w:hAnsiTheme="minorHAnsi" w:cstheme="minorHAnsi"/>
          <w:szCs w:val="24"/>
        </w:rPr>
        <w:t xml:space="preserve">dne </w:t>
      </w:r>
      <w:r w:rsidRPr="00B161BB">
        <w:rPr>
          <w:rFonts w:asciiTheme="minorHAnsi" w:hAnsiTheme="minorHAnsi" w:cstheme="minorHAnsi"/>
          <w:szCs w:val="24"/>
        </w:rPr>
        <w:t>30. 11. 2011. Realizace probíhala ve 3 fázích:</w:t>
      </w:r>
    </w:p>
    <w:p w:rsidR="0011226C" w:rsidRPr="00B161BB" w:rsidRDefault="00422497" w:rsidP="00422497">
      <w:pPr>
        <w:ind w:left="709" w:hanging="349"/>
        <w:rPr>
          <w:rFonts w:asciiTheme="minorHAnsi" w:eastAsia="Calibri" w:hAnsiTheme="minorHAnsi" w:cstheme="minorHAnsi"/>
          <w:szCs w:val="24"/>
        </w:rPr>
      </w:pPr>
      <w:r w:rsidRPr="00B161BB">
        <w:rPr>
          <w:rFonts w:asciiTheme="minorHAnsi" w:eastAsia="Calibri" w:hAnsiTheme="minorHAnsi" w:cstheme="minorHAnsi"/>
          <w:szCs w:val="24"/>
        </w:rPr>
        <w:t>1.</w:t>
      </w:r>
      <w:r w:rsidRPr="00B161BB">
        <w:rPr>
          <w:rFonts w:asciiTheme="minorHAnsi" w:eastAsia="Calibri" w:hAnsiTheme="minorHAnsi" w:cstheme="minorHAnsi"/>
          <w:szCs w:val="24"/>
        </w:rPr>
        <w:tab/>
      </w:r>
      <w:r w:rsidR="0011226C" w:rsidRPr="00B161BB">
        <w:rPr>
          <w:rFonts w:asciiTheme="minorHAnsi" w:eastAsia="Calibri" w:hAnsiTheme="minorHAnsi" w:cstheme="minorHAnsi"/>
          <w:szCs w:val="24"/>
        </w:rPr>
        <w:t>zřízení spodní výpusti a hrázky pro dočasné přehrazení nádrže po dobu výstavby z</w:t>
      </w:r>
      <w:r w:rsidR="00EF4308" w:rsidRPr="00B161BB">
        <w:rPr>
          <w:rFonts w:asciiTheme="minorHAnsi" w:eastAsia="Calibri" w:hAnsiTheme="minorHAnsi" w:cstheme="minorHAnsi"/>
          <w:szCs w:val="24"/>
        </w:rPr>
        <w:t> </w:t>
      </w:r>
      <w:r w:rsidR="0011226C" w:rsidRPr="00B161BB">
        <w:rPr>
          <w:rFonts w:asciiTheme="minorHAnsi" w:eastAsia="Calibri" w:hAnsiTheme="minorHAnsi" w:cstheme="minorHAnsi"/>
          <w:szCs w:val="24"/>
        </w:rPr>
        <w:t>důvodu ochrany chráněných druhů</w:t>
      </w:r>
      <w:r w:rsidR="003148F4">
        <w:rPr>
          <w:rFonts w:asciiTheme="minorHAnsi" w:eastAsia="Calibri" w:hAnsiTheme="minorHAnsi" w:cstheme="minorHAnsi"/>
          <w:szCs w:val="24"/>
        </w:rPr>
        <w:t>,</w:t>
      </w:r>
    </w:p>
    <w:p w:rsidR="0011226C" w:rsidRPr="00B161BB" w:rsidRDefault="00422497" w:rsidP="00422497">
      <w:pPr>
        <w:ind w:left="360"/>
        <w:rPr>
          <w:rFonts w:asciiTheme="minorHAnsi" w:eastAsia="Calibri" w:hAnsiTheme="minorHAnsi" w:cstheme="minorHAnsi"/>
          <w:szCs w:val="24"/>
        </w:rPr>
      </w:pPr>
      <w:r w:rsidRPr="00B161BB">
        <w:rPr>
          <w:rFonts w:asciiTheme="minorHAnsi" w:eastAsia="Calibri" w:hAnsiTheme="minorHAnsi" w:cstheme="minorHAnsi"/>
          <w:szCs w:val="24"/>
        </w:rPr>
        <w:t>2.</w:t>
      </w:r>
      <w:r w:rsidRPr="00B161BB">
        <w:rPr>
          <w:rFonts w:asciiTheme="minorHAnsi" w:eastAsia="Calibri" w:hAnsiTheme="minorHAnsi" w:cstheme="minorHAnsi"/>
          <w:szCs w:val="24"/>
        </w:rPr>
        <w:tab/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odstranění sedimentu </w:t>
      </w:r>
      <w:r w:rsidR="0091206F">
        <w:rPr>
          <w:rFonts w:asciiTheme="minorHAnsi" w:eastAsia="Calibri" w:hAnsiTheme="minorHAnsi" w:cstheme="minorHAnsi"/>
          <w:szCs w:val="24"/>
        </w:rPr>
        <w:t>z </w:t>
      </w:r>
      <w:r w:rsidR="0011226C" w:rsidRPr="00B161BB">
        <w:rPr>
          <w:rFonts w:asciiTheme="minorHAnsi" w:eastAsia="Calibri" w:hAnsiTheme="minorHAnsi" w:cstheme="minorHAnsi"/>
          <w:szCs w:val="24"/>
        </w:rPr>
        <w:t>dolní části nádrže</w:t>
      </w:r>
      <w:r w:rsidR="003148F4">
        <w:rPr>
          <w:rFonts w:asciiTheme="minorHAnsi" w:eastAsia="Calibri" w:hAnsiTheme="minorHAnsi" w:cstheme="minorHAnsi"/>
          <w:szCs w:val="24"/>
        </w:rPr>
        <w:t>,</w:t>
      </w:r>
    </w:p>
    <w:p w:rsidR="0011226C" w:rsidRPr="00B161BB" w:rsidRDefault="00422497" w:rsidP="00422497">
      <w:pPr>
        <w:ind w:left="709" w:hanging="349"/>
        <w:rPr>
          <w:rFonts w:asciiTheme="minorHAnsi" w:eastAsia="Calibri" w:hAnsiTheme="minorHAnsi" w:cstheme="minorHAnsi"/>
          <w:szCs w:val="24"/>
        </w:rPr>
      </w:pPr>
      <w:r w:rsidRPr="00B161BB">
        <w:rPr>
          <w:rFonts w:asciiTheme="minorHAnsi" w:eastAsia="Calibri" w:hAnsiTheme="minorHAnsi" w:cstheme="minorHAnsi"/>
          <w:szCs w:val="24"/>
        </w:rPr>
        <w:t>3.</w:t>
      </w:r>
      <w:r w:rsidRPr="00B161BB">
        <w:rPr>
          <w:rFonts w:asciiTheme="minorHAnsi" w:eastAsia="Calibri" w:hAnsiTheme="minorHAnsi" w:cstheme="minorHAnsi"/>
          <w:szCs w:val="24"/>
        </w:rPr>
        <w:tab/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odstranění sedimentu </w:t>
      </w:r>
      <w:r w:rsidR="0091206F">
        <w:rPr>
          <w:rFonts w:asciiTheme="minorHAnsi" w:eastAsia="Calibri" w:hAnsiTheme="minorHAnsi" w:cstheme="minorHAnsi"/>
          <w:szCs w:val="24"/>
        </w:rPr>
        <w:t>z </w:t>
      </w:r>
      <w:r w:rsidR="0011226C" w:rsidRPr="00B161BB">
        <w:rPr>
          <w:rFonts w:asciiTheme="minorHAnsi" w:eastAsia="Calibri" w:hAnsiTheme="minorHAnsi" w:cstheme="minorHAnsi"/>
          <w:szCs w:val="24"/>
        </w:rPr>
        <w:t>horní části nádrže a zřízení záchytné hrázky a ostrova v</w:t>
      </w:r>
      <w:r w:rsidR="00EF4308" w:rsidRPr="00B161BB">
        <w:rPr>
          <w:rFonts w:asciiTheme="minorHAnsi" w:eastAsia="Calibri" w:hAnsiTheme="minorHAnsi" w:cstheme="minorHAnsi"/>
          <w:szCs w:val="24"/>
        </w:rPr>
        <w:t> 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nádrži </w:t>
      </w:r>
      <w:r w:rsidR="0091206F">
        <w:rPr>
          <w:rFonts w:asciiTheme="minorHAnsi" w:eastAsia="Calibri" w:hAnsiTheme="minorHAnsi" w:cstheme="minorHAnsi"/>
          <w:szCs w:val="24"/>
        </w:rPr>
        <w:t>s 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litorálním pásmem. </w:t>
      </w:r>
    </w:p>
    <w:p w:rsidR="00D056E6" w:rsidRPr="00B161BB" w:rsidRDefault="00D056E6" w:rsidP="00954277">
      <w:pPr>
        <w:rPr>
          <w:rFonts w:asciiTheme="minorHAnsi" w:eastAsia="Calibri" w:hAnsiTheme="minorHAnsi" w:cstheme="minorHAnsi"/>
          <w:szCs w:val="24"/>
        </w:rPr>
      </w:pPr>
    </w:p>
    <w:p w:rsidR="00FD4C52" w:rsidRPr="00B161BB" w:rsidRDefault="00422497" w:rsidP="00954277">
      <w:pPr>
        <w:rPr>
          <w:rFonts w:asciiTheme="minorHAnsi" w:eastAsia="Calibri" w:hAnsiTheme="minorHAnsi" w:cstheme="minorHAnsi"/>
          <w:szCs w:val="24"/>
        </w:rPr>
      </w:pPr>
      <w:r w:rsidRPr="00B161BB">
        <w:rPr>
          <w:rFonts w:asciiTheme="minorHAnsi" w:eastAsia="Calibri" w:hAnsiTheme="minorHAnsi" w:cstheme="minorHAnsi"/>
          <w:szCs w:val="24"/>
        </w:rPr>
        <w:t>Město Tábor v</w:t>
      </w:r>
      <w:r w:rsidR="0011226C" w:rsidRPr="00B161BB">
        <w:rPr>
          <w:rFonts w:asciiTheme="minorHAnsi" w:eastAsia="Calibri" w:hAnsiTheme="minorHAnsi" w:cstheme="minorHAnsi"/>
          <w:szCs w:val="24"/>
        </w:rPr>
        <w:t> průběhu realizace Projektu informoval</w:t>
      </w:r>
      <w:r w:rsidR="00D056E6" w:rsidRPr="00B161BB">
        <w:rPr>
          <w:rFonts w:asciiTheme="minorHAnsi" w:eastAsia="Calibri" w:hAnsiTheme="minorHAnsi" w:cstheme="minorHAnsi"/>
          <w:szCs w:val="24"/>
        </w:rPr>
        <w:t>o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 SFŽP o všech okolnostech, které měly vliv na plnění povinností příjemce dotace</w:t>
      </w:r>
      <w:r w:rsidR="00FD4C52" w:rsidRPr="00B161BB">
        <w:rPr>
          <w:rFonts w:asciiTheme="minorHAnsi" w:eastAsia="Calibri" w:hAnsiTheme="minorHAnsi" w:cstheme="minorHAnsi"/>
          <w:szCs w:val="24"/>
        </w:rPr>
        <w:t>.</w:t>
      </w:r>
    </w:p>
    <w:p w:rsidR="00C9692A" w:rsidRDefault="00C9692A" w:rsidP="00954277">
      <w:pPr>
        <w:rPr>
          <w:rFonts w:asciiTheme="minorHAnsi" w:eastAsia="Calibri" w:hAnsiTheme="minorHAnsi" w:cstheme="minorHAnsi"/>
          <w:szCs w:val="24"/>
        </w:rPr>
      </w:pPr>
    </w:p>
    <w:p w:rsidR="00FD4C52" w:rsidRPr="00B161BB" w:rsidRDefault="00B21D91" w:rsidP="00954277">
      <w:pPr>
        <w:rPr>
          <w:rFonts w:asciiTheme="minorHAnsi" w:eastAsia="Calibri" w:hAnsiTheme="minorHAnsi" w:cstheme="minorHAnsi"/>
          <w:szCs w:val="24"/>
        </w:rPr>
      </w:pPr>
      <w:r w:rsidRPr="00B161BB">
        <w:rPr>
          <w:rFonts w:asciiTheme="minorHAnsi" w:eastAsia="Calibri" w:hAnsiTheme="minorHAnsi" w:cstheme="minorHAnsi"/>
          <w:szCs w:val="24"/>
        </w:rPr>
        <w:t>Během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 realizace stavby byly provedeny </w:t>
      </w:r>
      <w:r w:rsidRPr="00B161BB">
        <w:rPr>
          <w:rFonts w:asciiTheme="minorHAnsi" w:eastAsia="Calibri" w:hAnsiTheme="minorHAnsi" w:cstheme="minorHAnsi"/>
          <w:szCs w:val="24"/>
        </w:rPr>
        <w:t>změny</w:t>
      </w:r>
      <w:r w:rsidR="0011226C" w:rsidRPr="00B161BB">
        <w:rPr>
          <w:rFonts w:asciiTheme="minorHAnsi" w:eastAsia="Calibri" w:hAnsiTheme="minorHAnsi" w:cstheme="minorHAnsi"/>
          <w:szCs w:val="24"/>
        </w:rPr>
        <w:t>, které byly řešeny a popsány v</w:t>
      </w:r>
      <w:r w:rsidR="00EF4308" w:rsidRPr="00B161BB">
        <w:rPr>
          <w:rFonts w:asciiTheme="minorHAnsi" w:eastAsia="Calibri" w:hAnsiTheme="minorHAnsi" w:cstheme="minorHAnsi"/>
          <w:szCs w:val="24"/>
        </w:rPr>
        <w:t> </w:t>
      </w:r>
      <w:r w:rsidR="00CF5176" w:rsidRPr="00B161BB">
        <w:rPr>
          <w:rFonts w:asciiTheme="minorHAnsi" w:eastAsia="Calibri" w:hAnsiTheme="minorHAnsi" w:cstheme="minorHAnsi"/>
          <w:szCs w:val="24"/>
        </w:rPr>
        <w:t>54</w:t>
      </w:r>
      <w:r w:rsidR="0011226C" w:rsidRPr="00B161BB">
        <w:rPr>
          <w:rFonts w:asciiTheme="minorHAnsi" w:eastAsia="Calibri" w:hAnsiTheme="minorHAnsi" w:cstheme="minorHAnsi"/>
          <w:szCs w:val="24"/>
        </w:rPr>
        <w:t> změnových listech</w:t>
      </w:r>
      <w:r w:rsidR="00CF5176" w:rsidRPr="00B161BB">
        <w:rPr>
          <w:rFonts w:asciiTheme="minorHAnsi" w:eastAsia="Calibri" w:hAnsiTheme="minorHAnsi" w:cstheme="minorHAnsi"/>
          <w:szCs w:val="24"/>
        </w:rPr>
        <w:t>.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 </w:t>
      </w:r>
      <w:r w:rsidR="00CF5176" w:rsidRPr="00B161BB">
        <w:rPr>
          <w:rFonts w:asciiTheme="minorHAnsi" w:eastAsia="Calibri" w:hAnsiTheme="minorHAnsi" w:cstheme="minorHAnsi"/>
          <w:szCs w:val="24"/>
        </w:rPr>
        <w:t>Z</w:t>
      </w:r>
      <w:r w:rsidR="0011226C" w:rsidRPr="00B161BB">
        <w:rPr>
          <w:rFonts w:asciiTheme="minorHAnsi" w:eastAsia="Calibri" w:hAnsiTheme="minorHAnsi" w:cstheme="minorHAnsi"/>
          <w:szCs w:val="24"/>
        </w:rPr>
        <w:t>měnov</w:t>
      </w:r>
      <w:r w:rsidR="008A0AE8" w:rsidRPr="00B161BB">
        <w:rPr>
          <w:rFonts w:asciiTheme="minorHAnsi" w:eastAsia="Calibri" w:hAnsiTheme="minorHAnsi" w:cstheme="minorHAnsi"/>
          <w:szCs w:val="24"/>
        </w:rPr>
        <w:t>é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 list</w:t>
      </w:r>
      <w:r w:rsidR="00CF5176" w:rsidRPr="00B161BB">
        <w:rPr>
          <w:rFonts w:asciiTheme="minorHAnsi" w:eastAsia="Calibri" w:hAnsiTheme="minorHAnsi" w:cstheme="minorHAnsi"/>
          <w:szCs w:val="24"/>
        </w:rPr>
        <w:t>y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 </w:t>
      </w:r>
      <w:r w:rsidR="00CF5176" w:rsidRPr="00B161BB">
        <w:rPr>
          <w:rFonts w:asciiTheme="minorHAnsi" w:eastAsia="Calibri" w:hAnsiTheme="minorHAnsi" w:cstheme="minorHAnsi"/>
          <w:szCs w:val="24"/>
        </w:rPr>
        <w:t>obsahovaly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 oceněné výkazy výměr</w:t>
      </w:r>
      <w:r w:rsidR="00CF5176" w:rsidRPr="00B161BB">
        <w:rPr>
          <w:rFonts w:asciiTheme="minorHAnsi" w:eastAsia="Calibri" w:hAnsiTheme="minorHAnsi" w:cstheme="minorHAnsi"/>
          <w:szCs w:val="24"/>
        </w:rPr>
        <w:t>, popis a zdůvodnění změn</w:t>
      </w:r>
      <w:r w:rsidR="0011226C" w:rsidRPr="00B161BB">
        <w:rPr>
          <w:rFonts w:asciiTheme="minorHAnsi" w:eastAsia="Calibri" w:hAnsiTheme="minorHAnsi" w:cstheme="minorHAnsi"/>
          <w:szCs w:val="24"/>
        </w:rPr>
        <w:t xml:space="preserve">. </w:t>
      </w:r>
      <w:r w:rsidR="00CF5176" w:rsidRPr="00B161BB">
        <w:rPr>
          <w:rFonts w:asciiTheme="minorHAnsi" w:eastAsia="Calibri" w:hAnsiTheme="minorHAnsi" w:cstheme="minorHAnsi"/>
          <w:szCs w:val="24"/>
        </w:rPr>
        <w:t>Všechny změny byly odsouhlaseny objednatelem, správcem stavby, zhotovitelem a SFŽP.</w:t>
      </w:r>
    </w:p>
    <w:p w:rsidR="00C9692A" w:rsidRDefault="00C9692A" w:rsidP="00954277">
      <w:pPr>
        <w:rPr>
          <w:rFonts w:asciiTheme="minorHAnsi" w:eastAsia="Calibri" w:hAnsiTheme="minorHAnsi" w:cstheme="minorHAnsi"/>
          <w:szCs w:val="24"/>
        </w:rPr>
      </w:pPr>
    </w:p>
    <w:p w:rsidR="0066668B" w:rsidRPr="00B161BB" w:rsidRDefault="00DA725F" w:rsidP="00954277">
      <w:pPr>
        <w:rPr>
          <w:rFonts w:asciiTheme="minorHAnsi" w:hAnsiTheme="minorHAnsi" w:cstheme="minorHAnsi"/>
          <w:szCs w:val="24"/>
        </w:rPr>
      </w:pPr>
      <w:r w:rsidRPr="00B161BB">
        <w:rPr>
          <w:rFonts w:asciiTheme="minorHAnsi" w:eastAsia="Calibri" w:hAnsiTheme="minorHAnsi" w:cstheme="minorHAnsi"/>
          <w:szCs w:val="24"/>
        </w:rPr>
        <w:t>Cena stavebních prací se v průběhu</w:t>
      </w:r>
      <w:r w:rsidR="00577842" w:rsidRPr="00B161BB">
        <w:rPr>
          <w:rFonts w:asciiTheme="minorHAnsi" w:eastAsia="Calibri" w:hAnsiTheme="minorHAnsi" w:cstheme="minorHAnsi"/>
          <w:szCs w:val="24"/>
        </w:rPr>
        <w:t xml:space="preserve"> </w:t>
      </w:r>
      <w:r w:rsidRPr="00B161BB">
        <w:rPr>
          <w:rFonts w:asciiTheme="minorHAnsi" w:eastAsia="Calibri" w:hAnsiTheme="minorHAnsi" w:cstheme="minorHAnsi"/>
          <w:szCs w:val="24"/>
        </w:rPr>
        <w:t>realizace díla z</w:t>
      </w:r>
      <w:r w:rsidR="00B161BB">
        <w:rPr>
          <w:rFonts w:asciiTheme="minorHAnsi" w:eastAsia="Calibri" w:hAnsiTheme="minorHAnsi" w:cstheme="minorHAnsi"/>
          <w:szCs w:val="24"/>
        </w:rPr>
        <w:t>výšila vlivem změny sazby DPH a </w:t>
      </w:r>
      <w:r w:rsidRPr="00B161BB">
        <w:rPr>
          <w:rFonts w:asciiTheme="minorHAnsi" w:eastAsia="Calibri" w:hAnsiTheme="minorHAnsi" w:cstheme="minorHAnsi"/>
          <w:szCs w:val="24"/>
        </w:rPr>
        <w:t xml:space="preserve">povodňových škod ze 446 498 468 Kč včetně DPH na 486 797 822,60 Kč včetně DPH. </w:t>
      </w:r>
      <w:r w:rsidR="0011226C" w:rsidRPr="00B161BB">
        <w:rPr>
          <w:rFonts w:asciiTheme="minorHAnsi" w:hAnsiTheme="minorHAnsi" w:cstheme="minorHAnsi"/>
          <w:szCs w:val="24"/>
        </w:rPr>
        <w:t xml:space="preserve">Stavební práce byly </w:t>
      </w:r>
      <w:r w:rsidR="0091206F">
        <w:rPr>
          <w:rFonts w:asciiTheme="minorHAnsi" w:hAnsiTheme="minorHAnsi" w:cstheme="minorHAnsi"/>
          <w:szCs w:val="24"/>
        </w:rPr>
        <w:t>v </w:t>
      </w:r>
      <w:r w:rsidR="0011226C" w:rsidRPr="00B161BB">
        <w:rPr>
          <w:rFonts w:asciiTheme="minorHAnsi" w:hAnsiTheme="minorHAnsi" w:cstheme="minorHAnsi"/>
          <w:szCs w:val="24"/>
        </w:rPr>
        <w:t xml:space="preserve">souladu se </w:t>
      </w:r>
      <w:r w:rsidR="008A0AE8" w:rsidRPr="00B161BB">
        <w:rPr>
          <w:rFonts w:asciiTheme="minorHAnsi" w:hAnsiTheme="minorHAnsi" w:cstheme="minorHAnsi"/>
          <w:szCs w:val="24"/>
        </w:rPr>
        <w:t>smlouvou o dílo</w:t>
      </w:r>
      <w:r w:rsidR="00C9692A">
        <w:rPr>
          <w:rFonts w:asciiTheme="minorHAnsi" w:hAnsiTheme="minorHAnsi" w:cstheme="minorHAnsi"/>
          <w:szCs w:val="24"/>
        </w:rPr>
        <w:t xml:space="preserve"> a</w:t>
      </w:r>
      <w:r w:rsidR="0011226C" w:rsidRPr="00B161BB">
        <w:rPr>
          <w:rFonts w:asciiTheme="minorHAnsi" w:hAnsiTheme="minorHAnsi" w:cstheme="minorHAnsi"/>
          <w:szCs w:val="24"/>
        </w:rPr>
        <w:t xml:space="preserve"> harmonogramem stavby dokončeny k 30. 7. 2014</w:t>
      </w:r>
      <w:r w:rsidRPr="00B161BB">
        <w:rPr>
          <w:rFonts w:asciiTheme="minorHAnsi" w:hAnsiTheme="minorHAnsi" w:cstheme="minorHAnsi"/>
          <w:szCs w:val="24"/>
        </w:rPr>
        <w:t>.</w:t>
      </w:r>
      <w:r w:rsidR="0011226C" w:rsidRPr="00B161BB">
        <w:rPr>
          <w:rFonts w:asciiTheme="minorHAnsi" w:hAnsiTheme="minorHAnsi" w:cstheme="minorHAnsi"/>
          <w:szCs w:val="24"/>
        </w:rPr>
        <w:t xml:space="preserve"> </w:t>
      </w:r>
    </w:p>
    <w:p w:rsidR="00C9692A" w:rsidRDefault="00C9692A" w:rsidP="00954277">
      <w:pPr>
        <w:rPr>
          <w:rFonts w:asciiTheme="minorHAnsi" w:hAnsiTheme="minorHAnsi" w:cstheme="minorHAnsi"/>
          <w:szCs w:val="24"/>
        </w:rPr>
      </w:pPr>
    </w:p>
    <w:p w:rsidR="00636E6A" w:rsidRPr="00B161BB" w:rsidRDefault="0011226C" w:rsidP="00954277">
      <w:pPr>
        <w:rPr>
          <w:rFonts w:asciiTheme="minorHAnsi" w:hAnsiTheme="minorHAnsi" w:cstheme="minorHAnsi"/>
          <w:szCs w:val="24"/>
        </w:rPr>
      </w:pPr>
      <w:r w:rsidRPr="00B161BB">
        <w:rPr>
          <w:rFonts w:asciiTheme="minorHAnsi" w:hAnsiTheme="minorHAnsi" w:cstheme="minorHAnsi"/>
          <w:szCs w:val="24"/>
        </w:rPr>
        <w:t>Dne 10. 7. 2014 vydal Krajský úřad Jihočeského kraje – odbor životního prostředí, zemědělství a lesnictví rozhodnutí, kterým povolil</w:t>
      </w:r>
      <w:r w:rsidR="0048616A" w:rsidRPr="00B161BB">
        <w:rPr>
          <w:rFonts w:asciiTheme="minorHAnsi" w:hAnsiTheme="minorHAnsi" w:cstheme="minorHAnsi"/>
          <w:szCs w:val="24"/>
        </w:rPr>
        <w:t xml:space="preserve"> zkušební provoz stavby do 30. 6. 2015</w:t>
      </w:r>
      <w:r w:rsidR="00A659E3" w:rsidRPr="00B161BB">
        <w:rPr>
          <w:rFonts w:asciiTheme="minorHAnsi" w:hAnsiTheme="minorHAnsi" w:cstheme="minorHAnsi"/>
          <w:szCs w:val="24"/>
        </w:rPr>
        <w:t>.</w:t>
      </w:r>
    </w:p>
    <w:p w:rsidR="00636E6A" w:rsidRPr="00B161BB" w:rsidRDefault="00636E6A" w:rsidP="00954277">
      <w:pPr>
        <w:rPr>
          <w:rFonts w:asciiTheme="minorHAnsi" w:hAnsiTheme="minorHAnsi" w:cstheme="minorHAnsi"/>
          <w:szCs w:val="24"/>
        </w:rPr>
      </w:pPr>
    </w:p>
    <w:p w:rsidR="00A935C8" w:rsidRDefault="00037AEB" w:rsidP="00954277">
      <w:pPr>
        <w:rPr>
          <w:rFonts w:asciiTheme="minorHAnsi" w:eastAsia="Calibri" w:hAnsiTheme="minorHAnsi" w:cstheme="minorHAnsi"/>
          <w:szCs w:val="24"/>
        </w:rPr>
      </w:pPr>
      <w:r w:rsidRPr="00B161BB">
        <w:rPr>
          <w:rFonts w:asciiTheme="minorHAnsi" w:hAnsiTheme="minorHAnsi" w:cstheme="minorHAnsi"/>
          <w:szCs w:val="24"/>
        </w:rPr>
        <w:t xml:space="preserve">K 30. 6. 2014 činily celkové výdaje Projektu </w:t>
      </w:r>
      <w:r w:rsidRPr="00B161BB">
        <w:rPr>
          <w:rFonts w:asciiTheme="minorHAnsi" w:hAnsiTheme="minorHAnsi" w:cstheme="minorHAnsi"/>
          <w:color w:val="000000"/>
          <w:szCs w:val="24"/>
        </w:rPr>
        <w:t>419 939 492,52 Kč</w:t>
      </w:r>
      <w:r w:rsidRPr="00B161BB">
        <w:rPr>
          <w:rFonts w:asciiTheme="minorHAnsi" w:hAnsiTheme="minorHAnsi" w:cstheme="minorHAnsi"/>
          <w:szCs w:val="24"/>
        </w:rPr>
        <w:t xml:space="preserve">. Z toho veřejné způsobilé výdaje </w:t>
      </w:r>
      <w:r w:rsidR="00792B5C" w:rsidRPr="00B161BB">
        <w:rPr>
          <w:rFonts w:asciiTheme="minorHAnsi" w:hAnsiTheme="minorHAnsi" w:cstheme="minorHAnsi"/>
          <w:szCs w:val="24"/>
        </w:rPr>
        <w:t xml:space="preserve">uplatněné příjemcem dotace </w:t>
      </w:r>
      <w:r w:rsidR="00D03EE1" w:rsidRPr="00B161BB">
        <w:rPr>
          <w:rFonts w:asciiTheme="minorHAnsi" w:hAnsiTheme="minorHAnsi" w:cstheme="minorHAnsi"/>
          <w:szCs w:val="24"/>
        </w:rPr>
        <w:t xml:space="preserve">v žádostech o platbu </w:t>
      </w:r>
      <w:r w:rsidRPr="00B161BB">
        <w:rPr>
          <w:rFonts w:asciiTheme="minorHAnsi" w:hAnsiTheme="minorHAnsi" w:cstheme="minorHAnsi"/>
          <w:szCs w:val="24"/>
        </w:rPr>
        <w:t>představovaly 355 792 167,02</w:t>
      </w:r>
      <w:r w:rsidR="0032511A">
        <w:rPr>
          <w:rFonts w:asciiTheme="minorHAnsi" w:hAnsiTheme="minorHAnsi" w:cstheme="minorHAnsi"/>
          <w:szCs w:val="24"/>
        </w:rPr>
        <w:t> </w:t>
      </w:r>
      <w:r w:rsidRPr="00B161BB">
        <w:rPr>
          <w:rFonts w:asciiTheme="minorHAnsi" w:hAnsiTheme="minorHAnsi" w:cstheme="minorHAnsi"/>
          <w:szCs w:val="24"/>
        </w:rPr>
        <w:t xml:space="preserve">Kč. Příjemce dotace k 30. 6. 2014 čerpal </w:t>
      </w:r>
      <w:r w:rsidR="0085206B" w:rsidRPr="00B161BB">
        <w:rPr>
          <w:rFonts w:asciiTheme="minorHAnsi" w:hAnsiTheme="minorHAnsi" w:cstheme="minorHAnsi"/>
          <w:szCs w:val="24"/>
        </w:rPr>
        <w:t xml:space="preserve">na realizaci </w:t>
      </w:r>
      <w:r w:rsidR="00B21D91" w:rsidRPr="00B161BB">
        <w:rPr>
          <w:rFonts w:asciiTheme="minorHAnsi" w:hAnsiTheme="minorHAnsi" w:cstheme="minorHAnsi"/>
          <w:szCs w:val="24"/>
        </w:rPr>
        <w:t>P</w:t>
      </w:r>
      <w:r w:rsidR="0085206B" w:rsidRPr="00B161BB">
        <w:rPr>
          <w:rFonts w:asciiTheme="minorHAnsi" w:hAnsiTheme="minorHAnsi" w:cstheme="minorHAnsi"/>
          <w:szCs w:val="24"/>
        </w:rPr>
        <w:t>rojektu podporu z ERDF ve výši 302 423 341,55</w:t>
      </w:r>
      <w:r w:rsidR="009E4B67">
        <w:rPr>
          <w:rFonts w:asciiTheme="minorHAnsi" w:hAnsiTheme="minorHAnsi" w:cstheme="minorHAnsi"/>
          <w:szCs w:val="24"/>
        </w:rPr>
        <w:t> </w:t>
      </w:r>
      <w:r w:rsidR="0085206B" w:rsidRPr="00B161BB">
        <w:rPr>
          <w:rFonts w:asciiTheme="minorHAnsi" w:hAnsiTheme="minorHAnsi" w:cstheme="minorHAnsi"/>
          <w:szCs w:val="24"/>
        </w:rPr>
        <w:t>Kč (85 % veřejných způsobilých výdajů) a 17 789 608,23 Kč ze SFŽP (</w:t>
      </w:r>
      <w:r w:rsidR="00D03EE1" w:rsidRPr="00B161BB">
        <w:rPr>
          <w:rFonts w:asciiTheme="minorHAnsi" w:hAnsiTheme="minorHAnsi" w:cstheme="minorHAnsi"/>
          <w:szCs w:val="24"/>
        </w:rPr>
        <w:t>5</w:t>
      </w:r>
      <w:r w:rsidR="00EF4308" w:rsidRPr="00B161BB">
        <w:rPr>
          <w:rFonts w:asciiTheme="minorHAnsi" w:hAnsiTheme="minorHAnsi" w:cstheme="minorHAnsi"/>
          <w:szCs w:val="24"/>
        </w:rPr>
        <w:t> </w:t>
      </w:r>
      <w:r w:rsidR="00D03EE1" w:rsidRPr="00B161BB">
        <w:rPr>
          <w:rFonts w:asciiTheme="minorHAnsi" w:hAnsiTheme="minorHAnsi" w:cstheme="minorHAnsi"/>
          <w:szCs w:val="24"/>
        </w:rPr>
        <w:t>%</w:t>
      </w:r>
      <w:r w:rsidR="00EF4308" w:rsidRPr="00B161BB">
        <w:rPr>
          <w:rFonts w:asciiTheme="minorHAnsi" w:hAnsiTheme="minorHAnsi" w:cstheme="minorHAnsi"/>
          <w:szCs w:val="24"/>
        </w:rPr>
        <w:t> </w:t>
      </w:r>
      <w:r w:rsidR="00D03EE1" w:rsidRPr="00B161BB">
        <w:rPr>
          <w:rFonts w:asciiTheme="minorHAnsi" w:hAnsiTheme="minorHAnsi" w:cstheme="minorHAnsi"/>
          <w:szCs w:val="24"/>
        </w:rPr>
        <w:t>veřejných způsobilých výdajů).</w:t>
      </w:r>
      <w:r w:rsidR="0085206B" w:rsidRPr="00B161BB">
        <w:rPr>
          <w:rFonts w:asciiTheme="minorHAnsi" w:hAnsiTheme="minorHAnsi" w:cstheme="minorHAnsi"/>
          <w:szCs w:val="24"/>
        </w:rPr>
        <w:t xml:space="preserve"> </w:t>
      </w:r>
      <w:r w:rsidR="00D03EE1" w:rsidRPr="00B161BB">
        <w:rPr>
          <w:rFonts w:asciiTheme="minorHAnsi" w:hAnsiTheme="minorHAnsi" w:cstheme="minorHAnsi"/>
          <w:szCs w:val="24"/>
        </w:rPr>
        <w:t>Výdaje Projektu uplatněné příjemcem dotace v žádostech o platbu</w:t>
      </w:r>
      <w:r w:rsidR="000B31A7" w:rsidRPr="00B161BB">
        <w:rPr>
          <w:rFonts w:asciiTheme="minorHAnsi" w:eastAsia="Calibri" w:hAnsiTheme="minorHAnsi" w:cstheme="minorHAnsi"/>
          <w:szCs w:val="24"/>
        </w:rPr>
        <w:t xml:space="preserve"> byly přímo a výhradně spojeny s realizací Projektu</w:t>
      </w:r>
      <w:r w:rsidR="00405B16" w:rsidRPr="00B161BB">
        <w:rPr>
          <w:rFonts w:asciiTheme="minorHAnsi" w:eastAsia="Calibri" w:hAnsiTheme="minorHAnsi" w:cstheme="minorHAnsi"/>
          <w:szCs w:val="24"/>
        </w:rPr>
        <w:t>.</w:t>
      </w:r>
      <w:r w:rsidR="000B31A7" w:rsidRPr="00B161BB">
        <w:rPr>
          <w:rFonts w:asciiTheme="minorHAnsi" w:eastAsia="Calibri" w:hAnsiTheme="minorHAnsi" w:cstheme="minorHAnsi"/>
          <w:szCs w:val="24"/>
        </w:rPr>
        <w:t xml:space="preserve"> </w:t>
      </w:r>
      <w:r w:rsidR="00405B16" w:rsidRPr="00B161BB">
        <w:rPr>
          <w:rFonts w:asciiTheme="minorHAnsi" w:eastAsia="Calibri" w:hAnsiTheme="minorHAnsi" w:cstheme="minorHAnsi"/>
          <w:szCs w:val="24"/>
        </w:rPr>
        <w:t>S</w:t>
      </w:r>
      <w:r w:rsidR="000B31A7" w:rsidRPr="00B161BB">
        <w:rPr>
          <w:rFonts w:asciiTheme="minorHAnsi" w:eastAsia="Calibri" w:hAnsiTheme="minorHAnsi" w:cstheme="minorHAnsi"/>
          <w:szCs w:val="24"/>
        </w:rPr>
        <w:t>plňovaly podmínky věcné, časové a místní způsobilosti a byly doloženy účetními doklady.</w:t>
      </w:r>
    </w:p>
    <w:p w:rsidR="00EF0795" w:rsidRPr="00B161BB" w:rsidRDefault="00EF0795" w:rsidP="00954277">
      <w:pPr>
        <w:rPr>
          <w:rFonts w:asciiTheme="minorHAnsi" w:eastAsia="Calibri" w:hAnsiTheme="minorHAnsi" w:cstheme="minorHAnsi"/>
          <w:szCs w:val="24"/>
        </w:rPr>
      </w:pPr>
    </w:p>
    <w:p w:rsidR="00C14EAE" w:rsidRPr="00B161BB" w:rsidRDefault="00A935C8" w:rsidP="00954277">
      <w:pPr>
        <w:rPr>
          <w:rFonts w:asciiTheme="minorHAnsi" w:hAnsiTheme="minorHAnsi" w:cstheme="minorHAnsi"/>
          <w:szCs w:val="24"/>
        </w:rPr>
      </w:pPr>
      <w:r w:rsidRPr="00B161BB">
        <w:rPr>
          <w:rFonts w:asciiTheme="minorHAnsi" w:hAnsiTheme="minorHAnsi" w:cstheme="minorHAnsi"/>
          <w:szCs w:val="24"/>
        </w:rPr>
        <w:t xml:space="preserve">Příjemce dotace účtoval o veškerých příjmech a výdajích Projektu </w:t>
      </w:r>
      <w:r w:rsidR="0091206F">
        <w:rPr>
          <w:rFonts w:asciiTheme="minorHAnsi" w:hAnsiTheme="minorHAnsi" w:cstheme="minorHAnsi"/>
          <w:szCs w:val="24"/>
        </w:rPr>
        <w:t>v </w:t>
      </w:r>
      <w:r w:rsidRPr="00B161BB">
        <w:rPr>
          <w:rFonts w:asciiTheme="minorHAnsi" w:hAnsiTheme="minorHAnsi" w:cstheme="minorHAnsi"/>
          <w:szCs w:val="24"/>
        </w:rPr>
        <w:t>souladu se zákonem č.</w:t>
      </w:r>
      <w:r w:rsidR="00642924" w:rsidRPr="00B161BB">
        <w:rPr>
          <w:rFonts w:asciiTheme="minorHAnsi" w:hAnsiTheme="minorHAnsi" w:cstheme="minorHAnsi"/>
          <w:szCs w:val="24"/>
        </w:rPr>
        <w:t> </w:t>
      </w:r>
      <w:r w:rsidRPr="00B161BB">
        <w:rPr>
          <w:rFonts w:asciiTheme="minorHAnsi" w:hAnsiTheme="minorHAnsi" w:cstheme="minorHAnsi"/>
          <w:szCs w:val="24"/>
        </w:rPr>
        <w:t>563/1991 Sb.</w:t>
      </w:r>
      <w:r w:rsidR="00642924" w:rsidRPr="00B161BB">
        <w:rPr>
          <w:rStyle w:val="Znakapoznpodarou"/>
          <w:rFonts w:asciiTheme="minorHAnsi" w:hAnsiTheme="minorHAnsi" w:cstheme="minorHAnsi"/>
          <w:szCs w:val="24"/>
        </w:rPr>
        <w:footnoteReference w:id="5"/>
      </w:r>
      <w:r w:rsidRPr="00B161BB">
        <w:rPr>
          <w:rFonts w:asciiTheme="minorHAnsi" w:hAnsiTheme="minorHAnsi" w:cstheme="minorHAnsi"/>
          <w:szCs w:val="24"/>
        </w:rPr>
        <w:t xml:space="preserve"> a vedl analytickou účetní evidenci </w:t>
      </w:r>
      <w:r w:rsidR="0091206F">
        <w:rPr>
          <w:rFonts w:asciiTheme="minorHAnsi" w:hAnsiTheme="minorHAnsi" w:cstheme="minorHAnsi"/>
          <w:szCs w:val="24"/>
        </w:rPr>
        <w:t>s </w:t>
      </w:r>
      <w:r w:rsidRPr="00B161BB">
        <w:rPr>
          <w:rFonts w:asciiTheme="minorHAnsi" w:hAnsiTheme="minorHAnsi" w:cstheme="minorHAnsi"/>
          <w:szCs w:val="24"/>
        </w:rPr>
        <w:t>vazbou na Projekt.</w:t>
      </w:r>
      <w:r w:rsidR="00D03EE1" w:rsidRPr="00B161BB">
        <w:rPr>
          <w:rFonts w:asciiTheme="minorHAnsi" w:hAnsiTheme="minorHAnsi" w:cstheme="minorHAnsi"/>
          <w:szCs w:val="24"/>
        </w:rPr>
        <w:t xml:space="preserve">  </w:t>
      </w:r>
    </w:p>
    <w:p w:rsidR="00611E76" w:rsidRPr="00B161BB" w:rsidRDefault="00611E76" w:rsidP="000F3025">
      <w:pPr>
        <w:jc w:val="left"/>
        <w:rPr>
          <w:rFonts w:asciiTheme="minorHAnsi" w:hAnsiTheme="minorHAnsi" w:cstheme="minorHAnsi"/>
          <w:b/>
          <w:szCs w:val="24"/>
        </w:rPr>
      </w:pPr>
    </w:p>
    <w:p w:rsidR="00A935C8" w:rsidRPr="00B161BB" w:rsidRDefault="00A935C8" w:rsidP="00954277">
      <w:pPr>
        <w:rPr>
          <w:rFonts w:asciiTheme="minorHAnsi" w:hAnsiTheme="minorHAnsi" w:cstheme="minorHAnsi"/>
          <w:szCs w:val="24"/>
        </w:rPr>
      </w:pPr>
      <w:r w:rsidRPr="00B161BB">
        <w:rPr>
          <w:rFonts w:asciiTheme="minorHAnsi" w:hAnsiTheme="minorHAnsi" w:cstheme="minorHAnsi"/>
          <w:szCs w:val="24"/>
        </w:rPr>
        <w:t xml:space="preserve">Publicitu Projektu příjemce dotace zajistil v souladu s požadavky uvedenými </w:t>
      </w:r>
      <w:r w:rsidR="0091206F">
        <w:rPr>
          <w:rFonts w:asciiTheme="minorHAnsi" w:hAnsiTheme="minorHAnsi" w:cstheme="minorHAnsi"/>
          <w:szCs w:val="24"/>
        </w:rPr>
        <w:t>v </w:t>
      </w:r>
      <w:r w:rsidRPr="000F3025">
        <w:rPr>
          <w:rFonts w:asciiTheme="minorHAnsi" w:hAnsiTheme="minorHAnsi" w:cstheme="minorHAnsi"/>
          <w:i/>
          <w:szCs w:val="24"/>
        </w:rPr>
        <w:t>Závazných pokynech pro žadatele a příjemce podpory v</w:t>
      </w:r>
      <w:r w:rsidR="00642924" w:rsidRPr="000F3025">
        <w:rPr>
          <w:rFonts w:asciiTheme="minorHAnsi" w:hAnsiTheme="minorHAnsi" w:cstheme="minorHAnsi"/>
          <w:i/>
          <w:szCs w:val="24"/>
        </w:rPr>
        <w:t> </w:t>
      </w:r>
      <w:r w:rsidRPr="000F3025">
        <w:rPr>
          <w:rFonts w:asciiTheme="minorHAnsi" w:hAnsiTheme="minorHAnsi" w:cstheme="minorHAnsi"/>
          <w:i/>
          <w:szCs w:val="24"/>
        </w:rPr>
        <w:t>OPŽP</w:t>
      </w:r>
      <w:r w:rsidR="00642924" w:rsidRPr="00B161BB">
        <w:rPr>
          <w:rFonts w:asciiTheme="minorHAnsi" w:hAnsiTheme="minorHAnsi" w:cstheme="minorHAnsi"/>
          <w:szCs w:val="24"/>
        </w:rPr>
        <w:t>.</w:t>
      </w:r>
    </w:p>
    <w:p w:rsidR="00422497" w:rsidRDefault="00422497" w:rsidP="00954277">
      <w:pPr>
        <w:rPr>
          <w:rFonts w:ascii="Arial" w:hAnsi="Arial" w:cs="Arial"/>
          <w:sz w:val="22"/>
        </w:rPr>
      </w:pPr>
    </w:p>
    <w:p w:rsidR="00422497" w:rsidRDefault="00422497" w:rsidP="00954277">
      <w:pPr>
        <w:rPr>
          <w:rFonts w:ascii="Arial" w:hAnsi="Arial" w:cs="Arial"/>
          <w:sz w:val="22"/>
        </w:rPr>
      </w:pPr>
    </w:p>
    <w:p w:rsidR="005D3E1F" w:rsidRPr="00240E65" w:rsidRDefault="005D3E1F" w:rsidP="0095427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40E65">
        <w:rPr>
          <w:rFonts w:asciiTheme="minorHAnsi" w:hAnsiTheme="minorHAnsi" w:cstheme="minorHAnsi"/>
          <w:b/>
          <w:sz w:val="26"/>
          <w:szCs w:val="26"/>
        </w:rPr>
        <w:t>III. Shrnutí</w:t>
      </w:r>
    </w:p>
    <w:p w:rsidR="00A77A61" w:rsidRDefault="00A77A61" w:rsidP="00954277">
      <w:pPr>
        <w:rPr>
          <w:rFonts w:ascii="Arial" w:hAnsi="Arial" w:cs="Arial"/>
          <w:bCs/>
          <w:sz w:val="22"/>
        </w:rPr>
      </w:pPr>
    </w:p>
    <w:p w:rsidR="00A77A61" w:rsidRPr="00240E65" w:rsidRDefault="00A77A61" w:rsidP="00954277">
      <w:pPr>
        <w:rPr>
          <w:rFonts w:asciiTheme="minorHAnsi" w:hAnsiTheme="minorHAnsi" w:cstheme="minorHAnsi"/>
          <w:szCs w:val="24"/>
        </w:rPr>
      </w:pPr>
      <w:r w:rsidRPr="00240E65">
        <w:rPr>
          <w:rFonts w:asciiTheme="minorHAnsi" w:hAnsiTheme="minorHAnsi" w:cstheme="minorHAnsi"/>
          <w:bCs/>
          <w:szCs w:val="24"/>
        </w:rPr>
        <w:t xml:space="preserve">SFŽP při administraci </w:t>
      </w:r>
      <w:r w:rsidR="00B21D91" w:rsidRPr="00240E65">
        <w:rPr>
          <w:rFonts w:asciiTheme="minorHAnsi" w:hAnsiTheme="minorHAnsi" w:cstheme="minorHAnsi"/>
          <w:bCs/>
          <w:szCs w:val="24"/>
        </w:rPr>
        <w:t>P</w:t>
      </w:r>
      <w:r w:rsidRPr="00240E65">
        <w:rPr>
          <w:rFonts w:asciiTheme="minorHAnsi" w:hAnsiTheme="minorHAnsi" w:cstheme="minorHAnsi"/>
          <w:bCs/>
          <w:szCs w:val="24"/>
        </w:rPr>
        <w:t>rojektu postupoval v souladu s </w:t>
      </w:r>
      <w:r w:rsidR="00EF0795">
        <w:rPr>
          <w:rFonts w:asciiTheme="minorHAnsi" w:hAnsiTheme="minorHAnsi" w:cstheme="minorHAnsi"/>
          <w:bCs/>
          <w:szCs w:val="24"/>
        </w:rPr>
        <w:t>i</w:t>
      </w:r>
      <w:r w:rsidR="00B21D91" w:rsidRPr="00240E65">
        <w:rPr>
          <w:rFonts w:asciiTheme="minorHAnsi" w:hAnsiTheme="minorHAnsi" w:cstheme="minorHAnsi"/>
          <w:bCs/>
          <w:szCs w:val="24"/>
        </w:rPr>
        <w:t>mplementačním</w:t>
      </w:r>
      <w:r w:rsidR="00240E65">
        <w:rPr>
          <w:rFonts w:asciiTheme="minorHAnsi" w:hAnsiTheme="minorHAnsi" w:cstheme="minorHAnsi"/>
          <w:bCs/>
          <w:szCs w:val="24"/>
        </w:rPr>
        <w:t xml:space="preserve"> dokumentem OPŽP a </w:t>
      </w:r>
      <w:r w:rsidRPr="00240E65">
        <w:rPr>
          <w:rFonts w:asciiTheme="minorHAnsi" w:hAnsiTheme="minorHAnsi" w:cstheme="minorHAnsi"/>
          <w:bCs/>
          <w:szCs w:val="24"/>
        </w:rPr>
        <w:t>delegační dohodou</w:t>
      </w:r>
      <w:r w:rsidR="00642924" w:rsidRPr="00240E65">
        <w:rPr>
          <w:rFonts w:asciiTheme="minorHAnsi" w:hAnsiTheme="minorHAnsi" w:cstheme="minorHAnsi"/>
          <w:bCs/>
          <w:szCs w:val="24"/>
        </w:rPr>
        <w:t>.</w:t>
      </w:r>
    </w:p>
    <w:p w:rsidR="002F0045" w:rsidRPr="00240E65" w:rsidRDefault="002F0045" w:rsidP="00954277">
      <w:pPr>
        <w:rPr>
          <w:rFonts w:asciiTheme="minorHAnsi" w:hAnsiTheme="minorHAnsi" w:cstheme="minorHAnsi"/>
          <w:szCs w:val="24"/>
        </w:rPr>
      </w:pPr>
    </w:p>
    <w:p w:rsidR="009C099D" w:rsidRPr="00240E65" w:rsidRDefault="00A77A61" w:rsidP="00954277">
      <w:pPr>
        <w:rPr>
          <w:rFonts w:asciiTheme="minorHAnsi" w:hAnsiTheme="minorHAnsi" w:cstheme="minorHAnsi"/>
          <w:bCs/>
          <w:szCs w:val="24"/>
        </w:rPr>
      </w:pPr>
      <w:r w:rsidRPr="00240E65">
        <w:rPr>
          <w:rFonts w:asciiTheme="minorHAnsi" w:hAnsiTheme="minorHAnsi" w:cstheme="minorHAnsi"/>
          <w:szCs w:val="24"/>
        </w:rPr>
        <w:t>Město Tábor</w:t>
      </w:r>
      <w:r w:rsidR="009C099D" w:rsidRPr="00240E65">
        <w:rPr>
          <w:rFonts w:asciiTheme="minorHAnsi" w:hAnsiTheme="minorHAnsi" w:cstheme="minorHAnsi"/>
          <w:szCs w:val="24"/>
        </w:rPr>
        <w:t xml:space="preserve"> realizov</w:t>
      </w:r>
      <w:r w:rsidRPr="00240E65">
        <w:rPr>
          <w:rFonts w:asciiTheme="minorHAnsi" w:hAnsiTheme="minorHAnsi" w:cstheme="minorHAnsi"/>
          <w:szCs w:val="24"/>
        </w:rPr>
        <w:t>alo Projekt</w:t>
      </w:r>
      <w:r w:rsidR="009C099D" w:rsidRPr="00240E65">
        <w:rPr>
          <w:rFonts w:asciiTheme="minorHAnsi" w:hAnsiTheme="minorHAnsi" w:cstheme="minorHAnsi"/>
          <w:szCs w:val="24"/>
        </w:rPr>
        <w:t xml:space="preserve"> v</w:t>
      </w:r>
      <w:r w:rsidR="00402761">
        <w:rPr>
          <w:rFonts w:asciiTheme="minorHAnsi" w:hAnsiTheme="minorHAnsi" w:cstheme="minorHAnsi"/>
          <w:szCs w:val="24"/>
        </w:rPr>
        <w:t> </w:t>
      </w:r>
      <w:r w:rsidR="009C099D" w:rsidRPr="00240E65">
        <w:rPr>
          <w:rFonts w:asciiTheme="minorHAnsi" w:hAnsiTheme="minorHAnsi" w:cstheme="minorHAnsi"/>
          <w:szCs w:val="24"/>
        </w:rPr>
        <w:t>souladu</w:t>
      </w:r>
      <w:r w:rsidR="00402761">
        <w:rPr>
          <w:rFonts w:asciiTheme="minorHAnsi" w:hAnsiTheme="minorHAnsi" w:cstheme="minorHAnsi"/>
          <w:szCs w:val="24"/>
        </w:rPr>
        <w:t xml:space="preserve"> </w:t>
      </w:r>
      <w:r w:rsidR="0091206F">
        <w:rPr>
          <w:rFonts w:asciiTheme="minorHAnsi" w:hAnsiTheme="minorHAnsi" w:cstheme="minorHAnsi"/>
          <w:szCs w:val="24"/>
        </w:rPr>
        <w:t>s </w:t>
      </w:r>
      <w:r w:rsidR="00240E65">
        <w:rPr>
          <w:rFonts w:asciiTheme="minorHAnsi" w:hAnsiTheme="minorHAnsi" w:cstheme="minorHAnsi"/>
          <w:szCs w:val="24"/>
        </w:rPr>
        <w:t>účelem a</w:t>
      </w:r>
      <w:r w:rsidR="00402761">
        <w:rPr>
          <w:rFonts w:asciiTheme="minorHAnsi" w:hAnsiTheme="minorHAnsi" w:cstheme="minorHAnsi"/>
          <w:szCs w:val="24"/>
        </w:rPr>
        <w:t xml:space="preserve"> </w:t>
      </w:r>
      <w:r w:rsidR="009C099D" w:rsidRPr="00240E65">
        <w:rPr>
          <w:rFonts w:asciiTheme="minorHAnsi" w:hAnsiTheme="minorHAnsi" w:cstheme="minorHAnsi"/>
          <w:szCs w:val="24"/>
        </w:rPr>
        <w:t>podmínkami stanovenými v</w:t>
      </w:r>
      <w:r w:rsidR="00EF4308" w:rsidRPr="00240E65">
        <w:rPr>
          <w:rFonts w:asciiTheme="minorHAnsi" w:hAnsiTheme="minorHAnsi" w:cstheme="minorHAnsi"/>
          <w:szCs w:val="24"/>
        </w:rPr>
        <w:t> </w:t>
      </w:r>
      <w:r w:rsidR="00EF0795" w:rsidRPr="000F3025">
        <w:rPr>
          <w:rFonts w:asciiTheme="minorHAnsi" w:hAnsiTheme="minorHAnsi" w:cstheme="minorHAnsi"/>
          <w:i/>
          <w:szCs w:val="24"/>
        </w:rPr>
        <w:t>r</w:t>
      </w:r>
      <w:r w:rsidR="009C099D" w:rsidRPr="000F3025">
        <w:rPr>
          <w:rFonts w:asciiTheme="minorHAnsi" w:hAnsiTheme="minorHAnsi" w:cstheme="minorHAnsi"/>
          <w:i/>
          <w:szCs w:val="24"/>
        </w:rPr>
        <w:t>ozhodnutí o</w:t>
      </w:r>
      <w:r w:rsidR="00E22AFD">
        <w:rPr>
          <w:rFonts w:asciiTheme="minorHAnsi" w:hAnsiTheme="minorHAnsi" w:cstheme="minorHAnsi"/>
          <w:i/>
          <w:szCs w:val="24"/>
        </w:rPr>
        <w:t> </w:t>
      </w:r>
      <w:r w:rsidR="009C099D" w:rsidRPr="000F3025">
        <w:rPr>
          <w:rFonts w:asciiTheme="minorHAnsi" w:hAnsiTheme="minorHAnsi" w:cstheme="minorHAnsi"/>
          <w:i/>
          <w:szCs w:val="24"/>
        </w:rPr>
        <w:t>poskytnutí dotace</w:t>
      </w:r>
      <w:r w:rsidR="009C099D" w:rsidRPr="00240E65">
        <w:rPr>
          <w:rFonts w:asciiTheme="minorHAnsi" w:hAnsiTheme="minorHAnsi" w:cstheme="minorHAnsi"/>
          <w:szCs w:val="24"/>
        </w:rPr>
        <w:t xml:space="preserve"> a ve </w:t>
      </w:r>
      <w:r w:rsidR="00EF0795" w:rsidRPr="000F3025">
        <w:rPr>
          <w:rFonts w:asciiTheme="minorHAnsi" w:hAnsiTheme="minorHAnsi" w:cstheme="minorHAnsi"/>
          <w:i/>
          <w:szCs w:val="24"/>
        </w:rPr>
        <w:t>s</w:t>
      </w:r>
      <w:r w:rsidR="009C099D" w:rsidRPr="000F3025">
        <w:rPr>
          <w:rFonts w:asciiTheme="minorHAnsi" w:hAnsiTheme="minorHAnsi" w:cstheme="minorHAnsi"/>
          <w:i/>
          <w:szCs w:val="24"/>
        </w:rPr>
        <w:t xml:space="preserve">mlouvě </w:t>
      </w:r>
      <w:r w:rsidR="009C099D" w:rsidRPr="000F3025">
        <w:rPr>
          <w:rFonts w:asciiTheme="minorHAnsi" w:hAnsiTheme="minorHAnsi" w:cstheme="minorHAnsi"/>
          <w:bCs/>
          <w:i/>
          <w:szCs w:val="24"/>
        </w:rPr>
        <w:t>o poskytnutí podpory</w:t>
      </w:r>
      <w:r w:rsidR="009C099D" w:rsidRPr="00240E65">
        <w:rPr>
          <w:rFonts w:asciiTheme="minorHAnsi" w:hAnsiTheme="minorHAnsi" w:cstheme="minorHAnsi"/>
          <w:bCs/>
          <w:szCs w:val="24"/>
        </w:rPr>
        <w:t xml:space="preserve"> </w:t>
      </w:r>
      <w:r w:rsidR="009C099D" w:rsidRPr="000F3025">
        <w:rPr>
          <w:rFonts w:asciiTheme="minorHAnsi" w:hAnsiTheme="minorHAnsi" w:cstheme="minorHAnsi"/>
          <w:bCs/>
          <w:i/>
          <w:szCs w:val="24"/>
        </w:rPr>
        <w:t>ze SFŽP</w:t>
      </w:r>
      <w:r w:rsidR="00422497" w:rsidRPr="00240E65">
        <w:rPr>
          <w:rFonts w:asciiTheme="minorHAnsi" w:hAnsiTheme="minorHAnsi" w:cstheme="minorHAnsi"/>
          <w:bCs/>
          <w:szCs w:val="24"/>
        </w:rPr>
        <w:t>.</w:t>
      </w:r>
      <w:r w:rsidR="009C099D" w:rsidRPr="00240E65">
        <w:rPr>
          <w:rFonts w:asciiTheme="minorHAnsi" w:hAnsiTheme="minorHAnsi" w:cstheme="minorHAnsi"/>
          <w:bCs/>
          <w:szCs w:val="24"/>
        </w:rPr>
        <w:t xml:space="preserve"> </w:t>
      </w:r>
    </w:p>
    <w:p w:rsidR="00AA0BCC" w:rsidRPr="00240E65" w:rsidRDefault="00AA0BCC" w:rsidP="00954277">
      <w:pPr>
        <w:rPr>
          <w:rFonts w:asciiTheme="minorHAnsi" w:hAnsiTheme="minorHAnsi" w:cstheme="minorHAnsi"/>
          <w:szCs w:val="24"/>
        </w:rPr>
      </w:pPr>
    </w:p>
    <w:p w:rsidR="00A77A61" w:rsidRDefault="005A57E8" w:rsidP="00954277">
      <w:pPr>
        <w:rPr>
          <w:rFonts w:asciiTheme="minorHAnsi" w:eastAsia="Calibri" w:hAnsiTheme="minorHAnsi" w:cstheme="minorHAnsi"/>
          <w:szCs w:val="24"/>
        </w:rPr>
      </w:pPr>
      <w:r w:rsidRPr="00240E65">
        <w:rPr>
          <w:rFonts w:asciiTheme="minorHAnsi" w:hAnsiTheme="minorHAnsi" w:cstheme="minorHAnsi"/>
          <w:szCs w:val="24"/>
        </w:rPr>
        <w:t xml:space="preserve">Peněžní prostředky Evropské unie a státního rozpočtu </w:t>
      </w:r>
      <w:r w:rsidR="00EF0795" w:rsidRPr="00240E65">
        <w:rPr>
          <w:rFonts w:asciiTheme="minorHAnsi" w:hAnsiTheme="minorHAnsi" w:cstheme="minorHAnsi"/>
          <w:szCs w:val="24"/>
        </w:rPr>
        <w:t xml:space="preserve">čerpané městem Tábor </w:t>
      </w:r>
      <w:r w:rsidRPr="00240E65">
        <w:rPr>
          <w:rFonts w:asciiTheme="minorHAnsi" w:hAnsiTheme="minorHAnsi" w:cstheme="minorHAnsi"/>
          <w:szCs w:val="24"/>
        </w:rPr>
        <w:t xml:space="preserve">na realizaci Projektu </w:t>
      </w:r>
      <w:r w:rsidR="00A77A61" w:rsidRPr="00240E65">
        <w:rPr>
          <w:rFonts w:asciiTheme="minorHAnsi" w:eastAsia="Calibri" w:hAnsiTheme="minorHAnsi" w:cstheme="minorHAnsi"/>
          <w:szCs w:val="24"/>
        </w:rPr>
        <w:t>byly</w:t>
      </w:r>
      <w:r w:rsidRPr="00240E65">
        <w:rPr>
          <w:rFonts w:asciiTheme="minorHAnsi" w:eastAsia="Calibri" w:hAnsiTheme="minorHAnsi" w:cstheme="minorHAnsi"/>
          <w:szCs w:val="24"/>
        </w:rPr>
        <w:t xml:space="preserve"> použity na úhradu výdajů, které byly </w:t>
      </w:r>
      <w:r w:rsidR="00A77A61" w:rsidRPr="00240E65">
        <w:rPr>
          <w:rFonts w:asciiTheme="minorHAnsi" w:eastAsia="Calibri" w:hAnsiTheme="minorHAnsi" w:cstheme="minorHAnsi"/>
          <w:szCs w:val="24"/>
        </w:rPr>
        <w:t>přímo spojen</w:t>
      </w:r>
      <w:r w:rsidRPr="00240E65">
        <w:rPr>
          <w:rFonts w:asciiTheme="minorHAnsi" w:eastAsia="Calibri" w:hAnsiTheme="minorHAnsi" w:cstheme="minorHAnsi"/>
          <w:szCs w:val="24"/>
        </w:rPr>
        <w:t>é</w:t>
      </w:r>
      <w:r w:rsidR="00A77A61" w:rsidRPr="00240E65">
        <w:rPr>
          <w:rFonts w:asciiTheme="minorHAnsi" w:eastAsia="Calibri" w:hAnsiTheme="minorHAnsi" w:cstheme="minorHAnsi"/>
          <w:szCs w:val="24"/>
        </w:rPr>
        <w:t xml:space="preserve"> s realizací Projektu</w:t>
      </w:r>
      <w:r w:rsidRPr="00240E65">
        <w:rPr>
          <w:rFonts w:asciiTheme="minorHAnsi" w:eastAsia="Calibri" w:hAnsiTheme="minorHAnsi" w:cstheme="minorHAnsi"/>
          <w:szCs w:val="24"/>
        </w:rPr>
        <w:t xml:space="preserve"> a</w:t>
      </w:r>
      <w:r w:rsidR="00EF0795">
        <w:rPr>
          <w:rFonts w:asciiTheme="minorHAnsi" w:eastAsia="Calibri" w:hAnsiTheme="minorHAnsi" w:cstheme="minorHAnsi"/>
          <w:szCs w:val="24"/>
        </w:rPr>
        <w:t> </w:t>
      </w:r>
      <w:r w:rsidRPr="00240E65">
        <w:rPr>
          <w:rFonts w:asciiTheme="minorHAnsi" w:eastAsia="Calibri" w:hAnsiTheme="minorHAnsi" w:cstheme="minorHAnsi"/>
          <w:szCs w:val="24"/>
        </w:rPr>
        <w:t>s</w:t>
      </w:r>
      <w:r w:rsidR="00A77A61" w:rsidRPr="00240E65">
        <w:rPr>
          <w:rFonts w:asciiTheme="minorHAnsi" w:eastAsia="Calibri" w:hAnsiTheme="minorHAnsi" w:cstheme="minorHAnsi"/>
          <w:szCs w:val="24"/>
        </w:rPr>
        <w:t>plňovaly podmínky věcné, časové a místní způsobilosti</w:t>
      </w:r>
      <w:r w:rsidR="00C71F25" w:rsidRPr="00240E65">
        <w:rPr>
          <w:rFonts w:asciiTheme="minorHAnsi" w:eastAsia="Calibri" w:hAnsiTheme="minorHAnsi" w:cstheme="minorHAnsi"/>
          <w:szCs w:val="24"/>
        </w:rPr>
        <w:t>.</w:t>
      </w:r>
    </w:p>
    <w:p w:rsidR="00E22AFD" w:rsidRDefault="00E22AFD" w:rsidP="00954277">
      <w:pPr>
        <w:rPr>
          <w:rFonts w:asciiTheme="minorHAnsi" w:eastAsia="Calibri" w:hAnsiTheme="minorHAnsi" w:cstheme="minorHAnsi"/>
          <w:szCs w:val="24"/>
        </w:rPr>
      </w:pPr>
    </w:p>
    <w:p w:rsidR="00E22AFD" w:rsidRDefault="00E22AFD" w:rsidP="009E4B67">
      <w:pPr>
        <w:spacing w:after="3000"/>
        <w:rPr>
          <w:rFonts w:asciiTheme="minorHAnsi" w:eastAsia="Calibri" w:hAnsiTheme="minorHAnsi" w:cstheme="minorHAnsi"/>
          <w:szCs w:val="24"/>
        </w:rPr>
      </w:pPr>
      <w:bookmarkStart w:id="0" w:name="_GoBack"/>
      <w:bookmarkEnd w:id="0"/>
    </w:p>
    <w:p w:rsidR="00E22AFD" w:rsidRPr="000F3025" w:rsidRDefault="00E22AFD" w:rsidP="00954277">
      <w:pPr>
        <w:rPr>
          <w:rFonts w:asciiTheme="minorHAnsi" w:hAnsiTheme="minorHAnsi" w:cstheme="minorHAnsi"/>
          <w:b/>
          <w:sz w:val="28"/>
          <w:szCs w:val="28"/>
        </w:rPr>
      </w:pPr>
      <w:r w:rsidRPr="000F3025">
        <w:rPr>
          <w:rFonts w:asciiTheme="minorHAnsi" w:hAnsiTheme="minorHAnsi" w:cstheme="minorHAnsi"/>
          <w:b/>
          <w:sz w:val="28"/>
          <w:szCs w:val="28"/>
        </w:rPr>
        <w:t xml:space="preserve">Seznam zkratek </w:t>
      </w:r>
    </w:p>
    <w:p w:rsidR="00E22AFD" w:rsidRDefault="00E22AFD" w:rsidP="00954277">
      <w:pPr>
        <w:rPr>
          <w:rFonts w:asciiTheme="minorHAnsi" w:hAnsiTheme="minorHAnsi" w:cstheme="minorHAnsi"/>
          <w:szCs w:val="24"/>
        </w:rPr>
      </w:pP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AOPK</w:t>
      </w:r>
      <w:r>
        <w:rPr>
          <w:rFonts w:asciiTheme="minorHAnsi" w:hAnsiTheme="minorHAnsi" w:cstheme="minorHAnsi"/>
          <w:szCs w:val="24"/>
        </w:rPr>
        <w:tab/>
      </w:r>
      <w:r w:rsidRPr="001F6A09">
        <w:rPr>
          <w:rFonts w:asciiTheme="minorHAnsi" w:hAnsiTheme="minorHAnsi" w:cstheme="minorHAnsi"/>
          <w:szCs w:val="24"/>
        </w:rPr>
        <w:t>Agentur</w:t>
      </w:r>
      <w:r>
        <w:rPr>
          <w:rFonts w:asciiTheme="minorHAnsi" w:hAnsiTheme="minorHAnsi" w:cstheme="minorHAnsi"/>
          <w:szCs w:val="24"/>
        </w:rPr>
        <w:t>a</w:t>
      </w:r>
      <w:r w:rsidRPr="001F6A09">
        <w:rPr>
          <w:rFonts w:asciiTheme="minorHAnsi" w:hAnsiTheme="minorHAnsi" w:cstheme="minorHAnsi"/>
          <w:szCs w:val="24"/>
        </w:rPr>
        <w:t xml:space="preserve"> ochrany př</w:t>
      </w:r>
      <w:r>
        <w:rPr>
          <w:rFonts w:asciiTheme="minorHAnsi" w:hAnsiTheme="minorHAnsi" w:cstheme="minorHAnsi"/>
          <w:szCs w:val="24"/>
        </w:rPr>
        <w:t>írody a krajiny České republiky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ČR</w:t>
      </w:r>
      <w:r>
        <w:rPr>
          <w:rFonts w:asciiTheme="minorHAnsi" w:hAnsiTheme="minorHAnsi" w:cstheme="minorHAnsi"/>
          <w:szCs w:val="24"/>
        </w:rPr>
        <w:tab/>
        <w:t>Česká republika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ERDF</w:t>
      </w:r>
      <w:r>
        <w:rPr>
          <w:rFonts w:asciiTheme="minorHAnsi" w:hAnsiTheme="minorHAnsi" w:cstheme="minorHAnsi"/>
          <w:szCs w:val="24"/>
        </w:rPr>
        <w:tab/>
      </w:r>
      <w:r w:rsidRPr="00E622A1">
        <w:rPr>
          <w:rFonts w:asciiTheme="minorHAnsi" w:hAnsiTheme="minorHAnsi" w:cstheme="minorHAnsi"/>
          <w:i/>
          <w:szCs w:val="24"/>
        </w:rPr>
        <w:t>Evropsk</w:t>
      </w:r>
      <w:r>
        <w:rPr>
          <w:rFonts w:asciiTheme="minorHAnsi" w:hAnsiTheme="minorHAnsi" w:cstheme="minorHAnsi"/>
          <w:i/>
          <w:szCs w:val="24"/>
        </w:rPr>
        <w:t>ý</w:t>
      </w:r>
      <w:r w:rsidRPr="00E622A1">
        <w:rPr>
          <w:rFonts w:asciiTheme="minorHAnsi" w:hAnsiTheme="minorHAnsi" w:cstheme="minorHAnsi"/>
          <w:i/>
          <w:szCs w:val="24"/>
        </w:rPr>
        <w:t xml:space="preserve"> fond pro regionální rozvoj</w:t>
      </w:r>
      <w:r w:rsidRPr="007B793D">
        <w:rPr>
          <w:rFonts w:asciiTheme="minorHAnsi" w:hAnsiTheme="minorHAnsi" w:cstheme="minorHAnsi"/>
          <w:szCs w:val="24"/>
        </w:rPr>
        <w:t xml:space="preserve"> </w:t>
      </w:r>
      <w:r w:rsidR="00D5007D">
        <w:rPr>
          <w:rFonts w:asciiTheme="minorHAnsi" w:hAnsiTheme="minorHAnsi" w:cstheme="minorHAnsi"/>
          <w:szCs w:val="24"/>
        </w:rPr>
        <w:t>(</w:t>
      </w:r>
      <w:proofErr w:type="spellStart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>European</w:t>
      </w:r>
      <w:proofErr w:type="spellEnd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>Regional</w:t>
      </w:r>
      <w:proofErr w:type="spellEnd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>Development</w:t>
      </w:r>
      <w:proofErr w:type="spellEnd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5007D" w:rsidRPr="000F3025">
        <w:rPr>
          <w:rStyle w:val="poznmkapodarouChar"/>
          <w:rFonts w:asciiTheme="minorHAnsi" w:hAnsiTheme="minorHAnsi" w:cstheme="minorHAnsi"/>
          <w:i/>
          <w:sz w:val="24"/>
          <w:szCs w:val="24"/>
        </w:rPr>
        <w:t>Fund</w:t>
      </w:r>
      <w:proofErr w:type="spellEnd"/>
      <w:r w:rsidR="00D5007D" w:rsidRPr="000F3025">
        <w:rPr>
          <w:rStyle w:val="poznmkapodarouChar"/>
          <w:rFonts w:asciiTheme="minorHAnsi" w:hAnsiTheme="minorHAnsi" w:cstheme="minorHAnsi"/>
          <w:sz w:val="20"/>
        </w:rPr>
        <w:t>)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EU</w:t>
      </w:r>
      <w:r>
        <w:rPr>
          <w:rFonts w:asciiTheme="minorHAnsi" w:hAnsiTheme="minorHAnsi" w:cstheme="minorHAnsi"/>
          <w:szCs w:val="24"/>
        </w:rPr>
        <w:tab/>
        <w:t>Evropská unie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MŽP</w:t>
      </w:r>
      <w:r>
        <w:rPr>
          <w:rFonts w:asciiTheme="minorHAnsi" w:hAnsiTheme="minorHAnsi" w:cstheme="minorHAnsi"/>
          <w:szCs w:val="24"/>
        </w:rPr>
        <w:tab/>
        <w:t>Ministerstvo životního prostředí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NKÚ</w:t>
      </w:r>
      <w:r>
        <w:rPr>
          <w:rFonts w:asciiTheme="minorHAnsi" w:hAnsiTheme="minorHAnsi" w:cstheme="minorHAnsi"/>
          <w:szCs w:val="24"/>
        </w:rPr>
        <w:tab/>
        <w:t>Nejvyšší kontrolní úřad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OPŽP</w:t>
      </w:r>
      <w:r>
        <w:rPr>
          <w:rFonts w:asciiTheme="minorHAnsi" w:hAnsiTheme="minorHAnsi" w:cstheme="minorHAnsi"/>
          <w:szCs w:val="24"/>
        </w:rPr>
        <w:tab/>
        <w:t xml:space="preserve">operační program </w:t>
      </w:r>
      <w:r w:rsidRPr="000F3025">
        <w:rPr>
          <w:rFonts w:asciiTheme="minorHAnsi" w:hAnsiTheme="minorHAnsi" w:cstheme="minorHAnsi"/>
          <w:i/>
          <w:szCs w:val="24"/>
        </w:rPr>
        <w:t>Životní prostředí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Projekt</w:t>
      </w:r>
      <w:r>
        <w:rPr>
          <w:rFonts w:asciiTheme="minorHAnsi" w:hAnsiTheme="minorHAnsi" w:cstheme="minorHAnsi"/>
          <w:szCs w:val="24"/>
        </w:rPr>
        <w:tab/>
      </w:r>
      <w:r w:rsidRPr="00B857A3">
        <w:rPr>
          <w:rFonts w:asciiTheme="minorHAnsi" w:hAnsiTheme="minorHAnsi" w:cstheme="minorHAnsi"/>
          <w:szCs w:val="24"/>
        </w:rPr>
        <w:t xml:space="preserve">projekt </w:t>
      </w:r>
      <w:r w:rsidRPr="00E622A1">
        <w:rPr>
          <w:rFonts w:asciiTheme="minorHAnsi" w:hAnsiTheme="minorHAnsi" w:cstheme="minorHAnsi"/>
          <w:i/>
          <w:szCs w:val="24"/>
        </w:rPr>
        <w:t>Obnova rybníka Jordán v Táboře</w:t>
      </w:r>
    </w:p>
    <w:p w:rsidR="00E22AFD" w:rsidRDefault="00E22AFD" w:rsidP="000F3025">
      <w:pPr>
        <w:tabs>
          <w:tab w:val="left" w:pos="1701"/>
        </w:tabs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SFŽP</w:t>
      </w:r>
      <w:r>
        <w:rPr>
          <w:rFonts w:asciiTheme="minorHAnsi" w:hAnsiTheme="minorHAnsi" w:cstheme="minorHAnsi"/>
          <w:szCs w:val="24"/>
        </w:rPr>
        <w:tab/>
      </w:r>
      <w:r w:rsidRPr="001F6A09">
        <w:rPr>
          <w:rFonts w:asciiTheme="minorHAnsi" w:hAnsiTheme="minorHAnsi" w:cstheme="minorHAnsi"/>
          <w:szCs w:val="24"/>
        </w:rPr>
        <w:t>Státní fond životního prostředí České republiky</w:t>
      </w:r>
    </w:p>
    <w:p w:rsidR="00E22AFD" w:rsidRPr="00240E65" w:rsidRDefault="00E22AFD" w:rsidP="00954277">
      <w:pPr>
        <w:rPr>
          <w:rFonts w:asciiTheme="minorHAnsi" w:hAnsiTheme="minorHAnsi" w:cstheme="minorHAnsi"/>
          <w:szCs w:val="24"/>
        </w:rPr>
      </w:pPr>
    </w:p>
    <w:sectPr w:rsidR="00E22AFD" w:rsidRPr="00240E65" w:rsidSect="001D6E7B">
      <w:footerReference w:type="default" r:id="rId10"/>
      <w:pgSz w:w="11906" w:h="16838"/>
      <w:pgMar w:top="1417" w:right="1417" w:bottom="1417" w:left="1417" w:header="708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DA" w:rsidRDefault="008E41DA" w:rsidP="005D3E1F">
      <w:r>
        <w:separator/>
      </w:r>
    </w:p>
  </w:endnote>
  <w:endnote w:type="continuationSeparator" w:id="0">
    <w:p w:rsidR="008E41DA" w:rsidRDefault="008E41DA" w:rsidP="005D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DA" w:rsidRPr="0091206F" w:rsidRDefault="008E41DA" w:rsidP="001D6E7B">
    <w:pPr>
      <w:pStyle w:val="Zpat"/>
      <w:jc w:val="center"/>
      <w:rPr>
        <w:rFonts w:asciiTheme="minorHAnsi" w:hAnsiTheme="minorHAnsi" w:cstheme="minorHAnsi"/>
        <w:szCs w:val="24"/>
      </w:rPr>
    </w:pPr>
    <w:r w:rsidRPr="0091206F">
      <w:rPr>
        <w:rFonts w:asciiTheme="minorHAnsi" w:hAnsiTheme="minorHAnsi" w:cstheme="minorHAnsi"/>
        <w:szCs w:val="24"/>
      </w:rPr>
      <w:fldChar w:fldCharType="begin"/>
    </w:r>
    <w:r w:rsidRPr="0091206F">
      <w:rPr>
        <w:rFonts w:asciiTheme="minorHAnsi" w:hAnsiTheme="minorHAnsi" w:cstheme="minorHAnsi"/>
        <w:szCs w:val="24"/>
      </w:rPr>
      <w:instrText xml:space="preserve"> PAGE   \* MERGEFORMAT </w:instrText>
    </w:r>
    <w:r w:rsidRPr="0091206F">
      <w:rPr>
        <w:rFonts w:asciiTheme="minorHAnsi" w:hAnsiTheme="minorHAnsi" w:cstheme="minorHAnsi"/>
        <w:szCs w:val="24"/>
      </w:rPr>
      <w:fldChar w:fldCharType="separate"/>
    </w:r>
    <w:r w:rsidR="009E4B67">
      <w:rPr>
        <w:rFonts w:asciiTheme="minorHAnsi" w:hAnsiTheme="minorHAnsi" w:cstheme="minorHAnsi"/>
        <w:noProof/>
        <w:szCs w:val="24"/>
      </w:rPr>
      <w:t>6</w:t>
    </w:r>
    <w:r w:rsidRPr="0091206F">
      <w:rPr>
        <w:rFonts w:asciiTheme="minorHAnsi" w:hAnsiTheme="minorHAnsi"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DA" w:rsidRDefault="008E41DA" w:rsidP="005D3E1F">
      <w:r>
        <w:separator/>
      </w:r>
    </w:p>
  </w:footnote>
  <w:footnote w:type="continuationSeparator" w:id="0">
    <w:p w:rsidR="008E41DA" w:rsidRDefault="008E41DA" w:rsidP="005D3E1F">
      <w:r>
        <w:continuationSeparator/>
      </w:r>
    </w:p>
  </w:footnote>
  <w:footnote w:id="1">
    <w:p w:rsidR="008E41DA" w:rsidRPr="00FF28B4" w:rsidRDefault="008E41DA" w:rsidP="000F3025">
      <w:pPr>
        <w:pStyle w:val="Textpoznpodarou"/>
        <w:ind w:left="284" w:hanging="284"/>
        <w:rPr>
          <w:rFonts w:asciiTheme="minorHAnsi" w:hAnsiTheme="minorHAnsi" w:cstheme="minorHAnsi"/>
        </w:rPr>
      </w:pPr>
      <w:r w:rsidRPr="00FF28B4">
        <w:rPr>
          <w:rStyle w:val="Znakapoznpodarou"/>
          <w:rFonts w:asciiTheme="minorHAnsi" w:hAnsiTheme="minorHAnsi" w:cstheme="minorHAnsi"/>
        </w:rPr>
        <w:footnoteRef/>
      </w:r>
      <w:r w:rsidRPr="00FF28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</w:t>
      </w:r>
      <w:r w:rsidRPr="00FF28B4">
        <w:rPr>
          <w:rFonts w:asciiTheme="minorHAnsi" w:hAnsiTheme="minorHAnsi" w:cstheme="minorHAnsi"/>
        </w:rPr>
        <w:t>ařízení Rady (ES) č. 1083/2006</w:t>
      </w:r>
      <w:r>
        <w:rPr>
          <w:rFonts w:asciiTheme="minorHAnsi" w:hAnsiTheme="minorHAnsi" w:cstheme="minorHAnsi"/>
        </w:rPr>
        <w:t>,</w:t>
      </w:r>
      <w:r w:rsidRPr="00FF28B4">
        <w:rPr>
          <w:rFonts w:asciiTheme="minorHAnsi" w:hAnsiTheme="minorHAnsi" w:cstheme="minorHAnsi"/>
        </w:rPr>
        <w:t xml:space="preserve"> o obecných ustanoveních o Evropském fondu pro regionální rozvoj, Evropském sociálním fondu a Fondu soudržnosti a o zrušení nařízení (ES) č. 1260/1999</w:t>
      </w:r>
      <w:r>
        <w:rPr>
          <w:rFonts w:asciiTheme="minorHAnsi" w:hAnsiTheme="minorHAnsi" w:cstheme="minorHAnsi"/>
        </w:rPr>
        <w:t>.</w:t>
      </w:r>
    </w:p>
  </w:footnote>
  <w:footnote w:id="2">
    <w:p w:rsidR="008E41DA" w:rsidRDefault="008E41DA" w:rsidP="000F3025">
      <w:pPr>
        <w:pStyle w:val="Textpoznpodarou"/>
        <w:ind w:left="284" w:hanging="284"/>
      </w:pPr>
      <w:r w:rsidRPr="00FF28B4">
        <w:rPr>
          <w:rStyle w:val="Znakapoznpodarou"/>
          <w:rFonts w:asciiTheme="minorHAnsi" w:hAnsiTheme="minorHAnsi" w:cstheme="minorHAnsi"/>
        </w:rPr>
        <w:footnoteRef/>
      </w:r>
      <w:r w:rsidRPr="00FF28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F28B4">
        <w:rPr>
          <w:rFonts w:asciiTheme="minorHAnsi" w:hAnsiTheme="minorHAnsi" w:cstheme="minorHAnsi"/>
        </w:rPr>
        <w:t>Dohoda o delegování některých činností a pravomocí Ministerstva životního prostředí jako říd</w:t>
      </w:r>
      <w:r>
        <w:rPr>
          <w:rFonts w:asciiTheme="minorHAnsi" w:hAnsiTheme="minorHAnsi" w:cstheme="minorHAnsi"/>
        </w:rPr>
        <w:t>i</w:t>
      </w:r>
      <w:r w:rsidRPr="00FF28B4">
        <w:rPr>
          <w:rFonts w:asciiTheme="minorHAnsi" w:hAnsiTheme="minorHAnsi" w:cstheme="minorHAnsi"/>
        </w:rPr>
        <w:t>cího orgánu operačního programu Životní prostředí na Státní fond životního prostředí České republiky ze dne 4.</w:t>
      </w:r>
      <w:r>
        <w:rPr>
          <w:rFonts w:asciiTheme="minorHAnsi" w:hAnsiTheme="minorHAnsi" w:cstheme="minorHAnsi"/>
        </w:rPr>
        <w:t> </w:t>
      </w:r>
      <w:r w:rsidRPr="00FF28B4"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> </w:t>
      </w:r>
      <w:r w:rsidRPr="00FF28B4">
        <w:rPr>
          <w:rFonts w:asciiTheme="minorHAnsi" w:hAnsiTheme="minorHAnsi" w:cstheme="minorHAnsi"/>
        </w:rPr>
        <w:t xml:space="preserve">2007, resp. </w:t>
      </w:r>
      <w:r>
        <w:rPr>
          <w:rFonts w:asciiTheme="minorHAnsi" w:hAnsiTheme="minorHAnsi" w:cstheme="minorHAnsi"/>
        </w:rPr>
        <w:t>d</w:t>
      </w:r>
      <w:r w:rsidRPr="00FF28B4">
        <w:rPr>
          <w:rFonts w:asciiTheme="minorHAnsi" w:hAnsiTheme="minorHAnsi" w:cstheme="minorHAnsi"/>
        </w:rPr>
        <w:t xml:space="preserve">ohoda o výkonu některých činností souvisejících </w:t>
      </w:r>
      <w:r>
        <w:rPr>
          <w:rFonts w:asciiTheme="minorHAnsi" w:hAnsiTheme="minorHAnsi" w:cstheme="minorHAnsi"/>
        </w:rPr>
        <w:t>s </w:t>
      </w:r>
      <w:r w:rsidRPr="00FF28B4">
        <w:rPr>
          <w:rFonts w:asciiTheme="minorHAnsi" w:hAnsiTheme="minorHAnsi" w:cstheme="minorHAnsi"/>
        </w:rPr>
        <w:t>implementací operačního programu Životní prostředí uzavřená dne 31. 7. 2012 mezi MŽP, SFŽP a AOPK</w:t>
      </w:r>
      <w:r>
        <w:rPr>
          <w:rFonts w:asciiTheme="minorHAnsi" w:hAnsiTheme="minorHAnsi" w:cstheme="minorHAnsi"/>
        </w:rPr>
        <w:t>.</w:t>
      </w:r>
    </w:p>
  </w:footnote>
  <w:footnote w:id="3">
    <w:p w:rsidR="008E41DA" w:rsidRPr="00FF28B4" w:rsidRDefault="008E41DA" w:rsidP="000F3025">
      <w:pPr>
        <w:pStyle w:val="Textpoznpodarou"/>
        <w:ind w:left="284" w:hanging="284"/>
        <w:rPr>
          <w:rFonts w:asciiTheme="minorHAnsi" w:hAnsiTheme="minorHAnsi" w:cstheme="minorHAnsi"/>
        </w:rPr>
      </w:pPr>
      <w:r w:rsidRPr="00FF28B4">
        <w:rPr>
          <w:rStyle w:val="Znakapoznpodarou"/>
          <w:rFonts w:asciiTheme="minorHAnsi" w:hAnsiTheme="minorHAnsi" w:cstheme="minorHAnsi"/>
        </w:rPr>
        <w:footnoteRef/>
      </w:r>
      <w:r w:rsidRPr="00FF28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F28B4">
        <w:rPr>
          <w:rFonts w:asciiTheme="minorHAnsi" w:hAnsiTheme="minorHAnsi" w:cstheme="minorHAnsi"/>
        </w:rPr>
        <w:t xml:space="preserve">Směrnice MŽP č. 5/2008 pro předkládání žádostí a </w:t>
      </w:r>
      <w:r>
        <w:rPr>
          <w:rFonts w:asciiTheme="minorHAnsi" w:hAnsiTheme="minorHAnsi" w:cstheme="minorHAnsi"/>
        </w:rPr>
        <w:t xml:space="preserve">o </w:t>
      </w:r>
      <w:r w:rsidRPr="00FF28B4">
        <w:rPr>
          <w:rFonts w:asciiTheme="minorHAnsi" w:hAnsiTheme="minorHAnsi" w:cstheme="minorHAnsi"/>
        </w:rPr>
        <w:t xml:space="preserve">poskytování finančních prostředků pro projekty </w:t>
      </w:r>
      <w:r>
        <w:rPr>
          <w:rFonts w:asciiTheme="minorHAnsi" w:hAnsiTheme="minorHAnsi" w:cstheme="minorHAnsi"/>
        </w:rPr>
        <w:t>z </w:t>
      </w:r>
      <w:r w:rsidRPr="00FF28B4">
        <w:rPr>
          <w:rFonts w:asciiTheme="minorHAnsi" w:hAnsiTheme="minorHAnsi" w:cstheme="minorHAnsi"/>
        </w:rPr>
        <w:t>OPŽP včetně spolufinancování ze SFŽP a státního rozpočtu ČR – kapitoly 315 (životní prostředí)</w:t>
      </w:r>
      <w:r>
        <w:rPr>
          <w:rFonts w:asciiTheme="minorHAnsi" w:hAnsiTheme="minorHAnsi" w:cstheme="minorHAnsi"/>
        </w:rPr>
        <w:t>.</w:t>
      </w:r>
    </w:p>
  </w:footnote>
  <w:footnote w:id="4">
    <w:p w:rsidR="008E41DA" w:rsidRPr="00B04482" w:rsidRDefault="008E41DA" w:rsidP="000F3025">
      <w:pPr>
        <w:pStyle w:val="Textpoznpodarou"/>
        <w:ind w:left="284" w:hanging="284"/>
        <w:rPr>
          <w:rFonts w:asciiTheme="minorHAnsi" w:hAnsiTheme="minorHAnsi" w:cstheme="minorHAnsi"/>
        </w:rPr>
      </w:pPr>
      <w:r w:rsidRPr="00B04482">
        <w:rPr>
          <w:rStyle w:val="Znakapoznpodarou"/>
          <w:rFonts w:asciiTheme="minorHAnsi" w:hAnsiTheme="minorHAnsi" w:cstheme="minorHAnsi"/>
        </w:rPr>
        <w:footnoteRef/>
      </w:r>
      <w:r w:rsidRPr="00B044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04482">
        <w:rPr>
          <w:rFonts w:asciiTheme="minorHAnsi" w:hAnsiTheme="minorHAnsi" w:cstheme="minorHAnsi"/>
        </w:rPr>
        <w:t>Zákon č. 137/2006 Sb., o veřejných zakázkách, ve znění pozdějších předpisů.</w:t>
      </w:r>
    </w:p>
  </w:footnote>
  <w:footnote w:id="5">
    <w:p w:rsidR="008E41DA" w:rsidRPr="00B161BB" w:rsidRDefault="008E41DA" w:rsidP="000F3025">
      <w:pPr>
        <w:pStyle w:val="Textpoznpodarou"/>
        <w:ind w:left="284" w:hanging="284"/>
        <w:rPr>
          <w:rFonts w:asciiTheme="minorHAnsi" w:hAnsiTheme="minorHAnsi" w:cstheme="minorHAnsi"/>
        </w:rPr>
      </w:pPr>
      <w:r w:rsidRPr="00B161BB">
        <w:rPr>
          <w:rStyle w:val="Znakapoznpodarou"/>
          <w:rFonts w:asciiTheme="minorHAnsi" w:hAnsiTheme="minorHAnsi" w:cstheme="minorHAnsi"/>
        </w:rPr>
        <w:footnoteRef/>
      </w:r>
      <w:r w:rsidRPr="00B161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</w:t>
      </w:r>
      <w:r w:rsidRPr="00B161BB">
        <w:rPr>
          <w:rFonts w:asciiTheme="minorHAnsi" w:hAnsiTheme="minorHAnsi" w:cstheme="minorHAnsi"/>
        </w:rPr>
        <w:t>ákon č. 563/1991 Sb., o účetnictví</w:t>
      </w:r>
      <w:r>
        <w:rPr>
          <w:rFonts w:asciiTheme="minorHAnsi" w:hAnsiTheme="minorHAnsi" w:cstheme="minorHAnsi"/>
        </w:rPr>
        <w:t>, ve znění pozdějších předpisů.</w:t>
      </w:r>
      <w:r w:rsidRPr="00B161BB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C36"/>
    <w:multiLevelType w:val="hybridMultilevel"/>
    <w:tmpl w:val="9CE20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8C8F45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E85"/>
    <w:multiLevelType w:val="hybridMultilevel"/>
    <w:tmpl w:val="A4EA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E2393"/>
    <w:multiLevelType w:val="hybridMultilevel"/>
    <w:tmpl w:val="022CA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6291"/>
    <w:multiLevelType w:val="hybridMultilevel"/>
    <w:tmpl w:val="33607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04FFA"/>
    <w:multiLevelType w:val="hybridMultilevel"/>
    <w:tmpl w:val="BFCED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B4FF5"/>
    <w:multiLevelType w:val="hybridMultilevel"/>
    <w:tmpl w:val="45A2AEBE"/>
    <w:lvl w:ilvl="0" w:tplc="67208C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20A5D"/>
    <w:multiLevelType w:val="hybridMultilevel"/>
    <w:tmpl w:val="8B5482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D5D3790"/>
    <w:multiLevelType w:val="hybridMultilevel"/>
    <w:tmpl w:val="9126DBE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386298"/>
    <w:multiLevelType w:val="hybridMultilevel"/>
    <w:tmpl w:val="6A92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12DB7"/>
    <w:multiLevelType w:val="hybridMultilevel"/>
    <w:tmpl w:val="FB768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D66E2"/>
    <w:multiLevelType w:val="hybridMultilevel"/>
    <w:tmpl w:val="FB06C458"/>
    <w:lvl w:ilvl="0" w:tplc="73CA80B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435E5"/>
    <w:multiLevelType w:val="hybridMultilevel"/>
    <w:tmpl w:val="90767328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7AF206B"/>
    <w:multiLevelType w:val="hybridMultilevel"/>
    <w:tmpl w:val="9EB06E98"/>
    <w:lvl w:ilvl="0" w:tplc="D2440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8218B"/>
    <w:multiLevelType w:val="hybridMultilevel"/>
    <w:tmpl w:val="1DC8C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77ADE"/>
    <w:multiLevelType w:val="hybridMultilevel"/>
    <w:tmpl w:val="CCEE4AD2"/>
    <w:lvl w:ilvl="0" w:tplc="67208C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33D77"/>
    <w:multiLevelType w:val="hybridMultilevel"/>
    <w:tmpl w:val="AB960E48"/>
    <w:lvl w:ilvl="0" w:tplc="A7285A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B6ED4"/>
    <w:multiLevelType w:val="hybridMultilevel"/>
    <w:tmpl w:val="30CC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E17CD"/>
    <w:multiLevelType w:val="hybridMultilevel"/>
    <w:tmpl w:val="7B62F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372F"/>
    <w:multiLevelType w:val="hybridMultilevel"/>
    <w:tmpl w:val="89528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093F5B"/>
    <w:multiLevelType w:val="hybridMultilevel"/>
    <w:tmpl w:val="B2AE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C6D97"/>
    <w:multiLevelType w:val="hybridMultilevel"/>
    <w:tmpl w:val="E5CC86E8"/>
    <w:lvl w:ilvl="0" w:tplc="D2440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74124"/>
    <w:multiLevelType w:val="hybridMultilevel"/>
    <w:tmpl w:val="826E2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"/>
  </w:num>
  <w:num w:numId="5">
    <w:abstractNumId w:val="17"/>
  </w:num>
  <w:num w:numId="6">
    <w:abstractNumId w:val="13"/>
  </w:num>
  <w:num w:numId="7">
    <w:abstractNumId w:val="3"/>
  </w:num>
  <w:num w:numId="8">
    <w:abstractNumId w:val="20"/>
  </w:num>
  <w:num w:numId="9">
    <w:abstractNumId w:val="12"/>
  </w:num>
  <w:num w:numId="10">
    <w:abstractNumId w:val="15"/>
  </w:num>
  <w:num w:numId="11">
    <w:abstractNumId w:val="7"/>
  </w:num>
  <w:num w:numId="12">
    <w:abstractNumId w:val="0"/>
  </w:num>
  <w:num w:numId="13">
    <w:abstractNumId w:val="6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0"/>
  </w:num>
  <w:num w:numId="19">
    <w:abstractNumId w:val="21"/>
  </w:num>
  <w:num w:numId="20">
    <w:abstractNumId w:val="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9D"/>
    <w:rsid w:val="00012069"/>
    <w:rsid w:val="00017646"/>
    <w:rsid w:val="00023552"/>
    <w:rsid w:val="0003337A"/>
    <w:rsid w:val="00035331"/>
    <w:rsid w:val="00037AEB"/>
    <w:rsid w:val="00041F2C"/>
    <w:rsid w:val="00043868"/>
    <w:rsid w:val="00057BD0"/>
    <w:rsid w:val="00061B0D"/>
    <w:rsid w:val="0006640D"/>
    <w:rsid w:val="00071F1C"/>
    <w:rsid w:val="0008011A"/>
    <w:rsid w:val="00093D8B"/>
    <w:rsid w:val="000A5124"/>
    <w:rsid w:val="000B017A"/>
    <w:rsid w:val="000B31A7"/>
    <w:rsid w:val="000B7685"/>
    <w:rsid w:val="000C1EB4"/>
    <w:rsid w:val="000C378D"/>
    <w:rsid w:val="000E488D"/>
    <w:rsid w:val="000F3025"/>
    <w:rsid w:val="000F7D07"/>
    <w:rsid w:val="00102721"/>
    <w:rsid w:val="0011226C"/>
    <w:rsid w:val="00122733"/>
    <w:rsid w:val="00127669"/>
    <w:rsid w:val="0013187C"/>
    <w:rsid w:val="00133533"/>
    <w:rsid w:val="001526E9"/>
    <w:rsid w:val="00152FC3"/>
    <w:rsid w:val="00155607"/>
    <w:rsid w:val="00156A76"/>
    <w:rsid w:val="001579E7"/>
    <w:rsid w:val="00163C34"/>
    <w:rsid w:val="00185ABD"/>
    <w:rsid w:val="00186C85"/>
    <w:rsid w:val="00187630"/>
    <w:rsid w:val="00194C16"/>
    <w:rsid w:val="001C2165"/>
    <w:rsid w:val="001D6E7B"/>
    <w:rsid w:val="001D6F0A"/>
    <w:rsid w:val="001E36AA"/>
    <w:rsid w:val="001E4AA8"/>
    <w:rsid w:val="001F6A09"/>
    <w:rsid w:val="00212787"/>
    <w:rsid w:val="00212CFF"/>
    <w:rsid w:val="00223D38"/>
    <w:rsid w:val="0023555F"/>
    <w:rsid w:val="00240E65"/>
    <w:rsid w:val="00240F27"/>
    <w:rsid w:val="00247B60"/>
    <w:rsid w:val="00251989"/>
    <w:rsid w:val="002552A5"/>
    <w:rsid w:val="00256D91"/>
    <w:rsid w:val="00261A09"/>
    <w:rsid w:val="00286040"/>
    <w:rsid w:val="002B13C8"/>
    <w:rsid w:val="002C74FB"/>
    <w:rsid w:val="002E5F79"/>
    <w:rsid w:val="002F0045"/>
    <w:rsid w:val="002F3369"/>
    <w:rsid w:val="00310362"/>
    <w:rsid w:val="003148F4"/>
    <w:rsid w:val="00316BB3"/>
    <w:rsid w:val="0032511A"/>
    <w:rsid w:val="00330965"/>
    <w:rsid w:val="0033399A"/>
    <w:rsid w:val="00335F12"/>
    <w:rsid w:val="0035177D"/>
    <w:rsid w:val="00380B36"/>
    <w:rsid w:val="003824E5"/>
    <w:rsid w:val="00394B55"/>
    <w:rsid w:val="003977C2"/>
    <w:rsid w:val="003A3E87"/>
    <w:rsid w:val="003B19F1"/>
    <w:rsid w:val="003C0133"/>
    <w:rsid w:val="003C1B0D"/>
    <w:rsid w:val="003D1968"/>
    <w:rsid w:val="003D3ACE"/>
    <w:rsid w:val="00402761"/>
    <w:rsid w:val="00405B16"/>
    <w:rsid w:val="00414088"/>
    <w:rsid w:val="00420AE8"/>
    <w:rsid w:val="00422497"/>
    <w:rsid w:val="00427AF7"/>
    <w:rsid w:val="00430AD0"/>
    <w:rsid w:val="004364CD"/>
    <w:rsid w:val="00442702"/>
    <w:rsid w:val="0044511A"/>
    <w:rsid w:val="00447817"/>
    <w:rsid w:val="00452B33"/>
    <w:rsid w:val="004576E9"/>
    <w:rsid w:val="0048616A"/>
    <w:rsid w:val="00495779"/>
    <w:rsid w:val="004B58B2"/>
    <w:rsid w:val="004B5E73"/>
    <w:rsid w:val="004D1D3E"/>
    <w:rsid w:val="004E1139"/>
    <w:rsid w:val="005230D3"/>
    <w:rsid w:val="00524C33"/>
    <w:rsid w:val="005436D4"/>
    <w:rsid w:val="00572EFC"/>
    <w:rsid w:val="00572FFB"/>
    <w:rsid w:val="00577842"/>
    <w:rsid w:val="005A121B"/>
    <w:rsid w:val="005A5691"/>
    <w:rsid w:val="005A57E8"/>
    <w:rsid w:val="005D3E1F"/>
    <w:rsid w:val="005E60F4"/>
    <w:rsid w:val="005E69F6"/>
    <w:rsid w:val="00602BC2"/>
    <w:rsid w:val="00604DB5"/>
    <w:rsid w:val="00611E76"/>
    <w:rsid w:val="006125DB"/>
    <w:rsid w:val="00616ADE"/>
    <w:rsid w:val="00625D96"/>
    <w:rsid w:val="00636E6A"/>
    <w:rsid w:val="00642924"/>
    <w:rsid w:val="00654EA9"/>
    <w:rsid w:val="0065604E"/>
    <w:rsid w:val="0066372F"/>
    <w:rsid w:val="0066668B"/>
    <w:rsid w:val="00666B89"/>
    <w:rsid w:val="00672A00"/>
    <w:rsid w:val="0068341C"/>
    <w:rsid w:val="006B055F"/>
    <w:rsid w:val="006E6F91"/>
    <w:rsid w:val="00700FFD"/>
    <w:rsid w:val="00702FE2"/>
    <w:rsid w:val="00706BD0"/>
    <w:rsid w:val="0072083A"/>
    <w:rsid w:val="007307D2"/>
    <w:rsid w:val="00730DF5"/>
    <w:rsid w:val="007567D4"/>
    <w:rsid w:val="00770EBA"/>
    <w:rsid w:val="007728B2"/>
    <w:rsid w:val="007824E0"/>
    <w:rsid w:val="00782B10"/>
    <w:rsid w:val="00785D07"/>
    <w:rsid w:val="00785F59"/>
    <w:rsid w:val="00792B5C"/>
    <w:rsid w:val="007B0C05"/>
    <w:rsid w:val="007B2219"/>
    <w:rsid w:val="007B347D"/>
    <w:rsid w:val="007B78DA"/>
    <w:rsid w:val="007B793D"/>
    <w:rsid w:val="007E0AE6"/>
    <w:rsid w:val="00812997"/>
    <w:rsid w:val="00827BE1"/>
    <w:rsid w:val="00831445"/>
    <w:rsid w:val="0085139A"/>
    <w:rsid w:val="0085206B"/>
    <w:rsid w:val="00855CC6"/>
    <w:rsid w:val="00856B96"/>
    <w:rsid w:val="00861A57"/>
    <w:rsid w:val="008735C1"/>
    <w:rsid w:val="008802E5"/>
    <w:rsid w:val="008928FC"/>
    <w:rsid w:val="008A0AE8"/>
    <w:rsid w:val="008B2DC5"/>
    <w:rsid w:val="008B596C"/>
    <w:rsid w:val="008B7E45"/>
    <w:rsid w:val="008C17C9"/>
    <w:rsid w:val="008D14DB"/>
    <w:rsid w:val="008D6BD3"/>
    <w:rsid w:val="008E41DA"/>
    <w:rsid w:val="008E669D"/>
    <w:rsid w:val="008F0543"/>
    <w:rsid w:val="008F14AF"/>
    <w:rsid w:val="00902C27"/>
    <w:rsid w:val="0090595B"/>
    <w:rsid w:val="00906249"/>
    <w:rsid w:val="00906FBC"/>
    <w:rsid w:val="0091206F"/>
    <w:rsid w:val="00913055"/>
    <w:rsid w:val="00913679"/>
    <w:rsid w:val="00920046"/>
    <w:rsid w:val="00933815"/>
    <w:rsid w:val="009352BF"/>
    <w:rsid w:val="009443B5"/>
    <w:rsid w:val="00954277"/>
    <w:rsid w:val="0095782A"/>
    <w:rsid w:val="00964026"/>
    <w:rsid w:val="009A1275"/>
    <w:rsid w:val="009A315C"/>
    <w:rsid w:val="009B2D9B"/>
    <w:rsid w:val="009C099D"/>
    <w:rsid w:val="009C2036"/>
    <w:rsid w:val="009C6F9D"/>
    <w:rsid w:val="009C7A44"/>
    <w:rsid w:val="009D4605"/>
    <w:rsid w:val="009D4923"/>
    <w:rsid w:val="009E2EFC"/>
    <w:rsid w:val="009E4B67"/>
    <w:rsid w:val="00A105F8"/>
    <w:rsid w:val="00A37709"/>
    <w:rsid w:val="00A433A4"/>
    <w:rsid w:val="00A43B3F"/>
    <w:rsid w:val="00A46D9F"/>
    <w:rsid w:val="00A50ECF"/>
    <w:rsid w:val="00A659E3"/>
    <w:rsid w:val="00A7642C"/>
    <w:rsid w:val="00A77A61"/>
    <w:rsid w:val="00A869BB"/>
    <w:rsid w:val="00A935C8"/>
    <w:rsid w:val="00AA0BCC"/>
    <w:rsid w:val="00AC62F3"/>
    <w:rsid w:val="00AD4ABB"/>
    <w:rsid w:val="00AE481D"/>
    <w:rsid w:val="00AE5435"/>
    <w:rsid w:val="00B02C13"/>
    <w:rsid w:val="00B04482"/>
    <w:rsid w:val="00B137EB"/>
    <w:rsid w:val="00B161BB"/>
    <w:rsid w:val="00B21D91"/>
    <w:rsid w:val="00B266C5"/>
    <w:rsid w:val="00B344F7"/>
    <w:rsid w:val="00B5733E"/>
    <w:rsid w:val="00B61F40"/>
    <w:rsid w:val="00B7531B"/>
    <w:rsid w:val="00B753B3"/>
    <w:rsid w:val="00B857A3"/>
    <w:rsid w:val="00B86C13"/>
    <w:rsid w:val="00B94D26"/>
    <w:rsid w:val="00BA16C2"/>
    <w:rsid w:val="00BB0301"/>
    <w:rsid w:val="00BC1E01"/>
    <w:rsid w:val="00BC5FF8"/>
    <w:rsid w:val="00BD314C"/>
    <w:rsid w:val="00BD3D19"/>
    <w:rsid w:val="00BE2674"/>
    <w:rsid w:val="00BF50B7"/>
    <w:rsid w:val="00BF557D"/>
    <w:rsid w:val="00C05872"/>
    <w:rsid w:val="00C14EAE"/>
    <w:rsid w:val="00C23C29"/>
    <w:rsid w:val="00C30B82"/>
    <w:rsid w:val="00C36643"/>
    <w:rsid w:val="00C412D9"/>
    <w:rsid w:val="00C508E9"/>
    <w:rsid w:val="00C5334D"/>
    <w:rsid w:val="00C637EE"/>
    <w:rsid w:val="00C64C1C"/>
    <w:rsid w:val="00C66459"/>
    <w:rsid w:val="00C71F25"/>
    <w:rsid w:val="00C9692A"/>
    <w:rsid w:val="00C973BF"/>
    <w:rsid w:val="00CA0AF9"/>
    <w:rsid w:val="00CA6C9F"/>
    <w:rsid w:val="00CC7F3B"/>
    <w:rsid w:val="00CD21BE"/>
    <w:rsid w:val="00CD26AD"/>
    <w:rsid w:val="00CF3850"/>
    <w:rsid w:val="00CF5176"/>
    <w:rsid w:val="00CF58A0"/>
    <w:rsid w:val="00D03EE1"/>
    <w:rsid w:val="00D056E6"/>
    <w:rsid w:val="00D13352"/>
    <w:rsid w:val="00D238AC"/>
    <w:rsid w:val="00D34F51"/>
    <w:rsid w:val="00D4311B"/>
    <w:rsid w:val="00D46D18"/>
    <w:rsid w:val="00D5007D"/>
    <w:rsid w:val="00DA725F"/>
    <w:rsid w:val="00DB4534"/>
    <w:rsid w:val="00DC365E"/>
    <w:rsid w:val="00DF0FC6"/>
    <w:rsid w:val="00E10B1E"/>
    <w:rsid w:val="00E14E30"/>
    <w:rsid w:val="00E16DF0"/>
    <w:rsid w:val="00E16FE6"/>
    <w:rsid w:val="00E22AFD"/>
    <w:rsid w:val="00E315C3"/>
    <w:rsid w:val="00E75CA5"/>
    <w:rsid w:val="00E8187C"/>
    <w:rsid w:val="00E875D5"/>
    <w:rsid w:val="00E90092"/>
    <w:rsid w:val="00E90F15"/>
    <w:rsid w:val="00E92AD8"/>
    <w:rsid w:val="00EA1766"/>
    <w:rsid w:val="00EA5EA5"/>
    <w:rsid w:val="00ED433E"/>
    <w:rsid w:val="00EE27C1"/>
    <w:rsid w:val="00EE4D45"/>
    <w:rsid w:val="00EE5B3F"/>
    <w:rsid w:val="00EF0795"/>
    <w:rsid w:val="00EF4308"/>
    <w:rsid w:val="00EF4BB3"/>
    <w:rsid w:val="00F05F01"/>
    <w:rsid w:val="00F14992"/>
    <w:rsid w:val="00F177CB"/>
    <w:rsid w:val="00F2084D"/>
    <w:rsid w:val="00F309F6"/>
    <w:rsid w:val="00F3433F"/>
    <w:rsid w:val="00F4000C"/>
    <w:rsid w:val="00F448F1"/>
    <w:rsid w:val="00F66271"/>
    <w:rsid w:val="00F74798"/>
    <w:rsid w:val="00F776D6"/>
    <w:rsid w:val="00F811B3"/>
    <w:rsid w:val="00F912F7"/>
    <w:rsid w:val="00F9726B"/>
    <w:rsid w:val="00FC069C"/>
    <w:rsid w:val="00FC7A69"/>
    <w:rsid w:val="00FD3D4A"/>
    <w:rsid w:val="00FD4C52"/>
    <w:rsid w:val="00FD579B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E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uiPriority w:val="34"/>
    <w:qFormat/>
    <w:rsid w:val="005D3E1F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5D3E1F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3E1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3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E1F"/>
    <w:rPr>
      <w:rFonts w:ascii="Times New Roman" w:eastAsia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5D3E1F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E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E1F"/>
    <w:rPr>
      <w:rFonts w:ascii="Times New Roman" w:eastAsia="Times New Roman" w:hAnsi="Times New Roman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33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33E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73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6AD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6F"/>
    <w:rPr>
      <w:rFonts w:ascii="Times New Roman" w:eastAsia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7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26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2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D5007D"/>
    <w:pPr>
      <w:tabs>
        <w:tab w:val="left" w:pos="284"/>
      </w:tabs>
      <w:ind w:left="284" w:hanging="284"/>
    </w:pPr>
    <w:rPr>
      <w:rFonts w:ascii="Calibri" w:hAnsi="Calibri"/>
      <w:sz w:val="18"/>
      <w:lang w:eastAsia="cs-CZ"/>
    </w:rPr>
  </w:style>
  <w:style w:type="character" w:customStyle="1" w:styleId="poznmkapodarouChar">
    <w:name w:val="poznámka pod čarou Char"/>
    <w:basedOn w:val="Standardnpsmoodstavce"/>
    <w:link w:val="poznmkapodarou"/>
    <w:rsid w:val="00D5007D"/>
    <w:rPr>
      <w:rFonts w:ascii="Calibri" w:eastAsia="Times New Roman" w:hAnsi="Calibri" w:cs="Times New Roman"/>
      <w:sz w:val="1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E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uiPriority w:val="34"/>
    <w:qFormat/>
    <w:rsid w:val="005D3E1F"/>
    <w:pPr>
      <w:ind w:left="720"/>
      <w:contextualSpacing/>
    </w:pPr>
    <w:rPr>
      <w:lang w:val="en-US"/>
    </w:rPr>
  </w:style>
  <w:style w:type="paragraph" w:styleId="Zkladntextodsazen2">
    <w:name w:val="Body Text Indent 2"/>
    <w:basedOn w:val="Normln"/>
    <w:link w:val="Zkladntextodsazen2Char"/>
    <w:uiPriority w:val="99"/>
    <w:rsid w:val="005D3E1F"/>
    <w:pPr>
      <w:spacing w:after="120" w:line="480" w:lineRule="auto"/>
      <w:ind w:left="283"/>
    </w:pPr>
    <w:rPr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3E1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3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E1F"/>
    <w:rPr>
      <w:rFonts w:ascii="Times New Roman" w:eastAsia="Times New Roman" w:hAnsi="Times New Roman" w:cs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5D3E1F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E1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E1F"/>
    <w:rPr>
      <w:rFonts w:ascii="Times New Roman" w:eastAsia="Times New Roman" w:hAnsi="Times New Roman"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33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33E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73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6AD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2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06F"/>
    <w:rPr>
      <w:rFonts w:ascii="Times New Roman" w:eastAsia="Times New Roman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7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26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2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D5007D"/>
    <w:pPr>
      <w:tabs>
        <w:tab w:val="left" w:pos="284"/>
      </w:tabs>
      <w:ind w:left="284" w:hanging="284"/>
    </w:pPr>
    <w:rPr>
      <w:rFonts w:ascii="Calibri" w:hAnsi="Calibri"/>
      <w:sz w:val="18"/>
      <w:lang w:eastAsia="cs-CZ"/>
    </w:rPr>
  </w:style>
  <w:style w:type="character" w:customStyle="1" w:styleId="poznmkapodarouChar">
    <w:name w:val="poznámka pod čarou Char"/>
    <w:basedOn w:val="Standardnpsmoodstavce"/>
    <w:link w:val="poznmkapodarou"/>
    <w:rsid w:val="00D5007D"/>
    <w:rPr>
      <w:rFonts w:ascii="Calibri" w:eastAsia="Times New Roman" w:hAnsi="Calibri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85E61-07AF-4867-9359-C830CBCD17EB}"/>
</file>

<file path=customXml/itemProps2.xml><?xml version="1.0" encoding="utf-8"?>
<ds:datastoreItem xmlns:ds="http://schemas.openxmlformats.org/officeDocument/2006/customXml" ds:itemID="{2B5C78AB-4103-4083-9FE3-5099DAAEBC83}"/>
</file>

<file path=customXml/itemProps3.xml><?xml version="1.0" encoding="utf-8"?>
<ds:datastoreItem xmlns:ds="http://schemas.openxmlformats.org/officeDocument/2006/customXml" ds:itemID="{CE335338-2A72-4C1A-9B67-272C15652B63}"/>
</file>

<file path=customXml/itemProps4.xml><?xml version="1.0" encoding="utf-8"?>
<ds:datastoreItem xmlns:ds="http://schemas.openxmlformats.org/officeDocument/2006/customXml" ds:itemID="{93F868FC-5654-4A50-8E52-F801A88F27A8}"/>
</file>

<file path=docProps/app.xml><?xml version="1.0" encoding="utf-8"?>
<Properties xmlns="http://schemas.openxmlformats.org/officeDocument/2006/extended-properties" xmlns:vt="http://schemas.openxmlformats.org/officeDocument/2006/docPropsVTypes">
  <Template>FD961F80</Template>
  <TotalTime>158</TotalTime>
  <Pages>6</Pages>
  <Words>1998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14/13</dc:title>
  <dc:creator>LAFATOVÁ Jaroslava</dc:creator>
  <cp:lastModifiedBy>POKORNÁ Jana</cp:lastModifiedBy>
  <cp:revision>15</cp:revision>
  <cp:lastPrinted>2015-01-08T09:38:00Z</cp:lastPrinted>
  <dcterms:created xsi:type="dcterms:W3CDTF">2014-12-15T13:16:00Z</dcterms:created>
  <dcterms:modified xsi:type="dcterms:W3CDTF">2015-01-13T11:48:00Z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