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77" w:rsidRPr="007B6490" w:rsidRDefault="00140C7E" w:rsidP="004D7DBE">
      <w:pPr>
        <w:jc w:val="center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4644DC54" wp14:editId="5AC55B3B">
            <wp:simplePos x="0" y="0"/>
            <wp:positionH relativeFrom="column">
              <wp:posOffset>2553335</wp:posOffset>
            </wp:positionH>
            <wp:positionV relativeFrom="paragraph">
              <wp:posOffset>108585</wp:posOffset>
            </wp:positionV>
            <wp:extent cx="763905" cy="53975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A77" w:rsidRPr="007B6490" w:rsidRDefault="00336A77" w:rsidP="00140C7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6A77" w:rsidRPr="007B6490" w:rsidRDefault="00336A77" w:rsidP="004D7D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6490">
        <w:rPr>
          <w:rFonts w:asciiTheme="minorHAnsi" w:hAnsiTheme="minorHAnsi" w:cstheme="minorHAnsi"/>
          <w:b/>
          <w:sz w:val="28"/>
          <w:szCs w:val="28"/>
        </w:rPr>
        <w:t xml:space="preserve">Kontrolní závěr z kontrolní akce </w:t>
      </w:r>
    </w:p>
    <w:p w:rsidR="00336A77" w:rsidRPr="007B6490" w:rsidRDefault="00336A77" w:rsidP="004D7DB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36A77" w:rsidRPr="007B6490" w:rsidRDefault="00336A77" w:rsidP="004D7D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6490">
        <w:rPr>
          <w:rFonts w:asciiTheme="minorHAnsi" w:hAnsiTheme="minorHAnsi" w:cstheme="minorHAnsi"/>
          <w:b/>
          <w:sz w:val="28"/>
          <w:szCs w:val="28"/>
        </w:rPr>
        <w:t>14/40</w:t>
      </w:r>
    </w:p>
    <w:p w:rsidR="00336A77" w:rsidRPr="007B6490" w:rsidRDefault="00336A77" w:rsidP="004D7DB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36A77" w:rsidRPr="007B6490" w:rsidRDefault="00336A77" w:rsidP="004D7DBE">
      <w:pPr>
        <w:spacing w:before="12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7B6490">
        <w:rPr>
          <w:rFonts w:asciiTheme="minorHAnsi" w:eastAsia="Calibri" w:hAnsiTheme="minorHAnsi" w:cstheme="minorHAnsi"/>
          <w:b/>
          <w:sz w:val="28"/>
          <w:szCs w:val="28"/>
        </w:rPr>
        <w:t>Peněžní prostředky určené na úhradu nákladů pozemkových úprav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Kontrolní akce byla zařazena do plánu kontrolní činnosti Nejvyššího kontrolního úřadu (dále </w:t>
      </w:r>
      <w:r w:rsidR="002D44C3" w:rsidRPr="007B6490">
        <w:rPr>
          <w:rFonts w:asciiTheme="minorHAnsi" w:hAnsiTheme="minorHAnsi" w:cstheme="minorHAnsi"/>
        </w:rPr>
        <w:t>také</w:t>
      </w:r>
      <w:r w:rsidRPr="007B6490">
        <w:rPr>
          <w:rFonts w:asciiTheme="minorHAnsi" w:hAnsiTheme="minorHAnsi" w:cstheme="minorHAnsi"/>
        </w:rPr>
        <w:t xml:space="preserve"> „NKÚ“) na rok 2014</w:t>
      </w:r>
      <w:r w:rsidR="00591819">
        <w:rPr>
          <w:rFonts w:asciiTheme="minorHAnsi" w:hAnsiTheme="minorHAnsi" w:cstheme="minorHAnsi"/>
        </w:rPr>
        <w:t xml:space="preserve"> pod číslem 14/40</w:t>
      </w:r>
      <w:r w:rsidR="00BB7916" w:rsidRPr="007B6490">
        <w:rPr>
          <w:rFonts w:asciiTheme="minorHAnsi" w:hAnsiTheme="minorHAnsi" w:cstheme="minorHAnsi"/>
        </w:rPr>
        <w:t>.</w:t>
      </w:r>
      <w:r w:rsidRPr="007B6490">
        <w:rPr>
          <w:rFonts w:asciiTheme="minorHAnsi" w:hAnsiTheme="minorHAnsi" w:cstheme="minorHAnsi"/>
        </w:rPr>
        <w:t xml:space="preserve"> Kontrolní akci řídila </w:t>
      </w:r>
      <w:r w:rsidR="00733642" w:rsidRPr="007B6490">
        <w:rPr>
          <w:rFonts w:asciiTheme="minorHAnsi" w:hAnsiTheme="minorHAnsi" w:cstheme="minorHAnsi"/>
        </w:rPr>
        <w:t xml:space="preserve">a kontrolní závěr vypracovala </w:t>
      </w:r>
      <w:r w:rsidRPr="007B6490">
        <w:rPr>
          <w:rFonts w:asciiTheme="minorHAnsi" w:hAnsiTheme="minorHAnsi" w:cstheme="minorHAnsi"/>
        </w:rPr>
        <w:t>členka NKÚ Ing.</w:t>
      </w:r>
      <w:r w:rsidR="002D44C3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>Hana Hykšová.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881627" w:rsidRPr="007B6490" w:rsidRDefault="00336A77" w:rsidP="004D7DBE">
      <w:pPr>
        <w:jc w:val="both"/>
        <w:rPr>
          <w:rFonts w:asciiTheme="minorHAnsi" w:eastAsia="Calibr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Cílem kontroly bylo prověřit </w:t>
      </w:r>
      <w:r w:rsidR="00881627" w:rsidRPr="007B6490">
        <w:rPr>
          <w:rFonts w:asciiTheme="minorHAnsi" w:eastAsia="Calibri" w:hAnsiTheme="minorHAnsi" w:cstheme="minorHAnsi"/>
        </w:rPr>
        <w:t xml:space="preserve">hospodaření s peněžními prostředky určenými na úhradu nákladů pozemkových úprav z kapitoly státního rozpočtu </w:t>
      </w:r>
      <w:r w:rsidR="00881627" w:rsidRPr="00C91112">
        <w:rPr>
          <w:rFonts w:asciiTheme="minorHAnsi" w:eastAsia="Calibri" w:hAnsiTheme="minorHAnsi" w:cstheme="minorHAnsi"/>
          <w:i/>
        </w:rPr>
        <w:t>Ministerstvo zemědělství</w:t>
      </w:r>
      <w:r w:rsidR="00881627" w:rsidRPr="007B6490">
        <w:rPr>
          <w:rFonts w:asciiTheme="minorHAnsi" w:eastAsia="Calibri" w:hAnsiTheme="minorHAnsi" w:cstheme="minorHAnsi"/>
        </w:rPr>
        <w:t>, z </w:t>
      </w:r>
      <w:r w:rsidR="00881627" w:rsidRPr="00C91112">
        <w:rPr>
          <w:rFonts w:asciiTheme="minorHAnsi" w:eastAsia="Calibri" w:hAnsiTheme="minorHAnsi" w:cstheme="minorHAnsi"/>
          <w:i/>
        </w:rPr>
        <w:t>Programu rozvoje venkova</w:t>
      </w:r>
      <w:r w:rsidR="00881627" w:rsidRPr="007B6490">
        <w:rPr>
          <w:rFonts w:asciiTheme="minorHAnsi" w:eastAsia="Calibri" w:hAnsiTheme="minorHAnsi" w:cstheme="minorHAnsi"/>
        </w:rPr>
        <w:t xml:space="preserve"> a dalších zdrojů.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Kontrola byla prováděna od </w:t>
      </w:r>
      <w:r w:rsidR="00881627" w:rsidRPr="007B6490">
        <w:rPr>
          <w:rFonts w:asciiTheme="minorHAnsi" w:hAnsiTheme="minorHAnsi" w:cstheme="minorHAnsi"/>
        </w:rPr>
        <w:t>srpna 2014</w:t>
      </w:r>
      <w:r w:rsidRPr="007B6490">
        <w:rPr>
          <w:rFonts w:asciiTheme="minorHAnsi" w:hAnsiTheme="minorHAnsi" w:cstheme="minorHAnsi"/>
        </w:rPr>
        <w:t xml:space="preserve"> do </w:t>
      </w:r>
      <w:r w:rsidR="00881627" w:rsidRPr="007B6490">
        <w:rPr>
          <w:rFonts w:asciiTheme="minorHAnsi" w:hAnsiTheme="minorHAnsi" w:cstheme="minorHAnsi"/>
        </w:rPr>
        <w:t>února</w:t>
      </w:r>
      <w:r w:rsidRPr="007B6490">
        <w:rPr>
          <w:rFonts w:asciiTheme="minorHAnsi" w:hAnsiTheme="minorHAnsi" w:cstheme="minorHAnsi"/>
        </w:rPr>
        <w:t xml:space="preserve"> 201</w:t>
      </w:r>
      <w:r w:rsidR="00881627" w:rsidRPr="007B6490">
        <w:rPr>
          <w:rFonts w:asciiTheme="minorHAnsi" w:hAnsiTheme="minorHAnsi" w:cstheme="minorHAnsi"/>
        </w:rPr>
        <w:t>5</w:t>
      </w:r>
      <w:r w:rsidRPr="007B6490">
        <w:rPr>
          <w:rFonts w:asciiTheme="minorHAnsi" w:hAnsiTheme="minorHAnsi" w:cstheme="minorHAnsi"/>
        </w:rPr>
        <w:t>.</w:t>
      </w:r>
    </w:p>
    <w:p w:rsidR="00415DB2" w:rsidRPr="007B6490" w:rsidRDefault="00415DB2" w:rsidP="004D7DBE">
      <w:pPr>
        <w:jc w:val="both"/>
        <w:rPr>
          <w:rFonts w:asciiTheme="minorHAnsi" w:hAnsiTheme="minorHAnsi" w:cstheme="minorHAnsi"/>
          <w:highlight w:val="cyan"/>
        </w:rPr>
      </w:pPr>
    </w:p>
    <w:p w:rsidR="00D65CAA" w:rsidRPr="007B6490" w:rsidRDefault="00D65CAA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Kontrolovaným obdobím byly roky 2011 až 2013, v případě věcných souvislostí i období předch</w:t>
      </w:r>
      <w:r w:rsidR="00591819">
        <w:rPr>
          <w:rFonts w:asciiTheme="minorHAnsi" w:hAnsiTheme="minorHAnsi" w:cstheme="minorHAnsi"/>
        </w:rPr>
        <w:t>ozí</w:t>
      </w:r>
      <w:r w:rsidRPr="007B6490">
        <w:rPr>
          <w:rFonts w:asciiTheme="minorHAnsi" w:hAnsiTheme="minorHAnsi" w:cstheme="minorHAnsi"/>
        </w:rPr>
        <w:t xml:space="preserve"> a navazující. 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>Kontrolované osoby:</w:t>
      </w:r>
      <w:r w:rsidRPr="007B6490">
        <w:rPr>
          <w:rFonts w:asciiTheme="minorHAnsi" w:hAnsiTheme="minorHAnsi" w:cstheme="minorHAnsi"/>
          <w:b/>
        </w:rPr>
        <w:cr/>
      </w:r>
      <w:r w:rsidR="00881627" w:rsidRPr="007B6490">
        <w:rPr>
          <w:rFonts w:asciiTheme="minorHAnsi" w:hAnsiTheme="minorHAnsi" w:cstheme="minorHAnsi"/>
        </w:rPr>
        <w:t>Ministerstvo zemědělství</w:t>
      </w:r>
      <w:r w:rsidR="001C2A2E" w:rsidRPr="007B6490">
        <w:rPr>
          <w:rFonts w:asciiTheme="minorHAnsi" w:hAnsiTheme="minorHAnsi" w:cstheme="minorHAnsi"/>
        </w:rPr>
        <w:t>;</w:t>
      </w:r>
    </w:p>
    <w:p w:rsidR="00881627" w:rsidRPr="007B6490" w:rsidRDefault="0088162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Státní pozemkový úřad</w:t>
      </w:r>
      <w:r w:rsidR="00532693" w:rsidRPr="007B6490">
        <w:rPr>
          <w:rFonts w:asciiTheme="minorHAnsi" w:hAnsiTheme="minorHAnsi" w:cstheme="minorHAnsi"/>
        </w:rPr>
        <w:t xml:space="preserve">, </w:t>
      </w:r>
      <w:r w:rsidR="00803300" w:rsidRPr="007B6490">
        <w:rPr>
          <w:rFonts w:asciiTheme="minorHAnsi" w:hAnsiTheme="minorHAnsi" w:cstheme="minorHAnsi"/>
        </w:rPr>
        <w:t>Praha</w:t>
      </w:r>
      <w:r w:rsidR="001C2A2E" w:rsidRPr="007B6490">
        <w:rPr>
          <w:rFonts w:asciiTheme="minorHAnsi" w:hAnsiTheme="minorHAnsi" w:cstheme="minorHAnsi"/>
        </w:rPr>
        <w:t>;</w:t>
      </w:r>
    </w:p>
    <w:p w:rsidR="00881627" w:rsidRPr="007B6490" w:rsidRDefault="0088162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Státní zemědělský intervenční fond</w:t>
      </w:r>
      <w:r w:rsidR="00803300" w:rsidRPr="007B6490">
        <w:rPr>
          <w:rFonts w:asciiTheme="minorHAnsi" w:hAnsiTheme="minorHAnsi" w:cstheme="minorHAnsi"/>
        </w:rPr>
        <w:t>,</w:t>
      </w:r>
      <w:r w:rsidR="00532693" w:rsidRPr="007B6490">
        <w:rPr>
          <w:rFonts w:asciiTheme="minorHAnsi" w:hAnsiTheme="minorHAnsi" w:cstheme="minorHAnsi"/>
        </w:rPr>
        <w:t xml:space="preserve"> </w:t>
      </w:r>
      <w:r w:rsidR="00803300" w:rsidRPr="007B6490">
        <w:rPr>
          <w:rFonts w:asciiTheme="minorHAnsi" w:hAnsiTheme="minorHAnsi" w:cstheme="minorHAnsi"/>
        </w:rPr>
        <w:t>Praha</w:t>
      </w:r>
      <w:r w:rsidR="001C2A2E" w:rsidRPr="007B6490">
        <w:rPr>
          <w:rFonts w:asciiTheme="minorHAnsi" w:hAnsiTheme="minorHAnsi" w:cstheme="minorHAnsi"/>
        </w:rPr>
        <w:t>.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Námitky, které proti kontrolním</w:t>
      </w:r>
      <w:r w:rsidR="00F57C6C" w:rsidRPr="007B6490">
        <w:rPr>
          <w:rFonts w:asciiTheme="minorHAnsi" w:hAnsiTheme="minorHAnsi" w:cstheme="minorHAnsi"/>
        </w:rPr>
        <w:t>u</w:t>
      </w:r>
      <w:r w:rsidRPr="007B6490">
        <w:rPr>
          <w:rFonts w:asciiTheme="minorHAnsi" w:hAnsiTheme="minorHAnsi" w:cstheme="minorHAnsi"/>
        </w:rPr>
        <w:t xml:space="preserve"> protokol</w:t>
      </w:r>
      <w:r w:rsidR="00F57C6C" w:rsidRPr="007B6490">
        <w:rPr>
          <w:rFonts w:asciiTheme="minorHAnsi" w:hAnsiTheme="minorHAnsi" w:cstheme="minorHAnsi"/>
        </w:rPr>
        <w:t>u</w:t>
      </w:r>
      <w:r w:rsidRPr="007B6490">
        <w:rPr>
          <w:rFonts w:asciiTheme="minorHAnsi" w:hAnsiTheme="minorHAnsi" w:cstheme="minorHAnsi"/>
        </w:rPr>
        <w:t xml:space="preserve"> podal</w:t>
      </w:r>
      <w:r w:rsidR="00881627" w:rsidRPr="007B6490">
        <w:rPr>
          <w:rFonts w:asciiTheme="minorHAnsi" w:hAnsiTheme="minorHAnsi" w:cstheme="minorHAnsi"/>
        </w:rPr>
        <w:t>o</w:t>
      </w:r>
      <w:r w:rsidRPr="007B6490">
        <w:rPr>
          <w:rFonts w:asciiTheme="minorHAnsi" w:hAnsiTheme="minorHAnsi" w:cstheme="minorHAnsi"/>
        </w:rPr>
        <w:t xml:space="preserve"> Ministerstvo </w:t>
      </w:r>
      <w:r w:rsidR="00881627" w:rsidRPr="007B6490">
        <w:rPr>
          <w:rFonts w:asciiTheme="minorHAnsi" w:hAnsiTheme="minorHAnsi" w:cstheme="minorHAnsi"/>
        </w:rPr>
        <w:t>zemědělství</w:t>
      </w:r>
      <w:r w:rsidRPr="007B6490">
        <w:rPr>
          <w:rFonts w:asciiTheme="minorHAnsi" w:hAnsiTheme="minorHAnsi" w:cstheme="minorHAnsi"/>
        </w:rPr>
        <w:t xml:space="preserve">, byly vypořádány vedoucím skupiny kontrolujících rozhodnutím o námitkách. 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</w:p>
    <w:p w:rsidR="00140C7E" w:rsidRPr="007B6490" w:rsidRDefault="00140C7E" w:rsidP="004D7DBE">
      <w:pPr>
        <w:jc w:val="both"/>
        <w:rPr>
          <w:rFonts w:asciiTheme="minorHAnsi" w:hAnsiTheme="minorHAnsi" w:cstheme="minorHAnsi"/>
        </w:rPr>
      </w:pP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proofErr w:type="gramStart"/>
      <w:r w:rsidRPr="00C91112">
        <w:rPr>
          <w:rFonts w:asciiTheme="minorHAnsi" w:hAnsiTheme="minorHAnsi" w:cstheme="minorHAnsi"/>
          <w:b/>
          <w:i/>
        </w:rPr>
        <w:t>K</w:t>
      </w:r>
      <w:r w:rsidR="002C3D98" w:rsidRPr="00C91112">
        <w:rPr>
          <w:rFonts w:asciiTheme="minorHAnsi" w:hAnsiTheme="minorHAnsi" w:cstheme="minorHAnsi"/>
          <w:b/>
          <w:i/>
        </w:rPr>
        <w:t> </w:t>
      </w:r>
      <w:r w:rsidRPr="00C91112">
        <w:rPr>
          <w:rFonts w:asciiTheme="minorHAnsi" w:hAnsiTheme="minorHAnsi" w:cstheme="minorHAnsi"/>
          <w:b/>
          <w:i/>
        </w:rPr>
        <w:t>o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l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e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g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i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u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 xml:space="preserve">m </w:t>
      </w:r>
      <w:r w:rsidR="002C3D98" w:rsidRPr="00C91112">
        <w:rPr>
          <w:rFonts w:asciiTheme="minorHAnsi" w:hAnsiTheme="minorHAnsi" w:cstheme="minorHAnsi"/>
          <w:b/>
          <w:i/>
        </w:rPr>
        <w:t xml:space="preserve">  </w:t>
      </w:r>
      <w:r w:rsidRPr="00C91112">
        <w:rPr>
          <w:rFonts w:asciiTheme="minorHAnsi" w:hAnsiTheme="minorHAnsi" w:cstheme="minorHAnsi"/>
          <w:b/>
          <w:i/>
        </w:rPr>
        <w:t>N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K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Ú</w:t>
      </w:r>
      <w:r w:rsidR="002C3D98" w:rsidRPr="007B6490">
        <w:rPr>
          <w:rFonts w:asciiTheme="minorHAnsi" w:hAnsiTheme="minorHAnsi" w:cstheme="minorHAnsi"/>
          <w:b/>
        </w:rPr>
        <w:t xml:space="preserve">   </w:t>
      </w:r>
      <w:r w:rsidRPr="007B6490">
        <w:rPr>
          <w:rFonts w:asciiTheme="minorHAnsi" w:hAnsiTheme="minorHAnsi" w:cstheme="minorHAnsi"/>
        </w:rPr>
        <w:t>na</w:t>
      </w:r>
      <w:proofErr w:type="gramEnd"/>
      <w:r w:rsidRPr="007B6490">
        <w:rPr>
          <w:rFonts w:asciiTheme="minorHAnsi" w:hAnsiTheme="minorHAnsi" w:cstheme="minorHAnsi"/>
        </w:rPr>
        <w:t xml:space="preserve"> svém </w:t>
      </w:r>
      <w:r w:rsidR="00264C55">
        <w:rPr>
          <w:rFonts w:asciiTheme="minorHAnsi" w:hAnsiTheme="minorHAnsi" w:cstheme="minorHAnsi"/>
        </w:rPr>
        <w:t>VII.</w:t>
      </w:r>
      <w:r w:rsidR="00854457"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 xml:space="preserve">jednání, které se konalo dne </w:t>
      </w:r>
      <w:r w:rsidR="00264C55">
        <w:rPr>
          <w:rFonts w:asciiTheme="minorHAnsi" w:hAnsiTheme="minorHAnsi" w:cstheme="minorHAnsi"/>
        </w:rPr>
        <w:t>18</w:t>
      </w:r>
      <w:r w:rsidR="002805EA">
        <w:rPr>
          <w:rFonts w:asciiTheme="minorHAnsi" w:hAnsiTheme="minorHAnsi" w:cstheme="minorHAnsi"/>
        </w:rPr>
        <w:t>.</w:t>
      </w:r>
      <w:r w:rsidR="007929EB">
        <w:rPr>
          <w:rFonts w:asciiTheme="minorHAnsi" w:hAnsiTheme="minorHAnsi" w:cstheme="minorHAnsi"/>
        </w:rPr>
        <w:t xml:space="preserve"> května</w:t>
      </w:r>
      <w:r w:rsidR="00854457" w:rsidRPr="007B6490">
        <w:rPr>
          <w:rFonts w:asciiTheme="minorHAnsi" w:hAnsiTheme="minorHAnsi" w:cstheme="minorHAnsi"/>
        </w:rPr>
        <w:t xml:space="preserve"> 2015,</w:t>
      </w:r>
    </w:p>
    <w:p w:rsidR="00881627" w:rsidRPr="007B6490" w:rsidRDefault="002C3D98" w:rsidP="004D7DBE">
      <w:pPr>
        <w:jc w:val="both"/>
        <w:rPr>
          <w:rFonts w:asciiTheme="minorHAnsi" w:hAnsiTheme="minorHAnsi" w:cstheme="minorHAnsi"/>
        </w:rPr>
      </w:pPr>
      <w:proofErr w:type="gramStart"/>
      <w:r w:rsidRPr="00C91112">
        <w:rPr>
          <w:rFonts w:asciiTheme="minorHAnsi" w:hAnsiTheme="minorHAnsi" w:cstheme="minorHAnsi"/>
          <w:b/>
          <w:i/>
        </w:rPr>
        <w:t>s </w:t>
      </w:r>
      <w:r w:rsidR="00336A77" w:rsidRPr="00C91112">
        <w:rPr>
          <w:rFonts w:asciiTheme="minorHAnsi" w:hAnsiTheme="minorHAnsi" w:cstheme="minorHAnsi"/>
          <w:b/>
          <w:i/>
        </w:rPr>
        <w:t>c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h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v</w:t>
      </w:r>
      <w:r w:rsidRPr="00C91112">
        <w:rPr>
          <w:rFonts w:asciiTheme="minorHAnsi" w:hAnsiTheme="minorHAnsi" w:cstheme="minorHAnsi"/>
          <w:b/>
          <w:i/>
        </w:rPr>
        <w:t> </w:t>
      </w:r>
      <w:r w:rsidR="00336A77" w:rsidRPr="00C91112">
        <w:rPr>
          <w:rFonts w:asciiTheme="minorHAnsi" w:hAnsiTheme="minorHAnsi" w:cstheme="minorHAnsi"/>
          <w:b/>
          <w:i/>
        </w:rPr>
        <w:t>á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l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i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l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336A77" w:rsidRPr="00C91112">
        <w:rPr>
          <w:rFonts w:asciiTheme="minorHAnsi" w:hAnsiTheme="minorHAnsi" w:cstheme="minorHAnsi"/>
          <w:b/>
          <w:i/>
        </w:rPr>
        <w:t>o</w:t>
      </w:r>
      <w:r w:rsidRPr="007B6490">
        <w:rPr>
          <w:rFonts w:asciiTheme="minorHAnsi" w:hAnsiTheme="minorHAnsi" w:cstheme="minorHAnsi"/>
          <w:b/>
        </w:rPr>
        <w:t xml:space="preserve">   </w:t>
      </w:r>
      <w:r w:rsidR="00336A77" w:rsidRPr="007B6490">
        <w:rPr>
          <w:rFonts w:asciiTheme="minorHAnsi" w:hAnsiTheme="minorHAnsi" w:cstheme="minorHAnsi"/>
        </w:rPr>
        <w:t>usnesením č.</w:t>
      </w:r>
      <w:proofErr w:type="gramEnd"/>
      <w:r w:rsidR="00336A77" w:rsidRPr="007B6490">
        <w:rPr>
          <w:rFonts w:asciiTheme="minorHAnsi" w:hAnsiTheme="minorHAnsi" w:cstheme="minorHAnsi"/>
        </w:rPr>
        <w:t xml:space="preserve"> </w:t>
      </w:r>
      <w:r w:rsidR="007225D2">
        <w:rPr>
          <w:rFonts w:asciiTheme="minorHAnsi" w:hAnsiTheme="minorHAnsi" w:cstheme="minorHAnsi"/>
        </w:rPr>
        <w:t>6</w:t>
      </w:r>
      <w:r w:rsidR="00854457" w:rsidRPr="007B6490">
        <w:rPr>
          <w:rFonts w:asciiTheme="minorHAnsi" w:hAnsiTheme="minorHAnsi" w:cstheme="minorHAnsi"/>
        </w:rPr>
        <w:t>/</w:t>
      </w:r>
      <w:r w:rsidR="00264C55">
        <w:rPr>
          <w:rFonts w:asciiTheme="minorHAnsi" w:hAnsiTheme="minorHAnsi" w:cstheme="minorHAnsi"/>
        </w:rPr>
        <w:t>VII</w:t>
      </w:r>
      <w:r w:rsidR="00854457" w:rsidRPr="007B6490">
        <w:rPr>
          <w:rFonts w:asciiTheme="minorHAnsi" w:hAnsiTheme="minorHAnsi" w:cstheme="minorHAnsi"/>
        </w:rPr>
        <w:t>/2015</w:t>
      </w:r>
    </w:p>
    <w:p w:rsidR="00336A77" w:rsidRPr="007B6490" w:rsidRDefault="00336A77" w:rsidP="004D7DBE">
      <w:pPr>
        <w:jc w:val="both"/>
        <w:rPr>
          <w:rFonts w:asciiTheme="minorHAnsi" w:hAnsiTheme="minorHAnsi" w:cstheme="minorHAnsi"/>
        </w:rPr>
      </w:pPr>
      <w:proofErr w:type="gramStart"/>
      <w:r w:rsidRPr="00C91112">
        <w:rPr>
          <w:rFonts w:asciiTheme="minorHAnsi" w:hAnsiTheme="minorHAnsi" w:cstheme="minorHAnsi"/>
          <w:b/>
          <w:i/>
        </w:rPr>
        <w:t>k</w:t>
      </w:r>
      <w:r w:rsidR="002C3D98" w:rsidRPr="00C91112">
        <w:rPr>
          <w:rFonts w:asciiTheme="minorHAnsi" w:hAnsiTheme="minorHAnsi" w:cstheme="minorHAnsi"/>
          <w:b/>
          <w:i/>
        </w:rPr>
        <w:t> </w:t>
      </w:r>
      <w:r w:rsidRPr="00C91112">
        <w:rPr>
          <w:rFonts w:asciiTheme="minorHAnsi" w:hAnsiTheme="minorHAnsi" w:cstheme="minorHAnsi"/>
          <w:b/>
          <w:i/>
        </w:rPr>
        <w:t>o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n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t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r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o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l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n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í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 xml:space="preserve"> 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z</w:t>
      </w:r>
      <w:r w:rsidR="002C3D98" w:rsidRPr="00C91112">
        <w:rPr>
          <w:rFonts w:asciiTheme="minorHAnsi" w:hAnsiTheme="minorHAnsi" w:cstheme="minorHAnsi"/>
          <w:b/>
          <w:i/>
        </w:rPr>
        <w:t> </w:t>
      </w:r>
      <w:r w:rsidRPr="00C91112">
        <w:rPr>
          <w:rFonts w:asciiTheme="minorHAnsi" w:hAnsiTheme="minorHAnsi" w:cstheme="minorHAnsi"/>
          <w:b/>
          <w:i/>
        </w:rPr>
        <w:t>á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v</w:t>
      </w:r>
      <w:r w:rsidR="002C3D98" w:rsidRPr="00C91112">
        <w:rPr>
          <w:rFonts w:asciiTheme="minorHAnsi" w:hAnsiTheme="minorHAnsi" w:cstheme="minorHAnsi"/>
          <w:b/>
          <w:i/>
        </w:rPr>
        <w:t> </w:t>
      </w:r>
      <w:r w:rsidRPr="00C91112">
        <w:rPr>
          <w:rFonts w:asciiTheme="minorHAnsi" w:hAnsiTheme="minorHAnsi" w:cstheme="minorHAnsi"/>
          <w:b/>
          <w:i/>
        </w:rPr>
        <w:t>ě</w:t>
      </w:r>
      <w:r w:rsidR="002C3D98" w:rsidRPr="00C91112">
        <w:rPr>
          <w:rFonts w:asciiTheme="minorHAnsi" w:hAnsiTheme="minorHAnsi" w:cstheme="minorHAnsi"/>
          <w:b/>
          <w:i/>
        </w:rPr>
        <w:t xml:space="preserve"> </w:t>
      </w:r>
      <w:r w:rsidRPr="00C91112">
        <w:rPr>
          <w:rFonts w:asciiTheme="minorHAnsi" w:hAnsiTheme="minorHAnsi" w:cstheme="minorHAnsi"/>
          <w:b/>
          <w:i/>
        </w:rPr>
        <w:t>r</w:t>
      </w:r>
      <w:r w:rsidR="002C3D98" w:rsidRPr="007B6490">
        <w:rPr>
          <w:rFonts w:asciiTheme="minorHAnsi" w:hAnsiTheme="minorHAnsi" w:cstheme="minorHAnsi"/>
          <w:b/>
        </w:rPr>
        <w:t xml:space="preserve">   </w:t>
      </w:r>
      <w:r w:rsidRPr="007B6490">
        <w:rPr>
          <w:rFonts w:asciiTheme="minorHAnsi" w:hAnsiTheme="minorHAnsi" w:cstheme="minorHAnsi"/>
        </w:rPr>
        <w:t>v tomto</w:t>
      </w:r>
      <w:proofErr w:type="gramEnd"/>
      <w:r w:rsidRPr="007B6490">
        <w:rPr>
          <w:rFonts w:asciiTheme="minorHAnsi" w:hAnsiTheme="minorHAnsi" w:cstheme="minorHAnsi"/>
        </w:rPr>
        <w:t xml:space="preserve"> znění:</w:t>
      </w:r>
    </w:p>
    <w:p w:rsidR="00C05857" w:rsidRPr="007B6490" w:rsidRDefault="00C05857" w:rsidP="004D7DBE">
      <w:pPr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br w:type="page"/>
      </w:r>
    </w:p>
    <w:p w:rsidR="00E23AFC" w:rsidRPr="007B6490" w:rsidRDefault="00105E17" w:rsidP="00584E37">
      <w:pPr>
        <w:pStyle w:val="Nadpis1"/>
        <w:keepNext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I. </w:t>
      </w:r>
      <w:r w:rsidR="00584E37">
        <w:rPr>
          <w:rFonts w:asciiTheme="minorHAnsi" w:hAnsiTheme="minorHAnsi" w:cstheme="minorHAnsi"/>
          <w:sz w:val="28"/>
          <w:szCs w:val="28"/>
        </w:rPr>
        <w:t>Ú</w:t>
      </w:r>
      <w:r w:rsidR="00584E37" w:rsidRPr="007B6490">
        <w:rPr>
          <w:rFonts w:asciiTheme="minorHAnsi" w:hAnsiTheme="minorHAnsi" w:cstheme="minorHAnsi"/>
          <w:sz w:val="28"/>
          <w:szCs w:val="28"/>
        </w:rPr>
        <w:t>vodní informace</w:t>
      </w:r>
    </w:p>
    <w:p w:rsidR="00584E37" w:rsidRDefault="00584E37" w:rsidP="00DD1C9C">
      <w:pPr>
        <w:jc w:val="both"/>
        <w:rPr>
          <w:rFonts w:asciiTheme="minorHAnsi" w:hAnsiTheme="minorHAnsi" w:cstheme="minorHAnsi"/>
        </w:rPr>
      </w:pPr>
    </w:p>
    <w:p w:rsidR="00E554FB" w:rsidRDefault="00E554FB" w:rsidP="00DD1C9C">
      <w:pPr>
        <w:jc w:val="both"/>
        <w:rPr>
          <w:rFonts w:asciiTheme="minorHAnsi" w:hAnsiTheme="minorHAnsi" w:cstheme="minorHAnsi"/>
        </w:rPr>
      </w:pPr>
      <w:r w:rsidRPr="00C91112">
        <w:rPr>
          <w:rFonts w:asciiTheme="minorHAnsi" w:hAnsiTheme="minorHAnsi" w:cstheme="minorHAnsi"/>
          <w:i/>
        </w:rPr>
        <w:t>Národní strategický plán rozvoje venkova</w:t>
      </w:r>
      <w:r w:rsidR="00140C7E" w:rsidRPr="00C91112">
        <w:rPr>
          <w:rFonts w:asciiTheme="minorHAnsi" w:hAnsiTheme="minorHAnsi" w:cstheme="minorHAnsi"/>
          <w:i/>
        </w:rPr>
        <w:t xml:space="preserve"> České republiky na období 2007–</w:t>
      </w:r>
      <w:r w:rsidRPr="00C91112">
        <w:rPr>
          <w:rFonts w:asciiTheme="minorHAnsi" w:hAnsiTheme="minorHAnsi" w:cstheme="minorHAnsi"/>
          <w:i/>
        </w:rPr>
        <w:t>2013</w:t>
      </w:r>
      <w:r w:rsidRPr="007B6490">
        <w:rPr>
          <w:rFonts w:asciiTheme="minorHAnsi" w:hAnsiTheme="minorHAnsi" w:cstheme="minorHAnsi"/>
        </w:rPr>
        <w:t xml:space="preserve"> (dále </w:t>
      </w:r>
      <w:r w:rsidR="00591819">
        <w:rPr>
          <w:rFonts w:asciiTheme="minorHAnsi" w:hAnsiTheme="minorHAnsi" w:cstheme="minorHAnsi"/>
        </w:rPr>
        <w:t>jen</w:t>
      </w:r>
      <w:r w:rsidRPr="007B6490">
        <w:rPr>
          <w:rFonts w:asciiTheme="minorHAnsi" w:hAnsiTheme="minorHAnsi" w:cstheme="minorHAnsi"/>
        </w:rPr>
        <w:t xml:space="preserve"> „NSPRV“) zajišť</w:t>
      </w:r>
      <w:r w:rsidR="003D7C6D" w:rsidRPr="007B6490">
        <w:rPr>
          <w:rFonts w:asciiTheme="minorHAnsi" w:hAnsiTheme="minorHAnsi" w:cstheme="minorHAnsi"/>
        </w:rPr>
        <w:t>oval</w:t>
      </w:r>
      <w:r w:rsidRPr="007B6490">
        <w:rPr>
          <w:rFonts w:asciiTheme="minorHAnsi" w:hAnsiTheme="minorHAnsi" w:cstheme="minorHAnsi"/>
        </w:rPr>
        <w:t xml:space="preserve"> vazby mezi cíli rozvoje venkova v České republice (dále také „ČR“) a evropskými strategickými směry prostřednictvím tří strategických rozvojových</w:t>
      </w:r>
      <w:r w:rsidR="00DA4AFB"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>os</w:t>
      </w:r>
      <w:r w:rsidR="00D338F9">
        <w:rPr>
          <w:rFonts w:asciiTheme="minorHAnsi" w:hAnsiTheme="minorHAnsi" w:cstheme="minorHAnsi"/>
        </w:rPr>
        <w:t>:</w:t>
      </w:r>
      <w:r w:rsidR="0048626D" w:rsidRPr="007B6490">
        <w:rPr>
          <w:rFonts w:asciiTheme="minorHAnsi" w:hAnsiTheme="minorHAnsi" w:cstheme="minorHAnsi"/>
        </w:rPr>
        <w:t xml:space="preserve"> </w:t>
      </w:r>
      <w:r w:rsidR="00977C9D">
        <w:rPr>
          <w:rFonts w:asciiTheme="minorHAnsi" w:hAnsiTheme="minorHAnsi" w:cstheme="minorHAnsi"/>
        </w:rPr>
        <w:t>I</w:t>
      </w:r>
      <w:r w:rsidR="00D338F9">
        <w:rPr>
          <w:rFonts w:asciiTheme="minorHAnsi" w:hAnsiTheme="minorHAnsi" w:cstheme="minorHAnsi"/>
        </w:rPr>
        <w:t>. </w:t>
      </w:r>
      <w:r w:rsidR="00D338F9" w:rsidRPr="00954B0A">
        <w:rPr>
          <w:rFonts w:asciiTheme="minorHAnsi" w:hAnsiTheme="minorHAnsi" w:cstheme="minorHAnsi"/>
          <w:bCs/>
          <w:i/>
        </w:rPr>
        <w:t>Zlepšení konkurenceschopnosti zemědělství a lesnictví</w:t>
      </w:r>
      <w:r w:rsidR="00D338F9" w:rsidRPr="00D338F9">
        <w:rPr>
          <w:rFonts w:asciiTheme="minorHAnsi" w:hAnsiTheme="minorHAnsi" w:cstheme="minorHAnsi"/>
          <w:bCs/>
        </w:rPr>
        <w:t>,</w:t>
      </w:r>
      <w:r w:rsidR="00D338F9" w:rsidRPr="00954B0A">
        <w:rPr>
          <w:rFonts w:asciiTheme="minorHAnsi" w:hAnsiTheme="minorHAnsi" w:cstheme="minorHAnsi"/>
          <w:bCs/>
        </w:rPr>
        <w:t xml:space="preserve"> </w:t>
      </w:r>
      <w:r w:rsidR="00977C9D">
        <w:rPr>
          <w:rFonts w:asciiTheme="minorHAnsi" w:hAnsiTheme="minorHAnsi" w:cstheme="minorHAnsi"/>
          <w:bCs/>
        </w:rPr>
        <w:t>II</w:t>
      </w:r>
      <w:r w:rsidR="00D338F9" w:rsidRPr="00954B0A">
        <w:rPr>
          <w:rFonts w:asciiTheme="minorHAnsi" w:hAnsiTheme="minorHAnsi" w:cstheme="minorHAnsi"/>
          <w:bCs/>
        </w:rPr>
        <w:t xml:space="preserve">. </w:t>
      </w:r>
      <w:r w:rsidR="00D338F9" w:rsidRPr="00954B0A">
        <w:rPr>
          <w:rFonts w:asciiTheme="minorHAnsi" w:hAnsiTheme="minorHAnsi" w:cstheme="minorHAnsi"/>
          <w:bCs/>
          <w:i/>
        </w:rPr>
        <w:t>Zlepšování životního prostředí a</w:t>
      </w:r>
      <w:r w:rsidR="00D338F9">
        <w:rPr>
          <w:rFonts w:asciiTheme="minorHAnsi" w:hAnsiTheme="minorHAnsi" w:cstheme="minorHAnsi"/>
          <w:bCs/>
          <w:i/>
        </w:rPr>
        <w:t> </w:t>
      </w:r>
      <w:r w:rsidR="00D338F9" w:rsidRPr="00954B0A">
        <w:rPr>
          <w:rFonts w:asciiTheme="minorHAnsi" w:hAnsiTheme="minorHAnsi" w:cstheme="minorHAnsi"/>
          <w:bCs/>
          <w:i/>
        </w:rPr>
        <w:t>krajiny</w:t>
      </w:r>
      <w:r w:rsidR="00D338F9">
        <w:rPr>
          <w:rFonts w:asciiTheme="minorHAnsi" w:hAnsiTheme="minorHAnsi" w:cstheme="minorHAnsi"/>
          <w:bCs/>
        </w:rPr>
        <w:t>,</w:t>
      </w:r>
      <w:r w:rsidR="00D338F9" w:rsidRPr="00954B0A">
        <w:rPr>
          <w:rFonts w:ascii="Calibri" w:hAnsi="Calibri" w:cs="Calibri"/>
          <w:bCs/>
        </w:rPr>
        <w:t xml:space="preserve"> </w:t>
      </w:r>
      <w:r w:rsidR="00977C9D">
        <w:rPr>
          <w:rFonts w:ascii="Calibri" w:hAnsi="Calibri" w:cs="Calibri"/>
          <w:bCs/>
        </w:rPr>
        <w:t>III</w:t>
      </w:r>
      <w:r w:rsidR="00D338F9" w:rsidRPr="00954B0A">
        <w:rPr>
          <w:rFonts w:ascii="Calibri" w:hAnsi="Calibri" w:cs="Calibri"/>
          <w:bCs/>
        </w:rPr>
        <w:t xml:space="preserve">. </w:t>
      </w:r>
      <w:r w:rsidR="00D338F9" w:rsidRPr="00954B0A">
        <w:rPr>
          <w:rFonts w:ascii="Calibri" w:hAnsi="Calibri" w:cs="Calibri"/>
          <w:bCs/>
          <w:i/>
        </w:rPr>
        <w:t>Kvalita života ve venkovských oblastech a diverzifikace hospodářství venkova</w:t>
      </w:r>
      <w:r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BB7916" w:rsidRPr="007B6490" w:rsidRDefault="00314362" w:rsidP="007B6490">
      <w:pPr>
        <w:pStyle w:val="Odrka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7B6490">
        <w:rPr>
          <w:rFonts w:asciiTheme="minorHAnsi" w:eastAsiaTheme="minorHAnsi" w:hAnsiTheme="minorHAnsi" w:cstheme="minorHAnsi"/>
          <w:sz w:val="24"/>
          <w:szCs w:val="24"/>
        </w:rPr>
        <w:t xml:space="preserve">NSPRV byl rozpracován do </w:t>
      </w:r>
      <w:r w:rsidR="00BB7916" w:rsidRPr="00C91112">
        <w:rPr>
          <w:rFonts w:asciiTheme="minorHAnsi" w:eastAsiaTheme="minorHAnsi" w:hAnsiTheme="minorHAnsi" w:cstheme="minorHAnsi"/>
          <w:i/>
          <w:sz w:val="24"/>
          <w:szCs w:val="24"/>
        </w:rPr>
        <w:t>Program</w:t>
      </w:r>
      <w:r w:rsidRPr="00C91112">
        <w:rPr>
          <w:rFonts w:asciiTheme="minorHAnsi" w:eastAsiaTheme="minorHAnsi" w:hAnsiTheme="minorHAnsi" w:cstheme="minorHAnsi"/>
          <w:i/>
          <w:sz w:val="24"/>
          <w:szCs w:val="24"/>
        </w:rPr>
        <w:t>u</w:t>
      </w:r>
      <w:r w:rsidR="00BB7916" w:rsidRPr="00C91112">
        <w:rPr>
          <w:rFonts w:asciiTheme="minorHAnsi" w:eastAsiaTheme="minorHAnsi" w:hAnsiTheme="minorHAnsi" w:cstheme="minorHAnsi"/>
          <w:i/>
          <w:sz w:val="24"/>
          <w:szCs w:val="24"/>
        </w:rPr>
        <w:t xml:space="preserve"> rozvoje venkova České republiky na období</w:t>
      </w:r>
      <w:r w:rsidR="00DA4AFB" w:rsidRPr="00C91112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r w:rsidR="00123A41" w:rsidRPr="00C91112">
        <w:rPr>
          <w:rFonts w:asciiTheme="minorHAnsi" w:eastAsiaTheme="minorHAnsi" w:hAnsiTheme="minorHAnsi" w:cstheme="minorHAnsi"/>
          <w:i/>
          <w:sz w:val="24"/>
          <w:szCs w:val="24"/>
        </w:rPr>
        <w:t>2007</w:t>
      </w:r>
      <w:r w:rsidR="001D78E9">
        <w:rPr>
          <w:rFonts w:asciiTheme="minorHAnsi" w:eastAsiaTheme="minorHAnsi" w:hAnsiTheme="minorHAnsi" w:cstheme="minorHAnsi"/>
          <w:i/>
          <w:sz w:val="24"/>
          <w:szCs w:val="24"/>
        </w:rPr>
        <w:t>–</w:t>
      </w:r>
      <w:r w:rsidR="00BB7916" w:rsidRPr="00C91112">
        <w:rPr>
          <w:rFonts w:asciiTheme="minorHAnsi" w:eastAsiaTheme="minorHAnsi" w:hAnsiTheme="minorHAnsi" w:cstheme="minorHAnsi"/>
          <w:i/>
          <w:sz w:val="24"/>
          <w:szCs w:val="24"/>
        </w:rPr>
        <w:t>2013</w:t>
      </w:r>
      <w:r w:rsidR="00BB7916" w:rsidRPr="007B6490">
        <w:rPr>
          <w:rFonts w:asciiTheme="minorHAnsi" w:eastAsiaTheme="minorHAnsi" w:hAnsiTheme="minorHAnsi" w:cstheme="minorHAnsi"/>
          <w:sz w:val="24"/>
          <w:szCs w:val="24"/>
        </w:rPr>
        <w:t xml:space="preserve"> (dále také „PRV“)</w:t>
      </w:r>
      <w:r w:rsidR="00D81F8D" w:rsidRPr="007B6490">
        <w:rPr>
          <w:rFonts w:asciiTheme="minorHAnsi" w:eastAsiaTheme="minorHAnsi" w:hAnsiTheme="minorHAnsi" w:cstheme="minorHAnsi"/>
          <w:sz w:val="24"/>
          <w:szCs w:val="24"/>
        </w:rPr>
        <w:t xml:space="preserve"> jako </w:t>
      </w:r>
      <w:r w:rsidR="00D81F8D" w:rsidRPr="007B6490">
        <w:rPr>
          <w:rFonts w:asciiTheme="minorHAnsi" w:hAnsiTheme="minorHAnsi" w:cstheme="minorHAnsi"/>
          <w:sz w:val="24"/>
          <w:szCs w:val="24"/>
        </w:rPr>
        <w:t>nástroj</w:t>
      </w:r>
      <w:r w:rsidR="00B75D39" w:rsidRPr="007B6490">
        <w:rPr>
          <w:rFonts w:asciiTheme="minorHAnsi" w:hAnsiTheme="minorHAnsi" w:cstheme="minorHAnsi"/>
          <w:sz w:val="24"/>
          <w:szCs w:val="24"/>
        </w:rPr>
        <w:t>e</w:t>
      </w:r>
      <w:r w:rsidR="00D81F8D" w:rsidRPr="007B6490">
        <w:rPr>
          <w:rFonts w:asciiTheme="minorHAnsi" w:hAnsiTheme="minorHAnsi" w:cstheme="minorHAnsi"/>
          <w:sz w:val="24"/>
          <w:szCs w:val="24"/>
        </w:rPr>
        <w:t xml:space="preserve"> pro získání </w:t>
      </w:r>
      <w:r w:rsidR="00F541DA" w:rsidRPr="007B6490">
        <w:rPr>
          <w:rFonts w:asciiTheme="minorHAnsi" w:hAnsiTheme="minorHAnsi" w:cstheme="minorHAnsi"/>
          <w:sz w:val="24"/>
          <w:szCs w:val="24"/>
        </w:rPr>
        <w:t xml:space="preserve">finanční </w:t>
      </w:r>
      <w:r w:rsidR="00D81F8D" w:rsidRPr="007B6490">
        <w:rPr>
          <w:rFonts w:asciiTheme="minorHAnsi" w:hAnsiTheme="minorHAnsi" w:cstheme="minorHAnsi"/>
          <w:sz w:val="24"/>
          <w:szCs w:val="24"/>
        </w:rPr>
        <w:t xml:space="preserve">podpory poskytnuté Evropskou unií </w:t>
      </w:r>
      <w:r w:rsidR="00D81F8D" w:rsidRPr="00E07F85">
        <w:rPr>
          <w:rFonts w:asciiTheme="minorHAnsi" w:hAnsiTheme="minorHAnsi" w:cstheme="minorHAnsi"/>
          <w:sz w:val="24"/>
          <w:szCs w:val="24"/>
        </w:rPr>
        <w:t>z </w:t>
      </w:r>
      <w:r w:rsidR="00D81F8D" w:rsidRPr="00C91112">
        <w:rPr>
          <w:rFonts w:asciiTheme="minorHAnsi" w:hAnsiTheme="minorHAnsi" w:cstheme="minorHAnsi"/>
          <w:i/>
          <w:sz w:val="24"/>
          <w:szCs w:val="24"/>
        </w:rPr>
        <w:t>Evropského zemědělského fondu pro rozvoj venkova</w:t>
      </w:r>
      <w:r w:rsidR="006A23CE" w:rsidRPr="00E07F85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E07F85">
        <w:rPr>
          <w:rFonts w:asciiTheme="minorHAnsi" w:eastAsiaTheme="minorHAnsi" w:hAnsiTheme="minorHAnsi" w:cstheme="minorHAnsi"/>
          <w:sz w:val="24"/>
          <w:szCs w:val="24"/>
        </w:rPr>
        <w:t xml:space="preserve"> PRV</w:t>
      </w:r>
      <w:r w:rsidR="00E554FB" w:rsidRPr="00E07F8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81E99" w:rsidRPr="00E07F85">
        <w:rPr>
          <w:rFonts w:asciiTheme="minorHAnsi" w:eastAsiaTheme="minorHAnsi" w:hAnsiTheme="minorHAnsi" w:cstheme="minorHAnsi"/>
          <w:sz w:val="24"/>
          <w:szCs w:val="24"/>
        </w:rPr>
        <w:t xml:space="preserve">v ose I. </w:t>
      </w:r>
      <w:r w:rsidR="00381E99" w:rsidRPr="00A735D9">
        <w:rPr>
          <w:rFonts w:asciiTheme="minorHAnsi" w:hAnsiTheme="minorHAnsi" w:cstheme="minorHAnsi"/>
          <w:i/>
          <w:sz w:val="24"/>
          <w:szCs w:val="24"/>
        </w:rPr>
        <w:t>Zlepšení konkurenceschopnosti zemědělství a lesnictví</w:t>
      </w:r>
      <w:r w:rsidR="00381E99" w:rsidRPr="00E07F85">
        <w:rPr>
          <w:rFonts w:asciiTheme="minorHAnsi" w:hAnsiTheme="minorHAnsi" w:cstheme="minorHAnsi"/>
          <w:sz w:val="24"/>
          <w:szCs w:val="24"/>
        </w:rPr>
        <w:t xml:space="preserve">, </w:t>
      </w:r>
      <w:r w:rsidR="00BE0701">
        <w:rPr>
          <w:rFonts w:asciiTheme="minorHAnsi" w:hAnsiTheme="minorHAnsi" w:cstheme="minorHAnsi"/>
          <w:sz w:val="24"/>
          <w:szCs w:val="24"/>
        </w:rPr>
        <w:t xml:space="preserve">konkrétně </w:t>
      </w:r>
      <w:r w:rsidR="00BE0701" w:rsidRPr="00A735D9">
        <w:t>v</w:t>
      </w:r>
      <w:r w:rsidR="000E27F4">
        <w:t> </w:t>
      </w:r>
      <w:proofErr w:type="gramStart"/>
      <w:r w:rsidR="002F0656" w:rsidRPr="00A735D9">
        <w:rPr>
          <w:rFonts w:eastAsiaTheme="minorHAnsi"/>
        </w:rPr>
        <w:t>opatření</w:t>
      </w:r>
      <w:r w:rsidR="002F0656" w:rsidRPr="00E07F85">
        <w:rPr>
          <w:rFonts w:asciiTheme="minorHAnsi" w:eastAsiaTheme="minorHAnsi" w:hAnsiTheme="minorHAnsi" w:cstheme="minorHAnsi"/>
          <w:sz w:val="24"/>
          <w:szCs w:val="24"/>
        </w:rPr>
        <w:t xml:space="preserve"> I.1.4</w:t>
      </w:r>
      <w:proofErr w:type="gramEnd"/>
      <w:r w:rsidR="00755114" w:rsidRPr="00E07F8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A23CE" w:rsidRPr="00C91112">
        <w:rPr>
          <w:rFonts w:asciiTheme="minorHAnsi" w:eastAsiaTheme="minorHAnsi" w:hAnsiTheme="minorHAnsi" w:cstheme="minorHAnsi"/>
          <w:i/>
          <w:sz w:val="24"/>
          <w:szCs w:val="24"/>
        </w:rPr>
        <w:t>Pozemkové úpravy</w:t>
      </w:r>
      <w:r w:rsidR="006A23CE" w:rsidRPr="00E07F85">
        <w:rPr>
          <w:rFonts w:asciiTheme="minorHAnsi" w:eastAsiaTheme="minorHAnsi" w:hAnsiTheme="minorHAnsi" w:cstheme="minorHAnsi"/>
          <w:sz w:val="24"/>
          <w:szCs w:val="24"/>
        </w:rPr>
        <w:t xml:space="preserve"> (dále také</w:t>
      </w:r>
      <w:r w:rsidR="006A23CE" w:rsidRPr="007B6490">
        <w:rPr>
          <w:rFonts w:asciiTheme="minorHAnsi" w:eastAsiaTheme="minorHAnsi" w:hAnsiTheme="minorHAnsi" w:cstheme="minorHAnsi"/>
          <w:sz w:val="24"/>
          <w:szCs w:val="24"/>
        </w:rPr>
        <w:t xml:space="preserve"> „</w:t>
      </w:r>
      <w:r w:rsidR="002F0656" w:rsidRPr="007B6490">
        <w:rPr>
          <w:rFonts w:asciiTheme="minorHAnsi" w:eastAsiaTheme="minorHAnsi" w:hAnsiTheme="minorHAnsi" w:cstheme="minorHAnsi"/>
          <w:sz w:val="24"/>
          <w:szCs w:val="24"/>
        </w:rPr>
        <w:t>o</w:t>
      </w:r>
      <w:r w:rsidR="006A23CE" w:rsidRPr="007B6490">
        <w:rPr>
          <w:rFonts w:asciiTheme="minorHAnsi" w:eastAsiaTheme="minorHAnsi" w:hAnsiTheme="minorHAnsi" w:cstheme="minorHAnsi"/>
          <w:sz w:val="24"/>
          <w:szCs w:val="24"/>
        </w:rPr>
        <w:t>patření I.1.4“)</w:t>
      </w:r>
      <w:r w:rsidR="00BE0701">
        <w:rPr>
          <w:rFonts w:asciiTheme="minorHAnsi" w:eastAsiaTheme="minorHAnsi" w:hAnsiTheme="minorHAnsi" w:cstheme="minorHAnsi"/>
          <w:sz w:val="24"/>
          <w:szCs w:val="24"/>
        </w:rPr>
        <w:t>,</w:t>
      </w:r>
      <w:r w:rsidR="006A23CE" w:rsidRPr="007B649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B7916" w:rsidRPr="007B6490">
        <w:rPr>
          <w:rFonts w:asciiTheme="minorHAnsi" w:eastAsiaTheme="minorHAnsi" w:hAnsiTheme="minorHAnsi" w:cstheme="minorHAnsi"/>
          <w:sz w:val="24"/>
          <w:szCs w:val="24"/>
        </w:rPr>
        <w:t xml:space="preserve">definoval </w:t>
      </w:r>
      <w:r w:rsidR="00BB7916" w:rsidRPr="007B6490">
        <w:rPr>
          <w:rFonts w:asciiTheme="minorHAnsi" w:hAnsiTheme="minorHAnsi" w:cstheme="minorHAnsi"/>
          <w:sz w:val="24"/>
          <w:szCs w:val="24"/>
          <w:lang w:eastAsia="cs-CZ"/>
        </w:rPr>
        <w:t>čtyři záměry, na které mohli žadatelé</w:t>
      </w:r>
      <w:r w:rsidR="00B578EF" w:rsidRPr="007B649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BB7916" w:rsidRPr="007B6490">
        <w:rPr>
          <w:rFonts w:asciiTheme="minorHAnsi" w:hAnsiTheme="minorHAnsi" w:cstheme="minorHAnsi"/>
          <w:sz w:val="24"/>
          <w:szCs w:val="24"/>
          <w:lang w:eastAsia="cs-CZ"/>
        </w:rPr>
        <w:t>čerpat peněžní prostředky:</w:t>
      </w:r>
    </w:p>
    <w:p w:rsidR="00BB7916" w:rsidRPr="00C67B7C" w:rsidRDefault="00591819" w:rsidP="007B6490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z</w:t>
      </w:r>
      <w:r w:rsidR="00BB7916" w:rsidRPr="007B6490">
        <w:rPr>
          <w:rFonts w:cstheme="minorHAnsi"/>
          <w:sz w:val="24"/>
          <w:szCs w:val="24"/>
          <w:lang w:eastAsia="cs-CZ"/>
        </w:rPr>
        <w:t>aměření území a všech polohopisných prvků a další geodetické práce pro vytvoření návrhu pozemkových úprav dle zákona č. 139/</w:t>
      </w:r>
      <w:r w:rsidR="00BB7916" w:rsidRPr="00C67B7C">
        <w:rPr>
          <w:rFonts w:cstheme="minorHAnsi"/>
          <w:sz w:val="24"/>
          <w:szCs w:val="24"/>
          <w:lang w:eastAsia="cs-CZ"/>
        </w:rPr>
        <w:t>2002 Sb.</w:t>
      </w:r>
      <w:r w:rsidR="00D81F8D" w:rsidRPr="00C67B7C">
        <w:rPr>
          <w:rStyle w:val="Znakapoznpodarou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  <w:lang w:eastAsia="cs-CZ"/>
        </w:rPr>
        <w:t>,</w:t>
      </w:r>
    </w:p>
    <w:p w:rsidR="00BB7916" w:rsidRPr="007B6490" w:rsidRDefault="00591819" w:rsidP="007B6490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v</w:t>
      </w:r>
      <w:r w:rsidR="00BB7916" w:rsidRPr="007B6490">
        <w:rPr>
          <w:rFonts w:cstheme="minorHAnsi"/>
          <w:sz w:val="24"/>
          <w:szCs w:val="24"/>
          <w:lang w:eastAsia="cs-CZ"/>
        </w:rPr>
        <w:t>ytyčení nově navržených pozemků vycházející ze schváleného návrhu pozemkové úpravy dle zák</w:t>
      </w:r>
      <w:r w:rsidR="00375362" w:rsidRPr="007B6490">
        <w:rPr>
          <w:rFonts w:cstheme="minorHAnsi"/>
          <w:sz w:val="24"/>
          <w:szCs w:val="24"/>
          <w:lang w:eastAsia="cs-CZ"/>
        </w:rPr>
        <w:t>ona</w:t>
      </w:r>
      <w:r w:rsidR="00BB7916" w:rsidRPr="007B6490">
        <w:rPr>
          <w:rFonts w:cstheme="minorHAnsi"/>
          <w:sz w:val="24"/>
          <w:szCs w:val="24"/>
          <w:lang w:eastAsia="cs-CZ"/>
        </w:rPr>
        <w:t xml:space="preserve"> č. 139/2002 Sb.</w:t>
      </w:r>
      <w:r>
        <w:rPr>
          <w:rFonts w:cstheme="minorHAnsi"/>
          <w:sz w:val="24"/>
          <w:szCs w:val="24"/>
          <w:lang w:eastAsia="cs-CZ"/>
        </w:rPr>
        <w:t>,</w:t>
      </w:r>
    </w:p>
    <w:p w:rsidR="00BB7916" w:rsidRPr="007B6490" w:rsidRDefault="00591819" w:rsidP="007B6490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v</w:t>
      </w:r>
      <w:r w:rsidR="00BB7916" w:rsidRPr="007B6490">
        <w:rPr>
          <w:rFonts w:cstheme="minorHAnsi"/>
          <w:sz w:val="24"/>
          <w:szCs w:val="24"/>
          <w:lang w:eastAsia="cs-CZ"/>
        </w:rPr>
        <w:t xml:space="preserve">yměření pozemků </w:t>
      </w:r>
      <w:r w:rsidR="00C43C07" w:rsidRPr="007B6490">
        <w:rPr>
          <w:rFonts w:cstheme="minorHAnsi"/>
          <w:sz w:val="24"/>
          <w:szCs w:val="24"/>
          <w:lang w:eastAsia="cs-CZ"/>
        </w:rPr>
        <w:t>d</w:t>
      </w:r>
      <w:r w:rsidR="00BB7916" w:rsidRPr="007B6490">
        <w:rPr>
          <w:rFonts w:cstheme="minorHAnsi"/>
          <w:sz w:val="24"/>
          <w:szCs w:val="24"/>
          <w:lang w:eastAsia="cs-CZ"/>
        </w:rPr>
        <w:t>le § 21a zákona č. 229/1991 Sb.</w:t>
      </w:r>
      <w:r w:rsidR="001F315E" w:rsidRPr="007B6490">
        <w:rPr>
          <w:rStyle w:val="Znakapoznpodarou"/>
          <w:rFonts w:cstheme="minorHAnsi"/>
          <w:sz w:val="24"/>
          <w:szCs w:val="24"/>
          <w:lang w:eastAsia="cs-CZ"/>
        </w:rPr>
        <w:footnoteReference w:id="3"/>
      </w:r>
      <w:r>
        <w:rPr>
          <w:rFonts w:cstheme="minorHAnsi"/>
          <w:sz w:val="24"/>
          <w:szCs w:val="24"/>
          <w:lang w:eastAsia="cs-CZ"/>
        </w:rPr>
        <w:t>,</w:t>
      </w:r>
    </w:p>
    <w:p w:rsidR="00BB7916" w:rsidRPr="007B6490" w:rsidRDefault="00591819" w:rsidP="00DD1C9C">
      <w:pPr>
        <w:pStyle w:val="Odstavecseseznamem"/>
        <w:widowControl w:val="0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r</w:t>
      </w:r>
      <w:r w:rsidR="00BB7916" w:rsidRPr="007B6490">
        <w:rPr>
          <w:rFonts w:cstheme="minorHAnsi"/>
          <w:sz w:val="24"/>
          <w:szCs w:val="24"/>
          <w:lang w:eastAsia="cs-CZ"/>
        </w:rPr>
        <w:t xml:space="preserve">ealizace plánů společných zařízení </w:t>
      </w:r>
      <w:r>
        <w:rPr>
          <w:rFonts w:cstheme="minorHAnsi"/>
          <w:sz w:val="24"/>
          <w:szCs w:val="24"/>
          <w:lang w:eastAsia="cs-CZ"/>
        </w:rPr>
        <w:t xml:space="preserve">na základě schváleného návrhu </w:t>
      </w:r>
      <w:r w:rsidR="00BB7916" w:rsidRPr="007B6490">
        <w:rPr>
          <w:rFonts w:cstheme="minorHAnsi"/>
          <w:sz w:val="24"/>
          <w:szCs w:val="24"/>
          <w:lang w:eastAsia="cs-CZ"/>
        </w:rPr>
        <w:t xml:space="preserve">pozemkových úprav dle </w:t>
      </w:r>
      <w:r w:rsidR="00C43C07" w:rsidRPr="007B6490">
        <w:rPr>
          <w:rFonts w:cstheme="minorHAnsi"/>
          <w:sz w:val="24"/>
          <w:szCs w:val="24"/>
          <w:lang w:eastAsia="cs-CZ"/>
        </w:rPr>
        <w:t>§</w:t>
      </w:r>
      <w:r w:rsidR="002941D4" w:rsidRPr="007B6490">
        <w:rPr>
          <w:rFonts w:cstheme="minorHAnsi"/>
          <w:sz w:val="24"/>
          <w:szCs w:val="24"/>
          <w:lang w:eastAsia="cs-CZ"/>
        </w:rPr>
        <w:t> 9 </w:t>
      </w:r>
      <w:r w:rsidR="00C43C07" w:rsidRPr="007B6490">
        <w:rPr>
          <w:rFonts w:cstheme="minorHAnsi"/>
          <w:sz w:val="24"/>
          <w:szCs w:val="24"/>
          <w:lang w:eastAsia="cs-CZ"/>
        </w:rPr>
        <w:t>odst.</w:t>
      </w:r>
      <w:r w:rsidR="002941D4" w:rsidRPr="007B6490">
        <w:rPr>
          <w:rFonts w:cstheme="minorHAnsi"/>
          <w:sz w:val="24"/>
          <w:szCs w:val="24"/>
          <w:lang w:eastAsia="cs-CZ"/>
        </w:rPr>
        <w:t> </w:t>
      </w:r>
      <w:r w:rsidR="00C43C07" w:rsidRPr="007B6490">
        <w:rPr>
          <w:rFonts w:cstheme="minorHAnsi"/>
          <w:sz w:val="24"/>
          <w:szCs w:val="24"/>
          <w:lang w:eastAsia="cs-CZ"/>
        </w:rPr>
        <w:t>8 zákona č. </w:t>
      </w:r>
      <w:r w:rsidR="00BB7916" w:rsidRPr="007B6490">
        <w:rPr>
          <w:rFonts w:cstheme="minorHAnsi"/>
          <w:sz w:val="24"/>
          <w:szCs w:val="24"/>
          <w:lang w:eastAsia="cs-CZ"/>
        </w:rPr>
        <w:t>139/2002 Sb.</w:t>
      </w:r>
    </w:p>
    <w:p w:rsidR="00DD1C9C" w:rsidRDefault="00DD1C9C" w:rsidP="007B6490">
      <w:pPr>
        <w:jc w:val="both"/>
        <w:rPr>
          <w:rFonts w:asciiTheme="minorHAnsi" w:hAnsiTheme="minorHAnsi" w:cstheme="minorHAnsi"/>
          <w:b/>
        </w:rPr>
      </w:pPr>
    </w:p>
    <w:p w:rsidR="00935049" w:rsidRDefault="00935049" w:rsidP="007B6490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 xml:space="preserve">Ministerstvo zemědělství </w:t>
      </w:r>
      <w:r w:rsidR="00F57C6C" w:rsidRPr="007B6490">
        <w:rPr>
          <w:rFonts w:asciiTheme="minorHAnsi" w:hAnsiTheme="minorHAnsi" w:cstheme="minorHAnsi"/>
        </w:rPr>
        <w:t xml:space="preserve">(dále </w:t>
      </w:r>
      <w:r w:rsidR="002C621D">
        <w:rPr>
          <w:rFonts w:asciiTheme="minorHAnsi" w:hAnsiTheme="minorHAnsi" w:cstheme="minorHAnsi"/>
        </w:rPr>
        <w:t>také</w:t>
      </w:r>
      <w:r w:rsidR="002C621D" w:rsidRPr="007B6490">
        <w:rPr>
          <w:rFonts w:asciiTheme="minorHAnsi" w:hAnsiTheme="minorHAnsi" w:cstheme="minorHAnsi"/>
        </w:rPr>
        <w:t xml:space="preserve"> </w:t>
      </w:r>
      <w:r w:rsidR="00F57C6C" w:rsidRPr="007B6490">
        <w:rPr>
          <w:rFonts w:asciiTheme="minorHAnsi" w:hAnsiTheme="minorHAnsi" w:cstheme="minorHAnsi"/>
        </w:rPr>
        <w:t>„</w:t>
      </w:r>
      <w:proofErr w:type="spellStart"/>
      <w:r w:rsidR="00F57C6C" w:rsidRPr="007B6490">
        <w:rPr>
          <w:rFonts w:asciiTheme="minorHAnsi" w:hAnsiTheme="minorHAnsi" w:cstheme="minorHAnsi"/>
        </w:rPr>
        <w:t>MZe</w:t>
      </w:r>
      <w:proofErr w:type="spellEnd"/>
      <w:r w:rsidR="00F57C6C" w:rsidRPr="007B6490">
        <w:rPr>
          <w:rFonts w:asciiTheme="minorHAnsi" w:hAnsiTheme="minorHAnsi" w:cstheme="minorHAnsi"/>
        </w:rPr>
        <w:t>“)</w:t>
      </w:r>
      <w:r w:rsidR="00F57C6C" w:rsidRPr="007B6490">
        <w:rPr>
          <w:rFonts w:asciiTheme="minorHAnsi" w:hAnsiTheme="minorHAnsi" w:cstheme="minorHAnsi"/>
          <w:b/>
        </w:rPr>
        <w:t xml:space="preserve"> </w:t>
      </w:r>
      <w:r w:rsidR="00AE6D03" w:rsidRPr="007B6490">
        <w:rPr>
          <w:rFonts w:asciiTheme="minorHAnsi" w:hAnsiTheme="minorHAnsi" w:cstheme="minorHAnsi"/>
        </w:rPr>
        <w:t xml:space="preserve">realizovalo </w:t>
      </w:r>
      <w:r w:rsidR="008676EA" w:rsidRPr="007B6490">
        <w:rPr>
          <w:rFonts w:asciiTheme="minorHAnsi" w:hAnsiTheme="minorHAnsi" w:cstheme="minorHAnsi"/>
        </w:rPr>
        <w:t xml:space="preserve">do 31. 12. 2012 </w:t>
      </w:r>
      <w:r w:rsidR="00AE6D03" w:rsidRPr="007B6490">
        <w:rPr>
          <w:rFonts w:asciiTheme="minorHAnsi" w:hAnsiTheme="minorHAnsi" w:cstheme="minorHAnsi"/>
        </w:rPr>
        <w:t xml:space="preserve">pozemkové úpravy </w:t>
      </w:r>
      <w:r w:rsidRPr="007B6490">
        <w:rPr>
          <w:rFonts w:asciiTheme="minorHAnsi" w:hAnsiTheme="minorHAnsi" w:cstheme="minorHAnsi"/>
        </w:rPr>
        <w:t>prostřednictvím organizačního útvaru Ústřední pozemkový úřad</w:t>
      </w:r>
      <w:r w:rsidRPr="007B6490">
        <w:rPr>
          <w:rFonts w:asciiTheme="minorHAnsi" w:hAnsiTheme="minorHAnsi" w:cstheme="minorHAnsi"/>
          <w:b/>
        </w:rPr>
        <w:t xml:space="preserve"> </w:t>
      </w:r>
      <w:r w:rsidRPr="007B6490">
        <w:rPr>
          <w:rFonts w:asciiTheme="minorHAnsi" w:hAnsiTheme="minorHAnsi" w:cstheme="minorHAnsi"/>
        </w:rPr>
        <w:t>(dále také „ÚPÚ“)</w:t>
      </w:r>
      <w:r w:rsidR="009665E9"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7B6490">
      <w:pPr>
        <w:jc w:val="both"/>
        <w:rPr>
          <w:rFonts w:asciiTheme="minorHAnsi" w:hAnsiTheme="minorHAnsi" w:cstheme="minorHAnsi"/>
        </w:rPr>
      </w:pPr>
    </w:p>
    <w:p w:rsidR="00FD4EDF" w:rsidRDefault="00FD4EDF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>Státní pozemkový úřad</w:t>
      </w:r>
      <w:r w:rsidRPr="007B6490">
        <w:rPr>
          <w:rFonts w:asciiTheme="minorHAnsi" w:hAnsiTheme="minorHAnsi" w:cstheme="minorHAnsi"/>
        </w:rPr>
        <w:t xml:space="preserve"> (dále také „SPÚ“), který byl zřízen k 1. 1. 2013 podle zákona č. 503/2012 Sb., o Státním pozemkovém úřadu a o změně některých souvisejících zákonů, převzal</w:t>
      </w:r>
      <w:r w:rsidR="00591819">
        <w:rPr>
          <w:rFonts w:asciiTheme="minorHAnsi" w:hAnsiTheme="minorHAnsi" w:cstheme="minorHAnsi"/>
        </w:rPr>
        <w:t xml:space="preserve"> mj.</w:t>
      </w:r>
      <w:r w:rsidRPr="007B6490">
        <w:rPr>
          <w:rFonts w:asciiTheme="minorHAnsi" w:hAnsiTheme="minorHAnsi" w:cstheme="minorHAnsi"/>
        </w:rPr>
        <w:t xml:space="preserve"> činnosti zrušeného ÚPÚ. ÚPÚ a </w:t>
      </w:r>
      <w:r w:rsidR="0090576D" w:rsidRPr="007B6490">
        <w:rPr>
          <w:rFonts w:asciiTheme="minorHAnsi" w:hAnsiTheme="minorHAnsi" w:cstheme="minorHAnsi"/>
        </w:rPr>
        <w:t xml:space="preserve">SPÚ </w:t>
      </w:r>
      <w:r w:rsidR="00010C90" w:rsidRPr="007B6490">
        <w:rPr>
          <w:rFonts w:asciiTheme="minorHAnsi" w:hAnsiTheme="minorHAnsi" w:cstheme="minorHAnsi"/>
        </w:rPr>
        <w:t>realizoval</w:t>
      </w:r>
      <w:r w:rsidR="00733642" w:rsidRPr="007B6490">
        <w:rPr>
          <w:rFonts w:asciiTheme="minorHAnsi" w:hAnsiTheme="minorHAnsi" w:cstheme="minorHAnsi"/>
        </w:rPr>
        <w:t>y</w:t>
      </w:r>
      <w:r w:rsidR="00010C90" w:rsidRPr="007B6490">
        <w:rPr>
          <w:rFonts w:asciiTheme="minorHAnsi" w:hAnsiTheme="minorHAnsi" w:cstheme="minorHAnsi"/>
        </w:rPr>
        <w:t xml:space="preserve"> pozemkové úpravy ve smyslu zákona č. 139/2002 Sb. prostřednictvím svých </w:t>
      </w:r>
      <w:r w:rsidR="0090576D" w:rsidRPr="007B6490">
        <w:rPr>
          <w:rFonts w:asciiTheme="minorHAnsi" w:hAnsiTheme="minorHAnsi" w:cstheme="minorHAnsi"/>
        </w:rPr>
        <w:t>územní</w:t>
      </w:r>
      <w:r w:rsidR="00010C90" w:rsidRPr="007B6490">
        <w:rPr>
          <w:rFonts w:asciiTheme="minorHAnsi" w:hAnsiTheme="minorHAnsi" w:cstheme="minorHAnsi"/>
        </w:rPr>
        <w:t>ch</w:t>
      </w:r>
      <w:r w:rsidR="0090576D" w:rsidRPr="007B6490">
        <w:rPr>
          <w:rFonts w:asciiTheme="minorHAnsi" w:hAnsiTheme="minorHAnsi" w:cstheme="minorHAnsi"/>
        </w:rPr>
        <w:t xml:space="preserve"> pracoviš</w:t>
      </w:r>
      <w:r w:rsidR="00010C90" w:rsidRPr="007B6490">
        <w:rPr>
          <w:rFonts w:asciiTheme="minorHAnsi" w:hAnsiTheme="minorHAnsi" w:cstheme="minorHAnsi"/>
        </w:rPr>
        <w:t>ť</w:t>
      </w:r>
      <w:r w:rsidRPr="007B6490">
        <w:rPr>
          <w:rFonts w:asciiTheme="minorHAnsi" w:hAnsiTheme="minorHAnsi" w:cstheme="minorHAnsi"/>
        </w:rPr>
        <w:t xml:space="preserve"> (</w:t>
      </w:r>
      <w:r w:rsidR="0090576D" w:rsidRPr="007B6490">
        <w:rPr>
          <w:rFonts w:asciiTheme="minorHAnsi" w:hAnsiTheme="minorHAnsi" w:cstheme="minorHAnsi"/>
        </w:rPr>
        <w:t xml:space="preserve">v </w:t>
      </w:r>
      <w:r w:rsidR="00010C90" w:rsidRPr="007B6490">
        <w:rPr>
          <w:rFonts w:asciiTheme="minorHAnsi" w:hAnsiTheme="minorHAnsi" w:cstheme="minorHAnsi"/>
        </w:rPr>
        <w:t>kontrolním závěru</w:t>
      </w:r>
      <w:r w:rsidR="0090576D" w:rsidRPr="007B6490">
        <w:rPr>
          <w:rFonts w:asciiTheme="minorHAnsi" w:hAnsiTheme="minorHAnsi" w:cstheme="minorHAnsi"/>
        </w:rPr>
        <w:t xml:space="preserve"> označovány </w:t>
      </w:r>
      <w:r w:rsidR="00591819">
        <w:rPr>
          <w:rFonts w:asciiTheme="minorHAnsi" w:hAnsiTheme="minorHAnsi" w:cstheme="minorHAnsi"/>
        </w:rPr>
        <w:t xml:space="preserve">jako </w:t>
      </w:r>
      <w:r w:rsidRPr="007B6490">
        <w:rPr>
          <w:rFonts w:asciiTheme="minorHAnsi" w:hAnsiTheme="minorHAnsi" w:cstheme="minorHAnsi"/>
        </w:rPr>
        <w:t>krajsk</w:t>
      </w:r>
      <w:r w:rsidR="00591819">
        <w:rPr>
          <w:rFonts w:asciiTheme="minorHAnsi" w:hAnsiTheme="minorHAnsi" w:cstheme="minorHAnsi"/>
        </w:rPr>
        <w:t>é</w:t>
      </w:r>
      <w:r w:rsidRPr="007B6490">
        <w:rPr>
          <w:rFonts w:asciiTheme="minorHAnsi" w:hAnsiTheme="minorHAnsi" w:cstheme="minorHAnsi"/>
        </w:rPr>
        <w:t xml:space="preserve"> pozemkov</w:t>
      </w:r>
      <w:r w:rsidR="00591819">
        <w:rPr>
          <w:rFonts w:asciiTheme="minorHAnsi" w:hAnsiTheme="minorHAnsi" w:cstheme="minorHAnsi"/>
        </w:rPr>
        <w:t>é</w:t>
      </w:r>
      <w:r w:rsidRPr="007B6490">
        <w:rPr>
          <w:rFonts w:asciiTheme="minorHAnsi" w:hAnsiTheme="minorHAnsi" w:cstheme="minorHAnsi"/>
        </w:rPr>
        <w:t xml:space="preserve"> úřad</w:t>
      </w:r>
      <w:r w:rsidR="00591819">
        <w:rPr>
          <w:rFonts w:asciiTheme="minorHAnsi" w:hAnsiTheme="minorHAnsi" w:cstheme="minorHAnsi"/>
        </w:rPr>
        <w:t>y</w:t>
      </w:r>
      <w:r w:rsidRPr="007B6490">
        <w:rPr>
          <w:rFonts w:asciiTheme="minorHAnsi" w:hAnsiTheme="minorHAnsi" w:cstheme="minorHAnsi"/>
        </w:rPr>
        <w:t>)</w:t>
      </w:r>
      <w:r w:rsidR="00733642" w:rsidRPr="007B6490">
        <w:rPr>
          <w:rFonts w:asciiTheme="minorHAnsi" w:hAnsiTheme="minorHAnsi" w:cstheme="minorHAnsi"/>
        </w:rPr>
        <w:t>, kter</w:t>
      </w:r>
      <w:r w:rsidR="009C52E2">
        <w:rPr>
          <w:rFonts w:asciiTheme="minorHAnsi" w:hAnsiTheme="minorHAnsi" w:cstheme="minorHAnsi"/>
        </w:rPr>
        <w:t>á</w:t>
      </w:r>
      <w:r w:rsidR="00733642" w:rsidRPr="007B6490">
        <w:rPr>
          <w:rFonts w:asciiTheme="minorHAnsi" w:hAnsiTheme="minorHAnsi" w:cstheme="minorHAnsi"/>
        </w:rPr>
        <w:t xml:space="preserve"> byl</w:t>
      </w:r>
      <w:r w:rsidR="009C52E2">
        <w:rPr>
          <w:rFonts w:asciiTheme="minorHAnsi" w:hAnsiTheme="minorHAnsi" w:cstheme="minorHAnsi"/>
        </w:rPr>
        <w:t>a</w:t>
      </w:r>
      <w:r w:rsidR="00F85A9E" w:rsidRPr="007B6490">
        <w:rPr>
          <w:rFonts w:asciiTheme="minorHAnsi" w:hAnsiTheme="minorHAnsi" w:cstheme="minorHAnsi"/>
        </w:rPr>
        <w:t xml:space="preserve"> </w:t>
      </w:r>
      <w:r w:rsidR="009C52E2">
        <w:rPr>
          <w:rFonts w:asciiTheme="minorHAnsi" w:hAnsiTheme="minorHAnsi" w:cstheme="minorHAnsi"/>
        </w:rPr>
        <w:t xml:space="preserve">v pozici </w:t>
      </w:r>
      <w:r w:rsidR="00F85A9E" w:rsidRPr="007B6490">
        <w:rPr>
          <w:rFonts w:asciiTheme="minorHAnsi" w:hAnsiTheme="minorHAnsi" w:cstheme="minorHAnsi"/>
        </w:rPr>
        <w:t>žadatel</w:t>
      </w:r>
      <w:r w:rsidR="009C52E2">
        <w:rPr>
          <w:rFonts w:asciiTheme="minorHAnsi" w:hAnsiTheme="minorHAnsi" w:cstheme="minorHAnsi"/>
        </w:rPr>
        <w:t>e</w:t>
      </w:r>
      <w:r w:rsidR="00F85A9E" w:rsidRPr="007B6490">
        <w:rPr>
          <w:rFonts w:asciiTheme="minorHAnsi" w:hAnsiTheme="minorHAnsi" w:cstheme="minorHAnsi"/>
        </w:rPr>
        <w:t xml:space="preserve"> </w:t>
      </w:r>
      <w:r w:rsidR="00F332C2" w:rsidRPr="007B6490">
        <w:rPr>
          <w:rFonts w:asciiTheme="minorHAnsi" w:hAnsiTheme="minorHAnsi" w:cstheme="minorHAnsi"/>
        </w:rPr>
        <w:t xml:space="preserve">o </w:t>
      </w:r>
      <w:r w:rsidR="004411A9" w:rsidRPr="007B6490">
        <w:rPr>
          <w:rFonts w:asciiTheme="minorHAnsi" w:hAnsiTheme="minorHAnsi" w:cstheme="minorHAnsi"/>
        </w:rPr>
        <w:t>dotac</w:t>
      </w:r>
      <w:r w:rsidR="009C52E2">
        <w:rPr>
          <w:rFonts w:asciiTheme="minorHAnsi" w:hAnsiTheme="minorHAnsi" w:cstheme="minorHAnsi"/>
        </w:rPr>
        <w:t>i</w:t>
      </w:r>
      <w:r w:rsidR="004411A9" w:rsidRPr="007B6490">
        <w:rPr>
          <w:rFonts w:asciiTheme="minorHAnsi" w:hAnsiTheme="minorHAnsi" w:cstheme="minorHAnsi"/>
        </w:rPr>
        <w:t xml:space="preserve"> </w:t>
      </w:r>
      <w:r w:rsidR="002C1681" w:rsidRPr="007B6490">
        <w:rPr>
          <w:rFonts w:asciiTheme="minorHAnsi" w:hAnsiTheme="minorHAnsi" w:cstheme="minorHAnsi"/>
        </w:rPr>
        <w:t>v rámci</w:t>
      </w:r>
      <w:r w:rsidR="00F85A9E" w:rsidRPr="007B6490">
        <w:rPr>
          <w:rFonts w:asciiTheme="minorHAnsi" w:hAnsiTheme="minorHAnsi" w:cstheme="minorHAnsi"/>
        </w:rPr>
        <w:t> PRV.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4C089A" w:rsidRPr="007B6490" w:rsidRDefault="004C089A" w:rsidP="00DD1C9C">
      <w:pPr>
        <w:widowControl w:val="0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>Státní zemědělský intervenční fond</w:t>
      </w:r>
      <w:r w:rsidRPr="007B6490">
        <w:rPr>
          <w:rFonts w:asciiTheme="minorHAnsi" w:hAnsiTheme="minorHAnsi" w:cstheme="minorHAnsi"/>
        </w:rPr>
        <w:t xml:space="preserve"> (dále také „SZIF“) jako platební agentura na základě usnesení vlády ze dne 23. ledna 2002 </w:t>
      </w:r>
      <w:r w:rsidR="00010C90" w:rsidRPr="007B6490">
        <w:rPr>
          <w:rFonts w:asciiTheme="minorHAnsi" w:hAnsiTheme="minorHAnsi" w:cstheme="minorHAnsi"/>
        </w:rPr>
        <w:t xml:space="preserve">č. 102 </w:t>
      </w:r>
      <w:r w:rsidRPr="007B6490">
        <w:rPr>
          <w:rFonts w:asciiTheme="minorHAnsi" w:hAnsiTheme="minorHAnsi" w:cstheme="minorHAnsi"/>
        </w:rPr>
        <w:t xml:space="preserve">plnil funkci zprostředkovatele finanční podpory z Evropské unie </w:t>
      </w:r>
      <w:r w:rsidR="009665E9" w:rsidRPr="007B6490">
        <w:rPr>
          <w:rFonts w:asciiTheme="minorHAnsi" w:hAnsiTheme="minorHAnsi" w:cstheme="minorHAnsi"/>
        </w:rPr>
        <w:t>a národních zdrojů</w:t>
      </w:r>
      <w:r w:rsidR="00916FC6" w:rsidRPr="007B6490">
        <w:rPr>
          <w:rFonts w:asciiTheme="minorHAnsi" w:hAnsiTheme="minorHAnsi" w:cstheme="minorHAnsi"/>
        </w:rPr>
        <w:t xml:space="preserve">. </w:t>
      </w:r>
      <w:r w:rsidRPr="007B6490">
        <w:rPr>
          <w:rFonts w:asciiTheme="minorHAnsi" w:hAnsiTheme="minorHAnsi" w:cstheme="minorHAnsi"/>
        </w:rPr>
        <w:t xml:space="preserve">Dotace poskytoval na základě </w:t>
      </w:r>
      <w:r w:rsidRPr="00C91112">
        <w:rPr>
          <w:rFonts w:asciiTheme="minorHAnsi" w:hAnsiTheme="minorHAnsi" w:cstheme="minorHAnsi"/>
          <w:i/>
        </w:rPr>
        <w:t xml:space="preserve">Pravidel, kterými se stanovují podmínky pro poskytování dotace na projekty </w:t>
      </w:r>
      <w:r w:rsidR="00AE5485" w:rsidRPr="00C91112">
        <w:rPr>
          <w:rFonts w:asciiTheme="minorHAnsi" w:hAnsiTheme="minorHAnsi" w:cstheme="minorHAnsi"/>
          <w:i/>
        </w:rPr>
        <w:t>PRV</w:t>
      </w:r>
      <w:r w:rsidRPr="00C91112">
        <w:rPr>
          <w:rFonts w:asciiTheme="minorHAnsi" w:hAnsiTheme="minorHAnsi" w:cstheme="minorHAnsi"/>
          <w:i/>
        </w:rPr>
        <w:t xml:space="preserve">, </w:t>
      </w:r>
      <w:proofErr w:type="gramStart"/>
      <w:r w:rsidR="002F0656" w:rsidRPr="00C91112">
        <w:rPr>
          <w:rFonts w:asciiTheme="minorHAnsi" w:hAnsiTheme="minorHAnsi" w:cstheme="minorHAnsi"/>
          <w:i/>
        </w:rPr>
        <w:t>opatření I.1.4</w:t>
      </w:r>
      <w:proofErr w:type="gramEnd"/>
      <w:r w:rsidRPr="00C91112">
        <w:rPr>
          <w:rFonts w:asciiTheme="minorHAnsi" w:hAnsiTheme="minorHAnsi" w:cstheme="minorHAnsi"/>
          <w:i/>
        </w:rPr>
        <w:t xml:space="preserve"> – </w:t>
      </w:r>
      <w:r w:rsidR="0012534B" w:rsidRPr="00C91112">
        <w:rPr>
          <w:rFonts w:asciiTheme="minorHAnsi" w:hAnsiTheme="minorHAnsi" w:cstheme="minorHAnsi"/>
          <w:i/>
        </w:rPr>
        <w:t>P</w:t>
      </w:r>
      <w:r w:rsidRPr="00C91112">
        <w:rPr>
          <w:rFonts w:asciiTheme="minorHAnsi" w:hAnsiTheme="minorHAnsi" w:cstheme="minorHAnsi"/>
          <w:i/>
        </w:rPr>
        <w:t>ozemkové úpravy</w:t>
      </w:r>
      <w:r w:rsidRPr="007B6490">
        <w:rPr>
          <w:rFonts w:asciiTheme="minorHAnsi" w:hAnsiTheme="minorHAnsi" w:cstheme="minorHAnsi"/>
        </w:rPr>
        <w:t xml:space="preserve"> (dále </w:t>
      </w:r>
      <w:r w:rsidR="000B15DD">
        <w:rPr>
          <w:rFonts w:asciiTheme="minorHAnsi" w:hAnsiTheme="minorHAnsi" w:cstheme="minorHAnsi"/>
        </w:rPr>
        <w:t>jen</w:t>
      </w:r>
      <w:r w:rsidRPr="007B6490">
        <w:rPr>
          <w:rFonts w:asciiTheme="minorHAnsi" w:hAnsiTheme="minorHAnsi" w:cstheme="minorHAnsi"/>
        </w:rPr>
        <w:t xml:space="preserve"> „Pravidla PRV“).</w:t>
      </w:r>
    </w:p>
    <w:p w:rsidR="00E41922" w:rsidRPr="007B6490" w:rsidRDefault="00E41922" w:rsidP="007B6490">
      <w:pPr>
        <w:jc w:val="both"/>
        <w:rPr>
          <w:rFonts w:asciiTheme="minorHAnsi" w:hAnsiTheme="minorHAnsi" w:cstheme="minorHAnsi"/>
        </w:rPr>
      </w:pPr>
    </w:p>
    <w:p w:rsidR="001A5DB3" w:rsidRPr="007B6490" w:rsidRDefault="000B15DD" w:rsidP="007B64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bylo možné </w:t>
      </w:r>
      <w:r w:rsidR="00FD4EDF" w:rsidRPr="007B6490">
        <w:rPr>
          <w:rFonts w:asciiTheme="minorHAnsi" w:hAnsiTheme="minorHAnsi" w:cstheme="minorHAnsi"/>
        </w:rPr>
        <w:t>zjištěn</w:t>
      </w:r>
      <w:r>
        <w:rPr>
          <w:rFonts w:asciiTheme="minorHAnsi" w:hAnsiTheme="minorHAnsi" w:cstheme="minorHAnsi"/>
        </w:rPr>
        <w:t>é</w:t>
      </w:r>
      <w:r w:rsidR="00FD4EDF" w:rsidRPr="007B6490">
        <w:rPr>
          <w:rFonts w:asciiTheme="minorHAnsi" w:hAnsiTheme="minorHAnsi" w:cstheme="minorHAnsi"/>
        </w:rPr>
        <w:t xml:space="preserve"> skutečnost</w:t>
      </w:r>
      <w:r>
        <w:rPr>
          <w:rFonts w:asciiTheme="minorHAnsi" w:hAnsiTheme="minorHAnsi" w:cstheme="minorHAnsi"/>
        </w:rPr>
        <w:t>i</w:t>
      </w:r>
      <w:r w:rsidR="00FD4EDF" w:rsidRPr="007B64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objektivně vyhodnotit, </w:t>
      </w:r>
      <w:r w:rsidRPr="007B6490">
        <w:rPr>
          <w:rFonts w:asciiTheme="minorHAnsi" w:hAnsiTheme="minorHAnsi" w:cstheme="minorHAnsi"/>
        </w:rPr>
        <w:t xml:space="preserve">rozšířil </w:t>
      </w:r>
      <w:r w:rsidR="00F85A9E" w:rsidRPr="007B6490">
        <w:rPr>
          <w:rFonts w:asciiTheme="minorHAnsi" w:hAnsiTheme="minorHAnsi" w:cstheme="minorHAnsi"/>
        </w:rPr>
        <w:t>N</w:t>
      </w:r>
      <w:r w:rsidR="00901161" w:rsidRPr="007B6490">
        <w:rPr>
          <w:rFonts w:asciiTheme="minorHAnsi" w:hAnsiTheme="minorHAnsi" w:cstheme="minorHAnsi"/>
        </w:rPr>
        <w:t xml:space="preserve">KÚ </w:t>
      </w:r>
      <w:r w:rsidR="00FD4EDF" w:rsidRPr="007B6490">
        <w:rPr>
          <w:rFonts w:asciiTheme="minorHAnsi" w:hAnsiTheme="minorHAnsi" w:cstheme="minorHAnsi"/>
        </w:rPr>
        <w:t>kontrolované období v některých souvislostech na období</w:t>
      </w:r>
      <w:r w:rsidR="00010C90" w:rsidRPr="007B6490">
        <w:rPr>
          <w:rFonts w:asciiTheme="minorHAnsi" w:hAnsiTheme="minorHAnsi" w:cstheme="minorHAnsi"/>
        </w:rPr>
        <w:t xml:space="preserve"> od roku</w:t>
      </w:r>
      <w:r w:rsidR="00FD4EDF" w:rsidRPr="007B6490">
        <w:rPr>
          <w:rFonts w:asciiTheme="minorHAnsi" w:hAnsiTheme="minorHAnsi" w:cstheme="minorHAnsi"/>
        </w:rPr>
        <w:t xml:space="preserve"> 2003</w:t>
      </w:r>
      <w:r w:rsidR="0090576D" w:rsidRPr="007B649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příp.</w:t>
      </w:r>
      <w:r w:rsidR="0090576D" w:rsidRPr="007B6490">
        <w:rPr>
          <w:rFonts w:asciiTheme="minorHAnsi" w:hAnsiTheme="minorHAnsi" w:cstheme="minorHAnsi"/>
        </w:rPr>
        <w:t xml:space="preserve"> 2007</w:t>
      </w:r>
      <w:r>
        <w:rPr>
          <w:rFonts w:asciiTheme="minorHAnsi" w:hAnsiTheme="minorHAnsi" w:cstheme="minorHAnsi"/>
        </w:rPr>
        <w:t>,</w:t>
      </w:r>
      <w:r w:rsidR="00FD4EDF" w:rsidRPr="007B6490">
        <w:rPr>
          <w:rFonts w:asciiTheme="minorHAnsi" w:hAnsiTheme="minorHAnsi" w:cstheme="minorHAnsi"/>
        </w:rPr>
        <w:t xml:space="preserve"> </w:t>
      </w:r>
      <w:r w:rsidR="00010C90" w:rsidRPr="007B6490">
        <w:rPr>
          <w:rFonts w:asciiTheme="minorHAnsi" w:hAnsiTheme="minorHAnsi" w:cstheme="minorHAnsi"/>
        </w:rPr>
        <w:t>do roku</w:t>
      </w:r>
      <w:r w:rsidR="00123A41" w:rsidRPr="007B6490">
        <w:rPr>
          <w:rFonts w:asciiTheme="minorHAnsi" w:hAnsiTheme="minorHAnsi" w:cstheme="minorHAnsi"/>
        </w:rPr>
        <w:t xml:space="preserve"> 2014, tj. od </w:t>
      </w:r>
      <w:r w:rsidR="00FD4EDF" w:rsidRPr="007B6490">
        <w:rPr>
          <w:rFonts w:asciiTheme="minorHAnsi" w:hAnsiTheme="minorHAnsi" w:cstheme="minorHAnsi"/>
        </w:rPr>
        <w:t>účinnosti zákona</w:t>
      </w:r>
      <w:r w:rsidR="00591CCA" w:rsidRPr="007B6490">
        <w:rPr>
          <w:rFonts w:asciiTheme="minorHAnsi" w:hAnsiTheme="minorHAnsi" w:cstheme="minorHAnsi"/>
        </w:rPr>
        <w:t xml:space="preserve"> č. 139/2002 Sb.,</w:t>
      </w:r>
      <w:r w:rsidR="0090576D" w:rsidRPr="007B6490">
        <w:rPr>
          <w:rFonts w:asciiTheme="minorHAnsi" w:hAnsiTheme="minorHAnsi" w:cstheme="minorHAnsi"/>
        </w:rPr>
        <w:t xml:space="preserve"> </w:t>
      </w:r>
      <w:r w:rsidR="00F85A9E" w:rsidRPr="007B6490">
        <w:rPr>
          <w:rFonts w:asciiTheme="minorHAnsi" w:hAnsiTheme="minorHAnsi" w:cstheme="minorHAnsi"/>
        </w:rPr>
        <w:t>resp</w:t>
      </w:r>
      <w:r w:rsidR="00272C8D" w:rsidRPr="007B6490">
        <w:rPr>
          <w:rFonts w:asciiTheme="minorHAnsi" w:hAnsiTheme="minorHAnsi" w:cstheme="minorHAnsi"/>
        </w:rPr>
        <w:t>.</w:t>
      </w:r>
      <w:r w:rsidR="0090576D" w:rsidRPr="007B6490">
        <w:rPr>
          <w:rFonts w:asciiTheme="minorHAnsi" w:hAnsiTheme="minorHAnsi" w:cstheme="minorHAnsi"/>
        </w:rPr>
        <w:t xml:space="preserve"> na programové období</w:t>
      </w:r>
      <w:r w:rsidR="00591CCA" w:rsidRPr="007B6490">
        <w:rPr>
          <w:rFonts w:asciiTheme="minorHAnsi" w:hAnsiTheme="minorHAnsi" w:cstheme="minorHAnsi"/>
        </w:rPr>
        <w:t xml:space="preserve"> PRV</w:t>
      </w:r>
      <w:r w:rsidR="00FD4EDF" w:rsidRPr="007B6490">
        <w:rPr>
          <w:rFonts w:asciiTheme="minorHAnsi" w:hAnsiTheme="minorHAnsi" w:cstheme="minorHAnsi"/>
        </w:rPr>
        <w:t xml:space="preserve">. </w:t>
      </w:r>
      <w:r w:rsidR="00D662C7">
        <w:rPr>
          <w:rFonts w:asciiTheme="minorHAnsi" w:hAnsiTheme="minorHAnsi" w:cstheme="minorHAnsi"/>
        </w:rPr>
        <w:t>V letech 2007 až </w:t>
      </w:r>
      <w:r w:rsidR="001A5DB3" w:rsidRPr="007B6490">
        <w:rPr>
          <w:rFonts w:asciiTheme="minorHAnsi" w:hAnsiTheme="minorHAnsi" w:cstheme="minorHAnsi"/>
        </w:rPr>
        <w:t>2014 bylo na pozemkové úpravy vynaloženo celkem 13 055 mil. Kč.</w:t>
      </w:r>
    </w:p>
    <w:p w:rsidR="001A5DB3" w:rsidRPr="007B6490" w:rsidRDefault="001A5DB3" w:rsidP="007B6490">
      <w:pPr>
        <w:jc w:val="both"/>
        <w:rPr>
          <w:rFonts w:asciiTheme="minorHAnsi" w:hAnsiTheme="minorHAnsi" w:cstheme="minorHAnsi"/>
        </w:rPr>
      </w:pPr>
    </w:p>
    <w:p w:rsidR="00FD4EDF" w:rsidRPr="007B6490" w:rsidRDefault="000B15DD" w:rsidP="007B6490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Č</w:t>
      </w:r>
      <w:r w:rsidR="00FD4EDF" w:rsidRPr="00E07F85">
        <w:rPr>
          <w:rFonts w:asciiTheme="minorHAnsi" w:eastAsia="Calibri" w:hAnsiTheme="minorHAnsi" w:cstheme="minorHAnsi"/>
        </w:rPr>
        <w:t>innosti související s poz</w:t>
      </w:r>
      <w:r w:rsidR="00ED2ED1" w:rsidRPr="00E07F85">
        <w:rPr>
          <w:rFonts w:asciiTheme="minorHAnsi" w:eastAsia="Calibri" w:hAnsiTheme="minorHAnsi" w:cstheme="minorHAnsi"/>
        </w:rPr>
        <w:t xml:space="preserve">emkovými úpravami </w:t>
      </w:r>
      <w:r>
        <w:rPr>
          <w:rFonts w:asciiTheme="minorHAnsi" w:eastAsia="Calibri" w:hAnsiTheme="minorHAnsi" w:cstheme="minorHAnsi"/>
        </w:rPr>
        <w:t>prověřil Nejvyšší kontrolní úřad u</w:t>
      </w:r>
      <w:r w:rsidR="00ED2ED1" w:rsidRPr="00E07F85">
        <w:rPr>
          <w:rFonts w:asciiTheme="minorHAnsi" w:eastAsia="Calibri" w:hAnsiTheme="minorHAnsi" w:cstheme="minorHAnsi"/>
        </w:rPr>
        <w:t xml:space="preserve"> ÚPÚ, SPÚ a </w:t>
      </w:r>
      <w:r w:rsidR="00FD4EDF" w:rsidRPr="00E07F85">
        <w:rPr>
          <w:rFonts w:asciiTheme="minorHAnsi" w:eastAsia="Calibri" w:hAnsiTheme="minorHAnsi" w:cstheme="minorHAnsi"/>
        </w:rPr>
        <w:t>SZIF</w:t>
      </w:r>
      <w:r w:rsidR="00272C8D" w:rsidRPr="00E07F85">
        <w:rPr>
          <w:rFonts w:asciiTheme="minorHAnsi" w:eastAsia="Calibri" w:hAnsiTheme="minorHAnsi" w:cstheme="minorHAnsi"/>
        </w:rPr>
        <w:t>.</w:t>
      </w:r>
      <w:r w:rsidR="00FD4EDF" w:rsidRPr="00E07F85">
        <w:rPr>
          <w:rFonts w:asciiTheme="minorHAnsi" w:eastAsia="Calibri" w:hAnsiTheme="minorHAnsi" w:cstheme="minorHAnsi"/>
        </w:rPr>
        <w:t xml:space="preserve"> </w:t>
      </w:r>
      <w:r w:rsidR="001F3048">
        <w:rPr>
          <w:rFonts w:asciiTheme="minorHAnsi" w:eastAsia="Calibri" w:hAnsiTheme="minorHAnsi" w:cstheme="minorHAnsi"/>
        </w:rPr>
        <w:t xml:space="preserve">Dále </w:t>
      </w:r>
      <w:r w:rsidR="001F3048" w:rsidRPr="00E07F85">
        <w:rPr>
          <w:rFonts w:asciiTheme="minorHAnsi" w:eastAsia="Calibri" w:hAnsiTheme="minorHAnsi" w:cstheme="minorHAnsi"/>
        </w:rPr>
        <w:t xml:space="preserve">bylo </w:t>
      </w:r>
      <w:r w:rsidR="001F3048">
        <w:rPr>
          <w:rFonts w:asciiTheme="minorHAnsi" w:eastAsia="Calibri" w:hAnsiTheme="minorHAnsi" w:cstheme="minorHAnsi"/>
        </w:rPr>
        <w:t xml:space="preserve">ke </w:t>
      </w:r>
      <w:r w:rsidR="00B55BA2" w:rsidRPr="00E07F85">
        <w:rPr>
          <w:rFonts w:asciiTheme="minorHAnsi" w:eastAsia="Calibri" w:hAnsiTheme="minorHAnsi" w:cstheme="minorHAnsi"/>
        </w:rPr>
        <w:t xml:space="preserve">kontrole vybráno </w:t>
      </w:r>
      <w:r w:rsidR="00FD4EDF" w:rsidRPr="00E07F85">
        <w:rPr>
          <w:rFonts w:asciiTheme="minorHAnsi" w:eastAsia="Calibri" w:hAnsiTheme="minorHAnsi" w:cstheme="minorHAnsi"/>
        </w:rPr>
        <w:t xml:space="preserve">pět krajských pozemkových úřadů </w:t>
      </w:r>
      <w:r w:rsidR="00CB4EB8" w:rsidRPr="00E07F85">
        <w:rPr>
          <w:rFonts w:asciiTheme="minorHAnsi" w:eastAsia="Calibri" w:hAnsiTheme="minorHAnsi" w:cstheme="minorHAnsi"/>
        </w:rPr>
        <w:t>(</w:t>
      </w:r>
      <w:r w:rsidR="00CB4EB8" w:rsidRPr="00E07F85">
        <w:rPr>
          <w:rFonts w:asciiTheme="minorHAnsi" w:hAnsiTheme="minorHAnsi" w:cstheme="minorHAnsi"/>
        </w:rPr>
        <w:t xml:space="preserve">pracoviště </w:t>
      </w:r>
      <w:r w:rsidR="007F5F9A" w:rsidRPr="00E07F85">
        <w:rPr>
          <w:rFonts w:asciiTheme="minorHAnsi" w:hAnsiTheme="minorHAnsi" w:cstheme="minorHAnsi"/>
        </w:rPr>
        <w:t>pro</w:t>
      </w:r>
      <w:r w:rsidR="007F5F9A" w:rsidRPr="007B6490">
        <w:rPr>
          <w:rFonts w:asciiTheme="minorHAnsi" w:hAnsiTheme="minorHAnsi" w:cstheme="minorHAnsi"/>
        </w:rPr>
        <w:t xml:space="preserve"> </w:t>
      </w:r>
      <w:r w:rsidR="00CB4EB8" w:rsidRPr="007B6490">
        <w:rPr>
          <w:rFonts w:asciiTheme="minorHAnsi" w:hAnsiTheme="minorHAnsi" w:cstheme="minorHAnsi"/>
        </w:rPr>
        <w:t>Jihomoravsk</w:t>
      </w:r>
      <w:r w:rsidR="00AF4B71" w:rsidRPr="007B6490">
        <w:rPr>
          <w:rFonts w:asciiTheme="minorHAnsi" w:hAnsiTheme="minorHAnsi" w:cstheme="minorHAnsi"/>
        </w:rPr>
        <w:t>ý</w:t>
      </w:r>
      <w:r w:rsidR="00CB4EB8" w:rsidRPr="007B6490">
        <w:rPr>
          <w:rFonts w:asciiTheme="minorHAnsi" w:hAnsiTheme="minorHAnsi" w:cstheme="minorHAnsi"/>
        </w:rPr>
        <w:t xml:space="preserve"> kraj, Královéhradeck</w:t>
      </w:r>
      <w:r w:rsidR="00AF4B71" w:rsidRPr="007B6490">
        <w:rPr>
          <w:rFonts w:asciiTheme="minorHAnsi" w:hAnsiTheme="minorHAnsi" w:cstheme="minorHAnsi"/>
        </w:rPr>
        <w:t>ý</w:t>
      </w:r>
      <w:r w:rsidR="00CB4EB8" w:rsidRPr="007B6490">
        <w:rPr>
          <w:rFonts w:asciiTheme="minorHAnsi" w:hAnsiTheme="minorHAnsi" w:cstheme="minorHAnsi"/>
        </w:rPr>
        <w:t xml:space="preserve"> kraj, Kraj Vysočina, Olomouck</w:t>
      </w:r>
      <w:r w:rsidR="00AF4B71" w:rsidRPr="007B6490">
        <w:rPr>
          <w:rFonts w:asciiTheme="minorHAnsi" w:hAnsiTheme="minorHAnsi" w:cstheme="minorHAnsi"/>
        </w:rPr>
        <w:t>ý</w:t>
      </w:r>
      <w:r w:rsidR="00CB4EB8" w:rsidRPr="007B6490">
        <w:rPr>
          <w:rFonts w:asciiTheme="minorHAnsi" w:hAnsiTheme="minorHAnsi" w:cstheme="minorHAnsi"/>
        </w:rPr>
        <w:t xml:space="preserve"> kraj a Plzeňsk</w:t>
      </w:r>
      <w:r w:rsidR="00AF4B71" w:rsidRPr="007B6490">
        <w:rPr>
          <w:rFonts w:asciiTheme="minorHAnsi" w:hAnsiTheme="minorHAnsi" w:cstheme="minorHAnsi"/>
        </w:rPr>
        <w:t>ý</w:t>
      </w:r>
      <w:r w:rsidR="00CB4EB8" w:rsidRPr="007B6490">
        <w:rPr>
          <w:rFonts w:asciiTheme="minorHAnsi" w:hAnsiTheme="minorHAnsi" w:cstheme="minorHAnsi"/>
        </w:rPr>
        <w:t xml:space="preserve"> kraj)</w:t>
      </w:r>
      <w:r w:rsidR="003D4877" w:rsidRPr="007B6490">
        <w:rPr>
          <w:rFonts w:asciiTheme="minorHAnsi" w:hAnsiTheme="minorHAnsi" w:cstheme="minorHAnsi"/>
        </w:rPr>
        <w:t xml:space="preserve">, kde </w:t>
      </w:r>
      <w:r w:rsidR="00FD4EDF" w:rsidRPr="007B6490">
        <w:rPr>
          <w:rFonts w:asciiTheme="minorHAnsi" w:eastAsia="Calibri" w:hAnsiTheme="minorHAnsi" w:cstheme="minorHAnsi"/>
        </w:rPr>
        <w:t xml:space="preserve">byla prověřena realizace </w:t>
      </w:r>
      <w:r w:rsidR="002941D4" w:rsidRPr="007B6490">
        <w:rPr>
          <w:rFonts w:asciiTheme="minorHAnsi" w:eastAsia="Calibri" w:hAnsiTheme="minorHAnsi" w:cstheme="minorHAnsi"/>
        </w:rPr>
        <w:t xml:space="preserve">celkem deseti </w:t>
      </w:r>
      <w:r w:rsidR="00FD4EDF" w:rsidRPr="007B6490">
        <w:rPr>
          <w:rFonts w:asciiTheme="minorHAnsi" w:eastAsia="Calibri" w:hAnsiTheme="minorHAnsi" w:cstheme="minorHAnsi"/>
        </w:rPr>
        <w:t>vybraných komplexních pozemkových úprav</w:t>
      </w:r>
      <w:r w:rsidR="00AF4B71" w:rsidRPr="007B6490">
        <w:rPr>
          <w:rFonts w:asciiTheme="minorHAnsi" w:eastAsia="Calibri" w:hAnsiTheme="minorHAnsi" w:cstheme="minorHAnsi"/>
        </w:rPr>
        <w:t xml:space="preserve"> </w:t>
      </w:r>
      <w:r w:rsidR="00AF4B71" w:rsidRPr="007B6490">
        <w:rPr>
          <w:rFonts w:asciiTheme="minorHAnsi" w:hAnsiTheme="minorHAnsi" w:cstheme="minorHAnsi"/>
        </w:rPr>
        <w:t>(dále také „</w:t>
      </w:r>
      <w:proofErr w:type="spellStart"/>
      <w:r w:rsidR="00AF4B71" w:rsidRPr="007B6490">
        <w:rPr>
          <w:rFonts w:asciiTheme="minorHAnsi" w:hAnsiTheme="minorHAnsi" w:cstheme="minorHAnsi"/>
        </w:rPr>
        <w:t>KoPÚ</w:t>
      </w:r>
      <w:proofErr w:type="spellEnd"/>
      <w:r w:rsidR="00AF4B71" w:rsidRPr="007B6490">
        <w:rPr>
          <w:rFonts w:asciiTheme="minorHAnsi" w:hAnsiTheme="minorHAnsi" w:cstheme="minorHAnsi"/>
        </w:rPr>
        <w:t>“)</w:t>
      </w:r>
      <w:r w:rsidR="00FD4EDF" w:rsidRPr="007B6490">
        <w:rPr>
          <w:rFonts w:asciiTheme="minorHAnsi" w:eastAsia="Calibri" w:hAnsiTheme="minorHAnsi" w:cstheme="minorHAnsi"/>
        </w:rPr>
        <w:t xml:space="preserve">. </w:t>
      </w:r>
      <w:r w:rsidR="00FD4EDF" w:rsidRPr="007B6490">
        <w:rPr>
          <w:rFonts w:asciiTheme="minorHAnsi" w:hAnsiTheme="minorHAnsi" w:cstheme="minorHAnsi"/>
        </w:rPr>
        <w:t xml:space="preserve">Objem kontrolovaných </w:t>
      </w:r>
      <w:r w:rsidR="004A6944" w:rsidRPr="007B6490">
        <w:rPr>
          <w:rFonts w:asciiTheme="minorHAnsi" w:hAnsiTheme="minorHAnsi" w:cstheme="minorHAnsi"/>
        </w:rPr>
        <w:t xml:space="preserve">peněžních </w:t>
      </w:r>
      <w:r w:rsidR="00FD4EDF" w:rsidRPr="007B6490">
        <w:rPr>
          <w:rFonts w:asciiTheme="minorHAnsi" w:hAnsiTheme="minorHAnsi" w:cstheme="minorHAnsi"/>
        </w:rPr>
        <w:t>prostředků u vybr</w:t>
      </w:r>
      <w:r w:rsidR="00272C8D" w:rsidRPr="007B6490">
        <w:rPr>
          <w:rFonts w:asciiTheme="minorHAnsi" w:hAnsiTheme="minorHAnsi" w:cstheme="minorHAnsi"/>
        </w:rPr>
        <w:t>aného vzorku činil 187 mil.</w:t>
      </w:r>
      <w:r w:rsidR="008679CE" w:rsidRPr="007B6490">
        <w:rPr>
          <w:rFonts w:asciiTheme="minorHAnsi" w:hAnsiTheme="minorHAnsi" w:cstheme="minorHAnsi"/>
        </w:rPr>
        <w:t> </w:t>
      </w:r>
      <w:r w:rsidR="00272C8D" w:rsidRPr="007B6490">
        <w:rPr>
          <w:rFonts w:asciiTheme="minorHAnsi" w:hAnsiTheme="minorHAnsi" w:cstheme="minorHAnsi"/>
        </w:rPr>
        <w:t>Kč, jedn</w:t>
      </w:r>
      <w:r w:rsidR="00475053" w:rsidRPr="007B6490">
        <w:rPr>
          <w:rFonts w:asciiTheme="minorHAnsi" w:hAnsiTheme="minorHAnsi" w:cstheme="minorHAnsi"/>
        </w:rPr>
        <w:t>alo</w:t>
      </w:r>
      <w:r w:rsidR="00272C8D" w:rsidRPr="007B6490">
        <w:rPr>
          <w:rFonts w:asciiTheme="minorHAnsi" w:hAnsiTheme="minorHAnsi" w:cstheme="minorHAnsi"/>
        </w:rPr>
        <w:t xml:space="preserve"> se o</w:t>
      </w:r>
      <w:r w:rsidR="00CA6FCC" w:rsidRPr="007B6490">
        <w:rPr>
          <w:rFonts w:asciiTheme="minorHAnsi" w:hAnsiTheme="minorHAnsi" w:cstheme="minorHAnsi"/>
        </w:rPr>
        <w:t> </w:t>
      </w:r>
      <w:r w:rsidR="00272C8D" w:rsidRPr="007B6490">
        <w:rPr>
          <w:rFonts w:asciiTheme="minorHAnsi" w:hAnsiTheme="minorHAnsi" w:cstheme="minorHAnsi"/>
        </w:rPr>
        <w:t xml:space="preserve">prostředky vynaložené v období </w:t>
      </w:r>
      <w:r>
        <w:rPr>
          <w:rFonts w:asciiTheme="minorHAnsi" w:hAnsiTheme="minorHAnsi" w:cstheme="minorHAnsi"/>
        </w:rPr>
        <w:t xml:space="preserve">let </w:t>
      </w:r>
      <w:r w:rsidR="00272C8D" w:rsidRPr="007B6490">
        <w:rPr>
          <w:rFonts w:asciiTheme="minorHAnsi" w:hAnsiTheme="minorHAnsi" w:cstheme="minorHAnsi"/>
        </w:rPr>
        <w:t>2003 až 201</w:t>
      </w:r>
      <w:r w:rsidR="00D81F8D" w:rsidRPr="007B6490">
        <w:rPr>
          <w:rFonts w:asciiTheme="minorHAnsi" w:hAnsiTheme="minorHAnsi" w:cstheme="minorHAnsi"/>
        </w:rPr>
        <w:t>3</w:t>
      </w:r>
      <w:r w:rsidR="00272C8D" w:rsidRPr="007B6490">
        <w:rPr>
          <w:rFonts w:asciiTheme="minorHAnsi" w:hAnsiTheme="minorHAnsi" w:cstheme="minorHAnsi"/>
        </w:rPr>
        <w:t xml:space="preserve"> </w:t>
      </w:r>
      <w:r w:rsidR="00272C8D" w:rsidRPr="007B6490">
        <w:rPr>
          <w:rFonts w:asciiTheme="minorHAnsi" w:eastAsia="Calibri" w:hAnsiTheme="minorHAnsi" w:cstheme="minorHAnsi"/>
        </w:rPr>
        <w:t>(příloha č. 1)</w:t>
      </w:r>
      <w:r w:rsidR="00FD4EDF" w:rsidRPr="007B6490">
        <w:rPr>
          <w:rFonts w:asciiTheme="minorHAnsi" w:hAnsiTheme="minorHAnsi" w:cstheme="minorHAnsi"/>
        </w:rPr>
        <w:t>.</w:t>
      </w:r>
    </w:p>
    <w:p w:rsidR="00381E99" w:rsidRPr="007B6490" w:rsidRDefault="00381E99" w:rsidP="007B6490">
      <w:pPr>
        <w:jc w:val="both"/>
        <w:rPr>
          <w:rFonts w:asciiTheme="minorHAnsi" w:hAnsiTheme="minorHAnsi" w:cstheme="minorHAnsi"/>
          <w:b/>
        </w:rPr>
      </w:pPr>
    </w:p>
    <w:p w:rsidR="00DC3622" w:rsidRPr="007B6490" w:rsidRDefault="00DC3622" w:rsidP="007B6490">
      <w:pPr>
        <w:spacing w:after="120"/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t>Základní pojmy</w:t>
      </w:r>
    </w:p>
    <w:p w:rsidR="00F00799" w:rsidRPr="007B6490" w:rsidRDefault="00CB2B02" w:rsidP="00DD1C9C">
      <w:pPr>
        <w:keepNext/>
        <w:jc w:val="both"/>
        <w:rPr>
          <w:rFonts w:asciiTheme="minorHAnsi" w:hAnsiTheme="minorHAnsi" w:cstheme="minorHAnsi"/>
          <w:i/>
        </w:rPr>
      </w:pPr>
      <w:r w:rsidRPr="007B6490">
        <w:rPr>
          <w:rFonts w:asciiTheme="minorHAnsi" w:hAnsiTheme="minorHAnsi" w:cstheme="minorHAnsi"/>
          <w:b/>
        </w:rPr>
        <w:t>Pozemkové úpravy</w:t>
      </w:r>
      <w:r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  <w:b/>
        </w:rPr>
        <w:t>jsou</w:t>
      </w:r>
      <w:r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  <w:b/>
        </w:rPr>
        <w:t>definovány</w:t>
      </w:r>
      <w:r w:rsidRPr="007B6490">
        <w:rPr>
          <w:rFonts w:asciiTheme="minorHAnsi" w:hAnsiTheme="minorHAnsi" w:cstheme="minorHAnsi"/>
        </w:rPr>
        <w:t xml:space="preserve"> </w:t>
      </w:r>
      <w:r w:rsidR="00E075FD" w:rsidRPr="007B6490">
        <w:rPr>
          <w:rFonts w:asciiTheme="minorHAnsi" w:hAnsiTheme="minorHAnsi" w:cstheme="minorHAnsi"/>
          <w:b/>
        </w:rPr>
        <w:t>ustanovením § 2</w:t>
      </w:r>
      <w:r w:rsidR="00E075FD"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  <w:b/>
        </w:rPr>
        <w:t>zákon</w:t>
      </w:r>
      <w:r w:rsidR="00E075FD" w:rsidRPr="007B6490">
        <w:rPr>
          <w:rFonts w:asciiTheme="minorHAnsi" w:hAnsiTheme="minorHAnsi" w:cstheme="minorHAnsi"/>
          <w:b/>
        </w:rPr>
        <w:t>a</w:t>
      </w:r>
      <w:r w:rsidRPr="007B6490">
        <w:rPr>
          <w:rFonts w:asciiTheme="minorHAnsi" w:hAnsiTheme="minorHAnsi" w:cstheme="minorHAnsi"/>
          <w:b/>
        </w:rPr>
        <w:t xml:space="preserve"> č. 139/2002 Sb.</w:t>
      </w:r>
      <w:r w:rsidRPr="00C91112">
        <w:rPr>
          <w:rFonts w:asciiTheme="minorHAnsi" w:hAnsiTheme="minorHAnsi" w:cstheme="minorHAnsi"/>
          <w:b/>
        </w:rPr>
        <w:t>,</w:t>
      </w:r>
      <w:r w:rsidR="00F00799" w:rsidRPr="007B6490">
        <w:rPr>
          <w:rFonts w:asciiTheme="minorHAnsi" w:hAnsiTheme="minorHAnsi" w:cstheme="minorHAnsi"/>
        </w:rPr>
        <w:t xml:space="preserve"> </w:t>
      </w:r>
      <w:r w:rsidR="00E075FD" w:rsidRPr="007B6490">
        <w:rPr>
          <w:rFonts w:asciiTheme="minorHAnsi" w:hAnsiTheme="minorHAnsi" w:cstheme="minorHAnsi"/>
        </w:rPr>
        <w:t xml:space="preserve">který </w:t>
      </w:r>
      <w:r w:rsidR="00F00799" w:rsidRPr="007B6490">
        <w:rPr>
          <w:rFonts w:asciiTheme="minorHAnsi" w:hAnsiTheme="minorHAnsi" w:cstheme="minorHAnsi"/>
        </w:rPr>
        <w:t>od</w:t>
      </w:r>
      <w:r w:rsidR="00E075FD" w:rsidRPr="007B6490">
        <w:rPr>
          <w:rFonts w:asciiTheme="minorHAnsi" w:hAnsiTheme="minorHAnsi" w:cstheme="minorHAnsi"/>
        </w:rPr>
        <w:t xml:space="preserve"> 1.</w:t>
      </w:r>
      <w:r w:rsidR="00E67B5B" w:rsidRPr="007B6490">
        <w:rPr>
          <w:rFonts w:asciiTheme="minorHAnsi" w:hAnsiTheme="minorHAnsi" w:cstheme="minorHAnsi"/>
        </w:rPr>
        <w:t> </w:t>
      </w:r>
      <w:r w:rsidR="00E075FD" w:rsidRPr="007B6490">
        <w:rPr>
          <w:rFonts w:asciiTheme="minorHAnsi" w:hAnsiTheme="minorHAnsi" w:cstheme="minorHAnsi"/>
        </w:rPr>
        <w:t>1.</w:t>
      </w:r>
      <w:r w:rsidR="00E67B5B" w:rsidRPr="007B6490">
        <w:rPr>
          <w:rFonts w:asciiTheme="minorHAnsi" w:hAnsiTheme="minorHAnsi" w:cstheme="minorHAnsi"/>
        </w:rPr>
        <w:t> </w:t>
      </w:r>
      <w:r w:rsidR="00E075FD" w:rsidRPr="007B6490">
        <w:rPr>
          <w:rFonts w:asciiTheme="minorHAnsi" w:hAnsiTheme="minorHAnsi" w:cstheme="minorHAnsi"/>
        </w:rPr>
        <w:t>201</w:t>
      </w:r>
      <w:r w:rsidR="00F00799" w:rsidRPr="007B6490">
        <w:rPr>
          <w:rFonts w:asciiTheme="minorHAnsi" w:hAnsiTheme="minorHAnsi" w:cstheme="minorHAnsi"/>
        </w:rPr>
        <w:t>3</w:t>
      </w:r>
      <w:r w:rsidR="00E075FD" w:rsidRPr="007B6490">
        <w:rPr>
          <w:rFonts w:asciiTheme="minorHAnsi" w:hAnsiTheme="minorHAnsi" w:cstheme="minorHAnsi"/>
        </w:rPr>
        <w:t xml:space="preserve"> stan</w:t>
      </w:r>
      <w:r w:rsidR="00E67B5B" w:rsidRPr="007B6490">
        <w:rPr>
          <w:rFonts w:asciiTheme="minorHAnsi" w:hAnsiTheme="minorHAnsi" w:cstheme="minorHAnsi"/>
        </w:rPr>
        <w:t>oví</w:t>
      </w:r>
      <w:r w:rsidR="00E075FD" w:rsidRPr="007B6490">
        <w:rPr>
          <w:rFonts w:asciiTheme="minorHAnsi" w:hAnsiTheme="minorHAnsi" w:cstheme="minorHAnsi"/>
        </w:rPr>
        <w:t>:</w:t>
      </w:r>
      <w:r w:rsidRPr="007B6490">
        <w:rPr>
          <w:rFonts w:asciiTheme="minorHAnsi" w:hAnsiTheme="minorHAnsi" w:cstheme="minorHAnsi"/>
        </w:rPr>
        <w:t xml:space="preserve"> </w:t>
      </w:r>
      <w:r w:rsidR="001D0A77" w:rsidRPr="00C91112">
        <w:rPr>
          <w:rFonts w:asciiTheme="minorHAnsi" w:hAnsiTheme="minorHAnsi" w:cstheme="minorHAnsi"/>
        </w:rPr>
        <w:t>„</w:t>
      </w:r>
      <w:r w:rsidR="00F00799" w:rsidRPr="007B6490">
        <w:rPr>
          <w:rFonts w:asciiTheme="minorHAnsi" w:hAnsiTheme="minorHAnsi" w:cstheme="minorHAnsi"/>
          <w:i/>
        </w:rPr>
        <w:t>Pozemkovými úpravami se ve veřejném zájmu prostorově a funkčně uspořádávají pozemky, scelují se nebo dělí a zabezpečuje se jimi přístupnost a využití pozemků a vyrovnání jejich hranic tak, aby se vytvořily podmínky pro racionální hospodaření vlastníků půdy. V těchto souvislostech původní pozemky zanikají a zároveň se vytvářejí pozemky nové, k nimž se uspořádávají vlastnická práva a s nimi související věcná břemena v</w:t>
      </w:r>
      <w:r w:rsidR="001D0A77" w:rsidRPr="007B6490">
        <w:rPr>
          <w:rFonts w:asciiTheme="minorHAnsi" w:hAnsiTheme="minorHAnsi" w:cstheme="minorHAnsi"/>
          <w:i/>
        </w:rPr>
        <w:t> </w:t>
      </w:r>
      <w:r w:rsidR="00F00799" w:rsidRPr="007B6490">
        <w:rPr>
          <w:rFonts w:asciiTheme="minorHAnsi" w:hAnsiTheme="minorHAnsi" w:cstheme="minorHAnsi"/>
          <w:i/>
        </w:rPr>
        <w:t>rozsahu rozhodnutí podle § 11 odst. 8. Současně se jimi zajišťují podmínky pro zlepšení kvality života ve venkovských oblastech včetně napomáhání diverzifikace hospodářské činnosti a</w:t>
      </w:r>
      <w:r w:rsidR="001D0A77" w:rsidRPr="007B6490">
        <w:rPr>
          <w:rFonts w:asciiTheme="minorHAnsi" w:hAnsiTheme="minorHAnsi" w:cstheme="minorHAnsi"/>
          <w:i/>
        </w:rPr>
        <w:t> </w:t>
      </w:r>
      <w:r w:rsidR="00F00799" w:rsidRPr="007B6490">
        <w:rPr>
          <w:rFonts w:asciiTheme="minorHAnsi" w:hAnsiTheme="minorHAnsi" w:cstheme="minorHAnsi"/>
          <w:i/>
        </w:rPr>
        <w:t>zlepšování konkurenceschopnosti zemědělství, zlepšení životního prostředí, ochranu a</w:t>
      </w:r>
      <w:r w:rsidR="001D0A77" w:rsidRPr="007B6490">
        <w:rPr>
          <w:rFonts w:asciiTheme="minorHAnsi" w:hAnsiTheme="minorHAnsi" w:cstheme="minorHAnsi"/>
          <w:i/>
        </w:rPr>
        <w:t> </w:t>
      </w:r>
      <w:r w:rsidR="00F00799" w:rsidRPr="007B6490">
        <w:rPr>
          <w:rFonts w:asciiTheme="minorHAnsi" w:hAnsiTheme="minorHAnsi" w:cstheme="minorHAnsi"/>
          <w:i/>
        </w:rPr>
        <w:t>zúrodnění půdního fondu, vodní hospodářství zejména v oblasti snižování nepříznivých účinků povodní a řešení odtokových poměrů v krajině a zvýšení ekologické stability krajiny. Výsledky pozemkových úprav slouží pro obnovu katastrálního operátu a</w:t>
      </w:r>
      <w:r w:rsidR="001D0A77" w:rsidRPr="007B6490">
        <w:rPr>
          <w:rFonts w:asciiTheme="minorHAnsi" w:hAnsiTheme="minorHAnsi" w:cstheme="minorHAnsi"/>
          <w:i/>
        </w:rPr>
        <w:t> </w:t>
      </w:r>
      <w:r w:rsidR="00F00799" w:rsidRPr="007B6490">
        <w:rPr>
          <w:rFonts w:asciiTheme="minorHAnsi" w:hAnsiTheme="minorHAnsi" w:cstheme="minorHAnsi"/>
          <w:i/>
        </w:rPr>
        <w:t>jako neopomenutelný podklad pro územní plánování.</w:t>
      </w:r>
      <w:r w:rsidR="001D0A77" w:rsidRPr="00DD1C9C">
        <w:rPr>
          <w:rFonts w:asciiTheme="minorHAnsi" w:hAnsiTheme="minorHAnsi" w:cstheme="minorHAnsi"/>
        </w:rPr>
        <w:t>“</w:t>
      </w:r>
    </w:p>
    <w:p w:rsidR="00DD1C9C" w:rsidRDefault="00DD1C9C" w:rsidP="00DD1C9C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2805EA" w:rsidRDefault="002805EA" w:rsidP="00DD1C9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D33D15">
        <w:rPr>
          <w:rFonts w:asciiTheme="minorHAnsi" w:hAnsiTheme="minorHAnsi" w:cstheme="minorHAnsi"/>
          <w:b/>
          <w:bCs/>
        </w:rPr>
        <w:t>Předmětem pozemkových úprav</w:t>
      </w:r>
      <w:r w:rsidRPr="00D33D15">
        <w:rPr>
          <w:rFonts w:asciiTheme="minorHAnsi" w:hAnsiTheme="minorHAnsi" w:cstheme="minorHAnsi"/>
        </w:rPr>
        <w:t xml:space="preserve"> jsou všechny pozemky v obvodu pozemkových úprav bez ohledu na dosavadní způsob využívání a existující vlastnické a užívací vztahy k nim. Obvod pozemkových úprav je území dotčené pozemkovými úpravami v jednom katastrálním území a v případě potřeby i v navazující části sousedícího katastrálního území.</w:t>
      </w:r>
    </w:p>
    <w:p w:rsidR="00DD1C9C" w:rsidRDefault="00DD1C9C" w:rsidP="00DD1C9C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CB2B02" w:rsidRPr="007B6490" w:rsidRDefault="00CB2B02" w:rsidP="00F86C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Pozemkové úpravy jsou zpravidla prováděny formou </w:t>
      </w:r>
      <w:proofErr w:type="spellStart"/>
      <w:r w:rsidRPr="007B6490">
        <w:rPr>
          <w:rFonts w:asciiTheme="minorHAnsi" w:hAnsiTheme="minorHAnsi" w:cstheme="minorHAnsi"/>
        </w:rPr>
        <w:t>KoPÚ</w:t>
      </w:r>
      <w:proofErr w:type="spellEnd"/>
      <w:r w:rsidRPr="007B6490">
        <w:rPr>
          <w:rFonts w:asciiTheme="minorHAnsi" w:hAnsiTheme="minorHAnsi" w:cstheme="minorHAnsi"/>
        </w:rPr>
        <w:t xml:space="preserve"> a</w:t>
      </w:r>
      <w:r w:rsidR="001263E9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>zahrnují především tyto činnosti: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B2B02" w:rsidRPr="007B6490">
        <w:rPr>
          <w:rFonts w:cstheme="minorHAnsi"/>
          <w:sz w:val="24"/>
          <w:szCs w:val="24"/>
        </w:rPr>
        <w:t>růzkumné a geodetické práce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vyhotovení s</w:t>
      </w:r>
      <w:r w:rsidR="00CB2B02" w:rsidRPr="007B6490">
        <w:rPr>
          <w:rFonts w:cstheme="minorHAnsi"/>
          <w:sz w:val="24"/>
          <w:szCs w:val="24"/>
        </w:rPr>
        <w:t>oupis</w:t>
      </w:r>
      <w:r>
        <w:rPr>
          <w:rFonts w:cstheme="minorHAnsi"/>
          <w:sz w:val="24"/>
          <w:szCs w:val="24"/>
        </w:rPr>
        <w:t>u</w:t>
      </w:r>
      <w:r w:rsidR="00CB2B02" w:rsidRPr="007B6490">
        <w:rPr>
          <w:rFonts w:cstheme="minorHAnsi"/>
          <w:sz w:val="24"/>
          <w:szCs w:val="24"/>
        </w:rPr>
        <w:t xml:space="preserve"> nároků vlastníků pozemků </w:t>
      </w:r>
      <w:r w:rsidR="001F3048">
        <w:rPr>
          <w:rFonts w:cstheme="minorHAnsi"/>
          <w:sz w:val="24"/>
          <w:szCs w:val="24"/>
        </w:rPr>
        <w:t xml:space="preserve">a odsouhlasení </w:t>
      </w:r>
      <w:r w:rsidR="002C621D">
        <w:rPr>
          <w:rFonts w:cstheme="minorHAnsi"/>
          <w:sz w:val="24"/>
          <w:szCs w:val="24"/>
        </w:rPr>
        <w:t>těchto</w:t>
      </w:r>
      <w:r w:rsidR="001F3048">
        <w:rPr>
          <w:rFonts w:cstheme="minorHAnsi"/>
          <w:sz w:val="24"/>
          <w:szCs w:val="24"/>
        </w:rPr>
        <w:t xml:space="preserve"> nároků,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B2B02" w:rsidRPr="007B6490">
        <w:rPr>
          <w:rFonts w:cstheme="minorHAnsi"/>
          <w:sz w:val="24"/>
          <w:szCs w:val="24"/>
        </w:rPr>
        <w:t>ytvoření plánu společných zařízení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připravení n</w:t>
      </w:r>
      <w:r w:rsidR="00CB2B02" w:rsidRPr="007B6490">
        <w:rPr>
          <w:rFonts w:cstheme="minorHAnsi"/>
          <w:sz w:val="24"/>
          <w:szCs w:val="24"/>
        </w:rPr>
        <w:t>ávrh</w:t>
      </w:r>
      <w:r>
        <w:rPr>
          <w:rFonts w:cstheme="minorHAnsi"/>
          <w:sz w:val="24"/>
          <w:szCs w:val="24"/>
        </w:rPr>
        <w:t>u</w:t>
      </w:r>
      <w:r w:rsidR="00CB2B02" w:rsidRPr="007B6490">
        <w:rPr>
          <w:rFonts w:cstheme="minorHAnsi"/>
          <w:sz w:val="24"/>
          <w:szCs w:val="24"/>
        </w:rPr>
        <w:t xml:space="preserve"> nového uspořádání pozemků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B2B02" w:rsidRPr="007B6490">
        <w:rPr>
          <w:rFonts w:cstheme="minorHAnsi"/>
          <w:sz w:val="24"/>
          <w:szCs w:val="24"/>
        </w:rPr>
        <w:t>ydání rozhodnutí o schválení návrhu pozemkové úpravy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B2B02" w:rsidRPr="007B6490">
        <w:rPr>
          <w:rFonts w:cstheme="minorHAnsi"/>
          <w:sz w:val="24"/>
          <w:szCs w:val="24"/>
        </w:rPr>
        <w:t>ydání rozhodnutí o výměně nebo přechodu vlastnických práv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7B64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CB2B02" w:rsidRPr="007B6490">
        <w:rPr>
          <w:rFonts w:cstheme="minorHAnsi"/>
          <w:sz w:val="24"/>
          <w:szCs w:val="24"/>
        </w:rPr>
        <w:t>ápis nového stavu do katastru nemovitostí</w:t>
      </w:r>
      <w:r>
        <w:rPr>
          <w:rFonts w:cstheme="minorHAnsi"/>
          <w:sz w:val="24"/>
          <w:szCs w:val="24"/>
        </w:rPr>
        <w:t>,</w:t>
      </w:r>
    </w:p>
    <w:p w:rsidR="00CB2B02" w:rsidRPr="007B6490" w:rsidRDefault="00F97C5E" w:rsidP="00DD1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CB2B02" w:rsidRPr="007B6490">
        <w:rPr>
          <w:rFonts w:cstheme="minorHAnsi"/>
          <w:sz w:val="24"/>
          <w:szCs w:val="24"/>
        </w:rPr>
        <w:t>ealizace návrhu společných zařízení.</w:t>
      </w:r>
    </w:p>
    <w:p w:rsidR="00DD1C9C" w:rsidRDefault="00DD1C9C" w:rsidP="00DD1C9C">
      <w:pPr>
        <w:jc w:val="both"/>
        <w:rPr>
          <w:rFonts w:asciiTheme="minorHAnsi" w:hAnsiTheme="minorHAnsi" w:cstheme="minorHAnsi"/>
          <w:b/>
        </w:rPr>
      </w:pPr>
    </w:p>
    <w:p w:rsidR="00F332C2" w:rsidRDefault="0085150A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>Rozhodnutí o schválení návrhu</w:t>
      </w:r>
      <w:r w:rsidR="00CE6CEF" w:rsidRPr="007B6490">
        <w:rPr>
          <w:rFonts w:asciiTheme="minorHAnsi" w:hAnsiTheme="minorHAnsi" w:cstheme="minorHAnsi"/>
          <w:b/>
        </w:rPr>
        <w:t xml:space="preserve"> pozemkové úpravy</w:t>
      </w:r>
      <w:r w:rsidRPr="007B6490">
        <w:rPr>
          <w:rFonts w:asciiTheme="minorHAnsi" w:hAnsiTheme="minorHAnsi" w:cstheme="minorHAnsi"/>
        </w:rPr>
        <w:t xml:space="preserve"> –</w:t>
      </w:r>
      <w:r w:rsidR="003A758E" w:rsidRPr="007B6490">
        <w:rPr>
          <w:rFonts w:asciiTheme="minorHAnsi" w:hAnsiTheme="minorHAnsi" w:cstheme="minorHAnsi"/>
        </w:rPr>
        <w:t xml:space="preserve"> </w:t>
      </w:r>
      <w:r w:rsidR="0048308A" w:rsidRPr="007B6490">
        <w:rPr>
          <w:rFonts w:asciiTheme="minorHAnsi" w:hAnsiTheme="minorHAnsi" w:cstheme="minorHAnsi"/>
        </w:rPr>
        <w:t xml:space="preserve">pozemkový úřad </w:t>
      </w:r>
      <w:r w:rsidR="003A758E" w:rsidRPr="007B6490">
        <w:rPr>
          <w:rFonts w:asciiTheme="minorHAnsi" w:hAnsiTheme="minorHAnsi" w:cstheme="minorHAnsi"/>
        </w:rPr>
        <w:t xml:space="preserve">rozhodne o </w:t>
      </w:r>
      <w:r w:rsidR="0048308A" w:rsidRPr="007B6490">
        <w:rPr>
          <w:rFonts w:asciiTheme="minorHAnsi" w:hAnsiTheme="minorHAnsi" w:cstheme="minorHAnsi"/>
        </w:rPr>
        <w:t>schválení</w:t>
      </w:r>
      <w:r w:rsidR="003A758E" w:rsidRPr="007B6490">
        <w:rPr>
          <w:rFonts w:asciiTheme="minorHAnsi" w:hAnsiTheme="minorHAnsi" w:cstheme="minorHAnsi"/>
        </w:rPr>
        <w:t xml:space="preserve"> návrhu pozemkové úpravy</w:t>
      </w:r>
      <w:r w:rsidR="00941030" w:rsidRPr="007B6490">
        <w:rPr>
          <w:rFonts w:asciiTheme="minorHAnsi" w:hAnsiTheme="minorHAnsi" w:cstheme="minorHAnsi"/>
        </w:rPr>
        <w:t xml:space="preserve">. 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48308A" w:rsidRDefault="0085150A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b/>
        </w:rPr>
        <w:t>Rozhodnutí o výměně nebo přechodu vlastnických práv</w:t>
      </w:r>
      <w:r w:rsidRPr="007B6490">
        <w:rPr>
          <w:rFonts w:asciiTheme="minorHAnsi" w:hAnsiTheme="minorHAnsi" w:cstheme="minorHAnsi"/>
        </w:rPr>
        <w:t xml:space="preserve"> – </w:t>
      </w:r>
      <w:r w:rsidR="00123E09" w:rsidRPr="007B6490">
        <w:rPr>
          <w:rFonts w:asciiTheme="minorHAnsi" w:hAnsiTheme="minorHAnsi" w:cstheme="minorHAnsi"/>
        </w:rPr>
        <w:t xml:space="preserve">pozemkový úřad na základě schváleného návrhu </w:t>
      </w:r>
      <w:r w:rsidR="00EF1856" w:rsidRPr="007B6490">
        <w:rPr>
          <w:rFonts w:asciiTheme="minorHAnsi" w:hAnsiTheme="minorHAnsi" w:cstheme="minorHAnsi"/>
        </w:rPr>
        <w:t xml:space="preserve">pozemkové úpravy </w:t>
      </w:r>
      <w:r w:rsidR="00123E09" w:rsidRPr="007B6490">
        <w:rPr>
          <w:rFonts w:asciiTheme="minorHAnsi" w:hAnsiTheme="minorHAnsi" w:cstheme="minorHAnsi"/>
        </w:rPr>
        <w:t xml:space="preserve">rozhodne o výměně nebo přechodu vlastnických práv, </w:t>
      </w:r>
      <w:r w:rsidR="0082327D">
        <w:rPr>
          <w:rFonts w:asciiTheme="minorHAnsi" w:hAnsiTheme="minorHAnsi" w:cstheme="minorHAnsi"/>
        </w:rPr>
        <w:t>o výši</w:t>
      </w:r>
      <w:r w:rsidR="00123E09" w:rsidRPr="007B6490">
        <w:rPr>
          <w:rFonts w:asciiTheme="minorHAnsi" w:hAnsiTheme="minorHAnsi" w:cstheme="minorHAnsi"/>
        </w:rPr>
        <w:t xml:space="preserve"> úhrady a lhůt</w:t>
      </w:r>
      <w:r w:rsidR="0082327D">
        <w:rPr>
          <w:rFonts w:asciiTheme="minorHAnsi" w:hAnsiTheme="minorHAnsi" w:cstheme="minorHAnsi"/>
        </w:rPr>
        <w:t>ě</w:t>
      </w:r>
      <w:r w:rsidR="00123E09" w:rsidRPr="007B6490">
        <w:rPr>
          <w:rFonts w:asciiTheme="minorHAnsi" w:hAnsiTheme="minorHAnsi" w:cstheme="minorHAnsi"/>
        </w:rPr>
        <w:t xml:space="preserve"> podle § 10 odst. 2 zák</w:t>
      </w:r>
      <w:r w:rsidR="00941030" w:rsidRPr="007B6490">
        <w:rPr>
          <w:rFonts w:asciiTheme="minorHAnsi" w:hAnsiTheme="minorHAnsi" w:cstheme="minorHAnsi"/>
        </w:rPr>
        <w:t>ona</w:t>
      </w:r>
      <w:r w:rsidR="00123E09" w:rsidRPr="007B6490">
        <w:rPr>
          <w:rFonts w:asciiTheme="minorHAnsi" w:hAnsiTheme="minorHAnsi" w:cstheme="minorHAnsi"/>
        </w:rPr>
        <w:t xml:space="preserve"> </w:t>
      </w:r>
      <w:r w:rsidR="008D1CB4" w:rsidRPr="007B6490">
        <w:rPr>
          <w:rFonts w:asciiTheme="minorHAnsi" w:hAnsiTheme="minorHAnsi" w:cstheme="minorHAnsi"/>
        </w:rPr>
        <w:t>č. 139/2002 Sb., popřípadě o </w:t>
      </w:r>
      <w:r w:rsidR="00123E09" w:rsidRPr="007B6490">
        <w:rPr>
          <w:rFonts w:asciiTheme="minorHAnsi" w:hAnsiTheme="minorHAnsi" w:cstheme="minorHAnsi"/>
        </w:rPr>
        <w:t xml:space="preserve">zřízení nebo zrušení věcného břemene k dotčeným </w:t>
      </w:r>
      <w:r w:rsidR="00B06E09" w:rsidRPr="007B6490">
        <w:rPr>
          <w:rFonts w:asciiTheme="minorHAnsi" w:hAnsiTheme="minorHAnsi" w:cstheme="minorHAnsi"/>
        </w:rPr>
        <w:t>pozemkům.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48308A" w:rsidRDefault="0048308A" w:rsidP="00DD1C9C">
      <w:pPr>
        <w:jc w:val="both"/>
        <w:rPr>
          <w:rFonts w:asciiTheme="minorHAnsi" w:hAnsiTheme="minorHAnsi" w:cstheme="minorHAnsi"/>
          <w:spacing w:val="-4"/>
        </w:rPr>
      </w:pPr>
      <w:r w:rsidRPr="007B6490">
        <w:rPr>
          <w:rFonts w:asciiTheme="minorHAnsi" w:hAnsiTheme="minorHAnsi" w:cstheme="minorHAnsi"/>
          <w:b/>
          <w:spacing w:val="-4"/>
        </w:rPr>
        <w:lastRenderedPageBreak/>
        <w:t>Ukončená pozemková úprava</w:t>
      </w:r>
      <w:r w:rsidRPr="007B6490">
        <w:rPr>
          <w:rStyle w:val="Znakapoznpodarou"/>
          <w:rFonts w:asciiTheme="minorHAnsi" w:hAnsiTheme="minorHAnsi" w:cstheme="minorHAnsi"/>
          <w:spacing w:val="-4"/>
        </w:rPr>
        <w:footnoteReference w:id="4"/>
      </w:r>
      <w:r w:rsidRPr="007B6490">
        <w:rPr>
          <w:rFonts w:asciiTheme="minorHAnsi" w:hAnsiTheme="minorHAnsi" w:cstheme="minorHAnsi"/>
          <w:b/>
          <w:spacing w:val="-4"/>
        </w:rPr>
        <w:t xml:space="preserve"> </w:t>
      </w:r>
      <w:r w:rsidR="008D1CB4" w:rsidRPr="007225D2">
        <w:rPr>
          <w:rFonts w:asciiTheme="minorHAnsi" w:hAnsiTheme="minorHAnsi" w:cstheme="minorHAnsi"/>
          <w:spacing w:val="-4"/>
        </w:rPr>
        <w:t>–</w:t>
      </w:r>
      <w:r w:rsidRPr="007225D2">
        <w:rPr>
          <w:rFonts w:asciiTheme="minorHAnsi" w:hAnsiTheme="minorHAnsi" w:cstheme="minorHAnsi"/>
          <w:spacing w:val="-4"/>
        </w:rPr>
        <w:t xml:space="preserve"> </w:t>
      </w:r>
      <w:r w:rsidR="00C81A1F" w:rsidRPr="007B6490">
        <w:rPr>
          <w:rFonts w:asciiTheme="minorHAnsi" w:hAnsiTheme="minorHAnsi" w:cstheme="minorHAnsi"/>
          <w:spacing w:val="-4"/>
        </w:rPr>
        <w:t>zahrnuje</w:t>
      </w:r>
      <w:r w:rsidR="0093488A" w:rsidRPr="007B6490">
        <w:rPr>
          <w:rFonts w:asciiTheme="minorHAnsi" w:hAnsiTheme="minorHAnsi" w:cstheme="minorHAnsi"/>
          <w:spacing w:val="-4"/>
        </w:rPr>
        <w:t xml:space="preserve"> </w:t>
      </w:r>
      <w:r w:rsidR="00C81A1F" w:rsidRPr="007B6490">
        <w:rPr>
          <w:rFonts w:asciiTheme="minorHAnsi" w:hAnsiTheme="minorHAnsi" w:cstheme="minorHAnsi"/>
          <w:spacing w:val="-4"/>
        </w:rPr>
        <w:t>správní činnosti ve smyslu zákona č. 139/2002 Sb. ukončené</w:t>
      </w:r>
      <w:r w:rsidR="001263E9">
        <w:rPr>
          <w:rFonts w:asciiTheme="minorHAnsi" w:hAnsiTheme="minorHAnsi" w:cstheme="minorHAnsi"/>
          <w:spacing w:val="-4"/>
        </w:rPr>
        <w:t xml:space="preserve"> </w:t>
      </w:r>
      <w:r w:rsidR="00C81A1F" w:rsidRPr="007B6490">
        <w:rPr>
          <w:rFonts w:asciiTheme="minorHAnsi" w:hAnsiTheme="minorHAnsi" w:cstheme="minorHAnsi"/>
          <w:spacing w:val="-4"/>
        </w:rPr>
        <w:t>vydaným pravomocným rozhodnutím o</w:t>
      </w:r>
      <w:r w:rsidR="001263E9">
        <w:rPr>
          <w:rFonts w:asciiTheme="minorHAnsi" w:hAnsiTheme="minorHAnsi" w:cstheme="minorHAnsi"/>
          <w:spacing w:val="-4"/>
        </w:rPr>
        <w:t xml:space="preserve"> </w:t>
      </w:r>
      <w:r w:rsidR="00C81A1F" w:rsidRPr="007B6490">
        <w:rPr>
          <w:rFonts w:asciiTheme="minorHAnsi" w:hAnsiTheme="minorHAnsi" w:cstheme="minorHAnsi"/>
          <w:spacing w:val="-4"/>
        </w:rPr>
        <w:t>výměně nebo přechodu vlastnických práv.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  <w:spacing w:val="-4"/>
        </w:rPr>
      </w:pPr>
    </w:p>
    <w:p w:rsidR="00CB2B02" w:rsidRDefault="0048308A" w:rsidP="00DD1C9C">
      <w:pPr>
        <w:jc w:val="both"/>
        <w:rPr>
          <w:rFonts w:asciiTheme="minorHAnsi" w:hAnsiTheme="minorHAnsi" w:cstheme="minorHAnsi"/>
          <w:spacing w:val="-4"/>
        </w:rPr>
      </w:pPr>
      <w:r w:rsidRPr="007B6490">
        <w:rPr>
          <w:rFonts w:asciiTheme="minorHAnsi" w:hAnsiTheme="minorHAnsi" w:cstheme="minorHAnsi"/>
          <w:b/>
          <w:spacing w:val="-4"/>
        </w:rPr>
        <w:t>Realizovaná pozemková úprava</w:t>
      </w:r>
      <w:r w:rsidR="00097BFE" w:rsidRPr="007B6490">
        <w:rPr>
          <w:rFonts w:asciiTheme="minorHAnsi" w:hAnsiTheme="minorHAnsi" w:cstheme="minorHAnsi"/>
          <w:spacing w:val="-4"/>
          <w:vertAlign w:val="superscript"/>
        </w:rPr>
        <w:t>3</w:t>
      </w:r>
      <w:r w:rsidRPr="007B6490">
        <w:rPr>
          <w:rFonts w:asciiTheme="minorHAnsi" w:hAnsiTheme="minorHAnsi" w:cstheme="minorHAnsi"/>
          <w:spacing w:val="-4"/>
        </w:rPr>
        <w:t xml:space="preserve"> – zahrnuje realizaci společných zařízení vyplývajících ze schváleného návrhu pozemkových úprav.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  <w:spacing w:val="-4"/>
        </w:rPr>
      </w:pPr>
    </w:p>
    <w:p w:rsidR="00CB2B02" w:rsidRPr="007B6490" w:rsidRDefault="00CB2B02" w:rsidP="007B6490">
      <w:pPr>
        <w:jc w:val="both"/>
        <w:rPr>
          <w:rFonts w:asciiTheme="minorHAnsi" w:hAnsiTheme="minorHAnsi" w:cstheme="minorHAnsi"/>
        </w:rPr>
      </w:pPr>
      <w:r w:rsidRPr="001D0BE9">
        <w:rPr>
          <w:rFonts w:asciiTheme="minorHAnsi" w:hAnsiTheme="minorHAnsi" w:cstheme="minorHAnsi"/>
          <w:b/>
        </w:rPr>
        <w:t>Plán společných zařízení</w:t>
      </w:r>
      <w:r w:rsidRPr="001D0BE9">
        <w:rPr>
          <w:rFonts w:asciiTheme="minorHAnsi" w:hAnsiTheme="minorHAnsi" w:cstheme="minorHAnsi"/>
        </w:rPr>
        <w:t xml:space="preserve"> </w:t>
      </w:r>
      <w:r w:rsidR="007D6F62" w:rsidRPr="001D0BE9">
        <w:rPr>
          <w:rFonts w:asciiTheme="minorHAnsi" w:hAnsiTheme="minorHAnsi" w:cstheme="minorHAnsi"/>
        </w:rPr>
        <w:t xml:space="preserve">(dále také „PSZ“) </w:t>
      </w:r>
      <w:r w:rsidRPr="001D0BE9">
        <w:rPr>
          <w:rFonts w:asciiTheme="minorHAnsi" w:hAnsiTheme="minorHAnsi" w:cstheme="minorHAnsi"/>
        </w:rPr>
        <w:t>– soubor opatření navržených v ukončené</w:t>
      </w:r>
      <w:r w:rsidRPr="007B6490">
        <w:rPr>
          <w:rFonts w:asciiTheme="minorHAnsi" w:hAnsiTheme="minorHAnsi" w:cstheme="minorHAnsi"/>
        </w:rPr>
        <w:t xml:space="preserve"> pozemkové úpravě</w:t>
      </w:r>
      <w:r w:rsidR="0082327D">
        <w:rPr>
          <w:rFonts w:asciiTheme="minorHAnsi" w:hAnsiTheme="minorHAnsi" w:cstheme="minorHAnsi"/>
        </w:rPr>
        <w:t>,</w:t>
      </w:r>
      <w:r w:rsidRPr="007B6490">
        <w:rPr>
          <w:rFonts w:asciiTheme="minorHAnsi" w:hAnsiTheme="minorHAnsi" w:cstheme="minorHAnsi"/>
        </w:rPr>
        <w:t xml:space="preserve"> tvoří kostru pozemkových úprav a zahrnuje</w:t>
      </w:r>
      <w:r w:rsidR="00190CA6" w:rsidRPr="007B6490">
        <w:rPr>
          <w:rFonts w:asciiTheme="minorHAnsi" w:hAnsiTheme="minorHAnsi" w:cstheme="minorHAnsi"/>
        </w:rPr>
        <w:t xml:space="preserve"> </w:t>
      </w:r>
      <w:r w:rsidR="009D0055">
        <w:rPr>
          <w:rFonts w:asciiTheme="minorHAnsi" w:hAnsiTheme="minorHAnsi" w:cstheme="minorHAnsi"/>
        </w:rPr>
        <w:t>podle § 9 odst. 8 zákona č. </w:t>
      </w:r>
      <w:r w:rsidR="00190CA6" w:rsidRPr="007B6490">
        <w:rPr>
          <w:rFonts w:asciiTheme="minorHAnsi" w:hAnsiTheme="minorHAnsi" w:cstheme="minorHAnsi"/>
        </w:rPr>
        <w:t>139/2002 Sb.</w:t>
      </w:r>
      <w:r w:rsidRPr="007B6490">
        <w:rPr>
          <w:rFonts w:asciiTheme="minorHAnsi" w:hAnsiTheme="minorHAnsi" w:cstheme="minorHAnsi"/>
        </w:rPr>
        <w:t xml:space="preserve">: </w:t>
      </w:r>
    </w:p>
    <w:p w:rsidR="00CB2B02" w:rsidRPr="007B6490" w:rsidRDefault="00CB2B02" w:rsidP="007B6490">
      <w:pPr>
        <w:keepNext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a) opatření ke zpřístupnění pozemků</w:t>
      </w:r>
      <w:r w:rsidR="008D1CB4" w:rsidRPr="007B6490">
        <w:rPr>
          <w:rFonts w:asciiTheme="minorHAnsi" w:hAnsiTheme="minorHAnsi" w:cstheme="minorHAnsi"/>
        </w:rPr>
        <w:t>,</w:t>
      </w:r>
    </w:p>
    <w:p w:rsidR="00CB2B02" w:rsidRPr="007B6490" w:rsidRDefault="00CB2B02" w:rsidP="007B6490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b) protierozní opatření pro ochranu půdního fondu</w:t>
      </w:r>
      <w:r w:rsidR="008D1CB4" w:rsidRPr="007B6490">
        <w:rPr>
          <w:rFonts w:asciiTheme="minorHAnsi" w:hAnsiTheme="minorHAnsi" w:cstheme="minorHAnsi"/>
        </w:rPr>
        <w:t>,</w:t>
      </w:r>
    </w:p>
    <w:p w:rsidR="00CB2B02" w:rsidRPr="007B6490" w:rsidRDefault="00CB2B02" w:rsidP="00DD1C9C">
      <w:pPr>
        <w:ind w:left="284" w:hanging="284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c) vodohospodářská opatření</w:t>
      </w:r>
      <w:r w:rsidR="002941D4" w:rsidRPr="007B6490">
        <w:rPr>
          <w:rFonts w:asciiTheme="minorHAnsi" w:hAnsiTheme="minorHAnsi" w:cstheme="minorHAnsi"/>
        </w:rPr>
        <w:t xml:space="preserve"> sloužící k odvedení povrchových vod a ochraně území před záplavami</w:t>
      </w:r>
      <w:r w:rsidR="008D1CB4" w:rsidRPr="007B6490">
        <w:rPr>
          <w:rFonts w:asciiTheme="minorHAnsi" w:hAnsiTheme="minorHAnsi" w:cstheme="minorHAnsi"/>
        </w:rPr>
        <w:t>,</w:t>
      </w:r>
    </w:p>
    <w:p w:rsidR="00CB2B02" w:rsidRPr="007B6490" w:rsidRDefault="00CB2B02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d) opatření k ochraně a tvorbě životního prostředí</w:t>
      </w:r>
      <w:r w:rsidR="002805EA">
        <w:rPr>
          <w:rFonts w:asciiTheme="minorHAnsi" w:hAnsiTheme="minorHAnsi" w:cstheme="minorHAnsi"/>
        </w:rPr>
        <w:t>,</w:t>
      </w:r>
      <w:r w:rsidR="002941D4" w:rsidRPr="007B6490">
        <w:rPr>
          <w:rFonts w:asciiTheme="minorHAnsi" w:hAnsiTheme="minorHAnsi" w:cstheme="minorHAnsi"/>
        </w:rPr>
        <w:t xml:space="preserve"> </w:t>
      </w:r>
      <w:r w:rsidR="00E7298C">
        <w:rPr>
          <w:rFonts w:asciiTheme="minorHAnsi" w:hAnsiTheme="minorHAnsi" w:cstheme="minorHAnsi"/>
        </w:rPr>
        <w:t>zvýšení</w:t>
      </w:r>
      <w:r w:rsidR="002941D4" w:rsidRPr="007B6490">
        <w:rPr>
          <w:rFonts w:asciiTheme="minorHAnsi" w:hAnsiTheme="minorHAnsi" w:cstheme="minorHAnsi"/>
        </w:rPr>
        <w:t xml:space="preserve"> ekologické stability</w:t>
      </w:r>
      <w:r w:rsidRPr="007B6490">
        <w:rPr>
          <w:rFonts w:asciiTheme="minorHAnsi" w:hAnsiTheme="minorHAnsi" w:cstheme="minorHAnsi"/>
        </w:rPr>
        <w:t>.</w:t>
      </w:r>
    </w:p>
    <w:p w:rsidR="00DD1C9C" w:rsidRDefault="00DD1C9C" w:rsidP="007B6490">
      <w:pPr>
        <w:pStyle w:val="Textpoznpodarou"/>
        <w:jc w:val="both"/>
        <w:rPr>
          <w:rFonts w:cstheme="minorHAnsi"/>
          <w:b/>
          <w:sz w:val="24"/>
          <w:szCs w:val="24"/>
        </w:rPr>
      </w:pPr>
    </w:p>
    <w:p w:rsidR="00C44B90" w:rsidRPr="007B6490" w:rsidRDefault="00C44B90" w:rsidP="007B6490">
      <w:pPr>
        <w:pStyle w:val="Textpoznpodarou"/>
        <w:jc w:val="both"/>
        <w:rPr>
          <w:rFonts w:cstheme="minorHAnsi"/>
          <w:sz w:val="24"/>
          <w:szCs w:val="24"/>
        </w:rPr>
      </w:pPr>
      <w:r w:rsidRPr="001306B7">
        <w:rPr>
          <w:rFonts w:cstheme="minorHAnsi"/>
          <w:b/>
          <w:i/>
          <w:sz w:val="24"/>
          <w:szCs w:val="24"/>
        </w:rPr>
        <w:t xml:space="preserve">Informační systém </w:t>
      </w:r>
      <w:r w:rsidR="00555711" w:rsidRPr="001306B7">
        <w:rPr>
          <w:rFonts w:cstheme="minorHAnsi"/>
          <w:b/>
          <w:i/>
          <w:sz w:val="24"/>
          <w:szCs w:val="24"/>
        </w:rPr>
        <w:t xml:space="preserve">pozemkových </w:t>
      </w:r>
      <w:r w:rsidRPr="001306B7">
        <w:rPr>
          <w:rFonts w:cstheme="minorHAnsi"/>
          <w:b/>
          <w:i/>
          <w:sz w:val="24"/>
          <w:szCs w:val="24"/>
        </w:rPr>
        <w:t>úprav</w:t>
      </w:r>
      <w:r w:rsidRPr="007B6490">
        <w:rPr>
          <w:rFonts w:cstheme="minorHAnsi"/>
          <w:sz w:val="24"/>
          <w:szCs w:val="24"/>
        </w:rPr>
        <w:t xml:space="preserve"> </w:t>
      </w:r>
      <w:r w:rsidR="00187FFE" w:rsidRPr="007B6490">
        <w:rPr>
          <w:rFonts w:cstheme="minorHAnsi"/>
          <w:sz w:val="24"/>
          <w:szCs w:val="24"/>
        </w:rPr>
        <w:t xml:space="preserve">(dále také „ISPÚ“) </w:t>
      </w:r>
      <w:r w:rsidRPr="007B6490">
        <w:rPr>
          <w:rFonts w:cstheme="minorHAnsi"/>
          <w:sz w:val="24"/>
          <w:szCs w:val="24"/>
        </w:rPr>
        <w:t xml:space="preserve">– </w:t>
      </w:r>
      <w:r w:rsidR="0030545C" w:rsidRPr="007B6490">
        <w:rPr>
          <w:rFonts w:cstheme="minorHAnsi"/>
          <w:sz w:val="24"/>
          <w:szCs w:val="24"/>
        </w:rPr>
        <w:t xml:space="preserve">webový </w:t>
      </w:r>
      <w:r w:rsidR="005E1DE8" w:rsidRPr="007B6490">
        <w:rPr>
          <w:rFonts w:cstheme="minorHAnsi"/>
          <w:sz w:val="24"/>
          <w:szCs w:val="24"/>
        </w:rPr>
        <w:t xml:space="preserve">portál </w:t>
      </w:r>
      <w:proofErr w:type="spellStart"/>
      <w:r w:rsidR="005E1DE8" w:rsidRPr="007B6490">
        <w:rPr>
          <w:rFonts w:cstheme="minorHAnsi"/>
          <w:sz w:val="24"/>
          <w:szCs w:val="24"/>
        </w:rPr>
        <w:t>eAGRI</w:t>
      </w:r>
      <w:proofErr w:type="spellEnd"/>
      <w:r w:rsidR="005E1DE8" w:rsidRPr="007B6490">
        <w:rPr>
          <w:rFonts w:cstheme="minorHAnsi"/>
          <w:sz w:val="24"/>
          <w:szCs w:val="24"/>
        </w:rPr>
        <w:t xml:space="preserve">, </w:t>
      </w:r>
      <w:proofErr w:type="spellStart"/>
      <w:r w:rsidR="0030545C" w:rsidRPr="007B6490">
        <w:rPr>
          <w:rFonts w:cstheme="minorHAnsi"/>
          <w:sz w:val="24"/>
          <w:szCs w:val="24"/>
        </w:rPr>
        <w:t>subportál</w:t>
      </w:r>
      <w:proofErr w:type="spellEnd"/>
      <w:r w:rsidR="0030545C" w:rsidRPr="007B6490">
        <w:rPr>
          <w:rFonts w:cstheme="minorHAnsi"/>
          <w:sz w:val="24"/>
          <w:szCs w:val="24"/>
        </w:rPr>
        <w:t xml:space="preserve"> </w:t>
      </w:r>
      <w:r w:rsidR="0030545C" w:rsidRPr="001306B7">
        <w:rPr>
          <w:rFonts w:cstheme="minorHAnsi"/>
          <w:i/>
          <w:sz w:val="24"/>
          <w:szCs w:val="24"/>
        </w:rPr>
        <w:t>Venkov</w:t>
      </w:r>
      <w:r w:rsidR="0030545C" w:rsidRPr="007B6490">
        <w:rPr>
          <w:rFonts w:cstheme="minorHAnsi"/>
          <w:sz w:val="24"/>
          <w:szCs w:val="24"/>
        </w:rPr>
        <w:t xml:space="preserve">, registr </w:t>
      </w:r>
      <w:r w:rsidRPr="001306B7">
        <w:rPr>
          <w:rFonts w:cstheme="minorHAnsi"/>
          <w:i/>
          <w:sz w:val="24"/>
          <w:szCs w:val="24"/>
        </w:rPr>
        <w:t>Přehled pozemkových úprav</w:t>
      </w:r>
      <w:r w:rsidR="0030545C" w:rsidRPr="007B6490">
        <w:rPr>
          <w:rFonts w:cstheme="minorHAnsi"/>
          <w:sz w:val="24"/>
          <w:szCs w:val="24"/>
        </w:rPr>
        <w:t xml:space="preserve"> (</w:t>
      </w:r>
      <w:hyperlink r:id="rId11" w:history="1">
        <w:r w:rsidR="0030545C" w:rsidRPr="007B6490">
          <w:rPr>
            <w:rStyle w:val="Hypertextovodkaz"/>
            <w:rFonts w:cstheme="minorHAnsi"/>
            <w:sz w:val="24"/>
            <w:szCs w:val="24"/>
          </w:rPr>
          <w:t>https://eagri.cz/ssl/web/mze/venkov/</w:t>
        </w:r>
      </w:hyperlink>
      <w:r w:rsidR="0030545C" w:rsidRPr="007B6490">
        <w:rPr>
          <w:rFonts w:cstheme="minorHAnsi"/>
          <w:sz w:val="24"/>
          <w:szCs w:val="24"/>
        </w:rPr>
        <w:t xml:space="preserve">). </w:t>
      </w:r>
      <w:r w:rsidR="00F96924" w:rsidRPr="007B6490">
        <w:rPr>
          <w:rFonts w:cstheme="minorHAnsi"/>
          <w:sz w:val="24"/>
          <w:szCs w:val="24"/>
        </w:rPr>
        <w:t>ÚPÚ a</w:t>
      </w:r>
      <w:r w:rsidR="0093488A" w:rsidRPr="007B6490">
        <w:rPr>
          <w:rFonts w:cstheme="minorHAnsi"/>
          <w:sz w:val="24"/>
          <w:szCs w:val="24"/>
        </w:rPr>
        <w:t> </w:t>
      </w:r>
      <w:r w:rsidR="00F96924" w:rsidRPr="007B6490">
        <w:rPr>
          <w:rFonts w:cstheme="minorHAnsi"/>
          <w:sz w:val="24"/>
          <w:szCs w:val="24"/>
        </w:rPr>
        <w:t>následně SPÚ</w:t>
      </w:r>
      <w:r w:rsidR="00901161" w:rsidRPr="007B6490">
        <w:rPr>
          <w:rFonts w:cstheme="minorHAnsi"/>
          <w:sz w:val="24"/>
          <w:szCs w:val="24"/>
        </w:rPr>
        <w:t xml:space="preserve"> </w:t>
      </w:r>
      <w:r w:rsidR="0030545C" w:rsidRPr="007B6490">
        <w:rPr>
          <w:rFonts w:cstheme="minorHAnsi"/>
          <w:sz w:val="24"/>
          <w:szCs w:val="24"/>
        </w:rPr>
        <w:t xml:space="preserve">zde </w:t>
      </w:r>
      <w:r w:rsidRPr="007B6490">
        <w:rPr>
          <w:rFonts w:cstheme="minorHAnsi"/>
          <w:sz w:val="24"/>
          <w:szCs w:val="24"/>
        </w:rPr>
        <w:t>eviduj</w:t>
      </w:r>
      <w:r w:rsidR="00F96924" w:rsidRPr="007B6490">
        <w:rPr>
          <w:rFonts w:cstheme="minorHAnsi"/>
          <w:sz w:val="24"/>
          <w:szCs w:val="24"/>
        </w:rPr>
        <w:t>í</w:t>
      </w:r>
      <w:r w:rsidR="00D67244">
        <w:rPr>
          <w:rFonts w:cstheme="minorHAnsi"/>
          <w:sz w:val="24"/>
          <w:szCs w:val="24"/>
        </w:rPr>
        <w:t xml:space="preserve"> </w:t>
      </w:r>
      <w:r w:rsidR="00E209A0" w:rsidRPr="007B6490">
        <w:rPr>
          <w:rFonts w:cstheme="minorHAnsi"/>
          <w:sz w:val="24"/>
          <w:szCs w:val="24"/>
        </w:rPr>
        <w:t xml:space="preserve">základní </w:t>
      </w:r>
      <w:r w:rsidRPr="007B6490">
        <w:rPr>
          <w:rFonts w:cstheme="minorHAnsi"/>
          <w:sz w:val="24"/>
          <w:szCs w:val="24"/>
        </w:rPr>
        <w:t>údaje o pozemkových úpravách. NKÚ pracoval s</w:t>
      </w:r>
      <w:r w:rsidR="00901161" w:rsidRPr="007B6490">
        <w:rPr>
          <w:rFonts w:cstheme="minorHAnsi"/>
          <w:sz w:val="24"/>
          <w:szCs w:val="24"/>
        </w:rPr>
        <w:t> </w:t>
      </w:r>
      <w:r w:rsidR="00865618" w:rsidRPr="007B6490">
        <w:rPr>
          <w:rFonts w:cstheme="minorHAnsi"/>
          <w:sz w:val="24"/>
          <w:szCs w:val="24"/>
        </w:rPr>
        <w:t>daty</w:t>
      </w:r>
      <w:r w:rsidR="00901161" w:rsidRPr="007B6490">
        <w:rPr>
          <w:rFonts w:cstheme="minorHAnsi"/>
          <w:sz w:val="24"/>
          <w:szCs w:val="24"/>
        </w:rPr>
        <w:t xml:space="preserve"> z</w:t>
      </w:r>
      <w:r w:rsidR="00F96924" w:rsidRPr="007B6490">
        <w:rPr>
          <w:rFonts w:cstheme="minorHAnsi"/>
          <w:sz w:val="24"/>
          <w:szCs w:val="24"/>
        </w:rPr>
        <w:t> </w:t>
      </w:r>
      <w:r w:rsidR="0030545C" w:rsidRPr="007B6490">
        <w:rPr>
          <w:rFonts w:cstheme="minorHAnsi"/>
          <w:sz w:val="24"/>
          <w:szCs w:val="24"/>
        </w:rPr>
        <w:t>neveřejn</w:t>
      </w:r>
      <w:r w:rsidR="00901161" w:rsidRPr="007B6490">
        <w:rPr>
          <w:rFonts w:cstheme="minorHAnsi"/>
          <w:sz w:val="24"/>
          <w:szCs w:val="24"/>
        </w:rPr>
        <w:t>é</w:t>
      </w:r>
      <w:r w:rsidR="0030545C" w:rsidRPr="007B6490">
        <w:rPr>
          <w:rFonts w:cstheme="minorHAnsi"/>
          <w:sz w:val="24"/>
          <w:szCs w:val="24"/>
        </w:rPr>
        <w:t xml:space="preserve"> část</w:t>
      </w:r>
      <w:r w:rsidR="00901161" w:rsidRPr="007B6490">
        <w:rPr>
          <w:rFonts w:cstheme="minorHAnsi"/>
          <w:sz w:val="24"/>
          <w:szCs w:val="24"/>
        </w:rPr>
        <w:t>i</w:t>
      </w:r>
      <w:r w:rsidR="0030545C" w:rsidRPr="007B6490">
        <w:rPr>
          <w:rFonts w:cstheme="minorHAnsi"/>
          <w:sz w:val="24"/>
          <w:szCs w:val="24"/>
        </w:rPr>
        <w:t xml:space="preserve"> ISPÚ</w:t>
      </w:r>
      <w:r w:rsidR="00194557" w:rsidRPr="007B6490">
        <w:rPr>
          <w:rFonts w:cstheme="minorHAnsi"/>
          <w:sz w:val="24"/>
          <w:szCs w:val="24"/>
        </w:rPr>
        <w:t xml:space="preserve"> </w:t>
      </w:r>
      <w:r w:rsidRPr="007B6490">
        <w:rPr>
          <w:rFonts w:cstheme="minorHAnsi"/>
          <w:sz w:val="24"/>
          <w:szCs w:val="24"/>
        </w:rPr>
        <w:t>aktualiz</w:t>
      </w:r>
      <w:r w:rsidR="00194557" w:rsidRPr="007B6490">
        <w:rPr>
          <w:rFonts w:cstheme="minorHAnsi"/>
          <w:sz w:val="24"/>
          <w:szCs w:val="24"/>
        </w:rPr>
        <w:t>ované</w:t>
      </w:r>
      <w:r w:rsidRPr="007B6490">
        <w:rPr>
          <w:rFonts w:cstheme="minorHAnsi"/>
          <w:sz w:val="24"/>
          <w:szCs w:val="24"/>
        </w:rPr>
        <w:t xml:space="preserve"> ke dni 12. 1. 2015</w:t>
      </w:r>
      <w:r w:rsidR="00901161" w:rsidRPr="007B6490">
        <w:rPr>
          <w:rFonts w:cstheme="minorHAnsi"/>
          <w:sz w:val="24"/>
          <w:szCs w:val="24"/>
        </w:rPr>
        <w:t>.</w:t>
      </w:r>
      <w:r w:rsidRPr="007B6490">
        <w:rPr>
          <w:rFonts w:cstheme="minorHAnsi"/>
          <w:sz w:val="24"/>
          <w:szCs w:val="24"/>
        </w:rPr>
        <w:t xml:space="preserve"> </w:t>
      </w:r>
    </w:p>
    <w:p w:rsidR="00E67B5B" w:rsidRPr="007B6490" w:rsidRDefault="00E67B5B" w:rsidP="007B649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67B5B" w:rsidRDefault="00E67B5B" w:rsidP="00DD1C9C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7B6490">
        <w:rPr>
          <w:rFonts w:asciiTheme="minorHAnsi" w:hAnsiTheme="minorHAnsi" w:cstheme="minorHAnsi"/>
          <w:b/>
          <w:sz w:val="20"/>
          <w:szCs w:val="20"/>
        </w:rPr>
        <w:t>Pozn.:</w:t>
      </w:r>
      <w:r w:rsidRPr="007B6490">
        <w:rPr>
          <w:rFonts w:asciiTheme="minorHAnsi" w:hAnsiTheme="minorHAnsi" w:cstheme="minorHAnsi"/>
          <w:sz w:val="20"/>
          <w:szCs w:val="20"/>
        </w:rPr>
        <w:t xml:space="preserve"> Všechny právní předpisy uváděné v tomto kontrolním závěru jsou aplikovány ve znění účinném pro kontrolované období.</w:t>
      </w:r>
    </w:p>
    <w:p w:rsidR="00DD1C9C" w:rsidRPr="00DD1C9C" w:rsidRDefault="00DD1C9C" w:rsidP="007B6490">
      <w:pPr>
        <w:jc w:val="both"/>
        <w:rPr>
          <w:rFonts w:asciiTheme="minorHAnsi" w:hAnsiTheme="minorHAnsi" w:cstheme="minorHAnsi"/>
        </w:rPr>
      </w:pPr>
    </w:p>
    <w:p w:rsidR="00DD1C9C" w:rsidRPr="00DD1C9C" w:rsidRDefault="00DD1C9C" w:rsidP="007B6490">
      <w:pPr>
        <w:jc w:val="both"/>
        <w:rPr>
          <w:rFonts w:asciiTheme="minorHAnsi" w:hAnsiTheme="minorHAnsi" w:cstheme="minorHAnsi"/>
        </w:rPr>
      </w:pPr>
    </w:p>
    <w:p w:rsidR="00113642" w:rsidRDefault="00DD1C9C" w:rsidP="00584E37">
      <w:pPr>
        <w:pStyle w:val="Nadpis1"/>
        <w:keepNext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II. </w:t>
      </w:r>
      <w:r w:rsidR="00584E37">
        <w:rPr>
          <w:rFonts w:asciiTheme="minorHAnsi" w:hAnsiTheme="minorHAnsi" w:cstheme="minorHAnsi"/>
          <w:sz w:val="28"/>
          <w:szCs w:val="28"/>
        </w:rPr>
        <w:t>S</w:t>
      </w:r>
      <w:r w:rsidR="00584E37" w:rsidRPr="007B6490">
        <w:rPr>
          <w:rFonts w:asciiTheme="minorHAnsi" w:hAnsiTheme="minorHAnsi" w:cstheme="minorHAnsi"/>
          <w:sz w:val="28"/>
          <w:szCs w:val="28"/>
        </w:rPr>
        <w:t>hrnutí skutečnost</w:t>
      </w:r>
      <w:r w:rsidR="00584E37">
        <w:rPr>
          <w:rFonts w:asciiTheme="minorHAnsi" w:hAnsiTheme="minorHAnsi" w:cstheme="minorHAnsi"/>
          <w:sz w:val="28"/>
          <w:szCs w:val="28"/>
        </w:rPr>
        <w:t>í</w:t>
      </w:r>
      <w:r w:rsidR="00584E37" w:rsidRPr="007B6490">
        <w:rPr>
          <w:rFonts w:asciiTheme="minorHAnsi" w:hAnsiTheme="minorHAnsi" w:cstheme="minorHAnsi"/>
          <w:sz w:val="28"/>
          <w:szCs w:val="28"/>
        </w:rPr>
        <w:t xml:space="preserve"> zjištěn</w:t>
      </w:r>
      <w:r w:rsidR="00584E37">
        <w:rPr>
          <w:rFonts w:asciiTheme="minorHAnsi" w:hAnsiTheme="minorHAnsi" w:cstheme="minorHAnsi"/>
          <w:sz w:val="28"/>
          <w:szCs w:val="28"/>
        </w:rPr>
        <w:t>ých</w:t>
      </w:r>
      <w:r w:rsidR="00584E37" w:rsidRPr="007B6490">
        <w:rPr>
          <w:rFonts w:asciiTheme="minorHAnsi" w:hAnsiTheme="minorHAnsi" w:cstheme="minorHAnsi"/>
          <w:sz w:val="28"/>
          <w:szCs w:val="28"/>
        </w:rPr>
        <w:t xml:space="preserve"> při kontrole</w:t>
      </w:r>
    </w:p>
    <w:p w:rsidR="00DD1C9C" w:rsidRPr="00DD1C9C" w:rsidRDefault="00DD1C9C" w:rsidP="00DD1C9C">
      <w:pPr>
        <w:rPr>
          <w:rFonts w:asciiTheme="minorHAnsi" w:hAnsiTheme="minorHAnsi" w:cstheme="minorHAnsi"/>
        </w:rPr>
      </w:pPr>
    </w:p>
    <w:p w:rsidR="00CE080A" w:rsidRPr="007B6490" w:rsidRDefault="0082327D" w:rsidP="001306B7">
      <w:pPr>
        <w:pStyle w:val="Nadpis1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BE14F2" w:rsidRPr="007B6490">
        <w:rPr>
          <w:rFonts w:asciiTheme="minorHAnsi" w:hAnsiTheme="minorHAnsi" w:cstheme="minorHAnsi"/>
          <w:sz w:val="24"/>
        </w:rPr>
        <w:t>Čerpání peněžních prostředků</w:t>
      </w:r>
    </w:p>
    <w:p w:rsidR="00D70A90" w:rsidRPr="009C6370" w:rsidRDefault="00D70A90" w:rsidP="007B64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C6370">
        <w:rPr>
          <w:rFonts w:asciiTheme="minorHAnsi" w:hAnsiTheme="minorHAnsi" w:cstheme="minorHAnsi"/>
          <w:b/>
        </w:rPr>
        <w:t xml:space="preserve">Roční čerpání peněžních prostředků určených </w:t>
      </w:r>
      <w:r w:rsidR="00493868" w:rsidRPr="009C6370">
        <w:rPr>
          <w:rFonts w:asciiTheme="minorHAnsi" w:hAnsiTheme="minorHAnsi" w:cstheme="minorHAnsi"/>
          <w:b/>
        </w:rPr>
        <w:t xml:space="preserve">na </w:t>
      </w:r>
      <w:r w:rsidRPr="009C6370">
        <w:rPr>
          <w:rFonts w:asciiTheme="minorHAnsi" w:hAnsiTheme="minorHAnsi" w:cstheme="minorHAnsi"/>
          <w:b/>
        </w:rPr>
        <w:t>pozemkov</w:t>
      </w:r>
      <w:r w:rsidR="00493868" w:rsidRPr="009C6370">
        <w:rPr>
          <w:rFonts w:asciiTheme="minorHAnsi" w:hAnsiTheme="minorHAnsi" w:cstheme="minorHAnsi"/>
          <w:b/>
        </w:rPr>
        <w:t>é</w:t>
      </w:r>
      <w:r w:rsidRPr="009C6370">
        <w:rPr>
          <w:rFonts w:asciiTheme="minorHAnsi" w:hAnsiTheme="minorHAnsi" w:cstheme="minorHAnsi"/>
          <w:b/>
        </w:rPr>
        <w:t xml:space="preserve"> úprav</w:t>
      </w:r>
      <w:r w:rsidR="00493868" w:rsidRPr="009C6370">
        <w:rPr>
          <w:rFonts w:asciiTheme="minorHAnsi" w:hAnsiTheme="minorHAnsi" w:cstheme="minorHAnsi"/>
          <w:b/>
        </w:rPr>
        <w:t>y</w:t>
      </w:r>
      <w:r w:rsidRPr="009C6370">
        <w:rPr>
          <w:rFonts w:asciiTheme="minorHAnsi" w:hAnsiTheme="minorHAnsi" w:cstheme="minorHAnsi"/>
          <w:b/>
        </w:rPr>
        <w:t xml:space="preserve"> v období 2007 až 2014 bylo velmi nerovnoměrné a činilo 1 172 </w:t>
      </w:r>
      <w:r w:rsidR="0082327D">
        <w:rPr>
          <w:rFonts w:asciiTheme="minorHAnsi" w:hAnsiTheme="minorHAnsi" w:cstheme="minorHAnsi"/>
          <w:b/>
        </w:rPr>
        <w:t xml:space="preserve">mil. Kč </w:t>
      </w:r>
      <w:r w:rsidRPr="009C6370">
        <w:rPr>
          <w:rFonts w:asciiTheme="minorHAnsi" w:hAnsiTheme="minorHAnsi" w:cstheme="minorHAnsi"/>
          <w:b/>
        </w:rPr>
        <w:t xml:space="preserve">až 2 117 mil. Kč. </w:t>
      </w:r>
      <w:r w:rsidR="0082327D">
        <w:rPr>
          <w:rFonts w:asciiTheme="minorHAnsi" w:hAnsiTheme="minorHAnsi" w:cstheme="minorHAnsi"/>
          <w:b/>
        </w:rPr>
        <w:t>Na n</w:t>
      </w:r>
      <w:r w:rsidRPr="009C6370">
        <w:rPr>
          <w:rFonts w:asciiTheme="minorHAnsi" w:hAnsiTheme="minorHAnsi" w:cstheme="minorHAnsi"/>
          <w:b/>
        </w:rPr>
        <w:t>erovnoměrnost</w:t>
      </w:r>
      <w:r w:rsidR="0082327D">
        <w:rPr>
          <w:rFonts w:asciiTheme="minorHAnsi" w:hAnsiTheme="minorHAnsi" w:cstheme="minorHAnsi"/>
          <w:b/>
        </w:rPr>
        <w:t xml:space="preserve"> čerpání měly vliv zejména níže uvedené aspekty:</w:t>
      </w:r>
    </w:p>
    <w:p w:rsidR="00A24A99" w:rsidRPr="00D33D15" w:rsidRDefault="00A24A99" w:rsidP="00D33D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D33D15">
        <w:rPr>
          <w:rFonts w:cstheme="minorHAnsi"/>
          <w:sz w:val="24"/>
          <w:szCs w:val="24"/>
        </w:rPr>
        <w:t>Nevhodn</w:t>
      </w:r>
      <w:r w:rsidR="0082327D">
        <w:rPr>
          <w:rFonts w:cstheme="minorHAnsi"/>
          <w:sz w:val="24"/>
          <w:szCs w:val="24"/>
        </w:rPr>
        <w:t>é</w:t>
      </w:r>
      <w:r w:rsidRPr="00D33D15">
        <w:rPr>
          <w:rFonts w:cstheme="minorHAnsi"/>
          <w:sz w:val="24"/>
          <w:szCs w:val="24"/>
        </w:rPr>
        <w:t xml:space="preserve"> nastavení Pravidel </w:t>
      </w:r>
      <w:proofErr w:type="spellStart"/>
      <w:r w:rsidRPr="00D33D15">
        <w:rPr>
          <w:rFonts w:cstheme="minorHAnsi"/>
          <w:sz w:val="24"/>
          <w:szCs w:val="24"/>
        </w:rPr>
        <w:t>PRV</w:t>
      </w:r>
      <w:proofErr w:type="spellEnd"/>
      <w:r w:rsidRPr="00D33D15">
        <w:rPr>
          <w:rFonts w:cstheme="minorHAnsi"/>
          <w:sz w:val="24"/>
          <w:szCs w:val="24"/>
        </w:rPr>
        <w:t xml:space="preserve">, kdy </w:t>
      </w:r>
      <w:proofErr w:type="spellStart"/>
      <w:r w:rsidRPr="00D33D15">
        <w:rPr>
          <w:rFonts w:cstheme="minorHAnsi"/>
          <w:sz w:val="24"/>
          <w:szCs w:val="24"/>
        </w:rPr>
        <w:t>MZe</w:t>
      </w:r>
      <w:proofErr w:type="spellEnd"/>
      <w:r w:rsidRPr="00D33D15">
        <w:rPr>
          <w:rFonts w:cstheme="minorHAnsi"/>
          <w:sz w:val="24"/>
          <w:szCs w:val="24"/>
        </w:rPr>
        <w:t xml:space="preserve"> nestanovilo pro příjemce dotace</w:t>
      </w:r>
      <w:r w:rsidR="0082327D">
        <w:rPr>
          <w:rFonts w:cstheme="minorHAnsi"/>
          <w:sz w:val="24"/>
          <w:szCs w:val="24"/>
        </w:rPr>
        <w:t xml:space="preserve"> </w:t>
      </w:r>
      <w:r w:rsidR="0082327D" w:rsidRPr="00D33D15">
        <w:rPr>
          <w:rFonts w:cstheme="minorHAnsi"/>
          <w:sz w:val="24"/>
          <w:szCs w:val="24"/>
        </w:rPr>
        <w:t>povinnost</w:t>
      </w:r>
      <w:r w:rsidR="00EF7ADD" w:rsidRPr="00D33D15">
        <w:rPr>
          <w:rFonts w:cstheme="minorHAnsi"/>
          <w:sz w:val="24"/>
          <w:szCs w:val="24"/>
        </w:rPr>
        <w:t>, aby</w:t>
      </w:r>
      <w:r w:rsidRPr="00D33D15">
        <w:rPr>
          <w:rFonts w:cstheme="minorHAnsi"/>
          <w:sz w:val="24"/>
          <w:szCs w:val="24"/>
        </w:rPr>
        <w:t xml:space="preserve"> neprodleně po uzavření smlouvy o dílo se zhotovitelem informova</w:t>
      </w:r>
      <w:r w:rsidR="00EF7ADD" w:rsidRPr="00D33D15">
        <w:rPr>
          <w:rFonts w:cstheme="minorHAnsi"/>
          <w:sz w:val="24"/>
          <w:szCs w:val="24"/>
        </w:rPr>
        <w:t>l</w:t>
      </w:r>
      <w:r w:rsidRPr="00D33D15">
        <w:rPr>
          <w:rFonts w:cstheme="minorHAnsi"/>
          <w:sz w:val="24"/>
          <w:szCs w:val="24"/>
        </w:rPr>
        <w:t xml:space="preserve"> SZIF o sjednané ceně díla. SZIF alokoval peněžní prostředky určené na předfinancování PRV podle předpokládaných cen projektů doložených v žádostech o poskytnutí dotace. Rozdíl mezi alokovanými prostředky a cenami stanovenými na základě </w:t>
      </w:r>
      <w:r w:rsidR="00106A19" w:rsidRPr="00D33D15">
        <w:rPr>
          <w:rFonts w:cstheme="minorHAnsi"/>
          <w:sz w:val="24"/>
          <w:szCs w:val="24"/>
        </w:rPr>
        <w:t xml:space="preserve">zadávacího řízení </w:t>
      </w:r>
      <w:r w:rsidRPr="00D33D15">
        <w:rPr>
          <w:rFonts w:cstheme="minorHAnsi"/>
          <w:sz w:val="24"/>
          <w:szCs w:val="24"/>
        </w:rPr>
        <w:t>činil cca 50</w:t>
      </w:r>
      <w:r w:rsidR="005B5465">
        <w:rPr>
          <w:rFonts w:cstheme="minorHAnsi"/>
          <w:sz w:val="24"/>
          <w:szCs w:val="24"/>
        </w:rPr>
        <w:t> </w:t>
      </w:r>
      <w:r w:rsidRPr="00D33D15">
        <w:rPr>
          <w:rFonts w:cstheme="minorHAnsi"/>
          <w:sz w:val="24"/>
          <w:szCs w:val="24"/>
        </w:rPr>
        <w:t xml:space="preserve">% předpokládaného objemu. Doba, po kterou byly alokované prostředky takto </w:t>
      </w:r>
      <w:r w:rsidR="0065055A" w:rsidRPr="00D33D15">
        <w:rPr>
          <w:rFonts w:cstheme="minorHAnsi"/>
          <w:sz w:val="24"/>
          <w:szCs w:val="24"/>
        </w:rPr>
        <w:t xml:space="preserve">smluvně </w:t>
      </w:r>
      <w:r w:rsidRPr="00D33D15">
        <w:rPr>
          <w:rFonts w:cstheme="minorHAnsi"/>
          <w:sz w:val="24"/>
          <w:szCs w:val="24"/>
        </w:rPr>
        <w:t>vázány a nemohly být využity pro realizac</w:t>
      </w:r>
      <w:r w:rsidR="00734D16" w:rsidRPr="00D33D15">
        <w:rPr>
          <w:rFonts w:cstheme="minorHAnsi"/>
          <w:sz w:val="24"/>
          <w:szCs w:val="24"/>
        </w:rPr>
        <w:t xml:space="preserve">i dalších projektů, činila až </w:t>
      </w:r>
      <w:r w:rsidR="00F6712A" w:rsidRPr="00D33D15">
        <w:rPr>
          <w:rFonts w:cstheme="minorHAnsi"/>
          <w:sz w:val="24"/>
          <w:szCs w:val="24"/>
        </w:rPr>
        <w:t>1</w:t>
      </w:r>
      <w:r w:rsidR="00734D16" w:rsidRPr="00D33D15">
        <w:rPr>
          <w:rFonts w:cstheme="minorHAnsi"/>
          <w:sz w:val="24"/>
          <w:szCs w:val="24"/>
        </w:rPr>
        <w:t>9</w:t>
      </w:r>
      <w:r w:rsidRPr="00D33D15">
        <w:rPr>
          <w:rFonts w:cstheme="minorHAnsi"/>
          <w:sz w:val="24"/>
          <w:szCs w:val="24"/>
        </w:rPr>
        <w:t xml:space="preserve"> měsíců.</w:t>
      </w:r>
    </w:p>
    <w:p w:rsidR="00D70A90" w:rsidRPr="00D33D15" w:rsidRDefault="00493868" w:rsidP="00D33D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D33D15">
        <w:rPr>
          <w:rFonts w:cstheme="minorHAnsi"/>
          <w:sz w:val="24"/>
          <w:szCs w:val="24"/>
        </w:rPr>
        <w:t>O</w:t>
      </w:r>
      <w:r w:rsidR="00D70A90" w:rsidRPr="00D33D15">
        <w:rPr>
          <w:rFonts w:cstheme="minorHAnsi"/>
          <w:sz w:val="24"/>
          <w:szCs w:val="24"/>
        </w:rPr>
        <w:t>rganizační změn</w:t>
      </w:r>
      <w:r w:rsidR="0082327D">
        <w:rPr>
          <w:rFonts w:cstheme="minorHAnsi"/>
          <w:sz w:val="24"/>
          <w:szCs w:val="24"/>
        </w:rPr>
        <w:t>y</w:t>
      </w:r>
      <w:r w:rsidR="00D70A90" w:rsidRPr="00D33D15">
        <w:rPr>
          <w:rFonts w:cstheme="minorHAnsi"/>
          <w:sz w:val="24"/>
          <w:szCs w:val="24"/>
        </w:rPr>
        <w:t xml:space="preserve"> (</w:t>
      </w:r>
      <w:r w:rsidR="00AB6D43" w:rsidRPr="00D33D15">
        <w:rPr>
          <w:rFonts w:cstheme="minorHAnsi"/>
          <w:sz w:val="24"/>
          <w:szCs w:val="24"/>
        </w:rPr>
        <w:t xml:space="preserve">zrušení </w:t>
      </w:r>
      <w:r w:rsidR="00433E9A" w:rsidRPr="00D33D15">
        <w:rPr>
          <w:rFonts w:cstheme="minorHAnsi"/>
          <w:sz w:val="24"/>
          <w:szCs w:val="24"/>
        </w:rPr>
        <w:t xml:space="preserve">Pozemkového fondu </w:t>
      </w:r>
      <w:r w:rsidR="005048FF" w:rsidRPr="00D33D15">
        <w:rPr>
          <w:rFonts w:cstheme="minorHAnsi"/>
          <w:sz w:val="24"/>
          <w:szCs w:val="24"/>
        </w:rPr>
        <w:t>ČR</w:t>
      </w:r>
      <w:r w:rsidR="00AB6D43" w:rsidRPr="00D33D15">
        <w:rPr>
          <w:rFonts w:cstheme="minorHAnsi"/>
          <w:sz w:val="24"/>
          <w:szCs w:val="24"/>
        </w:rPr>
        <w:t xml:space="preserve"> a </w:t>
      </w:r>
      <w:r w:rsidR="00D70A90" w:rsidRPr="00D33D15">
        <w:rPr>
          <w:rFonts w:cstheme="minorHAnsi"/>
          <w:sz w:val="24"/>
          <w:szCs w:val="24"/>
        </w:rPr>
        <w:t>vznik SPÚ k</w:t>
      </w:r>
      <w:r w:rsidR="00AB6D43" w:rsidRPr="00D33D15">
        <w:rPr>
          <w:rFonts w:cstheme="minorHAnsi"/>
          <w:sz w:val="24"/>
          <w:szCs w:val="24"/>
        </w:rPr>
        <w:t> </w:t>
      </w:r>
      <w:r w:rsidR="00D70A90" w:rsidRPr="00D33D15">
        <w:rPr>
          <w:rFonts w:cstheme="minorHAnsi"/>
          <w:sz w:val="24"/>
          <w:szCs w:val="24"/>
        </w:rPr>
        <w:t>1.</w:t>
      </w:r>
      <w:r w:rsidR="00AB6D43" w:rsidRPr="00D33D15">
        <w:rPr>
          <w:rFonts w:cstheme="minorHAnsi"/>
          <w:sz w:val="24"/>
          <w:szCs w:val="24"/>
        </w:rPr>
        <w:t> </w:t>
      </w:r>
      <w:r w:rsidR="00D70A90" w:rsidRPr="00D33D15">
        <w:rPr>
          <w:rFonts w:cstheme="minorHAnsi"/>
          <w:sz w:val="24"/>
          <w:szCs w:val="24"/>
        </w:rPr>
        <w:t>1. 2013)</w:t>
      </w:r>
      <w:r w:rsidR="007D7092" w:rsidRPr="00D33D15">
        <w:rPr>
          <w:rFonts w:cstheme="minorHAnsi"/>
          <w:sz w:val="24"/>
          <w:szCs w:val="24"/>
        </w:rPr>
        <w:t>, na základě kterých</w:t>
      </w:r>
      <w:r w:rsidR="00D70A90" w:rsidRPr="00D33D15">
        <w:rPr>
          <w:rFonts w:cstheme="minorHAnsi"/>
          <w:sz w:val="24"/>
          <w:szCs w:val="24"/>
        </w:rPr>
        <w:t xml:space="preserve"> došlo v letech 2013</w:t>
      </w:r>
      <w:r w:rsidR="001B19EE" w:rsidRPr="00D33D15">
        <w:rPr>
          <w:rFonts w:cstheme="minorHAnsi"/>
          <w:sz w:val="24"/>
          <w:szCs w:val="24"/>
        </w:rPr>
        <w:t>–</w:t>
      </w:r>
      <w:r w:rsidR="00D70A90" w:rsidRPr="00D33D15">
        <w:rPr>
          <w:rFonts w:cstheme="minorHAnsi"/>
          <w:sz w:val="24"/>
          <w:szCs w:val="24"/>
        </w:rPr>
        <w:t xml:space="preserve">2014 oproti roku 2012 k poklesu financování pozemkových úprav </w:t>
      </w:r>
      <w:r w:rsidR="00392BCC" w:rsidRPr="00D33D15">
        <w:rPr>
          <w:rFonts w:cstheme="minorHAnsi"/>
          <w:sz w:val="24"/>
          <w:szCs w:val="24"/>
        </w:rPr>
        <w:t>z</w:t>
      </w:r>
      <w:r w:rsidR="001E3DBC" w:rsidRPr="00D33D15">
        <w:rPr>
          <w:rFonts w:cstheme="minorHAnsi"/>
          <w:sz w:val="24"/>
          <w:szCs w:val="24"/>
        </w:rPr>
        <w:t xml:space="preserve"> prostředků</w:t>
      </w:r>
      <w:r w:rsidR="00392BCC" w:rsidRPr="00D33D15">
        <w:rPr>
          <w:rFonts w:cstheme="minorHAnsi"/>
          <w:sz w:val="24"/>
          <w:szCs w:val="24"/>
        </w:rPr>
        <w:t xml:space="preserve"> P</w:t>
      </w:r>
      <w:r w:rsidR="00433E9A" w:rsidRPr="00D33D15">
        <w:rPr>
          <w:rFonts w:cstheme="minorHAnsi"/>
          <w:sz w:val="24"/>
          <w:szCs w:val="24"/>
        </w:rPr>
        <w:t>ozemkového fondu</w:t>
      </w:r>
      <w:r w:rsidR="00392BCC" w:rsidRPr="00D33D15">
        <w:rPr>
          <w:rFonts w:cstheme="minorHAnsi"/>
          <w:sz w:val="24"/>
          <w:szCs w:val="24"/>
        </w:rPr>
        <w:t xml:space="preserve"> ČR </w:t>
      </w:r>
      <w:r w:rsidR="00A94570" w:rsidRPr="00D33D15">
        <w:rPr>
          <w:rFonts w:cstheme="minorHAnsi"/>
          <w:sz w:val="24"/>
          <w:szCs w:val="24"/>
        </w:rPr>
        <w:t xml:space="preserve">(dále také „PF ČR“) </w:t>
      </w:r>
      <w:r w:rsidR="009D0055">
        <w:rPr>
          <w:rFonts w:cstheme="minorHAnsi"/>
          <w:sz w:val="24"/>
          <w:szCs w:val="24"/>
        </w:rPr>
        <w:t>cca </w:t>
      </w:r>
      <w:r w:rsidR="00D70A90" w:rsidRPr="00D33D15">
        <w:rPr>
          <w:rFonts w:cstheme="minorHAnsi"/>
          <w:sz w:val="24"/>
          <w:szCs w:val="24"/>
        </w:rPr>
        <w:t>o</w:t>
      </w:r>
      <w:r w:rsidR="007D7092" w:rsidRPr="00D33D15">
        <w:rPr>
          <w:rFonts w:cstheme="minorHAnsi"/>
          <w:sz w:val="24"/>
          <w:szCs w:val="24"/>
        </w:rPr>
        <w:t> </w:t>
      </w:r>
      <w:r w:rsidR="001B19EE" w:rsidRPr="00D33D15">
        <w:rPr>
          <w:rFonts w:cstheme="minorHAnsi"/>
          <w:sz w:val="24"/>
          <w:szCs w:val="24"/>
        </w:rPr>
        <w:t>320 </w:t>
      </w:r>
      <w:r w:rsidR="00D70A90" w:rsidRPr="00D33D15">
        <w:rPr>
          <w:rFonts w:cstheme="minorHAnsi"/>
          <w:sz w:val="24"/>
          <w:szCs w:val="24"/>
        </w:rPr>
        <w:t>mil. Kč ročně.</w:t>
      </w:r>
    </w:p>
    <w:p w:rsidR="00D70A90" w:rsidRPr="00D33D15" w:rsidRDefault="00D70A90" w:rsidP="00D33D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D33D15">
        <w:rPr>
          <w:rFonts w:cstheme="minorHAnsi"/>
          <w:sz w:val="24"/>
          <w:szCs w:val="24"/>
        </w:rPr>
        <w:t xml:space="preserve">Využití </w:t>
      </w:r>
      <w:r w:rsidR="00003205" w:rsidRPr="00D33D15">
        <w:rPr>
          <w:rFonts w:cstheme="minorHAnsi"/>
          <w:sz w:val="24"/>
          <w:szCs w:val="24"/>
        </w:rPr>
        <w:t xml:space="preserve">rozpočtovaných </w:t>
      </w:r>
      <w:r w:rsidRPr="00D33D15">
        <w:rPr>
          <w:rFonts w:cstheme="minorHAnsi"/>
          <w:sz w:val="24"/>
          <w:szCs w:val="24"/>
        </w:rPr>
        <w:t xml:space="preserve">prostředků na předfinancování PRV v letech 2011 až 2013 </w:t>
      </w:r>
      <w:r w:rsidR="007D7092" w:rsidRPr="00D33D15">
        <w:rPr>
          <w:rFonts w:cstheme="minorHAnsi"/>
          <w:sz w:val="24"/>
          <w:szCs w:val="24"/>
        </w:rPr>
        <w:t>pouze z</w:t>
      </w:r>
      <w:r w:rsidRPr="00D33D15">
        <w:rPr>
          <w:rFonts w:cstheme="minorHAnsi"/>
          <w:sz w:val="24"/>
          <w:szCs w:val="24"/>
        </w:rPr>
        <w:t xml:space="preserve"> 35 až 61</w:t>
      </w:r>
      <w:r w:rsidR="00591CCA" w:rsidRPr="00D33D15">
        <w:rPr>
          <w:rFonts w:cstheme="minorHAnsi"/>
          <w:sz w:val="24"/>
          <w:szCs w:val="24"/>
        </w:rPr>
        <w:t xml:space="preserve"> </w:t>
      </w:r>
      <w:r w:rsidRPr="00D33D15">
        <w:rPr>
          <w:rFonts w:cstheme="minorHAnsi"/>
          <w:sz w:val="24"/>
          <w:szCs w:val="24"/>
        </w:rPr>
        <w:t>%.</w:t>
      </w:r>
    </w:p>
    <w:p w:rsidR="00DD1C9C" w:rsidRDefault="00DD1C9C" w:rsidP="00DD1C9C">
      <w:pPr>
        <w:jc w:val="both"/>
        <w:rPr>
          <w:rFonts w:asciiTheme="minorHAnsi" w:hAnsiTheme="minorHAnsi" w:cstheme="minorHAnsi"/>
          <w:b/>
        </w:rPr>
      </w:pPr>
    </w:p>
    <w:p w:rsidR="00E52384" w:rsidRPr="007B6490" w:rsidRDefault="00E52384" w:rsidP="001306B7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lastRenderedPageBreak/>
        <w:t>Peněžní zdroje</w:t>
      </w:r>
      <w:r w:rsidR="006F5880" w:rsidRPr="007B6490">
        <w:rPr>
          <w:rFonts w:asciiTheme="minorHAnsi" w:hAnsiTheme="minorHAnsi" w:cstheme="minorHAnsi"/>
          <w:b/>
        </w:rPr>
        <w:t xml:space="preserve"> a jejich čerpání</w:t>
      </w:r>
    </w:p>
    <w:p w:rsidR="004B5110" w:rsidRDefault="00E52384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V letech 2007 až 2014 bylo na pozemkové úpravy vynaloženo z více zdrojů celkem 13 055 mil. Kč. Zdroje financování pozemkových úprav a jejich vývoj </w:t>
      </w:r>
      <w:r w:rsidR="009F7FDC">
        <w:rPr>
          <w:rFonts w:asciiTheme="minorHAnsi" w:hAnsiTheme="minorHAnsi" w:cstheme="minorHAnsi"/>
        </w:rPr>
        <w:t>uvádí</w:t>
      </w:r>
      <w:r w:rsidR="00B30DBA">
        <w:rPr>
          <w:rFonts w:asciiTheme="minorHAnsi" w:hAnsiTheme="minorHAnsi" w:cstheme="minorHAnsi"/>
        </w:rPr>
        <w:t xml:space="preserve"> </w:t>
      </w:r>
      <w:r w:rsidR="00B30DBA" w:rsidRPr="007B6490">
        <w:rPr>
          <w:rFonts w:asciiTheme="minorHAnsi" w:hAnsiTheme="minorHAnsi" w:cstheme="minorHAnsi"/>
        </w:rPr>
        <w:t>tabul</w:t>
      </w:r>
      <w:r w:rsidR="00B30DBA">
        <w:rPr>
          <w:rFonts w:asciiTheme="minorHAnsi" w:hAnsiTheme="minorHAnsi" w:cstheme="minorHAnsi"/>
        </w:rPr>
        <w:t>ka</w:t>
      </w:r>
      <w:r w:rsidR="00B30DBA" w:rsidRPr="007B6490">
        <w:rPr>
          <w:rFonts w:asciiTheme="minorHAnsi" w:hAnsiTheme="minorHAnsi" w:cstheme="minorHAnsi"/>
        </w:rPr>
        <w:t xml:space="preserve"> č. 1</w:t>
      </w:r>
      <w:r w:rsidR="00B30DBA">
        <w:rPr>
          <w:rFonts w:asciiTheme="minorHAnsi" w:hAnsiTheme="minorHAnsi" w:cstheme="minorHAnsi"/>
        </w:rPr>
        <w:t xml:space="preserve">, grafické znázornění je </w:t>
      </w:r>
      <w:r w:rsidR="009F7FDC">
        <w:rPr>
          <w:rFonts w:asciiTheme="minorHAnsi" w:hAnsiTheme="minorHAnsi" w:cstheme="minorHAnsi"/>
        </w:rPr>
        <w:t>obsaženo</w:t>
      </w:r>
      <w:r w:rsidR="004B5110" w:rsidRPr="007B6490">
        <w:rPr>
          <w:rFonts w:asciiTheme="minorHAnsi" w:hAnsiTheme="minorHAnsi" w:cstheme="minorHAnsi"/>
        </w:rPr>
        <w:t xml:space="preserve"> v grafu č.</w:t>
      </w:r>
      <w:r w:rsidR="0039083F" w:rsidRPr="007B6490">
        <w:rPr>
          <w:rFonts w:asciiTheme="minorHAnsi" w:hAnsiTheme="minorHAnsi" w:cstheme="minorHAnsi"/>
        </w:rPr>
        <w:t xml:space="preserve"> </w:t>
      </w:r>
      <w:r w:rsidR="004B5110" w:rsidRPr="007B6490">
        <w:rPr>
          <w:rFonts w:asciiTheme="minorHAnsi" w:hAnsiTheme="minorHAnsi" w:cstheme="minorHAnsi"/>
        </w:rPr>
        <w:t>1</w:t>
      </w:r>
      <w:r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4B5110" w:rsidRPr="001306B7" w:rsidRDefault="004B5110" w:rsidP="00954B0A">
      <w:pPr>
        <w:keepNext/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 w:rsidRPr="001306B7">
        <w:rPr>
          <w:rFonts w:asciiTheme="minorHAnsi" w:hAnsiTheme="minorHAnsi" w:cstheme="minorHAnsi"/>
          <w:b/>
        </w:rPr>
        <w:t>Graf č. 1 – Vývoj a podíl prostředků hra</w:t>
      </w:r>
      <w:r w:rsidR="0098693B" w:rsidRPr="001306B7">
        <w:rPr>
          <w:rFonts w:asciiTheme="minorHAnsi" w:hAnsiTheme="minorHAnsi" w:cstheme="minorHAnsi"/>
          <w:b/>
        </w:rPr>
        <w:t xml:space="preserve">zených z jednotlivých zdrojů </w:t>
      </w:r>
      <w:r w:rsidR="0098693B" w:rsidRPr="001306B7">
        <w:rPr>
          <w:rFonts w:asciiTheme="minorHAnsi" w:hAnsiTheme="minorHAnsi" w:cstheme="minorHAnsi"/>
          <w:b/>
        </w:rPr>
        <w:tab/>
      </w:r>
      <w:r w:rsidR="009F7FDC" w:rsidRPr="001306B7">
        <w:rPr>
          <w:rFonts w:asciiTheme="minorHAnsi" w:hAnsiTheme="minorHAnsi" w:cstheme="minorHAnsi"/>
          <w:b/>
        </w:rPr>
        <w:t>(</w:t>
      </w:r>
      <w:r w:rsidRPr="001306B7">
        <w:rPr>
          <w:rFonts w:asciiTheme="minorHAnsi" w:hAnsiTheme="minorHAnsi" w:cstheme="minorHAnsi"/>
          <w:b/>
        </w:rPr>
        <w:t xml:space="preserve">v mil. </w:t>
      </w:r>
      <w:r w:rsidR="00A14D0F" w:rsidRPr="001306B7">
        <w:rPr>
          <w:rFonts w:asciiTheme="minorHAnsi" w:hAnsiTheme="minorHAnsi" w:cstheme="minorHAnsi"/>
          <w:b/>
        </w:rPr>
        <w:t>Kč</w:t>
      </w:r>
      <w:r w:rsidR="009F7FDC" w:rsidRPr="001306B7">
        <w:rPr>
          <w:rFonts w:asciiTheme="minorHAnsi" w:hAnsiTheme="minorHAnsi" w:cstheme="minorHAnsi"/>
          <w:b/>
        </w:rPr>
        <w:t>)</w:t>
      </w:r>
    </w:p>
    <w:p w:rsidR="00E41908" w:rsidRPr="00D33D15" w:rsidRDefault="00B2092A" w:rsidP="007B6490">
      <w:pPr>
        <w:keepNext/>
        <w:jc w:val="both"/>
        <w:rPr>
          <w:rFonts w:asciiTheme="minorHAnsi" w:hAnsiTheme="minorHAnsi" w:cstheme="minorHAnsi"/>
        </w:rPr>
      </w:pPr>
      <w:r w:rsidRPr="00B42FA2">
        <w:rPr>
          <w:noProof/>
          <w:color w:val="FF0000"/>
          <w:lang w:eastAsia="cs-CZ"/>
        </w:rPr>
        <w:drawing>
          <wp:inline distT="0" distB="0" distL="0" distR="0" wp14:anchorId="6BBCB211" wp14:editId="410832C8">
            <wp:extent cx="5760720" cy="2657475"/>
            <wp:effectExtent l="0" t="0" r="1143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5110" w:rsidRPr="007B6490" w:rsidRDefault="004B5110" w:rsidP="007B6490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4D7DBE" w:rsidRPr="001306B7" w:rsidRDefault="004D7DBE" w:rsidP="001306B7">
      <w:pPr>
        <w:keepNext/>
        <w:tabs>
          <w:tab w:val="right" w:pos="9072"/>
        </w:tabs>
        <w:spacing w:before="120"/>
        <w:ind w:left="1435" w:hanging="1435"/>
        <w:rPr>
          <w:rFonts w:asciiTheme="minorHAnsi" w:hAnsiTheme="minorHAnsi" w:cstheme="minorHAnsi"/>
          <w:b/>
        </w:rPr>
      </w:pPr>
      <w:r w:rsidRPr="001306B7">
        <w:rPr>
          <w:rFonts w:asciiTheme="minorHAnsi" w:hAnsiTheme="minorHAnsi" w:cstheme="minorHAnsi"/>
          <w:b/>
        </w:rPr>
        <w:t>Tab</w:t>
      </w:r>
      <w:r w:rsidR="00EF0425" w:rsidRPr="001306B7">
        <w:rPr>
          <w:rFonts w:asciiTheme="minorHAnsi" w:hAnsiTheme="minorHAnsi" w:cstheme="minorHAnsi"/>
          <w:b/>
        </w:rPr>
        <w:t>ulka</w:t>
      </w:r>
      <w:r w:rsidRPr="001306B7">
        <w:rPr>
          <w:rFonts w:asciiTheme="minorHAnsi" w:hAnsiTheme="minorHAnsi" w:cstheme="minorHAnsi"/>
          <w:b/>
        </w:rPr>
        <w:t xml:space="preserve"> č.</w:t>
      </w:r>
      <w:r w:rsidR="00C749CA" w:rsidRPr="001306B7">
        <w:rPr>
          <w:rFonts w:asciiTheme="minorHAnsi" w:hAnsiTheme="minorHAnsi" w:cstheme="minorHAnsi"/>
          <w:b/>
        </w:rPr>
        <w:t xml:space="preserve"> </w:t>
      </w:r>
      <w:r w:rsidRPr="001306B7">
        <w:rPr>
          <w:rFonts w:asciiTheme="minorHAnsi" w:hAnsiTheme="minorHAnsi" w:cstheme="minorHAnsi"/>
          <w:b/>
        </w:rPr>
        <w:t xml:space="preserve">1 </w:t>
      </w:r>
      <w:r w:rsidR="00176A0A" w:rsidRPr="001306B7">
        <w:rPr>
          <w:rFonts w:asciiTheme="minorHAnsi" w:hAnsiTheme="minorHAnsi" w:cstheme="minorHAnsi"/>
          <w:b/>
        </w:rPr>
        <w:t xml:space="preserve">– </w:t>
      </w:r>
      <w:r w:rsidRPr="001306B7">
        <w:rPr>
          <w:rFonts w:asciiTheme="minorHAnsi" w:hAnsiTheme="minorHAnsi" w:cstheme="minorHAnsi"/>
          <w:b/>
        </w:rPr>
        <w:t>Vývoj čerpání peněžních prostředků na pozemkové úpravy dle zdrojů financování</w:t>
      </w:r>
      <w:r w:rsidR="00C749CA" w:rsidRPr="001306B7">
        <w:rPr>
          <w:rFonts w:asciiTheme="minorHAnsi" w:hAnsiTheme="minorHAnsi" w:cstheme="minorHAnsi"/>
          <w:b/>
          <w:sz w:val="20"/>
          <w:szCs w:val="20"/>
        </w:rPr>
        <w:tab/>
      </w:r>
      <w:r w:rsidR="00EF0425">
        <w:rPr>
          <w:rFonts w:asciiTheme="minorHAnsi" w:hAnsiTheme="minorHAnsi" w:cstheme="minorHAnsi"/>
          <w:b/>
        </w:rPr>
        <w:t>(</w:t>
      </w:r>
      <w:r w:rsidRPr="001306B7">
        <w:rPr>
          <w:rFonts w:asciiTheme="minorHAnsi" w:hAnsiTheme="minorHAnsi" w:cstheme="minorHAnsi"/>
          <w:b/>
        </w:rPr>
        <w:t>v mil. Kč</w:t>
      </w:r>
      <w:r w:rsidR="00EF0425">
        <w:rPr>
          <w:rFonts w:asciiTheme="minorHAnsi" w:hAnsiTheme="minorHAnsi" w:cstheme="minorHAnsi"/>
          <w:b/>
        </w:rPr>
        <w:t>)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765"/>
        <w:gridCol w:w="765"/>
        <w:gridCol w:w="765"/>
        <w:gridCol w:w="765"/>
        <w:gridCol w:w="765"/>
        <w:gridCol w:w="765"/>
        <w:gridCol w:w="765"/>
        <w:gridCol w:w="765"/>
        <w:gridCol w:w="969"/>
      </w:tblGrid>
      <w:tr w:rsidR="004D7DBE" w:rsidRPr="007B6490" w:rsidTr="00EF0425">
        <w:trPr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EF0425" w:rsidP="00EF042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Zdroj financování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D7DBE" w:rsidRPr="007B6490" w:rsidRDefault="004D7DBE" w:rsidP="007B6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7DBE" w:rsidRPr="007B6490" w:rsidRDefault="00EF0425" w:rsidP="001306B7">
            <w:pPr>
              <w:ind w:left="-30" w:right="-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="004D7DBE" w:rsidRPr="007B64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elkem</w:t>
            </w:r>
          </w:p>
        </w:tc>
      </w:tr>
      <w:tr w:rsidR="004D7DBE" w:rsidRPr="007B6490" w:rsidTr="00EF0425">
        <w:trPr>
          <w:trHeight w:val="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1E318D" w:rsidP="007B649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5 474</w:t>
            </w:r>
          </w:p>
        </w:tc>
      </w:tr>
      <w:tr w:rsidR="004D7DBE" w:rsidRPr="007B6490" w:rsidTr="00EF0425">
        <w:trPr>
          <w:trHeight w:val="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7B649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Předfinancování PRV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4 384</w:t>
            </w:r>
          </w:p>
        </w:tc>
      </w:tr>
      <w:tr w:rsidR="004D7DBE" w:rsidRPr="007B6490" w:rsidTr="00EF0425">
        <w:trPr>
          <w:trHeight w:val="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1E318D" w:rsidP="007B649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PF</w:t>
            </w:r>
            <w:r w:rsidR="004D7DBE"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ČR/SPÚ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1 746</w:t>
            </w:r>
          </w:p>
        </w:tc>
      </w:tr>
      <w:tr w:rsidR="004D7DBE" w:rsidRPr="007B6490" w:rsidTr="00EF0425">
        <w:trPr>
          <w:trHeight w:val="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7B649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zdroje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DA4B94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1 451</w:t>
            </w:r>
          </w:p>
        </w:tc>
      </w:tr>
      <w:tr w:rsidR="004D7DBE" w:rsidRPr="007B6490" w:rsidTr="00EF0425">
        <w:trPr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7B649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1 236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1 996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E" w:rsidRPr="007B6490" w:rsidRDefault="004D7DBE" w:rsidP="00EF0425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13 055</w:t>
            </w:r>
          </w:p>
        </w:tc>
      </w:tr>
    </w:tbl>
    <w:p w:rsidR="004D7DBE" w:rsidRPr="00DD1C9C" w:rsidRDefault="004D7DBE" w:rsidP="007B6490">
      <w:pPr>
        <w:ind w:left="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DD1C9C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DD1C9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9F7FDC">
        <w:rPr>
          <w:rFonts w:asciiTheme="minorHAnsi" w:hAnsiTheme="minorHAnsi" w:cstheme="minorHAnsi"/>
          <w:sz w:val="20"/>
          <w:szCs w:val="20"/>
          <w:lang w:eastAsia="cs-CZ"/>
        </w:rPr>
        <w:t>p</w:t>
      </w:r>
      <w:r w:rsidRPr="00DD1C9C">
        <w:rPr>
          <w:rFonts w:asciiTheme="minorHAnsi" w:hAnsiTheme="minorHAnsi" w:cstheme="minorHAnsi"/>
          <w:sz w:val="20"/>
          <w:szCs w:val="20"/>
          <w:lang w:eastAsia="cs-CZ"/>
        </w:rPr>
        <w:t>odklady SPÚ</w:t>
      </w:r>
      <w:r w:rsidR="001B19EE" w:rsidRPr="00DD1C9C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Pr="00DD1C9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:rsidR="001E318D" w:rsidRPr="00DD1C9C" w:rsidRDefault="00DA4B94" w:rsidP="00DD1C9C">
      <w:pPr>
        <w:ind w:left="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1306B7">
        <w:rPr>
          <w:rFonts w:asciiTheme="minorHAnsi" w:hAnsiTheme="minorHAnsi" w:cstheme="minorHAnsi"/>
          <w:b/>
          <w:sz w:val="20"/>
          <w:szCs w:val="20"/>
          <w:lang w:eastAsia="cs-CZ"/>
        </w:rPr>
        <w:t>*</w:t>
      </w:r>
      <w:r w:rsidR="001E318D" w:rsidRPr="00DD1C9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9F7FDC">
        <w:rPr>
          <w:rFonts w:asciiTheme="minorHAnsi" w:hAnsiTheme="minorHAnsi" w:cstheme="minorHAnsi"/>
          <w:color w:val="000000"/>
          <w:sz w:val="20"/>
          <w:szCs w:val="20"/>
        </w:rPr>
        <w:t>Ú</w:t>
      </w:r>
      <w:r w:rsidR="001E318D" w:rsidRPr="00DD1C9C">
        <w:rPr>
          <w:rFonts w:asciiTheme="minorHAnsi" w:hAnsiTheme="minorHAnsi" w:cstheme="minorHAnsi"/>
          <w:color w:val="000000"/>
          <w:sz w:val="20"/>
          <w:szCs w:val="20"/>
        </w:rPr>
        <w:t>daj neb</w:t>
      </w:r>
      <w:r w:rsidRPr="00DD1C9C">
        <w:rPr>
          <w:rFonts w:asciiTheme="minorHAnsi" w:hAnsiTheme="minorHAnsi" w:cstheme="minorHAnsi"/>
          <w:color w:val="000000"/>
          <w:sz w:val="20"/>
          <w:szCs w:val="20"/>
        </w:rPr>
        <w:t>yl v době kontroly k</w:t>
      </w:r>
      <w:r w:rsidR="001B19EE" w:rsidRPr="00DD1C9C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DD1C9C">
        <w:rPr>
          <w:rFonts w:asciiTheme="minorHAnsi" w:hAnsiTheme="minorHAnsi" w:cstheme="minorHAnsi"/>
          <w:color w:val="000000"/>
          <w:sz w:val="20"/>
          <w:szCs w:val="20"/>
        </w:rPr>
        <w:t>dispozici</w:t>
      </w:r>
      <w:r w:rsidR="001B19EE" w:rsidRPr="00DD1C9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D1C9C" w:rsidRDefault="00DD1C9C" w:rsidP="00DD1C9C">
      <w:pPr>
        <w:jc w:val="both"/>
        <w:rPr>
          <w:rFonts w:asciiTheme="minorHAnsi" w:hAnsiTheme="minorHAnsi" w:cstheme="minorHAnsi"/>
          <w:u w:val="single"/>
        </w:rPr>
      </w:pPr>
    </w:p>
    <w:p w:rsidR="00E52384" w:rsidRDefault="00E52384" w:rsidP="00DD1C9C">
      <w:pPr>
        <w:jc w:val="both"/>
        <w:rPr>
          <w:rFonts w:asciiTheme="minorHAnsi" w:hAnsiTheme="minorHAnsi" w:cstheme="minorHAnsi"/>
        </w:rPr>
      </w:pPr>
      <w:r w:rsidRPr="001306B7">
        <w:rPr>
          <w:rFonts w:asciiTheme="minorHAnsi" w:hAnsiTheme="minorHAnsi" w:cstheme="minorHAnsi"/>
        </w:rPr>
        <w:t xml:space="preserve">Prostředky z kapitoly státního rozpočtu </w:t>
      </w:r>
      <w:r w:rsidRPr="001306B7">
        <w:rPr>
          <w:rFonts w:asciiTheme="minorHAnsi" w:hAnsiTheme="minorHAnsi" w:cstheme="minorHAnsi"/>
          <w:b/>
        </w:rPr>
        <w:t xml:space="preserve">398 </w:t>
      </w:r>
      <w:r w:rsidR="001B19EE" w:rsidRPr="007225D2">
        <w:rPr>
          <w:rFonts w:asciiTheme="minorHAnsi" w:hAnsiTheme="minorHAnsi" w:cstheme="minorHAnsi"/>
        </w:rPr>
        <w:t>–</w:t>
      </w:r>
      <w:r w:rsidRPr="001306B7">
        <w:rPr>
          <w:rFonts w:asciiTheme="minorHAnsi" w:hAnsiTheme="minorHAnsi" w:cstheme="minorHAnsi"/>
          <w:b/>
        </w:rPr>
        <w:t xml:space="preserve"> </w:t>
      </w:r>
      <w:r w:rsidRPr="001306B7">
        <w:rPr>
          <w:rFonts w:asciiTheme="minorHAnsi" w:hAnsiTheme="minorHAnsi" w:cstheme="minorHAnsi"/>
          <w:b/>
          <w:i/>
        </w:rPr>
        <w:t>Všeobecná pokladní správa</w:t>
      </w:r>
      <w:r w:rsidRPr="001306B7">
        <w:rPr>
          <w:rFonts w:asciiTheme="minorHAnsi" w:hAnsiTheme="minorHAnsi" w:cstheme="minorHAnsi"/>
        </w:rPr>
        <w:t xml:space="preserve"> </w:t>
      </w:r>
      <w:r w:rsidRPr="00D33D15">
        <w:rPr>
          <w:rFonts w:asciiTheme="minorHAnsi" w:hAnsiTheme="minorHAnsi" w:cstheme="minorHAnsi"/>
        </w:rPr>
        <w:t>činily 42 % celkových výdajů na pozemkové úpravy za roky 2007</w:t>
      </w:r>
      <w:r w:rsidR="001B19EE" w:rsidRPr="00D33D15">
        <w:rPr>
          <w:rFonts w:asciiTheme="minorHAnsi" w:hAnsiTheme="minorHAnsi" w:cstheme="minorHAnsi"/>
        </w:rPr>
        <w:t>–</w:t>
      </w:r>
      <w:r w:rsidRPr="00D33D15">
        <w:rPr>
          <w:rFonts w:asciiTheme="minorHAnsi" w:hAnsiTheme="minorHAnsi" w:cstheme="minorHAnsi"/>
        </w:rPr>
        <w:t xml:space="preserve">2014. </w:t>
      </w:r>
      <w:r w:rsidR="006F5880" w:rsidRPr="00D33D15">
        <w:rPr>
          <w:rFonts w:asciiTheme="minorHAnsi" w:hAnsiTheme="minorHAnsi" w:cstheme="minorHAnsi"/>
        </w:rPr>
        <w:t>Při jejich čerpání nedocházelo k mimořádným výkyvům, každoročně bylo čerpáno cca 700 mil. Kč.</w:t>
      </w:r>
    </w:p>
    <w:p w:rsidR="00DD1C9C" w:rsidRPr="00D33D15" w:rsidRDefault="00DD1C9C" w:rsidP="00DD1C9C">
      <w:pPr>
        <w:jc w:val="both"/>
        <w:rPr>
          <w:rFonts w:asciiTheme="minorHAnsi" w:hAnsiTheme="minorHAnsi" w:cstheme="minorHAnsi"/>
        </w:rPr>
      </w:pPr>
    </w:p>
    <w:p w:rsidR="006F5880" w:rsidRDefault="00E52384" w:rsidP="00DD1C9C">
      <w:pPr>
        <w:jc w:val="both"/>
        <w:rPr>
          <w:rFonts w:asciiTheme="minorHAnsi" w:hAnsiTheme="minorHAnsi" w:cstheme="minorHAnsi"/>
        </w:rPr>
      </w:pPr>
      <w:r w:rsidRPr="001306B7">
        <w:rPr>
          <w:rFonts w:asciiTheme="minorHAnsi" w:hAnsiTheme="minorHAnsi" w:cstheme="minorHAnsi"/>
        </w:rPr>
        <w:t xml:space="preserve">Prostředky </w:t>
      </w:r>
      <w:r w:rsidRPr="001306B7">
        <w:rPr>
          <w:rFonts w:asciiTheme="minorHAnsi" w:hAnsiTheme="minorHAnsi" w:cstheme="minorHAnsi"/>
          <w:b/>
          <w:lang w:eastAsia="cs-CZ"/>
        </w:rPr>
        <w:t>Pozemkového fondu Č</w:t>
      </w:r>
      <w:r w:rsidR="0017149D" w:rsidRPr="001306B7">
        <w:rPr>
          <w:rFonts w:asciiTheme="minorHAnsi" w:hAnsiTheme="minorHAnsi" w:cstheme="minorHAnsi"/>
          <w:b/>
          <w:lang w:eastAsia="cs-CZ"/>
        </w:rPr>
        <w:t>R</w:t>
      </w:r>
      <w:r w:rsidRPr="00D33D15">
        <w:rPr>
          <w:rFonts w:asciiTheme="minorHAnsi" w:hAnsiTheme="minorHAnsi" w:cstheme="minorHAnsi"/>
          <w:lang w:eastAsia="cs-CZ"/>
        </w:rPr>
        <w:t xml:space="preserve"> byly na </w:t>
      </w:r>
      <w:r w:rsidRPr="00D33D15">
        <w:rPr>
          <w:rFonts w:asciiTheme="minorHAnsi" w:hAnsiTheme="minorHAnsi" w:cstheme="minorHAnsi"/>
          <w:color w:val="000000"/>
        </w:rPr>
        <w:t>financování pozemkových úprav</w:t>
      </w:r>
      <w:r w:rsidRPr="00D33D15">
        <w:rPr>
          <w:rFonts w:asciiTheme="minorHAnsi" w:hAnsiTheme="minorHAnsi" w:cstheme="minorHAnsi"/>
          <w:lang w:eastAsia="cs-CZ"/>
        </w:rPr>
        <w:t xml:space="preserve"> vynakládány do </w:t>
      </w:r>
      <w:r w:rsidRPr="00D33D15">
        <w:rPr>
          <w:rFonts w:asciiTheme="minorHAnsi" w:hAnsiTheme="minorHAnsi" w:cstheme="minorHAnsi"/>
          <w:color w:val="000000"/>
        </w:rPr>
        <w:t xml:space="preserve">31. 12. 2012. Po </w:t>
      </w:r>
      <w:r w:rsidRPr="00D33D15">
        <w:rPr>
          <w:rFonts w:asciiTheme="minorHAnsi" w:hAnsiTheme="minorHAnsi" w:cstheme="minorHAnsi"/>
          <w:lang w:eastAsia="cs-CZ"/>
        </w:rPr>
        <w:t xml:space="preserve">zrušení </w:t>
      </w:r>
      <w:r w:rsidR="007551AA" w:rsidRPr="00D33D15">
        <w:rPr>
          <w:rFonts w:asciiTheme="minorHAnsi" w:hAnsiTheme="minorHAnsi" w:cstheme="minorHAnsi"/>
          <w:lang w:eastAsia="cs-CZ"/>
        </w:rPr>
        <w:t>P</w:t>
      </w:r>
      <w:r w:rsidR="009F7FDC">
        <w:rPr>
          <w:rFonts w:asciiTheme="minorHAnsi" w:hAnsiTheme="minorHAnsi" w:cstheme="minorHAnsi"/>
          <w:lang w:eastAsia="cs-CZ"/>
        </w:rPr>
        <w:t>F</w:t>
      </w:r>
      <w:r w:rsidR="0069550A" w:rsidRPr="00D33D15">
        <w:rPr>
          <w:rFonts w:asciiTheme="minorHAnsi" w:hAnsiTheme="minorHAnsi" w:cstheme="minorHAnsi"/>
          <w:lang w:eastAsia="cs-CZ"/>
        </w:rPr>
        <w:t xml:space="preserve"> </w:t>
      </w:r>
      <w:r w:rsidRPr="00D33D15">
        <w:rPr>
          <w:rFonts w:asciiTheme="minorHAnsi" w:hAnsiTheme="minorHAnsi" w:cstheme="minorHAnsi"/>
          <w:lang w:eastAsia="cs-CZ"/>
        </w:rPr>
        <w:t xml:space="preserve">ČR bylo financování </w:t>
      </w:r>
      <w:r w:rsidR="0069550A" w:rsidRPr="00D33D15">
        <w:rPr>
          <w:rFonts w:asciiTheme="minorHAnsi" w:hAnsiTheme="minorHAnsi" w:cstheme="minorHAnsi"/>
          <w:lang w:eastAsia="cs-CZ"/>
        </w:rPr>
        <w:t xml:space="preserve">částečně </w:t>
      </w:r>
      <w:r w:rsidRPr="00D33D15">
        <w:rPr>
          <w:rFonts w:asciiTheme="minorHAnsi" w:hAnsiTheme="minorHAnsi" w:cstheme="minorHAnsi"/>
          <w:lang w:eastAsia="cs-CZ"/>
        </w:rPr>
        <w:t xml:space="preserve">zajištěno z rozpočtu nově vzniklého </w:t>
      </w:r>
      <w:r w:rsidRPr="00D33D15">
        <w:rPr>
          <w:rFonts w:asciiTheme="minorHAnsi" w:hAnsiTheme="minorHAnsi" w:cstheme="minorHAnsi"/>
        </w:rPr>
        <w:t>Státního pozemkového úřadu</w:t>
      </w:r>
      <w:r w:rsidR="00BE14F2" w:rsidRPr="00D33D15">
        <w:rPr>
          <w:rFonts w:asciiTheme="minorHAnsi" w:hAnsiTheme="minorHAnsi" w:cstheme="minorHAnsi"/>
        </w:rPr>
        <w:t>.</w:t>
      </w:r>
      <w:r w:rsidR="0069550A" w:rsidRPr="00D33D15">
        <w:rPr>
          <w:rFonts w:asciiTheme="minorHAnsi" w:hAnsiTheme="minorHAnsi" w:cstheme="minorHAnsi"/>
          <w:lang w:eastAsia="cs-CZ"/>
        </w:rPr>
        <w:t xml:space="preserve"> P</w:t>
      </w:r>
      <w:r w:rsidR="005C4F91" w:rsidRPr="00D33D15">
        <w:rPr>
          <w:rFonts w:asciiTheme="minorHAnsi" w:hAnsiTheme="minorHAnsi" w:cstheme="minorHAnsi"/>
          <w:lang w:eastAsia="cs-CZ"/>
        </w:rPr>
        <w:t xml:space="preserve">řesto </w:t>
      </w:r>
      <w:r w:rsidR="005C4F91" w:rsidRPr="00D33D15">
        <w:rPr>
          <w:rFonts w:asciiTheme="minorHAnsi" w:hAnsiTheme="minorHAnsi" w:cstheme="minorHAnsi"/>
        </w:rPr>
        <w:t>v letech 2013 a 2014 došlo</w:t>
      </w:r>
      <w:r w:rsidR="005C4F91" w:rsidRPr="00D33D15">
        <w:rPr>
          <w:rFonts w:asciiTheme="minorHAnsi" w:hAnsiTheme="minorHAnsi" w:cstheme="minorHAnsi"/>
          <w:lang w:eastAsia="cs-CZ"/>
        </w:rPr>
        <w:t xml:space="preserve"> oproti roku 2012 k výpadku financování </w:t>
      </w:r>
      <w:r w:rsidR="009F7FDC">
        <w:rPr>
          <w:rFonts w:asciiTheme="minorHAnsi" w:hAnsiTheme="minorHAnsi" w:cstheme="minorHAnsi"/>
          <w:lang w:eastAsia="cs-CZ"/>
        </w:rPr>
        <w:t xml:space="preserve">v objemu </w:t>
      </w:r>
      <w:r w:rsidR="005C4F91" w:rsidRPr="00D33D15">
        <w:rPr>
          <w:rFonts w:asciiTheme="minorHAnsi" w:hAnsiTheme="minorHAnsi" w:cstheme="minorHAnsi"/>
          <w:lang w:eastAsia="cs-CZ"/>
        </w:rPr>
        <w:t>cca 320 mil. Kč ročně</w:t>
      </w:r>
      <w:r w:rsidR="005C4F91" w:rsidRPr="00D33D15">
        <w:rPr>
          <w:rFonts w:asciiTheme="minorHAnsi" w:hAnsiTheme="minorHAnsi" w:cstheme="minorHAnsi"/>
        </w:rPr>
        <w:t>.</w:t>
      </w:r>
      <w:r w:rsidRPr="00D33D15">
        <w:rPr>
          <w:rFonts w:asciiTheme="minorHAnsi" w:hAnsiTheme="minorHAnsi" w:cstheme="minorHAnsi"/>
          <w:lang w:eastAsia="cs-CZ"/>
        </w:rPr>
        <w:t xml:space="preserve"> Prostředky z těchto zdrojů činily </w:t>
      </w:r>
      <w:r w:rsidRPr="00D33D15">
        <w:rPr>
          <w:rFonts w:asciiTheme="minorHAnsi" w:hAnsiTheme="minorHAnsi" w:cstheme="minorHAnsi"/>
        </w:rPr>
        <w:t>13 % celkových výdajů na pozemkové úpravy za roky 2007</w:t>
      </w:r>
      <w:r w:rsidR="00926FCC" w:rsidRPr="00D33D15">
        <w:rPr>
          <w:rFonts w:asciiTheme="minorHAnsi" w:hAnsiTheme="minorHAnsi" w:cstheme="minorHAnsi"/>
        </w:rPr>
        <w:t>–</w:t>
      </w:r>
      <w:r w:rsidRPr="00D33D15">
        <w:rPr>
          <w:rFonts w:asciiTheme="minorHAnsi" w:hAnsiTheme="minorHAnsi" w:cstheme="minorHAnsi"/>
        </w:rPr>
        <w:t>2014.</w:t>
      </w:r>
      <w:r w:rsidR="006F5880" w:rsidRPr="00D33D15">
        <w:rPr>
          <w:rFonts w:asciiTheme="minorHAnsi" w:hAnsiTheme="minorHAnsi" w:cstheme="minorHAnsi"/>
        </w:rPr>
        <w:t xml:space="preserve"> </w:t>
      </w:r>
    </w:p>
    <w:p w:rsidR="00DD1C9C" w:rsidRPr="00D33D15" w:rsidRDefault="00DD1C9C" w:rsidP="00DD1C9C">
      <w:pPr>
        <w:jc w:val="both"/>
        <w:rPr>
          <w:rFonts w:asciiTheme="minorHAnsi" w:hAnsiTheme="minorHAnsi" w:cstheme="minorHAnsi"/>
        </w:rPr>
      </w:pPr>
    </w:p>
    <w:p w:rsidR="00E52384" w:rsidRDefault="00E52384" w:rsidP="00DD1C9C">
      <w:pPr>
        <w:jc w:val="both"/>
        <w:rPr>
          <w:rFonts w:asciiTheme="minorHAnsi" w:hAnsiTheme="minorHAnsi" w:cstheme="minorHAnsi"/>
        </w:rPr>
      </w:pPr>
      <w:r w:rsidRPr="001306B7">
        <w:rPr>
          <w:rFonts w:asciiTheme="minorHAnsi" w:hAnsiTheme="minorHAnsi" w:cstheme="minorHAnsi"/>
          <w:b/>
        </w:rPr>
        <w:t>Ostatní zdroje</w:t>
      </w:r>
      <w:r w:rsidRPr="001306B7">
        <w:rPr>
          <w:rFonts w:asciiTheme="minorHAnsi" w:hAnsiTheme="minorHAnsi" w:cstheme="minorHAnsi"/>
        </w:rPr>
        <w:t xml:space="preserve"> financování pozemkových úprav</w:t>
      </w:r>
      <w:r w:rsidRPr="00D33D15">
        <w:rPr>
          <w:rFonts w:asciiTheme="minorHAnsi" w:hAnsiTheme="minorHAnsi" w:cstheme="minorHAnsi"/>
        </w:rPr>
        <w:t xml:space="preserve"> </w:t>
      </w:r>
      <w:r w:rsidR="009F7FDC">
        <w:rPr>
          <w:rFonts w:asciiTheme="minorHAnsi" w:hAnsiTheme="minorHAnsi" w:cstheme="minorHAnsi"/>
        </w:rPr>
        <w:t>tvořily</w:t>
      </w:r>
      <w:r w:rsidRPr="00D33D15">
        <w:rPr>
          <w:rFonts w:asciiTheme="minorHAnsi" w:hAnsiTheme="minorHAnsi" w:cstheme="minorHAnsi"/>
        </w:rPr>
        <w:t xml:space="preserve"> prostředky na předfinancování </w:t>
      </w:r>
      <w:r w:rsidR="009F7FDC">
        <w:rPr>
          <w:rFonts w:asciiTheme="minorHAnsi" w:hAnsiTheme="minorHAnsi" w:cstheme="minorHAnsi"/>
        </w:rPr>
        <w:t>o</w:t>
      </w:r>
      <w:r w:rsidRPr="00D33D15">
        <w:rPr>
          <w:rFonts w:asciiTheme="minorHAnsi" w:hAnsiTheme="minorHAnsi" w:cstheme="minorHAnsi"/>
        </w:rPr>
        <w:t xml:space="preserve">peračního programu </w:t>
      </w:r>
      <w:r w:rsidRPr="001306B7">
        <w:rPr>
          <w:rFonts w:asciiTheme="minorHAnsi" w:hAnsiTheme="minorHAnsi" w:cstheme="minorHAnsi"/>
          <w:i/>
        </w:rPr>
        <w:t>Rozvoj venkova a multifunkční zemědělství</w:t>
      </w:r>
      <w:r w:rsidRPr="00D33D15">
        <w:rPr>
          <w:rFonts w:asciiTheme="minorHAnsi" w:hAnsiTheme="minorHAnsi" w:cstheme="minorHAnsi"/>
        </w:rPr>
        <w:t xml:space="preserve"> (do roku 2008), prostředky státního rozpočtu určené na protipovodňovou ochranu (do roku 2012) a prostředky dalších </w:t>
      </w:r>
      <w:r w:rsidRPr="00D33D15">
        <w:rPr>
          <w:rFonts w:asciiTheme="minorHAnsi" w:hAnsiTheme="minorHAnsi" w:cstheme="minorHAnsi"/>
        </w:rPr>
        <w:lastRenderedPageBreak/>
        <w:t>subjektů (</w:t>
      </w:r>
      <w:r w:rsidR="00070BA6" w:rsidRPr="00D33D15">
        <w:rPr>
          <w:rFonts w:asciiTheme="minorHAnsi" w:hAnsiTheme="minorHAnsi" w:cstheme="minorHAnsi"/>
        </w:rPr>
        <w:t xml:space="preserve">např. </w:t>
      </w:r>
      <w:r w:rsidRPr="00D33D15">
        <w:rPr>
          <w:rFonts w:asciiTheme="minorHAnsi" w:hAnsiTheme="minorHAnsi" w:cstheme="minorHAnsi"/>
        </w:rPr>
        <w:t>obce, Ředitelství silnic a dálnic ČR, Lesy České republiky, s.</w:t>
      </w:r>
      <w:r w:rsidR="00977C9D">
        <w:rPr>
          <w:rFonts w:asciiTheme="minorHAnsi" w:hAnsiTheme="minorHAnsi" w:cstheme="minorHAnsi"/>
        </w:rPr>
        <w:t> </w:t>
      </w:r>
      <w:r w:rsidRPr="00D33D15">
        <w:rPr>
          <w:rFonts w:asciiTheme="minorHAnsi" w:hAnsiTheme="minorHAnsi" w:cstheme="minorHAnsi"/>
        </w:rPr>
        <w:t xml:space="preserve">p.). Tyto zdroje se na financování </w:t>
      </w:r>
      <w:r w:rsidR="00926FCC" w:rsidRPr="00D33D15">
        <w:rPr>
          <w:rFonts w:asciiTheme="minorHAnsi" w:hAnsiTheme="minorHAnsi" w:cstheme="minorHAnsi"/>
        </w:rPr>
        <w:t>pozemkových úprav v letech 2007–</w:t>
      </w:r>
      <w:r w:rsidRPr="00D33D15">
        <w:rPr>
          <w:rFonts w:asciiTheme="minorHAnsi" w:hAnsiTheme="minorHAnsi" w:cstheme="minorHAnsi"/>
        </w:rPr>
        <w:t>2014 podílely celkově z 11 %.</w:t>
      </w:r>
    </w:p>
    <w:p w:rsidR="00DD1C9C" w:rsidRPr="00D33D15" w:rsidRDefault="00DD1C9C" w:rsidP="00DD1C9C">
      <w:pPr>
        <w:jc w:val="both"/>
        <w:rPr>
          <w:rFonts w:asciiTheme="minorHAnsi" w:hAnsiTheme="minorHAnsi" w:cstheme="minorHAnsi"/>
        </w:rPr>
      </w:pPr>
    </w:p>
    <w:p w:rsidR="007D7162" w:rsidRDefault="006F5880" w:rsidP="00DD1C9C">
      <w:pPr>
        <w:jc w:val="both"/>
        <w:rPr>
          <w:rFonts w:asciiTheme="minorHAnsi" w:hAnsiTheme="minorHAnsi" w:cstheme="minorHAnsi"/>
        </w:rPr>
      </w:pPr>
      <w:r w:rsidRPr="001306B7">
        <w:rPr>
          <w:rFonts w:asciiTheme="minorHAnsi" w:hAnsiTheme="minorHAnsi" w:cstheme="minorHAnsi"/>
        </w:rPr>
        <w:t xml:space="preserve">Prostředky na předfinancování </w:t>
      </w:r>
      <w:r w:rsidRPr="001306B7">
        <w:rPr>
          <w:rFonts w:asciiTheme="minorHAnsi" w:hAnsiTheme="minorHAnsi" w:cstheme="minorHAnsi"/>
          <w:b/>
          <w:i/>
        </w:rPr>
        <w:t>Programu rozvoje venkova</w:t>
      </w:r>
      <w:r w:rsidRPr="001306B7">
        <w:rPr>
          <w:rFonts w:asciiTheme="minorHAnsi" w:hAnsiTheme="minorHAnsi" w:cstheme="minorHAnsi"/>
        </w:rPr>
        <w:t xml:space="preserve"> </w:t>
      </w:r>
      <w:r w:rsidRPr="00D33D15">
        <w:rPr>
          <w:rFonts w:asciiTheme="minorHAnsi" w:hAnsiTheme="minorHAnsi" w:cstheme="minorHAnsi"/>
        </w:rPr>
        <w:t>činily 34 % celkových výdajů na pozemkové úpravy za roky 2007</w:t>
      </w:r>
      <w:r w:rsidR="00926FCC" w:rsidRPr="00D33D15">
        <w:rPr>
          <w:rFonts w:asciiTheme="minorHAnsi" w:hAnsiTheme="minorHAnsi" w:cstheme="minorHAnsi"/>
        </w:rPr>
        <w:t>–</w:t>
      </w:r>
      <w:r w:rsidRPr="00D33D15">
        <w:rPr>
          <w:rFonts w:asciiTheme="minorHAnsi" w:hAnsiTheme="minorHAnsi" w:cstheme="minorHAnsi"/>
        </w:rPr>
        <w:t xml:space="preserve">2014. Rozpočtované peněžní prostředky určené na předfinancování PRV byly ve sledovaném období čerpány velmi nerovnoměrně, a to v rozmezí od </w:t>
      </w:r>
      <w:r w:rsidR="007551AA" w:rsidRPr="00D33D15">
        <w:rPr>
          <w:rFonts w:asciiTheme="minorHAnsi" w:hAnsiTheme="minorHAnsi" w:cstheme="minorHAnsi"/>
        </w:rPr>
        <w:t>317</w:t>
      </w:r>
      <w:r w:rsidRPr="00D33D15">
        <w:rPr>
          <w:rFonts w:asciiTheme="minorHAnsi" w:hAnsiTheme="minorHAnsi" w:cstheme="minorHAnsi"/>
        </w:rPr>
        <w:t xml:space="preserve"> </w:t>
      </w:r>
      <w:r w:rsidR="009F7FDC" w:rsidRPr="00D33D15">
        <w:rPr>
          <w:rFonts w:asciiTheme="minorHAnsi" w:hAnsiTheme="minorHAnsi" w:cstheme="minorHAnsi"/>
        </w:rPr>
        <w:t xml:space="preserve">mil. Kč </w:t>
      </w:r>
      <w:r w:rsidRPr="00D33D15">
        <w:rPr>
          <w:rFonts w:asciiTheme="minorHAnsi" w:hAnsiTheme="minorHAnsi" w:cstheme="minorHAnsi"/>
        </w:rPr>
        <w:t xml:space="preserve">do </w:t>
      </w:r>
      <w:r w:rsidR="00926FCC" w:rsidRPr="00D33D15">
        <w:rPr>
          <w:rFonts w:asciiTheme="minorHAnsi" w:hAnsiTheme="minorHAnsi" w:cstheme="minorHAnsi"/>
        </w:rPr>
        <w:t>1 390 mil. Kč ročně, tj. cca 35–</w:t>
      </w:r>
      <w:r w:rsidRPr="00D33D15">
        <w:rPr>
          <w:rFonts w:asciiTheme="minorHAnsi" w:hAnsiTheme="minorHAnsi" w:cstheme="minorHAnsi"/>
        </w:rPr>
        <w:t xml:space="preserve">100 % rozpočtu. </w:t>
      </w:r>
      <w:r w:rsidR="0022230A" w:rsidRPr="00D33D15">
        <w:rPr>
          <w:rFonts w:asciiTheme="minorHAnsi" w:hAnsiTheme="minorHAnsi" w:cstheme="minorHAnsi"/>
        </w:rPr>
        <w:t>Prostředky PRV poskytov</w:t>
      </w:r>
      <w:r w:rsidR="009F7FDC">
        <w:rPr>
          <w:rFonts w:asciiTheme="minorHAnsi" w:hAnsiTheme="minorHAnsi" w:cstheme="minorHAnsi"/>
        </w:rPr>
        <w:t>al</w:t>
      </w:r>
      <w:r w:rsidR="0022230A" w:rsidRPr="00D33D15">
        <w:rPr>
          <w:rFonts w:asciiTheme="minorHAnsi" w:hAnsiTheme="minorHAnsi" w:cstheme="minorHAnsi"/>
        </w:rPr>
        <w:t xml:space="preserve"> ÚPÚ/SPÚ prostřednictvím SZIF</w:t>
      </w:r>
      <w:r w:rsidR="009F7FDC">
        <w:rPr>
          <w:rFonts w:asciiTheme="minorHAnsi" w:hAnsiTheme="minorHAnsi" w:cstheme="minorHAnsi"/>
        </w:rPr>
        <w:t>, a to formou dotace</w:t>
      </w:r>
      <w:r w:rsidR="0022230A" w:rsidRPr="00D33D15">
        <w:rPr>
          <w:rFonts w:asciiTheme="minorHAnsi" w:hAnsiTheme="minorHAnsi" w:cstheme="minorHAnsi"/>
        </w:rPr>
        <w:t>.</w:t>
      </w:r>
    </w:p>
    <w:p w:rsidR="00DD1C9C" w:rsidRPr="00D33D15" w:rsidRDefault="00DD1C9C" w:rsidP="00DD1C9C">
      <w:pPr>
        <w:jc w:val="both"/>
        <w:rPr>
          <w:rFonts w:asciiTheme="minorHAnsi" w:hAnsiTheme="minorHAnsi" w:cstheme="minorHAnsi"/>
        </w:rPr>
      </w:pPr>
    </w:p>
    <w:p w:rsidR="00E52384" w:rsidRPr="001306B7" w:rsidRDefault="00E52384" w:rsidP="001306B7">
      <w:pPr>
        <w:keepNext/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 w:rsidRPr="001306B7">
        <w:rPr>
          <w:rFonts w:asciiTheme="minorHAnsi" w:hAnsiTheme="minorHAnsi" w:cstheme="minorHAnsi"/>
          <w:b/>
        </w:rPr>
        <w:t>Tab</w:t>
      </w:r>
      <w:r w:rsidR="009F7FDC" w:rsidRPr="001306B7">
        <w:rPr>
          <w:rFonts w:asciiTheme="minorHAnsi" w:hAnsiTheme="minorHAnsi" w:cstheme="minorHAnsi"/>
          <w:b/>
        </w:rPr>
        <w:t>ulka</w:t>
      </w:r>
      <w:r w:rsidRPr="001306B7">
        <w:rPr>
          <w:rFonts w:asciiTheme="minorHAnsi" w:hAnsiTheme="minorHAnsi" w:cstheme="minorHAnsi"/>
          <w:b/>
        </w:rPr>
        <w:t xml:space="preserve"> č. 2 </w:t>
      </w:r>
      <w:r w:rsidR="00304D8D" w:rsidRPr="001306B7">
        <w:rPr>
          <w:rFonts w:asciiTheme="minorHAnsi" w:hAnsiTheme="minorHAnsi" w:cstheme="minorHAnsi"/>
          <w:b/>
        </w:rPr>
        <w:t xml:space="preserve">– </w:t>
      </w:r>
      <w:r w:rsidRPr="001306B7">
        <w:rPr>
          <w:rFonts w:asciiTheme="minorHAnsi" w:hAnsiTheme="minorHAnsi" w:cstheme="minorHAnsi"/>
          <w:b/>
        </w:rPr>
        <w:t>Př</w:t>
      </w:r>
      <w:r w:rsidR="00926FCC" w:rsidRPr="001306B7">
        <w:rPr>
          <w:rFonts w:asciiTheme="minorHAnsi" w:hAnsiTheme="minorHAnsi" w:cstheme="minorHAnsi"/>
          <w:b/>
        </w:rPr>
        <w:t>edfinancování PRV v letech 2007–</w:t>
      </w:r>
      <w:r w:rsidRPr="001306B7">
        <w:rPr>
          <w:rFonts w:asciiTheme="minorHAnsi" w:hAnsiTheme="minorHAnsi" w:cstheme="minorHAnsi"/>
          <w:b/>
        </w:rPr>
        <w:t>201</w:t>
      </w:r>
      <w:r w:rsidR="009F7FDC">
        <w:rPr>
          <w:rFonts w:asciiTheme="minorHAnsi" w:hAnsiTheme="minorHAnsi" w:cstheme="minorHAnsi"/>
          <w:b/>
        </w:rPr>
        <w:t>4</w:t>
      </w:r>
      <w:r w:rsidR="004D7DBE" w:rsidRPr="001306B7">
        <w:rPr>
          <w:rFonts w:asciiTheme="minorHAnsi" w:hAnsiTheme="minorHAnsi" w:cstheme="minorHAnsi"/>
          <w:b/>
        </w:rPr>
        <w:tab/>
      </w:r>
      <w:r w:rsidRPr="001306B7">
        <w:rPr>
          <w:rFonts w:asciiTheme="minorHAnsi" w:hAnsiTheme="minorHAnsi" w:cstheme="minorHAnsi"/>
          <w:b/>
        </w:rPr>
        <w:t xml:space="preserve"> </w:t>
      </w:r>
      <w:r w:rsidR="009F7FDC" w:rsidRPr="001306B7">
        <w:rPr>
          <w:rFonts w:asciiTheme="minorHAnsi" w:hAnsiTheme="minorHAnsi" w:cstheme="minorHAnsi"/>
          <w:b/>
        </w:rPr>
        <w:t>(</w:t>
      </w:r>
      <w:r w:rsidRPr="001306B7">
        <w:rPr>
          <w:rFonts w:asciiTheme="minorHAnsi" w:hAnsiTheme="minorHAnsi" w:cstheme="minorHAnsi"/>
          <w:b/>
        </w:rPr>
        <w:t>v mil. Kč</w:t>
      </w:r>
      <w:r w:rsidR="009F7FDC" w:rsidRPr="001306B7">
        <w:rPr>
          <w:rFonts w:asciiTheme="minorHAnsi" w:hAnsiTheme="minorHAnsi" w:cstheme="minorHAnsi"/>
          <w:b/>
        </w:rPr>
        <w:t>)</w:t>
      </w:r>
    </w:p>
    <w:tbl>
      <w:tblPr>
        <w:tblW w:w="9102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2049"/>
        <w:gridCol w:w="1674"/>
        <w:gridCol w:w="1656"/>
        <w:gridCol w:w="2029"/>
      </w:tblGrid>
      <w:tr w:rsidR="00E52384" w:rsidRPr="007B6490" w:rsidTr="00FF6CB1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left="2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384" w:rsidRPr="007B6490" w:rsidRDefault="009F7FDC" w:rsidP="007B6490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E52384"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pravený rozpočet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384" w:rsidRPr="007B6490" w:rsidRDefault="009F7FDC" w:rsidP="007B6490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52384"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kutečnost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52384" w:rsidRPr="007B6490" w:rsidRDefault="009F7FDC" w:rsidP="007B6490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E52384"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ozdíl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% plnění rozpočtu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820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919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919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715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436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915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598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915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501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E52384" w:rsidRPr="007B6490" w:rsidTr="00E52384">
        <w:trPr>
          <w:trHeight w:val="2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1306B7">
            <w:pPr>
              <w:keepNext/>
              <w:autoSpaceDE w:val="0"/>
              <w:autoSpaceDN w:val="0"/>
              <w:adjustRightInd w:val="0"/>
              <w:ind w:left="102"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1 404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1 390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keepNext/>
              <w:autoSpaceDE w:val="0"/>
              <w:autoSpaceDN w:val="0"/>
              <w:adjustRightInd w:val="0"/>
              <w:ind w:right="2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384" w:rsidRPr="007B6490" w:rsidRDefault="00E52384" w:rsidP="007B6490">
            <w:pPr>
              <w:ind w:right="21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</w:tr>
    </w:tbl>
    <w:p w:rsidR="00E52384" w:rsidRPr="00DD1C9C" w:rsidRDefault="00E52384" w:rsidP="001306B7">
      <w:pPr>
        <w:keepNext/>
        <w:ind w:left="567" w:hanging="567"/>
        <w:rPr>
          <w:rFonts w:asciiTheme="minorHAnsi" w:hAnsiTheme="minorHAnsi" w:cstheme="minorHAnsi"/>
          <w:spacing w:val="-4"/>
          <w:sz w:val="20"/>
          <w:szCs w:val="20"/>
        </w:rPr>
      </w:pPr>
      <w:r w:rsidRPr="00DD1C9C">
        <w:rPr>
          <w:rFonts w:asciiTheme="minorHAnsi" w:hAnsiTheme="minorHAnsi" w:cstheme="minorHAnsi"/>
          <w:b/>
          <w:spacing w:val="-4"/>
          <w:sz w:val="20"/>
          <w:szCs w:val="20"/>
        </w:rPr>
        <w:t>Zdroj: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F7FDC">
        <w:rPr>
          <w:rFonts w:asciiTheme="minorHAnsi" w:hAnsiTheme="minorHAnsi" w:cstheme="minorHAnsi"/>
          <w:spacing w:val="-4"/>
          <w:sz w:val="20"/>
          <w:szCs w:val="20"/>
        </w:rPr>
        <w:t>p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>růvodní zpráv</w:t>
      </w:r>
      <w:r w:rsidR="007E6230" w:rsidRPr="00DD1C9C">
        <w:rPr>
          <w:rFonts w:asciiTheme="minorHAnsi" w:hAnsiTheme="minorHAnsi" w:cstheme="minorHAnsi"/>
          <w:spacing w:val="-4"/>
          <w:sz w:val="20"/>
          <w:szCs w:val="20"/>
        </w:rPr>
        <w:t>y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závěrečn</w:t>
      </w:r>
      <w:r w:rsidR="009F7FDC">
        <w:rPr>
          <w:rFonts w:asciiTheme="minorHAnsi" w:hAnsiTheme="minorHAnsi" w:cstheme="minorHAnsi"/>
          <w:spacing w:val="-4"/>
          <w:sz w:val="20"/>
          <w:szCs w:val="20"/>
        </w:rPr>
        <w:t>ých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účt</w:t>
      </w:r>
      <w:r w:rsidR="009F7FDC">
        <w:rPr>
          <w:rFonts w:asciiTheme="minorHAnsi" w:hAnsiTheme="minorHAnsi" w:cstheme="minorHAnsi"/>
          <w:spacing w:val="-4"/>
          <w:sz w:val="20"/>
          <w:szCs w:val="20"/>
        </w:rPr>
        <w:t>ů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kapitoly 329 </w:t>
      </w:r>
      <w:r w:rsidR="005A1F2C">
        <w:rPr>
          <w:rFonts w:asciiTheme="minorHAnsi" w:hAnsiTheme="minorHAnsi" w:cstheme="minorHAnsi"/>
          <w:spacing w:val="-4"/>
          <w:sz w:val="20"/>
          <w:szCs w:val="20"/>
        </w:rPr>
        <w:t xml:space="preserve">– </w:t>
      </w:r>
      <w:r w:rsidR="005A1F2C" w:rsidRPr="001306B7">
        <w:rPr>
          <w:rFonts w:asciiTheme="minorHAnsi" w:hAnsiTheme="minorHAnsi" w:cstheme="minorHAnsi"/>
          <w:i/>
          <w:spacing w:val="-4"/>
          <w:sz w:val="20"/>
          <w:szCs w:val="20"/>
        </w:rPr>
        <w:t>Ministerstvo zemědělství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za roky 2007</w:t>
      </w:r>
      <w:r w:rsidR="00926FCC" w:rsidRPr="00DD1C9C">
        <w:rPr>
          <w:rFonts w:asciiTheme="minorHAnsi" w:hAnsiTheme="minorHAnsi" w:cstheme="minorHAnsi"/>
          <w:spacing w:val="-4"/>
          <w:sz w:val="20"/>
          <w:szCs w:val="20"/>
        </w:rPr>
        <w:t>–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>2013</w:t>
      </w:r>
      <w:r w:rsidR="00C01041">
        <w:rPr>
          <w:rFonts w:asciiTheme="minorHAnsi" w:hAnsiTheme="minorHAnsi" w:cstheme="minorHAnsi"/>
          <w:spacing w:val="-4"/>
          <w:sz w:val="20"/>
          <w:szCs w:val="20"/>
        </w:rPr>
        <w:t>;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F7FDC">
        <w:rPr>
          <w:rFonts w:asciiTheme="minorHAnsi" w:hAnsiTheme="minorHAnsi" w:cstheme="minorHAnsi"/>
          <w:spacing w:val="-4"/>
          <w:sz w:val="20"/>
          <w:szCs w:val="20"/>
        </w:rPr>
        <w:t>i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>nformace SPÚ</w:t>
      </w:r>
      <w:r w:rsidR="00926FCC" w:rsidRPr="00DD1C9C">
        <w:rPr>
          <w:rFonts w:asciiTheme="minorHAnsi" w:hAnsiTheme="minorHAnsi" w:cstheme="minorHAnsi"/>
          <w:spacing w:val="-4"/>
          <w:sz w:val="20"/>
          <w:szCs w:val="20"/>
        </w:rPr>
        <w:t>.</w:t>
      </w:r>
      <w:r w:rsidRPr="00DD1C9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:rsidR="00DD1C9C" w:rsidRDefault="00DD1C9C" w:rsidP="007B6490">
      <w:pPr>
        <w:widowControl w:val="0"/>
        <w:jc w:val="both"/>
        <w:rPr>
          <w:rFonts w:asciiTheme="minorHAnsi" w:hAnsiTheme="minorHAnsi" w:cstheme="minorHAnsi"/>
        </w:rPr>
      </w:pPr>
    </w:p>
    <w:p w:rsidR="009F2B89" w:rsidRDefault="005C4F91" w:rsidP="001306B7">
      <w:pPr>
        <w:widowControl w:val="0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Jednou z </w:t>
      </w:r>
      <w:r w:rsidR="00E52384" w:rsidRPr="007B6490">
        <w:rPr>
          <w:rFonts w:asciiTheme="minorHAnsi" w:hAnsiTheme="minorHAnsi" w:cstheme="minorHAnsi"/>
        </w:rPr>
        <w:t>příčin nerovnoměrného a nízkého čerpání alokovaných prostředků byl nesoulad mezi cenami projektů uvedenými v </w:t>
      </w:r>
      <w:r w:rsidR="00400B8D">
        <w:rPr>
          <w:rFonts w:asciiTheme="minorHAnsi" w:hAnsiTheme="minorHAnsi" w:cstheme="minorHAnsi"/>
        </w:rPr>
        <w:t>d</w:t>
      </w:r>
      <w:r w:rsidR="00E52384" w:rsidRPr="007B6490">
        <w:rPr>
          <w:rFonts w:asciiTheme="minorHAnsi" w:hAnsiTheme="minorHAnsi" w:cstheme="minorHAnsi"/>
        </w:rPr>
        <w:t xml:space="preserve">ohodách o poskytnutí dotace </w:t>
      </w:r>
      <w:r w:rsidR="00400B8D">
        <w:rPr>
          <w:rFonts w:asciiTheme="minorHAnsi" w:hAnsiTheme="minorHAnsi" w:cstheme="minorHAnsi"/>
        </w:rPr>
        <w:t xml:space="preserve">(zde cena vycházela </w:t>
      </w:r>
      <w:r w:rsidR="00E52384" w:rsidRPr="007B6490">
        <w:rPr>
          <w:rFonts w:asciiTheme="minorHAnsi" w:hAnsiTheme="minorHAnsi" w:cstheme="minorHAnsi"/>
        </w:rPr>
        <w:t>z předpokládan</w:t>
      </w:r>
      <w:r w:rsidR="00400B8D">
        <w:rPr>
          <w:rFonts w:asciiTheme="minorHAnsi" w:hAnsiTheme="minorHAnsi" w:cstheme="minorHAnsi"/>
        </w:rPr>
        <w:t>é</w:t>
      </w:r>
      <w:r w:rsidR="00E52384" w:rsidRPr="007B6490">
        <w:rPr>
          <w:rFonts w:asciiTheme="minorHAnsi" w:hAnsiTheme="minorHAnsi" w:cstheme="minorHAnsi"/>
        </w:rPr>
        <w:t xml:space="preserve"> hodnot</w:t>
      </w:r>
      <w:r w:rsidR="00400B8D">
        <w:rPr>
          <w:rFonts w:asciiTheme="minorHAnsi" w:hAnsiTheme="minorHAnsi" w:cstheme="minorHAnsi"/>
        </w:rPr>
        <w:t>y</w:t>
      </w:r>
      <w:r w:rsidR="00E52384" w:rsidRPr="007B6490">
        <w:rPr>
          <w:rFonts w:asciiTheme="minorHAnsi" w:hAnsiTheme="minorHAnsi" w:cstheme="minorHAnsi"/>
        </w:rPr>
        <w:t xml:space="preserve"> veřejn</w:t>
      </w:r>
      <w:r w:rsidR="00400B8D">
        <w:rPr>
          <w:rFonts w:asciiTheme="minorHAnsi" w:hAnsiTheme="minorHAnsi" w:cstheme="minorHAnsi"/>
        </w:rPr>
        <w:t>é</w:t>
      </w:r>
      <w:r w:rsidR="00E52384" w:rsidRPr="007B6490">
        <w:rPr>
          <w:rFonts w:asciiTheme="minorHAnsi" w:hAnsiTheme="minorHAnsi" w:cstheme="minorHAnsi"/>
        </w:rPr>
        <w:t xml:space="preserve"> zakáz</w:t>
      </w:r>
      <w:r w:rsidR="00400B8D">
        <w:rPr>
          <w:rFonts w:asciiTheme="minorHAnsi" w:hAnsiTheme="minorHAnsi" w:cstheme="minorHAnsi"/>
        </w:rPr>
        <w:t>ky</w:t>
      </w:r>
      <w:r w:rsidR="00E52384" w:rsidRPr="007B6490">
        <w:rPr>
          <w:rFonts w:asciiTheme="minorHAnsi" w:hAnsiTheme="minorHAnsi" w:cstheme="minorHAnsi"/>
        </w:rPr>
        <w:t xml:space="preserve"> stanoven</w:t>
      </w:r>
      <w:r w:rsidR="00400B8D">
        <w:rPr>
          <w:rFonts w:asciiTheme="minorHAnsi" w:hAnsiTheme="minorHAnsi" w:cstheme="minorHAnsi"/>
        </w:rPr>
        <w:t>é</w:t>
      </w:r>
      <w:r w:rsidR="00E52384" w:rsidRPr="007B6490">
        <w:rPr>
          <w:rFonts w:asciiTheme="minorHAnsi" w:hAnsiTheme="minorHAnsi" w:cstheme="minorHAnsi"/>
        </w:rPr>
        <w:t xml:space="preserve"> dle ceníku stavebních prací</w:t>
      </w:r>
      <w:r w:rsidR="00400B8D">
        <w:rPr>
          <w:rFonts w:asciiTheme="minorHAnsi" w:hAnsiTheme="minorHAnsi" w:cstheme="minorHAnsi"/>
        </w:rPr>
        <w:t>)</w:t>
      </w:r>
      <w:r w:rsidR="00E52384" w:rsidRPr="007B6490">
        <w:rPr>
          <w:rFonts w:asciiTheme="minorHAnsi" w:hAnsiTheme="minorHAnsi" w:cstheme="minorHAnsi"/>
        </w:rPr>
        <w:t xml:space="preserve"> a</w:t>
      </w:r>
      <w:r w:rsidR="00CA6FCC" w:rsidRPr="007B6490">
        <w:rPr>
          <w:rFonts w:asciiTheme="minorHAnsi" w:hAnsiTheme="minorHAnsi" w:cstheme="minorHAnsi"/>
        </w:rPr>
        <w:t> </w:t>
      </w:r>
      <w:r w:rsidR="00E52384" w:rsidRPr="007B6490">
        <w:rPr>
          <w:rFonts w:asciiTheme="minorHAnsi" w:hAnsiTheme="minorHAnsi" w:cstheme="minorHAnsi"/>
        </w:rPr>
        <w:t xml:space="preserve">cenami uvedenými ve smlouvách o dílo uzavřených se zhotoviteli. NKÚ </w:t>
      </w:r>
      <w:r w:rsidR="007E6230" w:rsidRPr="007B6490">
        <w:rPr>
          <w:rFonts w:asciiTheme="minorHAnsi" w:hAnsiTheme="minorHAnsi" w:cstheme="minorHAnsi"/>
        </w:rPr>
        <w:t>na vybraném vzorku</w:t>
      </w:r>
      <w:r w:rsidR="00565FA1" w:rsidRPr="007B6490">
        <w:rPr>
          <w:rFonts w:asciiTheme="minorHAnsi" w:hAnsiTheme="minorHAnsi" w:cstheme="minorHAnsi"/>
        </w:rPr>
        <w:t xml:space="preserve"> </w:t>
      </w:r>
      <w:r w:rsidR="009545E5" w:rsidRPr="007B6490">
        <w:rPr>
          <w:rFonts w:asciiTheme="minorHAnsi" w:hAnsiTheme="minorHAnsi" w:cstheme="minorHAnsi"/>
        </w:rPr>
        <w:t>(</w:t>
      </w:r>
      <w:r w:rsidR="00565FA1" w:rsidRPr="007B6490">
        <w:rPr>
          <w:rFonts w:asciiTheme="minorHAnsi" w:hAnsiTheme="minorHAnsi" w:cstheme="minorHAnsi"/>
        </w:rPr>
        <w:t>příloha č. 2)</w:t>
      </w:r>
      <w:r w:rsidR="007E6230" w:rsidRPr="007B6490">
        <w:rPr>
          <w:rFonts w:asciiTheme="minorHAnsi" w:hAnsiTheme="minorHAnsi" w:cstheme="minorHAnsi"/>
        </w:rPr>
        <w:t xml:space="preserve"> </w:t>
      </w:r>
      <w:r w:rsidR="00E52384" w:rsidRPr="007B6490">
        <w:rPr>
          <w:rFonts w:asciiTheme="minorHAnsi" w:hAnsiTheme="minorHAnsi" w:cstheme="minorHAnsi"/>
        </w:rPr>
        <w:t xml:space="preserve">ověřil, že SZIF se informaci o rozdílu mezi těmito cenami dozvěděl </w:t>
      </w:r>
      <w:r w:rsidR="00C10FCC" w:rsidRPr="007B6490">
        <w:rPr>
          <w:rFonts w:asciiTheme="minorHAnsi" w:hAnsiTheme="minorHAnsi" w:cstheme="minorHAnsi"/>
        </w:rPr>
        <w:t xml:space="preserve">průměrně po </w:t>
      </w:r>
      <w:r w:rsidR="00F6712A" w:rsidRPr="00DF7849">
        <w:rPr>
          <w:rFonts w:asciiTheme="minorHAnsi" w:hAnsiTheme="minorHAnsi" w:cstheme="minorHAnsi"/>
        </w:rPr>
        <w:t>24</w:t>
      </w:r>
      <w:r w:rsidR="008356F8" w:rsidRPr="00DF7849">
        <w:rPr>
          <w:rFonts w:asciiTheme="minorHAnsi" w:hAnsiTheme="minorHAnsi" w:cstheme="minorHAnsi"/>
        </w:rPr>
        <w:t>1</w:t>
      </w:r>
      <w:r w:rsidR="007225D2">
        <w:rPr>
          <w:rFonts w:asciiTheme="minorHAnsi" w:hAnsiTheme="minorHAnsi" w:cstheme="minorHAnsi"/>
        </w:rPr>
        <w:t> </w:t>
      </w:r>
      <w:r w:rsidR="00C10FCC" w:rsidRPr="007B6490">
        <w:rPr>
          <w:rFonts w:asciiTheme="minorHAnsi" w:hAnsiTheme="minorHAnsi" w:cstheme="minorHAnsi"/>
        </w:rPr>
        <w:t>dnech</w:t>
      </w:r>
      <w:r w:rsidR="00E52384" w:rsidRPr="007B6490">
        <w:rPr>
          <w:rFonts w:asciiTheme="minorHAnsi" w:hAnsiTheme="minorHAnsi" w:cstheme="minorHAnsi"/>
        </w:rPr>
        <w:t xml:space="preserve">, a to z předložené </w:t>
      </w:r>
      <w:r w:rsidR="00400B8D">
        <w:rPr>
          <w:rFonts w:asciiTheme="minorHAnsi" w:hAnsiTheme="minorHAnsi" w:cstheme="minorHAnsi"/>
        </w:rPr>
        <w:t>ž</w:t>
      </w:r>
      <w:r w:rsidR="00E52384" w:rsidRPr="007B6490">
        <w:rPr>
          <w:rFonts w:asciiTheme="minorHAnsi" w:hAnsiTheme="minorHAnsi" w:cstheme="minorHAnsi"/>
        </w:rPr>
        <w:t>ádosti o pro</w:t>
      </w:r>
      <w:r w:rsidR="00DA4B94" w:rsidRPr="007B6490">
        <w:rPr>
          <w:rFonts w:asciiTheme="minorHAnsi" w:hAnsiTheme="minorHAnsi" w:cstheme="minorHAnsi"/>
        </w:rPr>
        <w:t xml:space="preserve">placení výdajů, příp. </w:t>
      </w:r>
      <w:r w:rsidR="00400B8D">
        <w:rPr>
          <w:rFonts w:asciiTheme="minorHAnsi" w:hAnsiTheme="minorHAnsi" w:cstheme="minorHAnsi"/>
        </w:rPr>
        <w:t>z h</w:t>
      </w:r>
      <w:r w:rsidR="00DA4B94" w:rsidRPr="007B6490">
        <w:rPr>
          <w:rFonts w:asciiTheme="minorHAnsi" w:hAnsiTheme="minorHAnsi" w:cstheme="minorHAnsi"/>
        </w:rPr>
        <w:t>lášení o </w:t>
      </w:r>
      <w:r w:rsidR="00E52384" w:rsidRPr="007B6490">
        <w:rPr>
          <w:rFonts w:asciiTheme="minorHAnsi" w:hAnsiTheme="minorHAnsi" w:cstheme="minorHAnsi"/>
        </w:rPr>
        <w:t>změnách. Po tuto dobu byly alokované prostředky vázány a nemohly být využity pro realizaci dalších projektů.</w:t>
      </w:r>
      <w:r w:rsidR="00400B8D">
        <w:rPr>
          <w:rFonts w:asciiTheme="minorHAnsi" w:hAnsiTheme="minorHAnsi" w:cstheme="minorHAnsi"/>
        </w:rPr>
        <w:t xml:space="preserve"> </w:t>
      </w:r>
      <w:r w:rsidR="00E52384" w:rsidRPr="007B6490">
        <w:rPr>
          <w:rFonts w:asciiTheme="minorHAnsi" w:hAnsiTheme="minorHAnsi" w:cstheme="minorHAnsi"/>
        </w:rPr>
        <w:t xml:space="preserve">K nápravě stavu došlo ze strany </w:t>
      </w:r>
      <w:proofErr w:type="spellStart"/>
      <w:r w:rsidR="00E52384" w:rsidRPr="007B6490">
        <w:rPr>
          <w:rFonts w:asciiTheme="minorHAnsi" w:hAnsiTheme="minorHAnsi" w:cstheme="minorHAnsi"/>
        </w:rPr>
        <w:t>MZe</w:t>
      </w:r>
      <w:proofErr w:type="spellEnd"/>
      <w:r w:rsidR="00E52384" w:rsidRPr="007B6490">
        <w:rPr>
          <w:rFonts w:asciiTheme="minorHAnsi" w:hAnsiTheme="minorHAnsi" w:cstheme="minorHAnsi"/>
        </w:rPr>
        <w:t xml:space="preserve"> až v roce 2014</w:t>
      </w:r>
      <w:r w:rsidR="00400B8D">
        <w:rPr>
          <w:rFonts w:asciiTheme="minorHAnsi" w:hAnsiTheme="minorHAnsi" w:cstheme="minorHAnsi"/>
        </w:rPr>
        <w:t xml:space="preserve">, kdy </w:t>
      </w:r>
      <w:r w:rsidR="007225D2">
        <w:rPr>
          <w:rFonts w:asciiTheme="minorHAnsi" w:hAnsiTheme="minorHAnsi" w:cstheme="minorHAnsi"/>
        </w:rPr>
        <w:t xml:space="preserve">provedlo změnu </w:t>
      </w:r>
      <w:r w:rsidR="00243B19" w:rsidRPr="007B6490">
        <w:rPr>
          <w:rFonts w:asciiTheme="minorHAnsi" w:hAnsiTheme="minorHAnsi" w:cstheme="minorHAnsi"/>
        </w:rPr>
        <w:t>P</w:t>
      </w:r>
      <w:r w:rsidR="00E52384" w:rsidRPr="007B6490">
        <w:rPr>
          <w:rFonts w:asciiTheme="minorHAnsi" w:hAnsiTheme="minorHAnsi" w:cstheme="minorHAnsi"/>
        </w:rPr>
        <w:t>ravidel PRV. SPÚ v roce 2014 čerpal 2,8krát více peněžních prostředků na předfinancování PRV, než bylo průmě</w:t>
      </w:r>
      <w:r w:rsidR="00263113" w:rsidRPr="007B6490">
        <w:rPr>
          <w:rFonts w:asciiTheme="minorHAnsi" w:hAnsiTheme="minorHAnsi" w:cstheme="minorHAnsi"/>
        </w:rPr>
        <w:t>rné roční čerpání v letech 2008–</w:t>
      </w:r>
      <w:r w:rsidR="00E52384" w:rsidRPr="007B6490">
        <w:rPr>
          <w:rFonts w:asciiTheme="minorHAnsi" w:hAnsiTheme="minorHAnsi" w:cstheme="minorHAnsi"/>
        </w:rPr>
        <w:t xml:space="preserve">2013. 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025C0D" w:rsidRPr="007B6490" w:rsidRDefault="00F940CB" w:rsidP="001306B7">
      <w:pPr>
        <w:pStyle w:val="Nadpis1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2. </w:t>
      </w:r>
      <w:r w:rsidR="00BE14F2" w:rsidRPr="007B6490">
        <w:rPr>
          <w:rFonts w:asciiTheme="minorHAnsi" w:hAnsiTheme="minorHAnsi" w:cstheme="minorHAnsi"/>
          <w:sz w:val="24"/>
        </w:rPr>
        <w:t>Cíle pozemkových úprav</w:t>
      </w:r>
    </w:p>
    <w:p w:rsidR="00B27E27" w:rsidRPr="00E07F85" w:rsidRDefault="00B27E27" w:rsidP="007B6490">
      <w:pPr>
        <w:pStyle w:val="Default"/>
        <w:keepNext/>
        <w:spacing w:before="120"/>
        <w:jc w:val="both"/>
        <w:rPr>
          <w:rFonts w:asciiTheme="minorHAnsi" w:hAnsiTheme="minorHAnsi" w:cstheme="minorHAnsi"/>
          <w:color w:val="auto"/>
        </w:rPr>
      </w:pPr>
      <w:r w:rsidRPr="00DF7849">
        <w:rPr>
          <w:rFonts w:asciiTheme="minorHAnsi" w:hAnsiTheme="minorHAnsi" w:cstheme="minorHAnsi"/>
          <w:color w:val="auto"/>
        </w:rPr>
        <w:t xml:space="preserve">NSPRV jako jeden ze základních dokumentů strategického řízení a programování </w:t>
      </w:r>
      <w:r w:rsidR="00F940CB">
        <w:rPr>
          <w:rFonts w:asciiTheme="minorHAnsi" w:hAnsiTheme="minorHAnsi" w:cstheme="minorHAnsi"/>
          <w:color w:val="auto"/>
        </w:rPr>
        <w:t xml:space="preserve">v oblasti rozvoje venkova stanovil </w:t>
      </w:r>
      <w:r w:rsidR="00F940CB" w:rsidRPr="00DF7849">
        <w:rPr>
          <w:rFonts w:asciiTheme="minorHAnsi" w:hAnsiTheme="minorHAnsi" w:cstheme="minorHAnsi"/>
          <w:color w:val="auto"/>
        </w:rPr>
        <w:t xml:space="preserve">pro ČR </w:t>
      </w:r>
      <w:r w:rsidRPr="00DF7849">
        <w:rPr>
          <w:rFonts w:asciiTheme="minorHAnsi" w:hAnsiTheme="minorHAnsi" w:cstheme="minorHAnsi"/>
          <w:color w:val="auto"/>
        </w:rPr>
        <w:t xml:space="preserve">na léta 2007–2013 </w:t>
      </w:r>
      <w:r w:rsidR="00F940CB">
        <w:rPr>
          <w:rFonts w:asciiTheme="minorHAnsi" w:hAnsiTheme="minorHAnsi" w:cstheme="minorHAnsi"/>
          <w:color w:val="auto"/>
        </w:rPr>
        <w:t xml:space="preserve">tyto </w:t>
      </w:r>
      <w:r w:rsidRPr="00DF7849">
        <w:rPr>
          <w:rFonts w:asciiTheme="minorHAnsi" w:hAnsiTheme="minorHAnsi" w:cstheme="minorHAnsi"/>
          <w:color w:val="auto"/>
        </w:rPr>
        <w:t>tři hlavní cíle</w:t>
      </w:r>
      <w:r w:rsidRPr="00E07F85">
        <w:rPr>
          <w:rFonts w:asciiTheme="minorHAnsi" w:hAnsiTheme="minorHAnsi" w:cstheme="minorHAnsi"/>
          <w:color w:val="auto"/>
        </w:rPr>
        <w:t xml:space="preserve">: </w:t>
      </w:r>
    </w:p>
    <w:p w:rsidR="00B27E27" w:rsidRPr="00E07F85" w:rsidRDefault="00F940CB" w:rsidP="007B64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27E27" w:rsidRPr="00E07F85">
        <w:rPr>
          <w:rFonts w:cstheme="minorHAnsi"/>
          <w:sz w:val="24"/>
          <w:szCs w:val="24"/>
        </w:rPr>
        <w:t>lepšování konkurenceschopnosti zemědělství a lesnictví podporou restrukturalizace, rozvoje a inovací</w:t>
      </w:r>
      <w:r>
        <w:rPr>
          <w:rFonts w:cstheme="minorHAnsi"/>
          <w:sz w:val="24"/>
          <w:szCs w:val="24"/>
        </w:rPr>
        <w:t>;</w:t>
      </w:r>
      <w:r w:rsidR="00B27E27" w:rsidRPr="00E07F85">
        <w:rPr>
          <w:rFonts w:cstheme="minorHAnsi"/>
          <w:sz w:val="24"/>
          <w:szCs w:val="24"/>
        </w:rPr>
        <w:t xml:space="preserve"> </w:t>
      </w:r>
    </w:p>
    <w:p w:rsidR="00B27E27" w:rsidRPr="00E07F85" w:rsidRDefault="00F940CB" w:rsidP="007B64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27E27" w:rsidRPr="00E07F85">
        <w:rPr>
          <w:rFonts w:cstheme="minorHAnsi"/>
          <w:sz w:val="24"/>
          <w:szCs w:val="24"/>
        </w:rPr>
        <w:t>lepšování životního prostředí a krajiny podporou ekologicky šetrných způsobů hospodaření s</w:t>
      </w:r>
      <w:r>
        <w:rPr>
          <w:rFonts w:cstheme="minorHAnsi"/>
          <w:sz w:val="24"/>
          <w:szCs w:val="24"/>
        </w:rPr>
        <w:t> </w:t>
      </w:r>
      <w:r w:rsidR="00B27E27" w:rsidRPr="00E07F85">
        <w:rPr>
          <w:rFonts w:cstheme="minorHAnsi"/>
          <w:sz w:val="24"/>
          <w:szCs w:val="24"/>
        </w:rPr>
        <w:t>půdou</w:t>
      </w:r>
      <w:r>
        <w:rPr>
          <w:rFonts w:cstheme="minorHAnsi"/>
          <w:sz w:val="24"/>
          <w:szCs w:val="24"/>
        </w:rPr>
        <w:t>;</w:t>
      </w:r>
      <w:r w:rsidR="00B27E27" w:rsidRPr="00E07F85">
        <w:rPr>
          <w:rFonts w:cstheme="minorHAnsi"/>
          <w:sz w:val="24"/>
          <w:szCs w:val="24"/>
        </w:rPr>
        <w:t xml:space="preserve"> </w:t>
      </w:r>
    </w:p>
    <w:p w:rsidR="00B27E27" w:rsidRPr="00E07F85" w:rsidRDefault="00F940CB" w:rsidP="00DD1C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27E27" w:rsidRPr="00E07F85">
        <w:rPr>
          <w:rFonts w:cstheme="minorHAnsi"/>
          <w:sz w:val="24"/>
          <w:szCs w:val="24"/>
        </w:rPr>
        <w:t xml:space="preserve">lepšování kvality života ve venkovských oblastech a povzbuzení diverzifikace hospodářské činnosti. </w:t>
      </w:r>
    </w:p>
    <w:p w:rsidR="00DD1C9C" w:rsidRDefault="00DD1C9C" w:rsidP="00DD1C9C">
      <w:pPr>
        <w:jc w:val="both"/>
        <w:rPr>
          <w:rFonts w:asciiTheme="minorHAnsi" w:hAnsiTheme="minorHAnsi" w:cstheme="minorHAnsi"/>
          <w:b/>
        </w:rPr>
      </w:pPr>
    </w:p>
    <w:p w:rsidR="00CE080A" w:rsidRPr="00D33D15" w:rsidRDefault="0065055A" w:rsidP="00DD1C9C">
      <w:pPr>
        <w:jc w:val="both"/>
        <w:rPr>
          <w:rFonts w:asciiTheme="minorHAnsi" w:hAnsiTheme="minorHAnsi" w:cstheme="minorHAnsi"/>
          <w:b/>
        </w:rPr>
      </w:pPr>
      <w:r w:rsidRPr="00D33D15">
        <w:rPr>
          <w:rFonts w:asciiTheme="minorHAnsi" w:hAnsiTheme="minorHAnsi" w:cstheme="minorHAnsi"/>
          <w:b/>
        </w:rPr>
        <w:t xml:space="preserve">Hlavní </w:t>
      </w:r>
      <w:r w:rsidR="001A5DB3" w:rsidRPr="00D33D15">
        <w:rPr>
          <w:rFonts w:asciiTheme="minorHAnsi" w:hAnsiTheme="minorHAnsi" w:cstheme="minorHAnsi"/>
          <w:b/>
        </w:rPr>
        <w:t xml:space="preserve">cíle </w:t>
      </w:r>
      <w:r w:rsidRPr="00D33D15">
        <w:rPr>
          <w:rFonts w:asciiTheme="minorHAnsi" w:hAnsiTheme="minorHAnsi" w:cstheme="minorHAnsi"/>
          <w:b/>
        </w:rPr>
        <w:t xml:space="preserve">NSPRV </w:t>
      </w:r>
      <w:r w:rsidR="00AE0D23" w:rsidRPr="00D33D15">
        <w:rPr>
          <w:rFonts w:asciiTheme="minorHAnsi" w:hAnsiTheme="minorHAnsi" w:cstheme="minorHAnsi"/>
          <w:b/>
        </w:rPr>
        <w:t>byly pro pozemkové úpravy</w:t>
      </w:r>
      <w:r w:rsidRPr="00D33D15">
        <w:rPr>
          <w:rFonts w:asciiTheme="minorHAnsi" w:hAnsiTheme="minorHAnsi" w:cstheme="minorHAnsi"/>
          <w:b/>
        </w:rPr>
        <w:t xml:space="preserve"> blíže </w:t>
      </w:r>
      <w:r w:rsidR="00AE0D23" w:rsidRPr="00D33D15">
        <w:rPr>
          <w:rFonts w:asciiTheme="minorHAnsi" w:hAnsiTheme="minorHAnsi" w:cstheme="minorHAnsi"/>
          <w:b/>
        </w:rPr>
        <w:t xml:space="preserve">specifikovány v PRV, </w:t>
      </w:r>
      <w:r w:rsidR="00F940CB">
        <w:rPr>
          <w:rFonts w:asciiTheme="minorHAnsi" w:hAnsiTheme="minorHAnsi" w:cstheme="minorHAnsi"/>
          <w:b/>
        </w:rPr>
        <w:t>konkrétně v </w:t>
      </w:r>
      <w:proofErr w:type="gramStart"/>
      <w:r w:rsidR="00AE0D23" w:rsidRPr="00D33D15">
        <w:rPr>
          <w:rFonts w:asciiTheme="minorHAnsi" w:hAnsiTheme="minorHAnsi" w:cstheme="minorHAnsi"/>
          <w:b/>
        </w:rPr>
        <w:t>opatření I.1.4</w:t>
      </w:r>
      <w:proofErr w:type="gramEnd"/>
      <w:r w:rsidR="00AE0D23" w:rsidRPr="00D33D15">
        <w:rPr>
          <w:rFonts w:asciiTheme="minorHAnsi" w:hAnsiTheme="minorHAnsi" w:cstheme="minorHAnsi"/>
          <w:b/>
        </w:rPr>
        <w:t>.</w:t>
      </w:r>
      <w:r w:rsidR="00B27E27" w:rsidRPr="00D33D15">
        <w:rPr>
          <w:rFonts w:asciiTheme="minorHAnsi" w:hAnsiTheme="minorHAnsi" w:cstheme="minorHAnsi"/>
          <w:b/>
        </w:rPr>
        <w:t xml:space="preserve"> </w:t>
      </w:r>
      <w:r w:rsidRPr="00D33D15">
        <w:rPr>
          <w:rFonts w:asciiTheme="minorHAnsi" w:hAnsiTheme="minorHAnsi" w:cstheme="minorHAnsi"/>
          <w:b/>
        </w:rPr>
        <w:t xml:space="preserve">Nastavené </w:t>
      </w:r>
      <w:r w:rsidR="00D52DD8" w:rsidRPr="00D33D15">
        <w:rPr>
          <w:rFonts w:asciiTheme="minorHAnsi" w:hAnsiTheme="minorHAnsi" w:cstheme="minorHAnsi"/>
          <w:b/>
        </w:rPr>
        <w:t>cíle</w:t>
      </w:r>
      <w:r w:rsidR="00E554FB" w:rsidRPr="00D33D15">
        <w:rPr>
          <w:rFonts w:asciiTheme="minorHAnsi" w:hAnsiTheme="minorHAnsi" w:cstheme="minorHAnsi"/>
          <w:b/>
        </w:rPr>
        <w:t xml:space="preserve"> jsou z </w:t>
      </w:r>
      <w:r w:rsidR="00CE080A" w:rsidRPr="00D33D15">
        <w:rPr>
          <w:rFonts w:asciiTheme="minorHAnsi" w:hAnsiTheme="minorHAnsi" w:cstheme="minorHAnsi"/>
          <w:b/>
        </w:rPr>
        <w:t xml:space="preserve">hlediska </w:t>
      </w:r>
      <w:r w:rsidR="00F940CB">
        <w:rPr>
          <w:rFonts w:asciiTheme="minorHAnsi" w:hAnsiTheme="minorHAnsi" w:cstheme="minorHAnsi"/>
          <w:b/>
        </w:rPr>
        <w:t>plnění</w:t>
      </w:r>
      <w:r w:rsidR="00CE080A" w:rsidRPr="00D33D15">
        <w:rPr>
          <w:rFonts w:asciiTheme="minorHAnsi" w:hAnsiTheme="minorHAnsi" w:cstheme="minorHAnsi"/>
          <w:b/>
        </w:rPr>
        <w:t xml:space="preserve"> velmi dlouhodobé a </w:t>
      </w:r>
      <w:r w:rsidR="00BE781A" w:rsidRPr="00D33D15">
        <w:rPr>
          <w:rFonts w:asciiTheme="minorHAnsi" w:hAnsiTheme="minorHAnsi" w:cstheme="minorHAnsi"/>
          <w:b/>
        </w:rPr>
        <w:t>ob</w:t>
      </w:r>
      <w:r w:rsidR="00CF6751" w:rsidRPr="00D33D15">
        <w:rPr>
          <w:rFonts w:asciiTheme="minorHAnsi" w:hAnsiTheme="minorHAnsi" w:cstheme="minorHAnsi"/>
          <w:b/>
        </w:rPr>
        <w:t>tížně</w:t>
      </w:r>
      <w:r w:rsidR="00CE080A" w:rsidRPr="00D33D15">
        <w:rPr>
          <w:rFonts w:asciiTheme="minorHAnsi" w:hAnsiTheme="minorHAnsi" w:cstheme="minorHAnsi"/>
          <w:b/>
        </w:rPr>
        <w:t xml:space="preserve"> měřitelné, což znesnadňuje jejich exaktní vyhodnocení ve střednědobém horizontu </w:t>
      </w:r>
      <w:r w:rsidR="004B5110" w:rsidRPr="00D33D15">
        <w:rPr>
          <w:rFonts w:asciiTheme="minorHAnsi" w:hAnsiTheme="minorHAnsi" w:cstheme="minorHAnsi"/>
          <w:b/>
        </w:rPr>
        <w:t xml:space="preserve">programového </w:t>
      </w:r>
      <w:r w:rsidR="00CE080A" w:rsidRPr="00D33D15">
        <w:rPr>
          <w:rFonts w:asciiTheme="minorHAnsi" w:hAnsiTheme="minorHAnsi" w:cstheme="minorHAnsi"/>
          <w:b/>
        </w:rPr>
        <w:t xml:space="preserve">období. </w:t>
      </w:r>
    </w:p>
    <w:p w:rsidR="009C5316" w:rsidRDefault="009C531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47B8F" w:rsidRDefault="00F47B8F" w:rsidP="00DD1C9C">
      <w:pPr>
        <w:jc w:val="both"/>
        <w:rPr>
          <w:rFonts w:asciiTheme="minorHAnsi" w:hAnsiTheme="minorHAnsi" w:cstheme="minorHAnsi"/>
        </w:rPr>
      </w:pPr>
    </w:p>
    <w:p w:rsidR="004D7DBE" w:rsidRPr="00E07F85" w:rsidRDefault="00193A16" w:rsidP="00CD52BB">
      <w:pPr>
        <w:pStyle w:val="Default"/>
        <w:keepNext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b/>
          <w:color w:val="auto"/>
        </w:rPr>
      </w:pPr>
      <w:r w:rsidRPr="00E07F85">
        <w:rPr>
          <w:rFonts w:asciiTheme="minorHAnsi" w:hAnsiTheme="minorHAnsi" w:cstheme="minorHAnsi"/>
          <w:b/>
          <w:color w:val="auto"/>
        </w:rPr>
        <w:t>Restrukturalizace pozemků a rozvoj půdního potenciálu</w:t>
      </w:r>
      <w:r w:rsidR="007357CA" w:rsidRPr="00E07F85">
        <w:rPr>
          <w:rFonts w:asciiTheme="minorHAnsi" w:hAnsiTheme="minorHAnsi" w:cstheme="minorHAnsi"/>
          <w:b/>
          <w:color w:val="auto"/>
        </w:rPr>
        <w:t xml:space="preserve">; </w:t>
      </w:r>
      <w:r w:rsidR="00F940CB">
        <w:rPr>
          <w:rFonts w:asciiTheme="minorHAnsi" w:hAnsiTheme="minorHAnsi" w:cstheme="minorHAnsi"/>
          <w:b/>
          <w:color w:val="auto"/>
        </w:rPr>
        <w:t>z</w:t>
      </w:r>
      <w:r w:rsidR="00D1414A" w:rsidRPr="00E07F85">
        <w:rPr>
          <w:rFonts w:asciiTheme="minorHAnsi" w:hAnsiTheme="minorHAnsi" w:cstheme="minorHAnsi"/>
          <w:b/>
          <w:color w:val="auto"/>
        </w:rPr>
        <w:t>výšení konkurenceschopnosti</w:t>
      </w:r>
    </w:p>
    <w:p w:rsidR="00561043" w:rsidRDefault="0065055A" w:rsidP="00DD1C9C">
      <w:pPr>
        <w:keepNext/>
        <w:jc w:val="both"/>
        <w:rPr>
          <w:rFonts w:asciiTheme="minorHAnsi" w:eastAsia="FrescoSans-Normal" w:hAnsiTheme="minorHAnsi" w:cstheme="minorHAnsi"/>
          <w:lang w:eastAsia="cs-CZ"/>
        </w:rPr>
      </w:pPr>
      <w:r w:rsidRPr="00D33D15">
        <w:rPr>
          <w:rFonts w:asciiTheme="minorHAnsi" w:eastAsia="FrescoSans-Normal" w:hAnsiTheme="minorHAnsi" w:cstheme="minorHAnsi"/>
          <w:lang w:eastAsia="cs-CZ"/>
        </w:rPr>
        <w:t xml:space="preserve">Ukončené 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>p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>ozemkov</w:t>
      </w:r>
      <w:r w:rsidRPr="00D33D15">
        <w:rPr>
          <w:rFonts w:asciiTheme="minorHAnsi" w:eastAsia="FrescoSans-Normal" w:hAnsiTheme="minorHAnsi" w:cstheme="minorHAnsi"/>
          <w:lang w:eastAsia="cs-CZ"/>
        </w:rPr>
        <w:t>é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 xml:space="preserve"> úprav</w:t>
      </w:r>
      <w:r w:rsidRPr="00D33D15">
        <w:rPr>
          <w:rFonts w:asciiTheme="minorHAnsi" w:eastAsia="FrescoSans-Normal" w:hAnsiTheme="minorHAnsi" w:cstheme="minorHAnsi"/>
          <w:lang w:eastAsia="cs-CZ"/>
        </w:rPr>
        <w:t>y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>,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 xml:space="preserve"> 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 xml:space="preserve">zejména 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>identifikac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>e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 xml:space="preserve"> pozemků a jejich vlastníků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>,</w:t>
      </w:r>
      <w:r w:rsidR="00561043" w:rsidRPr="00D33D15">
        <w:rPr>
          <w:rFonts w:asciiTheme="minorHAnsi" w:hAnsiTheme="minorHAnsi" w:cstheme="minorHAnsi"/>
        </w:rPr>
        <w:t xml:space="preserve"> slouží jako podklad pro obnovu katastrálního operátu</w:t>
      </w:r>
      <w:r w:rsidR="000F08F1" w:rsidRPr="00D33D15">
        <w:rPr>
          <w:rFonts w:asciiTheme="minorHAnsi" w:hAnsiTheme="minorHAnsi" w:cstheme="minorHAnsi"/>
        </w:rPr>
        <w:t>. N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>avržením optimálního tvaru pozemků a </w:t>
      </w:r>
      <w:r w:rsidR="00F940CB">
        <w:rPr>
          <w:rFonts w:asciiTheme="minorHAnsi" w:eastAsia="FrescoSans-Normal" w:hAnsiTheme="minorHAnsi" w:cstheme="minorHAnsi"/>
          <w:lang w:eastAsia="cs-CZ"/>
        </w:rPr>
        <w:t xml:space="preserve">poskytnutím </w:t>
      </w:r>
      <w:r w:rsidR="00561043" w:rsidRPr="00D33D15">
        <w:rPr>
          <w:rFonts w:asciiTheme="minorHAnsi" w:eastAsia="FrescoSans-Normal" w:hAnsiTheme="minorHAnsi" w:cstheme="minorHAnsi"/>
          <w:lang w:eastAsia="cs-CZ"/>
        </w:rPr>
        <w:t>možnosti snadného vytyčení pozemků v terénu vytvářejí podmínky pro racionální hospoda</w:t>
      </w:r>
      <w:r w:rsidR="000F08F1" w:rsidRPr="00D33D15">
        <w:rPr>
          <w:rFonts w:asciiTheme="minorHAnsi" w:eastAsia="FrescoSans-Normal" w:hAnsiTheme="minorHAnsi" w:cstheme="minorHAnsi"/>
          <w:lang w:eastAsia="cs-CZ"/>
        </w:rPr>
        <w:t>ření a pro rozvoj trhu s půdou.</w:t>
      </w:r>
    </w:p>
    <w:p w:rsidR="00DD1C9C" w:rsidRPr="00D33D15" w:rsidRDefault="00DD1C9C" w:rsidP="00DD1C9C">
      <w:pPr>
        <w:keepNext/>
        <w:jc w:val="both"/>
        <w:rPr>
          <w:rFonts w:asciiTheme="minorHAnsi" w:eastAsia="FrescoSans-Normal" w:hAnsiTheme="minorHAnsi" w:cstheme="minorHAnsi"/>
          <w:lang w:eastAsia="cs-CZ"/>
        </w:rPr>
      </w:pPr>
    </w:p>
    <w:p w:rsidR="00E52384" w:rsidRDefault="00E52384" w:rsidP="007B6490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Pozemkové úřady v průběhu správního řízení </w:t>
      </w:r>
      <w:r w:rsidR="003D7C6D" w:rsidRPr="007B6490">
        <w:rPr>
          <w:rFonts w:asciiTheme="minorHAnsi" w:hAnsiTheme="minorHAnsi" w:cstheme="minorHAnsi"/>
        </w:rPr>
        <w:t xml:space="preserve">mj. </w:t>
      </w:r>
      <w:r w:rsidRPr="007B6490">
        <w:rPr>
          <w:rFonts w:asciiTheme="minorHAnsi" w:hAnsiTheme="minorHAnsi" w:cstheme="minorHAnsi"/>
        </w:rPr>
        <w:t xml:space="preserve">řeší majetkoprávní vztahy, duplicitní zápisy vlastnictví k pozemkům, </w:t>
      </w:r>
      <w:r w:rsidR="003D7C6D" w:rsidRPr="007B6490">
        <w:rPr>
          <w:rFonts w:asciiTheme="minorHAnsi" w:hAnsiTheme="minorHAnsi" w:cstheme="minorHAnsi"/>
        </w:rPr>
        <w:t xml:space="preserve">dávají podnět k dodatečnému projednání dědictví </w:t>
      </w:r>
      <w:r w:rsidRPr="007B6490">
        <w:rPr>
          <w:rFonts w:asciiTheme="minorHAnsi" w:hAnsiTheme="minorHAnsi" w:cstheme="minorHAnsi"/>
        </w:rPr>
        <w:t>po vlastníkovi, jehož pozemky jsou dotčeny řízením o pozemkových úpravách</w:t>
      </w:r>
      <w:r w:rsidR="00F940CB">
        <w:rPr>
          <w:rFonts w:asciiTheme="minorHAnsi" w:hAnsiTheme="minorHAnsi" w:cstheme="minorHAnsi"/>
        </w:rPr>
        <w:t>,</w:t>
      </w:r>
      <w:r w:rsidRPr="007B6490">
        <w:rPr>
          <w:rFonts w:asciiTheme="minorHAnsi" w:hAnsiTheme="minorHAnsi" w:cstheme="minorHAnsi"/>
        </w:rPr>
        <w:t xml:space="preserve"> a v návrhu nového uspořádání pozemků scelují roztříštěnost zemědělského půdního fondu</w:t>
      </w:r>
      <w:r w:rsidR="003E5DC7" w:rsidRPr="00D662C7">
        <w:rPr>
          <w:rStyle w:val="Znakapoznpodarou"/>
          <w:rFonts w:asciiTheme="minorHAnsi" w:hAnsiTheme="minorHAnsi" w:cstheme="minorHAnsi"/>
        </w:rPr>
        <w:footnoteReference w:id="5"/>
      </w:r>
      <w:r w:rsidRPr="00D662C7">
        <w:rPr>
          <w:rFonts w:asciiTheme="minorHAnsi" w:hAnsiTheme="minorHAnsi" w:cstheme="minorHAnsi"/>
        </w:rPr>
        <w:t>.</w:t>
      </w:r>
      <w:r w:rsidRPr="007B6490">
        <w:rPr>
          <w:rFonts w:asciiTheme="minorHAnsi" w:hAnsiTheme="minorHAnsi" w:cstheme="minorHAnsi"/>
        </w:rPr>
        <w:t xml:space="preserve"> Rozhodnutí</w:t>
      </w:r>
      <w:r w:rsidR="005C4F91" w:rsidRPr="007B6490">
        <w:rPr>
          <w:rFonts w:asciiTheme="minorHAnsi" w:hAnsiTheme="minorHAnsi" w:cstheme="minorHAnsi"/>
        </w:rPr>
        <w:t>m</w:t>
      </w:r>
      <w:r w:rsidRPr="007B6490">
        <w:rPr>
          <w:rFonts w:asciiTheme="minorHAnsi" w:hAnsiTheme="minorHAnsi" w:cstheme="minorHAnsi"/>
        </w:rPr>
        <w:t xml:space="preserve"> pozemkového úřadu o výměně nebo přechodu vlastnických práv </w:t>
      </w:r>
      <w:r w:rsidR="005C4F91" w:rsidRPr="007B6490">
        <w:rPr>
          <w:rFonts w:asciiTheme="minorHAnsi" w:hAnsiTheme="minorHAnsi" w:cstheme="minorHAnsi"/>
        </w:rPr>
        <w:t>je pozemková úprava ukončena</w:t>
      </w:r>
      <w:r w:rsidR="001B0C6D" w:rsidRPr="007B6490">
        <w:rPr>
          <w:rFonts w:asciiTheme="minorHAnsi" w:hAnsiTheme="minorHAnsi" w:cstheme="minorHAnsi"/>
        </w:rPr>
        <w:t xml:space="preserve"> a </w:t>
      </w:r>
      <w:r w:rsidR="007E6230" w:rsidRPr="007B6490">
        <w:rPr>
          <w:rFonts w:asciiTheme="minorHAnsi" w:hAnsiTheme="minorHAnsi" w:cstheme="minorHAnsi"/>
        </w:rPr>
        <w:t xml:space="preserve">slouží </w:t>
      </w:r>
      <w:r w:rsidR="00F940CB" w:rsidRPr="007B6490">
        <w:rPr>
          <w:rFonts w:asciiTheme="minorHAnsi" w:hAnsiTheme="minorHAnsi" w:cstheme="minorHAnsi"/>
        </w:rPr>
        <w:t>příslušnému katastrálnímu úřadu</w:t>
      </w:r>
      <w:r w:rsidR="00F940CB">
        <w:rPr>
          <w:rFonts w:asciiTheme="minorHAnsi" w:hAnsiTheme="minorHAnsi" w:cstheme="minorHAnsi"/>
        </w:rPr>
        <w:t xml:space="preserve"> </w:t>
      </w:r>
      <w:r w:rsidR="001B0C6D" w:rsidRPr="007B6490">
        <w:rPr>
          <w:rFonts w:asciiTheme="minorHAnsi" w:hAnsiTheme="minorHAnsi" w:cstheme="minorHAnsi"/>
        </w:rPr>
        <w:t>jako podklad pro obnovu katastrálního operátu</w:t>
      </w:r>
      <w:r w:rsidR="001B17F4" w:rsidRPr="007B6490">
        <w:rPr>
          <w:rStyle w:val="Znakapoznpodarou"/>
          <w:rFonts w:asciiTheme="minorHAnsi" w:eastAsiaTheme="majorEastAsia" w:hAnsiTheme="minorHAnsi" w:cstheme="minorHAnsi"/>
        </w:rPr>
        <w:footnoteReference w:id="6"/>
      </w:r>
      <w:r w:rsidR="004B050E"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7B6490">
      <w:pPr>
        <w:jc w:val="both"/>
        <w:rPr>
          <w:rFonts w:asciiTheme="minorHAnsi" w:hAnsiTheme="minorHAnsi" w:cstheme="minorHAnsi"/>
        </w:rPr>
      </w:pPr>
    </w:p>
    <w:p w:rsidR="00E52384" w:rsidRDefault="00F940CB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NKÚ </w:t>
      </w:r>
      <w:r>
        <w:rPr>
          <w:rFonts w:asciiTheme="minorHAnsi" w:eastAsia="FrescoSans-Normal" w:hAnsiTheme="minorHAnsi" w:cstheme="minorHAnsi"/>
          <w:lang w:eastAsia="cs-CZ"/>
        </w:rPr>
        <w:t>n</w:t>
      </w:r>
      <w:r w:rsidR="00E52384" w:rsidRPr="007B6490">
        <w:rPr>
          <w:rFonts w:asciiTheme="minorHAnsi" w:hAnsiTheme="minorHAnsi" w:cstheme="minorHAnsi"/>
        </w:rPr>
        <w:t>a vzorku deseti komplexních pozemkových úprav</w:t>
      </w:r>
      <w:r w:rsidR="00531B5B" w:rsidRPr="007B6490">
        <w:rPr>
          <w:rFonts w:asciiTheme="minorHAnsi" w:hAnsiTheme="minorHAnsi" w:cstheme="minorHAnsi"/>
        </w:rPr>
        <w:t xml:space="preserve"> </w:t>
      </w:r>
      <w:r w:rsidR="00E52384" w:rsidRPr="007B6490">
        <w:rPr>
          <w:rFonts w:asciiTheme="minorHAnsi" w:hAnsiTheme="minorHAnsi" w:cstheme="minorHAnsi"/>
        </w:rPr>
        <w:t xml:space="preserve">ověřil, že všechny </w:t>
      </w:r>
      <w:r w:rsidR="00514316" w:rsidRPr="007B6490">
        <w:rPr>
          <w:rFonts w:asciiTheme="minorHAnsi" w:hAnsiTheme="minorHAnsi" w:cstheme="minorHAnsi"/>
        </w:rPr>
        <w:t>byly</w:t>
      </w:r>
      <w:r w:rsidR="00E52384" w:rsidRPr="007B6490">
        <w:rPr>
          <w:rFonts w:asciiTheme="minorHAnsi" w:hAnsiTheme="minorHAnsi" w:cstheme="minorHAnsi"/>
        </w:rPr>
        <w:t xml:space="preserve"> řádně zapsány do katastru nemovitostí</w:t>
      </w:r>
      <w:r w:rsidR="001B0C6D" w:rsidRPr="007B6490">
        <w:rPr>
          <w:rFonts w:asciiTheme="minorHAnsi" w:hAnsiTheme="minorHAnsi" w:cstheme="minorHAnsi"/>
        </w:rPr>
        <w:t xml:space="preserve"> a</w:t>
      </w:r>
      <w:r w:rsidR="00E52384" w:rsidRPr="007B6490">
        <w:rPr>
          <w:rFonts w:asciiTheme="minorHAnsi" w:hAnsiTheme="minorHAnsi" w:cstheme="minorHAnsi"/>
        </w:rPr>
        <w:t xml:space="preserve"> na dotčených územích vznikla nová digitální katastrální mapa umožňující kdykoliv snadné vytyčení pozemků v terénu. </w:t>
      </w:r>
    </w:p>
    <w:p w:rsidR="00D33D15" w:rsidRPr="007B6490" w:rsidRDefault="00D33D15" w:rsidP="00DD1C9C">
      <w:pPr>
        <w:jc w:val="both"/>
        <w:rPr>
          <w:rFonts w:asciiTheme="minorHAnsi" w:hAnsiTheme="minorHAnsi" w:cstheme="minorHAnsi"/>
        </w:rPr>
      </w:pPr>
    </w:p>
    <w:p w:rsidR="00DE22EE" w:rsidRPr="007B6490" w:rsidRDefault="00D1414A" w:rsidP="00CD52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FrescoSans-Normal" w:cstheme="minorHAnsi"/>
          <w:b/>
          <w:sz w:val="24"/>
          <w:szCs w:val="24"/>
          <w:lang w:eastAsia="cs-CZ"/>
        </w:rPr>
      </w:pPr>
      <w:r w:rsidRPr="007B6490">
        <w:rPr>
          <w:rFonts w:cstheme="minorHAnsi"/>
          <w:b/>
          <w:sz w:val="24"/>
          <w:szCs w:val="24"/>
        </w:rPr>
        <w:t xml:space="preserve">Vývoj rozsahu realizovaných </w:t>
      </w:r>
      <w:r w:rsidR="00492B5A" w:rsidRPr="007B6490">
        <w:rPr>
          <w:rFonts w:cstheme="minorHAnsi"/>
          <w:b/>
          <w:sz w:val="24"/>
          <w:szCs w:val="24"/>
        </w:rPr>
        <w:t xml:space="preserve">komplexních </w:t>
      </w:r>
      <w:r w:rsidR="0098499C" w:rsidRPr="007B6490">
        <w:rPr>
          <w:rFonts w:cstheme="minorHAnsi"/>
          <w:b/>
          <w:sz w:val="24"/>
          <w:szCs w:val="24"/>
        </w:rPr>
        <w:t>pozemkových úprav</w:t>
      </w:r>
      <w:r w:rsidRPr="007B6490">
        <w:rPr>
          <w:rFonts w:eastAsia="FrescoSans-Normal" w:cstheme="minorHAnsi"/>
          <w:b/>
          <w:sz w:val="24"/>
          <w:szCs w:val="24"/>
          <w:lang w:eastAsia="cs-CZ"/>
        </w:rPr>
        <w:t xml:space="preserve"> </w:t>
      </w:r>
    </w:p>
    <w:p w:rsidR="009503F5" w:rsidRDefault="004E585B" w:rsidP="007B64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cs-CZ"/>
        </w:rPr>
      </w:pPr>
      <w:r w:rsidRPr="007B6490">
        <w:rPr>
          <w:rFonts w:asciiTheme="minorHAnsi" w:hAnsiTheme="minorHAnsi" w:cstheme="minorHAnsi"/>
          <w:b/>
          <w:lang w:eastAsia="cs-CZ"/>
        </w:rPr>
        <w:t>NSPRV a následně PRV stan</w:t>
      </w:r>
      <w:r w:rsidR="00263113" w:rsidRPr="007B6490">
        <w:rPr>
          <w:rFonts w:asciiTheme="minorHAnsi" w:hAnsiTheme="minorHAnsi" w:cstheme="minorHAnsi"/>
          <w:b/>
          <w:lang w:eastAsia="cs-CZ"/>
        </w:rPr>
        <w:t>ovil</w:t>
      </w:r>
      <w:r w:rsidR="00F940CB">
        <w:rPr>
          <w:rFonts w:asciiTheme="minorHAnsi" w:hAnsiTheme="minorHAnsi" w:cstheme="minorHAnsi"/>
          <w:b/>
          <w:lang w:eastAsia="cs-CZ"/>
        </w:rPr>
        <w:t>y</w:t>
      </w:r>
      <w:r w:rsidR="00263113" w:rsidRPr="007B6490">
        <w:rPr>
          <w:rFonts w:asciiTheme="minorHAnsi" w:hAnsiTheme="minorHAnsi" w:cstheme="minorHAnsi"/>
          <w:b/>
          <w:lang w:eastAsia="cs-CZ"/>
        </w:rPr>
        <w:t xml:space="preserve"> pro programové období 2007–</w:t>
      </w:r>
      <w:r w:rsidRPr="007B6490">
        <w:rPr>
          <w:rFonts w:asciiTheme="minorHAnsi" w:hAnsiTheme="minorHAnsi" w:cstheme="minorHAnsi"/>
          <w:b/>
          <w:lang w:eastAsia="cs-CZ"/>
        </w:rPr>
        <w:t>201</w:t>
      </w:r>
      <w:r w:rsidR="00CA6FCC" w:rsidRPr="007B6490">
        <w:rPr>
          <w:rFonts w:asciiTheme="minorHAnsi" w:hAnsiTheme="minorHAnsi" w:cstheme="minorHAnsi"/>
          <w:b/>
          <w:lang w:eastAsia="cs-CZ"/>
        </w:rPr>
        <w:t>3</w:t>
      </w:r>
      <w:r w:rsidRPr="007B6490">
        <w:rPr>
          <w:rFonts w:asciiTheme="minorHAnsi" w:hAnsiTheme="minorHAnsi" w:cstheme="minorHAnsi"/>
          <w:b/>
          <w:lang w:eastAsia="cs-CZ"/>
        </w:rPr>
        <w:t xml:space="preserve"> požadavek na p</w:t>
      </w:r>
      <w:r w:rsidR="00BA77F2" w:rsidRPr="007B6490">
        <w:rPr>
          <w:rFonts w:asciiTheme="minorHAnsi" w:hAnsiTheme="minorHAnsi" w:cstheme="minorHAnsi"/>
          <w:b/>
          <w:lang w:eastAsia="cs-CZ"/>
        </w:rPr>
        <w:t xml:space="preserve">řírůstek ploch s </w:t>
      </w:r>
      <w:r w:rsidR="00E53ED5" w:rsidRPr="007B6490">
        <w:rPr>
          <w:rFonts w:asciiTheme="minorHAnsi" w:hAnsiTheme="minorHAnsi" w:cstheme="minorHAnsi"/>
          <w:b/>
          <w:lang w:eastAsia="cs-CZ"/>
        </w:rPr>
        <w:t>realizovanými</w:t>
      </w:r>
      <w:r w:rsidR="00B5690C" w:rsidRPr="007B6490">
        <w:rPr>
          <w:rFonts w:asciiTheme="minorHAnsi" w:hAnsiTheme="minorHAnsi" w:cstheme="minorHAnsi"/>
          <w:b/>
          <w:lang w:eastAsia="cs-CZ"/>
        </w:rPr>
        <w:t xml:space="preserve"> </w:t>
      </w:r>
      <w:r w:rsidR="00B5690C" w:rsidRPr="007B6490">
        <w:rPr>
          <w:rFonts w:asciiTheme="minorHAnsi" w:eastAsia="FrescoSans-Normal" w:hAnsiTheme="minorHAnsi" w:cstheme="minorHAnsi"/>
          <w:b/>
          <w:lang w:eastAsia="cs-CZ"/>
        </w:rPr>
        <w:t>pozemkový</w:t>
      </w:r>
      <w:r w:rsidR="00E53ED5" w:rsidRPr="007B6490">
        <w:rPr>
          <w:rFonts w:asciiTheme="minorHAnsi" w:eastAsia="FrescoSans-Normal" w:hAnsiTheme="minorHAnsi" w:cstheme="minorHAnsi"/>
          <w:b/>
          <w:lang w:eastAsia="cs-CZ"/>
        </w:rPr>
        <w:t>mi</w:t>
      </w:r>
      <w:r w:rsidR="00B5690C" w:rsidRPr="007B6490">
        <w:rPr>
          <w:rFonts w:asciiTheme="minorHAnsi" w:eastAsia="FrescoSans-Normal" w:hAnsiTheme="minorHAnsi" w:cstheme="minorHAnsi"/>
          <w:b/>
          <w:lang w:eastAsia="cs-CZ"/>
        </w:rPr>
        <w:t xml:space="preserve"> úprav</w:t>
      </w:r>
      <w:r w:rsidR="00E53ED5" w:rsidRPr="007B6490">
        <w:rPr>
          <w:rFonts w:asciiTheme="minorHAnsi" w:eastAsia="FrescoSans-Normal" w:hAnsiTheme="minorHAnsi" w:cstheme="minorHAnsi"/>
          <w:b/>
          <w:lang w:eastAsia="cs-CZ"/>
        </w:rPr>
        <w:t>ami</w:t>
      </w:r>
      <w:r w:rsidR="00CF6751" w:rsidRPr="007B6490">
        <w:rPr>
          <w:rFonts w:asciiTheme="minorHAnsi" w:eastAsia="FrescoSans-Normal" w:hAnsiTheme="minorHAnsi" w:cstheme="minorHAnsi"/>
          <w:b/>
          <w:lang w:eastAsia="cs-CZ"/>
        </w:rPr>
        <w:t xml:space="preserve"> </w:t>
      </w:r>
      <w:r w:rsidRPr="007B6490">
        <w:rPr>
          <w:rFonts w:asciiTheme="minorHAnsi" w:eastAsia="FrescoSans-Normal" w:hAnsiTheme="minorHAnsi" w:cstheme="minorHAnsi"/>
          <w:b/>
          <w:lang w:eastAsia="cs-CZ"/>
        </w:rPr>
        <w:t>o 8 procentních bodů</w:t>
      </w:r>
      <w:r w:rsidR="00860B58" w:rsidRPr="007B6490">
        <w:rPr>
          <w:rFonts w:asciiTheme="minorHAnsi" w:eastAsia="FrescoSans-Normal" w:hAnsiTheme="minorHAnsi" w:cstheme="minorHAnsi"/>
          <w:b/>
          <w:lang w:eastAsia="cs-CZ"/>
        </w:rPr>
        <w:t xml:space="preserve"> </w:t>
      </w:r>
      <w:r w:rsidR="00860B58" w:rsidRPr="007B6490">
        <w:rPr>
          <w:rFonts w:asciiTheme="minorHAnsi" w:eastAsia="FrescoSans-Normal" w:hAnsiTheme="minorHAnsi" w:cstheme="minorHAnsi"/>
          <w:lang w:eastAsia="cs-CZ"/>
        </w:rPr>
        <w:t>(dále jen „</w:t>
      </w:r>
      <w:proofErr w:type="spellStart"/>
      <w:proofErr w:type="gramStart"/>
      <w:r w:rsidR="00860B58" w:rsidRPr="007B6490">
        <w:rPr>
          <w:rFonts w:asciiTheme="minorHAnsi" w:eastAsia="FrescoSans-Normal" w:hAnsiTheme="minorHAnsi" w:cstheme="minorHAnsi"/>
          <w:lang w:eastAsia="cs-CZ"/>
        </w:rPr>
        <w:t>p.b</w:t>
      </w:r>
      <w:proofErr w:type="spellEnd"/>
      <w:r w:rsidR="00860B58" w:rsidRPr="007B6490">
        <w:rPr>
          <w:rFonts w:asciiTheme="minorHAnsi" w:eastAsia="FrescoSans-Normal" w:hAnsiTheme="minorHAnsi" w:cstheme="minorHAnsi"/>
          <w:lang w:eastAsia="cs-CZ"/>
        </w:rPr>
        <w:t>.“)</w:t>
      </w:r>
      <w:r w:rsidRPr="007B6490">
        <w:rPr>
          <w:rFonts w:asciiTheme="minorHAnsi" w:eastAsia="FrescoSans-Normal" w:hAnsiTheme="minorHAnsi" w:cstheme="minorHAnsi"/>
          <w:lang w:eastAsia="cs-CZ"/>
        </w:rPr>
        <w:t>.</w:t>
      </w:r>
      <w:proofErr w:type="gramEnd"/>
      <w:r w:rsidR="009503F5" w:rsidRPr="007B6490">
        <w:rPr>
          <w:rFonts w:asciiTheme="minorHAnsi" w:hAnsiTheme="minorHAnsi" w:cstheme="minorHAnsi"/>
          <w:b/>
          <w:lang w:eastAsia="cs-CZ"/>
        </w:rPr>
        <w:t xml:space="preserve"> </w:t>
      </w:r>
      <w:proofErr w:type="spellStart"/>
      <w:r w:rsidR="009503F5" w:rsidRPr="007B6490">
        <w:rPr>
          <w:rFonts w:asciiTheme="minorHAnsi" w:hAnsiTheme="minorHAnsi" w:cstheme="minorHAnsi"/>
          <w:b/>
          <w:lang w:eastAsia="cs-CZ"/>
        </w:rPr>
        <w:t>MZe</w:t>
      </w:r>
      <w:proofErr w:type="spellEnd"/>
      <w:r w:rsidR="009503F5" w:rsidRPr="007B6490">
        <w:rPr>
          <w:rFonts w:asciiTheme="minorHAnsi" w:hAnsiTheme="minorHAnsi" w:cstheme="minorHAnsi"/>
          <w:b/>
          <w:lang w:eastAsia="cs-CZ"/>
        </w:rPr>
        <w:t xml:space="preserve"> vykázalo </w:t>
      </w:r>
      <w:r w:rsidR="00C45E4A" w:rsidRPr="007B6490">
        <w:rPr>
          <w:rFonts w:asciiTheme="minorHAnsi" w:hAnsiTheme="minorHAnsi" w:cstheme="minorHAnsi"/>
          <w:b/>
          <w:lang w:eastAsia="cs-CZ"/>
        </w:rPr>
        <w:t>ke dni 31. 12. 2014 s</w:t>
      </w:r>
      <w:r w:rsidR="009503F5" w:rsidRPr="007B6490">
        <w:rPr>
          <w:rFonts w:asciiTheme="minorHAnsi" w:hAnsiTheme="minorHAnsi" w:cstheme="minorHAnsi"/>
          <w:b/>
          <w:lang w:eastAsia="cs-CZ"/>
        </w:rPr>
        <w:t xml:space="preserve">plnění tohoto cíle ve výši 13 </w:t>
      </w:r>
      <w:proofErr w:type="spellStart"/>
      <w:proofErr w:type="gramStart"/>
      <w:r w:rsidR="00860B58" w:rsidRPr="007B6490">
        <w:rPr>
          <w:rFonts w:asciiTheme="minorHAnsi" w:hAnsiTheme="minorHAnsi" w:cstheme="minorHAnsi"/>
          <w:b/>
          <w:lang w:eastAsia="cs-CZ"/>
        </w:rPr>
        <w:t>p.b</w:t>
      </w:r>
      <w:proofErr w:type="spellEnd"/>
      <w:r w:rsidR="00860B58" w:rsidRPr="007B6490">
        <w:rPr>
          <w:rFonts w:asciiTheme="minorHAnsi" w:hAnsiTheme="minorHAnsi" w:cstheme="minorHAnsi"/>
          <w:b/>
          <w:lang w:eastAsia="cs-CZ"/>
        </w:rPr>
        <w:t>.</w:t>
      </w:r>
      <w:r w:rsidR="007E6230" w:rsidRPr="007B6490">
        <w:rPr>
          <w:rFonts w:asciiTheme="minorHAnsi" w:hAnsiTheme="minorHAnsi" w:cstheme="minorHAnsi"/>
          <w:b/>
          <w:lang w:eastAsia="cs-CZ"/>
        </w:rPr>
        <w:t xml:space="preserve"> – viz</w:t>
      </w:r>
      <w:proofErr w:type="gramEnd"/>
      <w:r w:rsidR="007E6230" w:rsidRPr="007B6490">
        <w:rPr>
          <w:rFonts w:asciiTheme="minorHAnsi" w:hAnsiTheme="minorHAnsi" w:cstheme="minorHAnsi"/>
          <w:b/>
          <w:lang w:eastAsia="cs-CZ"/>
        </w:rPr>
        <w:t xml:space="preserve"> tab</w:t>
      </w:r>
      <w:r w:rsidR="006152CC">
        <w:rPr>
          <w:rFonts w:asciiTheme="minorHAnsi" w:hAnsiTheme="minorHAnsi" w:cstheme="minorHAnsi"/>
          <w:b/>
          <w:lang w:eastAsia="cs-CZ"/>
        </w:rPr>
        <w:t>ulka</w:t>
      </w:r>
      <w:r w:rsidR="007E6230" w:rsidRPr="007B6490">
        <w:rPr>
          <w:rFonts w:asciiTheme="minorHAnsi" w:hAnsiTheme="minorHAnsi" w:cstheme="minorHAnsi"/>
          <w:b/>
          <w:lang w:eastAsia="cs-CZ"/>
        </w:rPr>
        <w:t xml:space="preserve"> č.</w:t>
      </w:r>
      <w:r w:rsidR="006152CC">
        <w:rPr>
          <w:rFonts w:asciiTheme="minorHAnsi" w:hAnsiTheme="minorHAnsi" w:cstheme="minorHAnsi"/>
          <w:b/>
          <w:lang w:eastAsia="cs-CZ"/>
        </w:rPr>
        <w:t> </w:t>
      </w:r>
      <w:r w:rsidR="007E6230" w:rsidRPr="007B6490">
        <w:rPr>
          <w:rFonts w:asciiTheme="minorHAnsi" w:hAnsiTheme="minorHAnsi" w:cstheme="minorHAnsi"/>
          <w:b/>
          <w:lang w:eastAsia="cs-CZ"/>
        </w:rPr>
        <w:t>6</w:t>
      </w:r>
      <w:r w:rsidR="009503F5" w:rsidRPr="007B6490">
        <w:rPr>
          <w:rFonts w:asciiTheme="minorHAnsi" w:hAnsiTheme="minorHAnsi" w:cstheme="minorHAnsi"/>
          <w:b/>
          <w:lang w:eastAsia="cs-CZ"/>
        </w:rPr>
        <w:t>.</w:t>
      </w:r>
      <w:r w:rsidR="000F08F1" w:rsidRPr="007B6490">
        <w:rPr>
          <w:rFonts w:asciiTheme="minorHAnsi" w:hAnsiTheme="minorHAnsi" w:cstheme="minorHAnsi"/>
          <w:b/>
          <w:lang w:eastAsia="cs-CZ"/>
        </w:rPr>
        <w:t xml:space="preserve"> </w:t>
      </w:r>
      <w:r w:rsidR="009503F5" w:rsidRPr="007B6490">
        <w:rPr>
          <w:rFonts w:asciiTheme="minorHAnsi" w:hAnsiTheme="minorHAnsi" w:cstheme="minorHAnsi"/>
          <w:b/>
          <w:lang w:eastAsia="cs-CZ"/>
        </w:rPr>
        <w:t xml:space="preserve">Vykazovaná hodnota </w:t>
      </w:r>
      <w:r w:rsidR="006152CC" w:rsidRPr="007B6490">
        <w:rPr>
          <w:rFonts w:asciiTheme="minorHAnsi" w:hAnsiTheme="minorHAnsi" w:cstheme="minorHAnsi"/>
          <w:b/>
          <w:lang w:eastAsia="cs-CZ"/>
        </w:rPr>
        <w:t xml:space="preserve">ale </w:t>
      </w:r>
      <w:r w:rsidR="009503F5" w:rsidRPr="007B6490">
        <w:rPr>
          <w:rFonts w:asciiTheme="minorHAnsi" w:hAnsiTheme="minorHAnsi" w:cstheme="minorHAnsi"/>
          <w:b/>
          <w:lang w:eastAsia="cs-CZ"/>
        </w:rPr>
        <w:t xml:space="preserve">vyjadřovala </w:t>
      </w:r>
      <w:r w:rsidRPr="007B6490">
        <w:rPr>
          <w:rFonts w:asciiTheme="minorHAnsi" w:hAnsiTheme="minorHAnsi" w:cstheme="minorHAnsi"/>
          <w:b/>
          <w:lang w:eastAsia="cs-CZ"/>
        </w:rPr>
        <w:t xml:space="preserve">nárůst ploch s pozemkovými úpravami </w:t>
      </w:r>
      <w:r w:rsidR="006152CC">
        <w:rPr>
          <w:rFonts w:asciiTheme="minorHAnsi" w:hAnsiTheme="minorHAnsi" w:cstheme="minorHAnsi"/>
          <w:b/>
          <w:lang w:eastAsia="cs-CZ"/>
        </w:rPr>
        <w:t xml:space="preserve">s vydaným </w:t>
      </w:r>
      <w:r w:rsidRPr="007B6490">
        <w:rPr>
          <w:rFonts w:asciiTheme="minorHAnsi" w:hAnsiTheme="minorHAnsi" w:cstheme="minorHAnsi"/>
          <w:b/>
          <w:lang w:eastAsia="cs-CZ"/>
        </w:rPr>
        <w:t>pravomocným rozhodnutím o výměně nebo přechodu vlastnických práv</w:t>
      </w:r>
      <w:r w:rsidR="006152CC">
        <w:rPr>
          <w:rFonts w:asciiTheme="minorHAnsi" w:hAnsiTheme="minorHAnsi" w:cstheme="minorHAnsi"/>
          <w:b/>
          <w:lang w:eastAsia="cs-CZ"/>
        </w:rPr>
        <w:t>,</w:t>
      </w:r>
      <w:r w:rsidRPr="007B6490">
        <w:rPr>
          <w:rFonts w:asciiTheme="minorHAnsi" w:hAnsiTheme="minorHAnsi" w:cstheme="minorHAnsi"/>
          <w:b/>
          <w:lang w:eastAsia="cs-CZ"/>
        </w:rPr>
        <w:t xml:space="preserve"> </w:t>
      </w:r>
      <w:r w:rsidR="00C45E4A" w:rsidRPr="007B6490">
        <w:rPr>
          <w:rFonts w:asciiTheme="minorHAnsi" w:hAnsiTheme="minorHAnsi" w:cstheme="minorHAnsi"/>
          <w:b/>
          <w:lang w:eastAsia="cs-CZ"/>
        </w:rPr>
        <w:t>a</w:t>
      </w:r>
      <w:r w:rsidR="00C90283">
        <w:rPr>
          <w:rFonts w:asciiTheme="minorHAnsi" w:hAnsiTheme="minorHAnsi" w:cstheme="minorHAnsi"/>
          <w:b/>
          <w:lang w:eastAsia="cs-CZ"/>
        </w:rPr>
        <w:t> </w:t>
      </w:r>
      <w:r w:rsidR="00C45E4A" w:rsidRPr="007B6490">
        <w:rPr>
          <w:rFonts w:asciiTheme="minorHAnsi" w:hAnsiTheme="minorHAnsi" w:cstheme="minorHAnsi"/>
          <w:b/>
          <w:lang w:eastAsia="cs-CZ"/>
        </w:rPr>
        <w:t>nikoli nárůst ploch s</w:t>
      </w:r>
      <w:r w:rsidR="006152CC">
        <w:rPr>
          <w:rFonts w:asciiTheme="minorHAnsi" w:hAnsiTheme="minorHAnsi" w:cstheme="minorHAnsi"/>
          <w:b/>
          <w:lang w:eastAsia="cs-CZ"/>
        </w:rPr>
        <w:t> reálně provedenými</w:t>
      </w:r>
      <w:r w:rsidR="009503F5" w:rsidRPr="007B6490">
        <w:rPr>
          <w:rFonts w:asciiTheme="minorHAnsi" w:hAnsiTheme="minorHAnsi" w:cstheme="minorHAnsi"/>
          <w:b/>
          <w:lang w:eastAsia="cs-CZ"/>
        </w:rPr>
        <w:t xml:space="preserve"> </w:t>
      </w:r>
      <w:r w:rsidR="00C00B3A" w:rsidRPr="007B6490">
        <w:rPr>
          <w:rFonts w:asciiTheme="minorHAnsi" w:hAnsiTheme="minorHAnsi" w:cstheme="minorHAnsi"/>
          <w:b/>
          <w:lang w:eastAsia="cs-CZ"/>
        </w:rPr>
        <w:t xml:space="preserve">pozemkovými </w:t>
      </w:r>
      <w:r w:rsidR="00423945" w:rsidRPr="007B6490">
        <w:rPr>
          <w:rFonts w:asciiTheme="minorHAnsi" w:hAnsiTheme="minorHAnsi" w:cstheme="minorHAnsi"/>
          <w:b/>
          <w:lang w:eastAsia="cs-CZ"/>
        </w:rPr>
        <w:t>úpravami.</w:t>
      </w:r>
    </w:p>
    <w:p w:rsidR="00DD1C9C" w:rsidRPr="007B6490" w:rsidRDefault="00DD1C9C" w:rsidP="007B64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cs-CZ"/>
        </w:rPr>
      </w:pPr>
    </w:p>
    <w:p w:rsidR="00423945" w:rsidRDefault="00E52384" w:rsidP="007B6490">
      <w:pPr>
        <w:tabs>
          <w:tab w:val="left" w:pos="595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7B6490">
        <w:rPr>
          <w:rFonts w:asciiTheme="minorHAnsi" w:eastAsia="FrescoSans-Normal" w:hAnsiTheme="minorHAnsi" w:cstheme="minorHAnsi"/>
          <w:lang w:eastAsia="cs-CZ"/>
        </w:rPr>
        <w:t xml:space="preserve">V České republice bylo k 31. 12. 2013 celkem 13 054 katastrálních území </w:t>
      </w:r>
      <w:r w:rsidR="00DF7849">
        <w:rPr>
          <w:rFonts w:asciiTheme="minorHAnsi" w:eastAsia="FrescoSans-Normal" w:hAnsiTheme="minorHAnsi" w:cstheme="minorHAnsi"/>
          <w:lang w:eastAsia="cs-CZ"/>
        </w:rPr>
        <w:t>o rozloze</w:t>
      </w:r>
      <w:r w:rsidRPr="007B6490">
        <w:rPr>
          <w:rFonts w:asciiTheme="minorHAnsi" w:eastAsia="FrescoSans-Normal" w:hAnsiTheme="minorHAnsi" w:cstheme="minorHAnsi"/>
          <w:lang w:eastAsia="cs-CZ"/>
        </w:rPr>
        <w:t xml:space="preserve"> </w:t>
      </w:r>
      <w:r w:rsidRPr="007B6490">
        <w:rPr>
          <w:rFonts w:asciiTheme="minorHAnsi" w:hAnsiTheme="minorHAnsi" w:cstheme="minorHAnsi"/>
        </w:rPr>
        <w:t>7 886 707 ha</w:t>
      </w:r>
      <w:r w:rsidR="00C26E7A" w:rsidRPr="00D33D15">
        <w:rPr>
          <w:rStyle w:val="Znakapoznpodarou"/>
          <w:rFonts w:asciiTheme="minorHAnsi" w:hAnsiTheme="minorHAnsi" w:cstheme="minorHAnsi"/>
        </w:rPr>
        <w:footnoteReference w:id="7"/>
      </w:r>
      <w:r w:rsidR="00C62799">
        <w:rPr>
          <w:rFonts w:asciiTheme="minorHAnsi" w:hAnsiTheme="minorHAnsi" w:cstheme="minorHAnsi"/>
        </w:rPr>
        <w:t xml:space="preserve">. </w:t>
      </w:r>
      <w:r w:rsidRPr="007B6490">
        <w:rPr>
          <w:rFonts w:asciiTheme="minorHAnsi" w:eastAsia="FrescoSans-Normal" w:hAnsiTheme="minorHAnsi" w:cstheme="minorHAnsi"/>
          <w:lang w:eastAsia="cs-CZ"/>
        </w:rPr>
        <w:t>Provedení</w:t>
      </w:r>
      <w:r w:rsidR="00C62799">
        <w:rPr>
          <w:rFonts w:asciiTheme="minorHAnsi" w:eastAsia="FrescoSans-Normal" w:hAnsiTheme="minorHAnsi" w:cstheme="minorHAnsi"/>
          <w:lang w:eastAsia="cs-CZ"/>
        </w:rPr>
        <w:t xml:space="preserve"> </w:t>
      </w:r>
      <w:r w:rsidRPr="007B6490">
        <w:rPr>
          <w:rFonts w:asciiTheme="minorHAnsi" w:eastAsia="FrescoSans-Normal" w:hAnsiTheme="minorHAnsi" w:cstheme="minorHAnsi"/>
          <w:lang w:eastAsia="cs-CZ"/>
        </w:rPr>
        <w:t xml:space="preserve">pozemkových úprav se nepředpokládá na </w:t>
      </w:r>
      <w:r w:rsidR="00D81F8D" w:rsidRPr="007B6490">
        <w:rPr>
          <w:rFonts w:asciiTheme="minorHAnsi" w:eastAsia="FrescoSans-Normal" w:hAnsiTheme="minorHAnsi" w:cstheme="minorHAnsi"/>
          <w:lang w:eastAsia="cs-CZ"/>
        </w:rPr>
        <w:t>přibližně</w:t>
      </w:r>
      <w:r w:rsidRPr="007B6490">
        <w:rPr>
          <w:rFonts w:asciiTheme="minorHAnsi" w:eastAsia="FrescoSans-Normal" w:hAnsiTheme="minorHAnsi" w:cstheme="minorHAnsi"/>
          <w:lang w:eastAsia="cs-CZ"/>
        </w:rPr>
        <w:t xml:space="preserve"> 930</w:t>
      </w:r>
      <w:r w:rsidR="007225D2">
        <w:rPr>
          <w:rFonts w:asciiTheme="minorHAnsi" w:eastAsia="FrescoSans-Normal" w:hAnsiTheme="minorHAnsi" w:cstheme="minorHAnsi"/>
          <w:lang w:eastAsia="cs-CZ"/>
        </w:rPr>
        <w:t> </w:t>
      </w:r>
      <w:r w:rsidRPr="00C62799">
        <w:rPr>
          <w:rFonts w:asciiTheme="minorHAnsi" w:eastAsia="FrescoSans-Normal" w:hAnsiTheme="minorHAnsi" w:cstheme="minorHAnsi"/>
          <w:lang w:eastAsia="cs-CZ"/>
        </w:rPr>
        <w:t>katastrálních územích, která svým charakterem nejsou pro pozemkové úpravy vhodná (např. husté osídlení, horské oblasti, CHKO).</w:t>
      </w:r>
      <w:r w:rsidR="00A31FB0" w:rsidRPr="00C62799">
        <w:rPr>
          <w:rFonts w:asciiTheme="minorHAnsi" w:hAnsiTheme="minorHAnsi" w:cstheme="minorHAnsi"/>
        </w:rPr>
        <w:t xml:space="preserve"> </w:t>
      </w:r>
      <w:r w:rsidRPr="00C62799">
        <w:rPr>
          <w:rFonts w:asciiTheme="minorHAnsi" w:hAnsiTheme="minorHAnsi" w:cstheme="minorHAnsi"/>
        </w:rPr>
        <w:t>V ISPÚ</w:t>
      </w:r>
      <w:r w:rsidRPr="00C62799">
        <w:rPr>
          <w:rFonts w:asciiTheme="minorHAnsi" w:hAnsiTheme="minorHAnsi" w:cstheme="minorHAnsi"/>
          <w:spacing w:val="-4"/>
        </w:rPr>
        <w:t xml:space="preserve"> bylo ke dni </w:t>
      </w:r>
      <w:r w:rsidR="00CB09A2" w:rsidRPr="00C62799">
        <w:rPr>
          <w:rFonts w:asciiTheme="minorHAnsi" w:hAnsiTheme="minorHAnsi" w:cstheme="minorHAnsi"/>
          <w:spacing w:val="-4"/>
        </w:rPr>
        <w:t>12. 1. 2015</w:t>
      </w:r>
      <w:r w:rsidRPr="00C62799">
        <w:rPr>
          <w:rFonts w:asciiTheme="minorHAnsi" w:hAnsiTheme="minorHAnsi" w:cstheme="minorHAnsi"/>
          <w:spacing w:val="-4"/>
        </w:rPr>
        <w:t xml:space="preserve"> </w:t>
      </w:r>
      <w:r w:rsidRPr="00C62799">
        <w:rPr>
          <w:rFonts w:asciiTheme="minorHAnsi" w:hAnsiTheme="minorHAnsi" w:cstheme="minorHAnsi"/>
        </w:rPr>
        <w:t>zapsáno 1</w:t>
      </w:r>
      <w:r w:rsidR="007225D2">
        <w:rPr>
          <w:rFonts w:asciiTheme="minorHAnsi" w:hAnsiTheme="minorHAnsi" w:cstheme="minorHAnsi"/>
        </w:rPr>
        <w:t> </w:t>
      </w:r>
      <w:r w:rsidRPr="00C62799">
        <w:rPr>
          <w:rFonts w:asciiTheme="minorHAnsi" w:hAnsiTheme="minorHAnsi" w:cstheme="minorHAnsi"/>
        </w:rPr>
        <w:t>810</w:t>
      </w:r>
      <w:r w:rsidR="007225D2">
        <w:rPr>
          <w:rFonts w:asciiTheme="minorHAnsi" w:hAnsiTheme="minorHAnsi" w:cstheme="minorHAnsi"/>
        </w:rPr>
        <w:t> </w:t>
      </w:r>
      <w:r w:rsidRPr="00C62799">
        <w:rPr>
          <w:rFonts w:asciiTheme="minorHAnsi" w:hAnsiTheme="minorHAnsi" w:cstheme="minorHAnsi"/>
        </w:rPr>
        <w:t>pozemkových úprav</w:t>
      </w:r>
      <w:r w:rsidR="00D33D15" w:rsidRPr="00C62799">
        <w:rPr>
          <w:rFonts w:asciiTheme="minorHAnsi" w:hAnsiTheme="minorHAnsi" w:cstheme="minorHAnsi"/>
        </w:rPr>
        <w:t>, které</w:t>
      </w:r>
      <w:r w:rsidRPr="00C62799">
        <w:rPr>
          <w:rFonts w:asciiTheme="minorHAnsi" w:hAnsiTheme="minorHAnsi" w:cstheme="minorHAnsi"/>
        </w:rPr>
        <w:t xml:space="preserve"> 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 xml:space="preserve">byly ukončeny </w:t>
      </w:r>
      <w:r w:rsidR="0076521E" w:rsidRPr="00C62799">
        <w:rPr>
          <w:rFonts w:asciiTheme="minorHAnsi" w:eastAsia="FrescoSans-Normal" w:hAnsiTheme="minorHAnsi" w:cstheme="minorHAnsi"/>
          <w:lang w:eastAsia="cs-CZ"/>
        </w:rPr>
        <w:t xml:space="preserve">vydáním </w:t>
      </w:r>
      <w:r w:rsidR="00D81F8D" w:rsidRPr="00C62799">
        <w:rPr>
          <w:rFonts w:asciiTheme="minorHAnsi" w:eastAsia="FrescoSans-Normal" w:hAnsiTheme="minorHAnsi" w:cstheme="minorHAnsi"/>
          <w:lang w:eastAsia="cs-CZ"/>
        </w:rPr>
        <w:t>pravomocn</w:t>
      </w:r>
      <w:r w:rsidR="0076521E" w:rsidRPr="00C62799">
        <w:rPr>
          <w:rFonts w:asciiTheme="minorHAnsi" w:eastAsia="FrescoSans-Normal" w:hAnsiTheme="minorHAnsi" w:cstheme="minorHAnsi"/>
          <w:lang w:eastAsia="cs-CZ"/>
        </w:rPr>
        <w:t>ého</w:t>
      </w:r>
      <w:r w:rsidR="00D81F8D" w:rsidRPr="00C62799">
        <w:rPr>
          <w:rFonts w:asciiTheme="minorHAnsi" w:eastAsia="FrescoSans-Normal" w:hAnsiTheme="minorHAnsi" w:cstheme="minorHAnsi"/>
          <w:lang w:eastAsia="cs-CZ"/>
        </w:rPr>
        <w:t xml:space="preserve"> 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>rozhodnutí o</w:t>
      </w:r>
      <w:r w:rsidR="007225D2">
        <w:rPr>
          <w:rFonts w:asciiTheme="minorHAnsi" w:eastAsia="FrescoSans-Normal" w:hAnsiTheme="minorHAnsi" w:cstheme="minorHAnsi"/>
          <w:lang w:eastAsia="cs-CZ"/>
        </w:rPr>
        <w:t> </w:t>
      </w:r>
      <w:r w:rsidR="00B251C3" w:rsidRPr="00C62799">
        <w:rPr>
          <w:rFonts w:asciiTheme="minorHAnsi" w:hAnsiTheme="minorHAnsi" w:cstheme="minorHAnsi"/>
        </w:rPr>
        <w:t>výměně nebo přechodu vlastnických práv</w:t>
      </w:r>
      <w:r w:rsidR="00D33D15" w:rsidRPr="00C62799">
        <w:rPr>
          <w:rFonts w:asciiTheme="minorHAnsi" w:hAnsiTheme="minorHAnsi" w:cstheme="minorHAnsi"/>
        </w:rPr>
        <w:t>. Pozemkové úpravy byly ukončeny</w:t>
      </w:r>
      <w:r w:rsidR="00B251C3" w:rsidRPr="00C62799">
        <w:rPr>
          <w:rFonts w:asciiTheme="minorHAnsi" w:hAnsiTheme="minorHAnsi" w:cstheme="minorHAnsi"/>
        </w:rPr>
        <w:t xml:space="preserve"> 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>na 829</w:t>
      </w:r>
      <w:r w:rsidR="007225D2">
        <w:rPr>
          <w:rFonts w:asciiTheme="minorHAnsi" w:eastAsia="FrescoSans-Normal" w:hAnsiTheme="minorHAnsi" w:cstheme="minorHAnsi"/>
          <w:lang w:eastAsia="cs-CZ"/>
        </w:rPr>
        <w:t> 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>443</w:t>
      </w:r>
      <w:r w:rsidR="007225D2">
        <w:rPr>
          <w:rFonts w:asciiTheme="minorHAnsi" w:eastAsia="FrescoSans-Normal" w:hAnsiTheme="minorHAnsi" w:cstheme="minorHAnsi"/>
          <w:lang w:eastAsia="cs-CZ"/>
        </w:rPr>
        <w:t> 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 xml:space="preserve">ha, </w:t>
      </w:r>
      <w:r w:rsidR="006152CC">
        <w:rPr>
          <w:rFonts w:asciiTheme="minorHAnsi" w:eastAsia="FrescoSans-Normal" w:hAnsiTheme="minorHAnsi" w:cstheme="minorHAnsi"/>
          <w:lang w:eastAsia="cs-CZ"/>
        </w:rPr>
        <w:t>což je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 xml:space="preserve"> cca </w:t>
      </w:r>
      <w:r w:rsidR="000C795D" w:rsidRPr="00C62799">
        <w:rPr>
          <w:rFonts w:asciiTheme="minorHAnsi" w:eastAsia="FrescoSans-Normal" w:hAnsiTheme="minorHAnsi" w:cstheme="minorHAnsi"/>
          <w:lang w:eastAsia="cs-CZ"/>
        </w:rPr>
        <w:t>19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> %</w:t>
      </w:r>
      <w:r w:rsidR="00D33D15" w:rsidRPr="00C62799">
        <w:rPr>
          <w:rFonts w:asciiTheme="minorHAnsi" w:eastAsia="FrescoSans-Normal" w:hAnsiTheme="minorHAnsi" w:cstheme="minorHAnsi"/>
          <w:lang w:eastAsia="cs-CZ"/>
        </w:rPr>
        <w:t xml:space="preserve"> plochy zemědělské půdy</w:t>
      </w:r>
      <w:r w:rsidR="00B94B48" w:rsidRPr="00C62799">
        <w:rPr>
          <w:rFonts w:asciiTheme="minorHAnsi" w:eastAsia="FrescoSans-Normal" w:hAnsiTheme="minorHAnsi" w:cstheme="minorHAnsi"/>
          <w:lang w:eastAsia="cs-CZ"/>
        </w:rPr>
        <w:t xml:space="preserve"> </w:t>
      </w:r>
      <w:r w:rsidR="00B251C3" w:rsidRPr="00C62799">
        <w:rPr>
          <w:rFonts w:asciiTheme="minorHAnsi" w:eastAsia="FrescoSans-Normal" w:hAnsiTheme="minorHAnsi" w:cstheme="minorHAnsi"/>
          <w:lang w:eastAsia="cs-CZ"/>
        </w:rPr>
        <w:t>(</w:t>
      </w:r>
      <w:r w:rsidR="00B251C3" w:rsidRPr="00C62799">
        <w:rPr>
          <w:rFonts w:asciiTheme="minorHAnsi" w:hAnsiTheme="minorHAnsi" w:cstheme="minorHAnsi"/>
          <w:lang w:eastAsia="cs-CZ"/>
        </w:rPr>
        <w:t>do roku 2006 na 6 % plochy a</w:t>
      </w:r>
      <w:r w:rsidR="00B94B48" w:rsidRPr="00C62799">
        <w:rPr>
          <w:rFonts w:asciiTheme="minorHAnsi" w:hAnsiTheme="minorHAnsi" w:cstheme="minorHAnsi"/>
          <w:lang w:eastAsia="cs-CZ"/>
        </w:rPr>
        <w:t> </w:t>
      </w:r>
      <w:r w:rsidR="00B251C3" w:rsidRPr="00C62799">
        <w:rPr>
          <w:rFonts w:asciiTheme="minorHAnsi" w:hAnsiTheme="minorHAnsi" w:cstheme="minorHAnsi"/>
          <w:lang w:eastAsia="cs-CZ"/>
        </w:rPr>
        <w:t>v</w:t>
      </w:r>
      <w:r w:rsidR="00B94B48" w:rsidRPr="00C62799">
        <w:rPr>
          <w:rFonts w:asciiTheme="minorHAnsi" w:hAnsiTheme="minorHAnsi" w:cstheme="minorHAnsi"/>
          <w:lang w:eastAsia="cs-CZ"/>
        </w:rPr>
        <w:t> </w:t>
      </w:r>
      <w:r w:rsidR="00B251C3" w:rsidRPr="00C62799">
        <w:rPr>
          <w:rFonts w:asciiTheme="minorHAnsi" w:hAnsiTheme="minorHAnsi" w:cstheme="minorHAnsi"/>
          <w:lang w:eastAsia="cs-CZ"/>
        </w:rPr>
        <w:t xml:space="preserve">období </w:t>
      </w:r>
      <w:r w:rsidR="00B251C3" w:rsidRPr="00C62799">
        <w:rPr>
          <w:rFonts w:asciiTheme="minorHAnsi" w:hAnsiTheme="minorHAnsi" w:cstheme="minorHAnsi"/>
          <w:lang w:eastAsia="cs-CZ"/>
        </w:rPr>
        <w:lastRenderedPageBreak/>
        <w:t>2007</w:t>
      </w:r>
      <w:r w:rsidR="00263113" w:rsidRPr="00C62799">
        <w:rPr>
          <w:rFonts w:asciiTheme="minorHAnsi" w:hAnsiTheme="minorHAnsi" w:cstheme="minorHAnsi"/>
          <w:lang w:eastAsia="cs-CZ"/>
        </w:rPr>
        <w:t>–</w:t>
      </w:r>
      <w:r w:rsidR="00B251C3" w:rsidRPr="00C62799">
        <w:rPr>
          <w:rFonts w:asciiTheme="minorHAnsi" w:hAnsiTheme="minorHAnsi" w:cstheme="minorHAnsi"/>
          <w:lang w:eastAsia="cs-CZ"/>
        </w:rPr>
        <w:t>2014 na 13 % plochy</w:t>
      </w:r>
      <w:r w:rsidR="003E5DC7" w:rsidRPr="00C62799">
        <w:rPr>
          <w:rStyle w:val="Znakapoznpodarou"/>
          <w:rFonts w:asciiTheme="minorHAnsi" w:hAnsiTheme="minorHAnsi" w:cstheme="minorHAnsi"/>
          <w:lang w:eastAsia="cs-CZ"/>
        </w:rPr>
        <w:footnoteReference w:id="8"/>
      </w:r>
      <w:r w:rsidR="00B251C3" w:rsidRPr="00C62799">
        <w:rPr>
          <w:rFonts w:asciiTheme="minorHAnsi" w:hAnsiTheme="minorHAnsi" w:cstheme="minorHAnsi"/>
          <w:lang w:eastAsia="cs-CZ"/>
        </w:rPr>
        <w:t>).</w:t>
      </w:r>
      <w:r w:rsidR="00D33D15" w:rsidRPr="00C62799">
        <w:rPr>
          <w:rFonts w:asciiTheme="minorHAnsi" w:hAnsiTheme="minorHAnsi" w:cstheme="minorHAnsi"/>
          <w:lang w:eastAsia="cs-CZ"/>
        </w:rPr>
        <w:t xml:space="preserve"> </w:t>
      </w:r>
      <w:r w:rsidR="00F52CA3" w:rsidRPr="00C62799">
        <w:rPr>
          <w:rFonts w:asciiTheme="minorHAnsi" w:hAnsiTheme="minorHAnsi" w:cstheme="minorHAnsi"/>
          <w:lang w:eastAsia="cs-CZ"/>
        </w:rPr>
        <w:t xml:space="preserve">V rámci </w:t>
      </w:r>
      <w:r w:rsidR="00B21B54" w:rsidRPr="00C62799">
        <w:rPr>
          <w:rFonts w:asciiTheme="minorHAnsi" w:hAnsiTheme="minorHAnsi" w:cstheme="minorHAnsi"/>
          <w:lang w:eastAsia="cs-CZ"/>
        </w:rPr>
        <w:t xml:space="preserve">těchto </w:t>
      </w:r>
      <w:r w:rsidR="00F52CA3" w:rsidRPr="00C62799">
        <w:rPr>
          <w:rFonts w:asciiTheme="minorHAnsi" w:hAnsiTheme="minorHAnsi" w:cstheme="minorHAnsi"/>
          <w:lang w:eastAsia="cs-CZ"/>
        </w:rPr>
        <w:t>u</w:t>
      </w:r>
      <w:r w:rsidR="00B21B54" w:rsidRPr="00C62799">
        <w:rPr>
          <w:rFonts w:asciiTheme="minorHAnsi" w:hAnsiTheme="minorHAnsi" w:cstheme="minorHAnsi"/>
          <w:lang w:eastAsia="cs-CZ"/>
        </w:rPr>
        <w:t>končených pozemkových úprav byla</w:t>
      </w:r>
      <w:r w:rsidR="00F52CA3" w:rsidRPr="00C62799">
        <w:rPr>
          <w:rFonts w:asciiTheme="minorHAnsi" w:hAnsiTheme="minorHAnsi" w:cstheme="minorHAnsi"/>
          <w:lang w:eastAsia="cs-CZ"/>
        </w:rPr>
        <w:t xml:space="preserve"> v plánech společných zařízení n</w:t>
      </w:r>
      <w:r w:rsidR="00B21B54" w:rsidRPr="00C62799">
        <w:rPr>
          <w:rFonts w:asciiTheme="minorHAnsi" w:hAnsiTheme="minorHAnsi" w:cstheme="minorHAnsi"/>
          <w:lang w:eastAsia="cs-CZ"/>
        </w:rPr>
        <w:t>avržena opatření na celkem 86 590 ha</w:t>
      </w:r>
      <w:r w:rsidR="006152CC">
        <w:rPr>
          <w:rFonts w:asciiTheme="minorHAnsi" w:hAnsiTheme="minorHAnsi" w:cstheme="minorHAnsi"/>
          <w:lang w:eastAsia="cs-CZ"/>
        </w:rPr>
        <w:t>.</w:t>
      </w:r>
      <w:r w:rsidR="00B21B54" w:rsidRPr="00C62799">
        <w:rPr>
          <w:rFonts w:asciiTheme="minorHAnsi" w:hAnsiTheme="minorHAnsi" w:cstheme="minorHAnsi"/>
          <w:lang w:eastAsia="cs-CZ"/>
        </w:rPr>
        <w:t xml:space="preserve"> </w:t>
      </w:r>
      <w:r w:rsidR="006152CC">
        <w:rPr>
          <w:rFonts w:asciiTheme="minorHAnsi" w:hAnsiTheme="minorHAnsi" w:cstheme="minorHAnsi"/>
          <w:lang w:eastAsia="cs-CZ"/>
        </w:rPr>
        <w:t>O</w:t>
      </w:r>
      <w:r w:rsidR="006152CC" w:rsidRPr="00C62799">
        <w:rPr>
          <w:rFonts w:asciiTheme="minorHAnsi" w:hAnsiTheme="minorHAnsi" w:cstheme="minorHAnsi"/>
          <w:lang w:eastAsia="cs-CZ"/>
        </w:rPr>
        <w:t xml:space="preserve">patření byla </w:t>
      </w:r>
      <w:r w:rsidR="00B21B54" w:rsidRPr="00C62799">
        <w:rPr>
          <w:rFonts w:asciiTheme="minorHAnsi" w:hAnsiTheme="minorHAnsi" w:cstheme="minorHAnsi"/>
          <w:lang w:eastAsia="cs-CZ"/>
        </w:rPr>
        <w:t>reali</w:t>
      </w:r>
      <w:r w:rsidR="00942542" w:rsidRPr="00C62799">
        <w:rPr>
          <w:rFonts w:asciiTheme="minorHAnsi" w:hAnsiTheme="minorHAnsi" w:cstheme="minorHAnsi"/>
          <w:lang w:eastAsia="cs-CZ"/>
        </w:rPr>
        <w:t>zována na 7 529</w:t>
      </w:r>
      <w:r w:rsidR="006152CC">
        <w:rPr>
          <w:rFonts w:asciiTheme="minorHAnsi" w:hAnsiTheme="minorHAnsi" w:cstheme="minorHAnsi"/>
          <w:lang w:eastAsia="cs-CZ"/>
        </w:rPr>
        <w:t> </w:t>
      </w:r>
      <w:r w:rsidR="00942542" w:rsidRPr="00C62799">
        <w:rPr>
          <w:rFonts w:asciiTheme="minorHAnsi" w:hAnsiTheme="minorHAnsi" w:cstheme="minorHAnsi"/>
          <w:lang w:eastAsia="cs-CZ"/>
        </w:rPr>
        <w:t>ha</w:t>
      </w:r>
      <w:r w:rsidR="00B21B54" w:rsidRPr="00C62799">
        <w:rPr>
          <w:rFonts w:asciiTheme="minorHAnsi" w:hAnsiTheme="minorHAnsi" w:cstheme="minorHAnsi"/>
          <w:lang w:eastAsia="cs-CZ"/>
        </w:rPr>
        <w:t xml:space="preserve"> </w:t>
      </w:r>
      <w:r w:rsidR="006152CC">
        <w:rPr>
          <w:rFonts w:asciiTheme="minorHAnsi" w:hAnsiTheme="minorHAnsi" w:cstheme="minorHAnsi"/>
          <w:lang w:eastAsia="cs-CZ"/>
        </w:rPr>
        <w:t>(</w:t>
      </w:r>
      <w:r w:rsidR="00B21B54" w:rsidRPr="00C62799">
        <w:rPr>
          <w:rFonts w:asciiTheme="minorHAnsi" w:hAnsiTheme="minorHAnsi" w:cstheme="minorHAnsi"/>
          <w:lang w:eastAsia="cs-CZ"/>
        </w:rPr>
        <w:t>cca</w:t>
      </w:r>
      <w:r w:rsidR="00C90283">
        <w:rPr>
          <w:rFonts w:asciiTheme="minorHAnsi" w:hAnsiTheme="minorHAnsi" w:cstheme="minorHAnsi"/>
          <w:lang w:eastAsia="cs-CZ"/>
        </w:rPr>
        <w:t> </w:t>
      </w:r>
      <w:r w:rsidR="00B21B54" w:rsidRPr="00C62799">
        <w:rPr>
          <w:rFonts w:asciiTheme="minorHAnsi" w:hAnsiTheme="minorHAnsi" w:cstheme="minorHAnsi"/>
          <w:lang w:eastAsia="cs-CZ"/>
        </w:rPr>
        <w:t>9</w:t>
      </w:r>
      <w:r w:rsidR="00C90283">
        <w:rPr>
          <w:rFonts w:asciiTheme="minorHAnsi" w:hAnsiTheme="minorHAnsi" w:cstheme="minorHAnsi"/>
          <w:lang w:eastAsia="cs-CZ"/>
        </w:rPr>
        <w:t> </w:t>
      </w:r>
      <w:r w:rsidR="00B21B54" w:rsidRPr="00C62799">
        <w:rPr>
          <w:rFonts w:asciiTheme="minorHAnsi" w:hAnsiTheme="minorHAnsi" w:cstheme="minorHAnsi"/>
          <w:lang w:eastAsia="cs-CZ"/>
        </w:rPr>
        <w:t>%</w:t>
      </w:r>
      <w:r w:rsidR="006152CC">
        <w:rPr>
          <w:rFonts w:asciiTheme="minorHAnsi" w:hAnsiTheme="minorHAnsi" w:cstheme="minorHAnsi"/>
          <w:lang w:eastAsia="cs-CZ"/>
        </w:rPr>
        <w:t>) zamýšlené výměry</w:t>
      </w:r>
      <w:r w:rsidR="00B21B54" w:rsidRPr="00C62799">
        <w:rPr>
          <w:rFonts w:asciiTheme="minorHAnsi" w:hAnsiTheme="minorHAnsi" w:cstheme="minorHAnsi"/>
          <w:lang w:eastAsia="cs-CZ"/>
        </w:rPr>
        <w:t>.</w:t>
      </w:r>
    </w:p>
    <w:p w:rsidR="00DD1C9C" w:rsidRPr="00C62799" w:rsidRDefault="00DD1C9C" w:rsidP="007B6490">
      <w:pPr>
        <w:tabs>
          <w:tab w:val="left" w:pos="595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C45E4A" w:rsidRDefault="00C45E4A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C62799">
        <w:rPr>
          <w:rFonts w:asciiTheme="minorHAnsi" w:hAnsiTheme="minorHAnsi" w:cstheme="minorHAnsi"/>
          <w:lang w:eastAsia="cs-CZ"/>
        </w:rPr>
        <w:t xml:space="preserve">Na základě dosavadního vývoje lze předpokládat, že </w:t>
      </w:r>
      <w:r w:rsidR="0065055A" w:rsidRPr="00C62799">
        <w:rPr>
          <w:rFonts w:asciiTheme="minorHAnsi" w:hAnsiTheme="minorHAnsi" w:cstheme="minorHAnsi"/>
          <w:lang w:eastAsia="cs-CZ"/>
        </w:rPr>
        <w:t xml:space="preserve">provádění </w:t>
      </w:r>
      <w:r w:rsidRPr="00C62799">
        <w:rPr>
          <w:rFonts w:asciiTheme="minorHAnsi" w:hAnsiTheme="minorHAnsi" w:cstheme="minorHAnsi"/>
          <w:lang w:eastAsia="cs-CZ"/>
        </w:rPr>
        <w:t xml:space="preserve">pozemkových úprav bude </w:t>
      </w:r>
      <w:r w:rsidR="00B21B54" w:rsidRPr="00C62799">
        <w:rPr>
          <w:rFonts w:asciiTheme="minorHAnsi" w:hAnsiTheme="minorHAnsi" w:cstheme="minorHAnsi"/>
          <w:lang w:eastAsia="cs-CZ"/>
        </w:rPr>
        <w:t>i</w:t>
      </w:r>
      <w:r w:rsidR="00CD083F">
        <w:rPr>
          <w:rFonts w:asciiTheme="minorHAnsi" w:hAnsiTheme="minorHAnsi" w:cstheme="minorHAnsi"/>
          <w:lang w:eastAsia="cs-CZ"/>
        </w:rPr>
        <w:t> </w:t>
      </w:r>
      <w:r w:rsidRPr="00C62799">
        <w:rPr>
          <w:rFonts w:asciiTheme="minorHAnsi" w:hAnsiTheme="minorHAnsi" w:cstheme="minorHAnsi"/>
          <w:lang w:eastAsia="cs-CZ"/>
        </w:rPr>
        <w:t>bez ohledu na</w:t>
      </w:r>
      <w:r w:rsidR="00B17B44" w:rsidRPr="00C62799">
        <w:rPr>
          <w:rFonts w:asciiTheme="minorHAnsi" w:hAnsiTheme="minorHAnsi" w:cstheme="minorHAnsi"/>
          <w:lang w:eastAsia="cs-CZ"/>
        </w:rPr>
        <w:t xml:space="preserve"> </w:t>
      </w:r>
      <w:r w:rsidR="00B21B54" w:rsidRPr="00C62799">
        <w:rPr>
          <w:rFonts w:asciiTheme="minorHAnsi" w:hAnsiTheme="minorHAnsi" w:cstheme="minorHAnsi"/>
          <w:lang w:eastAsia="cs-CZ"/>
        </w:rPr>
        <w:t xml:space="preserve">pomalý </w:t>
      </w:r>
      <w:r w:rsidR="00B17B44" w:rsidRPr="00C62799">
        <w:rPr>
          <w:rFonts w:asciiTheme="minorHAnsi" w:hAnsiTheme="minorHAnsi" w:cstheme="minorHAnsi"/>
          <w:lang w:eastAsia="cs-CZ"/>
        </w:rPr>
        <w:t>postup</w:t>
      </w:r>
      <w:r w:rsidRPr="00C62799">
        <w:rPr>
          <w:rFonts w:asciiTheme="minorHAnsi" w:hAnsiTheme="minorHAnsi" w:cstheme="minorHAnsi"/>
          <w:lang w:eastAsia="cs-CZ"/>
        </w:rPr>
        <w:t xml:space="preserve"> realizace navržených společných zařízení pokračovat několik </w:t>
      </w:r>
      <w:r w:rsidR="00B17B44" w:rsidRPr="00C62799">
        <w:rPr>
          <w:rFonts w:asciiTheme="minorHAnsi" w:hAnsiTheme="minorHAnsi" w:cstheme="minorHAnsi"/>
          <w:lang w:eastAsia="cs-CZ"/>
        </w:rPr>
        <w:t xml:space="preserve">dalších </w:t>
      </w:r>
      <w:r w:rsidRPr="00C62799">
        <w:rPr>
          <w:rFonts w:asciiTheme="minorHAnsi" w:hAnsiTheme="minorHAnsi" w:cstheme="minorHAnsi"/>
          <w:lang w:eastAsia="cs-CZ"/>
        </w:rPr>
        <w:t>desetiletí.</w:t>
      </w:r>
      <w:r w:rsidR="00F2154F" w:rsidRPr="007B6490">
        <w:rPr>
          <w:rFonts w:asciiTheme="minorHAnsi" w:hAnsiTheme="minorHAnsi" w:cstheme="minorHAnsi"/>
          <w:lang w:eastAsia="cs-CZ"/>
        </w:rPr>
        <w:t xml:space="preserve"> </w:t>
      </w:r>
    </w:p>
    <w:p w:rsidR="00DD1C9C" w:rsidRPr="007B6490" w:rsidRDefault="00DD1C9C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CB1F2A" w:rsidRPr="00E07F85" w:rsidRDefault="00856780" w:rsidP="00DD1C9C">
      <w:pPr>
        <w:pStyle w:val="Default"/>
        <w:keepNext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b/>
          <w:color w:val="auto"/>
        </w:rPr>
      </w:pPr>
      <w:r w:rsidRPr="007B6490">
        <w:rPr>
          <w:rFonts w:asciiTheme="minorHAnsi" w:hAnsiTheme="minorHAnsi" w:cstheme="minorHAnsi"/>
          <w:b/>
          <w:color w:val="auto"/>
        </w:rPr>
        <w:t>Zlepšení infrastruktury</w:t>
      </w:r>
      <w:r w:rsidR="005E5FED">
        <w:rPr>
          <w:rFonts w:asciiTheme="minorHAnsi" w:hAnsiTheme="minorHAnsi" w:cstheme="minorHAnsi"/>
          <w:b/>
          <w:color w:val="auto"/>
        </w:rPr>
        <w:t>,</w:t>
      </w:r>
      <w:r w:rsidRPr="007B6490">
        <w:rPr>
          <w:rFonts w:asciiTheme="minorHAnsi" w:hAnsiTheme="minorHAnsi" w:cstheme="minorHAnsi"/>
          <w:b/>
          <w:color w:val="auto"/>
        </w:rPr>
        <w:t xml:space="preserve"> včetně </w:t>
      </w:r>
      <w:r w:rsidR="005E5FED">
        <w:rPr>
          <w:rFonts w:asciiTheme="minorHAnsi" w:hAnsiTheme="minorHAnsi" w:cstheme="minorHAnsi"/>
          <w:b/>
          <w:color w:val="auto"/>
        </w:rPr>
        <w:t xml:space="preserve">zabezpečení </w:t>
      </w:r>
      <w:r w:rsidRPr="007B6490">
        <w:rPr>
          <w:rFonts w:asciiTheme="minorHAnsi" w:hAnsiTheme="minorHAnsi" w:cstheme="minorHAnsi"/>
          <w:b/>
          <w:color w:val="auto"/>
        </w:rPr>
        <w:t>přístupnosti pozemků</w:t>
      </w:r>
      <w:r w:rsidR="00F144FD">
        <w:rPr>
          <w:rFonts w:asciiTheme="minorHAnsi" w:hAnsiTheme="minorHAnsi" w:cstheme="minorHAnsi"/>
          <w:b/>
          <w:color w:val="auto"/>
        </w:rPr>
        <w:t>,</w:t>
      </w:r>
      <w:r w:rsidR="007357CA" w:rsidRPr="007B6490">
        <w:rPr>
          <w:rFonts w:asciiTheme="minorHAnsi" w:hAnsiTheme="minorHAnsi" w:cstheme="minorHAnsi"/>
          <w:b/>
          <w:color w:val="auto"/>
        </w:rPr>
        <w:t xml:space="preserve"> </w:t>
      </w:r>
      <w:r w:rsidR="00F144FD">
        <w:rPr>
          <w:rFonts w:asciiTheme="minorHAnsi" w:hAnsiTheme="minorHAnsi" w:cstheme="minorHAnsi"/>
          <w:b/>
          <w:color w:val="auto"/>
        </w:rPr>
        <w:t>z</w:t>
      </w:r>
      <w:r w:rsidRPr="007B6490">
        <w:rPr>
          <w:rFonts w:asciiTheme="minorHAnsi" w:hAnsiTheme="minorHAnsi" w:cstheme="minorHAnsi"/>
          <w:b/>
          <w:color w:val="auto"/>
        </w:rPr>
        <w:t>lepšení</w:t>
      </w:r>
      <w:r w:rsidR="00E53ED5" w:rsidRPr="007B6490">
        <w:rPr>
          <w:rFonts w:asciiTheme="minorHAnsi" w:hAnsiTheme="minorHAnsi" w:cstheme="minorHAnsi"/>
          <w:b/>
          <w:color w:val="auto"/>
        </w:rPr>
        <w:t xml:space="preserve"> životního </w:t>
      </w:r>
      <w:r w:rsidR="00E53ED5" w:rsidRPr="00E07F85">
        <w:rPr>
          <w:rFonts w:asciiTheme="minorHAnsi" w:hAnsiTheme="minorHAnsi" w:cstheme="minorHAnsi"/>
          <w:b/>
          <w:color w:val="auto"/>
        </w:rPr>
        <w:t>prostředí a krajiny</w:t>
      </w:r>
      <w:r w:rsidR="00B27E27" w:rsidRPr="00E07F85">
        <w:rPr>
          <w:rFonts w:asciiTheme="minorHAnsi" w:hAnsiTheme="minorHAnsi" w:cstheme="minorHAnsi"/>
          <w:b/>
          <w:color w:val="auto"/>
        </w:rPr>
        <w:t xml:space="preserve"> </w:t>
      </w:r>
      <w:r w:rsidR="002C621D">
        <w:rPr>
          <w:rFonts w:asciiTheme="minorHAnsi" w:hAnsiTheme="minorHAnsi" w:cstheme="minorHAnsi"/>
          <w:b/>
          <w:color w:val="auto"/>
        </w:rPr>
        <w:t xml:space="preserve">a </w:t>
      </w:r>
      <w:r w:rsidR="002C621D" w:rsidRPr="007B6490">
        <w:rPr>
          <w:rFonts w:asciiTheme="minorHAnsi" w:hAnsiTheme="minorHAnsi" w:cstheme="minorHAnsi"/>
          <w:b/>
          <w:color w:val="auto"/>
        </w:rPr>
        <w:t>zajištění</w:t>
      </w:r>
      <w:r w:rsidR="002C621D">
        <w:rPr>
          <w:rFonts w:asciiTheme="minorHAnsi" w:hAnsiTheme="minorHAnsi" w:cstheme="minorHAnsi"/>
          <w:b/>
          <w:color w:val="auto"/>
        </w:rPr>
        <w:t xml:space="preserve"> </w:t>
      </w:r>
      <w:r w:rsidR="00B27E27" w:rsidRPr="00E07F85">
        <w:rPr>
          <w:rFonts w:asciiTheme="minorHAnsi" w:hAnsiTheme="minorHAnsi" w:cstheme="minorHAnsi"/>
          <w:b/>
          <w:color w:val="auto"/>
        </w:rPr>
        <w:t>udržitelnosti vodního hospodářství</w:t>
      </w:r>
    </w:p>
    <w:p w:rsidR="00067FA0" w:rsidRDefault="003454DC" w:rsidP="00656018">
      <w:pPr>
        <w:jc w:val="both"/>
        <w:rPr>
          <w:rFonts w:asciiTheme="minorHAnsi" w:eastAsia="FrescoSans-Normal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</w:rPr>
        <w:t>O</w:t>
      </w:r>
      <w:r w:rsidR="001D0BE9">
        <w:rPr>
          <w:rFonts w:asciiTheme="minorHAnsi" w:hAnsiTheme="minorHAnsi" w:cstheme="minorHAnsi"/>
          <w:b/>
        </w:rPr>
        <w:t>d roku 1995</w:t>
      </w:r>
      <w:r w:rsidR="00130067" w:rsidRPr="007B6490">
        <w:rPr>
          <w:rFonts w:asciiTheme="minorHAnsi" w:hAnsiTheme="minorHAnsi" w:cstheme="minorHAnsi"/>
          <w:b/>
        </w:rPr>
        <w:t xml:space="preserve"> došlo v ČR </w:t>
      </w:r>
      <w:r w:rsidR="00B17B44" w:rsidRPr="001D0BE9">
        <w:rPr>
          <w:rFonts w:asciiTheme="minorHAnsi" w:hAnsiTheme="minorHAnsi" w:cstheme="minorHAnsi"/>
          <w:b/>
        </w:rPr>
        <w:t>z </w:t>
      </w:r>
      <w:r w:rsidR="002306AA" w:rsidRPr="001D0BE9">
        <w:rPr>
          <w:rFonts w:asciiTheme="minorHAnsi" w:hAnsiTheme="minorHAnsi" w:cstheme="minorHAnsi"/>
          <w:b/>
        </w:rPr>
        <w:t xml:space="preserve">celkové plochy </w:t>
      </w:r>
      <w:r w:rsidR="00130067" w:rsidRPr="001D0BE9">
        <w:rPr>
          <w:rFonts w:asciiTheme="minorHAnsi" w:hAnsiTheme="minorHAnsi" w:cstheme="minorHAnsi"/>
          <w:b/>
        </w:rPr>
        <w:t xml:space="preserve">opatření </w:t>
      </w:r>
      <w:r w:rsidR="007D6F62" w:rsidRPr="001D0BE9">
        <w:rPr>
          <w:rFonts w:asciiTheme="minorHAnsi" w:hAnsiTheme="minorHAnsi" w:cstheme="minorHAnsi"/>
          <w:b/>
        </w:rPr>
        <w:t xml:space="preserve">navržených v PSZ </w:t>
      </w:r>
      <w:r w:rsidR="00B17B44" w:rsidRPr="001D0BE9">
        <w:rPr>
          <w:rFonts w:asciiTheme="minorHAnsi" w:hAnsiTheme="minorHAnsi" w:cstheme="minorHAnsi"/>
          <w:b/>
        </w:rPr>
        <w:t xml:space="preserve">k realizaci pouze 11 % opatření </w:t>
      </w:r>
      <w:r w:rsidR="00130067" w:rsidRPr="001D0BE9">
        <w:rPr>
          <w:rFonts w:asciiTheme="minorHAnsi" w:hAnsiTheme="minorHAnsi" w:cstheme="minorHAnsi"/>
          <w:b/>
        </w:rPr>
        <w:t>ke zpřístupnění</w:t>
      </w:r>
      <w:r w:rsidR="00130067" w:rsidRPr="007B6490">
        <w:rPr>
          <w:rFonts w:asciiTheme="minorHAnsi" w:hAnsiTheme="minorHAnsi" w:cstheme="minorHAnsi"/>
          <w:b/>
        </w:rPr>
        <w:t xml:space="preserve"> pozemků, </w:t>
      </w:r>
      <w:r w:rsidR="00B17B44" w:rsidRPr="007B6490">
        <w:rPr>
          <w:rFonts w:asciiTheme="minorHAnsi" w:eastAsia="FrescoSans-Normal" w:hAnsiTheme="minorHAnsi" w:cstheme="minorHAnsi"/>
          <w:b/>
          <w:lang w:eastAsia="cs-CZ"/>
        </w:rPr>
        <w:t xml:space="preserve">7 % </w:t>
      </w:r>
      <w:r w:rsidR="00130067" w:rsidRPr="007B6490">
        <w:rPr>
          <w:rFonts w:asciiTheme="minorHAnsi" w:hAnsiTheme="minorHAnsi" w:cstheme="minorHAnsi"/>
          <w:b/>
        </w:rPr>
        <w:t>opatření</w:t>
      </w:r>
      <w:r w:rsidR="00130067" w:rsidRPr="007B6490">
        <w:rPr>
          <w:rFonts w:asciiTheme="minorHAnsi" w:eastAsia="FrescoSans-Normal" w:hAnsiTheme="minorHAnsi" w:cstheme="minorHAnsi"/>
          <w:b/>
          <w:lang w:eastAsia="cs-CZ"/>
        </w:rPr>
        <w:t xml:space="preserve"> k ochraně zemědělského půdního fondu, </w:t>
      </w:r>
      <w:r w:rsidR="00B17B44" w:rsidRPr="007B6490">
        <w:rPr>
          <w:rFonts w:asciiTheme="minorHAnsi" w:hAnsiTheme="minorHAnsi" w:cstheme="minorHAnsi"/>
          <w:b/>
        </w:rPr>
        <w:t xml:space="preserve">10 % </w:t>
      </w:r>
      <w:r w:rsidR="00130067" w:rsidRPr="007B6490">
        <w:rPr>
          <w:rFonts w:asciiTheme="minorHAnsi" w:hAnsiTheme="minorHAnsi" w:cstheme="minorHAnsi"/>
          <w:b/>
        </w:rPr>
        <w:t>vodohospodářských</w:t>
      </w:r>
      <w:r w:rsidR="00130067" w:rsidRPr="007B6490">
        <w:rPr>
          <w:rFonts w:asciiTheme="minorHAnsi" w:eastAsia="FrescoSans-Normal" w:hAnsiTheme="minorHAnsi" w:cstheme="minorHAnsi"/>
          <w:b/>
          <w:lang w:eastAsia="cs-CZ"/>
        </w:rPr>
        <w:t xml:space="preserve"> </w:t>
      </w:r>
      <w:r w:rsidR="00130067" w:rsidRPr="007B6490">
        <w:rPr>
          <w:rFonts w:asciiTheme="minorHAnsi" w:hAnsiTheme="minorHAnsi" w:cstheme="minorHAnsi"/>
          <w:b/>
        </w:rPr>
        <w:t>opatření a</w:t>
      </w:r>
      <w:r w:rsidR="00130067" w:rsidRPr="007B6490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B17B44" w:rsidRPr="007B6490">
        <w:rPr>
          <w:rFonts w:asciiTheme="minorHAnsi" w:hAnsiTheme="minorHAnsi" w:cstheme="minorHAnsi"/>
          <w:b/>
          <w:bCs/>
          <w:lang w:eastAsia="cs-CZ"/>
        </w:rPr>
        <w:t xml:space="preserve">5 % </w:t>
      </w:r>
      <w:r w:rsidR="00130067" w:rsidRPr="007B6490">
        <w:rPr>
          <w:rFonts w:asciiTheme="minorHAnsi" w:hAnsiTheme="minorHAnsi" w:cstheme="minorHAnsi"/>
          <w:b/>
          <w:bCs/>
          <w:lang w:eastAsia="cs-CZ"/>
        </w:rPr>
        <w:t>opatření k ochraně a tvorbě životního prostředí</w:t>
      </w:r>
      <w:r w:rsidR="00977C9D">
        <w:rPr>
          <w:rFonts w:asciiTheme="minorHAnsi" w:hAnsiTheme="minorHAnsi" w:cstheme="minorHAnsi"/>
          <w:b/>
          <w:bCs/>
          <w:lang w:eastAsia="cs-CZ"/>
        </w:rPr>
        <w:t>.</w:t>
      </w:r>
      <w:r w:rsidR="005E5FED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977C9D">
        <w:rPr>
          <w:rFonts w:asciiTheme="minorHAnsi" w:hAnsiTheme="minorHAnsi" w:cstheme="minorHAnsi"/>
          <w:b/>
          <w:bCs/>
          <w:lang w:eastAsia="cs-CZ"/>
        </w:rPr>
        <w:t>Pomalý postup realizace navržených společných zařízení</w:t>
      </w:r>
      <w:r w:rsidR="00067FA0" w:rsidRPr="007B6490">
        <w:rPr>
          <w:rFonts w:asciiTheme="minorHAnsi" w:hAnsiTheme="minorHAnsi" w:cstheme="minorHAnsi"/>
          <w:b/>
        </w:rPr>
        <w:t xml:space="preserve"> ukazuje</w:t>
      </w:r>
      <w:r w:rsidR="005E5FED">
        <w:rPr>
          <w:rFonts w:asciiTheme="minorHAnsi" w:hAnsiTheme="minorHAnsi" w:cstheme="minorHAnsi"/>
          <w:b/>
        </w:rPr>
        <w:t xml:space="preserve"> na skutečnost</w:t>
      </w:r>
      <w:r w:rsidR="00067FA0" w:rsidRPr="007B6490">
        <w:rPr>
          <w:rFonts w:asciiTheme="minorHAnsi" w:hAnsiTheme="minorHAnsi" w:cstheme="minorHAnsi"/>
          <w:b/>
        </w:rPr>
        <w:t xml:space="preserve">, že předpoklady </w:t>
      </w:r>
      <w:r w:rsidR="00574945" w:rsidRPr="007B6490">
        <w:rPr>
          <w:rFonts w:asciiTheme="minorHAnsi" w:hAnsiTheme="minorHAnsi" w:cstheme="minorHAnsi"/>
          <w:b/>
        </w:rPr>
        <w:t xml:space="preserve">vytvořené pro naplnění cílů komplexních pozemkových úprav </w:t>
      </w:r>
      <w:r w:rsidR="00067FA0" w:rsidRPr="007B6490">
        <w:rPr>
          <w:rFonts w:asciiTheme="minorHAnsi" w:hAnsiTheme="minorHAnsi" w:cstheme="minorHAnsi"/>
          <w:b/>
        </w:rPr>
        <w:t xml:space="preserve">zůstaly ve velké míře </w:t>
      </w:r>
      <w:r w:rsidR="00067FA0" w:rsidRPr="007B6490">
        <w:rPr>
          <w:rFonts w:asciiTheme="minorHAnsi" w:eastAsia="FrescoSans-Normal" w:hAnsiTheme="minorHAnsi" w:cstheme="minorHAnsi"/>
          <w:b/>
          <w:lang w:eastAsia="cs-CZ"/>
        </w:rPr>
        <w:t xml:space="preserve">nevyužity. </w:t>
      </w:r>
    </w:p>
    <w:p w:rsidR="00DD1C9C" w:rsidRPr="007B6490" w:rsidRDefault="00DD1C9C" w:rsidP="00656018">
      <w:pPr>
        <w:jc w:val="both"/>
        <w:rPr>
          <w:rFonts w:asciiTheme="minorHAnsi" w:hAnsiTheme="minorHAnsi" w:cstheme="minorHAnsi"/>
          <w:b/>
        </w:rPr>
      </w:pPr>
    </w:p>
    <w:p w:rsidR="003105EC" w:rsidRDefault="003105EC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V rámci </w:t>
      </w:r>
      <w:proofErr w:type="spellStart"/>
      <w:r w:rsidRPr="007B6490">
        <w:rPr>
          <w:rFonts w:asciiTheme="minorHAnsi" w:hAnsiTheme="minorHAnsi" w:cstheme="minorHAnsi"/>
        </w:rPr>
        <w:t>KoPÚ</w:t>
      </w:r>
      <w:proofErr w:type="spellEnd"/>
      <w:r w:rsidRPr="007B6490">
        <w:rPr>
          <w:rFonts w:asciiTheme="minorHAnsi" w:hAnsiTheme="minorHAnsi" w:cstheme="minorHAnsi"/>
        </w:rPr>
        <w:t xml:space="preserve"> byl</w:t>
      </w:r>
      <w:r w:rsidR="00D81F8D" w:rsidRPr="007B6490">
        <w:rPr>
          <w:rFonts w:asciiTheme="minorHAnsi" w:hAnsiTheme="minorHAnsi" w:cstheme="minorHAnsi"/>
        </w:rPr>
        <w:t>a</w:t>
      </w:r>
      <w:r w:rsidRPr="007B6490">
        <w:rPr>
          <w:rFonts w:asciiTheme="minorHAnsi" w:hAnsiTheme="minorHAnsi" w:cstheme="minorHAnsi"/>
        </w:rPr>
        <w:t xml:space="preserve"> </w:t>
      </w:r>
      <w:r w:rsidR="00CB09A2" w:rsidRPr="007B6490">
        <w:rPr>
          <w:rFonts w:asciiTheme="minorHAnsi" w:hAnsiTheme="minorHAnsi" w:cstheme="minorHAnsi"/>
        </w:rPr>
        <w:t xml:space="preserve">od roku 1995 </w:t>
      </w:r>
      <w:r w:rsidRPr="007B6490">
        <w:rPr>
          <w:rFonts w:asciiTheme="minorHAnsi" w:hAnsiTheme="minorHAnsi" w:cstheme="minorHAnsi"/>
        </w:rPr>
        <w:t>navržen</w:t>
      </w:r>
      <w:r w:rsidR="00D81F8D" w:rsidRPr="007B6490">
        <w:rPr>
          <w:rFonts w:asciiTheme="minorHAnsi" w:hAnsiTheme="minorHAnsi" w:cstheme="minorHAnsi"/>
        </w:rPr>
        <w:t>a</w:t>
      </w:r>
      <w:r w:rsidRPr="007B6490">
        <w:rPr>
          <w:rFonts w:asciiTheme="minorHAnsi" w:hAnsiTheme="minorHAnsi" w:cstheme="minorHAnsi"/>
        </w:rPr>
        <w:t xml:space="preserve"> </w:t>
      </w:r>
      <w:r w:rsidR="00D81F8D" w:rsidRPr="007B6490">
        <w:rPr>
          <w:rFonts w:asciiTheme="minorHAnsi" w:hAnsiTheme="minorHAnsi" w:cstheme="minorHAnsi"/>
        </w:rPr>
        <w:t>opatření ke zpřístupnění pozemků na ploše 50</w:t>
      </w:r>
      <w:r w:rsidR="003E5DC7">
        <w:rPr>
          <w:rFonts w:asciiTheme="minorHAnsi" w:hAnsiTheme="minorHAnsi" w:cstheme="minorHAnsi"/>
        </w:rPr>
        <w:t> </w:t>
      </w:r>
      <w:r w:rsidR="00D81F8D" w:rsidRPr="007B6490">
        <w:rPr>
          <w:rFonts w:asciiTheme="minorHAnsi" w:hAnsiTheme="minorHAnsi" w:cstheme="minorHAnsi"/>
        </w:rPr>
        <w:t>889</w:t>
      </w:r>
      <w:r w:rsidR="003E5DC7">
        <w:rPr>
          <w:rFonts w:asciiTheme="minorHAnsi" w:hAnsiTheme="minorHAnsi" w:cstheme="minorHAnsi"/>
        </w:rPr>
        <w:t> </w:t>
      </w:r>
      <w:r w:rsidR="00D81F8D" w:rsidRPr="007B6490">
        <w:rPr>
          <w:rFonts w:asciiTheme="minorHAnsi" w:hAnsiTheme="minorHAnsi" w:cstheme="minorHAnsi"/>
        </w:rPr>
        <w:t xml:space="preserve">ha, </w:t>
      </w:r>
      <w:r w:rsidRPr="007B6490">
        <w:rPr>
          <w:rFonts w:asciiTheme="minorHAnsi" w:hAnsiTheme="minorHAnsi" w:cstheme="minorHAnsi"/>
        </w:rPr>
        <w:t>protierozní opatření</w:t>
      </w:r>
      <w:r w:rsidR="00D81F8D" w:rsidRPr="007B6490">
        <w:rPr>
          <w:rFonts w:asciiTheme="minorHAnsi" w:hAnsiTheme="minorHAnsi" w:cstheme="minorHAnsi"/>
        </w:rPr>
        <w:t xml:space="preserve"> na ploše 9 173 ha</w:t>
      </w:r>
      <w:r w:rsidRPr="007B6490">
        <w:rPr>
          <w:rFonts w:asciiTheme="minorHAnsi" w:hAnsiTheme="minorHAnsi" w:cstheme="minorHAnsi"/>
        </w:rPr>
        <w:t xml:space="preserve">, </w:t>
      </w:r>
      <w:r w:rsidR="00D81F8D" w:rsidRPr="007B6490">
        <w:rPr>
          <w:rFonts w:asciiTheme="minorHAnsi" w:hAnsiTheme="minorHAnsi" w:cstheme="minorHAnsi"/>
        </w:rPr>
        <w:t xml:space="preserve">opatření ke zlepšení vodního režimu krajiny na ploše </w:t>
      </w:r>
      <w:r w:rsidRPr="007B6490">
        <w:rPr>
          <w:rFonts w:asciiTheme="minorHAnsi" w:hAnsiTheme="minorHAnsi" w:cstheme="minorHAnsi"/>
        </w:rPr>
        <w:t>3 424 ha a opatření k ochraně a tvorbě životního prostředí</w:t>
      </w:r>
      <w:r w:rsidR="00D81F8D" w:rsidRPr="007B6490">
        <w:rPr>
          <w:rFonts w:asciiTheme="minorHAnsi" w:hAnsiTheme="minorHAnsi" w:cstheme="minorHAnsi"/>
        </w:rPr>
        <w:t xml:space="preserve"> na ploše 23</w:t>
      </w:r>
      <w:r w:rsidR="003E5DC7">
        <w:rPr>
          <w:rFonts w:asciiTheme="minorHAnsi" w:hAnsiTheme="minorHAnsi" w:cstheme="minorHAnsi"/>
        </w:rPr>
        <w:t> </w:t>
      </w:r>
      <w:r w:rsidR="00D81F8D" w:rsidRPr="007B6490">
        <w:rPr>
          <w:rFonts w:asciiTheme="minorHAnsi" w:hAnsiTheme="minorHAnsi" w:cstheme="minorHAnsi"/>
        </w:rPr>
        <w:t>104</w:t>
      </w:r>
      <w:r w:rsidR="003E5DC7">
        <w:rPr>
          <w:rFonts w:asciiTheme="minorHAnsi" w:hAnsiTheme="minorHAnsi" w:cstheme="minorHAnsi"/>
        </w:rPr>
        <w:t> </w:t>
      </w:r>
      <w:r w:rsidR="00D81F8D" w:rsidRPr="007B6490">
        <w:rPr>
          <w:rFonts w:asciiTheme="minorHAnsi" w:hAnsiTheme="minorHAnsi" w:cstheme="minorHAnsi"/>
        </w:rPr>
        <w:t>ha</w:t>
      </w:r>
      <w:r w:rsidRPr="007B6490">
        <w:rPr>
          <w:rFonts w:asciiTheme="minorHAnsi" w:hAnsiTheme="minorHAnsi" w:cstheme="minorHAnsi"/>
        </w:rPr>
        <w:t xml:space="preserve">. Poměr </w:t>
      </w:r>
      <w:r w:rsidR="003454DC" w:rsidRPr="007B6490">
        <w:rPr>
          <w:rFonts w:asciiTheme="minorHAnsi" w:hAnsiTheme="minorHAnsi" w:cstheme="minorHAnsi"/>
        </w:rPr>
        <w:t xml:space="preserve">navržených </w:t>
      </w:r>
      <w:r w:rsidR="00BE781A" w:rsidRPr="007B6490">
        <w:rPr>
          <w:rFonts w:asciiTheme="minorHAnsi" w:hAnsiTheme="minorHAnsi" w:cstheme="minorHAnsi"/>
        </w:rPr>
        <w:t xml:space="preserve">opatření </w:t>
      </w:r>
      <w:r w:rsidRPr="007B6490">
        <w:rPr>
          <w:rFonts w:asciiTheme="minorHAnsi" w:hAnsiTheme="minorHAnsi" w:cstheme="minorHAnsi"/>
        </w:rPr>
        <w:t>a</w:t>
      </w:r>
      <w:r w:rsidR="000D140F" w:rsidRPr="007B6490">
        <w:rPr>
          <w:rFonts w:asciiTheme="minorHAnsi" w:hAnsiTheme="minorHAnsi" w:cstheme="minorHAnsi"/>
        </w:rPr>
        <w:t> </w:t>
      </w:r>
      <w:r w:rsidR="00BE781A" w:rsidRPr="007B6490">
        <w:rPr>
          <w:rFonts w:asciiTheme="minorHAnsi" w:hAnsiTheme="minorHAnsi" w:cstheme="minorHAnsi"/>
        </w:rPr>
        <w:t xml:space="preserve">skutečně </w:t>
      </w:r>
      <w:r w:rsidRPr="007B6490">
        <w:rPr>
          <w:rFonts w:asciiTheme="minorHAnsi" w:hAnsiTheme="minorHAnsi" w:cstheme="minorHAnsi"/>
        </w:rPr>
        <w:t>realizovaných opatření</w:t>
      </w:r>
      <w:r w:rsidR="005E5FED">
        <w:rPr>
          <w:rFonts w:asciiTheme="minorHAnsi" w:hAnsiTheme="minorHAnsi" w:cstheme="minorHAnsi"/>
        </w:rPr>
        <w:t xml:space="preserve"> v rámci ČR</w:t>
      </w:r>
      <w:r w:rsidRPr="007B6490">
        <w:rPr>
          <w:rFonts w:asciiTheme="minorHAnsi" w:hAnsiTheme="minorHAnsi" w:cstheme="minorHAnsi"/>
        </w:rPr>
        <w:t xml:space="preserve"> je uveden v tabulce č. 3</w:t>
      </w:r>
      <w:r w:rsidR="002E1156"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3105EC" w:rsidRPr="00114574" w:rsidRDefault="003105EC" w:rsidP="00DD1C9C">
      <w:pPr>
        <w:keepNext/>
        <w:tabs>
          <w:tab w:val="left" w:pos="7513"/>
        </w:tabs>
        <w:jc w:val="both"/>
        <w:rPr>
          <w:rFonts w:asciiTheme="minorHAnsi" w:hAnsiTheme="minorHAnsi" w:cstheme="minorHAnsi"/>
          <w:b/>
        </w:rPr>
      </w:pPr>
      <w:r w:rsidRPr="00114574">
        <w:rPr>
          <w:rFonts w:asciiTheme="minorHAnsi" w:hAnsiTheme="minorHAnsi" w:cstheme="minorHAnsi"/>
          <w:b/>
        </w:rPr>
        <w:t>Tab</w:t>
      </w:r>
      <w:r w:rsidR="003454DC" w:rsidRPr="00114574">
        <w:rPr>
          <w:rFonts w:asciiTheme="minorHAnsi" w:hAnsiTheme="minorHAnsi" w:cstheme="minorHAnsi"/>
          <w:b/>
        </w:rPr>
        <w:t>ulka</w:t>
      </w:r>
      <w:r w:rsidRPr="00114574">
        <w:rPr>
          <w:rFonts w:asciiTheme="minorHAnsi" w:hAnsiTheme="minorHAnsi" w:cstheme="minorHAnsi"/>
          <w:b/>
        </w:rPr>
        <w:t xml:space="preserve"> č. 3 </w:t>
      </w:r>
      <w:r w:rsidR="00304D8D" w:rsidRPr="00114574">
        <w:rPr>
          <w:rFonts w:asciiTheme="minorHAnsi" w:hAnsiTheme="minorHAnsi" w:cstheme="minorHAnsi"/>
          <w:b/>
        </w:rPr>
        <w:t xml:space="preserve">– </w:t>
      </w:r>
      <w:r w:rsidRPr="00114574">
        <w:rPr>
          <w:rFonts w:asciiTheme="minorHAnsi" w:hAnsiTheme="minorHAnsi" w:cstheme="minorHAnsi"/>
          <w:b/>
        </w:rPr>
        <w:t>Poměr navržených a realizovaných opatření v rámci ČR ke dni</w:t>
      </w:r>
      <w:r w:rsidR="009C5316">
        <w:rPr>
          <w:rFonts w:asciiTheme="minorHAnsi" w:hAnsiTheme="minorHAnsi" w:cstheme="minorHAnsi"/>
          <w:b/>
        </w:rPr>
        <w:t xml:space="preserve"> </w:t>
      </w:r>
      <w:r w:rsidRPr="00114574">
        <w:rPr>
          <w:rFonts w:asciiTheme="minorHAnsi" w:hAnsiTheme="minorHAnsi" w:cstheme="minorHAnsi"/>
          <w:b/>
        </w:rPr>
        <w:t>12. 1. 2015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32"/>
        <w:gridCol w:w="1683"/>
        <w:gridCol w:w="1546"/>
        <w:gridCol w:w="1411"/>
      </w:tblGrid>
      <w:tr w:rsidR="003105EC" w:rsidRPr="007B6490" w:rsidTr="00A735D9">
        <w:trPr>
          <w:trHeight w:val="298"/>
        </w:trPr>
        <w:tc>
          <w:tcPr>
            <w:tcW w:w="4432" w:type="dxa"/>
            <w:shd w:val="clear" w:color="auto" w:fill="E7E6E6" w:themeFill="background2"/>
            <w:vAlign w:val="center"/>
          </w:tcPr>
          <w:p w:rsidR="003105EC" w:rsidRPr="007B6490" w:rsidRDefault="003105EC" w:rsidP="007B6490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Druh opatření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:rsidR="003105EC" w:rsidRPr="007B6490" w:rsidRDefault="003454DC" w:rsidP="007B6490">
            <w:pPr>
              <w:keepNext/>
              <w:ind w:lef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3105EC"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avrhovaná opatření (ha)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:rsidR="003105EC" w:rsidRPr="007B6490" w:rsidRDefault="003454DC" w:rsidP="007B6490">
            <w:pPr>
              <w:keepNext/>
              <w:ind w:lef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3105EC"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ealizovaná opatření (ha) 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:rsidR="003105EC" w:rsidRPr="007B6490" w:rsidRDefault="003105EC" w:rsidP="007B6490">
            <w:pPr>
              <w:keepNext/>
              <w:ind w:lef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</w:rPr>
              <w:t>% realizace</w:t>
            </w:r>
          </w:p>
        </w:tc>
      </w:tr>
      <w:tr w:rsidR="003105EC" w:rsidRPr="007B6490" w:rsidTr="00A735D9">
        <w:trPr>
          <w:trHeight w:val="20"/>
        </w:trPr>
        <w:tc>
          <w:tcPr>
            <w:tcW w:w="4432" w:type="dxa"/>
            <w:vAlign w:val="center"/>
          </w:tcPr>
          <w:p w:rsidR="003105EC" w:rsidRPr="007B6490" w:rsidRDefault="003454DC" w:rsidP="003454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105EC" w:rsidRPr="007B6490">
              <w:rPr>
                <w:rFonts w:asciiTheme="minorHAnsi" w:hAnsiTheme="minorHAnsi" w:cstheme="minorHAnsi"/>
                <w:sz w:val="20"/>
                <w:szCs w:val="20"/>
              </w:rPr>
              <w:t>patření ke zpřístupnění pozemků</w:t>
            </w:r>
          </w:p>
        </w:tc>
        <w:tc>
          <w:tcPr>
            <w:tcW w:w="1683" w:type="dxa"/>
            <w:vAlign w:val="center"/>
          </w:tcPr>
          <w:p w:rsidR="003105EC" w:rsidRPr="007B6490" w:rsidRDefault="003105EC" w:rsidP="007B6490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50 88</w:t>
            </w:r>
            <w:r w:rsidR="00724EC9" w:rsidRPr="007B64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46" w:type="dxa"/>
            <w:vAlign w:val="center"/>
          </w:tcPr>
          <w:p w:rsidR="003105EC" w:rsidRPr="007B6490" w:rsidRDefault="00724EC9" w:rsidP="00114574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5 448</w:t>
            </w:r>
          </w:p>
        </w:tc>
        <w:tc>
          <w:tcPr>
            <w:tcW w:w="1411" w:type="dxa"/>
            <w:vAlign w:val="center"/>
          </w:tcPr>
          <w:p w:rsidR="003105EC" w:rsidRPr="007B6490" w:rsidRDefault="00C01E72" w:rsidP="007B6490">
            <w:pPr>
              <w:keepNext/>
              <w:ind w:right="2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10,7</w:t>
            </w:r>
          </w:p>
        </w:tc>
      </w:tr>
      <w:tr w:rsidR="003105EC" w:rsidRPr="007B6490" w:rsidTr="00A735D9">
        <w:trPr>
          <w:trHeight w:val="20"/>
        </w:trPr>
        <w:tc>
          <w:tcPr>
            <w:tcW w:w="4432" w:type="dxa"/>
            <w:vAlign w:val="center"/>
          </w:tcPr>
          <w:p w:rsidR="003105EC" w:rsidRPr="007B6490" w:rsidRDefault="003454DC" w:rsidP="003454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105EC" w:rsidRPr="007B6490">
              <w:rPr>
                <w:rFonts w:asciiTheme="minorHAnsi" w:hAnsiTheme="minorHAnsi" w:cstheme="minorHAnsi"/>
                <w:sz w:val="20"/>
                <w:szCs w:val="20"/>
              </w:rPr>
              <w:t>rotierozní opatření (nezahrnuje organizační a agrotechnická opatření)</w:t>
            </w:r>
          </w:p>
        </w:tc>
        <w:tc>
          <w:tcPr>
            <w:tcW w:w="1683" w:type="dxa"/>
            <w:vAlign w:val="center"/>
          </w:tcPr>
          <w:p w:rsidR="003105EC" w:rsidRPr="007B6490" w:rsidRDefault="003105EC" w:rsidP="007B6490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9 17</w:t>
            </w:r>
            <w:r w:rsidR="00724EC9" w:rsidRPr="007B64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46" w:type="dxa"/>
            <w:vAlign w:val="center"/>
          </w:tcPr>
          <w:p w:rsidR="003105EC" w:rsidRPr="007B6490" w:rsidRDefault="003105EC" w:rsidP="00114574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633</w:t>
            </w:r>
          </w:p>
        </w:tc>
        <w:tc>
          <w:tcPr>
            <w:tcW w:w="1411" w:type="dxa"/>
            <w:vAlign w:val="center"/>
          </w:tcPr>
          <w:p w:rsidR="003105EC" w:rsidRPr="007B6490" w:rsidRDefault="00C01E72" w:rsidP="007B6490">
            <w:pPr>
              <w:keepNext/>
              <w:ind w:right="2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6,9</w:t>
            </w:r>
          </w:p>
        </w:tc>
      </w:tr>
      <w:tr w:rsidR="003105EC" w:rsidRPr="007B6490" w:rsidTr="00A735D9">
        <w:trPr>
          <w:trHeight w:val="20"/>
        </w:trPr>
        <w:tc>
          <w:tcPr>
            <w:tcW w:w="4432" w:type="dxa"/>
            <w:vAlign w:val="center"/>
          </w:tcPr>
          <w:p w:rsidR="003105EC" w:rsidRPr="007B6490" w:rsidRDefault="003454DC" w:rsidP="003454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61594" w:rsidRPr="007B6490">
              <w:rPr>
                <w:rFonts w:asciiTheme="minorHAnsi" w:hAnsiTheme="minorHAnsi" w:cstheme="minorHAnsi"/>
                <w:sz w:val="20"/>
                <w:szCs w:val="20"/>
              </w:rPr>
              <w:t>odohospodářská opatření</w:t>
            </w:r>
          </w:p>
        </w:tc>
        <w:tc>
          <w:tcPr>
            <w:tcW w:w="1683" w:type="dxa"/>
            <w:vAlign w:val="center"/>
          </w:tcPr>
          <w:p w:rsidR="003105EC" w:rsidRPr="007B6490" w:rsidRDefault="003105EC" w:rsidP="007B6490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3 424</w:t>
            </w:r>
          </w:p>
        </w:tc>
        <w:tc>
          <w:tcPr>
            <w:tcW w:w="1546" w:type="dxa"/>
            <w:vAlign w:val="center"/>
          </w:tcPr>
          <w:p w:rsidR="003105EC" w:rsidRPr="007B6490" w:rsidRDefault="003105EC" w:rsidP="00114574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  <w:tc>
          <w:tcPr>
            <w:tcW w:w="1411" w:type="dxa"/>
            <w:vAlign w:val="center"/>
          </w:tcPr>
          <w:p w:rsidR="003105EC" w:rsidRPr="007B6490" w:rsidRDefault="003105EC" w:rsidP="007B6490">
            <w:pPr>
              <w:keepNext/>
              <w:ind w:right="2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01E72" w:rsidRPr="007B6490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</w:p>
        </w:tc>
      </w:tr>
      <w:tr w:rsidR="003105EC" w:rsidRPr="007B6490" w:rsidTr="00A735D9">
        <w:trPr>
          <w:trHeight w:val="20"/>
        </w:trPr>
        <w:tc>
          <w:tcPr>
            <w:tcW w:w="4432" w:type="dxa"/>
            <w:vAlign w:val="center"/>
          </w:tcPr>
          <w:p w:rsidR="003105EC" w:rsidRPr="007B6490" w:rsidRDefault="003454DC" w:rsidP="003454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105EC" w:rsidRPr="007B6490">
              <w:rPr>
                <w:rFonts w:asciiTheme="minorHAnsi" w:hAnsiTheme="minorHAnsi" w:cstheme="minorHAnsi"/>
                <w:sz w:val="20"/>
                <w:szCs w:val="20"/>
              </w:rPr>
              <w:t>patření k ochraně a tvorbě životního prostředí</w:t>
            </w:r>
          </w:p>
        </w:tc>
        <w:tc>
          <w:tcPr>
            <w:tcW w:w="1683" w:type="dxa"/>
            <w:vAlign w:val="center"/>
          </w:tcPr>
          <w:p w:rsidR="003105EC" w:rsidRPr="007B6490" w:rsidRDefault="003105EC" w:rsidP="007B6490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23 10</w:t>
            </w:r>
            <w:r w:rsidR="00724EC9" w:rsidRPr="007B649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3105EC" w:rsidRPr="007B6490" w:rsidRDefault="003105EC" w:rsidP="00114574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1 090</w:t>
            </w:r>
          </w:p>
        </w:tc>
        <w:tc>
          <w:tcPr>
            <w:tcW w:w="1411" w:type="dxa"/>
            <w:vAlign w:val="center"/>
          </w:tcPr>
          <w:p w:rsidR="003105EC" w:rsidRPr="007B6490" w:rsidRDefault="00C01E72" w:rsidP="007B6490">
            <w:pPr>
              <w:keepNext/>
              <w:ind w:right="2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4,7</w:t>
            </w:r>
          </w:p>
        </w:tc>
      </w:tr>
      <w:tr w:rsidR="0076521E" w:rsidRPr="007B6490" w:rsidTr="00A735D9">
        <w:trPr>
          <w:trHeight w:val="20"/>
        </w:trPr>
        <w:tc>
          <w:tcPr>
            <w:tcW w:w="4432" w:type="dxa"/>
            <w:vAlign w:val="center"/>
          </w:tcPr>
          <w:p w:rsidR="0076521E" w:rsidRPr="007B6490" w:rsidRDefault="0076521E" w:rsidP="007B6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683" w:type="dxa"/>
            <w:vAlign w:val="center"/>
          </w:tcPr>
          <w:p w:rsidR="0076521E" w:rsidRPr="007B6490" w:rsidRDefault="00C01E72" w:rsidP="007B6490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86 590</w:t>
            </w:r>
          </w:p>
        </w:tc>
        <w:tc>
          <w:tcPr>
            <w:tcW w:w="1546" w:type="dxa"/>
            <w:vAlign w:val="center"/>
          </w:tcPr>
          <w:p w:rsidR="0076521E" w:rsidRPr="007B6490" w:rsidRDefault="00C01E72" w:rsidP="00114574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7 529</w:t>
            </w:r>
          </w:p>
        </w:tc>
        <w:tc>
          <w:tcPr>
            <w:tcW w:w="1411" w:type="dxa"/>
            <w:vAlign w:val="center"/>
          </w:tcPr>
          <w:p w:rsidR="0076521E" w:rsidRPr="007B6490" w:rsidRDefault="00C01E72" w:rsidP="007B6490">
            <w:pPr>
              <w:keepNext/>
              <w:ind w:right="2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8,7</w:t>
            </w:r>
          </w:p>
        </w:tc>
      </w:tr>
    </w:tbl>
    <w:p w:rsidR="003105EC" w:rsidRPr="00DD1C9C" w:rsidRDefault="003105EC" w:rsidP="00DD1C9C">
      <w:pPr>
        <w:jc w:val="both"/>
        <w:rPr>
          <w:rFonts w:asciiTheme="minorHAnsi" w:hAnsiTheme="minorHAnsi" w:cstheme="minorHAnsi"/>
          <w:sz w:val="20"/>
          <w:szCs w:val="20"/>
        </w:rPr>
      </w:pPr>
      <w:r w:rsidRPr="00DD1C9C">
        <w:rPr>
          <w:rFonts w:asciiTheme="minorHAnsi" w:hAnsiTheme="minorHAnsi" w:cstheme="minorHAnsi"/>
          <w:b/>
          <w:sz w:val="20"/>
          <w:szCs w:val="20"/>
        </w:rPr>
        <w:t>Zdroj:</w:t>
      </w:r>
      <w:r w:rsidRPr="00DD1C9C">
        <w:rPr>
          <w:rFonts w:asciiTheme="minorHAnsi" w:hAnsiTheme="minorHAnsi" w:cstheme="minorHAnsi"/>
          <w:sz w:val="20"/>
          <w:szCs w:val="20"/>
        </w:rPr>
        <w:t xml:space="preserve"> ISPÚ</w:t>
      </w:r>
      <w:r w:rsidR="00263113" w:rsidRPr="00DD1C9C">
        <w:rPr>
          <w:rFonts w:asciiTheme="minorHAnsi" w:hAnsiTheme="minorHAnsi" w:cstheme="minorHAnsi"/>
          <w:sz w:val="20"/>
          <w:szCs w:val="20"/>
        </w:rPr>
        <w:t>.</w:t>
      </w:r>
    </w:p>
    <w:p w:rsidR="00DD1C9C" w:rsidRDefault="00DD1C9C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D81F8D" w:rsidRDefault="00D81F8D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B6490">
        <w:rPr>
          <w:rFonts w:asciiTheme="minorHAnsi" w:hAnsiTheme="minorHAnsi" w:cstheme="minorHAnsi"/>
          <w:color w:val="000000"/>
        </w:rPr>
        <w:t xml:space="preserve">Ze zjištěných údajů vyplývá, že nejčastěji </w:t>
      </w:r>
      <w:r w:rsidR="003454DC" w:rsidRPr="007B6490">
        <w:rPr>
          <w:rFonts w:asciiTheme="minorHAnsi" w:hAnsiTheme="minorHAnsi" w:cstheme="minorHAnsi"/>
          <w:color w:val="000000"/>
        </w:rPr>
        <w:t xml:space="preserve">jsou k realizaci </w:t>
      </w:r>
      <w:r w:rsidRPr="007B6490">
        <w:rPr>
          <w:rFonts w:asciiTheme="minorHAnsi" w:hAnsiTheme="minorHAnsi" w:cstheme="minorHAnsi"/>
          <w:color w:val="000000"/>
        </w:rPr>
        <w:t xml:space="preserve">navrhována </w:t>
      </w:r>
      <w:r w:rsidRPr="007B6490">
        <w:rPr>
          <w:rFonts w:asciiTheme="minorHAnsi" w:hAnsiTheme="minorHAnsi" w:cstheme="minorHAnsi"/>
          <w:lang w:eastAsia="cs-CZ"/>
        </w:rPr>
        <w:t>opatření ke zpřístupnění pozemků</w:t>
      </w:r>
      <w:r w:rsidRPr="007B6490">
        <w:rPr>
          <w:rFonts w:asciiTheme="minorHAnsi" w:hAnsiTheme="minorHAnsi" w:cstheme="minorHAnsi"/>
          <w:color w:val="000000"/>
        </w:rPr>
        <w:t xml:space="preserve"> (polní ces</w:t>
      </w:r>
      <w:r w:rsidR="00203D91" w:rsidRPr="007B6490">
        <w:rPr>
          <w:rFonts w:asciiTheme="minorHAnsi" w:hAnsiTheme="minorHAnsi" w:cstheme="minorHAnsi"/>
          <w:color w:val="000000"/>
        </w:rPr>
        <w:t>ty) a vodohospodářská opatření.</w:t>
      </w:r>
    </w:p>
    <w:p w:rsidR="00DD1C9C" w:rsidRPr="007B6490" w:rsidRDefault="00DD1C9C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2D13C6" w:rsidRDefault="006B2346" w:rsidP="00DD1C9C">
      <w:pPr>
        <w:jc w:val="both"/>
        <w:rPr>
          <w:rFonts w:asciiTheme="minorHAnsi" w:hAnsiTheme="minorHAnsi" w:cstheme="minorHAnsi"/>
        </w:rPr>
      </w:pPr>
      <w:r w:rsidRPr="00130B8B">
        <w:rPr>
          <w:rFonts w:asciiTheme="minorHAnsi" w:hAnsiTheme="minorHAnsi" w:cstheme="minorHAnsi"/>
        </w:rPr>
        <w:t xml:space="preserve">Pozemkový úřad po projednání se zastupitelstvem obce a se sborem zástupců </w:t>
      </w:r>
      <w:r w:rsidR="00FD1D79" w:rsidRPr="00130B8B">
        <w:rPr>
          <w:rFonts w:asciiTheme="minorHAnsi" w:hAnsiTheme="minorHAnsi" w:cstheme="minorHAnsi"/>
        </w:rPr>
        <w:t xml:space="preserve">vlastníků pozemků </w:t>
      </w:r>
      <w:r w:rsidRPr="00130B8B">
        <w:rPr>
          <w:rFonts w:asciiTheme="minorHAnsi" w:hAnsiTheme="minorHAnsi" w:cstheme="minorHAnsi"/>
        </w:rPr>
        <w:t xml:space="preserve">stanoví s ohledem na potřeby vlastníků a se zřetelem </w:t>
      </w:r>
      <w:r w:rsidR="003454DC">
        <w:rPr>
          <w:rFonts w:asciiTheme="minorHAnsi" w:hAnsiTheme="minorHAnsi" w:cstheme="minorHAnsi"/>
        </w:rPr>
        <w:t>k </w:t>
      </w:r>
      <w:r w:rsidRPr="00130B8B">
        <w:rPr>
          <w:rFonts w:asciiTheme="minorHAnsi" w:hAnsiTheme="minorHAnsi" w:cstheme="minorHAnsi"/>
        </w:rPr>
        <w:t>finanční</w:t>
      </w:r>
      <w:r w:rsidR="003454DC">
        <w:rPr>
          <w:rFonts w:asciiTheme="minorHAnsi" w:hAnsiTheme="minorHAnsi" w:cstheme="minorHAnsi"/>
        </w:rPr>
        <w:t>m</w:t>
      </w:r>
      <w:r w:rsidRPr="00130B8B">
        <w:rPr>
          <w:rFonts w:asciiTheme="minorHAnsi" w:hAnsiTheme="minorHAnsi" w:cstheme="minorHAnsi"/>
        </w:rPr>
        <w:t xml:space="preserve"> </w:t>
      </w:r>
      <w:r w:rsidR="003454DC">
        <w:rPr>
          <w:rFonts w:asciiTheme="minorHAnsi" w:hAnsiTheme="minorHAnsi" w:cstheme="minorHAnsi"/>
        </w:rPr>
        <w:t>zdrojům</w:t>
      </w:r>
      <w:r w:rsidRPr="00130B8B">
        <w:rPr>
          <w:rFonts w:asciiTheme="minorHAnsi" w:hAnsiTheme="minorHAnsi" w:cstheme="minorHAnsi"/>
        </w:rPr>
        <w:t xml:space="preserve"> postup realizace společných zařízení vyplývajících ze schváleného návrhu </w:t>
      </w:r>
      <w:r w:rsidR="00994D78" w:rsidRPr="00130B8B">
        <w:rPr>
          <w:rFonts w:asciiTheme="minorHAnsi" w:hAnsiTheme="minorHAnsi" w:cstheme="minorHAnsi"/>
        </w:rPr>
        <w:t xml:space="preserve">pozemkové </w:t>
      </w:r>
      <w:r w:rsidR="00360C5A" w:rsidRPr="00130B8B">
        <w:rPr>
          <w:rFonts w:asciiTheme="minorHAnsi" w:hAnsiTheme="minorHAnsi" w:cstheme="minorHAnsi"/>
        </w:rPr>
        <w:t xml:space="preserve">úpravy </w:t>
      </w:r>
      <w:r w:rsidR="00FA5177" w:rsidRPr="00130B8B">
        <w:rPr>
          <w:rFonts w:asciiTheme="minorHAnsi" w:hAnsiTheme="minorHAnsi" w:cstheme="minorHAnsi"/>
        </w:rPr>
        <w:t>a </w:t>
      </w:r>
      <w:r w:rsidRPr="00130B8B">
        <w:rPr>
          <w:rFonts w:asciiTheme="minorHAnsi" w:hAnsiTheme="minorHAnsi" w:cstheme="minorHAnsi"/>
        </w:rPr>
        <w:t>stanoví priority realizace</w:t>
      </w:r>
      <w:r w:rsidR="00994D78" w:rsidRPr="00130B8B">
        <w:rPr>
          <w:rFonts w:asciiTheme="minorHAnsi" w:hAnsiTheme="minorHAnsi" w:cstheme="minorHAnsi"/>
        </w:rPr>
        <w:t xml:space="preserve"> v daném katastrálním území</w:t>
      </w:r>
      <w:r w:rsidRPr="00130B8B">
        <w:rPr>
          <w:rFonts w:asciiTheme="minorHAnsi" w:hAnsiTheme="minorHAnsi" w:cstheme="minorHAnsi"/>
        </w:rPr>
        <w:t xml:space="preserve">. </w:t>
      </w:r>
      <w:r w:rsidR="00360C5A" w:rsidRPr="00130B8B">
        <w:rPr>
          <w:rFonts w:asciiTheme="minorHAnsi" w:hAnsiTheme="minorHAnsi" w:cstheme="minorHAnsi"/>
        </w:rPr>
        <w:t>Potřeby realizace společných zařízení jsou v jednotlivých katastrálních územích zcela nesouměřitelné a vyplývají z místních podmínek a poměrů.</w:t>
      </w:r>
      <w:r w:rsidR="00D5569B" w:rsidRPr="00130B8B">
        <w:rPr>
          <w:rFonts w:asciiTheme="minorHAnsi" w:hAnsiTheme="minorHAnsi" w:cstheme="minorHAnsi"/>
        </w:rPr>
        <w:t xml:space="preserve"> </w:t>
      </w:r>
      <w:proofErr w:type="spellStart"/>
      <w:r w:rsidR="002029CA" w:rsidRPr="00775527">
        <w:rPr>
          <w:rFonts w:asciiTheme="minorHAnsi" w:hAnsiTheme="minorHAnsi" w:cstheme="minorHAnsi"/>
        </w:rPr>
        <w:t>MZe</w:t>
      </w:r>
      <w:proofErr w:type="spellEnd"/>
      <w:r w:rsidR="002029CA" w:rsidRPr="00775527">
        <w:rPr>
          <w:rFonts w:asciiTheme="minorHAnsi" w:hAnsiTheme="minorHAnsi" w:cstheme="minorHAnsi"/>
        </w:rPr>
        <w:t xml:space="preserve"> ani </w:t>
      </w:r>
      <w:proofErr w:type="spellStart"/>
      <w:r w:rsidR="002029CA" w:rsidRPr="00775527">
        <w:rPr>
          <w:rFonts w:asciiTheme="minorHAnsi" w:hAnsiTheme="minorHAnsi" w:cstheme="minorHAnsi"/>
        </w:rPr>
        <w:t>SPÚ</w:t>
      </w:r>
      <w:proofErr w:type="spellEnd"/>
      <w:r w:rsidR="002029CA" w:rsidRPr="00775527">
        <w:rPr>
          <w:rFonts w:asciiTheme="minorHAnsi" w:hAnsiTheme="minorHAnsi" w:cstheme="minorHAnsi"/>
        </w:rPr>
        <w:t xml:space="preserve"> nem</w:t>
      </w:r>
      <w:r w:rsidR="003454DC">
        <w:rPr>
          <w:rFonts w:asciiTheme="minorHAnsi" w:hAnsiTheme="minorHAnsi" w:cstheme="minorHAnsi"/>
        </w:rPr>
        <w:t>ají</w:t>
      </w:r>
      <w:r w:rsidR="002029CA" w:rsidRPr="00775527">
        <w:rPr>
          <w:rFonts w:asciiTheme="minorHAnsi" w:hAnsiTheme="minorHAnsi" w:cstheme="minorHAnsi"/>
        </w:rPr>
        <w:t xml:space="preserve"> nastavena kritéria </w:t>
      </w:r>
      <w:r w:rsidR="00C62799" w:rsidRPr="00775527">
        <w:rPr>
          <w:rFonts w:asciiTheme="minorHAnsi" w:hAnsiTheme="minorHAnsi" w:cstheme="minorHAnsi"/>
        </w:rPr>
        <w:t xml:space="preserve">pro výběr </w:t>
      </w:r>
      <w:r w:rsidR="00D5569B" w:rsidRPr="00775527">
        <w:rPr>
          <w:rFonts w:asciiTheme="minorHAnsi" w:hAnsiTheme="minorHAnsi" w:cstheme="minorHAnsi"/>
        </w:rPr>
        <w:t>konkrétní</w:t>
      </w:r>
      <w:r w:rsidR="00C62799" w:rsidRPr="00775527">
        <w:rPr>
          <w:rFonts w:asciiTheme="minorHAnsi" w:hAnsiTheme="minorHAnsi" w:cstheme="minorHAnsi"/>
        </w:rPr>
        <w:t>ch</w:t>
      </w:r>
      <w:r w:rsidR="00D5569B" w:rsidRPr="00775527">
        <w:rPr>
          <w:rFonts w:asciiTheme="minorHAnsi" w:hAnsiTheme="minorHAnsi" w:cstheme="minorHAnsi"/>
        </w:rPr>
        <w:t xml:space="preserve"> </w:t>
      </w:r>
      <w:r w:rsidR="00D5569B" w:rsidRPr="00775527">
        <w:rPr>
          <w:rFonts w:asciiTheme="minorHAnsi" w:hAnsiTheme="minorHAnsi" w:cstheme="minorHAnsi"/>
        </w:rPr>
        <w:lastRenderedPageBreak/>
        <w:t>katastrální</w:t>
      </w:r>
      <w:r w:rsidR="00C62799" w:rsidRPr="00775527">
        <w:rPr>
          <w:rFonts w:asciiTheme="minorHAnsi" w:hAnsiTheme="minorHAnsi" w:cstheme="minorHAnsi"/>
        </w:rPr>
        <w:t>ch</w:t>
      </w:r>
      <w:r w:rsidR="00D5569B" w:rsidRPr="00775527">
        <w:rPr>
          <w:rFonts w:asciiTheme="minorHAnsi" w:hAnsiTheme="minorHAnsi" w:cstheme="minorHAnsi"/>
        </w:rPr>
        <w:t xml:space="preserve"> území </w:t>
      </w:r>
      <w:r w:rsidR="00C62799" w:rsidRPr="00775527">
        <w:rPr>
          <w:rFonts w:asciiTheme="minorHAnsi" w:hAnsiTheme="minorHAnsi" w:cstheme="minorHAnsi"/>
        </w:rPr>
        <w:t>s</w:t>
      </w:r>
      <w:r w:rsidR="00D5569B" w:rsidRPr="00775527">
        <w:rPr>
          <w:rFonts w:asciiTheme="minorHAnsi" w:hAnsiTheme="minorHAnsi" w:cstheme="minorHAnsi"/>
        </w:rPr>
        <w:t> ukončený</w:t>
      </w:r>
      <w:r w:rsidR="00C62799" w:rsidRPr="00775527">
        <w:rPr>
          <w:rFonts w:asciiTheme="minorHAnsi" w:hAnsiTheme="minorHAnsi" w:cstheme="minorHAnsi"/>
        </w:rPr>
        <w:t>mi</w:t>
      </w:r>
      <w:r w:rsidR="00D5569B" w:rsidRPr="00775527">
        <w:rPr>
          <w:rFonts w:asciiTheme="minorHAnsi" w:hAnsiTheme="minorHAnsi" w:cstheme="minorHAnsi"/>
        </w:rPr>
        <w:t xml:space="preserve"> </w:t>
      </w:r>
      <w:proofErr w:type="spellStart"/>
      <w:r w:rsidR="00D5569B" w:rsidRPr="00775527">
        <w:rPr>
          <w:rFonts w:asciiTheme="minorHAnsi" w:hAnsiTheme="minorHAnsi" w:cstheme="minorHAnsi"/>
        </w:rPr>
        <w:t>KoPÚ</w:t>
      </w:r>
      <w:proofErr w:type="spellEnd"/>
      <w:r w:rsidR="00C62799" w:rsidRPr="00775527">
        <w:rPr>
          <w:rFonts w:asciiTheme="minorHAnsi" w:hAnsiTheme="minorHAnsi" w:cstheme="minorHAnsi"/>
        </w:rPr>
        <w:t xml:space="preserve">, </w:t>
      </w:r>
      <w:r w:rsidR="000C75F3">
        <w:rPr>
          <w:rFonts w:asciiTheme="minorHAnsi" w:hAnsiTheme="minorHAnsi" w:cstheme="minorHAnsi"/>
        </w:rPr>
        <w:t>kde je možné</w:t>
      </w:r>
      <w:r w:rsidR="00C62799" w:rsidRPr="00775527">
        <w:rPr>
          <w:rFonts w:asciiTheme="minorHAnsi" w:hAnsiTheme="minorHAnsi" w:cstheme="minorHAnsi"/>
        </w:rPr>
        <w:t xml:space="preserve"> p</w:t>
      </w:r>
      <w:r w:rsidR="00130B8B" w:rsidRPr="00775527">
        <w:rPr>
          <w:rFonts w:asciiTheme="minorHAnsi" w:hAnsiTheme="minorHAnsi" w:cstheme="minorHAnsi"/>
        </w:rPr>
        <w:t>řistoup</w:t>
      </w:r>
      <w:r w:rsidR="000C75F3">
        <w:rPr>
          <w:rFonts w:asciiTheme="minorHAnsi" w:hAnsiTheme="minorHAnsi" w:cstheme="minorHAnsi"/>
        </w:rPr>
        <w:t>it</w:t>
      </w:r>
      <w:r w:rsidR="00130B8B" w:rsidRPr="00775527">
        <w:rPr>
          <w:rFonts w:asciiTheme="minorHAnsi" w:hAnsiTheme="minorHAnsi" w:cstheme="minorHAnsi"/>
        </w:rPr>
        <w:t xml:space="preserve"> k</w:t>
      </w:r>
      <w:r w:rsidR="00C62799" w:rsidRPr="00775527">
        <w:rPr>
          <w:rFonts w:asciiTheme="minorHAnsi" w:hAnsiTheme="minorHAnsi" w:cstheme="minorHAnsi"/>
        </w:rPr>
        <w:t xml:space="preserve"> realizac</w:t>
      </w:r>
      <w:r w:rsidR="00130B8B" w:rsidRPr="00775527">
        <w:rPr>
          <w:rFonts w:asciiTheme="minorHAnsi" w:hAnsiTheme="minorHAnsi" w:cstheme="minorHAnsi"/>
        </w:rPr>
        <w:t>i</w:t>
      </w:r>
      <w:r w:rsidR="00C62799" w:rsidRPr="00775527">
        <w:rPr>
          <w:rFonts w:asciiTheme="minorHAnsi" w:hAnsiTheme="minorHAnsi" w:cstheme="minorHAnsi"/>
        </w:rPr>
        <w:t xml:space="preserve"> společných zařízení</w:t>
      </w:r>
      <w:r w:rsidR="000C75F3">
        <w:rPr>
          <w:rFonts w:asciiTheme="minorHAnsi" w:hAnsiTheme="minorHAnsi" w:cstheme="minorHAnsi"/>
        </w:rPr>
        <w:t>,</w:t>
      </w:r>
      <w:r w:rsidR="00C62799" w:rsidRPr="00775527">
        <w:rPr>
          <w:rFonts w:asciiTheme="minorHAnsi" w:hAnsiTheme="minorHAnsi" w:cstheme="minorHAnsi"/>
        </w:rPr>
        <w:t xml:space="preserve"> </w:t>
      </w:r>
      <w:r w:rsidR="00C62799" w:rsidRPr="007E3B0B">
        <w:rPr>
          <w:rFonts w:asciiTheme="minorHAnsi" w:hAnsiTheme="minorHAnsi" w:cstheme="minorHAnsi"/>
        </w:rPr>
        <w:t xml:space="preserve">ani kritéria </w:t>
      </w:r>
      <w:r w:rsidR="002029CA" w:rsidRPr="007E3B0B">
        <w:rPr>
          <w:rFonts w:asciiTheme="minorHAnsi" w:hAnsiTheme="minorHAnsi" w:cstheme="minorHAnsi"/>
        </w:rPr>
        <w:t xml:space="preserve">pro výběr </w:t>
      </w:r>
      <w:r w:rsidR="00130B8B" w:rsidRPr="007E3B0B">
        <w:rPr>
          <w:rFonts w:asciiTheme="minorHAnsi" w:hAnsiTheme="minorHAnsi" w:cstheme="minorHAnsi"/>
        </w:rPr>
        <w:t xml:space="preserve">prioritních </w:t>
      </w:r>
      <w:r w:rsidR="00FF497C" w:rsidRPr="007E3B0B">
        <w:rPr>
          <w:rFonts w:asciiTheme="minorHAnsi" w:hAnsiTheme="minorHAnsi" w:cstheme="minorHAnsi"/>
        </w:rPr>
        <w:t>opatření</w:t>
      </w:r>
      <w:r w:rsidR="00130B8B" w:rsidRPr="007E3B0B">
        <w:rPr>
          <w:rFonts w:asciiTheme="minorHAnsi" w:hAnsiTheme="minorHAnsi" w:cstheme="minorHAnsi"/>
        </w:rPr>
        <w:t xml:space="preserve">, </w:t>
      </w:r>
      <w:r w:rsidR="00775527" w:rsidRPr="007E3B0B">
        <w:rPr>
          <w:rFonts w:asciiTheme="minorHAnsi" w:hAnsiTheme="minorHAnsi" w:cstheme="minorHAnsi"/>
        </w:rPr>
        <w:t xml:space="preserve">která </w:t>
      </w:r>
      <w:r w:rsidR="00130B8B" w:rsidRPr="007E3B0B">
        <w:rPr>
          <w:rFonts w:asciiTheme="minorHAnsi" w:hAnsiTheme="minorHAnsi" w:cstheme="minorHAnsi"/>
        </w:rPr>
        <w:t xml:space="preserve">budou </w:t>
      </w:r>
      <w:r w:rsidR="00775527" w:rsidRPr="007E3B0B">
        <w:rPr>
          <w:rFonts w:asciiTheme="minorHAnsi" w:hAnsiTheme="minorHAnsi" w:cstheme="minorHAnsi"/>
        </w:rPr>
        <w:t xml:space="preserve">realizována </w:t>
      </w:r>
      <w:r w:rsidR="00130B8B" w:rsidRPr="007E3B0B">
        <w:rPr>
          <w:rFonts w:asciiTheme="minorHAnsi" w:hAnsiTheme="minorHAnsi" w:cstheme="minorHAnsi"/>
        </w:rPr>
        <w:t>přednostně</w:t>
      </w:r>
      <w:r w:rsidR="00C62799" w:rsidRPr="007E3B0B">
        <w:rPr>
          <w:rFonts w:asciiTheme="minorHAnsi" w:hAnsiTheme="minorHAnsi" w:cstheme="minorHAnsi"/>
        </w:rPr>
        <w:t xml:space="preserve">. </w:t>
      </w:r>
      <w:r w:rsidR="00C62799" w:rsidRPr="00130B8B">
        <w:rPr>
          <w:rFonts w:asciiTheme="minorHAnsi" w:hAnsiTheme="minorHAnsi" w:cstheme="minorHAnsi"/>
        </w:rPr>
        <w:t>K</w:t>
      </w:r>
      <w:r w:rsidR="00FF497C" w:rsidRPr="00130B8B">
        <w:rPr>
          <w:rFonts w:asciiTheme="minorHAnsi" w:hAnsiTheme="minorHAnsi" w:cstheme="minorHAnsi"/>
        </w:rPr>
        <w:t>rajské p</w:t>
      </w:r>
      <w:r w:rsidR="00360C5A" w:rsidRPr="00130B8B">
        <w:rPr>
          <w:rFonts w:asciiTheme="minorHAnsi" w:hAnsiTheme="minorHAnsi" w:cstheme="minorHAnsi"/>
        </w:rPr>
        <w:t>ozemkov</w:t>
      </w:r>
      <w:r w:rsidR="00FF497C" w:rsidRPr="00130B8B">
        <w:rPr>
          <w:rFonts w:asciiTheme="minorHAnsi" w:hAnsiTheme="minorHAnsi" w:cstheme="minorHAnsi"/>
        </w:rPr>
        <w:t>é úřady</w:t>
      </w:r>
      <w:r w:rsidR="00360C5A" w:rsidRPr="00130B8B">
        <w:rPr>
          <w:rFonts w:asciiTheme="minorHAnsi" w:hAnsiTheme="minorHAnsi" w:cstheme="minorHAnsi"/>
        </w:rPr>
        <w:t xml:space="preserve"> posuzují potřeby </w:t>
      </w:r>
      <w:r w:rsidR="00FF497C" w:rsidRPr="00130B8B">
        <w:rPr>
          <w:rFonts w:asciiTheme="minorHAnsi" w:hAnsiTheme="minorHAnsi" w:cstheme="minorHAnsi"/>
        </w:rPr>
        <w:t>v jednotlivých katastrálních územích</w:t>
      </w:r>
      <w:r w:rsidR="00360C5A" w:rsidRPr="00130B8B">
        <w:rPr>
          <w:rFonts w:asciiTheme="minorHAnsi" w:hAnsiTheme="minorHAnsi" w:cstheme="minorHAnsi"/>
        </w:rPr>
        <w:t xml:space="preserve"> </w:t>
      </w:r>
      <w:r w:rsidR="00FF497C" w:rsidRPr="00130B8B">
        <w:rPr>
          <w:rFonts w:asciiTheme="minorHAnsi" w:hAnsiTheme="minorHAnsi" w:cstheme="minorHAnsi"/>
        </w:rPr>
        <w:t>individuálně.</w:t>
      </w:r>
    </w:p>
    <w:p w:rsidR="00DD1C9C" w:rsidRPr="007B6490" w:rsidRDefault="00DD1C9C" w:rsidP="00DD1C9C">
      <w:pPr>
        <w:jc w:val="both"/>
        <w:rPr>
          <w:rFonts w:asciiTheme="minorHAnsi" w:hAnsiTheme="minorHAnsi" w:cstheme="minorHAnsi"/>
        </w:rPr>
      </w:pPr>
    </w:p>
    <w:p w:rsidR="00310111" w:rsidRDefault="006B2346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  <w:color w:val="000000"/>
        </w:rPr>
        <w:t xml:space="preserve">Kontrolou u pěti krajských pozemkových úřadů byly </w:t>
      </w:r>
      <w:r w:rsidR="005E5FED">
        <w:rPr>
          <w:rFonts w:asciiTheme="minorHAnsi" w:hAnsiTheme="minorHAnsi" w:cstheme="minorHAnsi"/>
          <w:color w:val="000000"/>
        </w:rPr>
        <w:t>zjišťovány</w:t>
      </w:r>
      <w:r w:rsidRPr="007B6490">
        <w:rPr>
          <w:rFonts w:asciiTheme="minorHAnsi" w:hAnsiTheme="minorHAnsi" w:cstheme="minorHAnsi"/>
          <w:color w:val="000000"/>
        </w:rPr>
        <w:t xml:space="preserve"> základní údaje o navržených a</w:t>
      </w:r>
      <w:r w:rsidR="00130C77" w:rsidRPr="007B6490">
        <w:rPr>
          <w:rFonts w:asciiTheme="minorHAnsi" w:hAnsiTheme="minorHAnsi" w:cstheme="minorHAnsi"/>
          <w:color w:val="000000"/>
        </w:rPr>
        <w:t> </w:t>
      </w:r>
      <w:r w:rsidRPr="007B6490">
        <w:rPr>
          <w:rFonts w:asciiTheme="minorHAnsi" w:hAnsiTheme="minorHAnsi" w:cstheme="minorHAnsi"/>
          <w:color w:val="000000"/>
        </w:rPr>
        <w:t>realizovaných opatřeních z plánů společných zařízení</w:t>
      </w:r>
      <w:r w:rsidRPr="007B6490">
        <w:rPr>
          <w:rFonts w:asciiTheme="minorHAnsi" w:hAnsiTheme="minorHAnsi" w:cstheme="minorHAnsi"/>
          <w:bCs/>
        </w:rPr>
        <w:t xml:space="preserve"> </w:t>
      </w:r>
      <w:r w:rsidR="008A3FF0" w:rsidRPr="007B6490">
        <w:rPr>
          <w:rFonts w:asciiTheme="minorHAnsi" w:hAnsiTheme="minorHAnsi" w:cstheme="minorHAnsi"/>
          <w:bCs/>
        </w:rPr>
        <w:t>za</w:t>
      </w:r>
      <w:r w:rsidR="0073652A">
        <w:rPr>
          <w:rFonts w:asciiTheme="minorHAnsi" w:hAnsiTheme="minorHAnsi" w:cstheme="minorHAnsi"/>
          <w:bCs/>
        </w:rPr>
        <w:t xml:space="preserve"> </w:t>
      </w:r>
      <w:r w:rsidRPr="007B6490">
        <w:rPr>
          <w:rFonts w:asciiTheme="minorHAnsi" w:hAnsiTheme="minorHAnsi" w:cstheme="minorHAnsi"/>
          <w:bCs/>
        </w:rPr>
        <w:t>období 2003</w:t>
      </w:r>
      <w:r w:rsidR="00263113" w:rsidRPr="007B6490">
        <w:rPr>
          <w:rFonts w:asciiTheme="minorHAnsi" w:hAnsiTheme="minorHAnsi" w:cstheme="minorHAnsi"/>
          <w:bCs/>
        </w:rPr>
        <w:t>–</w:t>
      </w:r>
      <w:r w:rsidRPr="007B6490">
        <w:rPr>
          <w:rFonts w:asciiTheme="minorHAnsi" w:hAnsiTheme="minorHAnsi" w:cstheme="minorHAnsi"/>
          <w:bCs/>
        </w:rPr>
        <w:t>2014</w:t>
      </w:r>
      <w:r w:rsidRPr="007B6490">
        <w:rPr>
          <w:rFonts w:asciiTheme="minorHAnsi" w:hAnsiTheme="minorHAnsi" w:cstheme="minorHAnsi"/>
          <w:color w:val="000000"/>
        </w:rPr>
        <w:t xml:space="preserve">. </w:t>
      </w:r>
      <w:r w:rsidRPr="007B6490">
        <w:rPr>
          <w:rFonts w:asciiTheme="minorHAnsi" w:hAnsiTheme="minorHAnsi" w:cstheme="minorHAnsi"/>
        </w:rPr>
        <w:t>Z</w:t>
      </w:r>
      <w:r w:rsidR="00E02FB6">
        <w:rPr>
          <w:rFonts w:asciiTheme="minorHAnsi" w:hAnsiTheme="minorHAnsi" w:cstheme="minorHAnsi"/>
        </w:rPr>
        <w:t> celkového počtu</w:t>
      </w:r>
      <w:r w:rsidR="00310111" w:rsidRPr="007B6490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>17</w:t>
      </w:r>
      <w:r w:rsidR="00CB4EB8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 xml:space="preserve">495 navržených společných zařízení </w:t>
      </w:r>
      <w:r w:rsidRPr="007B6490">
        <w:rPr>
          <w:rFonts w:asciiTheme="minorHAnsi" w:hAnsiTheme="minorHAnsi" w:cstheme="minorHAnsi"/>
          <w:bCs/>
        </w:rPr>
        <w:t xml:space="preserve">byly </w:t>
      </w:r>
      <w:r w:rsidR="00E02FB6">
        <w:rPr>
          <w:rFonts w:asciiTheme="minorHAnsi" w:hAnsiTheme="minorHAnsi" w:cstheme="minorHAnsi"/>
          <w:bCs/>
        </w:rPr>
        <w:t>vy</w:t>
      </w:r>
      <w:r w:rsidRPr="007B6490">
        <w:rPr>
          <w:rFonts w:asciiTheme="minorHAnsi" w:hAnsiTheme="minorHAnsi" w:cstheme="minorHAnsi"/>
          <w:bCs/>
        </w:rPr>
        <w:t>pracovány realizační projektové dokumentace pro 919</w:t>
      </w:r>
      <w:r w:rsidR="0021017F" w:rsidRPr="007B6490">
        <w:rPr>
          <w:rFonts w:asciiTheme="minorHAnsi" w:hAnsiTheme="minorHAnsi" w:cstheme="minorHAnsi"/>
          <w:bCs/>
        </w:rPr>
        <w:t xml:space="preserve"> </w:t>
      </w:r>
      <w:r w:rsidRPr="007B6490">
        <w:rPr>
          <w:rFonts w:asciiTheme="minorHAnsi" w:hAnsiTheme="minorHAnsi" w:cstheme="minorHAnsi"/>
          <w:bCs/>
        </w:rPr>
        <w:t>společných zařízení</w:t>
      </w:r>
      <w:r w:rsidRPr="007B6490">
        <w:rPr>
          <w:rFonts w:asciiTheme="minorHAnsi" w:hAnsiTheme="minorHAnsi" w:cstheme="minorHAnsi"/>
        </w:rPr>
        <w:t xml:space="preserve"> </w:t>
      </w:r>
      <w:r w:rsidR="00E02FB6">
        <w:rPr>
          <w:rFonts w:asciiTheme="minorHAnsi" w:hAnsiTheme="minorHAnsi" w:cstheme="minorHAnsi"/>
          <w:bCs/>
        </w:rPr>
        <w:t>(</w:t>
      </w:r>
      <w:r w:rsidR="00E02FB6" w:rsidRPr="007B6490">
        <w:rPr>
          <w:rFonts w:asciiTheme="minorHAnsi" w:hAnsiTheme="minorHAnsi" w:cstheme="minorHAnsi"/>
          <w:bCs/>
        </w:rPr>
        <w:t>cca 5 %</w:t>
      </w:r>
      <w:r w:rsidR="00E02FB6">
        <w:rPr>
          <w:rFonts w:asciiTheme="minorHAnsi" w:hAnsiTheme="minorHAnsi" w:cstheme="minorHAnsi"/>
          <w:bCs/>
        </w:rPr>
        <w:t>)</w:t>
      </w:r>
      <w:r w:rsidR="00E02FB6" w:rsidRPr="007B6490">
        <w:rPr>
          <w:rFonts w:asciiTheme="minorHAnsi" w:hAnsiTheme="minorHAnsi" w:cstheme="minorHAnsi"/>
          <w:bCs/>
        </w:rPr>
        <w:t xml:space="preserve"> </w:t>
      </w:r>
      <w:r w:rsidRPr="007B6490">
        <w:rPr>
          <w:rFonts w:asciiTheme="minorHAnsi" w:hAnsiTheme="minorHAnsi" w:cstheme="minorHAnsi"/>
          <w:bCs/>
        </w:rPr>
        <w:t xml:space="preserve">a z nich bylo </w:t>
      </w:r>
      <w:r w:rsidR="00B83ED9">
        <w:rPr>
          <w:rFonts w:asciiTheme="minorHAnsi" w:hAnsiTheme="minorHAnsi" w:cstheme="minorHAnsi"/>
          <w:bCs/>
        </w:rPr>
        <w:t xml:space="preserve">realizováno </w:t>
      </w:r>
      <w:r w:rsidRPr="007B6490">
        <w:rPr>
          <w:rFonts w:asciiTheme="minorHAnsi" w:hAnsiTheme="minorHAnsi" w:cstheme="minorHAnsi"/>
          <w:bCs/>
        </w:rPr>
        <w:t>488</w:t>
      </w:r>
      <w:r w:rsidR="00310111" w:rsidRPr="007B6490">
        <w:rPr>
          <w:rFonts w:asciiTheme="minorHAnsi" w:hAnsiTheme="minorHAnsi" w:cstheme="minorHAnsi"/>
          <w:bCs/>
        </w:rPr>
        <w:t xml:space="preserve"> </w:t>
      </w:r>
      <w:r w:rsidR="003579C5" w:rsidRPr="007B6490">
        <w:rPr>
          <w:rFonts w:asciiTheme="minorHAnsi" w:hAnsiTheme="minorHAnsi" w:cstheme="minorHAnsi"/>
          <w:bCs/>
        </w:rPr>
        <w:t>společných zařízení</w:t>
      </w:r>
      <w:r w:rsidRPr="007B6490">
        <w:rPr>
          <w:rFonts w:asciiTheme="minorHAnsi" w:hAnsiTheme="minorHAnsi" w:cstheme="minorHAnsi"/>
          <w:bCs/>
        </w:rPr>
        <w:t xml:space="preserve"> </w:t>
      </w:r>
      <w:r w:rsidR="00E02FB6">
        <w:rPr>
          <w:rFonts w:asciiTheme="minorHAnsi" w:hAnsiTheme="minorHAnsi" w:cstheme="minorHAnsi"/>
          <w:bCs/>
        </w:rPr>
        <w:t>(</w:t>
      </w:r>
      <w:r w:rsidR="00E02FB6" w:rsidRPr="007B6490">
        <w:rPr>
          <w:rFonts w:asciiTheme="minorHAnsi" w:hAnsiTheme="minorHAnsi" w:cstheme="minorHAnsi"/>
          <w:bCs/>
        </w:rPr>
        <w:t>cca 3 %</w:t>
      </w:r>
      <w:r w:rsidR="00E02FB6">
        <w:rPr>
          <w:rFonts w:asciiTheme="minorHAnsi" w:hAnsiTheme="minorHAnsi" w:cstheme="minorHAnsi"/>
          <w:bCs/>
        </w:rPr>
        <w:t>).</w:t>
      </w:r>
      <w:r w:rsidR="00E02FB6" w:rsidRPr="007B6490">
        <w:rPr>
          <w:rFonts w:asciiTheme="minorHAnsi" w:hAnsiTheme="minorHAnsi" w:cstheme="minorHAnsi"/>
          <w:bCs/>
        </w:rPr>
        <w:t xml:space="preserve"> </w:t>
      </w:r>
      <w:r w:rsidR="00E02FB6">
        <w:rPr>
          <w:rFonts w:asciiTheme="minorHAnsi" w:hAnsiTheme="minorHAnsi" w:cstheme="minorHAnsi"/>
          <w:bCs/>
        </w:rPr>
        <w:t>Viz</w:t>
      </w:r>
      <w:r w:rsidR="007767A1" w:rsidRPr="007B6490">
        <w:rPr>
          <w:rFonts w:asciiTheme="minorHAnsi" w:hAnsiTheme="minorHAnsi" w:cstheme="minorHAnsi"/>
          <w:bCs/>
        </w:rPr>
        <w:t xml:space="preserve"> </w:t>
      </w:r>
      <w:r w:rsidRPr="007B6490">
        <w:rPr>
          <w:rFonts w:asciiTheme="minorHAnsi" w:hAnsiTheme="minorHAnsi" w:cstheme="minorHAnsi"/>
        </w:rPr>
        <w:t>tab</w:t>
      </w:r>
      <w:r w:rsidR="00FE08C9" w:rsidRPr="007B6490">
        <w:rPr>
          <w:rFonts w:asciiTheme="minorHAnsi" w:hAnsiTheme="minorHAnsi" w:cstheme="minorHAnsi"/>
        </w:rPr>
        <w:t>ulka</w:t>
      </w:r>
      <w:r w:rsidRPr="007B6490">
        <w:rPr>
          <w:rFonts w:asciiTheme="minorHAnsi" w:hAnsiTheme="minorHAnsi" w:cstheme="minorHAnsi"/>
        </w:rPr>
        <w:t xml:space="preserve"> č.</w:t>
      </w:r>
      <w:r w:rsidR="00310111" w:rsidRPr="007B6490">
        <w:rPr>
          <w:rFonts w:asciiTheme="minorHAnsi" w:hAnsiTheme="minorHAnsi" w:cstheme="minorHAnsi"/>
        </w:rPr>
        <w:t> </w:t>
      </w:r>
      <w:r w:rsidR="00861594" w:rsidRPr="007B6490">
        <w:rPr>
          <w:rFonts w:asciiTheme="minorHAnsi" w:hAnsiTheme="minorHAnsi" w:cstheme="minorHAnsi"/>
        </w:rPr>
        <w:t>4</w:t>
      </w:r>
      <w:r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DD1C9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B2346" w:rsidRPr="00114574" w:rsidRDefault="006B2346" w:rsidP="009C5C99">
      <w:pPr>
        <w:keepNext/>
        <w:tabs>
          <w:tab w:val="left" w:pos="7513"/>
        </w:tabs>
        <w:ind w:left="1418" w:hanging="1418"/>
        <w:rPr>
          <w:rFonts w:asciiTheme="minorHAnsi" w:hAnsiTheme="minorHAnsi" w:cstheme="minorHAnsi"/>
          <w:b/>
        </w:rPr>
      </w:pPr>
      <w:r w:rsidRPr="009C5C99">
        <w:rPr>
          <w:rFonts w:asciiTheme="minorHAnsi" w:hAnsiTheme="minorHAnsi" w:cstheme="minorHAnsi"/>
          <w:b/>
        </w:rPr>
        <w:t>Tab</w:t>
      </w:r>
      <w:r w:rsidR="00E02FB6" w:rsidRPr="009C5C99">
        <w:rPr>
          <w:rFonts w:asciiTheme="minorHAnsi" w:hAnsiTheme="minorHAnsi" w:cstheme="minorHAnsi"/>
          <w:b/>
        </w:rPr>
        <w:t>ulka</w:t>
      </w:r>
      <w:r w:rsidR="0073652A">
        <w:rPr>
          <w:rFonts w:asciiTheme="minorHAnsi" w:hAnsiTheme="minorHAnsi" w:cstheme="minorHAnsi"/>
          <w:b/>
        </w:rPr>
        <w:t xml:space="preserve"> </w:t>
      </w:r>
      <w:r w:rsidRPr="009C5C99">
        <w:rPr>
          <w:rFonts w:asciiTheme="minorHAnsi" w:hAnsiTheme="minorHAnsi" w:cstheme="minorHAnsi"/>
          <w:b/>
        </w:rPr>
        <w:t>č.</w:t>
      </w:r>
      <w:r w:rsidR="0073652A">
        <w:rPr>
          <w:rFonts w:asciiTheme="minorHAnsi" w:hAnsiTheme="minorHAnsi" w:cstheme="minorHAnsi"/>
          <w:b/>
        </w:rPr>
        <w:t xml:space="preserve"> </w:t>
      </w:r>
      <w:r w:rsidR="00D81F8D" w:rsidRPr="009C5C99">
        <w:rPr>
          <w:rFonts w:asciiTheme="minorHAnsi" w:hAnsiTheme="minorHAnsi" w:cstheme="minorHAnsi"/>
          <w:b/>
        </w:rPr>
        <w:t>4</w:t>
      </w:r>
      <w:r w:rsidRPr="009C5C99">
        <w:rPr>
          <w:rFonts w:asciiTheme="minorHAnsi" w:hAnsiTheme="minorHAnsi" w:cstheme="minorHAnsi"/>
          <w:b/>
        </w:rPr>
        <w:t xml:space="preserve"> </w:t>
      </w:r>
      <w:r w:rsidR="00304D8D" w:rsidRPr="009C5C99">
        <w:rPr>
          <w:rFonts w:asciiTheme="minorHAnsi" w:hAnsiTheme="minorHAnsi" w:cstheme="minorHAnsi"/>
          <w:b/>
        </w:rPr>
        <w:t xml:space="preserve">– </w:t>
      </w:r>
      <w:r w:rsidRPr="009C5C99">
        <w:rPr>
          <w:rFonts w:asciiTheme="minorHAnsi" w:hAnsiTheme="minorHAnsi" w:cstheme="minorHAnsi"/>
          <w:b/>
        </w:rPr>
        <w:t xml:space="preserve">Základní údaje o </w:t>
      </w:r>
      <w:r w:rsidR="0073652A" w:rsidRPr="00A735D9">
        <w:rPr>
          <w:rFonts w:asciiTheme="minorHAnsi" w:hAnsiTheme="minorHAnsi" w:cstheme="minorHAnsi"/>
          <w:b/>
          <w:color w:val="000000"/>
        </w:rPr>
        <w:t>navržených a realizovaných</w:t>
      </w:r>
      <w:r w:rsidR="0073652A">
        <w:rPr>
          <w:rFonts w:asciiTheme="minorHAnsi" w:hAnsiTheme="minorHAnsi" w:cstheme="minorHAnsi"/>
          <w:color w:val="000000"/>
        </w:rPr>
        <w:t xml:space="preserve"> </w:t>
      </w:r>
      <w:r w:rsidRPr="009C5C99">
        <w:rPr>
          <w:rFonts w:asciiTheme="minorHAnsi" w:hAnsiTheme="minorHAnsi" w:cstheme="minorHAnsi"/>
          <w:b/>
        </w:rPr>
        <w:t>společných zařízeních</w:t>
      </w:r>
      <w:r w:rsidR="009C5316">
        <w:rPr>
          <w:rFonts w:asciiTheme="minorHAnsi" w:hAnsiTheme="minorHAnsi" w:cstheme="minorHAnsi"/>
          <w:b/>
        </w:rPr>
        <w:t>*</w:t>
      </w:r>
    </w:p>
    <w:tbl>
      <w:tblPr>
        <w:tblStyle w:val="Mkatabulky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1"/>
        <w:gridCol w:w="1304"/>
        <w:gridCol w:w="1304"/>
        <w:gridCol w:w="1191"/>
        <w:gridCol w:w="1247"/>
        <w:gridCol w:w="1275"/>
      </w:tblGrid>
      <w:tr w:rsidR="0017361C" w:rsidRPr="007B6490" w:rsidTr="00A735D9">
        <w:tc>
          <w:tcPr>
            <w:tcW w:w="156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17361C" w:rsidP="00937CBA">
            <w:pPr>
              <w:keepNext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17361C" w:rsidP="00114574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Celkový počet společných zařízení</w:t>
            </w: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A22F1F" w:rsidP="00114574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Procentní vyjádření</w:t>
            </w:r>
          </w:p>
        </w:tc>
        <w:tc>
          <w:tcPr>
            <w:tcW w:w="50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A22F1F" w:rsidP="00937CBA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– z toho:</w:t>
            </w:r>
          </w:p>
        </w:tc>
      </w:tr>
      <w:tr w:rsidR="0017361C" w:rsidRPr="007B6490" w:rsidTr="00A735D9">
        <w:tc>
          <w:tcPr>
            <w:tcW w:w="156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17361C" w:rsidP="00937CBA">
            <w:pPr>
              <w:keepNext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17361C" w:rsidP="00937CBA">
            <w:pPr>
              <w:keepNext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7361C" w:rsidRPr="007B6490" w:rsidRDefault="0017361C" w:rsidP="00937CBA">
            <w:pPr>
              <w:keepNext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17361C" w:rsidRPr="007B6490" w:rsidRDefault="0017361C" w:rsidP="002B7BC5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opatření ke zpřístupnění pozemků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17361C" w:rsidRPr="007B6490" w:rsidRDefault="0017361C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protierozní opatření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17361C" w:rsidRPr="007B6490" w:rsidRDefault="00A22F1F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</w:t>
            </w:r>
            <w:r w:rsidR="0017361C"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odohospo</w:t>
            </w:r>
            <w:proofErr w:type="spellEnd"/>
            <w:r w:rsidR="00DA4AFB"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-</w:t>
            </w:r>
            <w:r w:rsidR="0017361C"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dářská opatření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17361C" w:rsidRPr="007B6490" w:rsidRDefault="00A22F1F" w:rsidP="00A735D9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</w:t>
            </w:r>
            <w:r w:rsidR="00203D91"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patření k </w:t>
            </w:r>
            <w:r w:rsidR="0017361C" w:rsidRPr="007B649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ochraně a tvorbě ŽP</w:t>
            </w:r>
          </w:p>
        </w:tc>
      </w:tr>
      <w:tr w:rsidR="0017361C" w:rsidRPr="007B6490" w:rsidTr="00A735D9"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61C" w:rsidRPr="007B6490" w:rsidRDefault="0017361C" w:rsidP="00A735D9">
            <w:pPr>
              <w:keepNext/>
              <w:autoSpaceDE w:val="0"/>
              <w:autoSpaceDN w:val="0"/>
              <w:adjustRightInd w:val="0"/>
              <w:ind w:left="-57" w:right="-28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Navržená společná zařízení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17 495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100 %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52,9 % 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8,8 %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11,2 %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27,1 %</w:t>
            </w:r>
          </w:p>
        </w:tc>
      </w:tr>
      <w:tr w:rsidR="0017361C" w:rsidRPr="007B6490" w:rsidTr="00A735D9"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61C" w:rsidRPr="007B6490" w:rsidRDefault="00E02FB6" w:rsidP="00A735D9">
            <w:pPr>
              <w:keepNext/>
              <w:autoSpaceDE w:val="0"/>
              <w:autoSpaceDN w:val="0"/>
              <w:adjustRightInd w:val="0"/>
              <w:ind w:left="-57" w:right="-28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</w:t>
            </w:r>
            <w:r w:rsidR="0017361C"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toho:</w:t>
            </w:r>
          </w:p>
          <w:p w:rsidR="0017361C" w:rsidRPr="007B6490" w:rsidRDefault="00E02FB6" w:rsidP="00A735D9">
            <w:pPr>
              <w:keepNext/>
              <w:autoSpaceDE w:val="0"/>
              <w:autoSpaceDN w:val="0"/>
              <w:adjustRightInd w:val="0"/>
              <w:ind w:left="-57" w:right="-28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</w:t>
            </w:r>
            <w:r w:rsidR="0017361C"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yprojektovaná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919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5,3 %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56,5 %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9,2 %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14,8 %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19,5 %</w:t>
            </w:r>
          </w:p>
        </w:tc>
      </w:tr>
      <w:tr w:rsidR="0017361C" w:rsidRPr="007B6490" w:rsidTr="00A735D9"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61C" w:rsidRPr="007B6490" w:rsidRDefault="00E02FB6" w:rsidP="00A735D9">
            <w:pPr>
              <w:keepNext/>
              <w:autoSpaceDE w:val="0"/>
              <w:autoSpaceDN w:val="0"/>
              <w:adjustRightInd w:val="0"/>
              <w:ind w:left="-57" w:right="-28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</w:t>
            </w:r>
            <w:r w:rsidR="0017361C"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toho:</w:t>
            </w:r>
          </w:p>
          <w:p w:rsidR="0017361C" w:rsidRPr="007B6490" w:rsidRDefault="00E02FB6" w:rsidP="00A735D9">
            <w:pPr>
              <w:keepNext/>
              <w:autoSpaceDE w:val="0"/>
              <w:autoSpaceDN w:val="0"/>
              <w:adjustRightInd w:val="0"/>
              <w:ind w:left="-57" w:right="-28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</w:t>
            </w:r>
            <w:r w:rsidR="0017361C"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ealizovaná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2,8 %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60,0 %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7,2 %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13,5 %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7361C" w:rsidRPr="007B6490" w:rsidRDefault="0017361C" w:rsidP="00104BCF">
            <w:pPr>
              <w:keepNext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19,3 %</w:t>
            </w:r>
          </w:p>
        </w:tc>
      </w:tr>
    </w:tbl>
    <w:p w:rsidR="006B2346" w:rsidRDefault="006B2346" w:rsidP="00A735D9">
      <w:pPr>
        <w:jc w:val="both"/>
        <w:rPr>
          <w:rFonts w:asciiTheme="minorHAnsi" w:eastAsia="GillSansCE-Bold" w:hAnsiTheme="minorHAnsi" w:cstheme="minorHAnsi"/>
          <w:sz w:val="20"/>
          <w:szCs w:val="20"/>
        </w:rPr>
      </w:pPr>
      <w:r w:rsidRPr="00DD1C9C">
        <w:rPr>
          <w:rFonts w:asciiTheme="minorHAnsi" w:eastAsia="GillSansCE-Bold" w:hAnsiTheme="minorHAnsi" w:cstheme="minorHAnsi"/>
          <w:b/>
          <w:sz w:val="20"/>
          <w:szCs w:val="20"/>
        </w:rPr>
        <w:t>Zdroj:</w:t>
      </w:r>
      <w:r w:rsidRPr="00DD1C9C">
        <w:rPr>
          <w:rFonts w:asciiTheme="minorHAnsi" w:eastAsia="GillSansCE-Bold" w:hAnsiTheme="minorHAnsi" w:cstheme="minorHAnsi"/>
          <w:sz w:val="20"/>
          <w:szCs w:val="20"/>
        </w:rPr>
        <w:t xml:space="preserve"> </w:t>
      </w:r>
      <w:r w:rsidR="00A22F1F">
        <w:rPr>
          <w:rFonts w:asciiTheme="minorHAnsi" w:eastAsia="GillSansCE-Bold" w:hAnsiTheme="minorHAnsi" w:cstheme="minorHAnsi"/>
          <w:sz w:val="20"/>
          <w:szCs w:val="20"/>
        </w:rPr>
        <w:t>p</w:t>
      </w:r>
      <w:r w:rsidRPr="00DD1C9C">
        <w:rPr>
          <w:rFonts w:asciiTheme="minorHAnsi" w:eastAsia="GillSansCE-Bold" w:hAnsiTheme="minorHAnsi" w:cstheme="minorHAnsi"/>
          <w:sz w:val="20"/>
          <w:szCs w:val="20"/>
        </w:rPr>
        <w:t xml:space="preserve">odklady </w:t>
      </w:r>
      <w:r w:rsidR="00DA4B94" w:rsidRPr="00DD1C9C">
        <w:rPr>
          <w:rFonts w:asciiTheme="minorHAnsi" w:eastAsia="GillSansCE-Bold" w:hAnsiTheme="minorHAnsi" w:cstheme="minorHAnsi"/>
          <w:sz w:val="20"/>
          <w:szCs w:val="20"/>
        </w:rPr>
        <w:t>SPÚ</w:t>
      </w:r>
      <w:r w:rsidR="00263113" w:rsidRPr="00DD1C9C">
        <w:rPr>
          <w:rFonts w:asciiTheme="minorHAnsi" w:eastAsia="GillSansCE-Bold" w:hAnsiTheme="minorHAnsi" w:cstheme="minorHAnsi"/>
          <w:sz w:val="20"/>
          <w:szCs w:val="20"/>
        </w:rPr>
        <w:t>.</w:t>
      </w:r>
    </w:p>
    <w:p w:rsidR="009C5316" w:rsidRPr="00700A95" w:rsidRDefault="009C5316" w:rsidP="00A735D9">
      <w:pPr>
        <w:ind w:left="426" w:hanging="426"/>
        <w:jc w:val="both"/>
        <w:rPr>
          <w:rFonts w:asciiTheme="minorHAnsi" w:eastAsia="GillSansCE-Bold" w:hAnsiTheme="minorHAnsi" w:cstheme="minorHAnsi"/>
          <w:sz w:val="20"/>
          <w:szCs w:val="20"/>
        </w:rPr>
      </w:pPr>
      <w:r>
        <w:rPr>
          <w:rFonts w:asciiTheme="minorHAnsi" w:eastAsia="GillSansCE-Bold" w:hAnsiTheme="minorHAnsi" w:cstheme="minorHAnsi"/>
          <w:sz w:val="20"/>
          <w:szCs w:val="20"/>
        </w:rPr>
        <w:t>*</w:t>
      </w:r>
      <w:r>
        <w:rPr>
          <w:rFonts w:asciiTheme="minorHAnsi" w:eastAsia="GillSansCE-Bold" w:hAnsiTheme="minorHAnsi" w:cstheme="minorHAnsi"/>
          <w:sz w:val="20"/>
          <w:szCs w:val="20"/>
        </w:rPr>
        <w:tab/>
      </w:r>
      <w:r w:rsidRPr="00700A95">
        <w:rPr>
          <w:rFonts w:asciiTheme="minorHAnsi" w:eastAsia="GillSansCE-Bold" w:hAnsiTheme="minorHAnsi" w:cstheme="minorHAnsi"/>
          <w:sz w:val="20"/>
          <w:szCs w:val="20"/>
        </w:rPr>
        <w:t xml:space="preserve">Tabulka </w:t>
      </w:r>
      <w:r w:rsidR="0073652A">
        <w:rPr>
          <w:rFonts w:asciiTheme="minorHAnsi" w:eastAsia="GillSansCE-Bold" w:hAnsiTheme="minorHAnsi" w:cstheme="minorHAnsi"/>
          <w:sz w:val="20"/>
          <w:szCs w:val="20"/>
        </w:rPr>
        <w:t>uvádí</w:t>
      </w:r>
      <w:r w:rsidRPr="00700A95">
        <w:rPr>
          <w:rFonts w:asciiTheme="minorHAnsi" w:eastAsia="GillSansCE-Bold" w:hAnsiTheme="minorHAnsi" w:cstheme="minorHAnsi"/>
          <w:sz w:val="20"/>
          <w:szCs w:val="20"/>
        </w:rPr>
        <w:t xml:space="preserve"> </w:t>
      </w:r>
      <w:r w:rsidR="00700A95">
        <w:rPr>
          <w:rFonts w:asciiTheme="minorHAnsi" w:eastAsia="GillSansCE-Bold" w:hAnsiTheme="minorHAnsi" w:cstheme="minorHAnsi"/>
          <w:sz w:val="20"/>
          <w:szCs w:val="20"/>
        </w:rPr>
        <w:t xml:space="preserve">data o společných zařízeních schválených v </w:t>
      </w:r>
      <w:r w:rsidRPr="00700A95">
        <w:rPr>
          <w:rFonts w:asciiTheme="minorHAnsi" w:eastAsia="GillSansCE-Bold" w:hAnsiTheme="minorHAnsi" w:cstheme="minorHAnsi"/>
          <w:sz w:val="20"/>
          <w:szCs w:val="20"/>
        </w:rPr>
        <w:t>komplexní</w:t>
      </w:r>
      <w:r w:rsidR="00700A95">
        <w:rPr>
          <w:rFonts w:asciiTheme="minorHAnsi" w:eastAsia="GillSansCE-Bold" w:hAnsiTheme="minorHAnsi" w:cstheme="minorHAnsi"/>
          <w:sz w:val="20"/>
          <w:szCs w:val="20"/>
        </w:rPr>
        <w:t>ch</w:t>
      </w:r>
      <w:r w:rsidRPr="00700A95">
        <w:rPr>
          <w:rFonts w:asciiTheme="minorHAnsi" w:eastAsia="GillSansCE-Bold" w:hAnsiTheme="minorHAnsi" w:cstheme="minorHAnsi"/>
          <w:sz w:val="20"/>
          <w:szCs w:val="20"/>
        </w:rPr>
        <w:t xml:space="preserve"> pozemkov</w:t>
      </w:r>
      <w:r w:rsidR="00700A95">
        <w:rPr>
          <w:rFonts w:asciiTheme="minorHAnsi" w:eastAsia="GillSansCE-Bold" w:hAnsiTheme="minorHAnsi" w:cstheme="minorHAnsi"/>
          <w:sz w:val="20"/>
          <w:szCs w:val="20"/>
        </w:rPr>
        <w:t>ých</w:t>
      </w:r>
      <w:r w:rsidRPr="00700A95">
        <w:rPr>
          <w:rFonts w:asciiTheme="minorHAnsi" w:eastAsia="GillSansCE-Bold" w:hAnsiTheme="minorHAnsi" w:cstheme="minorHAnsi"/>
          <w:sz w:val="20"/>
          <w:szCs w:val="20"/>
        </w:rPr>
        <w:t xml:space="preserve"> úprav</w:t>
      </w:r>
      <w:r w:rsidR="00700A95">
        <w:rPr>
          <w:rFonts w:asciiTheme="minorHAnsi" w:eastAsia="GillSansCE-Bold" w:hAnsiTheme="minorHAnsi" w:cstheme="minorHAnsi"/>
          <w:sz w:val="20"/>
          <w:szCs w:val="20"/>
        </w:rPr>
        <w:t>ách, které byly</w:t>
      </w:r>
      <w:r w:rsidR="00700A95" w:rsidRPr="00700A95">
        <w:rPr>
          <w:rFonts w:asciiTheme="minorHAnsi" w:eastAsia="GillSansCE-Bold" w:hAnsiTheme="minorHAnsi" w:cstheme="minorHAnsi"/>
          <w:sz w:val="20"/>
          <w:szCs w:val="20"/>
        </w:rPr>
        <w:t xml:space="preserve"> zahájen</w:t>
      </w:r>
      <w:r w:rsidR="00700A95">
        <w:rPr>
          <w:rFonts w:asciiTheme="minorHAnsi" w:eastAsia="GillSansCE-Bold" w:hAnsiTheme="minorHAnsi" w:cstheme="minorHAnsi"/>
          <w:sz w:val="20"/>
          <w:szCs w:val="20"/>
        </w:rPr>
        <w:t>y</w:t>
      </w:r>
      <w:r w:rsidR="00700A95" w:rsidRPr="00700A95">
        <w:rPr>
          <w:rFonts w:asciiTheme="minorHAnsi" w:eastAsia="GillSansCE-Bold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>od 1. 1. 2003 a</w:t>
      </w:r>
      <w:r w:rsidR="0073652A">
        <w:rPr>
          <w:rFonts w:asciiTheme="minorHAnsi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>ukončen</w:t>
      </w:r>
      <w:r w:rsidR="00700A95">
        <w:rPr>
          <w:rFonts w:asciiTheme="minorHAnsi" w:hAnsiTheme="minorHAnsi" w:cstheme="minorHAnsi"/>
          <w:sz w:val="20"/>
          <w:szCs w:val="20"/>
        </w:rPr>
        <w:t>y</w:t>
      </w:r>
      <w:r w:rsidR="00700A95" w:rsidRPr="00A735D9">
        <w:rPr>
          <w:rFonts w:asciiTheme="minorHAnsi" w:hAnsiTheme="minorHAnsi" w:cstheme="minorHAnsi"/>
          <w:sz w:val="20"/>
          <w:szCs w:val="20"/>
        </w:rPr>
        <w:t xml:space="preserve"> rozhodnutím o</w:t>
      </w:r>
      <w:r w:rsidR="0073652A">
        <w:rPr>
          <w:rFonts w:asciiTheme="minorHAnsi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>výměně nebo přechodu vlastnických práv do</w:t>
      </w:r>
      <w:r w:rsidR="00700A95">
        <w:rPr>
          <w:rFonts w:asciiTheme="minorHAnsi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 xml:space="preserve">31. 12. 2013 – </w:t>
      </w:r>
      <w:r w:rsidR="0073652A">
        <w:rPr>
          <w:rFonts w:asciiTheme="minorHAnsi" w:hAnsiTheme="minorHAnsi" w:cstheme="minorHAnsi"/>
          <w:sz w:val="20"/>
          <w:szCs w:val="20"/>
        </w:rPr>
        <w:t xml:space="preserve">zachycen je </w:t>
      </w:r>
      <w:r w:rsidR="00700A95" w:rsidRPr="00A735D9">
        <w:rPr>
          <w:rFonts w:asciiTheme="minorHAnsi" w:hAnsiTheme="minorHAnsi" w:cstheme="minorHAnsi"/>
          <w:sz w:val="20"/>
          <w:szCs w:val="20"/>
        </w:rPr>
        <w:t>stav u</w:t>
      </w:r>
      <w:r w:rsidR="0073652A">
        <w:rPr>
          <w:rFonts w:asciiTheme="minorHAnsi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>pěti vybraných krajských pozemkových úřadů k</w:t>
      </w:r>
      <w:r w:rsidR="0073652A">
        <w:rPr>
          <w:rFonts w:asciiTheme="minorHAnsi" w:hAnsiTheme="minorHAnsi" w:cstheme="minorHAnsi"/>
          <w:sz w:val="20"/>
          <w:szCs w:val="20"/>
        </w:rPr>
        <w:t> </w:t>
      </w:r>
      <w:r w:rsidR="00700A95" w:rsidRPr="00A735D9">
        <w:rPr>
          <w:rFonts w:asciiTheme="minorHAnsi" w:hAnsiTheme="minorHAnsi" w:cstheme="minorHAnsi"/>
          <w:sz w:val="20"/>
          <w:szCs w:val="20"/>
        </w:rPr>
        <w:t>datu</w:t>
      </w:r>
      <w:r w:rsidR="0073652A">
        <w:rPr>
          <w:rFonts w:asciiTheme="minorHAnsi" w:hAnsiTheme="minorHAnsi" w:cstheme="minorHAnsi"/>
          <w:sz w:val="20"/>
          <w:szCs w:val="20"/>
        </w:rPr>
        <w:t xml:space="preserve"> </w:t>
      </w:r>
      <w:r w:rsidR="00700A95" w:rsidRPr="00A735D9">
        <w:rPr>
          <w:rFonts w:asciiTheme="minorHAnsi" w:hAnsiTheme="minorHAnsi" w:cstheme="minorHAnsi"/>
          <w:sz w:val="20"/>
          <w:szCs w:val="20"/>
        </w:rPr>
        <w:t>31. 12. 2014</w:t>
      </w:r>
      <w:r w:rsidR="00700A95">
        <w:rPr>
          <w:rFonts w:asciiTheme="minorHAnsi" w:hAnsiTheme="minorHAnsi" w:cstheme="minorHAnsi"/>
          <w:sz w:val="20"/>
          <w:szCs w:val="20"/>
        </w:rPr>
        <w:t>.</w:t>
      </w:r>
    </w:p>
    <w:p w:rsidR="009C5316" w:rsidRDefault="00A22F1F" w:rsidP="00A735D9">
      <w:pPr>
        <w:jc w:val="both"/>
        <w:rPr>
          <w:rFonts w:asciiTheme="minorHAnsi" w:eastAsia="GillSansCE-Bold" w:hAnsiTheme="minorHAnsi" w:cstheme="minorHAnsi"/>
          <w:sz w:val="20"/>
          <w:szCs w:val="20"/>
        </w:rPr>
      </w:pPr>
      <w:r w:rsidRPr="00114574">
        <w:rPr>
          <w:rFonts w:asciiTheme="minorHAnsi" w:eastAsia="GillSansCE-Bold" w:hAnsiTheme="minorHAnsi" w:cstheme="minorHAnsi"/>
          <w:b/>
          <w:sz w:val="20"/>
          <w:szCs w:val="20"/>
        </w:rPr>
        <w:t>Pozn.:</w:t>
      </w:r>
      <w:r>
        <w:rPr>
          <w:rFonts w:asciiTheme="minorHAnsi" w:eastAsia="GillSansCE-Bold" w:hAnsiTheme="minorHAnsi" w:cstheme="minorHAnsi"/>
          <w:sz w:val="20"/>
          <w:szCs w:val="20"/>
        </w:rPr>
        <w:t xml:space="preserve"> ŽP – životní prostředí</w:t>
      </w:r>
      <w:r w:rsidR="00104BCF">
        <w:rPr>
          <w:rFonts w:asciiTheme="minorHAnsi" w:eastAsia="GillSansCE-Bold" w:hAnsiTheme="minorHAnsi" w:cstheme="minorHAnsi"/>
          <w:sz w:val="20"/>
          <w:szCs w:val="20"/>
        </w:rPr>
        <w:t>.</w:t>
      </w:r>
    </w:p>
    <w:p w:rsidR="00DD1C9C" w:rsidRPr="00DD1C9C" w:rsidRDefault="00DD1C9C" w:rsidP="00DD1C9C">
      <w:pPr>
        <w:jc w:val="both"/>
        <w:rPr>
          <w:rFonts w:asciiTheme="minorHAnsi" w:eastAsia="GillSansCE-Bold" w:hAnsiTheme="minorHAnsi" w:cstheme="minorHAnsi"/>
          <w:sz w:val="20"/>
          <w:szCs w:val="20"/>
        </w:rPr>
      </w:pPr>
    </w:p>
    <w:p w:rsidR="00207C2F" w:rsidRPr="007B6490" w:rsidRDefault="00BF4141" w:rsidP="007B6490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Ze</w:t>
      </w:r>
      <w:r w:rsidR="00104BCF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 xml:space="preserve">488 realizovaných společných zařízení bylo cca </w:t>
      </w:r>
      <w:r w:rsidR="00443179" w:rsidRPr="007B6490">
        <w:rPr>
          <w:rFonts w:asciiTheme="minorHAnsi" w:hAnsiTheme="minorHAnsi" w:cstheme="minorHAnsi"/>
        </w:rPr>
        <w:t>60</w:t>
      </w:r>
      <w:r w:rsidRPr="007B6490">
        <w:rPr>
          <w:rFonts w:asciiTheme="minorHAnsi" w:hAnsiTheme="minorHAnsi" w:cstheme="minorHAnsi"/>
        </w:rPr>
        <w:t xml:space="preserve"> % opatření ke zpřístupnění pozemků, </w:t>
      </w:r>
      <w:r w:rsidR="00443179" w:rsidRPr="007B6490">
        <w:rPr>
          <w:rFonts w:asciiTheme="minorHAnsi" w:hAnsiTheme="minorHAnsi" w:cstheme="minorHAnsi"/>
        </w:rPr>
        <w:t>7</w:t>
      </w:r>
      <w:r w:rsidR="00BA59B9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 xml:space="preserve">% protierozních opatření, </w:t>
      </w:r>
      <w:r w:rsidR="00443179" w:rsidRPr="007B6490">
        <w:rPr>
          <w:rFonts w:asciiTheme="minorHAnsi" w:hAnsiTheme="minorHAnsi" w:cstheme="minorHAnsi"/>
        </w:rPr>
        <w:t xml:space="preserve">14 </w:t>
      </w:r>
      <w:r w:rsidRPr="007B6490">
        <w:rPr>
          <w:rFonts w:asciiTheme="minorHAnsi" w:hAnsiTheme="minorHAnsi" w:cstheme="minorHAnsi"/>
        </w:rPr>
        <w:t xml:space="preserve">% vodohospodářských opatření a </w:t>
      </w:r>
      <w:r w:rsidR="00443179" w:rsidRPr="007B6490">
        <w:rPr>
          <w:rFonts w:asciiTheme="minorHAnsi" w:hAnsiTheme="minorHAnsi" w:cstheme="minorHAnsi"/>
        </w:rPr>
        <w:t xml:space="preserve">19 </w:t>
      </w:r>
      <w:r w:rsidRPr="007B6490">
        <w:rPr>
          <w:rFonts w:asciiTheme="minorHAnsi" w:hAnsiTheme="minorHAnsi" w:cstheme="minorHAnsi"/>
        </w:rPr>
        <w:t>% opatření k ochraně a tvorbě životního prostředí. Na realizaci těchto 488 společných zařízení bylo vynaloženo celkem 1 176 mil. Kč, z toho 82 % na opatření na zpřístupnění pozemků, 3 % na protierozní opatření, 13 % na vodohospodářská opatření a 2 % na opatření k ochraně a tvorbě životního prostředí.</w:t>
      </w:r>
    </w:p>
    <w:p w:rsidR="00207C2F" w:rsidRPr="007B6490" w:rsidRDefault="00207C2F" w:rsidP="007B6490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="00DF412C" w:rsidRPr="00EB7066" w:rsidRDefault="006E08BF" w:rsidP="00EB7066">
      <w:pPr>
        <w:keepNext/>
        <w:ind w:left="1077" w:hanging="1077"/>
        <w:rPr>
          <w:rFonts w:asciiTheme="minorHAnsi" w:hAnsiTheme="minorHAnsi" w:cstheme="minorHAnsi"/>
          <w:b/>
        </w:rPr>
      </w:pPr>
      <w:r w:rsidRPr="00114574">
        <w:rPr>
          <w:rFonts w:asciiTheme="minorHAnsi" w:hAnsiTheme="minorHAnsi" w:cstheme="minorHAnsi"/>
          <w:b/>
        </w:rPr>
        <w:t>Graf č. 2 –</w:t>
      </w:r>
      <w:r w:rsidR="00BF399A" w:rsidRPr="00114574">
        <w:rPr>
          <w:rFonts w:asciiTheme="minorHAnsi" w:hAnsiTheme="minorHAnsi" w:cstheme="minorHAnsi"/>
          <w:b/>
        </w:rPr>
        <w:t xml:space="preserve"> Počty </w:t>
      </w:r>
      <w:r w:rsidR="00BF399A" w:rsidRPr="00EB7066">
        <w:rPr>
          <w:rFonts w:asciiTheme="minorHAnsi" w:hAnsiTheme="minorHAnsi" w:cstheme="minorHAnsi"/>
          <w:b/>
        </w:rPr>
        <w:t>n</w:t>
      </w:r>
      <w:r w:rsidRPr="00EB7066">
        <w:rPr>
          <w:rFonts w:asciiTheme="minorHAnsi" w:hAnsiTheme="minorHAnsi" w:cstheme="minorHAnsi"/>
          <w:b/>
        </w:rPr>
        <w:t>avržen</w:t>
      </w:r>
      <w:r w:rsidR="00BF399A" w:rsidRPr="00EB7066">
        <w:rPr>
          <w:rFonts w:asciiTheme="minorHAnsi" w:hAnsiTheme="minorHAnsi" w:cstheme="minorHAnsi"/>
          <w:b/>
        </w:rPr>
        <w:t>ých</w:t>
      </w:r>
      <w:r w:rsidRPr="00EB7066">
        <w:rPr>
          <w:rFonts w:asciiTheme="minorHAnsi" w:hAnsiTheme="minorHAnsi" w:cstheme="minorHAnsi"/>
          <w:b/>
        </w:rPr>
        <w:t>, vyprojektovan</w:t>
      </w:r>
      <w:r w:rsidR="00BF399A" w:rsidRPr="00EB7066">
        <w:rPr>
          <w:rFonts w:asciiTheme="minorHAnsi" w:hAnsiTheme="minorHAnsi" w:cstheme="minorHAnsi"/>
          <w:b/>
        </w:rPr>
        <w:t>ých</w:t>
      </w:r>
      <w:r w:rsidRPr="00EB7066">
        <w:rPr>
          <w:rFonts w:asciiTheme="minorHAnsi" w:hAnsiTheme="minorHAnsi" w:cstheme="minorHAnsi"/>
          <w:b/>
        </w:rPr>
        <w:t xml:space="preserve"> a realizovan</w:t>
      </w:r>
      <w:r w:rsidR="00BF399A" w:rsidRPr="00EB7066">
        <w:rPr>
          <w:rFonts w:asciiTheme="minorHAnsi" w:hAnsiTheme="minorHAnsi" w:cstheme="minorHAnsi"/>
          <w:b/>
        </w:rPr>
        <w:t>ých</w:t>
      </w:r>
      <w:r w:rsidRPr="00EB7066">
        <w:rPr>
          <w:rFonts w:asciiTheme="minorHAnsi" w:hAnsiTheme="minorHAnsi" w:cstheme="minorHAnsi"/>
          <w:b/>
        </w:rPr>
        <w:t xml:space="preserve"> společn</w:t>
      </w:r>
      <w:r w:rsidR="00BF399A" w:rsidRPr="00EB7066">
        <w:rPr>
          <w:rFonts w:asciiTheme="minorHAnsi" w:hAnsiTheme="minorHAnsi" w:cstheme="minorHAnsi"/>
          <w:b/>
        </w:rPr>
        <w:t>ých</w:t>
      </w:r>
      <w:r w:rsidRPr="00EB7066">
        <w:rPr>
          <w:rFonts w:asciiTheme="minorHAnsi" w:hAnsiTheme="minorHAnsi" w:cstheme="minorHAnsi"/>
          <w:b/>
        </w:rPr>
        <w:t xml:space="preserve"> zařízení podle typu opatření</w:t>
      </w:r>
      <w:r w:rsidR="000F52FE" w:rsidRPr="00EB7066">
        <w:rPr>
          <w:rFonts w:asciiTheme="minorHAnsi" w:hAnsiTheme="minorHAnsi" w:cstheme="minorHAnsi"/>
          <w:b/>
        </w:rPr>
        <w:t xml:space="preserve"> u pěti vybraných krajských pozemkových úřadů</w:t>
      </w:r>
    </w:p>
    <w:p w:rsidR="00DF412C" w:rsidRPr="007B6490" w:rsidRDefault="00EB7066" w:rsidP="007B64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CEECA4D" wp14:editId="7FD3CC2D">
            <wp:extent cx="5762847" cy="1967023"/>
            <wp:effectExtent l="0" t="0" r="9525" b="1460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1058" w:rsidRDefault="00EA1058" w:rsidP="005B5465">
      <w:pPr>
        <w:jc w:val="both"/>
        <w:rPr>
          <w:rFonts w:asciiTheme="minorHAnsi" w:eastAsia="GillSansCE-Bold" w:hAnsiTheme="minorHAnsi" w:cstheme="minorHAnsi"/>
          <w:sz w:val="20"/>
          <w:szCs w:val="20"/>
        </w:rPr>
      </w:pPr>
      <w:r w:rsidRPr="00114574">
        <w:rPr>
          <w:rFonts w:asciiTheme="minorHAnsi" w:eastAsia="GillSansCE-Bold" w:hAnsiTheme="minorHAnsi" w:cstheme="minorHAnsi"/>
          <w:b/>
          <w:sz w:val="20"/>
          <w:szCs w:val="20"/>
        </w:rPr>
        <w:t>Pozn</w:t>
      </w:r>
      <w:r w:rsidR="00104BCF">
        <w:rPr>
          <w:rFonts w:asciiTheme="minorHAnsi" w:eastAsia="GillSansCE-Bold" w:hAnsiTheme="minorHAnsi" w:cstheme="minorHAnsi"/>
          <w:b/>
          <w:sz w:val="20"/>
          <w:szCs w:val="20"/>
        </w:rPr>
        <w:t>.</w:t>
      </w:r>
      <w:r w:rsidRPr="00114574">
        <w:rPr>
          <w:rFonts w:asciiTheme="minorHAnsi" w:eastAsia="GillSansCE-Bold" w:hAnsiTheme="minorHAnsi" w:cstheme="minorHAnsi"/>
          <w:b/>
          <w:sz w:val="20"/>
          <w:szCs w:val="20"/>
        </w:rPr>
        <w:t>:</w:t>
      </w:r>
      <w:r w:rsidRPr="00114574">
        <w:rPr>
          <w:rFonts w:asciiTheme="minorHAnsi" w:eastAsia="GillSansCE-Bold" w:hAnsiTheme="minorHAnsi" w:cstheme="minorHAnsi"/>
          <w:sz w:val="20"/>
          <w:szCs w:val="20"/>
        </w:rPr>
        <w:t xml:space="preserve"> a) opatření ke zpřístupnění pozemků, b) protierozní opatření, c) vodohospodářsk</w:t>
      </w:r>
      <w:r w:rsidR="00104BCF" w:rsidRPr="00114574">
        <w:rPr>
          <w:rFonts w:asciiTheme="minorHAnsi" w:eastAsia="GillSansCE-Bold" w:hAnsiTheme="minorHAnsi" w:cstheme="minorHAnsi"/>
          <w:sz w:val="20"/>
          <w:szCs w:val="20"/>
        </w:rPr>
        <w:t>á</w:t>
      </w:r>
      <w:r w:rsidRPr="00114574">
        <w:rPr>
          <w:rFonts w:asciiTheme="minorHAnsi" w:eastAsia="GillSansCE-Bold" w:hAnsiTheme="minorHAnsi" w:cstheme="minorHAnsi"/>
          <w:sz w:val="20"/>
          <w:szCs w:val="20"/>
        </w:rPr>
        <w:t xml:space="preserve"> opatření, d)</w:t>
      </w:r>
      <w:r w:rsidR="00D6775C" w:rsidRPr="00114574">
        <w:rPr>
          <w:rFonts w:asciiTheme="minorHAnsi" w:eastAsia="GillSansCE-Bold" w:hAnsiTheme="minorHAnsi" w:cstheme="minorHAnsi"/>
          <w:sz w:val="20"/>
          <w:szCs w:val="20"/>
        </w:rPr>
        <w:t> </w:t>
      </w:r>
      <w:r w:rsidRPr="00114574">
        <w:rPr>
          <w:rFonts w:asciiTheme="minorHAnsi" w:eastAsia="GillSansCE-Bold" w:hAnsiTheme="minorHAnsi" w:cstheme="minorHAnsi"/>
          <w:sz w:val="20"/>
          <w:szCs w:val="20"/>
        </w:rPr>
        <w:t>opatření k</w:t>
      </w:r>
      <w:r w:rsidR="00020769" w:rsidRPr="00114574">
        <w:rPr>
          <w:rFonts w:asciiTheme="minorHAnsi" w:eastAsia="GillSansCE-Bold" w:hAnsiTheme="minorHAnsi" w:cstheme="minorHAnsi"/>
          <w:sz w:val="20"/>
          <w:szCs w:val="20"/>
        </w:rPr>
        <w:t> </w:t>
      </w:r>
      <w:r w:rsidRPr="00114574">
        <w:rPr>
          <w:rFonts w:asciiTheme="minorHAnsi" w:eastAsia="GillSansCE-Bold" w:hAnsiTheme="minorHAnsi" w:cstheme="minorHAnsi"/>
          <w:sz w:val="20"/>
          <w:szCs w:val="20"/>
        </w:rPr>
        <w:t>ochraně a tvorbě živ</w:t>
      </w:r>
      <w:r w:rsidR="006E08BF" w:rsidRPr="00114574">
        <w:rPr>
          <w:rFonts w:asciiTheme="minorHAnsi" w:eastAsia="GillSansCE-Bold" w:hAnsiTheme="minorHAnsi" w:cstheme="minorHAnsi"/>
          <w:sz w:val="20"/>
          <w:szCs w:val="20"/>
        </w:rPr>
        <w:t>otního</w:t>
      </w:r>
      <w:r w:rsidRPr="00114574">
        <w:rPr>
          <w:rFonts w:asciiTheme="minorHAnsi" w:eastAsia="GillSansCE-Bold" w:hAnsiTheme="minorHAnsi" w:cstheme="minorHAnsi"/>
          <w:sz w:val="20"/>
          <w:szCs w:val="20"/>
        </w:rPr>
        <w:t xml:space="preserve"> prostředí</w:t>
      </w:r>
      <w:r w:rsidR="00AB07D3" w:rsidRPr="00114574">
        <w:rPr>
          <w:rFonts w:asciiTheme="minorHAnsi" w:eastAsia="GillSansCE-Bold" w:hAnsiTheme="minorHAnsi" w:cstheme="minorHAnsi"/>
          <w:sz w:val="20"/>
          <w:szCs w:val="20"/>
        </w:rPr>
        <w:t>.</w:t>
      </w:r>
    </w:p>
    <w:p w:rsidR="001263E9" w:rsidRPr="001263E9" w:rsidRDefault="001263E9" w:rsidP="005B5465">
      <w:pPr>
        <w:jc w:val="both"/>
        <w:rPr>
          <w:rFonts w:asciiTheme="minorHAnsi" w:eastAsia="GillSansCE-Bold" w:hAnsiTheme="minorHAnsi" w:cstheme="minorHAnsi"/>
        </w:rPr>
      </w:pPr>
    </w:p>
    <w:p w:rsidR="00087FA9" w:rsidRPr="007B6490" w:rsidRDefault="00087FA9" w:rsidP="005B5465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t>Opatření k ochraně zemědělského půdního fondu před erozí</w:t>
      </w:r>
    </w:p>
    <w:p w:rsidR="00087FA9" w:rsidRPr="007B6490" w:rsidRDefault="00087FA9" w:rsidP="005B5465">
      <w:pPr>
        <w:keepNext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Na území ČR </w:t>
      </w:r>
      <w:r w:rsidR="00847D5E" w:rsidRPr="007B6490">
        <w:rPr>
          <w:rFonts w:asciiTheme="minorHAnsi" w:hAnsiTheme="minorHAnsi" w:cstheme="minorHAnsi"/>
        </w:rPr>
        <w:t xml:space="preserve">je </w:t>
      </w:r>
      <w:r w:rsidR="007767A1" w:rsidRPr="007B6490">
        <w:rPr>
          <w:rFonts w:asciiTheme="minorHAnsi" w:hAnsiTheme="minorHAnsi" w:cstheme="minorHAnsi"/>
        </w:rPr>
        <w:t>dle údajů Výzkumného ústavu meliorací a ochrany půdy, v.</w:t>
      </w:r>
      <w:r w:rsidR="00B969C2">
        <w:rPr>
          <w:rFonts w:asciiTheme="minorHAnsi" w:hAnsiTheme="minorHAnsi" w:cstheme="minorHAnsi"/>
        </w:rPr>
        <w:t xml:space="preserve"> </w:t>
      </w:r>
      <w:r w:rsidR="007767A1" w:rsidRPr="007B6490">
        <w:rPr>
          <w:rFonts w:asciiTheme="minorHAnsi" w:hAnsiTheme="minorHAnsi" w:cstheme="minorHAnsi"/>
        </w:rPr>
        <w:t>v.</w:t>
      </w:r>
      <w:r w:rsidR="00B969C2">
        <w:rPr>
          <w:rFonts w:asciiTheme="minorHAnsi" w:hAnsiTheme="minorHAnsi" w:cstheme="minorHAnsi"/>
        </w:rPr>
        <w:t xml:space="preserve"> </w:t>
      </w:r>
      <w:r w:rsidR="007767A1" w:rsidRPr="007B6490">
        <w:rPr>
          <w:rFonts w:asciiTheme="minorHAnsi" w:hAnsiTheme="minorHAnsi" w:cstheme="minorHAnsi"/>
        </w:rPr>
        <w:t>i.</w:t>
      </w:r>
      <w:r w:rsidR="00125C7C">
        <w:rPr>
          <w:rFonts w:asciiTheme="minorHAnsi" w:hAnsiTheme="minorHAnsi" w:cstheme="minorHAnsi"/>
        </w:rPr>
        <w:t>,</w:t>
      </w:r>
      <w:r w:rsidR="007767A1" w:rsidRPr="007B6490">
        <w:rPr>
          <w:rFonts w:asciiTheme="minorHAnsi" w:hAnsiTheme="minorHAnsi" w:cstheme="minorHAnsi"/>
        </w:rPr>
        <w:t xml:space="preserve"> (dále </w:t>
      </w:r>
      <w:r w:rsidR="00125C7C">
        <w:rPr>
          <w:rFonts w:asciiTheme="minorHAnsi" w:hAnsiTheme="minorHAnsi" w:cstheme="minorHAnsi"/>
        </w:rPr>
        <w:t>jen</w:t>
      </w:r>
      <w:r w:rsidR="007767A1" w:rsidRPr="007B6490">
        <w:rPr>
          <w:rFonts w:asciiTheme="minorHAnsi" w:hAnsiTheme="minorHAnsi" w:cstheme="minorHAnsi"/>
        </w:rPr>
        <w:t xml:space="preserve"> „VÚMOP“) ohroženo </w:t>
      </w:r>
      <w:r w:rsidRPr="007B6490">
        <w:rPr>
          <w:rFonts w:asciiTheme="minorHAnsi" w:hAnsiTheme="minorHAnsi" w:cstheme="minorHAnsi"/>
        </w:rPr>
        <w:t>cca 50 % orné půdy vodní erozí a téměř 10 % erozí větrnou</w:t>
      </w:r>
      <w:r w:rsidR="007767A1" w:rsidRPr="007B6490">
        <w:rPr>
          <w:rFonts w:asciiTheme="minorHAnsi" w:hAnsiTheme="minorHAnsi" w:cstheme="minorHAnsi"/>
        </w:rPr>
        <w:t>.</w:t>
      </w:r>
      <w:r w:rsidRPr="007B6490">
        <w:rPr>
          <w:rFonts w:asciiTheme="minorHAnsi" w:hAnsiTheme="minorHAnsi" w:cstheme="minorHAnsi"/>
        </w:rPr>
        <w:t xml:space="preserve"> Na převážné ploše </w:t>
      </w:r>
      <w:r w:rsidR="00125C7C">
        <w:rPr>
          <w:rFonts w:asciiTheme="minorHAnsi" w:hAnsiTheme="minorHAnsi" w:cstheme="minorHAnsi"/>
        </w:rPr>
        <w:t xml:space="preserve">orných </w:t>
      </w:r>
      <w:r w:rsidR="00125C7C" w:rsidRPr="007B6490">
        <w:rPr>
          <w:rFonts w:asciiTheme="minorHAnsi" w:hAnsiTheme="minorHAnsi" w:cstheme="minorHAnsi"/>
        </w:rPr>
        <w:t>půd</w:t>
      </w:r>
      <w:r w:rsidR="00125C7C">
        <w:rPr>
          <w:rFonts w:asciiTheme="minorHAnsi" w:hAnsiTheme="minorHAnsi" w:cstheme="minorHAnsi"/>
        </w:rPr>
        <w:t xml:space="preserve"> </w:t>
      </w:r>
      <w:r w:rsidR="00125C7C" w:rsidRPr="007B6490">
        <w:rPr>
          <w:rFonts w:asciiTheme="minorHAnsi" w:hAnsiTheme="minorHAnsi" w:cstheme="minorHAnsi"/>
        </w:rPr>
        <w:t xml:space="preserve">ohrožených </w:t>
      </w:r>
      <w:r w:rsidRPr="007B6490">
        <w:rPr>
          <w:rFonts w:asciiTheme="minorHAnsi" w:hAnsiTheme="minorHAnsi" w:cstheme="minorHAnsi"/>
        </w:rPr>
        <w:t xml:space="preserve">erozí není prováděna systematická ochrana, která by </w:t>
      </w:r>
      <w:r w:rsidR="00125C7C">
        <w:rPr>
          <w:rFonts w:asciiTheme="minorHAnsi" w:hAnsiTheme="minorHAnsi" w:cstheme="minorHAnsi"/>
        </w:rPr>
        <w:t>udržovala</w:t>
      </w:r>
      <w:r w:rsidRPr="007B6490">
        <w:rPr>
          <w:rFonts w:asciiTheme="minorHAnsi" w:hAnsiTheme="minorHAnsi" w:cstheme="minorHAnsi"/>
        </w:rPr>
        <w:t xml:space="preserve"> ztráty půdy </w:t>
      </w:r>
      <w:r w:rsidR="00125C7C">
        <w:rPr>
          <w:rFonts w:asciiTheme="minorHAnsi" w:hAnsiTheme="minorHAnsi" w:cstheme="minorHAnsi"/>
        </w:rPr>
        <w:t>v </w:t>
      </w:r>
      <w:r w:rsidRPr="007B6490">
        <w:rPr>
          <w:rFonts w:asciiTheme="minorHAnsi" w:hAnsiTheme="minorHAnsi" w:cstheme="minorHAnsi"/>
        </w:rPr>
        <w:t>přípustn</w:t>
      </w:r>
      <w:r w:rsidR="00125C7C">
        <w:rPr>
          <w:rFonts w:asciiTheme="minorHAnsi" w:hAnsiTheme="minorHAnsi" w:cstheme="minorHAnsi"/>
        </w:rPr>
        <w:t>ých</w:t>
      </w:r>
      <w:r w:rsidRPr="007B6490">
        <w:rPr>
          <w:rFonts w:asciiTheme="minorHAnsi" w:hAnsiTheme="minorHAnsi" w:cstheme="minorHAnsi"/>
        </w:rPr>
        <w:t xml:space="preserve"> hodnot</w:t>
      </w:r>
      <w:r w:rsidR="00125C7C">
        <w:rPr>
          <w:rFonts w:asciiTheme="minorHAnsi" w:hAnsiTheme="minorHAnsi" w:cstheme="minorHAnsi"/>
        </w:rPr>
        <w:t>ách</w:t>
      </w:r>
      <w:r w:rsidRPr="007B6490">
        <w:rPr>
          <w:rStyle w:val="Znakapoznpodarou"/>
          <w:rFonts w:asciiTheme="minorHAnsi" w:hAnsiTheme="minorHAnsi" w:cstheme="minorHAnsi"/>
        </w:rPr>
        <w:footnoteReference w:id="9"/>
      </w:r>
      <w:r w:rsidRPr="007B6490">
        <w:rPr>
          <w:rFonts w:asciiTheme="minorHAnsi" w:hAnsiTheme="minorHAnsi" w:cstheme="minorHAnsi"/>
        </w:rPr>
        <w:t>. Průměrná roční ztráta půdy každoročně tyto hodnoty překračuje</w:t>
      </w:r>
      <w:r w:rsidR="00125C7C">
        <w:rPr>
          <w:rFonts w:asciiTheme="minorHAnsi" w:hAnsiTheme="minorHAnsi" w:cstheme="minorHAnsi"/>
        </w:rPr>
        <w:t>,</w:t>
      </w:r>
      <w:r w:rsidR="00085C0D" w:rsidRPr="007B6490">
        <w:rPr>
          <w:rFonts w:asciiTheme="minorHAnsi" w:hAnsiTheme="minorHAnsi" w:cstheme="minorHAnsi"/>
        </w:rPr>
        <w:t xml:space="preserve"> a </w:t>
      </w:r>
      <w:r w:rsidRPr="007B6490">
        <w:rPr>
          <w:rFonts w:asciiTheme="minorHAnsi" w:hAnsiTheme="minorHAnsi" w:cstheme="minorHAnsi"/>
        </w:rPr>
        <w:t>dochází tak k trvalému úbytku orné půdy.</w:t>
      </w:r>
    </w:p>
    <w:p w:rsidR="00087FA9" w:rsidRPr="007B6490" w:rsidRDefault="00087FA9" w:rsidP="007B6490">
      <w:pPr>
        <w:jc w:val="both"/>
        <w:rPr>
          <w:rFonts w:asciiTheme="minorHAnsi" w:hAnsiTheme="minorHAnsi" w:cstheme="minorHAnsi"/>
        </w:rPr>
      </w:pPr>
    </w:p>
    <w:p w:rsidR="00861594" w:rsidRDefault="00087FA9" w:rsidP="007B6490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Komplexní pozemkové úpravy jsou základním nástrojem, který řeší problém eroze v celém daném území zpracováním souboru organizačních, agrotechnických a technických protierozních opatření. </w:t>
      </w:r>
    </w:p>
    <w:p w:rsidR="00DD1C9C" w:rsidRPr="007B6490" w:rsidRDefault="00DD1C9C" w:rsidP="007B6490">
      <w:pPr>
        <w:jc w:val="both"/>
        <w:rPr>
          <w:rFonts w:asciiTheme="minorHAnsi" w:hAnsiTheme="minorHAnsi" w:cstheme="minorHAnsi"/>
        </w:rPr>
      </w:pPr>
    </w:p>
    <w:p w:rsidR="00087FA9" w:rsidRDefault="00087FA9" w:rsidP="007B6490">
      <w:pPr>
        <w:jc w:val="both"/>
        <w:rPr>
          <w:rFonts w:asciiTheme="minorHAnsi" w:hAnsiTheme="minorHAnsi" w:cstheme="minorHAnsi"/>
        </w:rPr>
      </w:pPr>
      <w:proofErr w:type="spellStart"/>
      <w:r w:rsidRPr="007B6490">
        <w:rPr>
          <w:rFonts w:asciiTheme="minorHAnsi" w:hAnsiTheme="minorHAnsi" w:cstheme="minorHAnsi"/>
        </w:rPr>
        <w:t>M</w:t>
      </w:r>
      <w:r w:rsidR="00763DC5" w:rsidRPr="007B6490">
        <w:rPr>
          <w:rFonts w:asciiTheme="minorHAnsi" w:hAnsiTheme="minorHAnsi" w:cstheme="minorHAnsi"/>
        </w:rPr>
        <w:t>Z</w:t>
      </w:r>
      <w:r w:rsidRPr="007B6490">
        <w:rPr>
          <w:rFonts w:asciiTheme="minorHAnsi" w:hAnsiTheme="minorHAnsi" w:cstheme="minorHAnsi"/>
        </w:rPr>
        <w:t>e</w:t>
      </w:r>
      <w:proofErr w:type="spellEnd"/>
      <w:r w:rsidRPr="007B6490">
        <w:rPr>
          <w:rFonts w:asciiTheme="minorHAnsi" w:hAnsiTheme="minorHAnsi" w:cstheme="minorHAnsi"/>
        </w:rPr>
        <w:t xml:space="preserve"> a od 1. 1. 2013 SPÚ</w:t>
      </w:r>
      <w:r w:rsidR="00125C7C">
        <w:rPr>
          <w:rFonts w:asciiTheme="minorHAnsi" w:hAnsiTheme="minorHAnsi" w:cstheme="minorHAnsi"/>
        </w:rPr>
        <w:t xml:space="preserve"> mají možnost</w:t>
      </w:r>
      <w:r w:rsidRPr="007B6490">
        <w:rPr>
          <w:rFonts w:asciiTheme="minorHAnsi" w:hAnsiTheme="minorHAnsi" w:cstheme="minorHAnsi"/>
        </w:rPr>
        <w:t xml:space="preserve"> </w:t>
      </w:r>
      <w:r w:rsidR="00861594" w:rsidRPr="007B6490">
        <w:rPr>
          <w:rFonts w:asciiTheme="minorHAnsi" w:hAnsiTheme="minorHAnsi" w:cstheme="minorHAnsi"/>
        </w:rPr>
        <w:t>sled</w:t>
      </w:r>
      <w:r w:rsidR="00125C7C">
        <w:rPr>
          <w:rFonts w:asciiTheme="minorHAnsi" w:hAnsiTheme="minorHAnsi" w:cstheme="minorHAnsi"/>
        </w:rPr>
        <w:t>ovat</w:t>
      </w:r>
      <w:r w:rsidR="00861594" w:rsidRPr="007B6490">
        <w:rPr>
          <w:rFonts w:asciiTheme="minorHAnsi" w:hAnsiTheme="minorHAnsi" w:cstheme="minorHAnsi"/>
        </w:rPr>
        <w:t xml:space="preserve"> </w:t>
      </w:r>
      <w:r w:rsidR="00125C7C">
        <w:rPr>
          <w:rFonts w:asciiTheme="minorHAnsi" w:hAnsiTheme="minorHAnsi" w:cstheme="minorHAnsi"/>
        </w:rPr>
        <w:t>pomocí</w:t>
      </w:r>
      <w:r w:rsidR="00861594" w:rsidRPr="007B6490">
        <w:rPr>
          <w:rFonts w:asciiTheme="minorHAnsi" w:hAnsiTheme="minorHAnsi" w:cstheme="minorHAnsi"/>
        </w:rPr>
        <w:t xml:space="preserve"> </w:t>
      </w:r>
      <w:r w:rsidR="00861594" w:rsidRPr="007B6490">
        <w:rPr>
          <w:rFonts w:asciiTheme="minorHAnsi" w:hAnsiTheme="minorHAnsi" w:cstheme="minorHAnsi"/>
          <w:spacing w:val="-4"/>
        </w:rPr>
        <w:t>ISPÚ</w:t>
      </w:r>
      <w:r w:rsidR="00861594" w:rsidRPr="007B6490">
        <w:rPr>
          <w:rFonts w:asciiTheme="minorHAnsi" w:eastAsiaTheme="minorHAnsi" w:hAnsiTheme="minorHAnsi" w:cstheme="minorHAnsi"/>
          <w:b/>
        </w:rPr>
        <w:t xml:space="preserve"> </w:t>
      </w:r>
      <w:r w:rsidRPr="007B6490">
        <w:rPr>
          <w:rFonts w:asciiTheme="minorHAnsi" w:hAnsiTheme="minorHAnsi" w:cstheme="minorHAnsi"/>
        </w:rPr>
        <w:t>postup realizace opatření, u</w:t>
      </w:r>
      <w:r w:rsidR="00125C7C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>kterých j</w:t>
      </w:r>
      <w:r w:rsidR="00125C7C">
        <w:rPr>
          <w:rFonts w:asciiTheme="minorHAnsi" w:hAnsiTheme="minorHAnsi" w:cstheme="minorHAnsi"/>
        </w:rPr>
        <w:t>sou</w:t>
      </w:r>
      <w:r w:rsidRPr="007B6490">
        <w:rPr>
          <w:rFonts w:asciiTheme="minorHAnsi" w:hAnsiTheme="minorHAnsi" w:cstheme="minorHAnsi"/>
        </w:rPr>
        <w:t xml:space="preserve"> investorem. Opatření provedená jinými subjekty </w:t>
      </w:r>
      <w:r w:rsidR="003D513B" w:rsidRPr="007B6490">
        <w:rPr>
          <w:rFonts w:asciiTheme="minorHAnsi" w:hAnsiTheme="minorHAnsi" w:cstheme="minorHAnsi"/>
        </w:rPr>
        <w:t xml:space="preserve">nejsou centrálně </w:t>
      </w:r>
      <w:r w:rsidRPr="007B6490">
        <w:rPr>
          <w:rFonts w:asciiTheme="minorHAnsi" w:hAnsiTheme="minorHAnsi" w:cstheme="minorHAnsi"/>
        </w:rPr>
        <w:t>sled</w:t>
      </w:r>
      <w:r w:rsidR="003D513B" w:rsidRPr="007B6490">
        <w:rPr>
          <w:rFonts w:asciiTheme="minorHAnsi" w:hAnsiTheme="minorHAnsi" w:cstheme="minorHAnsi"/>
        </w:rPr>
        <w:t>ována</w:t>
      </w:r>
      <w:r w:rsidRPr="007B6490">
        <w:rPr>
          <w:rFonts w:asciiTheme="minorHAnsi" w:hAnsiTheme="minorHAnsi" w:cstheme="minorHAnsi"/>
        </w:rPr>
        <w:t>,</w:t>
      </w:r>
      <w:r w:rsidR="003D513B" w:rsidRPr="007B6490">
        <w:rPr>
          <w:rFonts w:asciiTheme="minorHAnsi" w:hAnsiTheme="minorHAnsi" w:cstheme="minorHAnsi"/>
        </w:rPr>
        <w:t xml:space="preserve"> protože</w:t>
      </w:r>
      <w:r w:rsidRPr="007B6490">
        <w:rPr>
          <w:rFonts w:asciiTheme="minorHAnsi" w:hAnsiTheme="minorHAnsi" w:cstheme="minorHAnsi"/>
        </w:rPr>
        <w:t xml:space="preserve"> oznamovací povinnost jiných investorů vůči </w:t>
      </w:r>
      <w:proofErr w:type="spellStart"/>
      <w:r w:rsidRPr="007B6490">
        <w:rPr>
          <w:rFonts w:asciiTheme="minorHAnsi" w:hAnsiTheme="minorHAnsi" w:cstheme="minorHAnsi"/>
        </w:rPr>
        <w:t>MZe</w:t>
      </w:r>
      <w:proofErr w:type="spellEnd"/>
      <w:r w:rsidR="00125C7C">
        <w:rPr>
          <w:rFonts w:asciiTheme="minorHAnsi" w:hAnsiTheme="minorHAnsi" w:cstheme="minorHAnsi"/>
        </w:rPr>
        <w:t xml:space="preserve"> nebo</w:t>
      </w:r>
      <w:r w:rsidRPr="007B6490">
        <w:rPr>
          <w:rFonts w:asciiTheme="minorHAnsi" w:hAnsiTheme="minorHAnsi" w:cstheme="minorHAnsi"/>
        </w:rPr>
        <w:t xml:space="preserve"> </w:t>
      </w:r>
      <w:proofErr w:type="spellStart"/>
      <w:r w:rsidRPr="007B6490">
        <w:rPr>
          <w:rFonts w:asciiTheme="minorHAnsi" w:hAnsiTheme="minorHAnsi" w:cstheme="minorHAnsi"/>
        </w:rPr>
        <w:t>SPÚ</w:t>
      </w:r>
      <w:proofErr w:type="spellEnd"/>
      <w:r w:rsidRPr="007B6490">
        <w:rPr>
          <w:rFonts w:asciiTheme="minorHAnsi" w:hAnsiTheme="minorHAnsi" w:cstheme="minorHAnsi"/>
        </w:rPr>
        <w:t xml:space="preserve"> není </w:t>
      </w:r>
      <w:r w:rsidR="004B0D7C" w:rsidRPr="00E07F85">
        <w:rPr>
          <w:rFonts w:asciiTheme="minorHAnsi" w:hAnsiTheme="minorHAnsi" w:cstheme="minorHAnsi"/>
        </w:rPr>
        <w:t>stanovena</w:t>
      </w:r>
      <w:r w:rsidRPr="007B6490">
        <w:rPr>
          <w:rFonts w:asciiTheme="minorHAnsi" w:hAnsiTheme="minorHAnsi" w:cstheme="minorHAnsi"/>
        </w:rPr>
        <w:t>.</w:t>
      </w:r>
    </w:p>
    <w:p w:rsidR="00DD1C9C" w:rsidRPr="007B6490" w:rsidRDefault="00DD1C9C" w:rsidP="007B6490">
      <w:pPr>
        <w:jc w:val="both"/>
        <w:rPr>
          <w:rFonts w:asciiTheme="minorHAnsi" w:hAnsiTheme="minorHAnsi" w:cstheme="minorHAnsi"/>
        </w:rPr>
      </w:pPr>
    </w:p>
    <w:p w:rsidR="00087FA9" w:rsidRDefault="00087FA9" w:rsidP="007B6490">
      <w:pPr>
        <w:jc w:val="both"/>
        <w:rPr>
          <w:rFonts w:asciiTheme="minorHAnsi" w:hAnsiTheme="minorHAnsi" w:cstheme="minorHAnsi"/>
          <w:bCs/>
          <w:lang w:eastAsia="cs-CZ"/>
        </w:rPr>
      </w:pPr>
      <w:proofErr w:type="spellStart"/>
      <w:r w:rsidRPr="007B6490">
        <w:rPr>
          <w:rFonts w:asciiTheme="minorHAnsi" w:hAnsiTheme="minorHAnsi" w:cstheme="minorHAnsi"/>
          <w:bCs/>
          <w:lang w:eastAsia="cs-CZ"/>
        </w:rPr>
        <w:t>MZe</w:t>
      </w:r>
      <w:proofErr w:type="spellEnd"/>
      <w:r w:rsidRPr="007B6490">
        <w:rPr>
          <w:rFonts w:asciiTheme="minorHAnsi" w:hAnsiTheme="minorHAnsi" w:cstheme="minorHAnsi"/>
          <w:bCs/>
          <w:lang w:eastAsia="cs-CZ"/>
        </w:rPr>
        <w:t xml:space="preserve"> zavedlo v</w:t>
      </w:r>
      <w:r w:rsidR="00C12EE0" w:rsidRPr="007B6490">
        <w:rPr>
          <w:rFonts w:asciiTheme="minorHAnsi" w:hAnsiTheme="minorHAnsi" w:cstheme="minorHAnsi"/>
          <w:bCs/>
          <w:lang w:eastAsia="cs-CZ"/>
        </w:rPr>
        <w:t>e</w:t>
      </w:r>
      <w:r w:rsidRPr="007B6490">
        <w:rPr>
          <w:rFonts w:asciiTheme="minorHAnsi" w:hAnsiTheme="minorHAnsi" w:cstheme="minorHAnsi"/>
        </w:rPr>
        <w:t xml:space="preserve"> </w:t>
      </w:r>
      <w:r w:rsidR="00F97531" w:rsidRPr="007B6490">
        <w:rPr>
          <w:rFonts w:asciiTheme="minorHAnsi" w:hAnsiTheme="minorHAnsi" w:cstheme="minorHAnsi"/>
        </w:rPr>
        <w:t>veřejn</w:t>
      </w:r>
      <w:r w:rsidR="00C12EE0" w:rsidRPr="007B6490">
        <w:rPr>
          <w:rFonts w:asciiTheme="minorHAnsi" w:hAnsiTheme="minorHAnsi" w:cstheme="minorHAnsi"/>
        </w:rPr>
        <w:t>ém</w:t>
      </w:r>
      <w:r w:rsidR="00F97531" w:rsidRPr="007B6490">
        <w:rPr>
          <w:rFonts w:asciiTheme="minorHAnsi" w:hAnsiTheme="minorHAnsi" w:cstheme="minorHAnsi"/>
        </w:rPr>
        <w:t xml:space="preserve"> registr</w:t>
      </w:r>
      <w:r w:rsidR="00C12EE0" w:rsidRPr="007B6490">
        <w:rPr>
          <w:rFonts w:asciiTheme="minorHAnsi" w:hAnsiTheme="minorHAnsi" w:cstheme="minorHAnsi"/>
        </w:rPr>
        <w:t>u</w:t>
      </w:r>
      <w:r w:rsidR="00F97531" w:rsidRPr="007B6490">
        <w:rPr>
          <w:rFonts w:asciiTheme="minorHAnsi" w:hAnsiTheme="minorHAnsi" w:cstheme="minorHAnsi"/>
        </w:rPr>
        <w:t xml:space="preserve"> půdy </w:t>
      </w:r>
      <w:r w:rsidRPr="007B6490">
        <w:rPr>
          <w:rFonts w:asciiTheme="minorHAnsi" w:hAnsiTheme="minorHAnsi" w:cstheme="minorHAnsi"/>
        </w:rPr>
        <w:t>LPIS</w:t>
      </w:r>
      <w:r w:rsidR="00A85610" w:rsidRPr="007B6490">
        <w:rPr>
          <w:rStyle w:val="Znakapoznpodarou"/>
          <w:rFonts w:asciiTheme="minorHAnsi" w:hAnsiTheme="minorHAnsi" w:cstheme="minorHAnsi"/>
        </w:rPr>
        <w:footnoteReference w:id="10"/>
      </w:r>
      <w:r w:rsidRPr="007B6490">
        <w:rPr>
          <w:rFonts w:asciiTheme="minorHAnsi" w:hAnsiTheme="minorHAnsi" w:cstheme="minorHAnsi"/>
          <w:bCs/>
          <w:lang w:eastAsia="cs-CZ"/>
        </w:rPr>
        <w:t xml:space="preserve"> </w:t>
      </w:r>
      <w:r w:rsidRPr="007B6490">
        <w:rPr>
          <w:rFonts w:asciiTheme="minorHAnsi" w:hAnsiTheme="minorHAnsi" w:cstheme="minorHAnsi"/>
        </w:rPr>
        <w:t>vrstvu erozní ohroženosti půd</w:t>
      </w:r>
      <w:r w:rsidRPr="007B6490">
        <w:rPr>
          <w:rFonts w:asciiTheme="minorHAnsi" w:hAnsiTheme="minorHAnsi" w:cstheme="minorHAnsi"/>
          <w:bCs/>
          <w:lang w:eastAsia="cs-CZ"/>
        </w:rPr>
        <w:t xml:space="preserve"> a ve spolupráci s VÚMOP provádí monitoring eroze zemědělské půdy, </w:t>
      </w:r>
      <w:r w:rsidR="00125C7C">
        <w:rPr>
          <w:rFonts w:asciiTheme="minorHAnsi" w:hAnsiTheme="minorHAnsi" w:cstheme="minorHAnsi"/>
          <w:bCs/>
          <w:lang w:eastAsia="cs-CZ"/>
        </w:rPr>
        <w:t>čímž</w:t>
      </w:r>
      <w:r w:rsidRPr="007B6490">
        <w:rPr>
          <w:rFonts w:asciiTheme="minorHAnsi" w:hAnsiTheme="minorHAnsi" w:cstheme="minorHAnsi"/>
          <w:bCs/>
          <w:lang w:eastAsia="cs-CZ"/>
        </w:rPr>
        <w:t xml:space="preserve"> získává detailní informace o nastalých erozních událostech a škodách na zemědělské půdě. </w:t>
      </w:r>
      <w:r w:rsidRPr="007B6490">
        <w:rPr>
          <w:rFonts w:asciiTheme="minorHAnsi" w:hAnsiTheme="minorHAnsi" w:cstheme="minorHAnsi"/>
        </w:rPr>
        <w:t>Protierozní opatření schválená v rámci ukončených pozemkových úprav se do této vrstvy erozní ohroženosti nevkládají</w:t>
      </w:r>
      <w:r w:rsidR="00125C7C">
        <w:rPr>
          <w:rFonts w:asciiTheme="minorHAnsi" w:hAnsiTheme="minorHAnsi" w:cstheme="minorHAnsi"/>
        </w:rPr>
        <w:t>,</w:t>
      </w:r>
      <w:r w:rsidRPr="007B6490">
        <w:rPr>
          <w:rFonts w:asciiTheme="minorHAnsi" w:hAnsiTheme="minorHAnsi" w:cstheme="minorHAnsi"/>
        </w:rPr>
        <w:t xml:space="preserve"> a</w:t>
      </w:r>
      <w:r w:rsidR="00A85610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  <w:bCs/>
          <w:lang w:eastAsia="cs-CZ"/>
        </w:rPr>
        <w:t>monitoring erozních událostí tak není provázán s pozemkovými úpravami z hlediska preventivní péče o zemědělský půdní fond.</w:t>
      </w:r>
    </w:p>
    <w:p w:rsidR="00DD1C9C" w:rsidRPr="007B6490" w:rsidRDefault="00DD1C9C" w:rsidP="007B6490">
      <w:pPr>
        <w:jc w:val="both"/>
        <w:rPr>
          <w:rFonts w:asciiTheme="minorHAnsi" w:hAnsiTheme="minorHAnsi" w:cstheme="minorHAnsi"/>
          <w:bCs/>
          <w:lang w:eastAsia="cs-CZ"/>
        </w:rPr>
      </w:pPr>
    </w:p>
    <w:p w:rsidR="00087FA9" w:rsidRDefault="00087FA9" w:rsidP="00DD1C9C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>Kontrolou dat uložených v ISPÚ</w:t>
      </w:r>
      <w:r w:rsidR="00D02F82">
        <w:rPr>
          <w:rFonts w:asciiTheme="minorHAnsi" w:hAnsiTheme="minorHAnsi" w:cstheme="minorHAnsi"/>
        </w:rPr>
        <w:t xml:space="preserve"> a</w:t>
      </w:r>
      <w:r w:rsidR="00F97531" w:rsidRPr="007B6490">
        <w:rPr>
          <w:rFonts w:asciiTheme="minorHAnsi" w:hAnsiTheme="minorHAnsi" w:cstheme="minorHAnsi"/>
        </w:rPr>
        <w:t xml:space="preserve"> v </w:t>
      </w:r>
      <w:r w:rsidRPr="007B6490">
        <w:rPr>
          <w:rFonts w:asciiTheme="minorHAnsi" w:hAnsiTheme="minorHAnsi" w:cstheme="minorHAnsi"/>
        </w:rPr>
        <w:t xml:space="preserve">LPIS a </w:t>
      </w:r>
      <w:r w:rsidR="00D02F82">
        <w:rPr>
          <w:rFonts w:asciiTheme="minorHAnsi" w:hAnsiTheme="minorHAnsi" w:cstheme="minorHAnsi"/>
        </w:rPr>
        <w:t xml:space="preserve">zároveň i </w:t>
      </w:r>
      <w:r w:rsidRPr="007B6490">
        <w:rPr>
          <w:rFonts w:asciiTheme="minorHAnsi" w:hAnsiTheme="minorHAnsi" w:cstheme="minorHAnsi"/>
        </w:rPr>
        <w:t xml:space="preserve">fyzickou kontrolou na místě </w:t>
      </w:r>
      <w:r w:rsidR="00D02F82">
        <w:rPr>
          <w:rFonts w:asciiTheme="minorHAnsi" w:hAnsiTheme="minorHAnsi" w:cstheme="minorHAnsi"/>
        </w:rPr>
        <w:t>Nejvyšší kontrolní úřad</w:t>
      </w:r>
      <w:r w:rsidR="00A85610" w:rsidRPr="007B6490">
        <w:rPr>
          <w:rFonts w:asciiTheme="minorHAnsi" w:hAnsiTheme="minorHAnsi" w:cstheme="minorHAnsi"/>
        </w:rPr>
        <w:t xml:space="preserve"> u vybraného vzorku</w:t>
      </w:r>
      <w:r w:rsidRPr="007B6490">
        <w:rPr>
          <w:rFonts w:asciiTheme="minorHAnsi" w:hAnsiTheme="minorHAnsi" w:cstheme="minorHAnsi"/>
        </w:rPr>
        <w:t xml:space="preserve"> </w:t>
      </w:r>
      <w:r w:rsidR="005C2405" w:rsidRPr="007B6490">
        <w:rPr>
          <w:rFonts w:asciiTheme="minorHAnsi" w:hAnsiTheme="minorHAnsi" w:cstheme="minorHAnsi"/>
        </w:rPr>
        <w:t xml:space="preserve">komplexních pozemkových úprav </w:t>
      </w:r>
      <w:r w:rsidRPr="007B6490">
        <w:rPr>
          <w:rFonts w:asciiTheme="minorHAnsi" w:hAnsiTheme="minorHAnsi" w:cstheme="minorHAnsi"/>
        </w:rPr>
        <w:t>zji</w:t>
      </w:r>
      <w:r w:rsidR="00A85610" w:rsidRPr="007B6490">
        <w:rPr>
          <w:rFonts w:asciiTheme="minorHAnsi" w:hAnsiTheme="minorHAnsi" w:cstheme="minorHAnsi"/>
        </w:rPr>
        <w:t>stil</w:t>
      </w:r>
      <w:r w:rsidRPr="007B6490">
        <w:rPr>
          <w:rFonts w:asciiTheme="minorHAnsi" w:hAnsiTheme="minorHAnsi" w:cstheme="minorHAnsi"/>
        </w:rPr>
        <w:t xml:space="preserve"> případy, </w:t>
      </w:r>
      <w:r w:rsidR="00D02F82">
        <w:rPr>
          <w:rFonts w:asciiTheme="minorHAnsi" w:hAnsiTheme="minorHAnsi" w:cstheme="minorHAnsi"/>
        </w:rPr>
        <w:t>kdy</w:t>
      </w:r>
      <w:r w:rsidRPr="007B6490">
        <w:rPr>
          <w:rFonts w:asciiTheme="minorHAnsi" w:hAnsiTheme="minorHAnsi" w:cstheme="minorHAnsi"/>
        </w:rPr>
        <w:t xml:space="preserve"> schválená preventivní protierozní opatření spočívající ve změně </w:t>
      </w:r>
      <w:r w:rsidR="00531B5B" w:rsidRPr="007B6490">
        <w:rPr>
          <w:rFonts w:asciiTheme="minorHAnsi" w:hAnsiTheme="minorHAnsi" w:cstheme="minorHAnsi"/>
        </w:rPr>
        <w:t xml:space="preserve">využívání půdních bloků </w:t>
      </w:r>
      <w:r w:rsidR="00531B5B" w:rsidRPr="00E07F85">
        <w:rPr>
          <w:rFonts w:asciiTheme="minorHAnsi" w:hAnsiTheme="minorHAnsi" w:cstheme="minorHAnsi"/>
        </w:rPr>
        <w:t>(tj. </w:t>
      </w:r>
      <w:r w:rsidRPr="00E07F85">
        <w:rPr>
          <w:rFonts w:asciiTheme="minorHAnsi" w:hAnsiTheme="minorHAnsi" w:cstheme="minorHAnsi"/>
        </w:rPr>
        <w:t xml:space="preserve">trvalé zatravnění orné půdy) nebyla </w:t>
      </w:r>
      <w:r w:rsidR="008631A1" w:rsidRPr="00E07F85">
        <w:rPr>
          <w:rFonts w:asciiTheme="minorHAnsi" w:hAnsiTheme="minorHAnsi" w:cstheme="minorHAnsi"/>
        </w:rPr>
        <w:t xml:space="preserve">vlastníky pozemků </w:t>
      </w:r>
      <w:r w:rsidR="00D02F82">
        <w:rPr>
          <w:rFonts w:asciiTheme="minorHAnsi" w:hAnsiTheme="minorHAnsi" w:cstheme="minorHAnsi"/>
        </w:rPr>
        <w:t>(</w:t>
      </w:r>
      <w:r w:rsidR="008631A1" w:rsidRPr="00E07F85">
        <w:rPr>
          <w:rFonts w:asciiTheme="minorHAnsi" w:hAnsiTheme="minorHAnsi" w:cstheme="minorHAnsi"/>
        </w:rPr>
        <w:t>v</w:t>
      </w:r>
      <w:r w:rsidR="00D02F82">
        <w:rPr>
          <w:rFonts w:asciiTheme="minorHAnsi" w:hAnsiTheme="minorHAnsi" w:cstheme="minorHAnsi"/>
        </w:rPr>
        <w:t> </w:t>
      </w:r>
      <w:r w:rsidR="008631A1" w:rsidRPr="00E07F85">
        <w:rPr>
          <w:rFonts w:asciiTheme="minorHAnsi" w:hAnsiTheme="minorHAnsi" w:cstheme="minorHAnsi"/>
        </w:rPr>
        <w:t xml:space="preserve">rozporu se schváleným návrhem </w:t>
      </w:r>
      <w:proofErr w:type="spellStart"/>
      <w:r w:rsidR="008631A1" w:rsidRPr="00E07F85">
        <w:rPr>
          <w:rFonts w:asciiTheme="minorHAnsi" w:hAnsiTheme="minorHAnsi" w:cstheme="minorHAnsi"/>
        </w:rPr>
        <w:t>KoPÚ</w:t>
      </w:r>
      <w:proofErr w:type="spellEnd"/>
      <w:r w:rsidR="00D02F82">
        <w:rPr>
          <w:rFonts w:asciiTheme="minorHAnsi" w:hAnsiTheme="minorHAnsi" w:cstheme="minorHAnsi"/>
        </w:rPr>
        <w:t>)</w:t>
      </w:r>
      <w:r w:rsidR="008631A1" w:rsidRPr="00E07F85">
        <w:rPr>
          <w:rFonts w:asciiTheme="minorHAnsi" w:hAnsiTheme="minorHAnsi" w:cstheme="minorHAnsi"/>
        </w:rPr>
        <w:t xml:space="preserve"> </w:t>
      </w:r>
      <w:r w:rsidRPr="00E07F85">
        <w:rPr>
          <w:rFonts w:asciiTheme="minorHAnsi" w:hAnsiTheme="minorHAnsi" w:cstheme="minorHAnsi"/>
        </w:rPr>
        <w:t>v praxi realizována</w:t>
      </w:r>
      <w:r w:rsidR="0065055A" w:rsidRPr="00E07F85">
        <w:rPr>
          <w:rFonts w:asciiTheme="minorHAnsi" w:hAnsiTheme="minorHAnsi" w:cstheme="minorHAnsi"/>
        </w:rPr>
        <w:t>.</w:t>
      </w:r>
      <w:r w:rsidR="00FE6505" w:rsidRPr="007B6490">
        <w:rPr>
          <w:rFonts w:asciiTheme="minorHAnsi" w:hAnsiTheme="minorHAnsi" w:cstheme="minorHAnsi"/>
        </w:rPr>
        <w:t xml:space="preserve"> </w:t>
      </w:r>
    </w:p>
    <w:p w:rsidR="007D6F62" w:rsidRPr="007B6490" w:rsidRDefault="007D6F62" w:rsidP="00DD1C9C">
      <w:pPr>
        <w:jc w:val="both"/>
        <w:rPr>
          <w:rFonts w:asciiTheme="minorHAnsi" w:hAnsiTheme="minorHAnsi" w:cstheme="minorHAnsi"/>
        </w:rPr>
      </w:pPr>
    </w:p>
    <w:p w:rsidR="00242887" w:rsidRPr="007B6490" w:rsidRDefault="00D02F82" w:rsidP="009C53F8">
      <w:pPr>
        <w:pStyle w:val="Nadpis1"/>
        <w:keepNext w:val="0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3. </w:t>
      </w:r>
      <w:r w:rsidR="00BE14F2" w:rsidRPr="007B6490">
        <w:rPr>
          <w:rFonts w:asciiTheme="minorHAnsi" w:hAnsiTheme="minorHAnsi" w:cstheme="minorHAnsi"/>
          <w:sz w:val="24"/>
        </w:rPr>
        <w:t>Ukazatele pozemkových úprav</w:t>
      </w:r>
    </w:p>
    <w:p w:rsidR="00AB07C9" w:rsidRDefault="004247CF" w:rsidP="007B64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07F85">
        <w:rPr>
          <w:rFonts w:asciiTheme="minorHAnsi" w:hAnsiTheme="minorHAnsi" w:cstheme="minorHAnsi"/>
          <w:b/>
        </w:rPr>
        <w:t xml:space="preserve">Ukazatele </w:t>
      </w:r>
      <w:r w:rsidR="00B520E1" w:rsidRPr="00E07F85">
        <w:rPr>
          <w:rFonts w:asciiTheme="minorHAnsi" w:hAnsiTheme="minorHAnsi" w:cstheme="minorHAnsi"/>
          <w:b/>
        </w:rPr>
        <w:t>výstupu „</w:t>
      </w:r>
      <w:r w:rsidR="00D02F82" w:rsidRPr="009C53F8">
        <w:rPr>
          <w:rFonts w:asciiTheme="minorHAnsi" w:hAnsiTheme="minorHAnsi" w:cstheme="minorHAnsi"/>
          <w:b/>
          <w:i/>
        </w:rPr>
        <w:t>p</w:t>
      </w:r>
      <w:r w:rsidRPr="009C53F8">
        <w:rPr>
          <w:rFonts w:asciiTheme="minorHAnsi" w:hAnsiTheme="minorHAnsi" w:cstheme="minorHAnsi"/>
          <w:b/>
          <w:i/>
        </w:rPr>
        <w:t xml:space="preserve">očet podporovaných </w:t>
      </w:r>
      <w:r w:rsidR="00FB00C0" w:rsidRPr="009C53F8">
        <w:rPr>
          <w:rFonts w:asciiTheme="minorHAnsi" w:hAnsiTheme="minorHAnsi" w:cstheme="minorHAnsi"/>
          <w:b/>
          <w:i/>
        </w:rPr>
        <w:t>projektů</w:t>
      </w:r>
      <w:r w:rsidR="00B520E1" w:rsidRPr="00E07F85">
        <w:rPr>
          <w:rFonts w:asciiTheme="minorHAnsi" w:hAnsiTheme="minorHAnsi" w:cstheme="minorHAnsi"/>
          <w:b/>
        </w:rPr>
        <w:t>“ a</w:t>
      </w:r>
      <w:r w:rsidRPr="00E07F85">
        <w:rPr>
          <w:rFonts w:asciiTheme="minorHAnsi" w:hAnsiTheme="minorHAnsi" w:cstheme="minorHAnsi"/>
          <w:b/>
        </w:rPr>
        <w:t xml:space="preserve"> </w:t>
      </w:r>
      <w:r w:rsidR="00B520E1" w:rsidRPr="00E07F85">
        <w:rPr>
          <w:rFonts w:asciiTheme="minorHAnsi" w:hAnsiTheme="minorHAnsi" w:cstheme="minorHAnsi"/>
          <w:b/>
        </w:rPr>
        <w:t>„</w:t>
      </w:r>
      <w:r w:rsidR="00D02F82" w:rsidRPr="009C53F8">
        <w:rPr>
          <w:rFonts w:asciiTheme="minorHAnsi" w:hAnsiTheme="minorHAnsi" w:cstheme="minorHAnsi"/>
          <w:b/>
          <w:i/>
        </w:rPr>
        <w:t>c</w:t>
      </w:r>
      <w:r w:rsidRPr="009C53F8">
        <w:rPr>
          <w:rFonts w:asciiTheme="minorHAnsi" w:hAnsiTheme="minorHAnsi" w:cstheme="minorHAnsi"/>
          <w:b/>
          <w:i/>
        </w:rPr>
        <w:t>elkový objem investic</w:t>
      </w:r>
      <w:r w:rsidR="00B520E1" w:rsidRPr="00E07F85">
        <w:rPr>
          <w:rFonts w:asciiTheme="minorHAnsi" w:hAnsiTheme="minorHAnsi" w:cstheme="minorHAnsi"/>
          <w:b/>
        </w:rPr>
        <w:t>“</w:t>
      </w:r>
      <w:r w:rsidRPr="00E07F85">
        <w:rPr>
          <w:rFonts w:asciiTheme="minorHAnsi" w:hAnsiTheme="minorHAnsi" w:cstheme="minorHAnsi"/>
          <w:b/>
        </w:rPr>
        <w:t xml:space="preserve"> a</w:t>
      </w:r>
      <w:r w:rsidR="00B520E1" w:rsidRPr="00E07F85">
        <w:rPr>
          <w:rFonts w:asciiTheme="minorHAnsi" w:hAnsiTheme="minorHAnsi" w:cstheme="minorHAnsi"/>
          <w:b/>
        </w:rPr>
        <w:t xml:space="preserve"> ukazatel výsledku</w:t>
      </w:r>
      <w:r w:rsidR="00D02F82">
        <w:rPr>
          <w:rFonts w:asciiTheme="minorHAnsi" w:hAnsiTheme="minorHAnsi" w:cstheme="minorHAnsi"/>
          <w:b/>
        </w:rPr>
        <w:t xml:space="preserve"> </w:t>
      </w:r>
      <w:r w:rsidR="00B520E1" w:rsidRPr="00E07F85">
        <w:rPr>
          <w:rFonts w:asciiTheme="minorHAnsi" w:hAnsiTheme="minorHAnsi" w:cstheme="minorHAnsi"/>
          <w:b/>
        </w:rPr>
        <w:t>„</w:t>
      </w:r>
      <w:r w:rsidR="00D02F82">
        <w:rPr>
          <w:rFonts w:asciiTheme="minorHAnsi" w:hAnsiTheme="minorHAnsi" w:cstheme="minorHAnsi"/>
          <w:b/>
          <w:i/>
        </w:rPr>
        <w:t>n</w:t>
      </w:r>
      <w:r w:rsidRPr="009C53F8">
        <w:rPr>
          <w:rFonts w:asciiTheme="minorHAnsi" w:hAnsiTheme="minorHAnsi" w:cstheme="minorHAnsi"/>
          <w:b/>
          <w:i/>
        </w:rPr>
        <w:t>árůst plochy s realizovanými pozemkovými úpravami</w:t>
      </w:r>
      <w:r w:rsidR="00B520E1" w:rsidRPr="00E07F85">
        <w:rPr>
          <w:rFonts w:asciiTheme="minorHAnsi" w:hAnsiTheme="minorHAnsi" w:cstheme="minorHAnsi"/>
          <w:b/>
        </w:rPr>
        <w:t>“</w:t>
      </w:r>
      <w:r w:rsidRPr="00E07F85">
        <w:rPr>
          <w:rFonts w:asciiTheme="minorHAnsi" w:hAnsiTheme="minorHAnsi" w:cstheme="minorHAnsi"/>
          <w:b/>
        </w:rPr>
        <w:t xml:space="preserve">, které </w:t>
      </w:r>
      <w:proofErr w:type="spellStart"/>
      <w:r w:rsidRPr="00E07F85">
        <w:rPr>
          <w:rFonts w:asciiTheme="minorHAnsi" w:hAnsiTheme="minorHAnsi" w:cstheme="minorHAnsi"/>
          <w:b/>
        </w:rPr>
        <w:t>MZe</w:t>
      </w:r>
      <w:proofErr w:type="spellEnd"/>
      <w:r w:rsidRPr="00E07F85">
        <w:rPr>
          <w:rFonts w:asciiTheme="minorHAnsi" w:hAnsiTheme="minorHAnsi" w:cstheme="minorHAnsi"/>
          <w:b/>
        </w:rPr>
        <w:t xml:space="preserve"> nastavilo </w:t>
      </w:r>
      <w:r w:rsidR="00D02F82">
        <w:rPr>
          <w:rFonts w:asciiTheme="minorHAnsi" w:hAnsiTheme="minorHAnsi" w:cstheme="minorHAnsi"/>
          <w:b/>
        </w:rPr>
        <w:t xml:space="preserve">v rámci </w:t>
      </w:r>
      <w:proofErr w:type="spellStart"/>
      <w:r w:rsidR="00D02F82">
        <w:rPr>
          <w:rFonts w:asciiTheme="minorHAnsi" w:hAnsiTheme="minorHAnsi" w:cstheme="minorHAnsi"/>
          <w:b/>
        </w:rPr>
        <w:t>PRV</w:t>
      </w:r>
      <w:proofErr w:type="spellEnd"/>
      <w:r w:rsidR="00D02F82">
        <w:rPr>
          <w:rFonts w:asciiTheme="minorHAnsi" w:hAnsiTheme="minorHAnsi" w:cstheme="minorHAnsi"/>
          <w:b/>
        </w:rPr>
        <w:t xml:space="preserve"> </w:t>
      </w:r>
      <w:r w:rsidRPr="00E07F85">
        <w:rPr>
          <w:rFonts w:asciiTheme="minorHAnsi" w:hAnsiTheme="minorHAnsi" w:cstheme="minorHAnsi"/>
          <w:b/>
        </w:rPr>
        <w:t>pro</w:t>
      </w:r>
      <w:r w:rsidRPr="007B6490">
        <w:rPr>
          <w:rFonts w:asciiTheme="minorHAnsi" w:hAnsiTheme="minorHAnsi" w:cstheme="minorHAnsi"/>
          <w:b/>
        </w:rPr>
        <w:t xml:space="preserve"> monitorování a hodnocení </w:t>
      </w:r>
      <w:proofErr w:type="gramStart"/>
      <w:r w:rsidR="002F0656" w:rsidRPr="007B6490">
        <w:rPr>
          <w:rFonts w:asciiTheme="minorHAnsi" w:hAnsiTheme="minorHAnsi" w:cstheme="minorHAnsi"/>
          <w:b/>
        </w:rPr>
        <w:t>opatření I.1.4</w:t>
      </w:r>
      <w:proofErr w:type="gramEnd"/>
      <w:r w:rsidRPr="007B6490">
        <w:rPr>
          <w:rFonts w:asciiTheme="minorHAnsi" w:hAnsiTheme="minorHAnsi" w:cstheme="minorHAnsi"/>
          <w:b/>
        </w:rPr>
        <w:t>, odpovídají na otázk</w:t>
      </w:r>
      <w:r w:rsidR="00D02F82">
        <w:rPr>
          <w:rFonts w:asciiTheme="minorHAnsi" w:hAnsiTheme="minorHAnsi" w:cstheme="minorHAnsi"/>
          <w:b/>
        </w:rPr>
        <w:t>y</w:t>
      </w:r>
      <w:r w:rsidRPr="008F0043">
        <w:rPr>
          <w:rFonts w:asciiTheme="minorHAnsi" w:hAnsiTheme="minorHAnsi" w:cstheme="minorHAnsi"/>
          <w:b/>
        </w:rPr>
        <w:t xml:space="preserve">, </w:t>
      </w:r>
      <w:r w:rsidR="003E5DC7" w:rsidRPr="008F0043">
        <w:rPr>
          <w:rFonts w:asciiTheme="minorHAnsi" w:hAnsiTheme="minorHAnsi" w:cstheme="minorHAnsi"/>
          <w:b/>
        </w:rPr>
        <w:t>kolik projektů bylo podpořeno, kolik bylo celkem proinvestováno</w:t>
      </w:r>
      <w:r w:rsidR="003E5DC7" w:rsidRPr="003E5DC7">
        <w:rPr>
          <w:rFonts w:asciiTheme="minorHAnsi" w:hAnsiTheme="minorHAnsi" w:cstheme="minorHAnsi"/>
          <w:b/>
        </w:rPr>
        <w:t xml:space="preserve"> a </w:t>
      </w:r>
      <w:r w:rsidRPr="003E5DC7">
        <w:rPr>
          <w:rFonts w:asciiTheme="minorHAnsi" w:hAnsiTheme="minorHAnsi" w:cstheme="minorHAnsi"/>
          <w:b/>
        </w:rPr>
        <w:t>jaká část zemědělského půdního fondu</w:t>
      </w:r>
      <w:r w:rsidRPr="009C53F8">
        <w:rPr>
          <w:rFonts w:asciiTheme="minorHAnsi" w:hAnsiTheme="minorHAnsi" w:cstheme="minorHAnsi"/>
          <w:b/>
        </w:rPr>
        <w:t xml:space="preserve"> </w:t>
      </w:r>
      <w:r w:rsidRPr="003E5DC7">
        <w:rPr>
          <w:rFonts w:asciiTheme="minorHAnsi" w:hAnsiTheme="minorHAnsi" w:cstheme="minorHAnsi"/>
          <w:b/>
        </w:rPr>
        <w:t>byla zahrnuta a zpracována v ukončených komplexních</w:t>
      </w:r>
      <w:r w:rsidRPr="007B6490">
        <w:rPr>
          <w:rFonts w:asciiTheme="minorHAnsi" w:hAnsiTheme="minorHAnsi" w:cstheme="minorHAnsi"/>
          <w:b/>
        </w:rPr>
        <w:t xml:space="preserve"> pozemkových úpravách</w:t>
      </w:r>
      <w:r w:rsidR="00973413" w:rsidRPr="007B6490">
        <w:rPr>
          <w:rFonts w:asciiTheme="minorHAnsi" w:hAnsiTheme="minorHAnsi" w:cstheme="minorHAnsi"/>
          <w:b/>
        </w:rPr>
        <w:t xml:space="preserve">. </w:t>
      </w:r>
      <w:r w:rsidR="00973413" w:rsidRPr="00B94B48">
        <w:rPr>
          <w:rFonts w:asciiTheme="minorHAnsi" w:hAnsiTheme="minorHAnsi" w:cstheme="minorHAnsi"/>
          <w:b/>
        </w:rPr>
        <w:t>Tyto</w:t>
      </w:r>
      <w:r w:rsidRPr="00B94B48">
        <w:rPr>
          <w:rFonts w:asciiTheme="minorHAnsi" w:hAnsiTheme="minorHAnsi" w:cstheme="minorHAnsi"/>
          <w:b/>
        </w:rPr>
        <w:t xml:space="preserve"> </w:t>
      </w:r>
      <w:r w:rsidRPr="001D0BE9">
        <w:rPr>
          <w:rFonts w:asciiTheme="minorHAnsi" w:hAnsiTheme="minorHAnsi" w:cstheme="minorHAnsi"/>
          <w:b/>
        </w:rPr>
        <w:t>ukazatele</w:t>
      </w:r>
      <w:r w:rsidR="006075F2" w:rsidRPr="001D0BE9">
        <w:rPr>
          <w:rFonts w:asciiTheme="minorHAnsi" w:hAnsiTheme="minorHAnsi" w:cstheme="minorHAnsi"/>
          <w:b/>
        </w:rPr>
        <w:t xml:space="preserve"> </w:t>
      </w:r>
      <w:r w:rsidRPr="001D0BE9">
        <w:rPr>
          <w:rFonts w:asciiTheme="minorHAnsi" w:hAnsiTheme="minorHAnsi" w:cstheme="minorHAnsi"/>
          <w:b/>
        </w:rPr>
        <w:t>nemonitorují průběh a</w:t>
      </w:r>
      <w:r w:rsidR="00D02F82">
        <w:rPr>
          <w:rFonts w:asciiTheme="minorHAnsi" w:hAnsiTheme="minorHAnsi" w:cstheme="minorHAnsi"/>
          <w:b/>
        </w:rPr>
        <w:t>ni</w:t>
      </w:r>
      <w:r w:rsidRPr="001D0BE9">
        <w:rPr>
          <w:rFonts w:asciiTheme="minorHAnsi" w:hAnsiTheme="minorHAnsi" w:cstheme="minorHAnsi"/>
          <w:b/>
        </w:rPr>
        <w:t xml:space="preserve"> stav realizace opatření</w:t>
      </w:r>
      <w:r w:rsidR="007D6F62" w:rsidRPr="001D0BE9">
        <w:rPr>
          <w:rFonts w:asciiTheme="minorHAnsi" w:hAnsiTheme="minorHAnsi" w:cstheme="minorHAnsi"/>
          <w:b/>
        </w:rPr>
        <w:t xml:space="preserve"> navržených v PSZ a r</w:t>
      </w:r>
      <w:r w:rsidRPr="001D0BE9">
        <w:rPr>
          <w:rFonts w:asciiTheme="minorHAnsi" w:hAnsiTheme="minorHAnsi" w:cstheme="minorHAnsi"/>
          <w:b/>
        </w:rPr>
        <w:t xml:space="preserve">ovněž </w:t>
      </w:r>
      <w:r w:rsidR="00973413" w:rsidRPr="001D0BE9">
        <w:rPr>
          <w:rFonts w:asciiTheme="minorHAnsi" w:hAnsiTheme="minorHAnsi" w:cstheme="minorHAnsi"/>
          <w:b/>
        </w:rPr>
        <w:t>tak</w:t>
      </w:r>
      <w:r w:rsidR="00973413" w:rsidRPr="007B6490">
        <w:rPr>
          <w:rFonts w:asciiTheme="minorHAnsi" w:hAnsiTheme="minorHAnsi" w:cstheme="minorHAnsi"/>
          <w:b/>
        </w:rPr>
        <w:t xml:space="preserve"> </w:t>
      </w:r>
      <w:r w:rsidR="005E5FED">
        <w:rPr>
          <w:rFonts w:asciiTheme="minorHAnsi" w:hAnsiTheme="minorHAnsi" w:cstheme="minorHAnsi"/>
          <w:b/>
        </w:rPr>
        <w:t xml:space="preserve">nemají vypovídací schopnost </w:t>
      </w:r>
      <w:r w:rsidR="00973413" w:rsidRPr="007B6490">
        <w:rPr>
          <w:rFonts w:asciiTheme="minorHAnsi" w:hAnsiTheme="minorHAnsi" w:cstheme="minorHAnsi"/>
          <w:b/>
        </w:rPr>
        <w:t xml:space="preserve">o účinnosti </w:t>
      </w:r>
      <w:r w:rsidR="007D6F62" w:rsidRPr="007B6490">
        <w:rPr>
          <w:rFonts w:asciiTheme="minorHAnsi" w:hAnsiTheme="minorHAnsi" w:cstheme="minorHAnsi"/>
          <w:b/>
        </w:rPr>
        <w:t xml:space="preserve">realizovaných </w:t>
      </w:r>
      <w:r w:rsidR="00EF6E47" w:rsidRPr="007B6490">
        <w:rPr>
          <w:rFonts w:asciiTheme="minorHAnsi" w:hAnsiTheme="minorHAnsi" w:cstheme="minorHAnsi"/>
          <w:b/>
        </w:rPr>
        <w:t>opatření</w:t>
      </w:r>
      <w:r w:rsidR="007D6F62">
        <w:rPr>
          <w:rFonts w:asciiTheme="minorHAnsi" w:hAnsiTheme="minorHAnsi" w:cstheme="minorHAnsi"/>
          <w:b/>
        </w:rPr>
        <w:t>.</w:t>
      </w:r>
    </w:p>
    <w:p w:rsidR="00105E17" w:rsidRPr="007D6F62" w:rsidRDefault="00105E17" w:rsidP="007B64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trike/>
        </w:rPr>
      </w:pPr>
    </w:p>
    <w:p w:rsidR="008A168D" w:rsidRPr="007B6490" w:rsidRDefault="00B24E38" w:rsidP="00105E17">
      <w:pPr>
        <w:pStyle w:val="Default"/>
        <w:keepNext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b/>
          <w:color w:val="auto"/>
        </w:rPr>
      </w:pPr>
      <w:r w:rsidRPr="007B6490">
        <w:rPr>
          <w:rFonts w:asciiTheme="minorHAnsi" w:hAnsiTheme="minorHAnsi" w:cstheme="minorHAnsi"/>
          <w:b/>
          <w:color w:val="auto"/>
        </w:rPr>
        <w:lastRenderedPageBreak/>
        <w:t>Ukazatel</w:t>
      </w:r>
      <w:r w:rsidR="006C0BC4" w:rsidRPr="007B6490">
        <w:rPr>
          <w:rFonts w:asciiTheme="minorHAnsi" w:hAnsiTheme="minorHAnsi" w:cstheme="minorHAnsi"/>
          <w:b/>
          <w:color w:val="auto"/>
        </w:rPr>
        <w:t xml:space="preserve"> </w:t>
      </w:r>
      <w:r w:rsidR="00D02F82">
        <w:rPr>
          <w:rFonts w:asciiTheme="minorHAnsi" w:hAnsiTheme="minorHAnsi" w:cstheme="minorHAnsi"/>
          <w:b/>
          <w:color w:val="auto"/>
        </w:rPr>
        <w:t>„</w:t>
      </w:r>
      <w:r w:rsidR="00D02F82" w:rsidRPr="009C53F8">
        <w:rPr>
          <w:rFonts w:asciiTheme="minorHAnsi" w:hAnsiTheme="minorHAnsi" w:cstheme="minorHAnsi"/>
          <w:b/>
          <w:i/>
          <w:color w:val="auto"/>
        </w:rPr>
        <w:t>p</w:t>
      </w:r>
      <w:r w:rsidR="006C0BC4" w:rsidRPr="009C53F8">
        <w:rPr>
          <w:rFonts w:asciiTheme="minorHAnsi" w:hAnsiTheme="minorHAnsi" w:cstheme="minorHAnsi"/>
          <w:b/>
          <w:i/>
          <w:color w:val="auto"/>
        </w:rPr>
        <w:t xml:space="preserve">očet podporovaných </w:t>
      </w:r>
      <w:r w:rsidR="00FB00C0" w:rsidRPr="009C53F8">
        <w:rPr>
          <w:rFonts w:asciiTheme="minorHAnsi" w:hAnsiTheme="minorHAnsi" w:cstheme="minorHAnsi"/>
          <w:b/>
          <w:i/>
          <w:color w:val="auto"/>
        </w:rPr>
        <w:t>projektů</w:t>
      </w:r>
      <w:r w:rsidR="00D02F82">
        <w:rPr>
          <w:rFonts w:asciiTheme="minorHAnsi" w:hAnsiTheme="minorHAnsi" w:cstheme="minorHAnsi"/>
          <w:b/>
          <w:color w:val="auto"/>
        </w:rPr>
        <w:t>“</w:t>
      </w:r>
      <w:r w:rsidRPr="007B6490">
        <w:rPr>
          <w:rFonts w:asciiTheme="minorHAnsi" w:hAnsiTheme="minorHAnsi" w:cstheme="minorHAnsi"/>
          <w:b/>
          <w:color w:val="auto"/>
        </w:rPr>
        <w:t xml:space="preserve"> </w:t>
      </w:r>
    </w:p>
    <w:p w:rsidR="003C4DA7" w:rsidRDefault="004247CF" w:rsidP="00105E17">
      <w:pPr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t xml:space="preserve">Nastavený ukazatel </w:t>
      </w:r>
      <w:r w:rsidR="008A168D" w:rsidRPr="007B6490">
        <w:rPr>
          <w:rFonts w:asciiTheme="minorHAnsi" w:hAnsiTheme="minorHAnsi" w:cstheme="minorHAnsi"/>
          <w:b/>
        </w:rPr>
        <w:t>byl naplněn. Tento ukazatel vyjadřuje</w:t>
      </w:r>
      <w:r w:rsidR="00A44777" w:rsidRPr="007B6490">
        <w:rPr>
          <w:rFonts w:asciiTheme="minorHAnsi" w:hAnsiTheme="minorHAnsi" w:cstheme="minorHAnsi"/>
          <w:b/>
        </w:rPr>
        <w:t xml:space="preserve"> </w:t>
      </w:r>
      <w:r w:rsidR="002A6B50" w:rsidRPr="007B6490">
        <w:rPr>
          <w:rFonts w:asciiTheme="minorHAnsi" w:hAnsiTheme="minorHAnsi" w:cstheme="minorHAnsi"/>
          <w:b/>
        </w:rPr>
        <w:t xml:space="preserve">pouze </w:t>
      </w:r>
      <w:r w:rsidR="00A44777" w:rsidRPr="007B6490">
        <w:rPr>
          <w:rFonts w:asciiTheme="minorHAnsi" w:hAnsiTheme="minorHAnsi" w:cstheme="minorHAnsi"/>
          <w:b/>
        </w:rPr>
        <w:t xml:space="preserve">množství dotovaných </w:t>
      </w:r>
      <w:r w:rsidR="00FB00C0" w:rsidRPr="007B6490">
        <w:rPr>
          <w:rFonts w:asciiTheme="minorHAnsi" w:hAnsiTheme="minorHAnsi" w:cstheme="minorHAnsi"/>
          <w:b/>
        </w:rPr>
        <w:t>projektů</w:t>
      </w:r>
      <w:r w:rsidR="00A44777" w:rsidRPr="007B6490">
        <w:rPr>
          <w:rFonts w:asciiTheme="minorHAnsi" w:hAnsiTheme="minorHAnsi" w:cstheme="minorHAnsi"/>
          <w:b/>
        </w:rPr>
        <w:t xml:space="preserve">, </w:t>
      </w:r>
      <w:r w:rsidR="00D02F82">
        <w:rPr>
          <w:rFonts w:asciiTheme="minorHAnsi" w:hAnsiTheme="minorHAnsi" w:cstheme="minorHAnsi"/>
          <w:b/>
        </w:rPr>
        <w:t>nehodnotí</w:t>
      </w:r>
      <w:r w:rsidR="00A44777" w:rsidRPr="007B6490">
        <w:rPr>
          <w:rFonts w:asciiTheme="minorHAnsi" w:hAnsiTheme="minorHAnsi" w:cstheme="minorHAnsi"/>
          <w:b/>
        </w:rPr>
        <w:t xml:space="preserve"> </w:t>
      </w:r>
      <w:r w:rsidR="002A6B50" w:rsidRPr="007B6490">
        <w:rPr>
          <w:rFonts w:asciiTheme="minorHAnsi" w:hAnsiTheme="minorHAnsi" w:cstheme="minorHAnsi"/>
          <w:b/>
        </w:rPr>
        <w:t xml:space="preserve">jejich </w:t>
      </w:r>
      <w:r w:rsidR="00FB27CB" w:rsidRPr="007B6490">
        <w:rPr>
          <w:rFonts w:asciiTheme="minorHAnsi" w:hAnsiTheme="minorHAnsi" w:cstheme="minorHAnsi"/>
          <w:b/>
        </w:rPr>
        <w:t>náročnost a</w:t>
      </w:r>
      <w:r w:rsidR="00D02F82">
        <w:rPr>
          <w:rFonts w:asciiTheme="minorHAnsi" w:hAnsiTheme="minorHAnsi" w:cstheme="minorHAnsi"/>
          <w:b/>
        </w:rPr>
        <w:t>ni</w:t>
      </w:r>
      <w:r w:rsidR="002A6B50" w:rsidRPr="007B6490">
        <w:rPr>
          <w:rFonts w:asciiTheme="minorHAnsi" w:hAnsiTheme="minorHAnsi" w:cstheme="minorHAnsi"/>
          <w:b/>
        </w:rPr>
        <w:t xml:space="preserve"> </w:t>
      </w:r>
      <w:r w:rsidR="00A44777" w:rsidRPr="007B6490">
        <w:rPr>
          <w:rFonts w:asciiTheme="minorHAnsi" w:hAnsiTheme="minorHAnsi" w:cstheme="minorHAnsi"/>
          <w:b/>
        </w:rPr>
        <w:t>dosaž</w:t>
      </w:r>
      <w:r w:rsidR="002A6B50" w:rsidRPr="007B6490">
        <w:rPr>
          <w:rFonts w:asciiTheme="minorHAnsi" w:hAnsiTheme="minorHAnsi" w:cstheme="minorHAnsi"/>
          <w:b/>
        </w:rPr>
        <w:t>e</w:t>
      </w:r>
      <w:r w:rsidR="00A44777" w:rsidRPr="007B6490">
        <w:rPr>
          <w:rFonts w:asciiTheme="minorHAnsi" w:hAnsiTheme="minorHAnsi" w:cstheme="minorHAnsi"/>
          <w:b/>
        </w:rPr>
        <w:t>ní cílů PRV.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  <w:b/>
        </w:rPr>
      </w:pPr>
    </w:p>
    <w:p w:rsidR="006B2346" w:rsidRDefault="006B2346" w:rsidP="00105E17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V rámci </w:t>
      </w:r>
      <w:proofErr w:type="gramStart"/>
      <w:r w:rsidR="002F0656" w:rsidRPr="007B6490">
        <w:rPr>
          <w:rFonts w:asciiTheme="minorHAnsi" w:hAnsiTheme="minorHAnsi" w:cstheme="minorHAnsi"/>
        </w:rPr>
        <w:t>opatření I.1.4</w:t>
      </w:r>
      <w:proofErr w:type="gramEnd"/>
      <w:r w:rsidRPr="007B6490">
        <w:rPr>
          <w:rFonts w:asciiTheme="minorHAnsi" w:hAnsiTheme="minorHAnsi" w:cstheme="minorHAnsi"/>
        </w:rPr>
        <w:t xml:space="preserve"> na období 2007</w:t>
      </w:r>
      <w:r w:rsidR="00AB07D3" w:rsidRPr="007B6490">
        <w:rPr>
          <w:rFonts w:asciiTheme="minorHAnsi" w:hAnsiTheme="minorHAnsi" w:cstheme="minorHAnsi"/>
        </w:rPr>
        <w:t>–</w:t>
      </w:r>
      <w:r w:rsidRPr="007B6490">
        <w:rPr>
          <w:rFonts w:asciiTheme="minorHAnsi" w:hAnsiTheme="minorHAnsi" w:cstheme="minorHAnsi"/>
        </w:rPr>
        <w:t xml:space="preserve">2013 </w:t>
      </w:r>
      <w:r w:rsidR="00D02F82">
        <w:rPr>
          <w:rFonts w:asciiTheme="minorHAnsi" w:hAnsiTheme="minorHAnsi" w:cstheme="minorHAnsi"/>
        </w:rPr>
        <w:t>mělo být původně podpořeno</w:t>
      </w:r>
      <w:r w:rsidRPr="007B6490">
        <w:rPr>
          <w:rFonts w:asciiTheme="minorHAnsi" w:hAnsiTheme="minorHAnsi" w:cstheme="minorHAnsi"/>
        </w:rPr>
        <w:t xml:space="preserve"> celkem 1 400</w:t>
      </w:r>
      <w:r w:rsidR="00C90283">
        <w:rPr>
          <w:rFonts w:asciiTheme="minorHAnsi" w:hAnsiTheme="minorHAnsi" w:cstheme="minorHAnsi"/>
        </w:rPr>
        <w:t> </w:t>
      </w:r>
      <w:r w:rsidR="00FB00C0" w:rsidRPr="007B6490">
        <w:rPr>
          <w:rFonts w:asciiTheme="minorHAnsi" w:hAnsiTheme="minorHAnsi" w:cstheme="minorHAnsi"/>
        </w:rPr>
        <w:t>projektů</w:t>
      </w:r>
      <w:r w:rsidRPr="007B6490">
        <w:rPr>
          <w:rFonts w:asciiTheme="minorHAnsi" w:hAnsiTheme="minorHAnsi" w:cstheme="minorHAnsi"/>
        </w:rPr>
        <w:t xml:space="preserve">. </w:t>
      </w:r>
      <w:proofErr w:type="spellStart"/>
      <w:r w:rsidRPr="007B6490">
        <w:rPr>
          <w:rFonts w:asciiTheme="minorHAnsi" w:hAnsiTheme="minorHAnsi" w:cstheme="minorHAnsi"/>
        </w:rPr>
        <w:t>MZe</w:t>
      </w:r>
      <w:proofErr w:type="spellEnd"/>
      <w:r w:rsidRPr="007B6490">
        <w:rPr>
          <w:rFonts w:asciiTheme="minorHAnsi" w:hAnsiTheme="minorHAnsi" w:cstheme="minorHAnsi"/>
        </w:rPr>
        <w:t xml:space="preserve"> po schválení </w:t>
      </w:r>
      <w:r w:rsidR="00D02F82">
        <w:rPr>
          <w:rFonts w:asciiTheme="minorHAnsi" w:hAnsiTheme="minorHAnsi" w:cstheme="minorHAnsi"/>
        </w:rPr>
        <w:t>m</w:t>
      </w:r>
      <w:r w:rsidRPr="007B6490">
        <w:rPr>
          <w:rFonts w:asciiTheme="minorHAnsi" w:hAnsiTheme="minorHAnsi" w:cstheme="minorHAnsi"/>
        </w:rPr>
        <w:t>onitorovacím výborem</w:t>
      </w:r>
      <w:r w:rsidR="00D02F82" w:rsidRPr="007B6490">
        <w:rPr>
          <w:rStyle w:val="Znakapoznpodarou"/>
          <w:rFonts w:asciiTheme="minorHAnsi" w:hAnsiTheme="minorHAnsi" w:cstheme="minorHAnsi"/>
        </w:rPr>
        <w:footnoteReference w:id="11"/>
      </w:r>
      <w:r w:rsidRPr="007B6490">
        <w:rPr>
          <w:rFonts w:asciiTheme="minorHAnsi" w:hAnsiTheme="minorHAnsi" w:cstheme="minorHAnsi"/>
        </w:rPr>
        <w:t xml:space="preserve"> PRV</w:t>
      </w:r>
      <w:r w:rsidR="00D02F82">
        <w:rPr>
          <w:rFonts w:asciiTheme="minorHAnsi" w:hAnsiTheme="minorHAnsi" w:cstheme="minorHAnsi"/>
        </w:rPr>
        <w:t xml:space="preserve"> </w:t>
      </w:r>
      <w:r w:rsidRPr="007B6490">
        <w:rPr>
          <w:rFonts w:asciiTheme="minorHAnsi" w:hAnsiTheme="minorHAnsi" w:cstheme="minorHAnsi"/>
        </w:rPr>
        <w:t xml:space="preserve">tento ukazatel snížilo na 810 </w:t>
      </w:r>
      <w:r w:rsidR="00FB00C0" w:rsidRPr="007B6490">
        <w:rPr>
          <w:rFonts w:asciiTheme="minorHAnsi" w:hAnsiTheme="minorHAnsi" w:cstheme="minorHAnsi"/>
        </w:rPr>
        <w:t>projektů</w:t>
      </w:r>
      <w:r w:rsidRPr="007B6490">
        <w:rPr>
          <w:rFonts w:asciiTheme="minorHAnsi" w:hAnsiTheme="minorHAnsi" w:cstheme="minorHAnsi"/>
        </w:rPr>
        <w:t>, tj. </w:t>
      </w:r>
      <w:r w:rsidR="00D02F82">
        <w:rPr>
          <w:rFonts w:asciiTheme="minorHAnsi" w:hAnsiTheme="minorHAnsi" w:cstheme="minorHAnsi"/>
        </w:rPr>
        <w:t xml:space="preserve">snížení </w:t>
      </w:r>
      <w:r w:rsidRPr="007B6490">
        <w:rPr>
          <w:rFonts w:asciiTheme="minorHAnsi" w:hAnsiTheme="minorHAnsi" w:cstheme="minorHAnsi"/>
        </w:rPr>
        <w:t xml:space="preserve">o 42,1 %. 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</w:rPr>
      </w:pPr>
    </w:p>
    <w:p w:rsidR="006B2346" w:rsidRPr="009C53F8" w:rsidRDefault="006B2346" w:rsidP="00105E17">
      <w:pPr>
        <w:keepNext/>
        <w:tabs>
          <w:tab w:val="left" w:pos="7513"/>
        </w:tabs>
        <w:jc w:val="both"/>
        <w:rPr>
          <w:rFonts w:asciiTheme="minorHAnsi" w:hAnsiTheme="minorHAnsi" w:cstheme="minorHAnsi"/>
          <w:b/>
        </w:rPr>
      </w:pPr>
      <w:r w:rsidRPr="009C53F8">
        <w:rPr>
          <w:rFonts w:asciiTheme="minorHAnsi" w:hAnsiTheme="minorHAnsi" w:cstheme="minorHAnsi"/>
          <w:b/>
        </w:rPr>
        <w:t>Tab</w:t>
      </w:r>
      <w:r w:rsidR="00D02F82" w:rsidRPr="009C53F8">
        <w:rPr>
          <w:rFonts w:asciiTheme="minorHAnsi" w:hAnsiTheme="minorHAnsi" w:cstheme="minorHAnsi"/>
          <w:b/>
        </w:rPr>
        <w:t>ulka</w:t>
      </w:r>
      <w:r w:rsidRPr="009C53F8">
        <w:rPr>
          <w:rFonts w:asciiTheme="minorHAnsi" w:hAnsiTheme="minorHAnsi" w:cstheme="minorHAnsi"/>
          <w:b/>
        </w:rPr>
        <w:t xml:space="preserve"> č. </w:t>
      </w:r>
      <w:r w:rsidR="00D81F8D" w:rsidRPr="009C53F8">
        <w:rPr>
          <w:rFonts w:asciiTheme="minorHAnsi" w:hAnsiTheme="minorHAnsi" w:cstheme="minorHAnsi"/>
          <w:b/>
        </w:rPr>
        <w:t>5</w:t>
      </w:r>
      <w:r w:rsidRPr="009C53F8">
        <w:rPr>
          <w:rFonts w:asciiTheme="minorHAnsi" w:hAnsiTheme="minorHAnsi" w:cstheme="minorHAnsi"/>
          <w:b/>
        </w:rPr>
        <w:t xml:space="preserve"> </w:t>
      </w:r>
      <w:r w:rsidR="00780F4D" w:rsidRPr="009C53F8">
        <w:rPr>
          <w:rFonts w:asciiTheme="minorHAnsi" w:hAnsiTheme="minorHAnsi" w:cstheme="minorHAnsi"/>
          <w:b/>
        </w:rPr>
        <w:t xml:space="preserve">– </w:t>
      </w:r>
      <w:r w:rsidRPr="009C53F8">
        <w:rPr>
          <w:rFonts w:asciiTheme="minorHAnsi" w:hAnsiTheme="minorHAnsi" w:cstheme="minorHAnsi"/>
          <w:b/>
        </w:rPr>
        <w:t xml:space="preserve">Ukazatel: </w:t>
      </w:r>
      <w:r w:rsidR="00D02F82" w:rsidRPr="009C53F8">
        <w:rPr>
          <w:rFonts w:asciiTheme="minorHAnsi" w:hAnsiTheme="minorHAnsi" w:cstheme="minorHAnsi"/>
          <w:b/>
        </w:rPr>
        <w:t>„</w:t>
      </w:r>
      <w:r w:rsidR="00D02F82" w:rsidRPr="009C53F8">
        <w:rPr>
          <w:rFonts w:asciiTheme="minorHAnsi" w:hAnsiTheme="minorHAnsi" w:cstheme="minorHAnsi"/>
          <w:b/>
          <w:i/>
        </w:rPr>
        <w:t>p</w:t>
      </w:r>
      <w:r w:rsidRPr="009C53F8">
        <w:rPr>
          <w:rFonts w:asciiTheme="minorHAnsi" w:hAnsiTheme="minorHAnsi" w:cstheme="minorHAnsi"/>
          <w:b/>
          <w:i/>
        </w:rPr>
        <w:t xml:space="preserve">očet podporovaných </w:t>
      </w:r>
      <w:r w:rsidR="00FB00C0" w:rsidRPr="009C53F8">
        <w:rPr>
          <w:rFonts w:asciiTheme="minorHAnsi" w:hAnsiTheme="minorHAnsi" w:cstheme="minorHAnsi"/>
          <w:b/>
          <w:i/>
        </w:rPr>
        <w:t>projektů</w:t>
      </w:r>
      <w:r w:rsidR="00D02F82" w:rsidRPr="009C53F8">
        <w:rPr>
          <w:rFonts w:asciiTheme="minorHAnsi" w:hAnsiTheme="minorHAnsi" w:cstheme="minorHAnsi"/>
          <w:b/>
        </w:rPr>
        <w:t>“</w:t>
      </w:r>
    </w:p>
    <w:tbl>
      <w:tblPr>
        <w:tblW w:w="90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371"/>
        <w:gridCol w:w="1371"/>
        <w:gridCol w:w="1371"/>
        <w:gridCol w:w="1418"/>
        <w:gridCol w:w="1417"/>
      </w:tblGrid>
      <w:tr w:rsidR="006B2346" w:rsidRPr="007B6490" w:rsidTr="009C53F8">
        <w:trPr>
          <w:trHeight w:val="1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6B2346" w:rsidP="00D02F82">
            <w:pPr>
              <w:keepNext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D02F82" w:rsidP="009C53F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Ukazatel 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schválený 2007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D02F82" w:rsidP="009C53F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Ukazatel po 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změn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ách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6/2010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D02F82" w:rsidP="009C53F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Ukazatel po 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změn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ách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4/2014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D02F82" w:rsidP="005140B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zavřené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6B2346"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</w:t>
            </w:r>
            <w:r w:rsidR="005140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poskytnutí dotace</w:t>
            </w:r>
          </w:p>
        </w:tc>
      </w:tr>
      <w:tr w:rsidR="006B2346" w:rsidRPr="007B6490" w:rsidTr="009C53F8">
        <w:trPr>
          <w:trHeight w:val="2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 31. 12. 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6B2346" w:rsidP="0097171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 31. 12. 2014</w:t>
            </w:r>
          </w:p>
        </w:tc>
      </w:tr>
      <w:tr w:rsidR="006B2346" w:rsidRPr="007B6490" w:rsidTr="009C53F8">
        <w:trPr>
          <w:trHeight w:val="2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346" w:rsidRPr="007B6490" w:rsidRDefault="006B2346" w:rsidP="009C53F8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 xml:space="preserve">Počet podporovaných </w:t>
            </w:r>
            <w:r w:rsidR="00FB00C0" w:rsidRPr="007B6490">
              <w:rPr>
                <w:rFonts w:asciiTheme="minorHAnsi" w:hAnsiTheme="minorHAnsi" w:cstheme="minorHAnsi"/>
                <w:sz w:val="20"/>
                <w:szCs w:val="20"/>
              </w:rPr>
              <w:t>projektů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C53F8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1 400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C53F8">
            <w:pPr>
              <w:keepNext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1 210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C53F8">
            <w:pPr>
              <w:keepNext/>
              <w:ind w:right="5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C53F8">
            <w:pPr>
              <w:keepNext/>
              <w:ind w:right="5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Cs/>
                <w:sz w:val="20"/>
                <w:szCs w:val="20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9C53F8">
            <w:pPr>
              <w:keepNext/>
              <w:ind w:right="5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6490">
              <w:rPr>
                <w:rFonts w:asciiTheme="minorHAnsi" w:hAnsiTheme="minorHAnsi" w:cstheme="minorHAnsi"/>
                <w:bCs/>
                <w:sz w:val="20"/>
                <w:szCs w:val="20"/>
              </w:rPr>
              <w:t>810</w:t>
            </w:r>
          </w:p>
        </w:tc>
      </w:tr>
    </w:tbl>
    <w:p w:rsidR="003231B9" w:rsidRPr="007B6490" w:rsidRDefault="006B2346" w:rsidP="00105E17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B6490">
        <w:rPr>
          <w:rFonts w:asciiTheme="minorHAnsi" w:hAnsiTheme="minorHAnsi" w:cstheme="minorHAnsi"/>
          <w:b/>
          <w:spacing w:val="-4"/>
          <w:sz w:val="20"/>
          <w:szCs w:val="20"/>
        </w:rPr>
        <w:t>Zdroj:</w:t>
      </w:r>
      <w:r w:rsidRPr="007B649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02F82">
        <w:rPr>
          <w:rFonts w:asciiTheme="minorHAnsi" w:hAnsiTheme="minorHAnsi" w:cstheme="minorHAnsi"/>
          <w:spacing w:val="-4"/>
          <w:sz w:val="20"/>
          <w:szCs w:val="20"/>
        </w:rPr>
        <w:t>v</w:t>
      </w:r>
      <w:r w:rsidRPr="007B6490">
        <w:rPr>
          <w:rFonts w:asciiTheme="minorHAnsi" w:hAnsiTheme="minorHAnsi" w:cstheme="minorHAnsi"/>
          <w:spacing w:val="-4"/>
          <w:sz w:val="20"/>
          <w:szCs w:val="20"/>
        </w:rPr>
        <w:t xml:space="preserve">ýroční zprávy o implementaci PRV, přehled o jednotlivých kolech výzev </w:t>
      </w:r>
      <w:proofErr w:type="spellStart"/>
      <w:r w:rsidRPr="007B6490">
        <w:rPr>
          <w:rFonts w:asciiTheme="minorHAnsi" w:hAnsiTheme="minorHAnsi" w:cstheme="minorHAnsi"/>
          <w:spacing w:val="-4"/>
          <w:sz w:val="20"/>
          <w:szCs w:val="20"/>
        </w:rPr>
        <w:t>PRV</w:t>
      </w:r>
      <w:proofErr w:type="spellEnd"/>
      <w:r w:rsidR="00DF64E7" w:rsidRPr="007B6490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:rsidR="00105E17" w:rsidRDefault="00105E17" w:rsidP="00105E17">
      <w:pPr>
        <w:jc w:val="both"/>
        <w:rPr>
          <w:rFonts w:asciiTheme="minorHAnsi" w:hAnsiTheme="minorHAnsi" w:cstheme="minorHAnsi"/>
        </w:rPr>
      </w:pPr>
    </w:p>
    <w:p w:rsidR="003231B9" w:rsidRDefault="003231B9" w:rsidP="00105E17">
      <w:pPr>
        <w:jc w:val="both"/>
        <w:rPr>
          <w:rFonts w:asciiTheme="minorHAnsi" w:hAnsiTheme="minorHAnsi" w:cstheme="minorHAnsi"/>
          <w:spacing w:val="-4"/>
        </w:rPr>
      </w:pPr>
      <w:r w:rsidRPr="007B6490">
        <w:rPr>
          <w:rFonts w:asciiTheme="minorHAnsi" w:hAnsiTheme="minorHAnsi" w:cstheme="minorHAnsi"/>
        </w:rPr>
        <w:t xml:space="preserve">K 31. 12. 2014 uzavřel SZIF dohody o poskytnutí dotace pro 810 projektů a do doby ukončení kontroly </w:t>
      </w:r>
      <w:r w:rsidR="00B10C47" w:rsidRPr="007B6490">
        <w:rPr>
          <w:rFonts w:asciiTheme="minorHAnsi" w:hAnsiTheme="minorHAnsi" w:cstheme="minorHAnsi"/>
        </w:rPr>
        <w:t xml:space="preserve">schválil </w:t>
      </w:r>
      <w:r w:rsidRPr="007B6490">
        <w:rPr>
          <w:rFonts w:asciiTheme="minorHAnsi" w:hAnsiTheme="minorHAnsi" w:cstheme="minorHAnsi"/>
        </w:rPr>
        <w:t>uzavření dohod u dalších 83 projektů.</w:t>
      </w:r>
      <w:r w:rsidRPr="007B6490">
        <w:rPr>
          <w:rFonts w:asciiTheme="minorHAnsi" w:hAnsiTheme="minorHAnsi" w:cstheme="minorHAnsi"/>
          <w:spacing w:val="-4"/>
        </w:rPr>
        <w:t xml:space="preserve"> Ukazatel je v současnosti naplněn.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  <w:spacing w:val="-4"/>
        </w:rPr>
      </w:pPr>
    </w:p>
    <w:p w:rsidR="00310111" w:rsidRDefault="00495365" w:rsidP="007B6490">
      <w:pPr>
        <w:jc w:val="both"/>
        <w:rPr>
          <w:rFonts w:asciiTheme="minorHAnsi" w:hAnsiTheme="minorHAnsi" w:cstheme="minorHAnsi"/>
          <w:spacing w:val="-4"/>
        </w:rPr>
      </w:pPr>
      <w:r w:rsidRPr="007B6490">
        <w:rPr>
          <w:rFonts w:asciiTheme="minorHAnsi" w:hAnsiTheme="minorHAnsi" w:cstheme="minorHAnsi"/>
        </w:rPr>
        <w:t>Naprostá v</w:t>
      </w:r>
      <w:r w:rsidR="006C477D" w:rsidRPr="007B6490">
        <w:rPr>
          <w:rFonts w:asciiTheme="minorHAnsi" w:hAnsiTheme="minorHAnsi" w:cstheme="minorHAnsi"/>
        </w:rPr>
        <w:t>ětšina</w:t>
      </w:r>
      <w:r w:rsidR="006B2346" w:rsidRPr="007B6490">
        <w:rPr>
          <w:rFonts w:asciiTheme="minorHAnsi" w:hAnsiTheme="minorHAnsi" w:cstheme="minorHAnsi"/>
        </w:rPr>
        <w:t xml:space="preserve"> </w:t>
      </w:r>
      <w:r w:rsidR="009331D4" w:rsidRPr="007B6490">
        <w:rPr>
          <w:rFonts w:asciiTheme="minorHAnsi" w:hAnsiTheme="minorHAnsi" w:cstheme="minorHAnsi"/>
        </w:rPr>
        <w:t>projektů</w:t>
      </w:r>
      <w:r w:rsidR="006B2346" w:rsidRPr="007B6490">
        <w:rPr>
          <w:rFonts w:asciiTheme="minorHAnsi" w:hAnsiTheme="minorHAnsi" w:cstheme="minorHAnsi"/>
        </w:rPr>
        <w:t xml:space="preserve"> (92 %) byla </w:t>
      </w:r>
      <w:r w:rsidR="005140B7">
        <w:rPr>
          <w:rFonts w:asciiTheme="minorHAnsi" w:hAnsiTheme="minorHAnsi" w:cstheme="minorHAnsi"/>
        </w:rPr>
        <w:t>zaměřena</w:t>
      </w:r>
      <w:r w:rsidR="009331D4" w:rsidRPr="007B6490">
        <w:rPr>
          <w:rFonts w:asciiTheme="minorHAnsi" w:hAnsiTheme="minorHAnsi" w:cstheme="minorHAnsi"/>
        </w:rPr>
        <w:t xml:space="preserve"> na </w:t>
      </w:r>
      <w:r w:rsidR="006B2346" w:rsidRPr="007B6490">
        <w:rPr>
          <w:rFonts w:asciiTheme="minorHAnsi" w:hAnsiTheme="minorHAnsi" w:cstheme="minorHAnsi"/>
        </w:rPr>
        <w:t>realizac</w:t>
      </w:r>
      <w:r w:rsidR="009331D4" w:rsidRPr="007B6490">
        <w:rPr>
          <w:rFonts w:asciiTheme="minorHAnsi" w:hAnsiTheme="minorHAnsi" w:cstheme="minorHAnsi"/>
        </w:rPr>
        <w:t>i</w:t>
      </w:r>
      <w:r w:rsidR="006B2346" w:rsidRPr="007B6490">
        <w:rPr>
          <w:rFonts w:asciiTheme="minorHAnsi" w:hAnsiTheme="minorHAnsi" w:cstheme="minorHAnsi"/>
        </w:rPr>
        <w:t xml:space="preserve"> vybraných společných zařízení</w:t>
      </w:r>
      <w:r w:rsidR="006A52AB" w:rsidRPr="007B6490">
        <w:rPr>
          <w:rFonts w:asciiTheme="minorHAnsi" w:hAnsiTheme="minorHAnsi" w:cstheme="minorHAnsi"/>
        </w:rPr>
        <w:t xml:space="preserve">, kde se jednalo o </w:t>
      </w:r>
      <w:r w:rsidR="006B2346" w:rsidRPr="007B6490">
        <w:rPr>
          <w:rFonts w:asciiTheme="minorHAnsi" w:hAnsiTheme="minorHAnsi" w:cstheme="minorHAnsi"/>
        </w:rPr>
        <w:t xml:space="preserve">finančně náročnější </w:t>
      </w:r>
      <w:r w:rsidR="00555711" w:rsidRPr="007B6490">
        <w:rPr>
          <w:rFonts w:asciiTheme="minorHAnsi" w:hAnsiTheme="minorHAnsi" w:cstheme="minorHAnsi"/>
        </w:rPr>
        <w:t>projekty</w:t>
      </w:r>
      <w:r w:rsidR="006B2346" w:rsidRPr="007B6490">
        <w:rPr>
          <w:rFonts w:asciiTheme="minorHAnsi" w:hAnsiTheme="minorHAnsi" w:cstheme="minorHAnsi"/>
        </w:rPr>
        <w:t xml:space="preserve">. Zbývajících 8 % </w:t>
      </w:r>
      <w:r w:rsidR="009331D4" w:rsidRPr="007B6490">
        <w:rPr>
          <w:rFonts w:asciiTheme="minorHAnsi" w:hAnsiTheme="minorHAnsi" w:cstheme="minorHAnsi"/>
        </w:rPr>
        <w:t xml:space="preserve">projektů </w:t>
      </w:r>
      <w:r w:rsidR="009A7CF9" w:rsidRPr="007B6490">
        <w:rPr>
          <w:rFonts w:asciiTheme="minorHAnsi" w:hAnsiTheme="minorHAnsi" w:cstheme="minorHAnsi"/>
        </w:rPr>
        <w:t xml:space="preserve">se vztahovalo </w:t>
      </w:r>
      <w:r w:rsidR="00973413" w:rsidRPr="007B6490">
        <w:rPr>
          <w:rFonts w:asciiTheme="minorHAnsi" w:hAnsiTheme="minorHAnsi" w:cstheme="minorHAnsi"/>
        </w:rPr>
        <w:t xml:space="preserve">k finančně </w:t>
      </w:r>
      <w:r w:rsidR="009A7CF9" w:rsidRPr="007B6490">
        <w:rPr>
          <w:rFonts w:asciiTheme="minorHAnsi" w:hAnsiTheme="minorHAnsi" w:cstheme="minorHAnsi"/>
        </w:rPr>
        <w:t>méně náročn</w:t>
      </w:r>
      <w:r w:rsidR="00973413" w:rsidRPr="007B6490">
        <w:rPr>
          <w:rFonts w:asciiTheme="minorHAnsi" w:hAnsiTheme="minorHAnsi" w:cstheme="minorHAnsi"/>
        </w:rPr>
        <w:t>ým projektům</w:t>
      </w:r>
      <w:r w:rsidR="009A7CF9" w:rsidRPr="007B6490">
        <w:rPr>
          <w:rFonts w:asciiTheme="minorHAnsi" w:hAnsiTheme="minorHAnsi" w:cstheme="minorHAnsi"/>
        </w:rPr>
        <w:t xml:space="preserve"> (</w:t>
      </w:r>
      <w:r w:rsidR="006B2346" w:rsidRPr="007B6490">
        <w:rPr>
          <w:rFonts w:asciiTheme="minorHAnsi" w:hAnsiTheme="minorHAnsi" w:cstheme="minorHAnsi"/>
        </w:rPr>
        <w:t>doplnění a vybudování podrobného polohového bodového pole, zaměření skutečného stavu, geometrick</w:t>
      </w:r>
      <w:r w:rsidR="009A7CF9" w:rsidRPr="007B6490">
        <w:rPr>
          <w:rFonts w:asciiTheme="minorHAnsi" w:hAnsiTheme="minorHAnsi" w:cstheme="minorHAnsi"/>
        </w:rPr>
        <w:t>é</w:t>
      </w:r>
      <w:r w:rsidR="006B2346" w:rsidRPr="007B6490">
        <w:rPr>
          <w:rFonts w:asciiTheme="minorHAnsi" w:hAnsiTheme="minorHAnsi" w:cstheme="minorHAnsi"/>
        </w:rPr>
        <w:t xml:space="preserve"> a polohov</w:t>
      </w:r>
      <w:r w:rsidR="009A7CF9" w:rsidRPr="007B6490">
        <w:rPr>
          <w:rFonts w:asciiTheme="minorHAnsi" w:hAnsiTheme="minorHAnsi" w:cstheme="minorHAnsi"/>
        </w:rPr>
        <w:t>é</w:t>
      </w:r>
      <w:r w:rsidR="006B2346" w:rsidRPr="007B6490">
        <w:rPr>
          <w:rFonts w:asciiTheme="minorHAnsi" w:hAnsiTheme="minorHAnsi" w:cstheme="minorHAnsi"/>
        </w:rPr>
        <w:t xml:space="preserve"> určení obv</w:t>
      </w:r>
      <w:r w:rsidR="009A7CF9" w:rsidRPr="007B6490">
        <w:rPr>
          <w:rFonts w:asciiTheme="minorHAnsi" w:hAnsiTheme="minorHAnsi" w:cstheme="minorHAnsi"/>
        </w:rPr>
        <w:t xml:space="preserve">odu pozemkových úprav, vytyčení </w:t>
      </w:r>
      <w:r w:rsidR="006B2346" w:rsidRPr="007B6490">
        <w:rPr>
          <w:rFonts w:asciiTheme="minorHAnsi" w:hAnsiTheme="minorHAnsi" w:cstheme="minorHAnsi"/>
        </w:rPr>
        <w:t>a zaměření lomových bodů hranic pozemků</w:t>
      </w:r>
      <w:r w:rsidR="00973413" w:rsidRPr="007B6490">
        <w:rPr>
          <w:rFonts w:asciiTheme="minorHAnsi" w:hAnsiTheme="minorHAnsi" w:cstheme="minorHAnsi"/>
        </w:rPr>
        <w:t>,</w:t>
      </w:r>
      <w:r w:rsidR="006B2346" w:rsidRPr="007B6490">
        <w:rPr>
          <w:rFonts w:asciiTheme="minorHAnsi" w:hAnsiTheme="minorHAnsi" w:cstheme="minorHAnsi"/>
        </w:rPr>
        <w:t xml:space="preserve"> vypracování geometrických plánů</w:t>
      </w:r>
      <w:r w:rsidR="009A7CF9" w:rsidRPr="007B6490">
        <w:rPr>
          <w:rFonts w:asciiTheme="minorHAnsi" w:hAnsiTheme="minorHAnsi" w:cstheme="minorHAnsi"/>
        </w:rPr>
        <w:t>)</w:t>
      </w:r>
      <w:r w:rsidR="00051943" w:rsidRPr="007B6490">
        <w:rPr>
          <w:rFonts w:asciiTheme="minorHAnsi" w:hAnsiTheme="minorHAnsi" w:cstheme="minorHAnsi"/>
        </w:rPr>
        <w:t xml:space="preserve">. </w:t>
      </w:r>
      <w:r w:rsidR="009A7CF9" w:rsidRPr="007B6490">
        <w:rPr>
          <w:rFonts w:asciiTheme="minorHAnsi" w:hAnsiTheme="minorHAnsi" w:cstheme="minorHAnsi"/>
          <w:spacing w:val="-4"/>
        </w:rPr>
        <w:t xml:space="preserve">Absolutní hodnota ukazatele </w:t>
      </w:r>
      <w:r w:rsidR="005140B7">
        <w:rPr>
          <w:rFonts w:asciiTheme="minorHAnsi" w:hAnsiTheme="minorHAnsi" w:cstheme="minorHAnsi"/>
          <w:spacing w:val="-4"/>
        </w:rPr>
        <w:t>„</w:t>
      </w:r>
      <w:r w:rsidR="005140B7" w:rsidRPr="009C53F8">
        <w:rPr>
          <w:rFonts w:asciiTheme="minorHAnsi" w:hAnsiTheme="minorHAnsi" w:cstheme="minorHAnsi"/>
          <w:i/>
          <w:spacing w:val="-4"/>
        </w:rPr>
        <w:t>p</w:t>
      </w:r>
      <w:r w:rsidR="009A7CF9" w:rsidRPr="009C53F8">
        <w:rPr>
          <w:rFonts w:asciiTheme="minorHAnsi" w:hAnsiTheme="minorHAnsi" w:cstheme="minorHAnsi"/>
          <w:i/>
          <w:spacing w:val="-4"/>
        </w:rPr>
        <w:t>očet podporovaných projektů</w:t>
      </w:r>
      <w:r w:rsidR="005140B7">
        <w:rPr>
          <w:rFonts w:asciiTheme="minorHAnsi" w:hAnsiTheme="minorHAnsi" w:cstheme="minorHAnsi"/>
          <w:spacing w:val="-4"/>
        </w:rPr>
        <w:t>“</w:t>
      </w:r>
      <w:r w:rsidR="009A7CF9" w:rsidRPr="007B6490">
        <w:rPr>
          <w:rFonts w:asciiTheme="minorHAnsi" w:hAnsiTheme="minorHAnsi" w:cstheme="minorHAnsi"/>
          <w:spacing w:val="-4"/>
        </w:rPr>
        <w:t xml:space="preserve"> nezobrazuje rozdílnou náročnost jednotlivých projektů a </w:t>
      </w:r>
      <w:r w:rsidR="006B2346" w:rsidRPr="007B6490">
        <w:rPr>
          <w:rFonts w:asciiTheme="minorHAnsi" w:hAnsiTheme="minorHAnsi" w:cstheme="minorHAnsi"/>
          <w:spacing w:val="-4"/>
        </w:rPr>
        <w:t xml:space="preserve">nemá potřebnou vypovídací </w:t>
      </w:r>
      <w:r w:rsidR="005140B7">
        <w:rPr>
          <w:rFonts w:asciiTheme="minorHAnsi" w:hAnsiTheme="minorHAnsi" w:cstheme="minorHAnsi"/>
          <w:spacing w:val="-4"/>
        </w:rPr>
        <w:t>schopnost</w:t>
      </w:r>
      <w:r w:rsidR="006B2346" w:rsidRPr="007B6490">
        <w:rPr>
          <w:rFonts w:asciiTheme="minorHAnsi" w:hAnsiTheme="minorHAnsi" w:cstheme="minorHAnsi"/>
          <w:spacing w:val="-4"/>
        </w:rPr>
        <w:t xml:space="preserve"> ve v</w:t>
      </w:r>
      <w:r w:rsidR="009A7CF9" w:rsidRPr="007B6490">
        <w:rPr>
          <w:rFonts w:asciiTheme="minorHAnsi" w:hAnsiTheme="minorHAnsi" w:cstheme="minorHAnsi"/>
          <w:spacing w:val="-4"/>
        </w:rPr>
        <w:t>ztahu k</w:t>
      </w:r>
      <w:r w:rsidR="00AB5D90" w:rsidRPr="007B6490">
        <w:rPr>
          <w:rFonts w:asciiTheme="minorHAnsi" w:hAnsiTheme="minorHAnsi" w:cstheme="minorHAnsi"/>
          <w:spacing w:val="-4"/>
        </w:rPr>
        <w:t> </w:t>
      </w:r>
      <w:r w:rsidR="009A7CF9" w:rsidRPr="007B6490">
        <w:rPr>
          <w:rFonts w:asciiTheme="minorHAnsi" w:hAnsiTheme="minorHAnsi" w:cstheme="minorHAnsi"/>
          <w:spacing w:val="-4"/>
        </w:rPr>
        <w:t>hodnocení dosažení cílů</w:t>
      </w:r>
      <w:r w:rsidR="005140B7">
        <w:rPr>
          <w:rFonts w:asciiTheme="minorHAnsi" w:hAnsiTheme="minorHAnsi" w:cstheme="minorHAnsi"/>
          <w:spacing w:val="-4"/>
        </w:rPr>
        <w:t xml:space="preserve"> PRV</w:t>
      </w:r>
      <w:r w:rsidR="009A7CF9" w:rsidRPr="007B6490">
        <w:rPr>
          <w:rFonts w:asciiTheme="minorHAnsi" w:hAnsiTheme="minorHAnsi" w:cstheme="minorHAnsi"/>
          <w:spacing w:val="-4"/>
        </w:rPr>
        <w:t xml:space="preserve">. </w:t>
      </w:r>
    </w:p>
    <w:p w:rsidR="00105E17" w:rsidRPr="007B6490" w:rsidRDefault="00105E17" w:rsidP="007B6490">
      <w:pPr>
        <w:jc w:val="both"/>
        <w:rPr>
          <w:rFonts w:asciiTheme="minorHAnsi" w:hAnsiTheme="minorHAnsi" w:cstheme="minorHAnsi"/>
          <w:spacing w:val="-4"/>
        </w:rPr>
      </w:pPr>
    </w:p>
    <w:p w:rsidR="008A168D" w:rsidRPr="007B6490" w:rsidRDefault="006C0BC4" w:rsidP="00105E17">
      <w:pPr>
        <w:pStyle w:val="Odstavecseseznamem"/>
        <w:keepNext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7B6490">
        <w:rPr>
          <w:rFonts w:cstheme="minorHAnsi"/>
          <w:b/>
          <w:sz w:val="24"/>
          <w:szCs w:val="24"/>
        </w:rPr>
        <w:t>U</w:t>
      </w:r>
      <w:r w:rsidR="00CF4FAE" w:rsidRPr="007B6490">
        <w:rPr>
          <w:rFonts w:cstheme="minorHAnsi"/>
          <w:b/>
          <w:sz w:val="24"/>
          <w:szCs w:val="24"/>
        </w:rPr>
        <w:t xml:space="preserve">kazatel </w:t>
      </w:r>
      <w:r w:rsidR="005140B7">
        <w:rPr>
          <w:rFonts w:cstheme="minorHAnsi"/>
          <w:b/>
          <w:sz w:val="24"/>
          <w:szCs w:val="24"/>
        </w:rPr>
        <w:t>„</w:t>
      </w:r>
      <w:r w:rsidR="005140B7" w:rsidRPr="009C53F8">
        <w:rPr>
          <w:rFonts w:cstheme="minorHAnsi"/>
          <w:b/>
          <w:i/>
          <w:sz w:val="24"/>
          <w:szCs w:val="24"/>
        </w:rPr>
        <w:t>c</w:t>
      </w:r>
      <w:r w:rsidRPr="009C53F8">
        <w:rPr>
          <w:rFonts w:cstheme="minorHAnsi"/>
          <w:b/>
          <w:i/>
          <w:sz w:val="24"/>
          <w:szCs w:val="24"/>
        </w:rPr>
        <w:t>elkový objem investic</w:t>
      </w:r>
      <w:r w:rsidR="005140B7">
        <w:rPr>
          <w:rFonts w:cstheme="minorHAnsi"/>
          <w:b/>
          <w:sz w:val="24"/>
          <w:szCs w:val="24"/>
        </w:rPr>
        <w:t>“</w:t>
      </w:r>
      <w:r w:rsidRPr="007B6490">
        <w:rPr>
          <w:rFonts w:cstheme="minorHAnsi"/>
          <w:b/>
          <w:sz w:val="24"/>
          <w:szCs w:val="24"/>
        </w:rPr>
        <w:t xml:space="preserve"> </w:t>
      </w:r>
    </w:p>
    <w:p w:rsidR="000A49C3" w:rsidRDefault="000A49C3" w:rsidP="003E5DC7">
      <w:pPr>
        <w:keepNext/>
        <w:jc w:val="both"/>
        <w:rPr>
          <w:rFonts w:asciiTheme="minorHAnsi" w:hAnsiTheme="minorHAnsi" w:cstheme="minorHAnsi"/>
          <w:b/>
        </w:rPr>
      </w:pPr>
      <w:r w:rsidRPr="000A49C3">
        <w:rPr>
          <w:rFonts w:asciiTheme="minorHAnsi" w:hAnsiTheme="minorHAnsi" w:cstheme="minorHAnsi"/>
          <w:b/>
        </w:rPr>
        <w:t>Tento ukazatel nebyl k 31. 12. 2014 splněn, ale peněžní prostředky lze v rámci PRV čerpat podle</w:t>
      </w:r>
      <w:r w:rsidR="005140B7">
        <w:rPr>
          <w:rFonts w:asciiTheme="minorHAnsi" w:hAnsiTheme="minorHAnsi" w:cstheme="minorHAnsi"/>
          <w:b/>
        </w:rPr>
        <w:t xml:space="preserve"> </w:t>
      </w:r>
      <w:r w:rsidRPr="000A49C3">
        <w:rPr>
          <w:rFonts w:asciiTheme="minorHAnsi" w:hAnsiTheme="minorHAnsi" w:cstheme="minorHAnsi"/>
          <w:b/>
        </w:rPr>
        <w:t>pravidla n+2 i v roce 2015.</w:t>
      </w:r>
    </w:p>
    <w:p w:rsidR="00105E17" w:rsidRPr="000A49C3" w:rsidRDefault="00105E17" w:rsidP="00105E17">
      <w:pPr>
        <w:jc w:val="both"/>
        <w:rPr>
          <w:rFonts w:asciiTheme="minorHAnsi" w:hAnsiTheme="minorHAnsi" w:cstheme="minorHAnsi"/>
          <w:b/>
        </w:rPr>
      </w:pPr>
    </w:p>
    <w:p w:rsidR="00EE0A68" w:rsidRDefault="00EE0A68" w:rsidP="00656018">
      <w:pPr>
        <w:jc w:val="both"/>
        <w:rPr>
          <w:rFonts w:asciiTheme="minorHAnsi" w:hAnsiTheme="minorHAnsi" w:cstheme="minorHAnsi"/>
          <w:spacing w:val="-4"/>
        </w:rPr>
      </w:pPr>
      <w:r w:rsidRPr="000A49C3">
        <w:rPr>
          <w:rFonts w:asciiTheme="minorHAnsi" w:hAnsiTheme="minorHAnsi" w:cstheme="minorHAnsi"/>
          <w:spacing w:val="-4"/>
        </w:rPr>
        <w:t xml:space="preserve">Ukazatel </w:t>
      </w:r>
      <w:r w:rsidR="005140B7">
        <w:rPr>
          <w:rFonts w:asciiTheme="minorHAnsi" w:hAnsiTheme="minorHAnsi" w:cstheme="minorHAnsi"/>
          <w:spacing w:val="-4"/>
        </w:rPr>
        <w:t>„</w:t>
      </w:r>
      <w:r w:rsidR="005140B7" w:rsidRPr="009C53F8">
        <w:rPr>
          <w:rFonts w:asciiTheme="minorHAnsi" w:hAnsiTheme="minorHAnsi" w:cstheme="minorHAnsi"/>
          <w:i/>
          <w:spacing w:val="-4"/>
        </w:rPr>
        <w:t>c</w:t>
      </w:r>
      <w:r w:rsidRPr="009C53F8">
        <w:rPr>
          <w:rFonts w:asciiTheme="minorHAnsi" w:hAnsiTheme="minorHAnsi" w:cstheme="minorHAnsi"/>
          <w:i/>
          <w:spacing w:val="-4"/>
        </w:rPr>
        <w:t>elkový objem investic</w:t>
      </w:r>
      <w:r w:rsidR="005140B7">
        <w:rPr>
          <w:rFonts w:asciiTheme="minorHAnsi" w:hAnsiTheme="minorHAnsi" w:cstheme="minorHAnsi"/>
          <w:spacing w:val="-4"/>
        </w:rPr>
        <w:t>“</w:t>
      </w:r>
      <w:r w:rsidRPr="000A49C3">
        <w:rPr>
          <w:rFonts w:asciiTheme="minorHAnsi" w:hAnsiTheme="minorHAnsi" w:cstheme="minorHAnsi"/>
          <w:spacing w:val="-4"/>
        </w:rPr>
        <w:t xml:space="preserve"> </w:t>
      </w:r>
      <w:r w:rsidR="00B2200A" w:rsidRPr="000A49C3">
        <w:rPr>
          <w:rFonts w:asciiTheme="minorHAnsi" w:hAnsiTheme="minorHAnsi" w:cstheme="minorHAnsi"/>
          <w:spacing w:val="-4"/>
        </w:rPr>
        <w:t xml:space="preserve">ve výši 194 329 tis. </w:t>
      </w:r>
      <w:r w:rsidR="005140B7">
        <w:rPr>
          <w:rFonts w:asciiTheme="minorHAnsi" w:hAnsiTheme="minorHAnsi" w:cstheme="minorHAnsi"/>
          <w:spacing w:val="-4"/>
        </w:rPr>
        <w:t>€</w:t>
      </w:r>
      <w:r w:rsidR="00B2200A" w:rsidRPr="000A49C3">
        <w:rPr>
          <w:rFonts w:asciiTheme="minorHAnsi" w:hAnsiTheme="minorHAnsi" w:cstheme="minorHAnsi"/>
          <w:spacing w:val="-4"/>
        </w:rPr>
        <w:t xml:space="preserve"> </w:t>
      </w:r>
      <w:r w:rsidRPr="000A49C3">
        <w:rPr>
          <w:rFonts w:asciiTheme="minorHAnsi" w:hAnsiTheme="minorHAnsi" w:cstheme="minorHAnsi"/>
          <w:spacing w:val="-4"/>
        </w:rPr>
        <w:t xml:space="preserve">byl na základě návrhu </w:t>
      </w:r>
      <w:r w:rsidR="005140B7">
        <w:rPr>
          <w:rFonts w:asciiTheme="minorHAnsi" w:hAnsiTheme="minorHAnsi" w:cstheme="minorHAnsi"/>
          <w:spacing w:val="-4"/>
        </w:rPr>
        <w:t>m</w:t>
      </w:r>
      <w:r w:rsidRPr="000A49C3">
        <w:rPr>
          <w:rFonts w:asciiTheme="minorHAnsi" w:hAnsiTheme="minorHAnsi" w:cstheme="minorHAnsi"/>
          <w:spacing w:val="-4"/>
        </w:rPr>
        <w:t>onitorovacího výboru PRV a</w:t>
      </w:r>
      <w:r w:rsidR="005140B7">
        <w:rPr>
          <w:rFonts w:asciiTheme="minorHAnsi" w:hAnsiTheme="minorHAnsi" w:cstheme="minorHAnsi"/>
          <w:spacing w:val="-4"/>
        </w:rPr>
        <w:t xml:space="preserve"> po </w:t>
      </w:r>
      <w:r w:rsidRPr="000A49C3">
        <w:rPr>
          <w:rFonts w:asciiTheme="minorHAnsi" w:hAnsiTheme="minorHAnsi" w:cstheme="minorHAnsi"/>
          <w:spacing w:val="-4"/>
        </w:rPr>
        <w:t xml:space="preserve">schválení Evropskou komisí snížen na 159 033 tis. </w:t>
      </w:r>
      <w:r w:rsidR="005140B7">
        <w:rPr>
          <w:rFonts w:asciiTheme="minorHAnsi" w:hAnsiTheme="minorHAnsi" w:cstheme="minorHAnsi"/>
          <w:spacing w:val="-4"/>
        </w:rPr>
        <w:t>€</w:t>
      </w:r>
      <w:r w:rsidRPr="000A49C3">
        <w:rPr>
          <w:rFonts w:asciiTheme="minorHAnsi" w:hAnsiTheme="minorHAnsi" w:cstheme="minorHAnsi"/>
          <w:spacing w:val="-4"/>
        </w:rPr>
        <w:t>. Kontrolou NKÚ bylo ověřeno, že výdaje na pozemkové ú</w:t>
      </w:r>
      <w:r w:rsidR="008F7CC1">
        <w:rPr>
          <w:rFonts w:asciiTheme="minorHAnsi" w:hAnsiTheme="minorHAnsi" w:cstheme="minorHAnsi"/>
          <w:spacing w:val="-4"/>
        </w:rPr>
        <w:t xml:space="preserve">pravy byly čerpány nerovnoměrně a </w:t>
      </w:r>
      <w:r w:rsidR="008F7CC1" w:rsidRPr="008F7CC1">
        <w:rPr>
          <w:rFonts w:asciiTheme="minorHAnsi" w:hAnsiTheme="minorHAnsi" w:cstheme="minorHAnsi"/>
          <w:spacing w:val="-4"/>
        </w:rPr>
        <w:t>u</w:t>
      </w:r>
      <w:r w:rsidRPr="008F7CC1">
        <w:rPr>
          <w:rFonts w:asciiTheme="minorHAnsi" w:hAnsiTheme="minorHAnsi" w:cstheme="minorHAnsi"/>
          <w:spacing w:val="-4"/>
        </w:rPr>
        <w:t>kazatel „</w:t>
      </w:r>
      <w:r w:rsidR="005140B7" w:rsidRPr="009C53F8">
        <w:rPr>
          <w:rFonts w:asciiTheme="minorHAnsi" w:hAnsiTheme="minorHAnsi" w:cstheme="minorHAnsi"/>
          <w:i/>
          <w:spacing w:val="-4"/>
        </w:rPr>
        <w:t>c</w:t>
      </w:r>
      <w:r w:rsidRPr="009C53F8">
        <w:rPr>
          <w:rFonts w:asciiTheme="minorHAnsi" w:hAnsiTheme="minorHAnsi" w:cstheme="minorHAnsi"/>
          <w:i/>
          <w:spacing w:val="-4"/>
        </w:rPr>
        <w:t>elkový objem investic</w:t>
      </w:r>
      <w:r w:rsidRPr="008F7CC1">
        <w:rPr>
          <w:rFonts w:asciiTheme="minorHAnsi" w:hAnsiTheme="minorHAnsi" w:cstheme="minorHAnsi"/>
          <w:spacing w:val="-4"/>
        </w:rPr>
        <w:t>“ nebyl k 31. 12. 2014 splněn</w:t>
      </w:r>
      <w:r w:rsidR="008F7CC1" w:rsidRPr="008F7CC1">
        <w:rPr>
          <w:rFonts w:asciiTheme="minorHAnsi" w:hAnsiTheme="minorHAnsi" w:cstheme="minorHAnsi"/>
          <w:spacing w:val="-4"/>
        </w:rPr>
        <w:t>.</w:t>
      </w:r>
      <w:r w:rsidRPr="008F7CC1">
        <w:rPr>
          <w:rFonts w:asciiTheme="minorHAnsi" w:hAnsiTheme="minorHAnsi" w:cstheme="minorHAnsi"/>
          <w:spacing w:val="-4"/>
        </w:rPr>
        <w:t xml:space="preserve"> </w:t>
      </w:r>
      <w:r w:rsidR="008F7CC1" w:rsidRPr="008F7CC1">
        <w:rPr>
          <w:rFonts w:asciiTheme="minorHAnsi" w:hAnsiTheme="minorHAnsi" w:cstheme="minorHAnsi"/>
          <w:spacing w:val="-4"/>
        </w:rPr>
        <w:t>Přesná výše skutečného plnění ukazatele bude známa až po ukončení realiza</w:t>
      </w:r>
      <w:r w:rsidR="008F7CC1">
        <w:rPr>
          <w:rFonts w:asciiTheme="minorHAnsi" w:hAnsiTheme="minorHAnsi" w:cstheme="minorHAnsi"/>
          <w:spacing w:val="-4"/>
        </w:rPr>
        <w:t xml:space="preserve">ce všech projektů, tj. </w:t>
      </w:r>
      <w:r w:rsidR="008F7CC1" w:rsidRPr="008F7CC1">
        <w:rPr>
          <w:rFonts w:asciiTheme="minorHAnsi" w:hAnsiTheme="minorHAnsi" w:cstheme="minorHAnsi"/>
          <w:spacing w:val="-4"/>
        </w:rPr>
        <w:t>po 30. 6. 2015.</w:t>
      </w:r>
      <w:r w:rsidR="008F7CC1" w:rsidRPr="007B6490">
        <w:rPr>
          <w:rFonts w:asciiTheme="minorHAnsi" w:hAnsiTheme="minorHAnsi" w:cstheme="minorHAnsi"/>
          <w:spacing w:val="-4"/>
        </w:rPr>
        <w:t xml:space="preserve"> </w:t>
      </w:r>
    </w:p>
    <w:p w:rsidR="00105E17" w:rsidRPr="007B6490" w:rsidRDefault="00105E17" w:rsidP="00656018">
      <w:pPr>
        <w:jc w:val="both"/>
        <w:rPr>
          <w:rFonts w:asciiTheme="minorHAnsi" w:hAnsiTheme="minorHAnsi" w:cstheme="minorHAnsi"/>
          <w:spacing w:val="-4"/>
        </w:rPr>
      </w:pPr>
    </w:p>
    <w:p w:rsidR="008A168D" w:rsidRPr="007B6490" w:rsidRDefault="006C0BC4" w:rsidP="00105E17">
      <w:pPr>
        <w:pStyle w:val="Odstavecseseznamem"/>
        <w:keepNext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7B6490">
        <w:rPr>
          <w:rFonts w:cstheme="minorHAnsi"/>
          <w:b/>
          <w:sz w:val="24"/>
          <w:szCs w:val="24"/>
        </w:rPr>
        <w:t>U</w:t>
      </w:r>
      <w:r w:rsidR="00623A91" w:rsidRPr="007B6490">
        <w:rPr>
          <w:rFonts w:cstheme="minorHAnsi"/>
          <w:b/>
          <w:sz w:val="24"/>
          <w:szCs w:val="24"/>
        </w:rPr>
        <w:t xml:space="preserve">kazatel </w:t>
      </w:r>
      <w:r w:rsidR="005140B7">
        <w:rPr>
          <w:rFonts w:cstheme="minorHAnsi"/>
          <w:b/>
          <w:sz w:val="24"/>
          <w:szCs w:val="24"/>
        </w:rPr>
        <w:t>„</w:t>
      </w:r>
      <w:r w:rsidR="005140B7" w:rsidRPr="009C53F8">
        <w:rPr>
          <w:rFonts w:cstheme="minorHAnsi"/>
          <w:b/>
          <w:i/>
          <w:sz w:val="24"/>
          <w:szCs w:val="24"/>
        </w:rPr>
        <w:t>n</w:t>
      </w:r>
      <w:r w:rsidRPr="009C53F8">
        <w:rPr>
          <w:rFonts w:cstheme="minorHAnsi"/>
          <w:b/>
          <w:i/>
          <w:sz w:val="24"/>
          <w:szCs w:val="24"/>
        </w:rPr>
        <w:t xml:space="preserve">árůst plochy s realizovanými pozemkovými </w:t>
      </w:r>
      <w:r w:rsidR="009F538D" w:rsidRPr="009C53F8">
        <w:rPr>
          <w:rFonts w:cstheme="minorHAnsi"/>
          <w:b/>
          <w:i/>
          <w:sz w:val="24"/>
          <w:szCs w:val="24"/>
        </w:rPr>
        <w:t>úpravami</w:t>
      </w:r>
      <w:r w:rsidR="005140B7">
        <w:rPr>
          <w:rFonts w:cstheme="minorHAnsi"/>
          <w:b/>
          <w:sz w:val="24"/>
          <w:szCs w:val="24"/>
        </w:rPr>
        <w:t>“</w:t>
      </w:r>
      <w:r w:rsidR="009F538D" w:rsidRPr="007B6490">
        <w:rPr>
          <w:rFonts w:cstheme="minorHAnsi"/>
          <w:b/>
          <w:sz w:val="24"/>
          <w:szCs w:val="24"/>
        </w:rPr>
        <w:t xml:space="preserve"> </w:t>
      </w:r>
    </w:p>
    <w:p w:rsidR="003D0CD1" w:rsidRDefault="008A168D" w:rsidP="00105E17">
      <w:pPr>
        <w:keepNext/>
        <w:jc w:val="both"/>
        <w:rPr>
          <w:rFonts w:asciiTheme="minorHAnsi" w:hAnsiTheme="minorHAnsi" w:cstheme="minorHAnsi"/>
          <w:b/>
          <w:spacing w:val="-4"/>
        </w:rPr>
      </w:pPr>
      <w:r w:rsidRPr="007B6490">
        <w:rPr>
          <w:rFonts w:asciiTheme="minorHAnsi" w:hAnsiTheme="minorHAnsi" w:cstheme="minorHAnsi"/>
          <w:b/>
          <w:spacing w:val="-4"/>
        </w:rPr>
        <w:t xml:space="preserve">Ukazatel </w:t>
      </w:r>
      <w:r w:rsidR="009F538D" w:rsidRPr="007B6490">
        <w:rPr>
          <w:rFonts w:asciiTheme="minorHAnsi" w:hAnsiTheme="minorHAnsi" w:cstheme="minorHAnsi"/>
          <w:b/>
          <w:spacing w:val="-4"/>
        </w:rPr>
        <w:t>byl</w:t>
      </w:r>
      <w:r w:rsidR="001152CC" w:rsidRPr="007B6490">
        <w:rPr>
          <w:rFonts w:asciiTheme="minorHAnsi" w:hAnsiTheme="minorHAnsi" w:cstheme="minorHAnsi"/>
          <w:b/>
        </w:rPr>
        <w:t xml:space="preserve"> </w:t>
      </w:r>
      <w:r w:rsidR="00104DC8" w:rsidRPr="007B6490">
        <w:rPr>
          <w:rFonts w:asciiTheme="minorHAnsi" w:hAnsiTheme="minorHAnsi" w:cstheme="minorHAnsi"/>
          <w:b/>
        </w:rPr>
        <w:t>k</w:t>
      </w:r>
      <w:r w:rsidR="00104DC8" w:rsidRPr="007B6490">
        <w:rPr>
          <w:rFonts w:asciiTheme="minorHAnsi" w:hAnsiTheme="minorHAnsi" w:cstheme="minorHAnsi"/>
          <w:b/>
          <w:spacing w:val="-4"/>
        </w:rPr>
        <w:t> 31.</w:t>
      </w:r>
      <w:r w:rsidRPr="007B6490">
        <w:rPr>
          <w:rFonts w:asciiTheme="minorHAnsi" w:hAnsiTheme="minorHAnsi" w:cstheme="minorHAnsi"/>
          <w:b/>
          <w:spacing w:val="-4"/>
        </w:rPr>
        <w:t> </w:t>
      </w:r>
      <w:r w:rsidR="00104DC8" w:rsidRPr="007B6490">
        <w:rPr>
          <w:rFonts w:asciiTheme="minorHAnsi" w:hAnsiTheme="minorHAnsi" w:cstheme="minorHAnsi"/>
          <w:b/>
          <w:spacing w:val="-4"/>
        </w:rPr>
        <w:t>12.</w:t>
      </w:r>
      <w:r w:rsidRPr="007B6490">
        <w:rPr>
          <w:rFonts w:asciiTheme="minorHAnsi" w:hAnsiTheme="minorHAnsi" w:cstheme="minorHAnsi"/>
          <w:b/>
          <w:spacing w:val="-4"/>
        </w:rPr>
        <w:t> </w:t>
      </w:r>
      <w:r w:rsidR="00104DC8" w:rsidRPr="007B6490">
        <w:rPr>
          <w:rFonts w:asciiTheme="minorHAnsi" w:hAnsiTheme="minorHAnsi" w:cstheme="minorHAnsi"/>
          <w:b/>
          <w:spacing w:val="-4"/>
        </w:rPr>
        <w:t>2014 splněn</w:t>
      </w:r>
      <w:r w:rsidR="000A14AA" w:rsidRPr="007B6490">
        <w:rPr>
          <w:rFonts w:asciiTheme="minorHAnsi" w:hAnsiTheme="minorHAnsi" w:cstheme="minorHAnsi"/>
          <w:b/>
          <w:spacing w:val="-4"/>
        </w:rPr>
        <w:t xml:space="preserve">, </w:t>
      </w:r>
      <w:r w:rsidR="005140B7">
        <w:rPr>
          <w:rFonts w:asciiTheme="minorHAnsi" w:hAnsiTheme="minorHAnsi" w:cstheme="minorHAnsi"/>
          <w:b/>
          <w:spacing w:val="-4"/>
        </w:rPr>
        <w:t xml:space="preserve">avšak nastaven byl zavádějícím způsobem, neboť </w:t>
      </w:r>
      <w:r w:rsidR="005140B7" w:rsidRPr="007B6490">
        <w:rPr>
          <w:rFonts w:asciiTheme="minorHAnsi" w:hAnsiTheme="minorHAnsi" w:cstheme="minorHAnsi"/>
          <w:b/>
          <w:spacing w:val="-4"/>
        </w:rPr>
        <w:t xml:space="preserve">nevyjadřuje </w:t>
      </w:r>
      <w:r w:rsidR="005140B7">
        <w:rPr>
          <w:rFonts w:asciiTheme="minorHAnsi" w:hAnsiTheme="minorHAnsi" w:cstheme="minorHAnsi"/>
          <w:b/>
          <w:spacing w:val="-4"/>
        </w:rPr>
        <w:t xml:space="preserve">výměru </w:t>
      </w:r>
      <w:r w:rsidR="005140B7" w:rsidRPr="007B6490">
        <w:rPr>
          <w:rFonts w:asciiTheme="minorHAnsi" w:hAnsiTheme="minorHAnsi" w:cstheme="minorHAnsi"/>
          <w:b/>
          <w:spacing w:val="-4"/>
        </w:rPr>
        <w:t>ploch</w:t>
      </w:r>
      <w:r w:rsidR="005140B7">
        <w:rPr>
          <w:rFonts w:asciiTheme="minorHAnsi" w:hAnsiTheme="minorHAnsi" w:cstheme="minorHAnsi"/>
          <w:b/>
          <w:spacing w:val="-4"/>
        </w:rPr>
        <w:t>, na nichž byla realizována společná zařízení,</w:t>
      </w:r>
      <w:r w:rsidR="005140B7" w:rsidRPr="007B6490">
        <w:rPr>
          <w:rFonts w:asciiTheme="minorHAnsi" w:hAnsiTheme="minorHAnsi" w:cstheme="minorHAnsi"/>
          <w:b/>
          <w:spacing w:val="-4"/>
        </w:rPr>
        <w:t xml:space="preserve"> </w:t>
      </w:r>
      <w:r w:rsidR="005140B7">
        <w:rPr>
          <w:rFonts w:asciiTheme="minorHAnsi" w:hAnsiTheme="minorHAnsi" w:cstheme="minorHAnsi"/>
          <w:b/>
          <w:spacing w:val="-4"/>
        </w:rPr>
        <w:t xml:space="preserve">ale pouze plochu </w:t>
      </w:r>
      <w:proofErr w:type="gramStart"/>
      <w:r w:rsidR="005140B7">
        <w:rPr>
          <w:rFonts w:asciiTheme="minorHAnsi" w:hAnsiTheme="minorHAnsi" w:cstheme="minorHAnsi"/>
          <w:b/>
          <w:spacing w:val="-4"/>
        </w:rPr>
        <w:lastRenderedPageBreak/>
        <w:t>dotčenou</w:t>
      </w:r>
      <w:proofErr w:type="gramEnd"/>
      <w:r w:rsidR="005140B7">
        <w:rPr>
          <w:rFonts w:asciiTheme="minorHAnsi" w:hAnsiTheme="minorHAnsi" w:cstheme="minorHAnsi"/>
          <w:b/>
          <w:spacing w:val="-4"/>
        </w:rPr>
        <w:t xml:space="preserve"> pozemkovými úpravami ve fázi vydání pravomocného </w:t>
      </w:r>
      <w:r w:rsidR="005140B7" w:rsidRPr="007B6490">
        <w:rPr>
          <w:rFonts w:asciiTheme="minorHAnsi" w:hAnsiTheme="minorHAnsi" w:cstheme="minorHAnsi"/>
          <w:b/>
          <w:spacing w:val="-4"/>
        </w:rPr>
        <w:t>rozhodnutí o výměně nebo přechodu vlastnických práv.</w:t>
      </w:r>
      <w:r w:rsidR="005140B7">
        <w:rPr>
          <w:rFonts w:asciiTheme="minorHAnsi" w:hAnsiTheme="minorHAnsi" w:cstheme="minorHAnsi"/>
          <w:b/>
          <w:spacing w:val="-4"/>
        </w:rPr>
        <w:t xml:space="preserve"> </w:t>
      </w:r>
    </w:p>
    <w:p w:rsidR="004F25EB" w:rsidRDefault="004F25EB" w:rsidP="004F25EB">
      <w:pPr>
        <w:shd w:val="clear" w:color="auto" w:fill="FFFFFF"/>
        <w:jc w:val="both"/>
        <w:rPr>
          <w:rFonts w:asciiTheme="minorHAnsi" w:hAnsiTheme="minorHAnsi" w:cstheme="minorHAnsi"/>
          <w:lang w:eastAsia="cs-CZ"/>
        </w:rPr>
      </w:pPr>
    </w:p>
    <w:p w:rsidR="004F25EB" w:rsidRDefault="004F25EB" w:rsidP="004F25EB">
      <w:pPr>
        <w:shd w:val="clear" w:color="auto" w:fill="FFFFFF"/>
        <w:jc w:val="both"/>
        <w:rPr>
          <w:rFonts w:asciiTheme="minorHAnsi" w:hAnsiTheme="minorHAnsi" w:cstheme="minorHAnsi"/>
          <w:lang w:eastAsia="cs-CZ"/>
        </w:rPr>
      </w:pPr>
      <w:r w:rsidRPr="007B6490">
        <w:rPr>
          <w:rFonts w:asciiTheme="minorHAnsi" w:hAnsiTheme="minorHAnsi" w:cstheme="minorHAnsi"/>
          <w:lang w:eastAsia="cs-CZ"/>
        </w:rPr>
        <w:t>Vzhledem k tomu, že takto nastavený ukazatel ne</w:t>
      </w:r>
      <w:r>
        <w:rPr>
          <w:rFonts w:asciiTheme="minorHAnsi" w:hAnsiTheme="minorHAnsi" w:cstheme="minorHAnsi"/>
          <w:lang w:eastAsia="cs-CZ"/>
        </w:rPr>
        <w:t xml:space="preserve">podává relevantní </w:t>
      </w:r>
      <w:r w:rsidRPr="007B6490">
        <w:rPr>
          <w:rFonts w:asciiTheme="minorHAnsi" w:hAnsiTheme="minorHAnsi" w:cstheme="minorHAnsi"/>
          <w:lang w:eastAsia="cs-CZ"/>
        </w:rPr>
        <w:t>informace o skutečné realizaci navržených společných zařízení, kter</w:t>
      </w:r>
      <w:r>
        <w:rPr>
          <w:rFonts w:asciiTheme="minorHAnsi" w:hAnsiTheme="minorHAnsi" w:cstheme="minorHAnsi"/>
          <w:lang w:eastAsia="cs-CZ"/>
        </w:rPr>
        <w:t>á</w:t>
      </w:r>
      <w:r w:rsidRPr="007B6490">
        <w:rPr>
          <w:rFonts w:asciiTheme="minorHAnsi" w:hAnsiTheme="minorHAnsi" w:cstheme="minorHAnsi"/>
          <w:lang w:eastAsia="cs-CZ"/>
        </w:rPr>
        <w:t xml:space="preserve"> jsou zásadní pro naplnění cílů </w:t>
      </w:r>
      <w:r>
        <w:rPr>
          <w:rFonts w:asciiTheme="minorHAnsi" w:hAnsiTheme="minorHAnsi" w:cstheme="minorHAnsi"/>
          <w:lang w:eastAsia="cs-CZ"/>
        </w:rPr>
        <w:t xml:space="preserve">vážících se na </w:t>
      </w:r>
      <w:r w:rsidRPr="007B6490">
        <w:rPr>
          <w:rFonts w:asciiTheme="minorHAnsi" w:hAnsiTheme="minorHAnsi" w:cstheme="minorHAnsi"/>
          <w:lang w:eastAsia="cs-CZ"/>
        </w:rPr>
        <w:t>racionální hospodaření, ochranu zemědělské půdy, vody a zvýšení biodiverzity a ekologické stability, je jeho vypovídací schopnost ve vztahu k cílům nastaveným v PRV velmi nízká.</w:t>
      </w:r>
    </w:p>
    <w:p w:rsidR="00105E17" w:rsidRPr="007B6490" w:rsidRDefault="00105E17" w:rsidP="00105E17">
      <w:pPr>
        <w:keepNext/>
        <w:jc w:val="both"/>
        <w:rPr>
          <w:rFonts w:asciiTheme="minorHAnsi" w:hAnsiTheme="minorHAnsi" w:cstheme="minorHAnsi"/>
          <w:b/>
          <w:spacing w:val="-4"/>
        </w:rPr>
      </w:pPr>
    </w:p>
    <w:p w:rsidR="006B2346" w:rsidRDefault="006B2346" w:rsidP="00105E17">
      <w:pPr>
        <w:shd w:val="clear" w:color="auto" w:fill="FFFFFF"/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V rámci </w:t>
      </w:r>
      <w:proofErr w:type="gramStart"/>
      <w:r w:rsidR="002F0656" w:rsidRPr="007B6490">
        <w:rPr>
          <w:rFonts w:asciiTheme="minorHAnsi" w:hAnsiTheme="minorHAnsi" w:cstheme="minorHAnsi"/>
        </w:rPr>
        <w:t>opatření I.1.4</w:t>
      </w:r>
      <w:proofErr w:type="gramEnd"/>
      <w:r w:rsidRPr="007B6490">
        <w:rPr>
          <w:rFonts w:asciiTheme="minorHAnsi" w:hAnsiTheme="minorHAnsi" w:cstheme="minorHAnsi"/>
        </w:rPr>
        <w:t xml:space="preserve"> na období 2007</w:t>
      </w:r>
      <w:r w:rsidR="005C399D" w:rsidRPr="007B6490">
        <w:rPr>
          <w:rFonts w:asciiTheme="minorHAnsi" w:hAnsiTheme="minorHAnsi" w:cstheme="minorHAnsi"/>
        </w:rPr>
        <w:t>–</w:t>
      </w:r>
      <w:r w:rsidRPr="007B6490">
        <w:rPr>
          <w:rFonts w:asciiTheme="minorHAnsi" w:hAnsiTheme="minorHAnsi" w:cstheme="minorHAnsi"/>
        </w:rPr>
        <w:t xml:space="preserve">2013 byl ukazatel stanoven na 8 </w:t>
      </w:r>
      <w:proofErr w:type="spellStart"/>
      <w:r w:rsidR="00860B58" w:rsidRPr="007B6490">
        <w:rPr>
          <w:rFonts w:asciiTheme="minorHAnsi" w:hAnsiTheme="minorHAnsi" w:cstheme="minorHAnsi"/>
        </w:rPr>
        <w:t>p.b</w:t>
      </w:r>
      <w:proofErr w:type="spellEnd"/>
      <w:r w:rsidRPr="007B6490">
        <w:rPr>
          <w:rFonts w:asciiTheme="minorHAnsi" w:hAnsiTheme="minorHAnsi" w:cstheme="minorHAnsi"/>
        </w:rPr>
        <w:t>.</w:t>
      </w:r>
    </w:p>
    <w:p w:rsidR="00105E17" w:rsidRPr="007B6490" w:rsidRDefault="00105E17" w:rsidP="00105E17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6B2346" w:rsidRPr="009C53F8" w:rsidRDefault="006B2346" w:rsidP="00105E17">
      <w:pPr>
        <w:keepNext/>
        <w:tabs>
          <w:tab w:val="left" w:pos="7513"/>
        </w:tabs>
        <w:jc w:val="both"/>
        <w:rPr>
          <w:rFonts w:asciiTheme="minorHAnsi" w:hAnsiTheme="minorHAnsi" w:cstheme="minorHAnsi"/>
          <w:b/>
        </w:rPr>
      </w:pPr>
      <w:r w:rsidRPr="009C53F8">
        <w:rPr>
          <w:rFonts w:asciiTheme="minorHAnsi" w:hAnsiTheme="minorHAnsi" w:cstheme="minorHAnsi"/>
          <w:b/>
        </w:rPr>
        <w:t>Tab</w:t>
      </w:r>
      <w:r w:rsidR="002C42B7" w:rsidRPr="009C53F8">
        <w:rPr>
          <w:rFonts w:asciiTheme="minorHAnsi" w:hAnsiTheme="minorHAnsi" w:cstheme="minorHAnsi"/>
          <w:b/>
        </w:rPr>
        <w:t>ulka</w:t>
      </w:r>
      <w:r w:rsidRPr="009C53F8">
        <w:rPr>
          <w:rFonts w:asciiTheme="minorHAnsi" w:hAnsiTheme="minorHAnsi" w:cstheme="minorHAnsi"/>
          <w:b/>
        </w:rPr>
        <w:t xml:space="preserve"> č. </w:t>
      </w:r>
      <w:r w:rsidR="00D81F8D" w:rsidRPr="009C53F8">
        <w:rPr>
          <w:rFonts w:asciiTheme="minorHAnsi" w:hAnsiTheme="minorHAnsi" w:cstheme="minorHAnsi"/>
          <w:b/>
        </w:rPr>
        <w:t>6</w:t>
      </w:r>
      <w:r w:rsidRPr="009C53F8">
        <w:rPr>
          <w:rFonts w:asciiTheme="minorHAnsi" w:hAnsiTheme="minorHAnsi" w:cstheme="minorHAnsi"/>
          <w:b/>
        </w:rPr>
        <w:t xml:space="preserve"> </w:t>
      </w:r>
      <w:r w:rsidR="00780F4D" w:rsidRPr="009C53F8">
        <w:rPr>
          <w:rFonts w:asciiTheme="minorHAnsi" w:hAnsiTheme="minorHAnsi" w:cstheme="minorHAnsi"/>
          <w:b/>
        </w:rPr>
        <w:t xml:space="preserve">– </w:t>
      </w:r>
      <w:r w:rsidRPr="009C53F8">
        <w:rPr>
          <w:rFonts w:asciiTheme="minorHAnsi" w:hAnsiTheme="minorHAnsi" w:cstheme="minorHAnsi"/>
          <w:b/>
        </w:rPr>
        <w:t xml:space="preserve">Ukazatel </w:t>
      </w:r>
      <w:r w:rsidR="002C42B7" w:rsidRPr="009C53F8">
        <w:rPr>
          <w:rFonts w:asciiTheme="minorHAnsi" w:hAnsiTheme="minorHAnsi" w:cstheme="minorHAnsi"/>
          <w:b/>
        </w:rPr>
        <w:t>„</w:t>
      </w:r>
      <w:r w:rsidR="002C42B7" w:rsidRPr="009C53F8">
        <w:rPr>
          <w:rFonts w:asciiTheme="minorHAnsi" w:hAnsiTheme="minorHAnsi" w:cstheme="minorHAnsi"/>
          <w:b/>
          <w:i/>
        </w:rPr>
        <w:t>n</w:t>
      </w:r>
      <w:r w:rsidRPr="009C53F8">
        <w:rPr>
          <w:rFonts w:asciiTheme="minorHAnsi" w:hAnsiTheme="minorHAnsi" w:cstheme="minorHAnsi"/>
          <w:b/>
          <w:i/>
        </w:rPr>
        <w:t>árůst plochy s realizovanými pozemkovými úpravami</w:t>
      </w:r>
      <w:r w:rsidR="002C42B7" w:rsidRPr="009C53F8">
        <w:rPr>
          <w:rFonts w:asciiTheme="minorHAnsi" w:hAnsiTheme="minorHAnsi" w:cstheme="minorHAnsi"/>
          <w:b/>
        </w:rPr>
        <w:t>“</w:t>
      </w:r>
    </w:p>
    <w:tbl>
      <w:tblPr>
        <w:tblW w:w="90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561"/>
        <w:gridCol w:w="2269"/>
      </w:tblGrid>
      <w:tr w:rsidR="006B2346" w:rsidRPr="007B6490" w:rsidTr="00C01E20">
        <w:trPr>
          <w:trHeight w:val="1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6B2346" w:rsidP="002C42B7">
            <w:pPr>
              <w:keepNext/>
              <w:autoSpaceDE w:val="0"/>
              <w:autoSpaceDN w:val="0"/>
              <w:adjustRightInd w:val="0"/>
              <w:jc w:val="both"/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</w:pPr>
            <w:r w:rsidRPr="007B6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Ukazatel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2C42B7" w:rsidP="009C53F8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 xml:space="preserve">Ukazatel </w:t>
            </w:r>
            <w:r w:rsidR="006B2346" w:rsidRPr="007B6490"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>schválený 2007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2C42B7" w:rsidP="009C53F8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 xml:space="preserve">Ukazatel po </w:t>
            </w:r>
            <w:r w:rsidR="006B2346" w:rsidRPr="007B6490"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>změn</w:t>
            </w:r>
            <w:r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>ách</w:t>
            </w:r>
            <w:r w:rsidR="006B2346" w:rsidRPr="007B6490"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 xml:space="preserve"> 6/2010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B2346" w:rsidRPr="007B6490" w:rsidRDefault="002C42B7" w:rsidP="009C53F8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>S</w:t>
            </w:r>
            <w:r w:rsidR="006B2346" w:rsidRPr="007B6490">
              <w:rPr>
                <w:rFonts w:asciiTheme="minorHAnsi" w:eastAsia="FrescoSans-Normal" w:hAnsiTheme="minorHAnsi" w:cstheme="minorHAnsi"/>
                <w:b/>
                <w:sz w:val="20"/>
                <w:szCs w:val="20"/>
                <w:lang w:eastAsia="cs-CZ"/>
              </w:rPr>
              <w:t>kutečnost k 31. 12. 2014</w:t>
            </w:r>
          </w:p>
        </w:tc>
      </w:tr>
      <w:tr w:rsidR="006B2346" w:rsidRPr="007B6490" w:rsidTr="00C01E20">
        <w:trPr>
          <w:trHeight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346" w:rsidRPr="007B6490" w:rsidRDefault="006B2346" w:rsidP="009C53F8">
            <w:pPr>
              <w:keepNext/>
              <w:autoSpaceDE w:val="0"/>
              <w:autoSpaceDN w:val="0"/>
              <w:adjustRightInd w:val="0"/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Nárůst plochy s realizovanými pozemkovými úpravami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7B6490">
            <w:pPr>
              <w:keepNext/>
              <w:autoSpaceDE w:val="0"/>
              <w:autoSpaceDN w:val="0"/>
              <w:adjustRightInd w:val="0"/>
              <w:ind w:right="235"/>
              <w:jc w:val="right"/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 xml:space="preserve">9 </w:t>
            </w:r>
            <w:proofErr w:type="spellStart"/>
            <w:proofErr w:type="gramStart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p.b</w:t>
            </w:r>
            <w:proofErr w:type="spellEnd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7B6490">
            <w:pPr>
              <w:keepNext/>
              <w:autoSpaceDE w:val="0"/>
              <w:autoSpaceDN w:val="0"/>
              <w:adjustRightInd w:val="0"/>
              <w:ind w:right="235"/>
              <w:jc w:val="right"/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 xml:space="preserve">8 </w:t>
            </w:r>
            <w:proofErr w:type="spellStart"/>
            <w:proofErr w:type="gramStart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p.b</w:t>
            </w:r>
            <w:proofErr w:type="spellEnd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6" w:rsidRPr="007B6490" w:rsidRDefault="006B2346" w:rsidP="007B6490">
            <w:pPr>
              <w:keepNext/>
              <w:autoSpaceDE w:val="0"/>
              <w:autoSpaceDN w:val="0"/>
              <w:adjustRightInd w:val="0"/>
              <w:ind w:right="235"/>
              <w:jc w:val="right"/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</w:pPr>
            <w:r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 xml:space="preserve">13,45 </w:t>
            </w:r>
            <w:proofErr w:type="spellStart"/>
            <w:proofErr w:type="gramStart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p.b</w:t>
            </w:r>
            <w:proofErr w:type="spellEnd"/>
            <w:r w:rsidR="00860B58" w:rsidRPr="007B6490">
              <w:rPr>
                <w:rFonts w:asciiTheme="minorHAnsi" w:eastAsia="FrescoSans-Normal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</w:tbl>
    <w:p w:rsidR="006B2346" w:rsidRPr="007B6490" w:rsidRDefault="006B2346" w:rsidP="007B6490">
      <w:pPr>
        <w:keepNext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7B6490">
        <w:rPr>
          <w:rFonts w:asciiTheme="minorHAnsi" w:hAnsiTheme="minorHAnsi" w:cstheme="minorHAnsi"/>
          <w:b/>
          <w:spacing w:val="-4"/>
          <w:sz w:val="20"/>
          <w:szCs w:val="20"/>
        </w:rPr>
        <w:t>Zdroj:</w:t>
      </w:r>
      <w:r w:rsidRPr="007B649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C42B7">
        <w:rPr>
          <w:rFonts w:asciiTheme="minorHAnsi" w:hAnsiTheme="minorHAnsi" w:cstheme="minorHAnsi"/>
          <w:spacing w:val="-4"/>
          <w:sz w:val="20"/>
          <w:szCs w:val="20"/>
        </w:rPr>
        <w:t>v</w:t>
      </w:r>
      <w:r w:rsidRPr="007B6490">
        <w:rPr>
          <w:rFonts w:asciiTheme="minorHAnsi" w:hAnsiTheme="minorHAnsi" w:cstheme="minorHAnsi"/>
          <w:spacing w:val="-4"/>
          <w:sz w:val="20"/>
          <w:szCs w:val="20"/>
        </w:rPr>
        <w:t>ýroční zprávy o implementaci PRV, údaj k 31. 12. 2014 převzat z</w:t>
      </w:r>
      <w:r w:rsidR="00C67B81" w:rsidRPr="007B6490">
        <w:rPr>
          <w:rFonts w:asciiTheme="minorHAnsi" w:hAnsiTheme="minorHAnsi" w:cstheme="minorHAnsi"/>
          <w:spacing w:val="-4"/>
          <w:sz w:val="20"/>
          <w:szCs w:val="20"/>
        </w:rPr>
        <w:t> </w:t>
      </w:r>
      <w:r w:rsidRPr="007B6490">
        <w:rPr>
          <w:rFonts w:asciiTheme="minorHAnsi" w:hAnsiTheme="minorHAnsi" w:cstheme="minorHAnsi"/>
          <w:spacing w:val="-4"/>
          <w:sz w:val="20"/>
          <w:szCs w:val="20"/>
        </w:rPr>
        <w:t>ISPÚ</w:t>
      </w:r>
      <w:r w:rsidR="00C67B81" w:rsidRPr="007B6490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:rsidR="00087FA9" w:rsidRPr="007B6490" w:rsidRDefault="00087FA9" w:rsidP="007B6490">
      <w:pPr>
        <w:shd w:val="clear" w:color="auto" w:fill="FFFFFF"/>
        <w:jc w:val="both"/>
        <w:rPr>
          <w:rFonts w:asciiTheme="minorHAnsi" w:hAnsiTheme="minorHAnsi" w:cstheme="minorHAnsi"/>
          <w:spacing w:val="-4"/>
        </w:rPr>
      </w:pPr>
    </w:p>
    <w:p w:rsidR="00242887" w:rsidRPr="007B6490" w:rsidRDefault="00016C10" w:rsidP="009C53F8">
      <w:pPr>
        <w:pStyle w:val="Nadpis1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4. </w:t>
      </w:r>
      <w:r w:rsidR="00BE14F2" w:rsidRPr="007B6490">
        <w:rPr>
          <w:rFonts w:asciiTheme="minorHAnsi" w:hAnsiTheme="minorHAnsi" w:cstheme="minorHAnsi"/>
          <w:sz w:val="24"/>
        </w:rPr>
        <w:t>Informační systém pozemkových úprav</w:t>
      </w:r>
    </w:p>
    <w:p w:rsidR="007D6F62" w:rsidRDefault="004F25EB" w:rsidP="00A735D9">
      <w:pPr>
        <w:pStyle w:val="Textpoznpodarou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r w:rsidR="00016C10">
        <w:rPr>
          <w:rFonts w:cstheme="minorHAnsi"/>
          <w:sz w:val="24"/>
          <w:szCs w:val="24"/>
        </w:rPr>
        <w:t>ISPÚ byl</w:t>
      </w:r>
      <w:r>
        <w:rPr>
          <w:rFonts w:cstheme="minorHAnsi"/>
          <w:sz w:val="24"/>
          <w:szCs w:val="24"/>
        </w:rPr>
        <w:t>y</w:t>
      </w:r>
      <w:r w:rsidR="00016C10">
        <w:rPr>
          <w:rFonts w:cstheme="minorHAnsi"/>
          <w:sz w:val="24"/>
          <w:szCs w:val="24"/>
        </w:rPr>
        <w:t xml:space="preserve"> </w:t>
      </w:r>
      <w:r w:rsidR="00672FF9">
        <w:rPr>
          <w:rFonts w:cstheme="minorHAnsi"/>
          <w:sz w:val="24"/>
          <w:szCs w:val="24"/>
        </w:rPr>
        <w:t>Ústředním pozemkovým úřadem</w:t>
      </w:r>
      <w:r w:rsidR="00D549C8" w:rsidRPr="007B6490">
        <w:rPr>
          <w:rFonts w:cstheme="minorHAnsi"/>
          <w:sz w:val="24"/>
          <w:szCs w:val="24"/>
        </w:rPr>
        <w:t>, resp. od 1. 1. 20</w:t>
      </w:r>
      <w:r w:rsidR="003779EB" w:rsidRPr="007B6490">
        <w:rPr>
          <w:rFonts w:cstheme="minorHAnsi"/>
          <w:sz w:val="24"/>
          <w:szCs w:val="24"/>
        </w:rPr>
        <w:t>1</w:t>
      </w:r>
      <w:r w:rsidR="00D549C8" w:rsidRPr="007B649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jsou</w:t>
      </w:r>
      <w:r w:rsidR="00D549C8" w:rsidRPr="007B6490">
        <w:rPr>
          <w:rFonts w:cstheme="minorHAnsi"/>
          <w:sz w:val="24"/>
          <w:szCs w:val="24"/>
        </w:rPr>
        <w:t xml:space="preserve"> </w:t>
      </w:r>
      <w:r w:rsidR="00672FF9">
        <w:rPr>
          <w:rFonts w:cstheme="minorHAnsi"/>
          <w:sz w:val="24"/>
          <w:szCs w:val="24"/>
        </w:rPr>
        <w:t xml:space="preserve">Státním pozemkovým úřadem </w:t>
      </w:r>
      <w:r w:rsidR="00D549C8" w:rsidRPr="007B6490">
        <w:rPr>
          <w:rFonts w:cstheme="minorHAnsi"/>
          <w:sz w:val="24"/>
          <w:szCs w:val="24"/>
        </w:rPr>
        <w:t>evid</w:t>
      </w:r>
      <w:r>
        <w:rPr>
          <w:rFonts w:cstheme="minorHAnsi"/>
          <w:sz w:val="24"/>
          <w:szCs w:val="24"/>
        </w:rPr>
        <w:t>ovány</w:t>
      </w:r>
      <w:r w:rsidR="00D549C8" w:rsidRPr="007B6490">
        <w:rPr>
          <w:rFonts w:cstheme="minorHAnsi"/>
          <w:sz w:val="24"/>
          <w:szCs w:val="24"/>
        </w:rPr>
        <w:t xml:space="preserve"> údaje o pozemkových úpravách a o průběhu realizace navržených společných zařízení</w:t>
      </w:r>
      <w:r w:rsidR="002214EA" w:rsidRPr="007B6490">
        <w:rPr>
          <w:rFonts w:cstheme="minorHAnsi"/>
          <w:sz w:val="24"/>
          <w:szCs w:val="24"/>
        </w:rPr>
        <w:t>, kter</w:t>
      </w:r>
      <w:r>
        <w:rPr>
          <w:rFonts w:cstheme="minorHAnsi"/>
          <w:sz w:val="24"/>
          <w:szCs w:val="24"/>
        </w:rPr>
        <w:t>ou</w:t>
      </w:r>
      <w:r w:rsidR="002214EA" w:rsidRPr="007B6490">
        <w:rPr>
          <w:rFonts w:cstheme="minorHAnsi"/>
          <w:sz w:val="24"/>
          <w:szCs w:val="24"/>
        </w:rPr>
        <w:t xml:space="preserve"> zajišťovaly krajské pozemkové úřady.</w:t>
      </w:r>
      <w:r w:rsidR="00D549C8" w:rsidRPr="007B6490">
        <w:rPr>
          <w:rFonts w:cstheme="minorHAnsi"/>
          <w:sz w:val="24"/>
          <w:szCs w:val="24"/>
        </w:rPr>
        <w:t xml:space="preserve"> Údaje jsou uváděny od roku 1995. </w:t>
      </w:r>
      <w:r w:rsidR="00D5569B" w:rsidRPr="007B6490">
        <w:rPr>
          <w:rFonts w:cstheme="minorHAnsi"/>
          <w:sz w:val="24"/>
          <w:szCs w:val="24"/>
        </w:rPr>
        <w:t xml:space="preserve">Podle údajů </w:t>
      </w:r>
      <w:r w:rsidR="00D5569B" w:rsidRPr="007B6490">
        <w:rPr>
          <w:rFonts w:cstheme="minorHAnsi"/>
          <w:spacing w:val="-4"/>
          <w:sz w:val="24"/>
          <w:szCs w:val="24"/>
        </w:rPr>
        <w:t>ISPÚ</w:t>
      </w:r>
      <w:r w:rsidR="00D5569B" w:rsidRPr="007B6490">
        <w:rPr>
          <w:rFonts w:cstheme="minorHAnsi"/>
          <w:sz w:val="24"/>
          <w:szCs w:val="24"/>
        </w:rPr>
        <w:t xml:space="preserve"> bylo v ČR ukončeno 1 810 komplexních pozemkových úprav</w:t>
      </w:r>
      <w:r w:rsidR="00D5569B">
        <w:rPr>
          <w:rFonts w:cstheme="minorHAnsi"/>
          <w:sz w:val="24"/>
          <w:szCs w:val="24"/>
        </w:rPr>
        <w:t>,</w:t>
      </w:r>
      <w:r w:rsidR="00D5569B" w:rsidRPr="007B6490">
        <w:rPr>
          <w:rFonts w:cstheme="minorHAnsi"/>
          <w:sz w:val="24"/>
          <w:szCs w:val="24"/>
        </w:rPr>
        <w:t> z</w:t>
      </w:r>
      <w:r w:rsidR="00D5569B">
        <w:rPr>
          <w:rFonts w:cstheme="minorHAnsi"/>
          <w:sz w:val="24"/>
          <w:szCs w:val="24"/>
        </w:rPr>
        <w:t xml:space="preserve"> toho u </w:t>
      </w:r>
      <w:r w:rsidR="00D5569B" w:rsidRPr="007B6490">
        <w:rPr>
          <w:rFonts w:cstheme="minorHAnsi"/>
          <w:sz w:val="24"/>
          <w:szCs w:val="24"/>
        </w:rPr>
        <w:t xml:space="preserve">131 </w:t>
      </w:r>
      <w:r w:rsidR="00D5569B">
        <w:rPr>
          <w:rFonts w:cstheme="minorHAnsi"/>
          <w:sz w:val="24"/>
          <w:szCs w:val="24"/>
        </w:rPr>
        <w:t xml:space="preserve">není uveden </w:t>
      </w:r>
      <w:r w:rsidR="00D5569B" w:rsidRPr="007B6490">
        <w:rPr>
          <w:rFonts w:cstheme="minorHAnsi"/>
          <w:sz w:val="24"/>
          <w:szCs w:val="24"/>
        </w:rPr>
        <w:t xml:space="preserve">žádný návrh </w:t>
      </w:r>
      <w:r w:rsidR="00D5569B">
        <w:rPr>
          <w:rFonts w:cstheme="minorHAnsi"/>
          <w:sz w:val="24"/>
          <w:szCs w:val="24"/>
        </w:rPr>
        <w:t>společného zařízení</w:t>
      </w:r>
      <w:r w:rsidR="00D5569B" w:rsidRPr="00130B8B">
        <w:rPr>
          <w:rFonts w:cstheme="minorHAnsi"/>
          <w:sz w:val="24"/>
          <w:szCs w:val="24"/>
        </w:rPr>
        <w:t xml:space="preserve">. </w:t>
      </w:r>
    </w:p>
    <w:p w:rsidR="00C01E20" w:rsidRDefault="00C01E20" w:rsidP="00A735D9">
      <w:pPr>
        <w:pStyle w:val="Textpoznpodarou"/>
        <w:jc w:val="both"/>
        <w:rPr>
          <w:rFonts w:cstheme="minorHAnsi"/>
          <w:sz w:val="24"/>
          <w:szCs w:val="24"/>
        </w:rPr>
      </w:pPr>
    </w:p>
    <w:p w:rsidR="0041296D" w:rsidRDefault="00D5569B" w:rsidP="00105E17">
      <w:pPr>
        <w:pStyle w:val="Textpoznpodarou"/>
        <w:jc w:val="both"/>
        <w:rPr>
          <w:rFonts w:cstheme="minorHAnsi"/>
          <w:sz w:val="24"/>
          <w:szCs w:val="24"/>
        </w:rPr>
      </w:pPr>
      <w:r w:rsidRPr="001D0BE9">
        <w:rPr>
          <w:rFonts w:cstheme="minorHAnsi"/>
          <w:sz w:val="24"/>
          <w:szCs w:val="24"/>
        </w:rPr>
        <w:t xml:space="preserve">Kontrolou </w:t>
      </w:r>
      <w:r w:rsidR="007D6F62" w:rsidRPr="001D0BE9">
        <w:rPr>
          <w:rFonts w:cstheme="minorHAnsi"/>
          <w:sz w:val="24"/>
          <w:szCs w:val="24"/>
        </w:rPr>
        <w:t xml:space="preserve">NKÚ </w:t>
      </w:r>
      <w:r w:rsidRPr="001D0BE9">
        <w:rPr>
          <w:rFonts w:cstheme="minorHAnsi"/>
          <w:sz w:val="24"/>
          <w:szCs w:val="24"/>
        </w:rPr>
        <w:t xml:space="preserve">bylo </w:t>
      </w:r>
      <w:r w:rsidR="0039161E">
        <w:rPr>
          <w:rFonts w:cstheme="minorHAnsi"/>
          <w:sz w:val="24"/>
          <w:szCs w:val="24"/>
        </w:rPr>
        <w:t>zjištěno</w:t>
      </w:r>
      <w:r w:rsidRPr="001D0BE9">
        <w:rPr>
          <w:rFonts w:cstheme="minorHAnsi"/>
          <w:sz w:val="24"/>
          <w:szCs w:val="24"/>
        </w:rPr>
        <w:t>, že v rámci těchto</w:t>
      </w:r>
      <w:r w:rsidRPr="001D0BE9">
        <w:rPr>
          <w:rFonts w:cstheme="minorHAnsi"/>
          <w:sz w:val="24"/>
        </w:rPr>
        <w:t xml:space="preserve"> 131</w:t>
      </w:r>
      <w:r w:rsidRPr="001D0BE9">
        <w:rPr>
          <w:rFonts w:cstheme="minorHAnsi"/>
          <w:sz w:val="24"/>
          <w:szCs w:val="24"/>
        </w:rPr>
        <w:t xml:space="preserve"> pozemkových úprav byla </w:t>
      </w:r>
      <w:r w:rsidRPr="001D0BE9">
        <w:rPr>
          <w:rFonts w:cstheme="minorHAnsi"/>
          <w:sz w:val="24"/>
        </w:rPr>
        <w:t xml:space="preserve">provedena </w:t>
      </w:r>
      <w:r w:rsidRPr="001D0BE9">
        <w:rPr>
          <w:rFonts w:cstheme="minorHAnsi"/>
          <w:sz w:val="24"/>
          <w:szCs w:val="24"/>
        </w:rPr>
        <w:t xml:space="preserve">opatření </w:t>
      </w:r>
      <w:r w:rsidR="0039161E">
        <w:rPr>
          <w:rFonts w:cstheme="minorHAnsi"/>
          <w:sz w:val="24"/>
          <w:szCs w:val="24"/>
        </w:rPr>
        <w:t>ke</w:t>
      </w:r>
      <w:r w:rsidRPr="001D0BE9">
        <w:rPr>
          <w:rFonts w:cstheme="minorHAnsi"/>
          <w:sz w:val="24"/>
          <w:szCs w:val="24"/>
        </w:rPr>
        <w:t xml:space="preserve"> zpřístupnění pozemků, protierozní opatření, opatření ke zlepšení vodního režimu krajiny a opatření k ochraně a tvorbě životního prostředí</w:t>
      </w:r>
      <w:r w:rsidRPr="001D0BE9">
        <w:rPr>
          <w:rFonts w:cstheme="minorHAnsi"/>
          <w:sz w:val="24"/>
        </w:rPr>
        <w:t xml:space="preserve">. </w:t>
      </w:r>
      <w:r w:rsidR="007D6F62" w:rsidRPr="001D0BE9">
        <w:rPr>
          <w:rFonts w:cstheme="minorHAnsi"/>
          <w:sz w:val="24"/>
        </w:rPr>
        <w:t>Dále</w:t>
      </w:r>
      <w:r w:rsidR="0039161E">
        <w:rPr>
          <w:rFonts w:cstheme="minorHAnsi"/>
          <w:sz w:val="24"/>
        </w:rPr>
        <w:t xml:space="preserve"> bylo zjištěno</w:t>
      </w:r>
      <w:r w:rsidR="007D6F62" w:rsidRPr="001D0BE9">
        <w:rPr>
          <w:rFonts w:cstheme="minorHAnsi"/>
          <w:sz w:val="24"/>
        </w:rPr>
        <w:t xml:space="preserve">, že </w:t>
      </w:r>
      <w:r w:rsidR="0041296D" w:rsidRPr="001D0BE9">
        <w:rPr>
          <w:rFonts w:cstheme="minorHAnsi"/>
          <w:sz w:val="24"/>
          <w:szCs w:val="24"/>
        </w:rPr>
        <w:t xml:space="preserve">v některých případech jsou v ISPÚ uváděny nepřesné </w:t>
      </w:r>
      <w:r w:rsidR="00DE0026" w:rsidRPr="001D0BE9">
        <w:rPr>
          <w:rFonts w:cstheme="minorHAnsi"/>
          <w:sz w:val="24"/>
          <w:szCs w:val="24"/>
        </w:rPr>
        <w:t xml:space="preserve">nebo neúplné </w:t>
      </w:r>
      <w:r w:rsidR="0041296D" w:rsidRPr="001D0BE9">
        <w:rPr>
          <w:rFonts w:cstheme="minorHAnsi"/>
          <w:sz w:val="24"/>
          <w:szCs w:val="24"/>
        </w:rPr>
        <w:t>údaje, případně že některá</w:t>
      </w:r>
      <w:r w:rsidR="0041296D" w:rsidRPr="007B6490">
        <w:rPr>
          <w:rFonts w:cstheme="minorHAnsi"/>
          <w:sz w:val="24"/>
          <w:szCs w:val="24"/>
        </w:rPr>
        <w:t xml:space="preserve"> pracoviště nerespektují metodický pokyn pro vkládání </w:t>
      </w:r>
      <w:r w:rsidR="009D0055">
        <w:rPr>
          <w:rFonts w:cstheme="minorHAnsi"/>
          <w:sz w:val="24"/>
          <w:szCs w:val="24"/>
        </w:rPr>
        <w:t>údajů do informačního systému a </w:t>
      </w:r>
      <w:r w:rsidR="0041296D" w:rsidRPr="007B6490">
        <w:rPr>
          <w:rFonts w:cstheme="minorHAnsi"/>
          <w:sz w:val="24"/>
          <w:szCs w:val="24"/>
        </w:rPr>
        <w:t>například do předpokládaného rozsahu realizace zahrnují i tzv. cesty doplňkové, u nichž se pouze vytyčují hranice pozemku. Na nepřesnosti v evidenci upozorňovaly již výsledky kontrolní akce NKÚ č. 06/34.</w:t>
      </w:r>
    </w:p>
    <w:p w:rsidR="00105E17" w:rsidRPr="007D6F62" w:rsidRDefault="00105E17" w:rsidP="00105E17">
      <w:pPr>
        <w:pStyle w:val="Textpoznpodarou"/>
        <w:jc w:val="both"/>
        <w:rPr>
          <w:rFonts w:cstheme="minorHAnsi"/>
          <w:strike/>
          <w:sz w:val="24"/>
          <w:szCs w:val="24"/>
        </w:rPr>
      </w:pPr>
    </w:p>
    <w:p w:rsidR="00CF21A6" w:rsidRDefault="00CB4EB8" w:rsidP="00105E17">
      <w:pPr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t>Z nepřesné evidence navrhovaných a realizovaných společných zařízení ke zpřístupnění pozemků, protierozních opatření pro ochranu půdního fondu, vodohospodářských opatření a opatření k ochraně a tvorbě životního prostředí není možné určit přesný celkový rozsah provedených prací, a proto je obtížné objektivně vyhodnotit plnění stanovených cílů.</w:t>
      </w:r>
      <w:r w:rsidR="00CF21A6" w:rsidRPr="007B6490">
        <w:rPr>
          <w:rFonts w:asciiTheme="minorHAnsi" w:hAnsiTheme="minorHAnsi" w:cstheme="minorHAnsi"/>
          <w:b/>
        </w:rPr>
        <w:t xml:space="preserve"> 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  <w:b/>
        </w:rPr>
      </w:pPr>
    </w:p>
    <w:p w:rsidR="00CF21A6" w:rsidRPr="007B6490" w:rsidRDefault="0039161E" w:rsidP="009C53F8">
      <w:pPr>
        <w:pStyle w:val="Nadpis1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5. </w:t>
      </w:r>
      <w:r w:rsidR="00BE14F2" w:rsidRPr="007B6490">
        <w:rPr>
          <w:rFonts w:asciiTheme="minorHAnsi" w:hAnsiTheme="minorHAnsi" w:cstheme="minorHAnsi"/>
          <w:sz w:val="24"/>
        </w:rPr>
        <w:t>Právní úprava pozemkových úprav s vazbou na mezire</w:t>
      </w:r>
      <w:r>
        <w:rPr>
          <w:rFonts w:asciiTheme="minorHAnsi" w:hAnsiTheme="minorHAnsi" w:cstheme="minorHAnsi"/>
          <w:sz w:val="24"/>
        </w:rPr>
        <w:t>s</w:t>
      </w:r>
      <w:r w:rsidR="00BE14F2" w:rsidRPr="007B6490">
        <w:rPr>
          <w:rFonts w:asciiTheme="minorHAnsi" w:hAnsiTheme="minorHAnsi" w:cstheme="minorHAnsi"/>
          <w:sz w:val="24"/>
        </w:rPr>
        <w:t xml:space="preserve">ortní vztahy </w:t>
      </w:r>
    </w:p>
    <w:p w:rsidR="000A14AA" w:rsidRDefault="001061C8" w:rsidP="00105E17">
      <w:pPr>
        <w:pStyle w:val="Textpoznpodarou"/>
        <w:jc w:val="both"/>
        <w:rPr>
          <w:rFonts w:cstheme="minorHAnsi"/>
          <w:sz w:val="24"/>
          <w:szCs w:val="24"/>
          <w:lang w:eastAsia="cs-CZ"/>
        </w:rPr>
      </w:pPr>
      <w:r w:rsidRPr="00130B8B">
        <w:rPr>
          <w:rFonts w:eastAsia="FrescoSans-Normal" w:cstheme="minorHAnsi"/>
          <w:sz w:val="24"/>
          <w:szCs w:val="24"/>
          <w:lang w:eastAsia="cs-CZ"/>
        </w:rPr>
        <w:t>P</w:t>
      </w:r>
      <w:r w:rsidR="00F26577" w:rsidRPr="00130B8B">
        <w:rPr>
          <w:rFonts w:cstheme="minorHAnsi"/>
          <w:sz w:val="24"/>
          <w:szCs w:val="24"/>
        </w:rPr>
        <w:t>rávní úprav</w:t>
      </w:r>
      <w:r w:rsidR="00564C38" w:rsidRPr="00130B8B">
        <w:rPr>
          <w:rFonts w:cstheme="minorHAnsi"/>
          <w:sz w:val="24"/>
          <w:szCs w:val="24"/>
        </w:rPr>
        <w:t>a</w:t>
      </w:r>
      <w:r w:rsidR="00F26577" w:rsidRPr="00130B8B">
        <w:rPr>
          <w:rFonts w:cstheme="minorHAnsi"/>
          <w:sz w:val="24"/>
          <w:szCs w:val="24"/>
        </w:rPr>
        <w:t xml:space="preserve"> </w:t>
      </w:r>
      <w:r w:rsidR="004D17A1" w:rsidRPr="00130B8B">
        <w:rPr>
          <w:rFonts w:cstheme="minorHAnsi"/>
          <w:sz w:val="24"/>
          <w:szCs w:val="24"/>
          <w:lang w:eastAsia="cs-CZ"/>
        </w:rPr>
        <w:t xml:space="preserve">neumožňuje </w:t>
      </w:r>
      <w:proofErr w:type="spellStart"/>
      <w:r w:rsidR="004D17A1" w:rsidRPr="00130B8B">
        <w:rPr>
          <w:rFonts w:cstheme="minorHAnsi"/>
          <w:sz w:val="24"/>
          <w:szCs w:val="24"/>
          <w:lang w:eastAsia="cs-CZ"/>
        </w:rPr>
        <w:t>MZe</w:t>
      </w:r>
      <w:proofErr w:type="spellEnd"/>
      <w:r w:rsidR="0039161E">
        <w:rPr>
          <w:rFonts w:cstheme="minorHAnsi"/>
          <w:sz w:val="24"/>
          <w:szCs w:val="24"/>
          <w:lang w:eastAsia="cs-CZ"/>
        </w:rPr>
        <w:t xml:space="preserve"> nebo</w:t>
      </w:r>
      <w:r w:rsidR="004D17A1" w:rsidRPr="00130B8B">
        <w:rPr>
          <w:rFonts w:cstheme="minorHAnsi"/>
          <w:sz w:val="24"/>
          <w:szCs w:val="24"/>
          <w:lang w:eastAsia="cs-CZ"/>
        </w:rPr>
        <w:t xml:space="preserve"> </w:t>
      </w:r>
      <w:proofErr w:type="spellStart"/>
      <w:r w:rsidR="004D17A1" w:rsidRPr="00130B8B">
        <w:rPr>
          <w:rFonts w:cstheme="minorHAnsi"/>
          <w:sz w:val="24"/>
          <w:szCs w:val="24"/>
          <w:lang w:eastAsia="cs-CZ"/>
        </w:rPr>
        <w:t>SPÚ</w:t>
      </w:r>
      <w:proofErr w:type="spellEnd"/>
      <w:r w:rsidR="004D17A1" w:rsidRPr="00130B8B">
        <w:rPr>
          <w:rFonts w:cstheme="minorHAnsi"/>
          <w:sz w:val="24"/>
          <w:szCs w:val="24"/>
          <w:lang w:eastAsia="cs-CZ"/>
        </w:rPr>
        <w:t xml:space="preserve"> vymáhat </w:t>
      </w:r>
      <w:r w:rsidR="00BB15B7" w:rsidRPr="00130B8B">
        <w:rPr>
          <w:rFonts w:cstheme="minorHAnsi"/>
          <w:sz w:val="24"/>
          <w:szCs w:val="24"/>
          <w:lang w:eastAsia="cs-CZ"/>
        </w:rPr>
        <w:t xml:space="preserve">po vlastnících pozemků </w:t>
      </w:r>
      <w:r w:rsidR="001D6249" w:rsidRPr="00130B8B">
        <w:rPr>
          <w:rFonts w:cstheme="minorHAnsi"/>
          <w:sz w:val="24"/>
          <w:szCs w:val="24"/>
          <w:lang w:eastAsia="cs-CZ"/>
        </w:rPr>
        <w:t xml:space="preserve">realizaci </w:t>
      </w:r>
      <w:r w:rsidR="000A14AA" w:rsidRPr="00130B8B">
        <w:rPr>
          <w:rFonts w:cstheme="minorHAnsi"/>
          <w:sz w:val="24"/>
          <w:szCs w:val="24"/>
          <w:lang w:eastAsia="cs-CZ"/>
        </w:rPr>
        <w:t>navržených a</w:t>
      </w:r>
      <w:r w:rsidR="00AB5D90" w:rsidRPr="00130B8B">
        <w:rPr>
          <w:rFonts w:cstheme="minorHAnsi"/>
          <w:sz w:val="24"/>
          <w:szCs w:val="24"/>
          <w:lang w:eastAsia="cs-CZ"/>
        </w:rPr>
        <w:t> </w:t>
      </w:r>
      <w:r w:rsidR="001D6249" w:rsidRPr="00130B8B">
        <w:rPr>
          <w:rFonts w:cstheme="minorHAnsi"/>
          <w:sz w:val="24"/>
          <w:szCs w:val="24"/>
          <w:lang w:eastAsia="cs-CZ"/>
        </w:rPr>
        <w:t>schválených organizačních a agrotechnických protierozních opatření.</w:t>
      </w:r>
      <w:r w:rsidR="009C7328" w:rsidRPr="00130B8B">
        <w:rPr>
          <w:rFonts w:cstheme="minorHAnsi"/>
          <w:sz w:val="24"/>
          <w:szCs w:val="24"/>
          <w:lang w:eastAsia="cs-CZ"/>
        </w:rPr>
        <w:t xml:space="preserve"> </w:t>
      </w:r>
      <w:r w:rsidR="00FC214A" w:rsidRPr="00130B8B">
        <w:rPr>
          <w:rFonts w:cstheme="minorHAnsi"/>
          <w:sz w:val="24"/>
          <w:szCs w:val="24"/>
          <w:lang w:eastAsia="cs-CZ"/>
        </w:rPr>
        <w:t>Realizace</w:t>
      </w:r>
      <w:r w:rsidR="000A14AA" w:rsidRPr="00130B8B">
        <w:rPr>
          <w:rFonts w:cstheme="minorHAnsi"/>
          <w:sz w:val="24"/>
          <w:szCs w:val="24"/>
          <w:lang w:eastAsia="cs-CZ"/>
        </w:rPr>
        <w:t xml:space="preserve"> </w:t>
      </w:r>
      <w:r w:rsidR="00FC214A" w:rsidRPr="00130B8B">
        <w:rPr>
          <w:rFonts w:cstheme="minorHAnsi"/>
          <w:sz w:val="24"/>
          <w:szCs w:val="24"/>
          <w:lang w:eastAsia="cs-CZ"/>
        </w:rPr>
        <w:t xml:space="preserve">pozemkových úprav a </w:t>
      </w:r>
      <w:r w:rsidR="0039161E">
        <w:rPr>
          <w:rFonts w:cstheme="minorHAnsi"/>
          <w:sz w:val="24"/>
          <w:szCs w:val="24"/>
          <w:lang w:eastAsia="cs-CZ"/>
        </w:rPr>
        <w:t>dopady</w:t>
      </w:r>
      <w:r w:rsidR="00FC214A" w:rsidRPr="00130B8B">
        <w:rPr>
          <w:rFonts w:cstheme="minorHAnsi"/>
          <w:sz w:val="24"/>
          <w:szCs w:val="24"/>
          <w:lang w:eastAsia="cs-CZ"/>
        </w:rPr>
        <w:t xml:space="preserve"> erozních událostí </w:t>
      </w:r>
      <w:r w:rsidR="0039161E">
        <w:rPr>
          <w:rFonts w:cstheme="minorHAnsi"/>
          <w:sz w:val="24"/>
          <w:szCs w:val="24"/>
          <w:lang w:eastAsia="cs-CZ"/>
        </w:rPr>
        <w:t>jsou</w:t>
      </w:r>
      <w:r w:rsidR="00FC214A" w:rsidRPr="00130B8B">
        <w:rPr>
          <w:rFonts w:cstheme="minorHAnsi"/>
          <w:sz w:val="24"/>
          <w:szCs w:val="24"/>
          <w:lang w:eastAsia="cs-CZ"/>
        </w:rPr>
        <w:t xml:space="preserve"> monitorován</w:t>
      </w:r>
      <w:r w:rsidR="0039161E">
        <w:rPr>
          <w:rFonts w:cstheme="minorHAnsi"/>
          <w:sz w:val="24"/>
          <w:szCs w:val="24"/>
          <w:lang w:eastAsia="cs-CZ"/>
        </w:rPr>
        <w:t>y</w:t>
      </w:r>
      <w:r w:rsidR="00FC214A" w:rsidRPr="00130B8B">
        <w:rPr>
          <w:rFonts w:cstheme="minorHAnsi"/>
          <w:sz w:val="24"/>
          <w:szCs w:val="24"/>
          <w:lang w:eastAsia="cs-CZ"/>
        </w:rPr>
        <w:t xml:space="preserve"> v rámci působnosti </w:t>
      </w:r>
      <w:proofErr w:type="spellStart"/>
      <w:r w:rsidR="00FC214A" w:rsidRPr="00130B8B">
        <w:rPr>
          <w:rFonts w:cstheme="minorHAnsi"/>
          <w:sz w:val="24"/>
          <w:szCs w:val="24"/>
          <w:lang w:eastAsia="cs-CZ"/>
        </w:rPr>
        <w:t>MZe</w:t>
      </w:r>
      <w:proofErr w:type="spellEnd"/>
      <w:r w:rsidR="00FC214A" w:rsidRPr="00130B8B">
        <w:rPr>
          <w:rFonts w:cstheme="minorHAnsi"/>
          <w:sz w:val="24"/>
          <w:szCs w:val="24"/>
          <w:lang w:eastAsia="cs-CZ"/>
        </w:rPr>
        <w:t xml:space="preserve">, ale nástroje dohledu a případných sankcí za nerealizování schválených opatření jsou v gesci Ministerstva životního prostředí. </w:t>
      </w:r>
    </w:p>
    <w:p w:rsidR="00105E17" w:rsidRPr="00130B8B" w:rsidRDefault="00105E17" w:rsidP="00105E17">
      <w:pPr>
        <w:pStyle w:val="Textpoznpodarou"/>
        <w:jc w:val="both"/>
        <w:rPr>
          <w:rFonts w:cstheme="minorHAnsi"/>
          <w:sz w:val="24"/>
          <w:szCs w:val="24"/>
        </w:rPr>
      </w:pPr>
    </w:p>
    <w:p w:rsidR="006B2346" w:rsidRDefault="006B2346" w:rsidP="00105E17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lastRenderedPageBreak/>
        <w:t xml:space="preserve">Krajské pozemkové úřady předkládají </w:t>
      </w:r>
      <w:r w:rsidR="003779EB" w:rsidRPr="007B6490">
        <w:rPr>
          <w:rFonts w:asciiTheme="minorHAnsi" w:hAnsiTheme="minorHAnsi" w:cstheme="minorHAnsi"/>
        </w:rPr>
        <w:t>navržený</w:t>
      </w:r>
      <w:r w:rsidRPr="007B6490">
        <w:rPr>
          <w:rFonts w:asciiTheme="minorHAnsi" w:hAnsiTheme="minorHAnsi" w:cstheme="minorHAnsi"/>
        </w:rPr>
        <w:t xml:space="preserve"> plán společných zařízení dotčeným orgánům státní správy, které mohou uplatnit svá stanoviska k tomuto návrhu. Mezi dotčené orgány státní správy patří mimo jiné orgány ochrany zemědělské</w:t>
      </w:r>
      <w:r w:rsidR="00E7298C">
        <w:rPr>
          <w:rFonts w:asciiTheme="minorHAnsi" w:hAnsiTheme="minorHAnsi" w:cstheme="minorHAnsi"/>
        </w:rPr>
        <w:t>ho</w:t>
      </w:r>
      <w:r w:rsidRPr="007B6490">
        <w:rPr>
          <w:rFonts w:asciiTheme="minorHAnsi" w:hAnsiTheme="minorHAnsi" w:cstheme="minorHAnsi"/>
        </w:rPr>
        <w:t xml:space="preserve"> půdního fondu</w:t>
      </w:r>
      <w:r w:rsidRPr="007B6490">
        <w:rPr>
          <w:rStyle w:val="Znakapoznpodarou"/>
          <w:rFonts w:asciiTheme="minorHAnsi" w:hAnsiTheme="minorHAnsi" w:cstheme="minorHAnsi"/>
        </w:rPr>
        <w:footnoteReference w:id="12"/>
      </w:r>
      <w:r w:rsidRPr="007B6490">
        <w:rPr>
          <w:rFonts w:asciiTheme="minorHAnsi" w:hAnsiTheme="minorHAnsi" w:cstheme="minorHAnsi"/>
        </w:rPr>
        <w:t>, vodoprávní úřady</w:t>
      </w:r>
      <w:r w:rsidRPr="007B6490">
        <w:rPr>
          <w:rStyle w:val="Znakapoznpodarou"/>
          <w:rFonts w:asciiTheme="minorHAnsi" w:hAnsiTheme="minorHAnsi" w:cstheme="minorHAnsi"/>
        </w:rPr>
        <w:footnoteReference w:id="13"/>
      </w:r>
      <w:r w:rsidRPr="007B6490">
        <w:rPr>
          <w:rFonts w:asciiTheme="minorHAnsi" w:hAnsiTheme="minorHAnsi" w:cstheme="minorHAnsi"/>
        </w:rPr>
        <w:t xml:space="preserve"> a orgány ochrany životního prostředí</w:t>
      </w:r>
      <w:r w:rsidRPr="007B6490">
        <w:rPr>
          <w:rStyle w:val="Znakapoznpodarou"/>
          <w:rFonts w:asciiTheme="minorHAnsi" w:hAnsiTheme="minorHAnsi" w:cstheme="minorHAnsi"/>
        </w:rPr>
        <w:footnoteReference w:id="14"/>
      </w:r>
      <w:r w:rsidRPr="007B6490">
        <w:rPr>
          <w:rFonts w:asciiTheme="minorHAnsi" w:hAnsiTheme="minorHAnsi" w:cstheme="minorHAnsi"/>
        </w:rPr>
        <w:t xml:space="preserve">. Pozemkový úřad po nabytí právní moci rozhodnutí o schválení návrhu pozemkové úpravy </w:t>
      </w:r>
      <w:r w:rsidR="0039161E" w:rsidRPr="007B6490">
        <w:rPr>
          <w:rFonts w:asciiTheme="minorHAnsi" w:hAnsiTheme="minorHAnsi" w:cstheme="minorHAnsi"/>
        </w:rPr>
        <w:t xml:space="preserve">předá </w:t>
      </w:r>
      <w:r w:rsidRPr="007B6490">
        <w:rPr>
          <w:rFonts w:asciiTheme="minorHAnsi" w:hAnsiTheme="minorHAnsi" w:cstheme="minorHAnsi"/>
        </w:rPr>
        <w:t xml:space="preserve">část návrhu </w:t>
      </w:r>
      <w:proofErr w:type="gramStart"/>
      <w:r w:rsidRPr="007B6490">
        <w:rPr>
          <w:rFonts w:asciiTheme="minorHAnsi" w:hAnsiTheme="minorHAnsi" w:cstheme="minorHAnsi"/>
        </w:rPr>
        <w:t>týkající</w:t>
      </w:r>
      <w:proofErr w:type="gramEnd"/>
      <w:r w:rsidRPr="007B6490">
        <w:rPr>
          <w:rFonts w:asciiTheme="minorHAnsi" w:hAnsiTheme="minorHAnsi" w:cstheme="minorHAnsi"/>
        </w:rPr>
        <w:t xml:space="preserve"> se plánu společných zařízení příslušnému obecnímu úřadu obce s rozšířenou působností. Dotčené orgány státní správy tak získají informac</w:t>
      </w:r>
      <w:r w:rsidR="0039161E">
        <w:rPr>
          <w:rFonts w:asciiTheme="minorHAnsi" w:hAnsiTheme="minorHAnsi" w:cstheme="minorHAnsi"/>
        </w:rPr>
        <w:t>e</w:t>
      </w:r>
      <w:r w:rsidRPr="007B6490">
        <w:rPr>
          <w:rFonts w:asciiTheme="minorHAnsi" w:hAnsiTheme="minorHAnsi" w:cstheme="minorHAnsi"/>
        </w:rPr>
        <w:t xml:space="preserve"> o navrhovaných protierozních opatřeních, opatřeních ke zlepšení vodního režimu krajiny a o navrhovaných opatřeních k ochraně a</w:t>
      </w:r>
      <w:r w:rsidR="0039161E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>tvorbě životního prostředí včetně parcelní</w:t>
      </w:r>
      <w:r w:rsidR="0039161E">
        <w:rPr>
          <w:rFonts w:asciiTheme="minorHAnsi" w:hAnsiTheme="minorHAnsi" w:cstheme="minorHAnsi"/>
        </w:rPr>
        <w:t>ch</w:t>
      </w:r>
      <w:r w:rsidRPr="007B6490">
        <w:rPr>
          <w:rFonts w:asciiTheme="minorHAnsi" w:hAnsiTheme="minorHAnsi" w:cstheme="minorHAnsi"/>
        </w:rPr>
        <w:t xml:space="preserve"> čís</w:t>
      </w:r>
      <w:r w:rsidR="0039161E">
        <w:rPr>
          <w:rFonts w:asciiTheme="minorHAnsi" w:hAnsiTheme="minorHAnsi" w:cstheme="minorHAnsi"/>
        </w:rPr>
        <w:t>el</w:t>
      </w:r>
      <w:r w:rsidRPr="007B6490">
        <w:rPr>
          <w:rFonts w:asciiTheme="minorHAnsi" w:hAnsiTheme="minorHAnsi" w:cstheme="minorHAnsi"/>
        </w:rPr>
        <w:t xml:space="preserve"> pozemk</w:t>
      </w:r>
      <w:r w:rsidR="0039161E">
        <w:rPr>
          <w:rFonts w:asciiTheme="minorHAnsi" w:hAnsiTheme="minorHAnsi" w:cstheme="minorHAnsi"/>
        </w:rPr>
        <w:t>ů</w:t>
      </w:r>
      <w:r w:rsidRPr="007B6490">
        <w:rPr>
          <w:rFonts w:asciiTheme="minorHAnsi" w:hAnsiTheme="minorHAnsi" w:cstheme="minorHAnsi"/>
        </w:rPr>
        <w:t>, na kter</w:t>
      </w:r>
      <w:r w:rsidR="0039161E">
        <w:rPr>
          <w:rFonts w:asciiTheme="minorHAnsi" w:hAnsiTheme="minorHAnsi" w:cstheme="minorHAnsi"/>
        </w:rPr>
        <w:t>ých</w:t>
      </w:r>
      <w:r w:rsidRPr="007B6490">
        <w:rPr>
          <w:rFonts w:asciiTheme="minorHAnsi" w:hAnsiTheme="minorHAnsi" w:cstheme="minorHAnsi"/>
        </w:rPr>
        <w:t xml:space="preserve"> j</w:t>
      </w:r>
      <w:r w:rsidR="0039161E">
        <w:rPr>
          <w:rFonts w:asciiTheme="minorHAnsi" w:hAnsiTheme="minorHAnsi" w:cstheme="minorHAnsi"/>
        </w:rPr>
        <w:t>sou</w:t>
      </w:r>
      <w:r w:rsidRPr="007B6490">
        <w:rPr>
          <w:rFonts w:asciiTheme="minorHAnsi" w:hAnsiTheme="minorHAnsi" w:cstheme="minorHAnsi"/>
        </w:rPr>
        <w:t xml:space="preserve"> společn</w:t>
      </w:r>
      <w:r w:rsidR="0039161E">
        <w:rPr>
          <w:rFonts w:asciiTheme="minorHAnsi" w:hAnsiTheme="minorHAnsi" w:cstheme="minorHAnsi"/>
        </w:rPr>
        <w:t>á</w:t>
      </w:r>
      <w:r w:rsidRPr="007B6490">
        <w:rPr>
          <w:rFonts w:asciiTheme="minorHAnsi" w:hAnsiTheme="minorHAnsi" w:cstheme="minorHAnsi"/>
        </w:rPr>
        <w:t xml:space="preserve"> zařízení navržen</w:t>
      </w:r>
      <w:r w:rsidR="0039161E">
        <w:rPr>
          <w:rFonts w:asciiTheme="minorHAnsi" w:hAnsiTheme="minorHAnsi" w:cstheme="minorHAnsi"/>
        </w:rPr>
        <w:t>a,</w:t>
      </w:r>
      <w:r w:rsidRPr="007B6490">
        <w:rPr>
          <w:rFonts w:asciiTheme="minorHAnsi" w:hAnsiTheme="minorHAnsi" w:cstheme="minorHAnsi"/>
        </w:rPr>
        <w:t xml:space="preserve"> a</w:t>
      </w:r>
      <w:r w:rsidR="0039161E">
        <w:rPr>
          <w:rFonts w:asciiTheme="minorHAnsi" w:hAnsiTheme="minorHAnsi" w:cstheme="minorHAnsi"/>
        </w:rPr>
        <w:t xml:space="preserve"> obdrží také</w:t>
      </w:r>
      <w:r w:rsidRPr="007B6490">
        <w:rPr>
          <w:rFonts w:asciiTheme="minorHAnsi" w:hAnsiTheme="minorHAnsi" w:cstheme="minorHAnsi"/>
        </w:rPr>
        <w:t xml:space="preserve"> informace o</w:t>
      </w:r>
      <w:r w:rsidR="000D140F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>vlastní</w:t>
      </w:r>
      <w:r w:rsidR="0039161E">
        <w:rPr>
          <w:rFonts w:asciiTheme="minorHAnsi" w:hAnsiTheme="minorHAnsi" w:cstheme="minorHAnsi"/>
        </w:rPr>
        <w:t>cích</w:t>
      </w:r>
      <w:r w:rsidRPr="007B6490">
        <w:rPr>
          <w:rFonts w:asciiTheme="minorHAnsi" w:hAnsiTheme="minorHAnsi" w:cstheme="minorHAnsi"/>
        </w:rPr>
        <w:t xml:space="preserve"> t</w:t>
      </w:r>
      <w:r w:rsidR="0039161E">
        <w:rPr>
          <w:rFonts w:asciiTheme="minorHAnsi" w:hAnsiTheme="minorHAnsi" w:cstheme="minorHAnsi"/>
        </w:rPr>
        <w:t>ěchto</w:t>
      </w:r>
      <w:r w:rsidRPr="007B6490">
        <w:rPr>
          <w:rFonts w:asciiTheme="minorHAnsi" w:hAnsiTheme="minorHAnsi" w:cstheme="minorHAnsi"/>
        </w:rPr>
        <w:t xml:space="preserve"> pozemk</w:t>
      </w:r>
      <w:r w:rsidR="0039161E">
        <w:rPr>
          <w:rFonts w:asciiTheme="minorHAnsi" w:hAnsiTheme="minorHAnsi" w:cstheme="minorHAnsi"/>
        </w:rPr>
        <w:t>ů</w:t>
      </w:r>
      <w:r w:rsidRPr="007B6490">
        <w:rPr>
          <w:rFonts w:asciiTheme="minorHAnsi" w:hAnsiTheme="minorHAnsi" w:cstheme="minorHAnsi"/>
        </w:rPr>
        <w:t>.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  <w:lang w:eastAsia="cs-CZ"/>
        </w:rPr>
      </w:pPr>
    </w:p>
    <w:p w:rsidR="006B2346" w:rsidRDefault="006B2346" w:rsidP="00105E17">
      <w:pPr>
        <w:jc w:val="both"/>
        <w:rPr>
          <w:rFonts w:asciiTheme="minorHAnsi" w:hAnsiTheme="minorHAnsi" w:cstheme="minorHAnsi"/>
        </w:rPr>
      </w:pPr>
      <w:r w:rsidRPr="007B6490">
        <w:rPr>
          <w:rFonts w:asciiTheme="minorHAnsi" w:hAnsiTheme="minorHAnsi" w:cstheme="minorHAnsi"/>
        </w:rPr>
        <w:t xml:space="preserve">Mezi </w:t>
      </w:r>
      <w:proofErr w:type="spellStart"/>
      <w:proofErr w:type="gramStart"/>
      <w:r w:rsidRPr="007B6490">
        <w:rPr>
          <w:rFonts w:asciiTheme="minorHAnsi" w:hAnsiTheme="minorHAnsi" w:cstheme="minorHAnsi"/>
        </w:rPr>
        <w:t>MZe</w:t>
      </w:r>
      <w:proofErr w:type="spellEnd"/>
      <w:proofErr w:type="gramEnd"/>
      <w:r w:rsidRPr="007B6490">
        <w:rPr>
          <w:rFonts w:asciiTheme="minorHAnsi" w:hAnsiTheme="minorHAnsi" w:cstheme="minorHAnsi"/>
        </w:rPr>
        <w:t xml:space="preserve"> a Ministerstvem životního prostředí </w:t>
      </w:r>
      <w:r w:rsidR="00BF5B44">
        <w:rPr>
          <w:rFonts w:asciiTheme="minorHAnsi" w:hAnsiTheme="minorHAnsi" w:cstheme="minorHAnsi"/>
        </w:rPr>
        <w:t>neprobíhá</w:t>
      </w:r>
      <w:r w:rsidRPr="007B6490">
        <w:rPr>
          <w:rFonts w:asciiTheme="minorHAnsi" w:hAnsiTheme="minorHAnsi" w:cstheme="minorHAnsi"/>
        </w:rPr>
        <w:t xml:space="preserve"> přímá spolupráce nebo koordinace postupu </w:t>
      </w:r>
      <w:r w:rsidR="00BF5B44">
        <w:rPr>
          <w:rFonts w:asciiTheme="minorHAnsi" w:hAnsiTheme="minorHAnsi" w:cstheme="minorHAnsi"/>
        </w:rPr>
        <w:t xml:space="preserve">ve věci </w:t>
      </w:r>
      <w:r w:rsidRPr="007B6490">
        <w:rPr>
          <w:rFonts w:asciiTheme="minorHAnsi" w:hAnsiTheme="minorHAnsi" w:cstheme="minorHAnsi"/>
        </w:rPr>
        <w:t>realizac</w:t>
      </w:r>
      <w:r w:rsidR="00BF5B44">
        <w:rPr>
          <w:rFonts w:asciiTheme="minorHAnsi" w:hAnsiTheme="minorHAnsi" w:cstheme="minorHAnsi"/>
        </w:rPr>
        <w:t>e</w:t>
      </w:r>
      <w:r w:rsidRPr="007B6490">
        <w:rPr>
          <w:rFonts w:asciiTheme="minorHAnsi" w:hAnsiTheme="minorHAnsi" w:cstheme="minorHAnsi"/>
        </w:rPr>
        <w:t xml:space="preserve"> a kontrol</w:t>
      </w:r>
      <w:r w:rsidR="00BF5B44">
        <w:rPr>
          <w:rFonts w:asciiTheme="minorHAnsi" w:hAnsiTheme="minorHAnsi" w:cstheme="minorHAnsi"/>
        </w:rPr>
        <w:t>y</w:t>
      </w:r>
      <w:r w:rsidRPr="007B6490">
        <w:rPr>
          <w:rFonts w:asciiTheme="minorHAnsi" w:hAnsiTheme="minorHAnsi" w:cstheme="minorHAnsi"/>
        </w:rPr>
        <w:t xml:space="preserve"> dodržování protierozních a</w:t>
      </w:r>
      <w:r w:rsidR="000D140F" w:rsidRPr="007B6490">
        <w:rPr>
          <w:rFonts w:asciiTheme="minorHAnsi" w:hAnsiTheme="minorHAnsi" w:cstheme="minorHAnsi"/>
        </w:rPr>
        <w:t> </w:t>
      </w:r>
      <w:r w:rsidRPr="007B6490">
        <w:rPr>
          <w:rFonts w:asciiTheme="minorHAnsi" w:hAnsiTheme="minorHAnsi" w:cstheme="minorHAnsi"/>
        </w:rPr>
        <w:t>vodohospodářských opatření navržených v pozemkových úpravách.</w:t>
      </w:r>
    </w:p>
    <w:p w:rsidR="00105E17" w:rsidRPr="007B6490" w:rsidRDefault="00105E17" w:rsidP="00105E17">
      <w:pPr>
        <w:jc w:val="both"/>
        <w:rPr>
          <w:rFonts w:asciiTheme="minorHAnsi" w:hAnsiTheme="minorHAnsi" w:cstheme="minorHAnsi"/>
        </w:rPr>
      </w:pPr>
    </w:p>
    <w:p w:rsidR="00B24B81" w:rsidRPr="007B6490" w:rsidRDefault="00BF5B44" w:rsidP="009C53F8">
      <w:pPr>
        <w:pStyle w:val="Nadpis1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6. </w:t>
      </w:r>
      <w:r w:rsidR="00BE14F2" w:rsidRPr="007B6490">
        <w:rPr>
          <w:rFonts w:asciiTheme="minorHAnsi" w:hAnsiTheme="minorHAnsi" w:cstheme="minorHAnsi"/>
          <w:sz w:val="24"/>
        </w:rPr>
        <w:t xml:space="preserve">Hodnocení </w:t>
      </w:r>
      <w:r w:rsidR="00BE14F2" w:rsidRPr="004E0207">
        <w:rPr>
          <w:rFonts w:asciiTheme="minorHAnsi" w:hAnsiTheme="minorHAnsi" w:cstheme="minorHAnsi"/>
          <w:sz w:val="24"/>
        </w:rPr>
        <w:t>realizovaných</w:t>
      </w:r>
      <w:r w:rsidR="00BE14F2" w:rsidRPr="007B6490">
        <w:rPr>
          <w:rFonts w:asciiTheme="minorHAnsi" w:hAnsiTheme="minorHAnsi" w:cstheme="minorHAnsi"/>
          <w:sz w:val="24"/>
        </w:rPr>
        <w:t xml:space="preserve"> pozemkových úprav</w:t>
      </w:r>
      <w:r w:rsidR="00534C2A">
        <w:rPr>
          <w:rFonts w:asciiTheme="minorHAnsi" w:hAnsiTheme="minorHAnsi" w:cstheme="minorHAnsi"/>
          <w:sz w:val="24"/>
        </w:rPr>
        <w:t xml:space="preserve"> </w:t>
      </w:r>
    </w:p>
    <w:p w:rsidR="00AE3A54" w:rsidRDefault="004F25EB" w:rsidP="00105E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Vyhodnocení </w:t>
      </w:r>
      <w:r w:rsidR="008E33E6" w:rsidRPr="00AE3A54">
        <w:rPr>
          <w:rFonts w:asciiTheme="minorHAnsi" w:hAnsiTheme="minorHAnsi" w:cstheme="minorHAnsi"/>
        </w:rPr>
        <w:t>cílů N</w:t>
      </w:r>
      <w:r w:rsidR="00BF5B44">
        <w:rPr>
          <w:rFonts w:asciiTheme="minorHAnsi" w:hAnsiTheme="minorHAnsi" w:cstheme="minorHAnsi"/>
        </w:rPr>
        <w:t>S</w:t>
      </w:r>
      <w:r w:rsidR="008E33E6" w:rsidRPr="00AE3A54">
        <w:rPr>
          <w:rFonts w:asciiTheme="minorHAnsi" w:hAnsiTheme="minorHAnsi" w:cstheme="minorHAnsi"/>
        </w:rPr>
        <w:t>PRV</w:t>
      </w:r>
      <w:r w:rsidR="00130B8B" w:rsidRPr="00AE3A54">
        <w:rPr>
          <w:rFonts w:asciiTheme="minorHAnsi" w:hAnsiTheme="minorHAnsi" w:cstheme="minorHAnsi"/>
        </w:rPr>
        <w:t xml:space="preserve"> </w:t>
      </w:r>
      <w:r w:rsidR="00BF5B44">
        <w:rPr>
          <w:rFonts w:asciiTheme="minorHAnsi" w:hAnsiTheme="minorHAnsi" w:cstheme="minorHAnsi"/>
        </w:rPr>
        <w:t>(</w:t>
      </w:r>
      <w:r w:rsidR="00130B8B" w:rsidRPr="00AE3A54">
        <w:rPr>
          <w:rFonts w:asciiTheme="minorHAnsi" w:hAnsiTheme="minorHAnsi" w:cstheme="minorHAnsi"/>
        </w:rPr>
        <w:t>tj.</w:t>
      </w:r>
      <w:r w:rsidR="008E33E6" w:rsidRPr="00AE3A54">
        <w:rPr>
          <w:rFonts w:asciiTheme="minorHAnsi" w:hAnsiTheme="minorHAnsi" w:cstheme="minorHAnsi"/>
        </w:rPr>
        <w:t xml:space="preserve"> zvýšení konkurenceschopnosti zemědělství a lesnictví</w:t>
      </w:r>
      <w:r w:rsidR="00FE356D" w:rsidRPr="00AE3A54">
        <w:rPr>
          <w:rFonts w:asciiTheme="minorHAnsi" w:hAnsiTheme="minorHAnsi" w:cstheme="minorHAnsi"/>
        </w:rPr>
        <w:t>,</w:t>
      </w:r>
      <w:r w:rsidR="008E33E6" w:rsidRPr="00AE3A54">
        <w:rPr>
          <w:rFonts w:asciiTheme="minorHAnsi" w:hAnsiTheme="minorHAnsi" w:cstheme="minorHAnsi"/>
        </w:rPr>
        <w:t xml:space="preserve"> zlepšení životního prostředí a krajiny</w:t>
      </w:r>
      <w:r w:rsidR="00BF5B44">
        <w:rPr>
          <w:rFonts w:asciiTheme="minorHAnsi" w:hAnsiTheme="minorHAnsi" w:cstheme="minorHAnsi"/>
        </w:rPr>
        <w:t>,</w:t>
      </w:r>
      <w:r w:rsidR="00FE356D" w:rsidRPr="00AE3A54">
        <w:rPr>
          <w:rFonts w:asciiTheme="minorHAnsi" w:hAnsiTheme="minorHAnsi" w:cstheme="minorHAnsi"/>
        </w:rPr>
        <w:t xml:space="preserve"> </w:t>
      </w:r>
      <w:r w:rsidR="00FE356D" w:rsidRPr="007E3B0B">
        <w:rPr>
          <w:rFonts w:asciiTheme="minorHAnsi" w:hAnsiTheme="minorHAnsi" w:cstheme="minorHAnsi"/>
        </w:rPr>
        <w:t>zlepšování kvality ži</w:t>
      </w:r>
      <w:r w:rsidR="00AE3A54" w:rsidRPr="007E3B0B">
        <w:rPr>
          <w:rFonts w:asciiTheme="minorHAnsi" w:hAnsiTheme="minorHAnsi" w:cstheme="minorHAnsi"/>
        </w:rPr>
        <w:t>vota ve venkovských oblastech a </w:t>
      </w:r>
      <w:r w:rsidR="00FE356D" w:rsidRPr="007E3B0B">
        <w:rPr>
          <w:rFonts w:asciiTheme="minorHAnsi" w:hAnsiTheme="minorHAnsi" w:cstheme="minorHAnsi"/>
        </w:rPr>
        <w:t>povzbuzení diverzifikace hospodářské činnosti</w:t>
      </w:r>
      <w:r w:rsidR="00BF5B44">
        <w:rPr>
          <w:rFonts w:asciiTheme="minorHAnsi" w:hAnsiTheme="minorHAnsi" w:cstheme="minorHAnsi"/>
        </w:rPr>
        <w:t>)</w:t>
      </w:r>
      <w:r w:rsidR="00416282">
        <w:rPr>
          <w:rFonts w:asciiTheme="minorHAnsi" w:hAnsiTheme="minorHAnsi" w:cstheme="minorHAnsi"/>
        </w:rPr>
        <w:t xml:space="preserve"> provádí</w:t>
      </w:r>
      <w:r w:rsidR="00FE356D" w:rsidRPr="007E3B0B">
        <w:rPr>
          <w:rFonts w:asciiTheme="minorHAnsi" w:hAnsiTheme="minorHAnsi" w:cstheme="minorHAnsi"/>
        </w:rPr>
        <w:t xml:space="preserve"> </w:t>
      </w:r>
      <w:proofErr w:type="spellStart"/>
      <w:r w:rsidR="008E33E6" w:rsidRPr="00AE3A54">
        <w:rPr>
          <w:rFonts w:asciiTheme="minorHAnsi" w:hAnsiTheme="minorHAnsi" w:cstheme="minorHAnsi"/>
        </w:rPr>
        <w:t>MZe</w:t>
      </w:r>
      <w:proofErr w:type="spellEnd"/>
      <w:r w:rsidR="008E33E6" w:rsidRPr="00AE3A54">
        <w:rPr>
          <w:rFonts w:asciiTheme="minorHAnsi" w:hAnsiTheme="minorHAnsi" w:cstheme="minorHAnsi"/>
        </w:rPr>
        <w:t xml:space="preserve"> </w:t>
      </w:r>
      <w:r w:rsidR="00FE356D" w:rsidRPr="00AE3A54">
        <w:rPr>
          <w:rFonts w:asciiTheme="minorHAnsi" w:hAnsiTheme="minorHAnsi" w:cstheme="minorHAnsi"/>
        </w:rPr>
        <w:t xml:space="preserve">v rámci průběžného hodnocení PRV </w:t>
      </w:r>
      <w:r w:rsidR="008E33E6" w:rsidRPr="00AE3A54">
        <w:rPr>
          <w:rFonts w:asciiTheme="minorHAnsi" w:hAnsiTheme="minorHAnsi" w:cstheme="minorHAnsi"/>
        </w:rPr>
        <w:t xml:space="preserve">pomocí případových studií. </w:t>
      </w:r>
      <w:r w:rsidR="00130B8B" w:rsidRPr="00AE3A54">
        <w:rPr>
          <w:rFonts w:asciiTheme="minorHAnsi" w:hAnsiTheme="minorHAnsi" w:cstheme="minorHAnsi"/>
        </w:rPr>
        <w:t xml:space="preserve">Pro oblast komplexních pozemkových úprav byly v roce 2013 </w:t>
      </w:r>
      <w:r w:rsidR="00BF5B44">
        <w:rPr>
          <w:rFonts w:asciiTheme="minorHAnsi" w:hAnsiTheme="minorHAnsi" w:cstheme="minorHAnsi"/>
        </w:rPr>
        <w:t>vy</w:t>
      </w:r>
      <w:r w:rsidR="00130B8B" w:rsidRPr="00AE3A54">
        <w:rPr>
          <w:rFonts w:asciiTheme="minorHAnsi" w:hAnsiTheme="minorHAnsi" w:cstheme="minorHAnsi"/>
        </w:rPr>
        <w:t>pracovány</w:t>
      </w:r>
      <w:r w:rsidR="008E33E6" w:rsidRPr="00AE3A54">
        <w:rPr>
          <w:rFonts w:asciiTheme="minorHAnsi" w:hAnsiTheme="minorHAnsi" w:cstheme="minorHAnsi"/>
        </w:rPr>
        <w:t xml:space="preserve"> dvě případové studie, ze</w:t>
      </w:r>
      <w:r w:rsidR="00BF5B44">
        <w:rPr>
          <w:rFonts w:asciiTheme="minorHAnsi" w:hAnsiTheme="minorHAnsi" w:cstheme="minorHAnsi"/>
        </w:rPr>
        <w:t xml:space="preserve"> </w:t>
      </w:r>
      <w:r w:rsidR="008E33E6" w:rsidRPr="00AE3A54">
        <w:rPr>
          <w:rFonts w:asciiTheme="minorHAnsi" w:hAnsiTheme="minorHAnsi" w:cstheme="minorHAnsi"/>
        </w:rPr>
        <w:t>kterých vyplýv</w:t>
      </w:r>
      <w:r w:rsidR="006C2592" w:rsidRPr="00AE3A54">
        <w:rPr>
          <w:rFonts w:asciiTheme="minorHAnsi" w:hAnsiTheme="minorHAnsi" w:cstheme="minorHAnsi"/>
        </w:rPr>
        <w:t>ají</w:t>
      </w:r>
      <w:r w:rsidR="008E33E6" w:rsidRPr="00AE3A54">
        <w:rPr>
          <w:rFonts w:asciiTheme="minorHAnsi" w:hAnsiTheme="minorHAnsi" w:cstheme="minorHAnsi"/>
        </w:rPr>
        <w:t xml:space="preserve"> přínosy </w:t>
      </w:r>
      <w:proofErr w:type="spellStart"/>
      <w:r w:rsidR="008E33E6" w:rsidRPr="00AE3A54">
        <w:rPr>
          <w:rFonts w:asciiTheme="minorHAnsi" w:hAnsiTheme="minorHAnsi" w:cstheme="minorHAnsi"/>
        </w:rPr>
        <w:t>KoPÚ</w:t>
      </w:r>
      <w:proofErr w:type="spellEnd"/>
      <w:r w:rsidR="008E33E6" w:rsidRPr="00AE3A54">
        <w:rPr>
          <w:rFonts w:asciiTheme="minorHAnsi" w:hAnsiTheme="minorHAnsi" w:cstheme="minorHAnsi"/>
        </w:rPr>
        <w:t xml:space="preserve"> </w:t>
      </w:r>
      <w:r w:rsidR="00FE356D" w:rsidRPr="00AE3A54">
        <w:rPr>
          <w:rFonts w:asciiTheme="minorHAnsi" w:hAnsiTheme="minorHAnsi" w:cstheme="minorHAnsi"/>
        </w:rPr>
        <w:t xml:space="preserve">zejména </w:t>
      </w:r>
      <w:r w:rsidR="008E33E6" w:rsidRPr="00AE3A54">
        <w:rPr>
          <w:rFonts w:asciiTheme="minorHAnsi" w:hAnsiTheme="minorHAnsi" w:cstheme="minorHAnsi"/>
        </w:rPr>
        <w:t>pro</w:t>
      </w:r>
      <w:r w:rsidR="00BF5B44">
        <w:rPr>
          <w:rFonts w:asciiTheme="minorHAnsi" w:hAnsiTheme="minorHAnsi" w:cstheme="minorHAnsi"/>
        </w:rPr>
        <w:t xml:space="preserve"> </w:t>
      </w:r>
      <w:r w:rsidR="008E33E6" w:rsidRPr="00AE3A54">
        <w:rPr>
          <w:rFonts w:asciiTheme="minorHAnsi" w:hAnsiTheme="minorHAnsi" w:cstheme="minorHAnsi"/>
        </w:rPr>
        <w:t>vlastníky pozemků a</w:t>
      </w:r>
      <w:r w:rsidR="00BF5B44">
        <w:rPr>
          <w:rFonts w:asciiTheme="minorHAnsi" w:hAnsiTheme="minorHAnsi" w:cstheme="minorHAnsi"/>
        </w:rPr>
        <w:t xml:space="preserve"> </w:t>
      </w:r>
      <w:r w:rsidR="008E33E6" w:rsidRPr="00AE3A54">
        <w:rPr>
          <w:rFonts w:asciiTheme="minorHAnsi" w:hAnsiTheme="minorHAnsi" w:cstheme="minorHAnsi"/>
        </w:rPr>
        <w:t>pro</w:t>
      </w:r>
      <w:r w:rsidR="00BF5B44">
        <w:rPr>
          <w:rFonts w:asciiTheme="minorHAnsi" w:hAnsiTheme="minorHAnsi" w:cstheme="minorHAnsi"/>
        </w:rPr>
        <w:t xml:space="preserve"> </w:t>
      </w:r>
      <w:r w:rsidR="008E33E6" w:rsidRPr="00AE3A54">
        <w:rPr>
          <w:rFonts w:asciiTheme="minorHAnsi" w:hAnsiTheme="minorHAnsi" w:cstheme="minorHAnsi"/>
        </w:rPr>
        <w:t xml:space="preserve">obce </w:t>
      </w:r>
      <w:r w:rsidR="00BF5B44">
        <w:rPr>
          <w:rFonts w:asciiTheme="minorHAnsi" w:hAnsiTheme="minorHAnsi" w:cstheme="minorHAnsi"/>
        </w:rPr>
        <w:t xml:space="preserve">– přínosem je především </w:t>
      </w:r>
      <w:r w:rsidR="004E0207" w:rsidRPr="00AE3A54">
        <w:rPr>
          <w:rFonts w:asciiTheme="minorHAnsi" w:hAnsiTheme="minorHAnsi" w:cstheme="minorHAnsi"/>
        </w:rPr>
        <w:t>identifikac</w:t>
      </w:r>
      <w:r w:rsidR="00BF5B44">
        <w:rPr>
          <w:rFonts w:asciiTheme="minorHAnsi" w:hAnsiTheme="minorHAnsi" w:cstheme="minorHAnsi"/>
        </w:rPr>
        <w:t>e</w:t>
      </w:r>
      <w:r w:rsidR="004E0207" w:rsidRPr="00AE3A54">
        <w:rPr>
          <w:rFonts w:asciiTheme="minorHAnsi" w:hAnsiTheme="minorHAnsi" w:cstheme="minorHAnsi"/>
        </w:rPr>
        <w:t xml:space="preserve"> pozemků a</w:t>
      </w:r>
      <w:r w:rsidR="00C90283">
        <w:rPr>
          <w:rFonts w:asciiTheme="minorHAnsi" w:hAnsiTheme="minorHAnsi" w:cstheme="minorHAnsi"/>
        </w:rPr>
        <w:t> </w:t>
      </w:r>
      <w:r w:rsidR="008E33E6" w:rsidRPr="00AE3A54">
        <w:rPr>
          <w:rFonts w:asciiTheme="minorHAnsi" w:hAnsiTheme="minorHAnsi" w:cstheme="minorHAnsi"/>
        </w:rPr>
        <w:t>vy</w:t>
      </w:r>
      <w:r w:rsidR="00FE356D" w:rsidRPr="00AE3A54">
        <w:rPr>
          <w:rFonts w:asciiTheme="minorHAnsi" w:hAnsiTheme="minorHAnsi" w:cstheme="minorHAnsi"/>
        </w:rPr>
        <w:t xml:space="preserve">pořádání </w:t>
      </w:r>
      <w:r w:rsidR="008E33E6" w:rsidRPr="00AE3A54">
        <w:rPr>
          <w:rFonts w:asciiTheme="minorHAnsi" w:hAnsiTheme="minorHAnsi" w:cstheme="minorHAnsi"/>
        </w:rPr>
        <w:t>vlastnick</w:t>
      </w:r>
      <w:r w:rsidR="004E0207" w:rsidRPr="00AE3A54">
        <w:rPr>
          <w:rFonts w:asciiTheme="minorHAnsi" w:hAnsiTheme="minorHAnsi" w:cstheme="minorHAnsi"/>
        </w:rPr>
        <w:t>ých vztahů.</w:t>
      </w:r>
      <w:r w:rsidR="008E33E6" w:rsidRPr="00AE3A54">
        <w:rPr>
          <w:rFonts w:asciiTheme="minorHAnsi" w:hAnsiTheme="minorHAnsi" w:cstheme="minorHAnsi"/>
        </w:rPr>
        <w:t xml:space="preserve"> </w:t>
      </w:r>
      <w:r w:rsidR="00130B8B" w:rsidRPr="00AE3A54">
        <w:rPr>
          <w:rFonts w:asciiTheme="minorHAnsi" w:hAnsiTheme="minorHAnsi" w:cstheme="minorHAnsi"/>
        </w:rPr>
        <w:t>Ostatní z</w:t>
      </w:r>
      <w:r w:rsidR="008E33E6" w:rsidRPr="00AE3A54">
        <w:rPr>
          <w:rFonts w:asciiTheme="minorHAnsi" w:hAnsiTheme="minorHAnsi" w:cstheme="minorHAnsi"/>
        </w:rPr>
        <w:t xml:space="preserve">emědělské subjekty, které hospodaří ve větší míře na </w:t>
      </w:r>
      <w:r w:rsidR="008E33E6" w:rsidRPr="005916A8">
        <w:rPr>
          <w:rFonts w:asciiTheme="minorHAnsi" w:hAnsiTheme="minorHAnsi" w:cstheme="minorHAnsi"/>
        </w:rPr>
        <w:t xml:space="preserve">pronajatých pozemcích, </w:t>
      </w:r>
      <w:r w:rsidR="00FE356D" w:rsidRPr="005916A8">
        <w:rPr>
          <w:rFonts w:asciiTheme="minorHAnsi" w:hAnsiTheme="minorHAnsi" w:cstheme="minorHAnsi"/>
        </w:rPr>
        <w:t xml:space="preserve">hodnotí </w:t>
      </w:r>
      <w:r w:rsidR="000D5027" w:rsidRPr="005916A8">
        <w:rPr>
          <w:rFonts w:asciiTheme="minorHAnsi" w:hAnsiTheme="minorHAnsi" w:cstheme="minorHAnsi"/>
        </w:rPr>
        <w:t xml:space="preserve">pozitivně </w:t>
      </w:r>
      <w:r w:rsidR="004E0207" w:rsidRPr="005916A8">
        <w:rPr>
          <w:rFonts w:asciiTheme="minorHAnsi" w:hAnsiTheme="minorHAnsi" w:cstheme="minorHAnsi"/>
        </w:rPr>
        <w:t xml:space="preserve">zejména </w:t>
      </w:r>
      <w:r w:rsidR="00AE3A54" w:rsidRPr="005916A8">
        <w:rPr>
          <w:rFonts w:asciiTheme="minorHAnsi" w:hAnsiTheme="minorHAnsi" w:cstheme="minorHAnsi"/>
        </w:rPr>
        <w:t>vyjasnění vlastnické struktury a </w:t>
      </w:r>
      <w:r w:rsidR="004E0207" w:rsidRPr="005916A8">
        <w:rPr>
          <w:rFonts w:asciiTheme="minorHAnsi" w:hAnsiTheme="minorHAnsi" w:cstheme="minorHAnsi"/>
        </w:rPr>
        <w:t>zajištění dostupnosti pozemků</w:t>
      </w:r>
      <w:r w:rsidR="00AE3A54" w:rsidRPr="005916A8">
        <w:rPr>
          <w:rFonts w:asciiTheme="minorHAnsi" w:hAnsiTheme="minorHAnsi" w:cstheme="minorHAnsi"/>
        </w:rPr>
        <w:t>, resp.</w:t>
      </w:r>
      <w:r w:rsidR="004E0207" w:rsidRPr="005916A8">
        <w:rPr>
          <w:rFonts w:asciiTheme="minorHAnsi" w:hAnsiTheme="minorHAnsi" w:cstheme="minorHAnsi"/>
        </w:rPr>
        <w:t xml:space="preserve"> </w:t>
      </w:r>
      <w:r w:rsidR="000D5027" w:rsidRPr="005916A8">
        <w:rPr>
          <w:rFonts w:asciiTheme="minorHAnsi" w:hAnsiTheme="minorHAnsi" w:cstheme="minorHAnsi"/>
        </w:rPr>
        <w:t>zlepšení infrastruktury</w:t>
      </w:r>
      <w:r w:rsidR="004E0207" w:rsidRPr="005916A8">
        <w:rPr>
          <w:rFonts w:asciiTheme="minorHAnsi" w:hAnsiTheme="minorHAnsi" w:cstheme="minorHAnsi"/>
        </w:rPr>
        <w:t xml:space="preserve"> sloužící zemědělské činnosti</w:t>
      </w:r>
      <w:r w:rsidR="00AE3A54" w:rsidRPr="005916A8">
        <w:rPr>
          <w:rFonts w:asciiTheme="minorHAnsi" w:hAnsiTheme="minorHAnsi" w:cstheme="minorHAnsi"/>
        </w:rPr>
        <w:t>.</w:t>
      </w:r>
    </w:p>
    <w:p w:rsidR="00105E17" w:rsidRPr="005916A8" w:rsidRDefault="00105E17" w:rsidP="00105E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50F89" w:rsidRDefault="000D5027" w:rsidP="007B6490">
      <w:pPr>
        <w:jc w:val="both"/>
        <w:rPr>
          <w:rFonts w:asciiTheme="minorHAnsi" w:hAnsiTheme="minorHAnsi" w:cstheme="minorHAnsi"/>
        </w:rPr>
      </w:pPr>
      <w:proofErr w:type="spellStart"/>
      <w:r w:rsidRPr="00AE3A54">
        <w:rPr>
          <w:rFonts w:asciiTheme="minorHAnsi" w:hAnsiTheme="minorHAnsi" w:cstheme="minorHAnsi"/>
        </w:rPr>
        <w:t>MZe</w:t>
      </w:r>
      <w:proofErr w:type="spellEnd"/>
      <w:r w:rsidRPr="00AE3A54">
        <w:rPr>
          <w:rFonts w:asciiTheme="minorHAnsi" w:hAnsiTheme="minorHAnsi" w:cstheme="minorHAnsi"/>
        </w:rPr>
        <w:t xml:space="preserve"> vzhledem k dlouhodobosti a obtížné měřitelnosti nastavených cílů </w:t>
      </w:r>
      <w:r w:rsidR="00416282">
        <w:rPr>
          <w:rFonts w:asciiTheme="minorHAnsi" w:hAnsiTheme="minorHAnsi" w:cstheme="minorHAnsi"/>
        </w:rPr>
        <w:t xml:space="preserve">nevyhodnocuje </w:t>
      </w:r>
      <w:r w:rsidRPr="00C90283">
        <w:rPr>
          <w:rFonts w:asciiTheme="minorHAnsi" w:hAnsiTheme="minorHAnsi" w:cstheme="minorHAnsi"/>
        </w:rPr>
        <w:t>systematicky</w:t>
      </w:r>
      <w:r w:rsidRPr="00416282">
        <w:rPr>
          <w:rFonts w:asciiTheme="minorHAnsi" w:hAnsiTheme="minorHAnsi" w:cstheme="minorHAnsi"/>
        </w:rPr>
        <w:t xml:space="preserve"> </w:t>
      </w:r>
      <w:r w:rsidRPr="00AE3A54">
        <w:rPr>
          <w:rFonts w:asciiTheme="minorHAnsi" w:hAnsiTheme="minorHAnsi" w:cstheme="minorHAnsi"/>
        </w:rPr>
        <w:t xml:space="preserve">účinnost opatření realizovaných </w:t>
      </w:r>
      <w:r w:rsidR="00BF5B44">
        <w:rPr>
          <w:rFonts w:asciiTheme="minorHAnsi" w:hAnsiTheme="minorHAnsi" w:cstheme="minorHAnsi"/>
        </w:rPr>
        <w:t xml:space="preserve">na základě PSZ </w:t>
      </w:r>
      <w:r w:rsidRPr="00AE3A54">
        <w:rPr>
          <w:rFonts w:asciiTheme="minorHAnsi" w:hAnsiTheme="minorHAnsi" w:cstheme="minorHAnsi"/>
        </w:rPr>
        <w:t>v oblasti zlepšení životního prostředí a krajiny, ekologické stability a odtokových poměrů krajiny.</w:t>
      </w:r>
      <w:r>
        <w:rPr>
          <w:rFonts w:asciiTheme="minorHAnsi" w:hAnsiTheme="minorHAnsi" w:cstheme="minorHAnsi"/>
        </w:rPr>
        <w:t xml:space="preserve"> </w:t>
      </w:r>
      <w:r w:rsidR="00F712E5" w:rsidRPr="00AE3A54">
        <w:rPr>
          <w:rFonts w:asciiTheme="minorHAnsi" w:hAnsiTheme="minorHAnsi" w:cstheme="minorHAnsi"/>
        </w:rPr>
        <w:t xml:space="preserve">Za účelem </w:t>
      </w:r>
      <w:r w:rsidR="00207C2F" w:rsidRPr="00AE3A54">
        <w:rPr>
          <w:rFonts w:asciiTheme="minorHAnsi" w:hAnsiTheme="minorHAnsi" w:cstheme="minorHAnsi"/>
        </w:rPr>
        <w:t>vytvoření</w:t>
      </w:r>
      <w:r w:rsidR="00850F89" w:rsidRPr="00AE3A54">
        <w:rPr>
          <w:rFonts w:asciiTheme="minorHAnsi" w:hAnsiTheme="minorHAnsi" w:cstheme="minorHAnsi"/>
        </w:rPr>
        <w:t xml:space="preserve"> hodnot</w:t>
      </w:r>
      <w:r w:rsidR="00BF5B44">
        <w:rPr>
          <w:rFonts w:asciiTheme="minorHAnsi" w:hAnsiTheme="minorHAnsi" w:cstheme="minorHAnsi"/>
        </w:rPr>
        <w:t>i</w:t>
      </w:r>
      <w:r w:rsidR="00850F89" w:rsidRPr="00AE3A54">
        <w:rPr>
          <w:rFonts w:asciiTheme="minorHAnsi" w:hAnsiTheme="minorHAnsi" w:cstheme="minorHAnsi"/>
        </w:rPr>
        <w:t xml:space="preserve">cího nástroje schválilo </w:t>
      </w:r>
      <w:proofErr w:type="spellStart"/>
      <w:r w:rsidR="00850F89" w:rsidRPr="00AE3A54">
        <w:rPr>
          <w:rFonts w:asciiTheme="minorHAnsi" w:hAnsiTheme="minorHAnsi" w:cstheme="minorHAnsi"/>
        </w:rPr>
        <w:t>MZe</w:t>
      </w:r>
      <w:proofErr w:type="spellEnd"/>
      <w:r w:rsidR="00850F89" w:rsidRPr="00AE3A54">
        <w:rPr>
          <w:rFonts w:asciiTheme="minorHAnsi" w:hAnsiTheme="minorHAnsi" w:cstheme="minorHAnsi"/>
        </w:rPr>
        <w:t xml:space="preserve"> </w:t>
      </w:r>
      <w:r w:rsidR="00F712E5" w:rsidRPr="00AE3A54">
        <w:rPr>
          <w:rFonts w:asciiTheme="minorHAnsi" w:hAnsiTheme="minorHAnsi" w:cstheme="minorHAnsi"/>
        </w:rPr>
        <w:t xml:space="preserve">projekt </w:t>
      </w:r>
      <w:r w:rsidR="00F712E5" w:rsidRPr="00170342">
        <w:rPr>
          <w:rFonts w:asciiTheme="minorHAnsi" w:hAnsiTheme="minorHAnsi" w:cstheme="minorHAnsi"/>
          <w:i/>
        </w:rPr>
        <w:t>Hodnocení účinnosti realizace komplexních pozemkových úprav</w:t>
      </w:r>
      <w:r w:rsidR="004F7684" w:rsidRPr="00AE3A54">
        <w:rPr>
          <w:rFonts w:asciiTheme="minorHAnsi" w:hAnsiTheme="minorHAnsi" w:cstheme="minorHAnsi"/>
          <w:i/>
        </w:rPr>
        <w:t xml:space="preserve">, </w:t>
      </w:r>
      <w:r w:rsidR="004F7684" w:rsidRPr="00AE3A54">
        <w:rPr>
          <w:rFonts w:asciiTheme="minorHAnsi" w:hAnsiTheme="minorHAnsi" w:cstheme="minorHAnsi"/>
        </w:rPr>
        <w:t xml:space="preserve">který </w:t>
      </w:r>
      <w:r w:rsidR="007767A1" w:rsidRPr="00AE3A54">
        <w:rPr>
          <w:rFonts w:asciiTheme="minorHAnsi" w:hAnsiTheme="minorHAnsi" w:cstheme="minorHAnsi"/>
        </w:rPr>
        <w:t>byl realizov</w:t>
      </w:r>
      <w:r w:rsidR="00BF5B44">
        <w:rPr>
          <w:rFonts w:asciiTheme="minorHAnsi" w:hAnsiTheme="minorHAnsi" w:cstheme="minorHAnsi"/>
        </w:rPr>
        <w:t>án</w:t>
      </w:r>
      <w:r w:rsidR="007767A1" w:rsidRPr="00AE3A54">
        <w:rPr>
          <w:rFonts w:asciiTheme="minorHAnsi" w:hAnsiTheme="minorHAnsi" w:cstheme="minorHAnsi"/>
        </w:rPr>
        <w:t xml:space="preserve"> v letech 2009</w:t>
      </w:r>
      <w:r w:rsidR="00140C7E" w:rsidRPr="00AE3A54">
        <w:rPr>
          <w:rFonts w:asciiTheme="minorHAnsi" w:hAnsiTheme="minorHAnsi" w:cstheme="minorHAnsi"/>
        </w:rPr>
        <w:t>–</w:t>
      </w:r>
      <w:r w:rsidR="007767A1" w:rsidRPr="00AE3A54">
        <w:rPr>
          <w:rFonts w:asciiTheme="minorHAnsi" w:hAnsiTheme="minorHAnsi" w:cstheme="minorHAnsi"/>
        </w:rPr>
        <w:t>2013 vybranými vysokými školami</w:t>
      </w:r>
      <w:r w:rsidR="004F7684" w:rsidRPr="00AE3A54">
        <w:rPr>
          <w:rFonts w:asciiTheme="minorHAnsi" w:hAnsiTheme="minorHAnsi" w:cstheme="minorHAnsi"/>
        </w:rPr>
        <w:t>.</w:t>
      </w:r>
      <w:r w:rsidR="00BF5B44">
        <w:rPr>
          <w:rFonts w:asciiTheme="minorHAnsi" w:hAnsiTheme="minorHAnsi" w:cstheme="minorHAnsi"/>
        </w:rPr>
        <w:t xml:space="preserve"> </w:t>
      </w:r>
      <w:r w:rsidR="0087593F" w:rsidRPr="00AE3A54">
        <w:rPr>
          <w:rFonts w:asciiTheme="minorHAnsi" w:hAnsiTheme="minorHAnsi" w:cstheme="minorHAnsi"/>
        </w:rPr>
        <w:t>C</w:t>
      </w:r>
      <w:r w:rsidR="00850F89" w:rsidRPr="00AE3A54">
        <w:rPr>
          <w:rFonts w:asciiTheme="minorHAnsi" w:hAnsiTheme="minorHAnsi" w:cstheme="minorHAnsi"/>
        </w:rPr>
        <w:t xml:space="preserve">ílem </w:t>
      </w:r>
      <w:r w:rsidR="0087593F" w:rsidRPr="00AE3A54">
        <w:rPr>
          <w:rFonts w:asciiTheme="minorHAnsi" w:hAnsiTheme="minorHAnsi" w:cstheme="minorHAnsi"/>
        </w:rPr>
        <w:t xml:space="preserve">projektu </w:t>
      </w:r>
      <w:r w:rsidR="00850F89" w:rsidRPr="00AE3A54">
        <w:rPr>
          <w:rFonts w:asciiTheme="minorHAnsi" w:hAnsiTheme="minorHAnsi" w:cstheme="minorHAnsi"/>
        </w:rPr>
        <w:t>bylo navrhnout metodiku hodnocení účinnosti projekce a</w:t>
      </w:r>
      <w:r w:rsidR="00C90283">
        <w:rPr>
          <w:rFonts w:asciiTheme="minorHAnsi" w:hAnsiTheme="minorHAnsi" w:cstheme="minorHAnsi"/>
        </w:rPr>
        <w:t> </w:t>
      </w:r>
      <w:r w:rsidR="00850F89" w:rsidRPr="00AE3A54">
        <w:rPr>
          <w:rFonts w:asciiTheme="minorHAnsi" w:hAnsiTheme="minorHAnsi" w:cstheme="minorHAnsi"/>
        </w:rPr>
        <w:t>realizace</w:t>
      </w:r>
      <w:r w:rsidR="00850F89" w:rsidRPr="00D5569B">
        <w:rPr>
          <w:rFonts w:asciiTheme="minorHAnsi" w:hAnsiTheme="minorHAnsi" w:cstheme="minorHAnsi"/>
        </w:rPr>
        <w:t xml:space="preserve"> </w:t>
      </w:r>
      <w:r w:rsidR="0087593F" w:rsidRPr="00D5569B">
        <w:rPr>
          <w:rFonts w:asciiTheme="minorHAnsi" w:hAnsiTheme="minorHAnsi" w:cstheme="minorHAnsi"/>
        </w:rPr>
        <w:t>pozemkových úprav</w:t>
      </w:r>
      <w:r w:rsidR="00A5608F" w:rsidRPr="00D5569B">
        <w:rPr>
          <w:rFonts w:asciiTheme="minorHAnsi" w:hAnsiTheme="minorHAnsi" w:cstheme="minorHAnsi"/>
        </w:rPr>
        <w:t>, ověřit vliv realizace pozemkových úprav na jednotlivé komponenty krajiny a optimalizovat projekci plánu společných zařízení</w:t>
      </w:r>
      <w:r w:rsidR="0087593F" w:rsidRPr="00D5569B">
        <w:rPr>
          <w:rFonts w:asciiTheme="minorHAnsi" w:hAnsiTheme="minorHAnsi" w:cstheme="minorHAnsi"/>
        </w:rPr>
        <w:t xml:space="preserve"> s ohledem na jejich vzájemné propojení</w:t>
      </w:r>
      <w:r w:rsidR="00A5608F" w:rsidRPr="00D5569B">
        <w:rPr>
          <w:rFonts w:asciiTheme="minorHAnsi" w:hAnsiTheme="minorHAnsi" w:cstheme="minorHAnsi"/>
        </w:rPr>
        <w:t>.</w:t>
      </w:r>
    </w:p>
    <w:p w:rsidR="00105E17" w:rsidRPr="00D5569B" w:rsidRDefault="00105E17" w:rsidP="00957FC8">
      <w:pPr>
        <w:jc w:val="both"/>
        <w:rPr>
          <w:rFonts w:asciiTheme="minorHAnsi" w:hAnsiTheme="minorHAnsi" w:cstheme="minorHAnsi"/>
        </w:rPr>
      </w:pPr>
    </w:p>
    <w:p w:rsidR="0087593F" w:rsidRPr="00416282" w:rsidRDefault="00C21AA9" w:rsidP="00957FC8">
      <w:pPr>
        <w:jc w:val="both"/>
        <w:rPr>
          <w:rFonts w:asciiTheme="minorHAnsi" w:hAnsiTheme="minorHAnsi" w:cstheme="minorHAnsi"/>
        </w:rPr>
      </w:pPr>
      <w:r w:rsidRPr="00D5569B">
        <w:rPr>
          <w:rFonts w:asciiTheme="minorHAnsi" w:hAnsiTheme="minorHAnsi" w:cstheme="minorHAnsi"/>
        </w:rPr>
        <w:t>Projekt byl v roce 2013 dokončen a d</w:t>
      </w:r>
      <w:r w:rsidR="00850F89" w:rsidRPr="00D5569B">
        <w:rPr>
          <w:rFonts w:asciiTheme="minorHAnsi" w:hAnsiTheme="minorHAnsi" w:cstheme="minorHAnsi"/>
        </w:rPr>
        <w:t xml:space="preserve">le </w:t>
      </w:r>
      <w:r w:rsidR="008761D2">
        <w:rPr>
          <w:rFonts w:asciiTheme="minorHAnsi" w:hAnsiTheme="minorHAnsi" w:cstheme="minorHAnsi"/>
        </w:rPr>
        <w:t>z</w:t>
      </w:r>
      <w:r w:rsidR="00850F89" w:rsidRPr="00D5569B">
        <w:rPr>
          <w:rFonts w:asciiTheme="minorHAnsi" w:hAnsiTheme="minorHAnsi" w:cstheme="minorHAnsi"/>
        </w:rPr>
        <w:t xml:space="preserve">ávěrečné zprávy byl cíl </w:t>
      </w:r>
      <w:r w:rsidR="008761D2" w:rsidRPr="00D5569B">
        <w:rPr>
          <w:rFonts w:asciiTheme="minorHAnsi" w:hAnsiTheme="minorHAnsi" w:cstheme="minorHAnsi"/>
        </w:rPr>
        <w:t xml:space="preserve">projektu </w:t>
      </w:r>
      <w:r w:rsidR="00850F89" w:rsidRPr="00D5569B">
        <w:rPr>
          <w:rFonts w:asciiTheme="minorHAnsi" w:hAnsiTheme="minorHAnsi" w:cstheme="minorHAnsi"/>
        </w:rPr>
        <w:t>splněn</w:t>
      </w:r>
      <w:r w:rsidR="0087593F" w:rsidRPr="00D5569B">
        <w:rPr>
          <w:rFonts w:asciiTheme="minorHAnsi" w:hAnsiTheme="minorHAnsi" w:cstheme="minorHAnsi"/>
        </w:rPr>
        <w:t>. V</w:t>
      </w:r>
      <w:r w:rsidR="00850F89" w:rsidRPr="00D5569B">
        <w:rPr>
          <w:rFonts w:asciiTheme="minorHAnsi" w:hAnsiTheme="minorHAnsi" w:cstheme="minorHAnsi"/>
          <w:lang w:eastAsia="cs-CZ"/>
        </w:rPr>
        <w:t>ýsledkem</w:t>
      </w:r>
      <w:r w:rsidR="0087593F" w:rsidRPr="00D5569B">
        <w:rPr>
          <w:rFonts w:asciiTheme="minorHAnsi" w:hAnsiTheme="minorHAnsi" w:cstheme="minorHAnsi"/>
          <w:lang w:eastAsia="cs-CZ"/>
        </w:rPr>
        <w:t xml:space="preserve"> </w:t>
      </w:r>
      <w:r w:rsidR="00850F89" w:rsidRPr="00D5569B">
        <w:rPr>
          <w:rFonts w:asciiTheme="minorHAnsi" w:hAnsiTheme="minorHAnsi" w:cstheme="minorHAnsi"/>
          <w:lang w:eastAsia="cs-CZ"/>
        </w:rPr>
        <w:t xml:space="preserve">je </w:t>
      </w:r>
      <w:r w:rsidR="008761D2">
        <w:rPr>
          <w:rFonts w:asciiTheme="minorHAnsi" w:hAnsiTheme="minorHAnsi" w:cstheme="minorHAnsi"/>
          <w:lang w:eastAsia="cs-CZ"/>
        </w:rPr>
        <w:t>m</w:t>
      </w:r>
      <w:r w:rsidR="00850F89" w:rsidRPr="00D5569B">
        <w:rPr>
          <w:rFonts w:asciiTheme="minorHAnsi" w:hAnsiTheme="minorHAnsi" w:cstheme="minorHAnsi"/>
          <w:lang w:eastAsia="cs-CZ"/>
        </w:rPr>
        <w:t xml:space="preserve">etodika hodnocení účinnosti projekce a realizace </w:t>
      </w:r>
      <w:proofErr w:type="spellStart"/>
      <w:r w:rsidR="00850F89" w:rsidRPr="00D5569B">
        <w:rPr>
          <w:rFonts w:asciiTheme="minorHAnsi" w:hAnsiTheme="minorHAnsi" w:cstheme="minorHAnsi"/>
          <w:lang w:eastAsia="cs-CZ"/>
        </w:rPr>
        <w:t>KoPÚ</w:t>
      </w:r>
      <w:proofErr w:type="spellEnd"/>
      <w:r w:rsidR="00850F89" w:rsidRPr="00D5569B">
        <w:rPr>
          <w:rFonts w:asciiTheme="minorHAnsi" w:hAnsiTheme="minorHAnsi" w:cstheme="minorHAnsi"/>
          <w:lang w:eastAsia="cs-CZ"/>
        </w:rPr>
        <w:t xml:space="preserve"> </w:t>
      </w:r>
      <w:r w:rsidR="00850F89" w:rsidRPr="00D5569B">
        <w:rPr>
          <w:rFonts w:asciiTheme="minorHAnsi" w:hAnsiTheme="minorHAnsi" w:cstheme="minorHAnsi"/>
        </w:rPr>
        <w:t xml:space="preserve">a software pro </w:t>
      </w:r>
      <w:r w:rsidR="008761D2">
        <w:rPr>
          <w:rFonts w:asciiTheme="minorHAnsi" w:hAnsiTheme="minorHAnsi" w:cstheme="minorHAnsi"/>
        </w:rPr>
        <w:t>h</w:t>
      </w:r>
      <w:r w:rsidR="00850F89" w:rsidRPr="008761D2">
        <w:rPr>
          <w:rFonts w:asciiTheme="minorHAnsi" w:hAnsiTheme="minorHAnsi" w:cstheme="minorHAnsi"/>
        </w:rPr>
        <w:t xml:space="preserve">odnocení účinnosti projekce a realizace </w:t>
      </w:r>
      <w:proofErr w:type="spellStart"/>
      <w:r w:rsidR="008761D2">
        <w:rPr>
          <w:rFonts w:asciiTheme="minorHAnsi" w:hAnsiTheme="minorHAnsi" w:cstheme="minorHAnsi"/>
        </w:rPr>
        <w:t>Ko</w:t>
      </w:r>
      <w:r w:rsidR="001263E9">
        <w:rPr>
          <w:rFonts w:asciiTheme="minorHAnsi" w:hAnsiTheme="minorHAnsi" w:cstheme="minorHAnsi"/>
        </w:rPr>
        <w:t>P</w:t>
      </w:r>
      <w:r w:rsidR="008761D2">
        <w:rPr>
          <w:rFonts w:asciiTheme="minorHAnsi" w:hAnsiTheme="minorHAnsi" w:cstheme="minorHAnsi"/>
        </w:rPr>
        <w:t>Ú</w:t>
      </w:r>
      <w:proofErr w:type="spellEnd"/>
      <w:r w:rsidR="00850F89" w:rsidRPr="00416282">
        <w:rPr>
          <w:rFonts w:asciiTheme="minorHAnsi" w:hAnsiTheme="minorHAnsi" w:cstheme="minorHAnsi"/>
        </w:rPr>
        <w:t>.</w:t>
      </w:r>
    </w:p>
    <w:p w:rsidR="008761D2" w:rsidRPr="00D5569B" w:rsidRDefault="008761D2" w:rsidP="00957FC8">
      <w:pPr>
        <w:jc w:val="both"/>
        <w:rPr>
          <w:rFonts w:asciiTheme="minorHAnsi" w:hAnsiTheme="minorHAnsi" w:cstheme="minorHAnsi"/>
        </w:rPr>
      </w:pPr>
    </w:p>
    <w:p w:rsidR="00957FC8" w:rsidRDefault="00957FC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31DC5" w:rsidRDefault="00BE31EC" w:rsidP="005A1A0E">
      <w:pPr>
        <w:jc w:val="both"/>
        <w:rPr>
          <w:rFonts w:asciiTheme="minorHAnsi" w:hAnsiTheme="minorHAnsi" w:cstheme="minorHAnsi"/>
        </w:rPr>
      </w:pPr>
      <w:r w:rsidRPr="00D5569B">
        <w:rPr>
          <w:rFonts w:asciiTheme="minorHAnsi" w:hAnsiTheme="minorHAnsi" w:cstheme="minorHAnsi"/>
        </w:rPr>
        <w:lastRenderedPageBreak/>
        <w:t>V době dokončení kontroly</w:t>
      </w:r>
      <w:r w:rsidR="00DA4B94" w:rsidRPr="00D5569B">
        <w:rPr>
          <w:rFonts w:asciiTheme="minorHAnsi" w:hAnsiTheme="minorHAnsi" w:cstheme="minorHAnsi"/>
        </w:rPr>
        <w:t xml:space="preserve"> NKÚ</w:t>
      </w:r>
      <w:r w:rsidRPr="00D5569B">
        <w:rPr>
          <w:rFonts w:asciiTheme="minorHAnsi" w:hAnsiTheme="minorHAnsi" w:cstheme="minorHAnsi"/>
        </w:rPr>
        <w:t xml:space="preserve"> byl</w:t>
      </w:r>
      <w:r w:rsidR="0087593F" w:rsidRPr="00D5569B">
        <w:rPr>
          <w:rFonts w:asciiTheme="minorHAnsi" w:hAnsiTheme="minorHAnsi" w:cstheme="minorHAnsi"/>
        </w:rPr>
        <w:t xml:space="preserve"> softwar</w:t>
      </w:r>
      <w:r w:rsidR="008761D2">
        <w:rPr>
          <w:rFonts w:asciiTheme="minorHAnsi" w:hAnsiTheme="minorHAnsi" w:cstheme="minorHAnsi"/>
        </w:rPr>
        <w:t>e</w:t>
      </w:r>
      <w:r w:rsidR="0087593F" w:rsidRPr="00D5569B">
        <w:rPr>
          <w:rFonts w:asciiTheme="minorHAnsi" w:hAnsiTheme="minorHAnsi" w:cstheme="minorHAnsi"/>
        </w:rPr>
        <w:t xml:space="preserve"> v základní testovací verzi a použív</w:t>
      </w:r>
      <w:r w:rsidRPr="00D5569B">
        <w:rPr>
          <w:rFonts w:asciiTheme="minorHAnsi" w:hAnsiTheme="minorHAnsi" w:cstheme="minorHAnsi"/>
        </w:rPr>
        <w:t xml:space="preserve">al </w:t>
      </w:r>
      <w:r w:rsidR="0087593F" w:rsidRPr="00D5569B">
        <w:rPr>
          <w:rFonts w:asciiTheme="minorHAnsi" w:hAnsiTheme="minorHAnsi" w:cstheme="minorHAnsi"/>
        </w:rPr>
        <w:t xml:space="preserve">se pouze ve školství. </w:t>
      </w:r>
      <w:proofErr w:type="spellStart"/>
      <w:r w:rsidR="00656018" w:rsidRPr="00D5569B">
        <w:rPr>
          <w:rFonts w:asciiTheme="minorHAnsi" w:hAnsiTheme="minorHAnsi" w:cstheme="minorHAnsi"/>
        </w:rPr>
        <w:t>MZe</w:t>
      </w:r>
      <w:proofErr w:type="spellEnd"/>
      <w:r w:rsidR="00656018" w:rsidRPr="00D5569B">
        <w:rPr>
          <w:rFonts w:asciiTheme="minorHAnsi" w:hAnsiTheme="minorHAnsi" w:cstheme="minorHAnsi"/>
        </w:rPr>
        <w:t xml:space="preserve"> </w:t>
      </w:r>
      <w:r w:rsidR="00330AFE" w:rsidRPr="00D5569B">
        <w:rPr>
          <w:rFonts w:asciiTheme="minorHAnsi" w:hAnsiTheme="minorHAnsi" w:cstheme="minorHAnsi"/>
        </w:rPr>
        <w:t xml:space="preserve">předpokládalo </w:t>
      </w:r>
      <w:r w:rsidR="0087593F" w:rsidRPr="00D5569B">
        <w:rPr>
          <w:rFonts w:asciiTheme="minorHAnsi" w:hAnsiTheme="minorHAnsi" w:cstheme="minorHAnsi"/>
        </w:rPr>
        <w:t>je</w:t>
      </w:r>
      <w:r w:rsidR="008761D2">
        <w:rPr>
          <w:rFonts w:asciiTheme="minorHAnsi" w:hAnsiTheme="minorHAnsi" w:cstheme="minorHAnsi"/>
        </w:rPr>
        <w:t>ho</w:t>
      </w:r>
      <w:r w:rsidR="0087593F" w:rsidRPr="00D5569B">
        <w:rPr>
          <w:rFonts w:asciiTheme="minorHAnsi" w:hAnsiTheme="minorHAnsi" w:cstheme="minorHAnsi"/>
        </w:rPr>
        <w:t xml:space="preserve"> další vývoj na základě podnětů a připomínek odborné veřejnosti, a to jak po stránce obsahové, tak po stránce </w:t>
      </w:r>
      <w:r w:rsidR="00C00B3A" w:rsidRPr="00D5569B">
        <w:rPr>
          <w:rFonts w:asciiTheme="minorHAnsi" w:hAnsiTheme="minorHAnsi" w:cstheme="minorHAnsi"/>
        </w:rPr>
        <w:t>funkční využitelnosti. V</w:t>
      </w:r>
      <w:r w:rsidRPr="00D5569B">
        <w:rPr>
          <w:rFonts w:asciiTheme="minorHAnsi" w:hAnsiTheme="minorHAnsi" w:cstheme="minorHAnsi"/>
        </w:rPr>
        <w:t>ýstupy projektu</w:t>
      </w:r>
      <w:r w:rsidR="00656018" w:rsidRPr="00D5569B">
        <w:rPr>
          <w:rFonts w:asciiTheme="minorHAnsi" w:hAnsiTheme="minorHAnsi" w:cstheme="minorHAnsi"/>
        </w:rPr>
        <w:t xml:space="preserve"> </w:t>
      </w:r>
      <w:r w:rsidR="008761D2">
        <w:rPr>
          <w:rFonts w:asciiTheme="minorHAnsi" w:hAnsiTheme="minorHAnsi" w:cstheme="minorHAnsi"/>
        </w:rPr>
        <w:t>Ministerstvo zemědělství</w:t>
      </w:r>
      <w:r w:rsidR="00656018" w:rsidRPr="00D5569B">
        <w:rPr>
          <w:rFonts w:asciiTheme="minorHAnsi" w:hAnsiTheme="minorHAnsi" w:cstheme="minorHAnsi"/>
        </w:rPr>
        <w:t xml:space="preserve"> v době kontroly</w:t>
      </w:r>
      <w:r w:rsidR="00C00B3A" w:rsidRPr="00D5569B">
        <w:rPr>
          <w:rFonts w:asciiTheme="minorHAnsi" w:hAnsiTheme="minorHAnsi" w:cstheme="minorHAnsi"/>
        </w:rPr>
        <w:t xml:space="preserve"> k praktické</w:t>
      </w:r>
      <w:r w:rsidR="00AB5D90" w:rsidRPr="00D5569B">
        <w:rPr>
          <w:rFonts w:asciiTheme="minorHAnsi" w:hAnsiTheme="minorHAnsi" w:cstheme="minorHAnsi"/>
        </w:rPr>
        <w:t>mu</w:t>
      </w:r>
      <w:r w:rsidR="00C00B3A" w:rsidRPr="00D5569B">
        <w:rPr>
          <w:rFonts w:asciiTheme="minorHAnsi" w:hAnsiTheme="minorHAnsi" w:cstheme="minorHAnsi"/>
        </w:rPr>
        <w:t xml:space="preserve"> hodnocení</w:t>
      </w:r>
      <w:r w:rsidR="00AB5D90" w:rsidRPr="00D5569B">
        <w:rPr>
          <w:rFonts w:asciiTheme="minorHAnsi" w:hAnsiTheme="minorHAnsi" w:cstheme="minorHAnsi"/>
        </w:rPr>
        <w:t xml:space="preserve"> </w:t>
      </w:r>
      <w:r w:rsidR="00981FDB" w:rsidRPr="00D5569B">
        <w:rPr>
          <w:rFonts w:asciiTheme="minorHAnsi" w:hAnsiTheme="minorHAnsi" w:cstheme="minorHAnsi"/>
        </w:rPr>
        <w:t xml:space="preserve">komplexních </w:t>
      </w:r>
      <w:r w:rsidR="00AB5D90" w:rsidRPr="00D5569B">
        <w:rPr>
          <w:rFonts w:asciiTheme="minorHAnsi" w:hAnsiTheme="minorHAnsi" w:cstheme="minorHAnsi"/>
        </w:rPr>
        <w:t>pozemkových úprav</w:t>
      </w:r>
      <w:r w:rsidR="00656018" w:rsidRPr="00D5569B">
        <w:rPr>
          <w:rFonts w:asciiTheme="minorHAnsi" w:hAnsiTheme="minorHAnsi" w:cstheme="minorHAnsi"/>
        </w:rPr>
        <w:t xml:space="preserve"> nevyužívalo</w:t>
      </w:r>
      <w:r w:rsidR="00C00B3A" w:rsidRPr="00D5569B">
        <w:rPr>
          <w:rFonts w:asciiTheme="minorHAnsi" w:hAnsiTheme="minorHAnsi" w:cstheme="minorHAnsi"/>
        </w:rPr>
        <w:t>.</w:t>
      </w:r>
      <w:r w:rsidRPr="00D5569B">
        <w:rPr>
          <w:rFonts w:asciiTheme="minorHAnsi" w:hAnsiTheme="minorHAnsi" w:cstheme="minorHAnsi"/>
        </w:rPr>
        <w:t xml:space="preserve"> </w:t>
      </w:r>
    </w:p>
    <w:p w:rsidR="00105E17" w:rsidRDefault="00105E17" w:rsidP="005A1A0E">
      <w:pPr>
        <w:jc w:val="both"/>
        <w:rPr>
          <w:rFonts w:asciiTheme="minorHAnsi" w:hAnsiTheme="minorHAnsi" w:cstheme="minorHAnsi"/>
        </w:rPr>
      </w:pPr>
    </w:p>
    <w:p w:rsidR="00C90283" w:rsidRPr="00D5569B" w:rsidRDefault="00C90283" w:rsidP="005A1A0E">
      <w:pPr>
        <w:jc w:val="both"/>
        <w:rPr>
          <w:rFonts w:asciiTheme="minorHAnsi" w:hAnsiTheme="minorHAnsi" w:cstheme="minorHAnsi"/>
        </w:rPr>
      </w:pPr>
    </w:p>
    <w:p w:rsidR="008B0C47" w:rsidRDefault="00105E17" w:rsidP="00584E37">
      <w:pPr>
        <w:pStyle w:val="Nadpis1"/>
        <w:keepNext w:val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III. </w:t>
      </w:r>
      <w:r w:rsidR="00584E37">
        <w:rPr>
          <w:rFonts w:asciiTheme="minorHAnsi" w:hAnsiTheme="minorHAnsi" w:cstheme="minorHAnsi"/>
          <w:sz w:val="28"/>
          <w:szCs w:val="28"/>
        </w:rPr>
        <w:t>V</w:t>
      </w:r>
      <w:r w:rsidR="00584E37" w:rsidRPr="007B6490">
        <w:rPr>
          <w:rFonts w:asciiTheme="minorHAnsi" w:hAnsiTheme="minorHAnsi" w:cstheme="minorHAnsi"/>
          <w:sz w:val="28"/>
          <w:szCs w:val="28"/>
        </w:rPr>
        <w:t>yhodnocení</w:t>
      </w:r>
    </w:p>
    <w:p w:rsidR="00105E17" w:rsidRPr="00105E17" w:rsidRDefault="00105E17" w:rsidP="00105E17"/>
    <w:p w:rsidR="008B0C47" w:rsidRPr="007B6490" w:rsidRDefault="00273C75" w:rsidP="007B64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8B0C47" w:rsidRPr="007B6490">
        <w:rPr>
          <w:rFonts w:asciiTheme="minorHAnsi" w:hAnsiTheme="minorHAnsi" w:cstheme="minorHAnsi"/>
          <w:b/>
        </w:rPr>
        <w:t>rostředk</w:t>
      </w:r>
      <w:r>
        <w:rPr>
          <w:rFonts w:asciiTheme="minorHAnsi" w:hAnsiTheme="minorHAnsi" w:cstheme="minorHAnsi"/>
          <w:b/>
        </w:rPr>
        <w:t>y</w:t>
      </w:r>
      <w:r w:rsidR="008B0C47" w:rsidRPr="007B6490">
        <w:rPr>
          <w:rFonts w:asciiTheme="minorHAnsi" w:hAnsiTheme="minorHAnsi" w:cstheme="minorHAnsi"/>
          <w:b/>
        </w:rPr>
        <w:t xml:space="preserve"> z </w:t>
      </w:r>
      <w:r w:rsidR="008B0C47" w:rsidRPr="00170342">
        <w:rPr>
          <w:rFonts w:asciiTheme="minorHAnsi" w:hAnsiTheme="minorHAnsi" w:cstheme="minorHAnsi"/>
          <w:b/>
          <w:i/>
        </w:rPr>
        <w:t>Programu rozvoje venkova</w:t>
      </w:r>
      <w:r w:rsidR="008B0C47" w:rsidRPr="007B6490">
        <w:rPr>
          <w:rFonts w:asciiTheme="minorHAnsi" w:hAnsiTheme="minorHAnsi" w:cstheme="minorHAnsi"/>
          <w:b/>
        </w:rPr>
        <w:t xml:space="preserve"> určen</w:t>
      </w:r>
      <w:r>
        <w:rPr>
          <w:rFonts w:asciiTheme="minorHAnsi" w:hAnsiTheme="minorHAnsi" w:cstheme="minorHAnsi"/>
          <w:b/>
        </w:rPr>
        <w:t>é</w:t>
      </w:r>
      <w:r w:rsidR="008B0C47" w:rsidRPr="007B6490">
        <w:rPr>
          <w:rFonts w:asciiTheme="minorHAnsi" w:hAnsiTheme="minorHAnsi" w:cstheme="minorHAnsi"/>
          <w:b/>
        </w:rPr>
        <w:t xml:space="preserve"> na pozemkové úpravy </w:t>
      </w:r>
      <w:r>
        <w:rPr>
          <w:rFonts w:asciiTheme="minorHAnsi" w:hAnsiTheme="minorHAnsi" w:cstheme="minorHAnsi"/>
          <w:b/>
        </w:rPr>
        <w:t xml:space="preserve">byly </w:t>
      </w:r>
      <w:r w:rsidR="008B0C47" w:rsidRPr="007B6490">
        <w:rPr>
          <w:rFonts w:asciiTheme="minorHAnsi" w:hAnsiTheme="minorHAnsi" w:cstheme="minorHAnsi"/>
          <w:b/>
        </w:rPr>
        <w:t xml:space="preserve">v průběhu programového období 2007–2013 </w:t>
      </w:r>
      <w:r>
        <w:rPr>
          <w:rFonts w:asciiTheme="minorHAnsi" w:hAnsiTheme="minorHAnsi" w:cstheme="minorHAnsi"/>
          <w:b/>
        </w:rPr>
        <w:t xml:space="preserve">čerpány nerovnoměrně, což </w:t>
      </w:r>
      <w:r w:rsidR="008B0C47" w:rsidRPr="007B6490">
        <w:rPr>
          <w:rFonts w:asciiTheme="minorHAnsi" w:hAnsiTheme="minorHAnsi" w:cstheme="minorHAnsi"/>
          <w:b/>
        </w:rPr>
        <w:t>ve svém důsledku zpomalil</w:t>
      </w:r>
      <w:r w:rsidR="00330AFE">
        <w:rPr>
          <w:rFonts w:asciiTheme="minorHAnsi" w:hAnsiTheme="minorHAnsi" w:cstheme="minorHAnsi"/>
          <w:b/>
        </w:rPr>
        <w:t>o</w:t>
      </w:r>
      <w:r w:rsidR="008B0C47" w:rsidRPr="007B6490">
        <w:rPr>
          <w:rFonts w:asciiTheme="minorHAnsi" w:hAnsiTheme="minorHAnsi" w:cstheme="minorHAnsi"/>
          <w:b/>
        </w:rPr>
        <w:t xml:space="preserve"> postup realizace </w:t>
      </w:r>
      <w:r w:rsidR="00A752CC">
        <w:rPr>
          <w:rFonts w:asciiTheme="minorHAnsi" w:hAnsiTheme="minorHAnsi" w:cstheme="minorHAnsi"/>
          <w:b/>
        </w:rPr>
        <w:t>schválených</w:t>
      </w:r>
      <w:r>
        <w:rPr>
          <w:rFonts w:asciiTheme="minorHAnsi" w:hAnsiTheme="minorHAnsi" w:cstheme="minorHAnsi"/>
          <w:b/>
        </w:rPr>
        <w:t xml:space="preserve"> </w:t>
      </w:r>
      <w:r w:rsidR="008B0C47" w:rsidRPr="007B6490">
        <w:rPr>
          <w:rFonts w:asciiTheme="minorHAnsi" w:hAnsiTheme="minorHAnsi" w:cstheme="minorHAnsi"/>
          <w:b/>
        </w:rPr>
        <w:t xml:space="preserve">pozemkových úprav. Ve snaze dočerpat stanovenou alokaci v letech 2014 a 2015 (tj. čerpání prostředků </w:t>
      </w:r>
      <w:r w:rsidR="00AF4B71" w:rsidRPr="00E07F85">
        <w:rPr>
          <w:rFonts w:asciiTheme="minorHAnsi" w:hAnsiTheme="minorHAnsi" w:cstheme="minorHAnsi"/>
          <w:b/>
        </w:rPr>
        <w:t>podle pravidla</w:t>
      </w:r>
      <w:r w:rsidR="008B0C47" w:rsidRPr="007B6490">
        <w:rPr>
          <w:rFonts w:asciiTheme="minorHAnsi" w:hAnsiTheme="minorHAnsi" w:cstheme="minorHAnsi"/>
          <w:b/>
        </w:rPr>
        <w:t xml:space="preserve"> n+2) </w:t>
      </w:r>
      <w:r w:rsidR="00A752CC">
        <w:rPr>
          <w:rFonts w:asciiTheme="minorHAnsi" w:hAnsiTheme="minorHAnsi" w:cstheme="minorHAnsi"/>
          <w:b/>
        </w:rPr>
        <w:t>došlo v</w:t>
      </w:r>
      <w:r w:rsidR="00416282">
        <w:rPr>
          <w:rFonts w:asciiTheme="minorHAnsi" w:hAnsiTheme="minorHAnsi" w:cstheme="minorHAnsi"/>
          <w:b/>
        </w:rPr>
        <w:t> tomto období</w:t>
      </w:r>
      <w:r w:rsidR="00A752CC">
        <w:rPr>
          <w:rFonts w:asciiTheme="minorHAnsi" w:hAnsiTheme="minorHAnsi" w:cstheme="minorHAnsi"/>
          <w:b/>
        </w:rPr>
        <w:t xml:space="preserve"> k </w:t>
      </w:r>
      <w:r w:rsidR="008B0C47" w:rsidRPr="007B6490">
        <w:rPr>
          <w:rFonts w:asciiTheme="minorHAnsi" w:hAnsiTheme="minorHAnsi" w:cstheme="minorHAnsi"/>
          <w:b/>
        </w:rPr>
        <w:t>vysok</w:t>
      </w:r>
      <w:r w:rsidR="00A752CC">
        <w:rPr>
          <w:rFonts w:asciiTheme="minorHAnsi" w:hAnsiTheme="minorHAnsi" w:cstheme="minorHAnsi"/>
          <w:b/>
        </w:rPr>
        <w:t>ému</w:t>
      </w:r>
      <w:r w:rsidR="008B0C47" w:rsidRPr="007B6490">
        <w:rPr>
          <w:rFonts w:asciiTheme="minorHAnsi" w:hAnsiTheme="minorHAnsi" w:cstheme="minorHAnsi"/>
          <w:b/>
        </w:rPr>
        <w:t xml:space="preserve"> nárůst</w:t>
      </w:r>
      <w:r w:rsidR="00A752CC">
        <w:rPr>
          <w:rFonts w:asciiTheme="minorHAnsi" w:hAnsiTheme="minorHAnsi" w:cstheme="minorHAnsi"/>
          <w:b/>
        </w:rPr>
        <w:t>u</w:t>
      </w:r>
      <w:r w:rsidR="008B0C47" w:rsidRPr="007B6490">
        <w:rPr>
          <w:rFonts w:asciiTheme="minorHAnsi" w:hAnsiTheme="minorHAnsi" w:cstheme="minorHAnsi"/>
          <w:b/>
        </w:rPr>
        <w:t xml:space="preserve"> čerpání prostředků. </w:t>
      </w:r>
    </w:p>
    <w:p w:rsidR="008B0C47" w:rsidRPr="007B6490" w:rsidRDefault="008B0C47" w:rsidP="007B6490">
      <w:pPr>
        <w:jc w:val="both"/>
        <w:rPr>
          <w:rFonts w:asciiTheme="minorHAnsi" w:hAnsiTheme="minorHAnsi" w:cstheme="minorHAnsi"/>
          <w:b/>
        </w:rPr>
      </w:pPr>
    </w:p>
    <w:p w:rsidR="008B0C47" w:rsidRDefault="008B0C47" w:rsidP="007B6490">
      <w:pPr>
        <w:jc w:val="both"/>
        <w:rPr>
          <w:rFonts w:asciiTheme="minorHAnsi" w:hAnsiTheme="minorHAnsi" w:cstheme="minorHAnsi"/>
          <w:b/>
        </w:rPr>
      </w:pPr>
      <w:r w:rsidRPr="00114575">
        <w:rPr>
          <w:rFonts w:asciiTheme="minorHAnsi" w:hAnsiTheme="minorHAnsi" w:cstheme="minorHAnsi"/>
          <w:b/>
        </w:rPr>
        <w:t>Peněžní prostředky vynaložené na zpracování pozemkových úprav byly účelně využity v oblasti vypořádání vlastnických vztahů k zemědělské půdě a scelení půdního fondu</w:t>
      </w:r>
      <w:r w:rsidR="0015347A">
        <w:rPr>
          <w:rFonts w:asciiTheme="minorHAnsi" w:hAnsiTheme="minorHAnsi" w:cstheme="minorHAnsi"/>
          <w:b/>
        </w:rPr>
        <w:t>,</w:t>
      </w:r>
      <w:r w:rsidR="00416282">
        <w:rPr>
          <w:rFonts w:asciiTheme="minorHAnsi" w:hAnsiTheme="minorHAnsi" w:cstheme="minorHAnsi"/>
          <w:b/>
        </w:rPr>
        <w:t xml:space="preserve"> a</w:t>
      </w:r>
      <w:r w:rsidR="00F47B8F">
        <w:rPr>
          <w:rFonts w:asciiTheme="minorHAnsi" w:hAnsiTheme="minorHAnsi" w:cstheme="minorHAnsi"/>
          <w:b/>
        </w:rPr>
        <w:t> </w:t>
      </w:r>
      <w:r w:rsidR="00416282">
        <w:rPr>
          <w:rFonts w:asciiTheme="minorHAnsi" w:hAnsiTheme="minorHAnsi" w:cstheme="minorHAnsi"/>
          <w:b/>
        </w:rPr>
        <w:t xml:space="preserve">tedy i návazné </w:t>
      </w:r>
      <w:r w:rsidRPr="00114575">
        <w:rPr>
          <w:rFonts w:asciiTheme="minorHAnsi" w:hAnsiTheme="minorHAnsi" w:cstheme="minorHAnsi"/>
          <w:b/>
        </w:rPr>
        <w:t>obnově katastrálního operátu.</w:t>
      </w:r>
    </w:p>
    <w:p w:rsidR="008B0C47" w:rsidRPr="00942542" w:rsidRDefault="008B0C47" w:rsidP="00942542">
      <w:pPr>
        <w:jc w:val="both"/>
        <w:rPr>
          <w:rFonts w:asciiTheme="minorHAnsi" w:hAnsiTheme="minorHAnsi" w:cstheme="minorHAnsi"/>
          <w:b/>
        </w:rPr>
      </w:pPr>
      <w:r w:rsidRPr="00114575">
        <w:rPr>
          <w:rFonts w:asciiTheme="minorHAnsi" w:hAnsiTheme="minorHAnsi" w:cstheme="minorHAnsi"/>
          <w:b/>
        </w:rPr>
        <w:t xml:space="preserve">V </w:t>
      </w:r>
      <w:r w:rsidR="00330AFE" w:rsidRPr="00114575">
        <w:rPr>
          <w:rFonts w:asciiTheme="minorHAnsi" w:hAnsiTheme="minorHAnsi" w:cstheme="minorHAnsi"/>
          <w:b/>
        </w:rPr>
        <w:t>oblasti realizace plánu společných zařízení</w:t>
      </w:r>
      <w:r w:rsidR="00330AFE">
        <w:rPr>
          <w:rFonts w:asciiTheme="minorHAnsi" w:hAnsiTheme="minorHAnsi" w:cstheme="minorHAnsi"/>
          <w:b/>
        </w:rPr>
        <w:t xml:space="preserve"> </w:t>
      </w:r>
      <w:r w:rsidR="00A752CC">
        <w:rPr>
          <w:rFonts w:asciiTheme="minorHAnsi" w:hAnsiTheme="minorHAnsi" w:cstheme="minorHAnsi"/>
          <w:b/>
        </w:rPr>
        <w:t>(</w:t>
      </w:r>
      <w:r w:rsidRPr="007B6490">
        <w:rPr>
          <w:rFonts w:asciiTheme="minorHAnsi" w:hAnsiTheme="minorHAnsi" w:cstheme="minorHAnsi"/>
          <w:b/>
        </w:rPr>
        <w:t xml:space="preserve">tj. </w:t>
      </w:r>
      <w:r w:rsidR="00A752CC">
        <w:rPr>
          <w:rFonts w:asciiTheme="minorHAnsi" w:hAnsiTheme="minorHAnsi" w:cstheme="minorHAnsi"/>
          <w:b/>
        </w:rPr>
        <w:t>v oblasti reálného provádění navržených a schválených opatření)</w:t>
      </w:r>
      <w:r w:rsidRPr="007B6490">
        <w:rPr>
          <w:rFonts w:asciiTheme="minorHAnsi" w:hAnsiTheme="minorHAnsi" w:cstheme="minorHAnsi"/>
          <w:b/>
        </w:rPr>
        <w:t xml:space="preserve"> nelze využití peněžních prostředků objektivně vyhodnotit</w:t>
      </w:r>
      <w:r w:rsidR="00EF02A5">
        <w:rPr>
          <w:rFonts w:asciiTheme="minorHAnsi" w:hAnsiTheme="minorHAnsi" w:cstheme="minorHAnsi"/>
          <w:b/>
        </w:rPr>
        <w:t>.</w:t>
      </w:r>
      <w:r w:rsidR="00942542" w:rsidRPr="00942542">
        <w:rPr>
          <w:rFonts w:cstheme="minorHAnsi"/>
        </w:rPr>
        <w:t xml:space="preserve"> </w:t>
      </w:r>
      <w:r w:rsidR="00EF02A5" w:rsidRPr="004E0207">
        <w:rPr>
          <w:rFonts w:asciiTheme="minorHAnsi" w:hAnsiTheme="minorHAnsi" w:cstheme="minorHAnsi"/>
        </w:rPr>
        <w:t>V mnoha případech zůstává r</w:t>
      </w:r>
      <w:r w:rsidRPr="004E0207">
        <w:rPr>
          <w:rFonts w:asciiTheme="minorHAnsi" w:hAnsiTheme="minorHAnsi" w:cstheme="minorHAnsi"/>
        </w:rPr>
        <w:t xml:space="preserve">ealizace schválených plánů společných zařízení </w:t>
      </w:r>
      <w:r w:rsidR="00EF02A5" w:rsidRPr="004E0207">
        <w:rPr>
          <w:rFonts w:asciiTheme="minorHAnsi" w:hAnsiTheme="minorHAnsi" w:cstheme="minorHAnsi"/>
        </w:rPr>
        <w:t>dlouhodobě</w:t>
      </w:r>
      <w:r w:rsidRPr="004E0207">
        <w:rPr>
          <w:rFonts w:asciiTheme="minorHAnsi" w:hAnsiTheme="minorHAnsi" w:cstheme="minorHAnsi"/>
        </w:rPr>
        <w:t xml:space="preserve"> pouze v teoretické rovině nebo dochází </w:t>
      </w:r>
      <w:r w:rsidR="00EF02A5" w:rsidRPr="004E0207">
        <w:rPr>
          <w:rFonts w:asciiTheme="minorHAnsi" w:hAnsiTheme="minorHAnsi" w:cstheme="minorHAnsi"/>
        </w:rPr>
        <w:t>jen</w:t>
      </w:r>
      <w:r w:rsidRPr="004E0207">
        <w:rPr>
          <w:rFonts w:asciiTheme="minorHAnsi" w:hAnsiTheme="minorHAnsi" w:cstheme="minorHAnsi"/>
        </w:rPr>
        <w:t xml:space="preserve"> k</w:t>
      </w:r>
      <w:r w:rsidR="00EF02A5" w:rsidRPr="004E0207">
        <w:rPr>
          <w:rFonts w:asciiTheme="minorHAnsi" w:hAnsiTheme="minorHAnsi" w:cstheme="minorHAnsi"/>
        </w:rPr>
        <w:t> je</w:t>
      </w:r>
      <w:r w:rsidR="00A752CC">
        <w:rPr>
          <w:rFonts w:asciiTheme="minorHAnsi" w:hAnsiTheme="minorHAnsi" w:cstheme="minorHAnsi"/>
        </w:rPr>
        <w:t>jich</w:t>
      </w:r>
      <w:r w:rsidR="00EF02A5" w:rsidRPr="004E0207">
        <w:rPr>
          <w:rFonts w:asciiTheme="minorHAnsi" w:hAnsiTheme="minorHAnsi" w:cstheme="minorHAnsi"/>
        </w:rPr>
        <w:t xml:space="preserve"> </w:t>
      </w:r>
      <w:r w:rsidRPr="004E0207">
        <w:rPr>
          <w:rFonts w:asciiTheme="minorHAnsi" w:hAnsiTheme="minorHAnsi" w:cstheme="minorHAnsi"/>
        </w:rPr>
        <w:t>částečné realizaci</w:t>
      </w:r>
      <w:r w:rsidR="00EF02A5" w:rsidRPr="004E0207">
        <w:rPr>
          <w:rFonts w:asciiTheme="minorHAnsi" w:hAnsiTheme="minorHAnsi" w:cstheme="minorHAnsi"/>
        </w:rPr>
        <w:t>, tj.</w:t>
      </w:r>
      <w:r w:rsidR="00CE6C85" w:rsidRPr="004E0207">
        <w:rPr>
          <w:rFonts w:asciiTheme="minorHAnsi" w:hAnsiTheme="minorHAnsi" w:cstheme="minorHAnsi"/>
        </w:rPr>
        <w:t> </w:t>
      </w:r>
      <w:r w:rsidR="00EF02A5" w:rsidRPr="004E0207">
        <w:rPr>
          <w:rFonts w:asciiTheme="minorHAnsi" w:hAnsiTheme="minorHAnsi" w:cstheme="minorHAnsi"/>
        </w:rPr>
        <w:t>provedení několika vybraných prioritních opatření</w:t>
      </w:r>
      <w:r w:rsidRPr="004E0207">
        <w:rPr>
          <w:rFonts w:asciiTheme="minorHAnsi" w:hAnsiTheme="minorHAnsi" w:cstheme="minorHAnsi"/>
        </w:rPr>
        <w:t>. Neprovedení navržených opatření v</w:t>
      </w:r>
      <w:r w:rsidR="00CE6C85" w:rsidRPr="004E0207">
        <w:rPr>
          <w:rFonts w:asciiTheme="minorHAnsi" w:hAnsiTheme="minorHAnsi" w:cstheme="minorHAnsi"/>
        </w:rPr>
        <w:t> </w:t>
      </w:r>
      <w:r w:rsidRPr="004E0207">
        <w:rPr>
          <w:rFonts w:asciiTheme="minorHAnsi" w:hAnsiTheme="minorHAnsi" w:cstheme="minorHAnsi"/>
        </w:rPr>
        <w:t xml:space="preserve">celém rozsahu ohrožuje dosažení smyslu a cílů pozemkových úprav a rovněž </w:t>
      </w:r>
      <w:r w:rsidR="00A752CC">
        <w:rPr>
          <w:rFonts w:asciiTheme="minorHAnsi" w:hAnsiTheme="minorHAnsi" w:cstheme="minorHAnsi"/>
        </w:rPr>
        <w:t>z</w:t>
      </w:r>
      <w:r w:rsidRPr="004E0207">
        <w:rPr>
          <w:rFonts w:asciiTheme="minorHAnsi" w:hAnsiTheme="minorHAnsi" w:cstheme="minorHAnsi"/>
        </w:rPr>
        <w:t>nemožňuje vyhodno</w:t>
      </w:r>
      <w:r w:rsidR="00A752CC">
        <w:rPr>
          <w:rFonts w:asciiTheme="minorHAnsi" w:hAnsiTheme="minorHAnsi" w:cstheme="minorHAnsi"/>
        </w:rPr>
        <w:t>tit</w:t>
      </w:r>
      <w:r w:rsidRPr="004E0207">
        <w:rPr>
          <w:rFonts w:asciiTheme="minorHAnsi" w:hAnsiTheme="minorHAnsi" w:cstheme="minorHAnsi"/>
        </w:rPr>
        <w:t xml:space="preserve"> přínos</w:t>
      </w:r>
      <w:r w:rsidR="00A752CC">
        <w:rPr>
          <w:rFonts w:asciiTheme="minorHAnsi" w:hAnsiTheme="minorHAnsi" w:cstheme="minorHAnsi"/>
        </w:rPr>
        <w:t>y těchto opatření</w:t>
      </w:r>
      <w:r w:rsidRPr="004E0207">
        <w:rPr>
          <w:rFonts w:asciiTheme="minorHAnsi" w:hAnsiTheme="minorHAnsi" w:cstheme="minorHAnsi"/>
        </w:rPr>
        <w:t>.</w:t>
      </w:r>
      <w:r w:rsidRPr="00942542">
        <w:rPr>
          <w:rFonts w:asciiTheme="minorHAnsi" w:hAnsiTheme="minorHAnsi" w:cstheme="minorHAnsi"/>
        </w:rPr>
        <w:t xml:space="preserve"> </w:t>
      </w:r>
    </w:p>
    <w:p w:rsidR="00EF02A5" w:rsidRDefault="00EF02A5" w:rsidP="00942542">
      <w:pPr>
        <w:ind w:left="66"/>
        <w:jc w:val="both"/>
        <w:rPr>
          <w:rFonts w:asciiTheme="minorHAnsi" w:hAnsiTheme="minorHAnsi" w:cstheme="minorHAnsi"/>
          <w:strike/>
          <w:highlight w:val="yellow"/>
        </w:rPr>
      </w:pPr>
    </w:p>
    <w:p w:rsidR="008E33E6" w:rsidRPr="005916A8" w:rsidRDefault="00330AFE" w:rsidP="008E33E6">
      <w:pPr>
        <w:pStyle w:val="Odstavecseseznamem"/>
        <w:spacing w:after="120" w:line="240" w:lineRule="auto"/>
        <w:ind w:left="0"/>
        <w:jc w:val="both"/>
        <w:rPr>
          <w:rFonts w:cstheme="minorHAnsi"/>
          <w:b/>
          <w:strike/>
          <w:sz w:val="24"/>
          <w:szCs w:val="24"/>
        </w:rPr>
      </w:pPr>
      <w:r w:rsidRPr="00CC1B09">
        <w:rPr>
          <w:rFonts w:cstheme="minorHAnsi"/>
          <w:b/>
          <w:sz w:val="24"/>
          <w:szCs w:val="24"/>
        </w:rPr>
        <w:t xml:space="preserve">Cíle </w:t>
      </w:r>
      <w:r>
        <w:rPr>
          <w:rFonts w:cstheme="minorHAnsi"/>
          <w:b/>
          <w:sz w:val="24"/>
          <w:szCs w:val="24"/>
        </w:rPr>
        <w:t xml:space="preserve">stanovené </w:t>
      </w:r>
      <w:r w:rsidR="001D0BE9">
        <w:rPr>
          <w:rFonts w:cstheme="minorHAnsi"/>
          <w:b/>
          <w:sz w:val="24"/>
          <w:szCs w:val="24"/>
        </w:rPr>
        <w:t xml:space="preserve">v PRV </w:t>
      </w:r>
      <w:r>
        <w:rPr>
          <w:rFonts w:cstheme="minorHAnsi"/>
          <w:b/>
          <w:sz w:val="24"/>
          <w:szCs w:val="24"/>
        </w:rPr>
        <w:t xml:space="preserve">pro </w:t>
      </w:r>
      <w:proofErr w:type="gramStart"/>
      <w:r w:rsidR="00365187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patření I.1</w:t>
      </w:r>
      <w:r w:rsidR="00114575">
        <w:rPr>
          <w:rFonts w:cstheme="minorHAnsi"/>
          <w:b/>
          <w:sz w:val="24"/>
          <w:szCs w:val="24"/>
        </w:rPr>
        <w:t>.4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D2379F" w:rsidRPr="00114575">
        <w:rPr>
          <w:rFonts w:eastAsia="FrescoSans-Normal" w:cstheme="minorHAnsi"/>
          <w:b/>
          <w:sz w:val="24"/>
          <w:szCs w:val="24"/>
          <w:lang w:eastAsia="cs-CZ"/>
        </w:rPr>
        <w:t>jsou z hlediska dosažení velmi dlouhodobé a</w:t>
      </w:r>
      <w:r w:rsidR="00F47B8F">
        <w:rPr>
          <w:rFonts w:eastAsia="FrescoSans-Normal" w:cstheme="minorHAnsi"/>
          <w:b/>
          <w:sz w:val="24"/>
          <w:szCs w:val="24"/>
          <w:lang w:eastAsia="cs-CZ"/>
        </w:rPr>
        <w:t> </w:t>
      </w:r>
      <w:r w:rsidR="00D2379F" w:rsidRPr="00114575">
        <w:rPr>
          <w:rFonts w:eastAsia="FrescoSans-Normal" w:cstheme="minorHAnsi"/>
          <w:b/>
          <w:sz w:val="24"/>
          <w:szCs w:val="24"/>
          <w:lang w:eastAsia="cs-CZ"/>
        </w:rPr>
        <w:t>obtížně měřitelné, což znesnadňuje jejich exaktní vyhodnocení</w:t>
      </w:r>
      <w:r w:rsidRPr="00114575">
        <w:rPr>
          <w:rFonts w:eastAsia="FrescoSans-Normal" w:cstheme="minorHAnsi"/>
          <w:b/>
          <w:sz w:val="24"/>
          <w:szCs w:val="24"/>
          <w:lang w:eastAsia="cs-CZ"/>
        </w:rPr>
        <w:t xml:space="preserve"> v rámci programového období</w:t>
      </w:r>
      <w:r w:rsidR="005916A8">
        <w:rPr>
          <w:rFonts w:eastAsia="FrescoSans-Normal" w:cstheme="minorHAnsi"/>
          <w:b/>
          <w:sz w:val="24"/>
          <w:szCs w:val="24"/>
          <w:lang w:eastAsia="cs-CZ"/>
        </w:rPr>
        <w:t xml:space="preserve">, </w:t>
      </w:r>
      <w:r w:rsidR="0097709A">
        <w:rPr>
          <w:rFonts w:eastAsia="FrescoSans-Normal" w:cstheme="minorHAnsi"/>
          <w:b/>
          <w:sz w:val="24"/>
          <w:szCs w:val="24"/>
          <w:lang w:eastAsia="cs-CZ"/>
        </w:rPr>
        <w:t>z tohoto důvodu</w:t>
      </w:r>
      <w:r w:rsidR="005916A8" w:rsidRPr="001D0BE9">
        <w:rPr>
          <w:rFonts w:eastAsia="FrescoSans-Normal" w:cstheme="minorHAnsi"/>
          <w:b/>
          <w:sz w:val="24"/>
          <w:szCs w:val="24"/>
          <w:lang w:eastAsia="cs-CZ"/>
        </w:rPr>
        <w:t xml:space="preserve"> jsou hodnoceny pomocí případových studií</w:t>
      </w:r>
      <w:r w:rsidR="00D2379F" w:rsidRPr="001D0BE9">
        <w:rPr>
          <w:rFonts w:eastAsia="FrescoSans-Normal" w:cstheme="minorHAnsi"/>
          <w:b/>
          <w:sz w:val="24"/>
          <w:szCs w:val="24"/>
          <w:lang w:eastAsia="cs-CZ"/>
        </w:rPr>
        <w:t>.</w:t>
      </w:r>
      <w:r w:rsidR="00D2379F" w:rsidRPr="00114575">
        <w:rPr>
          <w:rFonts w:eastAsia="FrescoSans-Normal" w:cstheme="minorHAnsi"/>
          <w:b/>
          <w:sz w:val="24"/>
          <w:szCs w:val="24"/>
          <w:lang w:eastAsia="cs-CZ"/>
        </w:rPr>
        <w:t xml:space="preserve"> </w:t>
      </w:r>
      <w:r w:rsidR="00D2379F" w:rsidRPr="00656018">
        <w:rPr>
          <w:rFonts w:cstheme="minorHAnsi"/>
          <w:b/>
          <w:sz w:val="24"/>
          <w:szCs w:val="24"/>
        </w:rPr>
        <w:t xml:space="preserve">Ukazatele, které </w:t>
      </w:r>
      <w:proofErr w:type="spellStart"/>
      <w:r w:rsidR="00D2379F" w:rsidRPr="00656018">
        <w:rPr>
          <w:rFonts w:cstheme="minorHAnsi"/>
          <w:b/>
          <w:sz w:val="24"/>
          <w:szCs w:val="24"/>
        </w:rPr>
        <w:t>MZe</w:t>
      </w:r>
      <w:proofErr w:type="spellEnd"/>
      <w:r w:rsidR="00D2379F" w:rsidRPr="00656018">
        <w:rPr>
          <w:rFonts w:cstheme="minorHAnsi"/>
          <w:b/>
          <w:sz w:val="24"/>
          <w:szCs w:val="24"/>
        </w:rPr>
        <w:t xml:space="preserve"> nastavilo pro monitorování a</w:t>
      </w:r>
      <w:r w:rsidR="0097709A">
        <w:rPr>
          <w:rFonts w:cstheme="minorHAnsi"/>
          <w:b/>
          <w:sz w:val="24"/>
          <w:szCs w:val="24"/>
        </w:rPr>
        <w:t xml:space="preserve"> </w:t>
      </w:r>
      <w:r w:rsidR="00D2379F" w:rsidRPr="00656018">
        <w:rPr>
          <w:rFonts w:cstheme="minorHAnsi"/>
          <w:b/>
          <w:sz w:val="24"/>
          <w:szCs w:val="24"/>
        </w:rPr>
        <w:t xml:space="preserve">hodnocení </w:t>
      </w:r>
      <w:r w:rsidRPr="00656018">
        <w:rPr>
          <w:rFonts w:cstheme="minorHAnsi"/>
          <w:b/>
          <w:sz w:val="24"/>
          <w:szCs w:val="24"/>
        </w:rPr>
        <w:t xml:space="preserve">průběhu </w:t>
      </w:r>
      <w:r w:rsidR="00D2379F" w:rsidRPr="00656018">
        <w:rPr>
          <w:rFonts w:cstheme="minorHAnsi"/>
          <w:b/>
          <w:sz w:val="24"/>
          <w:szCs w:val="24"/>
        </w:rPr>
        <w:t>p</w:t>
      </w:r>
      <w:r w:rsidR="00EF20AC" w:rsidRPr="00656018">
        <w:rPr>
          <w:rFonts w:cstheme="minorHAnsi"/>
          <w:b/>
          <w:sz w:val="24"/>
          <w:szCs w:val="24"/>
        </w:rPr>
        <w:t>ozemkových úprav</w:t>
      </w:r>
      <w:r w:rsidR="00656018">
        <w:rPr>
          <w:rFonts w:cstheme="minorHAnsi"/>
          <w:b/>
          <w:sz w:val="24"/>
          <w:szCs w:val="24"/>
        </w:rPr>
        <w:t>,</w:t>
      </w:r>
      <w:r w:rsidR="00EF20AC" w:rsidRPr="00656018">
        <w:rPr>
          <w:rFonts w:cstheme="minorHAnsi"/>
          <w:b/>
          <w:sz w:val="24"/>
          <w:szCs w:val="24"/>
        </w:rPr>
        <w:t xml:space="preserve"> </w:t>
      </w:r>
      <w:r w:rsidR="00416282">
        <w:rPr>
          <w:rFonts w:cstheme="minorHAnsi"/>
          <w:b/>
          <w:sz w:val="24"/>
          <w:szCs w:val="24"/>
        </w:rPr>
        <w:t xml:space="preserve">nemají vypovídací schopnost </w:t>
      </w:r>
      <w:r w:rsidR="00EF20AC" w:rsidRPr="00656018">
        <w:rPr>
          <w:rFonts w:cstheme="minorHAnsi"/>
          <w:b/>
          <w:sz w:val="24"/>
          <w:szCs w:val="24"/>
        </w:rPr>
        <w:t>o</w:t>
      </w:r>
      <w:r w:rsidR="0097709A">
        <w:rPr>
          <w:rFonts w:cstheme="minorHAnsi"/>
          <w:b/>
          <w:sz w:val="24"/>
          <w:szCs w:val="24"/>
        </w:rPr>
        <w:t xml:space="preserve"> </w:t>
      </w:r>
      <w:r w:rsidR="00D2379F" w:rsidRPr="00656018">
        <w:rPr>
          <w:rFonts w:cstheme="minorHAnsi"/>
          <w:b/>
          <w:sz w:val="24"/>
          <w:szCs w:val="24"/>
        </w:rPr>
        <w:t>stavu realizace</w:t>
      </w:r>
      <w:r w:rsidRPr="00656018">
        <w:rPr>
          <w:rFonts w:cstheme="minorHAnsi"/>
          <w:b/>
          <w:sz w:val="24"/>
          <w:szCs w:val="24"/>
        </w:rPr>
        <w:t xml:space="preserve"> </w:t>
      </w:r>
      <w:r w:rsidR="00F44479" w:rsidRPr="00656018">
        <w:rPr>
          <w:rFonts w:cstheme="minorHAnsi"/>
          <w:b/>
          <w:sz w:val="24"/>
          <w:szCs w:val="24"/>
        </w:rPr>
        <w:t xml:space="preserve">navržených opatření </w:t>
      </w:r>
      <w:r w:rsidR="00E60EB9" w:rsidRPr="00656018">
        <w:rPr>
          <w:rFonts w:cstheme="minorHAnsi"/>
          <w:b/>
          <w:sz w:val="24"/>
          <w:szCs w:val="24"/>
        </w:rPr>
        <w:t xml:space="preserve">ani </w:t>
      </w:r>
      <w:r w:rsidR="00646D60" w:rsidRPr="00656018">
        <w:rPr>
          <w:rFonts w:cstheme="minorHAnsi"/>
          <w:b/>
          <w:sz w:val="24"/>
          <w:szCs w:val="24"/>
        </w:rPr>
        <w:t>o</w:t>
      </w:r>
      <w:r w:rsidR="0097709A">
        <w:rPr>
          <w:rFonts w:cstheme="minorHAnsi"/>
          <w:b/>
          <w:sz w:val="24"/>
          <w:szCs w:val="24"/>
        </w:rPr>
        <w:t> </w:t>
      </w:r>
      <w:r w:rsidR="00D2379F" w:rsidRPr="00656018">
        <w:rPr>
          <w:rFonts w:cstheme="minorHAnsi"/>
          <w:b/>
          <w:sz w:val="24"/>
          <w:szCs w:val="24"/>
        </w:rPr>
        <w:t>účinnosti</w:t>
      </w:r>
      <w:r w:rsidR="00F44479" w:rsidRPr="00656018">
        <w:rPr>
          <w:rFonts w:cstheme="minorHAnsi"/>
          <w:b/>
          <w:sz w:val="24"/>
          <w:szCs w:val="24"/>
        </w:rPr>
        <w:t xml:space="preserve"> pozemkových úprav</w:t>
      </w:r>
      <w:r w:rsidRPr="001F03DD">
        <w:rPr>
          <w:rFonts w:cstheme="minorHAnsi"/>
          <w:b/>
          <w:sz w:val="24"/>
          <w:szCs w:val="24"/>
        </w:rPr>
        <w:t>.</w:t>
      </w:r>
    </w:p>
    <w:p w:rsidR="00D2379F" w:rsidRPr="007B6490" w:rsidRDefault="00D2379F" w:rsidP="007B6490">
      <w:pPr>
        <w:pStyle w:val="Odstavecseseznamem"/>
        <w:spacing w:after="0" w:line="240" w:lineRule="auto"/>
        <w:ind w:left="0"/>
        <w:jc w:val="both"/>
        <w:rPr>
          <w:rFonts w:eastAsia="FrescoSans-Normal" w:cstheme="minorHAnsi"/>
          <w:b/>
          <w:sz w:val="24"/>
          <w:szCs w:val="24"/>
          <w:lang w:eastAsia="cs-CZ"/>
        </w:rPr>
      </w:pPr>
    </w:p>
    <w:p w:rsidR="008B0C47" w:rsidRPr="007B6490" w:rsidRDefault="008B0C47" w:rsidP="007B6490">
      <w:pPr>
        <w:jc w:val="both"/>
        <w:rPr>
          <w:rFonts w:asciiTheme="minorHAnsi" w:hAnsiTheme="minorHAnsi" w:cstheme="minorHAnsi"/>
          <w:b/>
        </w:rPr>
      </w:pPr>
      <w:r w:rsidRPr="007B6490">
        <w:rPr>
          <w:rFonts w:asciiTheme="minorHAnsi" w:hAnsiTheme="minorHAnsi" w:cstheme="minorHAnsi"/>
          <w:b/>
        </w:rPr>
        <w:t>Realizace pozemkových úprav</w:t>
      </w:r>
      <w:r w:rsidR="009D7B1D">
        <w:rPr>
          <w:rFonts w:asciiTheme="minorHAnsi" w:hAnsiTheme="minorHAnsi" w:cstheme="minorHAnsi"/>
          <w:b/>
        </w:rPr>
        <w:t xml:space="preserve">, u kterých již bylo vydáno pravomocné rozhodnutí o výměně nebo přechodu vlastnických práv, </w:t>
      </w:r>
      <w:r w:rsidRPr="007B6490">
        <w:rPr>
          <w:rFonts w:asciiTheme="minorHAnsi" w:hAnsiTheme="minorHAnsi" w:cstheme="minorHAnsi"/>
          <w:b/>
        </w:rPr>
        <w:t xml:space="preserve">je velmi pomalá a neúplná. </w:t>
      </w:r>
      <w:r w:rsidR="001D0BE9">
        <w:rPr>
          <w:rFonts w:asciiTheme="minorHAnsi" w:hAnsiTheme="minorHAnsi" w:cstheme="minorHAnsi"/>
          <w:b/>
        </w:rPr>
        <w:t>Od roku 1995</w:t>
      </w:r>
      <w:r w:rsidR="009D0055">
        <w:rPr>
          <w:rFonts w:asciiTheme="minorHAnsi" w:hAnsiTheme="minorHAnsi" w:cstheme="minorHAnsi"/>
          <w:b/>
        </w:rPr>
        <w:t xml:space="preserve"> bylo v </w:t>
      </w:r>
      <w:r w:rsidRPr="007B6490">
        <w:rPr>
          <w:rFonts w:asciiTheme="minorHAnsi" w:hAnsiTheme="minorHAnsi" w:cstheme="minorHAnsi"/>
          <w:b/>
        </w:rPr>
        <w:t xml:space="preserve">ČR </w:t>
      </w:r>
      <w:r w:rsidR="0097709A">
        <w:rPr>
          <w:rFonts w:asciiTheme="minorHAnsi" w:hAnsiTheme="minorHAnsi" w:cstheme="minorHAnsi"/>
          <w:b/>
        </w:rPr>
        <w:t>dokončeno</w:t>
      </w:r>
      <w:r w:rsidRPr="007B6490">
        <w:rPr>
          <w:rFonts w:asciiTheme="minorHAnsi" w:hAnsiTheme="minorHAnsi" w:cstheme="minorHAnsi"/>
          <w:b/>
        </w:rPr>
        <w:t xml:space="preserve"> </w:t>
      </w:r>
      <w:r w:rsidR="009D7B1D">
        <w:rPr>
          <w:rFonts w:asciiTheme="minorHAnsi" w:hAnsiTheme="minorHAnsi" w:cstheme="minorHAnsi"/>
          <w:b/>
        </w:rPr>
        <w:t xml:space="preserve">pouze </w:t>
      </w:r>
      <w:r w:rsidRPr="007B6490">
        <w:rPr>
          <w:rFonts w:asciiTheme="minorHAnsi" w:hAnsiTheme="minorHAnsi" w:cstheme="minorHAnsi"/>
          <w:b/>
        </w:rPr>
        <w:t xml:space="preserve">cca 9 % ze všech </w:t>
      </w:r>
      <w:r w:rsidR="00A16272" w:rsidRPr="001D0BE9">
        <w:rPr>
          <w:rFonts w:asciiTheme="minorHAnsi" w:hAnsiTheme="minorHAnsi" w:cstheme="minorHAnsi"/>
          <w:b/>
        </w:rPr>
        <w:t xml:space="preserve">opatření </w:t>
      </w:r>
      <w:r w:rsidRPr="001D0BE9">
        <w:rPr>
          <w:rFonts w:asciiTheme="minorHAnsi" w:hAnsiTheme="minorHAnsi" w:cstheme="minorHAnsi"/>
          <w:b/>
        </w:rPr>
        <w:t xml:space="preserve">navržených </w:t>
      </w:r>
      <w:r w:rsidR="00A16272" w:rsidRPr="001D0BE9">
        <w:rPr>
          <w:rFonts w:asciiTheme="minorHAnsi" w:hAnsiTheme="minorHAnsi" w:cstheme="minorHAnsi"/>
          <w:b/>
        </w:rPr>
        <w:t xml:space="preserve">v plánech </w:t>
      </w:r>
      <w:r w:rsidRPr="001D0BE9">
        <w:rPr>
          <w:rFonts w:asciiTheme="minorHAnsi" w:hAnsiTheme="minorHAnsi" w:cstheme="minorHAnsi"/>
          <w:b/>
        </w:rPr>
        <w:t>společných zařízení</w:t>
      </w:r>
      <w:r w:rsidR="006E7514">
        <w:rPr>
          <w:rFonts w:asciiTheme="minorHAnsi" w:hAnsiTheme="minorHAnsi" w:cstheme="minorHAnsi"/>
          <w:b/>
        </w:rPr>
        <w:t xml:space="preserve"> –</w:t>
      </w:r>
      <w:r w:rsidR="009D7B1D">
        <w:rPr>
          <w:rFonts w:asciiTheme="minorHAnsi" w:hAnsiTheme="minorHAnsi" w:cstheme="minorHAnsi"/>
          <w:b/>
        </w:rPr>
        <w:t xml:space="preserve"> </w:t>
      </w:r>
      <w:r w:rsidR="006E7514">
        <w:rPr>
          <w:rFonts w:asciiTheme="minorHAnsi" w:hAnsiTheme="minorHAnsi" w:cstheme="minorHAnsi"/>
          <w:b/>
        </w:rPr>
        <w:t>součástí těchto plánů byla</w:t>
      </w:r>
      <w:r w:rsidR="009D7B1D">
        <w:rPr>
          <w:rFonts w:asciiTheme="minorHAnsi" w:hAnsiTheme="minorHAnsi" w:cstheme="minorHAnsi"/>
          <w:b/>
        </w:rPr>
        <w:t xml:space="preserve"> opatření</w:t>
      </w:r>
      <w:r w:rsidRPr="007B6490">
        <w:rPr>
          <w:rFonts w:asciiTheme="minorHAnsi" w:eastAsia="FrescoSans-Normal" w:hAnsiTheme="minorHAnsi" w:cstheme="minorHAnsi"/>
          <w:b/>
          <w:lang w:eastAsia="cs-CZ"/>
        </w:rPr>
        <w:t xml:space="preserve"> </w:t>
      </w:r>
      <w:r w:rsidRPr="007B6490">
        <w:rPr>
          <w:rFonts w:asciiTheme="minorHAnsi" w:hAnsiTheme="minorHAnsi" w:cstheme="minorHAnsi"/>
          <w:b/>
        </w:rPr>
        <w:t xml:space="preserve">ke zpřístupnění pozemků, </w:t>
      </w:r>
      <w:r w:rsidRPr="007B6490">
        <w:rPr>
          <w:rFonts w:asciiTheme="minorHAnsi" w:eastAsia="FrescoSans-Normal" w:hAnsiTheme="minorHAnsi" w:cstheme="minorHAnsi"/>
          <w:b/>
          <w:lang w:eastAsia="cs-CZ"/>
        </w:rPr>
        <w:t xml:space="preserve">k ochraně půdního fondu, </w:t>
      </w:r>
      <w:r w:rsidRPr="007B6490">
        <w:rPr>
          <w:rFonts w:asciiTheme="minorHAnsi" w:hAnsiTheme="minorHAnsi" w:cstheme="minorHAnsi"/>
          <w:b/>
        </w:rPr>
        <w:t>vodohospodářsk</w:t>
      </w:r>
      <w:r w:rsidR="009D7B1D">
        <w:rPr>
          <w:rFonts w:asciiTheme="minorHAnsi" w:hAnsiTheme="minorHAnsi" w:cstheme="minorHAnsi"/>
          <w:b/>
        </w:rPr>
        <w:t>á</w:t>
      </w:r>
      <w:r w:rsidRPr="007B6490">
        <w:rPr>
          <w:rFonts w:asciiTheme="minorHAnsi" w:eastAsia="FrescoSans-Normal" w:hAnsiTheme="minorHAnsi" w:cstheme="minorHAnsi"/>
          <w:b/>
          <w:lang w:eastAsia="cs-CZ"/>
        </w:rPr>
        <w:t xml:space="preserve"> </w:t>
      </w:r>
      <w:r w:rsidRPr="007B6490">
        <w:rPr>
          <w:rFonts w:asciiTheme="minorHAnsi" w:hAnsiTheme="minorHAnsi" w:cstheme="minorHAnsi"/>
          <w:b/>
        </w:rPr>
        <w:t>opatření a </w:t>
      </w:r>
      <w:r w:rsidRPr="007B6490">
        <w:rPr>
          <w:rFonts w:asciiTheme="minorHAnsi" w:hAnsiTheme="minorHAnsi" w:cstheme="minorHAnsi"/>
          <w:b/>
          <w:bCs/>
          <w:lang w:eastAsia="cs-CZ"/>
        </w:rPr>
        <w:t>opatření k ochraně a tvorbě životního prostředí.</w:t>
      </w:r>
    </w:p>
    <w:p w:rsidR="001D0BE9" w:rsidRDefault="001D0BE9" w:rsidP="00105E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8B0C47" w:rsidRDefault="008B0C47" w:rsidP="007B6490">
      <w:pPr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b/>
          <w:lang w:eastAsia="cs-CZ"/>
        </w:rPr>
      </w:pPr>
      <w:r w:rsidRPr="00114575">
        <w:rPr>
          <w:rFonts w:asciiTheme="minorHAnsi" w:hAnsiTheme="minorHAnsi" w:cstheme="minorHAnsi"/>
          <w:b/>
        </w:rPr>
        <w:t xml:space="preserve">Předpoklady vytvořené </w:t>
      </w:r>
      <w:r w:rsidR="00330AFE" w:rsidRPr="00114575">
        <w:rPr>
          <w:rFonts w:asciiTheme="minorHAnsi" w:hAnsiTheme="minorHAnsi" w:cstheme="minorHAnsi"/>
          <w:b/>
        </w:rPr>
        <w:t xml:space="preserve">zpracováním návrhů </w:t>
      </w:r>
      <w:r w:rsidR="00790BC6" w:rsidRPr="00114575">
        <w:rPr>
          <w:rFonts w:asciiTheme="minorHAnsi" w:hAnsiTheme="minorHAnsi" w:cstheme="minorHAnsi"/>
          <w:b/>
        </w:rPr>
        <w:t>komplexních pozemkových úprav</w:t>
      </w:r>
      <w:r w:rsidR="00F40F0A" w:rsidRPr="00114575">
        <w:rPr>
          <w:rFonts w:asciiTheme="minorHAnsi" w:hAnsiTheme="minorHAnsi" w:cstheme="minorHAnsi"/>
          <w:b/>
        </w:rPr>
        <w:t xml:space="preserve"> </w:t>
      </w:r>
      <w:r w:rsidRPr="00114575">
        <w:rPr>
          <w:rFonts w:asciiTheme="minorHAnsi" w:hAnsiTheme="minorHAnsi" w:cstheme="minorHAnsi"/>
          <w:b/>
        </w:rPr>
        <w:t>pro</w:t>
      </w:r>
      <w:r w:rsidRPr="007B6490">
        <w:rPr>
          <w:rFonts w:asciiTheme="minorHAnsi" w:hAnsiTheme="minorHAnsi" w:cstheme="minorHAnsi"/>
          <w:b/>
        </w:rPr>
        <w:t xml:space="preserve"> naplnění cílů v oblast</w:t>
      </w:r>
      <w:r w:rsidR="0097709A">
        <w:rPr>
          <w:rFonts w:asciiTheme="minorHAnsi" w:hAnsiTheme="minorHAnsi" w:cstheme="minorHAnsi"/>
          <w:b/>
        </w:rPr>
        <w:t>ech</w:t>
      </w:r>
      <w:r w:rsidRPr="007B6490">
        <w:rPr>
          <w:rFonts w:asciiTheme="minorHAnsi" w:hAnsiTheme="minorHAnsi" w:cstheme="minorHAnsi"/>
          <w:b/>
        </w:rPr>
        <w:t xml:space="preserve"> d</w:t>
      </w:r>
      <w:r w:rsidRPr="007B6490">
        <w:rPr>
          <w:rFonts w:asciiTheme="minorHAnsi" w:eastAsia="GillSansCE-Bold" w:hAnsiTheme="minorHAnsi" w:cstheme="minorHAnsi"/>
          <w:b/>
          <w:lang w:eastAsia="cs-CZ"/>
        </w:rPr>
        <w:t>ůsledné ochrany zemědělské půdy, zlepšení odtokových poměrů krajiny a</w:t>
      </w:r>
      <w:r w:rsidR="0097709A">
        <w:rPr>
          <w:rFonts w:asciiTheme="minorHAnsi" w:eastAsia="GillSansCE-Bold" w:hAnsiTheme="minorHAnsi" w:cstheme="minorHAnsi"/>
          <w:b/>
          <w:lang w:eastAsia="cs-CZ"/>
        </w:rPr>
        <w:t xml:space="preserve"> </w:t>
      </w:r>
      <w:r w:rsidRPr="007B6490">
        <w:rPr>
          <w:rFonts w:asciiTheme="minorHAnsi" w:eastAsia="GillSansCE-Bold" w:hAnsiTheme="minorHAnsi" w:cstheme="minorHAnsi"/>
          <w:b/>
          <w:lang w:eastAsia="cs-CZ"/>
        </w:rPr>
        <w:t>minimalizace povodňových škod a</w:t>
      </w:r>
      <w:r w:rsidR="0097709A">
        <w:rPr>
          <w:rFonts w:asciiTheme="minorHAnsi" w:eastAsia="GillSansCE-Bold" w:hAnsiTheme="minorHAnsi" w:cstheme="minorHAnsi"/>
          <w:b/>
          <w:lang w:eastAsia="cs-CZ"/>
        </w:rPr>
        <w:t xml:space="preserve"> stejně tak</w:t>
      </w:r>
      <w:r w:rsidRPr="007B6490">
        <w:rPr>
          <w:rFonts w:asciiTheme="minorHAnsi" w:eastAsia="GillSansCE-Bold" w:hAnsiTheme="minorHAnsi" w:cstheme="minorHAnsi"/>
          <w:b/>
          <w:lang w:eastAsia="cs-CZ"/>
        </w:rPr>
        <w:t xml:space="preserve"> </w:t>
      </w:r>
      <w:r w:rsidR="0097709A">
        <w:rPr>
          <w:rFonts w:asciiTheme="minorHAnsi" w:eastAsia="GillSansCE-Bold" w:hAnsiTheme="minorHAnsi" w:cstheme="minorHAnsi"/>
          <w:b/>
          <w:lang w:eastAsia="cs-CZ"/>
        </w:rPr>
        <w:t xml:space="preserve">předpoklady </w:t>
      </w:r>
      <w:r w:rsidRPr="007B6490">
        <w:rPr>
          <w:rFonts w:asciiTheme="minorHAnsi" w:eastAsia="GillSansCE-Bold" w:hAnsiTheme="minorHAnsi" w:cstheme="minorHAnsi"/>
          <w:b/>
          <w:lang w:eastAsia="cs-CZ"/>
        </w:rPr>
        <w:t xml:space="preserve">k obnovení struktury krajiny a zvýšení celkové ekologické stability krajiny </w:t>
      </w:r>
      <w:r w:rsidRPr="007B6490">
        <w:rPr>
          <w:rFonts w:asciiTheme="minorHAnsi" w:hAnsiTheme="minorHAnsi" w:cstheme="minorHAnsi"/>
          <w:b/>
        </w:rPr>
        <w:t xml:space="preserve">zůstaly ve velké míře </w:t>
      </w:r>
      <w:r w:rsidRPr="007B6490">
        <w:rPr>
          <w:rFonts w:asciiTheme="minorHAnsi" w:eastAsia="FrescoSans-Normal" w:hAnsiTheme="minorHAnsi" w:cstheme="minorHAnsi"/>
          <w:b/>
          <w:lang w:eastAsia="cs-CZ"/>
        </w:rPr>
        <w:t>nevyužity.</w:t>
      </w:r>
    </w:p>
    <w:p w:rsidR="00C90283" w:rsidRDefault="00C90283">
      <w:pPr>
        <w:spacing w:after="160" w:line="259" w:lineRule="auto"/>
        <w:rPr>
          <w:rFonts w:asciiTheme="minorHAnsi" w:eastAsia="FrescoSans-Normal" w:hAnsiTheme="minorHAnsi" w:cstheme="minorHAnsi"/>
          <w:b/>
          <w:lang w:eastAsia="cs-CZ"/>
        </w:rPr>
      </w:pPr>
      <w:r>
        <w:rPr>
          <w:rFonts w:asciiTheme="minorHAnsi" w:eastAsia="FrescoSans-Normal" w:hAnsiTheme="minorHAnsi" w:cstheme="minorHAnsi"/>
          <w:b/>
          <w:lang w:eastAsia="cs-CZ"/>
        </w:rPr>
        <w:br w:type="page"/>
      </w:r>
    </w:p>
    <w:p w:rsidR="00C90283" w:rsidRPr="00AC4999" w:rsidRDefault="00C90283" w:rsidP="007B6490">
      <w:pPr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b/>
          <w:sz w:val="28"/>
          <w:szCs w:val="28"/>
          <w:lang w:eastAsia="cs-CZ"/>
        </w:rPr>
      </w:pPr>
      <w:r w:rsidRPr="00AC4999">
        <w:rPr>
          <w:rFonts w:asciiTheme="minorHAnsi" w:eastAsia="FrescoSans-Normal" w:hAnsiTheme="minorHAnsi" w:cstheme="minorHAnsi"/>
          <w:b/>
          <w:sz w:val="28"/>
          <w:szCs w:val="28"/>
          <w:lang w:eastAsia="cs-CZ"/>
        </w:rPr>
        <w:lastRenderedPageBreak/>
        <w:t>Seznam zkratek</w:t>
      </w:r>
    </w:p>
    <w:p w:rsidR="00C90283" w:rsidRDefault="00C90283" w:rsidP="007B6490">
      <w:pPr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b/>
          <w:lang w:eastAsia="cs-CZ"/>
        </w:rPr>
      </w:pP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ČR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Česká republika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CHKO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chráněná krajinná oblast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ISPÚ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Pr="00AC4999">
        <w:rPr>
          <w:rFonts w:asciiTheme="minorHAnsi" w:hAnsiTheme="minorHAnsi" w:cstheme="minorHAnsi"/>
          <w:i/>
        </w:rPr>
        <w:t>Informační systém pozemkových úprav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proofErr w:type="spellStart"/>
      <w:r>
        <w:rPr>
          <w:rFonts w:asciiTheme="minorHAnsi" w:eastAsia="FrescoSans-Normal" w:hAnsiTheme="minorHAnsi" w:cstheme="minorHAnsi"/>
          <w:lang w:eastAsia="cs-CZ"/>
        </w:rPr>
        <w:t>KoPÚ</w:t>
      </w:r>
      <w:proofErr w:type="spellEnd"/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komplexní pozemková úprava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proofErr w:type="spellStart"/>
      <w:r>
        <w:rPr>
          <w:rFonts w:asciiTheme="minorHAnsi" w:eastAsia="FrescoSans-Normal" w:hAnsiTheme="minorHAnsi" w:cstheme="minorHAnsi"/>
          <w:lang w:eastAsia="cs-CZ"/>
        </w:rPr>
        <w:t>MZe</w:t>
      </w:r>
      <w:proofErr w:type="spellEnd"/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Ministerstvo zemědělství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NKÚ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Nejvyšší kontrolní úřad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ind w:left="2552" w:hanging="2552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NSPRV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Pr="007979B1">
        <w:rPr>
          <w:rFonts w:asciiTheme="minorHAnsi" w:hAnsiTheme="minorHAnsi" w:cstheme="minorHAnsi"/>
          <w:i/>
        </w:rPr>
        <w:t>Národní strategický plán rozvoje venkova České republiky na období 2007–2013</w:t>
      </w:r>
      <w:r w:rsidRPr="007B6490">
        <w:rPr>
          <w:rFonts w:asciiTheme="minorHAnsi" w:hAnsiTheme="minorHAnsi" w:cstheme="minorHAnsi"/>
        </w:rPr>
        <w:t xml:space="preserve"> 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proofErr w:type="spellStart"/>
      <w:proofErr w:type="gramStart"/>
      <w:r>
        <w:rPr>
          <w:rFonts w:asciiTheme="minorHAnsi" w:eastAsia="FrescoSans-Normal" w:hAnsiTheme="minorHAnsi" w:cstheme="minorHAnsi"/>
          <w:lang w:eastAsia="cs-CZ"/>
        </w:rPr>
        <w:t>p.b</w:t>
      </w:r>
      <w:proofErr w:type="spellEnd"/>
      <w:r>
        <w:rPr>
          <w:rFonts w:asciiTheme="minorHAnsi" w:eastAsia="FrescoSans-Normal" w:hAnsiTheme="minorHAnsi" w:cstheme="minorHAnsi"/>
          <w:lang w:eastAsia="cs-CZ"/>
        </w:rPr>
        <w:t>.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  <w:t>procentní</w:t>
      </w:r>
      <w:proofErr w:type="gramEnd"/>
      <w:r>
        <w:rPr>
          <w:rFonts w:asciiTheme="minorHAnsi" w:eastAsia="FrescoSans-Normal" w:hAnsiTheme="minorHAnsi" w:cstheme="minorHAnsi"/>
          <w:lang w:eastAsia="cs-CZ"/>
        </w:rPr>
        <w:t xml:space="preserve"> bod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PF ČR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Pr="00AC4999">
        <w:rPr>
          <w:rFonts w:asciiTheme="minorHAnsi" w:hAnsiTheme="minorHAnsi" w:cstheme="minorHAnsi"/>
        </w:rPr>
        <w:t>Pozemkový fond ČR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ind w:left="2552" w:hanging="2552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Pravidla PRV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Pr="007979B1">
        <w:rPr>
          <w:rFonts w:asciiTheme="minorHAnsi" w:hAnsiTheme="minorHAnsi" w:cstheme="minorHAnsi"/>
          <w:i/>
        </w:rPr>
        <w:t>Pravidl</w:t>
      </w:r>
      <w:r>
        <w:rPr>
          <w:rFonts w:asciiTheme="minorHAnsi" w:hAnsiTheme="minorHAnsi" w:cstheme="minorHAnsi"/>
          <w:i/>
        </w:rPr>
        <w:t>a</w:t>
      </w:r>
      <w:r w:rsidRPr="007979B1">
        <w:rPr>
          <w:rFonts w:asciiTheme="minorHAnsi" w:hAnsiTheme="minorHAnsi" w:cstheme="minorHAnsi"/>
          <w:i/>
        </w:rPr>
        <w:t xml:space="preserve">, kterými se stanovují podmínky pro poskytování dotace na projekty PRV, </w:t>
      </w:r>
      <w:proofErr w:type="gramStart"/>
      <w:r w:rsidRPr="007979B1">
        <w:rPr>
          <w:rFonts w:asciiTheme="minorHAnsi" w:hAnsiTheme="minorHAnsi" w:cstheme="minorHAnsi"/>
          <w:i/>
        </w:rPr>
        <w:t>opatření I.1.4</w:t>
      </w:r>
      <w:proofErr w:type="gramEnd"/>
      <w:r w:rsidRPr="007979B1">
        <w:rPr>
          <w:rFonts w:asciiTheme="minorHAnsi" w:hAnsiTheme="minorHAnsi" w:cstheme="minorHAnsi"/>
          <w:i/>
        </w:rPr>
        <w:t xml:space="preserve"> – Pozemkové úpravy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PRV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Pr="007979B1">
        <w:rPr>
          <w:rFonts w:asciiTheme="minorHAnsi" w:eastAsiaTheme="minorHAnsi" w:hAnsiTheme="minorHAnsi" w:cstheme="minorHAnsi"/>
          <w:i/>
        </w:rPr>
        <w:t>Program rozvoje venkova České republiky na období 2007</w:t>
      </w:r>
      <w:r w:rsidR="001D78E9">
        <w:rPr>
          <w:rFonts w:asciiTheme="minorHAnsi" w:eastAsiaTheme="minorHAnsi" w:hAnsiTheme="minorHAnsi" w:cstheme="minorHAnsi"/>
          <w:i/>
        </w:rPr>
        <w:t>–</w:t>
      </w:r>
      <w:r w:rsidRPr="007979B1">
        <w:rPr>
          <w:rFonts w:asciiTheme="minorHAnsi" w:eastAsiaTheme="minorHAnsi" w:hAnsiTheme="minorHAnsi" w:cstheme="minorHAnsi"/>
          <w:i/>
        </w:rPr>
        <w:t>2013</w:t>
      </w:r>
      <w:r w:rsidRPr="007B6490">
        <w:rPr>
          <w:rFonts w:asciiTheme="minorHAnsi" w:eastAsiaTheme="minorHAnsi" w:hAnsiTheme="minorHAnsi" w:cstheme="minorHAnsi"/>
        </w:rPr>
        <w:t xml:space="preserve"> </w:t>
      </w:r>
    </w:p>
    <w:p w:rsidR="00414B60" w:rsidRPr="00AC4999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="Calibri" w:eastAsia="FrescoSans-Normal" w:hAnsi="Calibri" w:cs="Calibr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PSZ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="00AC4999">
        <w:rPr>
          <w:rFonts w:asciiTheme="minorHAnsi" w:eastAsia="FrescoSans-Normal" w:hAnsiTheme="minorHAnsi" w:cstheme="minorHAnsi"/>
          <w:lang w:eastAsia="cs-CZ"/>
        </w:rPr>
        <w:t>p</w:t>
      </w:r>
      <w:r w:rsidRPr="00AC4999">
        <w:rPr>
          <w:rFonts w:ascii="Calibri" w:hAnsi="Calibri" w:cs="Calibri"/>
        </w:rPr>
        <w:t>lán společných zařízení</w:t>
      </w:r>
    </w:p>
    <w:p w:rsidR="00414B60" w:rsidRPr="00AC4999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="Calibri" w:eastAsia="FrescoSans-Normal" w:hAnsi="Calibri" w:cs="Calibri"/>
          <w:lang w:eastAsia="cs-CZ"/>
        </w:rPr>
      </w:pPr>
      <w:r w:rsidRPr="00AC4999">
        <w:rPr>
          <w:rFonts w:ascii="Calibri" w:eastAsia="FrescoSans-Normal" w:hAnsi="Calibri" w:cs="Calibri"/>
          <w:lang w:eastAsia="cs-CZ"/>
        </w:rPr>
        <w:t>SPÚ</w:t>
      </w:r>
      <w:r w:rsidRPr="00AC4999">
        <w:rPr>
          <w:rFonts w:ascii="Calibri" w:eastAsia="FrescoSans-Normal" w:hAnsi="Calibri" w:cs="Calibri"/>
          <w:lang w:eastAsia="cs-CZ"/>
        </w:rPr>
        <w:tab/>
        <w:t>–</w:t>
      </w:r>
      <w:r w:rsidRPr="00AC4999">
        <w:rPr>
          <w:rFonts w:ascii="Calibri" w:eastAsia="FrescoSans-Normal" w:hAnsi="Calibri" w:cs="Calibri"/>
          <w:lang w:eastAsia="cs-CZ"/>
        </w:rPr>
        <w:tab/>
      </w:r>
      <w:r w:rsidRPr="00AC4999">
        <w:rPr>
          <w:rFonts w:ascii="Calibri" w:hAnsi="Calibri" w:cs="Calibri"/>
        </w:rPr>
        <w:t>Státní pozemkový úřad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 w:rsidRPr="00AC4999">
        <w:rPr>
          <w:rFonts w:ascii="Calibri" w:eastAsia="FrescoSans-Normal" w:hAnsi="Calibri" w:cs="Calibri"/>
          <w:lang w:eastAsia="cs-CZ"/>
        </w:rPr>
        <w:t>SZIF</w:t>
      </w:r>
      <w:r w:rsidRPr="00AC4999">
        <w:rPr>
          <w:rFonts w:ascii="Calibri" w:eastAsia="FrescoSans-Normal" w:hAnsi="Calibri" w:cs="Calibri"/>
          <w:lang w:eastAsia="cs-CZ"/>
        </w:rPr>
        <w:tab/>
        <w:t>–</w:t>
      </w:r>
      <w:r w:rsidRPr="00AC4999">
        <w:rPr>
          <w:rFonts w:ascii="Calibri" w:eastAsia="FrescoSans-Normal" w:hAnsi="Calibri" w:cs="Calibri"/>
          <w:lang w:eastAsia="cs-CZ"/>
        </w:rPr>
        <w:tab/>
        <w:t xml:space="preserve">Státní zemědělský </w:t>
      </w:r>
      <w:r w:rsidR="00AC4999" w:rsidRPr="00AC4999">
        <w:rPr>
          <w:rFonts w:ascii="Calibri" w:hAnsi="Calibri" w:cs="Calibri"/>
        </w:rPr>
        <w:t>intervenční fond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ÚPÚ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="00AC4999" w:rsidRPr="007B6490">
        <w:rPr>
          <w:rFonts w:asciiTheme="minorHAnsi" w:hAnsiTheme="minorHAnsi" w:cstheme="minorHAnsi"/>
        </w:rPr>
        <w:t>Ústřední pozemkový úřad</w:t>
      </w:r>
      <w:r w:rsidR="00AC4999" w:rsidRPr="007B6490">
        <w:rPr>
          <w:rFonts w:asciiTheme="minorHAnsi" w:hAnsiTheme="minorHAnsi" w:cstheme="minorHAnsi"/>
          <w:b/>
        </w:rPr>
        <w:t xml:space="preserve"> 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VPS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="00AC4999" w:rsidRPr="007979B1">
        <w:rPr>
          <w:rFonts w:asciiTheme="minorHAnsi" w:hAnsiTheme="minorHAnsi" w:cstheme="minorHAnsi"/>
        </w:rPr>
        <w:t>kapitol</w:t>
      </w:r>
      <w:r w:rsidR="00AC4999">
        <w:rPr>
          <w:rFonts w:asciiTheme="minorHAnsi" w:hAnsiTheme="minorHAnsi" w:cstheme="minorHAnsi"/>
        </w:rPr>
        <w:t>a</w:t>
      </w:r>
      <w:r w:rsidR="00AC4999" w:rsidRPr="007979B1">
        <w:rPr>
          <w:rFonts w:asciiTheme="minorHAnsi" w:hAnsiTheme="minorHAnsi" w:cstheme="minorHAnsi"/>
        </w:rPr>
        <w:t xml:space="preserve"> státního rozpočtu </w:t>
      </w:r>
      <w:r w:rsidR="00AC4999" w:rsidRPr="00170342">
        <w:rPr>
          <w:rFonts w:asciiTheme="minorHAnsi" w:hAnsiTheme="minorHAnsi" w:cstheme="minorHAnsi"/>
        </w:rPr>
        <w:t xml:space="preserve">398 – </w:t>
      </w:r>
      <w:r w:rsidR="00AC4999" w:rsidRPr="00170342">
        <w:rPr>
          <w:rFonts w:asciiTheme="minorHAnsi" w:hAnsiTheme="minorHAnsi" w:cstheme="minorHAnsi"/>
          <w:i/>
        </w:rPr>
        <w:t>Všeobecná pokladní správa</w:t>
      </w:r>
    </w:p>
    <w:p w:rsidR="00414B60" w:rsidRDefault="00414B60" w:rsidP="00AC4999">
      <w:pPr>
        <w:tabs>
          <w:tab w:val="right" w:pos="1985"/>
          <w:tab w:val="left" w:pos="2552"/>
        </w:tabs>
        <w:autoSpaceDE w:val="0"/>
        <w:autoSpaceDN w:val="0"/>
        <w:adjustRightInd w:val="0"/>
        <w:spacing w:after="120"/>
        <w:jc w:val="both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t>VÚMOP</w:t>
      </w:r>
      <w:r>
        <w:rPr>
          <w:rFonts w:asciiTheme="minorHAnsi" w:eastAsia="FrescoSans-Normal" w:hAnsiTheme="minorHAnsi" w:cstheme="minorHAnsi"/>
          <w:lang w:eastAsia="cs-CZ"/>
        </w:rPr>
        <w:tab/>
        <w:t>–</w:t>
      </w:r>
      <w:r>
        <w:rPr>
          <w:rFonts w:asciiTheme="minorHAnsi" w:eastAsia="FrescoSans-Normal" w:hAnsiTheme="minorHAnsi" w:cstheme="minorHAnsi"/>
          <w:lang w:eastAsia="cs-CZ"/>
        </w:rPr>
        <w:tab/>
      </w:r>
      <w:r w:rsidR="00AC4999" w:rsidRPr="007B6490">
        <w:rPr>
          <w:rFonts w:asciiTheme="minorHAnsi" w:hAnsiTheme="minorHAnsi" w:cstheme="minorHAnsi"/>
        </w:rPr>
        <w:t>Výzkumn</w:t>
      </w:r>
      <w:r w:rsidR="00AC4999">
        <w:rPr>
          <w:rFonts w:asciiTheme="minorHAnsi" w:hAnsiTheme="minorHAnsi" w:cstheme="minorHAnsi"/>
        </w:rPr>
        <w:t>ý</w:t>
      </w:r>
      <w:r w:rsidR="00AC4999" w:rsidRPr="007B6490">
        <w:rPr>
          <w:rFonts w:asciiTheme="minorHAnsi" w:hAnsiTheme="minorHAnsi" w:cstheme="minorHAnsi"/>
        </w:rPr>
        <w:t xml:space="preserve"> ústav meliorací a ochrany půdy, v.</w:t>
      </w:r>
      <w:r w:rsidR="00B969C2">
        <w:rPr>
          <w:rFonts w:asciiTheme="minorHAnsi" w:hAnsiTheme="minorHAnsi" w:cstheme="minorHAnsi"/>
        </w:rPr>
        <w:t xml:space="preserve"> </w:t>
      </w:r>
      <w:r w:rsidR="00AC4999" w:rsidRPr="007B6490">
        <w:rPr>
          <w:rFonts w:asciiTheme="minorHAnsi" w:hAnsiTheme="minorHAnsi" w:cstheme="minorHAnsi"/>
        </w:rPr>
        <w:t>v.</w:t>
      </w:r>
      <w:r w:rsidR="00B969C2">
        <w:rPr>
          <w:rFonts w:asciiTheme="minorHAnsi" w:hAnsiTheme="minorHAnsi" w:cstheme="minorHAnsi"/>
        </w:rPr>
        <w:t xml:space="preserve"> </w:t>
      </w:r>
      <w:r w:rsidR="00AC4999" w:rsidRPr="007B6490">
        <w:rPr>
          <w:rFonts w:asciiTheme="minorHAnsi" w:hAnsiTheme="minorHAnsi" w:cstheme="minorHAnsi"/>
        </w:rPr>
        <w:t>i.</w:t>
      </w:r>
    </w:p>
    <w:p w:rsidR="007225D2" w:rsidRDefault="007225D2">
      <w:pPr>
        <w:spacing w:after="160" w:line="259" w:lineRule="auto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br w:type="page"/>
      </w:r>
    </w:p>
    <w:p w:rsidR="007225D2" w:rsidRPr="00F47B8F" w:rsidRDefault="007225D2" w:rsidP="007225D2">
      <w:pPr>
        <w:keepNext/>
        <w:tabs>
          <w:tab w:val="right" w:pos="9072"/>
        </w:tabs>
        <w:spacing w:before="120"/>
        <w:jc w:val="right"/>
        <w:rPr>
          <w:rFonts w:ascii="Calibri" w:hAnsi="Calibri" w:cs="Calibri"/>
          <w:b/>
        </w:rPr>
      </w:pPr>
      <w:r w:rsidRPr="00F47B8F">
        <w:rPr>
          <w:rFonts w:ascii="Calibri" w:hAnsi="Calibri" w:cs="Calibri"/>
          <w:b/>
        </w:rPr>
        <w:lastRenderedPageBreak/>
        <w:t>Příloha č. 1</w:t>
      </w:r>
    </w:p>
    <w:p w:rsidR="007225D2" w:rsidRPr="00F47B8F" w:rsidRDefault="007225D2" w:rsidP="007225D2">
      <w:pPr>
        <w:keepNext/>
        <w:tabs>
          <w:tab w:val="right" w:pos="9072"/>
        </w:tabs>
        <w:spacing w:before="120"/>
        <w:jc w:val="both"/>
        <w:rPr>
          <w:rFonts w:ascii="Calibri" w:hAnsi="Calibri" w:cs="Calibri"/>
          <w:b/>
        </w:rPr>
      </w:pPr>
      <w:r w:rsidRPr="00F47B8F">
        <w:rPr>
          <w:rFonts w:ascii="Calibri" w:hAnsi="Calibri" w:cs="Calibri"/>
          <w:b/>
        </w:rPr>
        <w:tab/>
        <w:t>(v tis. Kč)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376"/>
        <w:gridCol w:w="1212"/>
        <w:gridCol w:w="976"/>
        <w:gridCol w:w="1946"/>
        <w:gridCol w:w="1252"/>
        <w:gridCol w:w="1629"/>
      </w:tblGrid>
      <w:tr w:rsidR="007225D2" w:rsidRPr="007225D2" w:rsidTr="00A735D9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KoPÚ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Název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KoPÚ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Datum ukončení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KoPÚ</w:t>
            </w:r>
            <w:proofErr w:type="spellEnd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*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Výměra obvodu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KoPÚ</w:t>
            </w:r>
            <w:proofErr w:type="spellEnd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(ha)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Krajský pozemkový úřad pro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EB4D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Výdaje na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KoPÚ</w:t>
            </w:r>
            <w:proofErr w:type="spellEnd"/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do 31.</w:t>
            </w:r>
            <w:r w:rsidR="00EB4D3E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12.</w:t>
            </w:r>
            <w:r w:rsidR="00EB4D3E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z toho prostředky EU na projekty PRV**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2202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Nenkovice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7.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7.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607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26 085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8 210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2396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Šatov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19.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4.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1133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11 071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3 609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Houdkovice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6.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10.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 w:right="-7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16 133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8 094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2649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Lukavice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28.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11.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986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 w:right="-7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21 106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9 048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Mladoňovice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12.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Kraj Vysočina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23 084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0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Bitětice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6.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Kraj Vysočina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10 142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4 777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1922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Odrlice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23.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15 161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5 312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1933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Tučín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26.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11.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36 029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7 474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Dražeň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24.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4.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695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Plzeňský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20 295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9 403</w:t>
            </w:r>
          </w:p>
        </w:tc>
      </w:tr>
      <w:tr w:rsidR="007225D2" w:rsidRPr="007225D2" w:rsidTr="00A735D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2543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Hájek u Všerub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70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13.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3.</w:t>
            </w:r>
            <w:r w:rsidR="00EB4D3E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left="57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Plzeňský kraj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8 347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sz w:val="20"/>
                <w:szCs w:val="20"/>
                <w:lang w:eastAsia="cs-CZ"/>
              </w:rPr>
              <w:t>3 841</w:t>
            </w:r>
          </w:p>
        </w:tc>
      </w:tr>
      <w:tr w:rsidR="007225D2" w:rsidRPr="007225D2" w:rsidTr="007225D2">
        <w:trPr>
          <w:trHeight w:val="300"/>
        </w:trPr>
        <w:tc>
          <w:tcPr>
            <w:tcW w:w="6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187 453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59 768</w:t>
            </w:r>
          </w:p>
        </w:tc>
      </w:tr>
    </w:tbl>
    <w:p w:rsidR="007225D2" w:rsidRPr="00A735D9" w:rsidRDefault="007225D2" w:rsidP="00A735D9">
      <w:pPr>
        <w:spacing w:before="20"/>
        <w:jc w:val="both"/>
        <w:rPr>
          <w:rFonts w:ascii="Calibri" w:hAnsi="Calibri" w:cs="Calibri"/>
          <w:iCs/>
          <w:sz w:val="20"/>
          <w:szCs w:val="20"/>
          <w:lang w:eastAsia="cs-CZ"/>
        </w:rPr>
      </w:pPr>
      <w:r w:rsidRPr="00A735D9">
        <w:rPr>
          <w:rFonts w:ascii="Calibri" w:hAnsi="Calibri" w:cs="Calibri"/>
          <w:b/>
          <w:iCs/>
          <w:sz w:val="20"/>
          <w:szCs w:val="20"/>
          <w:lang w:eastAsia="cs-CZ"/>
        </w:rPr>
        <w:t>Zdroj:</w:t>
      </w:r>
      <w:r w:rsidRPr="00A735D9">
        <w:rPr>
          <w:rFonts w:ascii="Calibri" w:hAnsi="Calibri" w:cs="Calibri"/>
          <w:iCs/>
          <w:sz w:val="20"/>
          <w:szCs w:val="20"/>
          <w:lang w:eastAsia="cs-CZ"/>
        </w:rPr>
        <w:t xml:space="preserve"> </w:t>
      </w:r>
      <w:r w:rsidR="00EB4D3E">
        <w:rPr>
          <w:rFonts w:ascii="Calibri" w:hAnsi="Calibri" w:cs="Calibri"/>
          <w:iCs/>
          <w:sz w:val="20"/>
          <w:szCs w:val="20"/>
          <w:lang w:eastAsia="cs-CZ"/>
        </w:rPr>
        <w:t>d</w:t>
      </w:r>
      <w:r w:rsidRPr="00A735D9">
        <w:rPr>
          <w:rFonts w:ascii="Calibri" w:hAnsi="Calibri" w:cs="Calibri"/>
          <w:iCs/>
          <w:sz w:val="20"/>
          <w:szCs w:val="20"/>
          <w:lang w:eastAsia="cs-CZ"/>
        </w:rPr>
        <w:t xml:space="preserve">okumentace kontrolovaných </w:t>
      </w:r>
      <w:proofErr w:type="spellStart"/>
      <w:r w:rsidRPr="00A735D9">
        <w:rPr>
          <w:rFonts w:ascii="Calibri" w:hAnsi="Calibri" w:cs="Calibri"/>
          <w:iCs/>
          <w:sz w:val="20"/>
          <w:szCs w:val="20"/>
          <w:lang w:eastAsia="cs-CZ"/>
        </w:rPr>
        <w:t>KoPÚ</w:t>
      </w:r>
      <w:proofErr w:type="spellEnd"/>
      <w:r w:rsidR="00EB4D3E">
        <w:rPr>
          <w:rFonts w:ascii="Calibri" w:hAnsi="Calibri" w:cs="Calibri"/>
          <w:iCs/>
          <w:sz w:val="20"/>
          <w:szCs w:val="20"/>
          <w:lang w:eastAsia="cs-CZ"/>
        </w:rPr>
        <w:t>.</w:t>
      </w:r>
    </w:p>
    <w:p w:rsidR="007225D2" w:rsidRPr="00A735D9" w:rsidRDefault="007225D2" w:rsidP="00A735D9">
      <w:pPr>
        <w:ind w:left="284" w:hanging="284"/>
        <w:rPr>
          <w:rFonts w:ascii="Calibri" w:hAnsi="Calibri" w:cs="Calibri"/>
          <w:bCs/>
          <w:sz w:val="20"/>
          <w:szCs w:val="20"/>
        </w:rPr>
      </w:pPr>
      <w:r w:rsidRPr="00A735D9">
        <w:rPr>
          <w:rFonts w:ascii="Calibri" w:hAnsi="Calibri" w:cs="Calibri"/>
          <w:iCs/>
          <w:sz w:val="20"/>
          <w:szCs w:val="20"/>
        </w:rPr>
        <w:t xml:space="preserve">* </w:t>
      </w:r>
      <w:r w:rsidR="00EB4D3E">
        <w:rPr>
          <w:rFonts w:ascii="Calibri" w:hAnsi="Calibri" w:cs="Calibri"/>
          <w:iCs/>
          <w:sz w:val="20"/>
          <w:szCs w:val="20"/>
        </w:rPr>
        <w:tab/>
        <w:t>D</w:t>
      </w:r>
      <w:r w:rsidRPr="00A735D9">
        <w:rPr>
          <w:rFonts w:ascii="Calibri" w:hAnsi="Calibri" w:cs="Calibri"/>
          <w:iCs/>
          <w:sz w:val="20"/>
          <w:szCs w:val="20"/>
        </w:rPr>
        <w:t xml:space="preserve">atum ukončení </w:t>
      </w:r>
      <w:proofErr w:type="spellStart"/>
      <w:r w:rsidRPr="00A735D9">
        <w:rPr>
          <w:rFonts w:ascii="Calibri" w:hAnsi="Calibri" w:cs="Calibri"/>
          <w:iCs/>
          <w:sz w:val="20"/>
          <w:szCs w:val="20"/>
        </w:rPr>
        <w:t>KoPÚ</w:t>
      </w:r>
      <w:proofErr w:type="spellEnd"/>
      <w:r w:rsidRPr="00A735D9">
        <w:rPr>
          <w:rFonts w:ascii="Calibri" w:hAnsi="Calibri" w:cs="Calibri"/>
          <w:iCs/>
          <w:sz w:val="20"/>
          <w:szCs w:val="20"/>
        </w:rPr>
        <w:t xml:space="preserve"> je den nabytí právní moci rozhodnutí </w:t>
      </w:r>
      <w:r w:rsidRPr="00A735D9">
        <w:rPr>
          <w:rFonts w:ascii="Calibri" w:hAnsi="Calibri" w:cs="Calibri"/>
          <w:bCs/>
          <w:sz w:val="20"/>
          <w:szCs w:val="20"/>
        </w:rPr>
        <w:t>o výměně nebo přechodu vlastnických práv</w:t>
      </w:r>
      <w:r w:rsidR="00EB4D3E">
        <w:rPr>
          <w:rFonts w:ascii="Calibri" w:hAnsi="Calibri" w:cs="Calibri"/>
          <w:bCs/>
          <w:sz w:val="20"/>
          <w:szCs w:val="20"/>
        </w:rPr>
        <w:t>.</w:t>
      </w:r>
    </w:p>
    <w:p w:rsidR="007225D2" w:rsidRPr="00A735D9" w:rsidRDefault="007225D2" w:rsidP="00A735D9">
      <w:pPr>
        <w:ind w:left="284" w:hanging="284"/>
        <w:rPr>
          <w:rFonts w:ascii="Calibri" w:hAnsi="Calibri" w:cs="Calibri"/>
          <w:iCs/>
          <w:sz w:val="20"/>
          <w:szCs w:val="20"/>
        </w:rPr>
      </w:pPr>
      <w:r w:rsidRPr="00A735D9">
        <w:rPr>
          <w:rFonts w:ascii="Calibri" w:hAnsi="Calibri" w:cs="Calibri"/>
          <w:iCs/>
          <w:sz w:val="20"/>
          <w:szCs w:val="20"/>
        </w:rPr>
        <w:t xml:space="preserve">** </w:t>
      </w:r>
      <w:r w:rsidR="00EB4D3E">
        <w:rPr>
          <w:rFonts w:ascii="Calibri" w:hAnsi="Calibri" w:cs="Calibri"/>
          <w:iCs/>
          <w:sz w:val="20"/>
          <w:szCs w:val="20"/>
        </w:rPr>
        <w:tab/>
        <w:t>P</w:t>
      </w:r>
      <w:r w:rsidRPr="00A735D9">
        <w:rPr>
          <w:rFonts w:ascii="Calibri" w:hAnsi="Calibri" w:cs="Calibri"/>
          <w:iCs/>
          <w:sz w:val="20"/>
          <w:szCs w:val="20"/>
        </w:rPr>
        <w:t>eněžní prostředky poskytnuté z rozpočtu Evropské unie (bez povinného spolufinancování z národních zdrojů)</w:t>
      </w:r>
      <w:r w:rsidR="00EB4D3E">
        <w:rPr>
          <w:rFonts w:ascii="Calibri" w:hAnsi="Calibri" w:cs="Calibri"/>
          <w:iCs/>
          <w:sz w:val="20"/>
          <w:szCs w:val="20"/>
        </w:rPr>
        <w:t>.</w:t>
      </w:r>
    </w:p>
    <w:p w:rsidR="007225D2" w:rsidRPr="007225D2" w:rsidRDefault="007225D2" w:rsidP="007225D2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225D2" w:rsidRDefault="007225D2">
      <w:pPr>
        <w:spacing w:after="160" w:line="259" w:lineRule="auto"/>
        <w:rPr>
          <w:rFonts w:asciiTheme="minorHAnsi" w:eastAsia="FrescoSans-Normal" w:hAnsiTheme="minorHAnsi" w:cstheme="minorHAnsi"/>
          <w:lang w:eastAsia="cs-CZ"/>
        </w:rPr>
      </w:pPr>
      <w:r>
        <w:rPr>
          <w:rFonts w:asciiTheme="minorHAnsi" w:eastAsia="FrescoSans-Normal" w:hAnsiTheme="minorHAnsi" w:cstheme="minorHAnsi"/>
          <w:lang w:eastAsia="cs-CZ"/>
        </w:rPr>
        <w:br w:type="page"/>
      </w:r>
    </w:p>
    <w:p w:rsidR="007225D2" w:rsidRPr="00F47B8F" w:rsidRDefault="007225D2" w:rsidP="00A735D9">
      <w:pPr>
        <w:spacing w:after="40" w:line="259" w:lineRule="auto"/>
        <w:ind w:right="-709"/>
        <w:jc w:val="right"/>
        <w:rPr>
          <w:rFonts w:asciiTheme="minorHAnsi" w:eastAsia="FrescoSans-Normal" w:hAnsiTheme="minorHAnsi" w:cstheme="minorHAnsi"/>
          <w:b/>
          <w:lang w:eastAsia="cs-CZ"/>
        </w:rPr>
      </w:pPr>
      <w:r w:rsidRPr="00F47B8F">
        <w:rPr>
          <w:rFonts w:asciiTheme="minorHAnsi" w:eastAsia="FrescoSans-Normal" w:hAnsiTheme="minorHAnsi" w:cstheme="minorHAnsi"/>
          <w:b/>
          <w:lang w:eastAsia="cs-CZ"/>
        </w:rPr>
        <w:lastRenderedPageBreak/>
        <w:t>Příloha č. 2</w:t>
      </w:r>
    </w:p>
    <w:tbl>
      <w:tblPr>
        <w:tblW w:w="1037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941"/>
        <w:gridCol w:w="935"/>
        <w:gridCol w:w="952"/>
        <w:gridCol w:w="952"/>
        <w:gridCol w:w="964"/>
        <w:gridCol w:w="964"/>
        <w:gridCol w:w="964"/>
        <w:gridCol w:w="952"/>
        <w:gridCol w:w="822"/>
      </w:tblGrid>
      <w:tr w:rsidR="007225D2" w:rsidRPr="007225D2" w:rsidTr="00A735D9">
        <w:trPr>
          <w:trHeight w:val="12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A735D9">
            <w:pPr>
              <w:ind w:lef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Registrační číslo žádosti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F57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podpisu Dohody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dle Dohody </w:t>
            </w:r>
            <w:r w:rsidR="006E56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</w:t>
            </w:r>
            <w:r w:rsidR="006E56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</w:t>
            </w:r>
            <w:r w:rsidR="006E56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podpisu SoD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HoZV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nebo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ŽoP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45" w:right="-2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Doba od podpisu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SoD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="00FD229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HoZV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ŽoP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v</w:t>
            </w:r>
            <w:r w:rsidR="00625E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měsících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102" w:right="-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Doba od podpisu 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SoD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="00625E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HoZV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ŽoP</w:t>
            </w:r>
            <w:proofErr w:type="spellEnd"/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ve</w:t>
            </w:r>
            <w:r w:rsidR="00625E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dnech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57" w:right="-28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žádosti o</w:t>
            </w:r>
            <w:r w:rsidR="006E56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proplacení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Skutečně poskytnutá dotace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A735D9">
            <w:pPr>
              <w:ind w:left="-113" w:right="-9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Proplaceno z</w:t>
            </w:r>
            <w:r w:rsidR="002D523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ceny v</w:t>
            </w:r>
            <w:r w:rsidR="001D78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Dohodě (</w:t>
            </w:r>
            <w:r w:rsidR="002D523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 </w:t>
            </w:r>
            <w:r w:rsidRPr="007225D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%)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07/0021140a/451/001821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28.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3 371 000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801 640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23,8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08/005/1140d/231/003442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15 500 000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9 690 236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62,5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09/007/</w:t>
            </w:r>
            <w:proofErr w:type="spellStart"/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1140d</w:t>
            </w:r>
            <w:proofErr w:type="spellEnd"/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/452/003393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4 790 000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2 895 732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60,5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11/014/1140d/564/005900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22 761 000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10 946 165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48,1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11/014/1140d/564/005037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7 408 686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4 812 274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65,0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11/014/1140d/232/005153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14 930 000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*12.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12 537 712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84,0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11/014/1140d/232/006619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9 656 860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5 121 083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53,0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11/014/1140d/452/004935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16 000 000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10 791 674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67,4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11/014/1140d/452/005941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11 369 000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9 167 755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80,6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11/014/1140d/671/006624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16 359 303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25D2" w:rsidRPr="007225D2" w:rsidRDefault="007225D2" w:rsidP="007225D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25D2" w:rsidRPr="007225D2" w:rsidRDefault="007225D2" w:rsidP="007225D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9 965 620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60,9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12/015/1140d/563/000286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15 995 410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6 369 385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39,8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08/005/1140d/453/003569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10 533 999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3 855 693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36,6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09/007/1140d/453/003430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16 026 520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6 128 574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38,2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11/014/1140d/452/005278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3 439 050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828 790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24,1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12/015/1140d/452/000302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17.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8 176 784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4 861 832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59,5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07/002/1140d/671/001763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9 242 922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4 318 648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46,7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08/005/1140d/672/003461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9 033 003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4 968 448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55,0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09/007/1140d/671/003243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9 701 551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3 746 316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38,6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11/014/1140d/671/006460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15 484 881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7 082 561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45,7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12/015/1140d/671/000259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7 481 113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3 891 334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52,0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07/002/1140c/231/001616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2 628 591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530 000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20,2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08/005/1140d/232/003693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27.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16 793 280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7 538 706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44,9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09/007/1140d/231/003419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14 806 114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6 151 786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41,5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11/014/1140d/232/005213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19 100 000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7 883 705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41,3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12/015/1140d/231/000262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3 385 000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1 647 296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48,7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07/002/1140d/562/001481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18 106 599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7 373 549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40,7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08/005/1140c/563/003673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2 499 952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1 220 240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48,8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09/007/1140d/564/003443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10 501 540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4 035 297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38,4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11/014/1140d/564/005079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11.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12 779 212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957FC8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957FC8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5 926 558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46,4</w:t>
            </w:r>
          </w:p>
        </w:tc>
      </w:tr>
      <w:tr w:rsidR="007225D2" w:rsidRPr="007225D2" w:rsidTr="00A735D9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28"/>
              <w:rPr>
                <w:rFonts w:ascii="Calibri" w:hAnsi="Calibri" w:cs="Calibri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sz w:val="16"/>
                <w:szCs w:val="16"/>
                <w:lang w:eastAsia="cs-CZ"/>
              </w:rPr>
              <w:t>12/015/1140d/564/000311</w:t>
            </w:r>
          </w:p>
        </w:tc>
        <w:tc>
          <w:tcPr>
            <w:tcW w:w="9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A735D9">
            <w:pPr>
              <w:ind w:left="-1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25.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10.</w:t>
            </w:r>
            <w:r w:rsidR="00625E3B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46 355 000</w:t>
            </w:r>
          </w:p>
        </w:tc>
        <w:tc>
          <w:tcPr>
            <w:tcW w:w="9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9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FD229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15 676 696</w:t>
            </w:r>
          </w:p>
        </w:tc>
        <w:tc>
          <w:tcPr>
            <w:tcW w:w="8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33,8</w:t>
            </w:r>
          </w:p>
        </w:tc>
      </w:tr>
      <w:tr w:rsidR="007225D2" w:rsidRPr="007225D2" w:rsidTr="00A735D9">
        <w:trPr>
          <w:trHeight w:val="255"/>
        </w:trPr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left="-129"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374 216 370</w:t>
            </w:r>
          </w:p>
        </w:tc>
        <w:tc>
          <w:tcPr>
            <w:tcW w:w="9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7 218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180 765 305</w:t>
            </w:r>
          </w:p>
        </w:tc>
        <w:tc>
          <w:tcPr>
            <w:tcW w:w="8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225D2" w:rsidRPr="007225D2" w:rsidTr="00A735D9">
        <w:trPr>
          <w:trHeight w:val="255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7225D2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Průměr z 30 projektů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D2" w:rsidRPr="007225D2" w:rsidRDefault="007225D2" w:rsidP="00F57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1263E9">
            <w:pPr>
              <w:ind w:right="-1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12 473 879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7225D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6 025 510 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D2" w:rsidRPr="007225D2" w:rsidRDefault="007225D2" w:rsidP="00A735D9">
            <w:pPr>
              <w:ind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7225D2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48,3 </w:t>
            </w:r>
          </w:p>
        </w:tc>
      </w:tr>
    </w:tbl>
    <w:p w:rsidR="007225D2" w:rsidRPr="007225D2" w:rsidRDefault="007225D2" w:rsidP="00A735D9">
      <w:pPr>
        <w:spacing w:before="40" w:line="276" w:lineRule="auto"/>
        <w:ind w:left="-567"/>
        <w:rPr>
          <w:rFonts w:ascii="Calibri" w:hAnsi="Calibri" w:cs="Calibri"/>
          <w:sz w:val="20"/>
          <w:szCs w:val="20"/>
        </w:rPr>
      </w:pPr>
      <w:r w:rsidRPr="007225D2">
        <w:rPr>
          <w:rFonts w:ascii="Calibri" w:hAnsi="Calibri" w:cs="Calibri"/>
          <w:b/>
          <w:sz w:val="20"/>
          <w:szCs w:val="20"/>
        </w:rPr>
        <w:t>Zdroj:</w:t>
      </w:r>
      <w:r w:rsidRPr="007225D2">
        <w:rPr>
          <w:rFonts w:ascii="Calibri" w:hAnsi="Calibri" w:cs="Calibri"/>
          <w:sz w:val="20"/>
          <w:szCs w:val="20"/>
        </w:rPr>
        <w:t xml:space="preserve"> podklady </w:t>
      </w:r>
      <w:proofErr w:type="spellStart"/>
      <w:r w:rsidRPr="007225D2">
        <w:rPr>
          <w:rFonts w:ascii="Calibri" w:hAnsi="Calibri" w:cs="Calibri"/>
          <w:sz w:val="20"/>
          <w:szCs w:val="20"/>
        </w:rPr>
        <w:t>SZIF</w:t>
      </w:r>
      <w:proofErr w:type="spellEnd"/>
      <w:r w:rsidR="006E56B1">
        <w:rPr>
          <w:rFonts w:ascii="Calibri" w:hAnsi="Calibri" w:cs="Calibri"/>
          <w:sz w:val="20"/>
          <w:szCs w:val="20"/>
        </w:rPr>
        <w:t>.</w:t>
      </w:r>
    </w:p>
    <w:p w:rsidR="007225D2" w:rsidRPr="007225D2" w:rsidRDefault="007225D2" w:rsidP="00056C1A">
      <w:pPr>
        <w:ind w:left="-567"/>
        <w:rPr>
          <w:rFonts w:ascii="Arial" w:hAnsi="Arial"/>
          <w:sz w:val="22"/>
        </w:rPr>
      </w:pP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*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V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>e výpočtu použito da</w:t>
      </w:r>
      <w:bookmarkStart w:id="0" w:name="_GoBack"/>
      <w:bookmarkEnd w:id="0"/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tum podpisu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d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>ohody místo SoD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.</w:t>
      </w:r>
    </w:p>
    <w:p w:rsidR="007225D2" w:rsidRPr="007225D2" w:rsidRDefault="007225D2" w:rsidP="00056C1A">
      <w:pPr>
        <w:ind w:left="-567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Dohoda –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d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>ohoda o poskytnutí dotace mezi ÚPÚ a SZIF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.</w:t>
      </w:r>
    </w:p>
    <w:p w:rsidR="007225D2" w:rsidRPr="007225D2" w:rsidRDefault="007225D2" w:rsidP="00056C1A">
      <w:pPr>
        <w:ind w:left="-567"/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spellStart"/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>HoZV</w:t>
      </w:r>
      <w:proofErr w:type="spellEnd"/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–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 hlášení o změně výdajů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.</w:t>
      </w:r>
    </w:p>
    <w:p w:rsidR="007225D2" w:rsidRPr="007225D2" w:rsidRDefault="007225D2" w:rsidP="00056C1A">
      <w:pPr>
        <w:ind w:left="-567"/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SoD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–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 smlouva o dílo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.</w:t>
      </w:r>
    </w:p>
    <w:p w:rsidR="007225D2" w:rsidRPr="007225D2" w:rsidRDefault="007225D2" w:rsidP="00056C1A">
      <w:pPr>
        <w:ind w:left="-567"/>
        <w:rPr>
          <w:rFonts w:ascii="Arial" w:hAnsi="Arial"/>
          <w:sz w:val="22"/>
        </w:rPr>
      </w:pPr>
      <w:proofErr w:type="spellStart"/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>ŽoP</w:t>
      </w:r>
      <w:proofErr w:type="spellEnd"/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–</w:t>
      </w:r>
      <w:r w:rsidRPr="007225D2">
        <w:rPr>
          <w:rFonts w:ascii="Calibri" w:hAnsi="Calibri" w:cs="Calibri"/>
          <w:color w:val="000000"/>
          <w:sz w:val="20"/>
          <w:szCs w:val="20"/>
          <w:lang w:eastAsia="cs-CZ"/>
        </w:rPr>
        <w:t xml:space="preserve"> žádost o platbu</w:t>
      </w:r>
      <w:r w:rsidR="006E56B1">
        <w:rPr>
          <w:rFonts w:ascii="Calibri" w:hAnsi="Calibri" w:cs="Calibri"/>
          <w:color w:val="000000"/>
          <w:sz w:val="20"/>
          <w:szCs w:val="20"/>
          <w:lang w:eastAsia="cs-CZ"/>
        </w:rPr>
        <w:t>.</w:t>
      </w:r>
    </w:p>
    <w:p w:rsidR="00C90283" w:rsidRPr="00AC4999" w:rsidRDefault="00C90283" w:rsidP="009F2C87">
      <w:pPr>
        <w:tabs>
          <w:tab w:val="right" w:pos="2268"/>
          <w:tab w:val="right" w:pos="2835"/>
        </w:tabs>
        <w:autoSpaceDE w:val="0"/>
        <w:autoSpaceDN w:val="0"/>
        <w:adjustRightInd w:val="0"/>
        <w:spacing w:after="120"/>
        <w:ind w:left="-709"/>
        <w:jc w:val="both"/>
        <w:rPr>
          <w:rFonts w:asciiTheme="minorHAnsi" w:eastAsia="FrescoSans-Normal" w:hAnsiTheme="minorHAnsi" w:cstheme="minorHAnsi"/>
          <w:lang w:eastAsia="cs-CZ"/>
        </w:rPr>
      </w:pPr>
    </w:p>
    <w:sectPr w:rsidR="00C90283" w:rsidRPr="00AC4999" w:rsidSect="00B35DA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D6234" w15:done="0"/>
  <w15:commentEx w15:paraId="236D3BBC" w15:done="0"/>
  <w15:commentEx w15:paraId="309962C8" w15:done="0"/>
  <w15:commentEx w15:paraId="1F41F431" w15:done="0"/>
  <w15:commentEx w15:paraId="618C8D6F" w15:done="0"/>
  <w15:commentEx w15:paraId="616C3007" w15:done="0"/>
  <w15:commentEx w15:paraId="4633D9E8" w15:done="0"/>
  <w15:commentEx w15:paraId="26DC8919" w15:done="0"/>
  <w15:commentEx w15:paraId="02454530" w15:done="0"/>
  <w15:commentEx w15:paraId="08B66ED2" w15:done="0"/>
  <w15:commentEx w15:paraId="565BCD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D9" w:rsidRDefault="00A735D9" w:rsidP="0082034B">
      <w:r>
        <w:separator/>
      </w:r>
    </w:p>
  </w:endnote>
  <w:endnote w:type="continuationSeparator" w:id="0">
    <w:p w:rsidR="00A735D9" w:rsidRDefault="00A735D9" w:rsidP="0082034B">
      <w:r>
        <w:continuationSeparator/>
      </w:r>
    </w:p>
  </w:endnote>
  <w:endnote w:type="continuationNotice" w:id="1">
    <w:p w:rsidR="00A735D9" w:rsidRDefault="00A73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escoSans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CE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D9" w:rsidRPr="00DD1C9C" w:rsidRDefault="00A735D9" w:rsidP="0082034B">
    <w:pPr>
      <w:pStyle w:val="Zpat"/>
      <w:jc w:val="center"/>
      <w:rPr>
        <w:rStyle w:val="slostrnky"/>
        <w:rFonts w:asciiTheme="minorHAnsi" w:hAnsiTheme="minorHAnsi" w:cstheme="minorHAnsi"/>
      </w:rPr>
    </w:pPr>
    <w:r w:rsidRPr="00DD1C9C">
      <w:rPr>
        <w:rStyle w:val="slostrnky"/>
        <w:rFonts w:asciiTheme="minorHAnsi" w:hAnsiTheme="minorHAnsi" w:cstheme="minorHAnsi"/>
      </w:rPr>
      <w:fldChar w:fldCharType="begin"/>
    </w:r>
    <w:r w:rsidRPr="00DD1C9C">
      <w:rPr>
        <w:rStyle w:val="slostrnky"/>
        <w:rFonts w:asciiTheme="minorHAnsi" w:hAnsiTheme="minorHAnsi" w:cstheme="minorHAnsi"/>
      </w:rPr>
      <w:instrText xml:space="preserve"> PAGE </w:instrText>
    </w:r>
    <w:r w:rsidRPr="00DD1C9C">
      <w:rPr>
        <w:rStyle w:val="slostrnky"/>
        <w:rFonts w:asciiTheme="minorHAnsi" w:hAnsiTheme="minorHAnsi" w:cstheme="minorHAnsi"/>
      </w:rPr>
      <w:fldChar w:fldCharType="separate"/>
    </w:r>
    <w:r w:rsidR="001263E9">
      <w:rPr>
        <w:rStyle w:val="slostrnky"/>
        <w:rFonts w:asciiTheme="minorHAnsi" w:hAnsiTheme="minorHAnsi" w:cstheme="minorHAnsi"/>
        <w:noProof/>
      </w:rPr>
      <w:t>17</w:t>
    </w:r>
    <w:r w:rsidRPr="00DD1C9C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D9" w:rsidRDefault="00A735D9" w:rsidP="0082034B">
      <w:r>
        <w:separator/>
      </w:r>
    </w:p>
  </w:footnote>
  <w:footnote w:type="continuationSeparator" w:id="0">
    <w:p w:rsidR="00A735D9" w:rsidRDefault="00A735D9" w:rsidP="0082034B">
      <w:r>
        <w:continuationSeparator/>
      </w:r>
    </w:p>
  </w:footnote>
  <w:footnote w:type="continuationNotice" w:id="1">
    <w:p w:rsidR="00A735D9" w:rsidRDefault="00A735D9"/>
  </w:footnote>
  <w:footnote w:id="2">
    <w:p w:rsidR="00A735D9" w:rsidRPr="00B75D39" w:rsidRDefault="00A735D9" w:rsidP="00170342">
      <w:pPr>
        <w:pStyle w:val="Textpoznpodarou"/>
        <w:ind w:left="284" w:hanging="284"/>
        <w:jc w:val="both"/>
      </w:pPr>
      <w:r w:rsidRPr="00B75D39">
        <w:rPr>
          <w:rStyle w:val="Znakapoznpodarou"/>
        </w:rPr>
        <w:footnoteRef/>
      </w:r>
      <w:r w:rsidRPr="00B75D39">
        <w:t xml:space="preserve"> </w:t>
      </w:r>
      <w:r>
        <w:tab/>
      </w:r>
      <w:r w:rsidRPr="00B75D39">
        <w:t xml:space="preserve">Zákon </w:t>
      </w:r>
      <w:r w:rsidRPr="00B75D39">
        <w:rPr>
          <w:rFonts w:cstheme="minorHAnsi"/>
        </w:rPr>
        <w:t>č. 139/2002 Sb., o pozemkových úpravách a pozemkových úřadech a</w:t>
      </w:r>
      <w:r>
        <w:rPr>
          <w:rFonts w:cstheme="minorHAnsi"/>
        </w:rPr>
        <w:t xml:space="preserve"> </w:t>
      </w:r>
      <w:r w:rsidRPr="00B75D39">
        <w:rPr>
          <w:rFonts w:cstheme="minorHAnsi"/>
        </w:rPr>
        <w:t>o změně zákona č. 229/1991</w:t>
      </w:r>
      <w:r>
        <w:rPr>
          <w:rFonts w:cstheme="minorHAnsi"/>
        </w:rPr>
        <w:t> </w:t>
      </w:r>
      <w:r w:rsidRPr="00B75D39">
        <w:rPr>
          <w:rFonts w:cstheme="minorHAnsi"/>
        </w:rPr>
        <w:t>Sb., o úpravě vlastnických vztahů k půdě a jinému zemědělskému majetku, ve znění pozdějších předpisů</w:t>
      </w:r>
      <w:r>
        <w:rPr>
          <w:rFonts w:cstheme="minorHAnsi"/>
        </w:rPr>
        <w:t>.</w:t>
      </w:r>
      <w:r w:rsidRPr="00B75D39">
        <w:rPr>
          <w:rFonts w:cstheme="minorHAnsi"/>
        </w:rPr>
        <w:t xml:space="preserve"> </w:t>
      </w:r>
    </w:p>
  </w:footnote>
  <w:footnote w:id="3">
    <w:p w:rsidR="00A735D9" w:rsidRDefault="00A735D9" w:rsidP="0017034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229/1991 Sb., </w:t>
      </w:r>
      <w:r w:rsidRPr="001F315E">
        <w:t>o úpravě vlastnických vztahů k půdě a jinému zemědělskému majetku</w:t>
      </w:r>
      <w:r>
        <w:t>.</w:t>
      </w:r>
    </w:p>
  </w:footnote>
  <w:footnote w:id="4">
    <w:p w:rsidR="00A735D9" w:rsidRPr="00E9052E" w:rsidRDefault="00A735D9" w:rsidP="00170342">
      <w:pPr>
        <w:pStyle w:val="Textpoznpodarou"/>
        <w:ind w:left="284" w:hanging="284"/>
      </w:pPr>
      <w:r w:rsidRPr="00E9052E">
        <w:rPr>
          <w:rStyle w:val="Znakapoznpodarou"/>
        </w:rPr>
        <w:footnoteRef/>
      </w:r>
      <w:r w:rsidRPr="00E9052E">
        <w:t xml:space="preserve"> </w:t>
      </w:r>
      <w:r>
        <w:tab/>
      </w:r>
      <w:r w:rsidRPr="00E9052E">
        <w:t xml:space="preserve">Zdroj: </w:t>
      </w:r>
      <w:r>
        <w:t>m</w:t>
      </w:r>
      <w:r w:rsidRPr="00E9052E">
        <w:t>anuál k databázi pozemkových úprav v informačním systému pozemkových úprav.</w:t>
      </w:r>
    </w:p>
  </w:footnote>
  <w:footnote w:id="5">
    <w:p w:rsidR="00A735D9" w:rsidRDefault="00A735D9" w:rsidP="00170342">
      <w:pPr>
        <w:pStyle w:val="Textpoznpodarou"/>
        <w:ind w:left="284" w:hanging="284"/>
        <w:jc w:val="both"/>
      </w:pPr>
      <w:r w:rsidRPr="00D33D15">
        <w:rPr>
          <w:rStyle w:val="Znakapoznpodarou"/>
        </w:rPr>
        <w:footnoteRef/>
      </w:r>
      <w:r w:rsidRPr="00D33D15">
        <w:rPr>
          <w:rStyle w:val="Znakapoznpodarou"/>
        </w:rPr>
        <w:t xml:space="preserve"> </w:t>
      </w:r>
      <w:r>
        <w:tab/>
      </w:r>
      <w:r w:rsidRPr="00D33D15">
        <w:t>Dle § 1 zákona č. 334/1992 Sb., o ochraně zemědělského půdního fondu, tvoří zemědělský půdní fond orná půda, chmelnice, vinice, zahrady, ovocné sady</w:t>
      </w:r>
      <w:r>
        <w:t xml:space="preserve"> a</w:t>
      </w:r>
      <w:r w:rsidRPr="00D33D15">
        <w:t xml:space="preserve"> trvalé travní porosty. Do zemědělského půdního fondu náležejí </w:t>
      </w:r>
      <w:r>
        <w:t>rovněž</w:t>
      </w:r>
      <w:r w:rsidRPr="00D33D15">
        <w:t xml:space="preserve"> rybníky s chovem ryb nebo vodní drůbeže a nezemědělská půda potřebná k zajišťování zemědělské výroby, </w:t>
      </w:r>
      <w:r>
        <w:t>např.</w:t>
      </w:r>
      <w:r w:rsidRPr="00D33D15">
        <w:t xml:space="preserve"> polní cesty, pozemky se zařízením důležitým pro polní závlahy, závlahové vodní nádrže, odvodňovací příkopy, hráze sloužící k ochraně před zamokřením nebo zátopou, technická protierozní opatření apod.</w:t>
      </w:r>
    </w:p>
  </w:footnote>
  <w:footnote w:id="6">
    <w:p w:rsidR="00A735D9" w:rsidRDefault="00A735D9" w:rsidP="00170342">
      <w:pPr>
        <w:pStyle w:val="Textpoznpodarou"/>
        <w:ind w:left="284" w:hanging="284"/>
        <w:jc w:val="both"/>
      </w:pPr>
      <w:r w:rsidRPr="0086156F">
        <w:rPr>
          <w:rStyle w:val="Znakapoznpodarou"/>
        </w:rPr>
        <w:footnoteRef/>
      </w:r>
      <w:r w:rsidRPr="0086156F">
        <w:t xml:space="preserve"> </w:t>
      </w:r>
      <w:r>
        <w:tab/>
      </w:r>
      <w:r w:rsidRPr="0086156F">
        <w:t>Katastrální operát tvoří</w:t>
      </w:r>
      <w:r>
        <w:t>:</w:t>
      </w:r>
      <w:r w:rsidRPr="0086156F">
        <w:t xml:space="preserve"> soubor geodetických informací, který zahrnuje katastrální mapu a její číselné vyjádření</w:t>
      </w:r>
      <w:r>
        <w:t>;</w:t>
      </w:r>
      <w:r w:rsidRPr="0086156F">
        <w:t xml:space="preserve"> soubor popisných informací</w:t>
      </w:r>
      <w:r>
        <w:t>;</w:t>
      </w:r>
      <w:r w:rsidRPr="0086156F">
        <w:t xml:space="preserve"> dokumentace výsledků šetření a měření pro vedení a obnovu souboru geodetických informací, včetně místního a pomístního názvosloví</w:t>
      </w:r>
      <w:r>
        <w:t>;</w:t>
      </w:r>
      <w:r w:rsidRPr="0086156F">
        <w:t xml:space="preserve"> sbírka listin a protokoly o</w:t>
      </w:r>
      <w:r>
        <w:t> </w:t>
      </w:r>
      <w:r w:rsidRPr="0086156F">
        <w:t>vkladech, záznamech, poznámkách (viz § 5 zákona č. 256/2013 Sb., o katastru nemovitostí).</w:t>
      </w:r>
    </w:p>
  </w:footnote>
  <w:footnote w:id="7">
    <w:p w:rsidR="00A735D9" w:rsidRDefault="00A735D9" w:rsidP="0017034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70342">
        <w:rPr>
          <w:rFonts w:cstheme="minorHAnsi"/>
        </w:rPr>
        <w:t>Zdroj:</w:t>
      </w:r>
      <w:r>
        <w:rPr>
          <w:rFonts w:cstheme="minorHAnsi"/>
        </w:rPr>
        <w:t xml:space="preserve"> souhrnný přehled o půdním fondu z údajů katastru nemovitostí ČR, stav ke dni 31. 12. 2013.</w:t>
      </w:r>
    </w:p>
  </w:footnote>
  <w:footnote w:id="8">
    <w:p w:rsidR="00A735D9" w:rsidRPr="009C5316" w:rsidRDefault="00A735D9" w:rsidP="009C5316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C5316">
        <w:rPr>
          <w:rStyle w:val="Znakapoznpodarou"/>
          <w:rFonts w:asciiTheme="minorHAnsi" w:eastAsiaTheme="minorHAnsi" w:hAnsiTheme="minorHAnsi" w:cstheme="minorHAnsi"/>
          <w:sz w:val="20"/>
          <w:szCs w:val="20"/>
        </w:rPr>
        <w:footnoteRef/>
      </w:r>
      <w:r w:rsidRPr="009C531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9C5316">
        <w:rPr>
          <w:rFonts w:asciiTheme="minorHAnsi" w:eastAsiaTheme="minorHAnsi" w:hAnsiTheme="minorHAnsi" w:cstheme="minorHAnsi"/>
          <w:sz w:val="20"/>
          <w:szCs w:val="20"/>
        </w:rPr>
        <w:tab/>
      </w:r>
      <w:proofErr w:type="spellStart"/>
      <w:r w:rsidRPr="009C5316">
        <w:rPr>
          <w:rFonts w:asciiTheme="minorHAnsi" w:eastAsiaTheme="minorHAnsi" w:hAnsiTheme="minorHAnsi" w:cstheme="minorHAnsi"/>
          <w:sz w:val="20"/>
          <w:szCs w:val="20"/>
        </w:rPr>
        <w:t>MZe</w:t>
      </w:r>
      <w:proofErr w:type="spellEnd"/>
      <w:r w:rsidRPr="009C5316">
        <w:rPr>
          <w:rFonts w:asciiTheme="minorHAnsi" w:eastAsiaTheme="minorHAnsi" w:hAnsiTheme="minorHAnsi" w:cstheme="minorHAnsi"/>
          <w:sz w:val="20"/>
          <w:szCs w:val="20"/>
        </w:rPr>
        <w:t xml:space="preserve"> nárůst plochy s realizovanými pozemkovými úpravami vypočítává nikoli jako změnu podílu realizovaných pozemkových úprav na výměře zemědělského půdního fondu vyjádřenou v p. b., nýbrž jako podíl výměry území s ukončenou pozemkovou úpravou (jednoduchou + komplexní) ve vztahu k ploše zemědělského půdního fondu</w:t>
      </w:r>
      <w:r w:rsidRPr="009C5316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9C5316">
        <w:rPr>
          <w:rFonts w:asciiTheme="minorHAnsi" w:eastAsiaTheme="minorHAnsi" w:hAnsiTheme="minorHAnsi" w:cstheme="minorHAnsi"/>
          <w:sz w:val="20"/>
          <w:szCs w:val="20"/>
        </w:rPr>
        <w:t>(zdroj:</w:t>
      </w:r>
      <w:r w:rsidRPr="009C5316">
        <w:rPr>
          <w:rFonts w:asciiTheme="minorHAnsi" w:eastAsiaTheme="minorHAnsi" w:hAnsiTheme="minorHAnsi" w:cstheme="minorHAnsi"/>
          <w:b/>
          <w:sz w:val="20"/>
          <w:szCs w:val="20"/>
        </w:rPr>
        <w:t> </w:t>
      </w:r>
      <w:r w:rsidRPr="009C5316">
        <w:rPr>
          <w:rFonts w:asciiTheme="minorHAnsi" w:eastAsiaTheme="minorHAnsi" w:hAnsiTheme="minorHAnsi" w:cstheme="minorHAnsi"/>
          <w:sz w:val="20"/>
          <w:szCs w:val="20"/>
        </w:rPr>
        <w:t xml:space="preserve">informace </w:t>
      </w:r>
      <w:proofErr w:type="spellStart"/>
      <w:r w:rsidRPr="009C5316">
        <w:rPr>
          <w:rFonts w:asciiTheme="minorHAnsi" w:eastAsiaTheme="minorHAnsi" w:hAnsiTheme="minorHAnsi" w:cstheme="minorHAnsi"/>
          <w:sz w:val="20"/>
          <w:szCs w:val="20"/>
        </w:rPr>
        <w:t>MZe</w:t>
      </w:r>
      <w:proofErr w:type="spellEnd"/>
      <w:r w:rsidRPr="009C5316">
        <w:rPr>
          <w:rFonts w:asciiTheme="minorHAnsi" w:eastAsiaTheme="minorHAnsi" w:hAnsiTheme="minorHAnsi" w:cstheme="minorHAnsi"/>
          <w:sz w:val="20"/>
          <w:szCs w:val="20"/>
        </w:rPr>
        <w:t xml:space="preserve">). </w:t>
      </w:r>
    </w:p>
  </w:footnote>
  <w:footnote w:id="9">
    <w:p w:rsidR="00A735D9" w:rsidRPr="00591819" w:rsidRDefault="00A735D9" w:rsidP="00561219">
      <w:pPr>
        <w:pStyle w:val="Textpoznpodarou"/>
        <w:keepLines/>
        <w:ind w:left="284" w:hanging="284"/>
        <w:jc w:val="both"/>
        <w:rPr>
          <w:rFonts w:cstheme="minorHAnsi"/>
        </w:rPr>
      </w:pPr>
      <w:r w:rsidRPr="003509BE">
        <w:rPr>
          <w:rStyle w:val="Znakapoznpodarou"/>
          <w:rFonts w:cstheme="minorHAnsi"/>
        </w:rPr>
        <w:footnoteRef/>
      </w:r>
      <w:r w:rsidRPr="003509BE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3509BE">
        <w:rPr>
          <w:rFonts w:cstheme="minorHAnsi"/>
        </w:rPr>
        <w:t xml:space="preserve">Přípustná hodnota smyvu činí 1 t/ha/rok u půd mělkých (4 % výměry zemědělské půdy), 4 t/ha/rok u středně hlubokých půd (80 % výměry zemědělské půdy) a 10 t/ha/rok u půd hlubokých (16 % výměry zemědělské půdy); </w:t>
      </w:r>
      <w:r>
        <w:rPr>
          <w:rFonts w:cstheme="minorHAnsi"/>
        </w:rPr>
        <w:t>jsou-li tyto hodnoty plněny, je</w:t>
      </w:r>
      <w:r w:rsidRPr="003509BE">
        <w:rPr>
          <w:rFonts w:cstheme="minorHAnsi"/>
        </w:rPr>
        <w:t xml:space="preserve"> zaruč</w:t>
      </w:r>
      <w:r>
        <w:rPr>
          <w:rFonts w:cstheme="minorHAnsi"/>
        </w:rPr>
        <w:t>eno</w:t>
      </w:r>
      <w:r w:rsidRPr="003509BE">
        <w:rPr>
          <w:rFonts w:cstheme="minorHAnsi"/>
        </w:rPr>
        <w:t>, že erozí rozrušená a odnesená půda je průběžně nahrazována nově vytvořenou půdou a nedochází k jejímu trvalému úbytku.</w:t>
      </w:r>
    </w:p>
  </w:footnote>
  <w:footnote w:id="10">
    <w:p w:rsidR="00A735D9" w:rsidRPr="003509BE" w:rsidRDefault="00A735D9" w:rsidP="00561219">
      <w:pPr>
        <w:pStyle w:val="Normln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563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59356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3509BE">
        <w:rPr>
          <w:rFonts w:asciiTheme="minorHAnsi" w:hAnsiTheme="minorHAnsi" w:cstheme="minorHAnsi"/>
          <w:sz w:val="20"/>
          <w:szCs w:val="20"/>
        </w:rPr>
        <w:t xml:space="preserve">Land Parcel </w:t>
      </w:r>
      <w:proofErr w:type="spellStart"/>
      <w:r w:rsidRPr="003509BE">
        <w:rPr>
          <w:rFonts w:asciiTheme="minorHAnsi" w:hAnsiTheme="minorHAnsi" w:cstheme="minorHAnsi"/>
          <w:sz w:val="20"/>
          <w:szCs w:val="20"/>
        </w:rPr>
        <w:t>Identification</w:t>
      </w:r>
      <w:proofErr w:type="spellEnd"/>
      <w:r w:rsidRPr="003509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509B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3509B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509BE">
        <w:rPr>
          <w:rFonts w:asciiTheme="minorHAnsi" w:hAnsiTheme="minorHAnsi" w:cstheme="minorHAnsi"/>
          <w:sz w:val="20"/>
          <w:szCs w:val="20"/>
        </w:rPr>
        <w:t>LPIS</w:t>
      </w:r>
      <w:proofErr w:type="spellEnd"/>
      <w:r w:rsidRPr="003509BE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eastAsia="SimSun" w:hAnsiTheme="minorHAnsi" w:cstheme="minorHAnsi"/>
          <w:sz w:val="20"/>
          <w:szCs w:val="20"/>
        </w:rPr>
        <w:t>–</w:t>
      </w:r>
      <w:r w:rsidRPr="003509BE">
        <w:rPr>
          <w:rFonts w:asciiTheme="minorHAnsi" w:eastAsia="SimSun" w:hAnsiTheme="minorHAnsi" w:cstheme="minorHAnsi"/>
          <w:sz w:val="20"/>
          <w:szCs w:val="20"/>
        </w:rPr>
        <w:t xml:space="preserve"> evidence využití půdy podle uživatelských vztahů. </w:t>
      </w:r>
      <w:r>
        <w:rPr>
          <w:rFonts w:asciiTheme="minorHAnsi" w:eastAsia="SimSun" w:hAnsiTheme="minorHAnsi" w:cstheme="minorHAnsi"/>
          <w:sz w:val="20"/>
          <w:szCs w:val="20"/>
        </w:rPr>
        <w:t>Registr v</w:t>
      </w:r>
      <w:r w:rsidRPr="003509BE">
        <w:rPr>
          <w:rFonts w:asciiTheme="minorHAnsi" w:eastAsia="SimSun" w:hAnsiTheme="minorHAnsi" w:cstheme="minorHAnsi"/>
          <w:sz w:val="20"/>
          <w:szCs w:val="20"/>
        </w:rPr>
        <w:t>znikl</w:t>
      </w:r>
      <w:r w:rsidRPr="003509BE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na základě</w:t>
      </w:r>
      <w:r w:rsidRPr="003509BE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r w:rsidRPr="003509BE">
        <w:rPr>
          <w:rFonts w:asciiTheme="minorHAnsi" w:hAnsiTheme="minorHAnsi" w:cstheme="minorHAnsi"/>
          <w:bCs/>
          <w:sz w:val="20"/>
          <w:szCs w:val="20"/>
        </w:rPr>
        <w:t>zákona č. 252/1997 Sb., o zemědělství</w:t>
      </w:r>
      <w:r w:rsidRPr="003509BE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. Hlavním účelem 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>LPIS</w:t>
      </w:r>
      <w:r w:rsidRPr="003509BE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je ověřování údajů v žádostech o dotace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>, a to zejména v případech, kdy jsou dotace</w:t>
      </w:r>
      <w:r w:rsidRPr="003509BE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poskytov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>ány</w:t>
      </w:r>
      <w:r w:rsidRPr="003509BE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ve vazbě na zemědělskou půdu.</w:t>
      </w:r>
    </w:p>
  </w:footnote>
  <w:footnote w:id="11">
    <w:p w:rsidR="00A735D9" w:rsidRPr="00A21889" w:rsidRDefault="00A735D9" w:rsidP="00D02F82">
      <w:pPr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4478ED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4478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cs-CZ"/>
        </w:rPr>
        <w:tab/>
      </w:r>
      <w:r w:rsidRPr="00A21889">
        <w:rPr>
          <w:rFonts w:asciiTheme="minorHAnsi" w:hAnsiTheme="minorHAnsi" w:cstheme="minorHAnsi"/>
          <w:sz w:val="20"/>
          <w:szCs w:val="20"/>
          <w:lang w:eastAsia="cs-CZ"/>
        </w:rPr>
        <w:t xml:space="preserve">Monitorovací výbor byl zřízen v souladu s čl. 77 </w:t>
      </w:r>
      <w:r>
        <w:rPr>
          <w:rFonts w:asciiTheme="minorHAnsi" w:hAnsiTheme="minorHAnsi" w:cstheme="minorHAnsi"/>
          <w:sz w:val="20"/>
          <w:szCs w:val="20"/>
          <w:lang w:eastAsia="cs-CZ"/>
        </w:rPr>
        <w:t>n</w:t>
      </w:r>
      <w:r w:rsidRPr="00A21889">
        <w:rPr>
          <w:rFonts w:asciiTheme="minorHAnsi" w:hAnsiTheme="minorHAnsi" w:cstheme="minorHAnsi"/>
          <w:sz w:val="20"/>
          <w:szCs w:val="20"/>
          <w:lang w:eastAsia="cs-CZ"/>
        </w:rPr>
        <w:t xml:space="preserve">ařízení Rady (ES) č. 1698/2005 za účelem monitorování efektivního vynakládání finančních prostředků a správné realizace </w:t>
      </w:r>
      <w:r>
        <w:rPr>
          <w:rFonts w:asciiTheme="minorHAnsi" w:hAnsiTheme="minorHAnsi" w:cstheme="minorHAnsi"/>
          <w:sz w:val="20"/>
          <w:szCs w:val="20"/>
          <w:lang w:eastAsia="cs-CZ"/>
        </w:rPr>
        <w:t>PRV.</w:t>
      </w:r>
    </w:p>
    <w:p w:rsidR="00A735D9" w:rsidRDefault="00A735D9" w:rsidP="00D02F82">
      <w:pPr>
        <w:pStyle w:val="Textpoznpodarou"/>
      </w:pPr>
    </w:p>
  </w:footnote>
  <w:footnote w:id="12">
    <w:p w:rsidR="00A735D9" w:rsidRDefault="00A735D9" w:rsidP="0059356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64677">
        <w:rPr>
          <w:rFonts w:cstheme="minorHAnsi"/>
        </w:rPr>
        <w:t>§ 13 zákona č. 334/1992 Sb., o ochraně zemědělského půdního fondu</w:t>
      </w:r>
      <w:r>
        <w:rPr>
          <w:rFonts w:cstheme="minorHAnsi"/>
        </w:rPr>
        <w:t>.</w:t>
      </w:r>
    </w:p>
  </w:footnote>
  <w:footnote w:id="13">
    <w:p w:rsidR="00A735D9" w:rsidRDefault="00A735D9" w:rsidP="0059356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64677">
        <w:rPr>
          <w:rFonts w:cstheme="minorHAnsi"/>
        </w:rPr>
        <w:t xml:space="preserve">§ 104 zákona č. 254/2001 Sb., </w:t>
      </w:r>
      <w:r>
        <w:rPr>
          <w:rFonts w:cstheme="minorHAnsi"/>
        </w:rPr>
        <w:t>o vodách a o změně některých zákonů (</w:t>
      </w:r>
      <w:r w:rsidRPr="00F64677">
        <w:rPr>
          <w:rFonts w:cstheme="minorHAnsi"/>
        </w:rPr>
        <w:t>vodní zákon</w:t>
      </w:r>
      <w:r>
        <w:rPr>
          <w:rFonts w:cstheme="minorHAnsi"/>
        </w:rPr>
        <w:t>).</w:t>
      </w:r>
    </w:p>
  </w:footnote>
  <w:footnote w:id="14">
    <w:p w:rsidR="00A735D9" w:rsidRDefault="00A735D9" w:rsidP="00593563">
      <w:pPr>
        <w:pStyle w:val="Textpoznpodarou"/>
        <w:ind w:left="284" w:hanging="284"/>
      </w:pPr>
      <w:r w:rsidRPr="00E07F85">
        <w:rPr>
          <w:rStyle w:val="Znakapoznpodarou"/>
        </w:rPr>
        <w:footnoteRef/>
      </w:r>
      <w:r w:rsidRPr="00E07F85">
        <w:t xml:space="preserve"> </w:t>
      </w:r>
      <w:r>
        <w:tab/>
      </w:r>
      <w:r w:rsidRPr="00E07F85">
        <w:rPr>
          <w:rFonts w:cstheme="minorHAnsi"/>
        </w:rPr>
        <w:t>§ 75 zákona č. 114/1992 Sb., o ochraně přírody a krajiny.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5DE"/>
    <w:multiLevelType w:val="hybridMultilevel"/>
    <w:tmpl w:val="3E280C48"/>
    <w:lvl w:ilvl="0" w:tplc="37366E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00FCF"/>
    <w:multiLevelType w:val="multilevel"/>
    <w:tmpl w:val="515A6D04"/>
    <w:lvl w:ilvl="0">
      <w:start w:val="1"/>
      <w:numFmt w:val="decimal"/>
      <w:pStyle w:val="Odrk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303A4FFE"/>
    <w:multiLevelType w:val="multilevel"/>
    <w:tmpl w:val="80E419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pStyle w:val="Styl1"/>
      <w:isLgl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140"/>
        </w:tabs>
        <w:ind w:left="11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cs="Times New Roman" w:hint="default"/>
      </w:rPr>
    </w:lvl>
  </w:abstractNum>
  <w:abstractNum w:abstractNumId="3">
    <w:nsid w:val="3E5A5420"/>
    <w:multiLevelType w:val="hybridMultilevel"/>
    <w:tmpl w:val="0F0C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F2729"/>
    <w:multiLevelType w:val="hybridMultilevel"/>
    <w:tmpl w:val="A63609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82ACC"/>
    <w:multiLevelType w:val="hybridMultilevel"/>
    <w:tmpl w:val="32684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6422D"/>
    <w:multiLevelType w:val="hybridMultilevel"/>
    <w:tmpl w:val="D34244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E62B00"/>
    <w:multiLevelType w:val="hybridMultilevel"/>
    <w:tmpl w:val="A9D85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52B81"/>
    <w:multiLevelType w:val="hybridMultilevel"/>
    <w:tmpl w:val="39B2B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C294F"/>
    <w:multiLevelType w:val="hybridMultilevel"/>
    <w:tmpl w:val="E97A902A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">
    <w15:presenceInfo w15:providerId="None" w15:userId="anony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4B"/>
    <w:rsid w:val="00000C69"/>
    <w:rsid w:val="00001A45"/>
    <w:rsid w:val="00001AA2"/>
    <w:rsid w:val="00003205"/>
    <w:rsid w:val="000038F4"/>
    <w:rsid w:val="0001013B"/>
    <w:rsid w:val="00010C90"/>
    <w:rsid w:val="00010E18"/>
    <w:rsid w:val="00011CBE"/>
    <w:rsid w:val="00013CAF"/>
    <w:rsid w:val="00015D77"/>
    <w:rsid w:val="00016C10"/>
    <w:rsid w:val="00016E44"/>
    <w:rsid w:val="00020769"/>
    <w:rsid w:val="00020A9D"/>
    <w:rsid w:val="00021F7D"/>
    <w:rsid w:val="00023CE5"/>
    <w:rsid w:val="00025C0D"/>
    <w:rsid w:val="00031D6F"/>
    <w:rsid w:val="00031DD4"/>
    <w:rsid w:val="00035BB6"/>
    <w:rsid w:val="0003640B"/>
    <w:rsid w:val="00037D62"/>
    <w:rsid w:val="00040E6A"/>
    <w:rsid w:val="0004240C"/>
    <w:rsid w:val="00042A89"/>
    <w:rsid w:val="000432C9"/>
    <w:rsid w:val="0004416D"/>
    <w:rsid w:val="0004618B"/>
    <w:rsid w:val="000509CB"/>
    <w:rsid w:val="00051943"/>
    <w:rsid w:val="00051B14"/>
    <w:rsid w:val="00052AD9"/>
    <w:rsid w:val="000548A6"/>
    <w:rsid w:val="00054A19"/>
    <w:rsid w:val="00056A51"/>
    <w:rsid w:val="00056C1A"/>
    <w:rsid w:val="00056DA6"/>
    <w:rsid w:val="000572C1"/>
    <w:rsid w:val="0006073E"/>
    <w:rsid w:val="00060BD3"/>
    <w:rsid w:val="00061FF4"/>
    <w:rsid w:val="00062114"/>
    <w:rsid w:val="000621AA"/>
    <w:rsid w:val="000649F2"/>
    <w:rsid w:val="0006672C"/>
    <w:rsid w:val="00067FA0"/>
    <w:rsid w:val="00067FF6"/>
    <w:rsid w:val="0007045F"/>
    <w:rsid w:val="00070BA6"/>
    <w:rsid w:val="0007703A"/>
    <w:rsid w:val="000807FA"/>
    <w:rsid w:val="00081753"/>
    <w:rsid w:val="00083BA7"/>
    <w:rsid w:val="0008587C"/>
    <w:rsid w:val="00085C0D"/>
    <w:rsid w:val="00087199"/>
    <w:rsid w:val="00087FA9"/>
    <w:rsid w:val="000913BC"/>
    <w:rsid w:val="00093702"/>
    <w:rsid w:val="00094738"/>
    <w:rsid w:val="000967C3"/>
    <w:rsid w:val="00097015"/>
    <w:rsid w:val="00097BFE"/>
    <w:rsid w:val="00097EA1"/>
    <w:rsid w:val="000A14AA"/>
    <w:rsid w:val="000A49C3"/>
    <w:rsid w:val="000A5E86"/>
    <w:rsid w:val="000A636E"/>
    <w:rsid w:val="000A7B8F"/>
    <w:rsid w:val="000B15DD"/>
    <w:rsid w:val="000B18AE"/>
    <w:rsid w:val="000B1D02"/>
    <w:rsid w:val="000B471A"/>
    <w:rsid w:val="000B5204"/>
    <w:rsid w:val="000B52E8"/>
    <w:rsid w:val="000B64E0"/>
    <w:rsid w:val="000C0E21"/>
    <w:rsid w:val="000C10BF"/>
    <w:rsid w:val="000C1BDD"/>
    <w:rsid w:val="000C260C"/>
    <w:rsid w:val="000C443E"/>
    <w:rsid w:val="000C540F"/>
    <w:rsid w:val="000C6121"/>
    <w:rsid w:val="000C75F3"/>
    <w:rsid w:val="000C795D"/>
    <w:rsid w:val="000C7F88"/>
    <w:rsid w:val="000D054E"/>
    <w:rsid w:val="000D0C75"/>
    <w:rsid w:val="000D140F"/>
    <w:rsid w:val="000D179C"/>
    <w:rsid w:val="000D197F"/>
    <w:rsid w:val="000D1C92"/>
    <w:rsid w:val="000D1D93"/>
    <w:rsid w:val="000D3506"/>
    <w:rsid w:val="000D5027"/>
    <w:rsid w:val="000D60F2"/>
    <w:rsid w:val="000E0113"/>
    <w:rsid w:val="000E1200"/>
    <w:rsid w:val="000E2479"/>
    <w:rsid w:val="000E27F4"/>
    <w:rsid w:val="000E458F"/>
    <w:rsid w:val="000E4A92"/>
    <w:rsid w:val="000E6372"/>
    <w:rsid w:val="000E66F0"/>
    <w:rsid w:val="000F08F1"/>
    <w:rsid w:val="000F092D"/>
    <w:rsid w:val="000F204D"/>
    <w:rsid w:val="000F50CC"/>
    <w:rsid w:val="000F52FE"/>
    <w:rsid w:val="000F5312"/>
    <w:rsid w:val="000F68EF"/>
    <w:rsid w:val="00100926"/>
    <w:rsid w:val="00101049"/>
    <w:rsid w:val="001020FD"/>
    <w:rsid w:val="00102CE6"/>
    <w:rsid w:val="0010489E"/>
    <w:rsid w:val="00104BCF"/>
    <w:rsid w:val="00104DC8"/>
    <w:rsid w:val="00105E17"/>
    <w:rsid w:val="001061C8"/>
    <w:rsid w:val="00106223"/>
    <w:rsid w:val="00106A19"/>
    <w:rsid w:val="00106B6B"/>
    <w:rsid w:val="00107163"/>
    <w:rsid w:val="001105B0"/>
    <w:rsid w:val="00110CFE"/>
    <w:rsid w:val="0011209C"/>
    <w:rsid w:val="0011319C"/>
    <w:rsid w:val="00113642"/>
    <w:rsid w:val="00114574"/>
    <w:rsid w:val="00114575"/>
    <w:rsid w:val="001152CC"/>
    <w:rsid w:val="00115BDF"/>
    <w:rsid w:val="00115D6D"/>
    <w:rsid w:val="0012001D"/>
    <w:rsid w:val="00120555"/>
    <w:rsid w:val="00122380"/>
    <w:rsid w:val="00122BC7"/>
    <w:rsid w:val="001232C8"/>
    <w:rsid w:val="00123A41"/>
    <w:rsid w:val="00123E09"/>
    <w:rsid w:val="00125053"/>
    <w:rsid w:val="0012534B"/>
    <w:rsid w:val="00125C7C"/>
    <w:rsid w:val="001263E9"/>
    <w:rsid w:val="00126FB3"/>
    <w:rsid w:val="00130067"/>
    <w:rsid w:val="001306B7"/>
    <w:rsid w:val="00130B8B"/>
    <w:rsid w:val="00130C77"/>
    <w:rsid w:val="00131507"/>
    <w:rsid w:val="00131B2E"/>
    <w:rsid w:val="00132184"/>
    <w:rsid w:val="00132D89"/>
    <w:rsid w:val="001350F8"/>
    <w:rsid w:val="00136501"/>
    <w:rsid w:val="00136EB6"/>
    <w:rsid w:val="00140C7E"/>
    <w:rsid w:val="00141097"/>
    <w:rsid w:val="00142727"/>
    <w:rsid w:val="00144E3A"/>
    <w:rsid w:val="0015347A"/>
    <w:rsid w:val="00153634"/>
    <w:rsid w:val="001551BA"/>
    <w:rsid w:val="0015543B"/>
    <w:rsid w:val="001560A2"/>
    <w:rsid w:val="001564B1"/>
    <w:rsid w:val="0015664A"/>
    <w:rsid w:val="001576C4"/>
    <w:rsid w:val="0015784D"/>
    <w:rsid w:val="0016054D"/>
    <w:rsid w:val="00160DA8"/>
    <w:rsid w:val="001636DE"/>
    <w:rsid w:val="001646B1"/>
    <w:rsid w:val="00165876"/>
    <w:rsid w:val="00165BEF"/>
    <w:rsid w:val="00170321"/>
    <w:rsid w:val="00170342"/>
    <w:rsid w:val="0017149D"/>
    <w:rsid w:val="00172516"/>
    <w:rsid w:val="0017361C"/>
    <w:rsid w:val="00175B3B"/>
    <w:rsid w:val="001769F5"/>
    <w:rsid w:val="00176A0A"/>
    <w:rsid w:val="0018153E"/>
    <w:rsid w:val="00184BF6"/>
    <w:rsid w:val="001857C1"/>
    <w:rsid w:val="00185916"/>
    <w:rsid w:val="00185B8E"/>
    <w:rsid w:val="00187FFE"/>
    <w:rsid w:val="00190CA6"/>
    <w:rsid w:val="00192323"/>
    <w:rsid w:val="00193439"/>
    <w:rsid w:val="00193A16"/>
    <w:rsid w:val="001943F0"/>
    <w:rsid w:val="00194557"/>
    <w:rsid w:val="001947D2"/>
    <w:rsid w:val="001968C9"/>
    <w:rsid w:val="001A081A"/>
    <w:rsid w:val="001A4454"/>
    <w:rsid w:val="001A5DB3"/>
    <w:rsid w:val="001A7C22"/>
    <w:rsid w:val="001B0080"/>
    <w:rsid w:val="001B03D8"/>
    <w:rsid w:val="001B0645"/>
    <w:rsid w:val="001B0C6D"/>
    <w:rsid w:val="001B17F4"/>
    <w:rsid w:val="001B19EE"/>
    <w:rsid w:val="001B1D81"/>
    <w:rsid w:val="001B2FF3"/>
    <w:rsid w:val="001B3D51"/>
    <w:rsid w:val="001B4158"/>
    <w:rsid w:val="001B4AE4"/>
    <w:rsid w:val="001C02AD"/>
    <w:rsid w:val="001C05ED"/>
    <w:rsid w:val="001C2A2E"/>
    <w:rsid w:val="001C43E3"/>
    <w:rsid w:val="001C6898"/>
    <w:rsid w:val="001D0A77"/>
    <w:rsid w:val="001D0BE9"/>
    <w:rsid w:val="001D4390"/>
    <w:rsid w:val="001D4C04"/>
    <w:rsid w:val="001D5E56"/>
    <w:rsid w:val="001D6249"/>
    <w:rsid w:val="001D78E9"/>
    <w:rsid w:val="001E05A3"/>
    <w:rsid w:val="001E318D"/>
    <w:rsid w:val="001E3859"/>
    <w:rsid w:val="001E3DBC"/>
    <w:rsid w:val="001E6508"/>
    <w:rsid w:val="001E6B56"/>
    <w:rsid w:val="001E756D"/>
    <w:rsid w:val="001F03DD"/>
    <w:rsid w:val="001F0ED5"/>
    <w:rsid w:val="001F1460"/>
    <w:rsid w:val="001F1C9D"/>
    <w:rsid w:val="001F20E9"/>
    <w:rsid w:val="001F2828"/>
    <w:rsid w:val="001F3048"/>
    <w:rsid w:val="001F315E"/>
    <w:rsid w:val="001F3179"/>
    <w:rsid w:val="001F497B"/>
    <w:rsid w:val="001F4E54"/>
    <w:rsid w:val="001F5AB5"/>
    <w:rsid w:val="001F67C4"/>
    <w:rsid w:val="002001FA"/>
    <w:rsid w:val="002006C5"/>
    <w:rsid w:val="00200FCF"/>
    <w:rsid w:val="00202329"/>
    <w:rsid w:val="002029CA"/>
    <w:rsid w:val="00203D91"/>
    <w:rsid w:val="00204556"/>
    <w:rsid w:val="00205259"/>
    <w:rsid w:val="00207C2F"/>
    <w:rsid w:val="00210170"/>
    <w:rsid w:val="0021017F"/>
    <w:rsid w:val="002129B2"/>
    <w:rsid w:val="00212F6B"/>
    <w:rsid w:val="00220D11"/>
    <w:rsid w:val="002214EA"/>
    <w:rsid w:val="0022230A"/>
    <w:rsid w:val="0023048A"/>
    <w:rsid w:val="002306AA"/>
    <w:rsid w:val="0023352D"/>
    <w:rsid w:val="002339E3"/>
    <w:rsid w:val="002413D3"/>
    <w:rsid w:val="00242887"/>
    <w:rsid w:val="00242C2E"/>
    <w:rsid w:val="002430B6"/>
    <w:rsid w:val="002436AA"/>
    <w:rsid w:val="00243B19"/>
    <w:rsid w:val="00244B26"/>
    <w:rsid w:val="00244D0A"/>
    <w:rsid w:val="002463B4"/>
    <w:rsid w:val="00246A79"/>
    <w:rsid w:val="00253D7F"/>
    <w:rsid w:val="00253EA7"/>
    <w:rsid w:val="00253FEB"/>
    <w:rsid w:val="0025433C"/>
    <w:rsid w:val="002557AB"/>
    <w:rsid w:val="00260EDC"/>
    <w:rsid w:val="0026142E"/>
    <w:rsid w:val="00263113"/>
    <w:rsid w:val="00263706"/>
    <w:rsid w:val="002641B5"/>
    <w:rsid w:val="00264C55"/>
    <w:rsid w:val="002679CB"/>
    <w:rsid w:val="002703A3"/>
    <w:rsid w:val="0027052A"/>
    <w:rsid w:val="00271438"/>
    <w:rsid w:val="00272548"/>
    <w:rsid w:val="00272C8D"/>
    <w:rsid w:val="00273C75"/>
    <w:rsid w:val="0027688E"/>
    <w:rsid w:val="00276D7E"/>
    <w:rsid w:val="00277041"/>
    <w:rsid w:val="002802C7"/>
    <w:rsid w:val="002805EA"/>
    <w:rsid w:val="00282094"/>
    <w:rsid w:val="00282370"/>
    <w:rsid w:val="002828E1"/>
    <w:rsid w:val="00282A17"/>
    <w:rsid w:val="00282F3E"/>
    <w:rsid w:val="00284636"/>
    <w:rsid w:val="002846DF"/>
    <w:rsid w:val="00285917"/>
    <w:rsid w:val="00286180"/>
    <w:rsid w:val="002941D4"/>
    <w:rsid w:val="00294DCE"/>
    <w:rsid w:val="002A0340"/>
    <w:rsid w:val="002A194B"/>
    <w:rsid w:val="002A347C"/>
    <w:rsid w:val="002A353D"/>
    <w:rsid w:val="002A3997"/>
    <w:rsid w:val="002A4260"/>
    <w:rsid w:val="002A6071"/>
    <w:rsid w:val="002A65D4"/>
    <w:rsid w:val="002A6B50"/>
    <w:rsid w:val="002A7239"/>
    <w:rsid w:val="002B0278"/>
    <w:rsid w:val="002B16E0"/>
    <w:rsid w:val="002B1E38"/>
    <w:rsid w:val="002B2EE1"/>
    <w:rsid w:val="002B3AF0"/>
    <w:rsid w:val="002B6869"/>
    <w:rsid w:val="002B7BC5"/>
    <w:rsid w:val="002B7FB1"/>
    <w:rsid w:val="002C11A3"/>
    <w:rsid w:val="002C1681"/>
    <w:rsid w:val="002C198C"/>
    <w:rsid w:val="002C24B1"/>
    <w:rsid w:val="002C2DA6"/>
    <w:rsid w:val="002C348F"/>
    <w:rsid w:val="002C3858"/>
    <w:rsid w:val="002C3D98"/>
    <w:rsid w:val="002C42B7"/>
    <w:rsid w:val="002C4BE7"/>
    <w:rsid w:val="002C5517"/>
    <w:rsid w:val="002C5582"/>
    <w:rsid w:val="002C621D"/>
    <w:rsid w:val="002D01AD"/>
    <w:rsid w:val="002D104D"/>
    <w:rsid w:val="002D13C6"/>
    <w:rsid w:val="002D289C"/>
    <w:rsid w:val="002D3D57"/>
    <w:rsid w:val="002D44C3"/>
    <w:rsid w:val="002D50C0"/>
    <w:rsid w:val="002D5233"/>
    <w:rsid w:val="002D6E94"/>
    <w:rsid w:val="002D7575"/>
    <w:rsid w:val="002E009B"/>
    <w:rsid w:val="002E00A8"/>
    <w:rsid w:val="002E1156"/>
    <w:rsid w:val="002E1CC9"/>
    <w:rsid w:val="002E3F6A"/>
    <w:rsid w:val="002E42B6"/>
    <w:rsid w:val="002F0656"/>
    <w:rsid w:val="002F18B3"/>
    <w:rsid w:val="002F32BE"/>
    <w:rsid w:val="002F3540"/>
    <w:rsid w:val="002F3546"/>
    <w:rsid w:val="002F4B3F"/>
    <w:rsid w:val="002F5911"/>
    <w:rsid w:val="002F6C36"/>
    <w:rsid w:val="002F7D01"/>
    <w:rsid w:val="003017F8"/>
    <w:rsid w:val="00304D8D"/>
    <w:rsid w:val="0030545C"/>
    <w:rsid w:val="003065B4"/>
    <w:rsid w:val="00306ADD"/>
    <w:rsid w:val="00310111"/>
    <w:rsid w:val="003105EC"/>
    <w:rsid w:val="00311904"/>
    <w:rsid w:val="003122ED"/>
    <w:rsid w:val="00312CEF"/>
    <w:rsid w:val="00314362"/>
    <w:rsid w:val="00314ED5"/>
    <w:rsid w:val="00315175"/>
    <w:rsid w:val="003164B7"/>
    <w:rsid w:val="003231B9"/>
    <w:rsid w:val="0032381B"/>
    <w:rsid w:val="003238A9"/>
    <w:rsid w:val="00326E28"/>
    <w:rsid w:val="00327CC0"/>
    <w:rsid w:val="00330AFE"/>
    <w:rsid w:val="00331D75"/>
    <w:rsid w:val="003326B1"/>
    <w:rsid w:val="00332E72"/>
    <w:rsid w:val="0033380E"/>
    <w:rsid w:val="0033381F"/>
    <w:rsid w:val="00333B29"/>
    <w:rsid w:val="00334B6F"/>
    <w:rsid w:val="00335725"/>
    <w:rsid w:val="00336283"/>
    <w:rsid w:val="003365E0"/>
    <w:rsid w:val="00336A77"/>
    <w:rsid w:val="00340414"/>
    <w:rsid w:val="003418CC"/>
    <w:rsid w:val="00341E77"/>
    <w:rsid w:val="00342DCB"/>
    <w:rsid w:val="00344636"/>
    <w:rsid w:val="00344A7A"/>
    <w:rsid w:val="00344BE1"/>
    <w:rsid w:val="003454DC"/>
    <w:rsid w:val="003475B6"/>
    <w:rsid w:val="003501CC"/>
    <w:rsid w:val="003509BE"/>
    <w:rsid w:val="00350EA7"/>
    <w:rsid w:val="0035298F"/>
    <w:rsid w:val="00354B0B"/>
    <w:rsid w:val="00354B0F"/>
    <w:rsid w:val="003562F2"/>
    <w:rsid w:val="003579C5"/>
    <w:rsid w:val="00360C5A"/>
    <w:rsid w:val="003625E6"/>
    <w:rsid w:val="003649AC"/>
    <w:rsid w:val="00365187"/>
    <w:rsid w:val="00365D8E"/>
    <w:rsid w:val="00366F39"/>
    <w:rsid w:val="00371765"/>
    <w:rsid w:val="00373216"/>
    <w:rsid w:val="00375362"/>
    <w:rsid w:val="00377204"/>
    <w:rsid w:val="003779EB"/>
    <w:rsid w:val="00381E99"/>
    <w:rsid w:val="003820DF"/>
    <w:rsid w:val="0038276B"/>
    <w:rsid w:val="00383A32"/>
    <w:rsid w:val="00384060"/>
    <w:rsid w:val="0038558B"/>
    <w:rsid w:val="00387F49"/>
    <w:rsid w:val="003904FA"/>
    <w:rsid w:val="0039083F"/>
    <w:rsid w:val="0039161E"/>
    <w:rsid w:val="00392B0A"/>
    <w:rsid w:val="00392BCC"/>
    <w:rsid w:val="003933F4"/>
    <w:rsid w:val="00393E2A"/>
    <w:rsid w:val="00396477"/>
    <w:rsid w:val="0039672A"/>
    <w:rsid w:val="003A13EF"/>
    <w:rsid w:val="003A1562"/>
    <w:rsid w:val="003A1608"/>
    <w:rsid w:val="003A2EB6"/>
    <w:rsid w:val="003A3D4E"/>
    <w:rsid w:val="003A4D5E"/>
    <w:rsid w:val="003A557E"/>
    <w:rsid w:val="003A758E"/>
    <w:rsid w:val="003A7F26"/>
    <w:rsid w:val="003B0270"/>
    <w:rsid w:val="003B23D6"/>
    <w:rsid w:val="003B3966"/>
    <w:rsid w:val="003C4DA7"/>
    <w:rsid w:val="003C5CC0"/>
    <w:rsid w:val="003C638F"/>
    <w:rsid w:val="003C6CB1"/>
    <w:rsid w:val="003C7533"/>
    <w:rsid w:val="003D0CD1"/>
    <w:rsid w:val="003D134C"/>
    <w:rsid w:val="003D318B"/>
    <w:rsid w:val="003D34D8"/>
    <w:rsid w:val="003D4032"/>
    <w:rsid w:val="003D4877"/>
    <w:rsid w:val="003D513B"/>
    <w:rsid w:val="003D6EEB"/>
    <w:rsid w:val="003D72A1"/>
    <w:rsid w:val="003D7C6D"/>
    <w:rsid w:val="003E10BE"/>
    <w:rsid w:val="003E1FDB"/>
    <w:rsid w:val="003E31C4"/>
    <w:rsid w:val="003E5612"/>
    <w:rsid w:val="003E5675"/>
    <w:rsid w:val="003E5DC7"/>
    <w:rsid w:val="003E625E"/>
    <w:rsid w:val="003E779D"/>
    <w:rsid w:val="003F119D"/>
    <w:rsid w:val="003F1DAE"/>
    <w:rsid w:val="003F2810"/>
    <w:rsid w:val="003F31BB"/>
    <w:rsid w:val="003F378F"/>
    <w:rsid w:val="003F4634"/>
    <w:rsid w:val="003F7C6E"/>
    <w:rsid w:val="004002AC"/>
    <w:rsid w:val="004006EC"/>
    <w:rsid w:val="00400B8D"/>
    <w:rsid w:val="0040116E"/>
    <w:rsid w:val="00404253"/>
    <w:rsid w:val="0040646B"/>
    <w:rsid w:val="004069AE"/>
    <w:rsid w:val="004104CB"/>
    <w:rsid w:val="00410A4B"/>
    <w:rsid w:val="0041296D"/>
    <w:rsid w:val="00412F2F"/>
    <w:rsid w:val="00413B2D"/>
    <w:rsid w:val="00414B60"/>
    <w:rsid w:val="00415DB2"/>
    <w:rsid w:val="00416282"/>
    <w:rsid w:val="00416EC0"/>
    <w:rsid w:val="00416F2A"/>
    <w:rsid w:val="00421C10"/>
    <w:rsid w:val="00423945"/>
    <w:rsid w:val="004247CF"/>
    <w:rsid w:val="00425E1D"/>
    <w:rsid w:val="00427593"/>
    <w:rsid w:val="00430BF7"/>
    <w:rsid w:val="004339A0"/>
    <w:rsid w:val="00433E9A"/>
    <w:rsid w:val="004349B6"/>
    <w:rsid w:val="00436804"/>
    <w:rsid w:val="00440030"/>
    <w:rsid w:val="004411A9"/>
    <w:rsid w:val="004423F5"/>
    <w:rsid w:val="00442A06"/>
    <w:rsid w:val="00443179"/>
    <w:rsid w:val="00444B4E"/>
    <w:rsid w:val="0044754A"/>
    <w:rsid w:val="00450EFF"/>
    <w:rsid w:val="004539A4"/>
    <w:rsid w:val="004556C5"/>
    <w:rsid w:val="004562C4"/>
    <w:rsid w:val="00456629"/>
    <w:rsid w:val="00462231"/>
    <w:rsid w:val="00462A08"/>
    <w:rsid w:val="00463CA6"/>
    <w:rsid w:val="004652C1"/>
    <w:rsid w:val="00465A68"/>
    <w:rsid w:val="004664C5"/>
    <w:rsid w:val="00466811"/>
    <w:rsid w:val="004669FB"/>
    <w:rsid w:val="00467552"/>
    <w:rsid w:val="00471B0B"/>
    <w:rsid w:val="0047413C"/>
    <w:rsid w:val="00474754"/>
    <w:rsid w:val="00475053"/>
    <w:rsid w:val="00475ECE"/>
    <w:rsid w:val="00476213"/>
    <w:rsid w:val="00476446"/>
    <w:rsid w:val="00476FEA"/>
    <w:rsid w:val="00477349"/>
    <w:rsid w:val="0048308A"/>
    <w:rsid w:val="0048545D"/>
    <w:rsid w:val="00485EE8"/>
    <w:rsid w:val="0048626D"/>
    <w:rsid w:val="00491CB0"/>
    <w:rsid w:val="004929E0"/>
    <w:rsid w:val="00492A53"/>
    <w:rsid w:val="00492B5A"/>
    <w:rsid w:val="00492FD7"/>
    <w:rsid w:val="00493868"/>
    <w:rsid w:val="00495365"/>
    <w:rsid w:val="00496E30"/>
    <w:rsid w:val="004A3ED7"/>
    <w:rsid w:val="004A49EE"/>
    <w:rsid w:val="004A5221"/>
    <w:rsid w:val="004A5312"/>
    <w:rsid w:val="004A6944"/>
    <w:rsid w:val="004A7628"/>
    <w:rsid w:val="004B00E2"/>
    <w:rsid w:val="004B02CF"/>
    <w:rsid w:val="004B050E"/>
    <w:rsid w:val="004B083D"/>
    <w:rsid w:val="004B0D3B"/>
    <w:rsid w:val="004B0D7C"/>
    <w:rsid w:val="004B2352"/>
    <w:rsid w:val="004B5110"/>
    <w:rsid w:val="004B6A61"/>
    <w:rsid w:val="004C089A"/>
    <w:rsid w:val="004C1254"/>
    <w:rsid w:val="004C3553"/>
    <w:rsid w:val="004C45D3"/>
    <w:rsid w:val="004C4A6B"/>
    <w:rsid w:val="004C4ADB"/>
    <w:rsid w:val="004C677A"/>
    <w:rsid w:val="004C7DD4"/>
    <w:rsid w:val="004D1605"/>
    <w:rsid w:val="004D17A1"/>
    <w:rsid w:val="004D2F34"/>
    <w:rsid w:val="004D3C09"/>
    <w:rsid w:val="004D4BDB"/>
    <w:rsid w:val="004D5E1F"/>
    <w:rsid w:val="004D74CD"/>
    <w:rsid w:val="004D7AED"/>
    <w:rsid w:val="004D7DBE"/>
    <w:rsid w:val="004E0207"/>
    <w:rsid w:val="004E234D"/>
    <w:rsid w:val="004E2ADA"/>
    <w:rsid w:val="004E3057"/>
    <w:rsid w:val="004E329A"/>
    <w:rsid w:val="004E585B"/>
    <w:rsid w:val="004E6AB3"/>
    <w:rsid w:val="004E7162"/>
    <w:rsid w:val="004F0522"/>
    <w:rsid w:val="004F159F"/>
    <w:rsid w:val="004F20E8"/>
    <w:rsid w:val="004F25EB"/>
    <w:rsid w:val="004F262C"/>
    <w:rsid w:val="004F2860"/>
    <w:rsid w:val="004F35BB"/>
    <w:rsid w:val="004F4885"/>
    <w:rsid w:val="004F5A67"/>
    <w:rsid w:val="004F6804"/>
    <w:rsid w:val="004F68A6"/>
    <w:rsid w:val="004F7684"/>
    <w:rsid w:val="004F7E8A"/>
    <w:rsid w:val="00501174"/>
    <w:rsid w:val="00501197"/>
    <w:rsid w:val="0050206D"/>
    <w:rsid w:val="00503B7F"/>
    <w:rsid w:val="005048FF"/>
    <w:rsid w:val="00504C11"/>
    <w:rsid w:val="005079BD"/>
    <w:rsid w:val="005105E1"/>
    <w:rsid w:val="00510973"/>
    <w:rsid w:val="00510FAF"/>
    <w:rsid w:val="005125B9"/>
    <w:rsid w:val="00513425"/>
    <w:rsid w:val="005140B7"/>
    <w:rsid w:val="00514316"/>
    <w:rsid w:val="00514474"/>
    <w:rsid w:val="005203A5"/>
    <w:rsid w:val="005209F5"/>
    <w:rsid w:val="005221C1"/>
    <w:rsid w:val="00523B6E"/>
    <w:rsid w:val="00524E1A"/>
    <w:rsid w:val="005258F1"/>
    <w:rsid w:val="00525C1E"/>
    <w:rsid w:val="00525E33"/>
    <w:rsid w:val="00526002"/>
    <w:rsid w:val="005267EC"/>
    <w:rsid w:val="005319B0"/>
    <w:rsid w:val="00531B5B"/>
    <w:rsid w:val="00532693"/>
    <w:rsid w:val="00532DF4"/>
    <w:rsid w:val="005339F2"/>
    <w:rsid w:val="00533D41"/>
    <w:rsid w:val="00534C2A"/>
    <w:rsid w:val="00534CC6"/>
    <w:rsid w:val="00535FF9"/>
    <w:rsid w:val="00540043"/>
    <w:rsid w:val="00545702"/>
    <w:rsid w:val="00545D7C"/>
    <w:rsid w:val="00546488"/>
    <w:rsid w:val="00551E3E"/>
    <w:rsid w:val="0055234F"/>
    <w:rsid w:val="00554177"/>
    <w:rsid w:val="00554237"/>
    <w:rsid w:val="00554A5F"/>
    <w:rsid w:val="005553FC"/>
    <w:rsid w:val="00555711"/>
    <w:rsid w:val="00556B05"/>
    <w:rsid w:val="00557F39"/>
    <w:rsid w:val="00561043"/>
    <w:rsid w:val="00561219"/>
    <w:rsid w:val="00561A50"/>
    <w:rsid w:val="00561B10"/>
    <w:rsid w:val="00562262"/>
    <w:rsid w:val="005630EF"/>
    <w:rsid w:val="00563E4D"/>
    <w:rsid w:val="00564C2E"/>
    <w:rsid w:val="00564C38"/>
    <w:rsid w:val="00565FA1"/>
    <w:rsid w:val="00570473"/>
    <w:rsid w:val="005718B6"/>
    <w:rsid w:val="005725E1"/>
    <w:rsid w:val="005725F6"/>
    <w:rsid w:val="0057355D"/>
    <w:rsid w:val="00574945"/>
    <w:rsid w:val="00575C84"/>
    <w:rsid w:val="00575CF1"/>
    <w:rsid w:val="00575DE6"/>
    <w:rsid w:val="00582CB9"/>
    <w:rsid w:val="005849EC"/>
    <w:rsid w:val="00584E37"/>
    <w:rsid w:val="00585D5D"/>
    <w:rsid w:val="00587CC5"/>
    <w:rsid w:val="00587DCB"/>
    <w:rsid w:val="00590795"/>
    <w:rsid w:val="005911A7"/>
    <w:rsid w:val="005916A8"/>
    <w:rsid w:val="00591819"/>
    <w:rsid w:val="00591CCA"/>
    <w:rsid w:val="00593082"/>
    <w:rsid w:val="00593563"/>
    <w:rsid w:val="00594F3C"/>
    <w:rsid w:val="0059540E"/>
    <w:rsid w:val="00596755"/>
    <w:rsid w:val="005968B4"/>
    <w:rsid w:val="005978E0"/>
    <w:rsid w:val="005A145E"/>
    <w:rsid w:val="005A1A0E"/>
    <w:rsid w:val="005A1F2C"/>
    <w:rsid w:val="005A291F"/>
    <w:rsid w:val="005A3B70"/>
    <w:rsid w:val="005A57FE"/>
    <w:rsid w:val="005B07FF"/>
    <w:rsid w:val="005B11A0"/>
    <w:rsid w:val="005B1DFB"/>
    <w:rsid w:val="005B5281"/>
    <w:rsid w:val="005B537A"/>
    <w:rsid w:val="005B5465"/>
    <w:rsid w:val="005C0647"/>
    <w:rsid w:val="005C2405"/>
    <w:rsid w:val="005C399D"/>
    <w:rsid w:val="005C4F91"/>
    <w:rsid w:val="005C503E"/>
    <w:rsid w:val="005C5561"/>
    <w:rsid w:val="005C6F25"/>
    <w:rsid w:val="005D074B"/>
    <w:rsid w:val="005D0E5D"/>
    <w:rsid w:val="005D166A"/>
    <w:rsid w:val="005D1A78"/>
    <w:rsid w:val="005D1E93"/>
    <w:rsid w:val="005D2FFC"/>
    <w:rsid w:val="005D36AC"/>
    <w:rsid w:val="005D4576"/>
    <w:rsid w:val="005D4766"/>
    <w:rsid w:val="005D541E"/>
    <w:rsid w:val="005D79F3"/>
    <w:rsid w:val="005E0058"/>
    <w:rsid w:val="005E067D"/>
    <w:rsid w:val="005E1DE8"/>
    <w:rsid w:val="005E30F3"/>
    <w:rsid w:val="005E5FED"/>
    <w:rsid w:val="005E6C37"/>
    <w:rsid w:val="005E71AB"/>
    <w:rsid w:val="005F099E"/>
    <w:rsid w:val="005F0C32"/>
    <w:rsid w:val="005F2647"/>
    <w:rsid w:val="005F407E"/>
    <w:rsid w:val="005F6B96"/>
    <w:rsid w:val="00600024"/>
    <w:rsid w:val="00600AF4"/>
    <w:rsid w:val="006052F4"/>
    <w:rsid w:val="0060570D"/>
    <w:rsid w:val="006075F2"/>
    <w:rsid w:val="00612C3C"/>
    <w:rsid w:val="00612D56"/>
    <w:rsid w:val="00613754"/>
    <w:rsid w:val="006152CC"/>
    <w:rsid w:val="00617166"/>
    <w:rsid w:val="00617A1C"/>
    <w:rsid w:val="006234AB"/>
    <w:rsid w:val="00623A91"/>
    <w:rsid w:val="00623D74"/>
    <w:rsid w:val="00625E3B"/>
    <w:rsid w:val="00626C5F"/>
    <w:rsid w:val="00627F2F"/>
    <w:rsid w:val="006311E5"/>
    <w:rsid w:val="00636B0B"/>
    <w:rsid w:val="00636EF4"/>
    <w:rsid w:val="00637E47"/>
    <w:rsid w:val="006401F7"/>
    <w:rsid w:val="006407AF"/>
    <w:rsid w:val="00642B8A"/>
    <w:rsid w:val="00643196"/>
    <w:rsid w:val="00643A09"/>
    <w:rsid w:val="00643D57"/>
    <w:rsid w:val="00644D24"/>
    <w:rsid w:val="00646D60"/>
    <w:rsid w:val="0065055A"/>
    <w:rsid w:val="0065170B"/>
    <w:rsid w:val="0065396B"/>
    <w:rsid w:val="00654175"/>
    <w:rsid w:val="0065453E"/>
    <w:rsid w:val="006552AE"/>
    <w:rsid w:val="00656018"/>
    <w:rsid w:val="00656F2E"/>
    <w:rsid w:val="006624C3"/>
    <w:rsid w:val="0066303E"/>
    <w:rsid w:val="00663E24"/>
    <w:rsid w:val="00664AFE"/>
    <w:rsid w:val="0066542D"/>
    <w:rsid w:val="00665440"/>
    <w:rsid w:val="00670FAA"/>
    <w:rsid w:val="0067143E"/>
    <w:rsid w:val="00671A77"/>
    <w:rsid w:val="00672555"/>
    <w:rsid w:val="00672E63"/>
    <w:rsid w:val="00672FF9"/>
    <w:rsid w:val="00673B55"/>
    <w:rsid w:val="00673EA6"/>
    <w:rsid w:val="0067503E"/>
    <w:rsid w:val="00675C9D"/>
    <w:rsid w:val="0067656B"/>
    <w:rsid w:val="0067786B"/>
    <w:rsid w:val="00677A5B"/>
    <w:rsid w:val="00682FF3"/>
    <w:rsid w:val="00683736"/>
    <w:rsid w:val="00683914"/>
    <w:rsid w:val="006856C5"/>
    <w:rsid w:val="0068681A"/>
    <w:rsid w:val="00686D8E"/>
    <w:rsid w:val="0069548E"/>
    <w:rsid w:val="0069550A"/>
    <w:rsid w:val="00697612"/>
    <w:rsid w:val="006A1867"/>
    <w:rsid w:val="006A1AC9"/>
    <w:rsid w:val="006A23CE"/>
    <w:rsid w:val="006A2A83"/>
    <w:rsid w:val="006A3413"/>
    <w:rsid w:val="006A3D9D"/>
    <w:rsid w:val="006A5124"/>
    <w:rsid w:val="006A52AB"/>
    <w:rsid w:val="006A582B"/>
    <w:rsid w:val="006A6F6B"/>
    <w:rsid w:val="006A7A24"/>
    <w:rsid w:val="006B0DE2"/>
    <w:rsid w:val="006B10FB"/>
    <w:rsid w:val="006B1F41"/>
    <w:rsid w:val="006B2346"/>
    <w:rsid w:val="006B456C"/>
    <w:rsid w:val="006B4C0C"/>
    <w:rsid w:val="006B5C85"/>
    <w:rsid w:val="006C0BC4"/>
    <w:rsid w:val="006C14F3"/>
    <w:rsid w:val="006C2260"/>
    <w:rsid w:val="006C2592"/>
    <w:rsid w:val="006C3DD9"/>
    <w:rsid w:val="006C477D"/>
    <w:rsid w:val="006C4825"/>
    <w:rsid w:val="006C4FE9"/>
    <w:rsid w:val="006C60F1"/>
    <w:rsid w:val="006C6CBC"/>
    <w:rsid w:val="006D21BB"/>
    <w:rsid w:val="006D5780"/>
    <w:rsid w:val="006E08BF"/>
    <w:rsid w:val="006E09D0"/>
    <w:rsid w:val="006E1239"/>
    <w:rsid w:val="006E1585"/>
    <w:rsid w:val="006E1902"/>
    <w:rsid w:val="006E245B"/>
    <w:rsid w:val="006E2A82"/>
    <w:rsid w:val="006E32F5"/>
    <w:rsid w:val="006E4BEE"/>
    <w:rsid w:val="006E56B1"/>
    <w:rsid w:val="006E6BAA"/>
    <w:rsid w:val="006E7514"/>
    <w:rsid w:val="006F203B"/>
    <w:rsid w:val="006F33BD"/>
    <w:rsid w:val="006F37C3"/>
    <w:rsid w:val="006F3EBF"/>
    <w:rsid w:val="006F5880"/>
    <w:rsid w:val="006F59D8"/>
    <w:rsid w:val="00700A95"/>
    <w:rsid w:val="007020B5"/>
    <w:rsid w:val="007034CE"/>
    <w:rsid w:val="00703CBB"/>
    <w:rsid w:val="0070456B"/>
    <w:rsid w:val="00704ACC"/>
    <w:rsid w:val="00705D33"/>
    <w:rsid w:val="00707BAD"/>
    <w:rsid w:val="00710414"/>
    <w:rsid w:val="0071306A"/>
    <w:rsid w:val="00715036"/>
    <w:rsid w:val="00715EE5"/>
    <w:rsid w:val="0071731B"/>
    <w:rsid w:val="0071776D"/>
    <w:rsid w:val="007205C6"/>
    <w:rsid w:val="007225D2"/>
    <w:rsid w:val="00724B3F"/>
    <w:rsid w:val="00724EC9"/>
    <w:rsid w:val="00725043"/>
    <w:rsid w:val="0072537C"/>
    <w:rsid w:val="00726A70"/>
    <w:rsid w:val="00727CFB"/>
    <w:rsid w:val="007302AF"/>
    <w:rsid w:val="007319E4"/>
    <w:rsid w:val="00733642"/>
    <w:rsid w:val="0073497F"/>
    <w:rsid w:val="00734D16"/>
    <w:rsid w:val="00734F22"/>
    <w:rsid w:val="00735072"/>
    <w:rsid w:val="00735232"/>
    <w:rsid w:val="007357CA"/>
    <w:rsid w:val="0073652A"/>
    <w:rsid w:val="00737936"/>
    <w:rsid w:val="00740E99"/>
    <w:rsid w:val="00744A4D"/>
    <w:rsid w:val="00745271"/>
    <w:rsid w:val="00747AE5"/>
    <w:rsid w:val="00747CD2"/>
    <w:rsid w:val="00747DE5"/>
    <w:rsid w:val="007503E8"/>
    <w:rsid w:val="00750FF2"/>
    <w:rsid w:val="00753497"/>
    <w:rsid w:val="0075357F"/>
    <w:rsid w:val="00755114"/>
    <w:rsid w:val="007551AA"/>
    <w:rsid w:val="007572B4"/>
    <w:rsid w:val="0076047C"/>
    <w:rsid w:val="0076195A"/>
    <w:rsid w:val="007624C5"/>
    <w:rsid w:val="00762A63"/>
    <w:rsid w:val="00763A20"/>
    <w:rsid w:val="00763DC5"/>
    <w:rsid w:val="0076521E"/>
    <w:rsid w:val="007654D3"/>
    <w:rsid w:val="007666A0"/>
    <w:rsid w:val="00767003"/>
    <w:rsid w:val="007675B1"/>
    <w:rsid w:val="00771BF5"/>
    <w:rsid w:val="0077306D"/>
    <w:rsid w:val="00775527"/>
    <w:rsid w:val="007767A1"/>
    <w:rsid w:val="00780F4D"/>
    <w:rsid w:val="00781379"/>
    <w:rsid w:val="00784846"/>
    <w:rsid w:val="00787AC2"/>
    <w:rsid w:val="00790BC6"/>
    <w:rsid w:val="007927C5"/>
    <w:rsid w:val="007929EB"/>
    <w:rsid w:val="007936A4"/>
    <w:rsid w:val="007956FB"/>
    <w:rsid w:val="007A0003"/>
    <w:rsid w:val="007A3C2C"/>
    <w:rsid w:val="007A5378"/>
    <w:rsid w:val="007A6479"/>
    <w:rsid w:val="007A7204"/>
    <w:rsid w:val="007A7C87"/>
    <w:rsid w:val="007B0EA1"/>
    <w:rsid w:val="007B1649"/>
    <w:rsid w:val="007B21D4"/>
    <w:rsid w:val="007B3C26"/>
    <w:rsid w:val="007B48ED"/>
    <w:rsid w:val="007B59C7"/>
    <w:rsid w:val="007B6163"/>
    <w:rsid w:val="007B6490"/>
    <w:rsid w:val="007B6C3A"/>
    <w:rsid w:val="007B733B"/>
    <w:rsid w:val="007B7505"/>
    <w:rsid w:val="007C1E62"/>
    <w:rsid w:val="007C211F"/>
    <w:rsid w:val="007C35EF"/>
    <w:rsid w:val="007C7A13"/>
    <w:rsid w:val="007D05AF"/>
    <w:rsid w:val="007D0D9A"/>
    <w:rsid w:val="007D107F"/>
    <w:rsid w:val="007D2B8F"/>
    <w:rsid w:val="007D2F3E"/>
    <w:rsid w:val="007D450D"/>
    <w:rsid w:val="007D664D"/>
    <w:rsid w:val="007D6F62"/>
    <w:rsid w:val="007D7092"/>
    <w:rsid w:val="007D7162"/>
    <w:rsid w:val="007D7D4E"/>
    <w:rsid w:val="007E069D"/>
    <w:rsid w:val="007E3B0B"/>
    <w:rsid w:val="007E4127"/>
    <w:rsid w:val="007E4AE6"/>
    <w:rsid w:val="007E5F79"/>
    <w:rsid w:val="007E6230"/>
    <w:rsid w:val="007F12C2"/>
    <w:rsid w:val="007F1DB9"/>
    <w:rsid w:val="007F4542"/>
    <w:rsid w:val="007F57E2"/>
    <w:rsid w:val="007F59FE"/>
    <w:rsid w:val="007F5F9A"/>
    <w:rsid w:val="007F7CDD"/>
    <w:rsid w:val="007F7F50"/>
    <w:rsid w:val="00801587"/>
    <w:rsid w:val="008022A2"/>
    <w:rsid w:val="00802CC3"/>
    <w:rsid w:val="00803300"/>
    <w:rsid w:val="00804DD3"/>
    <w:rsid w:val="00806223"/>
    <w:rsid w:val="0080635B"/>
    <w:rsid w:val="0080696D"/>
    <w:rsid w:val="008070F3"/>
    <w:rsid w:val="008103C4"/>
    <w:rsid w:val="0081462B"/>
    <w:rsid w:val="00815639"/>
    <w:rsid w:val="0081585F"/>
    <w:rsid w:val="008179AC"/>
    <w:rsid w:val="0082034B"/>
    <w:rsid w:val="0082327D"/>
    <w:rsid w:val="00825B3D"/>
    <w:rsid w:val="008272AF"/>
    <w:rsid w:val="008276C4"/>
    <w:rsid w:val="008356F8"/>
    <w:rsid w:val="00841466"/>
    <w:rsid w:val="00845B74"/>
    <w:rsid w:val="00847542"/>
    <w:rsid w:val="00847D5E"/>
    <w:rsid w:val="00847D70"/>
    <w:rsid w:val="00850F89"/>
    <w:rsid w:val="00851130"/>
    <w:rsid w:val="0085150A"/>
    <w:rsid w:val="00854457"/>
    <w:rsid w:val="00856780"/>
    <w:rsid w:val="00860B58"/>
    <w:rsid w:val="0086156F"/>
    <w:rsid w:val="00861594"/>
    <w:rsid w:val="008631A1"/>
    <w:rsid w:val="008643E9"/>
    <w:rsid w:val="00865038"/>
    <w:rsid w:val="00865618"/>
    <w:rsid w:val="00865A7B"/>
    <w:rsid w:val="00866510"/>
    <w:rsid w:val="008668F1"/>
    <w:rsid w:val="00866C74"/>
    <w:rsid w:val="008676EA"/>
    <w:rsid w:val="008679CE"/>
    <w:rsid w:val="00870F2A"/>
    <w:rsid w:val="00871A7A"/>
    <w:rsid w:val="008721CB"/>
    <w:rsid w:val="0087593F"/>
    <w:rsid w:val="008761D2"/>
    <w:rsid w:val="008764C9"/>
    <w:rsid w:val="00877C00"/>
    <w:rsid w:val="00881627"/>
    <w:rsid w:val="00882B4C"/>
    <w:rsid w:val="00884C9D"/>
    <w:rsid w:val="00885892"/>
    <w:rsid w:val="00885C96"/>
    <w:rsid w:val="00886785"/>
    <w:rsid w:val="00891430"/>
    <w:rsid w:val="00892766"/>
    <w:rsid w:val="00893465"/>
    <w:rsid w:val="00894350"/>
    <w:rsid w:val="00895F0D"/>
    <w:rsid w:val="008971E1"/>
    <w:rsid w:val="00897B65"/>
    <w:rsid w:val="00897CEC"/>
    <w:rsid w:val="008A168D"/>
    <w:rsid w:val="008A24ED"/>
    <w:rsid w:val="008A250E"/>
    <w:rsid w:val="008A3C26"/>
    <w:rsid w:val="008A3E24"/>
    <w:rsid w:val="008A3FF0"/>
    <w:rsid w:val="008A4EBA"/>
    <w:rsid w:val="008A51D2"/>
    <w:rsid w:val="008A57C1"/>
    <w:rsid w:val="008A7E5F"/>
    <w:rsid w:val="008B0C47"/>
    <w:rsid w:val="008B348D"/>
    <w:rsid w:val="008B3A01"/>
    <w:rsid w:val="008B5057"/>
    <w:rsid w:val="008B68DA"/>
    <w:rsid w:val="008B6C9B"/>
    <w:rsid w:val="008B7AC1"/>
    <w:rsid w:val="008B7BF9"/>
    <w:rsid w:val="008C0D37"/>
    <w:rsid w:val="008C259A"/>
    <w:rsid w:val="008C2DCA"/>
    <w:rsid w:val="008C3246"/>
    <w:rsid w:val="008C6E3A"/>
    <w:rsid w:val="008D1CB4"/>
    <w:rsid w:val="008D2735"/>
    <w:rsid w:val="008D36A5"/>
    <w:rsid w:val="008E08C1"/>
    <w:rsid w:val="008E0D20"/>
    <w:rsid w:val="008E146F"/>
    <w:rsid w:val="008E2DAE"/>
    <w:rsid w:val="008E33E6"/>
    <w:rsid w:val="008E5392"/>
    <w:rsid w:val="008F0043"/>
    <w:rsid w:val="008F5EF0"/>
    <w:rsid w:val="008F61F2"/>
    <w:rsid w:val="008F7CC1"/>
    <w:rsid w:val="00901161"/>
    <w:rsid w:val="009013CA"/>
    <w:rsid w:val="00901982"/>
    <w:rsid w:val="0090252B"/>
    <w:rsid w:val="009047EA"/>
    <w:rsid w:val="0090576D"/>
    <w:rsid w:val="009113E4"/>
    <w:rsid w:val="0091153E"/>
    <w:rsid w:val="009115EC"/>
    <w:rsid w:val="00911BFC"/>
    <w:rsid w:val="00911C8B"/>
    <w:rsid w:val="00912E26"/>
    <w:rsid w:val="00912FA7"/>
    <w:rsid w:val="00914E36"/>
    <w:rsid w:val="00916FC6"/>
    <w:rsid w:val="009172CC"/>
    <w:rsid w:val="009247EA"/>
    <w:rsid w:val="0092662E"/>
    <w:rsid w:val="00926FCC"/>
    <w:rsid w:val="009300CE"/>
    <w:rsid w:val="00931148"/>
    <w:rsid w:val="009329CA"/>
    <w:rsid w:val="00932A02"/>
    <w:rsid w:val="009331D4"/>
    <w:rsid w:val="0093488A"/>
    <w:rsid w:val="00935049"/>
    <w:rsid w:val="009351F6"/>
    <w:rsid w:val="00936383"/>
    <w:rsid w:val="009378EC"/>
    <w:rsid w:val="00937CBA"/>
    <w:rsid w:val="0094001A"/>
    <w:rsid w:val="00941030"/>
    <w:rsid w:val="00942267"/>
    <w:rsid w:val="00942542"/>
    <w:rsid w:val="00945F6D"/>
    <w:rsid w:val="00946692"/>
    <w:rsid w:val="00947ED8"/>
    <w:rsid w:val="009503F5"/>
    <w:rsid w:val="009545D8"/>
    <w:rsid w:val="009545E5"/>
    <w:rsid w:val="00954B0A"/>
    <w:rsid w:val="0095512C"/>
    <w:rsid w:val="009553D3"/>
    <w:rsid w:val="00957CEA"/>
    <w:rsid w:val="00957DE3"/>
    <w:rsid w:val="00957FC8"/>
    <w:rsid w:val="009604DE"/>
    <w:rsid w:val="00960E3A"/>
    <w:rsid w:val="009622B4"/>
    <w:rsid w:val="0096432E"/>
    <w:rsid w:val="009646E5"/>
    <w:rsid w:val="00965BF1"/>
    <w:rsid w:val="009665E9"/>
    <w:rsid w:val="00971711"/>
    <w:rsid w:val="00971F3C"/>
    <w:rsid w:val="00973413"/>
    <w:rsid w:val="009754A3"/>
    <w:rsid w:val="00975612"/>
    <w:rsid w:val="00975CB1"/>
    <w:rsid w:val="009761DA"/>
    <w:rsid w:val="0097709A"/>
    <w:rsid w:val="00977C9D"/>
    <w:rsid w:val="00980E97"/>
    <w:rsid w:val="0098177A"/>
    <w:rsid w:val="00981E80"/>
    <w:rsid w:val="00981E9D"/>
    <w:rsid w:val="00981FDB"/>
    <w:rsid w:val="00983419"/>
    <w:rsid w:val="0098499C"/>
    <w:rsid w:val="0098693B"/>
    <w:rsid w:val="009901BA"/>
    <w:rsid w:val="00990CD0"/>
    <w:rsid w:val="00994D78"/>
    <w:rsid w:val="009A0A1F"/>
    <w:rsid w:val="009A0C3C"/>
    <w:rsid w:val="009A1C05"/>
    <w:rsid w:val="009A2013"/>
    <w:rsid w:val="009A2938"/>
    <w:rsid w:val="009A478B"/>
    <w:rsid w:val="009A580D"/>
    <w:rsid w:val="009A7CF9"/>
    <w:rsid w:val="009B10EB"/>
    <w:rsid w:val="009B22B1"/>
    <w:rsid w:val="009B2690"/>
    <w:rsid w:val="009B2A0F"/>
    <w:rsid w:val="009B6CC6"/>
    <w:rsid w:val="009B727D"/>
    <w:rsid w:val="009C3026"/>
    <w:rsid w:val="009C3412"/>
    <w:rsid w:val="009C39C7"/>
    <w:rsid w:val="009C4EA3"/>
    <w:rsid w:val="009C52E2"/>
    <w:rsid w:val="009C5316"/>
    <w:rsid w:val="009C53F8"/>
    <w:rsid w:val="009C5C99"/>
    <w:rsid w:val="009C5CB1"/>
    <w:rsid w:val="009C6370"/>
    <w:rsid w:val="009C6E9F"/>
    <w:rsid w:val="009C7328"/>
    <w:rsid w:val="009C7D7C"/>
    <w:rsid w:val="009D0055"/>
    <w:rsid w:val="009D0ACD"/>
    <w:rsid w:val="009D1321"/>
    <w:rsid w:val="009D1AC5"/>
    <w:rsid w:val="009D34B5"/>
    <w:rsid w:val="009D569F"/>
    <w:rsid w:val="009D69C1"/>
    <w:rsid w:val="009D7B1D"/>
    <w:rsid w:val="009E034A"/>
    <w:rsid w:val="009E0BCA"/>
    <w:rsid w:val="009E1BB7"/>
    <w:rsid w:val="009E44AA"/>
    <w:rsid w:val="009E52B7"/>
    <w:rsid w:val="009E73BB"/>
    <w:rsid w:val="009F2B89"/>
    <w:rsid w:val="009F2C87"/>
    <w:rsid w:val="009F538D"/>
    <w:rsid w:val="009F5779"/>
    <w:rsid w:val="009F68CA"/>
    <w:rsid w:val="009F7FDC"/>
    <w:rsid w:val="00A016AD"/>
    <w:rsid w:val="00A01E7D"/>
    <w:rsid w:val="00A0216C"/>
    <w:rsid w:val="00A03B03"/>
    <w:rsid w:val="00A03DD0"/>
    <w:rsid w:val="00A03E29"/>
    <w:rsid w:val="00A072F6"/>
    <w:rsid w:val="00A1093D"/>
    <w:rsid w:val="00A10F9E"/>
    <w:rsid w:val="00A12055"/>
    <w:rsid w:val="00A14D0F"/>
    <w:rsid w:val="00A16272"/>
    <w:rsid w:val="00A17CB7"/>
    <w:rsid w:val="00A17EC8"/>
    <w:rsid w:val="00A21889"/>
    <w:rsid w:val="00A21C8E"/>
    <w:rsid w:val="00A22863"/>
    <w:rsid w:val="00A22F1F"/>
    <w:rsid w:val="00A24A99"/>
    <w:rsid w:val="00A25C29"/>
    <w:rsid w:val="00A263A5"/>
    <w:rsid w:val="00A27003"/>
    <w:rsid w:val="00A27BEA"/>
    <w:rsid w:val="00A27FF5"/>
    <w:rsid w:val="00A30F54"/>
    <w:rsid w:val="00A31FB0"/>
    <w:rsid w:val="00A3337C"/>
    <w:rsid w:val="00A3355A"/>
    <w:rsid w:val="00A33E9B"/>
    <w:rsid w:val="00A3466A"/>
    <w:rsid w:val="00A368A9"/>
    <w:rsid w:val="00A37773"/>
    <w:rsid w:val="00A37A56"/>
    <w:rsid w:val="00A40A82"/>
    <w:rsid w:val="00A41A47"/>
    <w:rsid w:val="00A41D17"/>
    <w:rsid w:val="00A41F84"/>
    <w:rsid w:val="00A42CF0"/>
    <w:rsid w:val="00A43B2F"/>
    <w:rsid w:val="00A43FA8"/>
    <w:rsid w:val="00A44777"/>
    <w:rsid w:val="00A44DAB"/>
    <w:rsid w:val="00A46080"/>
    <w:rsid w:val="00A461DB"/>
    <w:rsid w:val="00A50DDD"/>
    <w:rsid w:val="00A51D55"/>
    <w:rsid w:val="00A538A9"/>
    <w:rsid w:val="00A551F0"/>
    <w:rsid w:val="00A55746"/>
    <w:rsid w:val="00A5608F"/>
    <w:rsid w:val="00A61847"/>
    <w:rsid w:val="00A61B61"/>
    <w:rsid w:val="00A639CF"/>
    <w:rsid w:val="00A64411"/>
    <w:rsid w:val="00A7108B"/>
    <w:rsid w:val="00A72E0D"/>
    <w:rsid w:val="00A735D9"/>
    <w:rsid w:val="00A73782"/>
    <w:rsid w:val="00A752CC"/>
    <w:rsid w:val="00A753F8"/>
    <w:rsid w:val="00A76CEB"/>
    <w:rsid w:val="00A77C8E"/>
    <w:rsid w:val="00A77F2C"/>
    <w:rsid w:val="00A80179"/>
    <w:rsid w:val="00A807C8"/>
    <w:rsid w:val="00A80E30"/>
    <w:rsid w:val="00A81498"/>
    <w:rsid w:val="00A82696"/>
    <w:rsid w:val="00A85610"/>
    <w:rsid w:val="00A8576C"/>
    <w:rsid w:val="00A87295"/>
    <w:rsid w:val="00A87529"/>
    <w:rsid w:val="00A92108"/>
    <w:rsid w:val="00A921C6"/>
    <w:rsid w:val="00A92D32"/>
    <w:rsid w:val="00A93C50"/>
    <w:rsid w:val="00A94570"/>
    <w:rsid w:val="00A95D82"/>
    <w:rsid w:val="00AA07DE"/>
    <w:rsid w:val="00AA507F"/>
    <w:rsid w:val="00AA63A1"/>
    <w:rsid w:val="00AA6A61"/>
    <w:rsid w:val="00AA6DE9"/>
    <w:rsid w:val="00AA7D0F"/>
    <w:rsid w:val="00AB03D3"/>
    <w:rsid w:val="00AB07C9"/>
    <w:rsid w:val="00AB07D3"/>
    <w:rsid w:val="00AB2602"/>
    <w:rsid w:val="00AB2802"/>
    <w:rsid w:val="00AB38F3"/>
    <w:rsid w:val="00AB427A"/>
    <w:rsid w:val="00AB5D90"/>
    <w:rsid w:val="00AB6A9F"/>
    <w:rsid w:val="00AB6D43"/>
    <w:rsid w:val="00AB6DE8"/>
    <w:rsid w:val="00AC2345"/>
    <w:rsid w:val="00AC3B68"/>
    <w:rsid w:val="00AC4999"/>
    <w:rsid w:val="00AC70D9"/>
    <w:rsid w:val="00AD287E"/>
    <w:rsid w:val="00AD470F"/>
    <w:rsid w:val="00AD4E81"/>
    <w:rsid w:val="00AD6B2F"/>
    <w:rsid w:val="00AD795B"/>
    <w:rsid w:val="00AE0D23"/>
    <w:rsid w:val="00AE2376"/>
    <w:rsid w:val="00AE3A54"/>
    <w:rsid w:val="00AE4189"/>
    <w:rsid w:val="00AE47E7"/>
    <w:rsid w:val="00AE4EA1"/>
    <w:rsid w:val="00AE5485"/>
    <w:rsid w:val="00AE6C3E"/>
    <w:rsid w:val="00AE6CA8"/>
    <w:rsid w:val="00AE6D03"/>
    <w:rsid w:val="00AF4B71"/>
    <w:rsid w:val="00AF79D9"/>
    <w:rsid w:val="00B0089B"/>
    <w:rsid w:val="00B0253B"/>
    <w:rsid w:val="00B02813"/>
    <w:rsid w:val="00B04BF7"/>
    <w:rsid w:val="00B04E08"/>
    <w:rsid w:val="00B06E09"/>
    <w:rsid w:val="00B10C47"/>
    <w:rsid w:val="00B11741"/>
    <w:rsid w:val="00B1205B"/>
    <w:rsid w:val="00B130B4"/>
    <w:rsid w:val="00B13802"/>
    <w:rsid w:val="00B13805"/>
    <w:rsid w:val="00B14E1C"/>
    <w:rsid w:val="00B17B44"/>
    <w:rsid w:val="00B2092A"/>
    <w:rsid w:val="00B20937"/>
    <w:rsid w:val="00B20C4A"/>
    <w:rsid w:val="00B213F4"/>
    <w:rsid w:val="00B21B54"/>
    <w:rsid w:val="00B2200A"/>
    <w:rsid w:val="00B22F93"/>
    <w:rsid w:val="00B24B81"/>
    <w:rsid w:val="00B24E38"/>
    <w:rsid w:val="00B251C3"/>
    <w:rsid w:val="00B263C6"/>
    <w:rsid w:val="00B266EB"/>
    <w:rsid w:val="00B27043"/>
    <w:rsid w:val="00B2784D"/>
    <w:rsid w:val="00B27E27"/>
    <w:rsid w:val="00B30DBA"/>
    <w:rsid w:val="00B31436"/>
    <w:rsid w:val="00B31478"/>
    <w:rsid w:val="00B31C32"/>
    <w:rsid w:val="00B31DC5"/>
    <w:rsid w:val="00B32896"/>
    <w:rsid w:val="00B332CE"/>
    <w:rsid w:val="00B3375F"/>
    <w:rsid w:val="00B33866"/>
    <w:rsid w:val="00B342AF"/>
    <w:rsid w:val="00B34F81"/>
    <w:rsid w:val="00B354AD"/>
    <w:rsid w:val="00B35DA1"/>
    <w:rsid w:val="00B36393"/>
    <w:rsid w:val="00B41DAC"/>
    <w:rsid w:val="00B46D9B"/>
    <w:rsid w:val="00B47ABB"/>
    <w:rsid w:val="00B5081A"/>
    <w:rsid w:val="00B50B94"/>
    <w:rsid w:val="00B51037"/>
    <w:rsid w:val="00B520E1"/>
    <w:rsid w:val="00B55029"/>
    <w:rsid w:val="00B55921"/>
    <w:rsid w:val="00B55BA2"/>
    <w:rsid w:val="00B561EF"/>
    <w:rsid w:val="00B5690C"/>
    <w:rsid w:val="00B56FF6"/>
    <w:rsid w:val="00B578EF"/>
    <w:rsid w:val="00B61FCD"/>
    <w:rsid w:val="00B657B4"/>
    <w:rsid w:val="00B65BFE"/>
    <w:rsid w:val="00B66CC0"/>
    <w:rsid w:val="00B67054"/>
    <w:rsid w:val="00B721D6"/>
    <w:rsid w:val="00B72396"/>
    <w:rsid w:val="00B749B1"/>
    <w:rsid w:val="00B75D39"/>
    <w:rsid w:val="00B75F96"/>
    <w:rsid w:val="00B76E43"/>
    <w:rsid w:val="00B81955"/>
    <w:rsid w:val="00B82AEA"/>
    <w:rsid w:val="00B82EB3"/>
    <w:rsid w:val="00B83ED9"/>
    <w:rsid w:val="00B90472"/>
    <w:rsid w:val="00B92E92"/>
    <w:rsid w:val="00B94B48"/>
    <w:rsid w:val="00B969C2"/>
    <w:rsid w:val="00B97CFA"/>
    <w:rsid w:val="00BA2800"/>
    <w:rsid w:val="00BA3433"/>
    <w:rsid w:val="00BA59B9"/>
    <w:rsid w:val="00BA77F2"/>
    <w:rsid w:val="00BB06B7"/>
    <w:rsid w:val="00BB07E9"/>
    <w:rsid w:val="00BB0856"/>
    <w:rsid w:val="00BB15B7"/>
    <w:rsid w:val="00BB19DE"/>
    <w:rsid w:val="00BB1B2F"/>
    <w:rsid w:val="00BB408E"/>
    <w:rsid w:val="00BB43B3"/>
    <w:rsid w:val="00BB4AE0"/>
    <w:rsid w:val="00BB53B8"/>
    <w:rsid w:val="00BB599F"/>
    <w:rsid w:val="00BB6DB7"/>
    <w:rsid w:val="00BB7916"/>
    <w:rsid w:val="00BC0874"/>
    <w:rsid w:val="00BC10DE"/>
    <w:rsid w:val="00BC33F5"/>
    <w:rsid w:val="00BC3407"/>
    <w:rsid w:val="00BC6E6C"/>
    <w:rsid w:val="00BD1488"/>
    <w:rsid w:val="00BD25E5"/>
    <w:rsid w:val="00BD2807"/>
    <w:rsid w:val="00BD4161"/>
    <w:rsid w:val="00BD4535"/>
    <w:rsid w:val="00BD5B2D"/>
    <w:rsid w:val="00BD64D7"/>
    <w:rsid w:val="00BD7DD7"/>
    <w:rsid w:val="00BD7F6A"/>
    <w:rsid w:val="00BE0356"/>
    <w:rsid w:val="00BE0701"/>
    <w:rsid w:val="00BE14F2"/>
    <w:rsid w:val="00BE1B2A"/>
    <w:rsid w:val="00BE22EE"/>
    <w:rsid w:val="00BE31EC"/>
    <w:rsid w:val="00BE3832"/>
    <w:rsid w:val="00BE58CB"/>
    <w:rsid w:val="00BE781A"/>
    <w:rsid w:val="00BF1A04"/>
    <w:rsid w:val="00BF258B"/>
    <w:rsid w:val="00BF399A"/>
    <w:rsid w:val="00BF4141"/>
    <w:rsid w:val="00BF4544"/>
    <w:rsid w:val="00BF4D91"/>
    <w:rsid w:val="00BF5B44"/>
    <w:rsid w:val="00BF6BB2"/>
    <w:rsid w:val="00C00B3A"/>
    <w:rsid w:val="00C01041"/>
    <w:rsid w:val="00C01E20"/>
    <w:rsid w:val="00C01E72"/>
    <w:rsid w:val="00C040C3"/>
    <w:rsid w:val="00C05545"/>
    <w:rsid w:val="00C05857"/>
    <w:rsid w:val="00C10FCC"/>
    <w:rsid w:val="00C1253A"/>
    <w:rsid w:val="00C12EE0"/>
    <w:rsid w:val="00C155EA"/>
    <w:rsid w:val="00C16616"/>
    <w:rsid w:val="00C219C9"/>
    <w:rsid w:val="00C21AA9"/>
    <w:rsid w:val="00C229CB"/>
    <w:rsid w:val="00C22E1D"/>
    <w:rsid w:val="00C2303D"/>
    <w:rsid w:val="00C257D8"/>
    <w:rsid w:val="00C260B6"/>
    <w:rsid w:val="00C26E7A"/>
    <w:rsid w:val="00C31333"/>
    <w:rsid w:val="00C36819"/>
    <w:rsid w:val="00C36E31"/>
    <w:rsid w:val="00C37336"/>
    <w:rsid w:val="00C37BD2"/>
    <w:rsid w:val="00C37D4A"/>
    <w:rsid w:val="00C40E38"/>
    <w:rsid w:val="00C43C07"/>
    <w:rsid w:val="00C44B90"/>
    <w:rsid w:val="00C45779"/>
    <w:rsid w:val="00C459AC"/>
    <w:rsid w:val="00C45E4A"/>
    <w:rsid w:val="00C476E4"/>
    <w:rsid w:val="00C508E6"/>
    <w:rsid w:val="00C5136F"/>
    <w:rsid w:val="00C5547C"/>
    <w:rsid w:val="00C558E0"/>
    <w:rsid w:val="00C559FC"/>
    <w:rsid w:val="00C57875"/>
    <w:rsid w:val="00C60C67"/>
    <w:rsid w:val="00C61F76"/>
    <w:rsid w:val="00C62799"/>
    <w:rsid w:val="00C6370E"/>
    <w:rsid w:val="00C6620C"/>
    <w:rsid w:val="00C662CE"/>
    <w:rsid w:val="00C67B7C"/>
    <w:rsid w:val="00C67B81"/>
    <w:rsid w:val="00C706FB"/>
    <w:rsid w:val="00C73E96"/>
    <w:rsid w:val="00C7440D"/>
    <w:rsid w:val="00C749CA"/>
    <w:rsid w:val="00C750FA"/>
    <w:rsid w:val="00C75D44"/>
    <w:rsid w:val="00C76FBA"/>
    <w:rsid w:val="00C77B60"/>
    <w:rsid w:val="00C80B29"/>
    <w:rsid w:val="00C80C25"/>
    <w:rsid w:val="00C80D17"/>
    <w:rsid w:val="00C80F2C"/>
    <w:rsid w:val="00C81348"/>
    <w:rsid w:val="00C81896"/>
    <w:rsid w:val="00C81A1F"/>
    <w:rsid w:val="00C82742"/>
    <w:rsid w:val="00C84984"/>
    <w:rsid w:val="00C84B9A"/>
    <w:rsid w:val="00C86CC1"/>
    <w:rsid w:val="00C87144"/>
    <w:rsid w:val="00C90283"/>
    <w:rsid w:val="00C90FF2"/>
    <w:rsid w:val="00C91112"/>
    <w:rsid w:val="00C928FE"/>
    <w:rsid w:val="00C94AA7"/>
    <w:rsid w:val="00CA1F4C"/>
    <w:rsid w:val="00CA33AC"/>
    <w:rsid w:val="00CA5E71"/>
    <w:rsid w:val="00CA6A9C"/>
    <w:rsid w:val="00CA6EE2"/>
    <w:rsid w:val="00CA6FCC"/>
    <w:rsid w:val="00CA7CAA"/>
    <w:rsid w:val="00CA7DD9"/>
    <w:rsid w:val="00CB07A7"/>
    <w:rsid w:val="00CB09A2"/>
    <w:rsid w:val="00CB0F7D"/>
    <w:rsid w:val="00CB1837"/>
    <w:rsid w:val="00CB19B0"/>
    <w:rsid w:val="00CB1F2A"/>
    <w:rsid w:val="00CB2B02"/>
    <w:rsid w:val="00CB354A"/>
    <w:rsid w:val="00CB4EB8"/>
    <w:rsid w:val="00CC1DCE"/>
    <w:rsid w:val="00CC38E9"/>
    <w:rsid w:val="00CC39B9"/>
    <w:rsid w:val="00CC3D8E"/>
    <w:rsid w:val="00CC46AD"/>
    <w:rsid w:val="00CC4A44"/>
    <w:rsid w:val="00CC6558"/>
    <w:rsid w:val="00CC7695"/>
    <w:rsid w:val="00CD083F"/>
    <w:rsid w:val="00CD2F66"/>
    <w:rsid w:val="00CD3909"/>
    <w:rsid w:val="00CD3C56"/>
    <w:rsid w:val="00CD52BB"/>
    <w:rsid w:val="00CD6BB9"/>
    <w:rsid w:val="00CD72A3"/>
    <w:rsid w:val="00CD7830"/>
    <w:rsid w:val="00CE080A"/>
    <w:rsid w:val="00CE3ACE"/>
    <w:rsid w:val="00CE4074"/>
    <w:rsid w:val="00CE439F"/>
    <w:rsid w:val="00CE6C85"/>
    <w:rsid w:val="00CE6CEF"/>
    <w:rsid w:val="00CE70A9"/>
    <w:rsid w:val="00CE728B"/>
    <w:rsid w:val="00CE7C42"/>
    <w:rsid w:val="00CE7DAE"/>
    <w:rsid w:val="00CF182B"/>
    <w:rsid w:val="00CF1974"/>
    <w:rsid w:val="00CF21A6"/>
    <w:rsid w:val="00CF32D8"/>
    <w:rsid w:val="00CF4FAE"/>
    <w:rsid w:val="00CF5CA3"/>
    <w:rsid w:val="00CF5DAE"/>
    <w:rsid w:val="00CF6751"/>
    <w:rsid w:val="00CF67BA"/>
    <w:rsid w:val="00D011B4"/>
    <w:rsid w:val="00D02D7B"/>
    <w:rsid w:val="00D02F2B"/>
    <w:rsid w:val="00D02F82"/>
    <w:rsid w:val="00D03EFF"/>
    <w:rsid w:val="00D03F0E"/>
    <w:rsid w:val="00D06135"/>
    <w:rsid w:val="00D06987"/>
    <w:rsid w:val="00D110F7"/>
    <w:rsid w:val="00D11A7C"/>
    <w:rsid w:val="00D12A6C"/>
    <w:rsid w:val="00D1414A"/>
    <w:rsid w:val="00D149E1"/>
    <w:rsid w:val="00D14C6C"/>
    <w:rsid w:val="00D15511"/>
    <w:rsid w:val="00D20248"/>
    <w:rsid w:val="00D22873"/>
    <w:rsid w:val="00D229B2"/>
    <w:rsid w:val="00D2352B"/>
    <w:rsid w:val="00D2379F"/>
    <w:rsid w:val="00D23D72"/>
    <w:rsid w:val="00D25CB8"/>
    <w:rsid w:val="00D27F1B"/>
    <w:rsid w:val="00D311FE"/>
    <w:rsid w:val="00D31FA2"/>
    <w:rsid w:val="00D338F9"/>
    <w:rsid w:val="00D33D15"/>
    <w:rsid w:val="00D3407F"/>
    <w:rsid w:val="00D36D3D"/>
    <w:rsid w:val="00D37DAB"/>
    <w:rsid w:val="00D4068E"/>
    <w:rsid w:val="00D42412"/>
    <w:rsid w:val="00D42C12"/>
    <w:rsid w:val="00D42D4E"/>
    <w:rsid w:val="00D42E73"/>
    <w:rsid w:val="00D44084"/>
    <w:rsid w:val="00D443C9"/>
    <w:rsid w:val="00D44BAA"/>
    <w:rsid w:val="00D44DB2"/>
    <w:rsid w:val="00D44FB7"/>
    <w:rsid w:val="00D4799C"/>
    <w:rsid w:val="00D47A72"/>
    <w:rsid w:val="00D517B1"/>
    <w:rsid w:val="00D52DD8"/>
    <w:rsid w:val="00D53A46"/>
    <w:rsid w:val="00D549C8"/>
    <w:rsid w:val="00D5569B"/>
    <w:rsid w:val="00D558AA"/>
    <w:rsid w:val="00D55DE5"/>
    <w:rsid w:val="00D56455"/>
    <w:rsid w:val="00D564F6"/>
    <w:rsid w:val="00D56B8B"/>
    <w:rsid w:val="00D57A59"/>
    <w:rsid w:val="00D650C6"/>
    <w:rsid w:val="00D65248"/>
    <w:rsid w:val="00D65CAA"/>
    <w:rsid w:val="00D65E3B"/>
    <w:rsid w:val="00D65F8E"/>
    <w:rsid w:val="00D662C7"/>
    <w:rsid w:val="00D66E1B"/>
    <w:rsid w:val="00D67244"/>
    <w:rsid w:val="00D6775C"/>
    <w:rsid w:val="00D70A90"/>
    <w:rsid w:val="00D73300"/>
    <w:rsid w:val="00D73DBE"/>
    <w:rsid w:val="00D746F3"/>
    <w:rsid w:val="00D74EF2"/>
    <w:rsid w:val="00D75F6C"/>
    <w:rsid w:val="00D76B20"/>
    <w:rsid w:val="00D80C66"/>
    <w:rsid w:val="00D81107"/>
    <w:rsid w:val="00D81185"/>
    <w:rsid w:val="00D81F8D"/>
    <w:rsid w:val="00D83EF8"/>
    <w:rsid w:val="00D8531C"/>
    <w:rsid w:val="00D8533D"/>
    <w:rsid w:val="00D87236"/>
    <w:rsid w:val="00D92A2C"/>
    <w:rsid w:val="00D9340E"/>
    <w:rsid w:val="00D935B4"/>
    <w:rsid w:val="00D942AE"/>
    <w:rsid w:val="00D960A1"/>
    <w:rsid w:val="00DA0409"/>
    <w:rsid w:val="00DA0624"/>
    <w:rsid w:val="00DA1EB3"/>
    <w:rsid w:val="00DA49BE"/>
    <w:rsid w:val="00DA4AFB"/>
    <w:rsid w:val="00DA4B94"/>
    <w:rsid w:val="00DA512F"/>
    <w:rsid w:val="00DA56D9"/>
    <w:rsid w:val="00DA678E"/>
    <w:rsid w:val="00DA7B6C"/>
    <w:rsid w:val="00DB0E34"/>
    <w:rsid w:val="00DB1E8A"/>
    <w:rsid w:val="00DB3EC2"/>
    <w:rsid w:val="00DB60BD"/>
    <w:rsid w:val="00DB6F3E"/>
    <w:rsid w:val="00DB73A7"/>
    <w:rsid w:val="00DB7542"/>
    <w:rsid w:val="00DC2ED8"/>
    <w:rsid w:val="00DC309C"/>
    <w:rsid w:val="00DC3230"/>
    <w:rsid w:val="00DC3622"/>
    <w:rsid w:val="00DC4F4C"/>
    <w:rsid w:val="00DC6574"/>
    <w:rsid w:val="00DD0C65"/>
    <w:rsid w:val="00DD111A"/>
    <w:rsid w:val="00DD1C9C"/>
    <w:rsid w:val="00DD25CE"/>
    <w:rsid w:val="00DD7380"/>
    <w:rsid w:val="00DD740B"/>
    <w:rsid w:val="00DE0026"/>
    <w:rsid w:val="00DE05A2"/>
    <w:rsid w:val="00DE0A09"/>
    <w:rsid w:val="00DE107B"/>
    <w:rsid w:val="00DE1280"/>
    <w:rsid w:val="00DE1607"/>
    <w:rsid w:val="00DE22EE"/>
    <w:rsid w:val="00DE2B80"/>
    <w:rsid w:val="00DE353D"/>
    <w:rsid w:val="00DE7252"/>
    <w:rsid w:val="00DE764C"/>
    <w:rsid w:val="00DF12FF"/>
    <w:rsid w:val="00DF412C"/>
    <w:rsid w:val="00DF4B4C"/>
    <w:rsid w:val="00DF4CAB"/>
    <w:rsid w:val="00DF5253"/>
    <w:rsid w:val="00DF5AC5"/>
    <w:rsid w:val="00DF64E7"/>
    <w:rsid w:val="00DF7849"/>
    <w:rsid w:val="00E02FB6"/>
    <w:rsid w:val="00E0547D"/>
    <w:rsid w:val="00E075FD"/>
    <w:rsid w:val="00E07F7F"/>
    <w:rsid w:val="00E07F85"/>
    <w:rsid w:val="00E15839"/>
    <w:rsid w:val="00E209A0"/>
    <w:rsid w:val="00E21717"/>
    <w:rsid w:val="00E2360C"/>
    <w:rsid w:val="00E23AFC"/>
    <w:rsid w:val="00E316CC"/>
    <w:rsid w:val="00E31E96"/>
    <w:rsid w:val="00E35CB2"/>
    <w:rsid w:val="00E35E8F"/>
    <w:rsid w:val="00E4021B"/>
    <w:rsid w:val="00E418D7"/>
    <w:rsid w:val="00E41908"/>
    <w:rsid w:val="00E41922"/>
    <w:rsid w:val="00E42940"/>
    <w:rsid w:val="00E4315B"/>
    <w:rsid w:val="00E43935"/>
    <w:rsid w:val="00E44146"/>
    <w:rsid w:val="00E51149"/>
    <w:rsid w:val="00E51A16"/>
    <w:rsid w:val="00E52384"/>
    <w:rsid w:val="00E52E38"/>
    <w:rsid w:val="00E530F0"/>
    <w:rsid w:val="00E53AA1"/>
    <w:rsid w:val="00E53ED5"/>
    <w:rsid w:val="00E53F7F"/>
    <w:rsid w:val="00E542DF"/>
    <w:rsid w:val="00E54E2E"/>
    <w:rsid w:val="00E54F14"/>
    <w:rsid w:val="00E554FB"/>
    <w:rsid w:val="00E55895"/>
    <w:rsid w:val="00E5699B"/>
    <w:rsid w:val="00E56BB8"/>
    <w:rsid w:val="00E56F43"/>
    <w:rsid w:val="00E572B3"/>
    <w:rsid w:val="00E60725"/>
    <w:rsid w:val="00E60EB9"/>
    <w:rsid w:val="00E61469"/>
    <w:rsid w:val="00E62A8D"/>
    <w:rsid w:val="00E641EF"/>
    <w:rsid w:val="00E648E5"/>
    <w:rsid w:val="00E6732C"/>
    <w:rsid w:val="00E678A3"/>
    <w:rsid w:val="00E67B5B"/>
    <w:rsid w:val="00E70FD2"/>
    <w:rsid w:val="00E7298C"/>
    <w:rsid w:val="00E75E7C"/>
    <w:rsid w:val="00E77223"/>
    <w:rsid w:val="00E839B2"/>
    <w:rsid w:val="00E84293"/>
    <w:rsid w:val="00E84E8C"/>
    <w:rsid w:val="00E85FCA"/>
    <w:rsid w:val="00E8766A"/>
    <w:rsid w:val="00E879B3"/>
    <w:rsid w:val="00E900A5"/>
    <w:rsid w:val="00E900B5"/>
    <w:rsid w:val="00E9052E"/>
    <w:rsid w:val="00E925A6"/>
    <w:rsid w:val="00E92C22"/>
    <w:rsid w:val="00E92FED"/>
    <w:rsid w:val="00E96BDC"/>
    <w:rsid w:val="00EA0330"/>
    <w:rsid w:val="00EA1058"/>
    <w:rsid w:val="00EA614E"/>
    <w:rsid w:val="00EA648E"/>
    <w:rsid w:val="00EA78E8"/>
    <w:rsid w:val="00EB2407"/>
    <w:rsid w:val="00EB25D1"/>
    <w:rsid w:val="00EB339C"/>
    <w:rsid w:val="00EB3A16"/>
    <w:rsid w:val="00EB4D3E"/>
    <w:rsid w:val="00EB5C84"/>
    <w:rsid w:val="00EB65D6"/>
    <w:rsid w:val="00EB6977"/>
    <w:rsid w:val="00EB7066"/>
    <w:rsid w:val="00EC1AC9"/>
    <w:rsid w:val="00EC25C1"/>
    <w:rsid w:val="00EC2ACD"/>
    <w:rsid w:val="00ED0319"/>
    <w:rsid w:val="00ED0A78"/>
    <w:rsid w:val="00ED1BA2"/>
    <w:rsid w:val="00ED2ED1"/>
    <w:rsid w:val="00ED3BDE"/>
    <w:rsid w:val="00ED58B0"/>
    <w:rsid w:val="00ED6208"/>
    <w:rsid w:val="00ED666D"/>
    <w:rsid w:val="00EE0A0E"/>
    <w:rsid w:val="00EE0A68"/>
    <w:rsid w:val="00EE0AE5"/>
    <w:rsid w:val="00EE57D2"/>
    <w:rsid w:val="00EE5FD4"/>
    <w:rsid w:val="00EE6BB4"/>
    <w:rsid w:val="00EE7747"/>
    <w:rsid w:val="00EF02A5"/>
    <w:rsid w:val="00EF0425"/>
    <w:rsid w:val="00EF1856"/>
    <w:rsid w:val="00EF20AC"/>
    <w:rsid w:val="00EF316B"/>
    <w:rsid w:val="00EF59A9"/>
    <w:rsid w:val="00EF6E47"/>
    <w:rsid w:val="00EF7ADD"/>
    <w:rsid w:val="00F00799"/>
    <w:rsid w:val="00F018D5"/>
    <w:rsid w:val="00F01B6F"/>
    <w:rsid w:val="00F05F4C"/>
    <w:rsid w:val="00F07C4D"/>
    <w:rsid w:val="00F07C58"/>
    <w:rsid w:val="00F12FB7"/>
    <w:rsid w:val="00F13CB1"/>
    <w:rsid w:val="00F13DFC"/>
    <w:rsid w:val="00F144FD"/>
    <w:rsid w:val="00F2154F"/>
    <w:rsid w:val="00F219D3"/>
    <w:rsid w:val="00F23719"/>
    <w:rsid w:val="00F24596"/>
    <w:rsid w:val="00F24EAD"/>
    <w:rsid w:val="00F25425"/>
    <w:rsid w:val="00F26577"/>
    <w:rsid w:val="00F26D48"/>
    <w:rsid w:val="00F30872"/>
    <w:rsid w:val="00F332C2"/>
    <w:rsid w:val="00F3364E"/>
    <w:rsid w:val="00F33BB2"/>
    <w:rsid w:val="00F35EBE"/>
    <w:rsid w:val="00F36549"/>
    <w:rsid w:val="00F36C6B"/>
    <w:rsid w:val="00F377F2"/>
    <w:rsid w:val="00F40F0A"/>
    <w:rsid w:val="00F413B7"/>
    <w:rsid w:val="00F436A2"/>
    <w:rsid w:val="00F4410C"/>
    <w:rsid w:val="00F44479"/>
    <w:rsid w:val="00F46254"/>
    <w:rsid w:val="00F47408"/>
    <w:rsid w:val="00F47784"/>
    <w:rsid w:val="00F478C0"/>
    <w:rsid w:val="00F47B8F"/>
    <w:rsid w:val="00F50198"/>
    <w:rsid w:val="00F51337"/>
    <w:rsid w:val="00F52CA3"/>
    <w:rsid w:val="00F539C7"/>
    <w:rsid w:val="00F541DA"/>
    <w:rsid w:val="00F56299"/>
    <w:rsid w:val="00F57729"/>
    <w:rsid w:val="00F57C6C"/>
    <w:rsid w:val="00F61912"/>
    <w:rsid w:val="00F64677"/>
    <w:rsid w:val="00F6712A"/>
    <w:rsid w:val="00F712E5"/>
    <w:rsid w:val="00F7199E"/>
    <w:rsid w:val="00F72028"/>
    <w:rsid w:val="00F728D3"/>
    <w:rsid w:val="00F73BB4"/>
    <w:rsid w:val="00F7585F"/>
    <w:rsid w:val="00F76DB6"/>
    <w:rsid w:val="00F7726C"/>
    <w:rsid w:val="00F77897"/>
    <w:rsid w:val="00F80AD1"/>
    <w:rsid w:val="00F825A1"/>
    <w:rsid w:val="00F8297F"/>
    <w:rsid w:val="00F844DA"/>
    <w:rsid w:val="00F84F20"/>
    <w:rsid w:val="00F85A9E"/>
    <w:rsid w:val="00F86962"/>
    <w:rsid w:val="00F86CDD"/>
    <w:rsid w:val="00F901A8"/>
    <w:rsid w:val="00F90B8E"/>
    <w:rsid w:val="00F93C6D"/>
    <w:rsid w:val="00F940CB"/>
    <w:rsid w:val="00F96445"/>
    <w:rsid w:val="00F964FA"/>
    <w:rsid w:val="00F96814"/>
    <w:rsid w:val="00F96924"/>
    <w:rsid w:val="00F97531"/>
    <w:rsid w:val="00F97C5E"/>
    <w:rsid w:val="00FA1092"/>
    <w:rsid w:val="00FA5177"/>
    <w:rsid w:val="00FB00C0"/>
    <w:rsid w:val="00FB27CB"/>
    <w:rsid w:val="00FB3F6A"/>
    <w:rsid w:val="00FB3FC7"/>
    <w:rsid w:val="00FB7D0E"/>
    <w:rsid w:val="00FC214A"/>
    <w:rsid w:val="00FC2DF0"/>
    <w:rsid w:val="00FC4005"/>
    <w:rsid w:val="00FC4F0B"/>
    <w:rsid w:val="00FC4FAE"/>
    <w:rsid w:val="00FC5C15"/>
    <w:rsid w:val="00FD0E57"/>
    <w:rsid w:val="00FD1D79"/>
    <w:rsid w:val="00FD2294"/>
    <w:rsid w:val="00FD40C0"/>
    <w:rsid w:val="00FD4EDF"/>
    <w:rsid w:val="00FD669A"/>
    <w:rsid w:val="00FD69F1"/>
    <w:rsid w:val="00FE0661"/>
    <w:rsid w:val="00FE077E"/>
    <w:rsid w:val="00FE08C9"/>
    <w:rsid w:val="00FE1012"/>
    <w:rsid w:val="00FE22C6"/>
    <w:rsid w:val="00FE3085"/>
    <w:rsid w:val="00FE3423"/>
    <w:rsid w:val="00FE356D"/>
    <w:rsid w:val="00FE64BF"/>
    <w:rsid w:val="00FE6505"/>
    <w:rsid w:val="00FE7CA6"/>
    <w:rsid w:val="00FF2B67"/>
    <w:rsid w:val="00FF497C"/>
    <w:rsid w:val="00FF52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034B"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82034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3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qFormat/>
    <w:rsid w:val="0082034B"/>
    <w:pPr>
      <w:keepNext/>
      <w:spacing w:before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034B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82034B"/>
    <w:rPr>
      <w:rFonts w:ascii="Arial" w:eastAsia="Times New Roman" w:hAnsi="Arial" w:cs="Arial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3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rsid w:val="008203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semiHidden/>
    <w:rsid w:val="008203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8203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82034B"/>
    <w:rPr>
      <w:rFonts w:ascii="Arial" w:hAnsi="Arial" w:cs="Arial"/>
      <w:i/>
      <w:iCs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82034B"/>
    <w:rPr>
      <w:rFonts w:ascii="Arial" w:eastAsia="Times New Roman" w:hAnsi="Arial" w:cs="Arial"/>
      <w:i/>
      <w:iCs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34B"/>
    <w:rPr>
      <w:rFonts w:ascii="Tahoma" w:eastAsia="Times New Roman" w:hAnsi="Tahoma" w:cs="Tahoma"/>
      <w:sz w:val="16"/>
      <w:szCs w:val="16"/>
      <w:lang w:val="en-US"/>
    </w:rPr>
  </w:style>
  <w:style w:type="character" w:styleId="slostrnky">
    <w:name w:val="page number"/>
    <w:basedOn w:val="Standardnpsmoodstavce"/>
    <w:semiHidden/>
    <w:rsid w:val="0082034B"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820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82034B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203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034B"/>
    <w:rPr>
      <w:vertAlign w:val="superscript"/>
    </w:rPr>
  </w:style>
  <w:style w:type="table" w:styleId="Mkatabulky">
    <w:name w:val="Table Grid"/>
    <w:basedOn w:val="Normlntabulka"/>
    <w:uiPriority w:val="59"/>
    <w:rsid w:val="0082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8203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034B"/>
    <w:rPr>
      <w:b/>
      <w:bCs/>
    </w:rPr>
  </w:style>
  <w:style w:type="paragraph" w:customStyle="1" w:styleId="ARNORMAL">
    <w:name w:val="AR NORMAL"/>
    <w:basedOn w:val="Normln"/>
    <w:qFormat/>
    <w:rsid w:val="0082034B"/>
    <w:pPr>
      <w:spacing w:line="276" w:lineRule="auto"/>
    </w:pPr>
    <w:rPr>
      <w:rFonts w:ascii="Arial" w:hAnsi="Arial"/>
      <w:sz w:val="22"/>
    </w:rPr>
  </w:style>
  <w:style w:type="paragraph" w:customStyle="1" w:styleId="perex">
    <w:name w:val="perex"/>
    <w:basedOn w:val="Normln"/>
    <w:rsid w:val="0082034B"/>
    <w:pPr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nhideWhenUsed/>
    <w:rsid w:val="0082034B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820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a">
    <w:name w:val="Odrážka"/>
    <w:basedOn w:val="Normln"/>
    <w:rsid w:val="0082034B"/>
    <w:pPr>
      <w:numPr>
        <w:numId w:val="1"/>
      </w:numPr>
      <w:tabs>
        <w:tab w:val="clear" w:pos="720"/>
        <w:tab w:val="left" w:pos="709"/>
      </w:tabs>
      <w:spacing w:after="60"/>
      <w:ind w:left="737" w:hanging="340"/>
      <w:jc w:val="both"/>
    </w:pPr>
    <w:rPr>
      <w:rFonts w:ascii="Calibri" w:hAnsi="Calibr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rsid w:val="0082034B"/>
    <w:pPr>
      <w:spacing w:after="200"/>
    </w:pPr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34B"/>
    <w:rPr>
      <w:rFonts w:ascii="Calibri" w:eastAsia="Times New Roman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2034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2034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1">
    <w:name w:val="H1"/>
    <w:basedOn w:val="Normln"/>
    <w:next w:val="Normln"/>
    <w:uiPriority w:val="99"/>
    <w:rsid w:val="0082034B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03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2034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03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203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2034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1">
    <w:name w:val="Styl1"/>
    <w:basedOn w:val="Normln"/>
    <w:qFormat/>
    <w:rsid w:val="0082034B"/>
    <w:pPr>
      <w:numPr>
        <w:ilvl w:val="1"/>
        <w:numId w:val="2"/>
      </w:numPr>
    </w:pPr>
    <w:rPr>
      <w:rFonts w:ascii="Garamond" w:hAnsi="Garamond"/>
      <w:b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1DD4"/>
    <w:pPr>
      <w:tabs>
        <w:tab w:val="left" w:pos="440"/>
        <w:tab w:val="right" w:leader="dot" w:pos="9072"/>
      </w:tabs>
      <w:ind w:left="426" w:right="141" w:hanging="426"/>
    </w:pPr>
  </w:style>
  <w:style w:type="character" w:styleId="Odkaznakoment">
    <w:name w:val="annotation reference"/>
    <w:basedOn w:val="Standardnpsmoodstavce"/>
    <w:uiPriority w:val="99"/>
    <w:semiHidden/>
    <w:unhideWhenUsed/>
    <w:rsid w:val="00253EA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A92"/>
    <w:pPr>
      <w:spacing w:after="0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A9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Odstavecseseznamem3">
    <w:name w:val="Odstavec se seznamem3"/>
    <w:basedOn w:val="Normln"/>
    <w:qFormat/>
    <w:rsid w:val="00000C69"/>
    <w:pPr>
      <w:ind w:left="720"/>
      <w:contextualSpacing/>
      <w:jc w:val="both"/>
    </w:pPr>
    <w:rPr>
      <w:szCs w:val="22"/>
    </w:rPr>
  </w:style>
  <w:style w:type="paragraph" w:customStyle="1" w:styleId="Odstavecseseznamem1">
    <w:name w:val="Odstavec se seznamem1"/>
    <w:basedOn w:val="Normln"/>
    <w:qFormat/>
    <w:rsid w:val="004556C5"/>
    <w:pPr>
      <w:ind w:left="720"/>
      <w:contextualSpacing/>
      <w:jc w:val="both"/>
    </w:pPr>
    <w:rPr>
      <w:szCs w:val="22"/>
    </w:rPr>
  </w:style>
  <w:style w:type="paragraph" w:customStyle="1" w:styleId="Odstavecseseznamem2">
    <w:name w:val="Odstavec se seznamem2"/>
    <w:basedOn w:val="Normln"/>
    <w:qFormat/>
    <w:rsid w:val="00DE353D"/>
    <w:pPr>
      <w:ind w:left="720"/>
      <w:contextualSpacing/>
      <w:jc w:val="both"/>
    </w:pPr>
    <w:rPr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81585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0A9D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CF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034B"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82034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3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qFormat/>
    <w:rsid w:val="0082034B"/>
    <w:pPr>
      <w:keepNext/>
      <w:spacing w:before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034B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82034B"/>
    <w:rPr>
      <w:rFonts w:ascii="Arial" w:eastAsia="Times New Roman" w:hAnsi="Arial" w:cs="Arial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3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rsid w:val="008203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semiHidden/>
    <w:rsid w:val="008203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8203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82034B"/>
    <w:rPr>
      <w:rFonts w:ascii="Arial" w:hAnsi="Arial" w:cs="Arial"/>
      <w:i/>
      <w:iCs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82034B"/>
    <w:rPr>
      <w:rFonts w:ascii="Arial" w:eastAsia="Times New Roman" w:hAnsi="Arial" w:cs="Arial"/>
      <w:i/>
      <w:iCs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34B"/>
    <w:rPr>
      <w:rFonts w:ascii="Tahoma" w:eastAsia="Times New Roman" w:hAnsi="Tahoma" w:cs="Tahoma"/>
      <w:sz w:val="16"/>
      <w:szCs w:val="16"/>
      <w:lang w:val="en-US"/>
    </w:rPr>
  </w:style>
  <w:style w:type="character" w:styleId="slostrnky">
    <w:name w:val="page number"/>
    <w:basedOn w:val="Standardnpsmoodstavce"/>
    <w:semiHidden/>
    <w:rsid w:val="0082034B"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820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82034B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203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034B"/>
    <w:rPr>
      <w:vertAlign w:val="superscript"/>
    </w:rPr>
  </w:style>
  <w:style w:type="table" w:styleId="Mkatabulky">
    <w:name w:val="Table Grid"/>
    <w:basedOn w:val="Normlntabulka"/>
    <w:uiPriority w:val="59"/>
    <w:rsid w:val="0082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8203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034B"/>
    <w:rPr>
      <w:b/>
      <w:bCs/>
    </w:rPr>
  </w:style>
  <w:style w:type="paragraph" w:customStyle="1" w:styleId="ARNORMAL">
    <w:name w:val="AR NORMAL"/>
    <w:basedOn w:val="Normln"/>
    <w:qFormat/>
    <w:rsid w:val="0082034B"/>
    <w:pPr>
      <w:spacing w:line="276" w:lineRule="auto"/>
    </w:pPr>
    <w:rPr>
      <w:rFonts w:ascii="Arial" w:hAnsi="Arial"/>
      <w:sz w:val="22"/>
    </w:rPr>
  </w:style>
  <w:style w:type="paragraph" w:customStyle="1" w:styleId="perex">
    <w:name w:val="perex"/>
    <w:basedOn w:val="Normln"/>
    <w:rsid w:val="0082034B"/>
    <w:pPr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nhideWhenUsed/>
    <w:rsid w:val="0082034B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820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a">
    <w:name w:val="Odrážka"/>
    <w:basedOn w:val="Normln"/>
    <w:rsid w:val="0082034B"/>
    <w:pPr>
      <w:numPr>
        <w:numId w:val="1"/>
      </w:numPr>
      <w:tabs>
        <w:tab w:val="clear" w:pos="720"/>
        <w:tab w:val="left" w:pos="709"/>
      </w:tabs>
      <w:spacing w:after="60"/>
      <w:ind w:left="737" w:hanging="340"/>
      <w:jc w:val="both"/>
    </w:pPr>
    <w:rPr>
      <w:rFonts w:ascii="Calibri" w:hAnsi="Calibr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rsid w:val="0082034B"/>
    <w:pPr>
      <w:spacing w:after="200"/>
    </w:pPr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34B"/>
    <w:rPr>
      <w:rFonts w:ascii="Calibri" w:eastAsia="Times New Roman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2034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2034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1">
    <w:name w:val="H1"/>
    <w:basedOn w:val="Normln"/>
    <w:next w:val="Normln"/>
    <w:uiPriority w:val="99"/>
    <w:rsid w:val="0082034B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03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0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2034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03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203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2034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1">
    <w:name w:val="Styl1"/>
    <w:basedOn w:val="Normln"/>
    <w:qFormat/>
    <w:rsid w:val="0082034B"/>
    <w:pPr>
      <w:numPr>
        <w:ilvl w:val="1"/>
        <w:numId w:val="2"/>
      </w:numPr>
    </w:pPr>
    <w:rPr>
      <w:rFonts w:ascii="Garamond" w:hAnsi="Garamond"/>
      <w:b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1DD4"/>
    <w:pPr>
      <w:tabs>
        <w:tab w:val="left" w:pos="440"/>
        <w:tab w:val="right" w:leader="dot" w:pos="9072"/>
      </w:tabs>
      <w:ind w:left="426" w:right="141" w:hanging="426"/>
    </w:pPr>
  </w:style>
  <w:style w:type="character" w:styleId="Odkaznakoment">
    <w:name w:val="annotation reference"/>
    <w:basedOn w:val="Standardnpsmoodstavce"/>
    <w:uiPriority w:val="99"/>
    <w:semiHidden/>
    <w:unhideWhenUsed/>
    <w:rsid w:val="00253EA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A92"/>
    <w:pPr>
      <w:spacing w:after="0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A9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Odstavecseseznamem3">
    <w:name w:val="Odstavec se seznamem3"/>
    <w:basedOn w:val="Normln"/>
    <w:qFormat/>
    <w:rsid w:val="00000C69"/>
    <w:pPr>
      <w:ind w:left="720"/>
      <w:contextualSpacing/>
      <w:jc w:val="both"/>
    </w:pPr>
    <w:rPr>
      <w:szCs w:val="22"/>
    </w:rPr>
  </w:style>
  <w:style w:type="paragraph" w:customStyle="1" w:styleId="Odstavecseseznamem1">
    <w:name w:val="Odstavec se seznamem1"/>
    <w:basedOn w:val="Normln"/>
    <w:qFormat/>
    <w:rsid w:val="004556C5"/>
    <w:pPr>
      <w:ind w:left="720"/>
      <w:contextualSpacing/>
      <w:jc w:val="both"/>
    </w:pPr>
    <w:rPr>
      <w:szCs w:val="22"/>
    </w:rPr>
  </w:style>
  <w:style w:type="paragraph" w:customStyle="1" w:styleId="Odstavecseseznamem2">
    <w:name w:val="Odstavec se seznamem2"/>
    <w:basedOn w:val="Normln"/>
    <w:qFormat/>
    <w:rsid w:val="00DE353D"/>
    <w:pPr>
      <w:ind w:left="720"/>
      <w:contextualSpacing/>
      <w:jc w:val="both"/>
    </w:pPr>
    <w:rPr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81585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0A9D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CF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gri.cz/ssl/web/mze/venkov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3" Type="http://schemas.openxmlformats.org/officeDocument/2006/relationships/customXml" Target="../customXml/item5.xml"/><Relationship Id="rId10" Type="http://schemas.openxmlformats.org/officeDocument/2006/relationships/image" Target="media/image1.jpeg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1\SYKORAP\R&#367;zn&#233;\KZ%2014-40\Graf%20&#269;.%201%20KZ%2014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2\ODBOR%20XII\780%20Jihlava\14_40\KONTROLN&#205;%20Z&#193;V&#282;R\fin&#225;ln&#237;%20do%20Kolegia\Grafy%20KZ%2014_40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'[1]graf 1'!$A$6</c:f>
              <c:strCache>
                <c:ptCount val="1"/>
                <c:pt idx="0">
                  <c:v>VPS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'[1]graf 1'!$B$5:$I$5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'[1]graf 1'!$B$6:$I$6</c:f>
              <c:numCache>
                <c:formatCode>General</c:formatCode>
                <c:ptCount val="8"/>
                <c:pt idx="0">
                  <c:v>662.96400000000006</c:v>
                </c:pt>
                <c:pt idx="1">
                  <c:v>800</c:v>
                </c:pt>
                <c:pt idx="2">
                  <c:v>629.53599999999994</c:v>
                </c:pt>
                <c:pt idx="3">
                  <c:v>699.94600000000003</c:v>
                </c:pt>
                <c:pt idx="4">
                  <c:v>697.11599999999999</c:v>
                </c:pt>
                <c:pt idx="5">
                  <c:v>611.14499999999998</c:v>
                </c:pt>
                <c:pt idx="6">
                  <c:v>699.05399999999997</c:v>
                </c:pt>
                <c:pt idx="7">
                  <c:v>673.673</c:v>
                </c:pt>
              </c:numCache>
            </c:numRef>
          </c:val>
        </c:ser>
        <c:ser>
          <c:idx val="1"/>
          <c:order val="1"/>
          <c:tx>
            <c:v>PF ČR / SPÚ</c:v>
          </c:tx>
          <c:spPr>
            <a:solidFill>
              <a:srgbClr val="C00000"/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'[1]graf 1'!$B$5:$I$5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'[1]graf 1'!$B$7:$I$7</c:f>
              <c:numCache>
                <c:formatCode>General</c:formatCode>
                <c:ptCount val="8"/>
                <c:pt idx="0">
                  <c:v>153.1</c:v>
                </c:pt>
                <c:pt idx="1">
                  <c:v>243.25299999999999</c:v>
                </c:pt>
                <c:pt idx="2">
                  <c:v>217.82400000000001</c:v>
                </c:pt>
                <c:pt idx="3">
                  <c:v>346.05700000000002</c:v>
                </c:pt>
                <c:pt idx="4">
                  <c:v>308.51600000000002</c:v>
                </c:pt>
                <c:pt idx="5">
                  <c:v>373.25799999999998</c:v>
                </c:pt>
                <c:pt idx="6">
                  <c:v>51.116</c:v>
                </c:pt>
                <c:pt idx="7">
                  <c:v>53.320999999999998</c:v>
                </c:pt>
              </c:numCache>
            </c:numRef>
          </c:val>
        </c:ser>
        <c:ser>
          <c:idx val="2"/>
          <c:order val="2"/>
          <c:tx>
            <c:strRef>
              <c:f>'[1]graf 1'!$A$8</c:f>
              <c:strCache>
                <c:ptCount val="1"/>
                <c:pt idx="0">
                  <c:v>PRV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'[1]graf 1'!$B$5:$I$5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'[1]graf 1'!$B$8:$I$8</c:f>
              <c:numCache>
                <c:formatCode>General</c:formatCode>
                <c:ptCount val="8"/>
                <c:pt idx="0">
                  <c:v>0</c:v>
                </c:pt>
                <c:pt idx="1">
                  <c:v>400.17</c:v>
                </c:pt>
                <c:pt idx="2">
                  <c:v>919.04399999999998</c:v>
                </c:pt>
                <c:pt idx="3">
                  <c:v>507.41800000000001</c:v>
                </c:pt>
                <c:pt idx="4">
                  <c:v>436.32799999999997</c:v>
                </c:pt>
                <c:pt idx="5">
                  <c:v>317.19299999999998</c:v>
                </c:pt>
                <c:pt idx="6">
                  <c:v>414.96199999999999</c:v>
                </c:pt>
                <c:pt idx="7">
                  <c:v>1389.6379999999999</c:v>
                </c:pt>
              </c:numCache>
            </c:numRef>
          </c:val>
        </c:ser>
        <c:ser>
          <c:idx val="3"/>
          <c:order val="3"/>
          <c:tx>
            <c:v>Ostatní zdroje</c:v>
          </c:tx>
          <c:spPr>
            <a:solidFill>
              <a:srgbClr val="7030A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13812947553700403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cs-CZ"/>
                      <a:t>1 236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59232469006972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1 625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5923246900697229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1 996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8.441245727261356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1 715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8.057552739658564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1 620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924724184001013E-17"/>
                  <c:y val="-0.1112709664048088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1 574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5.755394814041833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1 172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706947509078645E-3"/>
                  <c:y val="-3.453236888425100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2 117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'[1]graf 1'!$B$5:$I$5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'[1]graf 1'!$B$9:$I$9</c:f>
              <c:numCache>
                <c:formatCode>General</c:formatCode>
                <c:ptCount val="8"/>
                <c:pt idx="0">
                  <c:v>419.99400000000003</c:v>
                </c:pt>
                <c:pt idx="1">
                  <c:v>181.94</c:v>
                </c:pt>
                <c:pt idx="2">
                  <c:v>229.345</c:v>
                </c:pt>
                <c:pt idx="3">
                  <c:v>161.786</c:v>
                </c:pt>
                <c:pt idx="4">
                  <c:v>177.70599999999999</c:v>
                </c:pt>
                <c:pt idx="5">
                  <c:v>273.01100000000002</c:v>
                </c:pt>
                <c:pt idx="6">
                  <c:v>6.9059999999999997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750656"/>
        <c:axId val="143752192"/>
      </c:barChart>
      <c:catAx>
        <c:axId val="14375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752192"/>
        <c:crosses val="autoZero"/>
        <c:auto val="1"/>
        <c:lblAlgn val="ctr"/>
        <c:lblOffset val="100"/>
        <c:noMultiLvlLbl val="0"/>
      </c:catAx>
      <c:valAx>
        <c:axId val="143752192"/>
        <c:scaling>
          <c:orientation val="minMax"/>
          <c:max val="2200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43750656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cs-CZ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[2]List1!$C$2</c:f>
              <c:strCache>
                <c:ptCount val="1"/>
                <c:pt idx="0">
                  <c:v>Počet navržených společných zařízení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[2]List1!$A$3:$A$6</c:f>
              <c:strCache>
                <c:ptCount val="4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</c:strCache>
            </c:strRef>
          </c:cat>
          <c:val>
            <c:numRef>
              <c:f>[2]List1!$C$3:$C$6</c:f>
              <c:numCache>
                <c:formatCode>General</c:formatCode>
                <c:ptCount val="4"/>
                <c:pt idx="0">
                  <c:v>9250</c:v>
                </c:pt>
                <c:pt idx="1">
                  <c:v>1547</c:v>
                </c:pt>
                <c:pt idx="2">
                  <c:v>1956</c:v>
                </c:pt>
                <c:pt idx="3">
                  <c:v>4742</c:v>
                </c:pt>
              </c:numCache>
            </c:numRef>
          </c:val>
        </c:ser>
        <c:ser>
          <c:idx val="1"/>
          <c:order val="1"/>
          <c:tx>
            <c:strRef>
              <c:f>'graf 2'!$D$2</c:f>
              <c:strCache>
                <c:ptCount val="1"/>
                <c:pt idx="0">
                  <c:v>z toho počet společných zařízení, na která byla zpracována realizační projektová dokumentace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3.2881216605014385E-3"/>
                  <c:y val="-4.6278069407990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321824907521579E-3"/>
                  <c:y val="-9.25816564596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45360868115901E-7"/>
                  <c:y val="1.0936132983377078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7.29075532225138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[2]List1!$A$3:$A$6</c:f>
              <c:strCache>
                <c:ptCount val="4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</c:strCache>
            </c:strRef>
          </c:cat>
          <c:val>
            <c:numRef>
              <c:f>[2]List1!$D$3:$D$6</c:f>
              <c:numCache>
                <c:formatCode>General</c:formatCode>
                <c:ptCount val="4"/>
                <c:pt idx="0">
                  <c:v>519</c:v>
                </c:pt>
                <c:pt idx="1">
                  <c:v>85</c:v>
                </c:pt>
                <c:pt idx="2">
                  <c:v>136</c:v>
                </c:pt>
                <c:pt idx="3">
                  <c:v>179</c:v>
                </c:pt>
              </c:numCache>
            </c:numRef>
          </c:val>
        </c:ser>
        <c:ser>
          <c:idx val="2"/>
          <c:order val="2"/>
          <c:tx>
            <c:strRef>
              <c:f>[2]List1!$E$2</c:f>
              <c:strCache>
                <c:ptCount val="1"/>
                <c:pt idx="0">
                  <c:v>z toho počet realizovaných společných zařízení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9728729963008632E-2"/>
                  <c:y val="-9.2570720326625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203041512535959E-3"/>
                  <c:y val="-1.388779527559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96547472256481E-2"/>
                  <c:y val="-4.6289005540974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96547472256474E-2"/>
                  <c:y val="-4.627077865266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[2]List1!$A$3:$A$6</c:f>
              <c:strCache>
                <c:ptCount val="4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</c:strCache>
            </c:strRef>
          </c:cat>
          <c:val>
            <c:numRef>
              <c:f>[2]List1!$E$3:$E$6</c:f>
              <c:numCache>
                <c:formatCode>General</c:formatCode>
                <c:ptCount val="4"/>
                <c:pt idx="0">
                  <c:v>293</c:v>
                </c:pt>
                <c:pt idx="1">
                  <c:v>35</c:v>
                </c:pt>
                <c:pt idx="2">
                  <c:v>66</c:v>
                </c:pt>
                <c:pt idx="3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75616"/>
        <c:axId val="148977152"/>
      </c:barChart>
      <c:catAx>
        <c:axId val="148975616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48977152"/>
        <c:crosses val="autoZero"/>
        <c:auto val="1"/>
        <c:lblAlgn val="ctr"/>
        <c:lblOffset val="100"/>
        <c:noMultiLvlLbl val="0"/>
      </c:catAx>
      <c:valAx>
        <c:axId val="148977152"/>
        <c:scaling>
          <c:orientation val="minMax"/>
          <c:max val="9500"/>
          <c:min val="0"/>
        </c:scaling>
        <c:delete val="0"/>
        <c:axPos val="t"/>
        <c:majorGridlines/>
        <c:numFmt formatCode="#,##0" sourceLinked="0"/>
        <c:majorTickMark val="out"/>
        <c:minorTickMark val="none"/>
        <c:tickLblPos val="nextTo"/>
        <c:crossAx val="14897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211203562563306"/>
          <c:y val="0.25810768445610965"/>
          <c:w val="0.4247354777323612"/>
          <c:h val="0.70137722368037325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E4BB3-02FA-444F-B368-C44787745DA4}"/>
</file>

<file path=customXml/itemProps2.xml><?xml version="1.0" encoding="utf-8"?>
<ds:datastoreItem xmlns:ds="http://schemas.openxmlformats.org/officeDocument/2006/customXml" ds:itemID="{8A8B5F9A-E633-45D7-BF87-BFE0E065F213}"/>
</file>

<file path=customXml/itemProps3.xml><?xml version="1.0" encoding="utf-8"?>
<ds:datastoreItem xmlns:ds="http://schemas.openxmlformats.org/officeDocument/2006/customXml" ds:itemID="{1E90441E-7E96-4774-8844-ADB0F068F687}"/>
</file>

<file path=customXml/itemProps4.xml><?xml version="1.0" encoding="utf-8"?>
<ds:datastoreItem xmlns:ds="http://schemas.openxmlformats.org/officeDocument/2006/customXml" ds:itemID="{38FB9990-C204-4987-9D1F-28F2CD2D1E08}"/>
</file>

<file path=customXml/itemProps5.xml><?xml version="1.0" encoding="utf-8"?>
<ds:datastoreItem xmlns:ds="http://schemas.openxmlformats.org/officeDocument/2006/customXml" ds:itemID="{32B79DA1-523A-4FC0-AF19-60446094AD76}"/>
</file>

<file path=docProps/app.xml><?xml version="1.0" encoding="utf-8"?>
<Properties xmlns="http://schemas.openxmlformats.org/officeDocument/2006/extended-properties" xmlns:vt="http://schemas.openxmlformats.org/officeDocument/2006/docPropsVTypes">
  <Template>A2334AFA.dotm</Template>
  <TotalTime>22</TotalTime>
  <Pages>17</Pages>
  <Words>5651</Words>
  <Characters>33342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14/40</dc:title>
  <dc:creator>PROKOP Pavel</dc:creator>
  <cp:lastModifiedBy>GREŠOVÁ Romana</cp:lastModifiedBy>
  <cp:revision>4</cp:revision>
  <cp:lastPrinted>2015-05-18T12:55:00Z</cp:lastPrinted>
  <dcterms:created xsi:type="dcterms:W3CDTF">2015-05-20T10:34:00Z</dcterms:created>
  <dcterms:modified xsi:type="dcterms:W3CDTF">2015-05-20T12:21:00Z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_DocHome">
    <vt:i4>221515769</vt:i4>
  </property>
  <property fmtid="{D5CDD505-2E9C-101B-9397-08002B2CF9AE}" pid="4" name="ContentTypeId">
    <vt:lpwstr>0x0101002F7A625AE9F5AB4A939F92BCAA7FEC02</vt:lpwstr>
  </property>
</Properties>
</file>