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FE30" w14:textId="77777777" w:rsidR="00111871" w:rsidRPr="00B86FD0" w:rsidRDefault="00111871" w:rsidP="00F64BCE">
      <w:pPr>
        <w:rPr>
          <w:rFonts w:asciiTheme="minorHAnsi" w:hAnsiTheme="minorHAnsi" w:cstheme="minorHAnsi"/>
          <w:b/>
          <w:bCs/>
          <w:szCs w:val="22"/>
        </w:rPr>
      </w:pPr>
      <w:r w:rsidRPr="00B86FD0">
        <w:rPr>
          <w:rFonts w:asciiTheme="minorHAnsi" w:hAnsiTheme="minorHAnsi" w:cstheme="minorHAnsi"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54A010E" wp14:editId="754A010F">
            <wp:simplePos x="0" y="0"/>
            <wp:positionH relativeFrom="column">
              <wp:posOffset>2514600</wp:posOffset>
            </wp:positionH>
            <wp:positionV relativeFrom="paragraph">
              <wp:posOffset>-171450</wp:posOffset>
            </wp:positionV>
            <wp:extent cx="791210" cy="559435"/>
            <wp:effectExtent l="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9FE31" w14:textId="77777777" w:rsidR="00111871" w:rsidRPr="00B86FD0" w:rsidRDefault="00111871" w:rsidP="00F64BCE">
      <w:pPr>
        <w:pStyle w:val="Nzev"/>
        <w:jc w:val="left"/>
        <w:outlineLvl w:val="0"/>
        <w:rPr>
          <w:rFonts w:asciiTheme="minorHAnsi" w:hAnsiTheme="minorHAnsi" w:cstheme="minorHAnsi"/>
          <w:b w:val="0"/>
          <w:szCs w:val="22"/>
        </w:rPr>
      </w:pPr>
    </w:p>
    <w:p w14:paraId="7549FE32" w14:textId="77777777" w:rsidR="00111871" w:rsidRPr="00B86FD0" w:rsidRDefault="00111871" w:rsidP="00F64BCE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14:paraId="7549FE33" w14:textId="77777777" w:rsidR="00111871" w:rsidRPr="00B86FD0" w:rsidRDefault="00111871" w:rsidP="00F64BCE">
      <w:pPr>
        <w:pStyle w:val="Nzev"/>
        <w:outlineLvl w:val="0"/>
        <w:rPr>
          <w:rFonts w:asciiTheme="minorHAnsi" w:hAnsiTheme="minorHAnsi" w:cstheme="minorHAnsi"/>
          <w:sz w:val="28"/>
          <w:szCs w:val="28"/>
        </w:rPr>
      </w:pPr>
    </w:p>
    <w:p w14:paraId="7549FE34" w14:textId="77777777" w:rsidR="00111871" w:rsidRPr="00B86FD0" w:rsidRDefault="00111871" w:rsidP="00F64BCE">
      <w:pPr>
        <w:pStyle w:val="Nzev"/>
        <w:outlineLvl w:val="0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B86FD0">
        <w:rPr>
          <w:rFonts w:asciiTheme="minorHAnsi" w:hAnsiTheme="minorHAnsi" w:cstheme="minorHAnsi"/>
          <w:sz w:val="28"/>
          <w:szCs w:val="28"/>
        </w:rPr>
        <w:t>Kontrolní závěr z kontrolní akce</w:t>
      </w:r>
    </w:p>
    <w:p w14:paraId="7549FE35" w14:textId="77777777" w:rsidR="00111871" w:rsidRPr="00B86FD0" w:rsidRDefault="00111871" w:rsidP="00F64BCE">
      <w:pPr>
        <w:pStyle w:val="Nzev"/>
        <w:outlineLvl w:val="0"/>
        <w:rPr>
          <w:rFonts w:asciiTheme="minorHAnsi" w:hAnsiTheme="minorHAnsi" w:cstheme="minorHAnsi"/>
          <w:sz w:val="28"/>
          <w:szCs w:val="28"/>
        </w:rPr>
      </w:pPr>
    </w:p>
    <w:p w14:paraId="7549FE36" w14:textId="3835265A" w:rsidR="00111871" w:rsidRPr="00B86FD0" w:rsidRDefault="00111871" w:rsidP="00F64BC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6FD0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CB2F3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634251" w:rsidRPr="00B86FD0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CB2F3F">
        <w:rPr>
          <w:rFonts w:asciiTheme="minorHAnsi" w:hAnsiTheme="minorHAnsi" w:cstheme="minorHAnsi"/>
          <w:b/>
          <w:bCs/>
          <w:sz w:val="28"/>
          <w:szCs w:val="28"/>
        </w:rPr>
        <w:t>08</w:t>
      </w:r>
    </w:p>
    <w:p w14:paraId="7549FE37" w14:textId="77777777" w:rsidR="00111871" w:rsidRPr="00B86FD0" w:rsidRDefault="00111871" w:rsidP="00F64BC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549FE39" w14:textId="06091508" w:rsidR="00111871" w:rsidRPr="00B86FD0" w:rsidRDefault="00CB2F3F" w:rsidP="00F64BCE">
      <w:pPr>
        <w:tabs>
          <w:tab w:val="left" w:pos="7988"/>
        </w:tabs>
        <w:jc w:val="center"/>
        <w:rPr>
          <w:rFonts w:asciiTheme="minorHAnsi" w:hAnsiTheme="minorHAnsi" w:cstheme="minorHAnsi"/>
          <w:szCs w:val="22"/>
        </w:rPr>
      </w:pPr>
      <w:r w:rsidRPr="00CB2F3F">
        <w:rPr>
          <w:rFonts w:asciiTheme="minorHAnsi" w:hAnsiTheme="minorHAnsi" w:cstheme="minorHAnsi"/>
          <w:b/>
          <w:bCs/>
          <w:sz w:val="28"/>
          <w:szCs w:val="28"/>
        </w:rPr>
        <w:t>Majetek a peněžní prostředky státu, se kterými jsou příslušné hospodařit vybrané organizační složky státu, jež jsou součástí Hasičského záchranného sboru České republiky</w:t>
      </w:r>
    </w:p>
    <w:bookmarkEnd w:id="0"/>
    <w:p w14:paraId="7549FE3A" w14:textId="77777777" w:rsidR="00111871" w:rsidRDefault="00111871" w:rsidP="00F64BCE">
      <w:pPr>
        <w:tabs>
          <w:tab w:val="left" w:pos="7988"/>
        </w:tabs>
        <w:rPr>
          <w:rFonts w:asciiTheme="minorHAnsi" w:hAnsiTheme="minorHAnsi" w:cstheme="minorHAnsi"/>
          <w:szCs w:val="22"/>
        </w:rPr>
      </w:pPr>
    </w:p>
    <w:p w14:paraId="295497D5" w14:textId="77777777" w:rsidR="00CB2F3F" w:rsidRPr="00B86FD0" w:rsidRDefault="00CB2F3F" w:rsidP="00F64BCE">
      <w:pPr>
        <w:tabs>
          <w:tab w:val="left" w:pos="7988"/>
        </w:tabs>
        <w:rPr>
          <w:rFonts w:asciiTheme="minorHAnsi" w:hAnsiTheme="minorHAnsi" w:cstheme="minorHAnsi"/>
          <w:szCs w:val="22"/>
        </w:rPr>
      </w:pPr>
    </w:p>
    <w:p w14:paraId="7549FE3B" w14:textId="118F708C" w:rsidR="00111871" w:rsidRPr="00B86FD0" w:rsidRDefault="00111871" w:rsidP="00F64BCE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Kontrolní akce byla zařazena do plánu kontrolní činnosti Nejvyššího kontrolního úřadu (dále jen „NKÚ“) na rok 201</w:t>
      </w:r>
      <w:r w:rsidR="00CB2F3F">
        <w:rPr>
          <w:rFonts w:asciiTheme="minorHAnsi" w:hAnsiTheme="minorHAnsi" w:cstheme="minorHAnsi"/>
          <w:sz w:val="24"/>
        </w:rPr>
        <w:t>5</w:t>
      </w:r>
      <w:r w:rsidRPr="00B86FD0">
        <w:rPr>
          <w:rFonts w:asciiTheme="minorHAnsi" w:hAnsiTheme="minorHAnsi" w:cstheme="minorHAnsi"/>
          <w:sz w:val="24"/>
        </w:rPr>
        <w:t xml:space="preserve"> pod číslem 1</w:t>
      </w:r>
      <w:r w:rsidR="00CB2F3F">
        <w:rPr>
          <w:rFonts w:asciiTheme="minorHAnsi" w:hAnsiTheme="minorHAnsi" w:cstheme="minorHAnsi"/>
          <w:sz w:val="24"/>
        </w:rPr>
        <w:t>5</w:t>
      </w:r>
      <w:r w:rsidRPr="00B86FD0">
        <w:rPr>
          <w:rFonts w:asciiTheme="minorHAnsi" w:hAnsiTheme="minorHAnsi" w:cstheme="minorHAnsi"/>
          <w:sz w:val="24"/>
        </w:rPr>
        <w:t>/</w:t>
      </w:r>
      <w:r w:rsidR="00CB2F3F">
        <w:rPr>
          <w:rFonts w:asciiTheme="minorHAnsi" w:hAnsiTheme="minorHAnsi" w:cstheme="minorHAnsi"/>
          <w:sz w:val="24"/>
        </w:rPr>
        <w:t>08</w:t>
      </w:r>
      <w:r w:rsidRPr="00B86FD0">
        <w:rPr>
          <w:rFonts w:asciiTheme="minorHAnsi" w:hAnsiTheme="minorHAnsi" w:cstheme="minorHAnsi"/>
          <w:sz w:val="24"/>
        </w:rPr>
        <w:t xml:space="preserve">. Kontrolní akci řídil a kontrolní závěr vypracoval člen NKÚ Ing. </w:t>
      </w:r>
      <w:r w:rsidR="00CB2F3F">
        <w:rPr>
          <w:rFonts w:asciiTheme="minorHAnsi" w:hAnsiTheme="minorHAnsi" w:cstheme="minorHAnsi"/>
          <w:sz w:val="24"/>
        </w:rPr>
        <w:t>Josef Kubíček</w:t>
      </w:r>
      <w:r w:rsidRPr="00B86FD0">
        <w:rPr>
          <w:rFonts w:asciiTheme="minorHAnsi" w:hAnsiTheme="minorHAnsi" w:cstheme="minorHAnsi"/>
          <w:sz w:val="24"/>
        </w:rPr>
        <w:t>.</w:t>
      </w:r>
    </w:p>
    <w:p w14:paraId="7549FE3C" w14:textId="77777777" w:rsidR="00111871" w:rsidRPr="00B86FD0" w:rsidRDefault="00111871" w:rsidP="00F64BCE">
      <w:pPr>
        <w:rPr>
          <w:rFonts w:asciiTheme="minorHAnsi" w:hAnsiTheme="minorHAnsi" w:cstheme="minorHAnsi"/>
          <w:sz w:val="24"/>
        </w:rPr>
      </w:pPr>
    </w:p>
    <w:p w14:paraId="7549FE3D" w14:textId="09071CB4" w:rsidR="00111871" w:rsidRPr="00B86FD0" w:rsidRDefault="00111871" w:rsidP="00F64BCE">
      <w:pPr>
        <w:tabs>
          <w:tab w:val="left" w:pos="2240"/>
        </w:tabs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Cílem kontroly bylo prověřit</w:t>
      </w:r>
      <w:r w:rsidR="00C15DDE" w:rsidRPr="00C15DDE">
        <w:rPr>
          <w:rFonts w:asciiTheme="minorHAnsi" w:hAnsiTheme="minorHAnsi" w:cstheme="minorHAnsi"/>
          <w:sz w:val="24"/>
        </w:rPr>
        <w:t xml:space="preserve"> </w:t>
      </w:r>
      <w:r w:rsidR="00C15DDE" w:rsidRPr="00CB2F3F">
        <w:rPr>
          <w:rFonts w:asciiTheme="minorHAnsi" w:hAnsiTheme="minorHAnsi" w:cstheme="minorHAnsi"/>
          <w:sz w:val="24"/>
        </w:rPr>
        <w:t xml:space="preserve">hospodaření </w:t>
      </w:r>
      <w:r w:rsidR="00AF3C8F">
        <w:rPr>
          <w:rFonts w:asciiTheme="minorHAnsi" w:hAnsiTheme="minorHAnsi" w:cstheme="minorHAnsi"/>
          <w:sz w:val="24"/>
        </w:rPr>
        <w:t>s </w:t>
      </w:r>
      <w:r w:rsidR="00C15DDE" w:rsidRPr="00CB2F3F">
        <w:rPr>
          <w:rFonts w:asciiTheme="minorHAnsi" w:hAnsiTheme="minorHAnsi" w:cstheme="minorHAnsi"/>
          <w:sz w:val="24"/>
        </w:rPr>
        <w:t>majetkem a peněžními prostředky státu, se kterými jsou příslušné hospodařit vybrané organizační složky státu, jež jsou součástí Hasičského záchranného sboru České republiky.</w:t>
      </w:r>
      <w:r w:rsidRPr="00B86FD0">
        <w:rPr>
          <w:rFonts w:asciiTheme="minorHAnsi" w:hAnsiTheme="minorHAnsi" w:cstheme="minorHAnsi"/>
          <w:sz w:val="24"/>
        </w:rPr>
        <w:t xml:space="preserve"> </w:t>
      </w:r>
    </w:p>
    <w:p w14:paraId="7549FE3E" w14:textId="77777777" w:rsidR="00111871" w:rsidRPr="00B86FD0" w:rsidRDefault="00111871" w:rsidP="00F64BCE">
      <w:pPr>
        <w:rPr>
          <w:rFonts w:asciiTheme="minorHAnsi" w:hAnsiTheme="minorHAnsi" w:cstheme="minorHAnsi"/>
          <w:sz w:val="24"/>
        </w:rPr>
      </w:pPr>
    </w:p>
    <w:p w14:paraId="7549FE3F" w14:textId="0964068C" w:rsidR="00111871" w:rsidRPr="00B86FD0" w:rsidRDefault="00111871" w:rsidP="00F64BCE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 xml:space="preserve">Kontrola byla prováděna </w:t>
      </w:r>
      <w:r w:rsidR="0040693B">
        <w:rPr>
          <w:rFonts w:asciiTheme="minorHAnsi" w:hAnsiTheme="minorHAnsi" w:cstheme="minorHAnsi"/>
          <w:sz w:val="24"/>
        </w:rPr>
        <w:t xml:space="preserve">u kontrolovaných osob </w:t>
      </w:r>
      <w:r w:rsidRPr="00B86FD0">
        <w:rPr>
          <w:rFonts w:asciiTheme="minorHAnsi" w:hAnsiTheme="minorHAnsi" w:cstheme="minorHAnsi"/>
          <w:sz w:val="24"/>
        </w:rPr>
        <w:t>v </w:t>
      </w:r>
      <w:r w:rsidR="007C3F4F" w:rsidRPr="00B86FD0">
        <w:rPr>
          <w:rFonts w:asciiTheme="minorHAnsi" w:hAnsiTheme="minorHAnsi" w:cstheme="minorHAnsi"/>
          <w:sz w:val="24"/>
        </w:rPr>
        <w:t>období</w:t>
      </w:r>
      <w:r w:rsidRPr="00B86FD0">
        <w:rPr>
          <w:rFonts w:asciiTheme="minorHAnsi" w:hAnsiTheme="minorHAnsi" w:cstheme="minorHAnsi"/>
          <w:sz w:val="24"/>
        </w:rPr>
        <w:t xml:space="preserve"> od </w:t>
      </w:r>
      <w:r w:rsidR="00CB2F3F">
        <w:rPr>
          <w:rFonts w:asciiTheme="minorHAnsi" w:hAnsiTheme="minorHAnsi" w:cstheme="minorHAnsi"/>
          <w:sz w:val="24"/>
        </w:rPr>
        <w:t>března</w:t>
      </w:r>
      <w:r w:rsidRPr="00B86FD0">
        <w:rPr>
          <w:rFonts w:asciiTheme="minorHAnsi" w:hAnsiTheme="minorHAnsi" w:cstheme="minorHAnsi"/>
          <w:sz w:val="24"/>
        </w:rPr>
        <w:t xml:space="preserve"> do </w:t>
      </w:r>
      <w:r w:rsidR="00CB2F3F">
        <w:rPr>
          <w:rFonts w:asciiTheme="minorHAnsi" w:hAnsiTheme="minorHAnsi" w:cstheme="minorHAnsi"/>
          <w:sz w:val="24"/>
        </w:rPr>
        <w:t>září</w:t>
      </w:r>
      <w:r w:rsidRPr="00B86FD0">
        <w:rPr>
          <w:rFonts w:asciiTheme="minorHAnsi" w:hAnsiTheme="minorHAnsi" w:cstheme="minorHAnsi"/>
          <w:sz w:val="24"/>
        </w:rPr>
        <w:t xml:space="preserve"> </w:t>
      </w:r>
      <w:r w:rsidR="00FA20B9" w:rsidRPr="00B86FD0">
        <w:rPr>
          <w:rFonts w:asciiTheme="minorHAnsi" w:hAnsiTheme="minorHAnsi" w:cstheme="minorHAnsi"/>
          <w:sz w:val="24"/>
        </w:rPr>
        <w:t xml:space="preserve">roku </w:t>
      </w:r>
      <w:r w:rsidRPr="00B86FD0">
        <w:rPr>
          <w:rFonts w:asciiTheme="minorHAnsi" w:hAnsiTheme="minorHAnsi" w:cstheme="minorHAnsi"/>
          <w:sz w:val="24"/>
        </w:rPr>
        <w:t>201</w:t>
      </w:r>
      <w:r w:rsidR="00CB2F3F">
        <w:rPr>
          <w:rFonts w:asciiTheme="minorHAnsi" w:hAnsiTheme="minorHAnsi" w:cstheme="minorHAnsi"/>
          <w:sz w:val="24"/>
        </w:rPr>
        <w:t>5</w:t>
      </w:r>
      <w:r w:rsidRPr="00B86FD0">
        <w:rPr>
          <w:rFonts w:asciiTheme="minorHAnsi" w:hAnsiTheme="minorHAnsi" w:cstheme="minorHAnsi"/>
          <w:sz w:val="24"/>
        </w:rPr>
        <w:t xml:space="preserve">. Kontrolovaným obdobím </w:t>
      </w:r>
      <w:r w:rsidR="00CB2F3F" w:rsidRPr="00CB2F3F">
        <w:rPr>
          <w:rFonts w:asciiTheme="minorHAnsi" w:hAnsiTheme="minorHAnsi" w:cstheme="minorHAnsi"/>
          <w:sz w:val="24"/>
        </w:rPr>
        <w:t>byly roky 2013 a 2014</w:t>
      </w:r>
      <w:r w:rsidR="00CB2F3F">
        <w:rPr>
          <w:rFonts w:asciiTheme="minorHAnsi" w:hAnsiTheme="minorHAnsi" w:cstheme="minorHAnsi"/>
          <w:sz w:val="24"/>
        </w:rPr>
        <w:t>,</w:t>
      </w:r>
      <w:r w:rsidR="00CB2F3F" w:rsidRPr="00CB2F3F">
        <w:rPr>
          <w:rFonts w:asciiTheme="minorHAnsi" w:hAnsiTheme="minorHAnsi" w:cstheme="minorHAnsi"/>
          <w:sz w:val="24"/>
        </w:rPr>
        <w:t xml:space="preserve"> </w:t>
      </w:r>
      <w:r w:rsidR="00AF3C8F">
        <w:rPr>
          <w:rFonts w:asciiTheme="minorHAnsi" w:hAnsiTheme="minorHAnsi" w:cstheme="minorHAnsi"/>
          <w:sz w:val="24"/>
        </w:rPr>
        <w:t>v </w:t>
      </w:r>
      <w:r w:rsidR="00CB2F3F" w:rsidRPr="00CB2F3F">
        <w:rPr>
          <w:rFonts w:asciiTheme="minorHAnsi" w:hAnsiTheme="minorHAnsi" w:cstheme="minorHAnsi"/>
          <w:sz w:val="24"/>
        </w:rPr>
        <w:t>případě věcných souvislostí i období předcházející a následující.</w:t>
      </w:r>
      <w:r w:rsidRPr="00B86FD0">
        <w:rPr>
          <w:rFonts w:asciiTheme="minorHAnsi" w:hAnsiTheme="minorHAnsi" w:cstheme="minorHAnsi"/>
          <w:sz w:val="24"/>
        </w:rPr>
        <w:t xml:space="preserve"> </w:t>
      </w:r>
    </w:p>
    <w:p w14:paraId="7549FE40" w14:textId="77777777" w:rsidR="00111871" w:rsidRDefault="00111871" w:rsidP="00F64BCE">
      <w:pPr>
        <w:rPr>
          <w:rFonts w:asciiTheme="minorHAnsi" w:hAnsiTheme="minorHAnsi" w:cstheme="minorHAnsi"/>
          <w:sz w:val="24"/>
        </w:rPr>
      </w:pPr>
    </w:p>
    <w:p w14:paraId="7549FE41" w14:textId="77777777" w:rsidR="00111871" w:rsidRPr="00B86FD0" w:rsidRDefault="00111871" w:rsidP="00F64BCE">
      <w:pPr>
        <w:pStyle w:val="Zkladntext"/>
        <w:rPr>
          <w:rFonts w:asciiTheme="minorHAnsi" w:hAnsiTheme="minorHAnsi" w:cstheme="minorHAnsi"/>
          <w:sz w:val="24"/>
          <w:szCs w:val="24"/>
          <w:lang w:eastAsia="en-US"/>
        </w:rPr>
      </w:pPr>
      <w:r w:rsidRPr="00B86FD0">
        <w:rPr>
          <w:rFonts w:asciiTheme="minorHAnsi" w:hAnsiTheme="minorHAnsi" w:cstheme="minorHAnsi"/>
          <w:sz w:val="24"/>
          <w:szCs w:val="24"/>
          <w:lang w:eastAsia="en-US"/>
        </w:rPr>
        <w:t>Kontrolované osoby:</w:t>
      </w:r>
    </w:p>
    <w:p w14:paraId="1810FBED" w14:textId="0A911BF6" w:rsidR="00CB2F3F" w:rsidRPr="00CB2F3F" w:rsidRDefault="00CB2F3F" w:rsidP="00F64BCE">
      <w:pPr>
        <w:rPr>
          <w:rFonts w:asciiTheme="minorHAnsi" w:hAnsiTheme="minorHAnsi" w:cstheme="minorHAnsi"/>
          <w:sz w:val="24"/>
        </w:rPr>
      </w:pPr>
      <w:r w:rsidRPr="00CB2F3F">
        <w:rPr>
          <w:rFonts w:asciiTheme="minorHAnsi" w:hAnsiTheme="minorHAnsi" w:cstheme="minorHAnsi"/>
          <w:sz w:val="24"/>
        </w:rPr>
        <w:t>Ministerstvo vnitra</w:t>
      </w:r>
      <w:r w:rsidR="00C15DDE">
        <w:rPr>
          <w:rFonts w:asciiTheme="minorHAnsi" w:hAnsiTheme="minorHAnsi" w:cstheme="minorHAnsi"/>
          <w:sz w:val="24"/>
        </w:rPr>
        <w:t>;</w:t>
      </w:r>
      <w:r w:rsidRPr="00CB2F3F">
        <w:rPr>
          <w:rFonts w:asciiTheme="minorHAnsi" w:hAnsiTheme="minorHAnsi" w:cstheme="minorHAnsi"/>
          <w:sz w:val="24"/>
        </w:rPr>
        <w:t xml:space="preserve"> </w:t>
      </w:r>
    </w:p>
    <w:p w14:paraId="5E9D606E" w14:textId="04513B7C" w:rsidR="00CB2F3F" w:rsidRPr="00CB2F3F" w:rsidRDefault="00CB2F3F" w:rsidP="00F64BCE">
      <w:pPr>
        <w:rPr>
          <w:rFonts w:asciiTheme="minorHAnsi" w:hAnsiTheme="minorHAnsi" w:cstheme="minorHAnsi"/>
          <w:sz w:val="24"/>
        </w:rPr>
      </w:pPr>
      <w:r w:rsidRPr="00CB2F3F">
        <w:rPr>
          <w:rFonts w:asciiTheme="minorHAnsi" w:hAnsiTheme="minorHAnsi" w:cstheme="minorHAnsi"/>
          <w:sz w:val="24"/>
        </w:rPr>
        <w:t>Hasičský záchranný sbor hlavního města Prahy</w:t>
      </w:r>
      <w:r w:rsidR="00C15DDE">
        <w:rPr>
          <w:rFonts w:asciiTheme="minorHAnsi" w:hAnsiTheme="minorHAnsi" w:cstheme="minorHAnsi"/>
          <w:sz w:val="24"/>
        </w:rPr>
        <w:t>, Praha;</w:t>
      </w:r>
      <w:r w:rsidRPr="00CB2F3F">
        <w:rPr>
          <w:rFonts w:asciiTheme="minorHAnsi" w:hAnsiTheme="minorHAnsi" w:cstheme="minorHAnsi"/>
          <w:sz w:val="24"/>
        </w:rPr>
        <w:t xml:space="preserve"> </w:t>
      </w:r>
    </w:p>
    <w:p w14:paraId="568931AE" w14:textId="3B63C742" w:rsidR="00CB2F3F" w:rsidRPr="00CB2F3F" w:rsidRDefault="00CB2F3F" w:rsidP="00F64BCE">
      <w:pPr>
        <w:rPr>
          <w:rFonts w:asciiTheme="minorHAnsi" w:hAnsiTheme="minorHAnsi" w:cstheme="minorHAnsi"/>
          <w:sz w:val="24"/>
        </w:rPr>
      </w:pPr>
      <w:r w:rsidRPr="00CB2F3F">
        <w:rPr>
          <w:rFonts w:asciiTheme="minorHAnsi" w:hAnsiTheme="minorHAnsi" w:cstheme="minorHAnsi"/>
          <w:sz w:val="24"/>
        </w:rPr>
        <w:t>Hasičský záchranný sbor Jihomoravského kraje</w:t>
      </w:r>
      <w:r w:rsidR="00C15DDE">
        <w:rPr>
          <w:rFonts w:asciiTheme="minorHAnsi" w:hAnsiTheme="minorHAnsi" w:cstheme="minorHAnsi"/>
          <w:sz w:val="24"/>
        </w:rPr>
        <w:t>, Brno;</w:t>
      </w:r>
      <w:r w:rsidRPr="00CB2F3F">
        <w:rPr>
          <w:rFonts w:asciiTheme="minorHAnsi" w:hAnsiTheme="minorHAnsi" w:cstheme="minorHAnsi"/>
          <w:sz w:val="24"/>
        </w:rPr>
        <w:t xml:space="preserve"> </w:t>
      </w:r>
    </w:p>
    <w:p w14:paraId="6843B241" w14:textId="7DE00631" w:rsidR="00CB2F3F" w:rsidRPr="00CB2F3F" w:rsidRDefault="00CB2F3F" w:rsidP="00F64BCE">
      <w:pPr>
        <w:rPr>
          <w:rFonts w:asciiTheme="minorHAnsi" w:hAnsiTheme="minorHAnsi" w:cstheme="minorHAnsi"/>
          <w:sz w:val="24"/>
        </w:rPr>
      </w:pPr>
      <w:r w:rsidRPr="00CB2F3F">
        <w:rPr>
          <w:rFonts w:asciiTheme="minorHAnsi" w:hAnsiTheme="minorHAnsi" w:cstheme="minorHAnsi"/>
          <w:sz w:val="24"/>
        </w:rPr>
        <w:t>Hasičský záchranný sbor Libereckého kraje</w:t>
      </w:r>
      <w:r w:rsidR="00C15DDE">
        <w:rPr>
          <w:rFonts w:asciiTheme="minorHAnsi" w:hAnsiTheme="minorHAnsi" w:cstheme="minorHAnsi"/>
          <w:sz w:val="24"/>
        </w:rPr>
        <w:t>, Liberec;</w:t>
      </w:r>
      <w:r w:rsidRPr="00CB2F3F">
        <w:rPr>
          <w:rFonts w:asciiTheme="minorHAnsi" w:hAnsiTheme="minorHAnsi" w:cstheme="minorHAnsi"/>
          <w:sz w:val="24"/>
        </w:rPr>
        <w:t xml:space="preserve"> </w:t>
      </w:r>
    </w:p>
    <w:p w14:paraId="081A63D9" w14:textId="165A7020" w:rsidR="00CB2F3F" w:rsidRPr="00CB2F3F" w:rsidRDefault="00CB2F3F" w:rsidP="00F64BCE">
      <w:pPr>
        <w:rPr>
          <w:rFonts w:asciiTheme="minorHAnsi" w:hAnsiTheme="minorHAnsi" w:cstheme="minorHAnsi"/>
          <w:sz w:val="24"/>
        </w:rPr>
      </w:pPr>
      <w:r w:rsidRPr="00CB2F3F">
        <w:rPr>
          <w:rFonts w:asciiTheme="minorHAnsi" w:hAnsiTheme="minorHAnsi" w:cstheme="minorHAnsi"/>
          <w:sz w:val="24"/>
        </w:rPr>
        <w:t>Hasičský záchranný sbor Pardubického kraje</w:t>
      </w:r>
      <w:r w:rsidR="00C15DDE">
        <w:rPr>
          <w:rFonts w:asciiTheme="minorHAnsi" w:hAnsiTheme="minorHAnsi" w:cstheme="minorHAnsi"/>
          <w:sz w:val="24"/>
        </w:rPr>
        <w:t>, Pardubice;</w:t>
      </w:r>
      <w:r w:rsidRPr="00CB2F3F">
        <w:rPr>
          <w:rFonts w:asciiTheme="minorHAnsi" w:hAnsiTheme="minorHAnsi" w:cstheme="minorHAnsi"/>
          <w:sz w:val="24"/>
        </w:rPr>
        <w:t xml:space="preserve"> </w:t>
      </w:r>
    </w:p>
    <w:p w14:paraId="7549FE45" w14:textId="1AF56429" w:rsidR="00DE4174" w:rsidRPr="00CB2F3F" w:rsidRDefault="00CB2F3F" w:rsidP="00F64BCE">
      <w:pPr>
        <w:rPr>
          <w:rFonts w:asciiTheme="minorHAnsi" w:hAnsiTheme="minorHAnsi" w:cstheme="minorHAnsi"/>
          <w:sz w:val="24"/>
        </w:rPr>
      </w:pPr>
      <w:r w:rsidRPr="00CB2F3F">
        <w:rPr>
          <w:rFonts w:asciiTheme="minorHAnsi" w:hAnsiTheme="minorHAnsi" w:cstheme="minorHAnsi"/>
          <w:sz w:val="24"/>
        </w:rPr>
        <w:t xml:space="preserve">Záchranný útvar </w:t>
      </w:r>
      <w:r w:rsidR="00F01C43">
        <w:rPr>
          <w:rFonts w:asciiTheme="minorHAnsi" w:hAnsiTheme="minorHAnsi" w:cstheme="minorHAnsi"/>
          <w:sz w:val="24"/>
        </w:rPr>
        <w:t>HZS ČR</w:t>
      </w:r>
      <w:r w:rsidR="00C15DDE">
        <w:rPr>
          <w:rFonts w:asciiTheme="minorHAnsi" w:hAnsiTheme="minorHAnsi" w:cstheme="minorHAnsi"/>
          <w:sz w:val="24"/>
        </w:rPr>
        <w:t>, Hlučín</w:t>
      </w:r>
      <w:r w:rsidRPr="00CB2F3F">
        <w:rPr>
          <w:rFonts w:asciiTheme="minorHAnsi" w:hAnsiTheme="minorHAnsi" w:cstheme="minorHAnsi"/>
          <w:sz w:val="24"/>
        </w:rPr>
        <w:t>.</w:t>
      </w:r>
    </w:p>
    <w:p w14:paraId="669070C4" w14:textId="77777777" w:rsidR="00CB2F3F" w:rsidRDefault="00CB2F3F" w:rsidP="00F64BCE">
      <w:pPr>
        <w:rPr>
          <w:rFonts w:asciiTheme="minorHAnsi" w:hAnsiTheme="minorHAnsi" w:cstheme="minorHAnsi"/>
          <w:sz w:val="24"/>
        </w:rPr>
      </w:pPr>
    </w:p>
    <w:p w14:paraId="2F55E0FA" w14:textId="2BEE1F32" w:rsidR="002D4DC7" w:rsidRDefault="00111871" w:rsidP="00F64BCE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t>Námitky, které proti kontrolnímu protokolu podal</w:t>
      </w:r>
      <w:r w:rsidR="00390BB9">
        <w:rPr>
          <w:rFonts w:asciiTheme="minorHAnsi" w:hAnsiTheme="minorHAnsi" w:cstheme="minorHAnsi"/>
          <w:sz w:val="24"/>
        </w:rPr>
        <w:t xml:space="preserve"> </w:t>
      </w:r>
      <w:r w:rsidR="00C15DDE" w:rsidRPr="00CB2F3F">
        <w:rPr>
          <w:rFonts w:asciiTheme="minorHAnsi" w:hAnsiTheme="minorHAnsi" w:cstheme="minorHAnsi"/>
          <w:sz w:val="24"/>
        </w:rPr>
        <w:t>Hasičský záchranný sbor hlavního města Prahy</w:t>
      </w:r>
      <w:r w:rsidR="00C15DDE">
        <w:rPr>
          <w:rFonts w:asciiTheme="minorHAnsi" w:hAnsiTheme="minorHAnsi" w:cstheme="minorHAnsi"/>
          <w:sz w:val="24"/>
        </w:rPr>
        <w:t xml:space="preserve">, </w:t>
      </w:r>
      <w:r w:rsidR="00C15DDE" w:rsidRPr="00CB2F3F">
        <w:rPr>
          <w:rFonts w:asciiTheme="minorHAnsi" w:hAnsiTheme="minorHAnsi" w:cstheme="minorHAnsi"/>
          <w:sz w:val="24"/>
        </w:rPr>
        <w:t xml:space="preserve">Hasičský </w:t>
      </w:r>
      <w:r w:rsidR="00C15DDE">
        <w:rPr>
          <w:rFonts w:asciiTheme="minorHAnsi" w:hAnsiTheme="minorHAnsi" w:cstheme="minorHAnsi"/>
          <w:sz w:val="24"/>
        </w:rPr>
        <w:t xml:space="preserve">záchranný sbor Libereckého kraje a </w:t>
      </w:r>
      <w:r w:rsidR="00C15DDE" w:rsidRPr="00CB2F3F">
        <w:rPr>
          <w:rFonts w:asciiTheme="minorHAnsi" w:hAnsiTheme="minorHAnsi" w:cstheme="minorHAnsi"/>
          <w:sz w:val="24"/>
        </w:rPr>
        <w:t>Hasičský záchranný sbor Pardubického kraje</w:t>
      </w:r>
      <w:r w:rsidR="00BB4703">
        <w:rPr>
          <w:rFonts w:asciiTheme="minorHAnsi" w:hAnsiTheme="minorHAnsi" w:cstheme="minorHAnsi"/>
          <w:sz w:val="24"/>
        </w:rPr>
        <w:t>,</w:t>
      </w:r>
      <w:r w:rsidR="00C15DDE" w:rsidRPr="00B86FD0">
        <w:rPr>
          <w:rFonts w:asciiTheme="minorHAnsi" w:hAnsiTheme="minorHAnsi" w:cstheme="minorHAnsi"/>
          <w:sz w:val="24"/>
        </w:rPr>
        <w:t xml:space="preserve"> </w:t>
      </w:r>
      <w:r w:rsidRPr="00B86FD0">
        <w:rPr>
          <w:rFonts w:asciiTheme="minorHAnsi" w:hAnsiTheme="minorHAnsi" w:cstheme="minorHAnsi"/>
          <w:sz w:val="24"/>
        </w:rPr>
        <w:t>byly vypořádány vedoucím</w:t>
      </w:r>
      <w:r w:rsidR="00C15DDE">
        <w:rPr>
          <w:rFonts w:asciiTheme="minorHAnsi" w:hAnsiTheme="minorHAnsi" w:cstheme="minorHAnsi"/>
          <w:sz w:val="24"/>
        </w:rPr>
        <w:t>i</w:t>
      </w:r>
      <w:r w:rsidRPr="00B86FD0">
        <w:rPr>
          <w:rFonts w:asciiTheme="minorHAnsi" w:hAnsiTheme="minorHAnsi" w:cstheme="minorHAnsi"/>
          <w:sz w:val="24"/>
        </w:rPr>
        <w:t xml:space="preserve"> skupin kontrolujících rozhodnutím</w:t>
      </w:r>
      <w:r w:rsidR="00BB4703">
        <w:rPr>
          <w:rFonts w:asciiTheme="minorHAnsi" w:hAnsiTheme="minorHAnsi" w:cstheme="minorHAnsi"/>
          <w:sz w:val="24"/>
        </w:rPr>
        <w:t>i</w:t>
      </w:r>
      <w:r w:rsidRPr="00B86FD0">
        <w:rPr>
          <w:rFonts w:asciiTheme="minorHAnsi" w:hAnsiTheme="minorHAnsi" w:cstheme="minorHAnsi"/>
          <w:sz w:val="24"/>
        </w:rPr>
        <w:t xml:space="preserve"> o námitkách. </w:t>
      </w:r>
    </w:p>
    <w:p w14:paraId="152701DA" w14:textId="1E9FA8A6" w:rsidR="00390BB9" w:rsidRPr="00B86FD0" w:rsidRDefault="00390BB9" w:rsidP="00F64BCE">
      <w:pPr>
        <w:rPr>
          <w:rFonts w:asciiTheme="minorHAnsi" w:hAnsiTheme="minorHAnsi" w:cstheme="minorHAnsi"/>
          <w:sz w:val="24"/>
        </w:rPr>
      </w:pPr>
      <w:r w:rsidRPr="002D4DC7">
        <w:rPr>
          <w:rFonts w:asciiTheme="minorHAnsi" w:hAnsiTheme="minorHAnsi" w:cstheme="minorHAnsi"/>
          <w:sz w:val="24"/>
        </w:rPr>
        <w:t>Odvolání</w:t>
      </w:r>
      <w:r w:rsidR="00BB4703">
        <w:rPr>
          <w:rFonts w:asciiTheme="minorHAnsi" w:hAnsiTheme="minorHAnsi" w:cstheme="minorHAnsi"/>
          <w:sz w:val="24"/>
        </w:rPr>
        <w:t>,</w:t>
      </w:r>
      <w:r w:rsidRPr="002D4DC7">
        <w:rPr>
          <w:rFonts w:asciiTheme="minorHAnsi" w:hAnsiTheme="minorHAnsi" w:cstheme="minorHAnsi"/>
          <w:sz w:val="24"/>
        </w:rPr>
        <w:t xml:space="preserve"> </w:t>
      </w:r>
      <w:r w:rsidR="00BB4703" w:rsidRPr="002D4DC7">
        <w:rPr>
          <w:rFonts w:asciiTheme="minorHAnsi" w:hAnsiTheme="minorHAnsi" w:cstheme="minorHAnsi"/>
          <w:sz w:val="24"/>
        </w:rPr>
        <w:t xml:space="preserve">které </w:t>
      </w:r>
      <w:r w:rsidRPr="002D4DC7">
        <w:rPr>
          <w:rFonts w:asciiTheme="minorHAnsi" w:hAnsiTheme="minorHAnsi" w:cstheme="minorHAnsi"/>
          <w:sz w:val="24"/>
        </w:rPr>
        <w:t xml:space="preserve">proti rozhodnutí o námitkách </w:t>
      </w:r>
      <w:r w:rsidR="002D4DC7">
        <w:rPr>
          <w:rFonts w:asciiTheme="minorHAnsi" w:hAnsiTheme="minorHAnsi" w:cstheme="minorHAnsi"/>
          <w:sz w:val="24"/>
        </w:rPr>
        <w:t xml:space="preserve">podal </w:t>
      </w:r>
      <w:r w:rsidR="002D4DC7" w:rsidRPr="00CB2F3F">
        <w:rPr>
          <w:rFonts w:asciiTheme="minorHAnsi" w:hAnsiTheme="minorHAnsi" w:cstheme="minorHAnsi"/>
          <w:sz w:val="24"/>
        </w:rPr>
        <w:t>Hasičský záchranný sbor Pardubického kraje</w:t>
      </w:r>
      <w:r w:rsidR="001A7626">
        <w:rPr>
          <w:rFonts w:asciiTheme="minorHAnsi" w:hAnsiTheme="minorHAnsi" w:cstheme="minorHAnsi"/>
          <w:sz w:val="24"/>
        </w:rPr>
        <w:t>,</w:t>
      </w:r>
      <w:r w:rsidR="00AE57C8">
        <w:rPr>
          <w:rFonts w:asciiTheme="minorHAnsi" w:hAnsiTheme="minorHAnsi" w:cstheme="minorHAnsi"/>
          <w:sz w:val="24"/>
        </w:rPr>
        <w:t xml:space="preserve"> </w:t>
      </w:r>
      <w:r w:rsidRPr="002D4DC7">
        <w:rPr>
          <w:rFonts w:asciiTheme="minorHAnsi" w:hAnsiTheme="minorHAnsi" w:cstheme="minorHAnsi"/>
          <w:sz w:val="24"/>
        </w:rPr>
        <w:t>byl</w:t>
      </w:r>
      <w:r w:rsidR="00F24B41">
        <w:rPr>
          <w:rFonts w:asciiTheme="minorHAnsi" w:hAnsiTheme="minorHAnsi" w:cstheme="minorHAnsi"/>
          <w:sz w:val="24"/>
        </w:rPr>
        <w:t>o</w:t>
      </w:r>
      <w:r w:rsidRPr="002D4DC7">
        <w:rPr>
          <w:rFonts w:asciiTheme="minorHAnsi" w:hAnsiTheme="minorHAnsi" w:cstheme="minorHAnsi"/>
          <w:sz w:val="24"/>
        </w:rPr>
        <w:t xml:space="preserve"> vypořádán</w:t>
      </w:r>
      <w:r w:rsidR="00F24B41">
        <w:rPr>
          <w:rFonts w:asciiTheme="minorHAnsi" w:hAnsiTheme="minorHAnsi" w:cstheme="minorHAnsi"/>
          <w:sz w:val="24"/>
        </w:rPr>
        <w:t>o</w:t>
      </w:r>
      <w:r w:rsidRPr="002D4DC7">
        <w:rPr>
          <w:rFonts w:asciiTheme="minorHAnsi" w:hAnsiTheme="minorHAnsi" w:cstheme="minorHAnsi"/>
          <w:sz w:val="24"/>
        </w:rPr>
        <w:t xml:space="preserve"> usnesením Kolegia NKÚ.</w:t>
      </w:r>
    </w:p>
    <w:p w14:paraId="7549FE47" w14:textId="77777777" w:rsidR="00111871" w:rsidRPr="00B12F0C" w:rsidRDefault="00111871" w:rsidP="00F64BCE">
      <w:pPr>
        <w:pStyle w:val="Zkladntex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549FE48" w14:textId="6E15B4CE" w:rsidR="00111871" w:rsidRPr="0088175F" w:rsidRDefault="00111871" w:rsidP="00F64BCE">
      <w:pPr>
        <w:pStyle w:val="Zkladntext"/>
        <w:rPr>
          <w:rFonts w:asciiTheme="minorHAnsi" w:hAnsiTheme="minorHAnsi" w:cstheme="minorHAnsi"/>
          <w:sz w:val="24"/>
          <w:szCs w:val="24"/>
        </w:rPr>
      </w:pPr>
      <w:proofErr w:type="gramStart"/>
      <w:r w:rsidRPr="0088175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K o l e g i u m   N K Ú  </w:t>
      </w:r>
      <w:r w:rsidR="00B12F0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88175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88175F">
        <w:rPr>
          <w:rFonts w:asciiTheme="minorHAnsi" w:hAnsiTheme="minorHAnsi" w:cstheme="minorHAnsi"/>
          <w:sz w:val="24"/>
          <w:szCs w:val="24"/>
        </w:rPr>
        <w:t xml:space="preserve"> svém </w:t>
      </w:r>
      <w:r w:rsidR="0088175F">
        <w:rPr>
          <w:rFonts w:asciiTheme="minorHAnsi" w:hAnsiTheme="minorHAnsi" w:cstheme="minorHAnsi"/>
          <w:sz w:val="24"/>
          <w:szCs w:val="24"/>
        </w:rPr>
        <w:t>XVII</w:t>
      </w:r>
      <w:r w:rsidRPr="0088175F">
        <w:rPr>
          <w:rFonts w:asciiTheme="minorHAnsi" w:hAnsiTheme="minorHAnsi" w:cstheme="minorHAnsi"/>
          <w:sz w:val="24"/>
          <w:szCs w:val="24"/>
        </w:rPr>
        <w:t xml:space="preserve">. </w:t>
      </w:r>
      <w:r w:rsidR="00375EB7" w:rsidRPr="0088175F">
        <w:rPr>
          <w:rFonts w:asciiTheme="minorHAnsi" w:hAnsiTheme="minorHAnsi" w:cstheme="minorHAnsi"/>
          <w:sz w:val="24"/>
          <w:szCs w:val="24"/>
        </w:rPr>
        <w:t>j</w:t>
      </w:r>
      <w:r w:rsidRPr="0088175F">
        <w:rPr>
          <w:rFonts w:asciiTheme="minorHAnsi" w:hAnsiTheme="minorHAnsi" w:cstheme="minorHAnsi"/>
          <w:sz w:val="24"/>
          <w:szCs w:val="24"/>
        </w:rPr>
        <w:t>ed</w:t>
      </w:r>
      <w:r w:rsidR="00375EB7" w:rsidRPr="0088175F">
        <w:rPr>
          <w:rFonts w:asciiTheme="minorHAnsi" w:hAnsiTheme="minorHAnsi" w:cstheme="minorHAnsi"/>
          <w:sz w:val="24"/>
          <w:szCs w:val="24"/>
        </w:rPr>
        <w:t>n</w:t>
      </w:r>
      <w:r w:rsidRPr="0088175F">
        <w:rPr>
          <w:rFonts w:asciiTheme="minorHAnsi" w:hAnsiTheme="minorHAnsi" w:cstheme="minorHAnsi"/>
          <w:sz w:val="24"/>
          <w:szCs w:val="24"/>
        </w:rPr>
        <w:t xml:space="preserve">ání, </w:t>
      </w:r>
      <w:r w:rsidR="004D6F44" w:rsidRPr="0088175F">
        <w:rPr>
          <w:rFonts w:asciiTheme="minorHAnsi" w:hAnsiTheme="minorHAnsi" w:cstheme="minorHAnsi"/>
          <w:sz w:val="24"/>
          <w:szCs w:val="24"/>
        </w:rPr>
        <w:t>které se konalo</w:t>
      </w:r>
      <w:r w:rsidRPr="0088175F">
        <w:rPr>
          <w:rFonts w:asciiTheme="minorHAnsi" w:hAnsiTheme="minorHAnsi" w:cstheme="minorHAnsi"/>
          <w:sz w:val="24"/>
          <w:szCs w:val="24"/>
        </w:rPr>
        <w:t xml:space="preserve"> dne </w:t>
      </w:r>
      <w:r w:rsidR="0088175F">
        <w:rPr>
          <w:rFonts w:asciiTheme="minorHAnsi" w:hAnsiTheme="minorHAnsi" w:cstheme="minorHAnsi"/>
          <w:sz w:val="24"/>
          <w:szCs w:val="24"/>
        </w:rPr>
        <w:t>14</w:t>
      </w:r>
      <w:r w:rsidRPr="0088175F">
        <w:rPr>
          <w:rFonts w:asciiTheme="minorHAnsi" w:hAnsiTheme="minorHAnsi" w:cstheme="minorHAnsi"/>
          <w:sz w:val="24"/>
          <w:szCs w:val="24"/>
        </w:rPr>
        <w:t xml:space="preserve">. </w:t>
      </w:r>
      <w:r w:rsidR="002469A0" w:rsidRPr="0088175F">
        <w:rPr>
          <w:rFonts w:asciiTheme="minorHAnsi" w:hAnsiTheme="minorHAnsi" w:cstheme="minorHAnsi"/>
          <w:sz w:val="24"/>
          <w:szCs w:val="24"/>
        </w:rPr>
        <w:t>prosince</w:t>
      </w:r>
      <w:r w:rsidRPr="0088175F">
        <w:rPr>
          <w:rFonts w:asciiTheme="minorHAnsi" w:hAnsiTheme="minorHAnsi" w:cstheme="minorHAnsi"/>
          <w:sz w:val="24"/>
          <w:szCs w:val="24"/>
        </w:rPr>
        <w:t xml:space="preserve"> 201</w:t>
      </w:r>
      <w:r w:rsidR="00C15DDE" w:rsidRPr="0088175F">
        <w:rPr>
          <w:rFonts w:asciiTheme="minorHAnsi" w:hAnsiTheme="minorHAnsi" w:cstheme="minorHAnsi"/>
          <w:sz w:val="24"/>
          <w:szCs w:val="24"/>
        </w:rPr>
        <w:t>5</w:t>
      </w:r>
      <w:r w:rsidRPr="0088175F">
        <w:rPr>
          <w:rFonts w:asciiTheme="minorHAnsi" w:hAnsiTheme="minorHAnsi" w:cstheme="minorHAnsi"/>
          <w:sz w:val="24"/>
          <w:szCs w:val="24"/>
        </w:rPr>
        <w:t>,</w:t>
      </w:r>
    </w:p>
    <w:p w14:paraId="7549FE49" w14:textId="7A84FF87" w:rsidR="00375EB7" w:rsidRPr="0088175F" w:rsidRDefault="00111871" w:rsidP="00F64BCE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proofErr w:type="gramStart"/>
      <w:r w:rsidRPr="0088175F">
        <w:rPr>
          <w:rFonts w:asciiTheme="minorHAnsi" w:hAnsiTheme="minorHAnsi" w:cstheme="minorHAnsi"/>
          <w:b/>
          <w:bCs/>
          <w:i/>
          <w:iCs/>
          <w:sz w:val="24"/>
        </w:rPr>
        <w:t xml:space="preserve">s c h v á l i l o  </w:t>
      </w:r>
      <w:r w:rsidRPr="0088175F">
        <w:rPr>
          <w:rFonts w:asciiTheme="minorHAnsi" w:hAnsiTheme="minorHAnsi" w:cstheme="minorHAnsi"/>
          <w:sz w:val="24"/>
        </w:rPr>
        <w:t xml:space="preserve"> usnesením č.</w:t>
      </w:r>
      <w:proofErr w:type="gramEnd"/>
      <w:r w:rsidRPr="0088175F">
        <w:rPr>
          <w:rFonts w:asciiTheme="minorHAnsi" w:hAnsiTheme="minorHAnsi" w:cstheme="minorHAnsi"/>
          <w:sz w:val="24"/>
        </w:rPr>
        <w:t xml:space="preserve"> </w:t>
      </w:r>
      <w:r w:rsidR="0098520C">
        <w:rPr>
          <w:rFonts w:asciiTheme="minorHAnsi" w:hAnsiTheme="minorHAnsi" w:cstheme="minorHAnsi"/>
          <w:sz w:val="24"/>
        </w:rPr>
        <w:t>6</w:t>
      </w:r>
      <w:r w:rsidR="00375EB7" w:rsidRPr="0088175F">
        <w:rPr>
          <w:rFonts w:asciiTheme="minorHAnsi" w:hAnsiTheme="minorHAnsi" w:cstheme="minorHAnsi"/>
          <w:sz w:val="24"/>
        </w:rPr>
        <w:t>/</w:t>
      </w:r>
      <w:r w:rsidR="0088175F">
        <w:rPr>
          <w:rFonts w:asciiTheme="minorHAnsi" w:hAnsiTheme="minorHAnsi" w:cstheme="minorHAnsi"/>
          <w:sz w:val="24"/>
        </w:rPr>
        <w:t>XVII</w:t>
      </w:r>
      <w:r w:rsidR="00375EB7" w:rsidRPr="0088175F">
        <w:rPr>
          <w:rFonts w:asciiTheme="minorHAnsi" w:hAnsiTheme="minorHAnsi" w:cstheme="minorHAnsi"/>
          <w:sz w:val="24"/>
        </w:rPr>
        <w:t>/201</w:t>
      </w:r>
      <w:r w:rsidR="00C15DDE" w:rsidRPr="0088175F">
        <w:rPr>
          <w:rFonts w:asciiTheme="minorHAnsi" w:hAnsiTheme="minorHAnsi" w:cstheme="minorHAnsi"/>
          <w:sz w:val="24"/>
        </w:rPr>
        <w:t>5</w:t>
      </w:r>
    </w:p>
    <w:p w14:paraId="7549FE4A" w14:textId="2931B4A1" w:rsidR="00111871" w:rsidRPr="00B86FD0" w:rsidRDefault="00111871" w:rsidP="00F64BCE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proofErr w:type="gramStart"/>
      <w:r w:rsidRPr="00B86FD0">
        <w:rPr>
          <w:rFonts w:asciiTheme="minorHAnsi" w:hAnsiTheme="minorHAnsi" w:cstheme="minorHAnsi"/>
          <w:b/>
          <w:bCs/>
          <w:i/>
          <w:iCs/>
          <w:sz w:val="24"/>
        </w:rPr>
        <w:t>k o n t r o l n í   z á v ě r</w:t>
      </w:r>
      <w:r w:rsidRPr="00B86FD0">
        <w:rPr>
          <w:rFonts w:asciiTheme="minorHAnsi" w:hAnsiTheme="minorHAnsi" w:cstheme="minorHAnsi"/>
          <w:sz w:val="24"/>
        </w:rPr>
        <w:t xml:space="preserve">   </w:t>
      </w:r>
      <w:r w:rsidR="00AF3C8F">
        <w:rPr>
          <w:rFonts w:asciiTheme="minorHAnsi" w:hAnsiTheme="minorHAnsi" w:cstheme="minorHAnsi"/>
          <w:sz w:val="24"/>
        </w:rPr>
        <w:t>v </w:t>
      </w:r>
      <w:r w:rsidRPr="00B86FD0">
        <w:rPr>
          <w:rFonts w:asciiTheme="minorHAnsi" w:hAnsiTheme="minorHAnsi" w:cstheme="minorHAnsi"/>
          <w:sz w:val="24"/>
        </w:rPr>
        <w:t>tomto</w:t>
      </w:r>
      <w:proofErr w:type="gramEnd"/>
      <w:r w:rsidRPr="00B86FD0">
        <w:rPr>
          <w:rFonts w:asciiTheme="minorHAnsi" w:hAnsiTheme="minorHAnsi" w:cstheme="minorHAnsi"/>
          <w:sz w:val="24"/>
        </w:rPr>
        <w:t xml:space="preserve"> znění:</w:t>
      </w:r>
    </w:p>
    <w:p w14:paraId="7549FE4B" w14:textId="77777777" w:rsidR="00850AE4" w:rsidRPr="00B86FD0" w:rsidRDefault="00850AE4" w:rsidP="00F64BCE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7549FE4C" w14:textId="77777777" w:rsidR="00850AE4" w:rsidRPr="00B86FD0" w:rsidRDefault="00850AE4" w:rsidP="00F64BCE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7549FE4D" w14:textId="77777777" w:rsidR="00291FC0" w:rsidRPr="00B86FD0" w:rsidRDefault="00996CD2" w:rsidP="00F64BCE">
      <w:pPr>
        <w:jc w:val="left"/>
        <w:rPr>
          <w:rFonts w:asciiTheme="minorHAnsi" w:hAnsiTheme="minorHAnsi" w:cstheme="minorHAnsi"/>
          <w:sz w:val="24"/>
          <w:lang w:eastAsia="cs-CZ"/>
        </w:rPr>
      </w:pPr>
      <w:r w:rsidRPr="00B86FD0">
        <w:rPr>
          <w:rFonts w:asciiTheme="minorHAnsi" w:hAnsiTheme="minorHAnsi" w:cstheme="minorHAnsi"/>
          <w:sz w:val="24"/>
        </w:rPr>
        <w:br w:type="page"/>
      </w:r>
    </w:p>
    <w:p w14:paraId="5A85424E" w14:textId="0839FDED" w:rsidR="005163AE" w:rsidRPr="005163AE" w:rsidRDefault="005163AE" w:rsidP="00F64BC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63AE">
        <w:rPr>
          <w:rFonts w:asciiTheme="minorHAnsi" w:hAnsiTheme="minorHAnsi" w:cstheme="minorHAnsi"/>
          <w:b/>
          <w:sz w:val="28"/>
          <w:szCs w:val="28"/>
        </w:rPr>
        <w:lastRenderedPageBreak/>
        <w:t>I. Informace k předmětu kontroly</w:t>
      </w:r>
    </w:p>
    <w:p w14:paraId="7549FE4E" w14:textId="664379E8" w:rsidR="00111871" w:rsidRPr="00B86FD0" w:rsidRDefault="00111871" w:rsidP="00F64BCE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636EF2F9" w14:textId="32886CD6" w:rsidR="007B083D" w:rsidRPr="00A41065" w:rsidRDefault="007B083D" w:rsidP="00F64BCE">
      <w:pPr>
        <w:rPr>
          <w:rFonts w:asciiTheme="minorHAnsi" w:hAnsiTheme="minorHAnsi" w:cstheme="minorHAnsi"/>
          <w:sz w:val="24"/>
        </w:rPr>
      </w:pPr>
      <w:r w:rsidRPr="00A41065">
        <w:rPr>
          <w:rFonts w:asciiTheme="minorHAnsi" w:hAnsiTheme="minorHAnsi" w:cstheme="minorHAnsi"/>
          <w:b/>
          <w:sz w:val="24"/>
        </w:rPr>
        <w:t>Ministerstvo vnitra</w:t>
      </w:r>
      <w:r w:rsidRPr="00A41065">
        <w:rPr>
          <w:rFonts w:asciiTheme="minorHAnsi" w:hAnsiTheme="minorHAnsi" w:cstheme="minorHAnsi"/>
          <w:sz w:val="24"/>
        </w:rPr>
        <w:t xml:space="preserve"> je ústředním orgánem státní správy</w:t>
      </w:r>
      <w:r w:rsidRPr="00A41065">
        <w:rPr>
          <w:rStyle w:val="Znakapoznpodarou"/>
          <w:rFonts w:asciiTheme="minorHAnsi" w:hAnsiTheme="minorHAnsi" w:cstheme="minorHAnsi"/>
          <w:sz w:val="24"/>
        </w:rPr>
        <w:footnoteReference w:id="2"/>
      </w:r>
      <w:r w:rsidRPr="00A41065">
        <w:rPr>
          <w:rStyle w:val="Znakapoznpodarou"/>
          <w:sz w:val="24"/>
        </w:rPr>
        <w:t xml:space="preserve"> </w:t>
      </w:r>
      <w:r w:rsidRPr="00A41065">
        <w:rPr>
          <w:rFonts w:asciiTheme="minorHAnsi" w:hAnsiTheme="minorHAnsi" w:cstheme="minorHAnsi"/>
          <w:sz w:val="24"/>
        </w:rPr>
        <w:t>pro vnitřní věci, mimo jiné pro požární ochranu, krizové řízení, ochranu obyvatelstva a integrovaný záchranný systém.</w:t>
      </w:r>
    </w:p>
    <w:p w14:paraId="326C1426" w14:textId="77777777" w:rsidR="007B083D" w:rsidRPr="00A41065" w:rsidRDefault="007B083D" w:rsidP="00F64BCE">
      <w:pPr>
        <w:rPr>
          <w:rFonts w:asciiTheme="minorHAnsi" w:hAnsiTheme="minorHAnsi" w:cstheme="minorHAnsi"/>
          <w:b/>
          <w:sz w:val="24"/>
        </w:rPr>
      </w:pPr>
    </w:p>
    <w:p w14:paraId="7DAD7A33" w14:textId="266967FF" w:rsidR="007073D6" w:rsidRDefault="005163AE" w:rsidP="00F64BCE">
      <w:pPr>
        <w:rPr>
          <w:rFonts w:asciiTheme="minorHAnsi" w:hAnsiTheme="minorHAnsi" w:cstheme="minorHAnsi"/>
          <w:sz w:val="24"/>
        </w:rPr>
      </w:pPr>
      <w:r w:rsidRPr="00A41065">
        <w:rPr>
          <w:rFonts w:asciiTheme="minorHAnsi" w:hAnsiTheme="minorHAnsi" w:cstheme="minorHAnsi"/>
          <w:b/>
          <w:sz w:val="24"/>
        </w:rPr>
        <w:t>Hasičský záchranný sbor České republiky</w:t>
      </w:r>
      <w:r w:rsidRPr="00A41065">
        <w:rPr>
          <w:rFonts w:asciiTheme="minorHAnsi" w:hAnsiTheme="minorHAnsi" w:cstheme="minorHAnsi"/>
          <w:sz w:val="24"/>
        </w:rPr>
        <w:t xml:space="preserve"> </w:t>
      </w:r>
      <w:r w:rsidR="005B2FFE" w:rsidRPr="00A41065">
        <w:rPr>
          <w:rFonts w:asciiTheme="minorHAnsi" w:hAnsiTheme="minorHAnsi" w:cstheme="minorHAnsi"/>
          <w:sz w:val="24"/>
        </w:rPr>
        <w:t>(dále také „</w:t>
      </w:r>
      <w:r w:rsidR="00F01C43">
        <w:rPr>
          <w:rFonts w:asciiTheme="minorHAnsi" w:hAnsiTheme="minorHAnsi" w:cstheme="minorHAnsi"/>
          <w:sz w:val="24"/>
        </w:rPr>
        <w:t>HZS</w:t>
      </w:r>
      <w:r w:rsidR="005B2FFE" w:rsidRPr="00A41065">
        <w:rPr>
          <w:rFonts w:asciiTheme="minorHAnsi" w:hAnsiTheme="minorHAnsi" w:cstheme="minorHAnsi"/>
          <w:sz w:val="24"/>
        </w:rPr>
        <w:t xml:space="preserve">“) </w:t>
      </w:r>
      <w:r w:rsidRPr="00A41065">
        <w:rPr>
          <w:rFonts w:asciiTheme="minorHAnsi" w:hAnsiTheme="minorHAnsi" w:cstheme="minorHAnsi"/>
          <w:sz w:val="24"/>
        </w:rPr>
        <w:t>byl zřízen zákonem</w:t>
      </w:r>
      <w:r w:rsidR="00201DD9" w:rsidRPr="00A41065">
        <w:rPr>
          <w:rFonts w:ascii="Calibri" w:eastAsiaTheme="minorHAnsi" w:hAnsi="Calibri" w:cs="Calibri"/>
          <w:sz w:val="24"/>
        </w:rPr>
        <w:t xml:space="preserve"> č. 238/2000</w:t>
      </w:r>
      <w:r w:rsidR="0006394B">
        <w:rPr>
          <w:rFonts w:ascii="Calibri" w:eastAsiaTheme="minorHAnsi" w:hAnsi="Calibri" w:cs="Calibri"/>
          <w:sz w:val="24"/>
        </w:rPr>
        <w:t> </w:t>
      </w:r>
      <w:r w:rsidR="00201DD9" w:rsidRPr="00A41065">
        <w:rPr>
          <w:rFonts w:ascii="Calibri" w:eastAsiaTheme="minorHAnsi" w:hAnsi="Calibri" w:cs="Calibri"/>
          <w:sz w:val="24"/>
        </w:rPr>
        <w:t>Sb.</w:t>
      </w:r>
      <w:r w:rsidRPr="00A41065">
        <w:rPr>
          <w:rStyle w:val="Znakapoznpodarou"/>
          <w:rFonts w:asciiTheme="minorHAnsi" w:hAnsiTheme="minorHAnsi" w:cstheme="minorHAnsi"/>
          <w:sz w:val="24"/>
        </w:rPr>
        <w:footnoteReference w:id="3"/>
      </w:r>
      <w:r w:rsidR="005B2FFE" w:rsidRPr="00A41065">
        <w:rPr>
          <w:rFonts w:asciiTheme="minorHAnsi" w:hAnsiTheme="minorHAnsi" w:cstheme="minorHAnsi"/>
          <w:sz w:val="24"/>
        </w:rPr>
        <w:t xml:space="preserve"> Z</w:t>
      </w:r>
      <w:r w:rsidRPr="00A41065">
        <w:rPr>
          <w:rFonts w:asciiTheme="minorHAnsi" w:hAnsiTheme="minorHAnsi" w:cstheme="minorHAnsi"/>
          <w:sz w:val="24"/>
        </w:rPr>
        <w:t xml:space="preserve">ákladním posláním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Pr="00A41065">
        <w:rPr>
          <w:rFonts w:asciiTheme="minorHAnsi" w:hAnsiTheme="minorHAnsi" w:cstheme="minorHAnsi"/>
          <w:sz w:val="24"/>
        </w:rPr>
        <w:t xml:space="preserve">je chránit životy a zdraví obyvatel a majetek před požáry a poskytovat účinnou pomoc při mimořádných událostech.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="005B2FFE" w:rsidRPr="00A41065">
        <w:rPr>
          <w:rFonts w:asciiTheme="minorHAnsi" w:hAnsiTheme="minorHAnsi" w:cstheme="minorHAnsi"/>
          <w:sz w:val="24"/>
        </w:rPr>
        <w:t xml:space="preserve">tvoří generální ředitelství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="005B2FFE" w:rsidRPr="00A41065">
        <w:rPr>
          <w:rFonts w:asciiTheme="minorHAnsi" w:hAnsiTheme="minorHAnsi" w:cstheme="minorHAnsi"/>
          <w:sz w:val="24"/>
        </w:rPr>
        <w:t>(dále také „</w:t>
      </w:r>
      <w:r w:rsidR="00927E77">
        <w:rPr>
          <w:rFonts w:asciiTheme="minorHAnsi" w:hAnsiTheme="minorHAnsi" w:cstheme="minorHAnsi"/>
          <w:sz w:val="24"/>
        </w:rPr>
        <w:t>GŘ</w:t>
      </w:r>
      <w:r w:rsidR="005B2FFE" w:rsidRPr="00A41065">
        <w:rPr>
          <w:rFonts w:asciiTheme="minorHAnsi" w:hAnsiTheme="minorHAnsi" w:cstheme="minorHAnsi"/>
          <w:sz w:val="24"/>
        </w:rPr>
        <w:t xml:space="preserve">“), 14 hasičských záchranných sborů krajů </w:t>
      </w:r>
      <w:r w:rsidR="00DC467B">
        <w:rPr>
          <w:rFonts w:asciiTheme="minorHAnsi" w:hAnsiTheme="minorHAnsi" w:cstheme="minorHAnsi"/>
          <w:sz w:val="24"/>
        </w:rPr>
        <w:t>a</w:t>
      </w:r>
      <w:r w:rsidR="000C521B">
        <w:rPr>
          <w:rFonts w:asciiTheme="minorHAnsi" w:hAnsiTheme="minorHAnsi" w:cstheme="minorHAnsi"/>
          <w:sz w:val="24"/>
        </w:rPr>
        <w:t> </w:t>
      </w:r>
      <w:r w:rsidR="00A64C33">
        <w:rPr>
          <w:rFonts w:asciiTheme="minorHAnsi" w:hAnsiTheme="minorHAnsi" w:cstheme="minorHAnsi"/>
          <w:sz w:val="24"/>
        </w:rPr>
        <w:t>z</w:t>
      </w:r>
      <w:r w:rsidR="005B2FFE" w:rsidRPr="00A41065">
        <w:rPr>
          <w:rFonts w:asciiTheme="minorHAnsi" w:hAnsiTheme="minorHAnsi" w:cstheme="minorHAnsi"/>
          <w:sz w:val="24"/>
        </w:rPr>
        <w:t xml:space="preserve">áchranný útvar </w:t>
      </w:r>
      <w:r w:rsidR="00DC467B">
        <w:rPr>
          <w:rFonts w:asciiTheme="minorHAnsi" w:hAnsiTheme="minorHAnsi" w:cstheme="minorHAnsi"/>
          <w:sz w:val="24"/>
        </w:rPr>
        <w:t>(dále také „HZSK“),</w:t>
      </w:r>
      <w:r w:rsidR="00437E9E">
        <w:rPr>
          <w:rFonts w:asciiTheme="minorHAnsi" w:hAnsiTheme="minorHAnsi" w:cstheme="minorHAnsi"/>
          <w:sz w:val="24"/>
        </w:rPr>
        <w:t xml:space="preserve"> </w:t>
      </w:r>
      <w:r w:rsidR="005B2FFE" w:rsidRPr="00A41065">
        <w:rPr>
          <w:rFonts w:asciiTheme="minorHAnsi" w:hAnsiTheme="minorHAnsi" w:cstheme="minorHAnsi"/>
          <w:sz w:val="24"/>
        </w:rPr>
        <w:t xml:space="preserve">Střední odborná škola požární ochrany a Vyšší odborná škola požární ochrany ve Frýdku-Místku. </w:t>
      </w:r>
    </w:p>
    <w:p w14:paraId="723610C2" w14:textId="77777777" w:rsidR="001A7626" w:rsidRPr="00A41065" w:rsidRDefault="001A7626" w:rsidP="00F64BCE">
      <w:pPr>
        <w:rPr>
          <w:rFonts w:asciiTheme="minorHAnsi" w:hAnsiTheme="minorHAnsi" w:cstheme="minorHAnsi"/>
          <w:sz w:val="24"/>
        </w:rPr>
      </w:pPr>
    </w:p>
    <w:p w14:paraId="4F0A6A3C" w14:textId="606090F4" w:rsidR="00525D45" w:rsidRPr="00A41065" w:rsidRDefault="00927E77" w:rsidP="00F64BC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GŘ</w:t>
      </w:r>
      <w:r w:rsidR="007073D6" w:rsidRPr="00A41065">
        <w:rPr>
          <w:rFonts w:asciiTheme="minorHAnsi" w:hAnsiTheme="minorHAnsi" w:cstheme="minorHAnsi"/>
          <w:sz w:val="24"/>
        </w:rPr>
        <w:t xml:space="preserve"> je organizační součást</w:t>
      </w:r>
      <w:r w:rsidR="00EA4553" w:rsidRPr="00A41065">
        <w:rPr>
          <w:rFonts w:asciiTheme="minorHAnsi" w:hAnsiTheme="minorHAnsi" w:cstheme="minorHAnsi"/>
          <w:sz w:val="24"/>
        </w:rPr>
        <w:t>í</w:t>
      </w:r>
      <w:r w:rsidR="007073D6" w:rsidRPr="00A41065">
        <w:rPr>
          <w:rFonts w:asciiTheme="minorHAnsi" w:hAnsiTheme="minorHAnsi" w:cstheme="minorHAnsi"/>
          <w:sz w:val="24"/>
        </w:rPr>
        <w:t xml:space="preserve"> </w:t>
      </w:r>
      <w:r w:rsidR="00A41B9D">
        <w:rPr>
          <w:rFonts w:asciiTheme="minorHAnsi" w:hAnsiTheme="minorHAnsi" w:cstheme="minorHAnsi"/>
          <w:sz w:val="24"/>
        </w:rPr>
        <w:t>Ministerstva vnitra. N</w:t>
      </w:r>
      <w:r w:rsidR="007073D6" w:rsidRPr="00A41065">
        <w:rPr>
          <w:rFonts w:asciiTheme="minorHAnsi" w:hAnsiTheme="minorHAnsi" w:cstheme="minorHAnsi"/>
          <w:sz w:val="24"/>
        </w:rPr>
        <w:t xml:space="preserve">a základě </w:t>
      </w:r>
      <w:r w:rsidR="00201DD9" w:rsidRPr="00A41065">
        <w:rPr>
          <w:rFonts w:asciiTheme="minorHAnsi" w:hAnsiTheme="minorHAnsi" w:cstheme="minorHAnsi"/>
          <w:sz w:val="24"/>
        </w:rPr>
        <w:t xml:space="preserve">ustanovení § 2 </w:t>
      </w:r>
      <w:r w:rsidR="007073D6" w:rsidRPr="00A41065">
        <w:rPr>
          <w:rFonts w:asciiTheme="minorHAnsi" w:hAnsiTheme="minorHAnsi" w:cstheme="minorHAnsi"/>
          <w:sz w:val="24"/>
        </w:rPr>
        <w:t>zákona</w:t>
      </w:r>
      <w:r w:rsidR="00201DD9" w:rsidRPr="00A41065">
        <w:rPr>
          <w:rFonts w:ascii="Calibri" w:eastAsiaTheme="minorHAnsi" w:hAnsi="Calibri" w:cs="Calibri"/>
          <w:sz w:val="24"/>
        </w:rPr>
        <w:t xml:space="preserve"> č. 238/2000</w:t>
      </w:r>
      <w:r w:rsidR="0088175F">
        <w:rPr>
          <w:rFonts w:ascii="Calibri" w:eastAsiaTheme="minorHAnsi" w:hAnsi="Calibri" w:cs="Calibri"/>
          <w:sz w:val="24"/>
        </w:rPr>
        <w:t> </w:t>
      </w:r>
      <w:r w:rsidR="00201DD9" w:rsidRPr="00A41065">
        <w:rPr>
          <w:rFonts w:ascii="Calibri" w:eastAsiaTheme="minorHAnsi" w:hAnsi="Calibri" w:cs="Calibri"/>
          <w:sz w:val="24"/>
        </w:rPr>
        <w:t>Sb.</w:t>
      </w:r>
      <w:r w:rsidR="007073D6" w:rsidRPr="00A41065">
        <w:rPr>
          <w:rFonts w:asciiTheme="minorHAnsi" w:hAnsiTheme="minorHAnsi" w:cstheme="minorHAnsi"/>
          <w:sz w:val="24"/>
        </w:rPr>
        <w:t xml:space="preserve"> řídí h</w:t>
      </w:r>
      <w:r w:rsidR="00525D45" w:rsidRPr="00A41065">
        <w:rPr>
          <w:rFonts w:asciiTheme="minorHAnsi" w:hAnsiTheme="minorHAnsi" w:cstheme="minorHAnsi"/>
          <w:sz w:val="24"/>
        </w:rPr>
        <w:t>asičské záchranné sbory krajů a</w:t>
      </w:r>
      <w:r w:rsidR="00437E9E">
        <w:rPr>
          <w:rFonts w:asciiTheme="minorHAnsi" w:hAnsiTheme="minorHAnsi" w:cstheme="minorHAnsi"/>
          <w:sz w:val="24"/>
        </w:rPr>
        <w:t xml:space="preserve"> </w:t>
      </w:r>
      <w:r w:rsidR="007073D6" w:rsidRPr="00A41065">
        <w:rPr>
          <w:rFonts w:asciiTheme="minorHAnsi" w:hAnsiTheme="minorHAnsi" w:cstheme="minorHAnsi"/>
          <w:sz w:val="24"/>
        </w:rPr>
        <w:t xml:space="preserve">záchranný útvar a plní povinnosti </w:t>
      </w:r>
      <w:r w:rsidR="00A41B9D">
        <w:rPr>
          <w:rFonts w:asciiTheme="minorHAnsi" w:hAnsiTheme="minorHAnsi" w:cstheme="minorHAnsi"/>
          <w:sz w:val="24"/>
        </w:rPr>
        <w:t>Mi</w:t>
      </w:r>
      <w:r w:rsidR="007073D6" w:rsidRPr="00A41065">
        <w:rPr>
          <w:rFonts w:asciiTheme="minorHAnsi" w:hAnsiTheme="minorHAnsi" w:cstheme="minorHAnsi"/>
          <w:sz w:val="24"/>
        </w:rPr>
        <w:t>nisterstva vnitra uložené zákon</w:t>
      </w:r>
      <w:r w:rsidR="00525D45" w:rsidRPr="00A41065">
        <w:rPr>
          <w:rFonts w:asciiTheme="minorHAnsi" w:hAnsiTheme="minorHAnsi" w:cstheme="minorHAnsi"/>
          <w:sz w:val="24"/>
        </w:rPr>
        <w:t xml:space="preserve">em </w:t>
      </w:r>
      <w:r w:rsidR="00D320DD" w:rsidRPr="00A41065">
        <w:rPr>
          <w:rFonts w:asciiTheme="minorHAnsi" w:hAnsiTheme="minorHAnsi" w:cstheme="minorHAnsi"/>
          <w:sz w:val="24"/>
        </w:rPr>
        <w:t>č. 133/1985 Sb</w:t>
      </w:r>
      <w:r w:rsidR="00EC18AE" w:rsidRPr="00A41065">
        <w:rPr>
          <w:rFonts w:asciiTheme="minorHAnsi" w:hAnsiTheme="minorHAnsi" w:cstheme="minorHAnsi"/>
          <w:sz w:val="24"/>
        </w:rPr>
        <w:t>.</w:t>
      </w:r>
      <w:r w:rsidR="007073D6" w:rsidRPr="00A41065">
        <w:rPr>
          <w:rStyle w:val="Znakapoznpodarou"/>
          <w:rFonts w:asciiTheme="minorHAnsi" w:hAnsiTheme="minorHAnsi" w:cstheme="minorHAnsi"/>
          <w:sz w:val="24"/>
        </w:rPr>
        <w:footnoteReference w:id="4"/>
      </w:r>
    </w:p>
    <w:p w14:paraId="05B85087" w14:textId="77777777" w:rsidR="00525D45" w:rsidRPr="00A41065" w:rsidRDefault="00525D45" w:rsidP="00F64BCE">
      <w:pPr>
        <w:rPr>
          <w:rFonts w:asciiTheme="minorHAnsi" w:hAnsiTheme="minorHAnsi" w:cstheme="minorHAnsi"/>
          <w:sz w:val="24"/>
        </w:rPr>
      </w:pPr>
    </w:p>
    <w:p w14:paraId="0C707479" w14:textId="51C62E22" w:rsidR="004C5C6E" w:rsidRPr="00A41065" w:rsidRDefault="004C5C6E" w:rsidP="00F64BCE">
      <w:pPr>
        <w:rPr>
          <w:rFonts w:asciiTheme="minorHAnsi" w:hAnsiTheme="minorHAnsi" w:cstheme="minorHAnsi"/>
          <w:sz w:val="24"/>
        </w:rPr>
      </w:pPr>
      <w:r w:rsidRPr="00A41065">
        <w:rPr>
          <w:rFonts w:asciiTheme="minorHAnsi" w:hAnsiTheme="minorHAnsi" w:cstheme="minorHAnsi"/>
          <w:sz w:val="24"/>
        </w:rPr>
        <w:t xml:space="preserve">Hasičské záchranné sbory krajů vykonávají svou působnost </w:t>
      </w:r>
      <w:r w:rsidR="00AF3C8F">
        <w:rPr>
          <w:rFonts w:asciiTheme="minorHAnsi" w:hAnsiTheme="minorHAnsi" w:cstheme="minorHAnsi"/>
          <w:sz w:val="24"/>
        </w:rPr>
        <w:t>v </w:t>
      </w:r>
      <w:r w:rsidRPr="00A41065">
        <w:rPr>
          <w:rFonts w:asciiTheme="minorHAnsi" w:hAnsiTheme="minorHAnsi" w:cstheme="minorHAnsi"/>
          <w:sz w:val="24"/>
        </w:rPr>
        <w:t>oblasti protipožární ochrany a</w:t>
      </w:r>
      <w:r w:rsidR="003E1830" w:rsidRPr="00A41065">
        <w:rPr>
          <w:rFonts w:asciiTheme="minorHAnsi" w:hAnsiTheme="minorHAnsi" w:cstheme="minorHAnsi"/>
          <w:sz w:val="24"/>
        </w:rPr>
        <w:t> </w:t>
      </w:r>
      <w:r w:rsidRPr="00A41065">
        <w:rPr>
          <w:rFonts w:asciiTheme="minorHAnsi" w:hAnsiTheme="minorHAnsi" w:cstheme="minorHAnsi"/>
          <w:sz w:val="24"/>
        </w:rPr>
        <w:t xml:space="preserve">ostatních záchranných prací v rámci příslušného kraje. Záchranný útvar má celorepublikovou působnost, je určen jako </w:t>
      </w:r>
      <w:proofErr w:type="spellStart"/>
      <w:r w:rsidRPr="00A41065">
        <w:rPr>
          <w:rFonts w:asciiTheme="minorHAnsi" w:hAnsiTheme="minorHAnsi" w:cstheme="minorHAnsi"/>
          <w:sz w:val="24"/>
        </w:rPr>
        <w:t>druhosledová</w:t>
      </w:r>
      <w:proofErr w:type="spellEnd"/>
      <w:r w:rsidRPr="00A41065">
        <w:rPr>
          <w:rFonts w:asciiTheme="minorHAnsi" w:hAnsiTheme="minorHAnsi" w:cstheme="minorHAnsi"/>
          <w:sz w:val="24"/>
        </w:rPr>
        <w:t xml:space="preserve"> jednotka při mimořádných událostech většího rozsahu a provádí výcvik příslušníků </w:t>
      </w:r>
      <w:r w:rsidR="00DA7297">
        <w:rPr>
          <w:rFonts w:asciiTheme="minorHAnsi" w:hAnsiTheme="minorHAnsi" w:cstheme="minorHAnsi"/>
          <w:sz w:val="24"/>
        </w:rPr>
        <w:t xml:space="preserve">HZS. </w:t>
      </w:r>
      <w:r w:rsidR="00DC467B">
        <w:rPr>
          <w:rFonts w:asciiTheme="minorHAnsi" w:hAnsiTheme="minorHAnsi" w:cstheme="minorHAnsi"/>
          <w:sz w:val="24"/>
        </w:rPr>
        <w:t>HZSK</w:t>
      </w:r>
      <w:r w:rsidRPr="00A41065">
        <w:rPr>
          <w:rFonts w:asciiTheme="minorHAnsi" w:hAnsiTheme="minorHAnsi" w:cstheme="minorHAnsi"/>
          <w:sz w:val="24"/>
        </w:rPr>
        <w:t xml:space="preserve"> jsou organizační složky státu a samostatné účetní jednotky. </w:t>
      </w:r>
    </w:p>
    <w:p w14:paraId="5BD72054" w14:textId="63E21D1C" w:rsidR="004C5C6E" w:rsidRPr="00A41065" w:rsidRDefault="004C5C6E" w:rsidP="003234CE">
      <w:pPr>
        <w:pStyle w:val="Standard"/>
        <w:spacing w:after="0" w:line="240" w:lineRule="auto"/>
        <w:rPr>
          <w:rFonts w:asciiTheme="minorHAnsi" w:hAnsiTheme="minorHAnsi" w:cstheme="minorHAnsi"/>
          <w:sz w:val="24"/>
          <w:lang w:eastAsia="en-US"/>
        </w:rPr>
      </w:pPr>
    </w:p>
    <w:p w14:paraId="7241017B" w14:textId="4F0184B9" w:rsidR="002610DE" w:rsidRPr="00093396" w:rsidRDefault="005B5DE5" w:rsidP="00F64BC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HZS </w:t>
      </w:r>
      <w:r w:rsidR="004E1F59" w:rsidRPr="00A41065">
        <w:rPr>
          <w:rFonts w:asciiTheme="minorHAnsi" w:hAnsiTheme="minorHAnsi" w:cstheme="minorHAnsi"/>
          <w:sz w:val="24"/>
        </w:rPr>
        <w:t>ke dni 31.</w:t>
      </w:r>
      <w:r w:rsidR="002671D0">
        <w:rPr>
          <w:rFonts w:asciiTheme="minorHAnsi" w:hAnsiTheme="minorHAnsi" w:cstheme="minorHAnsi"/>
          <w:sz w:val="24"/>
        </w:rPr>
        <w:t> </w:t>
      </w:r>
      <w:r w:rsidR="004E1F59" w:rsidRPr="00A41065">
        <w:rPr>
          <w:rFonts w:asciiTheme="minorHAnsi" w:hAnsiTheme="minorHAnsi" w:cstheme="minorHAnsi"/>
          <w:sz w:val="24"/>
        </w:rPr>
        <w:t>12.</w:t>
      </w:r>
      <w:r w:rsidR="002671D0">
        <w:rPr>
          <w:rFonts w:asciiTheme="minorHAnsi" w:hAnsiTheme="minorHAnsi" w:cstheme="minorHAnsi"/>
          <w:sz w:val="24"/>
        </w:rPr>
        <w:t> </w:t>
      </w:r>
      <w:r w:rsidR="004E1F59" w:rsidRPr="00A41065">
        <w:rPr>
          <w:rFonts w:asciiTheme="minorHAnsi" w:hAnsiTheme="minorHAnsi" w:cstheme="minorHAnsi"/>
          <w:sz w:val="24"/>
        </w:rPr>
        <w:t>2014 spravoval nemovitý majetek v účetní hodnotě 6 132 677</w:t>
      </w:r>
      <w:r w:rsidR="002671D0">
        <w:rPr>
          <w:rFonts w:asciiTheme="minorHAnsi" w:hAnsiTheme="minorHAnsi" w:cstheme="minorHAnsi"/>
          <w:sz w:val="24"/>
        </w:rPr>
        <w:t> </w:t>
      </w:r>
      <w:r w:rsidR="004E1F59" w:rsidRPr="00A41065">
        <w:rPr>
          <w:rFonts w:asciiTheme="minorHAnsi" w:hAnsiTheme="minorHAnsi" w:cstheme="minorHAnsi"/>
          <w:sz w:val="24"/>
        </w:rPr>
        <w:t>517</w:t>
      </w:r>
      <w:r w:rsidR="002671D0">
        <w:rPr>
          <w:rFonts w:asciiTheme="minorHAnsi" w:hAnsiTheme="minorHAnsi" w:cstheme="minorHAnsi"/>
          <w:sz w:val="24"/>
        </w:rPr>
        <w:t> </w:t>
      </w:r>
      <w:r w:rsidR="004E1F59" w:rsidRPr="00A41065">
        <w:rPr>
          <w:rFonts w:asciiTheme="minorHAnsi" w:hAnsiTheme="minorHAnsi" w:cstheme="minorHAnsi"/>
          <w:sz w:val="24"/>
        </w:rPr>
        <w:t xml:space="preserve">Kč. </w:t>
      </w:r>
      <w:r w:rsidR="00525D45" w:rsidRPr="00A41065">
        <w:rPr>
          <w:rFonts w:asciiTheme="minorHAnsi" w:hAnsiTheme="minorHAnsi" w:cstheme="minorHAnsi"/>
          <w:sz w:val="24"/>
        </w:rPr>
        <w:t>P</w:t>
      </w:r>
      <w:r w:rsidR="005B2FFE" w:rsidRPr="00A41065">
        <w:rPr>
          <w:rFonts w:asciiTheme="minorHAnsi" w:hAnsiTheme="minorHAnsi" w:cstheme="minorHAnsi"/>
          <w:sz w:val="24"/>
        </w:rPr>
        <w:t xml:space="preserve">říjmy a výdaje </w:t>
      </w:r>
      <w:r>
        <w:rPr>
          <w:rFonts w:asciiTheme="minorHAnsi" w:hAnsiTheme="minorHAnsi" w:cstheme="minorHAnsi"/>
          <w:sz w:val="24"/>
        </w:rPr>
        <w:t xml:space="preserve">HZS </w:t>
      </w:r>
      <w:r w:rsidR="005B2FFE" w:rsidRPr="00A41065">
        <w:rPr>
          <w:rFonts w:asciiTheme="minorHAnsi" w:hAnsiTheme="minorHAnsi" w:cstheme="minorHAnsi"/>
          <w:sz w:val="24"/>
        </w:rPr>
        <w:t xml:space="preserve">jsou </w:t>
      </w:r>
      <w:r w:rsidR="005B2FFE" w:rsidRPr="00093396">
        <w:rPr>
          <w:rFonts w:asciiTheme="minorHAnsi" w:hAnsiTheme="minorHAnsi" w:cstheme="minorHAnsi"/>
          <w:sz w:val="24"/>
        </w:rPr>
        <w:t xml:space="preserve">součástí rozpočtové kapitoly 314 – </w:t>
      </w:r>
      <w:r w:rsidR="005B2FFE" w:rsidRPr="00093396">
        <w:rPr>
          <w:rFonts w:asciiTheme="minorHAnsi" w:hAnsiTheme="minorHAnsi" w:cstheme="minorHAnsi"/>
          <w:i/>
          <w:sz w:val="24"/>
        </w:rPr>
        <w:t>Ministerstvo vnitra</w:t>
      </w:r>
      <w:r w:rsidR="005B2FFE" w:rsidRPr="00093396">
        <w:rPr>
          <w:rFonts w:asciiTheme="minorHAnsi" w:hAnsiTheme="minorHAnsi" w:cstheme="minorHAnsi"/>
          <w:sz w:val="24"/>
        </w:rPr>
        <w:t>.</w:t>
      </w:r>
      <w:r w:rsidR="00525D45" w:rsidRPr="00093396">
        <w:rPr>
          <w:rFonts w:asciiTheme="minorHAnsi" w:hAnsiTheme="minorHAnsi" w:cstheme="minorHAnsi"/>
          <w:sz w:val="24"/>
        </w:rPr>
        <w:t xml:space="preserve"> </w:t>
      </w:r>
      <w:r w:rsidR="00B70C96">
        <w:rPr>
          <w:rFonts w:asciiTheme="minorHAnsi" w:hAnsiTheme="minorHAnsi" w:cstheme="minorHAnsi"/>
          <w:sz w:val="24"/>
        </w:rPr>
        <w:t>Nastavení příjmů a </w:t>
      </w:r>
      <w:r w:rsidR="00946B4E" w:rsidRPr="00093396">
        <w:rPr>
          <w:rFonts w:asciiTheme="minorHAnsi" w:hAnsiTheme="minorHAnsi" w:cstheme="minorHAnsi"/>
          <w:sz w:val="24"/>
        </w:rPr>
        <w:t xml:space="preserve">výdajů </w:t>
      </w:r>
      <w:r w:rsidRPr="00093396">
        <w:rPr>
          <w:rFonts w:asciiTheme="minorHAnsi" w:hAnsiTheme="minorHAnsi" w:cstheme="minorHAnsi"/>
          <w:sz w:val="24"/>
        </w:rPr>
        <w:t xml:space="preserve">HZS </w:t>
      </w:r>
      <w:r w:rsidR="002610DE" w:rsidRPr="00093396">
        <w:rPr>
          <w:rFonts w:asciiTheme="minorHAnsi" w:hAnsiTheme="minorHAnsi" w:cstheme="minorHAnsi"/>
          <w:sz w:val="24"/>
        </w:rPr>
        <w:t xml:space="preserve">vychází </w:t>
      </w:r>
      <w:r w:rsidR="002610DE" w:rsidRPr="00093396">
        <w:rPr>
          <w:rFonts w:asciiTheme="minorHAnsi" w:hAnsiTheme="minorHAnsi" w:cstheme="minorHAnsi"/>
          <w:spacing w:val="-2"/>
          <w:sz w:val="24"/>
        </w:rPr>
        <w:t xml:space="preserve">ze závazných limitů a ukazatelů stanovených </w:t>
      </w:r>
      <w:r w:rsidR="00A41B9D" w:rsidRPr="00093396">
        <w:rPr>
          <w:rFonts w:asciiTheme="minorHAnsi" w:hAnsiTheme="minorHAnsi" w:cstheme="minorHAnsi"/>
          <w:sz w:val="24"/>
        </w:rPr>
        <w:t>Ministerstvem vnitra</w:t>
      </w:r>
      <w:r w:rsidR="002610DE" w:rsidRPr="00093396">
        <w:rPr>
          <w:rFonts w:asciiTheme="minorHAnsi" w:hAnsiTheme="minorHAnsi" w:cstheme="minorHAnsi"/>
          <w:spacing w:val="-2"/>
          <w:sz w:val="24"/>
        </w:rPr>
        <w:t xml:space="preserve"> jako správcem kapitoly</w:t>
      </w:r>
      <w:r w:rsidR="00525D45" w:rsidRPr="00093396">
        <w:rPr>
          <w:rFonts w:asciiTheme="minorHAnsi" w:hAnsiTheme="minorHAnsi" w:cstheme="minorHAnsi"/>
          <w:spacing w:val="-2"/>
          <w:sz w:val="24"/>
        </w:rPr>
        <w:t>.</w:t>
      </w:r>
      <w:r w:rsidR="002610DE" w:rsidRPr="00093396">
        <w:rPr>
          <w:rFonts w:asciiTheme="minorHAnsi" w:hAnsiTheme="minorHAnsi" w:cstheme="minorHAnsi"/>
          <w:spacing w:val="-2"/>
          <w:sz w:val="24"/>
        </w:rPr>
        <w:t xml:space="preserve"> </w:t>
      </w:r>
      <w:r w:rsidR="002610DE" w:rsidRPr="00093396">
        <w:rPr>
          <w:rFonts w:asciiTheme="minorHAnsi" w:hAnsiTheme="minorHAnsi" w:cstheme="minorHAnsi"/>
          <w:sz w:val="24"/>
        </w:rPr>
        <w:t>P</w:t>
      </w:r>
      <w:r w:rsidR="009959A3" w:rsidRPr="00093396">
        <w:rPr>
          <w:rFonts w:asciiTheme="minorHAnsi" w:hAnsiTheme="minorHAnsi" w:cstheme="minorHAnsi"/>
          <w:sz w:val="24"/>
        </w:rPr>
        <w:t xml:space="preserve">řehled o </w:t>
      </w:r>
      <w:r w:rsidR="00946B4E" w:rsidRPr="00093396">
        <w:rPr>
          <w:rFonts w:asciiTheme="minorHAnsi" w:hAnsiTheme="minorHAnsi" w:cstheme="minorHAnsi"/>
          <w:sz w:val="24"/>
        </w:rPr>
        <w:t xml:space="preserve">celkových příjmech a výdajích </w:t>
      </w:r>
      <w:r w:rsidRPr="00093396">
        <w:rPr>
          <w:rFonts w:asciiTheme="minorHAnsi" w:hAnsiTheme="minorHAnsi" w:cstheme="minorHAnsi"/>
          <w:sz w:val="24"/>
        </w:rPr>
        <w:t xml:space="preserve">HZS </w:t>
      </w:r>
      <w:r w:rsidR="009959A3" w:rsidRPr="00093396">
        <w:rPr>
          <w:rFonts w:asciiTheme="minorHAnsi" w:hAnsiTheme="minorHAnsi" w:cstheme="minorHAnsi"/>
          <w:sz w:val="24"/>
        </w:rPr>
        <w:t>v letech 2012 až 2014</w:t>
      </w:r>
      <w:r w:rsidR="002610DE" w:rsidRPr="00093396">
        <w:rPr>
          <w:rFonts w:asciiTheme="minorHAnsi" w:hAnsiTheme="minorHAnsi" w:cstheme="minorHAnsi"/>
          <w:sz w:val="24"/>
        </w:rPr>
        <w:t xml:space="preserve"> uvádí následující tabulka</w:t>
      </w:r>
      <w:r w:rsidR="009959A3" w:rsidRPr="00093396">
        <w:rPr>
          <w:rFonts w:asciiTheme="minorHAnsi" w:hAnsiTheme="minorHAnsi" w:cstheme="minorHAnsi"/>
          <w:sz w:val="24"/>
        </w:rPr>
        <w:t>.</w:t>
      </w:r>
      <w:r w:rsidR="002610DE" w:rsidRPr="00093396">
        <w:rPr>
          <w:rFonts w:asciiTheme="minorHAnsi" w:hAnsiTheme="minorHAnsi" w:cstheme="minorHAnsi"/>
          <w:sz w:val="24"/>
        </w:rPr>
        <w:t xml:space="preserve"> </w:t>
      </w:r>
    </w:p>
    <w:p w14:paraId="3E5E99A2" w14:textId="51FB2340" w:rsidR="009959A3" w:rsidRPr="00093396" w:rsidRDefault="009959A3" w:rsidP="00F64BCE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70711B0A" w14:textId="3AE4AC63" w:rsidR="009959A3" w:rsidRPr="002610DE" w:rsidRDefault="009959A3" w:rsidP="00F64BCE">
      <w:pPr>
        <w:tabs>
          <w:tab w:val="righ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093396">
        <w:rPr>
          <w:rFonts w:asciiTheme="minorHAnsi" w:hAnsiTheme="minorHAnsi" w:cstheme="minorHAnsi"/>
          <w:b/>
          <w:sz w:val="24"/>
        </w:rPr>
        <w:t xml:space="preserve">Tabulka č. </w:t>
      </w:r>
      <w:r w:rsidR="002610DE" w:rsidRPr="00093396">
        <w:rPr>
          <w:rFonts w:asciiTheme="minorHAnsi" w:hAnsiTheme="minorHAnsi" w:cstheme="minorHAnsi"/>
          <w:b/>
          <w:sz w:val="24"/>
        </w:rPr>
        <w:t>1</w:t>
      </w:r>
      <w:r w:rsidRPr="00093396">
        <w:rPr>
          <w:rFonts w:asciiTheme="minorHAnsi" w:hAnsiTheme="minorHAnsi" w:cstheme="minorHAnsi"/>
          <w:b/>
          <w:sz w:val="24"/>
        </w:rPr>
        <w:t xml:space="preserve"> – </w:t>
      </w:r>
      <w:r w:rsidR="00946B4E" w:rsidRPr="00093396">
        <w:rPr>
          <w:rFonts w:asciiTheme="minorHAnsi" w:hAnsiTheme="minorHAnsi" w:cstheme="minorHAnsi"/>
          <w:b/>
          <w:sz w:val="24"/>
        </w:rPr>
        <w:t>Údaje o celkových příjmech a výdajích</w:t>
      </w:r>
      <w:r w:rsidRPr="00093396">
        <w:rPr>
          <w:rFonts w:asciiTheme="minorHAnsi" w:hAnsiTheme="minorHAnsi"/>
          <w:b/>
          <w:sz w:val="24"/>
        </w:rPr>
        <w:t xml:space="preserve"> </w:t>
      </w:r>
      <w:r w:rsidR="005B5DE5" w:rsidRPr="00093396">
        <w:rPr>
          <w:rFonts w:asciiTheme="minorHAnsi" w:hAnsiTheme="minorHAnsi"/>
          <w:b/>
          <w:sz w:val="24"/>
        </w:rPr>
        <w:t>HZS</w:t>
      </w:r>
      <w:r w:rsidR="005B5DE5" w:rsidRPr="00DE4003">
        <w:rPr>
          <w:rFonts w:asciiTheme="minorHAnsi" w:hAnsiTheme="minorHAnsi"/>
          <w:b/>
          <w:sz w:val="24"/>
        </w:rPr>
        <w:t xml:space="preserve"> </w:t>
      </w:r>
      <w:r w:rsidRPr="002610DE">
        <w:rPr>
          <w:rFonts w:asciiTheme="minorHAnsi" w:hAnsiTheme="minorHAnsi" w:cstheme="minorHAnsi"/>
          <w:sz w:val="24"/>
        </w:rPr>
        <w:tab/>
      </w:r>
      <w:r w:rsidRPr="00891861">
        <w:rPr>
          <w:rFonts w:asciiTheme="minorHAnsi" w:hAnsiTheme="minorHAnsi" w:cstheme="minorHAnsi"/>
          <w:b/>
          <w:sz w:val="24"/>
        </w:rPr>
        <w:t>(v tis. Kč)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906"/>
        <w:gridCol w:w="1044"/>
        <w:gridCol w:w="1046"/>
        <w:gridCol w:w="1044"/>
        <w:gridCol w:w="1044"/>
        <w:gridCol w:w="1113"/>
      </w:tblGrid>
      <w:tr w:rsidR="002610DE" w:rsidRPr="002610DE" w14:paraId="447A6141" w14:textId="77777777" w:rsidTr="00891861">
        <w:trPr>
          <w:trHeight w:val="283"/>
        </w:trPr>
        <w:tc>
          <w:tcPr>
            <w:tcW w:w="1581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E274399" w14:textId="71B62A3A" w:rsidR="009959A3" w:rsidRPr="002610DE" w:rsidRDefault="00F01C43" w:rsidP="001A76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653" w:type="pct"/>
            <w:gridSpan w:val="3"/>
            <w:shd w:val="clear" w:color="auto" w:fill="DBE5F1" w:themeFill="accent1" w:themeFillTint="33"/>
            <w:noWrap/>
            <w:vAlign w:val="center"/>
            <w:hideMark/>
          </w:tcPr>
          <w:p w14:paraId="03590CE4" w14:textId="77777777" w:rsidR="009959A3" w:rsidRPr="002610DE" w:rsidRDefault="009959A3" w:rsidP="00F64B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1766" w:type="pct"/>
            <w:gridSpan w:val="3"/>
            <w:shd w:val="clear" w:color="auto" w:fill="DBE5F1" w:themeFill="accent1" w:themeFillTint="33"/>
            <w:vAlign w:val="center"/>
          </w:tcPr>
          <w:p w14:paraId="0A50452C" w14:textId="77777777" w:rsidR="009959A3" w:rsidRPr="002610DE" w:rsidRDefault="009959A3" w:rsidP="00F64B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Výdaje</w:t>
            </w:r>
          </w:p>
        </w:tc>
      </w:tr>
      <w:tr w:rsidR="006C167B" w:rsidRPr="002610DE" w14:paraId="4341EDB2" w14:textId="77777777" w:rsidTr="00891861">
        <w:trPr>
          <w:trHeight w:val="227"/>
        </w:trPr>
        <w:tc>
          <w:tcPr>
            <w:tcW w:w="1581" w:type="pct"/>
            <w:vMerge/>
            <w:shd w:val="clear" w:color="auto" w:fill="DBE5F1" w:themeFill="accent1" w:themeFillTint="33"/>
            <w:noWrap/>
            <w:vAlign w:val="center"/>
          </w:tcPr>
          <w:p w14:paraId="25F1E444" w14:textId="77777777" w:rsidR="009959A3" w:rsidRPr="002610DE" w:rsidRDefault="009959A3" w:rsidP="00F64B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shd w:val="clear" w:color="auto" w:fill="DBE5F1" w:themeFill="accent1" w:themeFillTint="33"/>
            <w:noWrap/>
            <w:vAlign w:val="center"/>
          </w:tcPr>
          <w:p w14:paraId="4BCEBC86" w14:textId="77777777" w:rsidR="009959A3" w:rsidRPr="002610DE" w:rsidRDefault="009959A3" w:rsidP="00F64B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576" w:type="pct"/>
            <w:shd w:val="clear" w:color="auto" w:fill="DBE5F1" w:themeFill="accent1" w:themeFillTint="33"/>
            <w:vAlign w:val="center"/>
          </w:tcPr>
          <w:p w14:paraId="552346E2" w14:textId="77777777" w:rsidR="009959A3" w:rsidRPr="002610DE" w:rsidRDefault="009959A3" w:rsidP="00F64B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577" w:type="pct"/>
            <w:shd w:val="clear" w:color="auto" w:fill="DBE5F1" w:themeFill="accent1" w:themeFillTint="33"/>
            <w:vAlign w:val="center"/>
          </w:tcPr>
          <w:p w14:paraId="45631CA6" w14:textId="77777777" w:rsidR="009959A3" w:rsidRPr="002610DE" w:rsidRDefault="009959A3" w:rsidP="00F64B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576" w:type="pct"/>
            <w:shd w:val="clear" w:color="auto" w:fill="DBE5F1" w:themeFill="accent1" w:themeFillTint="33"/>
            <w:vAlign w:val="center"/>
          </w:tcPr>
          <w:p w14:paraId="064EF043" w14:textId="77777777" w:rsidR="009959A3" w:rsidRPr="002610DE" w:rsidRDefault="009959A3" w:rsidP="00F64B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576" w:type="pct"/>
            <w:shd w:val="clear" w:color="auto" w:fill="DBE5F1" w:themeFill="accent1" w:themeFillTint="33"/>
            <w:noWrap/>
            <w:vAlign w:val="center"/>
          </w:tcPr>
          <w:p w14:paraId="1D63F9A8" w14:textId="77777777" w:rsidR="009959A3" w:rsidRPr="002610DE" w:rsidRDefault="009959A3" w:rsidP="00F64B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14" w:type="pct"/>
            <w:shd w:val="clear" w:color="auto" w:fill="DBE5F1" w:themeFill="accent1" w:themeFillTint="33"/>
            <w:vAlign w:val="center"/>
          </w:tcPr>
          <w:p w14:paraId="1F6D682B" w14:textId="77777777" w:rsidR="009959A3" w:rsidRPr="002610DE" w:rsidRDefault="009959A3" w:rsidP="00F64B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2014</w:t>
            </w:r>
          </w:p>
        </w:tc>
      </w:tr>
      <w:tr w:rsidR="002610DE" w:rsidRPr="002610DE" w14:paraId="12262788" w14:textId="77777777" w:rsidTr="006734C1">
        <w:trPr>
          <w:trHeight w:val="315"/>
        </w:trPr>
        <w:tc>
          <w:tcPr>
            <w:tcW w:w="1581" w:type="pct"/>
            <w:shd w:val="clear" w:color="auto" w:fill="auto"/>
            <w:noWrap/>
            <w:vAlign w:val="center"/>
            <w:hideMark/>
          </w:tcPr>
          <w:p w14:paraId="5348A8B8" w14:textId="77777777" w:rsidR="009959A3" w:rsidRPr="002610DE" w:rsidRDefault="009959A3" w:rsidP="00F64BCE">
            <w:pP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257D79A1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1 154 739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59AFE6B6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1 350 504 </w:t>
            </w:r>
          </w:p>
        </w:tc>
        <w:tc>
          <w:tcPr>
            <w:tcW w:w="577" w:type="pct"/>
            <w:vAlign w:val="center"/>
          </w:tcPr>
          <w:p w14:paraId="4C32AA0F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1 203 316</w:t>
            </w:r>
          </w:p>
        </w:tc>
        <w:tc>
          <w:tcPr>
            <w:tcW w:w="576" w:type="pct"/>
            <w:vAlign w:val="center"/>
          </w:tcPr>
          <w:p w14:paraId="4EB2E866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6 847 768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408A80EC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6 934 624 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C80BED8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6 895 487</w:t>
            </w:r>
          </w:p>
        </w:tc>
      </w:tr>
      <w:tr w:rsidR="002610DE" w:rsidRPr="002610DE" w14:paraId="68D0B991" w14:textId="77777777" w:rsidTr="006734C1">
        <w:trPr>
          <w:trHeight w:val="315"/>
        </w:trPr>
        <w:tc>
          <w:tcPr>
            <w:tcW w:w="1581" w:type="pct"/>
            <w:shd w:val="clear" w:color="auto" w:fill="auto"/>
            <w:noWrap/>
            <w:vAlign w:val="center"/>
            <w:hideMark/>
          </w:tcPr>
          <w:p w14:paraId="5CC755AF" w14:textId="77777777" w:rsidR="009959A3" w:rsidRPr="002610DE" w:rsidRDefault="009959A3" w:rsidP="00F64BCE">
            <w:pP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Rozpočet po změnách 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662F0D23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1 151 586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3617ED81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2 092 079</w:t>
            </w:r>
          </w:p>
        </w:tc>
        <w:tc>
          <w:tcPr>
            <w:tcW w:w="577" w:type="pct"/>
            <w:vAlign w:val="center"/>
          </w:tcPr>
          <w:p w14:paraId="4EFF3605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1 394 394</w:t>
            </w:r>
          </w:p>
        </w:tc>
        <w:tc>
          <w:tcPr>
            <w:tcW w:w="576" w:type="pct"/>
            <w:vAlign w:val="center"/>
          </w:tcPr>
          <w:p w14:paraId="2FC83496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7 494 242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2E961F02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8 072 999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0305243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7 229 049</w:t>
            </w:r>
          </w:p>
        </w:tc>
      </w:tr>
      <w:tr w:rsidR="002610DE" w:rsidRPr="002610DE" w14:paraId="036590A1" w14:textId="77777777" w:rsidTr="006734C1">
        <w:trPr>
          <w:trHeight w:val="315"/>
        </w:trPr>
        <w:tc>
          <w:tcPr>
            <w:tcW w:w="1581" w:type="pct"/>
            <w:shd w:val="clear" w:color="auto" w:fill="auto"/>
            <w:noWrap/>
            <w:vAlign w:val="center"/>
          </w:tcPr>
          <w:p w14:paraId="2A6BD8BA" w14:textId="7EE8A833" w:rsidR="009959A3" w:rsidRPr="002610DE" w:rsidRDefault="000136FE" w:rsidP="000136FE">
            <w:pPr>
              <w:ind w:left="84" w:right="-7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M</w:t>
            </w:r>
            <w:r w:rsidR="009959A3"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imorozpočtové zdroje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06662460" w14:textId="451F57FD" w:rsidR="009959A3" w:rsidRPr="002610DE" w:rsidRDefault="001A7626" w:rsidP="00F64BCE">
            <w:pPr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178E3152" w14:textId="5E7F524F" w:rsidR="009959A3" w:rsidRPr="002610DE" w:rsidRDefault="001A7626" w:rsidP="00F64BCE">
            <w:pPr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577" w:type="pct"/>
            <w:vAlign w:val="center"/>
          </w:tcPr>
          <w:p w14:paraId="4506E457" w14:textId="558592E4" w:rsidR="009959A3" w:rsidRPr="002610DE" w:rsidRDefault="001A7626" w:rsidP="00F64BCE">
            <w:pPr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576" w:type="pct"/>
            <w:vAlign w:val="center"/>
          </w:tcPr>
          <w:p w14:paraId="3472B75F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257 249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2FF18237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274 707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5F1D557D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384 014 </w:t>
            </w:r>
          </w:p>
        </w:tc>
      </w:tr>
      <w:tr w:rsidR="002610DE" w:rsidRPr="002610DE" w14:paraId="089C1B84" w14:textId="77777777" w:rsidTr="006734C1">
        <w:trPr>
          <w:trHeight w:val="315"/>
        </w:trPr>
        <w:tc>
          <w:tcPr>
            <w:tcW w:w="1581" w:type="pct"/>
            <w:shd w:val="clear" w:color="auto" w:fill="auto"/>
            <w:noWrap/>
            <w:vAlign w:val="center"/>
          </w:tcPr>
          <w:p w14:paraId="6A6A1966" w14:textId="4335B953" w:rsidR="009959A3" w:rsidRPr="002610DE" w:rsidRDefault="0001420B" w:rsidP="00CB07BE">
            <w:pPr>
              <w:ind w:left="84" w:right="-7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NNV</w:t>
            </w:r>
            <w:r w:rsidR="00CB07B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035D3EA4" w14:textId="257413B1" w:rsidR="009959A3" w:rsidRPr="002610DE" w:rsidRDefault="001A7626" w:rsidP="00F64BCE">
            <w:pPr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2B38D23A" w14:textId="71244231" w:rsidR="009959A3" w:rsidRPr="002610DE" w:rsidRDefault="001A7626" w:rsidP="00F64BCE">
            <w:pPr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577" w:type="pct"/>
            <w:vAlign w:val="center"/>
          </w:tcPr>
          <w:p w14:paraId="3DE5BAD6" w14:textId="170C58AD" w:rsidR="009959A3" w:rsidRPr="002610DE" w:rsidRDefault="001A7626" w:rsidP="00F64BCE">
            <w:pPr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576" w:type="pct"/>
            <w:vAlign w:val="center"/>
          </w:tcPr>
          <w:p w14:paraId="313D6D53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469 530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1C97CADE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1 406 852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064E6598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1 704 067</w:t>
            </w:r>
          </w:p>
        </w:tc>
      </w:tr>
      <w:tr w:rsidR="002610DE" w:rsidRPr="002610DE" w14:paraId="4DA08B0A" w14:textId="77777777" w:rsidTr="006734C1">
        <w:trPr>
          <w:trHeight w:val="315"/>
        </w:trPr>
        <w:tc>
          <w:tcPr>
            <w:tcW w:w="1581" w:type="pct"/>
            <w:shd w:val="clear" w:color="auto" w:fill="auto"/>
            <w:noWrap/>
            <w:vAlign w:val="center"/>
          </w:tcPr>
          <w:p w14:paraId="67D83945" w14:textId="03AB56CC" w:rsidR="009959A3" w:rsidRPr="002610DE" w:rsidRDefault="00EF68B1" w:rsidP="00EF68B1">
            <w:pP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6D19ED3F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1 151 586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16AF7A48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2 092 079</w:t>
            </w:r>
          </w:p>
        </w:tc>
        <w:tc>
          <w:tcPr>
            <w:tcW w:w="577" w:type="pct"/>
            <w:vAlign w:val="center"/>
          </w:tcPr>
          <w:p w14:paraId="64F2E150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1 394 394</w:t>
            </w:r>
          </w:p>
        </w:tc>
        <w:tc>
          <w:tcPr>
            <w:tcW w:w="576" w:type="pct"/>
            <w:vAlign w:val="center"/>
          </w:tcPr>
          <w:p w14:paraId="54BAAD00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8 221 021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188BCB45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9 754 558 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601C99E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9 317 130</w:t>
            </w:r>
          </w:p>
        </w:tc>
      </w:tr>
      <w:tr w:rsidR="002610DE" w:rsidRPr="002610DE" w14:paraId="54BD1205" w14:textId="77777777" w:rsidTr="006734C1">
        <w:trPr>
          <w:trHeight w:val="315"/>
        </w:trPr>
        <w:tc>
          <w:tcPr>
            <w:tcW w:w="1581" w:type="pct"/>
            <w:shd w:val="clear" w:color="auto" w:fill="auto"/>
            <w:noWrap/>
            <w:vAlign w:val="center"/>
            <w:hideMark/>
          </w:tcPr>
          <w:p w14:paraId="2302D3E7" w14:textId="038CB3CB" w:rsidR="009959A3" w:rsidRPr="002610DE" w:rsidRDefault="009959A3" w:rsidP="00ED201C">
            <w:pP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3E881385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1 376 756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05619D8D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1 511 799 </w:t>
            </w:r>
          </w:p>
        </w:tc>
        <w:tc>
          <w:tcPr>
            <w:tcW w:w="577" w:type="pct"/>
            <w:vAlign w:val="center"/>
          </w:tcPr>
          <w:p w14:paraId="0CE5E199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2 435 800</w:t>
            </w:r>
          </w:p>
        </w:tc>
        <w:tc>
          <w:tcPr>
            <w:tcW w:w="576" w:type="pct"/>
            <w:vAlign w:val="center"/>
          </w:tcPr>
          <w:p w14:paraId="6A0C66F9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6 944 298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78D747BA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8 257 486 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5E7B2A3" w14:textId="77777777" w:rsidR="009959A3" w:rsidRPr="002610DE" w:rsidRDefault="009959A3" w:rsidP="00F64BCE">
            <w:pPr>
              <w:ind w:left="-7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10D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7 757 726</w:t>
            </w:r>
          </w:p>
        </w:tc>
      </w:tr>
    </w:tbl>
    <w:p w14:paraId="31E82FF3" w14:textId="579464EE" w:rsidR="009959A3" w:rsidRPr="002610DE" w:rsidRDefault="009959A3" w:rsidP="00F64BCE">
      <w:pPr>
        <w:autoSpaceDE w:val="0"/>
        <w:autoSpaceDN w:val="0"/>
        <w:adjustRightInd w:val="0"/>
        <w:rPr>
          <w:rFonts w:ascii="Calibri" w:hAnsi="Calibri" w:cs="Calibri"/>
          <w:sz w:val="20"/>
          <w:szCs w:val="18"/>
        </w:rPr>
      </w:pPr>
      <w:r w:rsidRPr="002610DE">
        <w:rPr>
          <w:rFonts w:ascii="Calibri" w:hAnsi="Calibri" w:cs="Calibri"/>
          <w:b/>
          <w:sz w:val="20"/>
          <w:szCs w:val="18"/>
        </w:rPr>
        <w:t>Zdroj:</w:t>
      </w:r>
      <w:r w:rsidRPr="002610DE">
        <w:rPr>
          <w:rFonts w:ascii="Calibri" w:hAnsi="Calibri" w:cs="Calibri"/>
          <w:sz w:val="20"/>
          <w:szCs w:val="18"/>
        </w:rPr>
        <w:t xml:space="preserve"> </w:t>
      </w:r>
      <w:r w:rsidR="001A7626">
        <w:rPr>
          <w:rFonts w:ascii="Calibri" w:hAnsi="Calibri" w:cs="Calibri"/>
          <w:sz w:val="20"/>
          <w:szCs w:val="18"/>
        </w:rPr>
        <w:t>z</w:t>
      </w:r>
      <w:r w:rsidRPr="002610DE">
        <w:rPr>
          <w:rFonts w:ascii="Calibri" w:hAnsi="Calibri" w:cs="Calibri"/>
          <w:sz w:val="20"/>
          <w:szCs w:val="18"/>
        </w:rPr>
        <w:t xml:space="preserve">práva o činnosti za rok 2012, </w:t>
      </w:r>
      <w:r w:rsidR="001A7626">
        <w:rPr>
          <w:rFonts w:ascii="Calibri" w:hAnsi="Calibri" w:cs="Calibri"/>
          <w:sz w:val="20"/>
          <w:szCs w:val="18"/>
        </w:rPr>
        <w:t>z</w:t>
      </w:r>
      <w:r w:rsidRPr="002610DE">
        <w:rPr>
          <w:rFonts w:ascii="Calibri" w:hAnsi="Calibri" w:cs="Calibri"/>
          <w:sz w:val="20"/>
          <w:szCs w:val="18"/>
        </w:rPr>
        <w:t xml:space="preserve">práva o činnosti za rok 2013, </w:t>
      </w:r>
      <w:r w:rsidR="001A7626">
        <w:rPr>
          <w:rFonts w:ascii="Calibri" w:hAnsi="Calibri" w:cs="Calibri"/>
          <w:sz w:val="20"/>
          <w:szCs w:val="18"/>
        </w:rPr>
        <w:t>z</w:t>
      </w:r>
      <w:r w:rsidRPr="002610DE">
        <w:rPr>
          <w:rFonts w:ascii="Calibri" w:hAnsi="Calibri" w:cs="Calibri"/>
          <w:sz w:val="20"/>
          <w:szCs w:val="18"/>
        </w:rPr>
        <w:t xml:space="preserve">ápis </w:t>
      </w:r>
      <w:r w:rsidR="00927E77">
        <w:rPr>
          <w:rFonts w:ascii="Calibri" w:hAnsi="Calibri" w:cs="Calibri"/>
          <w:sz w:val="20"/>
          <w:szCs w:val="18"/>
        </w:rPr>
        <w:t>GŘ</w:t>
      </w:r>
      <w:r w:rsidRPr="002610DE">
        <w:rPr>
          <w:rFonts w:ascii="Calibri" w:hAnsi="Calibri" w:cs="Calibri"/>
          <w:sz w:val="20"/>
          <w:szCs w:val="18"/>
        </w:rPr>
        <w:t xml:space="preserve"> ze dne 25. 8. 2015.</w:t>
      </w:r>
    </w:p>
    <w:p w14:paraId="4D0E4CE0" w14:textId="72F0EF00" w:rsidR="00DE1737" w:rsidRPr="0001420B" w:rsidRDefault="00A64C33" w:rsidP="0001420B">
      <w:pPr>
        <w:shd w:val="clear" w:color="auto" w:fill="FFFFFF"/>
        <w:tabs>
          <w:tab w:val="left" w:pos="284"/>
        </w:tabs>
        <w:ind w:left="284" w:hanging="284"/>
        <w:rPr>
          <w:rFonts w:ascii="Calibri" w:hAnsi="Calibri" w:cs="Calibri"/>
          <w:sz w:val="20"/>
          <w:szCs w:val="18"/>
        </w:rPr>
      </w:pPr>
      <w:r w:rsidRPr="0001420B">
        <w:rPr>
          <w:rFonts w:ascii="Calibri" w:hAnsi="Calibri" w:cs="Calibri"/>
          <w:sz w:val="20"/>
          <w:szCs w:val="18"/>
        </w:rPr>
        <w:t>*</w:t>
      </w:r>
      <w:r w:rsidR="001A7626">
        <w:rPr>
          <w:rFonts w:ascii="Calibri" w:hAnsi="Calibri" w:cs="Calibri"/>
          <w:sz w:val="20"/>
          <w:szCs w:val="18"/>
        </w:rPr>
        <w:t xml:space="preserve"> </w:t>
      </w:r>
      <w:r w:rsidR="0001420B" w:rsidRPr="0001420B">
        <w:rPr>
          <w:rFonts w:ascii="Calibri" w:hAnsi="Calibri" w:cs="Calibri"/>
          <w:sz w:val="20"/>
          <w:szCs w:val="18"/>
        </w:rPr>
        <w:t xml:space="preserve">Nároky </w:t>
      </w:r>
      <w:r w:rsidR="00AF3C8F">
        <w:rPr>
          <w:rFonts w:ascii="Calibri" w:hAnsi="Calibri" w:cs="Calibri"/>
          <w:sz w:val="20"/>
          <w:szCs w:val="18"/>
        </w:rPr>
        <w:t>z </w:t>
      </w:r>
      <w:r w:rsidR="0001420B" w:rsidRPr="0001420B">
        <w:rPr>
          <w:rFonts w:ascii="Calibri" w:hAnsi="Calibri" w:cs="Calibri"/>
          <w:sz w:val="20"/>
          <w:szCs w:val="18"/>
        </w:rPr>
        <w:t>ne</w:t>
      </w:r>
      <w:r w:rsidR="00DE1737" w:rsidRPr="0001420B">
        <w:rPr>
          <w:rFonts w:ascii="Calibri" w:hAnsi="Calibri" w:cs="Calibri"/>
          <w:sz w:val="20"/>
          <w:szCs w:val="18"/>
        </w:rPr>
        <w:t>spotřebovan</w:t>
      </w:r>
      <w:r w:rsidR="0001420B" w:rsidRPr="0001420B">
        <w:rPr>
          <w:rFonts w:ascii="Calibri" w:hAnsi="Calibri" w:cs="Calibri"/>
          <w:sz w:val="20"/>
          <w:szCs w:val="18"/>
        </w:rPr>
        <w:t>ých</w:t>
      </w:r>
      <w:r w:rsidR="00DE1737" w:rsidRPr="0001420B">
        <w:rPr>
          <w:rFonts w:ascii="Calibri" w:hAnsi="Calibri" w:cs="Calibri"/>
          <w:sz w:val="20"/>
          <w:szCs w:val="18"/>
        </w:rPr>
        <w:t xml:space="preserve"> výdaj</w:t>
      </w:r>
      <w:r w:rsidR="0001420B" w:rsidRPr="0001420B">
        <w:rPr>
          <w:rFonts w:ascii="Calibri" w:hAnsi="Calibri" w:cs="Calibri"/>
          <w:sz w:val="20"/>
          <w:szCs w:val="18"/>
        </w:rPr>
        <w:t>ů</w:t>
      </w:r>
      <w:r w:rsidR="009E45F5">
        <w:rPr>
          <w:rFonts w:ascii="Calibri" w:hAnsi="Calibri" w:cs="Calibri"/>
          <w:sz w:val="20"/>
          <w:szCs w:val="18"/>
        </w:rPr>
        <w:t>.</w:t>
      </w:r>
      <w:r w:rsidR="00DE1737" w:rsidRPr="0001420B">
        <w:rPr>
          <w:rFonts w:ascii="Calibri" w:hAnsi="Calibri" w:cs="Calibri"/>
          <w:sz w:val="20"/>
          <w:szCs w:val="18"/>
        </w:rPr>
        <w:t xml:space="preserve"> </w:t>
      </w:r>
    </w:p>
    <w:p w14:paraId="12A32072" w14:textId="39163F40" w:rsidR="004C4823" w:rsidRDefault="004C4823" w:rsidP="00F64BCE">
      <w:pPr>
        <w:rPr>
          <w:rFonts w:asciiTheme="minorHAnsi" w:hAnsiTheme="minorHAnsi" w:cstheme="minorHAnsi"/>
          <w:sz w:val="24"/>
        </w:rPr>
      </w:pPr>
    </w:p>
    <w:p w14:paraId="09049C49" w14:textId="08AA6A6B" w:rsidR="00CB07BE" w:rsidRDefault="0040693B" w:rsidP="00FA5E0F">
      <w:pPr>
        <w:shd w:val="clear" w:color="auto" w:fill="FFFFFF"/>
        <w:rPr>
          <w:rFonts w:ascii="Calibri" w:hAnsi="Calibri" w:cs="Calibri"/>
          <w:sz w:val="24"/>
        </w:rPr>
      </w:pPr>
      <w:r w:rsidRPr="0040693B">
        <w:rPr>
          <w:rFonts w:ascii="Calibri" w:hAnsi="Calibri" w:cs="Calibri"/>
          <w:sz w:val="24"/>
        </w:rPr>
        <w:t xml:space="preserve">Nároky </w:t>
      </w:r>
      <w:r w:rsidR="00AF3C8F">
        <w:rPr>
          <w:rFonts w:ascii="Calibri" w:hAnsi="Calibri" w:cs="Calibri"/>
          <w:sz w:val="24"/>
        </w:rPr>
        <w:t>z </w:t>
      </w:r>
      <w:r w:rsidRPr="0040693B">
        <w:rPr>
          <w:rFonts w:ascii="Calibri" w:hAnsi="Calibri" w:cs="Calibri"/>
          <w:sz w:val="24"/>
        </w:rPr>
        <w:t>nespotřebovaných výdajů</w:t>
      </w:r>
      <w:r w:rsidRPr="00CB07BE">
        <w:rPr>
          <w:rFonts w:ascii="Calibri" w:hAnsi="Calibri" w:cs="Calibri"/>
          <w:sz w:val="24"/>
        </w:rPr>
        <w:t xml:space="preserve"> </w:t>
      </w:r>
      <w:r w:rsidR="00CB07BE" w:rsidRPr="00CB07BE">
        <w:rPr>
          <w:rFonts w:ascii="Calibri" w:hAnsi="Calibri" w:cs="Calibri"/>
          <w:sz w:val="24"/>
        </w:rPr>
        <w:t xml:space="preserve">tvoří především nevyčerpané prostředky z projektů spolufinancovaných </w:t>
      </w:r>
      <w:r w:rsidR="00CC5FEE">
        <w:rPr>
          <w:rFonts w:ascii="Calibri" w:hAnsi="Calibri" w:cs="Calibri"/>
          <w:sz w:val="24"/>
        </w:rPr>
        <w:t>Evropsk</w:t>
      </w:r>
      <w:r w:rsidR="001A7626">
        <w:rPr>
          <w:rFonts w:ascii="Calibri" w:hAnsi="Calibri" w:cs="Calibri"/>
          <w:sz w:val="24"/>
        </w:rPr>
        <w:t>ou</w:t>
      </w:r>
      <w:r w:rsidR="00CC5FEE">
        <w:rPr>
          <w:rFonts w:ascii="Calibri" w:hAnsi="Calibri" w:cs="Calibri"/>
          <w:sz w:val="24"/>
        </w:rPr>
        <w:t xml:space="preserve"> uni</w:t>
      </w:r>
      <w:r w:rsidR="001A7626">
        <w:rPr>
          <w:rFonts w:ascii="Calibri" w:hAnsi="Calibri" w:cs="Calibri"/>
          <w:sz w:val="24"/>
        </w:rPr>
        <w:t>í</w:t>
      </w:r>
      <w:r w:rsidR="00CB07BE" w:rsidRPr="00CB07BE">
        <w:rPr>
          <w:rFonts w:ascii="Calibri" w:hAnsi="Calibri" w:cs="Calibri"/>
          <w:sz w:val="24"/>
        </w:rPr>
        <w:t xml:space="preserve">. </w:t>
      </w:r>
    </w:p>
    <w:p w14:paraId="46739DD5" w14:textId="157A98AB" w:rsidR="00427C01" w:rsidRPr="00C52FEE" w:rsidRDefault="00427C01" w:rsidP="00F64BCE">
      <w:pPr>
        <w:rPr>
          <w:rFonts w:asciiTheme="minorHAnsi" w:hAnsiTheme="minorHAnsi" w:cstheme="minorHAnsi"/>
          <w:sz w:val="24"/>
        </w:rPr>
      </w:pPr>
      <w:r w:rsidRPr="00B86FD0">
        <w:rPr>
          <w:rFonts w:asciiTheme="minorHAnsi" w:hAnsiTheme="minorHAnsi" w:cstheme="minorHAnsi"/>
          <w:sz w:val="24"/>
        </w:rPr>
        <w:lastRenderedPageBreak/>
        <w:t>NKÚ v rámci své kontrolní činnosti provedl kontrolu č. 1</w:t>
      </w:r>
      <w:r>
        <w:rPr>
          <w:rFonts w:asciiTheme="minorHAnsi" w:hAnsiTheme="minorHAnsi" w:cstheme="minorHAnsi"/>
          <w:sz w:val="24"/>
        </w:rPr>
        <w:t>4</w:t>
      </w:r>
      <w:r w:rsidRPr="00B86FD0">
        <w:rPr>
          <w:rFonts w:asciiTheme="minorHAnsi" w:hAnsiTheme="minorHAnsi" w:cstheme="minorHAnsi"/>
          <w:sz w:val="24"/>
        </w:rPr>
        <w:t>/2</w:t>
      </w:r>
      <w:r>
        <w:rPr>
          <w:rFonts w:asciiTheme="minorHAnsi" w:hAnsiTheme="minorHAnsi" w:cstheme="minorHAnsi"/>
          <w:sz w:val="24"/>
        </w:rPr>
        <w:t>3</w:t>
      </w:r>
      <w:r w:rsidRPr="00B86FD0">
        <w:rPr>
          <w:rStyle w:val="Znakapoznpodarou"/>
          <w:rFonts w:asciiTheme="minorHAnsi" w:hAnsiTheme="minorHAnsi" w:cstheme="minorHAnsi"/>
          <w:sz w:val="24"/>
        </w:rPr>
        <w:footnoteReference w:id="5"/>
      </w:r>
      <w:r w:rsidRPr="00B86FD0">
        <w:rPr>
          <w:rFonts w:asciiTheme="minorHAnsi" w:hAnsiTheme="minorHAnsi" w:cstheme="minorHAnsi"/>
          <w:sz w:val="24"/>
        </w:rPr>
        <w:t xml:space="preserve">, která byla zaměřena na </w:t>
      </w:r>
      <w:r>
        <w:rPr>
          <w:rFonts w:asciiTheme="minorHAnsi" w:hAnsiTheme="minorHAnsi" w:cstheme="minorHAnsi"/>
          <w:sz w:val="24"/>
        </w:rPr>
        <w:t xml:space="preserve">prověření </w:t>
      </w:r>
      <w:r w:rsidRPr="00DE1737">
        <w:rPr>
          <w:rFonts w:asciiTheme="minorHAnsi" w:hAnsiTheme="minorHAnsi" w:cstheme="minorHAnsi"/>
          <w:sz w:val="24"/>
        </w:rPr>
        <w:t xml:space="preserve">poskytování, čerpání a použití peněžních prostředků určených na rozvoj a obnovu materiálně technické základny </w:t>
      </w:r>
      <w:r w:rsidR="00DA7297">
        <w:rPr>
          <w:rFonts w:asciiTheme="minorHAnsi" w:hAnsiTheme="minorHAnsi" w:cstheme="minorHAnsi"/>
          <w:sz w:val="24"/>
        </w:rPr>
        <w:t xml:space="preserve">HZS. </w:t>
      </w:r>
      <w:r w:rsidRPr="00C52FEE">
        <w:rPr>
          <w:rFonts w:asciiTheme="minorHAnsi" w:hAnsiTheme="minorHAnsi" w:cstheme="minorHAnsi"/>
          <w:sz w:val="24"/>
        </w:rPr>
        <w:t xml:space="preserve">V současné době </w:t>
      </w:r>
      <w:r w:rsidR="008B55BC">
        <w:rPr>
          <w:rFonts w:asciiTheme="minorHAnsi" w:hAnsiTheme="minorHAnsi" w:cstheme="minorHAnsi"/>
          <w:sz w:val="24"/>
        </w:rPr>
        <w:t>provádí</w:t>
      </w:r>
      <w:r w:rsidRPr="00C52FEE">
        <w:rPr>
          <w:rFonts w:asciiTheme="minorHAnsi" w:hAnsiTheme="minorHAnsi" w:cstheme="minorHAnsi"/>
          <w:sz w:val="24"/>
        </w:rPr>
        <w:t xml:space="preserve"> kontrol</w:t>
      </w:r>
      <w:r w:rsidR="008B55BC">
        <w:rPr>
          <w:rFonts w:asciiTheme="minorHAnsi" w:hAnsiTheme="minorHAnsi" w:cstheme="minorHAnsi"/>
          <w:sz w:val="24"/>
        </w:rPr>
        <w:t>u</w:t>
      </w:r>
      <w:r w:rsidRPr="00C52FEE">
        <w:rPr>
          <w:rFonts w:asciiTheme="minorHAnsi" w:hAnsiTheme="minorHAnsi" w:cstheme="minorHAnsi"/>
          <w:sz w:val="24"/>
        </w:rPr>
        <w:t xml:space="preserve"> č. 15/32</w:t>
      </w:r>
      <w:r w:rsidRPr="00C52FEE">
        <w:rPr>
          <w:rStyle w:val="Znakapoznpodarou"/>
          <w:rFonts w:asciiTheme="minorHAnsi" w:hAnsiTheme="minorHAnsi" w:cstheme="minorHAnsi"/>
          <w:sz w:val="24"/>
        </w:rPr>
        <w:footnoteReference w:id="6"/>
      </w:r>
      <w:r w:rsidR="008B55BC">
        <w:rPr>
          <w:rFonts w:asciiTheme="minorHAnsi" w:hAnsiTheme="minorHAnsi" w:cstheme="minorHAnsi"/>
          <w:sz w:val="24"/>
        </w:rPr>
        <w:t>,</w:t>
      </w:r>
      <w:r w:rsidRPr="00C52FEE">
        <w:rPr>
          <w:rFonts w:asciiTheme="minorHAnsi" w:hAnsiTheme="minorHAnsi" w:cstheme="minorHAnsi"/>
          <w:sz w:val="24"/>
        </w:rPr>
        <w:t xml:space="preserve"> jejímž cílem je prověřit, zda </w:t>
      </w:r>
      <w:r w:rsidR="00A41B9D">
        <w:rPr>
          <w:rFonts w:asciiTheme="minorHAnsi" w:hAnsiTheme="minorHAnsi" w:cstheme="minorHAnsi"/>
          <w:sz w:val="24"/>
        </w:rPr>
        <w:t>Ministerstvo vnitra</w:t>
      </w:r>
      <w:r w:rsidRPr="00C52FEE">
        <w:rPr>
          <w:rFonts w:asciiTheme="minorHAnsi" w:hAnsiTheme="minorHAnsi" w:cstheme="minorHAnsi"/>
          <w:sz w:val="24"/>
        </w:rPr>
        <w:t xml:space="preserve"> při vedení účetnict</w:t>
      </w:r>
      <w:r w:rsidR="004C4823">
        <w:rPr>
          <w:rFonts w:asciiTheme="minorHAnsi" w:hAnsiTheme="minorHAnsi" w:cstheme="minorHAnsi"/>
          <w:sz w:val="24"/>
        </w:rPr>
        <w:t>ví a sestavení účetní závěrky k </w:t>
      </w:r>
      <w:r w:rsidRPr="00C52FEE">
        <w:rPr>
          <w:rFonts w:asciiTheme="minorHAnsi" w:hAnsiTheme="minorHAnsi" w:cstheme="minorHAnsi"/>
          <w:sz w:val="24"/>
        </w:rPr>
        <w:t>31.</w:t>
      </w:r>
      <w:r w:rsidR="000A7118">
        <w:rPr>
          <w:rFonts w:asciiTheme="minorHAnsi" w:hAnsiTheme="minorHAnsi" w:cstheme="minorHAnsi"/>
          <w:sz w:val="24"/>
        </w:rPr>
        <w:t> </w:t>
      </w:r>
      <w:r w:rsidRPr="00C52FEE">
        <w:rPr>
          <w:rFonts w:asciiTheme="minorHAnsi" w:hAnsiTheme="minorHAnsi" w:cstheme="minorHAnsi"/>
          <w:sz w:val="24"/>
        </w:rPr>
        <w:t>12.</w:t>
      </w:r>
      <w:r w:rsidR="000A7118">
        <w:rPr>
          <w:rFonts w:asciiTheme="minorHAnsi" w:hAnsiTheme="minorHAnsi" w:cstheme="minorHAnsi"/>
          <w:sz w:val="24"/>
        </w:rPr>
        <w:t> </w:t>
      </w:r>
      <w:r w:rsidRPr="00C52FEE">
        <w:rPr>
          <w:rFonts w:asciiTheme="minorHAnsi" w:hAnsiTheme="minorHAnsi" w:cstheme="minorHAnsi"/>
          <w:sz w:val="24"/>
        </w:rPr>
        <w:t xml:space="preserve">2014 postupovalo </w:t>
      </w:r>
      <w:r w:rsidR="00AF3C8F">
        <w:rPr>
          <w:rFonts w:asciiTheme="minorHAnsi" w:hAnsiTheme="minorHAnsi" w:cstheme="minorHAnsi"/>
          <w:sz w:val="24"/>
        </w:rPr>
        <w:t>v </w:t>
      </w:r>
      <w:r w:rsidRPr="00C52FEE">
        <w:rPr>
          <w:rFonts w:asciiTheme="minorHAnsi" w:hAnsiTheme="minorHAnsi" w:cstheme="minorHAnsi"/>
          <w:sz w:val="24"/>
        </w:rPr>
        <w:t xml:space="preserve">souladu </w:t>
      </w:r>
      <w:r w:rsidR="00AF3C8F">
        <w:rPr>
          <w:rFonts w:asciiTheme="minorHAnsi" w:hAnsiTheme="minorHAnsi" w:cstheme="minorHAnsi"/>
          <w:sz w:val="24"/>
        </w:rPr>
        <w:t>s </w:t>
      </w:r>
      <w:r w:rsidRPr="00C52FEE">
        <w:rPr>
          <w:rFonts w:asciiTheme="minorHAnsi" w:hAnsiTheme="minorHAnsi" w:cstheme="minorHAnsi"/>
          <w:sz w:val="24"/>
        </w:rPr>
        <w:t>příslušnými právními předpisy.</w:t>
      </w:r>
    </w:p>
    <w:p w14:paraId="2541B963" w14:textId="77777777" w:rsidR="002610DE" w:rsidRDefault="002610DE" w:rsidP="00F64BCE">
      <w:pPr>
        <w:rPr>
          <w:rFonts w:asciiTheme="minorHAnsi" w:hAnsiTheme="minorHAnsi" w:cstheme="minorHAnsi"/>
          <w:sz w:val="24"/>
        </w:rPr>
      </w:pPr>
    </w:p>
    <w:p w14:paraId="17D4E422" w14:textId="0CC13343" w:rsidR="00F97C7C" w:rsidRPr="007B083D" w:rsidRDefault="00F945A1" w:rsidP="00F64BCE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sz w:val="24"/>
        </w:rPr>
        <w:t xml:space="preserve">Kontrolou č. 15/08 </w:t>
      </w:r>
      <w:r w:rsidRPr="00F945A1">
        <w:rPr>
          <w:rFonts w:asciiTheme="minorHAnsi" w:hAnsiTheme="minorHAnsi" w:cstheme="minorHAnsi"/>
          <w:sz w:val="24"/>
        </w:rPr>
        <w:t>byl</w:t>
      </w:r>
      <w:r w:rsidR="00A521E8">
        <w:rPr>
          <w:rFonts w:asciiTheme="minorHAnsi" w:hAnsiTheme="minorHAnsi" w:cstheme="minorHAnsi"/>
          <w:sz w:val="24"/>
        </w:rPr>
        <w:t xml:space="preserve">o u </w:t>
      </w:r>
      <w:r w:rsidR="00927E77">
        <w:rPr>
          <w:rFonts w:asciiTheme="minorHAnsi" w:hAnsiTheme="minorHAnsi" w:cstheme="minorHAnsi"/>
          <w:sz w:val="24"/>
        </w:rPr>
        <w:t>GŘ</w:t>
      </w:r>
      <w:r w:rsidR="00A521E8">
        <w:rPr>
          <w:rFonts w:asciiTheme="minorHAnsi" w:hAnsiTheme="minorHAnsi" w:cstheme="minorHAnsi"/>
          <w:sz w:val="24"/>
        </w:rPr>
        <w:t xml:space="preserve"> a </w:t>
      </w:r>
      <w:r w:rsidR="00F97C7C">
        <w:rPr>
          <w:rFonts w:asciiTheme="minorHAnsi" w:hAnsiTheme="minorHAnsi" w:cstheme="minorHAnsi"/>
          <w:sz w:val="24"/>
        </w:rPr>
        <w:t xml:space="preserve">u </w:t>
      </w:r>
      <w:r w:rsidR="002D4DC7" w:rsidRPr="00CB2F3F">
        <w:rPr>
          <w:rFonts w:asciiTheme="minorHAnsi" w:hAnsiTheme="minorHAnsi" w:cstheme="minorHAnsi"/>
          <w:sz w:val="24"/>
        </w:rPr>
        <w:t>Hasičsk</w:t>
      </w:r>
      <w:r w:rsidR="002D4DC7">
        <w:rPr>
          <w:rFonts w:asciiTheme="minorHAnsi" w:hAnsiTheme="minorHAnsi" w:cstheme="minorHAnsi"/>
          <w:sz w:val="24"/>
        </w:rPr>
        <w:t>ého</w:t>
      </w:r>
      <w:r w:rsidR="002D4DC7" w:rsidRPr="00CB2F3F">
        <w:rPr>
          <w:rFonts w:asciiTheme="minorHAnsi" w:hAnsiTheme="minorHAnsi" w:cstheme="minorHAnsi"/>
          <w:sz w:val="24"/>
        </w:rPr>
        <w:t xml:space="preserve"> záchrann</w:t>
      </w:r>
      <w:r w:rsidR="002D4DC7">
        <w:rPr>
          <w:rFonts w:asciiTheme="minorHAnsi" w:hAnsiTheme="minorHAnsi" w:cstheme="minorHAnsi"/>
          <w:sz w:val="24"/>
        </w:rPr>
        <w:t>ého</w:t>
      </w:r>
      <w:r w:rsidR="002D4DC7" w:rsidRPr="00CB2F3F">
        <w:rPr>
          <w:rFonts w:asciiTheme="minorHAnsi" w:hAnsiTheme="minorHAnsi" w:cstheme="minorHAnsi"/>
          <w:sz w:val="24"/>
        </w:rPr>
        <w:t xml:space="preserve"> sbor</w:t>
      </w:r>
      <w:r w:rsidR="002D4DC7">
        <w:rPr>
          <w:rFonts w:asciiTheme="minorHAnsi" w:hAnsiTheme="minorHAnsi" w:cstheme="minorHAnsi"/>
          <w:sz w:val="24"/>
        </w:rPr>
        <w:t>u</w:t>
      </w:r>
      <w:r w:rsidR="002D4DC7" w:rsidRPr="00CB2F3F">
        <w:rPr>
          <w:rFonts w:asciiTheme="minorHAnsi" w:hAnsiTheme="minorHAnsi" w:cstheme="minorHAnsi"/>
          <w:sz w:val="24"/>
        </w:rPr>
        <w:t xml:space="preserve"> hlavního města </w:t>
      </w:r>
      <w:r w:rsidR="002D4DC7">
        <w:rPr>
          <w:rFonts w:asciiTheme="minorHAnsi" w:hAnsiTheme="minorHAnsi" w:cstheme="minorHAnsi"/>
          <w:sz w:val="24"/>
        </w:rPr>
        <w:t>Prahy</w:t>
      </w:r>
      <w:r w:rsidR="005A0950">
        <w:rPr>
          <w:rFonts w:asciiTheme="minorHAnsi" w:hAnsiTheme="minorHAnsi" w:cstheme="minorHAnsi"/>
          <w:sz w:val="24"/>
        </w:rPr>
        <w:t xml:space="preserve"> (dále </w:t>
      </w:r>
      <w:r w:rsidR="0006394B">
        <w:rPr>
          <w:rFonts w:asciiTheme="minorHAnsi" w:hAnsiTheme="minorHAnsi" w:cstheme="minorHAnsi"/>
          <w:sz w:val="24"/>
        </w:rPr>
        <w:t>také</w:t>
      </w:r>
      <w:r w:rsidR="005A0950">
        <w:rPr>
          <w:rFonts w:asciiTheme="minorHAnsi" w:hAnsiTheme="minorHAnsi" w:cstheme="minorHAnsi"/>
          <w:sz w:val="24"/>
        </w:rPr>
        <w:t xml:space="preserve"> „HZS Praha“)</w:t>
      </w:r>
      <w:r w:rsidR="002D4DC7">
        <w:rPr>
          <w:rFonts w:asciiTheme="minorHAnsi" w:hAnsiTheme="minorHAnsi" w:cstheme="minorHAnsi"/>
          <w:sz w:val="24"/>
        </w:rPr>
        <w:t xml:space="preserve">, </w:t>
      </w:r>
      <w:r w:rsidR="002D4DC7" w:rsidRPr="00CB2F3F">
        <w:rPr>
          <w:rFonts w:asciiTheme="minorHAnsi" w:hAnsiTheme="minorHAnsi" w:cstheme="minorHAnsi"/>
          <w:sz w:val="24"/>
        </w:rPr>
        <w:t>Hasičsk</w:t>
      </w:r>
      <w:r w:rsidR="002D4DC7">
        <w:rPr>
          <w:rFonts w:asciiTheme="minorHAnsi" w:hAnsiTheme="minorHAnsi" w:cstheme="minorHAnsi"/>
          <w:sz w:val="24"/>
        </w:rPr>
        <w:t>ého</w:t>
      </w:r>
      <w:r w:rsidR="002D4DC7" w:rsidRPr="00CB2F3F">
        <w:rPr>
          <w:rFonts w:asciiTheme="minorHAnsi" w:hAnsiTheme="minorHAnsi" w:cstheme="minorHAnsi"/>
          <w:sz w:val="24"/>
        </w:rPr>
        <w:t xml:space="preserve"> záchrann</w:t>
      </w:r>
      <w:r w:rsidR="002D4DC7">
        <w:rPr>
          <w:rFonts w:asciiTheme="minorHAnsi" w:hAnsiTheme="minorHAnsi" w:cstheme="minorHAnsi"/>
          <w:sz w:val="24"/>
        </w:rPr>
        <w:t>ého</w:t>
      </w:r>
      <w:r w:rsidR="002D4DC7" w:rsidRPr="00CB2F3F">
        <w:rPr>
          <w:rFonts w:asciiTheme="minorHAnsi" w:hAnsiTheme="minorHAnsi" w:cstheme="minorHAnsi"/>
          <w:sz w:val="24"/>
        </w:rPr>
        <w:t xml:space="preserve"> sbor</w:t>
      </w:r>
      <w:r w:rsidR="002D4DC7">
        <w:rPr>
          <w:rFonts w:asciiTheme="minorHAnsi" w:hAnsiTheme="minorHAnsi" w:cstheme="minorHAnsi"/>
          <w:sz w:val="24"/>
        </w:rPr>
        <w:t>u</w:t>
      </w:r>
      <w:r w:rsidR="00C92A9A">
        <w:rPr>
          <w:rFonts w:asciiTheme="minorHAnsi" w:hAnsiTheme="minorHAnsi" w:cstheme="minorHAnsi"/>
          <w:sz w:val="24"/>
        </w:rPr>
        <w:t xml:space="preserve"> Jihomoravského kraje</w:t>
      </w:r>
      <w:r w:rsidR="005A0950">
        <w:rPr>
          <w:rFonts w:asciiTheme="minorHAnsi" w:hAnsiTheme="minorHAnsi" w:cstheme="minorHAnsi"/>
          <w:sz w:val="24"/>
        </w:rPr>
        <w:t xml:space="preserve"> (dále </w:t>
      </w:r>
      <w:r w:rsidR="0006394B">
        <w:rPr>
          <w:rFonts w:asciiTheme="minorHAnsi" w:hAnsiTheme="minorHAnsi" w:cstheme="minorHAnsi"/>
          <w:sz w:val="24"/>
        </w:rPr>
        <w:t>také</w:t>
      </w:r>
      <w:r w:rsidR="005A0950">
        <w:rPr>
          <w:rFonts w:asciiTheme="minorHAnsi" w:hAnsiTheme="minorHAnsi" w:cstheme="minorHAnsi"/>
          <w:sz w:val="24"/>
        </w:rPr>
        <w:t xml:space="preserve"> „HZS</w:t>
      </w:r>
      <w:r w:rsidR="00DD3082">
        <w:rPr>
          <w:rFonts w:asciiTheme="minorHAnsi" w:hAnsiTheme="minorHAnsi" w:cstheme="minorHAnsi"/>
          <w:sz w:val="24"/>
        </w:rPr>
        <w:t> </w:t>
      </w:r>
      <w:r w:rsidR="005A0950">
        <w:rPr>
          <w:rFonts w:asciiTheme="minorHAnsi" w:hAnsiTheme="minorHAnsi" w:cstheme="minorHAnsi"/>
          <w:sz w:val="24"/>
        </w:rPr>
        <w:t>JMK“)</w:t>
      </w:r>
      <w:r w:rsidR="00C92A9A">
        <w:rPr>
          <w:rFonts w:asciiTheme="minorHAnsi" w:hAnsiTheme="minorHAnsi" w:cstheme="minorHAnsi"/>
          <w:sz w:val="24"/>
        </w:rPr>
        <w:t>,</w:t>
      </w:r>
      <w:r w:rsidR="00C92A9A" w:rsidRPr="00CB2F3F">
        <w:rPr>
          <w:rFonts w:asciiTheme="minorHAnsi" w:hAnsiTheme="minorHAnsi" w:cstheme="minorHAnsi"/>
          <w:sz w:val="24"/>
        </w:rPr>
        <w:t xml:space="preserve"> </w:t>
      </w:r>
      <w:r w:rsidR="002D4DC7" w:rsidRPr="00CB2F3F">
        <w:rPr>
          <w:rFonts w:asciiTheme="minorHAnsi" w:hAnsiTheme="minorHAnsi" w:cstheme="minorHAnsi"/>
          <w:sz w:val="24"/>
        </w:rPr>
        <w:t>Hasičsk</w:t>
      </w:r>
      <w:r w:rsidR="002D4DC7">
        <w:rPr>
          <w:rFonts w:asciiTheme="minorHAnsi" w:hAnsiTheme="minorHAnsi" w:cstheme="minorHAnsi"/>
          <w:sz w:val="24"/>
        </w:rPr>
        <w:t>ého</w:t>
      </w:r>
      <w:r w:rsidR="002D4DC7" w:rsidRPr="00CB2F3F">
        <w:rPr>
          <w:rFonts w:asciiTheme="minorHAnsi" w:hAnsiTheme="minorHAnsi" w:cstheme="minorHAnsi"/>
          <w:sz w:val="24"/>
        </w:rPr>
        <w:t xml:space="preserve"> záchrann</w:t>
      </w:r>
      <w:r w:rsidR="002D4DC7">
        <w:rPr>
          <w:rFonts w:asciiTheme="minorHAnsi" w:hAnsiTheme="minorHAnsi" w:cstheme="minorHAnsi"/>
          <w:sz w:val="24"/>
        </w:rPr>
        <w:t>ého</w:t>
      </w:r>
      <w:r w:rsidR="002D4DC7" w:rsidRPr="00CB2F3F">
        <w:rPr>
          <w:rFonts w:asciiTheme="minorHAnsi" w:hAnsiTheme="minorHAnsi" w:cstheme="minorHAnsi"/>
          <w:sz w:val="24"/>
        </w:rPr>
        <w:t xml:space="preserve"> sbor</w:t>
      </w:r>
      <w:r w:rsidR="002D4DC7">
        <w:rPr>
          <w:rFonts w:asciiTheme="minorHAnsi" w:hAnsiTheme="minorHAnsi" w:cstheme="minorHAnsi"/>
          <w:sz w:val="24"/>
        </w:rPr>
        <w:t>u</w:t>
      </w:r>
      <w:r w:rsidR="002D4DC7" w:rsidRPr="00CB2F3F">
        <w:rPr>
          <w:rFonts w:asciiTheme="minorHAnsi" w:hAnsiTheme="minorHAnsi" w:cstheme="minorHAnsi"/>
          <w:sz w:val="24"/>
        </w:rPr>
        <w:t xml:space="preserve"> </w:t>
      </w:r>
      <w:r w:rsidR="00C92A9A">
        <w:rPr>
          <w:rFonts w:asciiTheme="minorHAnsi" w:hAnsiTheme="minorHAnsi" w:cstheme="minorHAnsi"/>
          <w:sz w:val="24"/>
        </w:rPr>
        <w:t>Libereckého kraje</w:t>
      </w:r>
      <w:r w:rsidR="005A0950">
        <w:rPr>
          <w:rFonts w:asciiTheme="minorHAnsi" w:hAnsiTheme="minorHAnsi" w:cstheme="minorHAnsi"/>
          <w:sz w:val="24"/>
        </w:rPr>
        <w:t xml:space="preserve"> (dále </w:t>
      </w:r>
      <w:r w:rsidR="0006394B">
        <w:rPr>
          <w:rFonts w:asciiTheme="minorHAnsi" w:hAnsiTheme="minorHAnsi" w:cstheme="minorHAnsi"/>
          <w:sz w:val="24"/>
        </w:rPr>
        <w:t>také</w:t>
      </w:r>
      <w:r w:rsidR="005A0950">
        <w:rPr>
          <w:rFonts w:asciiTheme="minorHAnsi" w:hAnsiTheme="minorHAnsi" w:cstheme="minorHAnsi"/>
          <w:sz w:val="24"/>
        </w:rPr>
        <w:t xml:space="preserve"> „HZS LK“)</w:t>
      </w:r>
      <w:r w:rsidR="00C92A9A">
        <w:rPr>
          <w:rFonts w:asciiTheme="minorHAnsi" w:hAnsiTheme="minorHAnsi" w:cstheme="minorHAnsi"/>
          <w:sz w:val="24"/>
        </w:rPr>
        <w:t>,</w:t>
      </w:r>
      <w:r w:rsidR="00C92A9A" w:rsidRPr="00CB2F3F">
        <w:rPr>
          <w:rFonts w:asciiTheme="minorHAnsi" w:hAnsiTheme="minorHAnsi" w:cstheme="minorHAnsi"/>
          <w:sz w:val="24"/>
        </w:rPr>
        <w:t xml:space="preserve"> </w:t>
      </w:r>
      <w:r w:rsidR="002D4DC7" w:rsidRPr="00CB2F3F">
        <w:rPr>
          <w:rFonts w:asciiTheme="minorHAnsi" w:hAnsiTheme="minorHAnsi" w:cstheme="minorHAnsi"/>
          <w:sz w:val="24"/>
        </w:rPr>
        <w:t>Hasičsk</w:t>
      </w:r>
      <w:r w:rsidR="002D4DC7">
        <w:rPr>
          <w:rFonts w:asciiTheme="minorHAnsi" w:hAnsiTheme="minorHAnsi" w:cstheme="minorHAnsi"/>
          <w:sz w:val="24"/>
        </w:rPr>
        <w:t>ého</w:t>
      </w:r>
      <w:r w:rsidR="002D4DC7" w:rsidRPr="00CB2F3F">
        <w:rPr>
          <w:rFonts w:asciiTheme="minorHAnsi" w:hAnsiTheme="minorHAnsi" w:cstheme="minorHAnsi"/>
          <w:sz w:val="24"/>
        </w:rPr>
        <w:t xml:space="preserve"> záchrann</w:t>
      </w:r>
      <w:r w:rsidR="002D4DC7">
        <w:rPr>
          <w:rFonts w:asciiTheme="minorHAnsi" w:hAnsiTheme="minorHAnsi" w:cstheme="minorHAnsi"/>
          <w:sz w:val="24"/>
        </w:rPr>
        <w:t>ého</w:t>
      </w:r>
      <w:r w:rsidR="002D4DC7" w:rsidRPr="00CB2F3F">
        <w:rPr>
          <w:rFonts w:asciiTheme="minorHAnsi" w:hAnsiTheme="minorHAnsi" w:cstheme="minorHAnsi"/>
          <w:sz w:val="24"/>
        </w:rPr>
        <w:t xml:space="preserve"> sbor</w:t>
      </w:r>
      <w:r w:rsidR="002D4DC7">
        <w:rPr>
          <w:rFonts w:asciiTheme="minorHAnsi" w:hAnsiTheme="minorHAnsi" w:cstheme="minorHAnsi"/>
          <w:sz w:val="24"/>
        </w:rPr>
        <w:t>u</w:t>
      </w:r>
      <w:r w:rsidR="00C92A9A">
        <w:rPr>
          <w:rFonts w:asciiTheme="minorHAnsi" w:hAnsiTheme="minorHAnsi" w:cstheme="minorHAnsi"/>
          <w:sz w:val="24"/>
        </w:rPr>
        <w:t xml:space="preserve"> Pardubického kraje </w:t>
      </w:r>
      <w:r w:rsidR="005A0950">
        <w:rPr>
          <w:rFonts w:asciiTheme="minorHAnsi" w:hAnsiTheme="minorHAnsi" w:cstheme="minorHAnsi"/>
          <w:sz w:val="24"/>
        </w:rPr>
        <w:t xml:space="preserve">(dále </w:t>
      </w:r>
      <w:r w:rsidR="0006394B">
        <w:rPr>
          <w:rFonts w:asciiTheme="minorHAnsi" w:hAnsiTheme="minorHAnsi" w:cstheme="minorHAnsi"/>
          <w:sz w:val="24"/>
        </w:rPr>
        <w:t xml:space="preserve">také </w:t>
      </w:r>
      <w:r w:rsidR="005A0950">
        <w:rPr>
          <w:rFonts w:asciiTheme="minorHAnsi" w:hAnsiTheme="minorHAnsi" w:cstheme="minorHAnsi"/>
          <w:sz w:val="24"/>
        </w:rPr>
        <w:t xml:space="preserve">„HZS PK“) </w:t>
      </w:r>
      <w:r w:rsidR="00C92A9A">
        <w:rPr>
          <w:rFonts w:asciiTheme="minorHAnsi" w:hAnsiTheme="minorHAnsi" w:cstheme="minorHAnsi"/>
          <w:sz w:val="24"/>
        </w:rPr>
        <w:t>a</w:t>
      </w:r>
      <w:r w:rsidR="00C92A9A" w:rsidRPr="00C92A9A">
        <w:rPr>
          <w:rFonts w:asciiTheme="minorHAnsi" w:hAnsiTheme="minorHAnsi" w:cstheme="minorHAnsi"/>
          <w:sz w:val="24"/>
        </w:rPr>
        <w:t xml:space="preserve"> </w:t>
      </w:r>
      <w:r w:rsidR="00C92A9A">
        <w:rPr>
          <w:rFonts w:asciiTheme="minorHAnsi" w:hAnsiTheme="minorHAnsi" w:cstheme="minorHAnsi"/>
          <w:sz w:val="24"/>
        </w:rPr>
        <w:t xml:space="preserve">Záchranného útvaru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="002243E4">
        <w:rPr>
          <w:rFonts w:asciiTheme="minorHAnsi" w:hAnsiTheme="minorHAnsi" w:cstheme="minorHAnsi"/>
          <w:sz w:val="24"/>
        </w:rPr>
        <w:t xml:space="preserve">ČR </w:t>
      </w:r>
      <w:r w:rsidR="005A0950">
        <w:rPr>
          <w:rFonts w:asciiTheme="minorHAnsi" w:hAnsiTheme="minorHAnsi" w:cstheme="minorHAnsi"/>
          <w:sz w:val="24"/>
        </w:rPr>
        <w:t xml:space="preserve">(dále </w:t>
      </w:r>
      <w:r w:rsidR="0006394B">
        <w:rPr>
          <w:rFonts w:asciiTheme="minorHAnsi" w:hAnsiTheme="minorHAnsi" w:cstheme="minorHAnsi"/>
          <w:sz w:val="24"/>
        </w:rPr>
        <w:t>také</w:t>
      </w:r>
      <w:r w:rsidR="005A0950">
        <w:rPr>
          <w:rFonts w:asciiTheme="minorHAnsi" w:hAnsiTheme="minorHAnsi" w:cstheme="minorHAnsi"/>
          <w:sz w:val="24"/>
        </w:rPr>
        <w:t xml:space="preserve"> „ZÚ“) </w:t>
      </w:r>
      <w:r w:rsidR="00145310">
        <w:rPr>
          <w:rFonts w:asciiTheme="minorHAnsi" w:hAnsiTheme="minorHAnsi" w:cstheme="minorHAnsi"/>
          <w:sz w:val="24"/>
        </w:rPr>
        <w:t xml:space="preserve">na </w:t>
      </w:r>
      <w:r w:rsidR="00145310" w:rsidRPr="008B55BC">
        <w:rPr>
          <w:rFonts w:asciiTheme="minorHAnsi" w:hAnsiTheme="minorHAnsi" w:cstheme="minorHAnsi"/>
          <w:color w:val="000000" w:themeColor="text1"/>
          <w:sz w:val="24"/>
        </w:rPr>
        <w:t xml:space="preserve">kontrolním vzorku </w:t>
      </w:r>
      <w:r w:rsidR="00A521E8" w:rsidRPr="008B55BC">
        <w:rPr>
          <w:rFonts w:asciiTheme="minorHAnsi" w:hAnsiTheme="minorHAnsi" w:cstheme="minorHAnsi"/>
          <w:color w:val="000000" w:themeColor="text1"/>
          <w:sz w:val="24"/>
        </w:rPr>
        <w:t>ověřováno</w:t>
      </w:r>
      <w:r w:rsidR="008B55BC">
        <w:rPr>
          <w:rFonts w:asciiTheme="minorHAnsi" w:hAnsiTheme="minorHAnsi" w:cstheme="minorHAnsi"/>
          <w:color w:val="000000" w:themeColor="text1"/>
          <w:sz w:val="24"/>
        </w:rPr>
        <w:t>,</w:t>
      </w:r>
      <w:r w:rsidR="00A521E8" w:rsidRPr="008B55BC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8B55BC" w:rsidRPr="008B55BC">
        <w:rPr>
          <w:rFonts w:asciiTheme="minorHAnsi" w:hAnsiTheme="minorHAnsi" w:cstheme="minorHAnsi"/>
          <w:color w:val="000000" w:themeColor="text1"/>
          <w:sz w:val="24"/>
        </w:rPr>
        <w:t>zda při hospodaření</w:t>
      </w:r>
      <w:r w:rsidR="008B55BC">
        <w:rPr>
          <w:rFonts w:asciiTheme="minorHAnsi" w:hAnsiTheme="minorHAnsi" w:cstheme="minorHAnsi"/>
          <w:color w:val="000000" w:themeColor="text1"/>
          <w:sz w:val="24"/>
        </w:rPr>
        <w:t xml:space="preserve"> s nemovitým a </w:t>
      </w:r>
      <w:r w:rsidR="008B55BC" w:rsidRPr="008B55BC">
        <w:rPr>
          <w:rFonts w:asciiTheme="minorHAnsi" w:hAnsiTheme="minorHAnsi" w:cstheme="minorHAnsi"/>
          <w:color w:val="000000" w:themeColor="text1"/>
          <w:sz w:val="24"/>
        </w:rPr>
        <w:t xml:space="preserve">movitým majetkem a </w:t>
      </w:r>
      <w:r w:rsidR="008B55BC">
        <w:rPr>
          <w:rFonts w:asciiTheme="minorHAnsi" w:hAnsiTheme="minorHAnsi" w:cstheme="minorHAnsi"/>
          <w:color w:val="000000" w:themeColor="text1"/>
          <w:sz w:val="24"/>
        </w:rPr>
        <w:t xml:space="preserve">při </w:t>
      </w:r>
      <w:r w:rsidR="008B55BC" w:rsidRPr="008B55BC">
        <w:rPr>
          <w:rFonts w:asciiTheme="minorHAnsi" w:hAnsiTheme="minorHAnsi" w:cstheme="minorHAnsi"/>
          <w:color w:val="000000" w:themeColor="text1"/>
          <w:sz w:val="24"/>
        </w:rPr>
        <w:t xml:space="preserve">použití peněžních prostředků státního rozpočtu </w:t>
      </w:r>
      <w:r w:rsidR="008B55BC">
        <w:rPr>
          <w:rFonts w:asciiTheme="minorHAnsi" w:hAnsiTheme="minorHAnsi" w:cstheme="minorHAnsi"/>
          <w:color w:val="000000" w:themeColor="text1"/>
          <w:sz w:val="24"/>
        </w:rPr>
        <w:t>na nákup majetku, materiálu a </w:t>
      </w:r>
      <w:r w:rsidR="008B55BC" w:rsidRPr="008B55BC">
        <w:rPr>
          <w:rFonts w:asciiTheme="minorHAnsi" w:hAnsiTheme="minorHAnsi" w:cstheme="minorHAnsi"/>
          <w:color w:val="000000" w:themeColor="text1"/>
          <w:sz w:val="24"/>
        </w:rPr>
        <w:t xml:space="preserve">služeb postupují v souladu s právními předpisy. </w:t>
      </w:r>
      <w:r w:rsidR="009F5D6B">
        <w:rPr>
          <w:rFonts w:asciiTheme="minorHAnsi" w:hAnsiTheme="minorHAnsi" w:cstheme="minorHAnsi"/>
          <w:sz w:val="24"/>
        </w:rPr>
        <w:t xml:space="preserve">Dále byly ověřovány </w:t>
      </w:r>
      <w:r w:rsidR="009D1648">
        <w:rPr>
          <w:rFonts w:asciiTheme="minorHAnsi" w:hAnsiTheme="minorHAnsi" w:cstheme="minorHAnsi"/>
          <w:sz w:val="24"/>
        </w:rPr>
        <w:t>příjmy z činnosti HZSK</w:t>
      </w:r>
      <w:r w:rsidR="00B70C96">
        <w:rPr>
          <w:rFonts w:asciiTheme="minorHAnsi" w:hAnsiTheme="minorHAnsi" w:cstheme="minorHAnsi"/>
          <w:sz w:val="24"/>
        </w:rPr>
        <w:t xml:space="preserve"> a </w:t>
      </w:r>
      <w:r w:rsidR="005A0950">
        <w:rPr>
          <w:rFonts w:asciiTheme="minorHAnsi" w:hAnsiTheme="minorHAnsi" w:cstheme="minorHAnsi"/>
          <w:sz w:val="24"/>
        </w:rPr>
        <w:t xml:space="preserve">poskytnutí </w:t>
      </w:r>
      <w:r w:rsidR="009F5D6B">
        <w:rPr>
          <w:rFonts w:asciiTheme="minorHAnsi" w:hAnsiTheme="minorHAnsi" w:cstheme="minorHAnsi"/>
          <w:sz w:val="24"/>
        </w:rPr>
        <w:t xml:space="preserve">prostředků z fondu zábrany škod (dále </w:t>
      </w:r>
      <w:r w:rsidR="0006394B">
        <w:rPr>
          <w:rFonts w:asciiTheme="minorHAnsi" w:hAnsiTheme="minorHAnsi" w:cstheme="minorHAnsi"/>
          <w:sz w:val="24"/>
        </w:rPr>
        <w:t>také</w:t>
      </w:r>
      <w:r w:rsidR="009F5D6B">
        <w:rPr>
          <w:rFonts w:asciiTheme="minorHAnsi" w:hAnsiTheme="minorHAnsi" w:cstheme="minorHAnsi"/>
          <w:sz w:val="24"/>
        </w:rPr>
        <w:t xml:space="preserve"> „FZŠ“)</w:t>
      </w:r>
      <w:r w:rsidR="00145310">
        <w:rPr>
          <w:rFonts w:asciiTheme="minorHAnsi" w:hAnsiTheme="minorHAnsi" w:cstheme="minorHAnsi"/>
          <w:sz w:val="24"/>
        </w:rPr>
        <w:t xml:space="preserve">. </w:t>
      </w:r>
      <w:r w:rsidR="009F5D6B">
        <w:rPr>
          <w:rFonts w:asciiTheme="minorHAnsi" w:hAnsiTheme="minorHAnsi" w:cstheme="minorHAnsi"/>
          <w:sz w:val="24"/>
        </w:rPr>
        <w:t>Současně</w:t>
      </w:r>
      <w:r w:rsidR="00A521E8">
        <w:rPr>
          <w:rFonts w:asciiTheme="minorHAnsi" w:hAnsiTheme="minorHAnsi" w:cstheme="minorHAnsi"/>
          <w:sz w:val="24"/>
        </w:rPr>
        <w:t xml:space="preserve"> </w:t>
      </w:r>
      <w:r w:rsidR="00145310">
        <w:rPr>
          <w:rFonts w:asciiTheme="minorHAnsi" w:hAnsiTheme="minorHAnsi" w:cstheme="minorHAnsi"/>
          <w:sz w:val="24"/>
        </w:rPr>
        <w:t xml:space="preserve">byla ověřována </w:t>
      </w:r>
      <w:r w:rsidR="00A521E8">
        <w:rPr>
          <w:rFonts w:asciiTheme="minorHAnsi" w:hAnsiTheme="minorHAnsi" w:cstheme="minorHAnsi"/>
          <w:sz w:val="24"/>
        </w:rPr>
        <w:t xml:space="preserve">související </w:t>
      </w:r>
      <w:r>
        <w:rPr>
          <w:rFonts w:asciiTheme="minorHAnsi" w:hAnsiTheme="minorHAnsi" w:cstheme="minorHAnsi"/>
          <w:sz w:val="24"/>
        </w:rPr>
        <w:t>m</w:t>
      </w:r>
      <w:r w:rsidR="0090545E">
        <w:rPr>
          <w:rFonts w:asciiTheme="minorHAnsi" w:hAnsiTheme="minorHAnsi" w:cstheme="minorHAnsi"/>
          <w:sz w:val="24"/>
        </w:rPr>
        <w:t>etodick</w:t>
      </w:r>
      <w:r w:rsidR="00A521E8">
        <w:rPr>
          <w:rFonts w:asciiTheme="minorHAnsi" w:hAnsiTheme="minorHAnsi" w:cstheme="minorHAnsi"/>
          <w:sz w:val="24"/>
        </w:rPr>
        <w:t>á</w:t>
      </w:r>
      <w:r w:rsidR="0090545E">
        <w:rPr>
          <w:rFonts w:asciiTheme="minorHAnsi" w:hAnsiTheme="minorHAnsi" w:cstheme="minorHAnsi"/>
          <w:sz w:val="24"/>
        </w:rPr>
        <w:t xml:space="preserve">, řídicí a kontrolní činnost </w:t>
      </w:r>
      <w:r w:rsidR="00927E77">
        <w:rPr>
          <w:rFonts w:asciiTheme="minorHAnsi" w:hAnsiTheme="minorHAnsi" w:cstheme="minorHAnsi"/>
          <w:sz w:val="24"/>
        </w:rPr>
        <w:t>GŘ</w:t>
      </w:r>
      <w:r w:rsidR="005A0950">
        <w:rPr>
          <w:rFonts w:asciiTheme="minorHAnsi" w:hAnsiTheme="minorHAnsi" w:cstheme="minorHAnsi"/>
          <w:sz w:val="24"/>
        </w:rPr>
        <w:t xml:space="preserve"> a </w:t>
      </w:r>
      <w:r w:rsidR="005D0A7E">
        <w:rPr>
          <w:rFonts w:asciiTheme="minorHAnsi" w:hAnsiTheme="minorHAnsi" w:cstheme="minorHAnsi"/>
          <w:sz w:val="24"/>
        </w:rPr>
        <w:t xml:space="preserve">přerozdělování prostředků poskytnutých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="00C52FEE">
        <w:rPr>
          <w:rFonts w:asciiTheme="minorHAnsi" w:hAnsiTheme="minorHAnsi" w:cstheme="minorHAnsi"/>
          <w:sz w:val="24"/>
        </w:rPr>
        <w:t>ze státního rozpočtu</w:t>
      </w:r>
      <w:r w:rsidR="0090545E">
        <w:rPr>
          <w:rFonts w:asciiTheme="minorHAnsi" w:hAnsiTheme="minorHAnsi" w:cstheme="minorHAnsi"/>
          <w:sz w:val="24"/>
        </w:rPr>
        <w:t xml:space="preserve">. </w:t>
      </w:r>
      <w:r w:rsidR="007B083D" w:rsidRPr="007B083D">
        <w:rPr>
          <w:rFonts w:asciiTheme="minorHAnsi" w:hAnsiTheme="minorHAnsi" w:cstheme="minorHAnsi"/>
          <w:bCs/>
          <w:sz w:val="24"/>
        </w:rPr>
        <w:t xml:space="preserve">Kontrolovaný objem majetku byl ve výši </w:t>
      </w:r>
      <w:r w:rsidR="00303452">
        <w:rPr>
          <w:rFonts w:asciiTheme="minorHAnsi" w:hAnsiTheme="minorHAnsi" w:cstheme="minorHAnsi"/>
          <w:bCs/>
          <w:sz w:val="24"/>
        </w:rPr>
        <w:t>532</w:t>
      </w:r>
      <w:r w:rsidR="002243E4">
        <w:rPr>
          <w:rFonts w:asciiTheme="minorHAnsi" w:hAnsiTheme="minorHAnsi" w:cstheme="minorHAnsi"/>
          <w:bCs/>
          <w:sz w:val="24"/>
        </w:rPr>
        <w:t> </w:t>
      </w:r>
      <w:r w:rsidR="00303452">
        <w:rPr>
          <w:rFonts w:asciiTheme="minorHAnsi" w:hAnsiTheme="minorHAnsi" w:cstheme="minorHAnsi"/>
          <w:bCs/>
          <w:sz w:val="24"/>
        </w:rPr>
        <w:t>661</w:t>
      </w:r>
      <w:r w:rsidR="000A7118">
        <w:rPr>
          <w:rFonts w:asciiTheme="minorHAnsi" w:hAnsiTheme="minorHAnsi" w:cstheme="minorHAnsi"/>
          <w:bCs/>
          <w:sz w:val="24"/>
        </w:rPr>
        <w:t> </w:t>
      </w:r>
      <w:r w:rsidR="00303452">
        <w:rPr>
          <w:rFonts w:asciiTheme="minorHAnsi" w:hAnsiTheme="minorHAnsi" w:cstheme="minorHAnsi"/>
          <w:bCs/>
          <w:sz w:val="24"/>
        </w:rPr>
        <w:t>176</w:t>
      </w:r>
      <w:r w:rsidR="000A7118">
        <w:rPr>
          <w:rFonts w:asciiTheme="minorHAnsi" w:hAnsiTheme="minorHAnsi" w:cstheme="minorHAnsi"/>
          <w:bCs/>
          <w:sz w:val="24"/>
        </w:rPr>
        <w:t> </w:t>
      </w:r>
      <w:r w:rsidR="007B083D" w:rsidRPr="007B083D">
        <w:rPr>
          <w:rFonts w:asciiTheme="minorHAnsi" w:hAnsiTheme="minorHAnsi" w:cstheme="minorHAnsi"/>
          <w:bCs/>
          <w:sz w:val="24"/>
        </w:rPr>
        <w:t>Kč</w:t>
      </w:r>
      <w:r w:rsidR="007B083D">
        <w:rPr>
          <w:rFonts w:asciiTheme="minorHAnsi" w:hAnsiTheme="minorHAnsi" w:cstheme="minorHAnsi"/>
          <w:bCs/>
          <w:sz w:val="24"/>
        </w:rPr>
        <w:t xml:space="preserve"> </w:t>
      </w:r>
      <w:r w:rsidR="005B5DE5">
        <w:rPr>
          <w:rFonts w:asciiTheme="minorHAnsi" w:hAnsiTheme="minorHAnsi" w:cstheme="minorHAnsi"/>
          <w:bCs/>
          <w:sz w:val="24"/>
        </w:rPr>
        <w:t>a </w:t>
      </w:r>
      <w:r w:rsidR="007B083D">
        <w:rPr>
          <w:rFonts w:asciiTheme="minorHAnsi" w:hAnsiTheme="minorHAnsi" w:cstheme="minorHAnsi"/>
          <w:bCs/>
          <w:sz w:val="24"/>
        </w:rPr>
        <w:t>k</w:t>
      </w:r>
      <w:r w:rsidR="007B083D" w:rsidRPr="007B083D">
        <w:rPr>
          <w:rFonts w:asciiTheme="minorHAnsi" w:hAnsiTheme="minorHAnsi" w:cstheme="minorHAnsi"/>
          <w:bCs/>
          <w:sz w:val="24"/>
        </w:rPr>
        <w:t xml:space="preserve">ontrolovaný objem </w:t>
      </w:r>
      <w:r w:rsidR="00303452">
        <w:rPr>
          <w:rFonts w:asciiTheme="minorHAnsi" w:hAnsiTheme="minorHAnsi" w:cstheme="minorHAnsi"/>
          <w:bCs/>
          <w:sz w:val="24"/>
        </w:rPr>
        <w:t xml:space="preserve">peněžních </w:t>
      </w:r>
      <w:r w:rsidR="007B083D" w:rsidRPr="007B083D">
        <w:rPr>
          <w:rFonts w:asciiTheme="minorHAnsi" w:hAnsiTheme="minorHAnsi" w:cstheme="minorHAnsi"/>
          <w:bCs/>
          <w:sz w:val="24"/>
        </w:rPr>
        <w:t xml:space="preserve">prostředků byl ve výši </w:t>
      </w:r>
      <w:r w:rsidR="00303452">
        <w:rPr>
          <w:rFonts w:asciiTheme="minorHAnsi" w:hAnsiTheme="minorHAnsi" w:cstheme="minorHAnsi"/>
          <w:bCs/>
          <w:sz w:val="24"/>
        </w:rPr>
        <w:t>90</w:t>
      </w:r>
      <w:r w:rsidR="000A7118">
        <w:rPr>
          <w:rFonts w:asciiTheme="minorHAnsi" w:hAnsiTheme="minorHAnsi" w:cstheme="minorHAnsi"/>
          <w:bCs/>
          <w:sz w:val="24"/>
        </w:rPr>
        <w:t> </w:t>
      </w:r>
      <w:r w:rsidR="00303452">
        <w:rPr>
          <w:rFonts w:asciiTheme="minorHAnsi" w:hAnsiTheme="minorHAnsi" w:cstheme="minorHAnsi"/>
          <w:bCs/>
          <w:sz w:val="24"/>
        </w:rPr>
        <w:t>022</w:t>
      </w:r>
      <w:r w:rsidR="000A7118">
        <w:rPr>
          <w:rFonts w:asciiTheme="minorHAnsi" w:hAnsiTheme="minorHAnsi" w:cstheme="minorHAnsi"/>
          <w:bCs/>
          <w:sz w:val="24"/>
        </w:rPr>
        <w:t> </w:t>
      </w:r>
      <w:r w:rsidR="00303452">
        <w:rPr>
          <w:rFonts w:asciiTheme="minorHAnsi" w:hAnsiTheme="minorHAnsi" w:cstheme="minorHAnsi"/>
          <w:bCs/>
          <w:sz w:val="24"/>
        </w:rPr>
        <w:t>660</w:t>
      </w:r>
      <w:r w:rsidR="000A7118">
        <w:rPr>
          <w:rFonts w:asciiTheme="minorHAnsi" w:hAnsiTheme="minorHAnsi" w:cstheme="minorHAnsi"/>
          <w:bCs/>
          <w:sz w:val="24"/>
        </w:rPr>
        <w:t> </w:t>
      </w:r>
      <w:r w:rsidR="007B083D" w:rsidRPr="007B083D">
        <w:rPr>
          <w:rFonts w:asciiTheme="minorHAnsi" w:hAnsiTheme="minorHAnsi" w:cstheme="minorHAnsi"/>
          <w:bCs/>
          <w:sz w:val="24"/>
        </w:rPr>
        <w:t>Kč.</w:t>
      </w:r>
    </w:p>
    <w:p w14:paraId="3B57EFE0" w14:textId="77777777" w:rsidR="007B083D" w:rsidRPr="00093396" w:rsidRDefault="007B083D" w:rsidP="00093396">
      <w:pPr>
        <w:pStyle w:val="Standard"/>
        <w:spacing w:after="0" w:line="240" w:lineRule="auto"/>
        <w:ind w:left="567" w:hanging="567"/>
        <w:jc w:val="left"/>
        <w:rPr>
          <w:rFonts w:asciiTheme="minorHAnsi" w:hAnsiTheme="minorHAnsi"/>
          <w:b/>
          <w:sz w:val="20"/>
        </w:rPr>
      </w:pPr>
    </w:p>
    <w:p w14:paraId="7FC820B1" w14:textId="77777777" w:rsidR="00C94E64" w:rsidRDefault="00C94E64" w:rsidP="00F64BCE">
      <w:pPr>
        <w:pStyle w:val="Standard"/>
        <w:spacing w:after="0" w:line="240" w:lineRule="auto"/>
        <w:ind w:left="567" w:hanging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230EDA1" w14:textId="77777777" w:rsidR="00C4277D" w:rsidRDefault="00C4277D" w:rsidP="00F64BCE">
      <w:pPr>
        <w:pStyle w:val="Standard"/>
        <w:spacing w:after="0" w:line="240" w:lineRule="auto"/>
        <w:ind w:left="567" w:hanging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549FE90" w14:textId="77777777" w:rsidR="003E407F" w:rsidRPr="00781CB1" w:rsidRDefault="003E407F" w:rsidP="00F64BCE">
      <w:pPr>
        <w:pStyle w:val="Standard"/>
        <w:spacing w:after="0" w:line="240" w:lineRule="auto"/>
        <w:ind w:left="567" w:hanging="567"/>
        <w:jc w:val="left"/>
        <w:rPr>
          <w:rFonts w:asciiTheme="minorHAnsi" w:hAnsiTheme="minorHAnsi" w:cstheme="minorHAnsi"/>
          <w:sz w:val="20"/>
          <w:szCs w:val="20"/>
        </w:rPr>
      </w:pPr>
      <w:r w:rsidRPr="00781CB1">
        <w:rPr>
          <w:rFonts w:asciiTheme="minorHAnsi" w:hAnsiTheme="minorHAnsi" w:cstheme="minorHAnsi"/>
          <w:b/>
          <w:sz w:val="20"/>
          <w:szCs w:val="20"/>
        </w:rPr>
        <w:t>Pozn</w:t>
      </w:r>
      <w:r w:rsidR="00152559">
        <w:rPr>
          <w:rFonts w:asciiTheme="minorHAnsi" w:hAnsiTheme="minorHAnsi" w:cstheme="minorHAnsi"/>
          <w:b/>
          <w:sz w:val="20"/>
          <w:szCs w:val="20"/>
        </w:rPr>
        <w:t>.:</w:t>
      </w:r>
      <w:r w:rsidR="00152559">
        <w:rPr>
          <w:rFonts w:asciiTheme="minorHAnsi" w:hAnsiTheme="minorHAnsi" w:cstheme="minorHAnsi"/>
          <w:b/>
          <w:sz w:val="20"/>
          <w:szCs w:val="20"/>
        </w:rPr>
        <w:tab/>
      </w:r>
      <w:r w:rsidRPr="00781CB1">
        <w:rPr>
          <w:rFonts w:asciiTheme="minorHAnsi" w:hAnsiTheme="minorHAnsi" w:cstheme="minorHAnsi"/>
          <w:sz w:val="20"/>
          <w:szCs w:val="20"/>
        </w:rPr>
        <w:t xml:space="preserve">Právní předpisy </w:t>
      </w:r>
      <w:r w:rsidR="00E67E4D" w:rsidRPr="00781CB1">
        <w:rPr>
          <w:rFonts w:asciiTheme="minorHAnsi" w:hAnsiTheme="minorHAnsi" w:cstheme="minorHAnsi"/>
          <w:sz w:val="20"/>
          <w:szCs w:val="20"/>
        </w:rPr>
        <w:t xml:space="preserve">uváděné v tomto kontrolním závěru jsou aplikovány </w:t>
      </w:r>
      <w:r w:rsidRPr="00781CB1">
        <w:rPr>
          <w:rFonts w:asciiTheme="minorHAnsi" w:hAnsiTheme="minorHAnsi" w:cstheme="minorHAnsi"/>
          <w:sz w:val="20"/>
          <w:szCs w:val="20"/>
        </w:rPr>
        <w:t>ve znění účinném pro kontrolované období.</w:t>
      </w:r>
    </w:p>
    <w:p w14:paraId="7549FE91" w14:textId="77777777" w:rsidR="00B9177D" w:rsidRDefault="00B9177D" w:rsidP="00F64BCE">
      <w:pPr>
        <w:rPr>
          <w:rFonts w:asciiTheme="minorHAnsi" w:hAnsiTheme="minorHAnsi" w:cstheme="minorHAnsi"/>
          <w:sz w:val="24"/>
        </w:rPr>
      </w:pPr>
    </w:p>
    <w:p w14:paraId="3B9B30B2" w14:textId="77777777" w:rsidR="00C94E64" w:rsidRPr="00B86FD0" w:rsidRDefault="00C94E64" w:rsidP="00F64BCE">
      <w:pPr>
        <w:rPr>
          <w:rFonts w:asciiTheme="minorHAnsi" w:hAnsiTheme="minorHAnsi" w:cstheme="minorHAnsi"/>
          <w:sz w:val="24"/>
        </w:rPr>
      </w:pPr>
    </w:p>
    <w:p w14:paraId="7549FE93" w14:textId="77777777" w:rsidR="00781CB1" w:rsidRDefault="00781CB1" w:rsidP="00F64BCE">
      <w:pPr>
        <w:rPr>
          <w:rFonts w:asciiTheme="minorHAnsi" w:hAnsiTheme="minorHAnsi" w:cstheme="minorHAnsi"/>
          <w:sz w:val="24"/>
        </w:rPr>
      </w:pPr>
    </w:p>
    <w:p w14:paraId="30035D55" w14:textId="77777777" w:rsidR="00EE7B34" w:rsidRPr="005163AE" w:rsidRDefault="00EE7B34" w:rsidP="00EE7B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63AE">
        <w:rPr>
          <w:rFonts w:asciiTheme="minorHAnsi" w:hAnsiTheme="minorHAnsi" w:cstheme="minorHAnsi"/>
          <w:b/>
          <w:sz w:val="28"/>
          <w:szCs w:val="28"/>
        </w:rPr>
        <w:t xml:space="preserve">II. </w:t>
      </w:r>
      <w:r>
        <w:rPr>
          <w:rFonts w:asciiTheme="minorHAnsi" w:hAnsiTheme="minorHAnsi" w:cstheme="minorHAnsi"/>
          <w:b/>
          <w:sz w:val="28"/>
          <w:szCs w:val="28"/>
        </w:rPr>
        <w:t>Shrnutí</w:t>
      </w:r>
      <w:r w:rsidRPr="005163AE">
        <w:rPr>
          <w:rFonts w:asciiTheme="minorHAnsi" w:hAnsiTheme="minorHAnsi" w:cstheme="minorHAnsi"/>
          <w:b/>
          <w:sz w:val="28"/>
          <w:szCs w:val="28"/>
        </w:rPr>
        <w:t xml:space="preserve"> skutečností zjištěných při kontrole </w:t>
      </w:r>
    </w:p>
    <w:p w14:paraId="0C2063B1" w14:textId="77777777" w:rsidR="00EE7B34" w:rsidRDefault="00EE7B34" w:rsidP="00EE7B34">
      <w:pPr>
        <w:pStyle w:val="Odstavecseseznamem"/>
        <w:spacing w:before="120"/>
        <w:ind w:left="0"/>
        <w:contextualSpacing w:val="0"/>
        <w:rPr>
          <w:rFonts w:ascii="Calibri" w:hAnsi="Calibri" w:cs="Calibri"/>
          <w:b/>
          <w:sz w:val="24"/>
        </w:rPr>
      </w:pPr>
    </w:p>
    <w:p w14:paraId="0304B08F" w14:textId="0547FDF0" w:rsidR="00636EFE" w:rsidRDefault="00074E0D" w:rsidP="00036B69">
      <w:pPr>
        <w:pStyle w:val="Odstavecseseznamem"/>
        <w:numPr>
          <w:ilvl w:val="0"/>
          <w:numId w:val="31"/>
        </w:numPr>
        <w:tabs>
          <w:tab w:val="left" w:pos="284"/>
        </w:tabs>
        <w:ind w:left="0" w:firstLine="0"/>
        <w:rPr>
          <w:rFonts w:ascii="Calibri" w:hAnsi="Calibri"/>
          <w:b/>
          <w:color w:val="000000" w:themeColor="text1"/>
          <w:sz w:val="24"/>
        </w:rPr>
      </w:pPr>
      <w:r w:rsidRPr="00FD469F">
        <w:rPr>
          <w:rFonts w:ascii="Calibri" w:hAnsi="Calibri" w:cs="Calibri"/>
          <w:b/>
          <w:sz w:val="24"/>
        </w:rPr>
        <w:t>N</w:t>
      </w:r>
      <w:r w:rsidR="008C0F20" w:rsidRPr="00FD469F">
        <w:rPr>
          <w:rFonts w:ascii="Calibri" w:hAnsi="Calibri" w:cs="Calibri"/>
          <w:b/>
          <w:sz w:val="24"/>
        </w:rPr>
        <w:t xml:space="preserve">enaplnění </w:t>
      </w:r>
      <w:r w:rsidR="00951F47" w:rsidRPr="00FD469F">
        <w:rPr>
          <w:rFonts w:ascii="Calibri" w:hAnsi="Calibri" w:cs="Calibri"/>
          <w:b/>
          <w:sz w:val="24"/>
        </w:rPr>
        <w:t xml:space="preserve">očekávaných </w:t>
      </w:r>
      <w:r w:rsidR="008C0F20" w:rsidRPr="00FD469F">
        <w:rPr>
          <w:rFonts w:ascii="Calibri" w:hAnsi="Calibri" w:cs="Calibri"/>
          <w:b/>
          <w:sz w:val="24"/>
        </w:rPr>
        <w:t xml:space="preserve">příjmů </w:t>
      </w:r>
      <w:r w:rsidR="005B5DE5">
        <w:rPr>
          <w:rFonts w:ascii="Calibri" w:hAnsi="Calibri" w:cs="Calibri"/>
          <w:b/>
          <w:sz w:val="24"/>
        </w:rPr>
        <w:t xml:space="preserve">HZS </w:t>
      </w:r>
      <w:r w:rsidR="00522D10" w:rsidRPr="00FD469F">
        <w:rPr>
          <w:rFonts w:ascii="Calibri" w:hAnsi="Calibri" w:cs="Calibri"/>
          <w:b/>
          <w:sz w:val="24"/>
        </w:rPr>
        <w:t>a nedostatečn</w:t>
      </w:r>
      <w:r w:rsidR="0041554D" w:rsidRPr="00FD469F">
        <w:rPr>
          <w:rFonts w:ascii="Calibri" w:hAnsi="Calibri" w:cs="Calibri"/>
          <w:b/>
          <w:sz w:val="24"/>
        </w:rPr>
        <w:t>é</w:t>
      </w:r>
      <w:r w:rsidR="00522D10" w:rsidRPr="00FD469F">
        <w:rPr>
          <w:rFonts w:ascii="Calibri" w:hAnsi="Calibri" w:cs="Calibri"/>
          <w:b/>
          <w:sz w:val="24"/>
        </w:rPr>
        <w:t xml:space="preserve"> metodi</w:t>
      </w:r>
      <w:r w:rsidR="0041554D" w:rsidRPr="00FD469F">
        <w:rPr>
          <w:rFonts w:ascii="Calibri" w:hAnsi="Calibri" w:cs="Calibri"/>
          <w:b/>
          <w:sz w:val="24"/>
        </w:rPr>
        <w:t xml:space="preserve">cké řízení </w:t>
      </w:r>
      <w:r w:rsidR="0033692D" w:rsidRPr="00FD469F">
        <w:rPr>
          <w:rFonts w:ascii="Calibri" w:hAnsi="Calibri" w:cs="Calibri"/>
          <w:b/>
          <w:sz w:val="24"/>
        </w:rPr>
        <w:t xml:space="preserve">v oblasti náhrad </w:t>
      </w:r>
      <w:r w:rsidR="009361D1" w:rsidRPr="00FD469F">
        <w:rPr>
          <w:rFonts w:ascii="Calibri" w:hAnsi="Calibri" w:cs="Calibri"/>
          <w:b/>
          <w:sz w:val="24"/>
        </w:rPr>
        <w:t>nákladů za zásahy u dopravních nehod</w:t>
      </w:r>
      <w:r w:rsidR="00DD3082">
        <w:rPr>
          <w:rFonts w:ascii="Calibri" w:hAnsi="Calibri" w:cs="Calibri"/>
          <w:b/>
          <w:sz w:val="24"/>
        </w:rPr>
        <w:t xml:space="preserve">, </w:t>
      </w:r>
      <w:r w:rsidR="00736509">
        <w:rPr>
          <w:rFonts w:ascii="Calibri" w:hAnsi="Calibri" w:cs="Calibri"/>
          <w:b/>
          <w:sz w:val="24"/>
        </w:rPr>
        <w:t>t</w:t>
      </w:r>
      <w:r w:rsidR="007F25BA">
        <w:rPr>
          <w:rFonts w:ascii="Calibri" w:hAnsi="Calibri" w:cs="Calibri"/>
          <w:b/>
          <w:sz w:val="24"/>
        </w:rPr>
        <w:t>j</w:t>
      </w:r>
      <w:r w:rsidR="00736509">
        <w:rPr>
          <w:rFonts w:ascii="Calibri" w:hAnsi="Calibri" w:cs="Calibri"/>
          <w:b/>
          <w:sz w:val="24"/>
        </w:rPr>
        <w:t>.</w:t>
      </w:r>
      <w:r w:rsidR="007F25BA">
        <w:rPr>
          <w:rFonts w:ascii="Calibri" w:hAnsi="Calibri" w:cs="Calibri"/>
          <w:b/>
          <w:sz w:val="24"/>
        </w:rPr>
        <w:t xml:space="preserve"> </w:t>
      </w:r>
      <w:r w:rsidR="00DD3082">
        <w:rPr>
          <w:rFonts w:ascii="Calibri" w:hAnsi="Calibri" w:cs="Calibri"/>
          <w:b/>
          <w:sz w:val="24"/>
        </w:rPr>
        <w:t>náhrad</w:t>
      </w:r>
      <w:r w:rsidR="009361D1" w:rsidRPr="00FD469F">
        <w:rPr>
          <w:rFonts w:ascii="Calibri" w:hAnsi="Calibri" w:cs="Calibri"/>
          <w:b/>
          <w:sz w:val="24"/>
        </w:rPr>
        <w:t xml:space="preserve"> </w:t>
      </w:r>
      <w:r w:rsidR="0033692D" w:rsidRPr="00093396">
        <w:rPr>
          <w:rFonts w:ascii="Calibri" w:hAnsi="Calibri"/>
          <w:b/>
          <w:color w:val="000000" w:themeColor="text1"/>
          <w:sz w:val="24"/>
        </w:rPr>
        <w:t>stanovených</w:t>
      </w:r>
      <w:r w:rsidR="00522D10" w:rsidRPr="00093396">
        <w:rPr>
          <w:rFonts w:ascii="Calibri" w:hAnsi="Calibri"/>
          <w:b/>
          <w:color w:val="000000" w:themeColor="text1"/>
          <w:sz w:val="24"/>
        </w:rPr>
        <w:t xml:space="preserve"> zákon</w:t>
      </w:r>
      <w:r w:rsidR="002613CD" w:rsidRPr="00093396">
        <w:rPr>
          <w:rFonts w:ascii="Calibri" w:hAnsi="Calibri"/>
          <w:b/>
          <w:color w:val="000000" w:themeColor="text1"/>
          <w:sz w:val="24"/>
        </w:rPr>
        <w:t>em</w:t>
      </w:r>
      <w:r w:rsidR="00522D10" w:rsidRPr="00093396">
        <w:rPr>
          <w:rFonts w:ascii="Calibri" w:hAnsi="Calibri"/>
          <w:b/>
          <w:color w:val="000000" w:themeColor="text1"/>
          <w:sz w:val="24"/>
        </w:rPr>
        <w:t xml:space="preserve"> č.</w:t>
      </w:r>
      <w:r w:rsidR="007F25BA">
        <w:rPr>
          <w:rFonts w:ascii="Calibri" w:hAnsi="Calibri"/>
          <w:b/>
          <w:color w:val="000000" w:themeColor="text1"/>
          <w:sz w:val="24"/>
        </w:rPr>
        <w:t> </w:t>
      </w:r>
      <w:r w:rsidR="002C739B" w:rsidRPr="0015130D">
        <w:rPr>
          <w:rFonts w:ascii="Calibri" w:hAnsi="Calibri" w:cs="Calibri"/>
          <w:b/>
          <w:color w:val="000000" w:themeColor="text1"/>
          <w:sz w:val="24"/>
        </w:rPr>
        <w:t>238</w:t>
      </w:r>
      <w:r w:rsidR="00522D10" w:rsidRPr="0015130D">
        <w:rPr>
          <w:rFonts w:ascii="Calibri" w:hAnsi="Calibri" w:cs="Calibri"/>
          <w:b/>
          <w:color w:val="000000" w:themeColor="text1"/>
          <w:sz w:val="24"/>
        </w:rPr>
        <w:t>/20</w:t>
      </w:r>
      <w:r w:rsidR="002C739B" w:rsidRPr="0015130D">
        <w:rPr>
          <w:rFonts w:ascii="Calibri" w:hAnsi="Calibri" w:cs="Calibri"/>
          <w:b/>
          <w:color w:val="000000" w:themeColor="text1"/>
          <w:sz w:val="24"/>
        </w:rPr>
        <w:t>00</w:t>
      </w:r>
      <w:r w:rsidR="007F25BA">
        <w:rPr>
          <w:rFonts w:ascii="Calibri" w:hAnsi="Calibri"/>
          <w:b/>
          <w:color w:val="000000" w:themeColor="text1"/>
          <w:sz w:val="24"/>
        </w:rPr>
        <w:t> </w:t>
      </w:r>
      <w:r w:rsidR="00522D10" w:rsidRPr="00093396">
        <w:rPr>
          <w:rFonts w:ascii="Calibri" w:hAnsi="Calibri"/>
          <w:b/>
          <w:color w:val="000000" w:themeColor="text1"/>
          <w:sz w:val="24"/>
        </w:rPr>
        <w:t>Sb.</w:t>
      </w:r>
    </w:p>
    <w:p w14:paraId="32CA8766" w14:textId="77777777" w:rsidR="003234CE" w:rsidRPr="003234CE" w:rsidRDefault="003234CE" w:rsidP="003234CE">
      <w:pPr>
        <w:tabs>
          <w:tab w:val="left" w:pos="284"/>
        </w:tabs>
        <w:rPr>
          <w:rFonts w:ascii="Calibri" w:hAnsi="Calibri"/>
          <w:b/>
          <w:color w:val="000000" w:themeColor="text1"/>
          <w:sz w:val="24"/>
        </w:rPr>
      </w:pPr>
    </w:p>
    <w:p w14:paraId="7D5D3A47" w14:textId="35E59D68" w:rsidR="00657B35" w:rsidRDefault="00657B35" w:rsidP="003234CE">
      <w:pPr>
        <w:rPr>
          <w:rFonts w:ascii="Calibri" w:hAnsi="Calibri"/>
          <w:b/>
          <w:color w:val="000000" w:themeColor="text1"/>
          <w:sz w:val="24"/>
        </w:rPr>
      </w:pPr>
      <w:r w:rsidRPr="00093396">
        <w:rPr>
          <w:rFonts w:ascii="Calibri" w:hAnsi="Calibri"/>
          <w:b/>
          <w:color w:val="000000" w:themeColor="text1"/>
          <w:sz w:val="24"/>
        </w:rPr>
        <w:t xml:space="preserve">Celkové </w:t>
      </w:r>
      <w:r w:rsidRPr="0015130D">
        <w:rPr>
          <w:rFonts w:ascii="Calibri" w:hAnsi="Calibri" w:cs="Calibri"/>
          <w:b/>
          <w:color w:val="000000" w:themeColor="text1"/>
          <w:sz w:val="24"/>
        </w:rPr>
        <w:t xml:space="preserve">příjmy </w:t>
      </w:r>
      <w:r w:rsidR="005B5DE5">
        <w:rPr>
          <w:rFonts w:ascii="Calibri" w:hAnsi="Calibri" w:cs="Calibri"/>
          <w:b/>
          <w:color w:val="000000" w:themeColor="text1"/>
          <w:sz w:val="24"/>
        </w:rPr>
        <w:t xml:space="preserve">HZS </w:t>
      </w:r>
      <w:r w:rsidR="008B55BC" w:rsidRPr="0015130D">
        <w:rPr>
          <w:rFonts w:ascii="Calibri" w:hAnsi="Calibri" w:cs="Calibri"/>
          <w:b/>
          <w:color w:val="000000" w:themeColor="text1"/>
          <w:sz w:val="24"/>
        </w:rPr>
        <w:t xml:space="preserve">za provedené zásahy </w:t>
      </w:r>
      <w:r w:rsidRPr="0015130D">
        <w:rPr>
          <w:rFonts w:ascii="Calibri" w:hAnsi="Calibri" w:cs="Calibri"/>
          <w:b/>
          <w:color w:val="000000" w:themeColor="text1"/>
          <w:sz w:val="24"/>
        </w:rPr>
        <w:t xml:space="preserve">u dopravních </w:t>
      </w:r>
      <w:r w:rsidRPr="00093396">
        <w:rPr>
          <w:rFonts w:ascii="Calibri" w:hAnsi="Calibri"/>
          <w:b/>
          <w:color w:val="000000" w:themeColor="text1"/>
          <w:sz w:val="24"/>
        </w:rPr>
        <w:t>neh</w:t>
      </w:r>
      <w:r w:rsidR="002243E4">
        <w:rPr>
          <w:rFonts w:ascii="Calibri" w:hAnsi="Calibri"/>
          <w:b/>
          <w:color w:val="000000" w:themeColor="text1"/>
          <w:sz w:val="24"/>
        </w:rPr>
        <w:t xml:space="preserve">od </w:t>
      </w:r>
      <w:r w:rsidR="00AF3C8F">
        <w:rPr>
          <w:rFonts w:ascii="Calibri" w:hAnsi="Calibri"/>
          <w:b/>
          <w:color w:val="000000" w:themeColor="text1"/>
          <w:sz w:val="24"/>
        </w:rPr>
        <w:t>v </w:t>
      </w:r>
      <w:r w:rsidR="002243E4">
        <w:rPr>
          <w:rFonts w:ascii="Calibri" w:hAnsi="Calibri"/>
          <w:b/>
          <w:color w:val="000000" w:themeColor="text1"/>
          <w:sz w:val="24"/>
        </w:rPr>
        <w:t>roce 2014 nedosáhly ani 50 </w:t>
      </w:r>
      <w:r w:rsidRPr="00093396">
        <w:rPr>
          <w:rFonts w:ascii="Calibri" w:hAnsi="Calibri"/>
          <w:b/>
          <w:color w:val="000000" w:themeColor="text1"/>
          <w:sz w:val="24"/>
        </w:rPr>
        <w:t xml:space="preserve">% očekávaných příjmů ve výši 303,6 mil. Kč uvedených </w:t>
      </w:r>
      <w:r w:rsidR="00AF3C8F">
        <w:rPr>
          <w:rFonts w:ascii="Calibri" w:hAnsi="Calibri"/>
          <w:b/>
          <w:color w:val="000000" w:themeColor="text1"/>
          <w:sz w:val="24"/>
        </w:rPr>
        <w:t>v </w:t>
      </w:r>
      <w:r w:rsidR="003105D0" w:rsidRPr="00093396">
        <w:rPr>
          <w:rFonts w:asciiTheme="minorHAnsi" w:hAnsiTheme="minorHAnsi"/>
          <w:b/>
          <w:color w:val="000000" w:themeColor="text1"/>
          <w:sz w:val="24"/>
        </w:rPr>
        <w:t>důvodové zprávě k</w:t>
      </w:r>
      <w:r w:rsidR="003105D0" w:rsidRPr="0015130D">
        <w:rPr>
          <w:rFonts w:asciiTheme="minorHAnsi" w:hAnsiTheme="minorHAnsi" w:cstheme="minorHAnsi"/>
          <w:b/>
          <w:bCs/>
          <w:color w:val="000000" w:themeColor="text1"/>
          <w:sz w:val="24"/>
        </w:rPr>
        <w:t> </w:t>
      </w:r>
      <w:r w:rsidR="003105D0" w:rsidRPr="00093396">
        <w:rPr>
          <w:rFonts w:asciiTheme="minorHAnsi" w:hAnsiTheme="minorHAnsi"/>
          <w:b/>
          <w:color w:val="000000" w:themeColor="text1"/>
          <w:sz w:val="24"/>
        </w:rPr>
        <w:t>novele zákona</w:t>
      </w:r>
      <w:r w:rsidR="002243E4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č. </w:t>
      </w:r>
      <w:r w:rsidR="003105D0" w:rsidRPr="0015130D">
        <w:rPr>
          <w:rFonts w:asciiTheme="minorHAnsi" w:hAnsiTheme="minorHAnsi" w:cstheme="minorHAnsi"/>
          <w:b/>
          <w:bCs/>
          <w:color w:val="000000" w:themeColor="text1"/>
          <w:sz w:val="24"/>
        </w:rPr>
        <w:t>238/2000 Sb</w:t>
      </w:r>
      <w:r w:rsidRPr="00093396">
        <w:rPr>
          <w:rFonts w:ascii="Calibri" w:hAnsi="Calibri"/>
          <w:b/>
          <w:color w:val="000000" w:themeColor="text1"/>
          <w:sz w:val="24"/>
        </w:rPr>
        <w:t xml:space="preserve">. </w:t>
      </w:r>
    </w:p>
    <w:p w14:paraId="10257084" w14:textId="77777777" w:rsidR="003234CE" w:rsidRPr="00093396" w:rsidRDefault="003234CE" w:rsidP="003234CE">
      <w:pPr>
        <w:rPr>
          <w:rFonts w:ascii="Calibri" w:hAnsi="Calibri"/>
          <w:b/>
          <w:color w:val="000000" w:themeColor="text1"/>
          <w:sz w:val="24"/>
        </w:rPr>
      </w:pPr>
    </w:p>
    <w:p w14:paraId="1FB90147" w14:textId="0429468E" w:rsidR="005251D7" w:rsidRDefault="00282E7D" w:rsidP="003234CE">
      <w:pPr>
        <w:rPr>
          <w:rFonts w:ascii="Calibri" w:hAnsi="Calibri"/>
          <w:b/>
          <w:color w:val="000000" w:themeColor="text1"/>
          <w:sz w:val="24"/>
        </w:rPr>
      </w:pPr>
      <w:r w:rsidRPr="00093396">
        <w:rPr>
          <w:rFonts w:ascii="Calibri" w:hAnsi="Calibri"/>
          <w:b/>
          <w:color w:val="000000" w:themeColor="text1"/>
          <w:sz w:val="24"/>
        </w:rPr>
        <w:t>P</w:t>
      </w:r>
      <w:r w:rsidR="000C5484" w:rsidRPr="00093396">
        <w:rPr>
          <w:rFonts w:ascii="Calibri" w:hAnsi="Calibri"/>
          <w:b/>
          <w:color w:val="000000" w:themeColor="text1"/>
          <w:sz w:val="24"/>
        </w:rPr>
        <w:t>eněžní p</w:t>
      </w:r>
      <w:r w:rsidR="002613CD" w:rsidRPr="00093396">
        <w:rPr>
          <w:rFonts w:ascii="Calibri" w:hAnsi="Calibri"/>
          <w:b/>
          <w:color w:val="000000" w:themeColor="text1"/>
          <w:sz w:val="24"/>
        </w:rPr>
        <w:t>rostředky</w:t>
      </w:r>
      <w:r w:rsidR="005251D7" w:rsidRPr="00093396">
        <w:rPr>
          <w:rFonts w:ascii="Calibri" w:hAnsi="Calibri"/>
          <w:b/>
          <w:color w:val="000000" w:themeColor="text1"/>
          <w:sz w:val="24"/>
        </w:rPr>
        <w:t xml:space="preserve"> z</w:t>
      </w:r>
      <w:r w:rsidR="002C739B" w:rsidRPr="00093396">
        <w:rPr>
          <w:rFonts w:ascii="Calibri" w:hAnsi="Calibri"/>
          <w:b/>
          <w:color w:val="000000" w:themeColor="text1"/>
          <w:sz w:val="24"/>
        </w:rPr>
        <w:t> </w:t>
      </w:r>
      <w:r w:rsidR="002C739B" w:rsidRPr="0015130D">
        <w:rPr>
          <w:rFonts w:ascii="Calibri" w:hAnsi="Calibri" w:cs="Calibri"/>
          <w:b/>
          <w:color w:val="000000" w:themeColor="text1"/>
          <w:sz w:val="24"/>
        </w:rPr>
        <w:t>fondu zábrany škod</w:t>
      </w:r>
      <w:r w:rsidR="005251D7" w:rsidRPr="00093396">
        <w:rPr>
          <w:rFonts w:ascii="Calibri" w:hAnsi="Calibri"/>
          <w:b/>
          <w:color w:val="000000" w:themeColor="text1"/>
          <w:sz w:val="24"/>
        </w:rPr>
        <w:t xml:space="preserve"> byly </w:t>
      </w:r>
      <w:r w:rsidR="005B5DE5" w:rsidRPr="00093396">
        <w:rPr>
          <w:rFonts w:ascii="Calibri" w:hAnsi="Calibri"/>
          <w:b/>
          <w:color w:val="000000" w:themeColor="text1"/>
          <w:sz w:val="24"/>
        </w:rPr>
        <w:t xml:space="preserve">HZS </w:t>
      </w:r>
      <w:r w:rsidRPr="00093396">
        <w:rPr>
          <w:rFonts w:ascii="Calibri" w:hAnsi="Calibri"/>
          <w:b/>
          <w:color w:val="000000" w:themeColor="text1"/>
          <w:sz w:val="24"/>
        </w:rPr>
        <w:t xml:space="preserve">poprvé </w:t>
      </w:r>
      <w:r w:rsidR="005251D7" w:rsidRPr="00093396">
        <w:rPr>
          <w:rFonts w:ascii="Calibri" w:hAnsi="Calibri"/>
          <w:b/>
          <w:color w:val="000000" w:themeColor="text1"/>
          <w:sz w:val="24"/>
        </w:rPr>
        <w:t xml:space="preserve">poskytnuty až </w:t>
      </w:r>
      <w:r w:rsidR="00AF3C8F">
        <w:rPr>
          <w:rFonts w:ascii="Calibri" w:hAnsi="Calibri"/>
          <w:b/>
          <w:color w:val="000000" w:themeColor="text1"/>
          <w:sz w:val="24"/>
        </w:rPr>
        <w:t>v </w:t>
      </w:r>
      <w:r w:rsidR="000C5484" w:rsidRPr="00093396">
        <w:rPr>
          <w:rFonts w:ascii="Calibri" w:hAnsi="Calibri"/>
          <w:b/>
          <w:color w:val="000000" w:themeColor="text1"/>
          <w:sz w:val="24"/>
        </w:rPr>
        <w:t>roce</w:t>
      </w:r>
      <w:r w:rsidR="005251D7" w:rsidRPr="00093396">
        <w:rPr>
          <w:rFonts w:ascii="Calibri" w:hAnsi="Calibri"/>
          <w:b/>
          <w:color w:val="000000" w:themeColor="text1"/>
          <w:sz w:val="24"/>
        </w:rPr>
        <w:t xml:space="preserve"> 2015</w:t>
      </w:r>
      <w:r w:rsidR="00DD3082">
        <w:rPr>
          <w:rFonts w:ascii="Calibri" w:hAnsi="Calibri"/>
          <w:b/>
          <w:color w:val="000000" w:themeColor="text1"/>
          <w:sz w:val="24"/>
        </w:rPr>
        <w:t>,</w:t>
      </w:r>
      <w:r w:rsidR="00401215" w:rsidRPr="00093396">
        <w:rPr>
          <w:rFonts w:ascii="Calibri" w:hAnsi="Calibri"/>
          <w:b/>
          <w:color w:val="000000" w:themeColor="text1"/>
          <w:sz w:val="24"/>
        </w:rPr>
        <w:t xml:space="preserve"> </w:t>
      </w:r>
      <w:r w:rsidR="00770493" w:rsidRPr="00093396">
        <w:rPr>
          <w:rFonts w:ascii="Calibri" w:hAnsi="Calibri"/>
          <w:b/>
          <w:color w:val="000000" w:themeColor="text1"/>
          <w:sz w:val="24"/>
        </w:rPr>
        <w:t>a</w:t>
      </w:r>
      <w:r w:rsidR="00770493" w:rsidRPr="0015130D">
        <w:rPr>
          <w:rFonts w:ascii="Calibri" w:hAnsi="Calibri" w:cs="Calibri"/>
          <w:b/>
          <w:color w:val="000000" w:themeColor="text1"/>
          <w:sz w:val="24"/>
        </w:rPr>
        <w:t> </w:t>
      </w:r>
      <w:r w:rsidR="00401215" w:rsidRPr="00093396">
        <w:rPr>
          <w:rFonts w:ascii="Calibri" w:hAnsi="Calibri"/>
          <w:b/>
          <w:color w:val="000000" w:themeColor="text1"/>
          <w:sz w:val="24"/>
        </w:rPr>
        <w:t xml:space="preserve">nebyly proto </w:t>
      </w:r>
      <w:r w:rsidR="005251D7" w:rsidRPr="00093396">
        <w:rPr>
          <w:rFonts w:ascii="Calibri" w:hAnsi="Calibri"/>
          <w:b/>
          <w:color w:val="000000" w:themeColor="text1"/>
          <w:sz w:val="24"/>
        </w:rPr>
        <w:t xml:space="preserve">v kontrolovaném období čerpány. </w:t>
      </w:r>
      <w:r w:rsidR="000C5484" w:rsidRPr="00093396">
        <w:rPr>
          <w:rFonts w:ascii="Calibri" w:hAnsi="Calibri"/>
          <w:b/>
          <w:color w:val="000000" w:themeColor="text1"/>
          <w:sz w:val="24"/>
        </w:rPr>
        <w:t xml:space="preserve">Příjmy </w:t>
      </w:r>
      <w:r w:rsidR="00AF3C8F">
        <w:rPr>
          <w:rFonts w:ascii="Calibri" w:hAnsi="Calibri"/>
          <w:b/>
          <w:color w:val="000000" w:themeColor="text1"/>
          <w:sz w:val="24"/>
        </w:rPr>
        <w:t>z </w:t>
      </w:r>
      <w:r w:rsidR="000C5484" w:rsidRPr="00093396">
        <w:rPr>
          <w:rFonts w:ascii="Calibri" w:hAnsi="Calibri"/>
          <w:b/>
          <w:color w:val="000000" w:themeColor="text1"/>
          <w:sz w:val="24"/>
        </w:rPr>
        <w:t>fondu</w:t>
      </w:r>
      <w:r w:rsidR="00401215" w:rsidRPr="00093396">
        <w:rPr>
          <w:rFonts w:ascii="Calibri" w:hAnsi="Calibri"/>
          <w:b/>
          <w:color w:val="000000" w:themeColor="text1"/>
          <w:sz w:val="24"/>
        </w:rPr>
        <w:t xml:space="preserve"> ve výši 359,9 mil.</w:t>
      </w:r>
      <w:r w:rsidR="000A7118" w:rsidRPr="00093396">
        <w:rPr>
          <w:rFonts w:ascii="Calibri" w:hAnsi="Calibri"/>
          <w:b/>
          <w:color w:val="000000" w:themeColor="text1"/>
          <w:sz w:val="24"/>
        </w:rPr>
        <w:t> </w:t>
      </w:r>
      <w:r w:rsidR="00401215" w:rsidRPr="00093396">
        <w:rPr>
          <w:rFonts w:ascii="Calibri" w:hAnsi="Calibri"/>
          <w:b/>
          <w:color w:val="000000" w:themeColor="text1"/>
          <w:sz w:val="24"/>
        </w:rPr>
        <w:t xml:space="preserve">Kč odpovídaly předpokladům </w:t>
      </w:r>
      <w:r w:rsidR="00AF3C8F">
        <w:rPr>
          <w:rFonts w:ascii="Calibri" w:hAnsi="Calibri"/>
          <w:b/>
          <w:color w:val="000000" w:themeColor="text1"/>
          <w:sz w:val="24"/>
        </w:rPr>
        <w:t>v </w:t>
      </w:r>
      <w:r w:rsidR="003105D0" w:rsidRPr="0015130D">
        <w:rPr>
          <w:rFonts w:ascii="Calibri" w:hAnsi="Calibri" w:cs="Calibri"/>
          <w:b/>
          <w:color w:val="000000" w:themeColor="text1"/>
          <w:sz w:val="24"/>
        </w:rPr>
        <w:t>uvedené</w:t>
      </w:r>
      <w:r w:rsidR="003105D0" w:rsidRPr="00093396">
        <w:rPr>
          <w:rFonts w:ascii="Calibri" w:hAnsi="Calibri"/>
          <w:b/>
          <w:color w:val="000000" w:themeColor="text1"/>
          <w:sz w:val="24"/>
        </w:rPr>
        <w:t> </w:t>
      </w:r>
      <w:r w:rsidR="00A15CFE" w:rsidRPr="00093396">
        <w:rPr>
          <w:rFonts w:asciiTheme="minorHAnsi" w:hAnsiTheme="minorHAnsi"/>
          <w:b/>
          <w:color w:val="000000" w:themeColor="text1"/>
          <w:sz w:val="24"/>
        </w:rPr>
        <w:t>důvodové zpráv</w:t>
      </w:r>
      <w:r w:rsidR="003C0344" w:rsidRPr="00093396">
        <w:rPr>
          <w:rFonts w:asciiTheme="minorHAnsi" w:hAnsiTheme="minorHAnsi"/>
          <w:b/>
          <w:color w:val="000000" w:themeColor="text1"/>
          <w:sz w:val="24"/>
        </w:rPr>
        <w:t>ě</w:t>
      </w:r>
      <w:r w:rsidR="002266DB" w:rsidRPr="00093396">
        <w:rPr>
          <w:rFonts w:asciiTheme="minorHAnsi" w:hAnsiTheme="minorHAnsi"/>
          <w:b/>
          <w:color w:val="000000" w:themeColor="text1"/>
          <w:sz w:val="24"/>
        </w:rPr>
        <w:t xml:space="preserve"> k</w:t>
      </w:r>
      <w:r w:rsidR="002266DB" w:rsidRPr="0015130D">
        <w:rPr>
          <w:rFonts w:asciiTheme="minorHAnsi" w:hAnsiTheme="minorHAnsi" w:cstheme="minorHAnsi"/>
          <w:b/>
          <w:bCs/>
          <w:color w:val="000000" w:themeColor="text1"/>
          <w:sz w:val="24"/>
        </w:rPr>
        <w:t> </w:t>
      </w:r>
      <w:r w:rsidR="002266DB" w:rsidRPr="00093396">
        <w:rPr>
          <w:rFonts w:asciiTheme="minorHAnsi" w:hAnsiTheme="minorHAnsi"/>
          <w:b/>
          <w:color w:val="000000" w:themeColor="text1"/>
          <w:sz w:val="24"/>
        </w:rPr>
        <w:t>novele zákona</w:t>
      </w:r>
      <w:r w:rsidR="00401215" w:rsidRPr="00093396">
        <w:rPr>
          <w:rFonts w:ascii="Calibri" w:hAnsi="Calibri"/>
          <w:b/>
          <w:color w:val="000000" w:themeColor="text1"/>
          <w:sz w:val="24"/>
        </w:rPr>
        <w:t xml:space="preserve">. </w:t>
      </w:r>
    </w:p>
    <w:p w14:paraId="075A3AA5" w14:textId="77777777" w:rsidR="003234CE" w:rsidRPr="00093396" w:rsidRDefault="003234CE" w:rsidP="003234CE">
      <w:pPr>
        <w:rPr>
          <w:rFonts w:ascii="Calibri" w:hAnsi="Calibri"/>
          <w:b/>
          <w:color w:val="000000" w:themeColor="text1"/>
          <w:sz w:val="24"/>
        </w:rPr>
      </w:pPr>
    </w:p>
    <w:p w14:paraId="60D87295" w14:textId="1EB5CD69" w:rsidR="00F84489" w:rsidRPr="00FD469F" w:rsidRDefault="00EE7B34" w:rsidP="003234CE">
      <w:pPr>
        <w:rPr>
          <w:rFonts w:asciiTheme="minorHAnsi" w:hAnsiTheme="minorHAnsi" w:cstheme="minorHAnsi"/>
          <w:b/>
          <w:bCs/>
          <w:sz w:val="24"/>
        </w:rPr>
      </w:pPr>
      <w:r w:rsidRPr="00093396">
        <w:rPr>
          <w:rFonts w:ascii="Calibri" w:hAnsi="Calibri"/>
          <w:b/>
          <w:color w:val="000000" w:themeColor="text1"/>
          <w:sz w:val="24"/>
        </w:rPr>
        <w:t xml:space="preserve">Postupy HZSK </w:t>
      </w:r>
      <w:r w:rsidR="00282E7D" w:rsidRPr="00093396">
        <w:rPr>
          <w:rFonts w:ascii="Calibri" w:hAnsi="Calibri"/>
          <w:b/>
          <w:color w:val="000000" w:themeColor="text1"/>
          <w:sz w:val="24"/>
        </w:rPr>
        <w:t>při</w:t>
      </w:r>
      <w:r w:rsidR="003234CE">
        <w:rPr>
          <w:rFonts w:ascii="Calibri" w:hAnsi="Calibri"/>
          <w:b/>
          <w:color w:val="000000" w:themeColor="text1"/>
          <w:sz w:val="24"/>
        </w:rPr>
        <w:t xml:space="preserve"> </w:t>
      </w:r>
      <w:r w:rsidR="00430AD4" w:rsidRPr="00093396">
        <w:rPr>
          <w:rFonts w:ascii="Calibri" w:hAnsi="Calibri"/>
          <w:b/>
          <w:color w:val="000000" w:themeColor="text1"/>
          <w:sz w:val="24"/>
        </w:rPr>
        <w:t xml:space="preserve">uplatnění </w:t>
      </w:r>
      <w:r w:rsidRPr="00093396">
        <w:rPr>
          <w:rFonts w:ascii="Calibri" w:hAnsi="Calibri"/>
          <w:b/>
          <w:color w:val="000000" w:themeColor="text1"/>
          <w:sz w:val="24"/>
        </w:rPr>
        <w:t>náhrad nákladů za zásahy prováděné jednotkami hasičských</w:t>
      </w:r>
      <w:r w:rsidRPr="00093396">
        <w:rPr>
          <w:rFonts w:asciiTheme="minorHAnsi" w:hAnsiTheme="minorHAnsi"/>
          <w:b/>
          <w:color w:val="000000" w:themeColor="text1"/>
          <w:sz w:val="24"/>
        </w:rPr>
        <w:t xml:space="preserve"> záchranných sborů u </w:t>
      </w:r>
      <w:r w:rsidR="00EF68B1" w:rsidRPr="0015130D">
        <w:rPr>
          <w:rFonts w:asciiTheme="minorHAnsi" w:hAnsiTheme="minorHAnsi" w:cstheme="minorHAnsi"/>
          <w:b/>
          <w:bCs/>
          <w:color w:val="000000" w:themeColor="text1"/>
          <w:sz w:val="24"/>
        </w:rPr>
        <w:t>dopravních nehod</w:t>
      </w:r>
      <w:r w:rsidRPr="00093396">
        <w:rPr>
          <w:rFonts w:asciiTheme="minorHAnsi" w:hAnsiTheme="minorHAnsi"/>
          <w:b/>
          <w:color w:val="000000" w:themeColor="text1"/>
          <w:sz w:val="24"/>
        </w:rPr>
        <w:t xml:space="preserve"> nebyly </w:t>
      </w:r>
      <w:r w:rsidR="00F84489" w:rsidRPr="00093396">
        <w:rPr>
          <w:rFonts w:asciiTheme="minorHAnsi" w:hAnsiTheme="minorHAnsi"/>
          <w:b/>
          <w:color w:val="000000" w:themeColor="text1"/>
          <w:sz w:val="24"/>
        </w:rPr>
        <w:t xml:space="preserve">ve vydaných řídicích aktech </w:t>
      </w:r>
      <w:r w:rsidR="00927E77" w:rsidRPr="00093396">
        <w:rPr>
          <w:rFonts w:asciiTheme="minorHAnsi" w:hAnsiTheme="minorHAnsi"/>
          <w:b/>
          <w:color w:val="000000" w:themeColor="text1"/>
          <w:sz w:val="24"/>
        </w:rPr>
        <w:t>GŘ</w:t>
      </w:r>
      <w:r w:rsidR="009361D1" w:rsidRPr="00093396">
        <w:rPr>
          <w:rFonts w:asciiTheme="minorHAnsi" w:hAnsiTheme="minorHAnsi"/>
          <w:b/>
          <w:color w:val="000000" w:themeColor="text1"/>
          <w:sz w:val="24"/>
        </w:rPr>
        <w:t xml:space="preserve"> </w:t>
      </w:r>
      <w:r w:rsidRPr="00FD469F">
        <w:rPr>
          <w:rFonts w:asciiTheme="minorHAnsi" w:hAnsiTheme="minorHAnsi" w:cstheme="minorHAnsi"/>
          <w:b/>
          <w:bCs/>
          <w:sz w:val="24"/>
        </w:rPr>
        <w:t xml:space="preserve">upraveny </w:t>
      </w:r>
      <w:r w:rsidRPr="00093396">
        <w:rPr>
          <w:rFonts w:asciiTheme="minorHAnsi" w:hAnsiTheme="minorHAnsi" w:cstheme="minorHAnsi"/>
          <w:b/>
          <w:bCs/>
          <w:sz w:val="24"/>
        </w:rPr>
        <w:t>dostatečně</w:t>
      </w:r>
      <w:r w:rsidR="00B74C73" w:rsidRPr="00093396">
        <w:rPr>
          <w:rFonts w:asciiTheme="minorHAnsi" w:hAnsiTheme="minorHAnsi" w:cstheme="minorHAnsi"/>
          <w:b/>
          <w:bCs/>
          <w:sz w:val="24"/>
        </w:rPr>
        <w:t xml:space="preserve"> a p</w:t>
      </w:r>
      <w:r w:rsidRPr="00093396">
        <w:rPr>
          <w:rFonts w:asciiTheme="minorHAnsi" w:hAnsiTheme="minorHAnsi" w:cstheme="minorHAnsi"/>
          <w:b/>
          <w:bCs/>
          <w:sz w:val="24"/>
        </w:rPr>
        <w:t>ostup</w:t>
      </w:r>
      <w:r w:rsidR="00430AD4" w:rsidRPr="00093396">
        <w:rPr>
          <w:rFonts w:asciiTheme="minorHAnsi" w:hAnsiTheme="minorHAnsi" w:cstheme="minorHAnsi"/>
          <w:b/>
          <w:bCs/>
          <w:sz w:val="24"/>
        </w:rPr>
        <w:t>y</w:t>
      </w:r>
      <w:r w:rsidRPr="00093396">
        <w:rPr>
          <w:rFonts w:asciiTheme="minorHAnsi" w:hAnsiTheme="minorHAnsi" w:cstheme="minorHAnsi"/>
          <w:b/>
          <w:bCs/>
          <w:sz w:val="24"/>
        </w:rPr>
        <w:t xml:space="preserve"> </w:t>
      </w:r>
      <w:r w:rsidR="00B74C73" w:rsidRPr="00093396">
        <w:rPr>
          <w:rFonts w:asciiTheme="minorHAnsi" w:hAnsiTheme="minorHAnsi" w:cstheme="minorHAnsi"/>
          <w:b/>
          <w:bCs/>
          <w:sz w:val="24"/>
        </w:rPr>
        <w:t>při</w:t>
      </w:r>
      <w:r w:rsidR="00430AD4" w:rsidRPr="00093396">
        <w:rPr>
          <w:rFonts w:asciiTheme="minorHAnsi" w:hAnsiTheme="minorHAnsi" w:cstheme="minorHAnsi"/>
          <w:b/>
          <w:bCs/>
          <w:sz w:val="24"/>
        </w:rPr>
        <w:t xml:space="preserve"> odmítnut</w:t>
      </w:r>
      <w:r w:rsidR="00B74C73" w:rsidRPr="00093396">
        <w:rPr>
          <w:rFonts w:asciiTheme="minorHAnsi" w:hAnsiTheme="minorHAnsi" w:cstheme="minorHAnsi"/>
          <w:b/>
          <w:bCs/>
          <w:sz w:val="24"/>
        </w:rPr>
        <w:t>í</w:t>
      </w:r>
      <w:r w:rsidR="00430AD4" w:rsidRPr="00093396">
        <w:rPr>
          <w:rFonts w:asciiTheme="minorHAnsi" w:hAnsiTheme="minorHAnsi" w:cstheme="minorHAnsi"/>
          <w:b/>
          <w:bCs/>
          <w:sz w:val="24"/>
        </w:rPr>
        <w:t xml:space="preserve"> úhrad</w:t>
      </w:r>
      <w:r w:rsidR="00B74C73" w:rsidRPr="00093396">
        <w:rPr>
          <w:rFonts w:asciiTheme="minorHAnsi" w:hAnsiTheme="minorHAnsi" w:cstheme="minorHAnsi"/>
          <w:b/>
          <w:bCs/>
          <w:sz w:val="24"/>
        </w:rPr>
        <w:t>y</w:t>
      </w:r>
      <w:r w:rsidR="00430AD4" w:rsidRPr="00093396">
        <w:rPr>
          <w:rFonts w:asciiTheme="minorHAnsi" w:hAnsiTheme="minorHAnsi"/>
          <w:b/>
          <w:sz w:val="24"/>
        </w:rPr>
        <w:t xml:space="preserve"> nákladů</w:t>
      </w:r>
      <w:r w:rsidR="00A15CFE" w:rsidRPr="00093396">
        <w:rPr>
          <w:rFonts w:asciiTheme="minorHAnsi" w:hAnsiTheme="minorHAnsi" w:cstheme="minorHAnsi"/>
          <w:b/>
          <w:bCs/>
          <w:sz w:val="24"/>
        </w:rPr>
        <w:t xml:space="preserve"> a</w:t>
      </w:r>
      <w:r w:rsidR="003234CE">
        <w:rPr>
          <w:rFonts w:asciiTheme="minorHAnsi" w:hAnsiTheme="minorHAnsi" w:cstheme="minorHAnsi"/>
          <w:b/>
          <w:bCs/>
          <w:sz w:val="24"/>
        </w:rPr>
        <w:t xml:space="preserve"> </w:t>
      </w:r>
      <w:r w:rsidR="008C0F20" w:rsidRPr="00FD469F">
        <w:rPr>
          <w:rFonts w:asciiTheme="minorHAnsi" w:hAnsiTheme="minorHAnsi" w:cstheme="minorHAnsi"/>
          <w:b/>
          <w:bCs/>
          <w:sz w:val="24"/>
        </w:rPr>
        <w:t>při účtování uplatněných náhrad, včetně vymáhání pohledávek,</w:t>
      </w:r>
      <w:r w:rsidR="00933E32" w:rsidRPr="00FD469F">
        <w:rPr>
          <w:rFonts w:asciiTheme="minorHAnsi" w:hAnsiTheme="minorHAnsi" w:cstheme="minorHAnsi"/>
          <w:b/>
          <w:bCs/>
          <w:sz w:val="24"/>
        </w:rPr>
        <w:t xml:space="preserve"> nebyly upraveny vůbec.</w:t>
      </w:r>
    </w:p>
    <w:p w14:paraId="56D344D5" w14:textId="77777777" w:rsidR="00C94E64" w:rsidRPr="00093396" w:rsidRDefault="00C94E64" w:rsidP="00DE4003">
      <w:pPr>
        <w:pStyle w:val="Standard"/>
        <w:spacing w:after="0" w:line="240" w:lineRule="auto"/>
        <w:ind w:left="567" w:hanging="567"/>
        <w:jc w:val="left"/>
        <w:rPr>
          <w:rFonts w:ascii="Calibri" w:hAnsi="Calibri"/>
          <w:b/>
          <w:sz w:val="24"/>
        </w:rPr>
      </w:pPr>
    </w:p>
    <w:p w14:paraId="461ACFCC" w14:textId="77777777" w:rsidR="004C4823" w:rsidRDefault="004C4823" w:rsidP="00036B69">
      <w:pPr>
        <w:pStyle w:val="Standard"/>
        <w:spacing w:after="0" w:line="240" w:lineRule="auto"/>
        <w:ind w:left="567" w:hanging="567"/>
        <w:jc w:val="left"/>
        <w:rPr>
          <w:rFonts w:ascii="Calibri" w:hAnsi="Calibri"/>
          <w:b/>
          <w:sz w:val="24"/>
        </w:rPr>
      </w:pPr>
    </w:p>
    <w:p w14:paraId="7F921278" w14:textId="496592D6" w:rsidR="00EE7B34" w:rsidRPr="00FD469F" w:rsidRDefault="00EE7B34" w:rsidP="00B118E4">
      <w:pPr>
        <w:pStyle w:val="Odstavecseseznamem"/>
        <w:numPr>
          <w:ilvl w:val="0"/>
          <w:numId w:val="31"/>
        </w:numPr>
        <w:tabs>
          <w:tab w:val="left" w:pos="284"/>
        </w:tabs>
        <w:spacing w:after="120"/>
        <w:ind w:left="0" w:firstLine="0"/>
        <w:rPr>
          <w:rFonts w:ascii="Calibri" w:hAnsi="Calibri" w:cs="Calibri"/>
          <w:b/>
          <w:sz w:val="24"/>
        </w:rPr>
      </w:pPr>
      <w:r w:rsidRPr="00FD469F">
        <w:rPr>
          <w:rFonts w:ascii="Calibri" w:hAnsi="Calibri" w:cs="Calibri"/>
          <w:b/>
          <w:sz w:val="24"/>
        </w:rPr>
        <w:lastRenderedPageBreak/>
        <w:t xml:space="preserve">Nejednotný přístup HZSK </w:t>
      </w:r>
      <w:r w:rsidR="007357D1" w:rsidRPr="00FD469F">
        <w:rPr>
          <w:rFonts w:ascii="Calibri" w:hAnsi="Calibri" w:cs="Calibri"/>
          <w:b/>
          <w:sz w:val="24"/>
        </w:rPr>
        <w:t>k</w:t>
      </w:r>
      <w:r w:rsidR="005E2EA8" w:rsidRPr="00FD469F">
        <w:rPr>
          <w:rFonts w:ascii="Calibri" w:hAnsi="Calibri" w:cs="Calibri"/>
          <w:b/>
          <w:sz w:val="24"/>
        </w:rPr>
        <w:t> poskytování služ</w:t>
      </w:r>
      <w:r w:rsidR="00282E7D">
        <w:rPr>
          <w:rFonts w:ascii="Calibri" w:hAnsi="Calibri" w:cs="Calibri"/>
          <w:b/>
          <w:sz w:val="24"/>
        </w:rPr>
        <w:t>e</w:t>
      </w:r>
      <w:r w:rsidR="005E2EA8" w:rsidRPr="00FD469F">
        <w:rPr>
          <w:rFonts w:ascii="Calibri" w:hAnsi="Calibri" w:cs="Calibri"/>
          <w:b/>
          <w:sz w:val="24"/>
        </w:rPr>
        <w:t xml:space="preserve">b připojení na </w:t>
      </w:r>
      <w:r w:rsidR="00FD469F" w:rsidRPr="00FD469F">
        <w:rPr>
          <w:rFonts w:ascii="Calibri" w:hAnsi="Calibri" w:cs="Calibri"/>
          <w:b/>
          <w:sz w:val="24"/>
        </w:rPr>
        <w:t>pult centralizované ochrany</w:t>
      </w:r>
      <w:r w:rsidR="005E2EA8" w:rsidRPr="00FD469F">
        <w:rPr>
          <w:rFonts w:ascii="Calibri" w:hAnsi="Calibri" w:cs="Calibri"/>
          <w:b/>
          <w:sz w:val="24"/>
        </w:rPr>
        <w:t>.</w:t>
      </w:r>
      <w:r w:rsidR="007357D1" w:rsidRPr="00FD469F">
        <w:rPr>
          <w:rFonts w:ascii="Calibri" w:hAnsi="Calibri" w:cs="Calibri"/>
          <w:b/>
          <w:sz w:val="24"/>
        </w:rPr>
        <w:t xml:space="preserve"> </w:t>
      </w:r>
    </w:p>
    <w:p w14:paraId="1E7229FD" w14:textId="033446F2" w:rsidR="00934528" w:rsidRPr="00FD469F" w:rsidRDefault="00D407C3" w:rsidP="00477681">
      <w:pPr>
        <w:tabs>
          <w:tab w:val="left" w:pos="284"/>
        </w:tabs>
        <w:rPr>
          <w:rFonts w:ascii="Calibri" w:hAnsi="Calibri" w:cs="Calibri"/>
          <w:b/>
          <w:sz w:val="24"/>
        </w:rPr>
      </w:pPr>
      <w:r w:rsidRPr="00FD469F">
        <w:rPr>
          <w:rFonts w:ascii="Calibri" w:hAnsi="Calibri" w:cs="Calibri"/>
          <w:b/>
          <w:sz w:val="24"/>
        </w:rPr>
        <w:t>Při</w:t>
      </w:r>
      <w:r w:rsidR="00EE7B34" w:rsidRPr="00FD469F">
        <w:rPr>
          <w:rFonts w:ascii="Calibri" w:hAnsi="Calibri" w:cs="Calibri"/>
          <w:b/>
          <w:sz w:val="24"/>
        </w:rPr>
        <w:t xml:space="preserve"> poskytování služb</w:t>
      </w:r>
      <w:r w:rsidR="000A7118">
        <w:rPr>
          <w:rFonts w:ascii="Calibri" w:hAnsi="Calibri" w:cs="Calibri"/>
          <w:b/>
          <w:sz w:val="24"/>
        </w:rPr>
        <w:t>y</w:t>
      </w:r>
      <w:r w:rsidR="00EE7B34" w:rsidRPr="00FD469F">
        <w:rPr>
          <w:rFonts w:ascii="Calibri" w:hAnsi="Calibri" w:cs="Calibri"/>
          <w:b/>
          <w:sz w:val="24"/>
        </w:rPr>
        <w:t xml:space="preserve"> </w:t>
      </w:r>
      <w:r w:rsidRPr="00FD469F">
        <w:rPr>
          <w:rFonts w:ascii="Calibri" w:hAnsi="Calibri" w:cs="Calibri"/>
          <w:b/>
          <w:sz w:val="24"/>
        </w:rPr>
        <w:t xml:space="preserve">v oblasti </w:t>
      </w:r>
      <w:r w:rsidR="00EE7B34" w:rsidRPr="00FD469F">
        <w:rPr>
          <w:rFonts w:ascii="Calibri" w:hAnsi="Calibri" w:cs="Calibri"/>
          <w:b/>
          <w:sz w:val="24"/>
        </w:rPr>
        <w:t xml:space="preserve">připojení objektů na pult centralizované ochrany nesjednotilo </w:t>
      </w:r>
      <w:r w:rsidR="00927E77">
        <w:rPr>
          <w:rFonts w:ascii="Calibri" w:hAnsi="Calibri" w:cs="Calibri"/>
          <w:b/>
          <w:sz w:val="24"/>
        </w:rPr>
        <w:t>GŘ</w:t>
      </w:r>
      <w:r w:rsidRPr="00FD469F">
        <w:rPr>
          <w:rFonts w:ascii="Calibri" w:hAnsi="Calibri" w:cs="Calibri"/>
          <w:b/>
          <w:sz w:val="24"/>
        </w:rPr>
        <w:t xml:space="preserve"> </w:t>
      </w:r>
      <w:r w:rsidR="00EE7B34" w:rsidRPr="00FD469F">
        <w:rPr>
          <w:rFonts w:ascii="Calibri" w:hAnsi="Calibri" w:cs="Calibri"/>
          <w:b/>
          <w:sz w:val="24"/>
        </w:rPr>
        <w:t>postup při uzavírání smluv o připojování, při</w:t>
      </w:r>
      <w:r w:rsidR="007A44EF">
        <w:rPr>
          <w:rFonts w:ascii="Calibri" w:hAnsi="Calibri" w:cs="Calibri"/>
          <w:b/>
          <w:sz w:val="24"/>
        </w:rPr>
        <w:t xml:space="preserve"> stanovování cen za připojení a </w:t>
      </w:r>
      <w:r w:rsidR="00EE7B34" w:rsidRPr="00FD469F">
        <w:rPr>
          <w:rFonts w:ascii="Calibri" w:hAnsi="Calibri" w:cs="Calibri"/>
          <w:b/>
          <w:sz w:val="24"/>
        </w:rPr>
        <w:t>při uplatňování nákladů na plané výjezdy, což vedlo k nejednotnému přístupu k dané problematice</w:t>
      </w:r>
      <w:r w:rsidR="00282E7D">
        <w:rPr>
          <w:rFonts w:ascii="Calibri" w:hAnsi="Calibri" w:cs="Calibri"/>
          <w:b/>
          <w:sz w:val="24"/>
        </w:rPr>
        <w:t xml:space="preserve"> a k různé výši příjmů</w:t>
      </w:r>
      <w:r w:rsidR="00EE7B34" w:rsidRPr="00FD469F">
        <w:rPr>
          <w:rFonts w:ascii="Calibri" w:hAnsi="Calibri" w:cs="Calibri"/>
          <w:b/>
          <w:sz w:val="24"/>
        </w:rPr>
        <w:t>.</w:t>
      </w:r>
      <w:r w:rsidR="00FD469F" w:rsidRPr="00FD469F">
        <w:rPr>
          <w:rFonts w:ascii="Calibri" w:hAnsi="Calibri" w:cs="Calibri"/>
          <w:b/>
          <w:sz w:val="24"/>
        </w:rPr>
        <w:t xml:space="preserve"> </w:t>
      </w:r>
      <w:r w:rsidR="00934528" w:rsidRPr="00FD469F">
        <w:rPr>
          <w:rFonts w:ascii="Calibri" w:hAnsi="Calibri" w:cs="Calibri"/>
          <w:b/>
          <w:sz w:val="24"/>
        </w:rPr>
        <w:t xml:space="preserve">Například </w:t>
      </w:r>
      <w:r w:rsidR="00FD469F" w:rsidRPr="00FD469F">
        <w:rPr>
          <w:rFonts w:ascii="Calibri" w:hAnsi="Calibri" w:cs="Calibri"/>
          <w:b/>
          <w:sz w:val="24"/>
        </w:rPr>
        <w:t xml:space="preserve">u kontrolovaných HZSK se </w:t>
      </w:r>
      <w:r w:rsidR="00934528" w:rsidRPr="00FD469F">
        <w:rPr>
          <w:rFonts w:ascii="Calibri" w:hAnsi="Calibri" w:cs="Calibri"/>
          <w:b/>
          <w:sz w:val="24"/>
        </w:rPr>
        <w:t>cena z</w:t>
      </w:r>
      <w:r w:rsidR="00FD469F" w:rsidRPr="00FD469F">
        <w:rPr>
          <w:rFonts w:ascii="Calibri" w:hAnsi="Calibri" w:cs="Calibri"/>
          <w:b/>
          <w:sz w:val="24"/>
        </w:rPr>
        <w:t xml:space="preserve">a připojení objektu na </w:t>
      </w:r>
      <w:r w:rsidR="002C739B" w:rsidRPr="00FD469F">
        <w:rPr>
          <w:rFonts w:ascii="Calibri" w:hAnsi="Calibri" w:cs="Calibri"/>
          <w:b/>
          <w:sz w:val="24"/>
        </w:rPr>
        <w:t>pult centralizované ochrany</w:t>
      </w:r>
      <w:r w:rsidR="00FD469F" w:rsidRPr="00FD469F">
        <w:rPr>
          <w:rFonts w:ascii="Calibri" w:hAnsi="Calibri" w:cs="Calibri"/>
          <w:b/>
          <w:sz w:val="24"/>
        </w:rPr>
        <w:t xml:space="preserve"> </w:t>
      </w:r>
      <w:r w:rsidR="00934528" w:rsidRPr="00FD469F">
        <w:rPr>
          <w:rFonts w:ascii="Calibri" w:hAnsi="Calibri" w:cs="Calibri"/>
          <w:b/>
          <w:sz w:val="24"/>
        </w:rPr>
        <w:t>pohybovala od 0 Kč do 5</w:t>
      </w:r>
      <w:r w:rsidR="000A7118">
        <w:rPr>
          <w:rFonts w:ascii="Calibri" w:hAnsi="Calibri" w:cs="Calibri"/>
          <w:b/>
          <w:sz w:val="24"/>
        </w:rPr>
        <w:t> </w:t>
      </w:r>
      <w:r w:rsidR="00934528" w:rsidRPr="00FD469F">
        <w:rPr>
          <w:rFonts w:ascii="Calibri" w:hAnsi="Calibri" w:cs="Calibri"/>
          <w:b/>
          <w:sz w:val="24"/>
        </w:rPr>
        <w:t>000</w:t>
      </w:r>
      <w:r w:rsidR="000A7118">
        <w:rPr>
          <w:rFonts w:ascii="Calibri" w:hAnsi="Calibri" w:cs="Calibri"/>
          <w:b/>
          <w:sz w:val="24"/>
        </w:rPr>
        <w:t> </w:t>
      </w:r>
      <w:r w:rsidR="00934528" w:rsidRPr="00FD469F">
        <w:rPr>
          <w:rFonts w:ascii="Calibri" w:hAnsi="Calibri" w:cs="Calibri"/>
          <w:b/>
          <w:sz w:val="24"/>
        </w:rPr>
        <w:t>Kč</w:t>
      </w:r>
      <w:r w:rsidR="00253AF5" w:rsidRPr="00FD469F">
        <w:rPr>
          <w:rFonts w:ascii="Calibri" w:hAnsi="Calibri" w:cs="Calibri"/>
          <w:b/>
          <w:sz w:val="24"/>
        </w:rPr>
        <w:t xml:space="preserve"> </w:t>
      </w:r>
      <w:r w:rsidR="000A7118">
        <w:rPr>
          <w:rFonts w:ascii="Calibri" w:hAnsi="Calibri" w:cs="Calibri"/>
          <w:b/>
          <w:sz w:val="24"/>
        </w:rPr>
        <w:t xml:space="preserve">za měsíc </w:t>
      </w:r>
      <w:r w:rsidR="00253AF5" w:rsidRPr="00FD469F">
        <w:rPr>
          <w:rFonts w:ascii="Calibri" w:hAnsi="Calibri" w:cs="Calibri"/>
          <w:b/>
          <w:sz w:val="24"/>
        </w:rPr>
        <w:t>a c</w:t>
      </w:r>
      <w:r w:rsidR="0045372B" w:rsidRPr="00FD469F">
        <w:rPr>
          <w:rFonts w:ascii="Calibri" w:hAnsi="Calibri" w:cs="Calibri"/>
          <w:b/>
          <w:sz w:val="24"/>
        </w:rPr>
        <w:t>elkové př</w:t>
      </w:r>
      <w:r w:rsidR="00934528" w:rsidRPr="00FD469F">
        <w:rPr>
          <w:rFonts w:ascii="Calibri" w:hAnsi="Calibri" w:cs="Calibri"/>
          <w:b/>
          <w:sz w:val="24"/>
        </w:rPr>
        <w:t xml:space="preserve">íjmy </w:t>
      </w:r>
      <w:r w:rsidR="007A44EF">
        <w:rPr>
          <w:rFonts w:ascii="Calibri" w:hAnsi="Calibri" w:cs="Calibri"/>
          <w:b/>
          <w:sz w:val="24"/>
        </w:rPr>
        <w:t xml:space="preserve">jednotlivých HZSK </w:t>
      </w:r>
      <w:r w:rsidR="004913B6" w:rsidRPr="00FD469F">
        <w:rPr>
          <w:rFonts w:ascii="Calibri" w:hAnsi="Calibri" w:cs="Calibri"/>
          <w:b/>
          <w:sz w:val="24"/>
        </w:rPr>
        <w:t>za př</w:t>
      </w:r>
      <w:r w:rsidR="005E2EA8" w:rsidRPr="00FD469F">
        <w:rPr>
          <w:rFonts w:ascii="Calibri" w:hAnsi="Calibri" w:cs="Calibri"/>
          <w:b/>
          <w:sz w:val="24"/>
        </w:rPr>
        <w:t>i</w:t>
      </w:r>
      <w:r w:rsidR="004913B6" w:rsidRPr="00FD469F">
        <w:rPr>
          <w:rFonts w:ascii="Calibri" w:hAnsi="Calibri" w:cs="Calibri"/>
          <w:b/>
          <w:sz w:val="24"/>
        </w:rPr>
        <w:t xml:space="preserve">pojení </w:t>
      </w:r>
      <w:r w:rsidR="005E2EA8" w:rsidRPr="00FD469F">
        <w:rPr>
          <w:rFonts w:ascii="Calibri" w:hAnsi="Calibri" w:cs="Calibri"/>
          <w:b/>
          <w:sz w:val="24"/>
        </w:rPr>
        <w:t xml:space="preserve">objektů </w:t>
      </w:r>
      <w:r w:rsidR="004913B6" w:rsidRPr="00FD469F">
        <w:rPr>
          <w:rFonts w:ascii="Calibri" w:hAnsi="Calibri" w:cs="Calibri"/>
          <w:b/>
          <w:sz w:val="24"/>
        </w:rPr>
        <w:t xml:space="preserve">na </w:t>
      </w:r>
      <w:r w:rsidR="002C739B" w:rsidRPr="00FD469F">
        <w:rPr>
          <w:rFonts w:ascii="Calibri" w:hAnsi="Calibri" w:cs="Calibri"/>
          <w:b/>
          <w:sz w:val="24"/>
        </w:rPr>
        <w:t>pult centralizované ochrany</w:t>
      </w:r>
      <w:r w:rsidR="004913B6" w:rsidRPr="00FD469F">
        <w:rPr>
          <w:rFonts w:ascii="Calibri" w:hAnsi="Calibri" w:cs="Calibri"/>
          <w:b/>
          <w:sz w:val="24"/>
        </w:rPr>
        <w:t xml:space="preserve"> </w:t>
      </w:r>
      <w:r w:rsidR="00C05B62">
        <w:rPr>
          <w:rFonts w:ascii="Calibri" w:hAnsi="Calibri" w:cs="Calibri"/>
          <w:b/>
          <w:sz w:val="24"/>
        </w:rPr>
        <w:t>za roky</w:t>
      </w:r>
      <w:r w:rsidR="004913B6" w:rsidRPr="00FD469F">
        <w:rPr>
          <w:rFonts w:ascii="Calibri" w:hAnsi="Calibri" w:cs="Calibri"/>
          <w:b/>
          <w:sz w:val="24"/>
        </w:rPr>
        <w:t xml:space="preserve"> 2013</w:t>
      </w:r>
      <w:r w:rsidR="00D567DB">
        <w:rPr>
          <w:rFonts w:ascii="Calibri" w:hAnsi="Calibri" w:cs="Calibri"/>
          <w:b/>
          <w:sz w:val="24"/>
        </w:rPr>
        <w:t> </w:t>
      </w:r>
      <w:r w:rsidR="004913B6" w:rsidRPr="00FD469F">
        <w:rPr>
          <w:rFonts w:ascii="Calibri" w:hAnsi="Calibri" w:cs="Calibri"/>
          <w:b/>
          <w:sz w:val="24"/>
        </w:rPr>
        <w:t>a</w:t>
      </w:r>
      <w:r w:rsidR="00D567DB">
        <w:rPr>
          <w:rFonts w:ascii="Calibri" w:hAnsi="Calibri" w:cs="Calibri"/>
          <w:b/>
          <w:sz w:val="24"/>
        </w:rPr>
        <w:t> </w:t>
      </w:r>
      <w:r w:rsidR="004913B6" w:rsidRPr="00FD469F">
        <w:rPr>
          <w:rFonts w:ascii="Calibri" w:hAnsi="Calibri" w:cs="Calibri"/>
          <w:b/>
          <w:sz w:val="24"/>
        </w:rPr>
        <w:t>2014</w:t>
      </w:r>
      <w:r w:rsidR="00934528" w:rsidRPr="00FD469F">
        <w:rPr>
          <w:rFonts w:ascii="Calibri" w:hAnsi="Calibri" w:cs="Calibri"/>
          <w:b/>
          <w:sz w:val="24"/>
        </w:rPr>
        <w:t xml:space="preserve"> </w:t>
      </w:r>
      <w:r w:rsidR="0045372B" w:rsidRPr="00FD469F">
        <w:rPr>
          <w:rFonts w:ascii="Calibri" w:hAnsi="Calibri" w:cs="Calibri"/>
          <w:b/>
          <w:sz w:val="24"/>
        </w:rPr>
        <w:t xml:space="preserve">od </w:t>
      </w:r>
      <w:r w:rsidR="00253AF5" w:rsidRPr="00FD469F">
        <w:rPr>
          <w:rFonts w:ascii="Calibri" w:hAnsi="Calibri" w:cs="Calibri"/>
          <w:b/>
          <w:sz w:val="24"/>
        </w:rPr>
        <w:t>0</w:t>
      </w:r>
      <w:r w:rsidR="0045372B" w:rsidRPr="00FD469F">
        <w:rPr>
          <w:rFonts w:ascii="Calibri" w:hAnsi="Calibri" w:cs="Calibri"/>
          <w:b/>
          <w:sz w:val="24"/>
        </w:rPr>
        <w:t xml:space="preserve"> Kč do </w:t>
      </w:r>
      <w:r w:rsidR="00253AF5" w:rsidRPr="00FD469F">
        <w:rPr>
          <w:rFonts w:ascii="Calibri" w:hAnsi="Calibri" w:cs="Calibri"/>
          <w:b/>
          <w:sz w:val="24"/>
        </w:rPr>
        <w:t>27</w:t>
      </w:r>
      <w:r w:rsidR="005C1DDB" w:rsidRPr="00FD469F">
        <w:rPr>
          <w:rFonts w:ascii="Calibri" w:hAnsi="Calibri" w:cs="Calibri"/>
          <w:b/>
          <w:sz w:val="24"/>
        </w:rPr>
        <w:t>,6 mil.</w:t>
      </w:r>
      <w:r w:rsidR="007A44EF">
        <w:rPr>
          <w:rFonts w:ascii="Calibri" w:hAnsi="Calibri" w:cs="Calibri"/>
          <w:b/>
          <w:sz w:val="24"/>
        </w:rPr>
        <w:t> </w:t>
      </w:r>
      <w:r w:rsidR="0045372B" w:rsidRPr="00FD469F">
        <w:rPr>
          <w:rFonts w:ascii="Calibri" w:hAnsi="Calibri" w:cs="Calibri"/>
          <w:b/>
          <w:sz w:val="24"/>
        </w:rPr>
        <w:t>Kč.</w:t>
      </w:r>
    </w:p>
    <w:p w14:paraId="613D9962" w14:textId="77777777" w:rsidR="00253AF5" w:rsidRDefault="00253AF5" w:rsidP="00EE7B34">
      <w:pPr>
        <w:rPr>
          <w:rFonts w:ascii="Calibri" w:hAnsi="Calibri" w:cs="Calibri"/>
          <w:b/>
          <w:sz w:val="24"/>
        </w:rPr>
      </w:pPr>
    </w:p>
    <w:p w14:paraId="7897EDE0" w14:textId="76A8C9D1" w:rsidR="00A75B9F" w:rsidRDefault="00AF3C8F" w:rsidP="00036B69">
      <w:pPr>
        <w:pStyle w:val="Odstavecseseznamem"/>
        <w:numPr>
          <w:ilvl w:val="0"/>
          <w:numId w:val="31"/>
        </w:numPr>
        <w:tabs>
          <w:tab w:val="left" w:pos="284"/>
        </w:tabs>
        <w:ind w:left="0"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 </w:t>
      </w:r>
      <w:r w:rsidR="00EE7B34" w:rsidRPr="00FD469F">
        <w:rPr>
          <w:rFonts w:ascii="Calibri" w:hAnsi="Calibri" w:cs="Calibri"/>
          <w:b/>
          <w:sz w:val="24"/>
        </w:rPr>
        <w:t>činnost</w:t>
      </w:r>
      <w:r w:rsidR="00C44C9C" w:rsidRPr="00FD469F">
        <w:rPr>
          <w:rFonts w:ascii="Calibri" w:hAnsi="Calibri" w:cs="Calibri"/>
          <w:b/>
          <w:sz w:val="24"/>
        </w:rPr>
        <w:t>ech</w:t>
      </w:r>
      <w:r w:rsidR="00EE7B34" w:rsidRPr="00FD469F">
        <w:rPr>
          <w:rFonts w:ascii="Calibri" w:hAnsi="Calibri" w:cs="Calibri"/>
          <w:b/>
          <w:sz w:val="24"/>
        </w:rPr>
        <w:t xml:space="preserve"> </w:t>
      </w:r>
      <w:r w:rsidR="00927E77">
        <w:rPr>
          <w:rFonts w:ascii="Calibri" w:hAnsi="Calibri" w:cs="Calibri"/>
          <w:b/>
          <w:sz w:val="24"/>
        </w:rPr>
        <w:t>GŘ</w:t>
      </w:r>
      <w:r w:rsidR="00EE7B34" w:rsidRPr="00FD469F">
        <w:rPr>
          <w:rFonts w:ascii="Calibri" w:hAnsi="Calibri" w:cs="Calibri"/>
          <w:b/>
          <w:sz w:val="24"/>
        </w:rPr>
        <w:t xml:space="preserve"> při </w:t>
      </w:r>
      <w:r w:rsidR="00EE7B34" w:rsidRPr="00AD6427">
        <w:rPr>
          <w:rFonts w:ascii="Calibri" w:hAnsi="Calibri" w:cs="Calibri"/>
          <w:b/>
          <w:sz w:val="24"/>
        </w:rPr>
        <w:t>nastav</w:t>
      </w:r>
      <w:r w:rsidR="001D6E44" w:rsidRPr="00AD6427">
        <w:rPr>
          <w:rFonts w:ascii="Calibri" w:hAnsi="Calibri" w:cs="Calibri"/>
          <w:b/>
          <w:sz w:val="24"/>
        </w:rPr>
        <w:t xml:space="preserve">ování </w:t>
      </w:r>
      <w:r w:rsidR="00EE7B34" w:rsidRPr="00AD6427">
        <w:rPr>
          <w:rFonts w:ascii="Calibri" w:hAnsi="Calibri" w:cs="Calibri"/>
          <w:b/>
          <w:sz w:val="24"/>
        </w:rPr>
        <w:t>rozpočtu</w:t>
      </w:r>
      <w:r w:rsidR="00EE7B34" w:rsidRPr="00FD469F">
        <w:rPr>
          <w:rFonts w:ascii="Calibri" w:hAnsi="Calibri" w:cs="Calibri"/>
          <w:b/>
          <w:sz w:val="24"/>
        </w:rPr>
        <w:t xml:space="preserve"> nebyly zjištěny </w:t>
      </w:r>
      <w:r w:rsidR="00FF2E28" w:rsidRPr="00FD469F">
        <w:rPr>
          <w:rFonts w:ascii="Calibri" w:hAnsi="Calibri" w:cs="Calibri"/>
          <w:b/>
          <w:sz w:val="24"/>
        </w:rPr>
        <w:t>zásadní</w:t>
      </w:r>
      <w:r w:rsidR="00A75B9F" w:rsidRPr="00FD469F">
        <w:rPr>
          <w:rFonts w:ascii="Calibri" w:hAnsi="Calibri" w:cs="Calibri"/>
          <w:b/>
          <w:sz w:val="24"/>
        </w:rPr>
        <w:t xml:space="preserve"> </w:t>
      </w:r>
      <w:r w:rsidR="00EE7B34" w:rsidRPr="00FD469F">
        <w:rPr>
          <w:rFonts w:ascii="Calibri" w:hAnsi="Calibri" w:cs="Calibri"/>
          <w:b/>
          <w:sz w:val="24"/>
        </w:rPr>
        <w:t>nedostatky</w:t>
      </w:r>
      <w:r w:rsidR="00A75B9F" w:rsidRPr="00FD469F">
        <w:rPr>
          <w:rFonts w:ascii="Calibri" w:hAnsi="Calibri" w:cs="Calibri"/>
          <w:b/>
          <w:sz w:val="24"/>
        </w:rPr>
        <w:t>.</w:t>
      </w:r>
    </w:p>
    <w:p w14:paraId="67A43451" w14:textId="11F31A91" w:rsidR="00EE7B34" w:rsidRPr="00FD469F" w:rsidRDefault="00EE7B34" w:rsidP="003234CE">
      <w:pPr>
        <w:spacing w:before="120"/>
        <w:rPr>
          <w:rFonts w:ascii="Calibri" w:hAnsi="Calibri" w:cs="Calibri"/>
          <w:b/>
          <w:sz w:val="24"/>
        </w:rPr>
      </w:pPr>
      <w:r w:rsidRPr="00FD469F">
        <w:rPr>
          <w:rFonts w:ascii="Calibri" w:hAnsi="Calibri" w:cs="Calibri"/>
          <w:b/>
          <w:sz w:val="24"/>
        </w:rPr>
        <w:t xml:space="preserve">Porovnáním rozpočtů výdajů s výkony (zásahy) a </w:t>
      </w:r>
      <w:r w:rsidR="00AF3C8F">
        <w:rPr>
          <w:rFonts w:ascii="Calibri" w:hAnsi="Calibri" w:cs="Calibri"/>
          <w:b/>
          <w:sz w:val="24"/>
        </w:rPr>
        <w:t>s </w:t>
      </w:r>
      <w:r w:rsidRPr="00FD469F">
        <w:rPr>
          <w:rFonts w:ascii="Calibri" w:hAnsi="Calibri" w:cs="Calibri"/>
          <w:b/>
          <w:sz w:val="24"/>
        </w:rPr>
        <w:t xml:space="preserve">počty zaměstnanců </w:t>
      </w:r>
      <w:r w:rsidR="00DE1E73" w:rsidRPr="00FD469F">
        <w:rPr>
          <w:rFonts w:ascii="Calibri" w:hAnsi="Calibri" w:cs="Calibri"/>
          <w:b/>
          <w:sz w:val="24"/>
        </w:rPr>
        <w:t>kontrolovaných</w:t>
      </w:r>
      <w:r w:rsidRPr="00FD469F">
        <w:rPr>
          <w:rFonts w:ascii="Calibri" w:hAnsi="Calibri" w:cs="Calibri"/>
          <w:b/>
          <w:sz w:val="24"/>
        </w:rPr>
        <w:t xml:space="preserve"> HZSK nebyly zjištěny významné rozdíly, které by vedly ke zpochybnění nastaveného systému rozdělování rozpočtových prostředků. Při ověření nastavení rozpočtu příjmů bylo zjištěno, že </w:t>
      </w:r>
      <w:r w:rsidR="00927E77">
        <w:rPr>
          <w:rFonts w:ascii="Calibri" w:hAnsi="Calibri" w:cs="Calibri"/>
          <w:b/>
          <w:sz w:val="24"/>
        </w:rPr>
        <w:t>GŘ</w:t>
      </w:r>
      <w:r w:rsidRPr="00FD469F">
        <w:rPr>
          <w:rFonts w:ascii="Calibri" w:hAnsi="Calibri" w:cs="Calibri"/>
          <w:b/>
          <w:sz w:val="24"/>
        </w:rPr>
        <w:t xml:space="preserve"> v letech 2013 a 2014 podhodnocovalo položku příjm</w:t>
      </w:r>
      <w:r w:rsidR="00D567DB">
        <w:rPr>
          <w:rFonts w:ascii="Calibri" w:hAnsi="Calibri" w:cs="Calibri"/>
          <w:b/>
          <w:sz w:val="24"/>
        </w:rPr>
        <w:t>ů</w:t>
      </w:r>
      <w:r w:rsidRPr="00FD469F">
        <w:rPr>
          <w:rFonts w:ascii="Calibri" w:hAnsi="Calibri" w:cs="Calibri"/>
          <w:b/>
          <w:sz w:val="24"/>
        </w:rPr>
        <w:t xml:space="preserve"> </w:t>
      </w:r>
      <w:r w:rsidR="00AF3C8F">
        <w:rPr>
          <w:rFonts w:ascii="Calibri" w:hAnsi="Calibri" w:cs="Calibri"/>
          <w:b/>
          <w:sz w:val="24"/>
        </w:rPr>
        <w:t>z </w:t>
      </w:r>
      <w:r w:rsidRPr="00FD469F">
        <w:rPr>
          <w:rFonts w:ascii="Calibri" w:hAnsi="Calibri" w:cs="Calibri"/>
          <w:b/>
          <w:sz w:val="24"/>
        </w:rPr>
        <w:t>pronájmu majetku.</w:t>
      </w:r>
    </w:p>
    <w:p w14:paraId="2177F6EC" w14:textId="77777777" w:rsidR="00EE7B34" w:rsidRDefault="00EE7B34" w:rsidP="00FD469F">
      <w:pPr>
        <w:rPr>
          <w:rFonts w:ascii="Calibri" w:hAnsi="Calibri" w:cs="Calibri"/>
          <w:b/>
          <w:sz w:val="24"/>
        </w:rPr>
      </w:pPr>
    </w:p>
    <w:p w14:paraId="54E8B4DA" w14:textId="22C253B1" w:rsidR="00EE7B34" w:rsidRDefault="00EE7B34" w:rsidP="00036B69">
      <w:pPr>
        <w:pStyle w:val="Odstavecseseznamem"/>
        <w:numPr>
          <w:ilvl w:val="0"/>
          <w:numId w:val="31"/>
        </w:numPr>
        <w:tabs>
          <w:tab w:val="left" w:pos="284"/>
        </w:tabs>
        <w:ind w:left="0" w:firstLine="0"/>
        <w:rPr>
          <w:rFonts w:ascii="Calibri" w:hAnsi="Calibri" w:cs="Calibri"/>
          <w:b/>
          <w:sz w:val="24"/>
        </w:rPr>
      </w:pPr>
      <w:r w:rsidRPr="00FD469F">
        <w:rPr>
          <w:rFonts w:ascii="Calibri" w:hAnsi="Calibri" w:cs="Calibri"/>
          <w:b/>
          <w:sz w:val="24"/>
        </w:rPr>
        <w:t>Výběr dodavatelů zásahového vybavení, např. oblek</w:t>
      </w:r>
      <w:r w:rsidR="006547DC" w:rsidRPr="00FD469F">
        <w:rPr>
          <w:rFonts w:ascii="Calibri" w:hAnsi="Calibri" w:cs="Calibri"/>
          <w:b/>
          <w:sz w:val="24"/>
        </w:rPr>
        <w:t>ů</w:t>
      </w:r>
      <w:r w:rsidRPr="00FD469F">
        <w:rPr>
          <w:rFonts w:ascii="Calibri" w:hAnsi="Calibri" w:cs="Calibri"/>
          <w:b/>
          <w:sz w:val="24"/>
        </w:rPr>
        <w:t>, obuv</w:t>
      </w:r>
      <w:r w:rsidR="006547DC" w:rsidRPr="00FD469F">
        <w:rPr>
          <w:rFonts w:ascii="Calibri" w:hAnsi="Calibri" w:cs="Calibri"/>
          <w:b/>
          <w:sz w:val="24"/>
        </w:rPr>
        <w:t>i</w:t>
      </w:r>
      <w:r w:rsidRPr="00FD469F">
        <w:rPr>
          <w:rFonts w:ascii="Calibri" w:hAnsi="Calibri" w:cs="Calibri"/>
          <w:b/>
          <w:sz w:val="24"/>
        </w:rPr>
        <w:t>, rukavic a přil</w:t>
      </w:r>
      <w:r w:rsidR="006547DC" w:rsidRPr="00FD469F">
        <w:rPr>
          <w:rFonts w:ascii="Calibri" w:hAnsi="Calibri" w:cs="Calibri"/>
          <w:b/>
          <w:sz w:val="24"/>
        </w:rPr>
        <w:t>e</w:t>
      </w:r>
      <w:r w:rsidRPr="00FD469F">
        <w:rPr>
          <w:rFonts w:ascii="Calibri" w:hAnsi="Calibri" w:cs="Calibri"/>
          <w:b/>
          <w:sz w:val="24"/>
        </w:rPr>
        <w:t>b</w:t>
      </w:r>
      <w:r w:rsidR="00D567DB">
        <w:rPr>
          <w:rFonts w:ascii="Calibri" w:hAnsi="Calibri" w:cs="Calibri"/>
          <w:b/>
          <w:sz w:val="24"/>
        </w:rPr>
        <w:t>,</w:t>
      </w:r>
      <w:r w:rsidRPr="00FD469F">
        <w:rPr>
          <w:rFonts w:ascii="Calibri" w:hAnsi="Calibri" w:cs="Calibri"/>
          <w:b/>
          <w:sz w:val="24"/>
        </w:rPr>
        <w:t xml:space="preserve"> ne</w:t>
      </w:r>
      <w:r w:rsidR="00282E7D">
        <w:rPr>
          <w:rFonts w:ascii="Calibri" w:hAnsi="Calibri" w:cs="Calibri"/>
          <w:b/>
          <w:sz w:val="24"/>
        </w:rPr>
        <w:t>byl</w:t>
      </w:r>
      <w:r w:rsidRPr="00FD469F">
        <w:rPr>
          <w:rFonts w:ascii="Calibri" w:hAnsi="Calibri" w:cs="Calibri"/>
          <w:b/>
          <w:sz w:val="24"/>
        </w:rPr>
        <w:t xml:space="preserve"> zajišťován centrálně, ačkoliv se jedná o vybavení potřebné pro výkon všech cca</w:t>
      </w:r>
      <w:r w:rsidR="00FB64F3">
        <w:rPr>
          <w:rFonts w:ascii="Calibri" w:hAnsi="Calibri" w:cs="Calibri"/>
          <w:b/>
          <w:sz w:val="24"/>
        </w:rPr>
        <w:t> </w:t>
      </w:r>
      <w:r w:rsidRPr="00FD469F">
        <w:rPr>
          <w:rFonts w:ascii="Calibri" w:hAnsi="Calibri" w:cs="Calibri"/>
          <w:b/>
          <w:sz w:val="24"/>
        </w:rPr>
        <w:t>6</w:t>
      </w:r>
      <w:r w:rsidR="0088175F">
        <w:rPr>
          <w:rFonts w:ascii="Calibri" w:hAnsi="Calibri" w:cs="Calibri"/>
          <w:b/>
          <w:sz w:val="24"/>
        </w:rPr>
        <w:t> </w:t>
      </w:r>
      <w:r w:rsidRPr="00FD469F">
        <w:rPr>
          <w:rFonts w:ascii="Calibri" w:hAnsi="Calibri" w:cs="Calibri"/>
          <w:b/>
          <w:sz w:val="24"/>
        </w:rPr>
        <w:t>300</w:t>
      </w:r>
      <w:r w:rsidR="0088175F">
        <w:rPr>
          <w:rFonts w:ascii="Calibri" w:hAnsi="Calibri" w:cs="Calibri"/>
          <w:b/>
          <w:sz w:val="24"/>
        </w:rPr>
        <w:t> </w:t>
      </w:r>
      <w:r w:rsidRPr="00FD469F">
        <w:rPr>
          <w:rFonts w:ascii="Calibri" w:hAnsi="Calibri" w:cs="Calibri"/>
          <w:b/>
          <w:sz w:val="24"/>
        </w:rPr>
        <w:t xml:space="preserve">směnových příslušníků </w:t>
      </w:r>
      <w:r w:rsidR="00DA7297">
        <w:rPr>
          <w:rFonts w:ascii="Calibri" w:hAnsi="Calibri" w:cs="Calibri"/>
          <w:b/>
          <w:sz w:val="24"/>
        </w:rPr>
        <w:t xml:space="preserve">HZS. </w:t>
      </w:r>
      <w:r w:rsidRPr="00FD469F">
        <w:rPr>
          <w:rFonts w:ascii="Calibri" w:hAnsi="Calibri" w:cs="Calibri"/>
          <w:b/>
          <w:sz w:val="24"/>
        </w:rPr>
        <w:t xml:space="preserve"> </w:t>
      </w:r>
    </w:p>
    <w:p w14:paraId="5FB018EB" w14:textId="77777777" w:rsidR="003234CE" w:rsidRPr="003234CE" w:rsidRDefault="003234CE" w:rsidP="003234CE">
      <w:pPr>
        <w:tabs>
          <w:tab w:val="left" w:pos="284"/>
        </w:tabs>
        <w:rPr>
          <w:rFonts w:ascii="Calibri" w:hAnsi="Calibri" w:cs="Calibri"/>
          <w:b/>
          <w:sz w:val="24"/>
        </w:rPr>
      </w:pPr>
    </w:p>
    <w:p w14:paraId="7E6F0461" w14:textId="1411845F" w:rsidR="00EE7B34" w:rsidRPr="00FD469F" w:rsidRDefault="00EE7B34" w:rsidP="003234CE">
      <w:pPr>
        <w:rPr>
          <w:rFonts w:ascii="Calibri" w:hAnsi="Calibri" w:cs="Calibri"/>
          <w:b/>
          <w:sz w:val="24"/>
        </w:rPr>
      </w:pPr>
      <w:r w:rsidRPr="00FD469F">
        <w:rPr>
          <w:rFonts w:ascii="Calibri" w:hAnsi="Calibri" w:cs="Calibri"/>
          <w:b/>
          <w:sz w:val="24"/>
        </w:rPr>
        <w:t xml:space="preserve">Zásahové vybavení nebylo předmětem centralizovaného zadávání veřejných zakázek, v rámci kterého </w:t>
      </w:r>
      <w:r w:rsidR="00927E77">
        <w:rPr>
          <w:rFonts w:ascii="Calibri" w:hAnsi="Calibri" w:cs="Calibri"/>
          <w:b/>
          <w:sz w:val="24"/>
        </w:rPr>
        <w:t>GŘ</w:t>
      </w:r>
      <w:r w:rsidRPr="00FD469F">
        <w:rPr>
          <w:rFonts w:ascii="Calibri" w:hAnsi="Calibri" w:cs="Calibri"/>
          <w:b/>
          <w:sz w:val="24"/>
        </w:rPr>
        <w:t xml:space="preserve"> realiz</w:t>
      </w:r>
      <w:r w:rsidR="00282E7D">
        <w:rPr>
          <w:rFonts w:ascii="Calibri" w:hAnsi="Calibri" w:cs="Calibri"/>
          <w:b/>
          <w:sz w:val="24"/>
        </w:rPr>
        <w:t>ovalo</w:t>
      </w:r>
      <w:r w:rsidRPr="00FD469F">
        <w:rPr>
          <w:rFonts w:ascii="Calibri" w:hAnsi="Calibri" w:cs="Calibri"/>
          <w:b/>
          <w:sz w:val="24"/>
        </w:rPr>
        <w:t xml:space="preserve"> zadávání vybraných položek pro všechny organizační složky </w:t>
      </w:r>
      <w:r w:rsidR="00DA7297">
        <w:rPr>
          <w:rFonts w:ascii="Calibri" w:hAnsi="Calibri" w:cs="Calibri"/>
          <w:b/>
          <w:sz w:val="24"/>
        </w:rPr>
        <w:t xml:space="preserve">HZS. </w:t>
      </w:r>
      <w:r w:rsidRPr="00FD469F">
        <w:rPr>
          <w:rFonts w:ascii="Calibri" w:hAnsi="Calibri" w:cs="Calibri"/>
          <w:b/>
          <w:sz w:val="24"/>
        </w:rPr>
        <w:t xml:space="preserve">Důsledkem </w:t>
      </w:r>
      <w:r w:rsidR="00DE1E73" w:rsidRPr="00FD469F">
        <w:rPr>
          <w:rFonts w:ascii="Calibri" w:hAnsi="Calibri" w:cs="Calibri"/>
          <w:b/>
          <w:sz w:val="24"/>
        </w:rPr>
        <w:t>byly</w:t>
      </w:r>
      <w:r w:rsidRPr="00FD469F">
        <w:rPr>
          <w:rFonts w:ascii="Calibri" w:hAnsi="Calibri" w:cs="Calibri"/>
          <w:b/>
          <w:sz w:val="24"/>
        </w:rPr>
        <w:t xml:space="preserve"> rozdíly v pořizovacích jednotkových cenách </w:t>
      </w:r>
      <w:r w:rsidRPr="00AD6427">
        <w:rPr>
          <w:rFonts w:ascii="Calibri" w:hAnsi="Calibri" w:cs="Calibri"/>
          <w:b/>
          <w:sz w:val="24"/>
        </w:rPr>
        <w:t>stejného zásahového</w:t>
      </w:r>
      <w:r w:rsidRPr="00FD469F">
        <w:rPr>
          <w:rFonts w:ascii="Calibri" w:hAnsi="Calibri" w:cs="Calibri"/>
          <w:b/>
          <w:sz w:val="24"/>
        </w:rPr>
        <w:t xml:space="preserve"> vybavení u kontrolovaných </w:t>
      </w:r>
      <w:r w:rsidR="00036B69">
        <w:rPr>
          <w:rFonts w:ascii="Calibri" w:hAnsi="Calibri" w:cs="Calibri"/>
          <w:b/>
          <w:sz w:val="24"/>
        </w:rPr>
        <w:t>HZSK</w:t>
      </w:r>
      <w:r w:rsidRPr="00FD469F">
        <w:rPr>
          <w:rFonts w:ascii="Calibri" w:hAnsi="Calibri" w:cs="Calibri"/>
          <w:b/>
          <w:sz w:val="24"/>
        </w:rPr>
        <w:t>.</w:t>
      </w:r>
      <w:r w:rsidR="00AF0E1F" w:rsidRPr="00FD469F">
        <w:rPr>
          <w:rFonts w:ascii="Calibri" w:hAnsi="Calibri" w:cs="Calibri"/>
          <w:b/>
          <w:sz w:val="24"/>
        </w:rPr>
        <w:t xml:space="preserve"> </w:t>
      </w:r>
      <w:r w:rsidR="00C90F87" w:rsidRPr="00FD469F">
        <w:rPr>
          <w:rFonts w:ascii="Calibri" w:hAnsi="Calibri" w:cs="Calibri"/>
          <w:b/>
          <w:sz w:val="24"/>
        </w:rPr>
        <w:t>Například u</w:t>
      </w:r>
      <w:r w:rsidR="007F2E92" w:rsidRPr="00FD469F">
        <w:rPr>
          <w:rFonts w:ascii="Calibri" w:hAnsi="Calibri" w:cs="Calibri"/>
          <w:b/>
          <w:sz w:val="24"/>
        </w:rPr>
        <w:t xml:space="preserve"> vícevrstvého zásahového obleku se jednotková pořizovací cena lišila o </w:t>
      </w:r>
      <w:r w:rsidR="00AF0E1F" w:rsidRPr="00FD469F">
        <w:rPr>
          <w:rFonts w:ascii="Calibri" w:hAnsi="Calibri" w:cs="Calibri"/>
          <w:b/>
          <w:sz w:val="24"/>
        </w:rPr>
        <w:t xml:space="preserve">více než 8 </w:t>
      </w:r>
      <w:r w:rsidR="007A1B0A" w:rsidRPr="00FD469F">
        <w:rPr>
          <w:rFonts w:ascii="Calibri" w:hAnsi="Calibri" w:cs="Calibri"/>
          <w:b/>
          <w:sz w:val="24"/>
        </w:rPr>
        <w:t>000</w:t>
      </w:r>
      <w:r w:rsidR="007F2E92" w:rsidRPr="00FD469F">
        <w:rPr>
          <w:rFonts w:ascii="Calibri" w:hAnsi="Calibri" w:cs="Calibri"/>
          <w:b/>
          <w:sz w:val="24"/>
        </w:rPr>
        <w:t> Kč</w:t>
      </w:r>
      <w:r w:rsidR="00C90F87" w:rsidRPr="00FD469F">
        <w:rPr>
          <w:rFonts w:ascii="Calibri" w:hAnsi="Calibri" w:cs="Calibri"/>
          <w:b/>
          <w:sz w:val="24"/>
        </w:rPr>
        <w:t>.</w:t>
      </w:r>
    </w:p>
    <w:p w14:paraId="040800BE" w14:textId="77777777" w:rsidR="00EE7B34" w:rsidRDefault="00EE7B34" w:rsidP="00EE7B34">
      <w:pPr>
        <w:rPr>
          <w:rFonts w:ascii="Calibri" w:hAnsi="Calibri" w:cs="Calibri"/>
          <w:b/>
          <w:sz w:val="24"/>
        </w:rPr>
      </w:pPr>
    </w:p>
    <w:p w14:paraId="72D72727" w14:textId="200BEE30" w:rsidR="003C1EB0" w:rsidRPr="00AD6427" w:rsidRDefault="003C1EB0" w:rsidP="00D5565E">
      <w:pPr>
        <w:pStyle w:val="Odstavecseseznamem"/>
        <w:numPr>
          <w:ilvl w:val="0"/>
          <w:numId w:val="31"/>
        </w:numPr>
        <w:tabs>
          <w:tab w:val="left" w:pos="284"/>
        </w:tabs>
        <w:ind w:left="0" w:firstLine="0"/>
        <w:rPr>
          <w:rFonts w:ascii="Calibri" w:hAnsi="Calibri" w:cs="Calibri"/>
          <w:b/>
          <w:sz w:val="24"/>
        </w:rPr>
      </w:pPr>
      <w:r w:rsidRPr="00AD6427">
        <w:rPr>
          <w:rFonts w:ascii="Calibri" w:hAnsi="Calibri" w:cs="Calibri"/>
          <w:b/>
          <w:sz w:val="24"/>
        </w:rPr>
        <w:t xml:space="preserve">Kromě uvedených nedostatků byla </w:t>
      </w:r>
      <w:r w:rsidR="00AF3C8F">
        <w:rPr>
          <w:rFonts w:ascii="Calibri" w:hAnsi="Calibri" w:cs="Calibri"/>
          <w:b/>
          <w:sz w:val="24"/>
        </w:rPr>
        <w:t>v </w:t>
      </w:r>
      <w:r w:rsidRPr="00AD6427">
        <w:rPr>
          <w:rFonts w:ascii="Calibri" w:hAnsi="Calibri"/>
          <w:b/>
          <w:sz w:val="24"/>
        </w:rPr>
        <w:t>oblast</w:t>
      </w:r>
      <w:r w:rsidR="00D567DB">
        <w:rPr>
          <w:rFonts w:ascii="Calibri" w:hAnsi="Calibri"/>
          <w:b/>
          <w:sz w:val="24"/>
        </w:rPr>
        <w:t>ech</w:t>
      </w:r>
      <w:r w:rsidRPr="00AD6427">
        <w:rPr>
          <w:rFonts w:ascii="Calibri" w:hAnsi="Calibri"/>
          <w:b/>
          <w:sz w:val="24"/>
        </w:rPr>
        <w:t xml:space="preserve"> nakládání s majetkem</w:t>
      </w:r>
      <w:r w:rsidRPr="00AD6427">
        <w:rPr>
          <w:rFonts w:ascii="Calibri" w:hAnsi="Calibri" w:cs="Calibri"/>
          <w:b/>
          <w:sz w:val="24"/>
        </w:rPr>
        <w:t xml:space="preserve"> a</w:t>
      </w:r>
      <w:r w:rsidRPr="00AD6427">
        <w:rPr>
          <w:rFonts w:ascii="Calibri" w:hAnsi="Calibri"/>
          <w:b/>
          <w:sz w:val="24"/>
        </w:rPr>
        <w:t xml:space="preserve"> hospodaření s majetkem a peněžními prostředky státu zjištěna méně významná pochybení při zadávání veřejných zakázek a </w:t>
      </w:r>
      <w:r w:rsidRPr="00AD6427">
        <w:rPr>
          <w:rFonts w:ascii="Calibri" w:hAnsi="Calibri" w:cs="Calibri"/>
          <w:b/>
          <w:sz w:val="24"/>
        </w:rPr>
        <w:t xml:space="preserve">nedostatky </w:t>
      </w:r>
      <w:r w:rsidR="00AF3C8F">
        <w:rPr>
          <w:rFonts w:ascii="Calibri" w:hAnsi="Calibri" w:cs="Calibri"/>
          <w:b/>
          <w:sz w:val="24"/>
        </w:rPr>
        <w:t>v </w:t>
      </w:r>
      <w:r w:rsidRPr="00AD6427">
        <w:rPr>
          <w:rFonts w:ascii="Calibri" w:hAnsi="Calibri"/>
          <w:b/>
          <w:sz w:val="24"/>
        </w:rPr>
        <w:t xml:space="preserve">účtování </w:t>
      </w:r>
      <w:r w:rsidR="00090B1B" w:rsidRPr="00AD6427">
        <w:rPr>
          <w:rFonts w:ascii="Calibri" w:hAnsi="Calibri"/>
          <w:b/>
          <w:sz w:val="24"/>
        </w:rPr>
        <w:t xml:space="preserve">o </w:t>
      </w:r>
      <w:r w:rsidRPr="00AD6427">
        <w:rPr>
          <w:rFonts w:ascii="Calibri" w:hAnsi="Calibri"/>
          <w:b/>
          <w:sz w:val="24"/>
        </w:rPr>
        <w:t>majetku</w:t>
      </w:r>
      <w:r w:rsidRPr="00AD6427">
        <w:rPr>
          <w:rFonts w:ascii="Calibri" w:hAnsi="Calibri" w:cs="Calibri"/>
          <w:b/>
          <w:sz w:val="24"/>
        </w:rPr>
        <w:t xml:space="preserve">. </w:t>
      </w:r>
    </w:p>
    <w:p w14:paraId="57DCA99E" w14:textId="77777777" w:rsidR="00EE7B34" w:rsidRDefault="00EE7B34" w:rsidP="00EE7B34">
      <w:pPr>
        <w:rPr>
          <w:rFonts w:asciiTheme="minorHAnsi" w:hAnsiTheme="minorHAnsi" w:cstheme="minorHAnsi"/>
          <w:b/>
          <w:sz w:val="24"/>
        </w:rPr>
      </w:pPr>
    </w:p>
    <w:p w14:paraId="58A5775B" w14:textId="77777777" w:rsidR="00674377" w:rsidRDefault="00674377" w:rsidP="00EE7B34">
      <w:pPr>
        <w:rPr>
          <w:rFonts w:asciiTheme="minorHAnsi" w:hAnsiTheme="minorHAnsi" w:cstheme="minorHAnsi"/>
          <w:b/>
          <w:sz w:val="24"/>
        </w:rPr>
      </w:pPr>
    </w:p>
    <w:p w14:paraId="4BA7F9F3" w14:textId="77777777" w:rsidR="00C94E64" w:rsidRDefault="00C94E64" w:rsidP="00EE7B34">
      <w:pPr>
        <w:rPr>
          <w:rFonts w:asciiTheme="minorHAnsi" w:hAnsiTheme="minorHAnsi" w:cstheme="minorHAnsi"/>
          <w:b/>
          <w:sz w:val="24"/>
        </w:rPr>
      </w:pPr>
    </w:p>
    <w:p w14:paraId="47640364" w14:textId="3895B456" w:rsidR="00EE7B34" w:rsidRPr="00FC7B9E" w:rsidRDefault="00EE7B34" w:rsidP="00C218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7B9E">
        <w:rPr>
          <w:rFonts w:asciiTheme="minorHAnsi" w:hAnsiTheme="minorHAnsi" w:cstheme="minorHAnsi"/>
          <w:b/>
          <w:sz w:val="28"/>
          <w:szCs w:val="28"/>
        </w:rPr>
        <w:t xml:space="preserve">III. Vyhodnocení a doporučení </w:t>
      </w:r>
    </w:p>
    <w:p w14:paraId="62E2E9DE" w14:textId="77777777" w:rsidR="00EE7B34" w:rsidRDefault="00EE7B34" w:rsidP="00EE7B34">
      <w:pPr>
        <w:rPr>
          <w:rFonts w:asciiTheme="minorHAnsi" w:hAnsiTheme="minorHAnsi" w:cstheme="minorHAnsi"/>
          <w:b/>
          <w:sz w:val="24"/>
        </w:rPr>
      </w:pPr>
    </w:p>
    <w:p w14:paraId="06DFABC3" w14:textId="43087D47" w:rsidR="00B7386C" w:rsidRDefault="00927E77" w:rsidP="00B7386C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GŘ</w:t>
      </w:r>
      <w:r w:rsidR="00F04434" w:rsidRPr="00F85AC1">
        <w:rPr>
          <w:rFonts w:ascii="Calibri" w:hAnsi="Calibri" w:cs="Calibri"/>
          <w:sz w:val="24"/>
        </w:rPr>
        <w:t xml:space="preserve"> prostřednictvím vydaných metodických pokynů, směrnic a dalších interních aktů řízení koordin</w:t>
      </w:r>
      <w:r w:rsidR="00E45D69">
        <w:rPr>
          <w:rFonts w:ascii="Calibri" w:hAnsi="Calibri" w:cs="Calibri"/>
          <w:sz w:val="24"/>
        </w:rPr>
        <w:t>ovalo</w:t>
      </w:r>
      <w:r w:rsidR="00F04434" w:rsidRPr="00F85AC1">
        <w:rPr>
          <w:rFonts w:ascii="Calibri" w:hAnsi="Calibri" w:cs="Calibri"/>
          <w:sz w:val="24"/>
        </w:rPr>
        <w:t xml:space="preserve"> mj. všechny významné činnosti, které m</w:t>
      </w:r>
      <w:r w:rsidR="00E45D69">
        <w:rPr>
          <w:rFonts w:ascii="Calibri" w:hAnsi="Calibri" w:cs="Calibri"/>
          <w:sz w:val="24"/>
        </w:rPr>
        <w:t>ěly</w:t>
      </w:r>
      <w:r w:rsidR="00F04434" w:rsidRPr="00F85AC1">
        <w:rPr>
          <w:rFonts w:ascii="Calibri" w:hAnsi="Calibri" w:cs="Calibri"/>
          <w:sz w:val="24"/>
        </w:rPr>
        <w:t xml:space="preserve"> vliv na hospodaření s peněžními prostředky a majetkem státu. </w:t>
      </w:r>
      <w:r w:rsidR="00C86167">
        <w:rPr>
          <w:rFonts w:ascii="Calibri" w:hAnsi="Calibri" w:cs="Calibri"/>
          <w:sz w:val="24"/>
        </w:rPr>
        <w:t xml:space="preserve">V </w:t>
      </w:r>
      <w:r w:rsidR="00F04434" w:rsidRPr="00F85AC1">
        <w:rPr>
          <w:rFonts w:ascii="Calibri" w:hAnsi="Calibri" w:cs="Calibri"/>
          <w:sz w:val="24"/>
        </w:rPr>
        <w:t xml:space="preserve">oblasti náhrad nákladů za zásahy u </w:t>
      </w:r>
      <w:r w:rsidR="00EF68B1">
        <w:rPr>
          <w:rFonts w:ascii="Calibri" w:hAnsi="Calibri" w:cs="Calibri"/>
          <w:sz w:val="24"/>
        </w:rPr>
        <w:t xml:space="preserve">dopravních nehod </w:t>
      </w:r>
      <w:r w:rsidR="007D5908">
        <w:rPr>
          <w:rFonts w:ascii="Calibri" w:hAnsi="Calibri" w:cs="Calibri"/>
          <w:sz w:val="24"/>
        </w:rPr>
        <w:t>a v </w:t>
      </w:r>
      <w:r w:rsidR="00F04434" w:rsidRPr="00F85AC1">
        <w:rPr>
          <w:rFonts w:ascii="Calibri" w:hAnsi="Calibri" w:cs="Calibri"/>
          <w:sz w:val="24"/>
        </w:rPr>
        <w:t xml:space="preserve">oblasti poskytování služeb při připojení objektů na </w:t>
      </w:r>
      <w:r w:rsidR="002C739B" w:rsidRPr="002C739B">
        <w:rPr>
          <w:rFonts w:ascii="Calibri" w:hAnsi="Calibri" w:cs="Calibri"/>
          <w:sz w:val="24"/>
        </w:rPr>
        <w:t>pult centralizované ochrany</w:t>
      </w:r>
      <w:r w:rsidR="00F04434" w:rsidRPr="00F85AC1">
        <w:rPr>
          <w:rFonts w:ascii="Calibri" w:hAnsi="Calibri" w:cs="Calibri"/>
          <w:sz w:val="24"/>
        </w:rPr>
        <w:t xml:space="preserve"> vydané řídicí akty </w:t>
      </w:r>
      <w:r w:rsidR="00F85AC1" w:rsidRPr="00F85AC1">
        <w:rPr>
          <w:rFonts w:ascii="Calibri" w:hAnsi="Calibri" w:cs="Calibri"/>
          <w:sz w:val="24"/>
        </w:rPr>
        <w:t>neuprav</w:t>
      </w:r>
      <w:r w:rsidR="007D5908">
        <w:rPr>
          <w:rFonts w:ascii="Calibri" w:hAnsi="Calibri" w:cs="Calibri"/>
          <w:sz w:val="24"/>
        </w:rPr>
        <w:t>ova</w:t>
      </w:r>
      <w:r w:rsidR="00E45D69">
        <w:rPr>
          <w:rFonts w:ascii="Calibri" w:hAnsi="Calibri" w:cs="Calibri"/>
          <w:sz w:val="24"/>
        </w:rPr>
        <w:t>ly</w:t>
      </w:r>
      <w:r w:rsidR="00F85AC1" w:rsidRPr="00F85AC1">
        <w:rPr>
          <w:rFonts w:ascii="Calibri" w:hAnsi="Calibri" w:cs="Calibri"/>
          <w:sz w:val="24"/>
        </w:rPr>
        <w:t xml:space="preserve"> </w:t>
      </w:r>
      <w:r w:rsidR="00F04434" w:rsidRPr="00F85AC1">
        <w:rPr>
          <w:rFonts w:ascii="Calibri" w:hAnsi="Calibri" w:cs="Calibri"/>
          <w:sz w:val="24"/>
        </w:rPr>
        <w:t xml:space="preserve">postupy </w:t>
      </w:r>
      <w:r w:rsidR="00C703D6" w:rsidRPr="00F85AC1">
        <w:rPr>
          <w:rFonts w:ascii="Calibri" w:hAnsi="Calibri" w:cs="Calibri"/>
          <w:sz w:val="24"/>
        </w:rPr>
        <w:t xml:space="preserve">HZSK </w:t>
      </w:r>
      <w:r w:rsidR="00F04434" w:rsidRPr="00F85AC1">
        <w:rPr>
          <w:rFonts w:ascii="Calibri" w:hAnsi="Calibri" w:cs="Calibri"/>
          <w:sz w:val="24"/>
        </w:rPr>
        <w:t>dostatečně</w:t>
      </w:r>
      <w:r w:rsidR="00C70D71">
        <w:rPr>
          <w:rFonts w:ascii="Calibri" w:hAnsi="Calibri" w:cs="Calibri"/>
          <w:sz w:val="24"/>
        </w:rPr>
        <w:t>. Důsledkem bylo</w:t>
      </w:r>
      <w:r w:rsidR="00F85AC1" w:rsidRPr="00F85AC1">
        <w:rPr>
          <w:rFonts w:ascii="Calibri" w:hAnsi="Calibri" w:cs="Calibri"/>
          <w:sz w:val="24"/>
        </w:rPr>
        <w:t xml:space="preserve"> </w:t>
      </w:r>
      <w:r w:rsidR="00F75671">
        <w:rPr>
          <w:rFonts w:ascii="Calibri" w:hAnsi="Calibri" w:cs="Calibri"/>
          <w:sz w:val="24"/>
        </w:rPr>
        <w:t>nejednotné a </w:t>
      </w:r>
      <w:r w:rsidR="00F85AC1" w:rsidRPr="00F85AC1">
        <w:rPr>
          <w:rFonts w:ascii="Calibri" w:hAnsi="Calibri" w:cs="Calibri"/>
          <w:sz w:val="24"/>
        </w:rPr>
        <w:t xml:space="preserve">nedůsledné </w:t>
      </w:r>
      <w:r w:rsidR="00B7386C">
        <w:rPr>
          <w:rFonts w:ascii="Calibri" w:hAnsi="Calibri" w:cs="Calibri"/>
          <w:sz w:val="24"/>
        </w:rPr>
        <w:t>uplat</w:t>
      </w:r>
      <w:r w:rsidR="00D567DB">
        <w:rPr>
          <w:rFonts w:ascii="Calibri" w:hAnsi="Calibri" w:cs="Calibri"/>
          <w:sz w:val="24"/>
        </w:rPr>
        <w:t>ňování</w:t>
      </w:r>
      <w:r w:rsidR="00B7386C">
        <w:rPr>
          <w:rFonts w:ascii="Calibri" w:hAnsi="Calibri" w:cs="Calibri"/>
          <w:sz w:val="24"/>
        </w:rPr>
        <w:t xml:space="preserve"> a </w:t>
      </w:r>
      <w:r w:rsidR="00F85AC1" w:rsidRPr="00F85AC1">
        <w:rPr>
          <w:rFonts w:ascii="Calibri" w:hAnsi="Calibri" w:cs="Calibri"/>
          <w:sz w:val="24"/>
        </w:rPr>
        <w:t>vymáh</w:t>
      </w:r>
      <w:r w:rsidR="00D567DB">
        <w:rPr>
          <w:rFonts w:ascii="Calibri" w:hAnsi="Calibri" w:cs="Calibri"/>
          <w:sz w:val="24"/>
        </w:rPr>
        <w:t>á</w:t>
      </w:r>
      <w:r w:rsidR="00F85AC1" w:rsidRPr="00F85AC1">
        <w:rPr>
          <w:rFonts w:ascii="Calibri" w:hAnsi="Calibri" w:cs="Calibri"/>
          <w:sz w:val="24"/>
        </w:rPr>
        <w:t xml:space="preserve">ní </w:t>
      </w:r>
      <w:r w:rsidR="00D567DB">
        <w:rPr>
          <w:rFonts w:ascii="Calibri" w:hAnsi="Calibri" w:cs="Calibri"/>
          <w:sz w:val="24"/>
        </w:rPr>
        <w:t>úhrad</w:t>
      </w:r>
      <w:r w:rsidR="00F85AC1" w:rsidRPr="00F85AC1">
        <w:rPr>
          <w:rFonts w:ascii="Calibri" w:hAnsi="Calibri" w:cs="Calibri"/>
          <w:sz w:val="24"/>
        </w:rPr>
        <w:t xml:space="preserve"> za zásahy </w:t>
      </w:r>
      <w:r w:rsidR="00F85AC1">
        <w:rPr>
          <w:rFonts w:ascii="Calibri" w:hAnsi="Calibri" w:cs="Calibri"/>
          <w:sz w:val="24"/>
        </w:rPr>
        <w:t xml:space="preserve">u </w:t>
      </w:r>
      <w:r w:rsidR="00EF68B1">
        <w:rPr>
          <w:rFonts w:ascii="Calibri" w:hAnsi="Calibri" w:cs="Calibri"/>
          <w:sz w:val="24"/>
        </w:rPr>
        <w:t>dopravních nehod</w:t>
      </w:r>
      <w:r w:rsidR="00F85AC1">
        <w:rPr>
          <w:rFonts w:ascii="Calibri" w:hAnsi="Calibri" w:cs="Calibri"/>
          <w:sz w:val="24"/>
        </w:rPr>
        <w:t xml:space="preserve"> </w:t>
      </w:r>
      <w:r w:rsidR="00F85AC1" w:rsidRPr="00F85AC1">
        <w:rPr>
          <w:rFonts w:ascii="Calibri" w:hAnsi="Calibri" w:cs="Calibri"/>
          <w:sz w:val="24"/>
        </w:rPr>
        <w:t xml:space="preserve">a </w:t>
      </w:r>
      <w:r w:rsidR="00C33836">
        <w:rPr>
          <w:rFonts w:ascii="Calibri" w:hAnsi="Calibri" w:cs="Calibri"/>
          <w:sz w:val="24"/>
        </w:rPr>
        <w:t>za poskytnuté služby</w:t>
      </w:r>
      <w:r w:rsidR="00DE74FF">
        <w:rPr>
          <w:rFonts w:ascii="Calibri" w:hAnsi="Calibri" w:cs="Calibri"/>
          <w:sz w:val="24"/>
        </w:rPr>
        <w:t>.</w:t>
      </w:r>
    </w:p>
    <w:p w14:paraId="77F5E8C6" w14:textId="77777777" w:rsidR="003234CE" w:rsidRDefault="003234CE" w:rsidP="00B7386C">
      <w:pPr>
        <w:rPr>
          <w:rFonts w:ascii="Calibri" w:hAnsi="Calibri" w:cs="Calibri"/>
          <w:sz w:val="24"/>
        </w:rPr>
      </w:pPr>
    </w:p>
    <w:p w14:paraId="3C971540" w14:textId="089A67EF" w:rsidR="00B92563" w:rsidRPr="00DE74FF" w:rsidRDefault="00FF2E28" w:rsidP="003234CE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Právní úprava nároků </w:t>
      </w:r>
      <w:r w:rsidR="005B5DE5">
        <w:rPr>
          <w:rFonts w:ascii="Calibri" w:hAnsi="Calibri" w:cs="Calibri"/>
          <w:sz w:val="24"/>
        </w:rPr>
        <w:t xml:space="preserve">HZS </w:t>
      </w:r>
      <w:r>
        <w:rPr>
          <w:rFonts w:ascii="Calibri" w:hAnsi="Calibri" w:cs="Calibri"/>
          <w:sz w:val="24"/>
        </w:rPr>
        <w:t xml:space="preserve">na náhrady nákladů za zásahy u </w:t>
      </w:r>
      <w:r w:rsidR="00EF68B1">
        <w:rPr>
          <w:rFonts w:ascii="Calibri" w:hAnsi="Calibri" w:cs="Calibri"/>
          <w:sz w:val="24"/>
        </w:rPr>
        <w:t>dopravních nehod</w:t>
      </w:r>
      <w:r>
        <w:rPr>
          <w:rFonts w:ascii="Calibri" w:hAnsi="Calibri" w:cs="Calibri"/>
          <w:sz w:val="24"/>
        </w:rPr>
        <w:t xml:space="preserve"> stanovená zákonem č. 238/2000 Sb. nekoresponduje zcela </w:t>
      </w:r>
      <w:r w:rsidR="00AF3C8F">
        <w:rPr>
          <w:rFonts w:ascii="Calibri" w:hAnsi="Calibri" w:cs="Calibri"/>
          <w:sz w:val="24"/>
        </w:rPr>
        <w:t>s </w:t>
      </w:r>
      <w:r>
        <w:rPr>
          <w:rFonts w:ascii="Calibri" w:hAnsi="Calibri" w:cs="Calibri"/>
          <w:sz w:val="24"/>
        </w:rPr>
        <w:t>povinností pojišťoven upravenou zákonem č. 168/1999 Sb.</w:t>
      </w:r>
      <w:r w:rsidR="00036B69" w:rsidRPr="00A35C03">
        <w:rPr>
          <w:rStyle w:val="Znakapoznpodarou"/>
          <w:rFonts w:asciiTheme="minorHAnsi" w:hAnsiTheme="minorHAnsi" w:cstheme="minorHAnsi"/>
          <w:sz w:val="24"/>
        </w:rPr>
        <w:footnoteReference w:id="7"/>
      </w:r>
      <w:r>
        <w:rPr>
          <w:rFonts w:ascii="Calibri" w:hAnsi="Calibri" w:cs="Calibri"/>
          <w:sz w:val="24"/>
        </w:rPr>
        <w:t xml:space="preserve"> uhradit uplatněné nároky z pojištění provozu vozidel. </w:t>
      </w:r>
      <w:r w:rsidR="00B92563" w:rsidRPr="00DE74FF">
        <w:rPr>
          <w:rFonts w:ascii="Calibri" w:hAnsi="Calibri" w:cs="Calibri"/>
          <w:sz w:val="24"/>
        </w:rPr>
        <w:t xml:space="preserve">Je proto nutné </w:t>
      </w:r>
      <w:r w:rsidR="005171D0" w:rsidRPr="00B70C96">
        <w:rPr>
          <w:rFonts w:ascii="Calibri" w:hAnsi="Calibri" w:cs="Calibri"/>
          <w:color w:val="000000" w:themeColor="text1"/>
          <w:sz w:val="24"/>
        </w:rPr>
        <w:t xml:space="preserve">sjednotit právní úpravu a </w:t>
      </w:r>
      <w:r w:rsidR="00B92563" w:rsidRPr="00DE74FF">
        <w:rPr>
          <w:rFonts w:ascii="Calibri" w:hAnsi="Calibri" w:cs="Calibri"/>
          <w:sz w:val="24"/>
        </w:rPr>
        <w:t>stanovit jednotnou metodiku pro uplatnění</w:t>
      </w:r>
      <w:r w:rsidR="00B92563">
        <w:rPr>
          <w:rFonts w:ascii="Calibri" w:hAnsi="Calibri" w:cs="Calibri"/>
          <w:sz w:val="24"/>
        </w:rPr>
        <w:t>, účtování</w:t>
      </w:r>
      <w:r w:rsidR="00B92563" w:rsidRPr="00DE74FF">
        <w:rPr>
          <w:rFonts w:ascii="Calibri" w:hAnsi="Calibri" w:cs="Calibri"/>
          <w:sz w:val="24"/>
        </w:rPr>
        <w:t xml:space="preserve"> a vymáhání náhrad</w:t>
      </w:r>
      <w:r w:rsidR="00B92563">
        <w:rPr>
          <w:rFonts w:ascii="Calibri" w:hAnsi="Calibri" w:cs="Calibri"/>
          <w:sz w:val="24"/>
        </w:rPr>
        <w:t xml:space="preserve"> za </w:t>
      </w:r>
      <w:r w:rsidR="00B92563">
        <w:rPr>
          <w:rFonts w:ascii="Calibri" w:hAnsi="Calibri" w:cs="Calibri"/>
          <w:sz w:val="24"/>
        </w:rPr>
        <w:lastRenderedPageBreak/>
        <w:t xml:space="preserve">zásahy u </w:t>
      </w:r>
      <w:r w:rsidR="002C739B">
        <w:rPr>
          <w:rFonts w:ascii="Calibri" w:hAnsi="Calibri" w:cs="Calibri"/>
          <w:sz w:val="24"/>
        </w:rPr>
        <w:t>dopravních nehod</w:t>
      </w:r>
      <w:r w:rsidR="00B92563" w:rsidRPr="00DE74FF">
        <w:rPr>
          <w:rFonts w:ascii="Calibri" w:hAnsi="Calibri" w:cs="Calibri"/>
          <w:sz w:val="24"/>
        </w:rPr>
        <w:t xml:space="preserve">, </w:t>
      </w:r>
      <w:r w:rsidR="00896C74">
        <w:rPr>
          <w:rFonts w:ascii="Calibri" w:hAnsi="Calibri" w:cs="Calibri"/>
          <w:sz w:val="24"/>
        </w:rPr>
        <w:t>což</w:t>
      </w:r>
      <w:r w:rsidR="00B92563" w:rsidRPr="00DE74FF">
        <w:rPr>
          <w:rFonts w:ascii="Calibri" w:hAnsi="Calibri" w:cs="Calibri"/>
          <w:sz w:val="24"/>
        </w:rPr>
        <w:t xml:space="preserve"> přispěje k zajištění oprávněných nároků </w:t>
      </w:r>
      <w:r w:rsidR="005B5DE5">
        <w:rPr>
          <w:rFonts w:ascii="Calibri" w:hAnsi="Calibri" w:cs="Calibri"/>
          <w:sz w:val="24"/>
        </w:rPr>
        <w:t xml:space="preserve">HZS </w:t>
      </w:r>
      <w:r w:rsidR="00B92563" w:rsidRPr="00DE74FF">
        <w:rPr>
          <w:rFonts w:ascii="Calibri" w:hAnsi="Calibri" w:cs="Calibri"/>
          <w:sz w:val="24"/>
        </w:rPr>
        <w:t xml:space="preserve">a </w:t>
      </w:r>
      <w:r w:rsidR="00B92563">
        <w:rPr>
          <w:rFonts w:ascii="Calibri" w:hAnsi="Calibri" w:cs="Calibri"/>
          <w:sz w:val="24"/>
        </w:rPr>
        <w:t xml:space="preserve">ke </w:t>
      </w:r>
      <w:r w:rsidR="00B92563" w:rsidRPr="00DE74FF">
        <w:rPr>
          <w:rFonts w:ascii="Calibri" w:hAnsi="Calibri" w:cs="Calibri"/>
          <w:sz w:val="24"/>
        </w:rPr>
        <w:t xml:space="preserve">snížení počtu nedořešených případů. </w:t>
      </w:r>
      <w:r w:rsidR="00B92563">
        <w:rPr>
          <w:rFonts w:ascii="Calibri" w:hAnsi="Calibri" w:cs="Calibri"/>
          <w:sz w:val="24"/>
        </w:rPr>
        <w:t>Správné a jednotné vedení dokumentace pohledávek umožní jejich řádné vymáhání</w:t>
      </w:r>
      <w:r w:rsidR="00E77721">
        <w:rPr>
          <w:rFonts w:ascii="Calibri" w:hAnsi="Calibri" w:cs="Calibri"/>
          <w:sz w:val="24"/>
        </w:rPr>
        <w:t xml:space="preserve"> a případně jejich předání k</w:t>
      </w:r>
      <w:r w:rsidR="00E45D69">
        <w:rPr>
          <w:rFonts w:ascii="Calibri" w:hAnsi="Calibri" w:cs="Calibri"/>
          <w:sz w:val="24"/>
        </w:rPr>
        <w:t> </w:t>
      </w:r>
      <w:r w:rsidR="002547F2">
        <w:rPr>
          <w:rFonts w:ascii="Calibri" w:hAnsi="Calibri" w:cs="Calibri"/>
          <w:sz w:val="24"/>
        </w:rPr>
        <w:t>vymáhání</w:t>
      </w:r>
      <w:r w:rsidR="00E45D69">
        <w:rPr>
          <w:rFonts w:ascii="Calibri" w:hAnsi="Calibri" w:cs="Calibri"/>
          <w:sz w:val="24"/>
        </w:rPr>
        <w:t xml:space="preserve"> jinému subjektu</w:t>
      </w:r>
      <w:r w:rsidR="002547F2">
        <w:rPr>
          <w:rFonts w:ascii="Calibri" w:hAnsi="Calibri" w:cs="Calibri"/>
          <w:sz w:val="24"/>
        </w:rPr>
        <w:t>.</w:t>
      </w:r>
      <w:r w:rsidR="00EF5CC6">
        <w:rPr>
          <w:rFonts w:ascii="Calibri" w:hAnsi="Calibri" w:cs="Calibri"/>
          <w:sz w:val="24"/>
        </w:rPr>
        <w:t xml:space="preserve"> </w:t>
      </w:r>
    </w:p>
    <w:p w14:paraId="2AD635FA" w14:textId="77777777" w:rsidR="00B45517" w:rsidRDefault="00B45517" w:rsidP="00FF2E28">
      <w:pPr>
        <w:rPr>
          <w:rFonts w:ascii="Calibri" w:hAnsi="Calibri" w:cs="Calibri"/>
          <w:sz w:val="24"/>
        </w:rPr>
      </w:pPr>
    </w:p>
    <w:p w14:paraId="2B10C45B" w14:textId="42CF5F79" w:rsidR="005859D5" w:rsidRDefault="00DE74FF" w:rsidP="00BE5B88">
      <w:pPr>
        <w:rPr>
          <w:rFonts w:ascii="Calibri" w:hAnsi="Calibri" w:cs="Calibri"/>
          <w:sz w:val="24"/>
        </w:rPr>
      </w:pPr>
      <w:r w:rsidRPr="00B92563">
        <w:rPr>
          <w:rFonts w:asciiTheme="minorHAnsi" w:hAnsiTheme="minorHAnsi" w:cstheme="minorHAnsi"/>
          <w:sz w:val="24"/>
        </w:rPr>
        <w:t xml:space="preserve">Dle § 97 zákona č. 133/1985 Sb. </w:t>
      </w:r>
      <w:r w:rsidRPr="00B92563">
        <w:rPr>
          <w:rFonts w:ascii="Calibri" w:hAnsi="Calibri" w:cs="Calibri"/>
          <w:sz w:val="24"/>
        </w:rPr>
        <w:t>mohou jednotky požární ochrany poskytovat pohotovostní a jiné služby nebo práce za úhradu vynaložených nákladů</w:t>
      </w:r>
      <w:r w:rsidR="00255EAC">
        <w:rPr>
          <w:rFonts w:ascii="Calibri" w:hAnsi="Calibri" w:cs="Calibri"/>
          <w:sz w:val="24"/>
        </w:rPr>
        <w:t xml:space="preserve"> </w:t>
      </w:r>
      <w:r w:rsidR="005171D0" w:rsidRPr="0015130D">
        <w:rPr>
          <w:rFonts w:ascii="Calibri" w:hAnsi="Calibri" w:cs="Calibri"/>
          <w:color w:val="000000" w:themeColor="text1"/>
          <w:sz w:val="24"/>
        </w:rPr>
        <w:t>za předpokladu, že se jedná o </w:t>
      </w:r>
      <w:r w:rsidR="00255EAC" w:rsidRPr="0015130D">
        <w:rPr>
          <w:rFonts w:ascii="Calibri" w:hAnsi="Calibri" w:cs="Calibri"/>
          <w:color w:val="000000" w:themeColor="text1"/>
          <w:sz w:val="24"/>
        </w:rPr>
        <w:t xml:space="preserve">práce a služby související se základní náplní jejich činnosti a nedojde </w:t>
      </w:r>
      <w:r w:rsidR="00AF3C8F">
        <w:rPr>
          <w:rFonts w:ascii="Calibri" w:hAnsi="Calibri" w:cs="Calibri"/>
          <w:color w:val="000000" w:themeColor="text1"/>
          <w:sz w:val="24"/>
        </w:rPr>
        <w:t>k </w:t>
      </w:r>
      <w:r w:rsidR="0006394B">
        <w:rPr>
          <w:rFonts w:ascii="Calibri" w:hAnsi="Calibri" w:cs="Calibri"/>
          <w:color w:val="000000" w:themeColor="text1"/>
          <w:sz w:val="24"/>
        </w:rPr>
        <w:t>ohrožení jejich akceschopnosti</w:t>
      </w:r>
      <w:r w:rsidR="005C1DDB" w:rsidRPr="0015130D">
        <w:rPr>
          <w:rFonts w:ascii="Calibri" w:hAnsi="Calibri" w:cs="Calibri"/>
          <w:color w:val="000000" w:themeColor="text1"/>
          <w:sz w:val="24"/>
        </w:rPr>
        <w:t>.</w:t>
      </w:r>
      <w:r w:rsidR="005C1DDB" w:rsidRPr="00DE4003">
        <w:rPr>
          <w:rFonts w:ascii="Calibri" w:hAnsi="Calibri"/>
          <w:color w:val="000000" w:themeColor="text1"/>
          <w:sz w:val="24"/>
        </w:rPr>
        <w:t xml:space="preserve"> </w:t>
      </w:r>
      <w:r w:rsidR="005C1DDB" w:rsidRPr="00B92563">
        <w:rPr>
          <w:rFonts w:ascii="Calibri" w:hAnsi="Calibri" w:cs="Calibri"/>
          <w:sz w:val="24"/>
        </w:rPr>
        <w:t xml:space="preserve">Kontrolované HZSK za poskytování </w:t>
      </w:r>
      <w:r w:rsidR="00BE5B88" w:rsidRPr="00B92563">
        <w:rPr>
          <w:rFonts w:ascii="Calibri" w:hAnsi="Calibri" w:cs="Calibri"/>
          <w:sz w:val="24"/>
        </w:rPr>
        <w:t>těchto</w:t>
      </w:r>
      <w:r w:rsidR="005C1DDB" w:rsidRPr="00B92563">
        <w:rPr>
          <w:rFonts w:ascii="Calibri" w:hAnsi="Calibri" w:cs="Calibri"/>
          <w:sz w:val="24"/>
        </w:rPr>
        <w:t xml:space="preserve"> služeb, zejména </w:t>
      </w:r>
      <w:r w:rsidR="00F0146D" w:rsidRPr="00B92563">
        <w:rPr>
          <w:rFonts w:ascii="Calibri" w:hAnsi="Calibri" w:cs="Calibri"/>
          <w:sz w:val="24"/>
        </w:rPr>
        <w:t xml:space="preserve">služeb </w:t>
      </w:r>
      <w:r w:rsidR="00BE5B88" w:rsidRPr="00B92563">
        <w:rPr>
          <w:rFonts w:ascii="Calibri" w:hAnsi="Calibri" w:cs="Calibri"/>
          <w:sz w:val="24"/>
        </w:rPr>
        <w:t xml:space="preserve">spojených </w:t>
      </w:r>
      <w:r w:rsidR="00AF3C8F">
        <w:rPr>
          <w:rFonts w:ascii="Calibri" w:hAnsi="Calibri" w:cs="Calibri"/>
          <w:sz w:val="24"/>
        </w:rPr>
        <w:t>s </w:t>
      </w:r>
      <w:r w:rsidR="005C1DDB" w:rsidRPr="00B92563">
        <w:rPr>
          <w:rFonts w:ascii="Calibri" w:hAnsi="Calibri" w:cs="Calibri"/>
          <w:sz w:val="24"/>
        </w:rPr>
        <w:t>připojení</w:t>
      </w:r>
      <w:r w:rsidR="00BE5B88" w:rsidRPr="00B92563">
        <w:rPr>
          <w:rFonts w:ascii="Calibri" w:hAnsi="Calibri" w:cs="Calibri"/>
          <w:sz w:val="24"/>
        </w:rPr>
        <w:t>m</w:t>
      </w:r>
      <w:r w:rsidR="005C1DDB" w:rsidRPr="00B92563">
        <w:rPr>
          <w:rFonts w:ascii="Calibri" w:hAnsi="Calibri" w:cs="Calibri"/>
          <w:sz w:val="24"/>
        </w:rPr>
        <w:t xml:space="preserve"> objektů </w:t>
      </w:r>
      <w:r w:rsidR="00940EA4">
        <w:rPr>
          <w:rFonts w:ascii="Calibri" w:hAnsi="Calibri" w:cs="Calibri"/>
          <w:sz w:val="24"/>
        </w:rPr>
        <w:t>na</w:t>
      </w:r>
      <w:r w:rsidR="005C1DDB" w:rsidRPr="00B92563">
        <w:rPr>
          <w:rFonts w:ascii="Calibri" w:hAnsi="Calibri" w:cs="Calibri"/>
          <w:sz w:val="24"/>
        </w:rPr>
        <w:t> </w:t>
      </w:r>
      <w:r w:rsidR="002C739B" w:rsidRPr="002C739B">
        <w:rPr>
          <w:rFonts w:ascii="Calibri" w:hAnsi="Calibri" w:cs="Calibri"/>
          <w:sz w:val="24"/>
        </w:rPr>
        <w:t>pult centralizované ochrany</w:t>
      </w:r>
      <w:r w:rsidR="005C1DDB" w:rsidRPr="00B92563">
        <w:rPr>
          <w:rFonts w:ascii="Calibri" w:hAnsi="Calibri" w:cs="Calibri"/>
          <w:sz w:val="24"/>
        </w:rPr>
        <w:t xml:space="preserve">, </w:t>
      </w:r>
      <w:r w:rsidR="00BE5B88" w:rsidRPr="00B92563">
        <w:rPr>
          <w:rFonts w:ascii="Calibri" w:hAnsi="Calibri" w:cs="Calibri"/>
          <w:sz w:val="24"/>
        </w:rPr>
        <w:t xml:space="preserve">požadovaly </w:t>
      </w:r>
      <w:r w:rsidR="005C1DDB" w:rsidRPr="00B92563">
        <w:rPr>
          <w:rFonts w:ascii="Calibri" w:hAnsi="Calibri" w:cs="Calibri"/>
          <w:sz w:val="24"/>
        </w:rPr>
        <w:t>výrazně odlišn</w:t>
      </w:r>
      <w:r w:rsidR="00BE5B88" w:rsidRPr="00B92563">
        <w:rPr>
          <w:rFonts w:ascii="Calibri" w:hAnsi="Calibri" w:cs="Calibri"/>
          <w:sz w:val="24"/>
        </w:rPr>
        <w:t xml:space="preserve">é náhrady a nebylo vždy možné zjistit, do jaké míry úhrady za tyto služby </w:t>
      </w:r>
      <w:r w:rsidR="00F0146D" w:rsidRPr="00B92563">
        <w:rPr>
          <w:rFonts w:ascii="Calibri" w:hAnsi="Calibri" w:cs="Calibri"/>
          <w:sz w:val="24"/>
        </w:rPr>
        <w:t>odpovída</w:t>
      </w:r>
      <w:r w:rsidR="00E45D69">
        <w:rPr>
          <w:rFonts w:ascii="Calibri" w:hAnsi="Calibri" w:cs="Calibri"/>
          <w:sz w:val="24"/>
        </w:rPr>
        <w:t xml:space="preserve">ly </w:t>
      </w:r>
      <w:r w:rsidR="00BE5B88" w:rsidRPr="00B92563">
        <w:rPr>
          <w:rFonts w:ascii="Calibri" w:hAnsi="Calibri" w:cs="Calibri"/>
          <w:sz w:val="24"/>
        </w:rPr>
        <w:t>vynaložen</w:t>
      </w:r>
      <w:r w:rsidR="00F0146D" w:rsidRPr="00B92563">
        <w:rPr>
          <w:rFonts w:ascii="Calibri" w:hAnsi="Calibri" w:cs="Calibri"/>
          <w:sz w:val="24"/>
        </w:rPr>
        <w:t xml:space="preserve">ým </w:t>
      </w:r>
      <w:r w:rsidR="00BE5B88" w:rsidRPr="00B92563">
        <w:rPr>
          <w:rFonts w:ascii="Calibri" w:hAnsi="Calibri" w:cs="Calibri"/>
          <w:sz w:val="24"/>
        </w:rPr>
        <w:t>náklad</w:t>
      </w:r>
      <w:r w:rsidR="00F0146D" w:rsidRPr="00B92563">
        <w:rPr>
          <w:rFonts w:ascii="Calibri" w:hAnsi="Calibri" w:cs="Calibri"/>
          <w:sz w:val="24"/>
        </w:rPr>
        <w:t>ům</w:t>
      </w:r>
      <w:r w:rsidR="00BE5B88" w:rsidRPr="00B92563">
        <w:rPr>
          <w:rFonts w:ascii="Calibri" w:hAnsi="Calibri" w:cs="Calibri"/>
          <w:sz w:val="24"/>
        </w:rPr>
        <w:t xml:space="preserve">. </w:t>
      </w:r>
    </w:p>
    <w:p w14:paraId="2FEFDA0F" w14:textId="77777777" w:rsidR="003234CE" w:rsidRDefault="003234CE" w:rsidP="00BE5B88">
      <w:pPr>
        <w:rPr>
          <w:rFonts w:ascii="Calibri" w:hAnsi="Calibri" w:cs="Calibri"/>
          <w:sz w:val="24"/>
        </w:rPr>
      </w:pPr>
    </w:p>
    <w:p w14:paraId="7D16B576" w14:textId="1C2B2B72" w:rsidR="00BE5B88" w:rsidRPr="00B92563" w:rsidRDefault="00BE5B88" w:rsidP="003234CE">
      <w:pPr>
        <w:rPr>
          <w:rFonts w:ascii="Calibri" w:hAnsi="Calibri" w:cs="Calibri"/>
          <w:sz w:val="24"/>
        </w:rPr>
      </w:pPr>
      <w:r w:rsidRPr="00B92563">
        <w:rPr>
          <w:rFonts w:ascii="Calibri" w:hAnsi="Calibri" w:cs="Calibri"/>
          <w:sz w:val="24"/>
        </w:rPr>
        <w:t xml:space="preserve">Pro zajištění transparentního </w:t>
      </w:r>
      <w:r w:rsidR="00C2188C" w:rsidRPr="00B92563">
        <w:rPr>
          <w:rFonts w:ascii="Calibri" w:hAnsi="Calibri" w:cs="Calibri"/>
          <w:sz w:val="24"/>
        </w:rPr>
        <w:t xml:space="preserve">a jednotného </w:t>
      </w:r>
      <w:r w:rsidRPr="00B92563">
        <w:rPr>
          <w:rFonts w:ascii="Calibri" w:hAnsi="Calibri" w:cs="Calibri"/>
          <w:sz w:val="24"/>
        </w:rPr>
        <w:t xml:space="preserve">přístupu HZSK </w:t>
      </w:r>
      <w:r w:rsidR="00C2188C" w:rsidRPr="00B92563">
        <w:rPr>
          <w:rFonts w:ascii="Calibri" w:hAnsi="Calibri" w:cs="Calibri"/>
          <w:sz w:val="24"/>
        </w:rPr>
        <w:t>k</w:t>
      </w:r>
      <w:r w:rsidRPr="00B92563">
        <w:rPr>
          <w:rFonts w:ascii="Calibri" w:hAnsi="Calibri" w:cs="Calibri"/>
          <w:sz w:val="24"/>
        </w:rPr>
        <w:t xml:space="preserve"> této problematice </w:t>
      </w:r>
      <w:r w:rsidR="00BD0026" w:rsidRPr="00B92563">
        <w:rPr>
          <w:rFonts w:ascii="Calibri" w:hAnsi="Calibri" w:cs="Calibri"/>
          <w:sz w:val="24"/>
        </w:rPr>
        <w:t xml:space="preserve">musí </w:t>
      </w:r>
      <w:r w:rsidR="00927E77">
        <w:rPr>
          <w:rFonts w:ascii="Calibri" w:hAnsi="Calibri" w:cs="Calibri"/>
          <w:sz w:val="24"/>
        </w:rPr>
        <w:t>GŘ</w:t>
      </w:r>
      <w:r w:rsidR="00BD0026" w:rsidRPr="00B92563">
        <w:rPr>
          <w:rFonts w:ascii="Calibri" w:hAnsi="Calibri" w:cs="Calibri"/>
          <w:sz w:val="24"/>
        </w:rPr>
        <w:t xml:space="preserve"> stanovit</w:t>
      </w:r>
      <w:r w:rsidR="00C2188C" w:rsidRPr="00B92563">
        <w:rPr>
          <w:rFonts w:ascii="Calibri" w:hAnsi="Calibri" w:cs="Calibri"/>
          <w:sz w:val="24"/>
        </w:rPr>
        <w:t xml:space="preserve"> závazné podmínky pro uzavírání smluv na tyto služby včetně postupu p</w:t>
      </w:r>
      <w:r w:rsidR="00C44C9C" w:rsidRPr="00B92563">
        <w:rPr>
          <w:rFonts w:ascii="Calibri" w:hAnsi="Calibri" w:cs="Calibri"/>
          <w:sz w:val="24"/>
        </w:rPr>
        <w:t>ři</w:t>
      </w:r>
      <w:r w:rsidR="00C2188C" w:rsidRPr="00B92563">
        <w:rPr>
          <w:rFonts w:ascii="Calibri" w:hAnsi="Calibri" w:cs="Calibri"/>
          <w:sz w:val="24"/>
        </w:rPr>
        <w:t xml:space="preserve"> stanovení cen</w:t>
      </w:r>
      <w:r w:rsidR="00BD0026" w:rsidRPr="00B92563">
        <w:rPr>
          <w:rFonts w:ascii="Calibri" w:hAnsi="Calibri" w:cs="Calibri"/>
          <w:sz w:val="24"/>
        </w:rPr>
        <w:t xml:space="preserve"> a dodrž</w:t>
      </w:r>
      <w:r w:rsidR="00940EA4">
        <w:rPr>
          <w:rFonts w:ascii="Calibri" w:hAnsi="Calibri" w:cs="Calibri"/>
          <w:sz w:val="24"/>
        </w:rPr>
        <w:t>ování</w:t>
      </w:r>
      <w:r w:rsidR="00BD0026" w:rsidRPr="00B92563">
        <w:rPr>
          <w:rFonts w:ascii="Calibri" w:hAnsi="Calibri" w:cs="Calibri"/>
          <w:sz w:val="24"/>
        </w:rPr>
        <w:t xml:space="preserve"> těchto podmínek důsledně vyžadovat</w:t>
      </w:r>
      <w:r w:rsidR="00C2188C" w:rsidRPr="00B92563">
        <w:rPr>
          <w:rFonts w:ascii="Calibri" w:hAnsi="Calibri" w:cs="Calibri"/>
          <w:sz w:val="24"/>
        </w:rPr>
        <w:t xml:space="preserve">. </w:t>
      </w:r>
      <w:r w:rsidRPr="00B92563">
        <w:rPr>
          <w:rFonts w:ascii="Calibri" w:hAnsi="Calibri" w:cs="Calibri"/>
          <w:sz w:val="24"/>
        </w:rPr>
        <w:t xml:space="preserve"> </w:t>
      </w:r>
    </w:p>
    <w:p w14:paraId="061D7177" w14:textId="77777777" w:rsidR="00BE5B88" w:rsidRPr="00B92563" w:rsidRDefault="00BE5B88" w:rsidP="00BE5B88">
      <w:pPr>
        <w:rPr>
          <w:rFonts w:ascii="Calibri" w:hAnsi="Calibri" w:cs="Calibri"/>
          <w:sz w:val="24"/>
        </w:rPr>
      </w:pPr>
    </w:p>
    <w:p w14:paraId="4B9C0130" w14:textId="2691E184" w:rsidR="005859D5" w:rsidRDefault="007D10DE" w:rsidP="00B04223">
      <w:pPr>
        <w:rPr>
          <w:rFonts w:ascii="Calibri" w:hAnsi="Calibri" w:cs="Calibri"/>
          <w:sz w:val="24"/>
        </w:rPr>
      </w:pPr>
      <w:r w:rsidRPr="00B92563">
        <w:rPr>
          <w:rFonts w:ascii="Calibri" w:hAnsi="Calibri" w:cs="Calibri"/>
          <w:sz w:val="24"/>
        </w:rPr>
        <w:t xml:space="preserve">Při kontrole nakládání </w:t>
      </w:r>
      <w:r w:rsidR="00AF3C8F">
        <w:rPr>
          <w:rFonts w:ascii="Calibri" w:hAnsi="Calibri" w:cs="Calibri"/>
          <w:sz w:val="24"/>
        </w:rPr>
        <w:t>s </w:t>
      </w:r>
      <w:r w:rsidRPr="00B92563">
        <w:rPr>
          <w:rFonts w:ascii="Calibri" w:hAnsi="Calibri" w:cs="Calibri"/>
          <w:sz w:val="24"/>
        </w:rPr>
        <w:t xml:space="preserve">majetkem a pořízení </w:t>
      </w:r>
      <w:r w:rsidR="00D054F4" w:rsidRPr="00B92563">
        <w:rPr>
          <w:rFonts w:ascii="Calibri" w:hAnsi="Calibri" w:cs="Calibri"/>
          <w:sz w:val="24"/>
        </w:rPr>
        <w:t xml:space="preserve">majetku, </w:t>
      </w:r>
      <w:r w:rsidRPr="00B92563">
        <w:rPr>
          <w:rFonts w:ascii="Calibri" w:hAnsi="Calibri" w:cs="Calibri"/>
          <w:sz w:val="24"/>
        </w:rPr>
        <w:t xml:space="preserve">materiálu a služeb </w:t>
      </w:r>
      <w:r w:rsidR="001E7352">
        <w:rPr>
          <w:rFonts w:ascii="Calibri" w:hAnsi="Calibri" w:cs="Calibri"/>
          <w:sz w:val="24"/>
        </w:rPr>
        <w:t xml:space="preserve">NKÚ </w:t>
      </w:r>
      <w:r w:rsidRPr="00B92563">
        <w:rPr>
          <w:rFonts w:ascii="Calibri" w:hAnsi="Calibri" w:cs="Calibri"/>
          <w:sz w:val="24"/>
        </w:rPr>
        <w:t>nezji</w:t>
      </w:r>
      <w:r w:rsidR="001E7352">
        <w:rPr>
          <w:rFonts w:ascii="Calibri" w:hAnsi="Calibri" w:cs="Calibri"/>
          <w:sz w:val="24"/>
        </w:rPr>
        <w:t>s</w:t>
      </w:r>
      <w:r w:rsidRPr="00B92563">
        <w:rPr>
          <w:rFonts w:ascii="Calibri" w:hAnsi="Calibri" w:cs="Calibri"/>
          <w:sz w:val="24"/>
        </w:rPr>
        <w:t>t</w:t>
      </w:r>
      <w:r w:rsidR="001E7352">
        <w:rPr>
          <w:rFonts w:ascii="Calibri" w:hAnsi="Calibri" w:cs="Calibri"/>
          <w:sz w:val="24"/>
        </w:rPr>
        <w:t>il</w:t>
      </w:r>
      <w:r w:rsidRPr="00B92563">
        <w:rPr>
          <w:rFonts w:ascii="Calibri" w:hAnsi="Calibri" w:cs="Calibri"/>
          <w:sz w:val="24"/>
        </w:rPr>
        <w:t xml:space="preserve"> neúčelné vynaložení peněžních prostředků</w:t>
      </w:r>
      <w:r w:rsidR="00C1469E" w:rsidRPr="00B92563">
        <w:rPr>
          <w:rFonts w:ascii="Calibri" w:hAnsi="Calibri" w:cs="Calibri"/>
          <w:sz w:val="24"/>
        </w:rPr>
        <w:t xml:space="preserve"> a nedostatky, které </w:t>
      </w:r>
      <w:r w:rsidR="00BD0026" w:rsidRPr="00B92563">
        <w:rPr>
          <w:rFonts w:ascii="Calibri" w:hAnsi="Calibri" w:cs="Calibri"/>
          <w:sz w:val="24"/>
        </w:rPr>
        <w:t>by měly</w:t>
      </w:r>
      <w:r w:rsidR="00C1469E" w:rsidRPr="00B92563">
        <w:rPr>
          <w:rFonts w:ascii="Calibri" w:hAnsi="Calibri" w:cs="Calibri"/>
          <w:sz w:val="24"/>
        </w:rPr>
        <w:t xml:space="preserve"> zásadní vliv na hospodaření </w:t>
      </w:r>
      <w:r w:rsidR="00605E61" w:rsidRPr="00B92563">
        <w:rPr>
          <w:rFonts w:ascii="Calibri" w:hAnsi="Calibri" w:cs="Calibri"/>
          <w:sz w:val="24"/>
        </w:rPr>
        <w:t xml:space="preserve">a činnost </w:t>
      </w:r>
      <w:r w:rsidR="00DA7297">
        <w:rPr>
          <w:rFonts w:ascii="Calibri" w:hAnsi="Calibri" w:cs="Calibri"/>
          <w:sz w:val="24"/>
        </w:rPr>
        <w:t xml:space="preserve">HZS. </w:t>
      </w:r>
      <w:r w:rsidR="003E5BE2" w:rsidRPr="00B92563">
        <w:rPr>
          <w:rFonts w:ascii="Calibri" w:hAnsi="Calibri" w:cs="Calibri"/>
          <w:sz w:val="24"/>
        </w:rPr>
        <w:t xml:space="preserve">Při posouzení jednotkových cen pořizovaného majetku </w:t>
      </w:r>
      <w:r w:rsidR="001E7352">
        <w:rPr>
          <w:rFonts w:ascii="Calibri" w:hAnsi="Calibri" w:cs="Calibri"/>
          <w:sz w:val="24"/>
        </w:rPr>
        <w:t xml:space="preserve">NKÚ </w:t>
      </w:r>
      <w:r w:rsidR="003E5BE2" w:rsidRPr="00B92563">
        <w:rPr>
          <w:rFonts w:ascii="Calibri" w:hAnsi="Calibri" w:cs="Calibri"/>
          <w:sz w:val="24"/>
        </w:rPr>
        <w:t>zji</w:t>
      </w:r>
      <w:r w:rsidR="001E7352">
        <w:rPr>
          <w:rFonts w:ascii="Calibri" w:hAnsi="Calibri" w:cs="Calibri"/>
          <w:sz w:val="24"/>
        </w:rPr>
        <w:t>stil</w:t>
      </w:r>
      <w:r w:rsidR="003E5BE2" w:rsidRPr="00B92563">
        <w:rPr>
          <w:rFonts w:ascii="Calibri" w:hAnsi="Calibri" w:cs="Calibri"/>
          <w:sz w:val="24"/>
        </w:rPr>
        <w:t xml:space="preserve">, že </w:t>
      </w:r>
      <w:r w:rsidR="00927E77">
        <w:rPr>
          <w:rFonts w:ascii="Calibri" w:hAnsi="Calibri" w:cs="Calibri"/>
          <w:sz w:val="24"/>
        </w:rPr>
        <w:t>GŘ</w:t>
      </w:r>
      <w:r w:rsidR="003E5BE2" w:rsidRPr="00B92563">
        <w:rPr>
          <w:rFonts w:ascii="Calibri" w:hAnsi="Calibri" w:cs="Calibri"/>
          <w:sz w:val="24"/>
        </w:rPr>
        <w:t xml:space="preserve"> </w:t>
      </w:r>
      <w:r w:rsidR="00066450" w:rsidRPr="00B92563">
        <w:rPr>
          <w:rFonts w:ascii="Calibri" w:hAnsi="Calibri" w:cs="Calibri"/>
          <w:sz w:val="24"/>
        </w:rPr>
        <w:t xml:space="preserve">nevyužilo možnosti </w:t>
      </w:r>
      <w:r w:rsidR="003E5BE2" w:rsidRPr="00B92563">
        <w:rPr>
          <w:rFonts w:ascii="Calibri" w:hAnsi="Calibri" w:cs="Calibri"/>
          <w:sz w:val="24"/>
        </w:rPr>
        <w:t>centrální</w:t>
      </w:r>
      <w:r w:rsidR="00066450" w:rsidRPr="00B92563">
        <w:rPr>
          <w:rFonts w:ascii="Calibri" w:hAnsi="Calibri" w:cs="Calibri"/>
          <w:sz w:val="24"/>
        </w:rPr>
        <w:t>ho</w:t>
      </w:r>
      <w:r w:rsidR="003E5BE2" w:rsidRPr="00B92563">
        <w:rPr>
          <w:rFonts w:ascii="Calibri" w:hAnsi="Calibri" w:cs="Calibri"/>
          <w:sz w:val="24"/>
        </w:rPr>
        <w:t xml:space="preserve"> </w:t>
      </w:r>
      <w:r w:rsidR="00CB7159" w:rsidRPr="00B92563">
        <w:rPr>
          <w:rFonts w:ascii="Calibri" w:hAnsi="Calibri" w:cs="Calibri"/>
          <w:sz w:val="24"/>
        </w:rPr>
        <w:t xml:space="preserve">zajištění </w:t>
      </w:r>
      <w:r w:rsidR="00066450" w:rsidRPr="00B92563">
        <w:rPr>
          <w:rFonts w:ascii="Calibri" w:hAnsi="Calibri" w:cs="Calibri"/>
          <w:sz w:val="24"/>
        </w:rPr>
        <w:t>zásahového vybavení</w:t>
      </w:r>
      <w:r w:rsidR="00251544" w:rsidRPr="00B92563">
        <w:rPr>
          <w:rFonts w:ascii="Calibri" w:hAnsi="Calibri" w:cs="Calibri"/>
          <w:sz w:val="24"/>
        </w:rPr>
        <w:t xml:space="preserve">. </w:t>
      </w:r>
      <w:r w:rsidR="00260912" w:rsidRPr="00B92563">
        <w:rPr>
          <w:rFonts w:ascii="Calibri" w:hAnsi="Calibri" w:cs="Calibri"/>
          <w:sz w:val="24"/>
        </w:rPr>
        <w:t xml:space="preserve">Pořízení </w:t>
      </w:r>
      <w:r w:rsidR="005875AA" w:rsidRPr="00B92563">
        <w:rPr>
          <w:rFonts w:ascii="Calibri" w:hAnsi="Calibri" w:cs="Calibri"/>
          <w:sz w:val="24"/>
        </w:rPr>
        <w:t xml:space="preserve">stejného </w:t>
      </w:r>
      <w:r w:rsidR="00260912" w:rsidRPr="00B92563">
        <w:rPr>
          <w:rFonts w:ascii="Calibri" w:hAnsi="Calibri" w:cs="Calibri"/>
          <w:sz w:val="24"/>
        </w:rPr>
        <w:t>zásahového vybavení realizovaly HZSK</w:t>
      </w:r>
      <w:r w:rsidR="005875AA" w:rsidRPr="00B92563">
        <w:rPr>
          <w:rFonts w:ascii="Calibri" w:hAnsi="Calibri" w:cs="Calibri"/>
          <w:sz w:val="24"/>
        </w:rPr>
        <w:t xml:space="preserve"> samostatně</w:t>
      </w:r>
      <w:r w:rsidR="00260912" w:rsidRPr="00B92563">
        <w:rPr>
          <w:rFonts w:ascii="Calibri" w:hAnsi="Calibri" w:cs="Calibri"/>
          <w:sz w:val="24"/>
        </w:rPr>
        <w:t xml:space="preserve"> na základě zadání zakázek malého rozsahu</w:t>
      </w:r>
      <w:r w:rsidR="005875AA" w:rsidRPr="00B92563">
        <w:rPr>
          <w:rFonts w:ascii="Calibri" w:hAnsi="Calibri" w:cs="Calibri"/>
          <w:sz w:val="24"/>
        </w:rPr>
        <w:t xml:space="preserve"> </w:t>
      </w:r>
      <w:r w:rsidR="00AF3C8F">
        <w:rPr>
          <w:rFonts w:ascii="Calibri" w:hAnsi="Calibri" w:cs="Calibri"/>
          <w:sz w:val="24"/>
        </w:rPr>
        <w:t>s </w:t>
      </w:r>
      <w:r w:rsidR="00000785" w:rsidRPr="00B92563">
        <w:rPr>
          <w:rFonts w:ascii="Calibri" w:hAnsi="Calibri" w:cs="Calibri"/>
          <w:sz w:val="24"/>
        </w:rPr>
        <w:t>různými</w:t>
      </w:r>
      <w:r w:rsidR="00260912" w:rsidRPr="00B92563">
        <w:rPr>
          <w:rFonts w:ascii="Calibri" w:hAnsi="Calibri" w:cs="Calibri"/>
          <w:sz w:val="24"/>
        </w:rPr>
        <w:t xml:space="preserve"> požadavky na </w:t>
      </w:r>
      <w:r w:rsidR="00B00D96" w:rsidRPr="00B92563">
        <w:rPr>
          <w:rFonts w:ascii="Calibri" w:hAnsi="Calibri" w:cs="Calibri"/>
          <w:sz w:val="24"/>
        </w:rPr>
        <w:t>technické parametry a jejich doložení</w:t>
      </w:r>
      <w:r w:rsidR="00000785" w:rsidRPr="00B92563">
        <w:rPr>
          <w:rFonts w:ascii="Calibri" w:hAnsi="Calibri" w:cs="Calibri"/>
          <w:sz w:val="24"/>
        </w:rPr>
        <w:t>, což vedlo k</w:t>
      </w:r>
      <w:r w:rsidR="00FD1F06" w:rsidRPr="00B92563">
        <w:rPr>
          <w:rFonts w:ascii="Calibri" w:hAnsi="Calibri" w:cs="Calibri"/>
          <w:sz w:val="24"/>
        </w:rPr>
        <w:t xml:space="preserve"> výrazně </w:t>
      </w:r>
      <w:r w:rsidR="00000785" w:rsidRPr="00B92563">
        <w:rPr>
          <w:rFonts w:ascii="Calibri" w:hAnsi="Calibri" w:cs="Calibri"/>
          <w:sz w:val="24"/>
        </w:rPr>
        <w:t>rozdílným jednotkovým cenám.</w:t>
      </w:r>
      <w:r w:rsidR="00FD1F06" w:rsidRPr="00B92563">
        <w:rPr>
          <w:rFonts w:ascii="Calibri" w:hAnsi="Calibri" w:cs="Calibri"/>
          <w:sz w:val="24"/>
        </w:rPr>
        <w:t xml:space="preserve"> </w:t>
      </w:r>
    </w:p>
    <w:p w14:paraId="1F8D3B1B" w14:textId="77777777" w:rsidR="003234CE" w:rsidRDefault="003234CE" w:rsidP="00B04223">
      <w:pPr>
        <w:rPr>
          <w:rFonts w:ascii="Calibri" w:hAnsi="Calibri" w:cs="Calibri"/>
          <w:sz w:val="24"/>
        </w:rPr>
      </w:pPr>
    </w:p>
    <w:p w14:paraId="4EFF953B" w14:textId="25DE1D11" w:rsidR="00260912" w:rsidRPr="00B92563" w:rsidRDefault="005875AA" w:rsidP="003234CE">
      <w:pPr>
        <w:rPr>
          <w:rFonts w:ascii="Calibri" w:hAnsi="Calibri" w:cs="Calibri"/>
          <w:sz w:val="24"/>
        </w:rPr>
      </w:pPr>
      <w:r w:rsidRPr="00B92563">
        <w:rPr>
          <w:rFonts w:ascii="Calibri" w:hAnsi="Calibri" w:cs="Calibri"/>
          <w:sz w:val="24"/>
        </w:rPr>
        <w:t>O</w:t>
      </w:r>
      <w:r w:rsidR="00B04223" w:rsidRPr="00B92563">
        <w:rPr>
          <w:rFonts w:ascii="Calibri" w:hAnsi="Calibri" w:cs="Calibri"/>
          <w:sz w:val="24"/>
        </w:rPr>
        <w:t>ptimalizac</w:t>
      </w:r>
      <w:r w:rsidR="00BA4465">
        <w:rPr>
          <w:rFonts w:ascii="Calibri" w:hAnsi="Calibri" w:cs="Calibri"/>
          <w:sz w:val="24"/>
        </w:rPr>
        <w:t xml:space="preserve">e </w:t>
      </w:r>
      <w:r w:rsidR="00B04223" w:rsidRPr="00B92563">
        <w:rPr>
          <w:rFonts w:ascii="Calibri" w:hAnsi="Calibri" w:cs="Calibri"/>
          <w:sz w:val="24"/>
        </w:rPr>
        <w:t xml:space="preserve">požadavků na předmět </w:t>
      </w:r>
      <w:r w:rsidR="00E722C2">
        <w:rPr>
          <w:rFonts w:ascii="Calibri" w:hAnsi="Calibri" w:cs="Calibri"/>
          <w:sz w:val="24"/>
        </w:rPr>
        <w:t xml:space="preserve">a objem </w:t>
      </w:r>
      <w:r w:rsidR="00B04223" w:rsidRPr="00B92563">
        <w:rPr>
          <w:rFonts w:ascii="Calibri" w:hAnsi="Calibri" w:cs="Calibri"/>
          <w:sz w:val="24"/>
        </w:rPr>
        <w:t xml:space="preserve">dodávek </w:t>
      </w:r>
      <w:r w:rsidR="00E722C2" w:rsidRPr="00B92563">
        <w:rPr>
          <w:rFonts w:ascii="Calibri" w:hAnsi="Calibri" w:cs="Calibri"/>
          <w:sz w:val="24"/>
        </w:rPr>
        <w:t xml:space="preserve">zásahového vybavení </w:t>
      </w:r>
      <w:r w:rsidR="00260912" w:rsidRPr="00DE4003">
        <w:rPr>
          <w:rFonts w:ascii="Calibri" w:hAnsi="Calibri" w:cs="Calibri"/>
          <w:sz w:val="24"/>
        </w:rPr>
        <w:t>umožn</w:t>
      </w:r>
      <w:r w:rsidR="0015130D" w:rsidRPr="00DE4003">
        <w:rPr>
          <w:rFonts w:ascii="Calibri" w:hAnsi="Calibri" w:cs="Calibri"/>
          <w:sz w:val="24"/>
        </w:rPr>
        <w:t>í</w:t>
      </w:r>
      <w:r w:rsidR="00260912" w:rsidRPr="00DE4003">
        <w:rPr>
          <w:rFonts w:ascii="Calibri" w:hAnsi="Calibri" w:cs="Calibri"/>
          <w:sz w:val="24"/>
        </w:rPr>
        <w:t xml:space="preserve"> zapojit</w:t>
      </w:r>
      <w:r w:rsidR="00260912" w:rsidRPr="00B92563">
        <w:rPr>
          <w:rFonts w:ascii="Calibri" w:hAnsi="Calibri" w:cs="Calibri"/>
          <w:sz w:val="24"/>
        </w:rPr>
        <w:t xml:space="preserve"> větší množství potenciálních dodavatelů, což </w:t>
      </w:r>
      <w:r w:rsidR="00BD0026" w:rsidRPr="00B92563">
        <w:rPr>
          <w:rFonts w:ascii="Calibri" w:hAnsi="Calibri" w:cs="Calibri"/>
          <w:sz w:val="24"/>
        </w:rPr>
        <w:t xml:space="preserve">by </w:t>
      </w:r>
      <w:r w:rsidR="00BA4465">
        <w:rPr>
          <w:rFonts w:ascii="Calibri" w:hAnsi="Calibri" w:cs="Calibri"/>
          <w:sz w:val="24"/>
        </w:rPr>
        <w:t xml:space="preserve">mohlo vést </w:t>
      </w:r>
      <w:r w:rsidR="00260912" w:rsidRPr="00B92563">
        <w:rPr>
          <w:rFonts w:ascii="Calibri" w:hAnsi="Calibri" w:cs="Calibri"/>
          <w:sz w:val="24"/>
        </w:rPr>
        <w:t>k větší konkurenci</w:t>
      </w:r>
      <w:r w:rsidR="00C44C9C" w:rsidRPr="00B92563">
        <w:rPr>
          <w:rFonts w:ascii="Calibri" w:hAnsi="Calibri" w:cs="Calibri"/>
          <w:sz w:val="24"/>
        </w:rPr>
        <w:t>,</w:t>
      </w:r>
      <w:r w:rsidR="00260912" w:rsidRPr="00B92563">
        <w:rPr>
          <w:rFonts w:ascii="Calibri" w:hAnsi="Calibri" w:cs="Calibri"/>
          <w:sz w:val="24"/>
        </w:rPr>
        <w:t xml:space="preserve"> a lze předpokládat</w:t>
      </w:r>
      <w:r w:rsidR="00BD0026" w:rsidRPr="00B92563">
        <w:rPr>
          <w:rFonts w:ascii="Calibri" w:hAnsi="Calibri" w:cs="Calibri"/>
          <w:sz w:val="24"/>
        </w:rPr>
        <w:t>,</w:t>
      </w:r>
      <w:r w:rsidR="00260912" w:rsidRPr="00B92563">
        <w:rPr>
          <w:rFonts w:ascii="Calibri" w:hAnsi="Calibri" w:cs="Calibri"/>
          <w:sz w:val="24"/>
        </w:rPr>
        <w:t xml:space="preserve"> </w:t>
      </w:r>
      <w:r w:rsidR="00BD0026" w:rsidRPr="00B92563">
        <w:rPr>
          <w:rFonts w:ascii="Calibri" w:hAnsi="Calibri" w:cs="Calibri"/>
          <w:sz w:val="24"/>
        </w:rPr>
        <w:t xml:space="preserve">že také </w:t>
      </w:r>
      <w:r w:rsidR="00AF3C8F">
        <w:rPr>
          <w:rFonts w:ascii="Calibri" w:hAnsi="Calibri" w:cs="Calibri"/>
          <w:sz w:val="24"/>
        </w:rPr>
        <w:t>k </w:t>
      </w:r>
      <w:r w:rsidR="00260912" w:rsidRPr="00B92563">
        <w:rPr>
          <w:rFonts w:ascii="Calibri" w:hAnsi="Calibri" w:cs="Calibri"/>
          <w:sz w:val="24"/>
        </w:rPr>
        <w:t xml:space="preserve">dosažení </w:t>
      </w:r>
      <w:r w:rsidR="00C44C9C" w:rsidRPr="00B92563">
        <w:rPr>
          <w:rFonts w:ascii="Calibri" w:hAnsi="Calibri" w:cs="Calibri"/>
          <w:sz w:val="24"/>
        </w:rPr>
        <w:t>nižších jednotkových</w:t>
      </w:r>
      <w:r w:rsidR="00260912" w:rsidRPr="00B92563">
        <w:rPr>
          <w:rFonts w:ascii="Calibri" w:hAnsi="Calibri" w:cs="Calibri"/>
          <w:sz w:val="24"/>
        </w:rPr>
        <w:t xml:space="preserve"> </w:t>
      </w:r>
      <w:r w:rsidR="00C44C9C" w:rsidRPr="00B92563">
        <w:rPr>
          <w:rFonts w:ascii="Calibri" w:hAnsi="Calibri" w:cs="Calibri"/>
          <w:sz w:val="24"/>
        </w:rPr>
        <w:t>cen</w:t>
      </w:r>
      <w:r w:rsidR="00260912" w:rsidRPr="00B92563">
        <w:rPr>
          <w:rFonts w:ascii="Calibri" w:hAnsi="Calibri" w:cs="Calibri"/>
          <w:sz w:val="24"/>
        </w:rPr>
        <w:t xml:space="preserve">. </w:t>
      </w:r>
    </w:p>
    <w:p w14:paraId="1E177DA9" w14:textId="77777777" w:rsidR="00CB7159" w:rsidRDefault="00CB7159" w:rsidP="00672949">
      <w:pPr>
        <w:rPr>
          <w:rFonts w:ascii="Calibri" w:hAnsi="Calibri" w:cs="Calibri"/>
          <w:sz w:val="24"/>
        </w:rPr>
      </w:pPr>
    </w:p>
    <w:p w14:paraId="094A692C" w14:textId="77777777" w:rsidR="00FD1F06" w:rsidRDefault="00FD1F06" w:rsidP="00672949">
      <w:pPr>
        <w:rPr>
          <w:rFonts w:ascii="Calibri" w:hAnsi="Calibri" w:cs="Calibri"/>
          <w:sz w:val="24"/>
        </w:rPr>
      </w:pPr>
    </w:p>
    <w:p w14:paraId="06B16EAA" w14:textId="77777777" w:rsidR="00FD1F06" w:rsidRDefault="00FD1F06" w:rsidP="00672949">
      <w:pPr>
        <w:rPr>
          <w:rFonts w:ascii="Calibri" w:hAnsi="Calibri" w:cs="Calibri"/>
          <w:sz w:val="24"/>
        </w:rPr>
      </w:pPr>
    </w:p>
    <w:p w14:paraId="6CF1591B" w14:textId="1757408C" w:rsidR="00EE7B34" w:rsidRPr="00FC7B9E" w:rsidRDefault="00EE7B34" w:rsidP="00EE7B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7B9E">
        <w:rPr>
          <w:rFonts w:asciiTheme="minorHAnsi" w:hAnsiTheme="minorHAnsi" w:cstheme="minorHAnsi"/>
          <w:b/>
          <w:sz w:val="28"/>
          <w:szCs w:val="28"/>
        </w:rPr>
        <w:t xml:space="preserve">IV. Informace ke zjištěným skutečnostem </w:t>
      </w:r>
    </w:p>
    <w:p w14:paraId="77B9775D" w14:textId="77777777" w:rsidR="00636EFE" w:rsidRDefault="00636EFE" w:rsidP="00636EFE">
      <w:pPr>
        <w:rPr>
          <w:rFonts w:asciiTheme="minorHAnsi" w:hAnsiTheme="minorHAnsi" w:cstheme="minorHAnsi"/>
          <w:b/>
          <w:bCs/>
          <w:sz w:val="24"/>
        </w:rPr>
      </w:pPr>
    </w:p>
    <w:p w14:paraId="6379BA89" w14:textId="1CA4BDE3" w:rsidR="00636EFE" w:rsidRDefault="00636EFE" w:rsidP="00DB5ADC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4"/>
        </w:rPr>
      </w:pPr>
      <w:r w:rsidRPr="003F1527">
        <w:rPr>
          <w:rFonts w:asciiTheme="minorHAnsi" w:hAnsiTheme="minorHAnsi" w:cstheme="minorHAnsi"/>
          <w:b/>
          <w:bCs/>
          <w:sz w:val="24"/>
        </w:rPr>
        <w:t>Prostředky z </w:t>
      </w:r>
      <w:r w:rsidR="00FC7B9E">
        <w:rPr>
          <w:rFonts w:asciiTheme="minorHAnsi" w:hAnsiTheme="minorHAnsi" w:cstheme="minorHAnsi"/>
          <w:b/>
          <w:bCs/>
          <w:sz w:val="24"/>
        </w:rPr>
        <w:t>FZŠ</w:t>
      </w:r>
      <w:r>
        <w:rPr>
          <w:rFonts w:asciiTheme="minorHAnsi" w:hAnsiTheme="minorHAnsi" w:cstheme="minorHAnsi"/>
          <w:b/>
          <w:bCs/>
          <w:sz w:val="24"/>
        </w:rPr>
        <w:t xml:space="preserve"> a p</w:t>
      </w:r>
      <w:r w:rsidRPr="00A41065">
        <w:rPr>
          <w:rFonts w:asciiTheme="minorHAnsi" w:hAnsiTheme="minorHAnsi" w:cstheme="minorHAnsi"/>
          <w:b/>
          <w:bCs/>
          <w:sz w:val="24"/>
        </w:rPr>
        <w:t>říjmy HZSK za zásahy prováděné u dopravních nehod</w:t>
      </w:r>
    </w:p>
    <w:p w14:paraId="51D545B5" w14:textId="77777777" w:rsidR="009937C0" w:rsidRDefault="009937C0" w:rsidP="009937C0">
      <w:pPr>
        <w:rPr>
          <w:rFonts w:asciiTheme="minorHAnsi" w:hAnsiTheme="minorHAnsi" w:cstheme="minorHAnsi"/>
          <w:sz w:val="24"/>
        </w:rPr>
      </w:pPr>
    </w:p>
    <w:p w14:paraId="00C94FAB" w14:textId="67BDE853" w:rsidR="004036FF" w:rsidRDefault="0005004F" w:rsidP="003234CE">
      <w:pPr>
        <w:rPr>
          <w:rFonts w:asciiTheme="minorHAnsi" w:hAnsiTheme="minorHAnsi" w:cstheme="minorHAnsi"/>
          <w:sz w:val="24"/>
        </w:rPr>
      </w:pPr>
      <w:r w:rsidRPr="0005004F">
        <w:rPr>
          <w:rFonts w:asciiTheme="minorHAnsi" w:hAnsiTheme="minorHAnsi" w:cstheme="minorHAnsi"/>
          <w:sz w:val="24"/>
        </w:rPr>
        <w:t xml:space="preserve">Na základě dlouhodobého </w:t>
      </w:r>
      <w:r w:rsidRPr="00DE4003">
        <w:rPr>
          <w:rFonts w:asciiTheme="minorHAnsi" w:hAnsiTheme="minorHAnsi" w:cstheme="minorHAnsi"/>
          <w:sz w:val="24"/>
        </w:rPr>
        <w:t xml:space="preserve">záměru využít pro </w:t>
      </w:r>
      <w:r w:rsidRPr="00B70C96">
        <w:rPr>
          <w:rFonts w:asciiTheme="minorHAnsi" w:hAnsiTheme="minorHAnsi" w:cstheme="minorHAnsi"/>
          <w:color w:val="000000" w:themeColor="text1"/>
          <w:sz w:val="24"/>
        </w:rPr>
        <w:t xml:space="preserve">financování jednotek požární ochrany určité procento </w:t>
      </w:r>
      <w:r w:rsidR="00AF3C8F">
        <w:rPr>
          <w:rFonts w:asciiTheme="minorHAnsi" w:hAnsiTheme="minorHAnsi" w:cstheme="minorHAnsi"/>
          <w:color w:val="000000" w:themeColor="text1"/>
          <w:sz w:val="24"/>
        </w:rPr>
        <w:t>z </w:t>
      </w:r>
      <w:r w:rsidRPr="00B70C96">
        <w:rPr>
          <w:rFonts w:asciiTheme="minorHAnsi" w:hAnsiTheme="minorHAnsi" w:cstheme="minorHAnsi"/>
          <w:color w:val="000000" w:themeColor="text1"/>
          <w:sz w:val="24"/>
        </w:rPr>
        <w:t>příjm</w:t>
      </w:r>
      <w:r w:rsidR="00DB5ADC">
        <w:rPr>
          <w:rFonts w:asciiTheme="minorHAnsi" w:hAnsiTheme="minorHAnsi" w:cstheme="minorHAnsi"/>
          <w:color w:val="000000" w:themeColor="text1"/>
          <w:sz w:val="24"/>
        </w:rPr>
        <w:t>ů</w:t>
      </w:r>
      <w:r w:rsidRPr="00B70C96">
        <w:rPr>
          <w:rFonts w:asciiTheme="minorHAnsi" w:hAnsiTheme="minorHAnsi" w:cstheme="minorHAnsi"/>
          <w:color w:val="000000" w:themeColor="text1"/>
          <w:sz w:val="24"/>
        </w:rPr>
        <w:t xml:space="preserve"> pojišťoven </w:t>
      </w:r>
      <w:r w:rsidR="00BA4465" w:rsidRPr="00B70C96">
        <w:rPr>
          <w:rFonts w:asciiTheme="minorHAnsi" w:hAnsiTheme="minorHAnsi" w:cstheme="minorHAnsi"/>
          <w:color w:val="000000" w:themeColor="text1"/>
          <w:sz w:val="24"/>
        </w:rPr>
        <w:t>předložila skupina poslanců</w:t>
      </w:r>
      <w:r w:rsidR="00BA4465" w:rsidRPr="00B70C96">
        <w:rPr>
          <w:rFonts w:asciiTheme="minorHAnsi" w:hAnsiTheme="minorHAnsi"/>
          <w:color w:val="000000" w:themeColor="text1"/>
          <w:sz w:val="24"/>
        </w:rPr>
        <w:t xml:space="preserve"> </w:t>
      </w:r>
      <w:r w:rsidRPr="00B70C96">
        <w:rPr>
          <w:rFonts w:asciiTheme="minorHAnsi" w:hAnsiTheme="minorHAnsi"/>
          <w:color w:val="000000" w:themeColor="text1"/>
          <w:sz w:val="24"/>
        </w:rPr>
        <w:t>v</w:t>
      </w:r>
      <w:r w:rsidR="00A31E6F" w:rsidRPr="00B70C96">
        <w:rPr>
          <w:rFonts w:asciiTheme="minorHAnsi" w:hAnsiTheme="minorHAnsi"/>
          <w:color w:val="000000" w:themeColor="text1"/>
          <w:sz w:val="24"/>
        </w:rPr>
        <w:t> </w:t>
      </w:r>
      <w:r w:rsidRPr="00B70C96">
        <w:rPr>
          <w:rFonts w:asciiTheme="minorHAnsi" w:hAnsiTheme="minorHAnsi"/>
          <w:color w:val="000000" w:themeColor="text1"/>
          <w:sz w:val="24"/>
        </w:rPr>
        <w:t>roce</w:t>
      </w:r>
      <w:r w:rsidR="00A31E6F" w:rsidRPr="00B70C96">
        <w:rPr>
          <w:rFonts w:asciiTheme="minorHAnsi" w:hAnsiTheme="minorHAnsi"/>
          <w:color w:val="000000" w:themeColor="text1"/>
          <w:sz w:val="24"/>
        </w:rPr>
        <w:t xml:space="preserve"> </w:t>
      </w:r>
      <w:r w:rsidRPr="00B70C96">
        <w:rPr>
          <w:rFonts w:asciiTheme="minorHAnsi" w:hAnsiTheme="minorHAnsi"/>
          <w:color w:val="000000" w:themeColor="text1"/>
          <w:sz w:val="24"/>
        </w:rPr>
        <w:t xml:space="preserve">2012 </w:t>
      </w:r>
      <w:r w:rsidR="00770493" w:rsidRPr="00B70C96">
        <w:rPr>
          <w:rFonts w:asciiTheme="minorHAnsi" w:hAnsiTheme="minorHAnsi" w:cstheme="minorHAnsi"/>
          <w:color w:val="000000" w:themeColor="text1"/>
          <w:sz w:val="24"/>
        </w:rPr>
        <w:t>další</w:t>
      </w:r>
      <w:r w:rsidR="00770493" w:rsidRPr="00B70C96">
        <w:rPr>
          <w:rFonts w:asciiTheme="minorHAnsi" w:hAnsiTheme="minorHAnsi"/>
          <w:color w:val="000000" w:themeColor="text1"/>
          <w:sz w:val="24"/>
        </w:rPr>
        <w:t xml:space="preserve"> </w:t>
      </w:r>
      <w:r w:rsidR="0015130D" w:rsidRPr="00B70C96">
        <w:rPr>
          <w:rFonts w:asciiTheme="minorHAnsi" w:hAnsiTheme="minorHAnsi"/>
          <w:color w:val="000000" w:themeColor="text1"/>
          <w:sz w:val="24"/>
        </w:rPr>
        <w:t xml:space="preserve">návrh </w:t>
      </w:r>
      <w:r w:rsidR="00F20ED6" w:rsidRPr="00B70C96">
        <w:rPr>
          <w:rFonts w:asciiTheme="minorHAnsi" w:hAnsiTheme="minorHAnsi" w:cstheme="minorHAnsi"/>
          <w:color w:val="000000" w:themeColor="text1"/>
          <w:sz w:val="24"/>
        </w:rPr>
        <w:t>právní úprav</w:t>
      </w:r>
      <w:r w:rsidR="0015130D" w:rsidRPr="00B70C96">
        <w:rPr>
          <w:rFonts w:asciiTheme="minorHAnsi" w:hAnsiTheme="minorHAnsi" w:cstheme="minorHAnsi"/>
          <w:color w:val="000000" w:themeColor="text1"/>
          <w:sz w:val="24"/>
        </w:rPr>
        <w:t>y</w:t>
      </w:r>
      <w:r w:rsidR="00F20ED6" w:rsidRPr="00B70C96">
        <w:rPr>
          <w:rFonts w:asciiTheme="minorHAnsi" w:hAnsiTheme="minorHAnsi" w:cstheme="minorHAnsi"/>
          <w:color w:val="000000" w:themeColor="text1"/>
          <w:sz w:val="24"/>
        </w:rPr>
        <w:t>, ve</w:t>
      </w:r>
      <w:r w:rsidR="003C5495" w:rsidRPr="00B70C96">
        <w:rPr>
          <w:rFonts w:asciiTheme="minorHAnsi" w:hAnsiTheme="minorHAnsi" w:cstheme="minorHAnsi"/>
          <w:color w:val="000000" w:themeColor="text1"/>
          <w:sz w:val="24"/>
        </w:rPr>
        <w:t xml:space="preserve"> kter</w:t>
      </w:r>
      <w:r w:rsidR="00F20ED6" w:rsidRPr="00B70C96">
        <w:rPr>
          <w:rFonts w:asciiTheme="minorHAnsi" w:hAnsiTheme="minorHAnsi" w:cstheme="minorHAnsi"/>
          <w:color w:val="000000" w:themeColor="text1"/>
          <w:sz w:val="24"/>
        </w:rPr>
        <w:t>é</w:t>
      </w:r>
      <w:r w:rsidR="0015130D" w:rsidRPr="00B70C96">
        <w:rPr>
          <w:rFonts w:asciiTheme="minorHAnsi" w:hAnsiTheme="minorHAnsi" w:cstheme="minorHAnsi"/>
          <w:color w:val="000000" w:themeColor="text1"/>
          <w:sz w:val="24"/>
        </w:rPr>
        <w:t>m</w:t>
      </w:r>
      <w:r w:rsidR="00F20ED6" w:rsidRPr="00B70C96">
        <w:rPr>
          <w:rFonts w:asciiTheme="minorHAnsi" w:hAnsiTheme="minorHAnsi" w:cstheme="minorHAnsi"/>
          <w:color w:val="000000" w:themeColor="text1"/>
          <w:sz w:val="24"/>
        </w:rPr>
        <w:t xml:space="preserve"> bylo navrženo</w:t>
      </w:r>
      <w:r w:rsidR="00A31E6F" w:rsidRPr="00B70C96">
        <w:rPr>
          <w:rFonts w:asciiTheme="minorHAnsi" w:hAnsiTheme="minorHAnsi" w:cstheme="minorHAnsi"/>
          <w:color w:val="000000" w:themeColor="text1"/>
          <w:sz w:val="24"/>
        </w:rPr>
        <w:t>,</w:t>
      </w:r>
      <w:r w:rsidRPr="00B70C96">
        <w:rPr>
          <w:rFonts w:asciiTheme="minorHAnsi" w:hAnsiTheme="minorHAnsi" w:cstheme="minorHAnsi"/>
          <w:color w:val="000000" w:themeColor="text1"/>
          <w:sz w:val="24"/>
        </w:rPr>
        <w:t xml:space="preserve"> že každá pojišťovna podnikající na území </w:t>
      </w:r>
      <w:r w:rsidR="007863AC" w:rsidRPr="00B70C96">
        <w:rPr>
          <w:rFonts w:asciiTheme="minorHAnsi" w:hAnsiTheme="minorHAnsi" w:cstheme="minorHAnsi"/>
          <w:color w:val="000000" w:themeColor="text1"/>
          <w:sz w:val="24"/>
        </w:rPr>
        <w:t>ČR</w:t>
      </w:r>
      <w:r w:rsidRPr="00B70C96">
        <w:rPr>
          <w:rFonts w:asciiTheme="minorHAnsi" w:hAnsiTheme="minorHAnsi" w:cstheme="minorHAnsi"/>
          <w:color w:val="000000" w:themeColor="text1"/>
          <w:sz w:val="24"/>
        </w:rPr>
        <w:t xml:space="preserve"> odvede </w:t>
      </w:r>
      <w:r w:rsidR="003C5495" w:rsidRPr="00B70C96">
        <w:rPr>
          <w:rFonts w:asciiTheme="minorHAnsi" w:hAnsiTheme="minorHAnsi" w:cstheme="minorHAnsi"/>
          <w:color w:val="000000" w:themeColor="text1"/>
          <w:sz w:val="24"/>
        </w:rPr>
        <w:t xml:space="preserve">na speciálně zřízený účet </w:t>
      </w:r>
      <w:r w:rsidRPr="00B70C96">
        <w:rPr>
          <w:rFonts w:asciiTheme="minorHAnsi" w:hAnsiTheme="minorHAnsi" w:cstheme="minorHAnsi"/>
          <w:color w:val="000000" w:themeColor="text1"/>
          <w:sz w:val="24"/>
        </w:rPr>
        <w:t>6</w:t>
      </w:r>
      <w:r w:rsidR="003C5495" w:rsidRPr="00B70C9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B70C96">
        <w:rPr>
          <w:rFonts w:asciiTheme="minorHAnsi" w:hAnsiTheme="minorHAnsi" w:cstheme="minorHAnsi"/>
          <w:color w:val="000000" w:themeColor="text1"/>
          <w:sz w:val="24"/>
        </w:rPr>
        <w:t xml:space="preserve">% </w:t>
      </w:r>
      <w:r w:rsidR="00AF3C8F">
        <w:rPr>
          <w:rFonts w:asciiTheme="minorHAnsi" w:hAnsiTheme="minorHAnsi" w:cstheme="minorHAnsi"/>
          <w:color w:val="000000" w:themeColor="text1"/>
          <w:sz w:val="24"/>
        </w:rPr>
        <w:t>z </w:t>
      </w:r>
      <w:r w:rsidRPr="00B70C96">
        <w:rPr>
          <w:rFonts w:asciiTheme="minorHAnsi" w:hAnsiTheme="minorHAnsi" w:cstheme="minorHAnsi"/>
          <w:color w:val="000000" w:themeColor="text1"/>
          <w:sz w:val="24"/>
        </w:rPr>
        <w:t xml:space="preserve">vybraného pojistného </w:t>
      </w:r>
      <w:r w:rsidR="00AF3C8F">
        <w:rPr>
          <w:rFonts w:asciiTheme="minorHAnsi" w:hAnsiTheme="minorHAnsi" w:cstheme="minorHAnsi"/>
          <w:color w:val="000000" w:themeColor="text1"/>
          <w:sz w:val="24"/>
        </w:rPr>
        <w:t>z </w:t>
      </w:r>
      <w:r w:rsidRPr="00B70C96">
        <w:rPr>
          <w:rFonts w:asciiTheme="minorHAnsi" w:hAnsiTheme="minorHAnsi" w:cstheme="minorHAnsi"/>
          <w:color w:val="000000" w:themeColor="text1"/>
          <w:sz w:val="24"/>
        </w:rPr>
        <w:t xml:space="preserve">pojištění odpovědnosti </w:t>
      </w:r>
      <w:r w:rsidR="00AF3C8F">
        <w:rPr>
          <w:rFonts w:asciiTheme="minorHAnsi" w:hAnsiTheme="minorHAnsi" w:cstheme="minorHAnsi"/>
          <w:sz w:val="24"/>
        </w:rPr>
        <w:t>z </w:t>
      </w:r>
      <w:r w:rsidRPr="0005004F">
        <w:rPr>
          <w:rFonts w:asciiTheme="minorHAnsi" w:hAnsiTheme="minorHAnsi" w:cstheme="minorHAnsi"/>
          <w:sz w:val="24"/>
        </w:rPr>
        <w:t>provozu vozidla</w:t>
      </w:r>
      <w:r w:rsidR="003C5495">
        <w:rPr>
          <w:rFonts w:asciiTheme="minorHAnsi" w:hAnsiTheme="minorHAnsi" w:cstheme="minorHAnsi"/>
          <w:sz w:val="24"/>
        </w:rPr>
        <w:t xml:space="preserve">. </w:t>
      </w:r>
      <w:r w:rsidR="00860B52">
        <w:rPr>
          <w:rFonts w:asciiTheme="minorHAnsi" w:hAnsiTheme="minorHAnsi" w:cstheme="minorHAnsi"/>
          <w:sz w:val="24"/>
        </w:rPr>
        <w:t xml:space="preserve">Jednotkám požární ochrany by se tak </w:t>
      </w:r>
      <w:r w:rsidR="005E2EA8">
        <w:rPr>
          <w:rFonts w:asciiTheme="minorHAnsi" w:hAnsiTheme="minorHAnsi" w:cstheme="minorHAnsi"/>
          <w:sz w:val="24"/>
        </w:rPr>
        <w:t xml:space="preserve">každý rok </w:t>
      </w:r>
      <w:r w:rsidR="00860B52">
        <w:rPr>
          <w:rFonts w:asciiTheme="minorHAnsi" w:hAnsiTheme="minorHAnsi" w:cstheme="minorHAnsi"/>
          <w:sz w:val="24"/>
        </w:rPr>
        <w:t xml:space="preserve">přerozdělovala částka převyšující </w:t>
      </w:r>
      <w:r w:rsidR="0015130D">
        <w:rPr>
          <w:rFonts w:asciiTheme="minorHAnsi" w:hAnsiTheme="minorHAnsi" w:cstheme="minorHAnsi"/>
          <w:sz w:val="24"/>
        </w:rPr>
        <w:t>1 </w:t>
      </w:r>
      <w:r w:rsidR="00860B52" w:rsidRPr="0005004F">
        <w:rPr>
          <w:rFonts w:asciiTheme="minorHAnsi" w:hAnsiTheme="minorHAnsi" w:cstheme="minorHAnsi"/>
          <w:sz w:val="24"/>
        </w:rPr>
        <w:t>mld.</w:t>
      </w:r>
      <w:r w:rsidR="00B92B7C">
        <w:rPr>
          <w:rFonts w:asciiTheme="minorHAnsi" w:hAnsiTheme="minorHAnsi" w:cstheme="minorHAnsi"/>
          <w:sz w:val="24"/>
        </w:rPr>
        <w:t> </w:t>
      </w:r>
      <w:r w:rsidR="00860B52" w:rsidRPr="0005004F">
        <w:rPr>
          <w:rFonts w:asciiTheme="minorHAnsi" w:hAnsiTheme="minorHAnsi" w:cstheme="minorHAnsi"/>
          <w:sz w:val="24"/>
        </w:rPr>
        <w:t>Kč</w:t>
      </w:r>
      <w:r w:rsidR="00860B52">
        <w:rPr>
          <w:rFonts w:asciiTheme="minorHAnsi" w:hAnsiTheme="minorHAnsi" w:cstheme="minorHAnsi"/>
          <w:sz w:val="24"/>
        </w:rPr>
        <w:t>.</w:t>
      </w:r>
      <w:r w:rsidR="00DB5ADC">
        <w:rPr>
          <w:rFonts w:asciiTheme="minorHAnsi" w:hAnsiTheme="minorHAnsi" w:cstheme="minorHAnsi"/>
          <w:sz w:val="24"/>
        </w:rPr>
        <w:t xml:space="preserve"> </w:t>
      </w:r>
      <w:r w:rsidR="00F20ED6">
        <w:rPr>
          <w:rFonts w:asciiTheme="minorHAnsi" w:hAnsiTheme="minorHAnsi" w:cstheme="minorHAnsi"/>
          <w:sz w:val="24"/>
        </w:rPr>
        <w:t xml:space="preserve">Tato úprava </w:t>
      </w:r>
      <w:r w:rsidR="004036FF" w:rsidRPr="004036FF">
        <w:rPr>
          <w:rFonts w:asciiTheme="minorHAnsi" w:hAnsiTheme="minorHAnsi" w:cstheme="minorHAnsi"/>
          <w:sz w:val="24"/>
        </w:rPr>
        <w:t>vycházel</w:t>
      </w:r>
      <w:r w:rsidR="00F20ED6">
        <w:rPr>
          <w:rFonts w:asciiTheme="minorHAnsi" w:hAnsiTheme="minorHAnsi" w:cstheme="minorHAnsi"/>
          <w:sz w:val="24"/>
        </w:rPr>
        <w:t>a</w:t>
      </w:r>
      <w:r w:rsidR="004036FF" w:rsidRPr="004036FF">
        <w:rPr>
          <w:rFonts w:asciiTheme="minorHAnsi" w:hAnsiTheme="minorHAnsi" w:cstheme="minorHAnsi"/>
          <w:sz w:val="24"/>
        </w:rPr>
        <w:t xml:space="preserve"> ze skutečnosti, že </w:t>
      </w:r>
      <w:r w:rsidR="00AF3C8F">
        <w:rPr>
          <w:rFonts w:asciiTheme="minorHAnsi" w:hAnsiTheme="minorHAnsi" w:cstheme="minorHAnsi"/>
          <w:sz w:val="24"/>
        </w:rPr>
        <w:t>v </w:t>
      </w:r>
      <w:r w:rsidR="004036FF" w:rsidRPr="004036FF">
        <w:rPr>
          <w:rFonts w:asciiTheme="minorHAnsi" w:hAnsiTheme="minorHAnsi" w:cstheme="minorHAnsi"/>
          <w:sz w:val="24"/>
        </w:rPr>
        <w:t xml:space="preserve">mnoha státech Evropy pojišťovny na činnost jednotek požární ochrany </w:t>
      </w:r>
      <w:r w:rsidR="004036FF">
        <w:rPr>
          <w:rFonts w:asciiTheme="minorHAnsi" w:hAnsiTheme="minorHAnsi" w:cstheme="minorHAnsi"/>
          <w:sz w:val="24"/>
        </w:rPr>
        <w:t>přispívají</w:t>
      </w:r>
      <w:r w:rsidR="00243E03">
        <w:rPr>
          <w:rFonts w:asciiTheme="minorHAnsi" w:hAnsiTheme="minorHAnsi" w:cstheme="minorHAnsi"/>
          <w:sz w:val="24"/>
        </w:rPr>
        <w:t>,</w:t>
      </w:r>
      <w:r w:rsidR="004036FF">
        <w:rPr>
          <w:rFonts w:asciiTheme="minorHAnsi" w:hAnsiTheme="minorHAnsi" w:cstheme="minorHAnsi"/>
          <w:sz w:val="24"/>
        </w:rPr>
        <w:t xml:space="preserve"> a </w:t>
      </w:r>
      <w:r w:rsidR="005E2EA8">
        <w:rPr>
          <w:rFonts w:asciiTheme="minorHAnsi" w:hAnsiTheme="minorHAnsi" w:cstheme="minorHAnsi"/>
          <w:sz w:val="24"/>
        </w:rPr>
        <w:t xml:space="preserve">dále </w:t>
      </w:r>
      <w:r w:rsidR="00AE163D">
        <w:rPr>
          <w:rFonts w:asciiTheme="minorHAnsi" w:hAnsiTheme="minorHAnsi" w:cstheme="minorHAnsi"/>
          <w:sz w:val="24"/>
        </w:rPr>
        <w:t>čerpal</w:t>
      </w:r>
      <w:r w:rsidR="0006394B">
        <w:rPr>
          <w:rFonts w:asciiTheme="minorHAnsi" w:hAnsiTheme="minorHAnsi" w:cstheme="minorHAnsi"/>
          <w:sz w:val="24"/>
        </w:rPr>
        <w:t>a</w:t>
      </w:r>
      <w:r w:rsidR="00AE163D">
        <w:rPr>
          <w:rFonts w:asciiTheme="minorHAnsi" w:hAnsiTheme="minorHAnsi" w:cstheme="minorHAnsi"/>
          <w:sz w:val="24"/>
        </w:rPr>
        <w:t xml:space="preserve"> </w:t>
      </w:r>
      <w:r w:rsidR="004036FF" w:rsidRPr="004036FF">
        <w:rPr>
          <w:rFonts w:asciiTheme="minorHAnsi" w:hAnsiTheme="minorHAnsi" w:cstheme="minorHAnsi"/>
          <w:sz w:val="24"/>
        </w:rPr>
        <w:t xml:space="preserve">ze slovenské právní úpravy, </w:t>
      </w:r>
      <w:r w:rsidR="00860B52">
        <w:rPr>
          <w:rFonts w:asciiTheme="minorHAnsi" w:hAnsiTheme="minorHAnsi" w:cstheme="minorHAnsi"/>
          <w:sz w:val="24"/>
        </w:rPr>
        <w:t xml:space="preserve">ve které je k těmto účelům již </w:t>
      </w:r>
      <w:r w:rsidR="00AE163D">
        <w:rPr>
          <w:rFonts w:asciiTheme="minorHAnsi" w:hAnsiTheme="minorHAnsi" w:cstheme="minorHAnsi"/>
          <w:sz w:val="24"/>
        </w:rPr>
        <w:t>od roku 2008</w:t>
      </w:r>
      <w:r w:rsidR="00860B52">
        <w:rPr>
          <w:rFonts w:asciiTheme="minorHAnsi" w:hAnsiTheme="minorHAnsi" w:cstheme="minorHAnsi"/>
          <w:sz w:val="24"/>
        </w:rPr>
        <w:t xml:space="preserve"> pojišťovnám</w:t>
      </w:r>
      <w:r w:rsidR="00AE163D" w:rsidRPr="004036FF">
        <w:rPr>
          <w:rFonts w:asciiTheme="minorHAnsi" w:hAnsiTheme="minorHAnsi" w:cstheme="minorHAnsi"/>
          <w:sz w:val="24"/>
        </w:rPr>
        <w:t xml:space="preserve"> </w:t>
      </w:r>
      <w:r w:rsidR="00860B52">
        <w:rPr>
          <w:rFonts w:asciiTheme="minorHAnsi" w:hAnsiTheme="minorHAnsi" w:cstheme="minorHAnsi"/>
          <w:sz w:val="24"/>
        </w:rPr>
        <w:t>stanovena povinnost odvádět</w:t>
      </w:r>
      <w:r w:rsidR="00AE163D">
        <w:rPr>
          <w:rFonts w:asciiTheme="minorHAnsi" w:hAnsiTheme="minorHAnsi" w:cstheme="minorHAnsi"/>
          <w:sz w:val="24"/>
        </w:rPr>
        <w:t xml:space="preserve"> 8 % z přijatého pojistného. </w:t>
      </w:r>
    </w:p>
    <w:p w14:paraId="7F26F397" w14:textId="77777777" w:rsidR="003234CE" w:rsidRDefault="003234CE" w:rsidP="003234CE">
      <w:pPr>
        <w:rPr>
          <w:rFonts w:asciiTheme="minorHAnsi" w:hAnsiTheme="minorHAnsi" w:cstheme="minorHAnsi"/>
          <w:sz w:val="24"/>
        </w:rPr>
      </w:pPr>
    </w:p>
    <w:p w14:paraId="053E4E59" w14:textId="6F018871" w:rsidR="009375A1" w:rsidRDefault="003C5495" w:rsidP="003234C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Vláda </w:t>
      </w:r>
      <w:r w:rsidR="00B92B7C">
        <w:rPr>
          <w:rFonts w:asciiTheme="minorHAnsi" w:hAnsiTheme="minorHAnsi" w:cstheme="minorHAnsi"/>
          <w:sz w:val="24"/>
        </w:rPr>
        <w:t xml:space="preserve">však </w:t>
      </w:r>
      <w:r>
        <w:rPr>
          <w:rFonts w:asciiTheme="minorHAnsi" w:hAnsiTheme="minorHAnsi" w:cstheme="minorHAnsi"/>
          <w:sz w:val="24"/>
        </w:rPr>
        <w:t xml:space="preserve">tento návrh </w:t>
      </w:r>
      <w:r w:rsidR="008C79A1">
        <w:rPr>
          <w:rFonts w:asciiTheme="minorHAnsi" w:hAnsiTheme="minorHAnsi" w:cstheme="minorHAnsi"/>
          <w:sz w:val="24"/>
        </w:rPr>
        <w:t>ne</w:t>
      </w:r>
      <w:r w:rsidR="00BF7DBC">
        <w:rPr>
          <w:rFonts w:asciiTheme="minorHAnsi" w:hAnsiTheme="minorHAnsi" w:cstheme="minorHAnsi"/>
          <w:sz w:val="24"/>
        </w:rPr>
        <w:t>schválila</w:t>
      </w:r>
      <w:r w:rsidR="008C79A1">
        <w:rPr>
          <w:rFonts w:asciiTheme="minorHAnsi" w:hAnsiTheme="minorHAnsi" w:cstheme="minorHAnsi"/>
          <w:sz w:val="24"/>
        </w:rPr>
        <w:t>, mj. pro</w:t>
      </w:r>
      <w:r w:rsidR="005E2EA8">
        <w:rPr>
          <w:rFonts w:asciiTheme="minorHAnsi" w:hAnsiTheme="minorHAnsi" w:cstheme="minorHAnsi"/>
          <w:sz w:val="24"/>
        </w:rPr>
        <w:t xml:space="preserve">to, že v důvodové zprávě </w:t>
      </w:r>
      <w:r w:rsidR="003C0344">
        <w:rPr>
          <w:rFonts w:asciiTheme="minorHAnsi" w:hAnsiTheme="minorHAnsi" w:cstheme="minorHAnsi"/>
          <w:sz w:val="24"/>
        </w:rPr>
        <w:t>nebyla dostatečně d</w:t>
      </w:r>
      <w:r w:rsidR="008C79A1">
        <w:rPr>
          <w:rFonts w:asciiTheme="minorHAnsi" w:hAnsiTheme="minorHAnsi" w:cstheme="minorHAnsi"/>
          <w:sz w:val="24"/>
        </w:rPr>
        <w:t>oložen</w:t>
      </w:r>
      <w:r w:rsidR="003C0344">
        <w:rPr>
          <w:rFonts w:asciiTheme="minorHAnsi" w:hAnsiTheme="minorHAnsi" w:cstheme="minorHAnsi"/>
          <w:sz w:val="24"/>
        </w:rPr>
        <w:t>a</w:t>
      </w:r>
      <w:r w:rsidR="008C79A1">
        <w:rPr>
          <w:rFonts w:asciiTheme="minorHAnsi" w:hAnsiTheme="minorHAnsi" w:cstheme="minorHAnsi"/>
          <w:sz w:val="24"/>
        </w:rPr>
        <w:t xml:space="preserve"> opodstatněnost </w:t>
      </w:r>
      <w:r w:rsidRPr="003C5495">
        <w:rPr>
          <w:rFonts w:asciiTheme="minorHAnsi" w:hAnsiTheme="minorHAnsi" w:cstheme="minorHAnsi"/>
          <w:sz w:val="24"/>
        </w:rPr>
        <w:t xml:space="preserve">odvodu ve výši 6 % </w:t>
      </w:r>
      <w:r w:rsidR="00AF3C8F">
        <w:rPr>
          <w:rFonts w:asciiTheme="minorHAnsi" w:hAnsiTheme="minorHAnsi" w:cstheme="minorHAnsi"/>
          <w:sz w:val="24"/>
        </w:rPr>
        <w:t>z </w:t>
      </w:r>
      <w:r w:rsidRPr="003C5495">
        <w:rPr>
          <w:rFonts w:asciiTheme="minorHAnsi" w:hAnsiTheme="minorHAnsi" w:cstheme="minorHAnsi"/>
          <w:sz w:val="24"/>
        </w:rPr>
        <w:t>vybraného pojistného</w:t>
      </w:r>
      <w:r w:rsidR="008C79A1">
        <w:rPr>
          <w:rFonts w:asciiTheme="minorHAnsi" w:hAnsiTheme="minorHAnsi" w:cstheme="minorHAnsi"/>
          <w:sz w:val="24"/>
        </w:rPr>
        <w:t xml:space="preserve">. </w:t>
      </w:r>
    </w:p>
    <w:p w14:paraId="145BD840" w14:textId="77777777" w:rsidR="003234CE" w:rsidRDefault="003234CE" w:rsidP="003234CE">
      <w:pPr>
        <w:rPr>
          <w:rFonts w:asciiTheme="minorHAnsi" w:hAnsiTheme="minorHAnsi" w:cstheme="minorHAnsi"/>
          <w:sz w:val="24"/>
        </w:rPr>
      </w:pPr>
    </w:p>
    <w:p w14:paraId="376CEAB6" w14:textId="20B1FC98" w:rsidR="0005004F" w:rsidRDefault="00953854" w:rsidP="003234CE">
      <w:pPr>
        <w:rPr>
          <w:rFonts w:asciiTheme="minorHAnsi" w:hAnsiTheme="minorHAnsi" w:cstheme="minorHAnsi"/>
          <w:sz w:val="24"/>
        </w:rPr>
      </w:pPr>
      <w:r w:rsidRPr="00CF5520">
        <w:rPr>
          <w:rFonts w:asciiTheme="minorHAnsi" w:hAnsiTheme="minorHAnsi" w:cstheme="minorHAnsi"/>
          <w:sz w:val="24"/>
        </w:rPr>
        <w:lastRenderedPageBreak/>
        <w:t>Po neschválení předchozích návrhů</w:t>
      </w:r>
      <w:r w:rsidRPr="00CF5520">
        <w:rPr>
          <w:rFonts w:asciiTheme="minorHAnsi" w:hAnsiTheme="minorHAnsi"/>
          <w:sz w:val="24"/>
        </w:rPr>
        <w:t xml:space="preserve"> byl v roce </w:t>
      </w:r>
      <w:r w:rsidRPr="00CF5520">
        <w:rPr>
          <w:rFonts w:asciiTheme="minorHAnsi" w:hAnsiTheme="minorHAnsi" w:cstheme="minorHAnsi"/>
          <w:sz w:val="24"/>
        </w:rPr>
        <w:t>2</w:t>
      </w:r>
      <w:r w:rsidR="008C79A1" w:rsidRPr="00CF5520">
        <w:rPr>
          <w:rFonts w:asciiTheme="minorHAnsi" w:hAnsiTheme="minorHAnsi" w:cstheme="minorHAnsi"/>
          <w:sz w:val="24"/>
        </w:rPr>
        <w:t>013 předložen komplexní pozměňovací návrh</w:t>
      </w:r>
      <w:r w:rsidR="003105D0" w:rsidRPr="00CF5520">
        <w:rPr>
          <w:rStyle w:val="Znakapoznpodarou"/>
          <w:rFonts w:asciiTheme="minorHAnsi" w:hAnsiTheme="minorHAnsi" w:cstheme="minorHAnsi"/>
          <w:sz w:val="24"/>
        </w:rPr>
        <w:footnoteReference w:id="8"/>
      </w:r>
      <w:r w:rsidR="008C79A1" w:rsidRPr="00CF5520">
        <w:rPr>
          <w:rFonts w:asciiTheme="minorHAnsi" w:hAnsiTheme="minorHAnsi" w:cstheme="minorHAnsi"/>
          <w:sz w:val="24"/>
        </w:rPr>
        <w:t xml:space="preserve">, </w:t>
      </w:r>
      <w:r w:rsidR="001E7352" w:rsidRPr="00CF5520">
        <w:rPr>
          <w:rFonts w:asciiTheme="minorHAnsi" w:hAnsiTheme="minorHAnsi" w:cstheme="minorHAnsi"/>
          <w:sz w:val="24"/>
        </w:rPr>
        <w:t xml:space="preserve">ve kterém </w:t>
      </w:r>
      <w:r w:rsidR="006607BD" w:rsidRPr="00CF5520">
        <w:rPr>
          <w:rFonts w:asciiTheme="minorHAnsi" w:hAnsiTheme="minorHAnsi" w:cstheme="minorHAnsi"/>
          <w:sz w:val="24"/>
        </w:rPr>
        <w:t xml:space="preserve">byl </w:t>
      </w:r>
      <w:r w:rsidR="006607BD" w:rsidRPr="00B70C96">
        <w:rPr>
          <w:rFonts w:asciiTheme="minorHAnsi" w:hAnsiTheme="minorHAnsi" w:cstheme="minorHAnsi"/>
          <w:color w:val="000000" w:themeColor="text1"/>
          <w:sz w:val="24"/>
        </w:rPr>
        <w:t xml:space="preserve">pojišťovnám </w:t>
      </w:r>
      <w:r w:rsidR="006C0773" w:rsidRPr="00B70C96">
        <w:rPr>
          <w:rFonts w:asciiTheme="minorHAnsi" w:hAnsiTheme="minorHAnsi" w:cstheme="minorHAnsi"/>
          <w:color w:val="000000" w:themeColor="text1"/>
          <w:sz w:val="24"/>
        </w:rPr>
        <w:t xml:space="preserve">navržen nižší </w:t>
      </w:r>
      <w:r w:rsidR="006607BD" w:rsidRPr="00B70C96">
        <w:rPr>
          <w:rFonts w:asciiTheme="minorHAnsi" w:hAnsiTheme="minorHAnsi" w:cstheme="minorHAnsi"/>
          <w:color w:val="000000" w:themeColor="text1"/>
          <w:sz w:val="24"/>
        </w:rPr>
        <w:t xml:space="preserve">odvod do </w:t>
      </w:r>
      <w:r w:rsidR="001E7352" w:rsidRPr="00B70C96">
        <w:rPr>
          <w:rFonts w:asciiTheme="minorHAnsi" w:hAnsiTheme="minorHAnsi" w:cstheme="minorHAnsi"/>
          <w:color w:val="000000" w:themeColor="text1"/>
          <w:sz w:val="24"/>
        </w:rPr>
        <w:t xml:space="preserve">fondu zábrany škod </w:t>
      </w:r>
      <w:r w:rsidR="006C0773" w:rsidRPr="00B70C96">
        <w:rPr>
          <w:rFonts w:asciiTheme="minorHAnsi" w:hAnsiTheme="minorHAnsi" w:cstheme="minorHAnsi"/>
          <w:color w:val="000000" w:themeColor="text1"/>
          <w:sz w:val="24"/>
        </w:rPr>
        <w:t xml:space="preserve">a nově </w:t>
      </w:r>
      <w:r w:rsidR="006607BD" w:rsidRPr="00B70C96">
        <w:rPr>
          <w:rFonts w:asciiTheme="minorHAnsi" w:hAnsiTheme="minorHAnsi" w:cstheme="minorHAnsi"/>
          <w:color w:val="000000" w:themeColor="text1"/>
          <w:sz w:val="24"/>
        </w:rPr>
        <w:t xml:space="preserve">navržena </w:t>
      </w:r>
      <w:r w:rsidR="006607BD" w:rsidRPr="003C368C">
        <w:rPr>
          <w:rFonts w:asciiTheme="minorHAnsi" w:hAnsiTheme="minorHAnsi" w:cstheme="minorHAnsi"/>
          <w:sz w:val="24"/>
        </w:rPr>
        <w:t xml:space="preserve">povinnost uhradit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="006607BD" w:rsidRPr="003C368C">
        <w:rPr>
          <w:rFonts w:asciiTheme="minorHAnsi" w:hAnsiTheme="minorHAnsi" w:cstheme="minorHAnsi"/>
          <w:sz w:val="24"/>
        </w:rPr>
        <w:t>náklady za zásahy jednotek</w:t>
      </w:r>
      <w:r w:rsidR="00A63821">
        <w:rPr>
          <w:rFonts w:asciiTheme="minorHAnsi" w:hAnsiTheme="minorHAnsi" w:cstheme="minorHAnsi"/>
          <w:sz w:val="24"/>
        </w:rPr>
        <w:t xml:space="preserve"> hasičských záchranných sborů u </w:t>
      </w:r>
      <w:r w:rsidR="006607BD" w:rsidRPr="003C368C">
        <w:rPr>
          <w:rFonts w:asciiTheme="minorHAnsi" w:hAnsiTheme="minorHAnsi" w:cstheme="minorHAnsi"/>
          <w:sz w:val="24"/>
        </w:rPr>
        <w:t>dopravních nehod.</w:t>
      </w:r>
      <w:r w:rsidR="00B70C96">
        <w:rPr>
          <w:rFonts w:asciiTheme="minorHAnsi" w:hAnsiTheme="minorHAnsi" w:cstheme="minorHAnsi"/>
          <w:sz w:val="24"/>
        </w:rPr>
        <w:t xml:space="preserve"> </w:t>
      </w:r>
      <w:r w:rsidR="001E7352">
        <w:rPr>
          <w:rFonts w:asciiTheme="minorHAnsi" w:hAnsiTheme="minorHAnsi" w:cstheme="minorHAnsi"/>
          <w:sz w:val="24"/>
        </w:rPr>
        <w:t>N</w:t>
      </w:r>
      <w:r w:rsidR="008C79A1">
        <w:rPr>
          <w:rFonts w:asciiTheme="minorHAnsi" w:hAnsiTheme="minorHAnsi" w:cstheme="minorHAnsi"/>
          <w:sz w:val="24"/>
        </w:rPr>
        <w:t xml:space="preserve">a základě </w:t>
      </w:r>
      <w:r w:rsidR="001E7352">
        <w:rPr>
          <w:rFonts w:asciiTheme="minorHAnsi" w:hAnsiTheme="minorHAnsi" w:cstheme="minorHAnsi"/>
          <w:sz w:val="24"/>
        </w:rPr>
        <w:t xml:space="preserve">tohoto pozměňovacího poslaneckého návrhu </w:t>
      </w:r>
      <w:r w:rsidR="008C79A1">
        <w:rPr>
          <w:rFonts w:asciiTheme="minorHAnsi" w:hAnsiTheme="minorHAnsi" w:cstheme="minorHAnsi"/>
          <w:sz w:val="24"/>
        </w:rPr>
        <w:t>b</w:t>
      </w:r>
      <w:r w:rsidR="008C79A1" w:rsidRPr="008C79A1">
        <w:rPr>
          <w:rFonts w:asciiTheme="minorHAnsi" w:hAnsiTheme="minorHAnsi" w:cstheme="minorHAnsi"/>
          <w:sz w:val="24"/>
        </w:rPr>
        <w:t xml:space="preserve">yl </w:t>
      </w:r>
      <w:r w:rsidR="00AF3C8F">
        <w:rPr>
          <w:rFonts w:asciiTheme="minorHAnsi" w:hAnsiTheme="minorHAnsi" w:cstheme="minorHAnsi"/>
          <w:sz w:val="24"/>
        </w:rPr>
        <w:t>s </w:t>
      </w:r>
      <w:r w:rsidR="006C0773">
        <w:rPr>
          <w:rFonts w:asciiTheme="minorHAnsi" w:hAnsiTheme="minorHAnsi" w:cstheme="minorHAnsi"/>
          <w:sz w:val="24"/>
        </w:rPr>
        <w:t>účinností od 1. 9. 2013 novelizován</w:t>
      </w:r>
      <w:r w:rsidR="008C79A1" w:rsidRPr="008C79A1">
        <w:rPr>
          <w:rFonts w:asciiTheme="minorHAnsi" w:hAnsiTheme="minorHAnsi" w:cstheme="minorHAnsi"/>
          <w:sz w:val="24"/>
        </w:rPr>
        <w:t xml:space="preserve"> zákon</w:t>
      </w:r>
      <w:r w:rsidR="008C79A1">
        <w:rPr>
          <w:rFonts w:asciiTheme="minorHAnsi" w:hAnsiTheme="minorHAnsi" w:cstheme="minorHAnsi"/>
          <w:sz w:val="24"/>
        </w:rPr>
        <w:t xml:space="preserve"> č</w:t>
      </w:r>
      <w:r w:rsidR="003C0344">
        <w:rPr>
          <w:rFonts w:asciiTheme="minorHAnsi" w:hAnsiTheme="minorHAnsi" w:cstheme="minorHAnsi"/>
          <w:sz w:val="24"/>
        </w:rPr>
        <w:t>. </w:t>
      </w:r>
      <w:r w:rsidR="008C79A1">
        <w:rPr>
          <w:rFonts w:asciiTheme="minorHAnsi" w:hAnsiTheme="minorHAnsi" w:cstheme="minorHAnsi"/>
          <w:sz w:val="24"/>
        </w:rPr>
        <w:t xml:space="preserve">168/1999 Sb. a </w:t>
      </w:r>
      <w:r w:rsidR="00A15CFE">
        <w:rPr>
          <w:rFonts w:asciiTheme="minorHAnsi" w:hAnsiTheme="minorHAnsi" w:cstheme="minorHAnsi"/>
          <w:sz w:val="24"/>
        </w:rPr>
        <w:t>zákon č. </w:t>
      </w:r>
      <w:r w:rsidR="008C79A1">
        <w:rPr>
          <w:rFonts w:asciiTheme="minorHAnsi" w:hAnsiTheme="minorHAnsi" w:cstheme="minorHAnsi"/>
          <w:sz w:val="24"/>
        </w:rPr>
        <w:t>238/2000 Sb.</w:t>
      </w:r>
    </w:p>
    <w:p w14:paraId="6A002BB9" w14:textId="77777777" w:rsidR="008C79A1" w:rsidRDefault="008C79A1" w:rsidP="00636EFE">
      <w:pPr>
        <w:rPr>
          <w:rFonts w:asciiTheme="minorHAnsi" w:hAnsiTheme="minorHAnsi" w:cstheme="minorHAnsi"/>
          <w:sz w:val="24"/>
        </w:rPr>
      </w:pPr>
    </w:p>
    <w:p w14:paraId="48E8D8A6" w14:textId="3DFCC4EC" w:rsidR="00CE1078" w:rsidRPr="00CE1078" w:rsidRDefault="00CE1078" w:rsidP="00860B52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sz w:val="24"/>
        </w:rPr>
      </w:pPr>
      <w:r w:rsidRPr="00CE1078">
        <w:rPr>
          <w:rFonts w:asciiTheme="minorHAnsi" w:hAnsiTheme="minorHAnsi" w:cstheme="minorHAnsi"/>
          <w:b/>
          <w:sz w:val="24"/>
        </w:rPr>
        <w:t>Fond zábrany škod</w:t>
      </w:r>
    </w:p>
    <w:p w14:paraId="557D67BE" w14:textId="7B86B701" w:rsidR="00CE1078" w:rsidRDefault="00636EFE" w:rsidP="00DF4C20">
      <w:pPr>
        <w:spacing w:before="120"/>
        <w:rPr>
          <w:rFonts w:asciiTheme="minorHAnsi" w:eastAsiaTheme="minorHAnsi" w:hAnsiTheme="minorHAnsi" w:cstheme="minorHAnsi"/>
          <w:sz w:val="24"/>
        </w:rPr>
      </w:pPr>
      <w:r w:rsidRPr="00CE1078">
        <w:rPr>
          <w:rFonts w:asciiTheme="minorHAnsi" w:hAnsiTheme="minorHAnsi" w:cstheme="minorHAnsi"/>
          <w:sz w:val="24"/>
        </w:rPr>
        <w:t xml:space="preserve">Novelou zákona č. 168/1999 Sb. byl zřízen </w:t>
      </w:r>
      <w:r w:rsidR="00CE1078" w:rsidRPr="00CE1078">
        <w:rPr>
          <w:rFonts w:asciiTheme="minorHAnsi" w:hAnsiTheme="minorHAnsi" w:cstheme="minorHAnsi"/>
          <w:sz w:val="24"/>
        </w:rPr>
        <w:t>FZŠ</w:t>
      </w:r>
      <w:r w:rsidRPr="00CE1078">
        <w:rPr>
          <w:rFonts w:asciiTheme="minorHAnsi" w:hAnsiTheme="minorHAnsi" w:cstheme="minorHAnsi"/>
          <w:sz w:val="24"/>
        </w:rPr>
        <w:t xml:space="preserve">, který má být použit pro zábranu škod vznikajících provozem vozidel. Členové </w:t>
      </w:r>
      <w:r w:rsidR="00243E03" w:rsidRPr="00A41065">
        <w:rPr>
          <w:rFonts w:asciiTheme="minorHAnsi" w:hAnsiTheme="minorHAnsi" w:cstheme="minorHAnsi"/>
          <w:sz w:val="24"/>
        </w:rPr>
        <w:t>České kancelář</w:t>
      </w:r>
      <w:r w:rsidR="00243E03">
        <w:rPr>
          <w:rFonts w:asciiTheme="minorHAnsi" w:hAnsiTheme="minorHAnsi" w:cstheme="minorHAnsi"/>
          <w:sz w:val="24"/>
        </w:rPr>
        <w:t>e</w:t>
      </w:r>
      <w:r w:rsidR="00243E03" w:rsidRPr="00A41065">
        <w:rPr>
          <w:rFonts w:asciiTheme="minorHAnsi" w:hAnsiTheme="minorHAnsi" w:cstheme="minorHAnsi"/>
          <w:sz w:val="24"/>
        </w:rPr>
        <w:t xml:space="preserve"> pojistitelů (dále také „ČKP“) </w:t>
      </w:r>
      <w:r w:rsidRPr="00CE1078">
        <w:rPr>
          <w:rFonts w:asciiTheme="minorHAnsi" w:hAnsiTheme="minorHAnsi" w:cstheme="minorHAnsi"/>
          <w:sz w:val="24"/>
        </w:rPr>
        <w:t xml:space="preserve">jsou povinni od 1. 1. 2014 odvádět do FZŠ nejméně 3 % </w:t>
      </w:r>
      <w:r w:rsidR="00AF3C8F">
        <w:rPr>
          <w:rFonts w:asciiTheme="minorHAnsi" w:hAnsiTheme="minorHAnsi" w:cstheme="minorHAnsi"/>
          <w:sz w:val="24"/>
        </w:rPr>
        <w:t>z </w:t>
      </w:r>
      <w:r w:rsidRPr="00CE1078">
        <w:rPr>
          <w:rFonts w:asciiTheme="minorHAnsi" w:hAnsiTheme="minorHAnsi" w:cstheme="minorHAnsi"/>
          <w:sz w:val="24"/>
        </w:rPr>
        <w:t xml:space="preserve">přijatého pojistného </w:t>
      </w:r>
      <w:r w:rsidR="00AF3C8F">
        <w:rPr>
          <w:rFonts w:asciiTheme="minorHAnsi" w:hAnsiTheme="minorHAnsi" w:cstheme="minorHAnsi"/>
          <w:sz w:val="24"/>
        </w:rPr>
        <w:t>z </w:t>
      </w:r>
      <w:r w:rsidRPr="00CE1078">
        <w:rPr>
          <w:rFonts w:asciiTheme="minorHAnsi" w:hAnsiTheme="minorHAnsi" w:cstheme="minorHAnsi"/>
          <w:sz w:val="24"/>
        </w:rPr>
        <w:t xml:space="preserve">pojištění odpovědnosti z provozu vozidla za každý kalendářní rok. </w:t>
      </w:r>
      <w:r w:rsidR="00AF3C8F">
        <w:rPr>
          <w:rFonts w:asciiTheme="minorHAnsi" w:hAnsiTheme="minorHAnsi" w:cstheme="minorHAnsi"/>
          <w:sz w:val="24"/>
        </w:rPr>
        <w:t>Z </w:t>
      </w:r>
      <w:r w:rsidRPr="002B5323">
        <w:rPr>
          <w:rFonts w:asciiTheme="minorHAnsi" w:hAnsiTheme="minorHAnsi" w:cstheme="minorHAnsi"/>
          <w:sz w:val="24"/>
        </w:rPr>
        <w:t xml:space="preserve">prostředků FZŠ </w:t>
      </w:r>
      <w:r>
        <w:rPr>
          <w:rFonts w:asciiTheme="minorHAnsi" w:hAnsiTheme="minorHAnsi" w:cstheme="minorHAnsi"/>
          <w:sz w:val="24"/>
        </w:rPr>
        <w:t xml:space="preserve">má být poskytováno </w:t>
      </w:r>
      <w:r w:rsidRPr="002B5323">
        <w:rPr>
          <w:rFonts w:asciiTheme="minorHAnsi" w:hAnsiTheme="minorHAnsi" w:cstheme="minorHAnsi"/>
          <w:sz w:val="24"/>
        </w:rPr>
        <w:t xml:space="preserve">nejméně 60 %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Pr="002B5323">
        <w:rPr>
          <w:rFonts w:asciiTheme="minorHAnsi" w:hAnsiTheme="minorHAnsi" w:cstheme="minorHAnsi"/>
          <w:sz w:val="24"/>
        </w:rPr>
        <w:t xml:space="preserve">a </w:t>
      </w:r>
      <w:r w:rsidR="00AF3C8F">
        <w:rPr>
          <w:rFonts w:asciiTheme="minorHAnsi" w:hAnsiTheme="minorHAnsi" w:cstheme="minorHAnsi"/>
          <w:sz w:val="24"/>
        </w:rPr>
        <w:t>z </w:t>
      </w:r>
      <w:r w:rsidRPr="002B5323">
        <w:rPr>
          <w:rFonts w:asciiTheme="minorHAnsi" w:hAnsiTheme="minorHAnsi" w:cstheme="minorHAnsi"/>
          <w:sz w:val="24"/>
        </w:rPr>
        <w:t>toho nejméně 20 % jednotkám sbor</w:t>
      </w:r>
      <w:r w:rsidR="0080750D">
        <w:rPr>
          <w:rFonts w:asciiTheme="minorHAnsi" w:hAnsiTheme="minorHAnsi" w:cstheme="minorHAnsi"/>
          <w:sz w:val="24"/>
        </w:rPr>
        <w:t>u</w:t>
      </w:r>
      <w:r w:rsidRPr="002B5323">
        <w:rPr>
          <w:rFonts w:asciiTheme="minorHAnsi" w:hAnsiTheme="minorHAnsi" w:cstheme="minorHAnsi"/>
          <w:sz w:val="24"/>
        </w:rPr>
        <w:t xml:space="preserve"> dobrovolných hasičů obcí.</w:t>
      </w:r>
      <w:r>
        <w:rPr>
          <w:rFonts w:asciiTheme="minorHAnsi" w:hAnsiTheme="minorHAnsi" w:cstheme="minorHAnsi"/>
          <w:sz w:val="24"/>
        </w:rPr>
        <w:t xml:space="preserve"> </w:t>
      </w:r>
      <w:r w:rsidR="00B70C96">
        <w:rPr>
          <w:rFonts w:asciiTheme="minorHAnsi" w:hAnsiTheme="minorHAnsi" w:cstheme="minorHAnsi"/>
          <w:sz w:val="24"/>
        </w:rPr>
        <w:t>V </w:t>
      </w:r>
      <w:r w:rsidR="00CC3179">
        <w:rPr>
          <w:rFonts w:asciiTheme="minorHAnsi" w:hAnsiTheme="minorHAnsi" w:cstheme="minorHAnsi"/>
          <w:sz w:val="24"/>
        </w:rPr>
        <w:t>d</w:t>
      </w:r>
      <w:r w:rsidR="00CE1078">
        <w:rPr>
          <w:rFonts w:asciiTheme="minorHAnsi" w:hAnsiTheme="minorHAnsi" w:cstheme="minorHAnsi"/>
          <w:sz w:val="24"/>
        </w:rPr>
        <w:t>ůvodov</w:t>
      </w:r>
      <w:r w:rsidR="00CC3179">
        <w:rPr>
          <w:rFonts w:asciiTheme="minorHAnsi" w:hAnsiTheme="minorHAnsi" w:cstheme="minorHAnsi"/>
          <w:sz w:val="24"/>
        </w:rPr>
        <w:t>é</w:t>
      </w:r>
      <w:r w:rsidR="00CE1078">
        <w:rPr>
          <w:rFonts w:asciiTheme="minorHAnsi" w:hAnsiTheme="minorHAnsi" w:cstheme="minorHAnsi"/>
          <w:sz w:val="24"/>
        </w:rPr>
        <w:t xml:space="preserve"> zpráv</w:t>
      </w:r>
      <w:r w:rsidR="00CC3179">
        <w:rPr>
          <w:rFonts w:asciiTheme="minorHAnsi" w:hAnsiTheme="minorHAnsi" w:cstheme="minorHAnsi"/>
          <w:sz w:val="24"/>
        </w:rPr>
        <w:t xml:space="preserve">ě byl </w:t>
      </w:r>
      <w:r w:rsidR="00CE1078">
        <w:rPr>
          <w:rFonts w:asciiTheme="minorHAnsi" w:hAnsiTheme="minorHAnsi" w:cstheme="minorHAnsi"/>
          <w:sz w:val="24"/>
        </w:rPr>
        <w:t>předpoklád</w:t>
      </w:r>
      <w:r w:rsidR="00CC3179">
        <w:rPr>
          <w:rFonts w:asciiTheme="minorHAnsi" w:hAnsiTheme="minorHAnsi" w:cstheme="minorHAnsi"/>
          <w:sz w:val="24"/>
        </w:rPr>
        <w:t>án</w:t>
      </w:r>
      <w:r w:rsidR="00CE1078">
        <w:rPr>
          <w:rFonts w:asciiTheme="minorHAnsi" w:hAnsiTheme="minorHAnsi" w:cstheme="minorHAnsi"/>
          <w:sz w:val="24"/>
        </w:rPr>
        <w:t xml:space="preserve"> příjem</w:t>
      </w:r>
      <w:r w:rsidR="00CC3179">
        <w:rPr>
          <w:rFonts w:asciiTheme="minorHAnsi" w:hAnsiTheme="minorHAnsi" w:cstheme="minorHAnsi"/>
          <w:sz w:val="24"/>
        </w:rPr>
        <w:t xml:space="preserve"> fondu cca 614,2 mil. Kč, z toho pro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="00CC3179">
        <w:rPr>
          <w:rFonts w:asciiTheme="minorHAnsi" w:hAnsiTheme="minorHAnsi" w:cstheme="minorHAnsi"/>
          <w:sz w:val="24"/>
        </w:rPr>
        <w:t>cca</w:t>
      </w:r>
      <w:r w:rsidR="00B92B7C">
        <w:rPr>
          <w:rFonts w:asciiTheme="minorHAnsi" w:hAnsiTheme="minorHAnsi" w:cstheme="minorHAnsi"/>
          <w:sz w:val="24"/>
        </w:rPr>
        <w:t> </w:t>
      </w:r>
      <w:r w:rsidR="00CC3179">
        <w:rPr>
          <w:rFonts w:asciiTheme="minorHAnsi" w:eastAsiaTheme="minorHAnsi" w:hAnsiTheme="minorHAnsi" w:cstheme="minorHAnsi"/>
          <w:sz w:val="24"/>
        </w:rPr>
        <w:t>368</w:t>
      </w:r>
      <w:r w:rsidR="00CE1078">
        <w:rPr>
          <w:rFonts w:asciiTheme="minorHAnsi" w:eastAsiaTheme="minorHAnsi" w:hAnsiTheme="minorHAnsi" w:cstheme="minorHAnsi"/>
          <w:sz w:val="24"/>
        </w:rPr>
        <w:t>,</w:t>
      </w:r>
      <w:r w:rsidR="00CC3179">
        <w:rPr>
          <w:rFonts w:asciiTheme="minorHAnsi" w:eastAsiaTheme="minorHAnsi" w:hAnsiTheme="minorHAnsi" w:cstheme="minorHAnsi"/>
          <w:sz w:val="24"/>
        </w:rPr>
        <w:t>5</w:t>
      </w:r>
      <w:r w:rsidR="00CE1078">
        <w:rPr>
          <w:rFonts w:asciiTheme="minorHAnsi" w:eastAsiaTheme="minorHAnsi" w:hAnsiTheme="minorHAnsi" w:cstheme="minorHAnsi"/>
          <w:sz w:val="24"/>
        </w:rPr>
        <w:t> mil. Kč.</w:t>
      </w:r>
    </w:p>
    <w:p w14:paraId="2283D469" w14:textId="77777777" w:rsidR="003234CE" w:rsidRDefault="003234CE" w:rsidP="003234CE">
      <w:pPr>
        <w:rPr>
          <w:rFonts w:asciiTheme="minorHAnsi" w:hAnsiTheme="minorHAnsi" w:cstheme="minorHAnsi"/>
          <w:sz w:val="24"/>
        </w:rPr>
      </w:pPr>
    </w:p>
    <w:p w14:paraId="472B6BDF" w14:textId="42BF54B4" w:rsidR="00CC3179" w:rsidRDefault="00927E77" w:rsidP="003234C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GŘ</w:t>
      </w:r>
      <w:r w:rsidR="00CC3179" w:rsidRPr="002B5323">
        <w:rPr>
          <w:rFonts w:asciiTheme="minorHAnsi" w:hAnsiTheme="minorHAnsi" w:cstheme="minorHAnsi"/>
          <w:sz w:val="24"/>
        </w:rPr>
        <w:t xml:space="preserve"> </w:t>
      </w:r>
      <w:r w:rsidR="00CC3179">
        <w:rPr>
          <w:rFonts w:asciiTheme="minorHAnsi" w:hAnsiTheme="minorHAnsi" w:cstheme="minorHAnsi"/>
          <w:sz w:val="24"/>
        </w:rPr>
        <w:t xml:space="preserve">již v roce </w:t>
      </w:r>
      <w:r w:rsidR="00CC3179" w:rsidRPr="002B5323">
        <w:rPr>
          <w:rFonts w:asciiTheme="minorHAnsi" w:hAnsiTheme="minorHAnsi" w:cstheme="minorHAnsi"/>
          <w:sz w:val="24"/>
        </w:rPr>
        <w:t xml:space="preserve">2014 vyzvalo </w:t>
      </w:r>
      <w:r w:rsidR="00CC3179">
        <w:rPr>
          <w:rFonts w:asciiTheme="minorHAnsi" w:hAnsiTheme="minorHAnsi" w:cstheme="minorHAnsi"/>
          <w:sz w:val="24"/>
        </w:rPr>
        <w:t xml:space="preserve">HZSK a </w:t>
      </w:r>
      <w:r w:rsidR="008D003E" w:rsidRPr="00A41065">
        <w:rPr>
          <w:rFonts w:asciiTheme="minorHAnsi" w:hAnsiTheme="minorHAnsi" w:cstheme="minorHAnsi"/>
          <w:sz w:val="24"/>
        </w:rPr>
        <w:t>jednotky sbor</w:t>
      </w:r>
      <w:r w:rsidR="0080750D">
        <w:rPr>
          <w:rFonts w:asciiTheme="minorHAnsi" w:hAnsiTheme="minorHAnsi" w:cstheme="minorHAnsi"/>
          <w:sz w:val="24"/>
        </w:rPr>
        <w:t>u</w:t>
      </w:r>
      <w:r w:rsidR="008D003E" w:rsidRPr="00A41065">
        <w:rPr>
          <w:rFonts w:asciiTheme="minorHAnsi" w:hAnsiTheme="minorHAnsi" w:cstheme="minorHAnsi"/>
          <w:sz w:val="24"/>
        </w:rPr>
        <w:t xml:space="preserve"> dobrovolných hasičů </w:t>
      </w:r>
      <w:r w:rsidR="00CC3179" w:rsidRPr="002B5323">
        <w:rPr>
          <w:rFonts w:asciiTheme="minorHAnsi" w:hAnsiTheme="minorHAnsi" w:cstheme="minorHAnsi"/>
          <w:sz w:val="24"/>
        </w:rPr>
        <w:t xml:space="preserve">k předložení požadavků na druh a počet pořizované techniky nebo věcných prostředků. Na základě těchto požadavků zpracovalo </w:t>
      </w:r>
      <w:r>
        <w:rPr>
          <w:rFonts w:asciiTheme="minorHAnsi" w:hAnsiTheme="minorHAnsi" w:cstheme="minorHAnsi"/>
          <w:sz w:val="24"/>
        </w:rPr>
        <w:t>GŘ</w:t>
      </w:r>
      <w:r w:rsidR="00CC3179" w:rsidRPr="002B5323">
        <w:rPr>
          <w:rFonts w:asciiTheme="minorHAnsi" w:hAnsiTheme="minorHAnsi" w:cstheme="minorHAnsi"/>
          <w:sz w:val="24"/>
        </w:rPr>
        <w:t xml:space="preserve"> žádost o finanční prostředky z FZŠ a odeslalo ji ČKP. </w:t>
      </w:r>
    </w:p>
    <w:p w14:paraId="36788CB9" w14:textId="77777777" w:rsidR="003234CE" w:rsidRPr="002B5323" w:rsidRDefault="003234CE" w:rsidP="003234CE">
      <w:pPr>
        <w:rPr>
          <w:rFonts w:asciiTheme="minorHAnsi" w:hAnsiTheme="minorHAnsi" w:cstheme="minorHAnsi"/>
          <w:sz w:val="24"/>
        </w:rPr>
      </w:pPr>
    </w:p>
    <w:p w14:paraId="1BF3C1D6" w14:textId="3EC81F1F" w:rsidR="00CC3179" w:rsidRDefault="00CC3179" w:rsidP="003234CE">
      <w:pPr>
        <w:rPr>
          <w:rFonts w:asciiTheme="minorHAnsi" w:hAnsiTheme="minorHAnsi" w:cstheme="minorHAnsi"/>
          <w:sz w:val="24"/>
        </w:rPr>
      </w:pPr>
      <w:r w:rsidRPr="0042347B">
        <w:rPr>
          <w:rFonts w:asciiTheme="minorHAnsi" w:hAnsiTheme="minorHAnsi" w:cstheme="minorHAnsi"/>
          <w:sz w:val="24"/>
        </w:rPr>
        <w:t>Dne 11. 3. 2015 uzavřel</w:t>
      </w:r>
      <w:r w:rsidR="00B92B7C">
        <w:rPr>
          <w:rFonts w:asciiTheme="minorHAnsi" w:hAnsiTheme="minorHAnsi" w:cstheme="minorHAnsi"/>
          <w:sz w:val="24"/>
        </w:rPr>
        <w:t>y</w:t>
      </w:r>
      <w:r w:rsidRPr="0042347B">
        <w:rPr>
          <w:rFonts w:asciiTheme="minorHAnsi" w:hAnsiTheme="minorHAnsi" w:cstheme="minorHAnsi"/>
          <w:sz w:val="24"/>
        </w:rPr>
        <w:t xml:space="preserve"> </w:t>
      </w:r>
      <w:r w:rsidR="00927E77">
        <w:rPr>
          <w:rFonts w:asciiTheme="minorHAnsi" w:hAnsiTheme="minorHAnsi" w:cstheme="minorHAnsi"/>
          <w:sz w:val="24"/>
        </w:rPr>
        <w:t>GŘ</w:t>
      </w:r>
      <w:r w:rsidRPr="0042347B">
        <w:rPr>
          <w:rFonts w:asciiTheme="minorHAnsi" w:hAnsiTheme="minorHAnsi" w:cstheme="minorHAnsi"/>
          <w:sz w:val="24"/>
        </w:rPr>
        <w:t xml:space="preserve"> a ČKP </w:t>
      </w:r>
      <w:r w:rsidR="00B92B7C" w:rsidRPr="008077BC">
        <w:rPr>
          <w:rFonts w:asciiTheme="minorHAnsi" w:hAnsiTheme="minorHAnsi" w:cstheme="minorHAnsi"/>
          <w:i/>
          <w:sz w:val="24"/>
        </w:rPr>
        <w:t>s</w:t>
      </w:r>
      <w:r w:rsidRPr="008077BC">
        <w:rPr>
          <w:rFonts w:asciiTheme="minorHAnsi" w:hAnsiTheme="minorHAnsi" w:cstheme="minorHAnsi"/>
          <w:i/>
          <w:sz w:val="24"/>
        </w:rPr>
        <w:t>mlouvu o poskytnutí finančních prostředků z fondu zábrany škod České kanceláře pojistitelů na kalendářní rok 2015</w:t>
      </w:r>
      <w:r w:rsidR="00B92B7C" w:rsidRPr="008077BC">
        <w:rPr>
          <w:rFonts w:asciiTheme="minorHAnsi" w:hAnsiTheme="minorHAnsi" w:cstheme="minorHAnsi"/>
          <w:sz w:val="24"/>
        </w:rPr>
        <w:t>.</w:t>
      </w:r>
      <w:r w:rsidRPr="008077BC">
        <w:rPr>
          <w:rFonts w:asciiTheme="minorHAnsi" w:hAnsiTheme="minorHAnsi" w:cstheme="minorHAnsi"/>
          <w:sz w:val="24"/>
        </w:rPr>
        <w:t xml:space="preserve"> </w:t>
      </w:r>
      <w:r w:rsidR="00B92B7C">
        <w:rPr>
          <w:rFonts w:asciiTheme="minorHAnsi" w:hAnsiTheme="minorHAnsi" w:cstheme="minorHAnsi"/>
          <w:sz w:val="24"/>
        </w:rPr>
        <w:t>V této smlouvě</w:t>
      </w:r>
      <w:r w:rsidRPr="0042347B">
        <w:rPr>
          <w:rFonts w:asciiTheme="minorHAnsi" w:hAnsiTheme="minorHAnsi" w:cstheme="minorHAnsi"/>
          <w:sz w:val="24"/>
        </w:rPr>
        <w:t xml:space="preserve"> se ČKP mj. zavázala, že poskytne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="0080750D">
        <w:rPr>
          <w:rFonts w:asciiTheme="minorHAnsi" w:hAnsiTheme="minorHAnsi" w:cstheme="minorHAnsi"/>
          <w:sz w:val="24"/>
        </w:rPr>
        <w:t>finanční</w:t>
      </w:r>
      <w:r w:rsidRPr="0042347B">
        <w:rPr>
          <w:rFonts w:asciiTheme="minorHAnsi" w:hAnsiTheme="minorHAnsi" w:cstheme="minorHAnsi"/>
          <w:sz w:val="24"/>
        </w:rPr>
        <w:t xml:space="preserve"> prostředky ve výši 359,9 mil. Kč, z toho </w:t>
      </w:r>
      <w:r w:rsidR="00243E03">
        <w:rPr>
          <w:rFonts w:asciiTheme="minorHAnsi" w:hAnsiTheme="minorHAnsi" w:cstheme="minorHAnsi"/>
          <w:sz w:val="24"/>
        </w:rPr>
        <w:t>pro HZSK 262 </w:t>
      </w:r>
      <w:r w:rsidRPr="0042347B">
        <w:rPr>
          <w:rFonts w:asciiTheme="minorHAnsi" w:hAnsiTheme="minorHAnsi" w:cstheme="minorHAnsi"/>
          <w:sz w:val="24"/>
        </w:rPr>
        <w:t xml:space="preserve">mil. Kč a </w:t>
      </w:r>
      <w:r w:rsidR="00243E03">
        <w:rPr>
          <w:rFonts w:asciiTheme="minorHAnsi" w:hAnsiTheme="minorHAnsi" w:cstheme="minorHAnsi"/>
          <w:sz w:val="24"/>
        </w:rPr>
        <w:t xml:space="preserve">pro </w:t>
      </w:r>
      <w:r w:rsidRPr="0042347B">
        <w:rPr>
          <w:rFonts w:asciiTheme="minorHAnsi" w:hAnsiTheme="minorHAnsi" w:cstheme="minorHAnsi"/>
          <w:sz w:val="24"/>
        </w:rPr>
        <w:t>zřizovatel</w:t>
      </w:r>
      <w:r w:rsidR="00243E03">
        <w:rPr>
          <w:rFonts w:asciiTheme="minorHAnsi" w:hAnsiTheme="minorHAnsi" w:cstheme="minorHAnsi"/>
          <w:sz w:val="24"/>
        </w:rPr>
        <w:t>e</w:t>
      </w:r>
      <w:r w:rsidRPr="0042347B">
        <w:rPr>
          <w:rFonts w:asciiTheme="minorHAnsi" w:hAnsiTheme="minorHAnsi" w:cstheme="minorHAnsi"/>
          <w:sz w:val="24"/>
        </w:rPr>
        <w:t xml:space="preserve"> </w:t>
      </w:r>
      <w:r w:rsidR="00D052BA" w:rsidRPr="00A41065">
        <w:rPr>
          <w:rFonts w:asciiTheme="minorHAnsi" w:hAnsiTheme="minorHAnsi" w:cstheme="minorHAnsi"/>
          <w:sz w:val="24"/>
        </w:rPr>
        <w:t>jednot</w:t>
      </w:r>
      <w:r w:rsidR="00D052BA">
        <w:rPr>
          <w:rFonts w:asciiTheme="minorHAnsi" w:hAnsiTheme="minorHAnsi" w:cstheme="minorHAnsi"/>
          <w:sz w:val="24"/>
        </w:rPr>
        <w:t>e</w:t>
      </w:r>
      <w:r w:rsidR="00D052BA" w:rsidRPr="00A41065">
        <w:rPr>
          <w:rFonts w:asciiTheme="minorHAnsi" w:hAnsiTheme="minorHAnsi" w:cstheme="minorHAnsi"/>
          <w:sz w:val="24"/>
        </w:rPr>
        <w:t>k sbor</w:t>
      </w:r>
      <w:r w:rsidR="0080750D">
        <w:rPr>
          <w:rFonts w:asciiTheme="minorHAnsi" w:hAnsiTheme="minorHAnsi" w:cstheme="minorHAnsi"/>
          <w:sz w:val="24"/>
        </w:rPr>
        <w:t>u</w:t>
      </w:r>
      <w:r w:rsidR="00D052BA" w:rsidRPr="00A41065">
        <w:rPr>
          <w:rFonts w:asciiTheme="minorHAnsi" w:hAnsiTheme="minorHAnsi" w:cstheme="minorHAnsi"/>
          <w:sz w:val="24"/>
        </w:rPr>
        <w:t xml:space="preserve"> dobrovolných hasičů</w:t>
      </w:r>
      <w:r w:rsidRPr="0042347B">
        <w:rPr>
          <w:rFonts w:asciiTheme="minorHAnsi" w:hAnsiTheme="minorHAnsi" w:cstheme="minorHAnsi"/>
          <w:sz w:val="24"/>
        </w:rPr>
        <w:t xml:space="preserve"> 97,9 mil. Kč. </w:t>
      </w:r>
      <w:r w:rsidR="00927E77">
        <w:rPr>
          <w:rFonts w:asciiTheme="minorHAnsi" w:hAnsiTheme="minorHAnsi" w:cstheme="minorHAnsi"/>
          <w:sz w:val="24"/>
        </w:rPr>
        <w:t>GŘ</w:t>
      </w:r>
      <w:r w:rsidRPr="0042347B">
        <w:rPr>
          <w:rFonts w:asciiTheme="minorHAnsi" w:hAnsiTheme="minorHAnsi" w:cstheme="minorHAnsi"/>
          <w:sz w:val="24"/>
        </w:rPr>
        <w:t xml:space="preserve"> </w:t>
      </w:r>
      <w:r w:rsidR="00243E03">
        <w:rPr>
          <w:rFonts w:asciiTheme="minorHAnsi" w:hAnsiTheme="minorHAnsi" w:cstheme="minorHAnsi"/>
          <w:sz w:val="24"/>
        </w:rPr>
        <w:t>poskytnutou</w:t>
      </w:r>
      <w:r w:rsidRPr="0042347B">
        <w:rPr>
          <w:rFonts w:asciiTheme="minorHAnsi" w:hAnsiTheme="minorHAnsi" w:cstheme="minorHAnsi"/>
          <w:sz w:val="24"/>
        </w:rPr>
        <w:t xml:space="preserve"> částku přerozděl</w:t>
      </w:r>
      <w:r w:rsidR="00243E03">
        <w:rPr>
          <w:rFonts w:asciiTheme="minorHAnsi" w:hAnsiTheme="minorHAnsi" w:cstheme="minorHAnsi"/>
          <w:sz w:val="24"/>
        </w:rPr>
        <w:t>ilo</w:t>
      </w:r>
      <w:r w:rsidRPr="0042347B">
        <w:rPr>
          <w:rFonts w:asciiTheme="minorHAnsi" w:hAnsiTheme="minorHAnsi" w:cstheme="minorHAnsi"/>
          <w:sz w:val="24"/>
        </w:rPr>
        <w:t xml:space="preserve"> </w:t>
      </w:r>
      <w:r w:rsidR="001A3C84">
        <w:rPr>
          <w:rFonts w:asciiTheme="minorHAnsi" w:hAnsiTheme="minorHAnsi" w:cstheme="minorHAnsi"/>
          <w:sz w:val="24"/>
        </w:rPr>
        <w:t xml:space="preserve">oprávněným příjemcům </w:t>
      </w:r>
      <w:r w:rsidR="002C0606">
        <w:rPr>
          <w:rFonts w:asciiTheme="minorHAnsi" w:hAnsiTheme="minorHAnsi" w:cstheme="minorHAnsi"/>
          <w:sz w:val="24"/>
        </w:rPr>
        <w:t xml:space="preserve">v souladu s podmínkami pro čerpání prostředků </w:t>
      </w:r>
      <w:r w:rsidR="00AF3C8F">
        <w:rPr>
          <w:rFonts w:asciiTheme="minorHAnsi" w:hAnsiTheme="minorHAnsi" w:cstheme="minorHAnsi"/>
          <w:sz w:val="24"/>
        </w:rPr>
        <w:t>z </w:t>
      </w:r>
      <w:r w:rsidR="002C0606">
        <w:rPr>
          <w:rFonts w:asciiTheme="minorHAnsi" w:hAnsiTheme="minorHAnsi" w:cstheme="minorHAnsi"/>
          <w:sz w:val="24"/>
        </w:rPr>
        <w:t>FZŠ</w:t>
      </w:r>
      <w:r w:rsidR="001A3C84">
        <w:rPr>
          <w:rFonts w:asciiTheme="minorHAnsi" w:hAnsiTheme="minorHAnsi" w:cstheme="minorHAnsi"/>
          <w:sz w:val="24"/>
        </w:rPr>
        <w:t>.</w:t>
      </w:r>
      <w:r w:rsidRPr="0042347B">
        <w:rPr>
          <w:rFonts w:asciiTheme="minorHAnsi" w:hAnsiTheme="minorHAnsi" w:cstheme="minorHAnsi"/>
          <w:sz w:val="24"/>
        </w:rPr>
        <w:t xml:space="preserve"> Prostředky poskytnuté na kalendář</w:t>
      </w:r>
      <w:r w:rsidR="008D003E">
        <w:rPr>
          <w:rFonts w:asciiTheme="minorHAnsi" w:hAnsiTheme="minorHAnsi" w:cstheme="minorHAnsi"/>
          <w:sz w:val="24"/>
        </w:rPr>
        <w:t>ní rok 2015 mohou být čerpány i </w:t>
      </w:r>
      <w:r w:rsidRPr="0042347B">
        <w:rPr>
          <w:rFonts w:asciiTheme="minorHAnsi" w:hAnsiTheme="minorHAnsi" w:cstheme="minorHAnsi"/>
          <w:sz w:val="24"/>
        </w:rPr>
        <w:t xml:space="preserve">v roce 2016. Celkový objem prostředků poskytnutých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Pr="0042347B">
        <w:rPr>
          <w:rFonts w:asciiTheme="minorHAnsi" w:hAnsiTheme="minorHAnsi" w:cstheme="minorHAnsi"/>
          <w:sz w:val="24"/>
        </w:rPr>
        <w:t>odpovíd</w:t>
      </w:r>
      <w:r w:rsidR="009E45F5">
        <w:rPr>
          <w:rFonts w:asciiTheme="minorHAnsi" w:hAnsiTheme="minorHAnsi" w:cstheme="minorHAnsi"/>
          <w:sz w:val="24"/>
        </w:rPr>
        <w:t>al</w:t>
      </w:r>
      <w:r w:rsidRPr="0042347B">
        <w:rPr>
          <w:rFonts w:asciiTheme="minorHAnsi" w:hAnsiTheme="minorHAnsi" w:cstheme="minorHAnsi"/>
          <w:sz w:val="24"/>
        </w:rPr>
        <w:t xml:space="preserve"> částce předpokládané v důvodové zprávě </w:t>
      </w:r>
      <w:r>
        <w:rPr>
          <w:rFonts w:asciiTheme="minorHAnsi" w:hAnsiTheme="minorHAnsi" w:cstheme="minorHAnsi"/>
          <w:sz w:val="24"/>
        </w:rPr>
        <w:t>k novele zákona.</w:t>
      </w:r>
    </w:p>
    <w:p w14:paraId="49BB611C" w14:textId="77777777" w:rsidR="003234CE" w:rsidRDefault="003234CE" w:rsidP="003234CE">
      <w:pPr>
        <w:rPr>
          <w:rFonts w:asciiTheme="minorHAnsi" w:hAnsiTheme="minorHAnsi" w:cstheme="minorHAnsi"/>
          <w:sz w:val="24"/>
        </w:rPr>
      </w:pPr>
    </w:p>
    <w:p w14:paraId="2BBFBBE6" w14:textId="4D26FEC7" w:rsidR="007F31B6" w:rsidRDefault="007F31B6" w:rsidP="003234CE">
      <w:pPr>
        <w:rPr>
          <w:rFonts w:ascii="Calibri" w:eastAsiaTheme="minorHAnsi" w:hAnsi="Calibri" w:cs="Calibri"/>
          <w:sz w:val="24"/>
        </w:rPr>
      </w:pPr>
      <w:r w:rsidRPr="007F31B6">
        <w:rPr>
          <w:rFonts w:ascii="Calibri" w:eastAsiaTheme="minorHAnsi" w:hAnsi="Calibri" w:cs="Calibri"/>
          <w:sz w:val="24"/>
        </w:rPr>
        <w:t>V rámci kontroly bylo u kontrolovaných HZSK ověřeno, že průměrné stáří vybrané požární techniky je u kontrolovaných HZSK srovnatelné. Průměrné stáří cisternových automobilových stříkaček a technických automobilů bylo</w:t>
      </w:r>
      <w:r>
        <w:rPr>
          <w:rFonts w:ascii="Calibri" w:eastAsiaTheme="minorHAnsi" w:hAnsi="Calibri" w:cs="Calibri"/>
          <w:sz w:val="24"/>
        </w:rPr>
        <w:t xml:space="preserve"> v roce 2014 cca</w:t>
      </w:r>
      <w:r w:rsidRPr="007F31B6">
        <w:rPr>
          <w:rFonts w:ascii="Calibri" w:eastAsiaTheme="minorHAnsi" w:hAnsi="Calibri" w:cs="Calibri"/>
          <w:sz w:val="24"/>
        </w:rPr>
        <w:t xml:space="preserve"> 12,5 roku a automobilových plošin dokonce 27 let.  </w:t>
      </w:r>
    </w:p>
    <w:p w14:paraId="34894916" w14:textId="77777777" w:rsidR="003234CE" w:rsidRPr="007F31B6" w:rsidRDefault="003234CE" w:rsidP="003234CE">
      <w:pPr>
        <w:rPr>
          <w:rFonts w:asciiTheme="minorHAnsi" w:hAnsiTheme="minorHAnsi" w:cstheme="minorHAnsi"/>
          <w:sz w:val="24"/>
        </w:rPr>
      </w:pPr>
    </w:p>
    <w:p w14:paraId="09DA68F6" w14:textId="75984350" w:rsidR="00CC3179" w:rsidRDefault="007F31B6" w:rsidP="003234CE">
      <w:pPr>
        <w:rPr>
          <w:rFonts w:asciiTheme="minorHAnsi" w:hAnsiTheme="minorHAnsi" w:cstheme="minorHAnsi"/>
          <w:sz w:val="24"/>
        </w:rPr>
      </w:pPr>
      <w:r w:rsidRPr="007F31B6">
        <w:rPr>
          <w:rFonts w:ascii="Calibri" w:eastAsiaTheme="minorHAnsi" w:hAnsi="Calibri" w:cs="Calibri"/>
          <w:sz w:val="24"/>
        </w:rPr>
        <w:t>Z prostředků FZŠ poskytnutých HZSK v roce 2015 se předpokládá nákup mj. 25 cisternových automobilových stříkaček, 8 rychlých zásahových automobilů a 5 technických automobilů.</w:t>
      </w:r>
      <w:r>
        <w:rPr>
          <w:rFonts w:ascii="Calibri" w:eastAsiaTheme="minorHAnsi" w:hAnsi="Calibri" w:cs="Calibri"/>
          <w:sz w:val="24"/>
        </w:rPr>
        <w:t xml:space="preserve"> </w:t>
      </w:r>
      <w:r w:rsidR="00CC3179" w:rsidRPr="002B5323">
        <w:rPr>
          <w:rFonts w:asciiTheme="minorHAnsi" w:hAnsiTheme="minorHAnsi" w:cstheme="minorHAnsi"/>
          <w:sz w:val="24"/>
        </w:rPr>
        <w:t>Výběr dodavatelů techniky a věcných prostředků pořízených z peněžních prostředků FZŠ bude probíhat v rámci centralizovaného zadávání</w:t>
      </w:r>
      <w:r w:rsidR="008C0F80">
        <w:rPr>
          <w:rFonts w:asciiTheme="minorHAnsi" w:hAnsiTheme="minorHAnsi" w:cstheme="minorHAnsi"/>
          <w:sz w:val="24"/>
        </w:rPr>
        <w:t xml:space="preserve"> a v</w:t>
      </w:r>
      <w:r w:rsidR="00CC3179">
        <w:rPr>
          <w:rFonts w:asciiTheme="minorHAnsi" w:hAnsiTheme="minorHAnsi" w:cstheme="minorHAnsi"/>
          <w:sz w:val="24"/>
        </w:rPr>
        <w:t xml:space="preserve"> případě specializované techniky si </w:t>
      </w:r>
      <w:r w:rsidR="00CC3179" w:rsidRPr="002B5323">
        <w:rPr>
          <w:rFonts w:asciiTheme="minorHAnsi" w:hAnsiTheme="minorHAnsi" w:cstheme="minorHAnsi"/>
          <w:sz w:val="24"/>
        </w:rPr>
        <w:t>výběr dodavatelů budou zabezpečovat jednotlivé HZSK</w:t>
      </w:r>
      <w:r w:rsidR="00CC3179">
        <w:rPr>
          <w:rFonts w:asciiTheme="minorHAnsi" w:hAnsiTheme="minorHAnsi" w:cstheme="minorHAnsi"/>
          <w:sz w:val="24"/>
        </w:rPr>
        <w:t>.</w:t>
      </w:r>
    </w:p>
    <w:p w14:paraId="6156496B" w14:textId="77777777" w:rsidR="00CC3179" w:rsidRDefault="00CC3179" w:rsidP="00636EFE">
      <w:pPr>
        <w:rPr>
          <w:rFonts w:asciiTheme="minorHAnsi" w:hAnsiTheme="minorHAnsi" w:cstheme="minorHAnsi"/>
          <w:sz w:val="24"/>
        </w:rPr>
      </w:pPr>
    </w:p>
    <w:p w14:paraId="5738496D" w14:textId="4A57B7E5" w:rsidR="00A15CFE" w:rsidRDefault="00A15CFE" w:rsidP="00EF4F26">
      <w:pPr>
        <w:keepNext/>
        <w:rPr>
          <w:rFonts w:asciiTheme="minorHAnsi" w:hAnsiTheme="minorHAnsi" w:cstheme="minorHAnsi"/>
          <w:b/>
          <w:bCs/>
          <w:sz w:val="24"/>
        </w:rPr>
      </w:pPr>
      <w:r w:rsidRPr="005859D5">
        <w:rPr>
          <w:rFonts w:asciiTheme="minorHAnsi" w:hAnsiTheme="minorHAnsi" w:cstheme="minorHAnsi"/>
          <w:b/>
          <w:bCs/>
          <w:sz w:val="24"/>
        </w:rPr>
        <w:lastRenderedPageBreak/>
        <w:t>Příjmy HZSK za zásahy prováděné u dopravních nehod</w:t>
      </w:r>
    </w:p>
    <w:p w14:paraId="54A26D02" w14:textId="24F7885C" w:rsidR="00A15CFE" w:rsidRDefault="00A15CFE" w:rsidP="00DF4C20">
      <w:p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Před účinností novely zákona</w:t>
      </w:r>
      <w:r w:rsidRPr="00A15CFE">
        <w:rPr>
          <w:rFonts w:ascii="Calibri" w:eastAsiaTheme="minorHAnsi" w:hAnsi="Calibri" w:cs="Calibri"/>
          <w:sz w:val="24"/>
        </w:rPr>
        <w:t xml:space="preserve"> </w:t>
      </w:r>
      <w:r w:rsidRPr="00A41065">
        <w:rPr>
          <w:rFonts w:ascii="Calibri" w:eastAsiaTheme="minorHAnsi" w:hAnsi="Calibri" w:cs="Calibri"/>
          <w:sz w:val="24"/>
        </w:rPr>
        <w:t>č. 238/2000 Sb</w:t>
      </w:r>
      <w:r>
        <w:rPr>
          <w:rFonts w:ascii="Calibri" w:eastAsiaTheme="minorHAnsi" w:hAnsi="Calibri" w:cs="Calibri"/>
          <w:sz w:val="24"/>
        </w:rPr>
        <w:t>.</w:t>
      </w:r>
      <w:r>
        <w:rPr>
          <w:rFonts w:asciiTheme="minorHAnsi" w:hAnsiTheme="minorHAnsi" w:cstheme="minorHAnsi"/>
          <w:sz w:val="24"/>
        </w:rPr>
        <w:t>, tj. do 31. 8. 2013,</w:t>
      </w:r>
      <w:r w:rsidR="008C0F80">
        <w:rPr>
          <w:rFonts w:asciiTheme="minorHAnsi" w:hAnsiTheme="minorHAnsi" w:cstheme="minorHAnsi"/>
          <w:sz w:val="24"/>
        </w:rPr>
        <w:t xml:space="preserve"> uplatňoval</w:t>
      </w:r>
      <w:r w:rsidR="005A3A94">
        <w:rPr>
          <w:rFonts w:asciiTheme="minorHAnsi" w:hAnsiTheme="minorHAnsi" w:cstheme="minorHAnsi"/>
          <w:sz w:val="24"/>
        </w:rPr>
        <w:t>y</w:t>
      </w:r>
      <w:r w:rsidR="008C0F80">
        <w:rPr>
          <w:rFonts w:asciiTheme="minorHAnsi" w:hAnsiTheme="minorHAnsi" w:cstheme="minorHAnsi"/>
          <w:sz w:val="24"/>
        </w:rPr>
        <w:t xml:space="preserve"> </w:t>
      </w:r>
      <w:r w:rsidR="005B5DE5">
        <w:rPr>
          <w:rFonts w:asciiTheme="minorHAnsi" w:hAnsiTheme="minorHAnsi" w:cstheme="minorHAnsi"/>
          <w:sz w:val="24"/>
        </w:rPr>
        <w:t>HZS</w:t>
      </w:r>
      <w:r w:rsidR="005A3A94">
        <w:rPr>
          <w:rFonts w:asciiTheme="minorHAnsi" w:hAnsiTheme="minorHAnsi" w:cstheme="minorHAnsi"/>
          <w:sz w:val="24"/>
        </w:rPr>
        <w:t>K</w:t>
      </w:r>
      <w:r w:rsidR="005B5DE5">
        <w:rPr>
          <w:rFonts w:asciiTheme="minorHAnsi" w:hAnsiTheme="minorHAnsi" w:cstheme="minorHAnsi"/>
          <w:sz w:val="24"/>
        </w:rPr>
        <w:t xml:space="preserve"> </w:t>
      </w:r>
      <w:r w:rsidR="008C0F80">
        <w:rPr>
          <w:rFonts w:asciiTheme="minorHAnsi" w:hAnsiTheme="minorHAnsi" w:cstheme="minorHAnsi"/>
          <w:sz w:val="24"/>
        </w:rPr>
        <w:t>u </w:t>
      </w:r>
      <w:r w:rsidRPr="00A41065">
        <w:rPr>
          <w:rFonts w:asciiTheme="minorHAnsi" w:hAnsiTheme="minorHAnsi" w:cstheme="minorHAnsi"/>
          <w:sz w:val="24"/>
        </w:rPr>
        <w:t>příslušných pojišťoven náhrady nákladů</w:t>
      </w:r>
      <w:r w:rsidR="00477681">
        <w:rPr>
          <w:rFonts w:asciiTheme="minorHAnsi" w:hAnsiTheme="minorHAnsi" w:cstheme="minorHAnsi"/>
          <w:sz w:val="24"/>
        </w:rPr>
        <w:t xml:space="preserve"> vynaložených v souvislosti s likvidačními pracemi u dopravních nehod </w:t>
      </w:r>
      <w:r w:rsidRPr="00A41065">
        <w:rPr>
          <w:rFonts w:asciiTheme="minorHAnsi" w:hAnsiTheme="minorHAnsi" w:cstheme="minorHAnsi"/>
          <w:sz w:val="24"/>
        </w:rPr>
        <w:t xml:space="preserve">pouze na základě </w:t>
      </w:r>
      <w:r w:rsidR="007863AC">
        <w:rPr>
          <w:rFonts w:asciiTheme="minorHAnsi" w:hAnsiTheme="minorHAnsi" w:cstheme="minorHAnsi"/>
          <w:sz w:val="24"/>
        </w:rPr>
        <w:t xml:space="preserve">vzájemné </w:t>
      </w:r>
      <w:r w:rsidRPr="00A41065">
        <w:rPr>
          <w:rFonts w:asciiTheme="minorHAnsi" w:hAnsiTheme="minorHAnsi" w:cstheme="minorHAnsi"/>
          <w:sz w:val="24"/>
        </w:rPr>
        <w:t xml:space="preserve">dohody. </w:t>
      </w:r>
    </w:p>
    <w:p w14:paraId="11C5A9A3" w14:textId="77777777" w:rsidR="003234CE" w:rsidRPr="00A41065" w:rsidRDefault="003234CE" w:rsidP="003234CE">
      <w:pPr>
        <w:rPr>
          <w:rFonts w:asciiTheme="minorHAnsi" w:hAnsiTheme="minorHAnsi" w:cstheme="minorHAnsi"/>
          <w:sz w:val="24"/>
        </w:rPr>
      </w:pPr>
    </w:p>
    <w:p w14:paraId="266A09BA" w14:textId="07E6C998" w:rsidR="00E74413" w:rsidRDefault="00AF3C8F" w:rsidP="003234CE">
      <w:pPr>
        <w:rPr>
          <w:rFonts w:asciiTheme="minorHAnsi" w:eastAsia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</w:t>
      </w:r>
      <w:r w:rsidR="00E74413" w:rsidRPr="00A41065">
        <w:rPr>
          <w:rFonts w:asciiTheme="minorHAnsi" w:hAnsiTheme="minorHAnsi" w:cstheme="minorHAnsi"/>
          <w:sz w:val="24"/>
        </w:rPr>
        <w:t>novel</w:t>
      </w:r>
      <w:r w:rsidR="00A15CFE">
        <w:rPr>
          <w:rFonts w:asciiTheme="minorHAnsi" w:hAnsiTheme="minorHAnsi" w:cstheme="minorHAnsi"/>
          <w:sz w:val="24"/>
        </w:rPr>
        <w:t>e</w:t>
      </w:r>
      <w:r w:rsidR="00E74413" w:rsidRPr="00A41065">
        <w:rPr>
          <w:rFonts w:asciiTheme="minorHAnsi" w:hAnsiTheme="minorHAnsi" w:cstheme="minorHAnsi"/>
          <w:sz w:val="24"/>
        </w:rPr>
        <w:t xml:space="preserve"> zákona </w:t>
      </w:r>
      <w:r w:rsidR="00146CE2" w:rsidRPr="00A41065">
        <w:rPr>
          <w:rFonts w:ascii="Calibri" w:eastAsiaTheme="minorHAnsi" w:hAnsi="Calibri" w:cs="Calibri"/>
          <w:sz w:val="24"/>
        </w:rPr>
        <w:t>č. 238/2000 Sb</w:t>
      </w:r>
      <w:r w:rsidR="00146CE2">
        <w:rPr>
          <w:rFonts w:ascii="Calibri" w:eastAsiaTheme="minorHAnsi" w:hAnsi="Calibri" w:cs="Calibri"/>
          <w:sz w:val="24"/>
        </w:rPr>
        <w:t>.</w:t>
      </w:r>
      <w:r w:rsidR="00146CE2" w:rsidRPr="00A41065">
        <w:rPr>
          <w:rFonts w:asciiTheme="minorHAnsi" w:hAnsiTheme="minorHAnsi" w:cstheme="minorHAnsi"/>
          <w:sz w:val="24"/>
        </w:rPr>
        <w:t xml:space="preserve"> </w:t>
      </w:r>
      <w:r w:rsidR="00E74413" w:rsidRPr="00A41065">
        <w:rPr>
          <w:rFonts w:asciiTheme="minorHAnsi" w:hAnsiTheme="minorHAnsi" w:cstheme="minorHAnsi"/>
          <w:sz w:val="24"/>
        </w:rPr>
        <w:t>je uvedeno, že HZSK a</w:t>
      </w:r>
      <w:r>
        <w:rPr>
          <w:rFonts w:asciiTheme="minorHAnsi" w:hAnsiTheme="minorHAnsi" w:cstheme="minorHAnsi"/>
          <w:sz w:val="24"/>
        </w:rPr>
        <w:t xml:space="preserve"> </w:t>
      </w:r>
      <w:r w:rsidR="00E74413" w:rsidRPr="00A41065">
        <w:rPr>
          <w:rFonts w:asciiTheme="minorHAnsi" w:hAnsiTheme="minorHAnsi" w:cstheme="minorHAnsi"/>
          <w:sz w:val="24"/>
        </w:rPr>
        <w:t xml:space="preserve">zřizovateli </w:t>
      </w:r>
      <w:r w:rsidR="00D052BA" w:rsidRPr="00A41065">
        <w:rPr>
          <w:rFonts w:asciiTheme="minorHAnsi" w:hAnsiTheme="minorHAnsi" w:cstheme="minorHAnsi"/>
          <w:sz w:val="24"/>
        </w:rPr>
        <w:t>jednot</w:t>
      </w:r>
      <w:r w:rsidR="00D052BA">
        <w:rPr>
          <w:rFonts w:asciiTheme="minorHAnsi" w:hAnsiTheme="minorHAnsi" w:cstheme="minorHAnsi"/>
          <w:sz w:val="24"/>
        </w:rPr>
        <w:t>e</w:t>
      </w:r>
      <w:r w:rsidR="00D052BA" w:rsidRPr="00A41065">
        <w:rPr>
          <w:rFonts w:asciiTheme="minorHAnsi" w:hAnsiTheme="minorHAnsi" w:cstheme="minorHAnsi"/>
          <w:sz w:val="24"/>
        </w:rPr>
        <w:t>k sboru dobrovolných hasičů</w:t>
      </w:r>
      <w:r w:rsidR="00E74413" w:rsidRPr="00A41065">
        <w:rPr>
          <w:rFonts w:asciiTheme="minorHAnsi" w:hAnsiTheme="minorHAnsi" w:cstheme="minorHAnsi"/>
          <w:sz w:val="24"/>
        </w:rPr>
        <w:t xml:space="preserve"> </w:t>
      </w:r>
      <w:r w:rsidR="008D003E" w:rsidRPr="00A41065">
        <w:rPr>
          <w:rFonts w:asciiTheme="minorHAnsi" w:hAnsiTheme="minorHAnsi" w:cstheme="minorHAnsi"/>
          <w:sz w:val="24"/>
        </w:rPr>
        <w:t xml:space="preserve">se </w:t>
      </w:r>
      <w:r w:rsidR="00E74413" w:rsidRPr="00A41065">
        <w:rPr>
          <w:rFonts w:asciiTheme="minorHAnsi" w:hAnsiTheme="minorHAnsi" w:cstheme="minorHAnsi"/>
          <w:sz w:val="24"/>
        </w:rPr>
        <w:t xml:space="preserve">uhradí náklady vzniklé při zásazích prováděných jednotkami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="00E74413" w:rsidRPr="00A41065">
        <w:rPr>
          <w:rFonts w:asciiTheme="minorHAnsi" w:hAnsiTheme="minorHAnsi" w:cstheme="minorHAnsi"/>
          <w:sz w:val="24"/>
        </w:rPr>
        <w:t>u</w:t>
      </w:r>
      <w:r w:rsidR="00D052BA">
        <w:rPr>
          <w:rFonts w:asciiTheme="minorHAnsi" w:hAnsiTheme="minorHAnsi" w:cstheme="minorHAnsi"/>
          <w:sz w:val="24"/>
        </w:rPr>
        <w:t> dopravních nehod</w:t>
      </w:r>
      <w:r w:rsidR="007D5908">
        <w:rPr>
          <w:rFonts w:asciiTheme="minorHAnsi" w:hAnsiTheme="minorHAnsi" w:cstheme="minorHAnsi"/>
          <w:sz w:val="24"/>
        </w:rPr>
        <w:t>, u </w:t>
      </w:r>
      <w:r w:rsidR="00E74413" w:rsidRPr="00A41065">
        <w:rPr>
          <w:rFonts w:asciiTheme="minorHAnsi" w:hAnsiTheme="minorHAnsi" w:cstheme="minorHAnsi"/>
          <w:sz w:val="24"/>
        </w:rPr>
        <w:t xml:space="preserve">kterých zasahují na výzvu </w:t>
      </w:r>
      <w:r w:rsidR="00E74413">
        <w:rPr>
          <w:rFonts w:asciiTheme="minorHAnsi" w:hAnsiTheme="minorHAnsi" w:cstheme="minorHAnsi"/>
          <w:sz w:val="24"/>
        </w:rPr>
        <w:t xml:space="preserve">příslušného </w:t>
      </w:r>
      <w:r w:rsidR="008D003E">
        <w:rPr>
          <w:rFonts w:asciiTheme="minorHAnsi" w:hAnsiTheme="minorHAnsi" w:cstheme="minorHAnsi"/>
          <w:sz w:val="24"/>
        </w:rPr>
        <w:t>operačního a </w:t>
      </w:r>
      <w:r w:rsidR="00E74413" w:rsidRPr="00A41065">
        <w:rPr>
          <w:rFonts w:asciiTheme="minorHAnsi" w:hAnsiTheme="minorHAnsi" w:cstheme="minorHAnsi"/>
          <w:sz w:val="24"/>
        </w:rPr>
        <w:t xml:space="preserve">informačního </w:t>
      </w:r>
      <w:r w:rsidR="00E74413" w:rsidRPr="003C368C">
        <w:rPr>
          <w:rFonts w:asciiTheme="minorHAnsi" w:hAnsiTheme="minorHAnsi" w:cstheme="minorHAnsi"/>
          <w:sz w:val="24"/>
        </w:rPr>
        <w:t xml:space="preserve">střediska. </w:t>
      </w:r>
      <w:r w:rsidR="003B693E" w:rsidRPr="003C368C">
        <w:rPr>
          <w:rFonts w:asciiTheme="minorHAnsi" w:hAnsiTheme="minorHAnsi" w:cstheme="minorHAnsi"/>
          <w:sz w:val="24"/>
        </w:rPr>
        <w:t xml:space="preserve">Náhrady </w:t>
      </w:r>
      <w:r w:rsidR="00DC5FFC" w:rsidRPr="003C368C">
        <w:rPr>
          <w:rFonts w:asciiTheme="minorHAnsi" w:hAnsiTheme="minorHAnsi" w:cstheme="minorHAnsi"/>
          <w:sz w:val="24"/>
        </w:rPr>
        <w:t>n</w:t>
      </w:r>
      <w:r w:rsidR="00E74413" w:rsidRPr="003C368C">
        <w:rPr>
          <w:rFonts w:asciiTheme="minorHAnsi" w:hAnsiTheme="minorHAnsi" w:cstheme="minorHAnsi"/>
          <w:sz w:val="24"/>
        </w:rPr>
        <w:t>áklad</w:t>
      </w:r>
      <w:r w:rsidR="00DC5FFC" w:rsidRPr="003C368C">
        <w:rPr>
          <w:rFonts w:asciiTheme="minorHAnsi" w:hAnsiTheme="minorHAnsi" w:cstheme="minorHAnsi"/>
          <w:sz w:val="24"/>
        </w:rPr>
        <w:t>ů</w:t>
      </w:r>
      <w:r w:rsidR="00E74413" w:rsidRPr="00A41065">
        <w:rPr>
          <w:rFonts w:asciiTheme="minorHAnsi" w:hAnsiTheme="minorHAnsi" w:cstheme="minorHAnsi"/>
          <w:sz w:val="24"/>
        </w:rPr>
        <w:t xml:space="preserve"> m</w:t>
      </w:r>
      <w:r w:rsidR="005A3A94">
        <w:rPr>
          <w:rFonts w:asciiTheme="minorHAnsi" w:hAnsiTheme="minorHAnsi" w:cstheme="minorHAnsi"/>
          <w:sz w:val="24"/>
        </w:rPr>
        <w:t xml:space="preserve">ají </w:t>
      </w:r>
      <w:r w:rsidR="005B5DE5">
        <w:rPr>
          <w:rFonts w:asciiTheme="minorHAnsi" w:hAnsiTheme="minorHAnsi" w:cstheme="minorHAnsi"/>
          <w:sz w:val="24"/>
        </w:rPr>
        <w:t>HZS</w:t>
      </w:r>
      <w:r w:rsidR="009375A1">
        <w:rPr>
          <w:rFonts w:asciiTheme="minorHAnsi" w:hAnsiTheme="minorHAnsi" w:cstheme="minorHAnsi"/>
          <w:sz w:val="24"/>
        </w:rPr>
        <w:t>K</w:t>
      </w:r>
      <w:r w:rsidR="005B5DE5">
        <w:rPr>
          <w:rFonts w:asciiTheme="minorHAnsi" w:hAnsiTheme="minorHAnsi" w:cstheme="minorHAnsi"/>
          <w:sz w:val="24"/>
        </w:rPr>
        <w:t xml:space="preserve"> </w:t>
      </w:r>
      <w:r w:rsidR="00E74413" w:rsidRPr="00A41065">
        <w:rPr>
          <w:rFonts w:asciiTheme="minorHAnsi" w:hAnsiTheme="minorHAnsi" w:cstheme="minorHAnsi"/>
          <w:sz w:val="24"/>
        </w:rPr>
        <w:t xml:space="preserve">uplatňovat přímo proti příslušné pojišťovně, popř. proti ČKP nebo Ministerstvu financí. </w:t>
      </w:r>
      <w:r w:rsidR="00E74413" w:rsidRPr="00A41065">
        <w:rPr>
          <w:rFonts w:asciiTheme="minorHAnsi" w:eastAsiaTheme="minorHAnsi" w:hAnsiTheme="minorHAnsi" w:cstheme="minorHAnsi"/>
          <w:sz w:val="24"/>
        </w:rPr>
        <w:t xml:space="preserve">Důvodová zpráva </w:t>
      </w:r>
      <w:r w:rsidR="00E74413">
        <w:rPr>
          <w:rFonts w:asciiTheme="minorHAnsi" w:eastAsiaTheme="minorHAnsi" w:hAnsiTheme="minorHAnsi" w:cstheme="minorHAnsi"/>
          <w:sz w:val="24"/>
        </w:rPr>
        <w:t>k</w:t>
      </w:r>
      <w:r w:rsidR="00146CE2">
        <w:rPr>
          <w:rFonts w:asciiTheme="minorHAnsi" w:eastAsiaTheme="minorHAnsi" w:hAnsiTheme="minorHAnsi" w:cstheme="minorHAnsi"/>
          <w:sz w:val="24"/>
        </w:rPr>
        <w:t xml:space="preserve"> této </w:t>
      </w:r>
      <w:r w:rsidR="00E74413">
        <w:rPr>
          <w:rFonts w:asciiTheme="minorHAnsi" w:eastAsiaTheme="minorHAnsi" w:hAnsiTheme="minorHAnsi" w:cstheme="minorHAnsi"/>
          <w:sz w:val="24"/>
        </w:rPr>
        <w:t xml:space="preserve">novele předpokládala, že celkové uhrazené náklady </w:t>
      </w:r>
      <w:r w:rsidR="005B5DE5">
        <w:rPr>
          <w:rFonts w:asciiTheme="minorHAnsi" w:eastAsiaTheme="minorHAnsi" w:hAnsiTheme="minorHAnsi" w:cstheme="minorHAnsi"/>
          <w:sz w:val="24"/>
        </w:rPr>
        <w:t xml:space="preserve">HZS </w:t>
      </w:r>
      <w:r w:rsidR="00E74413">
        <w:rPr>
          <w:rFonts w:asciiTheme="minorHAnsi" w:eastAsiaTheme="minorHAnsi" w:hAnsiTheme="minorHAnsi" w:cstheme="minorHAnsi"/>
          <w:sz w:val="24"/>
        </w:rPr>
        <w:t xml:space="preserve">dosáhnou výše </w:t>
      </w:r>
      <w:r w:rsidR="00E74413" w:rsidRPr="00995938">
        <w:rPr>
          <w:rFonts w:asciiTheme="minorHAnsi" w:hAnsiTheme="minorHAnsi" w:cstheme="minorHAnsi"/>
          <w:sz w:val="24"/>
        </w:rPr>
        <w:t>303</w:t>
      </w:r>
      <w:r w:rsidR="00E74413">
        <w:rPr>
          <w:rFonts w:asciiTheme="minorHAnsi" w:hAnsiTheme="minorHAnsi" w:cstheme="minorHAnsi"/>
          <w:sz w:val="24"/>
        </w:rPr>
        <w:t>,</w:t>
      </w:r>
      <w:r w:rsidR="00E74413" w:rsidRPr="00995938">
        <w:rPr>
          <w:rFonts w:asciiTheme="minorHAnsi" w:hAnsiTheme="minorHAnsi" w:cstheme="minorHAnsi"/>
          <w:sz w:val="24"/>
        </w:rPr>
        <w:t>6</w:t>
      </w:r>
      <w:r w:rsidR="00E74413">
        <w:rPr>
          <w:rFonts w:asciiTheme="minorHAnsi" w:hAnsiTheme="minorHAnsi" w:cstheme="minorHAnsi"/>
          <w:sz w:val="24"/>
        </w:rPr>
        <w:t xml:space="preserve"> mil.</w:t>
      </w:r>
      <w:r w:rsidR="00E74413" w:rsidRPr="00995938">
        <w:rPr>
          <w:rFonts w:asciiTheme="minorHAnsi" w:hAnsiTheme="minorHAnsi" w:cstheme="minorHAnsi"/>
          <w:sz w:val="24"/>
        </w:rPr>
        <w:t xml:space="preserve"> Kč ročně</w:t>
      </w:r>
      <w:r w:rsidR="00E74413">
        <w:rPr>
          <w:rFonts w:asciiTheme="minorHAnsi" w:hAnsiTheme="minorHAnsi" w:cstheme="minorHAnsi"/>
          <w:sz w:val="24"/>
        </w:rPr>
        <w:t>. Výpočet vycházel z pr</w:t>
      </w:r>
      <w:r w:rsidR="00E74413" w:rsidRPr="00A41065">
        <w:rPr>
          <w:rFonts w:asciiTheme="minorHAnsi" w:eastAsiaTheme="minorHAnsi" w:hAnsiTheme="minorHAnsi" w:cstheme="minorHAnsi"/>
          <w:sz w:val="24"/>
        </w:rPr>
        <w:t>ůměrn</w:t>
      </w:r>
      <w:r w:rsidR="00E74413">
        <w:rPr>
          <w:rFonts w:asciiTheme="minorHAnsi" w:eastAsiaTheme="minorHAnsi" w:hAnsiTheme="minorHAnsi" w:cstheme="minorHAnsi"/>
          <w:sz w:val="24"/>
        </w:rPr>
        <w:t>é</w:t>
      </w:r>
      <w:r w:rsidR="00E74413" w:rsidRPr="00A41065">
        <w:rPr>
          <w:rFonts w:asciiTheme="minorHAnsi" w:eastAsiaTheme="minorHAnsi" w:hAnsiTheme="minorHAnsi" w:cstheme="minorHAnsi"/>
          <w:sz w:val="24"/>
        </w:rPr>
        <w:t xml:space="preserve"> dob</w:t>
      </w:r>
      <w:r w:rsidR="00E74413">
        <w:rPr>
          <w:rFonts w:asciiTheme="minorHAnsi" w:eastAsiaTheme="minorHAnsi" w:hAnsiTheme="minorHAnsi" w:cstheme="minorHAnsi"/>
          <w:sz w:val="24"/>
        </w:rPr>
        <w:t xml:space="preserve">y </w:t>
      </w:r>
      <w:r w:rsidR="00E74413" w:rsidRPr="00A41065">
        <w:rPr>
          <w:rFonts w:asciiTheme="minorHAnsi" w:eastAsiaTheme="minorHAnsi" w:hAnsiTheme="minorHAnsi" w:cstheme="minorHAnsi"/>
          <w:sz w:val="24"/>
        </w:rPr>
        <w:t>zásahu dvě hodiny</w:t>
      </w:r>
      <w:r w:rsidR="00E74413">
        <w:rPr>
          <w:rFonts w:asciiTheme="minorHAnsi" w:eastAsiaTheme="minorHAnsi" w:hAnsiTheme="minorHAnsi" w:cstheme="minorHAnsi"/>
          <w:sz w:val="24"/>
        </w:rPr>
        <w:t xml:space="preserve">, z počtu </w:t>
      </w:r>
      <w:r w:rsidR="00E74413" w:rsidRPr="00995938">
        <w:rPr>
          <w:rFonts w:asciiTheme="minorHAnsi" w:hAnsiTheme="minorHAnsi" w:cstheme="minorHAnsi"/>
          <w:sz w:val="24"/>
        </w:rPr>
        <w:t xml:space="preserve">22 tisíc zásahů </w:t>
      </w:r>
      <w:r w:rsidR="00E74413">
        <w:rPr>
          <w:rFonts w:asciiTheme="minorHAnsi" w:hAnsiTheme="minorHAnsi" w:cstheme="minorHAnsi"/>
          <w:sz w:val="24"/>
        </w:rPr>
        <w:t xml:space="preserve">u </w:t>
      </w:r>
      <w:r w:rsidR="00EF68B1">
        <w:rPr>
          <w:rFonts w:asciiTheme="minorHAnsi" w:hAnsiTheme="minorHAnsi" w:cstheme="minorHAnsi"/>
          <w:sz w:val="24"/>
        </w:rPr>
        <w:t>dopravních nehod</w:t>
      </w:r>
      <w:r w:rsidR="00E74413">
        <w:rPr>
          <w:rFonts w:asciiTheme="minorHAnsi" w:hAnsiTheme="minorHAnsi" w:cstheme="minorHAnsi"/>
          <w:sz w:val="24"/>
        </w:rPr>
        <w:t xml:space="preserve"> </w:t>
      </w:r>
      <w:r w:rsidR="00E74413" w:rsidRPr="00995938">
        <w:rPr>
          <w:rFonts w:asciiTheme="minorHAnsi" w:hAnsiTheme="minorHAnsi" w:cstheme="minorHAnsi"/>
          <w:sz w:val="24"/>
        </w:rPr>
        <w:t>ročně</w:t>
      </w:r>
      <w:r w:rsidR="00E74413">
        <w:rPr>
          <w:rFonts w:asciiTheme="minorHAnsi" w:hAnsiTheme="minorHAnsi" w:cstheme="minorHAnsi"/>
          <w:sz w:val="24"/>
        </w:rPr>
        <w:t xml:space="preserve"> a</w:t>
      </w:r>
      <w:r w:rsidR="00FC7B9E">
        <w:rPr>
          <w:rFonts w:asciiTheme="minorHAnsi" w:hAnsiTheme="minorHAnsi" w:cstheme="minorHAnsi"/>
          <w:sz w:val="24"/>
        </w:rPr>
        <w:t> z </w:t>
      </w:r>
      <w:r w:rsidR="00E74413">
        <w:rPr>
          <w:rFonts w:asciiTheme="minorHAnsi" w:eastAsiaTheme="minorHAnsi" w:hAnsiTheme="minorHAnsi" w:cstheme="minorHAnsi"/>
          <w:sz w:val="24"/>
        </w:rPr>
        <w:t xml:space="preserve">vypočtených </w:t>
      </w:r>
      <w:r w:rsidR="00E74413" w:rsidRPr="00995938">
        <w:rPr>
          <w:rFonts w:asciiTheme="minorHAnsi" w:hAnsiTheme="minorHAnsi" w:cstheme="minorHAnsi"/>
          <w:sz w:val="24"/>
        </w:rPr>
        <w:t>náklad</w:t>
      </w:r>
      <w:r w:rsidR="00E74413">
        <w:rPr>
          <w:rFonts w:asciiTheme="minorHAnsi" w:hAnsiTheme="minorHAnsi" w:cstheme="minorHAnsi"/>
          <w:sz w:val="24"/>
        </w:rPr>
        <w:t>ů</w:t>
      </w:r>
      <w:r w:rsidR="00E74413" w:rsidRPr="00995938">
        <w:rPr>
          <w:rFonts w:asciiTheme="minorHAnsi" w:hAnsiTheme="minorHAnsi" w:cstheme="minorHAnsi"/>
          <w:sz w:val="24"/>
        </w:rPr>
        <w:t xml:space="preserve"> </w:t>
      </w:r>
      <w:r w:rsidR="00E74413">
        <w:rPr>
          <w:rFonts w:asciiTheme="minorHAnsi" w:hAnsiTheme="minorHAnsi" w:cstheme="minorHAnsi"/>
          <w:sz w:val="24"/>
        </w:rPr>
        <w:t>za hodinu zásahu ve výši</w:t>
      </w:r>
      <w:r w:rsidR="00E74413" w:rsidRPr="00995938">
        <w:rPr>
          <w:rFonts w:asciiTheme="minorHAnsi" w:hAnsiTheme="minorHAnsi" w:cstheme="minorHAnsi"/>
          <w:sz w:val="24"/>
        </w:rPr>
        <w:t xml:space="preserve"> 6 900 Kč</w:t>
      </w:r>
      <w:r w:rsidR="00E74413">
        <w:rPr>
          <w:rFonts w:asciiTheme="minorHAnsi" w:hAnsiTheme="minorHAnsi" w:cstheme="minorHAnsi"/>
          <w:sz w:val="24"/>
        </w:rPr>
        <w:t xml:space="preserve"> s tím, že výše náhrad bude stanovena nařízením </w:t>
      </w:r>
      <w:r w:rsidR="00E74413" w:rsidRPr="00A41065">
        <w:rPr>
          <w:rFonts w:asciiTheme="minorHAnsi" w:eastAsiaTheme="minorHAnsi" w:hAnsiTheme="minorHAnsi" w:cstheme="minorHAnsi"/>
          <w:sz w:val="24"/>
        </w:rPr>
        <w:t>vlády</w:t>
      </w:r>
      <w:r w:rsidR="00E74413" w:rsidRPr="00A41065">
        <w:rPr>
          <w:rStyle w:val="Znakapoznpodarou"/>
          <w:rFonts w:asciiTheme="minorHAnsi" w:eastAsiaTheme="minorHAnsi" w:hAnsiTheme="minorHAnsi" w:cstheme="minorHAnsi"/>
          <w:sz w:val="24"/>
        </w:rPr>
        <w:footnoteReference w:id="9"/>
      </w:r>
      <w:r w:rsidR="00E74413" w:rsidRPr="00A41065">
        <w:rPr>
          <w:rFonts w:asciiTheme="minorHAnsi" w:eastAsiaTheme="minorHAnsi" w:hAnsiTheme="minorHAnsi" w:cstheme="minorHAnsi"/>
          <w:sz w:val="24"/>
        </w:rPr>
        <w:t xml:space="preserve">.  </w:t>
      </w:r>
    </w:p>
    <w:p w14:paraId="6709811E" w14:textId="77777777" w:rsidR="003234CE" w:rsidRPr="00A41065" w:rsidRDefault="003234CE" w:rsidP="003234CE">
      <w:pPr>
        <w:rPr>
          <w:rFonts w:asciiTheme="minorHAnsi" w:hAnsiTheme="minorHAnsi" w:cstheme="minorHAnsi"/>
          <w:sz w:val="24"/>
        </w:rPr>
      </w:pPr>
    </w:p>
    <w:p w14:paraId="69D56C06" w14:textId="0C9491C5" w:rsidR="00EF785F" w:rsidRPr="0023761A" w:rsidRDefault="00EF785F" w:rsidP="003234CE">
      <w:pPr>
        <w:rPr>
          <w:rFonts w:asciiTheme="minorHAnsi" w:hAnsiTheme="minorHAnsi" w:cstheme="minorHAnsi"/>
          <w:sz w:val="24"/>
        </w:rPr>
      </w:pPr>
      <w:r w:rsidRPr="0023761A">
        <w:rPr>
          <w:rFonts w:asciiTheme="minorHAnsi" w:hAnsiTheme="minorHAnsi" w:cstheme="minorHAnsi"/>
          <w:sz w:val="24"/>
        </w:rPr>
        <w:t>Důvodová zpráva k tomuto nařízení vlády mj. uvádí, že při objektivním posouzení se celkové náklady za hodinu zásahu pohybují okolo 7 000 Kč</w:t>
      </w:r>
      <w:r w:rsidR="00311C56" w:rsidRPr="0023761A">
        <w:rPr>
          <w:rFonts w:asciiTheme="minorHAnsi" w:hAnsiTheme="minorHAnsi" w:cstheme="minorHAnsi"/>
          <w:sz w:val="24"/>
        </w:rPr>
        <w:t>,</w:t>
      </w:r>
      <w:r w:rsidRPr="0023761A">
        <w:rPr>
          <w:rFonts w:asciiTheme="minorHAnsi" w:hAnsiTheme="minorHAnsi" w:cstheme="minorHAnsi"/>
          <w:sz w:val="24"/>
        </w:rPr>
        <w:t xml:space="preserve"> ale po zhodnocení všech okolností </w:t>
      </w:r>
      <w:r w:rsidR="00311C56" w:rsidRPr="0023761A">
        <w:rPr>
          <w:rFonts w:asciiTheme="minorHAnsi" w:hAnsiTheme="minorHAnsi" w:cstheme="minorHAnsi"/>
          <w:sz w:val="24"/>
        </w:rPr>
        <w:t>byla výše úhrady stanovena na 5 600 Kč</w:t>
      </w:r>
      <w:r w:rsidR="00311C56" w:rsidRPr="0023761A" w:rsidDel="00203883">
        <w:rPr>
          <w:rFonts w:asciiTheme="minorHAnsi" w:hAnsiTheme="minorHAnsi" w:cstheme="minorHAnsi"/>
          <w:sz w:val="24"/>
        </w:rPr>
        <w:t xml:space="preserve"> </w:t>
      </w:r>
      <w:r w:rsidR="00311C56" w:rsidRPr="0023761A">
        <w:rPr>
          <w:rFonts w:asciiTheme="minorHAnsi" w:hAnsiTheme="minorHAnsi" w:cstheme="minorHAnsi"/>
          <w:sz w:val="24"/>
        </w:rPr>
        <w:t xml:space="preserve">za každou započatou hodinu zásahu. </w:t>
      </w:r>
      <w:r w:rsidR="00AF3C8F">
        <w:rPr>
          <w:rFonts w:asciiTheme="minorHAnsi" w:hAnsiTheme="minorHAnsi" w:cstheme="minorHAnsi"/>
          <w:sz w:val="24"/>
        </w:rPr>
        <w:t>V </w:t>
      </w:r>
      <w:r w:rsidR="001A2E18">
        <w:rPr>
          <w:rFonts w:asciiTheme="minorHAnsi" w:hAnsiTheme="minorHAnsi" w:cstheme="minorHAnsi"/>
          <w:sz w:val="24"/>
        </w:rPr>
        <w:t>d</w:t>
      </w:r>
      <w:r w:rsidRPr="0023761A">
        <w:rPr>
          <w:rFonts w:asciiTheme="minorHAnsi" w:hAnsiTheme="minorHAnsi" w:cstheme="minorHAnsi"/>
          <w:sz w:val="24"/>
        </w:rPr>
        <w:t>ůvodov</w:t>
      </w:r>
      <w:r w:rsidR="003C5B16">
        <w:rPr>
          <w:rFonts w:asciiTheme="minorHAnsi" w:hAnsiTheme="minorHAnsi" w:cstheme="minorHAnsi"/>
          <w:sz w:val="24"/>
        </w:rPr>
        <w:t>é</w:t>
      </w:r>
      <w:r w:rsidRPr="0023761A">
        <w:rPr>
          <w:rFonts w:asciiTheme="minorHAnsi" w:hAnsiTheme="minorHAnsi" w:cstheme="minorHAnsi"/>
          <w:sz w:val="24"/>
        </w:rPr>
        <w:t xml:space="preserve"> zpráv</w:t>
      </w:r>
      <w:r w:rsidR="001A2E18">
        <w:rPr>
          <w:rFonts w:asciiTheme="minorHAnsi" w:hAnsiTheme="minorHAnsi" w:cstheme="minorHAnsi"/>
          <w:sz w:val="24"/>
        </w:rPr>
        <w:t>ě</w:t>
      </w:r>
      <w:r w:rsidRPr="0023761A">
        <w:rPr>
          <w:rFonts w:asciiTheme="minorHAnsi" w:hAnsiTheme="minorHAnsi" w:cstheme="minorHAnsi"/>
          <w:sz w:val="24"/>
        </w:rPr>
        <w:t xml:space="preserve"> </w:t>
      </w:r>
      <w:r w:rsidR="002A1736">
        <w:rPr>
          <w:rFonts w:asciiTheme="minorHAnsi" w:hAnsiTheme="minorHAnsi" w:cstheme="minorHAnsi"/>
          <w:sz w:val="24"/>
        </w:rPr>
        <w:t>byl</w:t>
      </w:r>
      <w:r w:rsidR="003C5B16">
        <w:rPr>
          <w:rFonts w:asciiTheme="minorHAnsi" w:hAnsiTheme="minorHAnsi" w:cstheme="minorHAnsi"/>
          <w:sz w:val="24"/>
        </w:rPr>
        <w:t xml:space="preserve"> předpokládaný </w:t>
      </w:r>
      <w:r w:rsidR="00965FEA">
        <w:rPr>
          <w:rFonts w:asciiTheme="minorHAnsi" w:hAnsiTheme="minorHAnsi" w:cstheme="minorHAnsi"/>
          <w:sz w:val="24"/>
        </w:rPr>
        <w:t xml:space="preserve">roční </w:t>
      </w:r>
      <w:r w:rsidR="003C5B16">
        <w:rPr>
          <w:rFonts w:asciiTheme="minorHAnsi" w:hAnsiTheme="minorHAnsi" w:cstheme="minorHAnsi"/>
          <w:sz w:val="24"/>
        </w:rPr>
        <w:t xml:space="preserve">příjem </w:t>
      </w:r>
      <w:r w:rsidR="00965FEA">
        <w:rPr>
          <w:rFonts w:asciiTheme="minorHAnsi" w:hAnsiTheme="minorHAnsi" w:cstheme="minorHAnsi"/>
          <w:sz w:val="24"/>
        </w:rPr>
        <w:t xml:space="preserve">pro stejný počet zásahů </w:t>
      </w:r>
      <w:r w:rsidR="003C5B16">
        <w:rPr>
          <w:rFonts w:asciiTheme="minorHAnsi" w:hAnsiTheme="minorHAnsi" w:cstheme="minorHAnsi"/>
          <w:sz w:val="24"/>
        </w:rPr>
        <w:t>uváděn</w:t>
      </w:r>
      <w:r w:rsidR="006A4F78" w:rsidRPr="0023761A">
        <w:rPr>
          <w:rFonts w:asciiTheme="minorHAnsi" w:hAnsiTheme="minorHAnsi" w:cstheme="minorHAnsi"/>
          <w:sz w:val="24"/>
        </w:rPr>
        <w:t xml:space="preserve"> pouze </w:t>
      </w:r>
      <w:r w:rsidR="003C5B16">
        <w:rPr>
          <w:rFonts w:asciiTheme="minorHAnsi" w:hAnsiTheme="minorHAnsi" w:cstheme="minorHAnsi"/>
          <w:sz w:val="24"/>
        </w:rPr>
        <w:t>ve výši</w:t>
      </w:r>
      <w:r w:rsidRPr="0023761A">
        <w:rPr>
          <w:rFonts w:asciiTheme="minorHAnsi" w:hAnsiTheme="minorHAnsi" w:cstheme="minorHAnsi"/>
          <w:sz w:val="24"/>
        </w:rPr>
        <w:t xml:space="preserve"> 246</w:t>
      </w:r>
      <w:r w:rsidR="00C2104A">
        <w:rPr>
          <w:rFonts w:asciiTheme="minorHAnsi" w:hAnsiTheme="minorHAnsi" w:cstheme="minorHAnsi"/>
          <w:sz w:val="24"/>
        </w:rPr>
        <w:t>,</w:t>
      </w:r>
      <w:r w:rsidRPr="0023761A">
        <w:rPr>
          <w:rFonts w:asciiTheme="minorHAnsi" w:hAnsiTheme="minorHAnsi" w:cstheme="minorHAnsi"/>
          <w:sz w:val="24"/>
        </w:rPr>
        <w:t>4</w:t>
      </w:r>
      <w:r w:rsidR="00C2104A">
        <w:rPr>
          <w:rFonts w:asciiTheme="minorHAnsi" w:hAnsiTheme="minorHAnsi" w:cstheme="minorHAnsi"/>
          <w:sz w:val="24"/>
        </w:rPr>
        <w:t xml:space="preserve"> mil. </w:t>
      </w:r>
      <w:r w:rsidRPr="0023761A">
        <w:rPr>
          <w:rFonts w:asciiTheme="minorHAnsi" w:hAnsiTheme="minorHAnsi" w:cstheme="minorHAnsi"/>
          <w:sz w:val="24"/>
        </w:rPr>
        <w:t>Kč</w:t>
      </w:r>
      <w:r w:rsidR="00311C56" w:rsidRPr="0023761A">
        <w:rPr>
          <w:rFonts w:asciiTheme="minorHAnsi" w:hAnsiTheme="minorHAnsi" w:cstheme="minorHAnsi"/>
          <w:sz w:val="24"/>
        </w:rPr>
        <w:t>.</w:t>
      </w:r>
      <w:r w:rsidRPr="0023761A">
        <w:rPr>
          <w:rFonts w:asciiTheme="minorHAnsi" w:hAnsiTheme="minorHAnsi" w:cstheme="minorHAnsi"/>
          <w:sz w:val="24"/>
        </w:rPr>
        <w:t xml:space="preserve"> </w:t>
      </w:r>
    </w:p>
    <w:p w14:paraId="7F84780E" w14:textId="77777777" w:rsidR="0023761A" w:rsidRDefault="0023761A" w:rsidP="0083039C">
      <w:pPr>
        <w:rPr>
          <w:rFonts w:asciiTheme="minorHAnsi" w:eastAsiaTheme="minorHAnsi" w:hAnsiTheme="minorHAnsi" w:cstheme="minorHAnsi"/>
          <w:bCs/>
          <w:sz w:val="24"/>
        </w:rPr>
      </w:pPr>
    </w:p>
    <w:p w14:paraId="6B04467F" w14:textId="57B7C552" w:rsidR="0083039C" w:rsidRDefault="0083039C" w:rsidP="0083039C">
      <w:pPr>
        <w:rPr>
          <w:rFonts w:asciiTheme="minorHAnsi" w:eastAsiaTheme="minorHAnsi" w:hAnsiTheme="minorHAnsi" w:cstheme="minorHAnsi"/>
          <w:bCs/>
          <w:sz w:val="24"/>
        </w:rPr>
      </w:pPr>
      <w:r>
        <w:rPr>
          <w:rFonts w:asciiTheme="minorHAnsi" w:eastAsiaTheme="minorHAnsi" w:hAnsiTheme="minorHAnsi" w:cstheme="minorHAnsi"/>
          <w:bCs/>
          <w:sz w:val="24"/>
        </w:rPr>
        <w:t>V následujícím grafu jsou zpracovány údaje o celkovém p</w:t>
      </w:r>
      <w:r w:rsidRPr="009B4103">
        <w:rPr>
          <w:rFonts w:asciiTheme="minorHAnsi" w:eastAsiaTheme="minorHAnsi" w:hAnsiTheme="minorHAnsi" w:cstheme="minorHAnsi"/>
          <w:bCs/>
          <w:sz w:val="24"/>
        </w:rPr>
        <w:t>oč</w:t>
      </w:r>
      <w:r>
        <w:rPr>
          <w:rFonts w:asciiTheme="minorHAnsi" w:eastAsiaTheme="minorHAnsi" w:hAnsiTheme="minorHAnsi" w:cstheme="minorHAnsi"/>
          <w:bCs/>
          <w:sz w:val="24"/>
        </w:rPr>
        <w:t xml:space="preserve">tu </w:t>
      </w:r>
      <w:r w:rsidR="00843B25">
        <w:rPr>
          <w:rFonts w:asciiTheme="minorHAnsi" w:eastAsiaTheme="minorHAnsi" w:hAnsiTheme="minorHAnsi" w:cstheme="minorHAnsi"/>
          <w:bCs/>
          <w:sz w:val="24"/>
        </w:rPr>
        <w:t xml:space="preserve">zásahů </w:t>
      </w:r>
      <w:r>
        <w:rPr>
          <w:rFonts w:asciiTheme="minorHAnsi" w:eastAsiaTheme="minorHAnsi" w:hAnsiTheme="minorHAnsi" w:cstheme="minorHAnsi"/>
          <w:bCs/>
          <w:sz w:val="24"/>
        </w:rPr>
        <w:t xml:space="preserve">a počtu jednotlivých typů zásahů uskutečněných jednotkami požární ochrany v období let 2006 až 2014. </w:t>
      </w:r>
    </w:p>
    <w:p w14:paraId="6DC6E485" w14:textId="77777777" w:rsidR="003234CE" w:rsidRPr="009B4103" w:rsidRDefault="003234CE" w:rsidP="0083039C">
      <w:pPr>
        <w:rPr>
          <w:rFonts w:asciiTheme="minorHAnsi" w:eastAsiaTheme="minorHAnsi" w:hAnsiTheme="minorHAnsi" w:cstheme="minorHAnsi"/>
          <w:bCs/>
          <w:sz w:val="24"/>
        </w:rPr>
      </w:pPr>
    </w:p>
    <w:p w14:paraId="5781C1AC" w14:textId="076123B6" w:rsidR="0083039C" w:rsidRPr="008D003E" w:rsidRDefault="0083039C" w:rsidP="003234CE">
      <w:pPr>
        <w:rPr>
          <w:rFonts w:ascii="Calibri" w:eastAsiaTheme="minorHAnsi" w:hAnsi="Calibri" w:cs="Calibri"/>
          <w:b/>
          <w:sz w:val="24"/>
        </w:rPr>
      </w:pPr>
      <w:r w:rsidRPr="008D003E">
        <w:rPr>
          <w:rFonts w:ascii="Calibri" w:eastAsiaTheme="minorHAnsi" w:hAnsi="Calibri" w:cs="Calibri"/>
          <w:b/>
          <w:sz w:val="24"/>
        </w:rPr>
        <w:t>Graf č. 1 – </w:t>
      </w:r>
      <w:r w:rsidRPr="008D003E">
        <w:rPr>
          <w:rFonts w:ascii="Calibri" w:eastAsiaTheme="minorHAnsi" w:hAnsi="Calibri" w:cs="Calibri"/>
          <w:b/>
          <w:bCs/>
          <w:sz w:val="24"/>
        </w:rPr>
        <w:t xml:space="preserve">Přehled o vývoji počtu zásahů </w:t>
      </w:r>
      <w:r w:rsidR="007A44EF">
        <w:rPr>
          <w:rFonts w:ascii="Calibri" w:eastAsiaTheme="minorHAnsi" w:hAnsi="Calibri" w:cs="Calibri"/>
          <w:b/>
          <w:bCs/>
          <w:sz w:val="24"/>
        </w:rPr>
        <w:t xml:space="preserve">HZS </w:t>
      </w:r>
      <w:r w:rsidR="00AF3C8F">
        <w:rPr>
          <w:rFonts w:ascii="Calibri" w:eastAsiaTheme="minorHAnsi" w:hAnsi="Calibri" w:cs="Calibri"/>
          <w:b/>
          <w:bCs/>
          <w:sz w:val="24"/>
        </w:rPr>
        <w:t>v </w:t>
      </w:r>
      <w:r w:rsidRPr="008D003E">
        <w:rPr>
          <w:rFonts w:ascii="Calibri" w:eastAsiaTheme="minorHAnsi" w:hAnsi="Calibri" w:cs="Calibri"/>
          <w:b/>
          <w:bCs/>
          <w:sz w:val="24"/>
        </w:rPr>
        <w:t>letech 2006</w:t>
      </w:r>
      <w:r w:rsidR="003234CE">
        <w:rPr>
          <w:rFonts w:ascii="Calibri" w:eastAsiaTheme="minorHAnsi" w:hAnsi="Calibri" w:cs="Calibri"/>
          <w:b/>
          <w:bCs/>
          <w:sz w:val="24"/>
        </w:rPr>
        <w:t>–</w:t>
      </w:r>
      <w:r w:rsidRPr="008D003E">
        <w:rPr>
          <w:rFonts w:ascii="Calibri" w:eastAsiaTheme="minorHAnsi" w:hAnsi="Calibri" w:cs="Calibri"/>
          <w:b/>
          <w:bCs/>
          <w:sz w:val="24"/>
        </w:rPr>
        <w:t>2014</w:t>
      </w:r>
    </w:p>
    <w:p w14:paraId="27EFB588" w14:textId="19B23707" w:rsidR="0083039C" w:rsidRDefault="00CF5520" w:rsidP="0083039C">
      <w:pPr>
        <w:rPr>
          <w:rFonts w:ascii="Calibri" w:eastAsiaTheme="minorHAnsi" w:hAnsi="Calibri" w:cs="Calibri"/>
          <w:sz w:val="24"/>
        </w:rPr>
      </w:pPr>
      <w:r>
        <w:rPr>
          <w:noProof/>
          <w:lang w:eastAsia="cs-CZ"/>
        </w:rPr>
        <w:drawing>
          <wp:inline distT="0" distB="0" distL="0" distR="0" wp14:anchorId="555984F1" wp14:editId="664DF820">
            <wp:extent cx="5756745" cy="1963972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213F846" w14:textId="34A3B8E9" w:rsidR="0083039C" w:rsidRPr="00EC2B29" w:rsidRDefault="0083039C" w:rsidP="00511320">
      <w:pPr>
        <w:spacing w:before="80"/>
        <w:rPr>
          <w:rFonts w:asciiTheme="minorHAnsi" w:hAnsiTheme="minorHAnsi" w:cstheme="minorHAnsi"/>
          <w:bCs/>
        </w:rPr>
      </w:pPr>
      <w:r w:rsidRPr="0059455A">
        <w:rPr>
          <w:rFonts w:ascii="Calibri" w:hAnsi="Calibri" w:cs="Calibri"/>
          <w:b/>
          <w:sz w:val="20"/>
          <w:szCs w:val="20"/>
        </w:rPr>
        <w:t>Zdroj</w:t>
      </w:r>
      <w:r w:rsidRPr="00EC2B29">
        <w:rPr>
          <w:rFonts w:ascii="Calibri" w:hAnsi="Calibri" w:cs="Calibri"/>
          <w:sz w:val="20"/>
          <w:szCs w:val="20"/>
        </w:rPr>
        <w:t xml:space="preserve">: </w:t>
      </w:r>
      <w:r w:rsidR="00B92B7C">
        <w:rPr>
          <w:rFonts w:ascii="Calibri" w:hAnsi="Calibri" w:cs="Calibri"/>
          <w:sz w:val="20"/>
          <w:szCs w:val="20"/>
        </w:rPr>
        <w:t>s</w:t>
      </w:r>
      <w:r w:rsidRPr="00EC2B29">
        <w:rPr>
          <w:rFonts w:ascii="Calibri" w:hAnsi="Calibri" w:cs="Calibri"/>
          <w:sz w:val="20"/>
          <w:szCs w:val="20"/>
        </w:rPr>
        <w:t xml:space="preserve">tatistické ročenky </w:t>
      </w:r>
      <w:r w:rsidR="00DA7297">
        <w:rPr>
          <w:rFonts w:ascii="Calibri" w:hAnsi="Calibri" w:cs="Calibri"/>
          <w:sz w:val="20"/>
          <w:szCs w:val="20"/>
        </w:rPr>
        <w:t xml:space="preserve">HZS. </w:t>
      </w:r>
    </w:p>
    <w:p w14:paraId="6AC6F08E" w14:textId="77777777" w:rsidR="001F7502" w:rsidRDefault="001F7502" w:rsidP="0083039C">
      <w:pPr>
        <w:rPr>
          <w:rFonts w:asciiTheme="minorHAnsi" w:eastAsiaTheme="minorHAnsi" w:hAnsiTheme="minorHAnsi" w:cstheme="minorHAnsi"/>
          <w:bCs/>
          <w:sz w:val="24"/>
        </w:rPr>
      </w:pPr>
    </w:p>
    <w:p w14:paraId="1AC2C616" w14:textId="06A13A9B" w:rsidR="0083039C" w:rsidRDefault="0083039C" w:rsidP="0083039C">
      <w:pPr>
        <w:rPr>
          <w:rFonts w:asciiTheme="minorHAnsi" w:eastAsiaTheme="minorHAnsi" w:hAnsiTheme="minorHAnsi" w:cstheme="minorHAnsi"/>
          <w:bCs/>
          <w:sz w:val="24"/>
        </w:rPr>
      </w:pPr>
      <w:r>
        <w:rPr>
          <w:rFonts w:asciiTheme="minorHAnsi" w:eastAsiaTheme="minorHAnsi" w:hAnsiTheme="minorHAnsi" w:cstheme="minorHAnsi"/>
          <w:bCs/>
          <w:sz w:val="24"/>
        </w:rPr>
        <w:t>Z údajů v</w:t>
      </w:r>
      <w:r w:rsidR="00146CE2">
        <w:rPr>
          <w:rFonts w:asciiTheme="minorHAnsi" w:eastAsiaTheme="minorHAnsi" w:hAnsiTheme="minorHAnsi" w:cstheme="minorHAnsi"/>
          <w:bCs/>
          <w:sz w:val="24"/>
        </w:rPr>
        <w:t> </w:t>
      </w:r>
      <w:r>
        <w:rPr>
          <w:rFonts w:asciiTheme="minorHAnsi" w:eastAsiaTheme="minorHAnsi" w:hAnsiTheme="minorHAnsi" w:cstheme="minorHAnsi"/>
          <w:bCs/>
          <w:sz w:val="24"/>
        </w:rPr>
        <w:t>grafu</w:t>
      </w:r>
      <w:r w:rsidR="00146CE2">
        <w:rPr>
          <w:rFonts w:asciiTheme="minorHAnsi" w:eastAsiaTheme="minorHAnsi" w:hAnsiTheme="minorHAnsi" w:cstheme="minorHAnsi"/>
          <w:bCs/>
          <w:sz w:val="24"/>
        </w:rPr>
        <w:t xml:space="preserve"> č. 1</w:t>
      </w:r>
      <w:r>
        <w:rPr>
          <w:rFonts w:asciiTheme="minorHAnsi" w:eastAsiaTheme="minorHAnsi" w:hAnsiTheme="minorHAnsi" w:cstheme="minorHAnsi"/>
          <w:bCs/>
          <w:sz w:val="24"/>
        </w:rPr>
        <w:t xml:space="preserve"> je zřejmé, že se celkové p</w:t>
      </w:r>
      <w:r w:rsidRPr="009B4103">
        <w:rPr>
          <w:rFonts w:asciiTheme="minorHAnsi" w:eastAsiaTheme="minorHAnsi" w:hAnsiTheme="minorHAnsi" w:cstheme="minorHAnsi"/>
          <w:bCs/>
          <w:sz w:val="24"/>
        </w:rPr>
        <w:t xml:space="preserve">očty </w:t>
      </w:r>
      <w:r>
        <w:rPr>
          <w:rFonts w:asciiTheme="minorHAnsi" w:eastAsiaTheme="minorHAnsi" w:hAnsiTheme="minorHAnsi" w:cstheme="minorHAnsi"/>
          <w:bCs/>
          <w:sz w:val="24"/>
        </w:rPr>
        <w:t xml:space="preserve">i počty jednotlivých typů zásahů </w:t>
      </w:r>
      <w:r w:rsidRPr="009B4103">
        <w:rPr>
          <w:rFonts w:asciiTheme="minorHAnsi" w:eastAsiaTheme="minorHAnsi" w:hAnsiTheme="minorHAnsi" w:cstheme="minorHAnsi"/>
          <w:bCs/>
          <w:sz w:val="24"/>
        </w:rPr>
        <w:t>v průběhu let měnily, ale nejednalo se o trvalý růst nebo pokles.</w:t>
      </w:r>
      <w:r>
        <w:rPr>
          <w:rFonts w:asciiTheme="minorHAnsi" w:eastAsiaTheme="minorHAnsi" w:hAnsiTheme="minorHAnsi" w:cstheme="minorHAnsi"/>
          <w:bCs/>
          <w:sz w:val="24"/>
        </w:rPr>
        <w:t xml:space="preserve"> Počet zásahů u </w:t>
      </w:r>
      <w:r w:rsidR="00EF68B1">
        <w:rPr>
          <w:rFonts w:asciiTheme="minorHAnsi" w:eastAsiaTheme="minorHAnsi" w:hAnsiTheme="minorHAnsi" w:cstheme="minorHAnsi"/>
          <w:bCs/>
          <w:sz w:val="24"/>
        </w:rPr>
        <w:t>dopravních nehod</w:t>
      </w:r>
      <w:r>
        <w:rPr>
          <w:rFonts w:asciiTheme="minorHAnsi" w:eastAsiaTheme="minorHAnsi" w:hAnsiTheme="minorHAnsi" w:cstheme="minorHAnsi"/>
          <w:bCs/>
          <w:sz w:val="24"/>
        </w:rPr>
        <w:t xml:space="preserve"> ve sledovaném období nedosáhl předpokládaných 22 000 zásahů ročně. </w:t>
      </w:r>
      <w:r w:rsidR="005A1DE0">
        <w:rPr>
          <w:rFonts w:asciiTheme="minorHAnsi" w:eastAsiaTheme="minorHAnsi" w:hAnsiTheme="minorHAnsi" w:cstheme="minorHAnsi"/>
          <w:bCs/>
          <w:sz w:val="24"/>
        </w:rPr>
        <w:t xml:space="preserve">V roce 2014 zasahovaly </w:t>
      </w:r>
      <w:r w:rsidR="001A0234">
        <w:rPr>
          <w:rFonts w:asciiTheme="minorHAnsi" w:eastAsiaTheme="minorHAnsi" w:hAnsiTheme="minorHAnsi" w:cstheme="minorHAnsi"/>
          <w:bCs/>
          <w:sz w:val="24"/>
        </w:rPr>
        <w:t xml:space="preserve">jednotky požární ochrany </w:t>
      </w:r>
      <w:r w:rsidR="005A1DE0">
        <w:rPr>
          <w:rFonts w:asciiTheme="minorHAnsi" w:eastAsiaTheme="minorHAnsi" w:hAnsiTheme="minorHAnsi" w:cstheme="minorHAnsi"/>
          <w:bCs/>
          <w:sz w:val="24"/>
        </w:rPr>
        <w:t>u</w:t>
      </w:r>
      <w:r w:rsidR="00AD1D5C">
        <w:rPr>
          <w:rFonts w:asciiTheme="minorHAnsi" w:eastAsiaTheme="minorHAnsi" w:hAnsiTheme="minorHAnsi" w:cstheme="minorHAnsi"/>
          <w:bCs/>
          <w:sz w:val="24"/>
        </w:rPr>
        <w:t> </w:t>
      </w:r>
      <w:r w:rsidR="005A1DE0">
        <w:rPr>
          <w:rFonts w:asciiTheme="minorHAnsi" w:eastAsiaTheme="minorHAnsi" w:hAnsiTheme="minorHAnsi" w:cstheme="minorHAnsi"/>
          <w:bCs/>
          <w:sz w:val="24"/>
        </w:rPr>
        <w:t xml:space="preserve">19 219 dopravních nehod. </w:t>
      </w:r>
    </w:p>
    <w:p w14:paraId="62831F5A" w14:textId="77777777" w:rsidR="00511320" w:rsidRDefault="00511320" w:rsidP="0083039C">
      <w:pPr>
        <w:rPr>
          <w:rFonts w:asciiTheme="minorHAnsi" w:eastAsiaTheme="minorHAnsi" w:hAnsiTheme="minorHAnsi" w:cstheme="minorHAnsi"/>
          <w:bCs/>
          <w:sz w:val="24"/>
        </w:rPr>
      </w:pPr>
    </w:p>
    <w:p w14:paraId="2666EB84" w14:textId="0DAA5616" w:rsidR="008C71A8" w:rsidRDefault="005B3A2A" w:rsidP="00511320">
      <w:pPr>
        <w:rPr>
          <w:rFonts w:asciiTheme="minorHAnsi" w:eastAsiaTheme="minorHAnsi" w:hAnsiTheme="minorHAnsi" w:cstheme="minorHAnsi"/>
          <w:sz w:val="24"/>
        </w:rPr>
      </w:pPr>
      <w:r w:rsidRPr="00CD6F8A">
        <w:rPr>
          <w:rFonts w:asciiTheme="minorHAnsi" w:eastAsiaTheme="minorHAnsi" w:hAnsiTheme="minorHAnsi" w:cstheme="minorHAnsi"/>
          <w:i/>
          <w:sz w:val="24"/>
        </w:rPr>
        <w:t>Směrnicí k</w:t>
      </w:r>
      <w:r w:rsidR="00EF785F" w:rsidRPr="00CD6F8A">
        <w:rPr>
          <w:rFonts w:asciiTheme="minorHAnsi" w:eastAsiaTheme="minorHAnsi" w:hAnsiTheme="minorHAnsi" w:cstheme="minorHAnsi"/>
          <w:i/>
          <w:sz w:val="24"/>
        </w:rPr>
        <w:t> vyúčtování úhrad nákladů za zásahy prováděné u dopravních nehod jednotkami požární ochrany</w:t>
      </w:r>
      <w:r w:rsidR="00EF785F" w:rsidRPr="00A41065">
        <w:rPr>
          <w:rFonts w:asciiTheme="minorHAnsi" w:eastAsiaTheme="minorHAnsi" w:hAnsiTheme="minorHAnsi" w:cstheme="minorHAnsi"/>
          <w:sz w:val="24"/>
        </w:rPr>
        <w:t xml:space="preserve"> </w:t>
      </w:r>
      <w:r w:rsidRPr="00A41065">
        <w:rPr>
          <w:rFonts w:asciiTheme="minorHAnsi" w:eastAsiaTheme="minorHAnsi" w:hAnsiTheme="minorHAnsi" w:cstheme="minorHAnsi"/>
          <w:sz w:val="24"/>
        </w:rPr>
        <w:t xml:space="preserve">(dále jen „Směrnice“) upravilo </w:t>
      </w:r>
      <w:r w:rsidR="00B92B7C">
        <w:rPr>
          <w:rFonts w:asciiTheme="minorHAnsi" w:eastAsiaTheme="minorHAnsi" w:hAnsiTheme="minorHAnsi" w:cstheme="minorHAnsi"/>
          <w:sz w:val="24"/>
        </w:rPr>
        <w:t>GŘ</w:t>
      </w:r>
      <w:r w:rsidR="00B92B7C" w:rsidRPr="00A41065">
        <w:rPr>
          <w:rFonts w:asciiTheme="minorHAnsi" w:eastAsiaTheme="minorHAnsi" w:hAnsiTheme="minorHAnsi" w:cstheme="minorHAnsi"/>
          <w:sz w:val="24"/>
        </w:rPr>
        <w:t xml:space="preserve"> </w:t>
      </w:r>
      <w:r w:rsidR="00EF785F" w:rsidRPr="00A41065">
        <w:rPr>
          <w:rFonts w:asciiTheme="minorHAnsi" w:eastAsiaTheme="minorHAnsi" w:hAnsiTheme="minorHAnsi" w:cstheme="minorHAnsi"/>
          <w:sz w:val="24"/>
        </w:rPr>
        <w:t>postup HZSK při upla</w:t>
      </w:r>
      <w:r w:rsidR="00311C56" w:rsidRPr="00A41065">
        <w:rPr>
          <w:rFonts w:asciiTheme="minorHAnsi" w:eastAsiaTheme="minorHAnsi" w:hAnsiTheme="minorHAnsi" w:cstheme="minorHAnsi"/>
          <w:sz w:val="24"/>
        </w:rPr>
        <w:t>tňování úhrad</w:t>
      </w:r>
      <w:r w:rsidR="00EC18AE" w:rsidRPr="00A41065">
        <w:rPr>
          <w:rFonts w:asciiTheme="minorHAnsi" w:eastAsiaTheme="minorHAnsi" w:hAnsiTheme="minorHAnsi" w:cstheme="minorHAnsi"/>
          <w:sz w:val="24"/>
        </w:rPr>
        <w:t xml:space="preserve"> a</w:t>
      </w:r>
      <w:r w:rsidR="008F2BDC" w:rsidRPr="00A41065">
        <w:rPr>
          <w:rFonts w:asciiTheme="minorHAnsi" w:eastAsiaTheme="minorHAnsi" w:hAnsiTheme="minorHAnsi" w:cstheme="minorHAnsi"/>
          <w:sz w:val="24"/>
        </w:rPr>
        <w:t> </w:t>
      </w:r>
      <w:r w:rsidR="00EF785F" w:rsidRPr="00A41065">
        <w:rPr>
          <w:rFonts w:asciiTheme="minorHAnsi" w:eastAsiaTheme="minorHAnsi" w:hAnsiTheme="minorHAnsi" w:cstheme="minorHAnsi"/>
          <w:sz w:val="24"/>
        </w:rPr>
        <w:t>stanovilo podmínky, za kterých jsou HZSK oprávněny požado</w:t>
      </w:r>
      <w:r w:rsidR="00B70C96">
        <w:rPr>
          <w:rFonts w:asciiTheme="minorHAnsi" w:eastAsiaTheme="minorHAnsi" w:hAnsiTheme="minorHAnsi" w:cstheme="minorHAnsi"/>
          <w:sz w:val="24"/>
        </w:rPr>
        <w:t>vat náhrady nákladů za zásahy u </w:t>
      </w:r>
      <w:r w:rsidR="00EF68B1">
        <w:rPr>
          <w:rFonts w:asciiTheme="minorHAnsi" w:eastAsiaTheme="minorHAnsi" w:hAnsiTheme="minorHAnsi" w:cstheme="minorHAnsi"/>
          <w:sz w:val="24"/>
        </w:rPr>
        <w:t>dopravních nehod</w:t>
      </w:r>
      <w:r w:rsidR="00EF785F" w:rsidRPr="00A41065">
        <w:rPr>
          <w:rFonts w:asciiTheme="minorHAnsi" w:eastAsiaTheme="minorHAnsi" w:hAnsiTheme="minorHAnsi" w:cstheme="minorHAnsi"/>
          <w:sz w:val="24"/>
        </w:rPr>
        <w:t xml:space="preserve"> tak, aby byly v souladu s povinností pojišťoven poskytovat plnění za škodu způsobenou provozem vozidla</w:t>
      </w:r>
      <w:r w:rsidR="0023311D" w:rsidRPr="00A41065">
        <w:rPr>
          <w:rFonts w:asciiTheme="minorHAnsi" w:eastAsiaTheme="minorHAnsi" w:hAnsiTheme="minorHAnsi" w:cstheme="minorHAnsi"/>
          <w:sz w:val="24"/>
        </w:rPr>
        <w:t xml:space="preserve"> podle zákona </w:t>
      </w:r>
      <w:r w:rsidR="00802557" w:rsidRPr="00A41065">
        <w:rPr>
          <w:rFonts w:asciiTheme="minorHAnsi" w:eastAsiaTheme="minorHAnsi" w:hAnsiTheme="minorHAnsi" w:cstheme="minorHAnsi"/>
          <w:sz w:val="24"/>
        </w:rPr>
        <w:t>č. 168/1999 Sb.</w:t>
      </w:r>
      <w:r w:rsidR="00EF785F" w:rsidRPr="00A41065">
        <w:rPr>
          <w:rFonts w:asciiTheme="minorHAnsi" w:eastAsiaTheme="minorHAnsi" w:hAnsiTheme="minorHAnsi" w:cstheme="minorHAnsi"/>
          <w:sz w:val="24"/>
        </w:rPr>
        <w:t xml:space="preserve"> Z tohoto důvodu </w:t>
      </w:r>
      <w:r w:rsidR="00927E77">
        <w:rPr>
          <w:rFonts w:asciiTheme="minorHAnsi" w:eastAsiaTheme="minorHAnsi" w:hAnsiTheme="minorHAnsi" w:cstheme="minorHAnsi"/>
          <w:sz w:val="24"/>
        </w:rPr>
        <w:t>GŘ</w:t>
      </w:r>
      <w:r w:rsidR="00EF785F" w:rsidRPr="00A41065">
        <w:rPr>
          <w:rFonts w:asciiTheme="minorHAnsi" w:eastAsiaTheme="minorHAnsi" w:hAnsiTheme="minorHAnsi" w:cstheme="minorHAnsi"/>
          <w:sz w:val="24"/>
        </w:rPr>
        <w:t xml:space="preserve"> ve Směrnici </w:t>
      </w:r>
      <w:r w:rsidR="00EF785F" w:rsidRPr="00A41065">
        <w:rPr>
          <w:rFonts w:asciiTheme="minorHAnsi" w:eastAsiaTheme="minorHAnsi" w:hAnsiTheme="minorHAnsi" w:cstheme="minorHAnsi"/>
          <w:sz w:val="24"/>
        </w:rPr>
        <w:lastRenderedPageBreak/>
        <w:t xml:space="preserve">přizpůsobilo definici </w:t>
      </w:r>
      <w:r w:rsidR="00EF68B1">
        <w:rPr>
          <w:rFonts w:asciiTheme="minorHAnsi" w:eastAsiaTheme="minorHAnsi" w:hAnsiTheme="minorHAnsi" w:cstheme="minorHAnsi"/>
          <w:sz w:val="24"/>
        </w:rPr>
        <w:t>dopravní nehody</w:t>
      </w:r>
      <w:r w:rsidR="00EF785F" w:rsidRPr="00A41065">
        <w:rPr>
          <w:rFonts w:asciiTheme="minorHAnsi" w:eastAsiaTheme="minorHAnsi" w:hAnsiTheme="minorHAnsi" w:cstheme="minorHAnsi"/>
          <w:sz w:val="24"/>
        </w:rPr>
        <w:t xml:space="preserve">, </w:t>
      </w:r>
      <w:r w:rsidR="00800E06">
        <w:rPr>
          <w:rFonts w:asciiTheme="minorHAnsi" w:eastAsiaTheme="minorHAnsi" w:hAnsiTheme="minorHAnsi" w:cstheme="minorHAnsi"/>
          <w:sz w:val="24"/>
        </w:rPr>
        <w:t>za kterou</w:t>
      </w:r>
      <w:r w:rsidR="00EF785F" w:rsidRPr="00A41065">
        <w:rPr>
          <w:rFonts w:asciiTheme="minorHAnsi" w:eastAsiaTheme="minorHAnsi" w:hAnsiTheme="minorHAnsi" w:cstheme="minorHAnsi"/>
          <w:sz w:val="24"/>
        </w:rPr>
        <w:t xml:space="preserve"> nepovažuje mj. nehod</w:t>
      </w:r>
      <w:r w:rsidR="00FA7443" w:rsidRPr="00A41065">
        <w:rPr>
          <w:rFonts w:asciiTheme="minorHAnsi" w:eastAsiaTheme="minorHAnsi" w:hAnsiTheme="minorHAnsi" w:cstheme="minorHAnsi"/>
          <w:sz w:val="24"/>
        </w:rPr>
        <w:t>u</w:t>
      </w:r>
      <w:r w:rsidR="00EF785F" w:rsidRPr="00A41065">
        <w:rPr>
          <w:rFonts w:asciiTheme="minorHAnsi" w:eastAsiaTheme="minorHAnsi" w:hAnsiTheme="minorHAnsi" w:cstheme="minorHAnsi"/>
          <w:sz w:val="24"/>
        </w:rPr>
        <w:t xml:space="preserve"> vozidla, při níž</w:t>
      </w:r>
      <w:r w:rsidR="00FA7443" w:rsidRPr="00A41065">
        <w:rPr>
          <w:rFonts w:asciiTheme="minorHAnsi" w:eastAsiaTheme="minorHAnsi" w:hAnsiTheme="minorHAnsi" w:cstheme="minorHAnsi"/>
          <w:sz w:val="24"/>
        </w:rPr>
        <w:t xml:space="preserve"> </w:t>
      </w:r>
      <w:r w:rsidR="0023311D" w:rsidRPr="00A41065">
        <w:rPr>
          <w:rFonts w:asciiTheme="minorHAnsi" w:eastAsiaTheme="minorHAnsi" w:hAnsiTheme="minorHAnsi" w:cstheme="minorHAnsi"/>
          <w:sz w:val="24"/>
        </w:rPr>
        <w:t>nevzniklo pojistné plnění jiné osobě.</w:t>
      </w:r>
      <w:r w:rsidR="00EF785F" w:rsidRPr="00A41065">
        <w:rPr>
          <w:rFonts w:asciiTheme="minorHAnsi" w:eastAsiaTheme="minorHAnsi" w:hAnsiTheme="minorHAnsi" w:cstheme="minorHAnsi"/>
          <w:sz w:val="24"/>
        </w:rPr>
        <w:t xml:space="preserve"> </w:t>
      </w:r>
    </w:p>
    <w:p w14:paraId="5B56B149" w14:textId="77777777" w:rsidR="00511320" w:rsidRPr="00A41065" w:rsidRDefault="00511320" w:rsidP="00511320">
      <w:pPr>
        <w:rPr>
          <w:rFonts w:asciiTheme="minorHAnsi" w:eastAsiaTheme="minorHAnsi" w:hAnsiTheme="minorHAnsi" w:cstheme="minorHAnsi"/>
          <w:sz w:val="24"/>
        </w:rPr>
      </w:pPr>
    </w:p>
    <w:p w14:paraId="437E9156" w14:textId="7FEBC890" w:rsidR="008C71A8" w:rsidRDefault="008C71A8" w:rsidP="00511320">
      <w:pPr>
        <w:rPr>
          <w:rFonts w:asciiTheme="minorHAnsi" w:eastAsiaTheme="minorHAnsi" w:hAnsiTheme="minorHAnsi" w:cstheme="minorHAnsi"/>
          <w:sz w:val="24"/>
        </w:rPr>
      </w:pPr>
      <w:r w:rsidRPr="00A41065">
        <w:rPr>
          <w:rFonts w:asciiTheme="minorHAnsi" w:eastAsiaTheme="minorHAnsi" w:hAnsiTheme="minorHAnsi" w:cstheme="minorHAnsi"/>
          <w:sz w:val="24"/>
        </w:rPr>
        <w:t xml:space="preserve">O tom, zda se jedná o zásah u </w:t>
      </w:r>
      <w:r w:rsidR="00EF68B1">
        <w:rPr>
          <w:rFonts w:asciiTheme="minorHAnsi" w:eastAsiaTheme="minorHAnsi" w:hAnsiTheme="minorHAnsi" w:cstheme="minorHAnsi"/>
          <w:sz w:val="24"/>
        </w:rPr>
        <w:t>dopravních nehod</w:t>
      </w:r>
      <w:r w:rsidR="00EF68B1" w:rsidRPr="00A41065">
        <w:rPr>
          <w:rFonts w:asciiTheme="minorHAnsi" w:eastAsiaTheme="minorHAnsi" w:hAnsiTheme="minorHAnsi" w:cstheme="minorHAnsi"/>
          <w:sz w:val="24"/>
        </w:rPr>
        <w:t xml:space="preserve"> </w:t>
      </w:r>
      <w:r w:rsidR="000A5EB2" w:rsidRPr="00A41065">
        <w:rPr>
          <w:rFonts w:asciiTheme="minorHAnsi" w:eastAsiaTheme="minorHAnsi" w:hAnsiTheme="minorHAnsi" w:cstheme="minorHAnsi"/>
          <w:sz w:val="24"/>
        </w:rPr>
        <w:t xml:space="preserve">podle Směrnice, musí </w:t>
      </w:r>
      <w:r w:rsidRPr="00A41065">
        <w:rPr>
          <w:rFonts w:asciiTheme="minorHAnsi" w:eastAsiaTheme="minorHAnsi" w:hAnsiTheme="minorHAnsi" w:cstheme="minorHAnsi"/>
          <w:sz w:val="24"/>
        </w:rPr>
        <w:t xml:space="preserve">na místě </w:t>
      </w:r>
      <w:r w:rsidR="000A5EB2" w:rsidRPr="00A41065">
        <w:rPr>
          <w:rFonts w:asciiTheme="minorHAnsi" w:eastAsiaTheme="minorHAnsi" w:hAnsiTheme="minorHAnsi" w:cstheme="minorHAnsi"/>
          <w:sz w:val="24"/>
        </w:rPr>
        <w:t xml:space="preserve">rozhodnout </w:t>
      </w:r>
      <w:r w:rsidR="00C2104A">
        <w:rPr>
          <w:rFonts w:asciiTheme="minorHAnsi" w:eastAsiaTheme="minorHAnsi" w:hAnsiTheme="minorHAnsi" w:cstheme="minorHAnsi"/>
          <w:sz w:val="24"/>
        </w:rPr>
        <w:t>velitel zásahu</w:t>
      </w:r>
      <w:r w:rsidR="00B92B7C">
        <w:rPr>
          <w:rFonts w:asciiTheme="minorHAnsi" w:eastAsiaTheme="minorHAnsi" w:hAnsiTheme="minorHAnsi" w:cstheme="minorHAnsi"/>
          <w:sz w:val="24"/>
        </w:rPr>
        <w:t>,</w:t>
      </w:r>
      <w:r w:rsidR="00C2104A">
        <w:rPr>
          <w:rFonts w:asciiTheme="minorHAnsi" w:eastAsiaTheme="minorHAnsi" w:hAnsiTheme="minorHAnsi" w:cstheme="minorHAnsi"/>
          <w:sz w:val="24"/>
        </w:rPr>
        <w:t xml:space="preserve"> a </w:t>
      </w:r>
      <w:r w:rsidRPr="00A41065">
        <w:rPr>
          <w:rFonts w:asciiTheme="minorHAnsi" w:eastAsiaTheme="minorHAnsi" w:hAnsiTheme="minorHAnsi" w:cstheme="minorHAnsi"/>
          <w:sz w:val="24"/>
        </w:rPr>
        <w:t xml:space="preserve">pokud vyhodnotí, že se o takový zásah nejedná, podklady pro účtování nákladů zásahu nezpracovává a náklady za zásah nevyčísluje. </w:t>
      </w:r>
      <w:r w:rsidR="00AF3C8F">
        <w:rPr>
          <w:rFonts w:asciiTheme="minorHAnsi" w:eastAsiaTheme="minorHAnsi" w:hAnsiTheme="minorHAnsi" w:cstheme="minorHAnsi"/>
          <w:sz w:val="24"/>
        </w:rPr>
        <w:t>K </w:t>
      </w:r>
      <w:r w:rsidRPr="00A41065">
        <w:rPr>
          <w:rFonts w:asciiTheme="minorHAnsi" w:eastAsiaTheme="minorHAnsi" w:hAnsiTheme="minorHAnsi" w:cstheme="minorHAnsi"/>
          <w:sz w:val="24"/>
        </w:rPr>
        <w:t xml:space="preserve">tomuto rozhodnutí však nemusí mít velitel zásahu vždy </w:t>
      </w:r>
      <w:r w:rsidR="00AF3C8F">
        <w:rPr>
          <w:rFonts w:asciiTheme="minorHAnsi" w:eastAsiaTheme="minorHAnsi" w:hAnsiTheme="minorHAnsi" w:cstheme="minorHAnsi"/>
          <w:sz w:val="24"/>
        </w:rPr>
        <w:t>v </w:t>
      </w:r>
      <w:r w:rsidRPr="00A41065">
        <w:rPr>
          <w:rFonts w:asciiTheme="minorHAnsi" w:eastAsiaTheme="minorHAnsi" w:hAnsiTheme="minorHAnsi" w:cstheme="minorHAnsi"/>
          <w:sz w:val="24"/>
        </w:rPr>
        <w:t>daném místě a v daném okamžiku všechny relevantní informace.</w:t>
      </w:r>
    </w:p>
    <w:p w14:paraId="27DC2572" w14:textId="77777777" w:rsidR="00511320" w:rsidRPr="00A41065" w:rsidRDefault="00511320" w:rsidP="00511320">
      <w:pPr>
        <w:rPr>
          <w:rFonts w:asciiTheme="minorHAnsi" w:eastAsiaTheme="minorHAnsi" w:hAnsiTheme="minorHAnsi" w:cstheme="minorHAnsi"/>
          <w:sz w:val="24"/>
        </w:rPr>
      </w:pPr>
    </w:p>
    <w:p w14:paraId="30D6E652" w14:textId="1F3CE519" w:rsidR="0011701A" w:rsidRDefault="008C71A8" w:rsidP="00511320">
      <w:pPr>
        <w:pStyle w:val="Odstavecseseznamem1"/>
        <w:ind w:left="0"/>
        <w:jc w:val="both"/>
        <w:rPr>
          <w:rFonts w:asciiTheme="minorHAnsi" w:hAnsiTheme="minorHAnsi" w:cstheme="minorHAnsi"/>
          <w:bCs/>
        </w:rPr>
      </w:pPr>
      <w:r w:rsidRPr="00A41065">
        <w:rPr>
          <w:rFonts w:asciiTheme="minorHAnsi" w:hAnsiTheme="minorHAnsi" w:cstheme="minorHAnsi"/>
          <w:bCs/>
        </w:rPr>
        <w:t xml:space="preserve">Na vybraném vzorku </w:t>
      </w:r>
      <w:r w:rsidR="0011701A" w:rsidRPr="00A41065">
        <w:rPr>
          <w:rFonts w:asciiTheme="minorHAnsi" w:hAnsiTheme="minorHAnsi" w:cstheme="minorHAnsi"/>
          <w:bCs/>
        </w:rPr>
        <w:t xml:space="preserve">kontrolovaných </w:t>
      </w:r>
      <w:r w:rsidRPr="00A41065">
        <w:rPr>
          <w:rFonts w:asciiTheme="minorHAnsi" w:hAnsiTheme="minorHAnsi" w:cstheme="minorHAnsi"/>
          <w:bCs/>
        </w:rPr>
        <w:t xml:space="preserve">zásahů u </w:t>
      </w:r>
      <w:r w:rsidR="00EF68B1">
        <w:rPr>
          <w:rFonts w:asciiTheme="minorHAnsi" w:hAnsiTheme="minorHAnsi" w:cstheme="minorHAnsi"/>
          <w:bCs/>
        </w:rPr>
        <w:t>dopravních nehod</w:t>
      </w:r>
      <w:r w:rsidRPr="00A41065">
        <w:rPr>
          <w:rFonts w:asciiTheme="minorHAnsi" w:hAnsiTheme="minorHAnsi" w:cstheme="minorHAnsi"/>
          <w:bCs/>
        </w:rPr>
        <w:t xml:space="preserve"> byl zjištěn</w:t>
      </w:r>
      <w:r w:rsidR="0011701A" w:rsidRPr="00A41065">
        <w:rPr>
          <w:rFonts w:asciiTheme="minorHAnsi" w:hAnsiTheme="minorHAnsi" w:cstheme="minorHAnsi"/>
          <w:bCs/>
        </w:rPr>
        <w:t xml:space="preserve"> rozdílný přístup </w:t>
      </w:r>
      <w:r w:rsidR="00635B5E">
        <w:rPr>
          <w:rFonts w:asciiTheme="minorHAnsi" w:hAnsiTheme="minorHAnsi" w:cstheme="minorHAnsi"/>
          <w:bCs/>
        </w:rPr>
        <w:t xml:space="preserve">HZSK </w:t>
      </w:r>
      <w:r w:rsidR="00DC467B">
        <w:rPr>
          <w:rFonts w:asciiTheme="minorHAnsi" w:hAnsiTheme="minorHAnsi" w:cstheme="minorHAnsi"/>
          <w:bCs/>
        </w:rPr>
        <w:t>k </w:t>
      </w:r>
      <w:r w:rsidR="00E40068" w:rsidRPr="00A41065">
        <w:rPr>
          <w:rFonts w:asciiTheme="minorHAnsi" w:hAnsiTheme="minorHAnsi" w:cstheme="minorHAnsi"/>
          <w:bCs/>
        </w:rPr>
        <w:t xml:space="preserve">uplatnění náhrad </w:t>
      </w:r>
      <w:r w:rsidR="0011701A" w:rsidRPr="00A41065">
        <w:rPr>
          <w:rFonts w:asciiTheme="minorHAnsi" w:hAnsiTheme="minorHAnsi" w:cstheme="minorHAnsi"/>
          <w:bCs/>
        </w:rPr>
        <w:t xml:space="preserve">zejména </w:t>
      </w:r>
      <w:r w:rsidR="00DC467B">
        <w:rPr>
          <w:rFonts w:asciiTheme="minorHAnsi" w:hAnsiTheme="minorHAnsi" w:cstheme="minorHAnsi"/>
          <w:bCs/>
        </w:rPr>
        <w:t>v případě nehody</w:t>
      </w:r>
      <w:r w:rsidR="0011701A" w:rsidRPr="00A41065">
        <w:rPr>
          <w:rFonts w:asciiTheme="minorHAnsi" w:hAnsiTheme="minorHAnsi" w:cstheme="minorHAnsi"/>
          <w:bCs/>
        </w:rPr>
        <w:t xml:space="preserve"> </w:t>
      </w:r>
      <w:r w:rsidR="00131B91" w:rsidRPr="00A41065">
        <w:rPr>
          <w:rFonts w:asciiTheme="minorHAnsi" w:hAnsiTheme="minorHAnsi" w:cstheme="minorHAnsi"/>
          <w:bCs/>
        </w:rPr>
        <w:t xml:space="preserve">jediného vozidla, například </w:t>
      </w:r>
      <w:r w:rsidR="00C55E11" w:rsidRPr="00A41065">
        <w:rPr>
          <w:rFonts w:asciiTheme="minorHAnsi" w:hAnsiTheme="minorHAnsi" w:cstheme="minorHAnsi"/>
          <w:bCs/>
        </w:rPr>
        <w:t xml:space="preserve">při </w:t>
      </w:r>
      <w:r w:rsidR="0011701A" w:rsidRPr="00A41065">
        <w:rPr>
          <w:rFonts w:asciiTheme="minorHAnsi" w:hAnsiTheme="minorHAnsi" w:cstheme="minorHAnsi"/>
          <w:bCs/>
        </w:rPr>
        <w:t xml:space="preserve">odstranění vyteklé provozní kapaliny, </w:t>
      </w:r>
      <w:r w:rsidR="00131B91" w:rsidRPr="00A41065">
        <w:rPr>
          <w:rFonts w:asciiTheme="minorHAnsi" w:hAnsiTheme="minorHAnsi" w:cstheme="minorHAnsi"/>
          <w:bCs/>
        </w:rPr>
        <w:t xml:space="preserve">vyproštění vozidla, </w:t>
      </w:r>
      <w:r w:rsidR="009C47EE">
        <w:rPr>
          <w:rFonts w:asciiTheme="minorHAnsi" w:hAnsiTheme="minorHAnsi" w:cstheme="minorHAnsi"/>
          <w:bCs/>
        </w:rPr>
        <w:t>odstranění</w:t>
      </w:r>
      <w:r w:rsidR="0011701A" w:rsidRPr="00A41065">
        <w:rPr>
          <w:rFonts w:asciiTheme="minorHAnsi" w:hAnsiTheme="minorHAnsi" w:cstheme="minorHAnsi"/>
          <w:bCs/>
        </w:rPr>
        <w:t xml:space="preserve"> překážek z</w:t>
      </w:r>
      <w:r w:rsidR="00B218B0" w:rsidRPr="00A41065">
        <w:rPr>
          <w:rFonts w:asciiTheme="minorHAnsi" w:hAnsiTheme="minorHAnsi" w:cstheme="minorHAnsi"/>
          <w:bCs/>
        </w:rPr>
        <w:t> </w:t>
      </w:r>
      <w:r w:rsidR="0011701A" w:rsidRPr="00A41065">
        <w:rPr>
          <w:rFonts w:asciiTheme="minorHAnsi" w:hAnsiTheme="minorHAnsi" w:cstheme="minorHAnsi"/>
          <w:bCs/>
        </w:rPr>
        <w:t>komunikací</w:t>
      </w:r>
      <w:r w:rsidR="00B218B0" w:rsidRPr="00A41065">
        <w:rPr>
          <w:rFonts w:asciiTheme="minorHAnsi" w:hAnsiTheme="minorHAnsi" w:cstheme="minorHAnsi"/>
          <w:bCs/>
        </w:rPr>
        <w:t xml:space="preserve"> a nehod, </w:t>
      </w:r>
      <w:r w:rsidR="00B70C96">
        <w:rPr>
          <w:rFonts w:asciiTheme="minorHAnsi" w:hAnsiTheme="minorHAnsi" w:cstheme="minorHAnsi"/>
          <w:bCs/>
        </w:rPr>
        <w:t>u </w:t>
      </w:r>
      <w:r w:rsidR="008D003E">
        <w:rPr>
          <w:rFonts w:asciiTheme="minorHAnsi" w:hAnsiTheme="minorHAnsi" w:cstheme="minorHAnsi"/>
          <w:bCs/>
        </w:rPr>
        <w:t>kterých</w:t>
      </w:r>
      <w:r w:rsidR="00B218B0" w:rsidRPr="00A41065">
        <w:rPr>
          <w:rFonts w:asciiTheme="minorHAnsi" w:hAnsiTheme="minorHAnsi" w:cstheme="minorHAnsi"/>
          <w:bCs/>
        </w:rPr>
        <w:t xml:space="preserve"> ned</w:t>
      </w:r>
      <w:r w:rsidR="009E45F5">
        <w:rPr>
          <w:rFonts w:asciiTheme="minorHAnsi" w:hAnsiTheme="minorHAnsi" w:cstheme="minorHAnsi"/>
          <w:bCs/>
        </w:rPr>
        <w:t>ošlo</w:t>
      </w:r>
      <w:r w:rsidR="00B218B0" w:rsidRPr="00A41065">
        <w:rPr>
          <w:rFonts w:asciiTheme="minorHAnsi" w:hAnsiTheme="minorHAnsi" w:cstheme="minorHAnsi"/>
          <w:bCs/>
        </w:rPr>
        <w:t xml:space="preserve"> ke </w:t>
      </w:r>
      <w:r w:rsidR="00B218B0" w:rsidRPr="000E6EB3">
        <w:rPr>
          <w:rFonts w:asciiTheme="minorHAnsi" w:hAnsiTheme="minorHAnsi"/>
          <w:color w:val="000000" w:themeColor="text1"/>
        </w:rPr>
        <w:t>zranění</w:t>
      </w:r>
      <w:r w:rsidR="00C72D85" w:rsidRPr="000E6EB3">
        <w:rPr>
          <w:rFonts w:asciiTheme="minorHAnsi" w:hAnsiTheme="minorHAnsi"/>
          <w:color w:val="000000" w:themeColor="text1"/>
        </w:rPr>
        <w:t xml:space="preserve"> </w:t>
      </w:r>
      <w:r w:rsidR="00C72D85" w:rsidRPr="000867D4">
        <w:rPr>
          <w:rFonts w:asciiTheme="minorHAnsi" w:hAnsiTheme="minorHAnsi" w:cstheme="minorHAnsi"/>
          <w:bCs/>
          <w:color w:val="000000" w:themeColor="text1"/>
        </w:rPr>
        <w:t>nebo škodě</w:t>
      </w:r>
      <w:r w:rsidR="00B218B0" w:rsidRPr="000867D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B218B0" w:rsidRPr="000E6EB3">
        <w:rPr>
          <w:rFonts w:asciiTheme="minorHAnsi" w:hAnsiTheme="minorHAnsi"/>
          <w:color w:val="000000" w:themeColor="text1"/>
        </w:rPr>
        <w:t xml:space="preserve">jiné </w:t>
      </w:r>
      <w:r w:rsidR="00B218B0" w:rsidRPr="00A41065">
        <w:rPr>
          <w:rFonts w:asciiTheme="minorHAnsi" w:hAnsiTheme="minorHAnsi" w:cstheme="minorHAnsi"/>
          <w:bCs/>
        </w:rPr>
        <w:t xml:space="preserve">osoby než </w:t>
      </w:r>
      <w:r w:rsidR="00C72D85">
        <w:rPr>
          <w:rFonts w:asciiTheme="minorHAnsi" w:hAnsiTheme="minorHAnsi" w:cstheme="minorHAnsi"/>
          <w:bCs/>
        </w:rPr>
        <w:t>viníka nehody</w:t>
      </w:r>
      <w:r w:rsidR="00131B91" w:rsidRPr="00A41065">
        <w:rPr>
          <w:rFonts w:asciiTheme="minorHAnsi" w:hAnsiTheme="minorHAnsi" w:cstheme="minorHAnsi"/>
          <w:bCs/>
        </w:rPr>
        <w:t>.</w:t>
      </w:r>
    </w:p>
    <w:p w14:paraId="43955DC8" w14:textId="77777777" w:rsidR="00511320" w:rsidRPr="00511320" w:rsidRDefault="00511320" w:rsidP="00511320">
      <w:pPr>
        <w:pStyle w:val="Odstavecseseznamem1"/>
        <w:ind w:left="0"/>
        <w:jc w:val="both"/>
        <w:rPr>
          <w:rFonts w:asciiTheme="minorHAnsi" w:hAnsiTheme="minorHAnsi"/>
          <w:b/>
          <w:strike/>
        </w:rPr>
      </w:pPr>
    </w:p>
    <w:p w14:paraId="00826DAE" w14:textId="6D23743E" w:rsidR="009142B6" w:rsidRDefault="00E76B07" w:rsidP="00511320">
      <w:pPr>
        <w:rPr>
          <w:rFonts w:asciiTheme="minorHAnsi" w:eastAsiaTheme="minorHAnsi" w:hAnsiTheme="minorHAnsi" w:cstheme="minorHAnsi"/>
          <w:bCs/>
          <w:sz w:val="24"/>
        </w:rPr>
      </w:pPr>
      <w:r w:rsidRPr="00A41065">
        <w:rPr>
          <w:rFonts w:asciiTheme="minorHAnsi" w:eastAsiaTheme="minorHAnsi" w:hAnsiTheme="minorHAnsi" w:cstheme="minorHAnsi"/>
          <w:bCs/>
          <w:sz w:val="24"/>
        </w:rPr>
        <w:t>K uplatněným náhradám v těchto případech přistupovaly rozdílně i pojišťovny</w:t>
      </w:r>
      <w:r w:rsidR="00C55E11" w:rsidRPr="00A41065">
        <w:rPr>
          <w:rFonts w:asciiTheme="minorHAnsi" w:eastAsiaTheme="minorHAnsi" w:hAnsiTheme="minorHAnsi" w:cstheme="minorHAnsi"/>
          <w:bCs/>
          <w:sz w:val="24"/>
        </w:rPr>
        <w:t>. N</w:t>
      </w:r>
      <w:r w:rsidRPr="00A41065">
        <w:rPr>
          <w:rFonts w:asciiTheme="minorHAnsi" w:eastAsiaTheme="minorHAnsi" w:hAnsiTheme="minorHAnsi" w:cstheme="minorHAnsi"/>
          <w:bCs/>
          <w:sz w:val="24"/>
        </w:rPr>
        <w:t>ěkteré</w:t>
      </w:r>
      <w:r w:rsidR="00C55E11" w:rsidRPr="00A41065">
        <w:rPr>
          <w:rFonts w:asciiTheme="minorHAnsi" w:eastAsiaTheme="minorHAnsi" w:hAnsiTheme="minorHAnsi" w:cstheme="minorHAnsi"/>
          <w:bCs/>
          <w:sz w:val="24"/>
        </w:rPr>
        <w:t xml:space="preserve"> z nich </w:t>
      </w:r>
      <w:r w:rsidRPr="00A41065">
        <w:rPr>
          <w:rFonts w:asciiTheme="minorHAnsi" w:eastAsiaTheme="minorHAnsi" w:hAnsiTheme="minorHAnsi" w:cstheme="minorHAnsi"/>
          <w:bCs/>
          <w:sz w:val="24"/>
        </w:rPr>
        <w:t xml:space="preserve">požadované náhrady proplatily a některé </w:t>
      </w:r>
      <w:r w:rsidR="00C55E11" w:rsidRPr="00A41065">
        <w:rPr>
          <w:rFonts w:asciiTheme="minorHAnsi" w:eastAsiaTheme="minorHAnsi" w:hAnsiTheme="minorHAnsi" w:cstheme="minorHAnsi"/>
          <w:bCs/>
          <w:sz w:val="24"/>
        </w:rPr>
        <w:t xml:space="preserve">je </w:t>
      </w:r>
      <w:r w:rsidRPr="00A41065">
        <w:rPr>
          <w:rFonts w:asciiTheme="minorHAnsi" w:eastAsiaTheme="minorHAnsi" w:hAnsiTheme="minorHAnsi" w:cstheme="minorHAnsi"/>
          <w:bCs/>
          <w:sz w:val="24"/>
        </w:rPr>
        <w:t xml:space="preserve">odmítly proplatit </w:t>
      </w:r>
      <w:r w:rsidR="00635B5E">
        <w:rPr>
          <w:rFonts w:asciiTheme="minorHAnsi" w:eastAsiaTheme="minorHAnsi" w:hAnsiTheme="minorHAnsi" w:cstheme="minorHAnsi"/>
          <w:bCs/>
          <w:sz w:val="24"/>
        </w:rPr>
        <w:t xml:space="preserve">zejména </w:t>
      </w:r>
      <w:r w:rsidRPr="00A41065">
        <w:rPr>
          <w:rFonts w:asciiTheme="minorHAnsi" w:eastAsiaTheme="minorHAnsi" w:hAnsiTheme="minorHAnsi" w:cstheme="minorHAnsi"/>
          <w:bCs/>
          <w:sz w:val="24"/>
        </w:rPr>
        <w:t>s odůvodněním, že v</w:t>
      </w:r>
      <w:r w:rsidR="00782104" w:rsidRPr="00A41065">
        <w:rPr>
          <w:rFonts w:asciiTheme="minorHAnsi" w:eastAsiaTheme="minorHAnsi" w:hAnsiTheme="minorHAnsi" w:cstheme="minorHAnsi"/>
          <w:sz w:val="24"/>
        </w:rPr>
        <w:t xml:space="preserve"> těchto případech vzniká povinnost uhradit náklady tomu, kdo je svým jednáním vyvolal. </w:t>
      </w:r>
      <w:r w:rsidR="0015130D">
        <w:rPr>
          <w:rFonts w:ascii="Calibri" w:eastAsiaTheme="minorHAnsi" w:hAnsi="Calibri" w:cs="Calibri"/>
          <w:sz w:val="24"/>
        </w:rPr>
        <w:t>Možnost uplatnit náhradu nákladů proti v</w:t>
      </w:r>
      <w:r w:rsidR="000867D4">
        <w:rPr>
          <w:rFonts w:ascii="Calibri" w:eastAsiaTheme="minorHAnsi" w:hAnsi="Calibri" w:cs="Calibri"/>
          <w:sz w:val="24"/>
        </w:rPr>
        <w:t>iní</w:t>
      </w:r>
      <w:r w:rsidR="0015130D">
        <w:rPr>
          <w:rFonts w:ascii="Calibri" w:eastAsiaTheme="minorHAnsi" w:hAnsi="Calibri" w:cs="Calibri"/>
          <w:sz w:val="24"/>
        </w:rPr>
        <w:t xml:space="preserve">kům nehod není </w:t>
      </w:r>
      <w:r w:rsidR="0015130D" w:rsidRPr="000867D4">
        <w:rPr>
          <w:rFonts w:ascii="Calibri" w:eastAsiaTheme="minorHAnsi" w:hAnsi="Calibri" w:cs="Calibri"/>
          <w:color w:val="000000" w:themeColor="text1"/>
          <w:sz w:val="24"/>
        </w:rPr>
        <w:t xml:space="preserve">v zákoně č. 238/2000 Sb. </w:t>
      </w:r>
      <w:r w:rsidR="0015130D">
        <w:rPr>
          <w:rFonts w:ascii="Calibri" w:eastAsiaTheme="minorHAnsi" w:hAnsi="Calibri" w:cs="Calibri"/>
          <w:color w:val="000000" w:themeColor="text1"/>
          <w:sz w:val="24"/>
        </w:rPr>
        <w:t>uvedena</w:t>
      </w:r>
      <w:r w:rsidR="0015130D" w:rsidRPr="000867D4">
        <w:rPr>
          <w:rFonts w:ascii="Calibri" w:eastAsiaTheme="minorHAnsi" w:hAnsi="Calibri" w:cs="Calibri"/>
          <w:color w:val="000000" w:themeColor="text1"/>
          <w:sz w:val="24"/>
        </w:rPr>
        <w:t>.</w:t>
      </w:r>
      <w:r w:rsidR="009142B6" w:rsidRPr="009142B6">
        <w:rPr>
          <w:rFonts w:asciiTheme="minorHAnsi" w:eastAsiaTheme="minorHAnsi" w:hAnsiTheme="minorHAnsi" w:cstheme="minorHAnsi"/>
          <w:bCs/>
          <w:sz w:val="24"/>
        </w:rPr>
        <w:t xml:space="preserve"> </w:t>
      </w:r>
      <w:r w:rsidR="009142B6">
        <w:rPr>
          <w:rFonts w:asciiTheme="minorHAnsi" w:eastAsiaTheme="minorHAnsi" w:hAnsiTheme="minorHAnsi" w:cstheme="minorHAnsi"/>
          <w:bCs/>
          <w:sz w:val="24"/>
        </w:rPr>
        <w:t>GŘ</w:t>
      </w:r>
      <w:r w:rsidR="009142B6" w:rsidRPr="00EF785F">
        <w:rPr>
          <w:rFonts w:asciiTheme="minorHAnsi" w:eastAsiaTheme="minorHAnsi" w:hAnsiTheme="minorHAnsi" w:cstheme="minorHAnsi"/>
          <w:bCs/>
          <w:sz w:val="24"/>
        </w:rPr>
        <w:t xml:space="preserve"> nevydalo žádný řídicí interní akt nebo metodický pokyn, kterým by upravilo další postup HZSK v případ</w:t>
      </w:r>
      <w:r w:rsidR="009142B6">
        <w:rPr>
          <w:rFonts w:asciiTheme="minorHAnsi" w:eastAsiaTheme="minorHAnsi" w:hAnsiTheme="minorHAnsi" w:cstheme="minorHAnsi"/>
          <w:bCs/>
          <w:sz w:val="24"/>
        </w:rPr>
        <w:t>ech</w:t>
      </w:r>
      <w:r w:rsidR="009142B6" w:rsidRPr="00EF785F">
        <w:rPr>
          <w:rFonts w:asciiTheme="minorHAnsi" w:eastAsiaTheme="minorHAnsi" w:hAnsiTheme="minorHAnsi" w:cstheme="minorHAnsi"/>
          <w:bCs/>
          <w:sz w:val="24"/>
        </w:rPr>
        <w:t xml:space="preserve">, kdy pojišťovny odmítnou </w:t>
      </w:r>
      <w:r w:rsidR="009142B6">
        <w:rPr>
          <w:rFonts w:asciiTheme="minorHAnsi" w:eastAsiaTheme="minorHAnsi" w:hAnsiTheme="minorHAnsi" w:cstheme="minorHAnsi"/>
          <w:bCs/>
          <w:sz w:val="24"/>
        </w:rPr>
        <w:t xml:space="preserve">uhradit náklady </w:t>
      </w:r>
      <w:r w:rsidR="009142B6" w:rsidRPr="00EF785F">
        <w:rPr>
          <w:rFonts w:asciiTheme="minorHAnsi" w:eastAsiaTheme="minorHAnsi" w:hAnsiTheme="minorHAnsi" w:cstheme="minorHAnsi"/>
          <w:bCs/>
          <w:sz w:val="24"/>
        </w:rPr>
        <w:t>za zásah</w:t>
      </w:r>
      <w:r w:rsidR="009142B6">
        <w:rPr>
          <w:rFonts w:asciiTheme="minorHAnsi" w:eastAsiaTheme="minorHAnsi" w:hAnsiTheme="minorHAnsi" w:cstheme="minorHAnsi"/>
          <w:bCs/>
          <w:sz w:val="24"/>
        </w:rPr>
        <w:t>y</w:t>
      </w:r>
      <w:r w:rsidR="009142B6" w:rsidRPr="00EF785F">
        <w:rPr>
          <w:rFonts w:asciiTheme="minorHAnsi" w:eastAsiaTheme="minorHAnsi" w:hAnsiTheme="minorHAnsi" w:cstheme="minorHAnsi"/>
          <w:bCs/>
          <w:sz w:val="24"/>
        </w:rPr>
        <w:t>.</w:t>
      </w:r>
      <w:r w:rsidR="009142B6" w:rsidRPr="00F52C4E">
        <w:rPr>
          <w:rFonts w:asciiTheme="minorHAnsi" w:eastAsiaTheme="minorHAnsi" w:hAnsiTheme="minorHAnsi" w:cstheme="minorHAnsi"/>
          <w:bCs/>
          <w:sz w:val="24"/>
        </w:rPr>
        <w:t xml:space="preserve"> </w:t>
      </w:r>
    </w:p>
    <w:p w14:paraId="50078E2D" w14:textId="77777777" w:rsidR="00511320" w:rsidRDefault="00511320" w:rsidP="00511320">
      <w:pPr>
        <w:rPr>
          <w:rFonts w:asciiTheme="minorHAnsi" w:eastAsiaTheme="minorHAnsi" w:hAnsiTheme="minorHAnsi" w:cstheme="minorHAnsi"/>
          <w:bCs/>
          <w:sz w:val="24"/>
        </w:rPr>
      </w:pPr>
    </w:p>
    <w:p w14:paraId="335FB0BC" w14:textId="4736FDEC" w:rsidR="0028533F" w:rsidRDefault="009142B6" w:rsidP="00511320">
      <w:pPr>
        <w:rPr>
          <w:rFonts w:asciiTheme="minorHAnsi" w:eastAsiaTheme="minorHAnsi" w:hAnsiTheme="minorHAnsi" w:cstheme="minorHAnsi"/>
          <w:bCs/>
          <w:sz w:val="24"/>
        </w:rPr>
      </w:pPr>
      <w:r w:rsidRPr="003D4004">
        <w:rPr>
          <w:rFonts w:asciiTheme="minorHAnsi" w:hAnsiTheme="minorHAnsi" w:cstheme="minorHAnsi"/>
          <w:sz w:val="24"/>
        </w:rPr>
        <w:t>Před uplatněním nároku HZSK určily, kdo má podle zákona povinnost náklady zásahu uhradit, stanovily nárokovanou částku, ale nestanovily lhůtu splatnosti uplatněné pohledávky</w:t>
      </w:r>
      <w:r>
        <w:rPr>
          <w:rFonts w:asciiTheme="minorHAnsi" w:hAnsiTheme="minorHAnsi" w:cstheme="minorHAnsi"/>
          <w:sz w:val="24"/>
        </w:rPr>
        <w:t>. Následně</w:t>
      </w:r>
      <w:r w:rsidR="0028533F">
        <w:rPr>
          <w:rFonts w:asciiTheme="minorHAnsi" w:hAnsiTheme="minorHAnsi" w:cstheme="minorHAnsi"/>
          <w:sz w:val="24"/>
        </w:rPr>
        <w:t xml:space="preserve"> o</w:t>
      </w:r>
      <w:r w:rsidRPr="003D4004">
        <w:rPr>
          <w:rFonts w:asciiTheme="minorHAnsi" w:hAnsiTheme="minorHAnsi" w:cstheme="minorHAnsi"/>
          <w:sz w:val="24"/>
        </w:rPr>
        <w:t xml:space="preserve"> uplatněných nárocích </w:t>
      </w:r>
      <w:r>
        <w:rPr>
          <w:rFonts w:asciiTheme="minorHAnsi" w:hAnsiTheme="minorHAnsi" w:cstheme="minorHAnsi"/>
          <w:sz w:val="24"/>
        </w:rPr>
        <w:t xml:space="preserve">účtovaly </w:t>
      </w:r>
      <w:r w:rsidRPr="003D4004">
        <w:rPr>
          <w:rFonts w:asciiTheme="minorHAnsi" w:hAnsiTheme="minorHAnsi" w:cstheme="minorHAnsi"/>
          <w:sz w:val="24"/>
          <w:lang w:eastAsia="cs-CZ"/>
        </w:rPr>
        <w:t xml:space="preserve">pouze </w:t>
      </w:r>
      <w:r w:rsidRPr="003D4004">
        <w:rPr>
          <w:rFonts w:asciiTheme="minorHAnsi" w:hAnsiTheme="minorHAnsi" w:cstheme="minorHAnsi"/>
          <w:sz w:val="24"/>
        </w:rPr>
        <w:t>na podrozvahových účtech.</w:t>
      </w:r>
      <w:r>
        <w:rPr>
          <w:rFonts w:asciiTheme="minorHAnsi" w:hAnsiTheme="minorHAnsi" w:cstheme="minorHAnsi"/>
          <w:sz w:val="24"/>
        </w:rPr>
        <w:t xml:space="preserve"> </w:t>
      </w:r>
      <w:r w:rsidRPr="00383DD0">
        <w:rPr>
          <w:rFonts w:asciiTheme="minorHAnsi" w:hAnsiTheme="minorHAnsi" w:cstheme="minorHAnsi"/>
          <w:sz w:val="24"/>
        </w:rPr>
        <w:t>Tento způsob účtování neumožnil řádnou správu pohledávek, zejména z hlediska sledování jejich včasné úhrady, a nepodával úplný přehled o položkách pohledávek v účetnictví HZSK</w:t>
      </w:r>
      <w:r>
        <w:rPr>
          <w:rFonts w:asciiTheme="minorHAnsi" w:hAnsiTheme="minorHAnsi" w:cstheme="minorHAnsi"/>
          <w:sz w:val="24"/>
        </w:rPr>
        <w:t xml:space="preserve">. </w:t>
      </w:r>
      <w:r w:rsidR="00761BB5">
        <w:rPr>
          <w:rFonts w:asciiTheme="minorHAnsi" w:eastAsiaTheme="minorHAnsi" w:hAnsiTheme="minorHAnsi" w:cstheme="minorHAnsi"/>
          <w:bCs/>
          <w:sz w:val="24"/>
        </w:rPr>
        <w:t>P</w:t>
      </w:r>
      <w:r>
        <w:rPr>
          <w:rFonts w:asciiTheme="minorHAnsi" w:eastAsiaTheme="minorHAnsi" w:hAnsiTheme="minorHAnsi" w:cstheme="minorHAnsi"/>
          <w:bCs/>
          <w:sz w:val="24"/>
        </w:rPr>
        <w:t>ostup</w:t>
      </w:r>
      <w:r w:rsidR="00B92B7C">
        <w:rPr>
          <w:rFonts w:asciiTheme="minorHAnsi" w:eastAsiaTheme="minorHAnsi" w:hAnsiTheme="minorHAnsi" w:cstheme="minorHAnsi"/>
          <w:bCs/>
          <w:sz w:val="24"/>
        </w:rPr>
        <w:t>y</w:t>
      </w:r>
      <w:r>
        <w:rPr>
          <w:rFonts w:asciiTheme="minorHAnsi" w:eastAsiaTheme="minorHAnsi" w:hAnsiTheme="minorHAnsi" w:cstheme="minorHAnsi"/>
          <w:bCs/>
          <w:sz w:val="24"/>
        </w:rPr>
        <w:t xml:space="preserve"> HZSK při účtování o </w:t>
      </w:r>
      <w:r w:rsidRPr="00EF785F">
        <w:rPr>
          <w:rFonts w:asciiTheme="minorHAnsi" w:eastAsiaTheme="minorHAnsi" w:hAnsiTheme="minorHAnsi" w:cstheme="minorHAnsi"/>
          <w:bCs/>
          <w:sz w:val="24"/>
        </w:rPr>
        <w:t xml:space="preserve">náhradách </w:t>
      </w:r>
      <w:r>
        <w:rPr>
          <w:rFonts w:asciiTheme="minorHAnsi" w:eastAsiaTheme="minorHAnsi" w:hAnsiTheme="minorHAnsi" w:cstheme="minorHAnsi"/>
          <w:bCs/>
          <w:sz w:val="24"/>
        </w:rPr>
        <w:t xml:space="preserve">uplatněných na základě novely zákona č. 238/2000 Sb. </w:t>
      </w:r>
      <w:r w:rsidRPr="00EF785F">
        <w:rPr>
          <w:rFonts w:asciiTheme="minorHAnsi" w:eastAsiaTheme="minorHAnsi" w:hAnsiTheme="minorHAnsi" w:cstheme="minorHAnsi"/>
          <w:bCs/>
          <w:sz w:val="24"/>
        </w:rPr>
        <w:t>a</w:t>
      </w:r>
      <w:r w:rsidR="00B92B7C">
        <w:rPr>
          <w:rFonts w:asciiTheme="minorHAnsi" w:eastAsiaTheme="minorHAnsi" w:hAnsiTheme="minorHAnsi" w:cstheme="minorHAnsi"/>
          <w:bCs/>
          <w:sz w:val="24"/>
        </w:rPr>
        <w:t>ni</w:t>
      </w:r>
      <w:r w:rsidRPr="00EF785F">
        <w:rPr>
          <w:rFonts w:asciiTheme="minorHAnsi" w:eastAsiaTheme="minorHAnsi" w:hAnsiTheme="minorHAnsi" w:cstheme="minorHAnsi"/>
          <w:bCs/>
          <w:sz w:val="24"/>
        </w:rPr>
        <w:t xml:space="preserve"> </w:t>
      </w:r>
      <w:r w:rsidRPr="00F52C4E">
        <w:rPr>
          <w:rFonts w:asciiTheme="minorHAnsi" w:eastAsiaTheme="minorHAnsi" w:hAnsiTheme="minorHAnsi" w:cstheme="minorHAnsi"/>
          <w:bCs/>
          <w:sz w:val="24"/>
        </w:rPr>
        <w:t>postup</w:t>
      </w:r>
      <w:r w:rsidR="00B92B7C">
        <w:rPr>
          <w:rFonts w:asciiTheme="minorHAnsi" w:eastAsiaTheme="minorHAnsi" w:hAnsiTheme="minorHAnsi" w:cstheme="minorHAnsi"/>
          <w:bCs/>
          <w:sz w:val="24"/>
        </w:rPr>
        <w:t>y</w:t>
      </w:r>
      <w:r w:rsidRPr="00F52C4E">
        <w:rPr>
          <w:rFonts w:asciiTheme="minorHAnsi" w:eastAsiaTheme="minorHAnsi" w:hAnsiTheme="minorHAnsi" w:cstheme="minorHAnsi"/>
          <w:bCs/>
          <w:sz w:val="24"/>
        </w:rPr>
        <w:t xml:space="preserve"> při</w:t>
      </w:r>
      <w:r w:rsidRPr="00EF785F">
        <w:rPr>
          <w:rFonts w:asciiTheme="minorHAnsi" w:eastAsiaTheme="minorHAnsi" w:hAnsiTheme="minorHAnsi" w:cstheme="minorHAnsi"/>
          <w:bCs/>
          <w:sz w:val="24"/>
        </w:rPr>
        <w:t xml:space="preserve"> </w:t>
      </w:r>
      <w:r w:rsidRPr="00F52C4E">
        <w:rPr>
          <w:rFonts w:asciiTheme="minorHAnsi" w:eastAsiaTheme="minorHAnsi" w:hAnsiTheme="minorHAnsi" w:cstheme="minorHAnsi"/>
          <w:bCs/>
          <w:sz w:val="24"/>
        </w:rPr>
        <w:t xml:space="preserve">případném </w:t>
      </w:r>
      <w:r w:rsidRPr="00EF785F">
        <w:rPr>
          <w:rFonts w:asciiTheme="minorHAnsi" w:eastAsiaTheme="minorHAnsi" w:hAnsiTheme="minorHAnsi" w:cstheme="minorHAnsi"/>
          <w:bCs/>
          <w:sz w:val="24"/>
        </w:rPr>
        <w:t>odpisu pohledávek vzniklých na základě uplatněných</w:t>
      </w:r>
      <w:r w:rsidR="0028533F">
        <w:rPr>
          <w:rFonts w:asciiTheme="minorHAnsi" w:eastAsiaTheme="minorHAnsi" w:hAnsiTheme="minorHAnsi" w:cstheme="minorHAnsi"/>
          <w:bCs/>
          <w:sz w:val="24"/>
        </w:rPr>
        <w:t xml:space="preserve"> </w:t>
      </w:r>
      <w:r w:rsidR="0028533F" w:rsidRPr="00EF785F">
        <w:rPr>
          <w:rFonts w:asciiTheme="minorHAnsi" w:eastAsiaTheme="minorHAnsi" w:hAnsiTheme="minorHAnsi" w:cstheme="minorHAnsi"/>
          <w:bCs/>
          <w:sz w:val="24"/>
        </w:rPr>
        <w:t>náhrad</w:t>
      </w:r>
      <w:r w:rsidR="0028533F">
        <w:rPr>
          <w:rFonts w:asciiTheme="minorHAnsi" w:eastAsiaTheme="minorHAnsi" w:hAnsiTheme="minorHAnsi" w:cstheme="minorHAnsi"/>
          <w:bCs/>
          <w:sz w:val="24"/>
        </w:rPr>
        <w:t xml:space="preserve"> nebyl</w:t>
      </w:r>
      <w:r w:rsidR="00B92B7C">
        <w:rPr>
          <w:rFonts w:asciiTheme="minorHAnsi" w:eastAsiaTheme="minorHAnsi" w:hAnsiTheme="minorHAnsi" w:cstheme="minorHAnsi"/>
          <w:bCs/>
          <w:sz w:val="24"/>
        </w:rPr>
        <w:t>y</w:t>
      </w:r>
      <w:r w:rsidR="0028533F">
        <w:rPr>
          <w:rFonts w:asciiTheme="minorHAnsi" w:eastAsiaTheme="minorHAnsi" w:hAnsiTheme="minorHAnsi" w:cstheme="minorHAnsi"/>
          <w:bCs/>
          <w:sz w:val="24"/>
        </w:rPr>
        <w:t xml:space="preserve"> žádným řídicím aktem metodicky upraven</w:t>
      </w:r>
      <w:r w:rsidR="00B92B7C">
        <w:rPr>
          <w:rFonts w:asciiTheme="minorHAnsi" w:eastAsiaTheme="minorHAnsi" w:hAnsiTheme="minorHAnsi" w:cstheme="minorHAnsi"/>
          <w:bCs/>
          <w:sz w:val="24"/>
        </w:rPr>
        <w:t>y</w:t>
      </w:r>
      <w:r w:rsidR="0028533F">
        <w:rPr>
          <w:rFonts w:asciiTheme="minorHAnsi" w:eastAsiaTheme="minorHAnsi" w:hAnsiTheme="minorHAnsi" w:cstheme="minorHAnsi"/>
          <w:bCs/>
          <w:sz w:val="24"/>
        </w:rPr>
        <w:t xml:space="preserve">. </w:t>
      </w:r>
    </w:p>
    <w:p w14:paraId="4CE64796" w14:textId="77777777" w:rsidR="00511320" w:rsidRDefault="00511320" w:rsidP="00511320">
      <w:pPr>
        <w:rPr>
          <w:rFonts w:asciiTheme="minorHAnsi" w:eastAsiaTheme="minorHAnsi" w:hAnsiTheme="minorHAnsi" w:cstheme="minorHAnsi"/>
          <w:bCs/>
          <w:sz w:val="24"/>
        </w:rPr>
      </w:pPr>
    </w:p>
    <w:p w14:paraId="12BEF7E6" w14:textId="77777777" w:rsidR="00BA6AAA" w:rsidRDefault="00BA6AAA" w:rsidP="00511320">
      <w:pPr>
        <w:rPr>
          <w:rFonts w:asciiTheme="minorHAnsi" w:eastAsiaTheme="minorHAnsi" w:hAnsiTheme="minorHAnsi" w:cstheme="minorHAnsi"/>
          <w:bCs/>
          <w:sz w:val="24"/>
        </w:rPr>
      </w:pPr>
      <w:r>
        <w:rPr>
          <w:rFonts w:asciiTheme="minorHAnsi" w:eastAsiaTheme="minorHAnsi" w:hAnsiTheme="minorHAnsi" w:cstheme="minorHAnsi"/>
          <w:bCs/>
          <w:sz w:val="24"/>
        </w:rPr>
        <w:t>V</w:t>
      </w:r>
      <w:r w:rsidRPr="00EF785F">
        <w:rPr>
          <w:rFonts w:asciiTheme="minorHAnsi" w:eastAsiaTheme="minorHAnsi" w:hAnsiTheme="minorHAnsi" w:cstheme="minorHAnsi"/>
          <w:bCs/>
          <w:sz w:val="24"/>
        </w:rPr>
        <w:t xml:space="preserve"> průběhu roku 2014 jednalo </w:t>
      </w:r>
      <w:r>
        <w:rPr>
          <w:rFonts w:asciiTheme="minorHAnsi" w:eastAsiaTheme="minorHAnsi" w:hAnsiTheme="minorHAnsi" w:cstheme="minorHAnsi"/>
          <w:bCs/>
          <w:sz w:val="24"/>
        </w:rPr>
        <w:t xml:space="preserve">GŘ </w:t>
      </w:r>
      <w:r w:rsidRPr="00EF785F">
        <w:rPr>
          <w:rFonts w:asciiTheme="minorHAnsi" w:eastAsiaTheme="minorHAnsi" w:hAnsiTheme="minorHAnsi" w:cstheme="minorHAnsi"/>
          <w:bCs/>
          <w:sz w:val="24"/>
        </w:rPr>
        <w:t>s</w:t>
      </w:r>
      <w:r>
        <w:rPr>
          <w:rFonts w:asciiTheme="minorHAnsi" w:eastAsiaTheme="minorHAnsi" w:hAnsiTheme="minorHAnsi" w:cstheme="minorHAnsi"/>
          <w:bCs/>
          <w:sz w:val="24"/>
        </w:rPr>
        <w:t xml:space="preserve"> ČKP </w:t>
      </w:r>
      <w:r w:rsidRPr="00EF785F">
        <w:rPr>
          <w:rFonts w:asciiTheme="minorHAnsi" w:eastAsiaTheme="minorHAnsi" w:hAnsiTheme="minorHAnsi" w:cstheme="minorHAnsi"/>
          <w:bCs/>
          <w:sz w:val="24"/>
        </w:rPr>
        <w:t xml:space="preserve">a od poloviny roku 2015 s vedením České asociace pojišťoven ve věci vyřizování nedořešených finančních záležitostí za jednotlivé </w:t>
      </w:r>
      <w:r>
        <w:rPr>
          <w:rFonts w:asciiTheme="minorHAnsi" w:eastAsiaTheme="minorHAnsi" w:hAnsiTheme="minorHAnsi" w:cstheme="minorHAnsi"/>
          <w:bCs/>
          <w:sz w:val="24"/>
        </w:rPr>
        <w:t>dopravní nehody u konkrétních pojišťoven a s Úřadem pro zastupování státu ve věcech majetkových</w:t>
      </w:r>
      <w:r w:rsidRPr="002547F2">
        <w:rPr>
          <w:rFonts w:asciiTheme="minorHAnsi" w:eastAsiaTheme="minorHAnsi" w:hAnsiTheme="minorHAnsi" w:cstheme="minorHAnsi"/>
          <w:bCs/>
          <w:sz w:val="24"/>
        </w:rPr>
        <w:t xml:space="preserve"> </w:t>
      </w:r>
      <w:r>
        <w:rPr>
          <w:rFonts w:asciiTheme="minorHAnsi" w:eastAsiaTheme="minorHAnsi" w:hAnsiTheme="minorHAnsi" w:cstheme="minorHAnsi"/>
          <w:bCs/>
          <w:sz w:val="24"/>
        </w:rPr>
        <w:t>ve věci jejich vymáhání.</w:t>
      </w:r>
    </w:p>
    <w:p w14:paraId="711A2309" w14:textId="77777777" w:rsidR="00BA6AAA" w:rsidRDefault="00BA6AAA" w:rsidP="00BA6AAA">
      <w:pPr>
        <w:rPr>
          <w:rFonts w:ascii="Calibri" w:eastAsiaTheme="minorHAnsi" w:hAnsi="Calibri" w:cs="Calibri"/>
          <w:sz w:val="24"/>
        </w:rPr>
      </w:pPr>
    </w:p>
    <w:p w14:paraId="15359214" w14:textId="77777777" w:rsidR="00BA6AAA" w:rsidRDefault="00BA6AAA" w:rsidP="00BA6AAA">
      <w:pPr>
        <w:rPr>
          <w:rFonts w:ascii="Calibri" w:eastAsiaTheme="minorHAnsi" w:hAnsi="Calibri" w:cs="Calibri"/>
          <w:sz w:val="24"/>
        </w:rPr>
      </w:pPr>
      <w:r w:rsidRPr="00A41065">
        <w:rPr>
          <w:rFonts w:ascii="Calibri" w:eastAsiaTheme="minorHAnsi" w:hAnsi="Calibri" w:cs="Calibri"/>
          <w:sz w:val="24"/>
        </w:rPr>
        <w:t xml:space="preserve">Následující tabulka uvádí </w:t>
      </w:r>
      <w:r>
        <w:rPr>
          <w:rFonts w:ascii="Calibri" w:eastAsiaTheme="minorHAnsi" w:hAnsi="Calibri" w:cs="Calibri"/>
          <w:sz w:val="24"/>
        </w:rPr>
        <w:t xml:space="preserve">předpokládané náhrady z důvodových zpráv a skutečné </w:t>
      </w:r>
      <w:r w:rsidRPr="00A41065">
        <w:rPr>
          <w:rFonts w:ascii="Calibri" w:eastAsiaTheme="minorHAnsi" w:hAnsi="Calibri" w:cs="Calibri"/>
          <w:sz w:val="24"/>
        </w:rPr>
        <w:t>uplatněn</w:t>
      </w:r>
      <w:r>
        <w:rPr>
          <w:rFonts w:ascii="Calibri" w:eastAsiaTheme="minorHAnsi" w:hAnsi="Calibri" w:cs="Calibri"/>
          <w:sz w:val="24"/>
        </w:rPr>
        <w:t xml:space="preserve">é náhrady a </w:t>
      </w:r>
      <w:r w:rsidRPr="00A41065">
        <w:rPr>
          <w:rFonts w:ascii="Calibri" w:eastAsiaTheme="minorHAnsi" w:hAnsi="Calibri" w:cs="Calibri"/>
          <w:sz w:val="24"/>
        </w:rPr>
        <w:t>přijat</w:t>
      </w:r>
      <w:r>
        <w:rPr>
          <w:rFonts w:ascii="Calibri" w:eastAsiaTheme="minorHAnsi" w:hAnsi="Calibri" w:cs="Calibri"/>
          <w:sz w:val="24"/>
        </w:rPr>
        <w:t>é úhrady</w:t>
      </w:r>
      <w:r w:rsidRPr="00A41065">
        <w:rPr>
          <w:rFonts w:ascii="Calibri" w:eastAsiaTheme="minorHAnsi" w:hAnsi="Calibri" w:cs="Calibri"/>
          <w:sz w:val="24"/>
        </w:rPr>
        <w:t xml:space="preserve"> v roce 2014. </w:t>
      </w:r>
    </w:p>
    <w:p w14:paraId="39552D45" w14:textId="77777777" w:rsidR="00511320" w:rsidRPr="00A41065" w:rsidRDefault="00511320" w:rsidP="00BA6AAA">
      <w:pPr>
        <w:rPr>
          <w:rFonts w:ascii="Calibri" w:eastAsiaTheme="minorHAnsi" w:hAnsi="Calibri" w:cs="Calibri"/>
          <w:sz w:val="24"/>
        </w:rPr>
      </w:pPr>
    </w:p>
    <w:p w14:paraId="4331CCED" w14:textId="6D7398DB" w:rsidR="00BA6AAA" w:rsidRPr="00F146E7" w:rsidRDefault="00BA6AAA" w:rsidP="00511320">
      <w:pPr>
        <w:tabs>
          <w:tab w:val="right" w:pos="9072"/>
        </w:tabs>
        <w:rPr>
          <w:rFonts w:ascii="Calibri" w:eastAsiaTheme="minorHAnsi" w:hAnsi="Calibri" w:cs="Calibri"/>
          <w:b/>
          <w:sz w:val="24"/>
        </w:rPr>
      </w:pPr>
      <w:r w:rsidRPr="00511320">
        <w:rPr>
          <w:rFonts w:asciiTheme="minorHAnsi" w:eastAsiaTheme="minorHAnsi" w:hAnsiTheme="minorHAnsi" w:cstheme="minorHAnsi"/>
          <w:b/>
          <w:sz w:val="24"/>
        </w:rPr>
        <w:t>Tabulka č. 2 </w:t>
      </w:r>
      <w:r w:rsidR="00511320" w:rsidRPr="00511320">
        <w:rPr>
          <w:rFonts w:asciiTheme="minorHAnsi" w:eastAsiaTheme="minorHAnsi" w:hAnsiTheme="minorHAnsi" w:cstheme="minorHAnsi"/>
          <w:b/>
          <w:sz w:val="24"/>
        </w:rPr>
        <w:t>–</w:t>
      </w:r>
      <w:r w:rsidRPr="00511320">
        <w:rPr>
          <w:rFonts w:asciiTheme="minorHAnsi" w:eastAsiaTheme="minorHAnsi" w:hAnsiTheme="minorHAnsi" w:cstheme="minorHAnsi"/>
          <w:b/>
          <w:sz w:val="24"/>
        </w:rPr>
        <w:t> Předpokládané</w:t>
      </w:r>
      <w:r>
        <w:rPr>
          <w:rFonts w:ascii="Calibri" w:eastAsiaTheme="minorHAnsi" w:hAnsi="Calibri" w:cs="Calibri"/>
          <w:b/>
          <w:sz w:val="24"/>
        </w:rPr>
        <w:t xml:space="preserve"> a skutečné ú</w:t>
      </w:r>
      <w:r w:rsidRPr="00F146E7">
        <w:rPr>
          <w:rFonts w:ascii="Calibri" w:eastAsiaTheme="minorHAnsi" w:hAnsi="Calibri" w:cs="Calibri"/>
          <w:b/>
          <w:sz w:val="24"/>
        </w:rPr>
        <w:t>hrad</w:t>
      </w:r>
      <w:r>
        <w:rPr>
          <w:rFonts w:ascii="Calibri" w:eastAsiaTheme="minorHAnsi" w:hAnsi="Calibri" w:cs="Calibri"/>
          <w:b/>
          <w:sz w:val="24"/>
        </w:rPr>
        <w:t>y</w:t>
      </w:r>
      <w:r w:rsidRPr="00F146E7">
        <w:rPr>
          <w:rFonts w:ascii="Calibri" w:eastAsiaTheme="minorHAnsi" w:hAnsi="Calibri" w:cs="Calibri"/>
          <w:b/>
          <w:sz w:val="24"/>
        </w:rPr>
        <w:t xml:space="preserve"> za zásahy u </w:t>
      </w:r>
      <w:r>
        <w:rPr>
          <w:rFonts w:ascii="Calibri" w:eastAsiaTheme="minorHAnsi" w:hAnsi="Calibri" w:cs="Calibri"/>
          <w:b/>
          <w:sz w:val="24"/>
        </w:rPr>
        <w:t>dopravních nehod</w:t>
      </w:r>
      <w:r w:rsidRPr="00F146E7">
        <w:rPr>
          <w:rFonts w:ascii="Calibri" w:eastAsiaTheme="minorHAnsi" w:hAnsi="Calibri" w:cs="Calibri"/>
          <w:b/>
          <w:sz w:val="24"/>
        </w:rPr>
        <w:tab/>
        <w:t>(v Kč)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928"/>
        <w:gridCol w:w="1928"/>
        <w:gridCol w:w="1928"/>
        <w:gridCol w:w="1979"/>
      </w:tblGrid>
      <w:tr w:rsidR="00BA6AAA" w:rsidRPr="00EF785F" w14:paraId="5D558F84" w14:textId="77777777" w:rsidTr="00DE3932">
        <w:trPr>
          <w:trHeight w:val="300"/>
        </w:trPr>
        <w:tc>
          <w:tcPr>
            <w:tcW w:w="716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88F7AC2" w14:textId="77777777" w:rsidR="00BA6AAA" w:rsidRPr="00C2104A" w:rsidRDefault="00BA6AAA" w:rsidP="006F1DF6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  <w:t>Záchranný sbor</w:t>
            </w:r>
          </w:p>
        </w:tc>
        <w:tc>
          <w:tcPr>
            <w:tcW w:w="2127" w:type="pct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63655C6F" w14:textId="77777777" w:rsidR="00BA6AAA" w:rsidRPr="00C2104A" w:rsidRDefault="00BA6AAA" w:rsidP="006F1DF6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b/>
                <w:szCs w:val="22"/>
                <w:lang w:eastAsia="cs-CZ"/>
              </w:rPr>
              <w:t>Předpokládan</w:t>
            </w:r>
            <w:r>
              <w:rPr>
                <w:rFonts w:asciiTheme="minorHAnsi" w:eastAsiaTheme="minorHAnsi" w:hAnsiTheme="minorHAnsi" w:cstheme="minorHAnsi"/>
                <w:b/>
                <w:szCs w:val="22"/>
                <w:lang w:eastAsia="cs-CZ"/>
              </w:rPr>
              <w:t>ý</w:t>
            </w:r>
            <w:r w:rsidRPr="00C2104A">
              <w:rPr>
                <w:rFonts w:asciiTheme="minorHAnsi" w:eastAsiaTheme="minorHAnsi" w:hAnsiTheme="minorHAnsi" w:cstheme="minorHAnsi"/>
                <w:b/>
                <w:szCs w:val="22"/>
                <w:lang w:eastAsia="cs-CZ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Cs w:val="22"/>
                <w:lang w:eastAsia="cs-CZ"/>
              </w:rPr>
              <w:t>roční příjem</w:t>
            </w:r>
            <w:r w:rsidRPr="00C2104A">
              <w:rPr>
                <w:rFonts w:asciiTheme="minorHAnsi" w:eastAsiaTheme="minorHAnsi" w:hAnsiTheme="minorHAnsi" w:cstheme="minorHAnsi"/>
                <w:b/>
                <w:szCs w:val="22"/>
                <w:lang w:eastAsia="cs-CZ"/>
              </w:rPr>
              <w:t xml:space="preserve"> </w:t>
            </w:r>
          </w:p>
        </w:tc>
        <w:tc>
          <w:tcPr>
            <w:tcW w:w="2156" w:type="pct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298071C" w14:textId="77777777" w:rsidR="00BA6AAA" w:rsidRPr="00C2104A" w:rsidRDefault="00BA6AAA" w:rsidP="006F1DF6">
            <w:pPr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b/>
                <w:szCs w:val="22"/>
                <w:lang w:eastAsia="cs-CZ"/>
              </w:rPr>
              <w:t>Skutečnost 2014</w:t>
            </w:r>
          </w:p>
        </w:tc>
      </w:tr>
      <w:tr w:rsidR="00BA6AAA" w:rsidRPr="00EF785F" w14:paraId="310A8188" w14:textId="77777777" w:rsidTr="00DE3932">
        <w:trPr>
          <w:trHeight w:val="300"/>
        </w:trPr>
        <w:tc>
          <w:tcPr>
            <w:tcW w:w="716" w:type="pct"/>
            <w:vMerge/>
            <w:shd w:val="clear" w:color="auto" w:fill="DBE5F1" w:themeFill="accent1" w:themeFillTint="33"/>
            <w:noWrap/>
            <w:vAlign w:val="bottom"/>
            <w:hideMark/>
          </w:tcPr>
          <w:p w14:paraId="366FACB2" w14:textId="77777777" w:rsidR="00BA6AAA" w:rsidRPr="00C2104A" w:rsidRDefault="00BA6AAA" w:rsidP="006F1DF6">
            <w:pPr>
              <w:jc w:val="left"/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</w:pPr>
          </w:p>
        </w:tc>
        <w:tc>
          <w:tcPr>
            <w:tcW w:w="1063" w:type="pct"/>
            <w:shd w:val="clear" w:color="auto" w:fill="DBE5F1" w:themeFill="accent1" w:themeFillTint="33"/>
            <w:noWrap/>
            <w:vAlign w:val="center"/>
            <w:hideMark/>
          </w:tcPr>
          <w:p w14:paraId="7540F829" w14:textId="77777777" w:rsidR="00BA6AAA" w:rsidRPr="00C2104A" w:rsidRDefault="00BA6AAA" w:rsidP="006F1DF6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b/>
                <w:szCs w:val="22"/>
                <w:lang w:eastAsia="cs-CZ"/>
              </w:rPr>
              <w:t>Důvodová zpráva</w:t>
            </w:r>
            <w:r w:rsidRPr="00C2104A"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  <w:t xml:space="preserve"> k zákonu</w:t>
            </w:r>
          </w:p>
        </w:tc>
        <w:tc>
          <w:tcPr>
            <w:tcW w:w="1064" w:type="pct"/>
            <w:shd w:val="clear" w:color="auto" w:fill="DBE5F1" w:themeFill="accent1" w:themeFillTint="33"/>
            <w:noWrap/>
            <w:vAlign w:val="center"/>
            <w:hideMark/>
          </w:tcPr>
          <w:p w14:paraId="587D3262" w14:textId="77777777" w:rsidR="00BA6AAA" w:rsidRPr="00C2104A" w:rsidRDefault="00BA6AAA" w:rsidP="006F1DF6">
            <w:pPr>
              <w:ind w:left="-78" w:right="-83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b/>
                <w:szCs w:val="22"/>
                <w:lang w:eastAsia="cs-CZ"/>
              </w:rPr>
              <w:t>Důvodová zpráva</w:t>
            </w:r>
            <w:r w:rsidRPr="00C2104A"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  <w:t xml:space="preserve"> k nařízení vlády</w:t>
            </w:r>
          </w:p>
        </w:tc>
        <w:tc>
          <w:tcPr>
            <w:tcW w:w="1064" w:type="pct"/>
            <w:shd w:val="clear" w:color="auto" w:fill="DBE5F1" w:themeFill="accent1" w:themeFillTint="33"/>
            <w:noWrap/>
            <w:vAlign w:val="center"/>
            <w:hideMark/>
          </w:tcPr>
          <w:p w14:paraId="5602AC3F" w14:textId="77777777" w:rsidR="00BA6AAA" w:rsidRPr="00C2104A" w:rsidRDefault="00BA6AAA" w:rsidP="006F1DF6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  <w:t>Uplatněné</w:t>
            </w:r>
          </w:p>
          <w:p w14:paraId="3F96D423" w14:textId="77777777" w:rsidR="00BA6AAA" w:rsidRPr="00C2104A" w:rsidRDefault="00BA6AAA" w:rsidP="006F1DF6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  <w:t>náhrady</w:t>
            </w:r>
          </w:p>
        </w:tc>
        <w:tc>
          <w:tcPr>
            <w:tcW w:w="1092" w:type="pct"/>
            <w:shd w:val="clear" w:color="auto" w:fill="DBE5F1" w:themeFill="accent1" w:themeFillTint="33"/>
            <w:vAlign w:val="center"/>
          </w:tcPr>
          <w:p w14:paraId="18552818" w14:textId="77777777" w:rsidR="00BA6AAA" w:rsidRPr="00C2104A" w:rsidRDefault="00BA6AAA" w:rsidP="006F1DF6">
            <w:pPr>
              <w:ind w:left="-78" w:right="-83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  <w:t xml:space="preserve">Přijaté </w:t>
            </w:r>
          </w:p>
          <w:p w14:paraId="15EFF158" w14:textId="77777777" w:rsidR="00BA6AAA" w:rsidRPr="00C2104A" w:rsidRDefault="00BA6AAA" w:rsidP="006F1DF6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b/>
                <w:color w:val="000000"/>
                <w:szCs w:val="22"/>
                <w:lang w:eastAsia="cs-CZ"/>
              </w:rPr>
              <w:t>úhrady</w:t>
            </w:r>
          </w:p>
        </w:tc>
      </w:tr>
      <w:tr w:rsidR="00BA6AAA" w:rsidRPr="00EF785F" w14:paraId="563616CC" w14:textId="77777777" w:rsidTr="006734C1">
        <w:trPr>
          <w:trHeight w:val="300"/>
        </w:trPr>
        <w:tc>
          <w:tcPr>
            <w:tcW w:w="716" w:type="pct"/>
            <w:shd w:val="clear" w:color="auto" w:fill="auto"/>
            <w:noWrap/>
            <w:vAlign w:val="center"/>
          </w:tcPr>
          <w:p w14:paraId="7B17F999" w14:textId="77777777" w:rsidR="00BA6AAA" w:rsidRPr="00C2104A" w:rsidRDefault="00BA6AAA" w:rsidP="006F1DF6">
            <w:pPr>
              <w:jc w:val="left"/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  <w:t>HZSK</w:t>
            </w:r>
          </w:p>
        </w:tc>
        <w:tc>
          <w:tcPr>
            <w:tcW w:w="1063" w:type="pct"/>
            <w:vMerge w:val="restart"/>
            <w:shd w:val="clear" w:color="auto" w:fill="auto"/>
            <w:noWrap/>
            <w:vAlign w:val="center"/>
          </w:tcPr>
          <w:p w14:paraId="61CF4F73" w14:textId="77777777" w:rsidR="00BA6AAA" w:rsidRPr="00C2104A" w:rsidRDefault="00BA6AAA" w:rsidP="006F1DF6">
            <w:pPr>
              <w:tabs>
                <w:tab w:val="left" w:pos="1345"/>
              </w:tabs>
              <w:ind w:right="72"/>
              <w:jc w:val="right"/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hAnsiTheme="minorHAnsi" w:cstheme="minorHAnsi"/>
                <w:szCs w:val="22"/>
              </w:rPr>
              <w:t>303 600 000</w:t>
            </w:r>
          </w:p>
        </w:tc>
        <w:tc>
          <w:tcPr>
            <w:tcW w:w="1064" w:type="pct"/>
            <w:vMerge w:val="restart"/>
            <w:shd w:val="clear" w:color="auto" w:fill="auto"/>
            <w:noWrap/>
            <w:vAlign w:val="center"/>
          </w:tcPr>
          <w:p w14:paraId="6927EC21" w14:textId="77777777" w:rsidR="00BA6AAA" w:rsidRPr="00C2104A" w:rsidRDefault="00BA6AAA" w:rsidP="006F1DF6">
            <w:pPr>
              <w:tabs>
                <w:tab w:val="left" w:pos="1345"/>
              </w:tabs>
              <w:ind w:right="72"/>
              <w:jc w:val="right"/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  <w:t>246 400 000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14:paraId="3B9AA9C5" w14:textId="77777777" w:rsidR="00BA6AAA" w:rsidRPr="00C2104A" w:rsidRDefault="00BA6AAA" w:rsidP="006F1DF6">
            <w:pPr>
              <w:tabs>
                <w:tab w:val="left" w:pos="1345"/>
              </w:tabs>
              <w:ind w:right="72"/>
              <w:jc w:val="right"/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  <w:t>169 119 200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376FC71B" w14:textId="77777777" w:rsidR="00BA6AAA" w:rsidRPr="00C2104A" w:rsidRDefault="00BA6AAA" w:rsidP="006F1DF6">
            <w:pPr>
              <w:tabs>
                <w:tab w:val="left" w:pos="1345"/>
              </w:tabs>
              <w:ind w:right="72"/>
              <w:jc w:val="right"/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  <w:t>121 045 204</w:t>
            </w:r>
          </w:p>
        </w:tc>
      </w:tr>
      <w:tr w:rsidR="00BA6AAA" w:rsidRPr="00CF6103" w14:paraId="3C321D0F" w14:textId="77777777" w:rsidTr="006734C1">
        <w:trPr>
          <w:trHeight w:val="300"/>
        </w:trPr>
        <w:tc>
          <w:tcPr>
            <w:tcW w:w="716" w:type="pct"/>
            <w:shd w:val="clear" w:color="auto" w:fill="auto"/>
            <w:noWrap/>
            <w:vAlign w:val="center"/>
          </w:tcPr>
          <w:p w14:paraId="74156E97" w14:textId="77777777" w:rsidR="00BA6AAA" w:rsidRPr="00C2104A" w:rsidRDefault="00BA6AAA" w:rsidP="006F1DF6">
            <w:pPr>
              <w:jc w:val="left"/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</w:pPr>
            <w:r w:rsidRPr="00C2104A">
              <w:rPr>
                <w:rFonts w:ascii="Calibri" w:eastAsiaTheme="minorHAnsi" w:hAnsi="Calibri" w:cs="Calibri"/>
                <w:szCs w:val="22"/>
              </w:rPr>
              <w:t>JSDH</w:t>
            </w:r>
            <w:r>
              <w:rPr>
                <w:rFonts w:ascii="Calibri" w:eastAsiaTheme="minorHAnsi" w:hAnsi="Calibri" w:cs="Calibri"/>
                <w:szCs w:val="22"/>
              </w:rPr>
              <w:t>*</w:t>
            </w:r>
            <w:r w:rsidRPr="00C2104A">
              <w:rPr>
                <w:rFonts w:ascii="Calibri" w:eastAsiaTheme="minorHAnsi" w:hAnsi="Calibri" w:cs="Calibri"/>
                <w:szCs w:val="22"/>
              </w:rPr>
              <w:t xml:space="preserve"> </w:t>
            </w:r>
          </w:p>
        </w:tc>
        <w:tc>
          <w:tcPr>
            <w:tcW w:w="1063" w:type="pct"/>
            <w:vMerge/>
            <w:shd w:val="clear" w:color="auto" w:fill="auto"/>
            <w:noWrap/>
            <w:vAlign w:val="center"/>
          </w:tcPr>
          <w:p w14:paraId="754098EE" w14:textId="77777777" w:rsidR="00BA6AAA" w:rsidRPr="00C2104A" w:rsidRDefault="00BA6AAA" w:rsidP="006F1DF6">
            <w:pPr>
              <w:tabs>
                <w:tab w:val="left" w:pos="1345"/>
              </w:tabs>
              <w:ind w:right="72"/>
              <w:jc w:val="right"/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</w:pPr>
          </w:p>
        </w:tc>
        <w:tc>
          <w:tcPr>
            <w:tcW w:w="1064" w:type="pct"/>
            <w:vMerge/>
            <w:shd w:val="clear" w:color="auto" w:fill="auto"/>
            <w:noWrap/>
            <w:vAlign w:val="center"/>
          </w:tcPr>
          <w:p w14:paraId="4A37C8E3" w14:textId="77777777" w:rsidR="00BA6AAA" w:rsidRPr="00C2104A" w:rsidRDefault="00BA6AAA" w:rsidP="006F1DF6">
            <w:pPr>
              <w:tabs>
                <w:tab w:val="left" w:pos="1345"/>
              </w:tabs>
              <w:ind w:right="72"/>
              <w:jc w:val="right"/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</w:pPr>
          </w:p>
        </w:tc>
        <w:tc>
          <w:tcPr>
            <w:tcW w:w="1064" w:type="pct"/>
            <w:shd w:val="clear" w:color="auto" w:fill="auto"/>
            <w:noWrap/>
            <w:vAlign w:val="center"/>
          </w:tcPr>
          <w:p w14:paraId="592291FE" w14:textId="77777777" w:rsidR="00BA6AAA" w:rsidRPr="00C2104A" w:rsidRDefault="00BA6AAA" w:rsidP="006F1DF6">
            <w:pPr>
              <w:tabs>
                <w:tab w:val="left" w:pos="1345"/>
              </w:tabs>
              <w:ind w:right="72"/>
              <w:jc w:val="right"/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</w:pPr>
            <w:r w:rsidRPr="00C2104A"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  <w:t>27 025 600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1E479BD6" w14:textId="06BBE9D8" w:rsidR="00BA6AAA" w:rsidRPr="00C2104A" w:rsidRDefault="00077AC0" w:rsidP="006F1DF6">
            <w:pPr>
              <w:tabs>
                <w:tab w:val="left" w:pos="1345"/>
              </w:tabs>
              <w:ind w:right="72"/>
              <w:jc w:val="right"/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2"/>
                <w:lang w:eastAsia="cs-CZ"/>
              </w:rPr>
              <w:t>–</w:t>
            </w:r>
          </w:p>
        </w:tc>
      </w:tr>
    </w:tbl>
    <w:p w14:paraId="145093F2" w14:textId="629BB3C2" w:rsidR="00BA6AAA" w:rsidRPr="00802557" w:rsidRDefault="00BA6AAA" w:rsidP="00BA6AAA">
      <w:pPr>
        <w:pStyle w:val="Textpoznpodarou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59455A">
        <w:rPr>
          <w:rFonts w:ascii="Calibri" w:eastAsiaTheme="minorHAnsi" w:hAnsi="Calibri" w:cs="Calibri"/>
          <w:b/>
          <w:szCs w:val="18"/>
        </w:rPr>
        <w:t>Zdroj</w:t>
      </w:r>
      <w:r w:rsidRPr="00DE3932">
        <w:rPr>
          <w:rFonts w:ascii="Calibri" w:eastAsiaTheme="minorHAnsi" w:hAnsi="Calibri" w:cs="Calibri"/>
          <w:b/>
          <w:szCs w:val="18"/>
        </w:rPr>
        <w:t>:</w:t>
      </w:r>
      <w:r w:rsidRPr="00EF785F">
        <w:rPr>
          <w:rFonts w:ascii="Calibri" w:eastAsiaTheme="minorHAnsi" w:hAnsi="Calibri" w:cs="Calibri"/>
          <w:szCs w:val="18"/>
        </w:rPr>
        <w:t xml:space="preserve"> </w:t>
      </w:r>
      <w:r>
        <w:rPr>
          <w:rFonts w:ascii="Calibri" w:eastAsiaTheme="minorHAnsi" w:hAnsi="Calibri" w:cs="Calibri"/>
          <w:szCs w:val="18"/>
        </w:rPr>
        <w:t>GŘ</w:t>
      </w:r>
      <w:r w:rsidRPr="00EF785F">
        <w:rPr>
          <w:rFonts w:ascii="Calibri" w:eastAsiaTheme="minorHAnsi" w:hAnsi="Calibri" w:cs="Calibri"/>
          <w:szCs w:val="18"/>
        </w:rPr>
        <w:t xml:space="preserve"> – </w:t>
      </w:r>
      <w:r w:rsidR="00077AC0">
        <w:rPr>
          <w:rFonts w:ascii="Calibri" w:eastAsiaTheme="minorHAnsi" w:hAnsi="Calibri" w:cs="Calibri"/>
          <w:szCs w:val="18"/>
        </w:rPr>
        <w:t>p</w:t>
      </w:r>
      <w:r w:rsidRPr="00EF785F">
        <w:rPr>
          <w:rFonts w:ascii="Calibri" w:eastAsiaTheme="minorHAnsi" w:hAnsi="Calibri" w:cs="Calibri"/>
          <w:szCs w:val="18"/>
        </w:rPr>
        <w:t xml:space="preserve">řehled náhrad za zásahy u </w:t>
      </w:r>
      <w:r>
        <w:rPr>
          <w:rFonts w:ascii="Calibri" w:eastAsiaTheme="minorHAnsi" w:hAnsi="Calibri" w:cs="Calibri"/>
          <w:szCs w:val="18"/>
        </w:rPr>
        <w:t>dopravních nehod.</w:t>
      </w:r>
    </w:p>
    <w:p w14:paraId="5A851069" w14:textId="77777777" w:rsidR="001F3F36" w:rsidDel="00077AC0" w:rsidRDefault="001F3F36" w:rsidP="001F3F36">
      <w:pPr>
        <w:pStyle w:val="Textpoznpodarou"/>
        <w:tabs>
          <w:tab w:val="left" w:pos="567"/>
        </w:tabs>
        <w:ind w:left="567" w:hanging="567"/>
        <w:rPr>
          <w:rFonts w:ascii="Calibri" w:eastAsiaTheme="minorHAnsi" w:hAnsi="Calibri" w:cs="Calibri"/>
          <w:b/>
          <w:szCs w:val="18"/>
        </w:rPr>
      </w:pPr>
      <w:r w:rsidRPr="001A0234" w:rsidDel="00077AC0">
        <w:rPr>
          <w:rFonts w:ascii="Calibri" w:eastAsiaTheme="minorHAnsi" w:hAnsi="Calibri" w:cs="Calibri"/>
          <w:b/>
          <w:szCs w:val="18"/>
        </w:rPr>
        <w:t>*</w:t>
      </w:r>
      <w:r w:rsidDel="00077AC0">
        <w:rPr>
          <w:rFonts w:ascii="Calibri" w:eastAsiaTheme="minorHAnsi" w:hAnsi="Calibri" w:cs="Calibri"/>
          <w:b/>
          <w:szCs w:val="18"/>
        </w:rPr>
        <w:t xml:space="preserve"> </w:t>
      </w:r>
      <w:r w:rsidRPr="001A0234" w:rsidDel="00077AC0">
        <w:rPr>
          <w:rFonts w:ascii="Calibri" w:eastAsiaTheme="minorHAnsi" w:hAnsi="Calibri" w:cs="Calibri"/>
          <w:szCs w:val="18"/>
        </w:rPr>
        <w:t>Jednotky sboru dobrovolných hasičů</w:t>
      </w:r>
      <w:r w:rsidDel="00077AC0">
        <w:rPr>
          <w:rFonts w:ascii="Calibri" w:eastAsiaTheme="minorHAnsi" w:hAnsi="Calibri" w:cs="Calibri"/>
          <w:szCs w:val="18"/>
        </w:rPr>
        <w:t>.</w:t>
      </w:r>
    </w:p>
    <w:p w14:paraId="70BCDF62" w14:textId="3404C564" w:rsidR="00077AC0" w:rsidRDefault="00BA6AAA" w:rsidP="00077AC0">
      <w:pPr>
        <w:pStyle w:val="Textpoznpodarou"/>
        <w:tabs>
          <w:tab w:val="left" w:pos="567"/>
        </w:tabs>
        <w:ind w:left="567" w:hanging="567"/>
        <w:rPr>
          <w:rFonts w:ascii="Calibri" w:eastAsiaTheme="minorHAnsi" w:hAnsi="Calibri" w:cs="Calibri"/>
          <w:b/>
          <w:szCs w:val="18"/>
        </w:rPr>
      </w:pPr>
      <w:r w:rsidRPr="0059455A">
        <w:rPr>
          <w:rFonts w:ascii="Calibri" w:eastAsiaTheme="minorHAnsi" w:hAnsi="Calibri" w:cs="Calibri"/>
          <w:b/>
          <w:szCs w:val="18"/>
        </w:rPr>
        <w:t>Poznámka</w:t>
      </w:r>
      <w:r w:rsidRPr="00DE3932">
        <w:rPr>
          <w:rFonts w:ascii="Calibri" w:eastAsiaTheme="minorHAnsi" w:hAnsi="Calibri" w:cs="Calibri"/>
          <w:b/>
          <w:szCs w:val="18"/>
        </w:rPr>
        <w:t>:</w:t>
      </w:r>
      <w:r>
        <w:rPr>
          <w:rFonts w:ascii="Calibri" w:eastAsiaTheme="minorHAnsi" w:hAnsi="Calibri" w:cs="Calibri"/>
          <w:szCs w:val="18"/>
        </w:rPr>
        <w:t xml:space="preserve"> Údaj o </w:t>
      </w:r>
      <w:r w:rsidR="00077AC0">
        <w:rPr>
          <w:rFonts w:ascii="Calibri" w:eastAsiaTheme="minorHAnsi" w:hAnsi="Calibri" w:cs="Calibri"/>
          <w:szCs w:val="18"/>
        </w:rPr>
        <w:t xml:space="preserve">úhradách </w:t>
      </w:r>
      <w:r>
        <w:rPr>
          <w:rFonts w:ascii="Calibri" w:eastAsiaTheme="minorHAnsi" w:hAnsi="Calibri" w:cs="Calibri"/>
          <w:szCs w:val="18"/>
        </w:rPr>
        <w:t>přijatých j</w:t>
      </w:r>
      <w:r w:rsidRPr="001A0234">
        <w:rPr>
          <w:rFonts w:ascii="Calibri" w:eastAsiaTheme="minorHAnsi" w:hAnsi="Calibri" w:cs="Calibri"/>
          <w:szCs w:val="18"/>
        </w:rPr>
        <w:t>ednot</w:t>
      </w:r>
      <w:r w:rsidR="00077AC0">
        <w:rPr>
          <w:rFonts w:ascii="Calibri" w:eastAsiaTheme="minorHAnsi" w:hAnsi="Calibri" w:cs="Calibri"/>
          <w:szCs w:val="18"/>
        </w:rPr>
        <w:t>kami</w:t>
      </w:r>
      <w:r w:rsidRPr="001A0234">
        <w:rPr>
          <w:rFonts w:ascii="Calibri" w:eastAsiaTheme="minorHAnsi" w:hAnsi="Calibri" w:cs="Calibri"/>
          <w:szCs w:val="18"/>
        </w:rPr>
        <w:t xml:space="preserve"> sboru dobrovolných hasičů</w:t>
      </w:r>
      <w:r>
        <w:rPr>
          <w:rFonts w:ascii="Calibri" w:eastAsiaTheme="minorHAnsi" w:hAnsi="Calibri" w:cs="Calibri"/>
          <w:szCs w:val="18"/>
        </w:rPr>
        <w:t xml:space="preserve"> zdroj neuvádí.</w:t>
      </w:r>
      <w:r w:rsidR="00077AC0" w:rsidRPr="00077AC0">
        <w:rPr>
          <w:rFonts w:ascii="Calibri" w:eastAsiaTheme="minorHAnsi" w:hAnsi="Calibri" w:cs="Calibri"/>
          <w:b/>
          <w:szCs w:val="18"/>
        </w:rPr>
        <w:t xml:space="preserve"> </w:t>
      </w:r>
    </w:p>
    <w:p w14:paraId="5C7C9DF5" w14:textId="77777777" w:rsidR="00BA6AAA" w:rsidRDefault="00BA6AAA" w:rsidP="00BA6AAA">
      <w:pPr>
        <w:rPr>
          <w:rFonts w:asciiTheme="minorHAnsi" w:eastAsiaTheme="minorHAnsi" w:hAnsiTheme="minorHAnsi" w:cstheme="minorHAnsi"/>
          <w:bCs/>
          <w:sz w:val="24"/>
        </w:rPr>
      </w:pPr>
    </w:p>
    <w:p w14:paraId="33C4A3E2" w14:textId="1653F37F" w:rsidR="00BA6AAA" w:rsidRDefault="00BA6AAA" w:rsidP="00BA6AAA">
      <w:pPr>
        <w:rPr>
          <w:rFonts w:asciiTheme="minorHAnsi" w:eastAsiaTheme="minorHAnsi" w:hAnsiTheme="minorHAnsi" w:cstheme="minorHAnsi"/>
          <w:bCs/>
          <w:color w:val="000000" w:themeColor="text1"/>
          <w:sz w:val="24"/>
        </w:rPr>
      </w:pPr>
      <w:r>
        <w:rPr>
          <w:rFonts w:asciiTheme="minorHAnsi" w:eastAsiaTheme="minorHAnsi" w:hAnsiTheme="minorHAnsi" w:cstheme="minorHAnsi"/>
          <w:bCs/>
          <w:sz w:val="24"/>
        </w:rPr>
        <w:lastRenderedPageBreak/>
        <w:t>Z údajů uvedených v tabulce č. 2 je zřejmé, že celková v</w:t>
      </w:r>
      <w:r w:rsidR="00761BB5">
        <w:rPr>
          <w:rFonts w:asciiTheme="minorHAnsi" w:eastAsiaTheme="minorHAnsi" w:hAnsiTheme="minorHAnsi" w:cstheme="minorHAnsi"/>
          <w:bCs/>
          <w:sz w:val="24"/>
        </w:rPr>
        <w:t>ýše přijatých úhrad za zásahy u </w:t>
      </w:r>
      <w:r>
        <w:rPr>
          <w:rFonts w:asciiTheme="minorHAnsi" w:eastAsiaTheme="minorHAnsi" w:hAnsiTheme="minorHAnsi" w:cstheme="minorHAnsi"/>
          <w:bCs/>
          <w:sz w:val="24"/>
        </w:rPr>
        <w:t xml:space="preserve">dopravních nehod </w:t>
      </w:r>
      <w:r>
        <w:rPr>
          <w:rFonts w:ascii="Calibri" w:eastAsiaTheme="minorHAnsi" w:hAnsi="Calibri" w:cs="Calibri"/>
          <w:sz w:val="24"/>
        </w:rPr>
        <w:t xml:space="preserve">v roce 2014 </w:t>
      </w:r>
      <w:r>
        <w:rPr>
          <w:rFonts w:asciiTheme="minorHAnsi" w:eastAsiaTheme="minorHAnsi" w:hAnsiTheme="minorHAnsi" w:cstheme="minorHAnsi"/>
          <w:bCs/>
          <w:sz w:val="24"/>
        </w:rPr>
        <w:t xml:space="preserve">nedosáhla hodnot předpokládaných </w:t>
      </w:r>
      <w:r w:rsidRPr="000E6EB3">
        <w:rPr>
          <w:rFonts w:asciiTheme="minorHAnsi" w:eastAsiaTheme="minorHAnsi" w:hAnsiTheme="minorHAnsi"/>
          <w:sz w:val="24"/>
        </w:rPr>
        <w:t>v</w:t>
      </w:r>
      <w:r w:rsidRPr="00AF3C8F">
        <w:rPr>
          <w:rFonts w:asciiTheme="minorHAnsi" w:eastAsiaTheme="minorHAnsi" w:hAnsiTheme="minorHAnsi"/>
          <w:sz w:val="24"/>
        </w:rPr>
        <w:t> </w:t>
      </w:r>
      <w:r w:rsidRPr="00B70C96">
        <w:rPr>
          <w:rFonts w:asciiTheme="minorHAnsi" w:eastAsiaTheme="minorHAnsi" w:hAnsiTheme="minorHAnsi" w:cstheme="minorHAnsi"/>
          <w:bCs/>
          <w:color w:val="000000" w:themeColor="text1"/>
          <w:sz w:val="24"/>
        </w:rPr>
        <w:t>uvedených důvodových zprávách.</w:t>
      </w:r>
    </w:p>
    <w:p w14:paraId="237A9E27" w14:textId="77777777" w:rsidR="00511320" w:rsidRPr="00B70C96" w:rsidRDefault="00511320" w:rsidP="00BA6AAA">
      <w:pPr>
        <w:rPr>
          <w:rFonts w:asciiTheme="minorHAnsi" w:eastAsiaTheme="minorHAnsi" w:hAnsiTheme="minorHAnsi" w:cstheme="minorHAnsi"/>
          <w:bCs/>
          <w:color w:val="000000" w:themeColor="text1"/>
          <w:sz w:val="24"/>
        </w:rPr>
      </w:pPr>
    </w:p>
    <w:p w14:paraId="19CFF3D0" w14:textId="5558A526" w:rsidR="00BA6AAA" w:rsidRDefault="00BA6AAA" w:rsidP="00511320">
      <w:pPr>
        <w:rPr>
          <w:rFonts w:ascii="Calibri" w:eastAsiaTheme="minorHAnsi" w:hAnsi="Calibri" w:cs="Calibri"/>
          <w:b/>
          <w:sz w:val="24"/>
        </w:rPr>
      </w:pPr>
      <w:r w:rsidRPr="00AA3EC3">
        <w:rPr>
          <w:rFonts w:ascii="Calibri" w:eastAsiaTheme="minorHAnsi" w:hAnsi="Calibri"/>
          <w:b/>
          <w:sz w:val="24"/>
        </w:rPr>
        <w:t xml:space="preserve">Rozdíl mezi předpokládanými a skutečnými příjmy byl způsoben nejen </w:t>
      </w:r>
      <w:r w:rsidRPr="00AA3EC3">
        <w:rPr>
          <w:rFonts w:ascii="Calibri" w:eastAsiaTheme="minorHAnsi" w:hAnsi="Calibri" w:cs="Calibri"/>
          <w:b/>
          <w:sz w:val="24"/>
        </w:rPr>
        <w:t xml:space="preserve">snížením paušální náhrady za hodinu zásahu, ale </w:t>
      </w:r>
      <w:r w:rsidRPr="00AA3EC3">
        <w:rPr>
          <w:rFonts w:ascii="Calibri" w:hAnsi="Calibri" w:cs="Calibri"/>
          <w:b/>
          <w:sz w:val="24"/>
        </w:rPr>
        <w:t xml:space="preserve">zejména skutečností, že právní úprava nároků HZS na náhrady nákladů za zásahy u dopravních nehod stanovená zákonem č. 238/2000 Sb. nekoresponduje zcela </w:t>
      </w:r>
      <w:r w:rsidR="00AF3C8F">
        <w:rPr>
          <w:rFonts w:ascii="Calibri" w:hAnsi="Calibri" w:cs="Calibri"/>
          <w:b/>
          <w:sz w:val="24"/>
        </w:rPr>
        <w:t>s </w:t>
      </w:r>
      <w:r w:rsidRPr="00AA3EC3">
        <w:rPr>
          <w:rFonts w:ascii="Calibri" w:hAnsi="Calibri" w:cs="Calibri"/>
          <w:b/>
          <w:sz w:val="24"/>
        </w:rPr>
        <w:t xml:space="preserve">povinností pojišťoven hradit náklady zásahů z pojištění provozu vozidel upravenou zákonem č. 168/1999 Sb. </w:t>
      </w:r>
      <w:r w:rsidRPr="00AA3EC3">
        <w:rPr>
          <w:rFonts w:ascii="Calibri" w:eastAsiaTheme="minorHAnsi" w:hAnsi="Calibri"/>
          <w:b/>
          <w:sz w:val="24"/>
        </w:rPr>
        <w:t xml:space="preserve">Důsledkem bylo neuplatnění náhrad za </w:t>
      </w:r>
      <w:r w:rsidRPr="00AA3EC3">
        <w:rPr>
          <w:rFonts w:ascii="Calibri" w:eastAsiaTheme="minorHAnsi" w:hAnsi="Calibri" w:cs="Calibri"/>
          <w:b/>
          <w:sz w:val="24"/>
        </w:rPr>
        <w:t xml:space="preserve">30 % </w:t>
      </w:r>
      <w:r w:rsidRPr="00AA3EC3">
        <w:rPr>
          <w:rFonts w:ascii="Calibri" w:eastAsiaTheme="minorHAnsi" w:hAnsi="Calibri"/>
          <w:b/>
          <w:sz w:val="24"/>
        </w:rPr>
        <w:t xml:space="preserve">uskutečněných zásahů u </w:t>
      </w:r>
      <w:r w:rsidRPr="00AA3EC3">
        <w:rPr>
          <w:rFonts w:ascii="Calibri" w:eastAsiaTheme="minorHAnsi" w:hAnsi="Calibri" w:cs="Calibri"/>
          <w:b/>
          <w:sz w:val="24"/>
        </w:rPr>
        <w:t>dopravních nehod</w:t>
      </w:r>
      <w:r w:rsidRPr="00AA3EC3">
        <w:rPr>
          <w:rFonts w:ascii="Calibri" w:eastAsiaTheme="minorHAnsi" w:hAnsi="Calibri"/>
          <w:b/>
          <w:sz w:val="24"/>
        </w:rPr>
        <w:t xml:space="preserve"> a neuhrazení </w:t>
      </w:r>
      <w:r w:rsidRPr="00AA3EC3">
        <w:rPr>
          <w:rFonts w:ascii="Calibri" w:eastAsiaTheme="minorHAnsi" w:hAnsi="Calibri" w:cs="Calibri"/>
          <w:b/>
          <w:sz w:val="24"/>
        </w:rPr>
        <w:t>28 %</w:t>
      </w:r>
      <w:r w:rsidRPr="00AA3EC3">
        <w:rPr>
          <w:rFonts w:ascii="Calibri" w:eastAsiaTheme="minorHAnsi" w:hAnsi="Calibri"/>
          <w:b/>
          <w:color w:val="FF0000"/>
          <w:sz w:val="24"/>
        </w:rPr>
        <w:t xml:space="preserve"> </w:t>
      </w:r>
      <w:r w:rsidRPr="00AA3EC3">
        <w:rPr>
          <w:rFonts w:ascii="Calibri" w:eastAsiaTheme="minorHAnsi" w:hAnsi="Calibri"/>
          <w:b/>
          <w:sz w:val="24"/>
        </w:rPr>
        <w:t>uplatněných náhrad.</w:t>
      </w:r>
      <w:r w:rsidRPr="00AA3EC3">
        <w:rPr>
          <w:rFonts w:ascii="Calibri" w:eastAsiaTheme="minorHAnsi" w:hAnsi="Calibri" w:cs="Calibri"/>
          <w:b/>
          <w:sz w:val="24"/>
        </w:rPr>
        <w:t xml:space="preserve"> </w:t>
      </w:r>
    </w:p>
    <w:p w14:paraId="32120726" w14:textId="77777777" w:rsidR="00511320" w:rsidRPr="00AA3EC3" w:rsidRDefault="00511320" w:rsidP="00511320">
      <w:pPr>
        <w:rPr>
          <w:rFonts w:ascii="Calibri" w:eastAsiaTheme="minorHAnsi" w:hAnsi="Calibri"/>
          <w:b/>
          <w:sz w:val="24"/>
        </w:rPr>
      </w:pPr>
    </w:p>
    <w:p w14:paraId="59C93CD1" w14:textId="052B0107" w:rsidR="00BA6AAA" w:rsidRPr="00A803ED" w:rsidRDefault="00BA6AAA" w:rsidP="0051132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Nově schválený zákon o h</w:t>
      </w:r>
      <w:r w:rsidRPr="00E0621A">
        <w:rPr>
          <w:rFonts w:ascii="Calibri" w:hAnsi="Calibri" w:cs="Calibri"/>
          <w:sz w:val="24"/>
        </w:rPr>
        <w:t>asičském záchranném sboru</w:t>
      </w:r>
      <w:r>
        <w:rPr>
          <w:rFonts w:ascii="Calibri" w:hAnsi="Calibri" w:cs="Calibri"/>
          <w:sz w:val="24"/>
        </w:rPr>
        <w:t xml:space="preserve">, který </w:t>
      </w:r>
      <w:r w:rsidR="00477681">
        <w:rPr>
          <w:rFonts w:ascii="Calibri" w:hAnsi="Calibri" w:cs="Calibri"/>
          <w:sz w:val="24"/>
        </w:rPr>
        <w:t xml:space="preserve">nabývá </w:t>
      </w:r>
      <w:r>
        <w:rPr>
          <w:rFonts w:ascii="Calibri" w:hAnsi="Calibri" w:cs="Calibri"/>
          <w:sz w:val="24"/>
        </w:rPr>
        <w:t>účinnosti 1. 1. 2016, kopíruje</w:t>
      </w:r>
      <w:r w:rsidR="00962784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předchozí právní úpravu této oblasti. Na výši příjmů HZSK může mít vliv pouze skutečnost, že v</w:t>
      </w:r>
      <w:r w:rsidRPr="00A803ED">
        <w:rPr>
          <w:rFonts w:ascii="Calibri" w:hAnsi="Calibri" w:cs="Calibri"/>
          <w:sz w:val="24"/>
        </w:rPr>
        <w:t xml:space="preserve">láda </w:t>
      </w:r>
      <w:r>
        <w:rPr>
          <w:rFonts w:ascii="Calibri" w:hAnsi="Calibri" w:cs="Calibri"/>
          <w:sz w:val="24"/>
        </w:rPr>
        <w:t xml:space="preserve">na základě tohoto zákona vydá nové nařízení, </w:t>
      </w:r>
      <w:r w:rsidRPr="00A803ED">
        <w:rPr>
          <w:rFonts w:ascii="Calibri" w:hAnsi="Calibri" w:cs="Calibri"/>
          <w:sz w:val="24"/>
        </w:rPr>
        <w:t xml:space="preserve">kterým </w:t>
      </w:r>
      <w:r>
        <w:rPr>
          <w:rFonts w:ascii="Calibri" w:hAnsi="Calibri" w:cs="Calibri"/>
          <w:sz w:val="24"/>
        </w:rPr>
        <w:t xml:space="preserve">stanoví </w:t>
      </w:r>
      <w:r w:rsidR="00962784">
        <w:rPr>
          <w:rFonts w:ascii="Calibri" w:hAnsi="Calibri" w:cs="Calibri"/>
          <w:sz w:val="24"/>
        </w:rPr>
        <w:t xml:space="preserve">novou </w:t>
      </w:r>
      <w:r w:rsidRPr="00A803ED">
        <w:rPr>
          <w:rFonts w:ascii="Calibri" w:hAnsi="Calibri" w:cs="Calibri"/>
          <w:sz w:val="24"/>
        </w:rPr>
        <w:t>paušální výš</w:t>
      </w:r>
      <w:r>
        <w:rPr>
          <w:rFonts w:ascii="Calibri" w:hAnsi="Calibri" w:cs="Calibri"/>
          <w:sz w:val="24"/>
        </w:rPr>
        <w:t>i</w:t>
      </w:r>
      <w:r w:rsidRPr="00A803ED">
        <w:rPr>
          <w:rFonts w:ascii="Calibri" w:hAnsi="Calibri" w:cs="Calibri"/>
          <w:sz w:val="24"/>
        </w:rPr>
        <w:t xml:space="preserve"> úhrady</w:t>
      </w:r>
      <w:r>
        <w:rPr>
          <w:rFonts w:ascii="Calibri" w:hAnsi="Calibri" w:cs="Calibri"/>
          <w:sz w:val="24"/>
        </w:rPr>
        <w:t xml:space="preserve"> </w:t>
      </w:r>
      <w:r w:rsidRPr="00E462E6">
        <w:rPr>
          <w:rFonts w:ascii="Calibri" w:hAnsi="Calibri" w:cs="Calibri"/>
          <w:sz w:val="24"/>
        </w:rPr>
        <w:t>nákladů za každou započatou hodinu zásahu u dopravní nehody</w:t>
      </w:r>
      <w:r w:rsidRPr="00A803ED">
        <w:rPr>
          <w:rFonts w:ascii="Calibri" w:hAnsi="Calibri" w:cs="Calibri"/>
          <w:sz w:val="24"/>
        </w:rPr>
        <w:t>.</w:t>
      </w:r>
    </w:p>
    <w:p w14:paraId="19243311" w14:textId="77777777" w:rsidR="0047367A" w:rsidRDefault="0047367A" w:rsidP="00986F07">
      <w:pPr>
        <w:rPr>
          <w:rFonts w:ascii="Calibri" w:eastAsiaTheme="minorHAnsi" w:hAnsi="Calibri" w:cs="Calibri"/>
          <w:sz w:val="24"/>
        </w:rPr>
      </w:pPr>
    </w:p>
    <w:p w14:paraId="35C60DBB" w14:textId="64D34113" w:rsidR="002707C4" w:rsidRPr="009937C0" w:rsidRDefault="0075637C" w:rsidP="007A0C71">
      <w:pPr>
        <w:pStyle w:val="Odstavecseseznamem"/>
        <w:numPr>
          <w:ilvl w:val="0"/>
          <w:numId w:val="9"/>
        </w:numPr>
        <w:ind w:left="284" w:hanging="284"/>
        <w:rPr>
          <w:rFonts w:ascii="Calibri" w:eastAsiaTheme="minorHAnsi" w:hAnsi="Calibri" w:cs="Calibri"/>
          <w:b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P</w:t>
      </w:r>
      <w:r w:rsidR="00DE0602">
        <w:rPr>
          <w:rFonts w:asciiTheme="minorHAnsi" w:hAnsiTheme="minorHAnsi" w:cstheme="minorHAnsi"/>
          <w:b/>
          <w:bCs/>
          <w:sz w:val="24"/>
        </w:rPr>
        <w:t>řipojení objektů k</w:t>
      </w:r>
      <w:r w:rsidR="002C739B">
        <w:rPr>
          <w:rFonts w:asciiTheme="minorHAnsi" w:hAnsiTheme="minorHAnsi" w:cstheme="minorHAnsi"/>
          <w:b/>
          <w:bCs/>
          <w:sz w:val="24"/>
        </w:rPr>
        <w:t> pultu centr</w:t>
      </w:r>
      <w:r w:rsidR="00B118E4">
        <w:rPr>
          <w:rFonts w:asciiTheme="minorHAnsi" w:hAnsiTheme="minorHAnsi" w:cstheme="minorHAnsi"/>
          <w:b/>
          <w:bCs/>
          <w:sz w:val="24"/>
        </w:rPr>
        <w:t>a</w:t>
      </w:r>
      <w:r w:rsidR="002C739B">
        <w:rPr>
          <w:rFonts w:asciiTheme="minorHAnsi" w:hAnsiTheme="minorHAnsi" w:cstheme="minorHAnsi"/>
          <w:b/>
          <w:bCs/>
          <w:sz w:val="24"/>
        </w:rPr>
        <w:t>l</w:t>
      </w:r>
      <w:r w:rsidR="00B118E4">
        <w:rPr>
          <w:rFonts w:asciiTheme="minorHAnsi" w:hAnsiTheme="minorHAnsi" w:cstheme="minorHAnsi"/>
          <w:b/>
          <w:bCs/>
          <w:sz w:val="24"/>
        </w:rPr>
        <w:t>izované</w:t>
      </w:r>
      <w:r w:rsidR="002C739B">
        <w:rPr>
          <w:rFonts w:asciiTheme="minorHAnsi" w:hAnsiTheme="minorHAnsi" w:cstheme="minorHAnsi"/>
          <w:b/>
          <w:bCs/>
          <w:sz w:val="24"/>
        </w:rPr>
        <w:t xml:space="preserve"> ochrany</w:t>
      </w:r>
    </w:p>
    <w:p w14:paraId="0EA07D3C" w14:textId="77777777" w:rsidR="009937C0" w:rsidRPr="009937C0" w:rsidRDefault="009937C0" w:rsidP="009937C0">
      <w:pPr>
        <w:rPr>
          <w:rFonts w:ascii="Calibri" w:eastAsiaTheme="minorHAnsi" w:hAnsi="Calibri" w:cs="Calibri"/>
          <w:b/>
          <w:sz w:val="24"/>
        </w:rPr>
      </w:pPr>
    </w:p>
    <w:p w14:paraId="15E746FE" w14:textId="375847B9" w:rsidR="006B2E23" w:rsidRDefault="006B2E23" w:rsidP="009937C0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Theme="minorHAnsi" w:hAnsiTheme="minorHAnsi" w:cstheme="minorHAnsi"/>
          <w:sz w:val="24"/>
        </w:rPr>
        <w:t>Dle § 97 zákona č. 133/1985</w:t>
      </w:r>
      <w:r w:rsidR="005D11CF">
        <w:rPr>
          <w:rFonts w:asciiTheme="minorHAnsi" w:hAnsiTheme="minorHAnsi" w:cstheme="minorHAnsi"/>
          <w:sz w:val="24"/>
        </w:rPr>
        <w:t xml:space="preserve"> Sb.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="Calibri" w:hAnsi="Calibri" w:cs="Calibri"/>
          <w:sz w:val="24"/>
        </w:rPr>
        <w:t>mohou jednotky požární ochrany poskytovat pohotovostní a</w:t>
      </w:r>
      <w:r w:rsidR="00BA6EB8">
        <w:rPr>
          <w:rFonts w:ascii="Calibri" w:hAnsi="Calibri" w:cs="Calibri"/>
          <w:sz w:val="24"/>
        </w:rPr>
        <w:t> </w:t>
      </w:r>
      <w:r>
        <w:rPr>
          <w:rFonts w:ascii="Calibri" w:hAnsi="Calibri" w:cs="Calibri"/>
          <w:sz w:val="24"/>
        </w:rPr>
        <w:t>jiné služby nebo práce za úhradu vynaložených nákladů za předpokladu</w:t>
      </w:r>
      <w:r w:rsidR="00B233DF">
        <w:rPr>
          <w:rFonts w:ascii="Calibri" w:hAnsi="Calibri" w:cs="Calibri"/>
          <w:sz w:val="24"/>
        </w:rPr>
        <w:t>,</w:t>
      </w:r>
      <w:r>
        <w:rPr>
          <w:rFonts w:ascii="Calibri" w:hAnsi="Calibri" w:cs="Calibri"/>
          <w:sz w:val="24"/>
        </w:rPr>
        <w:t xml:space="preserve"> že </w:t>
      </w:r>
      <w:r w:rsidRPr="000878C0">
        <w:rPr>
          <w:rFonts w:ascii="Calibri" w:hAnsi="Calibri" w:cs="Calibri"/>
          <w:sz w:val="24"/>
        </w:rPr>
        <w:t>se jedná o</w:t>
      </w:r>
      <w:r w:rsidR="00B233DF">
        <w:rPr>
          <w:rFonts w:ascii="Calibri" w:hAnsi="Calibri" w:cs="Calibri"/>
          <w:sz w:val="24"/>
        </w:rPr>
        <w:t> </w:t>
      </w:r>
      <w:r w:rsidRPr="000878C0">
        <w:rPr>
          <w:rFonts w:ascii="Calibri" w:hAnsi="Calibri" w:cs="Calibri"/>
          <w:sz w:val="24"/>
        </w:rPr>
        <w:t>práce a služby související se základní náplní jejich činnosti a </w:t>
      </w:r>
      <w:r w:rsidR="00B233DF">
        <w:rPr>
          <w:rFonts w:ascii="Calibri" w:hAnsi="Calibri" w:cs="Calibri"/>
          <w:sz w:val="24"/>
        </w:rPr>
        <w:t xml:space="preserve">zároveň </w:t>
      </w:r>
      <w:r w:rsidRPr="000878C0">
        <w:rPr>
          <w:rFonts w:ascii="Calibri" w:hAnsi="Calibri" w:cs="Calibri"/>
          <w:sz w:val="24"/>
        </w:rPr>
        <w:t xml:space="preserve">nedojde </w:t>
      </w:r>
      <w:r w:rsidR="00AF3C8F">
        <w:rPr>
          <w:rFonts w:ascii="Calibri" w:hAnsi="Calibri" w:cs="Calibri"/>
          <w:sz w:val="24"/>
        </w:rPr>
        <w:t>k </w:t>
      </w:r>
      <w:r w:rsidRPr="000878C0">
        <w:rPr>
          <w:rFonts w:ascii="Calibri" w:hAnsi="Calibri" w:cs="Calibri"/>
          <w:sz w:val="24"/>
        </w:rPr>
        <w:t xml:space="preserve">ohrožení jejich akceschopnosti. </w:t>
      </w:r>
    </w:p>
    <w:p w14:paraId="78A9137E" w14:textId="77777777" w:rsidR="00511320" w:rsidRDefault="00511320" w:rsidP="009937C0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2175FE26" w14:textId="1A46ACC9" w:rsidR="00DD66BA" w:rsidRDefault="0075637C" w:rsidP="00511320">
      <w:pPr>
        <w:rPr>
          <w:rFonts w:ascii="Calibri" w:hAnsi="Calibri" w:cs="Calibri"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K těmto službám patří zejména </w:t>
      </w:r>
      <w:r w:rsidR="00DD66BA" w:rsidRPr="007C3102">
        <w:rPr>
          <w:rFonts w:ascii="Calibri" w:hAnsi="Calibri" w:cs="Calibri"/>
          <w:sz w:val="24"/>
        </w:rPr>
        <w:t xml:space="preserve">připojení elektrické požární signalizace (dále jen „EPS“) na </w:t>
      </w:r>
      <w:r w:rsidR="002C739B">
        <w:rPr>
          <w:rFonts w:ascii="Calibri" w:hAnsi="Calibri" w:cs="Calibri"/>
          <w:sz w:val="24"/>
        </w:rPr>
        <w:t>pult centr</w:t>
      </w:r>
      <w:r w:rsidR="00364A98">
        <w:rPr>
          <w:rFonts w:ascii="Calibri" w:hAnsi="Calibri" w:cs="Calibri"/>
          <w:sz w:val="24"/>
        </w:rPr>
        <w:t>a</w:t>
      </w:r>
      <w:r w:rsidR="002C739B">
        <w:rPr>
          <w:rFonts w:ascii="Calibri" w:hAnsi="Calibri" w:cs="Calibri"/>
          <w:sz w:val="24"/>
        </w:rPr>
        <w:t>l</w:t>
      </w:r>
      <w:r w:rsidR="00364A98">
        <w:rPr>
          <w:rFonts w:ascii="Calibri" w:hAnsi="Calibri" w:cs="Calibri"/>
          <w:sz w:val="24"/>
        </w:rPr>
        <w:t>izované</w:t>
      </w:r>
      <w:r w:rsidR="002C739B">
        <w:rPr>
          <w:rFonts w:ascii="Calibri" w:hAnsi="Calibri" w:cs="Calibri"/>
          <w:sz w:val="24"/>
        </w:rPr>
        <w:t xml:space="preserve"> ochrany (dále též „</w:t>
      </w:r>
      <w:r w:rsidR="00DD66BA" w:rsidRPr="007C3102">
        <w:rPr>
          <w:rFonts w:ascii="Calibri" w:hAnsi="Calibri" w:cs="Calibri"/>
          <w:sz w:val="24"/>
        </w:rPr>
        <w:t>PCO</w:t>
      </w:r>
      <w:r w:rsidR="002C739B">
        <w:rPr>
          <w:rFonts w:ascii="Calibri" w:hAnsi="Calibri" w:cs="Calibri"/>
          <w:sz w:val="24"/>
        </w:rPr>
        <w:t>“)</w:t>
      </w:r>
      <w:r w:rsidR="00DD66BA" w:rsidRPr="007C3102">
        <w:rPr>
          <w:rFonts w:ascii="Calibri" w:hAnsi="Calibri" w:cs="Calibri"/>
          <w:sz w:val="24"/>
        </w:rPr>
        <w:t xml:space="preserve"> umístěn</w:t>
      </w:r>
      <w:r w:rsidR="007A0C71">
        <w:rPr>
          <w:rFonts w:ascii="Calibri" w:hAnsi="Calibri" w:cs="Calibri"/>
          <w:sz w:val="24"/>
        </w:rPr>
        <w:t>ý</w:t>
      </w:r>
      <w:r w:rsidR="00DD66BA" w:rsidRPr="007C3102">
        <w:rPr>
          <w:rFonts w:ascii="Calibri" w:hAnsi="Calibri" w:cs="Calibri"/>
          <w:sz w:val="24"/>
        </w:rPr>
        <w:t xml:space="preserve"> </w:t>
      </w:r>
      <w:r w:rsidR="007A0C71">
        <w:rPr>
          <w:rFonts w:ascii="Calibri" w:hAnsi="Calibri" w:cs="Calibri"/>
          <w:sz w:val="24"/>
        </w:rPr>
        <w:t>v </w:t>
      </w:r>
      <w:r w:rsidR="00DD66BA" w:rsidRPr="007C3102">
        <w:rPr>
          <w:rFonts w:ascii="Calibri" w:hAnsi="Calibri" w:cs="Calibri"/>
          <w:sz w:val="24"/>
        </w:rPr>
        <w:t>operačních a informačních střediscích HZSK.</w:t>
      </w:r>
      <w:r w:rsidR="00917C7B">
        <w:rPr>
          <w:rFonts w:ascii="Calibri" w:hAnsi="Calibri" w:cs="Calibri"/>
          <w:sz w:val="24"/>
        </w:rPr>
        <w:t xml:space="preserve"> </w:t>
      </w:r>
      <w:r w:rsidR="00DD66BA" w:rsidRPr="007C3102">
        <w:rPr>
          <w:rFonts w:ascii="Calibri" w:hAnsi="Calibri" w:cs="Calibri"/>
          <w:sz w:val="24"/>
        </w:rPr>
        <w:t xml:space="preserve">Smyslem připojení EPS na PCO prostřednictvím zařízení dálkového přenosu je výrazné zkrácení doby od detekce vzniku a místa požáru do výjezdu hasičů. </w:t>
      </w:r>
    </w:p>
    <w:p w14:paraId="095DCF0C" w14:textId="77777777" w:rsidR="00511320" w:rsidRPr="007C3102" w:rsidRDefault="00511320" w:rsidP="00511320">
      <w:pPr>
        <w:rPr>
          <w:rFonts w:ascii="Calibri" w:hAnsi="Calibri" w:cs="Calibri"/>
          <w:strike/>
          <w:sz w:val="24"/>
        </w:rPr>
      </w:pPr>
    </w:p>
    <w:p w14:paraId="12FC6B47" w14:textId="6256A2D2" w:rsidR="00332AD5" w:rsidRDefault="008C2D8B" w:rsidP="00511320">
      <w:pPr>
        <w:rPr>
          <w:rFonts w:ascii="Calibri" w:hAnsi="Calibri" w:cs="Calibri"/>
          <w:sz w:val="24"/>
        </w:rPr>
      </w:pPr>
      <w:r w:rsidRPr="007C3102">
        <w:rPr>
          <w:rFonts w:ascii="Calibri" w:hAnsi="Calibri" w:cs="Calibri"/>
          <w:sz w:val="24"/>
        </w:rPr>
        <w:t xml:space="preserve">Postup při </w:t>
      </w:r>
      <w:r>
        <w:rPr>
          <w:rFonts w:ascii="Calibri" w:hAnsi="Calibri" w:cs="Calibri"/>
          <w:sz w:val="24"/>
        </w:rPr>
        <w:t xml:space="preserve">uzavírání smluv </w:t>
      </w:r>
      <w:r w:rsidR="005D11CF">
        <w:rPr>
          <w:rFonts w:ascii="Calibri" w:hAnsi="Calibri" w:cs="Calibri"/>
          <w:sz w:val="24"/>
        </w:rPr>
        <w:t>o</w:t>
      </w:r>
      <w:r>
        <w:rPr>
          <w:rFonts w:ascii="Calibri" w:hAnsi="Calibri" w:cs="Calibri"/>
          <w:sz w:val="24"/>
        </w:rPr>
        <w:t xml:space="preserve"> </w:t>
      </w:r>
      <w:r w:rsidRPr="00151110">
        <w:rPr>
          <w:rFonts w:ascii="Calibri" w:hAnsi="Calibri" w:cs="Calibri"/>
          <w:sz w:val="24"/>
        </w:rPr>
        <w:t xml:space="preserve">připojování EPS na PCO </w:t>
      </w:r>
      <w:r w:rsidR="007A0C71">
        <w:rPr>
          <w:rFonts w:ascii="Calibri" w:hAnsi="Calibri" w:cs="Calibri"/>
          <w:sz w:val="24"/>
        </w:rPr>
        <w:t>provozovaný</w:t>
      </w:r>
      <w:r w:rsidRPr="00151110">
        <w:rPr>
          <w:rFonts w:ascii="Calibri" w:hAnsi="Calibri" w:cs="Calibri"/>
          <w:sz w:val="24"/>
        </w:rPr>
        <w:t xml:space="preserve"> </w:t>
      </w:r>
      <w:r w:rsidR="007A0C71">
        <w:rPr>
          <w:rFonts w:ascii="Calibri" w:hAnsi="Calibri" w:cs="Calibri"/>
          <w:sz w:val="24"/>
        </w:rPr>
        <w:t>v</w:t>
      </w:r>
      <w:r w:rsidRPr="00151110">
        <w:rPr>
          <w:rFonts w:ascii="Calibri" w:hAnsi="Calibri" w:cs="Calibri"/>
          <w:sz w:val="24"/>
        </w:rPr>
        <w:t xml:space="preserve"> operačních a informačních střediscích hasičských záchranných sborů krajů je upraven </w:t>
      </w:r>
      <w:r w:rsidR="007A0C71" w:rsidRPr="00D3068E">
        <w:rPr>
          <w:rFonts w:ascii="Calibri" w:hAnsi="Calibri" w:cs="Calibri"/>
          <w:i/>
          <w:sz w:val="24"/>
        </w:rPr>
        <w:t>p</w:t>
      </w:r>
      <w:r w:rsidRPr="00D3068E">
        <w:rPr>
          <w:rFonts w:ascii="Calibri" w:hAnsi="Calibri" w:cs="Calibri"/>
          <w:i/>
          <w:sz w:val="24"/>
        </w:rPr>
        <w:t>okynem generálního ředitele Hasičského záchranného sboru České republiky a náměstka ministra vnitra č. 13</w:t>
      </w:r>
      <w:r w:rsidRPr="00151110">
        <w:rPr>
          <w:rFonts w:ascii="Calibri" w:hAnsi="Calibri" w:cs="Calibri"/>
          <w:sz w:val="24"/>
        </w:rPr>
        <w:t xml:space="preserve"> ze dne 27. února 2004</w:t>
      </w:r>
      <w:r w:rsidR="00332AD5" w:rsidRPr="00151110">
        <w:rPr>
          <w:rFonts w:ascii="Calibri" w:hAnsi="Calibri" w:cs="Calibri"/>
          <w:sz w:val="24"/>
        </w:rPr>
        <w:t xml:space="preserve"> (dále jen „Pokyn“)</w:t>
      </w:r>
      <w:r w:rsidRPr="00151110">
        <w:rPr>
          <w:rFonts w:ascii="Calibri" w:hAnsi="Calibri" w:cs="Calibri"/>
          <w:sz w:val="24"/>
        </w:rPr>
        <w:t xml:space="preserve">. </w:t>
      </w:r>
      <w:r w:rsidR="00DD66BA" w:rsidRPr="00151110">
        <w:rPr>
          <w:rFonts w:ascii="Calibri" w:hAnsi="Calibri" w:cs="Calibri"/>
          <w:sz w:val="24"/>
        </w:rPr>
        <w:t xml:space="preserve">Pokyn řeší technické podmínky, postupy a požadavky na připojování objektů </w:t>
      </w:r>
      <w:r w:rsidR="00AF3C8F">
        <w:rPr>
          <w:rFonts w:ascii="Calibri" w:hAnsi="Calibri" w:cs="Calibri"/>
          <w:sz w:val="24"/>
        </w:rPr>
        <w:t>s </w:t>
      </w:r>
      <w:r w:rsidR="00DD66BA" w:rsidRPr="00151110">
        <w:rPr>
          <w:rFonts w:ascii="Calibri" w:hAnsi="Calibri" w:cs="Calibri"/>
          <w:sz w:val="24"/>
        </w:rPr>
        <w:t xml:space="preserve">EPS na PCO. </w:t>
      </w:r>
      <w:r w:rsidR="00332AD5" w:rsidRPr="00151110">
        <w:rPr>
          <w:rFonts w:ascii="Calibri" w:hAnsi="Calibri" w:cs="Calibri"/>
          <w:sz w:val="24"/>
        </w:rPr>
        <w:t>Podle Pokynu měly HZSK uzavírat smlouv</w:t>
      </w:r>
      <w:r w:rsidR="007A0C71">
        <w:rPr>
          <w:rFonts w:ascii="Calibri" w:hAnsi="Calibri" w:cs="Calibri"/>
          <w:sz w:val="24"/>
        </w:rPr>
        <w:t>y</w:t>
      </w:r>
      <w:r w:rsidR="00332AD5" w:rsidRPr="00151110">
        <w:rPr>
          <w:rFonts w:ascii="Calibri" w:hAnsi="Calibri" w:cs="Calibri"/>
          <w:sz w:val="24"/>
        </w:rPr>
        <w:t xml:space="preserve"> o připojení EPS přímo s jejich provozovateli</w:t>
      </w:r>
      <w:r w:rsidR="00402ADA">
        <w:rPr>
          <w:rFonts w:ascii="Calibri" w:hAnsi="Calibri" w:cs="Calibri"/>
          <w:sz w:val="24"/>
        </w:rPr>
        <w:t xml:space="preserve">, ale </w:t>
      </w:r>
      <w:r w:rsidR="00AF3C8F">
        <w:rPr>
          <w:rFonts w:ascii="Calibri" w:hAnsi="Calibri" w:cs="Calibri"/>
          <w:sz w:val="24"/>
        </w:rPr>
        <w:t>v </w:t>
      </w:r>
      <w:r w:rsidR="00332AD5" w:rsidRPr="00402ADA">
        <w:rPr>
          <w:rFonts w:ascii="Calibri" w:hAnsi="Calibri" w:cs="Calibri"/>
          <w:sz w:val="24"/>
        </w:rPr>
        <w:t>době vydání Pokynu měly již některé HZSK uzavřen smluvní vztah se zprostředkovatel</w:t>
      </w:r>
      <w:r w:rsidR="00402ADA">
        <w:rPr>
          <w:rFonts w:ascii="Calibri" w:hAnsi="Calibri" w:cs="Calibri"/>
          <w:sz w:val="24"/>
        </w:rPr>
        <w:t>em.</w:t>
      </w:r>
      <w:r w:rsidR="00332AD5" w:rsidRPr="00402ADA">
        <w:rPr>
          <w:rFonts w:ascii="Calibri" w:hAnsi="Calibri" w:cs="Calibri"/>
          <w:sz w:val="24"/>
        </w:rPr>
        <w:t xml:space="preserve"> </w:t>
      </w:r>
    </w:p>
    <w:p w14:paraId="6EDCC604" w14:textId="77777777" w:rsidR="00511320" w:rsidRPr="00402ADA" w:rsidRDefault="00511320" w:rsidP="00511320">
      <w:pPr>
        <w:rPr>
          <w:rFonts w:ascii="Calibri" w:hAnsi="Calibri" w:cs="Calibri"/>
          <w:sz w:val="24"/>
        </w:rPr>
      </w:pPr>
    </w:p>
    <w:p w14:paraId="7C163789" w14:textId="30B14CA6" w:rsidR="00151110" w:rsidRPr="00151110" w:rsidRDefault="00927E77" w:rsidP="0051132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GŘ</w:t>
      </w:r>
      <w:r w:rsidR="00151110" w:rsidRPr="00151110">
        <w:rPr>
          <w:rFonts w:ascii="Calibri" w:hAnsi="Calibri" w:cs="Calibri"/>
          <w:sz w:val="24"/>
        </w:rPr>
        <w:t xml:space="preserve"> bylo </w:t>
      </w:r>
      <w:r w:rsidR="00965FEA">
        <w:rPr>
          <w:rFonts w:ascii="Calibri" w:hAnsi="Calibri" w:cs="Calibri"/>
          <w:sz w:val="24"/>
        </w:rPr>
        <w:t xml:space="preserve">na základě vlastní kontrolní činnosti </w:t>
      </w:r>
      <w:r w:rsidR="00151110" w:rsidRPr="00151110">
        <w:rPr>
          <w:rFonts w:ascii="Calibri" w:hAnsi="Calibri" w:cs="Calibri"/>
          <w:sz w:val="24"/>
        </w:rPr>
        <w:t xml:space="preserve">informováno o rozdílném přístupu jednotlivých HZSK, přesto do doby ukončení kontroly NKÚ nevydalo nový </w:t>
      </w:r>
      <w:r w:rsidR="009C47EE">
        <w:rPr>
          <w:rFonts w:ascii="Calibri" w:hAnsi="Calibri" w:cs="Calibri"/>
          <w:sz w:val="24"/>
        </w:rPr>
        <w:t>p</w:t>
      </w:r>
      <w:r w:rsidR="00151110" w:rsidRPr="00151110">
        <w:rPr>
          <w:rFonts w:ascii="Calibri" w:hAnsi="Calibri" w:cs="Calibri"/>
          <w:sz w:val="24"/>
        </w:rPr>
        <w:t>okyn ani jiný interní akt řízení, kterým by sjednotilo postup</w:t>
      </w:r>
      <w:r w:rsidR="007A0C71">
        <w:rPr>
          <w:rFonts w:ascii="Calibri" w:hAnsi="Calibri" w:cs="Calibri"/>
          <w:sz w:val="24"/>
        </w:rPr>
        <w:t>y</w:t>
      </w:r>
      <w:r w:rsidR="00151110" w:rsidRPr="00151110">
        <w:rPr>
          <w:rFonts w:ascii="Calibri" w:hAnsi="Calibri" w:cs="Calibri"/>
          <w:sz w:val="24"/>
        </w:rPr>
        <w:t xml:space="preserve"> HZSK při uzavírání smluv o připojování EPS na PCO, při stanovování cen za připojení nebo při uplatňování nákladů na plané výjezdy. </w:t>
      </w:r>
    </w:p>
    <w:p w14:paraId="127CDD5E" w14:textId="77777777" w:rsidR="000B43C9" w:rsidRDefault="000B43C9" w:rsidP="00DD66BA">
      <w:pPr>
        <w:rPr>
          <w:rFonts w:ascii="Calibri" w:hAnsi="Calibri" w:cs="Calibri"/>
          <w:sz w:val="24"/>
        </w:rPr>
      </w:pPr>
    </w:p>
    <w:p w14:paraId="3F435A7F" w14:textId="15271E24" w:rsidR="004F6BA9" w:rsidRDefault="004F6BA9" w:rsidP="004F6BA9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 následující tabulce jsou uvedeny příjmy kontrolovaných HZSK </w:t>
      </w:r>
      <w:r w:rsidR="009E45F5">
        <w:rPr>
          <w:rFonts w:ascii="Calibri" w:hAnsi="Calibri" w:cs="Calibri"/>
          <w:sz w:val="24"/>
        </w:rPr>
        <w:t xml:space="preserve">za služby </w:t>
      </w:r>
      <w:r>
        <w:rPr>
          <w:rFonts w:ascii="Calibri" w:hAnsi="Calibri" w:cs="Calibri"/>
          <w:sz w:val="24"/>
        </w:rPr>
        <w:t xml:space="preserve">spojené s připojením objektů na PCO za roky 2013 a 2014. </w:t>
      </w:r>
    </w:p>
    <w:p w14:paraId="26A56C4F" w14:textId="77777777" w:rsidR="00511320" w:rsidRDefault="00511320" w:rsidP="004F6BA9">
      <w:pPr>
        <w:rPr>
          <w:rFonts w:ascii="Calibri" w:hAnsi="Calibri" w:cs="Calibri"/>
          <w:sz w:val="24"/>
        </w:rPr>
      </w:pPr>
    </w:p>
    <w:p w14:paraId="3E7D789A" w14:textId="7608FAF9" w:rsidR="004F6BA9" w:rsidRPr="00F146E7" w:rsidRDefault="004F6BA9" w:rsidP="00511320">
      <w:pPr>
        <w:keepNext/>
        <w:tabs>
          <w:tab w:val="right" w:pos="9072"/>
        </w:tabs>
        <w:jc w:val="left"/>
        <w:rPr>
          <w:rFonts w:asciiTheme="minorHAnsi" w:hAnsiTheme="minorHAnsi" w:cstheme="minorHAnsi"/>
          <w:b/>
          <w:sz w:val="24"/>
        </w:rPr>
      </w:pPr>
      <w:r w:rsidRPr="00F146E7">
        <w:rPr>
          <w:rFonts w:asciiTheme="minorHAnsi" w:hAnsiTheme="minorHAnsi" w:cstheme="minorHAnsi"/>
          <w:b/>
          <w:sz w:val="24"/>
        </w:rPr>
        <w:lastRenderedPageBreak/>
        <w:t xml:space="preserve">Tabulka č. </w:t>
      </w:r>
      <w:r>
        <w:rPr>
          <w:rFonts w:asciiTheme="minorHAnsi" w:hAnsiTheme="minorHAnsi" w:cstheme="minorHAnsi"/>
          <w:b/>
          <w:sz w:val="24"/>
        </w:rPr>
        <w:t>3</w:t>
      </w:r>
      <w:r w:rsidRPr="00F146E7">
        <w:rPr>
          <w:rFonts w:asciiTheme="minorHAnsi" w:hAnsiTheme="minorHAnsi" w:cstheme="minorHAnsi"/>
          <w:b/>
          <w:sz w:val="24"/>
        </w:rPr>
        <w:t xml:space="preserve"> </w:t>
      </w:r>
      <w:r w:rsidR="00511320">
        <w:rPr>
          <w:rFonts w:asciiTheme="minorHAnsi" w:hAnsiTheme="minorHAnsi" w:cstheme="minorHAnsi"/>
          <w:b/>
          <w:sz w:val="24"/>
        </w:rPr>
        <w:t>–</w:t>
      </w:r>
      <w:r w:rsidRPr="00F146E7">
        <w:rPr>
          <w:rFonts w:asciiTheme="minorHAnsi" w:hAnsiTheme="minorHAnsi" w:cstheme="minorHAnsi"/>
          <w:b/>
          <w:sz w:val="24"/>
        </w:rPr>
        <w:t xml:space="preserve"> Příjmy </w:t>
      </w:r>
      <w:r>
        <w:rPr>
          <w:rFonts w:asciiTheme="minorHAnsi" w:hAnsiTheme="minorHAnsi" w:cstheme="minorHAnsi"/>
          <w:b/>
          <w:sz w:val="24"/>
        </w:rPr>
        <w:t xml:space="preserve">kontrolovaných </w:t>
      </w:r>
      <w:r w:rsidRPr="00F146E7">
        <w:rPr>
          <w:rFonts w:asciiTheme="minorHAnsi" w:hAnsiTheme="minorHAnsi" w:cstheme="minorHAnsi"/>
          <w:b/>
          <w:sz w:val="24"/>
        </w:rPr>
        <w:t xml:space="preserve">HZSK </w:t>
      </w:r>
      <w:r w:rsidR="002D1D0D">
        <w:rPr>
          <w:rFonts w:asciiTheme="minorHAnsi" w:hAnsiTheme="minorHAnsi" w:cstheme="minorHAnsi"/>
          <w:b/>
          <w:sz w:val="24"/>
        </w:rPr>
        <w:t xml:space="preserve">v souvislosti s provozováním </w:t>
      </w:r>
      <w:r w:rsidRPr="00F146E7">
        <w:rPr>
          <w:rFonts w:asciiTheme="minorHAnsi" w:hAnsiTheme="minorHAnsi" w:cstheme="minorHAnsi"/>
          <w:b/>
          <w:sz w:val="24"/>
        </w:rPr>
        <w:t>PCO</w:t>
      </w:r>
      <w:r w:rsidRPr="00F146E7">
        <w:rPr>
          <w:rFonts w:ascii="Calibri" w:hAnsi="Calibri" w:cs="Calibri"/>
          <w:b/>
          <w:sz w:val="24"/>
        </w:rPr>
        <w:tab/>
        <w:t>(v Kč)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1076"/>
        <w:gridCol w:w="2176"/>
        <w:gridCol w:w="2229"/>
        <w:gridCol w:w="2015"/>
      </w:tblGrid>
      <w:tr w:rsidR="004F6BA9" w:rsidRPr="00760D62" w14:paraId="41B85682" w14:textId="77777777" w:rsidTr="003242AC">
        <w:trPr>
          <w:cantSplit/>
          <w:trHeight w:val="381"/>
          <w:tblHeader/>
        </w:trPr>
        <w:tc>
          <w:tcPr>
            <w:tcW w:w="867" w:type="pct"/>
            <w:vMerge w:val="restart"/>
            <w:shd w:val="clear" w:color="auto" w:fill="DBE5F1" w:themeFill="accent1" w:themeFillTint="33"/>
            <w:vAlign w:val="center"/>
          </w:tcPr>
          <w:p w14:paraId="6E8884CF" w14:textId="77777777" w:rsidR="004F6BA9" w:rsidRPr="00F146E7" w:rsidRDefault="004F6BA9" w:rsidP="00282E7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146E7">
              <w:rPr>
                <w:rFonts w:asciiTheme="minorHAnsi" w:hAnsiTheme="minorHAnsi" w:cstheme="minorHAnsi"/>
                <w:b/>
                <w:bCs/>
                <w:szCs w:val="22"/>
              </w:rPr>
              <w:t>Hasičský záchranný sbor</w:t>
            </w:r>
          </w:p>
        </w:tc>
        <w:tc>
          <w:tcPr>
            <w:tcW w:w="584" w:type="pct"/>
            <w:vMerge w:val="restart"/>
            <w:shd w:val="clear" w:color="auto" w:fill="DBE5F1" w:themeFill="accent1" w:themeFillTint="33"/>
            <w:vAlign w:val="center"/>
          </w:tcPr>
          <w:p w14:paraId="065BE360" w14:textId="77777777" w:rsidR="004F6BA9" w:rsidRPr="00F146E7" w:rsidRDefault="004F6BA9" w:rsidP="00282E7D">
            <w:pPr>
              <w:ind w:left="14" w:hanging="1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146E7">
              <w:rPr>
                <w:rFonts w:asciiTheme="minorHAnsi" w:hAnsiTheme="minorHAnsi" w:cstheme="minorHAnsi"/>
                <w:b/>
                <w:szCs w:val="22"/>
              </w:rPr>
              <w:t>Počet</w:t>
            </w:r>
          </w:p>
          <w:p w14:paraId="0E2E9C31" w14:textId="77777777" w:rsidR="004F6BA9" w:rsidRPr="00F146E7" w:rsidRDefault="004F6BA9" w:rsidP="00282E7D">
            <w:pPr>
              <w:ind w:left="14" w:hanging="1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146E7">
              <w:rPr>
                <w:rFonts w:asciiTheme="minorHAnsi" w:hAnsiTheme="minorHAnsi" w:cstheme="minorHAnsi"/>
                <w:b/>
                <w:szCs w:val="22"/>
              </w:rPr>
              <w:t>připojení*</w:t>
            </w:r>
          </w:p>
        </w:tc>
        <w:tc>
          <w:tcPr>
            <w:tcW w:w="2435" w:type="pct"/>
            <w:gridSpan w:val="2"/>
            <w:shd w:val="clear" w:color="auto" w:fill="DBE5F1" w:themeFill="accent1" w:themeFillTint="33"/>
            <w:vAlign w:val="center"/>
          </w:tcPr>
          <w:p w14:paraId="2D2AADC3" w14:textId="77777777" w:rsidR="004F6BA9" w:rsidRPr="00F146E7" w:rsidRDefault="004F6BA9" w:rsidP="00282E7D">
            <w:pPr>
              <w:ind w:left="14" w:hanging="14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Součet p</w:t>
            </w:r>
            <w:r w:rsidRPr="00F146E7">
              <w:rPr>
                <w:rFonts w:asciiTheme="minorHAnsi" w:hAnsiTheme="minorHAnsi" w:cstheme="minorHAnsi"/>
                <w:b/>
                <w:szCs w:val="22"/>
              </w:rPr>
              <w:t>říjm</w:t>
            </w:r>
            <w:r>
              <w:rPr>
                <w:rFonts w:asciiTheme="minorHAnsi" w:hAnsiTheme="minorHAnsi" w:cstheme="minorHAnsi"/>
                <w:b/>
                <w:szCs w:val="22"/>
              </w:rPr>
              <w:t>ů</w:t>
            </w:r>
            <w:r w:rsidRPr="00F146E7">
              <w:rPr>
                <w:rFonts w:asciiTheme="minorHAnsi" w:hAnsiTheme="minorHAnsi" w:cstheme="minorHAnsi"/>
                <w:b/>
                <w:szCs w:val="22"/>
              </w:rPr>
              <w:t xml:space="preserve"> za roky 2013 a 2014</w:t>
            </w:r>
          </w:p>
        </w:tc>
        <w:tc>
          <w:tcPr>
            <w:tcW w:w="1114" w:type="pct"/>
            <w:vMerge w:val="restart"/>
            <w:shd w:val="clear" w:color="auto" w:fill="DBE5F1" w:themeFill="accent1" w:themeFillTint="33"/>
            <w:vAlign w:val="center"/>
          </w:tcPr>
          <w:p w14:paraId="5958E0E3" w14:textId="77777777" w:rsidR="004F6BA9" w:rsidRPr="00F146E7" w:rsidRDefault="004F6BA9" w:rsidP="00282E7D">
            <w:pPr>
              <w:ind w:left="14" w:hanging="1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Celkem</w:t>
            </w:r>
          </w:p>
        </w:tc>
      </w:tr>
      <w:tr w:rsidR="004F6BA9" w:rsidRPr="00760D62" w14:paraId="1B24EFC1" w14:textId="77777777" w:rsidTr="003242AC">
        <w:trPr>
          <w:cantSplit/>
          <w:trHeight w:val="547"/>
          <w:tblHeader/>
        </w:trPr>
        <w:tc>
          <w:tcPr>
            <w:tcW w:w="867" w:type="pct"/>
            <w:vMerge/>
            <w:shd w:val="clear" w:color="auto" w:fill="EEECE1" w:themeFill="background2"/>
            <w:vAlign w:val="center"/>
          </w:tcPr>
          <w:p w14:paraId="57DB7E3C" w14:textId="77777777" w:rsidR="004F6BA9" w:rsidRPr="00F146E7" w:rsidRDefault="004F6BA9" w:rsidP="00282E7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84" w:type="pct"/>
            <w:vMerge/>
            <w:shd w:val="clear" w:color="auto" w:fill="EEECE1" w:themeFill="background2"/>
          </w:tcPr>
          <w:p w14:paraId="1A86A8CE" w14:textId="77777777" w:rsidR="004F6BA9" w:rsidRPr="00F146E7" w:rsidRDefault="004F6BA9" w:rsidP="00282E7D">
            <w:pPr>
              <w:ind w:left="14" w:hanging="1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03" w:type="pct"/>
            <w:shd w:val="clear" w:color="auto" w:fill="DBE5F1" w:themeFill="accent1" w:themeFillTint="33"/>
            <w:vAlign w:val="center"/>
          </w:tcPr>
          <w:p w14:paraId="3B06949E" w14:textId="77777777" w:rsidR="004F6BA9" w:rsidRPr="00F146E7" w:rsidRDefault="004F6BA9" w:rsidP="00282E7D">
            <w:pPr>
              <w:ind w:left="14" w:hanging="1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Ú</w:t>
            </w:r>
            <w:r w:rsidRPr="00F146E7">
              <w:rPr>
                <w:rFonts w:asciiTheme="minorHAnsi" w:hAnsiTheme="minorHAnsi" w:cstheme="minorHAnsi"/>
                <w:b/>
                <w:szCs w:val="22"/>
              </w:rPr>
              <w:t>hrady za připojení</w:t>
            </w:r>
          </w:p>
        </w:tc>
        <w:tc>
          <w:tcPr>
            <w:tcW w:w="1232" w:type="pct"/>
            <w:shd w:val="clear" w:color="auto" w:fill="DBE5F1" w:themeFill="accent1" w:themeFillTint="33"/>
            <w:vAlign w:val="center"/>
          </w:tcPr>
          <w:p w14:paraId="06804A91" w14:textId="77777777" w:rsidR="004F6BA9" w:rsidRPr="00F146E7" w:rsidRDefault="004F6BA9" w:rsidP="00282E7D">
            <w:pPr>
              <w:ind w:left="14" w:hanging="14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Ú</w:t>
            </w:r>
            <w:r w:rsidRPr="00F146E7">
              <w:rPr>
                <w:rFonts w:asciiTheme="minorHAnsi" w:hAnsiTheme="minorHAnsi" w:cstheme="minorHAnsi"/>
                <w:b/>
                <w:szCs w:val="22"/>
              </w:rPr>
              <w:t>hrady za plané výjezdy</w:t>
            </w:r>
          </w:p>
        </w:tc>
        <w:tc>
          <w:tcPr>
            <w:tcW w:w="1114" w:type="pct"/>
            <w:vMerge/>
            <w:shd w:val="clear" w:color="auto" w:fill="EEECE1" w:themeFill="background2"/>
          </w:tcPr>
          <w:p w14:paraId="02B95600" w14:textId="77777777" w:rsidR="004F6BA9" w:rsidRDefault="004F6BA9" w:rsidP="00282E7D">
            <w:pPr>
              <w:ind w:left="14" w:hanging="1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F6BA9" w:rsidRPr="00760D62" w14:paraId="6A551017" w14:textId="77777777" w:rsidTr="00080333">
        <w:trPr>
          <w:cantSplit/>
          <w:trHeight w:val="284"/>
        </w:trPr>
        <w:tc>
          <w:tcPr>
            <w:tcW w:w="867" w:type="pct"/>
            <w:shd w:val="clear" w:color="auto" w:fill="auto"/>
            <w:vAlign w:val="center"/>
          </w:tcPr>
          <w:p w14:paraId="730E89F7" w14:textId="77777777" w:rsidR="004F6BA9" w:rsidRPr="009306D9" w:rsidRDefault="004F6BA9" w:rsidP="00282E7D">
            <w:pPr>
              <w:pStyle w:val="Odstavecseseznamem1"/>
              <w:ind w:left="7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06D9">
              <w:rPr>
                <w:rFonts w:asciiTheme="minorHAnsi" w:hAnsiTheme="minorHAnsi" w:cstheme="minorHAnsi"/>
                <w:bCs/>
                <w:sz w:val="22"/>
                <w:szCs w:val="22"/>
              </w:rPr>
              <w:t>HZS Prah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584" w:type="pct"/>
          </w:tcPr>
          <w:p w14:paraId="0FCFCB2F" w14:textId="77777777" w:rsidR="004F6BA9" w:rsidRPr="009306D9" w:rsidRDefault="004F6BA9" w:rsidP="00282E7D">
            <w:pPr>
              <w:tabs>
                <w:tab w:val="left" w:pos="1348"/>
              </w:tabs>
              <w:ind w:left="72" w:right="215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191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31B286B1" w14:textId="3990C3AE" w:rsidR="004F6BA9" w:rsidRPr="009306D9" w:rsidRDefault="004F6BA9" w:rsidP="00DF47BC">
            <w:pPr>
              <w:ind w:right="214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2 </w:t>
            </w:r>
            <w:r w:rsidR="00DF47BC">
              <w:rPr>
                <w:rFonts w:ascii="Calibri" w:hAnsi="Calibri" w:cs="Calibri"/>
                <w:color w:val="000000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  <w:r w:rsidR="00DF47BC">
              <w:rPr>
                <w:rFonts w:ascii="Calibri" w:hAnsi="Calibri" w:cs="Calibri"/>
                <w:color w:val="000000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DF47BC">
              <w:rPr>
                <w:rFonts w:ascii="Calibri" w:hAnsi="Calibri" w:cs="Calibri"/>
                <w:color w:val="000000"/>
                <w:szCs w:val="22"/>
              </w:rPr>
              <w:t>808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28E60C1E" w14:textId="77777777" w:rsidR="004F6BA9" w:rsidRPr="009306D9" w:rsidRDefault="004F6BA9" w:rsidP="00282E7D">
            <w:pPr>
              <w:ind w:right="216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807 300</w:t>
            </w:r>
          </w:p>
        </w:tc>
        <w:tc>
          <w:tcPr>
            <w:tcW w:w="1114" w:type="pct"/>
            <w:vAlign w:val="center"/>
          </w:tcPr>
          <w:p w14:paraId="1C6BB03F" w14:textId="39909F71" w:rsidR="004F6BA9" w:rsidRDefault="00DF47BC" w:rsidP="00282E7D">
            <w:pPr>
              <w:ind w:right="169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3 060 108</w:t>
            </w:r>
          </w:p>
        </w:tc>
      </w:tr>
      <w:tr w:rsidR="004F6BA9" w:rsidRPr="00760D62" w14:paraId="775FCC85" w14:textId="77777777" w:rsidTr="00080333">
        <w:trPr>
          <w:cantSplit/>
          <w:trHeight w:val="284"/>
        </w:trPr>
        <w:tc>
          <w:tcPr>
            <w:tcW w:w="867" w:type="pct"/>
            <w:shd w:val="clear" w:color="auto" w:fill="auto"/>
            <w:vAlign w:val="center"/>
          </w:tcPr>
          <w:p w14:paraId="5C572CD4" w14:textId="77777777" w:rsidR="004F6BA9" w:rsidRPr="009306D9" w:rsidRDefault="004F6BA9" w:rsidP="00282E7D">
            <w:pPr>
              <w:pStyle w:val="Odstavecseseznamem1"/>
              <w:ind w:left="7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06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HZS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JMK</w:t>
            </w:r>
          </w:p>
        </w:tc>
        <w:tc>
          <w:tcPr>
            <w:tcW w:w="584" w:type="pct"/>
          </w:tcPr>
          <w:p w14:paraId="175F9F21" w14:textId="77777777" w:rsidR="004F6BA9" w:rsidRPr="009306D9" w:rsidRDefault="004F6BA9" w:rsidP="00282E7D">
            <w:pPr>
              <w:tabs>
                <w:tab w:val="left" w:pos="1348"/>
              </w:tabs>
              <w:ind w:left="72" w:right="215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265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4A686DDC" w14:textId="77777777" w:rsidR="004F6BA9" w:rsidRPr="009306D9" w:rsidRDefault="004F6BA9" w:rsidP="00282E7D">
            <w:pPr>
              <w:ind w:right="214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27 583 539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234B6598" w14:textId="77777777" w:rsidR="004F6BA9" w:rsidRPr="009306D9" w:rsidRDefault="004F6BA9" w:rsidP="00282E7D">
            <w:pPr>
              <w:ind w:right="216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80 000</w:t>
            </w:r>
          </w:p>
        </w:tc>
        <w:tc>
          <w:tcPr>
            <w:tcW w:w="1114" w:type="pct"/>
            <w:vAlign w:val="center"/>
          </w:tcPr>
          <w:p w14:paraId="1E853570" w14:textId="77777777" w:rsidR="004F6BA9" w:rsidRPr="00BE2A95" w:rsidRDefault="004F6BA9" w:rsidP="00282E7D">
            <w:pPr>
              <w:ind w:right="169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27 663 539</w:t>
            </w:r>
          </w:p>
        </w:tc>
      </w:tr>
      <w:tr w:rsidR="004F6BA9" w:rsidRPr="00760D62" w14:paraId="74ACE455" w14:textId="77777777" w:rsidTr="00080333">
        <w:trPr>
          <w:cantSplit/>
          <w:trHeight w:val="284"/>
        </w:trPr>
        <w:tc>
          <w:tcPr>
            <w:tcW w:w="867" w:type="pct"/>
            <w:shd w:val="clear" w:color="auto" w:fill="auto"/>
            <w:vAlign w:val="center"/>
          </w:tcPr>
          <w:p w14:paraId="31360B6B" w14:textId="77777777" w:rsidR="004F6BA9" w:rsidRPr="009306D9" w:rsidRDefault="004F6BA9" w:rsidP="00282E7D">
            <w:pPr>
              <w:pStyle w:val="Odstavecseseznamem1"/>
              <w:ind w:left="7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06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HZS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LK</w:t>
            </w:r>
          </w:p>
        </w:tc>
        <w:tc>
          <w:tcPr>
            <w:tcW w:w="584" w:type="pct"/>
          </w:tcPr>
          <w:p w14:paraId="0160E084" w14:textId="77777777" w:rsidR="004F6BA9" w:rsidRPr="009306D9" w:rsidRDefault="004F6BA9" w:rsidP="00282E7D">
            <w:pPr>
              <w:tabs>
                <w:tab w:val="left" w:pos="1348"/>
              </w:tabs>
              <w:ind w:left="72" w:right="215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100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7C91D6DB" w14:textId="77777777" w:rsidR="004F6BA9" w:rsidRPr="009306D9" w:rsidRDefault="004F6BA9" w:rsidP="00282E7D">
            <w:pPr>
              <w:ind w:right="214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01EC8487" w14:textId="77777777" w:rsidR="004F6BA9" w:rsidRPr="009306D9" w:rsidRDefault="004F6BA9" w:rsidP="00282E7D">
            <w:pPr>
              <w:ind w:right="216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18 000</w:t>
            </w:r>
          </w:p>
        </w:tc>
        <w:tc>
          <w:tcPr>
            <w:tcW w:w="1114" w:type="pct"/>
            <w:vAlign w:val="center"/>
          </w:tcPr>
          <w:p w14:paraId="69A4DC86" w14:textId="77777777" w:rsidR="004F6BA9" w:rsidRDefault="004F6BA9" w:rsidP="00282E7D">
            <w:pPr>
              <w:ind w:right="169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18 000</w:t>
            </w:r>
          </w:p>
        </w:tc>
      </w:tr>
      <w:tr w:rsidR="004F6BA9" w:rsidRPr="00760D62" w14:paraId="539CDF9D" w14:textId="77777777" w:rsidTr="00080333">
        <w:trPr>
          <w:cantSplit/>
          <w:trHeight w:val="284"/>
        </w:trPr>
        <w:tc>
          <w:tcPr>
            <w:tcW w:w="867" w:type="pct"/>
            <w:shd w:val="clear" w:color="auto" w:fill="auto"/>
            <w:vAlign w:val="center"/>
          </w:tcPr>
          <w:p w14:paraId="27C0980D" w14:textId="77777777" w:rsidR="004F6BA9" w:rsidRPr="009306D9" w:rsidRDefault="004F6BA9" w:rsidP="00282E7D">
            <w:pPr>
              <w:pStyle w:val="Odstavecseseznamem1"/>
              <w:ind w:left="7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06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HZS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PK</w:t>
            </w:r>
          </w:p>
        </w:tc>
        <w:tc>
          <w:tcPr>
            <w:tcW w:w="584" w:type="pct"/>
          </w:tcPr>
          <w:p w14:paraId="2295F847" w14:textId="77777777" w:rsidR="004F6BA9" w:rsidRPr="009306D9" w:rsidRDefault="004F6BA9" w:rsidP="00282E7D">
            <w:pPr>
              <w:tabs>
                <w:tab w:val="left" w:pos="1348"/>
              </w:tabs>
              <w:ind w:left="72" w:right="215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113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E626F31" w14:textId="77777777" w:rsidR="004F6BA9" w:rsidRPr="009306D9" w:rsidRDefault="004F6BA9" w:rsidP="00282E7D">
            <w:pPr>
              <w:ind w:right="214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8 118 271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51509BDE" w14:textId="77777777" w:rsidR="004F6BA9" w:rsidRPr="009306D9" w:rsidRDefault="004F6BA9" w:rsidP="00282E7D">
            <w:pPr>
              <w:ind w:right="216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158 000</w:t>
            </w:r>
          </w:p>
        </w:tc>
        <w:tc>
          <w:tcPr>
            <w:tcW w:w="1114" w:type="pct"/>
            <w:vAlign w:val="center"/>
          </w:tcPr>
          <w:p w14:paraId="1C78713D" w14:textId="77777777" w:rsidR="004F6BA9" w:rsidRDefault="004F6BA9" w:rsidP="00282E7D">
            <w:pPr>
              <w:ind w:right="169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8 276 271</w:t>
            </w:r>
          </w:p>
        </w:tc>
      </w:tr>
      <w:tr w:rsidR="004F6BA9" w:rsidRPr="00760D62" w14:paraId="443D0D33" w14:textId="77777777" w:rsidTr="00080333">
        <w:trPr>
          <w:cantSplit/>
          <w:trHeight w:val="284"/>
        </w:trPr>
        <w:tc>
          <w:tcPr>
            <w:tcW w:w="3886" w:type="pct"/>
            <w:gridSpan w:val="4"/>
            <w:shd w:val="clear" w:color="auto" w:fill="auto"/>
            <w:vAlign w:val="center"/>
          </w:tcPr>
          <w:p w14:paraId="443B7B8D" w14:textId="77777777" w:rsidR="004F6BA9" w:rsidRPr="00F146E7" w:rsidRDefault="004F6BA9" w:rsidP="00282E7D">
            <w:pPr>
              <w:ind w:right="71"/>
              <w:jc w:val="lef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146E7">
              <w:rPr>
                <w:rFonts w:asciiTheme="minorHAnsi" w:hAnsiTheme="minorHAnsi" w:cstheme="minorHAnsi"/>
                <w:b/>
                <w:bCs/>
                <w:szCs w:val="22"/>
              </w:rPr>
              <w:t>Celkem</w:t>
            </w:r>
          </w:p>
        </w:tc>
        <w:tc>
          <w:tcPr>
            <w:tcW w:w="1114" w:type="pct"/>
          </w:tcPr>
          <w:p w14:paraId="38FFB12E" w14:textId="17AEE3B3" w:rsidR="004F6BA9" w:rsidRPr="005E0A55" w:rsidRDefault="00107145" w:rsidP="00282E7D">
            <w:pPr>
              <w:ind w:right="169"/>
              <w:jc w:val="righ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07145">
              <w:rPr>
                <w:rFonts w:ascii="Calibri" w:hAnsi="Calibri" w:cs="Calibri"/>
                <w:b/>
                <w:color w:val="000000"/>
                <w:szCs w:val="22"/>
              </w:rPr>
              <w:t>39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 </w:t>
            </w:r>
            <w:r w:rsidRPr="00107145">
              <w:rPr>
                <w:rFonts w:ascii="Calibri" w:hAnsi="Calibri" w:cs="Calibri"/>
                <w:b/>
                <w:color w:val="000000"/>
                <w:szCs w:val="22"/>
              </w:rPr>
              <w:t>017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 </w:t>
            </w:r>
            <w:r w:rsidRPr="00107145">
              <w:rPr>
                <w:rFonts w:ascii="Calibri" w:hAnsi="Calibri" w:cs="Calibri"/>
                <w:b/>
                <w:color w:val="000000"/>
                <w:szCs w:val="22"/>
              </w:rPr>
              <w:t>918</w:t>
            </w:r>
          </w:p>
        </w:tc>
      </w:tr>
    </w:tbl>
    <w:p w14:paraId="75302F0C" w14:textId="51911E9D" w:rsidR="004F6BA9" w:rsidRPr="00C12DFE" w:rsidRDefault="004F6BA9" w:rsidP="004F6BA9">
      <w:pPr>
        <w:rPr>
          <w:rFonts w:ascii="Calibri" w:eastAsiaTheme="minorHAnsi" w:hAnsi="Calibri" w:cs="Calibri"/>
          <w:sz w:val="20"/>
          <w:szCs w:val="20"/>
        </w:rPr>
      </w:pPr>
      <w:r w:rsidRPr="00C12DFE">
        <w:rPr>
          <w:rFonts w:ascii="Calibri" w:eastAsiaTheme="minorHAnsi" w:hAnsi="Calibri" w:cs="Calibri"/>
          <w:b/>
          <w:sz w:val="20"/>
          <w:szCs w:val="20"/>
        </w:rPr>
        <w:t>Zdroj</w:t>
      </w:r>
      <w:r w:rsidRPr="003242AC">
        <w:rPr>
          <w:rFonts w:ascii="Calibri" w:eastAsiaTheme="minorHAnsi" w:hAnsi="Calibri" w:cs="Calibri"/>
          <w:b/>
          <w:sz w:val="20"/>
          <w:szCs w:val="20"/>
        </w:rPr>
        <w:t>:</w:t>
      </w:r>
      <w:r w:rsidRPr="00C12DFE">
        <w:rPr>
          <w:rFonts w:ascii="Calibri" w:eastAsiaTheme="minorHAnsi" w:hAnsi="Calibri" w:cs="Calibri"/>
          <w:sz w:val="20"/>
          <w:szCs w:val="20"/>
        </w:rPr>
        <w:t xml:space="preserve"> </w:t>
      </w:r>
      <w:r w:rsidR="002D1D0D">
        <w:rPr>
          <w:rFonts w:ascii="Calibri" w:eastAsiaTheme="minorHAnsi" w:hAnsi="Calibri" w:cs="Calibri"/>
          <w:sz w:val="20"/>
          <w:szCs w:val="20"/>
        </w:rPr>
        <w:t xml:space="preserve">údaje </w:t>
      </w:r>
      <w:r>
        <w:rPr>
          <w:rFonts w:ascii="Calibri" w:eastAsiaTheme="minorHAnsi" w:hAnsi="Calibri" w:cs="Calibri"/>
          <w:sz w:val="20"/>
          <w:szCs w:val="20"/>
        </w:rPr>
        <w:t>kontrolovan</w:t>
      </w:r>
      <w:r w:rsidR="002D1D0D">
        <w:rPr>
          <w:rFonts w:ascii="Calibri" w:eastAsiaTheme="minorHAnsi" w:hAnsi="Calibri" w:cs="Calibri"/>
          <w:sz w:val="20"/>
          <w:szCs w:val="20"/>
        </w:rPr>
        <w:t>ých</w:t>
      </w:r>
      <w:r>
        <w:rPr>
          <w:rFonts w:ascii="Calibri" w:eastAsiaTheme="minorHAnsi" w:hAnsi="Calibri" w:cs="Calibri"/>
          <w:sz w:val="20"/>
          <w:szCs w:val="20"/>
        </w:rPr>
        <w:t xml:space="preserve"> </w:t>
      </w:r>
      <w:r w:rsidRPr="00C12DFE">
        <w:rPr>
          <w:rFonts w:ascii="Calibri" w:eastAsiaTheme="minorHAnsi" w:hAnsi="Calibri" w:cs="Calibri"/>
          <w:sz w:val="20"/>
          <w:szCs w:val="20"/>
        </w:rPr>
        <w:t>HZSK</w:t>
      </w:r>
      <w:r>
        <w:rPr>
          <w:rFonts w:ascii="Calibri" w:eastAsiaTheme="minorHAnsi" w:hAnsi="Calibri" w:cs="Calibri"/>
          <w:sz w:val="20"/>
          <w:szCs w:val="20"/>
        </w:rPr>
        <w:t>.</w:t>
      </w:r>
    </w:p>
    <w:p w14:paraId="5489D12D" w14:textId="21299320" w:rsidR="004F6BA9" w:rsidRPr="00833FA8" w:rsidRDefault="004F6BA9" w:rsidP="004F6BA9">
      <w:pPr>
        <w:rPr>
          <w:rFonts w:ascii="Calibri" w:hAnsi="Calibri" w:cs="Calibri"/>
          <w:sz w:val="20"/>
          <w:szCs w:val="20"/>
        </w:rPr>
      </w:pPr>
      <w:r w:rsidRPr="00833FA8">
        <w:rPr>
          <w:rFonts w:ascii="Calibri" w:hAnsi="Calibri" w:cs="Calibri"/>
          <w:sz w:val="20"/>
          <w:szCs w:val="20"/>
        </w:rPr>
        <w:t xml:space="preserve">* Jedná se </w:t>
      </w:r>
      <w:r>
        <w:rPr>
          <w:rFonts w:ascii="Calibri" w:hAnsi="Calibri" w:cs="Calibri"/>
          <w:sz w:val="20"/>
          <w:szCs w:val="20"/>
        </w:rPr>
        <w:t>o orientační údaj</w:t>
      </w:r>
      <w:r w:rsidR="003C368C">
        <w:rPr>
          <w:rFonts w:ascii="Calibri" w:hAnsi="Calibri" w:cs="Calibri"/>
          <w:sz w:val="20"/>
          <w:szCs w:val="20"/>
        </w:rPr>
        <w:t xml:space="preserve"> o počtu připojených objektů</w:t>
      </w:r>
      <w:r w:rsidRPr="00833FA8">
        <w:rPr>
          <w:rFonts w:ascii="Calibri" w:hAnsi="Calibri" w:cs="Calibri"/>
          <w:sz w:val="20"/>
          <w:szCs w:val="20"/>
        </w:rPr>
        <w:t xml:space="preserve"> </w:t>
      </w:r>
      <w:r w:rsidR="003C368C">
        <w:rPr>
          <w:rFonts w:ascii="Calibri" w:hAnsi="Calibri" w:cs="Calibri"/>
          <w:sz w:val="20"/>
          <w:szCs w:val="20"/>
        </w:rPr>
        <w:t xml:space="preserve">na PCO </w:t>
      </w:r>
      <w:r w:rsidRPr="00833FA8">
        <w:rPr>
          <w:rFonts w:ascii="Calibri" w:hAnsi="Calibri" w:cs="Calibri"/>
          <w:sz w:val="20"/>
          <w:szCs w:val="20"/>
        </w:rPr>
        <w:t>vzhledem k</w:t>
      </w:r>
      <w:r>
        <w:rPr>
          <w:rFonts w:ascii="Calibri" w:hAnsi="Calibri" w:cs="Calibri"/>
          <w:sz w:val="20"/>
          <w:szCs w:val="20"/>
        </w:rPr>
        <w:t xml:space="preserve"> měnícímu se </w:t>
      </w:r>
      <w:r w:rsidRPr="00833FA8">
        <w:rPr>
          <w:rFonts w:ascii="Calibri" w:hAnsi="Calibri" w:cs="Calibri"/>
          <w:sz w:val="20"/>
          <w:szCs w:val="20"/>
        </w:rPr>
        <w:t>počt</w:t>
      </w:r>
      <w:r>
        <w:rPr>
          <w:rFonts w:ascii="Calibri" w:hAnsi="Calibri" w:cs="Calibri"/>
          <w:sz w:val="20"/>
          <w:szCs w:val="20"/>
        </w:rPr>
        <w:t>u</w:t>
      </w:r>
      <w:r w:rsidRPr="00833FA8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>řipojení.</w:t>
      </w:r>
    </w:p>
    <w:p w14:paraId="09BD53C5" w14:textId="77777777" w:rsidR="004F6BA9" w:rsidRDefault="004F6BA9" w:rsidP="00DD66BA">
      <w:pPr>
        <w:rPr>
          <w:rFonts w:ascii="Calibri" w:hAnsi="Calibri" w:cs="Calibri"/>
          <w:sz w:val="24"/>
        </w:rPr>
      </w:pPr>
    </w:p>
    <w:p w14:paraId="648192D8" w14:textId="6D9F1256" w:rsidR="00B70C96" w:rsidRDefault="00C1780C" w:rsidP="00DD66BA">
      <w:pPr>
        <w:rPr>
          <w:rFonts w:ascii="Calibri" w:hAnsi="Calibri" w:cs="Calibri"/>
          <w:sz w:val="24"/>
        </w:rPr>
      </w:pPr>
      <w:r w:rsidRPr="004913B6">
        <w:rPr>
          <w:rFonts w:ascii="Calibri" w:hAnsi="Calibri" w:cs="Calibri"/>
          <w:sz w:val="24"/>
        </w:rPr>
        <w:t xml:space="preserve">Celkové příjmy kontrolovaných HZSK </w:t>
      </w:r>
      <w:r w:rsidR="00545331" w:rsidRPr="003242AC">
        <w:rPr>
          <w:rFonts w:asciiTheme="minorHAnsi" w:hAnsiTheme="minorHAnsi" w:cstheme="minorHAnsi"/>
          <w:sz w:val="24"/>
        </w:rPr>
        <w:t>souvis</w:t>
      </w:r>
      <w:r w:rsidR="00545331">
        <w:rPr>
          <w:rFonts w:asciiTheme="minorHAnsi" w:hAnsiTheme="minorHAnsi" w:cstheme="minorHAnsi"/>
          <w:sz w:val="24"/>
        </w:rPr>
        <w:t>ející</w:t>
      </w:r>
      <w:r w:rsidR="00545331" w:rsidRPr="003242AC">
        <w:rPr>
          <w:rFonts w:asciiTheme="minorHAnsi" w:hAnsiTheme="minorHAnsi" w:cstheme="minorHAnsi"/>
          <w:sz w:val="24"/>
        </w:rPr>
        <w:t xml:space="preserve"> s provozováním </w:t>
      </w:r>
      <w:r w:rsidRPr="004913B6">
        <w:rPr>
          <w:rFonts w:ascii="Calibri" w:hAnsi="Calibri" w:cs="Calibri"/>
          <w:sz w:val="24"/>
        </w:rPr>
        <w:t xml:space="preserve">PCO v letech 2013 a 2014 byly ve výši </w:t>
      </w:r>
      <w:r w:rsidR="005D11CF" w:rsidRPr="004913B6">
        <w:rPr>
          <w:rFonts w:ascii="Calibri" w:hAnsi="Calibri" w:cs="Calibri"/>
          <w:sz w:val="24"/>
        </w:rPr>
        <w:t>3</w:t>
      </w:r>
      <w:r w:rsidR="003C368C">
        <w:rPr>
          <w:rFonts w:ascii="Calibri" w:hAnsi="Calibri" w:cs="Calibri"/>
          <w:sz w:val="24"/>
        </w:rPr>
        <w:t>9</w:t>
      </w:r>
      <w:r w:rsidR="005D11CF" w:rsidRPr="004913B6">
        <w:rPr>
          <w:rFonts w:ascii="Calibri" w:hAnsi="Calibri" w:cs="Calibri"/>
          <w:sz w:val="24"/>
        </w:rPr>
        <w:t> </w:t>
      </w:r>
      <w:r w:rsidR="003C368C">
        <w:rPr>
          <w:rFonts w:ascii="Calibri" w:hAnsi="Calibri" w:cs="Calibri"/>
          <w:sz w:val="24"/>
        </w:rPr>
        <w:t>017</w:t>
      </w:r>
      <w:r w:rsidR="005D11CF" w:rsidRPr="004913B6">
        <w:rPr>
          <w:rFonts w:ascii="Calibri" w:hAnsi="Calibri" w:cs="Calibri"/>
          <w:sz w:val="24"/>
        </w:rPr>
        <w:t> </w:t>
      </w:r>
      <w:r w:rsidR="003C368C">
        <w:rPr>
          <w:rFonts w:ascii="Calibri" w:hAnsi="Calibri" w:cs="Calibri"/>
          <w:sz w:val="24"/>
        </w:rPr>
        <w:t>918</w:t>
      </w:r>
      <w:r w:rsidR="005D11CF" w:rsidRPr="004913B6">
        <w:rPr>
          <w:rFonts w:ascii="Calibri" w:hAnsi="Calibri" w:cs="Calibri"/>
          <w:b/>
          <w:sz w:val="24"/>
        </w:rPr>
        <w:t> </w:t>
      </w:r>
      <w:r w:rsidRPr="004913B6">
        <w:rPr>
          <w:rFonts w:ascii="Calibri" w:hAnsi="Calibri" w:cs="Calibri"/>
          <w:sz w:val="24"/>
        </w:rPr>
        <w:t xml:space="preserve">Kč. </w:t>
      </w:r>
    </w:p>
    <w:p w14:paraId="36C52409" w14:textId="77777777" w:rsidR="00B70C96" w:rsidRDefault="00B70C96" w:rsidP="00DD66BA">
      <w:pPr>
        <w:rPr>
          <w:rFonts w:ascii="Calibri" w:hAnsi="Calibri" w:cs="Calibri"/>
          <w:sz w:val="24"/>
        </w:rPr>
      </w:pPr>
    </w:p>
    <w:p w14:paraId="41927DE1" w14:textId="3E13E491" w:rsidR="009306D9" w:rsidRPr="004913B6" w:rsidRDefault="00DD66BA" w:rsidP="00DD66BA">
      <w:pPr>
        <w:rPr>
          <w:rFonts w:ascii="Calibri" w:hAnsi="Calibri" w:cs="Calibri"/>
          <w:sz w:val="24"/>
        </w:rPr>
      </w:pPr>
      <w:r w:rsidRPr="004913B6">
        <w:rPr>
          <w:rFonts w:ascii="Calibri" w:hAnsi="Calibri" w:cs="Calibri"/>
          <w:sz w:val="24"/>
        </w:rPr>
        <w:t xml:space="preserve">Kontrolou byly zjištěny </w:t>
      </w:r>
      <w:r w:rsidR="007C3102" w:rsidRPr="004913B6">
        <w:rPr>
          <w:rFonts w:ascii="Calibri" w:hAnsi="Calibri" w:cs="Calibri"/>
          <w:sz w:val="24"/>
        </w:rPr>
        <w:t xml:space="preserve">zásadní rozdíly v přístupu </w:t>
      </w:r>
      <w:r w:rsidR="004F6BA9">
        <w:rPr>
          <w:rFonts w:ascii="Calibri" w:hAnsi="Calibri" w:cs="Calibri"/>
          <w:sz w:val="24"/>
        </w:rPr>
        <w:t>kontrolovaných</w:t>
      </w:r>
      <w:r w:rsidRPr="004913B6">
        <w:rPr>
          <w:rFonts w:ascii="Calibri" w:hAnsi="Calibri" w:cs="Calibri"/>
          <w:sz w:val="24"/>
        </w:rPr>
        <w:t xml:space="preserve"> HZSK k</w:t>
      </w:r>
      <w:r w:rsidR="001B5034" w:rsidRPr="004913B6">
        <w:rPr>
          <w:rFonts w:ascii="Calibri" w:hAnsi="Calibri" w:cs="Calibri"/>
          <w:sz w:val="24"/>
        </w:rPr>
        <w:t> uzavírání smluv</w:t>
      </w:r>
      <w:r w:rsidR="009306D9" w:rsidRPr="004913B6">
        <w:rPr>
          <w:rFonts w:ascii="Calibri" w:hAnsi="Calibri" w:cs="Calibri"/>
          <w:sz w:val="24"/>
        </w:rPr>
        <w:t xml:space="preserve">, způsobu </w:t>
      </w:r>
      <w:r w:rsidR="00402ADA" w:rsidRPr="004913B6">
        <w:rPr>
          <w:rFonts w:ascii="Calibri" w:hAnsi="Calibri" w:cs="Calibri"/>
          <w:sz w:val="24"/>
        </w:rPr>
        <w:t xml:space="preserve">stanovení ceny </w:t>
      </w:r>
      <w:r w:rsidR="003725CE">
        <w:rPr>
          <w:rFonts w:ascii="Calibri" w:hAnsi="Calibri" w:cs="Calibri"/>
          <w:sz w:val="24"/>
        </w:rPr>
        <w:t>za poskytované</w:t>
      </w:r>
      <w:r w:rsidRPr="004913B6">
        <w:rPr>
          <w:rFonts w:ascii="Calibri" w:hAnsi="Calibri" w:cs="Calibri"/>
          <w:sz w:val="24"/>
        </w:rPr>
        <w:t xml:space="preserve"> služby</w:t>
      </w:r>
      <w:r w:rsidR="003725CE">
        <w:rPr>
          <w:rFonts w:ascii="Calibri" w:hAnsi="Calibri" w:cs="Calibri"/>
          <w:sz w:val="24"/>
        </w:rPr>
        <w:t xml:space="preserve"> i ke </w:t>
      </w:r>
      <w:r w:rsidR="007C3102" w:rsidRPr="004913B6">
        <w:rPr>
          <w:rFonts w:ascii="Calibri" w:hAnsi="Calibri" w:cs="Calibri"/>
          <w:sz w:val="24"/>
        </w:rPr>
        <w:t>zpoplatnění planých výjezdů</w:t>
      </w:r>
      <w:r w:rsidR="00C1780C" w:rsidRPr="004913B6">
        <w:rPr>
          <w:rFonts w:ascii="Calibri" w:hAnsi="Calibri" w:cs="Calibri"/>
          <w:sz w:val="24"/>
        </w:rPr>
        <w:t xml:space="preserve">: </w:t>
      </w:r>
    </w:p>
    <w:p w14:paraId="5E44227C" w14:textId="2318B06D" w:rsidR="004361B6" w:rsidRPr="004913B6" w:rsidRDefault="004F6BA9" w:rsidP="00C2104A">
      <w:pPr>
        <w:pStyle w:val="Odstavecseseznamem"/>
        <w:numPr>
          <w:ilvl w:val="0"/>
          <w:numId w:val="10"/>
        </w:numPr>
        <w:ind w:left="284" w:hanging="284"/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</w:t>
      </w:r>
      <w:r w:rsidR="004361B6" w:rsidRPr="004913B6">
        <w:rPr>
          <w:rFonts w:ascii="Calibri" w:hAnsi="Calibri" w:cs="Calibri"/>
          <w:sz w:val="24"/>
        </w:rPr>
        <w:t>ři HZSK neuzav</w:t>
      </w:r>
      <w:r w:rsidR="001B5034" w:rsidRPr="004913B6">
        <w:rPr>
          <w:rFonts w:ascii="Calibri" w:hAnsi="Calibri" w:cs="Calibri"/>
          <w:sz w:val="24"/>
        </w:rPr>
        <w:t>řely</w:t>
      </w:r>
      <w:r w:rsidR="004361B6" w:rsidRPr="004913B6">
        <w:rPr>
          <w:rFonts w:ascii="Calibri" w:hAnsi="Calibri" w:cs="Calibri"/>
          <w:sz w:val="24"/>
        </w:rPr>
        <w:t xml:space="preserve"> </w:t>
      </w:r>
      <w:r w:rsidR="001B5034" w:rsidRPr="004913B6">
        <w:rPr>
          <w:rFonts w:ascii="Calibri" w:hAnsi="Calibri" w:cs="Calibri"/>
          <w:sz w:val="24"/>
        </w:rPr>
        <w:t>s</w:t>
      </w:r>
      <w:r w:rsidR="004361B6" w:rsidRPr="004913B6">
        <w:rPr>
          <w:rFonts w:ascii="Calibri" w:hAnsi="Calibri" w:cs="Calibri"/>
          <w:sz w:val="24"/>
        </w:rPr>
        <w:t xml:space="preserve">mlouvy o připojení EPS na PCO přímo s provozovateli EPS, </w:t>
      </w:r>
      <w:r w:rsidR="003725CE">
        <w:rPr>
          <w:rFonts w:ascii="Calibri" w:hAnsi="Calibri" w:cs="Calibri"/>
          <w:sz w:val="24"/>
        </w:rPr>
        <w:t>nýbrž</w:t>
      </w:r>
      <w:r w:rsidRPr="004913B6">
        <w:rPr>
          <w:rFonts w:ascii="Calibri" w:hAnsi="Calibri" w:cs="Calibri"/>
          <w:sz w:val="24"/>
        </w:rPr>
        <w:t xml:space="preserve"> </w:t>
      </w:r>
      <w:r w:rsidR="004361B6" w:rsidRPr="004913B6">
        <w:rPr>
          <w:rFonts w:ascii="Calibri" w:hAnsi="Calibri" w:cs="Calibri"/>
          <w:sz w:val="24"/>
        </w:rPr>
        <w:t>s</w:t>
      </w:r>
      <w:r>
        <w:rPr>
          <w:rFonts w:ascii="Calibri" w:hAnsi="Calibri" w:cs="Calibri"/>
          <w:sz w:val="24"/>
        </w:rPr>
        <w:t>e z</w:t>
      </w:r>
      <w:r w:rsidR="004361B6" w:rsidRPr="004913B6">
        <w:rPr>
          <w:rFonts w:ascii="Calibri" w:hAnsi="Calibri" w:cs="Calibri"/>
          <w:sz w:val="24"/>
        </w:rPr>
        <w:t>prostřed</w:t>
      </w:r>
      <w:r>
        <w:rPr>
          <w:rFonts w:ascii="Calibri" w:hAnsi="Calibri" w:cs="Calibri"/>
          <w:sz w:val="24"/>
        </w:rPr>
        <w:t>kovatelem;</w:t>
      </w:r>
    </w:p>
    <w:p w14:paraId="44044F33" w14:textId="401F90EF" w:rsidR="00B70C96" w:rsidRDefault="004F6BA9" w:rsidP="006F442E">
      <w:pPr>
        <w:pStyle w:val="Odstavecseseznamem"/>
        <w:numPr>
          <w:ilvl w:val="0"/>
          <w:numId w:val="10"/>
        </w:numPr>
        <w:ind w:left="284" w:hanging="284"/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</w:t>
      </w:r>
      <w:r w:rsidR="00402ADA" w:rsidRPr="004913B6">
        <w:rPr>
          <w:rFonts w:ascii="Calibri" w:hAnsi="Calibri" w:cs="Calibri"/>
          <w:sz w:val="24"/>
        </w:rPr>
        <w:t>ena</w:t>
      </w:r>
      <w:r w:rsidR="0033052E" w:rsidRPr="004913B6">
        <w:rPr>
          <w:rFonts w:ascii="Calibri" w:hAnsi="Calibri" w:cs="Calibri"/>
          <w:sz w:val="24"/>
        </w:rPr>
        <w:t xml:space="preserve"> za připojení objektů s EPS na PCO se u </w:t>
      </w:r>
      <w:r>
        <w:rPr>
          <w:rFonts w:ascii="Calibri" w:hAnsi="Calibri" w:cs="Calibri"/>
          <w:sz w:val="24"/>
        </w:rPr>
        <w:t>kontrolovaných</w:t>
      </w:r>
      <w:r w:rsidR="0033052E" w:rsidRPr="004913B6">
        <w:rPr>
          <w:rFonts w:ascii="Calibri" w:hAnsi="Calibri" w:cs="Calibri"/>
          <w:sz w:val="24"/>
        </w:rPr>
        <w:t xml:space="preserve"> HZSK </w:t>
      </w:r>
      <w:r w:rsidR="005D189E" w:rsidRPr="004913B6">
        <w:rPr>
          <w:rFonts w:ascii="Calibri" w:hAnsi="Calibri" w:cs="Calibri"/>
          <w:sz w:val="24"/>
        </w:rPr>
        <w:t>pohyboval</w:t>
      </w:r>
      <w:r w:rsidR="00402ADA" w:rsidRPr="004913B6">
        <w:rPr>
          <w:rFonts w:ascii="Calibri" w:hAnsi="Calibri" w:cs="Calibri"/>
          <w:sz w:val="24"/>
        </w:rPr>
        <w:t xml:space="preserve">a </w:t>
      </w:r>
      <w:r w:rsidR="006D2348" w:rsidRPr="004913B6">
        <w:rPr>
          <w:rFonts w:ascii="Calibri" w:hAnsi="Calibri" w:cs="Calibri"/>
          <w:sz w:val="24"/>
        </w:rPr>
        <w:t>obvykle</w:t>
      </w:r>
      <w:r w:rsidR="005D189E" w:rsidRPr="004913B6">
        <w:rPr>
          <w:rFonts w:ascii="Calibri" w:hAnsi="Calibri" w:cs="Calibri"/>
          <w:sz w:val="24"/>
        </w:rPr>
        <w:t xml:space="preserve"> </w:t>
      </w:r>
      <w:r w:rsidR="0033052E" w:rsidRPr="004913B6">
        <w:rPr>
          <w:rFonts w:ascii="Calibri" w:hAnsi="Calibri" w:cs="Calibri"/>
          <w:sz w:val="24"/>
        </w:rPr>
        <w:t xml:space="preserve">v rozsahu od </w:t>
      </w:r>
      <w:r w:rsidR="004361B6" w:rsidRPr="004913B6">
        <w:rPr>
          <w:rFonts w:ascii="Calibri" w:hAnsi="Calibri" w:cs="Calibri"/>
          <w:sz w:val="24"/>
        </w:rPr>
        <w:t xml:space="preserve">0 Kč </w:t>
      </w:r>
      <w:r w:rsidR="0033052E" w:rsidRPr="004913B6">
        <w:rPr>
          <w:rFonts w:ascii="Calibri" w:hAnsi="Calibri" w:cs="Calibri"/>
          <w:sz w:val="24"/>
        </w:rPr>
        <w:t xml:space="preserve">do </w:t>
      </w:r>
      <w:r w:rsidR="005D189E" w:rsidRPr="004913B6">
        <w:rPr>
          <w:rFonts w:ascii="Calibri" w:hAnsi="Calibri" w:cs="Calibri"/>
          <w:sz w:val="24"/>
        </w:rPr>
        <w:t>5</w:t>
      </w:r>
      <w:r w:rsidR="00980676" w:rsidRPr="004913B6">
        <w:rPr>
          <w:rFonts w:ascii="Calibri" w:hAnsi="Calibri" w:cs="Calibri"/>
          <w:sz w:val="24"/>
        </w:rPr>
        <w:t xml:space="preserve"> 000 </w:t>
      </w:r>
      <w:r w:rsidR="0033052E" w:rsidRPr="004913B6">
        <w:rPr>
          <w:rFonts w:ascii="Calibri" w:hAnsi="Calibri" w:cs="Calibri"/>
          <w:sz w:val="24"/>
        </w:rPr>
        <w:t>Kč</w:t>
      </w:r>
      <w:r>
        <w:rPr>
          <w:rFonts w:ascii="Calibri" w:hAnsi="Calibri" w:cs="Calibri"/>
          <w:sz w:val="24"/>
        </w:rPr>
        <w:t xml:space="preserve"> </w:t>
      </w:r>
      <w:r w:rsidR="003176DC">
        <w:rPr>
          <w:rFonts w:ascii="Calibri" w:hAnsi="Calibri" w:cs="Calibri"/>
          <w:sz w:val="24"/>
        </w:rPr>
        <w:t>měsíčně</w:t>
      </w:r>
      <w:r w:rsidR="009C47EE">
        <w:rPr>
          <w:rFonts w:ascii="Calibri" w:hAnsi="Calibri" w:cs="Calibri"/>
          <w:sz w:val="24"/>
        </w:rPr>
        <w:t>;</w:t>
      </w:r>
      <w:r w:rsidR="00B70C96">
        <w:rPr>
          <w:rFonts w:ascii="Calibri" w:hAnsi="Calibri" w:cs="Calibri"/>
          <w:sz w:val="24"/>
        </w:rPr>
        <w:t xml:space="preserve"> </w:t>
      </w:r>
    </w:p>
    <w:p w14:paraId="2A6AC67C" w14:textId="053513FA" w:rsidR="00172BC3" w:rsidRPr="004913B6" w:rsidRDefault="00172BC3" w:rsidP="006F442E">
      <w:pPr>
        <w:pStyle w:val="Odstavecseseznamem"/>
        <w:numPr>
          <w:ilvl w:val="0"/>
          <w:numId w:val="10"/>
        </w:numPr>
        <w:ind w:left="284" w:hanging="284"/>
        <w:contextualSpacing w:val="0"/>
        <w:rPr>
          <w:rFonts w:ascii="Calibri" w:hAnsi="Calibri" w:cs="Calibri"/>
          <w:sz w:val="24"/>
        </w:rPr>
      </w:pPr>
      <w:r w:rsidRPr="004913B6">
        <w:rPr>
          <w:rFonts w:ascii="Calibri" w:hAnsi="Calibri" w:cs="Calibri"/>
          <w:sz w:val="24"/>
        </w:rPr>
        <w:t>HZSK poskyt</w:t>
      </w:r>
      <w:r w:rsidR="00F16948" w:rsidRPr="004913B6">
        <w:rPr>
          <w:rFonts w:ascii="Calibri" w:hAnsi="Calibri" w:cs="Calibri"/>
          <w:sz w:val="24"/>
        </w:rPr>
        <w:t xml:space="preserve">ovaly </w:t>
      </w:r>
      <w:r w:rsidR="000D375A">
        <w:rPr>
          <w:rFonts w:ascii="Calibri" w:hAnsi="Calibri" w:cs="Calibri"/>
          <w:sz w:val="24"/>
        </w:rPr>
        <w:t>některým</w:t>
      </w:r>
      <w:r w:rsidR="00F16948" w:rsidRPr="004913B6">
        <w:rPr>
          <w:rFonts w:ascii="Calibri" w:hAnsi="Calibri" w:cs="Calibri"/>
          <w:sz w:val="24"/>
        </w:rPr>
        <w:t xml:space="preserve"> subjektům</w:t>
      </w:r>
      <w:r w:rsidR="00402ADA" w:rsidRPr="004913B6">
        <w:rPr>
          <w:rFonts w:ascii="Calibri" w:hAnsi="Calibri" w:cs="Calibri"/>
          <w:sz w:val="24"/>
        </w:rPr>
        <w:t>, zejména neziskovým organizacím,</w:t>
      </w:r>
      <w:r w:rsidR="00F16948" w:rsidRPr="004913B6">
        <w:rPr>
          <w:rFonts w:ascii="Calibri" w:hAnsi="Calibri" w:cs="Calibri"/>
          <w:sz w:val="24"/>
        </w:rPr>
        <w:t xml:space="preserve"> slevy nebo poplatky nepožadovaly vůbec</w:t>
      </w:r>
      <w:r w:rsidR="004F6BA9">
        <w:rPr>
          <w:rFonts w:ascii="Calibri" w:hAnsi="Calibri" w:cs="Calibri"/>
          <w:sz w:val="24"/>
        </w:rPr>
        <w:t>;</w:t>
      </w:r>
      <w:r w:rsidR="00F16948" w:rsidRPr="004913B6">
        <w:rPr>
          <w:rFonts w:ascii="Calibri" w:hAnsi="Calibri" w:cs="Calibri"/>
          <w:sz w:val="24"/>
        </w:rPr>
        <w:t xml:space="preserve"> </w:t>
      </w:r>
    </w:p>
    <w:p w14:paraId="5C8582F6" w14:textId="613AA28A" w:rsidR="0033052E" w:rsidRPr="004913B6" w:rsidRDefault="004F6BA9" w:rsidP="00C2104A">
      <w:pPr>
        <w:pStyle w:val="Odstavecseseznamem"/>
        <w:numPr>
          <w:ilvl w:val="0"/>
          <w:numId w:val="10"/>
        </w:numPr>
        <w:ind w:left="284" w:hanging="284"/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</w:t>
      </w:r>
      <w:r w:rsidR="0033052E" w:rsidRPr="004913B6">
        <w:rPr>
          <w:rFonts w:ascii="Calibri" w:hAnsi="Calibri" w:cs="Calibri"/>
          <w:sz w:val="24"/>
        </w:rPr>
        <w:t>lan</w:t>
      </w:r>
      <w:r w:rsidR="00F92923" w:rsidRPr="004913B6">
        <w:rPr>
          <w:rFonts w:ascii="Calibri" w:hAnsi="Calibri" w:cs="Calibri"/>
          <w:sz w:val="24"/>
        </w:rPr>
        <w:t>é</w:t>
      </w:r>
      <w:r w:rsidR="0033052E" w:rsidRPr="004913B6">
        <w:rPr>
          <w:rFonts w:ascii="Calibri" w:hAnsi="Calibri" w:cs="Calibri"/>
          <w:sz w:val="24"/>
        </w:rPr>
        <w:t xml:space="preserve"> výjezd</w:t>
      </w:r>
      <w:r w:rsidR="00F16948" w:rsidRPr="004913B6">
        <w:rPr>
          <w:rFonts w:ascii="Calibri" w:hAnsi="Calibri" w:cs="Calibri"/>
          <w:sz w:val="24"/>
        </w:rPr>
        <w:t xml:space="preserve">y </w:t>
      </w:r>
      <w:r w:rsidR="004361B6" w:rsidRPr="004913B6">
        <w:rPr>
          <w:rFonts w:ascii="Calibri" w:hAnsi="Calibri" w:cs="Calibri"/>
          <w:sz w:val="24"/>
        </w:rPr>
        <w:t>byly</w:t>
      </w:r>
      <w:r w:rsidR="00F92923" w:rsidRPr="004913B6">
        <w:rPr>
          <w:rFonts w:ascii="Calibri" w:hAnsi="Calibri" w:cs="Calibri"/>
          <w:sz w:val="24"/>
        </w:rPr>
        <w:t xml:space="preserve"> zpoplatněny částkou od 1</w:t>
      </w:r>
      <w:r w:rsidR="00FE2A9E" w:rsidRPr="004913B6">
        <w:rPr>
          <w:rFonts w:ascii="Calibri" w:hAnsi="Calibri" w:cs="Calibri"/>
          <w:sz w:val="24"/>
        </w:rPr>
        <w:t> </w:t>
      </w:r>
      <w:r w:rsidR="00F92923" w:rsidRPr="004913B6">
        <w:rPr>
          <w:rFonts w:ascii="Calibri" w:hAnsi="Calibri" w:cs="Calibri"/>
          <w:sz w:val="24"/>
        </w:rPr>
        <w:t>000</w:t>
      </w:r>
      <w:r w:rsidR="00FE2A9E" w:rsidRPr="004913B6">
        <w:rPr>
          <w:rFonts w:ascii="Calibri" w:hAnsi="Calibri" w:cs="Calibri"/>
          <w:sz w:val="24"/>
        </w:rPr>
        <w:t> </w:t>
      </w:r>
      <w:r w:rsidR="004361B6" w:rsidRPr="004913B6">
        <w:rPr>
          <w:rFonts w:ascii="Calibri" w:hAnsi="Calibri" w:cs="Calibri"/>
          <w:sz w:val="24"/>
        </w:rPr>
        <w:t>Kč do</w:t>
      </w:r>
      <w:r w:rsidR="00F92923" w:rsidRPr="004913B6">
        <w:rPr>
          <w:rFonts w:ascii="Calibri" w:hAnsi="Calibri" w:cs="Calibri"/>
          <w:sz w:val="24"/>
        </w:rPr>
        <w:t xml:space="preserve"> </w:t>
      </w:r>
      <w:r w:rsidR="004361B6" w:rsidRPr="004913B6">
        <w:rPr>
          <w:rFonts w:ascii="Calibri" w:hAnsi="Calibri" w:cs="Calibri"/>
          <w:sz w:val="24"/>
        </w:rPr>
        <w:t>8</w:t>
      </w:r>
      <w:r w:rsidR="00FE2A9E" w:rsidRPr="004913B6">
        <w:rPr>
          <w:rFonts w:ascii="Calibri" w:hAnsi="Calibri" w:cs="Calibri"/>
          <w:sz w:val="24"/>
        </w:rPr>
        <w:t> </w:t>
      </w:r>
      <w:r w:rsidR="004361B6" w:rsidRPr="004913B6">
        <w:rPr>
          <w:rFonts w:ascii="Calibri" w:hAnsi="Calibri" w:cs="Calibri"/>
          <w:sz w:val="24"/>
        </w:rPr>
        <w:t>2</w:t>
      </w:r>
      <w:r w:rsidR="00F92923" w:rsidRPr="004913B6">
        <w:rPr>
          <w:rFonts w:ascii="Calibri" w:hAnsi="Calibri" w:cs="Calibri"/>
          <w:sz w:val="24"/>
        </w:rPr>
        <w:t>00</w:t>
      </w:r>
      <w:r w:rsidR="00FE2A9E" w:rsidRPr="004913B6">
        <w:rPr>
          <w:rFonts w:ascii="Calibri" w:hAnsi="Calibri" w:cs="Calibri"/>
          <w:sz w:val="24"/>
        </w:rPr>
        <w:t> </w:t>
      </w:r>
      <w:r w:rsidR="00F92923" w:rsidRPr="004913B6">
        <w:rPr>
          <w:rFonts w:ascii="Calibri" w:hAnsi="Calibri" w:cs="Calibri"/>
          <w:sz w:val="24"/>
        </w:rPr>
        <w:t>Kč</w:t>
      </w:r>
      <w:r>
        <w:rPr>
          <w:rFonts w:ascii="Calibri" w:hAnsi="Calibri" w:cs="Calibri"/>
          <w:sz w:val="24"/>
        </w:rPr>
        <w:t>, přičemž j</w:t>
      </w:r>
      <w:r w:rsidR="004F4435" w:rsidRPr="004913B6">
        <w:rPr>
          <w:rFonts w:ascii="Calibri" w:hAnsi="Calibri" w:cs="Calibri"/>
          <w:sz w:val="24"/>
        </w:rPr>
        <w:t xml:space="preserve">eden </w:t>
      </w:r>
      <w:r w:rsidR="00AF3C8F">
        <w:rPr>
          <w:rFonts w:ascii="Calibri" w:hAnsi="Calibri" w:cs="Calibri"/>
          <w:sz w:val="24"/>
        </w:rPr>
        <w:t>z</w:t>
      </w:r>
      <w:r w:rsidR="003725CE">
        <w:rPr>
          <w:rFonts w:ascii="Calibri" w:hAnsi="Calibri" w:cs="Calibri"/>
          <w:sz w:val="24"/>
        </w:rPr>
        <w:t xml:space="preserve"> kontrolovaných </w:t>
      </w:r>
      <w:r w:rsidR="00F92923" w:rsidRPr="004913B6">
        <w:rPr>
          <w:rFonts w:ascii="Calibri" w:hAnsi="Calibri" w:cs="Calibri"/>
          <w:sz w:val="24"/>
        </w:rPr>
        <w:t>HZSK zpoplatň</w:t>
      </w:r>
      <w:r w:rsidR="004361B6" w:rsidRPr="004913B6">
        <w:rPr>
          <w:rFonts w:ascii="Calibri" w:hAnsi="Calibri" w:cs="Calibri"/>
          <w:sz w:val="24"/>
        </w:rPr>
        <w:t>oval každý planý</w:t>
      </w:r>
      <w:r w:rsidR="00980676" w:rsidRPr="004913B6">
        <w:rPr>
          <w:rFonts w:ascii="Calibri" w:hAnsi="Calibri" w:cs="Calibri"/>
          <w:sz w:val="24"/>
        </w:rPr>
        <w:t xml:space="preserve"> výjezd, </w:t>
      </w:r>
      <w:r w:rsidR="004F4435" w:rsidRPr="004913B6">
        <w:rPr>
          <w:rFonts w:ascii="Calibri" w:hAnsi="Calibri" w:cs="Calibri"/>
          <w:sz w:val="24"/>
        </w:rPr>
        <w:t xml:space="preserve">ostatní od druhého </w:t>
      </w:r>
      <w:r w:rsidR="00980676" w:rsidRPr="004913B6">
        <w:rPr>
          <w:rFonts w:ascii="Calibri" w:hAnsi="Calibri" w:cs="Calibri"/>
          <w:sz w:val="24"/>
        </w:rPr>
        <w:t xml:space="preserve">až </w:t>
      </w:r>
      <w:r w:rsidR="004361B6" w:rsidRPr="004913B6">
        <w:rPr>
          <w:rFonts w:ascii="Calibri" w:hAnsi="Calibri" w:cs="Calibri"/>
          <w:sz w:val="24"/>
        </w:rPr>
        <w:t xml:space="preserve">čtvrtého </w:t>
      </w:r>
      <w:r w:rsidR="00980676" w:rsidRPr="004913B6">
        <w:rPr>
          <w:rFonts w:ascii="Calibri" w:hAnsi="Calibri" w:cs="Calibri"/>
          <w:sz w:val="24"/>
        </w:rPr>
        <w:t xml:space="preserve">výjezdu v období </w:t>
      </w:r>
      <w:r w:rsidR="00235F5C" w:rsidRPr="004913B6">
        <w:rPr>
          <w:rFonts w:ascii="Calibri" w:hAnsi="Calibri" w:cs="Calibri"/>
          <w:sz w:val="24"/>
        </w:rPr>
        <w:t xml:space="preserve">jednoho </w:t>
      </w:r>
      <w:r w:rsidR="00980676" w:rsidRPr="004913B6">
        <w:rPr>
          <w:rFonts w:ascii="Calibri" w:hAnsi="Calibri" w:cs="Calibri"/>
          <w:sz w:val="24"/>
        </w:rPr>
        <w:t>roku</w:t>
      </w:r>
      <w:r w:rsidR="003725CE">
        <w:rPr>
          <w:rFonts w:ascii="Calibri" w:hAnsi="Calibri" w:cs="Calibri"/>
          <w:sz w:val="24"/>
        </w:rPr>
        <w:t>.</w:t>
      </w:r>
    </w:p>
    <w:p w14:paraId="5B84FF2A" w14:textId="77777777" w:rsidR="00477681" w:rsidRDefault="00477681" w:rsidP="00477681">
      <w:pPr>
        <w:spacing w:before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</w:t>
      </w:r>
      <w:r w:rsidRPr="004913B6">
        <w:rPr>
          <w:rFonts w:ascii="Calibri" w:hAnsi="Calibri" w:cs="Calibri"/>
          <w:sz w:val="24"/>
        </w:rPr>
        <w:t>áklady související s poskytováním služeb PCO kontrolované HZSK nevykazovaly v účetnictví odděleně</w:t>
      </w:r>
      <w:r>
        <w:rPr>
          <w:rFonts w:ascii="Calibri" w:hAnsi="Calibri" w:cs="Calibri"/>
          <w:sz w:val="24"/>
        </w:rPr>
        <w:t>,</w:t>
      </w:r>
      <w:r w:rsidRPr="004913B6">
        <w:rPr>
          <w:rFonts w:ascii="Calibri" w:hAnsi="Calibri" w:cs="Calibri"/>
          <w:sz w:val="24"/>
        </w:rPr>
        <w:t xml:space="preserve"> a proto je nebylo možné porovnat s dosaženými příjmy</w:t>
      </w:r>
      <w:r>
        <w:rPr>
          <w:rFonts w:ascii="Calibri" w:hAnsi="Calibri" w:cs="Calibri"/>
          <w:sz w:val="24"/>
        </w:rPr>
        <w:t>.</w:t>
      </w:r>
    </w:p>
    <w:p w14:paraId="1482E0A5" w14:textId="77777777" w:rsidR="00477681" w:rsidRDefault="00477681" w:rsidP="00511320">
      <w:pPr>
        <w:rPr>
          <w:rFonts w:ascii="Calibri" w:hAnsi="Calibri" w:cs="Calibri"/>
          <w:b/>
          <w:sz w:val="24"/>
        </w:rPr>
      </w:pPr>
    </w:p>
    <w:p w14:paraId="0E5DD2CA" w14:textId="0E0E5551" w:rsidR="00DE0602" w:rsidRDefault="00DF4C20" w:rsidP="00511320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R</w:t>
      </w:r>
      <w:r w:rsidR="00454ABA" w:rsidRPr="00454ABA">
        <w:rPr>
          <w:rFonts w:ascii="Calibri" w:hAnsi="Calibri" w:cs="Calibri"/>
          <w:b/>
          <w:sz w:val="24"/>
        </w:rPr>
        <w:t>ozdílný přístup k</w:t>
      </w:r>
      <w:r>
        <w:rPr>
          <w:rFonts w:ascii="Calibri" w:hAnsi="Calibri" w:cs="Calibri"/>
          <w:b/>
          <w:sz w:val="24"/>
        </w:rPr>
        <w:t xml:space="preserve"> poskytování </w:t>
      </w:r>
      <w:r w:rsidR="002765F8" w:rsidRPr="00454ABA">
        <w:rPr>
          <w:rFonts w:ascii="Calibri" w:hAnsi="Calibri" w:cs="Calibri"/>
          <w:b/>
          <w:sz w:val="24"/>
        </w:rPr>
        <w:t>služ</w:t>
      </w:r>
      <w:r>
        <w:rPr>
          <w:rFonts w:ascii="Calibri" w:hAnsi="Calibri" w:cs="Calibri"/>
          <w:b/>
          <w:sz w:val="24"/>
        </w:rPr>
        <w:t>e</w:t>
      </w:r>
      <w:r w:rsidR="002765F8" w:rsidRPr="00454ABA">
        <w:rPr>
          <w:rFonts w:ascii="Calibri" w:hAnsi="Calibri" w:cs="Calibri"/>
          <w:b/>
          <w:sz w:val="24"/>
        </w:rPr>
        <w:t>b spojen</w:t>
      </w:r>
      <w:r>
        <w:rPr>
          <w:rFonts w:ascii="Calibri" w:hAnsi="Calibri" w:cs="Calibri"/>
          <w:b/>
          <w:sz w:val="24"/>
        </w:rPr>
        <w:t>ých</w:t>
      </w:r>
      <w:r w:rsidR="002765F8" w:rsidRPr="00454ABA">
        <w:rPr>
          <w:rFonts w:ascii="Calibri" w:hAnsi="Calibri" w:cs="Calibri"/>
          <w:b/>
          <w:sz w:val="24"/>
        </w:rPr>
        <w:t xml:space="preserve"> s připojením objektů na PCO </w:t>
      </w:r>
      <w:r>
        <w:rPr>
          <w:rFonts w:ascii="Calibri" w:hAnsi="Calibri" w:cs="Calibri"/>
          <w:b/>
          <w:sz w:val="24"/>
        </w:rPr>
        <w:t>způsob</w:t>
      </w:r>
      <w:r w:rsidR="00282E7D">
        <w:rPr>
          <w:rFonts w:ascii="Calibri" w:hAnsi="Calibri" w:cs="Calibri"/>
          <w:b/>
          <w:sz w:val="24"/>
        </w:rPr>
        <w:t>il</w:t>
      </w:r>
      <w:r>
        <w:rPr>
          <w:rFonts w:ascii="Calibri" w:hAnsi="Calibri" w:cs="Calibri"/>
          <w:b/>
          <w:sz w:val="24"/>
        </w:rPr>
        <w:t xml:space="preserve"> velký rozdíl v příjmech kontrolovaných HZSK. </w:t>
      </w:r>
    </w:p>
    <w:p w14:paraId="7CF5EE89" w14:textId="77777777" w:rsidR="003725CE" w:rsidRPr="00454ABA" w:rsidRDefault="003725CE" w:rsidP="00511320">
      <w:pPr>
        <w:rPr>
          <w:rFonts w:ascii="Calibri" w:hAnsi="Calibri" w:cs="Calibri"/>
          <w:b/>
          <w:sz w:val="24"/>
        </w:rPr>
      </w:pPr>
    </w:p>
    <w:p w14:paraId="450A6FB0" w14:textId="6446C6BE" w:rsidR="00CB0CC0" w:rsidRPr="00A41065" w:rsidRDefault="00AE57C8" w:rsidP="00EE01CA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4"/>
        </w:rPr>
      </w:pPr>
      <w:r w:rsidRPr="00A41065">
        <w:rPr>
          <w:rFonts w:asciiTheme="minorHAnsi" w:hAnsiTheme="minorHAnsi" w:cstheme="minorHAnsi"/>
          <w:b/>
          <w:bCs/>
          <w:sz w:val="24"/>
        </w:rPr>
        <w:t>Rozpočet a v</w:t>
      </w:r>
      <w:r w:rsidR="004E1F59" w:rsidRPr="00A41065">
        <w:rPr>
          <w:rFonts w:asciiTheme="minorHAnsi" w:hAnsiTheme="minorHAnsi" w:cstheme="minorHAnsi"/>
          <w:b/>
          <w:bCs/>
          <w:sz w:val="24"/>
        </w:rPr>
        <w:t xml:space="preserve">ybrané ekonomické a finanční ukazatele </w:t>
      </w:r>
      <w:r w:rsidR="009C47EE">
        <w:rPr>
          <w:rFonts w:asciiTheme="minorHAnsi" w:hAnsiTheme="minorHAnsi" w:cstheme="minorHAnsi"/>
          <w:b/>
          <w:bCs/>
          <w:sz w:val="24"/>
        </w:rPr>
        <w:t>HZS</w:t>
      </w:r>
    </w:p>
    <w:p w14:paraId="71F425C1" w14:textId="77777777" w:rsidR="009937C0" w:rsidRDefault="009937C0" w:rsidP="009937C0">
      <w:pPr>
        <w:shd w:val="clear" w:color="auto" w:fill="FFFFFF"/>
        <w:rPr>
          <w:rFonts w:asciiTheme="minorHAnsi" w:hAnsiTheme="minorHAnsi" w:cstheme="minorHAnsi"/>
          <w:spacing w:val="-2"/>
          <w:sz w:val="24"/>
        </w:rPr>
      </w:pPr>
    </w:p>
    <w:p w14:paraId="32805FBB" w14:textId="5D5742A0" w:rsidR="00AE57C8" w:rsidRPr="00A41065" w:rsidRDefault="00927E77" w:rsidP="00A721AC">
      <w:pPr>
        <w:shd w:val="clear" w:color="auto" w:fill="FFFFFF"/>
        <w:rPr>
          <w:rFonts w:asciiTheme="minorHAnsi" w:hAnsiTheme="minorHAnsi" w:cstheme="minorHAnsi"/>
          <w:spacing w:val="-2"/>
          <w:sz w:val="24"/>
        </w:rPr>
      </w:pPr>
      <w:r>
        <w:rPr>
          <w:rFonts w:asciiTheme="minorHAnsi" w:hAnsiTheme="minorHAnsi" w:cstheme="minorHAnsi"/>
          <w:spacing w:val="-2"/>
          <w:sz w:val="24"/>
        </w:rPr>
        <w:t>GŘ</w:t>
      </w:r>
      <w:r w:rsidR="009B7136" w:rsidRPr="00A41065">
        <w:rPr>
          <w:rFonts w:asciiTheme="minorHAnsi" w:hAnsiTheme="minorHAnsi" w:cstheme="minorHAnsi"/>
          <w:spacing w:val="-2"/>
          <w:sz w:val="24"/>
        </w:rPr>
        <w:t xml:space="preserve"> c</w:t>
      </w:r>
      <w:r w:rsidR="00F17C93" w:rsidRPr="00A41065">
        <w:rPr>
          <w:rFonts w:asciiTheme="minorHAnsi" w:hAnsiTheme="minorHAnsi" w:cstheme="minorHAnsi"/>
          <w:sz w:val="24"/>
        </w:rPr>
        <w:t xml:space="preserve">elkový rozpočet </w:t>
      </w:r>
      <w:r w:rsidR="005B5DE5">
        <w:rPr>
          <w:rFonts w:asciiTheme="minorHAnsi" w:hAnsiTheme="minorHAnsi" w:cstheme="minorHAnsi"/>
          <w:sz w:val="24"/>
        </w:rPr>
        <w:t xml:space="preserve">HZS </w:t>
      </w:r>
      <w:r w:rsidR="00F17C93" w:rsidRPr="00A41065">
        <w:rPr>
          <w:rFonts w:asciiTheme="minorHAnsi" w:hAnsiTheme="minorHAnsi" w:cstheme="minorHAnsi"/>
          <w:spacing w:val="-2"/>
          <w:sz w:val="24"/>
        </w:rPr>
        <w:t xml:space="preserve">stanovený </w:t>
      </w:r>
      <w:r w:rsidR="00A41B9D">
        <w:rPr>
          <w:rFonts w:asciiTheme="minorHAnsi" w:hAnsiTheme="minorHAnsi" w:cstheme="minorHAnsi"/>
          <w:sz w:val="24"/>
        </w:rPr>
        <w:t>Ministerstvem vnitra</w:t>
      </w:r>
      <w:r w:rsidR="00F17C93" w:rsidRPr="00A41065">
        <w:rPr>
          <w:rFonts w:asciiTheme="minorHAnsi" w:hAnsiTheme="minorHAnsi" w:cstheme="minorHAnsi"/>
          <w:spacing w:val="-2"/>
          <w:sz w:val="24"/>
        </w:rPr>
        <w:t xml:space="preserve"> přerozděluje na jednotlivé </w:t>
      </w:r>
      <w:r w:rsidR="00AE57C8" w:rsidRPr="00A41065">
        <w:rPr>
          <w:rFonts w:asciiTheme="minorHAnsi" w:hAnsiTheme="minorHAnsi" w:cstheme="minorHAnsi"/>
          <w:color w:val="000000"/>
          <w:sz w:val="24"/>
        </w:rPr>
        <w:t>organizační složk</w:t>
      </w:r>
      <w:r w:rsidR="00230D34" w:rsidRPr="00A41065">
        <w:rPr>
          <w:rFonts w:asciiTheme="minorHAnsi" w:hAnsiTheme="minorHAnsi" w:cstheme="minorHAnsi"/>
          <w:color w:val="000000"/>
          <w:sz w:val="24"/>
        </w:rPr>
        <w:t>y.</w:t>
      </w:r>
      <w:r w:rsidR="00A721AC">
        <w:rPr>
          <w:rFonts w:asciiTheme="minorHAnsi" w:hAnsiTheme="minorHAnsi" w:cstheme="minorHAnsi"/>
          <w:color w:val="000000"/>
          <w:sz w:val="24"/>
        </w:rPr>
        <w:t xml:space="preserve"> </w:t>
      </w:r>
      <w:r w:rsidR="00230D34" w:rsidRPr="00A41065">
        <w:rPr>
          <w:rFonts w:asciiTheme="minorHAnsi" w:hAnsiTheme="minorHAnsi" w:cstheme="minorHAnsi"/>
          <w:sz w:val="24"/>
        </w:rPr>
        <w:t xml:space="preserve">U kontrolovaných HZSK byly </w:t>
      </w:r>
      <w:r w:rsidR="00AE57C8" w:rsidRPr="00A41065">
        <w:rPr>
          <w:rFonts w:asciiTheme="minorHAnsi" w:hAnsiTheme="minorHAnsi" w:cstheme="minorHAnsi"/>
          <w:spacing w:val="-2"/>
          <w:sz w:val="24"/>
        </w:rPr>
        <w:t>vzájem</w:t>
      </w:r>
      <w:r w:rsidR="00A41B9D">
        <w:rPr>
          <w:rFonts w:asciiTheme="minorHAnsi" w:hAnsiTheme="minorHAnsi" w:cstheme="minorHAnsi"/>
          <w:spacing w:val="-2"/>
          <w:sz w:val="24"/>
        </w:rPr>
        <w:t>ně porovnány vybrané výdajové a </w:t>
      </w:r>
      <w:r w:rsidR="00AE57C8" w:rsidRPr="00A41065">
        <w:rPr>
          <w:rFonts w:asciiTheme="minorHAnsi" w:hAnsiTheme="minorHAnsi" w:cstheme="minorHAnsi"/>
          <w:spacing w:val="-2"/>
          <w:sz w:val="24"/>
        </w:rPr>
        <w:t>příjmové položky rozpočtu a jejich skutečné plnění</w:t>
      </w:r>
      <w:r w:rsidR="00230D34" w:rsidRPr="00A41065">
        <w:rPr>
          <w:rFonts w:asciiTheme="minorHAnsi" w:hAnsiTheme="minorHAnsi" w:cstheme="minorHAnsi"/>
          <w:spacing w:val="-2"/>
          <w:sz w:val="24"/>
        </w:rPr>
        <w:t xml:space="preserve">. </w:t>
      </w:r>
      <w:r w:rsidR="00AE57C8" w:rsidRPr="00A41065">
        <w:rPr>
          <w:rFonts w:asciiTheme="minorHAnsi" w:hAnsiTheme="minorHAnsi" w:cstheme="minorHAnsi"/>
          <w:spacing w:val="-2"/>
          <w:sz w:val="24"/>
        </w:rPr>
        <w:t>Pro porovnání byly použity celkové počty zaměstnanců, případně počty směnových příslušníků</w:t>
      </w:r>
      <w:r w:rsidR="00EE01CA">
        <w:rPr>
          <w:rFonts w:asciiTheme="minorHAnsi" w:hAnsiTheme="minorHAnsi" w:cstheme="minorHAnsi"/>
          <w:spacing w:val="-2"/>
          <w:sz w:val="24"/>
        </w:rPr>
        <w:t>,</w:t>
      </w:r>
      <w:r w:rsidR="00230D34" w:rsidRPr="00A41065">
        <w:rPr>
          <w:rFonts w:asciiTheme="minorHAnsi" w:hAnsiTheme="minorHAnsi" w:cstheme="minorHAnsi"/>
          <w:spacing w:val="-2"/>
          <w:sz w:val="24"/>
        </w:rPr>
        <w:t xml:space="preserve"> a po</w:t>
      </w:r>
      <w:r w:rsidR="00A41B9D">
        <w:rPr>
          <w:rFonts w:asciiTheme="minorHAnsi" w:hAnsiTheme="minorHAnsi" w:cstheme="minorHAnsi"/>
          <w:spacing w:val="-2"/>
          <w:sz w:val="24"/>
        </w:rPr>
        <w:t>čty zásahů HZSK v letech 2013 a </w:t>
      </w:r>
      <w:r w:rsidR="00230D34" w:rsidRPr="00A41065">
        <w:rPr>
          <w:rFonts w:asciiTheme="minorHAnsi" w:hAnsiTheme="minorHAnsi" w:cstheme="minorHAnsi"/>
          <w:spacing w:val="-2"/>
          <w:sz w:val="24"/>
        </w:rPr>
        <w:t>2014</w:t>
      </w:r>
      <w:r w:rsidR="00AE57C8" w:rsidRPr="00A41065">
        <w:rPr>
          <w:rFonts w:asciiTheme="minorHAnsi" w:hAnsiTheme="minorHAnsi" w:cstheme="minorHAnsi"/>
          <w:spacing w:val="-2"/>
          <w:sz w:val="24"/>
        </w:rPr>
        <w:t xml:space="preserve">. </w:t>
      </w:r>
      <w:r w:rsidR="00EE615B" w:rsidRPr="00A41065">
        <w:rPr>
          <w:rFonts w:asciiTheme="minorHAnsi" w:hAnsiTheme="minorHAnsi" w:cstheme="minorHAnsi"/>
          <w:spacing w:val="-2"/>
          <w:sz w:val="24"/>
        </w:rPr>
        <w:t xml:space="preserve">Vzhledem k odlišné činnosti </w:t>
      </w:r>
      <w:r w:rsidR="00DB2F79" w:rsidRPr="00A41065">
        <w:rPr>
          <w:rFonts w:asciiTheme="minorHAnsi" w:hAnsiTheme="minorHAnsi" w:cstheme="minorHAnsi"/>
          <w:spacing w:val="-2"/>
          <w:sz w:val="24"/>
        </w:rPr>
        <w:t>ZÚ</w:t>
      </w:r>
      <w:r w:rsidR="00EE615B" w:rsidRPr="00A41065">
        <w:rPr>
          <w:rFonts w:asciiTheme="minorHAnsi" w:hAnsiTheme="minorHAnsi" w:cstheme="minorHAnsi"/>
          <w:spacing w:val="-2"/>
          <w:sz w:val="24"/>
        </w:rPr>
        <w:t xml:space="preserve"> nebyla v některých případech tato kontrolovaná osoba zařazena do porovnání.</w:t>
      </w:r>
    </w:p>
    <w:p w14:paraId="4B1810E2" w14:textId="77777777" w:rsidR="005C2AE1" w:rsidRPr="00A41065" w:rsidRDefault="005C2AE1" w:rsidP="004E1F59">
      <w:pPr>
        <w:rPr>
          <w:rFonts w:asciiTheme="minorHAnsi" w:hAnsiTheme="minorHAnsi" w:cstheme="minorHAnsi"/>
          <w:b/>
          <w:bCs/>
          <w:sz w:val="24"/>
        </w:rPr>
      </w:pPr>
    </w:p>
    <w:p w14:paraId="64D08A3D" w14:textId="411A706E" w:rsidR="00F02C24" w:rsidRPr="00A41065" w:rsidRDefault="00F02C24" w:rsidP="00366BB9">
      <w:pPr>
        <w:rPr>
          <w:rFonts w:ascii="Calibri" w:hAnsi="Calibri" w:cs="Calibri"/>
          <w:b/>
          <w:sz w:val="24"/>
        </w:rPr>
      </w:pPr>
      <w:r w:rsidRPr="00A41065">
        <w:rPr>
          <w:rFonts w:ascii="Calibri" w:hAnsi="Calibri" w:cs="Calibri"/>
          <w:b/>
          <w:sz w:val="24"/>
        </w:rPr>
        <w:t xml:space="preserve">Počty zaměstnanců </w:t>
      </w:r>
      <w:r w:rsidR="005B5DE5">
        <w:rPr>
          <w:rFonts w:ascii="Calibri" w:hAnsi="Calibri" w:cs="Calibri"/>
          <w:b/>
          <w:sz w:val="24"/>
        </w:rPr>
        <w:t xml:space="preserve">HZS </w:t>
      </w:r>
    </w:p>
    <w:p w14:paraId="58B8E65C" w14:textId="7F59B85E" w:rsidR="00F02C24" w:rsidRPr="00A41065" w:rsidRDefault="00F02C24" w:rsidP="00F02C24">
      <w:pPr>
        <w:spacing w:before="120"/>
        <w:rPr>
          <w:rFonts w:asciiTheme="minorHAnsi" w:hAnsiTheme="minorHAnsi" w:cstheme="minorHAnsi"/>
          <w:b/>
          <w:bCs/>
          <w:sz w:val="24"/>
        </w:rPr>
      </w:pPr>
      <w:r w:rsidRPr="00A41065">
        <w:rPr>
          <w:rFonts w:asciiTheme="minorHAnsi" w:hAnsiTheme="minorHAnsi" w:cstheme="minorHAnsi"/>
          <w:sz w:val="24"/>
        </w:rPr>
        <w:t xml:space="preserve">Počty </w:t>
      </w:r>
      <w:r w:rsidRPr="00A41065">
        <w:rPr>
          <w:rFonts w:ascii="Calibri" w:hAnsi="Calibri" w:cs="Calibri"/>
          <w:sz w:val="24"/>
        </w:rPr>
        <w:t xml:space="preserve">služebních míst příslušníků </w:t>
      </w:r>
      <w:r w:rsidR="005B5DE5">
        <w:rPr>
          <w:rFonts w:ascii="Calibri" w:hAnsi="Calibri" w:cs="Calibri"/>
          <w:sz w:val="24"/>
        </w:rPr>
        <w:t xml:space="preserve">HZS </w:t>
      </w:r>
      <w:r w:rsidR="009B7136" w:rsidRPr="00A41065">
        <w:rPr>
          <w:rFonts w:ascii="Calibri" w:hAnsi="Calibri" w:cs="Calibri"/>
          <w:sz w:val="24"/>
        </w:rPr>
        <w:t>byly stanoveny usneseními vlády ČR</w:t>
      </w:r>
      <w:r w:rsidR="009B7136" w:rsidRPr="00A41065">
        <w:rPr>
          <w:rStyle w:val="Znakapoznpodarou"/>
          <w:rFonts w:ascii="Calibri" w:hAnsi="Calibri" w:cs="Calibri"/>
          <w:sz w:val="24"/>
        </w:rPr>
        <w:footnoteReference w:id="10"/>
      </w:r>
      <w:r w:rsidR="009B7136" w:rsidRPr="00A41065">
        <w:rPr>
          <w:rFonts w:ascii="Calibri" w:hAnsi="Calibri" w:cs="Calibri"/>
          <w:sz w:val="24"/>
        </w:rPr>
        <w:t xml:space="preserve"> </w:t>
      </w:r>
      <w:r w:rsidRPr="00A41065">
        <w:rPr>
          <w:rFonts w:ascii="Calibri" w:hAnsi="Calibri" w:cs="Calibri"/>
          <w:sz w:val="24"/>
        </w:rPr>
        <w:t>v roce 2013 v</w:t>
      </w:r>
      <w:r w:rsidR="009B7136" w:rsidRPr="00A41065">
        <w:rPr>
          <w:rFonts w:ascii="Calibri" w:hAnsi="Calibri" w:cs="Calibri"/>
          <w:sz w:val="24"/>
        </w:rPr>
        <w:t> </w:t>
      </w:r>
      <w:r w:rsidRPr="00A41065">
        <w:rPr>
          <w:rFonts w:ascii="Calibri" w:hAnsi="Calibri" w:cs="Calibri"/>
          <w:sz w:val="24"/>
        </w:rPr>
        <w:t>počtu 9</w:t>
      </w:r>
      <w:r w:rsidR="00BB4075">
        <w:rPr>
          <w:rFonts w:ascii="Calibri" w:hAnsi="Calibri" w:cs="Calibri"/>
          <w:sz w:val="24"/>
        </w:rPr>
        <w:t> </w:t>
      </w:r>
      <w:r w:rsidRPr="00A41065">
        <w:rPr>
          <w:rFonts w:ascii="Calibri" w:hAnsi="Calibri" w:cs="Calibri"/>
          <w:sz w:val="24"/>
        </w:rPr>
        <w:t xml:space="preserve">330 </w:t>
      </w:r>
      <w:r w:rsidR="00BB4075" w:rsidRPr="00A41065">
        <w:rPr>
          <w:rFonts w:ascii="Calibri" w:hAnsi="Calibri" w:cs="Calibri"/>
          <w:sz w:val="24"/>
        </w:rPr>
        <w:t xml:space="preserve">příslušníků </w:t>
      </w:r>
      <w:r w:rsidRPr="00A41065">
        <w:rPr>
          <w:rFonts w:ascii="Calibri" w:hAnsi="Calibri" w:cs="Calibri"/>
          <w:sz w:val="24"/>
        </w:rPr>
        <w:t>a v roce 2014 v počtu 9</w:t>
      </w:r>
      <w:r w:rsidR="00BB4075">
        <w:rPr>
          <w:rFonts w:ascii="Calibri" w:hAnsi="Calibri" w:cs="Calibri"/>
          <w:sz w:val="24"/>
        </w:rPr>
        <w:t> </w:t>
      </w:r>
      <w:r w:rsidRPr="00A41065">
        <w:rPr>
          <w:rFonts w:ascii="Calibri" w:hAnsi="Calibri" w:cs="Calibri"/>
          <w:sz w:val="24"/>
        </w:rPr>
        <w:t>530</w:t>
      </w:r>
      <w:r w:rsidR="00BB4075" w:rsidRPr="00BB4075">
        <w:rPr>
          <w:rFonts w:ascii="Calibri" w:hAnsi="Calibri" w:cs="Calibri"/>
          <w:sz w:val="24"/>
        </w:rPr>
        <w:t xml:space="preserve"> </w:t>
      </w:r>
      <w:r w:rsidR="00BB4075" w:rsidRPr="00A41065">
        <w:rPr>
          <w:rFonts w:ascii="Calibri" w:hAnsi="Calibri" w:cs="Calibri"/>
          <w:sz w:val="24"/>
        </w:rPr>
        <w:t>příslušníků</w:t>
      </w:r>
      <w:r w:rsidR="009B7136" w:rsidRPr="00A41065">
        <w:rPr>
          <w:rFonts w:ascii="Calibri" w:hAnsi="Calibri" w:cs="Calibri"/>
          <w:sz w:val="24"/>
        </w:rPr>
        <w:t>.</w:t>
      </w:r>
      <w:r w:rsidRPr="00A41065">
        <w:rPr>
          <w:rFonts w:ascii="Calibri" w:hAnsi="Calibri" w:cs="Calibri"/>
          <w:sz w:val="24"/>
        </w:rPr>
        <w:t xml:space="preserve"> </w:t>
      </w:r>
    </w:p>
    <w:p w14:paraId="20A67C1C" w14:textId="77777777" w:rsidR="00884C7A" w:rsidRDefault="00884C7A" w:rsidP="00F02C24">
      <w:pPr>
        <w:spacing w:after="40"/>
        <w:rPr>
          <w:rFonts w:ascii="Calibri" w:hAnsi="Calibri" w:cs="Calibri"/>
          <w:b/>
          <w:sz w:val="24"/>
        </w:rPr>
      </w:pPr>
    </w:p>
    <w:p w14:paraId="2EB3F4B5" w14:textId="77A3D83A" w:rsidR="00F02C24" w:rsidRPr="00F146E7" w:rsidRDefault="00F02C24" w:rsidP="00F02C24">
      <w:pPr>
        <w:spacing w:after="40"/>
        <w:rPr>
          <w:rFonts w:asciiTheme="minorHAnsi" w:hAnsiTheme="minorHAnsi" w:cstheme="minorHAnsi"/>
          <w:b/>
          <w:sz w:val="24"/>
        </w:rPr>
      </w:pPr>
      <w:r w:rsidRPr="00F146E7">
        <w:rPr>
          <w:rFonts w:ascii="Calibri" w:hAnsi="Calibri" w:cs="Calibri"/>
          <w:b/>
          <w:sz w:val="24"/>
        </w:rPr>
        <w:lastRenderedPageBreak/>
        <w:t xml:space="preserve">Tabulka č. </w:t>
      </w:r>
      <w:r w:rsidR="003443B7">
        <w:rPr>
          <w:rFonts w:ascii="Calibri" w:hAnsi="Calibri" w:cs="Calibri"/>
          <w:b/>
          <w:sz w:val="24"/>
        </w:rPr>
        <w:t>4</w:t>
      </w:r>
      <w:r w:rsidR="00CF7440" w:rsidRPr="00F146E7">
        <w:rPr>
          <w:rFonts w:ascii="Calibri" w:hAnsi="Calibri" w:cs="Calibri"/>
          <w:b/>
          <w:sz w:val="24"/>
        </w:rPr>
        <w:t xml:space="preserve"> </w:t>
      </w:r>
      <w:r w:rsidR="00511320">
        <w:rPr>
          <w:rFonts w:ascii="Calibri" w:hAnsi="Calibri" w:cs="Calibri"/>
          <w:b/>
          <w:sz w:val="24"/>
        </w:rPr>
        <w:t>–</w:t>
      </w:r>
      <w:r w:rsidR="00CF7440" w:rsidRPr="00F146E7">
        <w:rPr>
          <w:rFonts w:ascii="Calibri" w:hAnsi="Calibri" w:cs="Calibri"/>
          <w:b/>
          <w:sz w:val="24"/>
        </w:rPr>
        <w:t xml:space="preserve"> </w:t>
      </w:r>
      <w:r w:rsidRPr="00F146E7">
        <w:rPr>
          <w:rFonts w:ascii="Calibri" w:hAnsi="Calibri" w:cs="Calibri"/>
          <w:b/>
          <w:sz w:val="24"/>
        </w:rPr>
        <w:t xml:space="preserve">Přepočtené stavy zaměstnanců </w:t>
      </w:r>
      <w:r w:rsidR="009C47EE">
        <w:rPr>
          <w:rFonts w:ascii="Calibri" w:hAnsi="Calibri" w:cs="Calibri"/>
          <w:b/>
          <w:sz w:val="24"/>
        </w:rPr>
        <w:t>HZS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446"/>
        <w:gridCol w:w="1849"/>
        <w:gridCol w:w="1608"/>
        <w:gridCol w:w="1693"/>
        <w:gridCol w:w="1298"/>
      </w:tblGrid>
      <w:tr w:rsidR="00F02C24" w14:paraId="7DC12009" w14:textId="77777777" w:rsidTr="00366BB9">
        <w:trPr>
          <w:trHeight w:val="295"/>
        </w:trPr>
        <w:tc>
          <w:tcPr>
            <w:tcW w:w="645" w:type="pct"/>
            <w:vMerge w:val="restart"/>
            <w:shd w:val="clear" w:color="auto" w:fill="DBE5F1" w:themeFill="accent1" w:themeFillTint="33"/>
            <w:vAlign w:val="center"/>
            <w:hideMark/>
          </w:tcPr>
          <w:p w14:paraId="48BFA250" w14:textId="08F206B5" w:rsidR="00F02C24" w:rsidRPr="00F146E7" w:rsidRDefault="00F146E7" w:rsidP="00A15A62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Roky</w:t>
            </w:r>
          </w:p>
        </w:tc>
        <w:tc>
          <w:tcPr>
            <w:tcW w:w="2705" w:type="pct"/>
            <w:gridSpan w:val="3"/>
            <w:shd w:val="clear" w:color="auto" w:fill="DBE5F1" w:themeFill="accent1" w:themeFillTint="33"/>
            <w:noWrap/>
            <w:vAlign w:val="center"/>
            <w:hideMark/>
          </w:tcPr>
          <w:p w14:paraId="7AC2B9BD" w14:textId="4105D1A4" w:rsidR="00F02C24" w:rsidRPr="00F146E7" w:rsidRDefault="00F02C24" w:rsidP="009C47EE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F146E7">
              <w:rPr>
                <w:rFonts w:ascii="Calibri" w:hAnsi="Calibri" w:cs="Calibri"/>
                <w:b/>
                <w:szCs w:val="22"/>
              </w:rPr>
              <w:t xml:space="preserve">Příslušníci </w:t>
            </w:r>
            <w:r w:rsidR="00F01C43">
              <w:rPr>
                <w:rFonts w:ascii="Calibri" w:hAnsi="Calibri" w:cs="Calibri"/>
                <w:b/>
                <w:szCs w:val="22"/>
              </w:rPr>
              <w:t>HZS</w:t>
            </w:r>
          </w:p>
        </w:tc>
        <w:tc>
          <w:tcPr>
            <w:tcW w:w="934" w:type="pct"/>
            <w:vMerge w:val="restart"/>
            <w:shd w:val="clear" w:color="auto" w:fill="DBE5F1" w:themeFill="accent1" w:themeFillTint="33"/>
            <w:vAlign w:val="center"/>
            <w:hideMark/>
          </w:tcPr>
          <w:p w14:paraId="1B5C9055" w14:textId="77777777" w:rsidR="00F02C24" w:rsidRPr="00F146E7" w:rsidRDefault="00F02C24" w:rsidP="00A15A62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F146E7">
              <w:rPr>
                <w:rFonts w:ascii="Calibri" w:hAnsi="Calibri" w:cs="Calibri"/>
                <w:b/>
                <w:szCs w:val="22"/>
              </w:rPr>
              <w:t>Občanští zaměstnanci</w:t>
            </w:r>
          </w:p>
        </w:tc>
        <w:tc>
          <w:tcPr>
            <w:tcW w:w="717" w:type="pct"/>
            <w:vMerge w:val="restart"/>
            <w:shd w:val="clear" w:color="auto" w:fill="DBE5F1" w:themeFill="accent1" w:themeFillTint="33"/>
            <w:vAlign w:val="center"/>
            <w:hideMark/>
          </w:tcPr>
          <w:p w14:paraId="4919CC58" w14:textId="77777777" w:rsidR="00F02C24" w:rsidRPr="00F146E7" w:rsidRDefault="00F02C24" w:rsidP="00A15A62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F146E7">
              <w:rPr>
                <w:rFonts w:ascii="Calibri" w:hAnsi="Calibri" w:cs="Calibri"/>
                <w:b/>
                <w:szCs w:val="22"/>
              </w:rPr>
              <w:t>Celkem</w:t>
            </w:r>
          </w:p>
        </w:tc>
      </w:tr>
      <w:tr w:rsidR="00F02C24" w14:paraId="0F461F75" w14:textId="77777777" w:rsidTr="00366BB9">
        <w:trPr>
          <w:trHeight w:val="295"/>
        </w:trPr>
        <w:tc>
          <w:tcPr>
            <w:tcW w:w="645" w:type="pct"/>
            <w:vMerge/>
            <w:vAlign w:val="center"/>
            <w:hideMark/>
          </w:tcPr>
          <w:p w14:paraId="74F6F1D4" w14:textId="77777777" w:rsidR="00F02C24" w:rsidRPr="002F1A2B" w:rsidRDefault="00F02C24" w:rsidP="00A15A6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98" w:type="pct"/>
            <w:shd w:val="clear" w:color="auto" w:fill="DBE5F1" w:themeFill="accent1" w:themeFillTint="33"/>
            <w:noWrap/>
            <w:vAlign w:val="center"/>
            <w:hideMark/>
          </w:tcPr>
          <w:p w14:paraId="40A835E5" w14:textId="40F409A4" w:rsidR="00F02C24" w:rsidRPr="00F146E7" w:rsidRDefault="00F146E7" w:rsidP="00F146E7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F146E7">
              <w:rPr>
                <w:rFonts w:ascii="Calibri" w:hAnsi="Calibri" w:cs="Calibri"/>
                <w:b/>
                <w:szCs w:val="22"/>
              </w:rPr>
              <w:t>S</w:t>
            </w:r>
            <w:r w:rsidR="00F02C24" w:rsidRPr="00F146E7">
              <w:rPr>
                <w:rFonts w:ascii="Calibri" w:hAnsi="Calibri" w:cs="Calibri"/>
                <w:b/>
                <w:szCs w:val="22"/>
              </w:rPr>
              <w:t>měnoví</w:t>
            </w:r>
          </w:p>
        </w:tc>
        <w:tc>
          <w:tcPr>
            <w:tcW w:w="1020" w:type="pct"/>
            <w:shd w:val="clear" w:color="auto" w:fill="DBE5F1" w:themeFill="accent1" w:themeFillTint="33"/>
            <w:vAlign w:val="center"/>
            <w:hideMark/>
          </w:tcPr>
          <w:p w14:paraId="102870FB" w14:textId="56625C5E" w:rsidR="00F02C24" w:rsidRPr="00F146E7" w:rsidRDefault="00F146E7" w:rsidP="00F146E7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F146E7">
              <w:rPr>
                <w:rFonts w:ascii="Calibri" w:hAnsi="Calibri" w:cs="Calibri"/>
                <w:b/>
                <w:szCs w:val="22"/>
              </w:rPr>
              <w:t>O</w:t>
            </w:r>
            <w:r>
              <w:rPr>
                <w:rFonts w:ascii="Calibri" w:hAnsi="Calibri" w:cs="Calibri"/>
                <w:b/>
                <w:szCs w:val="22"/>
              </w:rPr>
              <w:t>statní</w:t>
            </w:r>
            <w:r w:rsidR="00F02C24" w:rsidRPr="00F146E7">
              <w:rPr>
                <w:rFonts w:ascii="Calibri" w:hAnsi="Calibri" w:cs="Calibri"/>
                <w:b/>
                <w:szCs w:val="22"/>
              </w:rPr>
              <w:t>*</w:t>
            </w:r>
          </w:p>
        </w:tc>
        <w:tc>
          <w:tcPr>
            <w:tcW w:w="887" w:type="pct"/>
            <w:shd w:val="clear" w:color="auto" w:fill="DBE5F1" w:themeFill="accent1" w:themeFillTint="33"/>
            <w:noWrap/>
            <w:vAlign w:val="center"/>
            <w:hideMark/>
          </w:tcPr>
          <w:p w14:paraId="7A82F80A" w14:textId="3EF19D53" w:rsidR="00F02C24" w:rsidRPr="00F146E7" w:rsidRDefault="00F146E7" w:rsidP="00F146E7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</w:t>
            </w:r>
            <w:r w:rsidR="00F02C24" w:rsidRPr="00F146E7">
              <w:rPr>
                <w:rFonts w:ascii="Calibri" w:hAnsi="Calibri" w:cs="Calibri"/>
                <w:b/>
                <w:szCs w:val="22"/>
              </w:rPr>
              <w:t>lkem</w:t>
            </w:r>
          </w:p>
        </w:tc>
        <w:tc>
          <w:tcPr>
            <w:tcW w:w="934" w:type="pct"/>
            <w:vMerge/>
            <w:vAlign w:val="center"/>
            <w:hideMark/>
          </w:tcPr>
          <w:p w14:paraId="0D7293F1" w14:textId="77777777" w:rsidR="00F02C24" w:rsidRPr="002F1A2B" w:rsidRDefault="00F02C24" w:rsidP="00A15A6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FA24536" w14:textId="77777777" w:rsidR="00F02C24" w:rsidRPr="002F1A2B" w:rsidRDefault="00F02C24" w:rsidP="00A15A62">
            <w:pPr>
              <w:rPr>
                <w:rFonts w:ascii="Calibri" w:hAnsi="Calibri" w:cs="Calibri"/>
                <w:szCs w:val="22"/>
              </w:rPr>
            </w:pPr>
          </w:p>
        </w:tc>
      </w:tr>
      <w:tr w:rsidR="00F02C24" w14:paraId="25A2E53F" w14:textId="77777777" w:rsidTr="006734C1">
        <w:trPr>
          <w:trHeight w:val="295"/>
        </w:trPr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0318221" w14:textId="77777777" w:rsidR="00F02C24" w:rsidRPr="002F1A2B" w:rsidRDefault="00F02C24" w:rsidP="00A15A62">
            <w:pPr>
              <w:jc w:val="center"/>
              <w:rPr>
                <w:rFonts w:ascii="Calibri" w:hAnsi="Calibri" w:cs="Calibri"/>
                <w:szCs w:val="22"/>
              </w:rPr>
            </w:pPr>
            <w:r w:rsidRPr="002F1A2B">
              <w:rPr>
                <w:rFonts w:ascii="Calibri" w:hAnsi="Calibri" w:cs="Calibri"/>
                <w:szCs w:val="22"/>
              </w:rPr>
              <w:t>2013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5659EF6C" w14:textId="77777777" w:rsidR="00F02C24" w:rsidRPr="002F1A2B" w:rsidRDefault="00F02C24" w:rsidP="00A15A62">
            <w:pPr>
              <w:ind w:right="344"/>
              <w:jc w:val="right"/>
              <w:rPr>
                <w:rFonts w:ascii="Calibri" w:hAnsi="Calibri" w:cs="Calibri"/>
                <w:szCs w:val="22"/>
              </w:rPr>
            </w:pPr>
            <w:r w:rsidRPr="002F1A2B">
              <w:rPr>
                <w:rFonts w:ascii="Calibri" w:hAnsi="Calibri" w:cs="Calibri"/>
                <w:szCs w:val="22"/>
              </w:rPr>
              <w:t> 6 207,2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 w14:paraId="5342EE5B" w14:textId="77777777" w:rsidR="00F02C24" w:rsidRPr="002F1A2B" w:rsidRDefault="00F02C24" w:rsidP="00A15A62">
            <w:pPr>
              <w:ind w:right="543"/>
              <w:jc w:val="right"/>
              <w:rPr>
                <w:rFonts w:ascii="Calibri" w:hAnsi="Calibri" w:cs="Calibri"/>
                <w:szCs w:val="22"/>
              </w:rPr>
            </w:pPr>
            <w:r w:rsidRPr="002F1A2B">
              <w:rPr>
                <w:rFonts w:ascii="Calibri" w:hAnsi="Calibri" w:cs="Calibri"/>
                <w:szCs w:val="22"/>
              </w:rPr>
              <w:t>2 826,9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49BEF705" w14:textId="77777777" w:rsidR="00F02C24" w:rsidRPr="002F1A2B" w:rsidRDefault="00F02C24" w:rsidP="00A15A62">
            <w:pPr>
              <w:ind w:right="216"/>
              <w:jc w:val="right"/>
              <w:rPr>
                <w:rFonts w:ascii="Calibri" w:hAnsi="Calibri" w:cs="Calibri"/>
                <w:szCs w:val="22"/>
              </w:rPr>
            </w:pPr>
            <w:r w:rsidRPr="002F1A2B">
              <w:rPr>
                <w:rFonts w:ascii="Calibri" w:hAnsi="Calibri" w:cs="Calibri"/>
                <w:szCs w:val="22"/>
              </w:rPr>
              <w:t>9 034,1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3E174C1D" w14:textId="77777777" w:rsidR="00F02C24" w:rsidRPr="002F1A2B" w:rsidRDefault="00F02C24" w:rsidP="00A15A62">
            <w:pPr>
              <w:ind w:right="706"/>
              <w:jc w:val="right"/>
              <w:rPr>
                <w:rFonts w:ascii="Calibri" w:hAnsi="Calibri" w:cs="Calibri"/>
                <w:szCs w:val="22"/>
              </w:rPr>
            </w:pPr>
            <w:r w:rsidRPr="002F1A2B">
              <w:rPr>
                <w:rFonts w:ascii="Calibri" w:hAnsi="Calibri" w:cs="Calibri"/>
                <w:szCs w:val="22"/>
              </w:rPr>
              <w:t>956,1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14:paraId="1ECFD173" w14:textId="77777777" w:rsidR="00F02C24" w:rsidRPr="001D35E6" w:rsidRDefault="00F02C24" w:rsidP="00A15A62">
            <w:pPr>
              <w:ind w:right="181"/>
              <w:jc w:val="right"/>
              <w:rPr>
                <w:rFonts w:ascii="Calibri" w:hAnsi="Calibri" w:cs="Calibri"/>
                <w:b/>
                <w:szCs w:val="22"/>
              </w:rPr>
            </w:pPr>
            <w:r w:rsidRPr="001D35E6">
              <w:rPr>
                <w:rFonts w:ascii="Calibri" w:hAnsi="Calibri" w:cs="Calibri"/>
                <w:b/>
                <w:szCs w:val="22"/>
              </w:rPr>
              <w:t>9 990,2</w:t>
            </w:r>
          </w:p>
        </w:tc>
      </w:tr>
      <w:tr w:rsidR="00F02C24" w14:paraId="71BE33E0" w14:textId="77777777" w:rsidTr="006734C1">
        <w:trPr>
          <w:trHeight w:val="295"/>
        </w:trPr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5416BC3" w14:textId="77777777" w:rsidR="00F02C24" w:rsidRPr="002F1A2B" w:rsidRDefault="00F02C24" w:rsidP="00A15A62">
            <w:pPr>
              <w:jc w:val="center"/>
              <w:rPr>
                <w:rFonts w:ascii="Calibri" w:hAnsi="Calibri" w:cs="Calibri"/>
                <w:szCs w:val="22"/>
              </w:rPr>
            </w:pPr>
            <w:r w:rsidRPr="002F1A2B">
              <w:rPr>
                <w:rFonts w:ascii="Calibri" w:hAnsi="Calibri" w:cs="Calibri"/>
                <w:szCs w:val="22"/>
              </w:rPr>
              <w:t>2014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69D01BC9" w14:textId="77777777" w:rsidR="00F02C24" w:rsidRPr="002F1A2B" w:rsidRDefault="00F02C24" w:rsidP="00A15A62">
            <w:pPr>
              <w:ind w:right="344"/>
              <w:jc w:val="right"/>
              <w:rPr>
                <w:rFonts w:ascii="Calibri" w:hAnsi="Calibri" w:cs="Calibri"/>
                <w:szCs w:val="22"/>
              </w:rPr>
            </w:pPr>
            <w:r w:rsidRPr="002F1A2B">
              <w:rPr>
                <w:rFonts w:ascii="Calibri" w:hAnsi="Calibri" w:cs="Calibri"/>
                <w:szCs w:val="22"/>
              </w:rPr>
              <w:t> 6 350,4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 w14:paraId="6FC6E946" w14:textId="77777777" w:rsidR="00F02C24" w:rsidRPr="002F1A2B" w:rsidRDefault="00F02C24" w:rsidP="00A15A62">
            <w:pPr>
              <w:ind w:right="543"/>
              <w:jc w:val="right"/>
              <w:rPr>
                <w:rFonts w:ascii="Calibri" w:hAnsi="Calibri" w:cs="Calibri"/>
                <w:szCs w:val="22"/>
              </w:rPr>
            </w:pPr>
            <w:r w:rsidRPr="002F1A2B">
              <w:rPr>
                <w:rFonts w:ascii="Calibri" w:hAnsi="Calibri" w:cs="Calibri"/>
                <w:szCs w:val="22"/>
              </w:rPr>
              <w:t>2 868,7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3CF01AEA" w14:textId="77777777" w:rsidR="00F02C24" w:rsidRPr="002F1A2B" w:rsidRDefault="00F02C24" w:rsidP="00A15A62">
            <w:pPr>
              <w:ind w:right="216"/>
              <w:jc w:val="right"/>
              <w:rPr>
                <w:rFonts w:ascii="Calibri" w:hAnsi="Calibri" w:cs="Calibri"/>
                <w:szCs w:val="22"/>
              </w:rPr>
            </w:pPr>
            <w:r w:rsidRPr="002F1A2B">
              <w:rPr>
                <w:rFonts w:ascii="Calibri" w:hAnsi="Calibri" w:cs="Calibri"/>
                <w:szCs w:val="22"/>
              </w:rPr>
              <w:t>9 219,1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62455FD8" w14:textId="77777777" w:rsidR="00F02C24" w:rsidRPr="002F1A2B" w:rsidRDefault="00F02C24" w:rsidP="00A15A62">
            <w:pPr>
              <w:ind w:right="706"/>
              <w:jc w:val="right"/>
              <w:rPr>
                <w:rFonts w:ascii="Calibri" w:hAnsi="Calibri" w:cs="Calibri"/>
                <w:szCs w:val="22"/>
              </w:rPr>
            </w:pPr>
            <w:r w:rsidRPr="002F1A2B">
              <w:rPr>
                <w:rFonts w:ascii="Calibri" w:hAnsi="Calibri" w:cs="Calibri"/>
                <w:szCs w:val="22"/>
              </w:rPr>
              <w:t>964,3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14:paraId="1A7ABD55" w14:textId="77777777" w:rsidR="00F02C24" w:rsidRPr="001D35E6" w:rsidRDefault="00F02C24" w:rsidP="00A15A62">
            <w:pPr>
              <w:ind w:right="181"/>
              <w:jc w:val="right"/>
              <w:rPr>
                <w:rFonts w:ascii="Calibri" w:hAnsi="Calibri" w:cs="Calibri"/>
                <w:b/>
                <w:szCs w:val="22"/>
              </w:rPr>
            </w:pPr>
            <w:r w:rsidRPr="001D35E6">
              <w:rPr>
                <w:rFonts w:ascii="Calibri" w:hAnsi="Calibri" w:cs="Calibri"/>
                <w:b/>
                <w:szCs w:val="22"/>
              </w:rPr>
              <w:t>10 183,4</w:t>
            </w:r>
          </w:p>
        </w:tc>
      </w:tr>
    </w:tbl>
    <w:p w14:paraId="28D91BF3" w14:textId="3FB80513" w:rsidR="00F02C24" w:rsidRPr="009E2F02" w:rsidRDefault="00F02C24" w:rsidP="00F02C24">
      <w:pPr>
        <w:spacing w:before="40"/>
        <w:ind w:left="522" w:right="-2" w:hanging="522"/>
        <w:rPr>
          <w:rFonts w:asciiTheme="minorHAnsi" w:hAnsiTheme="minorHAnsi" w:cstheme="minorHAnsi"/>
          <w:sz w:val="20"/>
          <w:szCs w:val="20"/>
        </w:rPr>
      </w:pPr>
      <w:r w:rsidRPr="003D4004">
        <w:rPr>
          <w:rFonts w:ascii="Calibri" w:hAnsi="Calibri" w:cs="Calibri"/>
          <w:b/>
          <w:sz w:val="20"/>
          <w:szCs w:val="20"/>
        </w:rPr>
        <w:t>Zdroj</w:t>
      </w:r>
      <w:r w:rsidRPr="00366BB9">
        <w:rPr>
          <w:rFonts w:ascii="Calibri" w:hAnsi="Calibri" w:cs="Calibri"/>
          <w:b/>
          <w:sz w:val="20"/>
          <w:szCs w:val="20"/>
        </w:rPr>
        <w:t>:</w:t>
      </w:r>
      <w:r w:rsidRPr="009E2F02">
        <w:rPr>
          <w:rFonts w:ascii="Calibri" w:hAnsi="Calibri" w:cs="Calibri"/>
          <w:sz w:val="20"/>
          <w:szCs w:val="20"/>
        </w:rPr>
        <w:t> </w:t>
      </w:r>
      <w:r w:rsidR="00927E77">
        <w:rPr>
          <w:rFonts w:ascii="Calibri" w:hAnsi="Calibri" w:cs="Calibri"/>
          <w:sz w:val="20"/>
          <w:szCs w:val="20"/>
        </w:rPr>
        <w:t>GŘ</w:t>
      </w:r>
      <w:r w:rsidRPr="009E2F0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–</w:t>
      </w:r>
      <w:r w:rsidRPr="009E2F02">
        <w:rPr>
          <w:rFonts w:ascii="Calibri" w:hAnsi="Calibri" w:cs="Calibri"/>
          <w:sz w:val="20"/>
          <w:szCs w:val="20"/>
        </w:rPr>
        <w:t xml:space="preserve"> </w:t>
      </w:r>
      <w:r w:rsidR="00EE01CA">
        <w:rPr>
          <w:rFonts w:ascii="Calibri" w:hAnsi="Calibri" w:cs="Calibri"/>
          <w:sz w:val="20"/>
          <w:szCs w:val="20"/>
        </w:rPr>
        <w:t>údaje o p</w:t>
      </w:r>
      <w:r w:rsidRPr="009E2F02">
        <w:rPr>
          <w:rFonts w:ascii="Calibri" w:hAnsi="Calibri" w:cs="Calibri"/>
          <w:sz w:val="20"/>
          <w:szCs w:val="20"/>
        </w:rPr>
        <w:t>řepočten</w:t>
      </w:r>
      <w:r w:rsidR="00EE01CA">
        <w:rPr>
          <w:rFonts w:ascii="Calibri" w:hAnsi="Calibri" w:cs="Calibri"/>
          <w:sz w:val="20"/>
          <w:szCs w:val="20"/>
        </w:rPr>
        <w:t>ých</w:t>
      </w:r>
      <w:r w:rsidRPr="009E2F02">
        <w:rPr>
          <w:rFonts w:ascii="Calibri" w:hAnsi="Calibri" w:cs="Calibri"/>
          <w:sz w:val="20"/>
          <w:szCs w:val="20"/>
        </w:rPr>
        <w:t xml:space="preserve"> stav</w:t>
      </w:r>
      <w:r w:rsidR="00EE01CA">
        <w:rPr>
          <w:rFonts w:ascii="Calibri" w:hAnsi="Calibri" w:cs="Calibri"/>
          <w:sz w:val="20"/>
          <w:szCs w:val="20"/>
        </w:rPr>
        <w:t>ech</w:t>
      </w:r>
      <w:r w:rsidRPr="009E2F02">
        <w:rPr>
          <w:rFonts w:ascii="Calibri" w:hAnsi="Calibri" w:cs="Calibri"/>
          <w:sz w:val="20"/>
          <w:szCs w:val="20"/>
        </w:rPr>
        <w:t xml:space="preserve"> zaměstnanců.</w:t>
      </w:r>
    </w:p>
    <w:p w14:paraId="2C12119F" w14:textId="53335DE6" w:rsidR="00F02C24" w:rsidRDefault="00F02C24" w:rsidP="00F02C24">
      <w:pPr>
        <w:pStyle w:val="Odstavecseseznamem1"/>
        <w:ind w:left="266" w:hanging="26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</w:t>
      </w:r>
      <w:r w:rsidR="00F146E7">
        <w:rPr>
          <w:rFonts w:ascii="Calibri" w:hAnsi="Calibri" w:cs="Calibri"/>
          <w:sz w:val="20"/>
          <w:szCs w:val="20"/>
        </w:rPr>
        <w:t>P</w:t>
      </w:r>
      <w:r w:rsidRPr="00041F21">
        <w:rPr>
          <w:rFonts w:ascii="Calibri" w:hAnsi="Calibri" w:cs="Calibri"/>
          <w:sz w:val="20"/>
          <w:szCs w:val="20"/>
        </w:rPr>
        <w:t>říslušníci v denní směně, operační důstojníci nebo technici a operátoři tísňové linky</w:t>
      </w:r>
      <w:r>
        <w:rPr>
          <w:rFonts w:ascii="Calibri" w:hAnsi="Calibri" w:cs="Calibri"/>
          <w:sz w:val="20"/>
          <w:szCs w:val="20"/>
        </w:rPr>
        <w:t>.</w:t>
      </w:r>
    </w:p>
    <w:p w14:paraId="4C3ABA28" w14:textId="77777777" w:rsidR="00F02C24" w:rsidRPr="00511320" w:rsidRDefault="00F02C24" w:rsidP="00F02C24">
      <w:pPr>
        <w:pStyle w:val="Odstavecseseznamem1"/>
        <w:ind w:left="266" w:hanging="266"/>
        <w:jc w:val="both"/>
        <w:rPr>
          <w:rFonts w:ascii="Calibri" w:hAnsi="Calibri" w:cs="Calibri"/>
        </w:rPr>
      </w:pPr>
    </w:p>
    <w:p w14:paraId="04046F9F" w14:textId="66B1982D" w:rsidR="00F02C24" w:rsidRPr="002F0E87" w:rsidRDefault="00DE0602" w:rsidP="00F02C24">
      <w:pPr>
        <w:pStyle w:val="Odstavecseseznamem1"/>
        <w:ind w:left="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O</w:t>
      </w:r>
      <w:r w:rsidR="00F02C24" w:rsidRPr="00CF7440">
        <w:rPr>
          <w:rFonts w:ascii="Calibri" w:hAnsi="Calibri" w:cs="Calibri"/>
        </w:rPr>
        <w:t xml:space="preserve">proti roku 2013 </w:t>
      </w:r>
      <w:r w:rsidRPr="00CF7440">
        <w:rPr>
          <w:rFonts w:ascii="Calibri" w:hAnsi="Calibri" w:cs="Calibri"/>
          <w:lang w:eastAsia="en-US"/>
        </w:rPr>
        <w:t>došlo</w:t>
      </w:r>
      <w:r>
        <w:rPr>
          <w:rFonts w:ascii="Calibri" w:hAnsi="Calibri" w:cs="Calibri"/>
          <w:lang w:eastAsia="en-US"/>
        </w:rPr>
        <w:t xml:space="preserve"> k</w:t>
      </w:r>
      <w:r w:rsidR="00F02C24" w:rsidRPr="00CF7440">
        <w:rPr>
          <w:rFonts w:ascii="Calibri" w:hAnsi="Calibri" w:cs="Calibri"/>
          <w:lang w:eastAsia="en-US"/>
        </w:rPr>
        <w:t xml:space="preserve"> nárůstu </w:t>
      </w:r>
      <w:r w:rsidRPr="00761BB5">
        <w:rPr>
          <w:rFonts w:ascii="Calibri" w:hAnsi="Calibri" w:cs="Calibri"/>
          <w:lang w:eastAsia="en-US"/>
        </w:rPr>
        <w:t xml:space="preserve">počtu </w:t>
      </w:r>
      <w:r w:rsidR="00761BB5" w:rsidRPr="00761BB5">
        <w:rPr>
          <w:rFonts w:ascii="Calibri" w:hAnsi="Calibri" w:cs="Calibri"/>
          <w:lang w:eastAsia="en-US"/>
        </w:rPr>
        <w:t>příslušníků</w:t>
      </w:r>
      <w:r w:rsidR="00761BB5" w:rsidRPr="00761BB5">
        <w:rPr>
          <w:rFonts w:ascii="Calibri" w:hAnsi="Calibri" w:cs="Calibri"/>
        </w:rPr>
        <w:t xml:space="preserve"> </w:t>
      </w:r>
      <w:r w:rsidRPr="00761BB5">
        <w:rPr>
          <w:rFonts w:ascii="Calibri" w:hAnsi="Calibri" w:cs="Calibri"/>
        </w:rPr>
        <w:t>o 2 %</w:t>
      </w:r>
      <w:r w:rsidR="00B00B60">
        <w:rPr>
          <w:rFonts w:ascii="Calibri" w:hAnsi="Calibri" w:cs="Calibri"/>
        </w:rPr>
        <w:t>,</w:t>
      </w:r>
      <w:r w:rsidR="00761BB5">
        <w:rPr>
          <w:rFonts w:ascii="Calibri" w:hAnsi="Calibri" w:cs="Calibri"/>
        </w:rPr>
        <w:t xml:space="preserve"> a stav</w:t>
      </w:r>
      <w:r w:rsidR="002F0E87" w:rsidRPr="00761BB5">
        <w:rPr>
          <w:rFonts w:ascii="Calibri" w:hAnsi="Calibri" w:cs="Calibri"/>
          <w:lang w:eastAsia="en-US"/>
        </w:rPr>
        <w:t xml:space="preserve"> příslušníků se tak </w:t>
      </w:r>
      <w:r w:rsidR="00761BB5">
        <w:rPr>
          <w:rFonts w:ascii="Calibri" w:hAnsi="Calibri" w:cs="Calibri"/>
          <w:lang w:eastAsia="en-US"/>
        </w:rPr>
        <w:t>blíž</w:t>
      </w:r>
      <w:r w:rsidR="009C47EE">
        <w:rPr>
          <w:rFonts w:ascii="Calibri" w:hAnsi="Calibri" w:cs="Calibri"/>
          <w:lang w:eastAsia="en-US"/>
        </w:rPr>
        <w:t>il</w:t>
      </w:r>
      <w:r w:rsidR="00761BB5">
        <w:rPr>
          <w:rFonts w:ascii="Calibri" w:hAnsi="Calibri" w:cs="Calibri"/>
          <w:lang w:eastAsia="en-US"/>
        </w:rPr>
        <w:t xml:space="preserve"> </w:t>
      </w:r>
      <w:r w:rsidR="006F442E">
        <w:rPr>
          <w:rFonts w:ascii="Calibri" w:hAnsi="Calibri" w:cs="Calibri"/>
          <w:lang w:eastAsia="en-US"/>
        </w:rPr>
        <w:t xml:space="preserve">schválenému počtu míst </w:t>
      </w:r>
      <w:r w:rsidR="00AF3C8F">
        <w:rPr>
          <w:rFonts w:ascii="Calibri" w:hAnsi="Calibri" w:cs="Calibri"/>
          <w:lang w:eastAsia="en-US"/>
        </w:rPr>
        <w:t>v </w:t>
      </w:r>
      <w:r w:rsidR="006F442E">
        <w:rPr>
          <w:rFonts w:ascii="Calibri" w:hAnsi="Calibri" w:cs="Calibri"/>
          <w:lang w:eastAsia="en-US"/>
        </w:rPr>
        <w:t>usnesení</w:t>
      </w:r>
      <w:r w:rsidR="002F0E87" w:rsidRPr="00761BB5">
        <w:rPr>
          <w:rFonts w:ascii="Calibri" w:hAnsi="Calibri" w:cs="Calibri"/>
          <w:lang w:eastAsia="en-US"/>
        </w:rPr>
        <w:t xml:space="preserve"> vlády.</w:t>
      </w:r>
    </w:p>
    <w:p w14:paraId="2116BFC8" w14:textId="77777777" w:rsidR="00F02C24" w:rsidRDefault="00F02C24" w:rsidP="00147C45">
      <w:pPr>
        <w:rPr>
          <w:rFonts w:ascii="Calibri" w:hAnsi="Calibri" w:cs="Calibri"/>
          <w:b/>
          <w:sz w:val="24"/>
        </w:rPr>
      </w:pPr>
    </w:p>
    <w:p w14:paraId="4BACB050" w14:textId="194C038A" w:rsidR="00DE0602" w:rsidRDefault="00585F72" w:rsidP="00511320">
      <w:pPr>
        <w:spacing w:after="12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Vý</w:t>
      </w:r>
      <w:r w:rsidR="00DE0602">
        <w:rPr>
          <w:rFonts w:ascii="Calibri" w:hAnsi="Calibri" w:cs="Calibri"/>
          <w:b/>
          <w:sz w:val="24"/>
        </w:rPr>
        <w:t>kon</w:t>
      </w:r>
      <w:r>
        <w:rPr>
          <w:rFonts w:ascii="Calibri" w:hAnsi="Calibri" w:cs="Calibri"/>
          <w:b/>
          <w:sz w:val="24"/>
        </w:rPr>
        <w:t>y</w:t>
      </w:r>
      <w:r w:rsidR="00DE0602">
        <w:rPr>
          <w:rFonts w:ascii="Calibri" w:hAnsi="Calibri" w:cs="Calibri"/>
          <w:b/>
          <w:sz w:val="24"/>
        </w:rPr>
        <w:t xml:space="preserve"> kontrolovaných HZSK</w:t>
      </w:r>
    </w:p>
    <w:p w14:paraId="7EDCE128" w14:textId="6D23DE12" w:rsidR="00F02C24" w:rsidRPr="00CF7440" w:rsidRDefault="00705B17" w:rsidP="0051132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Následující tabulka uvádí přehled o přepočtených počtech zaměstnanců a celkové počty zásahů </w:t>
      </w:r>
      <w:r w:rsidR="007E0ECC" w:rsidRPr="00CF7440">
        <w:rPr>
          <w:rFonts w:ascii="Calibri" w:hAnsi="Calibri" w:cs="Calibri"/>
          <w:sz w:val="24"/>
        </w:rPr>
        <w:t xml:space="preserve">kontrolovaných HZSK </w:t>
      </w:r>
      <w:r>
        <w:rPr>
          <w:rFonts w:ascii="Calibri" w:hAnsi="Calibri" w:cs="Calibri"/>
          <w:sz w:val="24"/>
        </w:rPr>
        <w:t>v letech 2013 a 2014.</w:t>
      </w:r>
    </w:p>
    <w:p w14:paraId="0548BA0E" w14:textId="77777777" w:rsidR="00B70C96" w:rsidRDefault="00B70C96" w:rsidP="00511320">
      <w:pPr>
        <w:tabs>
          <w:tab w:val="right" w:pos="9070"/>
        </w:tabs>
        <w:rPr>
          <w:rFonts w:asciiTheme="minorHAnsi" w:hAnsiTheme="minorHAnsi" w:cstheme="minorHAnsi"/>
          <w:b/>
          <w:sz w:val="24"/>
        </w:rPr>
      </w:pPr>
    </w:p>
    <w:p w14:paraId="33C94755" w14:textId="11A781CC" w:rsidR="00230D34" w:rsidRPr="00F146E7" w:rsidRDefault="00230D34" w:rsidP="00511320">
      <w:pPr>
        <w:tabs>
          <w:tab w:val="right" w:pos="9070"/>
        </w:tabs>
        <w:rPr>
          <w:rFonts w:asciiTheme="minorHAnsi" w:hAnsiTheme="minorHAnsi" w:cstheme="minorHAnsi"/>
          <w:b/>
          <w:sz w:val="24"/>
        </w:rPr>
      </w:pPr>
      <w:r w:rsidRPr="00F146E7">
        <w:rPr>
          <w:rFonts w:asciiTheme="minorHAnsi" w:hAnsiTheme="minorHAnsi" w:cstheme="minorHAnsi"/>
          <w:b/>
          <w:sz w:val="24"/>
        </w:rPr>
        <w:t xml:space="preserve">Tabulka č. </w:t>
      </w:r>
      <w:r w:rsidR="003443B7">
        <w:rPr>
          <w:rFonts w:asciiTheme="minorHAnsi" w:hAnsiTheme="minorHAnsi" w:cstheme="minorHAnsi"/>
          <w:b/>
          <w:sz w:val="24"/>
        </w:rPr>
        <w:t>5</w:t>
      </w:r>
      <w:r w:rsidRPr="00F146E7">
        <w:rPr>
          <w:rFonts w:asciiTheme="minorHAnsi" w:hAnsiTheme="minorHAnsi" w:cstheme="minorHAnsi"/>
          <w:b/>
          <w:sz w:val="24"/>
        </w:rPr>
        <w:t xml:space="preserve"> </w:t>
      </w:r>
      <w:r w:rsidR="00EE01CA">
        <w:rPr>
          <w:rFonts w:asciiTheme="minorHAnsi" w:hAnsiTheme="minorHAnsi" w:cstheme="minorHAnsi"/>
          <w:b/>
          <w:sz w:val="24"/>
        </w:rPr>
        <w:t>–</w:t>
      </w:r>
      <w:r w:rsidRPr="00F146E7">
        <w:rPr>
          <w:rFonts w:asciiTheme="minorHAnsi" w:hAnsiTheme="minorHAnsi" w:cstheme="minorHAnsi"/>
          <w:b/>
          <w:sz w:val="24"/>
        </w:rPr>
        <w:t xml:space="preserve"> Přepočtené stavy zaměstnanců </w:t>
      </w:r>
      <w:r w:rsidR="00D75C2F" w:rsidRPr="00F146E7">
        <w:rPr>
          <w:rFonts w:asciiTheme="minorHAnsi" w:hAnsiTheme="minorHAnsi" w:cstheme="minorHAnsi"/>
          <w:b/>
          <w:sz w:val="24"/>
        </w:rPr>
        <w:t xml:space="preserve">a počty zásahů </w:t>
      </w:r>
      <w:r w:rsidRPr="00F146E7">
        <w:rPr>
          <w:rFonts w:asciiTheme="minorHAnsi" w:hAnsiTheme="minorHAnsi" w:cstheme="minorHAnsi"/>
          <w:b/>
          <w:sz w:val="24"/>
        </w:rPr>
        <w:t>vybraných HZSK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705"/>
        <w:gridCol w:w="1252"/>
        <w:gridCol w:w="1252"/>
        <w:gridCol w:w="1251"/>
        <w:gridCol w:w="1321"/>
      </w:tblGrid>
      <w:tr w:rsidR="006C167B" w14:paraId="2306DC87" w14:textId="77777777" w:rsidTr="00366BB9">
        <w:trPr>
          <w:trHeight w:val="460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C26025" w14:textId="493410CE" w:rsidR="00230D34" w:rsidRPr="00D75C2F" w:rsidRDefault="00230D34" w:rsidP="00A15A62">
            <w:pPr>
              <w:rPr>
                <w:rFonts w:asciiTheme="minorHAnsi" w:eastAsiaTheme="minorHAnsi" w:hAnsiTheme="minorHAnsi" w:cstheme="minorHAnsi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EF5B3B" w14:textId="622B250E" w:rsidR="00230D34" w:rsidRPr="002C7032" w:rsidRDefault="00230D34" w:rsidP="00A15A62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2C7032">
              <w:rPr>
                <w:rFonts w:asciiTheme="minorHAnsi" w:eastAsiaTheme="minorHAnsi" w:hAnsiTheme="minorHAnsi" w:cstheme="minorHAnsi"/>
                <w:b/>
                <w:szCs w:val="22"/>
              </w:rPr>
              <w:t>Rok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8BE6EF" w14:textId="77777777" w:rsidR="00230D34" w:rsidRPr="002C7032" w:rsidRDefault="00230D34" w:rsidP="00A15A62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2C7032">
              <w:rPr>
                <w:rFonts w:asciiTheme="minorHAnsi" w:eastAsiaTheme="minorHAnsi" w:hAnsiTheme="minorHAnsi" w:cstheme="minorHAnsi"/>
                <w:b/>
                <w:szCs w:val="22"/>
              </w:rPr>
              <w:t>HZS Praha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1274C72" w14:textId="77777777" w:rsidR="00230D34" w:rsidRPr="002C7032" w:rsidRDefault="00230D34" w:rsidP="00A15A62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2C7032">
              <w:rPr>
                <w:rFonts w:asciiTheme="minorHAnsi" w:eastAsiaTheme="minorHAnsi" w:hAnsiTheme="minorHAnsi" w:cstheme="minorHAnsi"/>
                <w:b/>
                <w:szCs w:val="22"/>
              </w:rPr>
              <w:t>HZS LK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AC8149" w14:textId="77777777" w:rsidR="00230D34" w:rsidRPr="002C7032" w:rsidRDefault="00230D34" w:rsidP="00A15A62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2C7032">
              <w:rPr>
                <w:rFonts w:asciiTheme="minorHAnsi" w:eastAsiaTheme="minorHAnsi" w:hAnsiTheme="minorHAnsi" w:cstheme="minorHAnsi"/>
                <w:b/>
                <w:szCs w:val="22"/>
              </w:rPr>
              <w:t>HZS JMK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3E8BF7C" w14:textId="77777777" w:rsidR="00230D34" w:rsidRPr="002C7032" w:rsidRDefault="00230D34" w:rsidP="00A15A62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2C7032">
              <w:rPr>
                <w:rFonts w:asciiTheme="minorHAnsi" w:eastAsiaTheme="minorHAnsi" w:hAnsiTheme="minorHAnsi" w:cstheme="minorHAnsi"/>
                <w:b/>
                <w:szCs w:val="22"/>
              </w:rPr>
              <w:t>HZS PK</w:t>
            </w:r>
          </w:p>
        </w:tc>
      </w:tr>
      <w:tr w:rsidR="00230D34" w14:paraId="43765D1C" w14:textId="77777777" w:rsidTr="006734C1">
        <w:trPr>
          <w:trHeight w:val="284"/>
        </w:trPr>
        <w:tc>
          <w:tcPr>
            <w:tcW w:w="18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F0C5" w14:textId="6087DA6F" w:rsidR="00230D34" w:rsidRPr="00D75C2F" w:rsidRDefault="00BB4075" w:rsidP="00BB4075">
            <w:pPr>
              <w:rPr>
                <w:rFonts w:ascii="Calibri" w:hAnsi="Calibri" w:cs="Calibr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Přepočtené počty z</w:t>
            </w:r>
            <w:r w:rsidR="00D75C2F" w:rsidRPr="00D75C2F">
              <w:rPr>
                <w:rFonts w:asciiTheme="minorHAnsi" w:eastAsiaTheme="minorHAnsi" w:hAnsiTheme="minorHAnsi" w:cstheme="minorHAnsi"/>
                <w:szCs w:val="22"/>
              </w:rPr>
              <w:t>aměstnanc</w:t>
            </w:r>
            <w:r>
              <w:rPr>
                <w:rFonts w:asciiTheme="minorHAnsi" w:eastAsiaTheme="minorHAnsi" w:hAnsiTheme="minorHAnsi" w:cstheme="minorHAnsi"/>
                <w:szCs w:val="22"/>
              </w:rPr>
              <w:t>ů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FAB95" w14:textId="77777777" w:rsidR="00230D34" w:rsidRPr="00D75C2F" w:rsidRDefault="00230D34" w:rsidP="00A15A62">
            <w:pPr>
              <w:jc w:val="center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2013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29D3" w14:textId="77777777" w:rsidR="00230D34" w:rsidRPr="00D75C2F" w:rsidRDefault="00230D34" w:rsidP="00FD2897">
            <w:pPr>
              <w:ind w:left="-70"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892,4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746C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385,5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14DF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880,5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8D58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451,8</w:t>
            </w:r>
          </w:p>
        </w:tc>
      </w:tr>
      <w:tr w:rsidR="00230D34" w:rsidRPr="000669C7" w14:paraId="5A3FA165" w14:textId="77777777" w:rsidTr="006734C1">
        <w:trPr>
          <w:trHeight w:val="284"/>
        </w:trPr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C37B" w14:textId="77777777" w:rsidR="00230D34" w:rsidRPr="00D75C2F" w:rsidRDefault="00230D34" w:rsidP="00A15A6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E0406" w14:textId="77777777" w:rsidR="00230D34" w:rsidRPr="00D75C2F" w:rsidRDefault="00230D34" w:rsidP="00A15A62">
            <w:pPr>
              <w:jc w:val="center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2014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38D0" w14:textId="77777777" w:rsidR="00230D34" w:rsidRPr="00D75C2F" w:rsidRDefault="00230D34" w:rsidP="00FD2897">
            <w:pPr>
              <w:ind w:left="-70"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896,7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6D37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388,0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8ECD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913,9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34AD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480,5</w:t>
            </w:r>
          </w:p>
        </w:tc>
      </w:tr>
      <w:tr w:rsidR="00230D34" w14:paraId="133DBB62" w14:textId="77777777" w:rsidTr="006734C1">
        <w:trPr>
          <w:trHeight w:val="284"/>
        </w:trPr>
        <w:tc>
          <w:tcPr>
            <w:tcW w:w="18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83A5" w14:textId="5508FC83" w:rsidR="00230D34" w:rsidRPr="00D75C2F" w:rsidRDefault="00AF3C8F" w:rsidP="00D75C2F">
            <w:pPr>
              <w:ind w:left="284"/>
              <w:rPr>
                <w:rFonts w:ascii="Calibri" w:hAnsi="Calibri" w:cs="Calibri"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z </w:t>
            </w:r>
            <w:r w:rsidR="00230D34" w:rsidRPr="00D75C2F">
              <w:rPr>
                <w:rFonts w:asciiTheme="minorHAnsi" w:hAnsiTheme="minorHAnsi" w:cstheme="minorHAnsi"/>
                <w:bCs/>
                <w:szCs w:val="22"/>
              </w:rPr>
              <w:t xml:space="preserve">toho směnoví </w:t>
            </w:r>
            <w:r w:rsidR="00D75C2F">
              <w:rPr>
                <w:rFonts w:asciiTheme="minorHAnsi" w:hAnsiTheme="minorHAnsi" w:cstheme="minorHAnsi"/>
                <w:bCs/>
                <w:szCs w:val="22"/>
              </w:rPr>
              <w:t>příslušníci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A369F" w14:textId="77777777" w:rsidR="00230D34" w:rsidRPr="00D75C2F" w:rsidRDefault="00230D34" w:rsidP="00A15A62">
            <w:pPr>
              <w:jc w:val="center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2013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37E5" w14:textId="77777777" w:rsidR="00230D34" w:rsidRPr="00D75C2F" w:rsidRDefault="00230D34" w:rsidP="00FD2897">
            <w:pPr>
              <w:ind w:left="-70"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628,0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26A1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234,1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D18B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605,0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A049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288,6</w:t>
            </w:r>
          </w:p>
        </w:tc>
      </w:tr>
      <w:tr w:rsidR="00230D34" w14:paraId="1BF2442B" w14:textId="77777777" w:rsidTr="006734C1">
        <w:trPr>
          <w:trHeight w:val="284"/>
        </w:trPr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4E2E" w14:textId="77777777" w:rsidR="00230D34" w:rsidRPr="00D75C2F" w:rsidRDefault="00230D34" w:rsidP="00A15A6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621AA" w14:textId="77777777" w:rsidR="00230D34" w:rsidRPr="00D75C2F" w:rsidRDefault="00230D34" w:rsidP="00A15A62">
            <w:pPr>
              <w:jc w:val="center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2014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4042" w14:textId="77777777" w:rsidR="00230D34" w:rsidRPr="00D75C2F" w:rsidRDefault="00230D34" w:rsidP="00FD2897">
            <w:pPr>
              <w:ind w:left="-70"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625,2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B73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236,8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9DD6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626,0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0A62" w14:textId="77777777" w:rsidR="00230D34" w:rsidRPr="00D75C2F" w:rsidRDefault="00230D34" w:rsidP="00FD2897">
            <w:pPr>
              <w:ind w:left="-70" w:right="220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D75C2F">
              <w:rPr>
                <w:rFonts w:asciiTheme="minorHAnsi" w:hAnsiTheme="minorHAnsi" w:cstheme="minorHAnsi"/>
                <w:bCs/>
                <w:szCs w:val="22"/>
              </w:rPr>
              <w:t>313,5</w:t>
            </w:r>
          </w:p>
        </w:tc>
      </w:tr>
      <w:tr w:rsidR="006C167B" w14:paraId="33ADEF37" w14:textId="77777777" w:rsidTr="006734C1">
        <w:trPr>
          <w:trHeight w:val="284"/>
        </w:trPr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30C5F5A" w14:textId="7DA6CBB3" w:rsidR="00230D34" w:rsidRPr="00D75C2F" w:rsidRDefault="00BB4075" w:rsidP="00BB4075">
            <w:pPr>
              <w:rPr>
                <w:rFonts w:ascii="Calibri" w:hAnsi="Calibri" w:cs="Calibr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Počty z</w:t>
            </w:r>
            <w:r w:rsidR="00D75C2F" w:rsidRPr="00D75C2F">
              <w:rPr>
                <w:rFonts w:asciiTheme="minorHAnsi" w:eastAsiaTheme="minorHAnsi" w:hAnsiTheme="minorHAnsi" w:cstheme="minorHAnsi"/>
                <w:szCs w:val="22"/>
              </w:rPr>
              <w:t>ásah</w:t>
            </w:r>
            <w:r>
              <w:rPr>
                <w:rFonts w:asciiTheme="minorHAnsi" w:eastAsiaTheme="minorHAnsi" w:hAnsiTheme="minorHAnsi" w:cstheme="minorHAnsi"/>
                <w:szCs w:val="22"/>
              </w:rPr>
              <w:t>ů</w:t>
            </w:r>
            <w:r w:rsidR="00D75C2F" w:rsidRPr="00D75C2F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B2CF32" w14:textId="77777777" w:rsidR="00230D34" w:rsidRPr="00D75C2F" w:rsidRDefault="00230D34" w:rsidP="00A15A62">
            <w:pPr>
              <w:jc w:val="center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2013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2C38049" w14:textId="77777777" w:rsidR="00230D34" w:rsidRPr="00D75C2F" w:rsidRDefault="00230D34" w:rsidP="00FD2897">
            <w:pPr>
              <w:ind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10 234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11D6988" w14:textId="77777777" w:rsidR="00230D34" w:rsidRPr="00D75C2F" w:rsidRDefault="00230D34" w:rsidP="00FD2897">
            <w:pPr>
              <w:ind w:left="-56"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4 505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066474B" w14:textId="77777777" w:rsidR="00230D34" w:rsidRPr="00D75C2F" w:rsidRDefault="00230D34" w:rsidP="00FD2897">
            <w:pPr>
              <w:ind w:left="-56"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8 652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EC9EDA0" w14:textId="77777777" w:rsidR="00230D34" w:rsidRPr="00D75C2F" w:rsidRDefault="00230D34" w:rsidP="00FD2897">
            <w:pPr>
              <w:ind w:left="-56"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5 531</w:t>
            </w:r>
          </w:p>
        </w:tc>
      </w:tr>
      <w:tr w:rsidR="006C167B" w14:paraId="1BD30188" w14:textId="77777777" w:rsidTr="006734C1">
        <w:trPr>
          <w:trHeight w:val="284"/>
        </w:trPr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2BECD86" w14:textId="77777777" w:rsidR="00230D34" w:rsidRPr="00D75C2F" w:rsidRDefault="00230D34" w:rsidP="00A15A6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DF5E87" w14:textId="77777777" w:rsidR="00230D34" w:rsidRPr="00D75C2F" w:rsidRDefault="00230D34" w:rsidP="00A15A62">
            <w:pPr>
              <w:jc w:val="center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2014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03A3A83" w14:textId="77777777" w:rsidR="00230D34" w:rsidRPr="00D75C2F" w:rsidRDefault="00230D34" w:rsidP="00FD2897">
            <w:pPr>
              <w:ind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8 966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4E3626B" w14:textId="77777777" w:rsidR="00230D34" w:rsidRPr="00D75C2F" w:rsidRDefault="00230D34" w:rsidP="00FD2897">
            <w:pPr>
              <w:ind w:left="-56"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4 312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24390DE" w14:textId="77777777" w:rsidR="00230D34" w:rsidRPr="00D75C2F" w:rsidRDefault="00230D34" w:rsidP="00FD2897">
            <w:pPr>
              <w:ind w:left="-56"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9 636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5196F62" w14:textId="77777777" w:rsidR="00230D34" w:rsidRPr="00D75C2F" w:rsidRDefault="00230D34" w:rsidP="00FD2897">
            <w:pPr>
              <w:ind w:left="-56" w:right="220"/>
              <w:jc w:val="right"/>
              <w:rPr>
                <w:rFonts w:ascii="Calibri" w:hAnsi="Calibri" w:cs="Calibri"/>
                <w:szCs w:val="22"/>
              </w:rPr>
            </w:pPr>
            <w:r w:rsidRPr="00D75C2F">
              <w:rPr>
                <w:rFonts w:ascii="Calibri" w:hAnsi="Calibri" w:cs="Calibri"/>
                <w:szCs w:val="22"/>
              </w:rPr>
              <w:t>5 116</w:t>
            </w:r>
          </w:p>
        </w:tc>
      </w:tr>
    </w:tbl>
    <w:p w14:paraId="685CC216" w14:textId="28F1A856" w:rsidR="00D75C2F" w:rsidRDefault="00230D34" w:rsidP="00D75C2F">
      <w:pPr>
        <w:spacing w:before="40"/>
        <w:ind w:left="522" w:right="-2" w:hanging="522"/>
        <w:rPr>
          <w:rFonts w:ascii="Calibri" w:hAnsi="Calibri" w:cs="Calibri"/>
          <w:sz w:val="20"/>
          <w:szCs w:val="20"/>
        </w:rPr>
      </w:pPr>
      <w:r w:rsidRPr="005C792A">
        <w:rPr>
          <w:rFonts w:ascii="Calibri" w:hAnsi="Calibri" w:cs="Calibri"/>
          <w:b/>
          <w:sz w:val="20"/>
        </w:rPr>
        <w:t>Zdroj</w:t>
      </w:r>
      <w:r w:rsidRPr="00366BB9">
        <w:rPr>
          <w:rFonts w:ascii="Calibri" w:hAnsi="Calibri" w:cs="Calibri"/>
          <w:b/>
          <w:sz w:val="20"/>
        </w:rPr>
        <w:t>:</w:t>
      </w:r>
      <w:r w:rsidRPr="0031132B">
        <w:rPr>
          <w:rFonts w:ascii="Calibri" w:hAnsi="Calibri" w:cs="Calibri"/>
          <w:sz w:val="20"/>
        </w:rPr>
        <w:t> </w:t>
      </w:r>
      <w:r w:rsidR="00EE01CA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tatistické ročenky </w:t>
      </w:r>
      <w:r w:rsidR="005B5DE5">
        <w:rPr>
          <w:rFonts w:ascii="Calibri" w:hAnsi="Calibri" w:cs="Calibri"/>
          <w:sz w:val="20"/>
          <w:szCs w:val="20"/>
        </w:rPr>
        <w:t xml:space="preserve">HZS </w:t>
      </w:r>
      <w:r>
        <w:rPr>
          <w:rFonts w:ascii="Calibri" w:hAnsi="Calibri" w:cs="Calibri"/>
          <w:sz w:val="20"/>
          <w:szCs w:val="20"/>
        </w:rPr>
        <w:t>2013 a 2014</w:t>
      </w:r>
      <w:r w:rsidR="00D75C2F">
        <w:rPr>
          <w:rFonts w:ascii="Calibri" w:hAnsi="Calibri" w:cs="Calibri"/>
          <w:sz w:val="20"/>
          <w:szCs w:val="20"/>
        </w:rPr>
        <w:t xml:space="preserve">; </w:t>
      </w:r>
      <w:r w:rsidR="00927E77">
        <w:rPr>
          <w:rFonts w:ascii="Calibri" w:hAnsi="Calibri" w:cs="Calibri"/>
          <w:sz w:val="20"/>
          <w:szCs w:val="20"/>
        </w:rPr>
        <w:t>GŘ</w:t>
      </w:r>
      <w:r w:rsidR="00890135" w:rsidRPr="009E2F02">
        <w:rPr>
          <w:rFonts w:ascii="Calibri" w:hAnsi="Calibri" w:cs="Calibri"/>
          <w:sz w:val="20"/>
          <w:szCs w:val="20"/>
        </w:rPr>
        <w:t xml:space="preserve"> </w:t>
      </w:r>
      <w:r w:rsidR="00890135">
        <w:rPr>
          <w:rFonts w:ascii="Calibri" w:hAnsi="Calibri" w:cs="Calibri"/>
          <w:sz w:val="20"/>
          <w:szCs w:val="20"/>
        </w:rPr>
        <w:t>–</w:t>
      </w:r>
      <w:r w:rsidR="00890135" w:rsidRPr="009E2F02">
        <w:rPr>
          <w:rFonts w:ascii="Calibri" w:hAnsi="Calibri" w:cs="Calibri"/>
          <w:sz w:val="20"/>
          <w:szCs w:val="20"/>
        </w:rPr>
        <w:t xml:space="preserve"> </w:t>
      </w:r>
      <w:r w:rsidR="00EE01CA">
        <w:rPr>
          <w:rFonts w:ascii="Calibri" w:hAnsi="Calibri" w:cs="Calibri"/>
          <w:sz w:val="20"/>
          <w:szCs w:val="20"/>
        </w:rPr>
        <w:t>údaje o p</w:t>
      </w:r>
      <w:r w:rsidR="00D75C2F" w:rsidRPr="009E2F02">
        <w:rPr>
          <w:rFonts w:ascii="Calibri" w:hAnsi="Calibri" w:cs="Calibri"/>
          <w:sz w:val="20"/>
          <w:szCs w:val="20"/>
        </w:rPr>
        <w:t>řepočten</w:t>
      </w:r>
      <w:r w:rsidR="00EE01CA">
        <w:rPr>
          <w:rFonts w:ascii="Calibri" w:hAnsi="Calibri" w:cs="Calibri"/>
          <w:sz w:val="20"/>
          <w:szCs w:val="20"/>
        </w:rPr>
        <w:t>ých</w:t>
      </w:r>
      <w:r w:rsidR="00D75C2F" w:rsidRPr="009E2F02">
        <w:rPr>
          <w:rFonts w:ascii="Calibri" w:hAnsi="Calibri" w:cs="Calibri"/>
          <w:sz w:val="20"/>
          <w:szCs w:val="20"/>
        </w:rPr>
        <w:t xml:space="preserve"> stav</w:t>
      </w:r>
      <w:r w:rsidR="00EE01CA">
        <w:rPr>
          <w:rFonts w:ascii="Calibri" w:hAnsi="Calibri" w:cs="Calibri"/>
          <w:sz w:val="20"/>
          <w:szCs w:val="20"/>
        </w:rPr>
        <w:t>ech</w:t>
      </w:r>
      <w:r w:rsidR="00D75C2F" w:rsidRPr="009E2F02">
        <w:rPr>
          <w:rFonts w:ascii="Calibri" w:hAnsi="Calibri" w:cs="Calibri"/>
          <w:sz w:val="20"/>
          <w:szCs w:val="20"/>
        </w:rPr>
        <w:t xml:space="preserve"> zaměstnanců</w:t>
      </w:r>
      <w:r w:rsidR="00D75C2F">
        <w:rPr>
          <w:rFonts w:ascii="Calibri" w:hAnsi="Calibri" w:cs="Calibri"/>
          <w:sz w:val="20"/>
          <w:szCs w:val="20"/>
        </w:rPr>
        <w:t>.</w:t>
      </w:r>
    </w:p>
    <w:p w14:paraId="25816487" w14:textId="77777777" w:rsidR="00230D34" w:rsidRPr="00511320" w:rsidRDefault="00230D34" w:rsidP="00230D34">
      <w:pPr>
        <w:rPr>
          <w:rFonts w:asciiTheme="minorHAnsi" w:hAnsiTheme="minorHAnsi" w:cstheme="minorHAnsi"/>
          <w:sz w:val="24"/>
        </w:rPr>
      </w:pPr>
    </w:p>
    <w:p w14:paraId="3FD8B9F4" w14:textId="2BBE0DFE" w:rsidR="00080333" w:rsidRPr="00B70C96" w:rsidRDefault="00D75C2F" w:rsidP="00B70C96">
      <w:pPr>
        <w:rPr>
          <w:rFonts w:asciiTheme="minorHAnsi" w:hAnsiTheme="minorHAnsi" w:cstheme="minorHAnsi"/>
          <w:color w:val="000000" w:themeColor="text1"/>
          <w:sz w:val="24"/>
        </w:rPr>
      </w:pPr>
      <w:r w:rsidRPr="00D75C2F">
        <w:rPr>
          <w:rFonts w:asciiTheme="minorHAnsi" w:hAnsiTheme="minorHAnsi" w:cstheme="minorHAnsi"/>
          <w:sz w:val="24"/>
        </w:rPr>
        <w:t>Obdobně jako celkové počty zásahů</w:t>
      </w:r>
      <w:r w:rsidR="003176DC">
        <w:rPr>
          <w:rFonts w:asciiTheme="minorHAnsi" w:hAnsiTheme="minorHAnsi" w:cstheme="minorHAnsi"/>
          <w:sz w:val="24"/>
        </w:rPr>
        <w:t xml:space="preserve"> uvedené v grafu č. 1</w:t>
      </w:r>
      <w:r w:rsidR="00ED13D0">
        <w:rPr>
          <w:rFonts w:asciiTheme="minorHAnsi" w:hAnsiTheme="minorHAnsi" w:cstheme="minorHAnsi"/>
          <w:sz w:val="24"/>
        </w:rPr>
        <w:t xml:space="preserve"> </w:t>
      </w:r>
      <w:r w:rsidR="00B70C96">
        <w:rPr>
          <w:rFonts w:asciiTheme="minorHAnsi" w:hAnsiTheme="minorHAnsi" w:cstheme="minorHAnsi"/>
          <w:sz w:val="24"/>
        </w:rPr>
        <w:t>kolísají i počty zásahů u </w:t>
      </w:r>
      <w:r w:rsidR="00705B17">
        <w:rPr>
          <w:rFonts w:asciiTheme="minorHAnsi" w:hAnsiTheme="minorHAnsi" w:cstheme="minorHAnsi"/>
          <w:sz w:val="24"/>
        </w:rPr>
        <w:t>kontrolovaných</w:t>
      </w:r>
      <w:r w:rsidRPr="00D75C2F">
        <w:rPr>
          <w:rFonts w:asciiTheme="minorHAnsi" w:hAnsiTheme="minorHAnsi" w:cstheme="minorHAnsi"/>
          <w:sz w:val="24"/>
        </w:rPr>
        <w:t xml:space="preserve"> HZSK. </w:t>
      </w:r>
      <w:r w:rsidR="00080333" w:rsidRPr="00B70C96">
        <w:rPr>
          <w:rFonts w:asciiTheme="minorHAnsi" w:hAnsiTheme="minorHAnsi" w:cstheme="minorHAnsi"/>
          <w:color w:val="000000" w:themeColor="text1"/>
          <w:sz w:val="24"/>
        </w:rPr>
        <w:t>Poměr zásahů k počtu zaměstnanců v letech 2013</w:t>
      </w:r>
      <w:r w:rsidR="00EE01CA">
        <w:rPr>
          <w:rFonts w:asciiTheme="minorHAnsi" w:hAnsiTheme="minorHAnsi" w:cstheme="minorHAnsi"/>
          <w:color w:val="000000" w:themeColor="text1"/>
          <w:sz w:val="24"/>
        </w:rPr>
        <w:t>–</w:t>
      </w:r>
      <w:r w:rsidR="00080333" w:rsidRPr="00B70C96">
        <w:rPr>
          <w:rFonts w:asciiTheme="minorHAnsi" w:hAnsiTheme="minorHAnsi" w:cstheme="minorHAnsi"/>
          <w:color w:val="000000" w:themeColor="text1"/>
          <w:sz w:val="24"/>
        </w:rPr>
        <w:t>2014 nevykazoval významné odchylky.</w:t>
      </w:r>
    </w:p>
    <w:p w14:paraId="2FA4C406" w14:textId="77777777" w:rsidR="00CD6F8A" w:rsidRDefault="00CD6F8A" w:rsidP="00921C82">
      <w:pPr>
        <w:rPr>
          <w:rFonts w:asciiTheme="minorHAnsi" w:hAnsiTheme="minorHAnsi" w:cstheme="minorHAnsi"/>
          <w:sz w:val="24"/>
        </w:rPr>
      </w:pPr>
    </w:p>
    <w:p w14:paraId="7DF21DAD" w14:textId="03DEE89E" w:rsidR="00F02C24" w:rsidRPr="007E0ECC" w:rsidRDefault="00F02C24" w:rsidP="00F02C24">
      <w:pPr>
        <w:rPr>
          <w:rFonts w:asciiTheme="minorHAnsi" w:hAnsiTheme="minorHAnsi" w:cstheme="minorHAnsi"/>
          <w:b/>
          <w:sz w:val="24"/>
        </w:rPr>
      </w:pPr>
      <w:r w:rsidRPr="007E0ECC">
        <w:rPr>
          <w:rFonts w:asciiTheme="minorHAnsi" w:hAnsiTheme="minorHAnsi" w:cstheme="minorHAnsi"/>
          <w:b/>
          <w:sz w:val="24"/>
        </w:rPr>
        <w:t>Výdaje</w:t>
      </w:r>
      <w:r w:rsidR="00585F72">
        <w:rPr>
          <w:rFonts w:asciiTheme="minorHAnsi" w:hAnsiTheme="minorHAnsi" w:cstheme="minorHAnsi"/>
          <w:b/>
          <w:sz w:val="24"/>
        </w:rPr>
        <w:t xml:space="preserve"> kontrolovaných HZSK</w:t>
      </w:r>
    </w:p>
    <w:p w14:paraId="626DED36" w14:textId="79D8EF86" w:rsidR="00605E41" w:rsidRDefault="00605E41" w:rsidP="00605E41">
      <w:pPr>
        <w:tabs>
          <w:tab w:val="right" w:pos="9070"/>
        </w:tabs>
        <w:spacing w:before="120"/>
        <w:rPr>
          <w:rFonts w:asciiTheme="minorHAnsi" w:hAnsiTheme="minorHAnsi" w:cstheme="minorHAnsi"/>
          <w:sz w:val="24"/>
        </w:rPr>
      </w:pPr>
      <w:r w:rsidRPr="00FD2897">
        <w:rPr>
          <w:rFonts w:asciiTheme="minorHAnsi" w:hAnsiTheme="minorHAnsi" w:cstheme="minorHAnsi"/>
          <w:sz w:val="24"/>
        </w:rPr>
        <w:t xml:space="preserve">V následující tabulce je uvedeno srovnání </w:t>
      </w:r>
      <w:r w:rsidR="00110DED">
        <w:rPr>
          <w:rFonts w:asciiTheme="minorHAnsi" w:hAnsiTheme="minorHAnsi" w:cstheme="minorHAnsi"/>
          <w:sz w:val="24"/>
        </w:rPr>
        <w:t>konečn</w:t>
      </w:r>
      <w:r w:rsidR="00EE01CA">
        <w:rPr>
          <w:rFonts w:asciiTheme="minorHAnsi" w:hAnsiTheme="minorHAnsi" w:cstheme="minorHAnsi"/>
          <w:sz w:val="24"/>
        </w:rPr>
        <w:t>ých</w:t>
      </w:r>
      <w:r w:rsidR="00110DED">
        <w:rPr>
          <w:rFonts w:asciiTheme="minorHAnsi" w:hAnsiTheme="minorHAnsi" w:cstheme="minorHAnsi"/>
          <w:sz w:val="24"/>
        </w:rPr>
        <w:t xml:space="preserve"> rozpočt</w:t>
      </w:r>
      <w:r w:rsidR="00EE01CA">
        <w:rPr>
          <w:rFonts w:asciiTheme="minorHAnsi" w:hAnsiTheme="minorHAnsi" w:cstheme="minorHAnsi"/>
          <w:sz w:val="24"/>
        </w:rPr>
        <w:t>ů</w:t>
      </w:r>
      <w:r w:rsidRPr="00FD2897">
        <w:rPr>
          <w:rFonts w:asciiTheme="minorHAnsi" w:hAnsiTheme="minorHAnsi" w:cstheme="minorHAnsi"/>
          <w:sz w:val="24"/>
        </w:rPr>
        <w:t xml:space="preserve"> a skutečných výdajů </w:t>
      </w:r>
      <w:r w:rsidR="00585F72" w:rsidRPr="00585F72">
        <w:rPr>
          <w:rFonts w:asciiTheme="minorHAnsi" w:hAnsiTheme="minorHAnsi" w:cstheme="minorHAnsi"/>
          <w:sz w:val="24"/>
        </w:rPr>
        <w:t xml:space="preserve">kontrolovaných HZSK </w:t>
      </w:r>
      <w:r w:rsidRPr="00FD2897">
        <w:rPr>
          <w:rFonts w:asciiTheme="minorHAnsi" w:hAnsiTheme="minorHAnsi" w:cstheme="minorHAnsi"/>
          <w:sz w:val="24"/>
        </w:rPr>
        <w:t xml:space="preserve">v letech 2013 a 2014. </w:t>
      </w:r>
    </w:p>
    <w:p w14:paraId="407DCB40" w14:textId="77777777" w:rsidR="00511320" w:rsidRPr="00FD2897" w:rsidRDefault="00511320" w:rsidP="00511320">
      <w:pPr>
        <w:tabs>
          <w:tab w:val="right" w:pos="9070"/>
        </w:tabs>
        <w:rPr>
          <w:rFonts w:asciiTheme="minorHAnsi" w:hAnsiTheme="minorHAnsi" w:cstheme="minorHAnsi"/>
          <w:sz w:val="24"/>
        </w:rPr>
      </w:pPr>
    </w:p>
    <w:p w14:paraId="2AB2CE4E" w14:textId="1269E304" w:rsidR="00195B63" w:rsidRPr="00F146E7" w:rsidRDefault="00195B63" w:rsidP="00511320">
      <w:pPr>
        <w:tabs>
          <w:tab w:val="right" w:pos="9070"/>
        </w:tabs>
        <w:rPr>
          <w:rFonts w:asciiTheme="minorHAnsi" w:hAnsiTheme="minorHAnsi" w:cstheme="minorHAnsi"/>
          <w:b/>
          <w:sz w:val="24"/>
        </w:rPr>
      </w:pPr>
      <w:r w:rsidRPr="00F146E7">
        <w:rPr>
          <w:rFonts w:asciiTheme="minorHAnsi" w:hAnsiTheme="minorHAnsi" w:cstheme="minorHAnsi"/>
          <w:b/>
          <w:sz w:val="24"/>
        </w:rPr>
        <w:t xml:space="preserve">Tabulka č. </w:t>
      </w:r>
      <w:r w:rsidR="003443B7">
        <w:rPr>
          <w:rFonts w:asciiTheme="minorHAnsi" w:hAnsiTheme="minorHAnsi" w:cstheme="minorHAnsi"/>
          <w:b/>
          <w:sz w:val="24"/>
        </w:rPr>
        <w:t>6</w:t>
      </w:r>
      <w:r w:rsidR="00FD2897" w:rsidRPr="00F146E7">
        <w:rPr>
          <w:rFonts w:asciiTheme="minorHAnsi" w:hAnsiTheme="minorHAnsi" w:cstheme="minorHAnsi"/>
          <w:b/>
          <w:sz w:val="24"/>
        </w:rPr>
        <w:t> </w:t>
      </w:r>
      <w:r w:rsidR="00EE01CA">
        <w:rPr>
          <w:rFonts w:asciiTheme="minorHAnsi" w:hAnsiTheme="minorHAnsi" w:cstheme="minorHAnsi"/>
          <w:b/>
          <w:sz w:val="24"/>
        </w:rPr>
        <w:t>–</w:t>
      </w:r>
      <w:r w:rsidR="00FD2897" w:rsidRPr="00F146E7">
        <w:rPr>
          <w:rFonts w:asciiTheme="minorHAnsi" w:hAnsiTheme="minorHAnsi" w:cstheme="minorHAnsi"/>
          <w:b/>
          <w:sz w:val="24"/>
        </w:rPr>
        <w:t> </w:t>
      </w:r>
      <w:r w:rsidRPr="00F146E7">
        <w:rPr>
          <w:rFonts w:asciiTheme="minorHAnsi" w:hAnsiTheme="minorHAnsi" w:cstheme="minorHAnsi"/>
          <w:b/>
          <w:sz w:val="24"/>
        </w:rPr>
        <w:t xml:space="preserve">Přehled rozpočtovaných </w:t>
      </w:r>
      <w:r w:rsidR="00605E41" w:rsidRPr="00F146E7">
        <w:rPr>
          <w:rFonts w:asciiTheme="minorHAnsi" w:hAnsiTheme="minorHAnsi" w:cstheme="minorHAnsi"/>
          <w:b/>
          <w:sz w:val="24"/>
        </w:rPr>
        <w:t>a skutečných výdajů</w:t>
      </w:r>
      <w:r w:rsidRPr="00F146E7">
        <w:rPr>
          <w:rFonts w:asciiTheme="minorHAnsi" w:hAnsiTheme="minorHAnsi" w:cstheme="minorHAnsi"/>
          <w:b/>
          <w:sz w:val="24"/>
        </w:rPr>
        <w:tab/>
        <w:t>(v tis. Kč)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851"/>
        <w:gridCol w:w="1162"/>
        <w:gridCol w:w="1162"/>
        <w:gridCol w:w="1162"/>
        <w:gridCol w:w="1162"/>
        <w:gridCol w:w="1088"/>
      </w:tblGrid>
      <w:tr w:rsidR="00BC0448" w14:paraId="048578D6" w14:textId="3649B489" w:rsidTr="00366BB9">
        <w:trPr>
          <w:trHeight w:val="45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A13F48" w14:textId="77777777" w:rsidR="00BC0448" w:rsidRDefault="00BC0448" w:rsidP="00366BB9">
            <w:pPr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</w:rPr>
              <w:t xml:space="preserve">Rozpočet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0588CB" w14:textId="0336C355" w:rsidR="00BC0448" w:rsidRDefault="00BC0448" w:rsidP="00366BB9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</w:rPr>
              <w:t>Rok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5DB334" w14:textId="77777777" w:rsidR="00BC0448" w:rsidRDefault="00BC0448" w:rsidP="00366BB9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</w:rPr>
              <w:t>HZS Praha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B0BB76" w14:textId="77777777" w:rsidR="00BC0448" w:rsidRDefault="00BC0448" w:rsidP="00366BB9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</w:rPr>
              <w:t>HZS LK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149B73" w14:textId="77777777" w:rsidR="00BC0448" w:rsidRDefault="00BC0448" w:rsidP="00366BB9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</w:rPr>
              <w:t>HZS JMK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9C4EBD" w14:textId="77777777" w:rsidR="00BC0448" w:rsidRDefault="00BC0448" w:rsidP="00366BB9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</w:rPr>
              <w:t>HZS PK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9FB9B2" w14:textId="469DAAE3" w:rsidR="00BC0448" w:rsidRDefault="00CE326A" w:rsidP="00366BB9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</w:rPr>
              <w:t>ZÚ</w:t>
            </w:r>
          </w:p>
        </w:tc>
      </w:tr>
      <w:tr w:rsidR="006C167B" w14:paraId="59433ED3" w14:textId="3EA3B7E8" w:rsidTr="006734C1">
        <w:trPr>
          <w:trHeight w:hRule="exact"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96ADC" w14:textId="1B3B74FF" w:rsidR="00CE326A" w:rsidRDefault="00CE326A" w:rsidP="00605E41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Rozpočtované výdaje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05277B" w14:textId="77777777" w:rsidR="00CE326A" w:rsidRDefault="00CE326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2013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85DF2" w14:textId="068C6651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737 743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8D299" w14:textId="0AED47CA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376 773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40E93" w14:textId="14B387B6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737 460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FF2D2" w14:textId="6BA6B3BE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385 408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31BBF" w14:textId="774DDB3A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272 492</w:t>
            </w:r>
          </w:p>
        </w:tc>
      </w:tr>
      <w:tr w:rsidR="006C167B" w14:paraId="53B69C58" w14:textId="22DC2769" w:rsidTr="006734C1">
        <w:trPr>
          <w:trHeight w:hRule="exact"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E0B02" w14:textId="60CE9B7A" w:rsidR="00CE326A" w:rsidRDefault="00CE326A" w:rsidP="00605E41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Skutečné výdaje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03DA" w14:textId="77777777" w:rsidR="00CE326A" w:rsidRDefault="00CE326A">
            <w:pPr>
              <w:jc w:val="left"/>
              <w:rPr>
                <w:rFonts w:asciiTheme="minorHAnsi" w:eastAsiaTheme="minorHAnsi" w:hAnsiTheme="minorHAnsi" w:cstheme="minorHAnsi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5778C" w14:textId="445177D3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669 804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7F5ED" w14:textId="2308DB8E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338 569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24430" w14:textId="751AF926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652 573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EBD07" w14:textId="5B09C0AE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335 198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0A362" w14:textId="31F27E83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251 135</w:t>
            </w:r>
          </w:p>
        </w:tc>
      </w:tr>
      <w:tr w:rsidR="006C167B" w14:paraId="2AC10A25" w14:textId="2EE8E84E" w:rsidTr="006734C1">
        <w:trPr>
          <w:trHeight w:hRule="exact"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8BDE7" w14:textId="77777777" w:rsidR="00CE326A" w:rsidRDefault="00CE326A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Rozdíl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09E7" w14:textId="77777777" w:rsidR="00CE326A" w:rsidRDefault="00CE326A">
            <w:pPr>
              <w:jc w:val="left"/>
              <w:rPr>
                <w:rFonts w:asciiTheme="minorHAnsi" w:eastAsiaTheme="minorHAnsi" w:hAnsiTheme="minorHAnsi" w:cstheme="minorHAnsi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ACB98" w14:textId="44CFF3DE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67 939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1568B" w14:textId="78CB5779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38 204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1E18C" w14:textId="2BE7B644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84 887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68389" w14:textId="73482B89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50 210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4BBFF" w14:textId="3EEC2DB9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21 357</w:t>
            </w:r>
          </w:p>
        </w:tc>
      </w:tr>
      <w:tr w:rsidR="006C167B" w14:paraId="49E5865D" w14:textId="744D004C" w:rsidTr="006734C1">
        <w:trPr>
          <w:trHeight w:hRule="exact"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EEC28" w14:textId="7C85C0A3" w:rsidR="00CE326A" w:rsidRDefault="00CE326A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Rozpočtované výdaje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A695A5" w14:textId="77777777" w:rsidR="00CE326A" w:rsidRDefault="00CE326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2014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7AFFD" w14:textId="2196B221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746 735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7369B" w14:textId="00117F44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304 187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6ACE6" w14:textId="10ED4AB3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741 368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3F687" w14:textId="25C9578A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386 628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15B92" w14:textId="5816952E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177 852</w:t>
            </w:r>
          </w:p>
        </w:tc>
      </w:tr>
      <w:tr w:rsidR="006C167B" w14:paraId="1721F7F4" w14:textId="39F2C289" w:rsidTr="006734C1">
        <w:trPr>
          <w:trHeight w:hRule="exact"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07827" w14:textId="4A4B0C2C" w:rsidR="00CE326A" w:rsidRDefault="00CE326A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Skutečné výdaje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25E4" w14:textId="77777777" w:rsidR="00CE326A" w:rsidRDefault="00CE326A">
            <w:pPr>
              <w:jc w:val="left"/>
              <w:rPr>
                <w:rFonts w:asciiTheme="minorHAnsi" w:eastAsiaTheme="minorHAnsi" w:hAnsiTheme="minorHAnsi" w:cstheme="minorHAnsi"/>
                <w:bCs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07EBC" w14:textId="35C6963B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676 648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C324" w14:textId="69AEE4B0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272 309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D3BE8" w14:textId="004E93EB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671 735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0087A" w14:textId="027BE6B0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342 330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DDB16" w14:textId="64710586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171 431</w:t>
            </w:r>
          </w:p>
        </w:tc>
      </w:tr>
      <w:tr w:rsidR="006C167B" w14:paraId="267C8575" w14:textId="616AA23F" w:rsidTr="006734C1">
        <w:trPr>
          <w:trHeight w:hRule="exact"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217FF" w14:textId="77777777" w:rsidR="00CE326A" w:rsidRDefault="00CE326A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Rozdíl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48A2" w14:textId="77777777" w:rsidR="00CE326A" w:rsidRDefault="00CE326A">
            <w:pPr>
              <w:jc w:val="left"/>
              <w:rPr>
                <w:rFonts w:asciiTheme="minorHAnsi" w:eastAsiaTheme="minorHAnsi" w:hAnsiTheme="minorHAnsi" w:cstheme="minorHAnsi"/>
                <w:bCs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25522" w14:textId="32BB28FF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70 087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8AA82" w14:textId="51208CA3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31 878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1F6B2" w14:textId="68C0266C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69 633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1F0B8" w14:textId="2E8EFBF1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44 298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F411F" w14:textId="5EEDDEB0" w:rsidR="00CE326A" w:rsidRDefault="00CE326A">
            <w:pPr>
              <w:tabs>
                <w:tab w:val="left" w:pos="1064"/>
              </w:tabs>
              <w:spacing w:line="276" w:lineRule="auto"/>
              <w:ind w:right="71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6 421</w:t>
            </w:r>
          </w:p>
        </w:tc>
      </w:tr>
    </w:tbl>
    <w:p w14:paraId="6362F3EF" w14:textId="7862A8EB" w:rsidR="00605E41" w:rsidRPr="00EE746F" w:rsidRDefault="00605E41" w:rsidP="00605E41">
      <w:pPr>
        <w:spacing w:before="40"/>
        <w:rPr>
          <w:rFonts w:asciiTheme="minorHAnsi" w:hAnsiTheme="minorHAnsi" w:cstheme="minorHAnsi"/>
          <w:sz w:val="20"/>
          <w:szCs w:val="18"/>
        </w:rPr>
      </w:pPr>
      <w:r w:rsidRPr="005C792A">
        <w:rPr>
          <w:rFonts w:asciiTheme="minorHAnsi" w:hAnsiTheme="minorHAnsi" w:cstheme="minorHAnsi"/>
          <w:b/>
          <w:sz w:val="20"/>
          <w:szCs w:val="18"/>
        </w:rPr>
        <w:t>Zdroj</w:t>
      </w:r>
      <w:r w:rsidRPr="00366BB9">
        <w:rPr>
          <w:rFonts w:asciiTheme="minorHAnsi" w:hAnsiTheme="minorHAnsi" w:cstheme="minorHAnsi"/>
          <w:b/>
          <w:sz w:val="20"/>
          <w:szCs w:val="18"/>
        </w:rPr>
        <w:t>:</w:t>
      </w:r>
      <w:r w:rsidRPr="00E05A39">
        <w:rPr>
          <w:rFonts w:asciiTheme="minorHAnsi" w:hAnsiTheme="minorHAnsi" w:cstheme="minorHAnsi"/>
          <w:sz w:val="20"/>
          <w:szCs w:val="18"/>
        </w:rPr>
        <w:t xml:space="preserve"> MONITOR – informační portál </w:t>
      </w:r>
      <w:r w:rsidR="00CC5FEE">
        <w:rPr>
          <w:rFonts w:asciiTheme="minorHAnsi" w:hAnsiTheme="minorHAnsi" w:cstheme="minorHAnsi"/>
          <w:sz w:val="20"/>
          <w:szCs w:val="18"/>
        </w:rPr>
        <w:t>Ministerstva financí</w:t>
      </w:r>
      <w:r w:rsidRPr="00E05A39">
        <w:rPr>
          <w:rFonts w:asciiTheme="minorHAnsi" w:hAnsiTheme="minorHAnsi" w:cstheme="minorHAnsi"/>
          <w:sz w:val="20"/>
          <w:szCs w:val="18"/>
        </w:rPr>
        <w:t>.</w:t>
      </w:r>
    </w:p>
    <w:p w14:paraId="34EB2BD2" w14:textId="77777777" w:rsidR="00511320" w:rsidRDefault="00511320" w:rsidP="00971E9F">
      <w:pPr>
        <w:rPr>
          <w:rFonts w:asciiTheme="minorHAnsi" w:hAnsiTheme="minorHAnsi" w:cstheme="minorHAnsi"/>
          <w:sz w:val="24"/>
        </w:rPr>
      </w:pPr>
    </w:p>
    <w:p w14:paraId="0C3043D9" w14:textId="77777777" w:rsidR="00A63821" w:rsidRDefault="00B91075" w:rsidP="00971E9F">
      <w:pPr>
        <w:rPr>
          <w:rFonts w:asciiTheme="minorHAnsi" w:hAnsiTheme="minorHAnsi" w:cstheme="minorHAnsi"/>
          <w:sz w:val="24"/>
        </w:rPr>
      </w:pPr>
      <w:r w:rsidRPr="00674377">
        <w:rPr>
          <w:rFonts w:asciiTheme="minorHAnsi" w:hAnsiTheme="minorHAnsi" w:cstheme="minorHAnsi"/>
          <w:sz w:val="24"/>
        </w:rPr>
        <w:t>Celkový objem rozpočtovaných výdajů kontrolovaných HZSK byl v obou letech srovnatelný</w:t>
      </w:r>
      <w:r w:rsidR="00890135">
        <w:rPr>
          <w:rFonts w:asciiTheme="minorHAnsi" w:hAnsiTheme="minorHAnsi" w:cstheme="minorHAnsi"/>
          <w:sz w:val="24"/>
        </w:rPr>
        <w:t xml:space="preserve"> a </w:t>
      </w:r>
      <w:r>
        <w:rPr>
          <w:rFonts w:asciiTheme="minorHAnsi" w:hAnsiTheme="minorHAnsi" w:cstheme="minorHAnsi"/>
          <w:sz w:val="24"/>
        </w:rPr>
        <w:t>s</w:t>
      </w:r>
      <w:r w:rsidR="00605E41">
        <w:rPr>
          <w:rFonts w:asciiTheme="minorHAnsi" w:hAnsiTheme="minorHAnsi" w:cstheme="minorHAnsi"/>
          <w:sz w:val="24"/>
        </w:rPr>
        <w:t xml:space="preserve">kutečné výdaje </w:t>
      </w:r>
      <w:r w:rsidRPr="00674377">
        <w:rPr>
          <w:rFonts w:asciiTheme="minorHAnsi" w:hAnsiTheme="minorHAnsi" w:cstheme="minorHAnsi"/>
          <w:sz w:val="24"/>
        </w:rPr>
        <w:t xml:space="preserve">kontrolovaných HZSK </w:t>
      </w:r>
      <w:r w:rsidR="00605E41" w:rsidRPr="00674377">
        <w:rPr>
          <w:rFonts w:asciiTheme="minorHAnsi" w:hAnsiTheme="minorHAnsi" w:cstheme="minorHAnsi"/>
          <w:sz w:val="24"/>
        </w:rPr>
        <w:t>nepřekročily konečn</w:t>
      </w:r>
      <w:r w:rsidR="002A4353" w:rsidRPr="00674377">
        <w:rPr>
          <w:rFonts w:asciiTheme="minorHAnsi" w:hAnsiTheme="minorHAnsi" w:cstheme="minorHAnsi"/>
          <w:sz w:val="24"/>
        </w:rPr>
        <w:t xml:space="preserve">ý </w:t>
      </w:r>
      <w:r w:rsidR="00605E41" w:rsidRPr="00674377">
        <w:rPr>
          <w:rFonts w:asciiTheme="minorHAnsi" w:hAnsiTheme="minorHAnsi" w:cstheme="minorHAnsi"/>
          <w:sz w:val="24"/>
        </w:rPr>
        <w:t>rozpoč</w:t>
      </w:r>
      <w:r w:rsidR="002A4353" w:rsidRPr="00674377">
        <w:rPr>
          <w:rFonts w:asciiTheme="minorHAnsi" w:hAnsiTheme="minorHAnsi" w:cstheme="minorHAnsi"/>
          <w:sz w:val="24"/>
        </w:rPr>
        <w:t>et.</w:t>
      </w:r>
      <w:r>
        <w:rPr>
          <w:rFonts w:asciiTheme="minorHAnsi" w:hAnsiTheme="minorHAnsi" w:cstheme="minorHAnsi"/>
          <w:sz w:val="24"/>
        </w:rPr>
        <w:t xml:space="preserve"> </w:t>
      </w:r>
    </w:p>
    <w:p w14:paraId="3CFCDB66" w14:textId="77777777" w:rsidR="00511320" w:rsidRDefault="00511320" w:rsidP="00971E9F">
      <w:pPr>
        <w:rPr>
          <w:rFonts w:asciiTheme="minorHAnsi" w:hAnsiTheme="minorHAnsi" w:cstheme="minorHAnsi"/>
          <w:sz w:val="24"/>
        </w:rPr>
      </w:pPr>
    </w:p>
    <w:p w14:paraId="57CE5A3B" w14:textId="32A78E1C" w:rsidR="00971E9F" w:rsidRDefault="00971E9F" w:rsidP="0051132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Následující graf znázorňuje porovnání rozpočtovaných položek výdajů </w:t>
      </w:r>
      <w:r w:rsidR="001053CF">
        <w:rPr>
          <w:rFonts w:asciiTheme="minorHAnsi" w:hAnsiTheme="minorHAnsi" w:cstheme="minorHAnsi"/>
          <w:sz w:val="24"/>
        </w:rPr>
        <w:t xml:space="preserve">kontrolovaných </w:t>
      </w:r>
      <w:r w:rsidR="005E5496">
        <w:rPr>
          <w:rFonts w:asciiTheme="minorHAnsi" w:hAnsiTheme="minorHAnsi" w:cstheme="minorHAnsi"/>
          <w:sz w:val="24"/>
        </w:rPr>
        <w:t>HZSK za roky 2013 a </w:t>
      </w:r>
      <w:r w:rsidR="009B37E1">
        <w:rPr>
          <w:rFonts w:asciiTheme="minorHAnsi" w:hAnsiTheme="minorHAnsi" w:cstheme="minorHAnsi"/>
          <w:sz w:val="24"/>
        </w:rPr>
        <w:t>2014 vztažený</w:t>
      </w:r>
      <w:r w:rsidR="005E5496">
        <w:rPr>
          <w:rFonts w:asciiTheme="minorHAnsi" w:hAnsiTheme="minorHAnsi" w:cstheme="minorHAnsi"/>
          <w:sz w:val="24"/>
        </w:rPr>
        <w:t>ch</w:t>
      </w:r>
      <w:r w:rsidR="009B37E1">
        <w:rPr>
          <w:rFonts w:asciiTheme="minorHAnsi" w:hAnsiTheme="minorHAnsi" w:cstheme="minorHAnsi"/>
          <w:sz w:val="24"/>
        </w:rPr>
        <w:t xml:space="preserve"> k průměrnému </w:t>
      </w:r>
      <w:r w:rsidRPr="00F02C24">
        <w:rPr>
          <w:rFonts w:asciiTheme="minorHAnsi" w:hAnsiTheme="minorHAnsi" w:cstheme="minorHAnsi"/>
          <w:sz w:val="24"/>
        </w:rPr>
        <w:t xml:space="preserve">počtu zaměstnanců </w:t>
      </w:r>
      <w:r>
        <w:rPr>
          <w:rFonts w:asciiTheme="minorHAnsi" w:hAnsiTheme="minorHAnsi" w:cstheme="minorHAnsi"/>
          <w:sz w:val="24"/>
        </w:rPr>
        <w:t>v</w:t>
      </w:r>
      <w:r w:rsidR="009B37E1">
        <w:rPr>
          <w:rFonts w:asciiTheme="minorHAnsi" w:hAnsiTheme="minorHAnsi" w:cstheme="minorHAnsi"/>
          <w:sz w:val="24"/>
        </w:rPr>
        <w:t> tomto období</w:t>
      </w:r>
      <w:r w:rsidR="005E5496">
        <w:rPr>
          <w:rFonts w:asciiTheme="minorHAnsi" w:hAnsiTheme="minorHAnsi" w:cstheme="minorHAnsi"/>
          <w:sz w:val="24"/>
        </w:rPr>
        <w:t>.</w:t>
      </w:r>
    </w:p>
    <w:p w14:paraId="4B79B62A" w14:textId="77777777" w:rsidR="00511320" w:rsidRDefault="00511320" w:rsidP="00511320">
      <w:pPr>
        <w:rPr>
          <w:rFonts w:asciiTheme="minorHAnsi" w:hAnsiTheme="minorHAnsi" w:cstheme="minorHAnsi"/>
          <w:sz w:val="24"/>
        </w:rPr>
      </w:pPr>
    </w:p>
    <w:p w14:paraId="54F26B71" w14:textId="16843820" w:rsidR="005C792A" w:rsidRPr="00F146E7" w:rsidRDefault="005C792A" w:rsidP="00511320">
      <w:pPr>
        <w:tabs>
          <w:tab w:val="right" w:pos="9070"/>
        </w:tabs>
        <w:rPr>
          <w:rFonts w:asciiTheme="minorHAnsi" w:hAnsiTheme="minorHAnsi" w:cstheme="minorHAnsi"/>
          <w:b/>
          <w:sz w:val="24"/>
        </w:rPr>
      </w:pPr>
      <w:r w:rsidRPr="00F146E7">
        <w:rPr>
          <w:rFonts w:asciiTheme="minorHAnsi" w:hAnsiTheme="minorHAnsi" w:cstheme="minorHAnsi"/>
          <w:b/>
          <w:sz w:val="24"/>
        </w:rPr>
        <w:t xml:space="preserve">Graf č. </w:t>
      </w:r>
      <w:r w:rsidR="003443B7">
        <w:rPr>
          <w:rFonts w:asciiTheme="minorHAnsi" w:hAnsiTheme="minorHAnsi" w:cstheme="minorHAnsi"/>
          <w:b/>
          <w:sz w:val="24"/>
        </w:rPr>
        <w:t>2</w:t>
      </w:r>
      <w:r w:rsidRPr="00F146E7">
        <w:rPr>
          <w:rFonts w:asciiTheme="minorHAnsi" w:hAnsiTheme="minorHAnsi" w:cstheme="minorHAnsi"/>
          <w:b/>
          <w:sz w:val="24"/>
        </w:rPr>
        <w:t xml:space="preserve"> </w:t>
      </w:r>
      <w:r w:rsidR="00676503">
        <w:rPr>
          <w:rFonts w:asciiTheme="minorHAnsi" w:hAnsiTheme="minorHAnsi" w:cstheme="minorHAnsi"/>
          <w:b/>
          <w:sz w:val="24"/>
        </w:rPr>
        <w:t>–</w:t>
      </w:r>
      <w:r w:rsidRPr="00F146E7">
        <w:rPr>
          <w:rFonts w:asciiTheme="minorHAnsi" w:hAnsiTheme="minorHAnsi" w:cstheme="minorHAnsi"/>
          <w:b/>
          <w:sz w:val="24"/>
        </w:rPr>
        <w:t> </w:t>
      </w:r>
      <w:r w:rsidR="00676503">
        <w:rPr>
          <w:rFonts w:asciiTheme="minorHAnsi" w:hAnsiTheme="minorHAnsi" w:cstheme="minorHAnsi"/>
          <w:b/>
          <w:sz w:val="24"/>
        </w:rPr>
        <w:t xml:space="preserve">Porovnání </w:t>
      </w:r>
      <w:r w:rsidR="00315B9A">
        <w:rPr>
          <w:rFonts w:asciiTheme="minorHAnsi" w:hAnsiTheme="minorHAnsi" w:cstheme="minorHAnsi"/>
          <w:b/>
          <w:sz w:val="24"/>
        </w:rPr>
        <w:t xml:space="preserve">výdajů </w:t>
      </w:r>
      <w:r w:rsidR="00647083">
        <w:rPr>
          <w:rFonts w:asciiTheme="minorHAnsi" w:hAnsiTheme="minorHAnsi" w:cstheme="minorHAnsi"/>
          <w:b/>
          <w:sz w:val="24"/>
        </w:rPr>
        <w:t>kontrolovaných HZSK</w:t>
      </w:r>
    </w:p>
    <w:p w14:paraId="256672BF" w14:textId="6949A590" w:rsidR="00971E9F" w:rsidRDefault="00971E9F" w:rsidP="00F02C24">
      <w:pPr>
        <w:rPr>
          <w:rFonts w:asciiTheme="minorHAnsi" w:hAnsiTheme="minorHAnsi" w:cstheme="minorHAnsi"/>
          <w:sz w:val="24"/>
        </w:rPr>
      </w:pPr>
      <w:r>
        <w:rPr>
          <w:noProof/>
          <w:lang w:eastAsia="cs-CZ"/>
        </w:rPr>
        <w:drawing>
          <wp:inline distT="0" distB="0" distL="0" distR="0" wp14:anchorId="49617149" wp14:editId="1F2C264A">
            <wp:extent cx="5759420" cy="2197161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70A039" w14:textId="4A3568A6" w:rsidR="00A41065" w:rsidRPr="00A41065" w:rsidRDefault="00A41065" w:rsidP="00F02C24">
      <w:pPr>
        <w:rPr>
          <w:rFonts w:asciiTheme="minorHAnsi" w:hAnsiTheme="minorHAnsi" w:cstheme="minorHAnsi"/>
          <w:sz w:val="20"/>
          <w:szCs w:val="20"/>
        </w:rPr>
      </w:pPr>
      <w:r w:rsidRPr="00A41065">
        <w:rPr>
          <w:rFonts w:asciiTheme="minorHAnsi" w:hAnsiTheme="minorHAnsi" w:cstheme="minorHAnsi"/>
          <w:b/>
          <w:sz w:val="20"/>
          <w:szCs w:val="20"/>
        </w:rPr>
        <w:t>Zdroj</w:t>
      </w:r>
      <w:r w:rsidRPr="00BF2F90">
        <w:rPr>
          <w:rFonts w:asciiTheme="minorHAnsi" w:hAnsiTheme="minorHAnsi" w:cstheme="minorHAnsi"/>
          <w:b/>
          <w:sz w:val="20"/>
          <w:szCs w:val="20"/>
        </w:rPr>
        <w:t>:</w:t>
      </w:r>
      <w:r w:rsidRPr="00A41065">
        <w:rPr>
          <w:rFonts w:asciiTheme="minorHAnsi" w:hAnsiTheme="minorHAnsi" w:cstheme="minorHAnsi"/>
          <w:sz w:val="20"/>
          <w:szCs w:val="20"/>
        </w:rPr>
        <w:t xml:space="preserve"> MONITOR – informační portál </w:t>
      </w:r>
      <w:r w:rsidR="00CC5FEE">
        <w:rPr>
          <w:rFonts w:asciiTheme="minorHAnsi" w:hAnsiTheme="minorHAnsi" w:cstheme="minorHAnsi"/>
          <w:sz w:val="20"/>
          <w:szCs w:val="18"/>
        </w:rPr>
        <w:t>Ministerstva financí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DFC8DC1" w14:textId="77777777" w:rsidR="00080333" w:rsidRDefault="00080333" w:rsidP="00F02C24">
      <w:pPr>
        <w:rPr>
          <w:rFonts w:asciiTheme="minorHAnsi" w:hAnsiTheme="minorHAnsi" w:cstheme="minorHAnsi"/>
          <w:sz w:val="24"/>
        </w:rPr>
      </w:pPr>
    </w:p>
    <w:p w14:paraId="6EA0C12C" w14:textId="60F9FBD5" w:rsidR="00F02C24" w:rsidRDefault="00F02C24" w:rsidP="00F02C24">
      <w:pPr>
        <w:rPr>
          <w:rFonts w:asciiTheme="minorHAnsi" w:eastAsiaTheme="minorHAnsi" w:hAnsiTheme="minorHAnsi" w:cstheme="minorHAnsi"/>
          <w:sz w:val="24"/>
        </w:rPr>
      </w:pPr>
      <w:r w:rsidRPr="00F02C24">
        <w:rPr>
          <w:rFonts w:asciiTheme="minorHAnsi" w:hAnsiTheme="minorHAnsi" w:cstheme="minorHAnsi"/>
          <w:sz w:val="24"/>
        </w:rPr>
        <w:t>Nejvýznamnější</w:t>
      </w:r>
      <w:r w:rsidR="00BF2F90">
        <w:rPr>
          <w:rFonts w:asciiTheme="minorHAnsi" w:hAnsiTheme="minorHAnsi" w:cstheme="minorHAnsi"/>
          <w:sz w:val="24"/>
        </w:rPr>
        <w:t xml:space="preserve">m rozpočtovaným </w:t>
      </w:r>
      <w:r w:rsidRPr="00F02C24">
        <w:rPr>
          <w:rFonts w:asciiTheme="minorHAnsi" w:hAnsiTheme="minorHAnsi" w:cstheme="minorHAnsi"/>
          <w:sz w:val="24"/>
        </w:rPr>
        <w:t>výdaj</w:t>
      </w:r>
      <w:r w:rsidR="00BF2F90">
        <w:rPr>
          <w:rFonts w:asciiTheme="minorHAnsi" w:hAnsiTheme="minorHAnsi" w:cstheme="minorHAnsi"/>
          <w:sz w:val="24"/>
        </w:rPr>
        <w:t>em je p</w:t>
      </w:r>
      <w:r w:rsidR="00015A49">
        <w:rPr>
          <w:rFonts w:asciiTheme="minorHAnsi" w:hAnsiTheme="minorHAnsi" w:cstheme="minorHAnsi"/>
          <w:sz w:val="24"/>
        </w:rPr>
        <w:t>oložka</w:t>
      </w:r>
      <w:r w:rsidRPr="00F02C24">
        <w:rPr>
          <w:rFonts w:asciiTheme="minorHAnsi" w:hAnsiTheme="minorHAnsi" w:cstheme="minorHAnsi"/>
          <w:sz w:val="24"/>
        </w:rPr>
        <w:t xml:space="preserve"> </w:t>
      </w:r>
      <w:r w:rsidRPr="00F02C24">
        <w:rPr>
          <w:rFonts w:asciiTheme="minorHAnsi" w:hAnsiTheme="minorHAnsi" w:cstheme="minorHAnsi"/>
          <w:i/>
          <w:sz w:val="24"/>
        </w:rPr>
        <w:t>Platy a podobné a související výdaje</w:t>
      </w:r>
      <w:r w:rsidRPr="00F02C24">
        <w:rPr>
          <w:rFonts w:asciiTheme="minorHAnsi" w:hAnsiTheme="minorHAnsi" w:cstheme="minorHAnsi"/>
          <w:sz w:val="24"/>
        </w:rPr>
        <w:t xml:space="preserve">. V letech 2013 a 2014 u vybraných HZSK dosáhly výdaje </w:t>
      </w:r>
      <w:r w:rsidR="00015A49">
        <w:rPr>
          <w:rFonts w:asciiTheme="minorHAnsi" w:hAnsiTheme="minorHAnsi" w:cstheme="minorHAnsi"/>
          <w:sz w:val="24"/>
        </w:rPr>
        <w:t xml:space="preserve">z této položky </w:t>
      </w:r>
      <w:r w:rsidR="008E7954">
        <w:rPr>
          <w:rFonts w:asciiTheme="minorHAnsi" w:hAnsiTheme="minorHAnsi" w:cstheme="minorHAnsi"/>
          <w:sz w:val="24"/>
        </w:rPr>
        <w:t xml:space="preserve">až </w:t>
      </w:r>
      <w:r w:rsidRPr="00F02C24">
        <w:rPr>
          <w:rFonts w:asciiTheme="minorHAnsi" w:hAnsiTheme="minorHAnsi" w:cstheme="minorHAnsi"/>
          <w:sz w:val="24"/>
        </w:rPr>
        <w:t xml:space="preserve">67 % celkových rozpočtovaných výdajů. </w:t>
      </w:r>
      <w:r w:rsidR="005E5496" w:rsidRPr="00F02C24">
        <w:rPr>
          <w:rFonts w:asciiTheme="minorHAnsi" w:hAnsiTheme="minorHAnsi" w:cstheme="minorHAnsi"/>
          <w:sz w:val="24"/>
        </w:rPr>
        <w:t xml:space="preserve">Další srovnávanou položkou byla položka </w:t>
      </w:r>
      <w:r w:rsidR="000D48B4">
        <w:rPr>
          <w:rFonts w:asciiTheme="minorHAnsi" w:hAnsiTheme="minorHAnsi" w:cstheme="minorHAnsi"/>
          <w:i/>
          <w:sz w:val="24"/>
        </w:rPr>
        <w:t>Neinvestiční nákupy a </w:t>
      </w:r>
      <w:r w:rsidR="005E5496" w:rsidRPr="00F02C24">
        <w:rPr>
          <w:rFonts w:asciiTheme="minorHAnsi" w:hAnsiTheme="minorHAnsi" w:cstheme="minorHAnsi"/>
          <w:i/>
          <w:sz w:val="24"/>
        </w:rPr>
        <w:t>související výdaje</w:t>
      </w:r>
      <w:r w:rsidR="005E5496" w:rsidRPr="00F02C24">
        <w:rPr>
          <w:rFonts w:asciiTheme="minorHAnsi" w:hAnsiTheme="minorHAnsi" w:cstheme="minorHAnsi"/>
          <w:sz w:val="24"/>
        </w:rPr>
        <w:t xml:space="preserve">. Poměry těchto rozpočtovaných výdajů k celkovému počtu zaměstnanců </w:t>
      </w:r>
      <w:r w:rsidR="003D1080">
        <w:rPr>
          <w:rFonts w:asciiTheme="minorHAnsi" w:hAnsiTheme="minorHAnsi" w:cstheme="minorHAnsi"/>
          <w:sz w:val="24"/>
        </w:rPr>
        <w:t>byly</w:t>
      </w:r>
      <w:r w:rsidR="005E5496" w:rsidRPr="00F02C24">
        <w:rPr>
          <w:rFonts w:asciiTheme="minorHAnsi" w:hAnsiTheme="minorHAnsi" w:cstheme="minorHAnsi"/>
          <w:sz w:val="24"/>
        </w:rPr>
        <w:t xml:space="preserve"> u vybraných HZSK v obou letech srovnatelné. </w:t>
      </w:r>
      <w:r>
        <w:rPr>
          <w:rFonts w:asciiTheme="minorHAnsi" w:hAnsiTheme="minorHAnsi" w:cstheme="minorHAnsi"/>
          <w:sz w:val="24"/>
        </w:rPr>
        <w:t>Ostatní položky rozpočtu</w:t>
      </w:r>
      <w:r w:rsidR="00F3689D">
        <w:rPr>
          <w:rFonts w:asciiTheme="minorHAnsi" w:hAnsiTheme="minorHAnsi" w:cstheme="minorHAnsi"/>
          <w:sz w:val="24"/>
        </w:rPr>
        <w:t>, které představ</w:t>
      </w:r>
      <w:r w:rsidR="003D1080">
        <w:rPr>
          <w:rFonts w:asciiTheme="minorHAnsi" w:hAnsiTheme="minorHAnsi" w:cstheme="minorHAnsi"/>
          <w:sz w:val="24"/>
        </w:rPr>
        <w:t>ovaly</w:t>
      </w:r>
      <w:r w:rsidR="00F3689D">
        <w:rPr>
          <w:rFonts w:asciiTheme="minorHAnsi" w:hAnsiTheme="minorHAnsi" w:cstheme="minorHAnsi"/>
          <w:sz w:val="24"/>
        </w:rPr>
        <w:t xml:space="preserve"> cca 20 % rozpočtovaných výdajů,</w:t>
      </w:r>
      <w:r w:rsidRPr="00F02C24">
        <w:rPr>
          <w:rFonts w:asciiTheme="minorHAnsi" w:eastAsiaTheme="minorHAnsi" w:hAnsiTheme="minorHAnsi" w:cstheme="minorHAnsi"/>
          <w:sz w:val="24"/>
        </w:rPr>
        <w:t xml:space="preserve"> vycháze</w:t>
      </w:r>
      <w:r w:rsidR="003D1080">
        <w:rPr>
          <w:rFonts w:asciiTheme="minorHAnsi" w:eastAsiaTheme="minorHAnsi" w:hAnsiTheme="minorHAnsi" w:cstheme="minorHAnsi"/>
          <w:sz w:val="24"/>
        </w:rPr>
        <w:t>ly</w:t>
      </w:r>
      <w:r w:rsidRPr="00F02C24">
        <w:rPr>
          <w:rFonts w:asciiTheme="minorHAnsi" w:eastAsiaTheme="minorHAnsi" w:hAnsiTheme="minorHAnsi" w:cstheme="minorHAnsi"/>
          <w:sz w:val="24"/>
        </w:rPr>
        <w:t xml:space="preserve"> z aktuálních a prioritních potřeb </w:t>
      </w:r>
      <w:r>
        <w:rPr>
          <w:rFonts w:asciiTheme="minorHAnsi" w:eastAsiaTheme="minorHAnsi" w:hAnsiTheme="minorHAnsi" w:cstheme="minorHAnsi"/>
          <w:sz w:val="24"/>
        </w:rPr>
        <w:t xml:space="preserve">jednotlivých </w:t>
      </w:r>
      <w:r w:rsidRPr="00F02C24">
        <w:rPr>
          <w:rFonts w:asciiTheme="minorHAnsi" w:eastAsiaTheme="minorHAnsi" w:hAnsiTheme="minorHAnsi" w:cstheme="minorHAnsi"/>
          <w:sz w:val="24"/>
        </w:rPr>
        <w:t>HZSK.</w:t>
      </w:r>
    </w:p>
    <w:p w14:paraId="174E487F" w14:textId="77777777" w:rsidR="00511320" w:rsidRPr="00F02C24" w:rsidRDefault="00511320" w:rsidP="00F02C24">
      <w:pPr>
        <w:rPr>
          <w:rFonts w:asciiTheme="minorHAnsi" w:hAnsiTheme="minorHAnsi" w:cstheme="minorHAnsi"/>
          <w:sz w:val="24"/>
        </w:rPr>
      </w:pPr>
    </w:p>
    <w:p w14:paraId="4EFCEA21" w14:textId="45EB13C3" w:rsidR="00971E9F" w:rsidRPr="00F02C24" w:rsidRDefault="00971E9F" w:rsidP="00511320">
      <w:pPr>
        <w:rPr>
          <w:rFonts w:asciiTheme="minorHAnsi" w:hAnsiTheme="minorHAnsi" w:cstheme="minorHAnsi"/>
          <w:sz w:val="24"/>
        </w:rPr>
      </w:pPr>
      <w:r w:rsidRPr="00F02C24">
        <w:rPr>
          <w:rFonts w:asciiTheme="minorHAnsi" w:hAnsiTheme="minorHAnsi" w:cstheme="minorHAnsi"/>
          <w:sz w:val="24"/>
        </w:rPr>
        <w:t>Kontrolou bylo ověřeno, že rozpočtované výdaje na mzd</w:t>
      </w:r>
      <w:r w:rsidR="003D1080">
        <w:rPr>
          <w:rFonts w:asciiTheme="minorHAnsi" w:hAnsiTheme="minorHAnsi" w:cstheme="minorHAnsi"/>
          <w:sz w:val="24"/>
        </w:rPr>
        <w:t>y včetně souvisejících výdajů a </w:t>
      </w:r>
      <w:r w:rsidRPr="00F02C24">
        <w:rPr>
          <w:rFonts w:asciiTheme="minorHAnsi" w:hAnsiTheme="minorHAnsi" w:cstheme="minorHAnsi"/>
          <w:sz w:val="24"/>
        </w:rPr>
        <w:t>výdaje na ostatní běžné výdaje odpovída</w:t>
      </w:r>
      <w:r w:rsidR="003D1080">
        <w:rPr>
          <w:rFonts w:asciiTheme="minorHAnsi" w:hAnsiTheme="minorHAnsi" w:cstheme="minorHAnsi"/>
          <w:sz w:val="24"/>
        </w:rPr>
        <w:t>ly</w:t>
      </w:r>
      <w:r w:rsidRPr="00F02C24">
        <w:rPr>
          <w:rFonts w:asciiTheme="minorHAnsi" w:hAnsiTheme="minorHAnsi" w:cstheme="minorHAnsi"/>
          <w:sz w:val="24"/>
        </w:rPr>
        <w:t xml:space="preserve"> počtu zásahů a velikosti </w:t>
      </w:r>
      <w:r w:rsidR="00110DED">
        <w:rPr>
          <w:rFonts w:asciiTheme="minorHAnsi" w:hAnsiTheme="minorHAnsi" w:cstheme="minorHAnsi"/>
          <w:sz w:val="24"/>
        </w:rPr>
        <w:t>kontrolovaných</w:t>
      </w:r>
      <w:r w:rsidRPr="00F02C24">
        <w:rPr>
          <w:rFonts w:asciiTheme="minorHAnsi" w:hAnsiTheme="minorHAnsi" w:cstheme="minorHAnsi"/>
          <w:sz w:val="24"/>
        </w:rPr>
        <w:t xml:space="preserve"> HZSK. </w:t>
      </w:r>
    </w:p>
    <w:p w14:paraId="54A041FD" w14:textId="77777777" w:rsidR="00080333" w:rsidRDefault="00080333" w:rsidP="00F02C24">
      <w:pPr>
        <w:rPr>
          <w:rFonts w:asciiTheme="minorHAnsi" w:hAnsiTheme="minorHAnsi" w:cstheme="minorHAnsi"/>
          <w:b/>
          <w:sz w:val="24"/>
        </w:rPr>
      </w:pPr>
    </w:p>
    <w:p w14:paraId="1A44A4A7" w14:textId="0A9963F3" w:rsidR="007E0ECC" w:rsidRPr="00F146E7" w:rsidRDefault="00110DED" w:rsidP="00F02C24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Rozpočtované p</w:t>
      </w:r>
      <w:r w:rsidR="007E0ECC" w:rsidRPr="00F146E7">
        <w:rPr>
          <w:rFonts w:asciiTheme="minorHAnsi" w:hAnsiTheme="minorHAnsi" w:cstheme="minorHAnsi"/>
          <w:b/>
          <w:sz w:val="24"/>
        </w:rPr>
        <w:t>říjmy</w:t>
      </w:r>
      <w:r>
        <w:rPr>
          <w:rFonts w:asciiTheme="minorHAnsi" w:hAnsiTheme="minorHAnsi" w:cstheme="minorHAnsi"/>
          <w:b/>
          <w:sz w:val="24"/>
        </w:rPr>
        <w:t xml:space="preserve"> kontrolovaných HZSK</w:t>
      </w:r>
    </w:p>
    <w:p w14:paraId="434E4A02" w14:textId="498FB0D8" w:rsidR="00751DE3" w:rsidRDefault="00195B63" w:rsidP="00A15A62">
      <w:pPr>
        <w:tabs>
          <w:tab w:val="right" w:pos="9070"/>
        </w:tabs>
        <w:spacing w:before="120"/>
        <w:rPr>
          <w:rFonts w:asciiTheme="minorHAnsi" w:hAnsiTheme="minorHAnsi" w:cstheme="minorHAnsi"/>
          <w:sz w:val="24"/>
        </w:rPr>
      </w:pPr>
      <w:r w:rsidRPr="00F146E7">
        <w:rPr>
          <w:rFonts w:asciiTheme="minorHAnsi" w:hAnsiTheme="minorHAnsi" w:cstheme="minorHAnsi"/>
          <w:sz w:val="24"/>
        </w:rPr>
        <w:t>V následující tabulce je uvedeno srovnání rozpočtovaných a skutečných příjmů v letech 2013</w:t>
      </w:r>
      <w:r w:rsidR="00CC528C">
        <w:rPr>
          <w:rFonts w:asciiTheme="minorHAnsi" w:hAnsiTheme="minorHAnsi" w:cstheme="minorHAnsi"/>
          <w:sz w:val="24"/>
        </w:rPr>
        <w:t> </w:t>
      </w:r>
      <w:r w:rsidRPr="00F146E7">
        <w:rPr>
          <w:rFonts w:asciiTheme="minorHAnsi" w:hAnsiTheme="minorHAnsi" w:cstheme="minorHAnsi"/>
          <w:sz w:val="24"/>
        </w:rPr>
        <w:t>a</w:t>
      </w:r>
      <w:r w:rsidR="00CC528C">
        <w:rPr>
          <w:rFonts w:asciiTheme="minorHAnsi" w:hAnsiTheme="minorHAnsi" w:cstheme="minorHAnsi"/>
          <w:sz w:val="24"/>
        </w:rPr>
        <w:t> </w:t>
      </w:r>
      <w:r w:rsidRPr="00F146E7">
        <w:rPr>
          <w:rFonts w:asciiTheme="minorHAnsi" w:hAnsiTheme="minorHAnsi" w:cstheme="minorHAnsi"/>
          <w:sz w:val="24"/>
        </w:rPr>
        <w:t>2014</w:t>
      </w:r>
      <w:r w:rsidR="00605E41" w:rsidRPr="00F146E7">
        <w:rPr>
          <w:rFonts w:asciiTheme="minorHAnsi" w:hAnsiTheme="minorHAnsi" w:cstheme="minorHAnsi"/>
          <w:sz w:val="24"/>
        </w:rPr>
        <w:t>.</w:t>
      </w:r>
      <w:r w:rsidRPr="00F146E7">
        <w:rPr>
          <w:rFonts w:asciiTheme="minorHAnsi" w:hAnsiTheme="minorHAnsi" w:cstheme="minorHAnsi"/>
          <w:sz w:val="24"/>
        </w:rPr>
        <w:t xml:space="preserve"> </w:t>
      </w:r>
    </w:p>
    <w:p w14:paraId="313FDE72" w14:textId="77777777" w:rsidR="00511320" w:rsidRPr="00F146E7" w:rsidRDefault="00511320" w:rsidP="00511320">
      <w:pPr>
        <w:tabs>
          <w:tab w:val="right" w:pos="9070"/>
        </w:tabs>
        <w:rPr>
          <w:rFonts w:asciiTheme="minorHAnsi" w:hAnsiTheme="minorHAnsi" w:cstheme="minorHAnsi"/>
          <w:sz w:val="24"/>
        </w:rPr>
      </w:pPr>
    </w:p>
    <w:p w14:paraId="5BE6C3D0" w14:textId="288020F7" w:rsidR="00A15A62" w:rsidRPr="00F146E7" w:rsidRDefault="00F146E7" w:rsidP="00511320">
      <w:pPr>
        <w:tabs>
          <w:tab w:val="right" w:pos="9070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Tabulka č. </w:t>
      </w:r>
      <w:r w:rsidR="003443B7">
        <w:rPr>
          <w:rFonts w:asciiTheme="minorHAnsi" w:hAnsiTheme="minorHAnsi" w:cstheme="minorHAnsi"/>
          <w:b/>
          <w:sz w:val="24"/>
        </w:rPr>
        <w:t>7</w:t>
      </w:r>
      <w:r>
        <w:rPr>
          <w:rFonts w:asciiTheme="minorHAnsi" w:hAnsiTheme="minorHAnsi" w:cstheme="minorHAnsi"/>
          <w:b/>
          <w:sz w:val="24"/>
        </w:rPr>
        <w:t> </w:t>
      </w:r>
      <w:r w:rsidR="00511320">
        <w:rPr>
          <w:rFonts w:asciiTheme="minorHAnsi" w:hAnsiTheme="minorHAnsi" w:cstheme="minorHAnsi"/>
          <w:b/>
          <w:sz w:val="24"/>
        </w:rPr>
        <w:t>–</w:t>
      </w:r>
      <w:r>
        <w:rPr>
          <w:rFonts w:asciiTheme="minorHAnsi" w:hAnsiTheme="minorHAnsi" w:cstheme="minorHAnsi"/>
          <w:b/>
          <w:sz w:val="24"/>
        </w:rPr>
        <w:t> </w:t>
      </w:r>
      <w:r w:rsidR="00A15A62" w:rsidRPr="00F146E7">
        <w:rPr>
          <w:rFonts w:asciiTheme="minorHAnsi" w:hAnsiTheme="minorHAnsi" w:cstheme="minorHAnsi"/>
          <w:b/>
          <w:sz w:val="24"/>
        </w:rPr>
        <w:t xml:space="preserve">Přehled rozpočtovaných </w:t>
      </w:r>
      <w:r w:rsidR="00605E41" w:rsidRPr="00F146E7">
        <w:rPr>
          <w:rFonts w:asciiTheme="minorHAnsi" w:hAnsiTheme="minorHAnsi" w:cstheme="minorHAnsi"/>
          <w:b/>
          <w:sz w:val="24"/>
        </w:rPr>
        <w:t>a skutečných</w:t>
      </w:r>
      <w:r w:rsidR="00A15A62" w:rsidRPr="00F146E7">
        <w:rPr>
          <w:rFonts w:asciiTheme="minorHAnsi" w:hAnsiTheme="minorHAnsi" w:cstheme="minorHAnsi"/>
          <w:b/>
          <w:sz w:val="24"/>
        </w:rPr>
        <w:t xml:space="preserve"> příjmů </w:t>
      </w:r>
      <w:r w:rsidR="00A15A62" w:rsidRPr="00F146E7">
        <w:rPr>
          <w:rFonts w:asciiTheme="minorHAnsi" w:hAnsiTheme="minorHAnsi" w:cstheme="minorHAnsi"/>
          <w:b/>
          <w:sz w:val="24"/>
        </w:rPr>
        <w:tab/>
        <w:t>(v tis. Kč)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851"/>
        <w:gridCol w:w="1162"/>
        <w:gridCol w:w="1162"/>
        <w:gridCol w:w="1162"/>
        <w:gridCol w:w="1162"/>
        <w:gridCol w:w="1088"/>
      </w:tblGrid>
      <w:tr w:rsidR="00CE326A" w:rsidRPr="00F61AF6" w14:paraId="2EE6AC56" w14:textId="77777777" w:rsidTr="0019015B">
        <w:trPr>
          <w:trHeight w:val="455"/>
        </w:trPr>
        <w:tc>
          <w:tcPr>
            <w:tcW w:w="2485" w:type="dxa"/>
            <w:shd w:val="clear" w:color="auto" w:fill="DBE5F1" w:themeFill="accent1" w:themeFillTint="33"/>
            <w:vAlign w:val="center"/>
            <w:hideMark/>
          </w:tcPr>
          <w:p w14:paraId="29DE8CC0" w14:textId="567D7D0B" w:rsidR="00CE326A" w:rsidRPr="00F61AF6" w:rsidRDefault="00CE326A" w:rsidP="00015A49">
            <w:pPr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</w:rPr>
              <w:t>R</w:t>
            </w:r>
            <w:r w:rsidRPr="00F61AF6">
              <w:rPr>
                <w:rFonts w:asciiTheme="minorHAnsi" w:eastAsiaTheme="minorHAnsi" w:hAnsiTheme="minorHAnsi" w:cstheme="minorHAnsi"/>
                <w:b/>
                <w:szCs w:val="22"/>
              </w:rPr>
              <w:t>ozpočet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  <w:hideMark/>
          </w:tcPr>
          <w:p w14:paraId="59CA6D34" w14:textId="2732FC9E" w:rsidR="00CE326A" w:rsidRPr="00F61AF6" w:rsidRDefault="00CE326A" w:rsidP="00DE1E73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F61AF6">
              <w:rPr>
                <w:rFonts w:asciiTheme="minorHAnsi" w:eastAsiaTheme="minorHAnsi" w:hAnsiTheme="minorHAnsi" w:cstheme="minorHAnsi"/>
                <w:b/>
                <w:szCs w:val="22"/>
              </w:rPr>
              <w:t>Rok</w:t>
            </w:r>
          </w:p>
        </w:tc>
        <w:tc>
          <w:tcPr>
            <w:tcW w:w="1162" w:type="dxa"/>
            <w:shd w:val="clear" w:color="auto" w:fill="DBE5F1" w:themeFill="accent1" w:themeFillTint="33"/>
            <w:vAlign w:val="center"/>
          </w:tcPr>
          <w:p w14:paraId="45CC3A5C" w14:textId="77777777" w:rsidR="00CE326A" w:rsidRPr="00F61AF6" w:rsidRDefault="00CE326A" w:rsidP="00DE1E73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F61AF6">
              <w:rPr>
                <w:rFonts w:asciiTheme="minorHAnsi" w:eastAsiaTheme="minorHAnsi" w:hAnsiTheme="minorHAnsi" w:cstheme="minorHAnsi"/>
                <w:b/>
                <w:szCs w:val="22"/>
              </w:rPr>
              <w:t>HZS Praha</w:t>
            </w:r>
          </w:p>
        </w:tc>
        <w:tc>
          <w:tcPr>
            <w:tcW w:w="1162" w:type="dxa"/>
            <w:shd w:val="clear" w:color="auto" w:fill="DBE5F1" w:themeFill="accent1" w:themeFillTint="33"/>
            <w:vAlign w:val="center"/>
          </w:tcPr>
          <w:p w14:paraId="46E7A66D" w14:textId="77777777" w:rsidR="00CE326A" w:rsidRPr="00F61AF6" w:rsidRDefault="00CE326A" w:rsidP="00DE1E73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F61AF6">
              <w:rPr>
                <w:rFonts w:asciiTheme="minorHAnsi" w:eastAsiaTheme="minorHAnsi" w:hAnsiTheme="minorHAnsi" w:cstheme="minorHAnsi"/>
                <w:b/>
                <w:szCs w:val="22"/>
              </w:rPr>
              <w:t>HZS LK</w:t>
            </w:r>
          </w:p>
        </w:tc>
        <w:tc>
          <w:tcPr>
            <w:tcW w:w="1162" w:type="dxa"/>
            <w:shd w:val="clear" w:color="auto" w:fill="DBE5F1" w:themeFill="accent1" w:themeFillTint="33"/>
            <w:vAlign w:val="center"/>
          </w:tcPr>
          <w:p w14:paraId="3FE8769E" w14:textId="77777777" w:rsidR="00CE326A" w:rsidRPr="00F61AF6" w:rsidRDefault="00CE326A" w:rsidP="00DE1E73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F61AF6">
              <w:rPr>
                <w:rFonts w:asciiTheme="minorHAnsi" w:eastAsiaTheme="minorHAnsi" w:hAnsiTheme="minorHAnsi" w:cstheme="minorHAnsi"/>
                <w:b/>
                <w:szCs w:val="22"/>
              </w:rPr>
              <w:t>HZS JMK</w:t>
            </w:r>
          </w:p>
        </w:tc>
        <w:tc>
          <w:tcPr>
            <w:tcW w:w="1162" w:type="dxa"/>
            <w:shd w:val="clear" w:color="auto" w:fill="DBE5F1" w:themeFill="accent1" w:themeFillTint="33"/>
            <w:vAlign w:val="center"/>
          </w:tcPr>
          <w:p w14:paraId="541B6F21" w14:textId="77777777" w:rsidR="00CE326A" w:rsidRPr="00F61AF6" w:rsidRDefault="00CE326A" w:rsidP="00DE1E73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F61AF6">
              <w:rPr>
                <w:rFonts w:asciiTheme="minorHAnsi" w:eastAsiaTheme="minorHAnsi" w:hAnsiTheme="minorHAnsi" w:cstheme="minorHAnsi"/>
                <w:b/>
                <w:szCs w:val="22"/>
              </w:rPr>
              <w:t>HZS PK</w:t>
            </w:r>
          </w:p>
        </w:tc>
        <w:tc>
          <w:tcPr>
            <w:tcW w:w="1088" w:type="dxa"/>
            <w:shd w:val="clear" w:color="auto" w:fill="DBE5F1" w:themeFill="accent1" w:themeFillTint="33"/>
            <w:vAlign w:val="center"/>
          </w:tcPr>
          <w:p w14:paraId="3B8315C3" w14:textId="77777777" w:rsidR="00CE326A" w:rsidRPr="00F61AF6" w:rsidRDefault="00CE326A" w:rsidP="00DE1E73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</w:rPr>
              <w:t>ZÚ</w:t>
            </w:r>
          </w:p>
        </w:tc>
      </w:tr>
      <w:tr w:rsidR="00CE326A" w14:paraId="4DF6ECDE" w14:textId="77777777" w:rsidTr="006734C1">
        <w:trPr>
          <w:trHeight w:hRule="exact" w:val="284"/>
        </w:trPr>
        <w:tc>
          <w:tcPr>
            <w:tcW w:w="2485" w:type="dxa"/>
            <w:shd w:val="clear" w:color="000000" w:fill="FFFFFF"/>
            <w:noWrap/>
            <w:vAlign w:val="center"/>
            <w:hideMark/>
          </w:tcPr>
          <w:p w14:paraId="626E388E" w14:textId="77777777" w:rsidR="00CE326A" w:rsidRPr="00A15A62" w:rsidRDefault="00CE326A" w:rsidP="00DE1E73">
            <w:pPr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Rozpočtované příjmy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397C8D35" w14:textId="77777777" w:rsidR="00CE326A" w:rsidRPr="00A15A62" w:rsidRDefault="00CE326A" w:rsidP="00DE1E73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 w:rsidRPr="00A15A62">
              <w:rPr>
                <w:rFonts w:asciiTheme="minorHAnsi" w:eastAsiaTheme="minorHAnsi" w:hAnsiTheme="minorHAnsi" w:cstheme="minorHAnsi"/>
                <w:szCs w:val="22"/>
              </w:rPr>
              <w:t>2013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14:paraId="7A41FA20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104 623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14:paraId="50258F97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104 621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14:paraId="4C027855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179 420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14:paraId="15CF44F9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111 486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14:paraId="4B95D41B" w14:textId="77777777" w:rsidR="00CE326A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81 425</w:t>
            </w:r>
          </w:p>
        </w:tc>
      </w:tr>
      <w:tr w:rsidR="00CE326A" w14:paraId="3E6C165F" w14:textId="77777777" w:rsidTr="006734C1">
        <w:trPr>
          <w:trHeight w:hRule="exact"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4E9F16B" w14:textId="77777777" w:rsidR="00CE326A" w:rsidRPr="00A15A62" w:rsidRDefault="00CE326A" w:rsidP="00DE1E73">
            <w:pPr>
              <w:rPr>
                <w:rFonts w:asciiTheme="minorHAnsi" w:eastAsiaTheme="minorHAnsi" w:hAnsiTheme="minorHAnsi" w:cstheme="minorHAnsi"/>
                <w:bCs/>
                <w:szCs w:val="22"/>
              </w:rPr>
            </w:pPr>
            <w:r w:rsidRPr="00A15A62">
              <w:rPr>
                <w:rFonts w:asciiTheme="minorHAnsi" w:eastAsiaTheme="minorHAnsi" w:hAnsiTheme="minorHAnsi" w:cstheme="minorHAnsi"/>
                <w:bCs/>
                <w:szCs w:val="22"/>
              </w:rPr>
              <w:t>Skutečné příjmy</w:t>
            </w:r>
          </w:p>
        </w:tc>
        <w:tc>
          <w:tcPr>
            <w:tcW w:w="851" w:type="dxa"/>
            <w:vMerge/>
            <w:shd w:val="clear" w:color="000000" w:fill="FFFFFF"/>
            <w:noWrap/>
            <w:vAlign w:val="center"/>
            <w:hideMark/>
          </w:tcPr>
          <w:p w14:paraId="6DDF5781" w14:textId="77777777" w:rsidR="00CE326A" w:rsidRPr="00A15A62" w:rsidRDefault="00CE326A" w:rsidP="00DE1E73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</w:p>
        </w:tc>
        <w:tc>
          <w:tcPr>
            <w:tcW w:w="1162" w:type="dxa"/>
            <w:shd w:val="clear" w:color="000000" w:fill="FFFFFF"/>
            <w:vAlign w:val="center"/>
          </w:tcPr>
          <w:p w14:paraId="2C2CF490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108 682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14:paraId="53AF062A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60 908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14:paraId="7C8C4887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145 904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14:paraId="2CC769FE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69 577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14:paraId="7939EDFE" w14:textId="77777777" w:rsidR="00CE326A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17 312</w:t>
            </w:r>
          </w:p>
        </w:tc>
      </w:tr>
      <w:tr w:rsidR="00CE326A" w14:paraId="5FF0E3B4" w14:textId="77777777" w:rsidTr="006734C1">
        <w:trPr>
          <w:trHeight w:hRule="exact" w:val="284"/>
        </w:trPr>
        <w:tc>
          <w:tcPr>
            <w:tcW w:w="2485" w:type="dxa"/>
            <w:shd w:val="clear" w:color="000000" w:fill="FFFFFF"/>
            <w:vAlign w:val="center"/>
          </w:tcPr>
          <w:p w14:paraId="53A2FFF8" w14:textId="77777777" w:rsidR="00CE326A" w:rsidRPr="00A15A62" w:rsidRDefault="00CE326A" w:rsidP="00DE1E73">
            <w:pPr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Rozdíl</w:t>
            </w: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14:paraId="2F42B58C" w14:textId="77777777" w:rsidR="00CE326A" w:rsidRPr="00A15A62" w:rsidRDefault="00CE326A" w:rsidP="00DE1E73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</w:p>
        </w:tc>
        <w:tc>
          <w:tcPr>
            <w:tcW w:w="1162" w:type="dxa"/>
            <w:shd w:val="clear" w:color="000000" w:fill="FFFFFF"/>
            <w:vAlign w:val="center"/>
          </w:tcPr>
          <w:p w14:paraId="2D3B7747" w14:textId="250E01F1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4 059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14:paraId="5D5BBA34" w14:textId="6A120945" w:rsidR="00CE326A" w:rsidRPr="00A15A62" w:rsidRDefault="00015A49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 w:rsidRPr="0019015B">
              <w:rPr>
                <w:rFonts w:ascii="Calibri" w:hAnsi="Calibri" w:cs="Calibri"/>
                <w:szCs w:val="22"/>
              </w:rPr>
              <w:t>−</w:t>
            </w:r>
            <w:r w:rsidR="00CE326A">
              <w:rPr>
                <w:rFonts w:ascii="Calibri" w:hAnsi="Calibri" w:cs="Calibri"/>
                <w:color w:val="000000"/>
                <w:szCs w:val="22"/>
              </w:rPr>
              <w:t>43 713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14:paraId="23034DCF" w14:textId="50FA8E08" w:rsidR="00CE326A" w:rsidRPr="00A15A62" w:rsidRDefault="00015A49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 w:rsidRPr="006B143D">
              <w:rPr>
                <w:rFonts w:ascii="Calibri" w:hAnsi="Calibri" w:cs="Calibri"/>
                <w:szCs w:val="22"/>
              </w:rPr>
              <w:t>−</w:t>
            </w:r>
            <w:r w:rsidR="00CE326A">
              <w:rPr>
                <w:rFonts w:ascii="Calibri" w:hAnsi="Calibri" w:cs="Calibri"/>
                <w:color w:val="000000"/>
                <w:szCs w:val="22"/>
              </w:rPr>
              <w:t>33 516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14:paraId="50CCCDC6" w14:textId="3727AD50" w:rsidR="00CE326A" w:rsidRPr="00A15A62" w:rsidRDefault="00015A49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 w:rsidRPr="006B143D">
              <w:rPr>
                <w:rFonts w:ascii="Calibri" w:hAnsi="Calibri" w:cs="Calibri"/>
                <w:szCs w:val="22"/>
              </w:rPr>
              <w:t>−</w:t>
            </w:r>
            <w:r w:rsidR="00CE326A">
              <w:rPr>
                <w:rFonts w:ascii="Calibri" w:hAnsi="Calibri" w:cs="Calibri"/>
                <w:color w:val="000000"/>
                <w:szCs w:val="22"/>
              </w:rPr>
              <w:t>41 909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14:paraId="5BFEFB05" w14:textId="083098D4" w:rsidR="00CE326A" w:rsidRDefault="00015A49" w:rsidP="00DE1E73">
            <w:pPr>
              <w:tabs>
                <w:tab w:val="left" w:pos="1064"/>
              </w:tabs>
              <w:ind w:right="7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6B143D">
              <w:rPr>
                <w:rFonts w:ascii="Calibri" w:hAnsi="Calibri" w:cs="Calibri"/>
                <w:szCs w:val="22"/>
              </w:rPr>
              <w:t>−</w:t>
            </w:r>
            <w:r w:rsidR="00CE326A">
              <w:rPr>
                <w:rFonts w:ascii="Calibri" w:hAnsi="Calibri" w:cs="Calibri"/>
                <w:color w:val="000000"/>
                <w:szCs w:val="22"/>
              </w:rPr>
              <w:t>64 113</w:t>
            </w:r>
          </w:p>
        </w:tc>
      </w:tr>
      <w:tr w:rsidR="006C167B" w14:paraId="69CF9A77" w14:textId="77777777" w:rsidTr="006734C1">
        <w:trPr>
          <w:trHeight w:hRule="exact"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75C5804" w14:textId="77777777" w:rsidR="00CE326A" w:rsidRPr="00A15A62" w:rsidRDefault="00CE326A" w:rsidP="00DE1E73">
            <w:pPr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Rozpočtované příjmy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734F" w14:textId="77777777" w:rsidR="00CE326A" w:rsidRPr="00A15A62" w:rsidRDefault="00CE326A" w:rsidP="00DE1E73">
            <w:pPr>
              <w:jc w:val="center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 w:rsidRPr="00A15A62">
              <w:rPr>
                <w:rFonts w:asciiTheme="minorHAnsi" w:eastAsiaTheme="minorHAnsi" w:hAnsiTheme="minorHAnsi" w:cstheme="minorHAnsi"/>
                <w:bCs/>
                <w:szCs w:val="22"/>
              </w:rPr>
              <w:t>201</w:t>
            </w:r>
            <w:r>
              <w:rPr>
                <w:rFonts w:asciiTheme="minorHAnsi" w:eastAsiaTheme="minorHAnsi" w:hAnsiTheme="minorHAnsi" w:cstheme="minorHAnsi"/>
                <w:bCs/>
                <w:szCs w:val="22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98015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115 270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6C23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53 476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51A2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131 099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0824D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64 226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A4A2" w14:textId="77777777" w:rsidR="00CE326A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18 488</w:t>
            </w:r>
          </w:p>
        </w:tc>
      </w:tr>
      <w:tr w:rsidR="006C167B" w14:paraId="2BA79281" w14:textId="77777777" w:rsidTr="006734C1">
        <w:trPr>
          <w:trHeight w:hRule="exact"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5C65A93C" w14:textId="77777777" w:rsidR="00CE326A" w:rsidRPr="00A15A62" w:rsidRDefault="00CE326A" w:rsidP="00DE1E73">
            <w:pPr>
              <w:rPr>
                <w:rFonts w:asciiTheme="minorHAnsi" w:eastAsiaTheme="minorHAnsi" w:hAnsiTheme="minorHAnsi" w:cstheme="minorHAnsi"/>
                <w:bCs/>
                <w:szCs w:val="22"/>
              </w:rPr>
            </w:pPr>
            <w:r w:rsidRPr="00A15A62">
              <w:rPr>
                <w:rFonts w:asciiTheme="minorHAnsi" w:eastAsiaTheme="minorHAnsi" w:hAnsiTheme="minorHAnsi" w:cstheme="minorHAnsi"/>
                <w:bCs/>
                <w:szCs w:val="22"/>
              </w:rPr>
              <w:t>Skutečné příjmy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A531D" w14:textId="77777777" w:rsidR="00CE326A" w:rsidRPr="00A15A62" w:rsidRDefault="00CE326A" w:rsidP="00DE1E73">
            <w:pPr>
              <w:jc w:val="center"/>
              <w:rPr>
                <w:rFonts w:asciiTheme="minorHAnsi" w:eastAsiaTheme="minorHAnsi" w:hAnsiTheme="minorHAnsi" w:cstheme="minorHAnsi"/>
                <w:bCs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6416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118 059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970F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96 451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BF9E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222 500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C778" w14:textId="77777777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123 431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33D7" w14:textId="77777777" w:rsidR="00CE326A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108 207</w:t>
            </w:r>
          </w:p>
        </w:tc>
      </w:tr>
      <w:tr w:rsidR="006C167B" w14:paraId="19B74236" w14:textId="77777777" w:rsidTr="006734C1">
        <w:trPr>
          <w:trHeight w:hRule="exact" w:val="284"/>
        </w:trPr>
        <w:tc>
          <w:tcPr>
            <w:tcW w:w="2485" w:type="dxa"/>
            <w:shd w:val="clear" w:color="000000" w:fill="FFFFFF"/>
            <w:vAlign w:val="center"/>
          </w:tcPr>
          <w:p w14:paraId="56AC18B5" w14:textId="77777777" w:rsidR="00CE326A" w:rsidRPr="00A15A62" w:rsidRDefault="00CE326A" w:rsidP="00DE1E73">
            <w:pPr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Rozdíl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CBA49" w14:textId="77777777" w:rsidR="00CE326A" w:rsidRPr="00A15A62" w:rsidRDefault="00CE326A" w:rsidP="00DE1E73">
            <w:pPr>
              <w:jc w:val="center"/>
              <w:rPr>
                <w:rFonts w:asciiTheme="minorHAnsi" w:eastAsiaTheme="minorHAnsi" w:hAnsiTheme="minorHAnsi" w:cstheme="minorHAnsi"/>
                <w:bCs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56E3" w14:textId="5DCBE14C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2 789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3089" w14:textId="718EF61A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42 975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7CB2A" w14:textId="6B996018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91 401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9EA78" w14:textId="76086AC2" w:rsidR="00CE326A" w:rsidRPr="00A15A62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59 205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4B9C4" w14:textId="3BF48000" w:rsidR="00CE326A" w:rsidRDefault="00CE326A" w:rsidP="00DE1E73">
            <w:pPr>
              <w:tabs>
                <w:tab w:val="left" w:pos="1064"/>
              </w:tabs>
              <w:ind w:right="7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89 719</w:t>
            </w:r>
          </w:p>
        </w:tc>
      </w:tr>
    </w:tbl>
    <w:p w14:paraId="61C52680" w14:textId="23106FF6" w:rsidR="00605E41" w:rsidRPr="00EE746F" w:rsidRDefault="00605E41" w:rsidP="00605E41">
      <w:pPr>
        <w:spacing w:before="40"/>
        <w:rPr>
          <w:rFonts w:asciiTheme="minorHAnsi" w:hAnsiTheme="minorHAnsi" w:cstheme="minorHAnsi"/>
          <w:sz w:val="20"/>
          <w:szCs w:val="18"/>
        </w:rPr>
      </w:pPr>
      <w:r w:rsidRPr="00F146E7">
        <w:rPr>
          <w:rFonts w:asciiTheme="minorHAnsi" w:hAnsiTheme="minorHAnsi" w:cstheme="minorHAnsi"/>
          <w:b/>
          <w:sz w:val="20"/>
          <w:szCs w:val="18"/>
        </w:rPr>
        <w:t>Zdroj</w:t>
      </w:r>
      <w:r w:rsidRPr="0019015B">
        <w:rPr>
          <w:rFonts w:asciiTheme="minorHAnsi" w:hAnsiTheme="minorHAnsi" w:cstheme="minorHAnsi"/>
          <w:b/>
          <w:sz w:val="20"/>
          <w:szCs w:val="18"/>
        </w:rPr>
        <w:t>:</w:t>
      </w:r>
      <w:r w:rsidRPr="00E05A39">
        <w:rPr>
          <w:rFonts w:asciiTheme="minorHAnsi" w:hAnsiTheme="minorHAnsi" w:cstheme="minorHAnsi"/>
          <w:sz w:val="20"/>
          <w:szCs w:val="18"/>
        </w:rPr>
        <w:t xml:space="preserve"> MONITOR – </w:t>
      </w:r>
      <w:r w:rsidR="00CC5FEE" w:rsidRPr="00E05A39">
        <w:rPr>
          <w:rFonts w:asciiTheme="minorHAnsi" w:hAnsiTheme="minorHAnsi" w:cstheme="minorHAnsi"/>
          <w:sz w:val="20"/>
          <w:szCs w:val="18"/>
        </w:rPr>
        <w:t xml:space="preserve">informační portál </w:t>
      </w:r>
      <w:r w:rsidR="00CC5FEE">
        <w:rPr>
          <w:rFonts w:asciiTheme="minorHAnsi" w:hAnsiTheme="minorHAnsi" w:cstheme="minorHAnsi"/>
          <w:sz w:val="20"/>
          <w:szCs w:val="18"/>
        </w:rPr>
        <w:t>Ministerstva financí</w:t>
      </w:r>
      <w:r w:rsidRPr="00E05A39">
        <w:rPr>
          <w:rFonts w:asciiTheme="minorHAnsi" w:hAnsiTheme="minorHAnsi" w:cstheme="minorHAnsi"/>
          <w:sz w:val="20"/>
          <w:szCs w:val="18"/>
        </w:rPr>
        <w:t>.</w:t>
      </w:r>
    </w:p>
    <w:p w14:paraId="31A3EB54" w14:textId="77777777" w:rsidR="00C12DFE" w:rsidRDefault="00C12DFE" w:rsidP="00F02C24">
      <w:pPr>
        <w:rPr>
          <w:rFonts w:asciiTheme="minorHAnsi" w:hAnsiTheme="minorHAnsi" w:cstheme="minorHAnsi"/>
          <w:sz w:val="24"/>
        </w:rPr>
      </w:pPr>
    </w:p>
    <w:p w14:paraId="31A4175D" w14:textId="113ECF21" w:rsidR="00706B57" w:rsidRDefault="00751DE3" w:rsidP="00F02C2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Skutečné příjmy kontrolovaných HZSK odpovídají konečnému rozpočtu. </w:t>
      </w:r>
      <w:r w:rsidR="00783B61">
        <w:rPr>
          <w:rFonts w:asciiTheme="minorHAnsi" w:hAnsiTheme="minorHAnsi" w:cstheme="minorHAnsi"/>
          <w:sz w:val="24"/>
        </w:rPr>
        <w:t>Nenaplnění rozpočtovaných příjm</w:t>
      </w:r>
      <w:r w:rsidR="00E62C23">
        <w:rPr>
          <w:rFonts w:asciiTheme="minorHAnsi" w:hAnsiTheme="minorHAnsi" w:cstheme="minorHAnsi"/>
          <w:sz w:val="24"/>
        </w:rPr>
        <w:t xml:space="preserve">ů </w:t>
      </w:r>
      <w:r w:rsidR="00783B61">
        <w:rPr>
          <w:rFonts w:asciiTheme="minorHAnsi" w:hAnsiTheme="minorHAnsi" w:cstheme="minorHAnsi"/>
          <w:sz w:val="24"/>
        </w:rPr>
        <w:t xml:space="preserve">v roce 2013 bylo způsobeno </w:t>
      </w:r>
      <w:r w:rsidR="00910169">
        <w:rPr>
          <w:rFonts w:asciiTheme="minorHAnsi" w:hAnsiTheme="minorHAnsi" w:cstheme="minorHAnsi"/>
          <w:sz w:val="24"/>
        </w:rPr>
        <w:t>přijetím</w:t>
      </w:r>
      <w:r w:rsidR="00783B61">
        <w:rPr>
          <w:rFonts w:asciiTheme="minorHAnsi" w:hAnsiTheme="minorHAnsi" w:cstheme="minorHAnsi"/>
          <w:sz w:val="24"/>
        </w:rPr>
        <w:t xml:space="preserve"> rozpočtovaných transferů </w:t>
      </w:r>
      <w:r w:rsidR="00910169">
        <w:rPr>
          <w:rFonts w:asciiTheme="minorHAnsi" w:hAnsiTheme="minorHAnsi" w:cstheme="minorHAnsi"/>
          <w:sz w:val="24"/>
        </w:rPr>
        <w:t xml:space="preserve">(převážně dotací </w:t>
      </w:r>
      <w:r w:rsidR="00AF3C8F">
        <w:rPr>
          <w:rFonts w:asciiTheme="minorHAnsi" w:hAnsiTheme="minorHAnsi" w:cstheme="minorHAnsi"/>
          <w:sz w:val="24"/>
        </w:rPr>
        <w:t>z </w:t>
      </w:r>
      <w:r w:rsidR="00A63821">
        <w:rPr>
          <w:rFonts w:asciiTheme="minorHAnsi" w:hAnsiTheme="minorHAnsi" w:cstheme="minorHAnsi"/>
          <w:sz w:val="24"/>
        </w:rPr>
        <w:t>Evropské unie</w:t>
      </w:r>
      <w:r w:rsidR="00910169">
        <w:rPr>
          <w:rFonts w:asciiTheme="minorHAnsi" w:hAnsiTheme="minorHAnsi" w:cstheme="minorHAnsi"/>
          <w:sz w:val="24"/>
        </w:rPr>
        <w:t xml:space="preserve">) až v roce </w:t>
      </w:r>
      <w:r w:rsidR="00783B61">
        <w:rPr>
          <w:rFonts w:asciiTheme="minorHAnsi" w:hAnsiTheme="minorHAnsi" w:cstheme="minorHAnsi"/>
          <w:sz w:val="24"/>
        </w:rPr>
        <w:t>2014.</w:t>
      </w:r>
      <w:r w:rsidR="00A15A62">
        <w:rPr>
          <w:rFonts w:asciiTheme="minorHAnsi" w:hAnsiTheme="minorHAnsi" w:cstheme="minorHAnsi"/>
          <w:sz w:val="24"/>
        </w:rPr>
        <w:t xml:space="preserve"> </w:t>
      </w:r>
    </w:p>
    <w:p w14:paraId="53B1B097" w14:textId="77777777" w:rsidR="00511320" w:rsidRDefault="00511320" w:rsidP="00511320">
      <w:pPr>
        <w:rPr>
          <w:rFonts w:asciiTheme="minorHAnsi" w:hAnsiTheme="minorHAnsi"/>
          <w:sz w:val="24"/>
        </w:rPr>
      </w:pPr>
    </w:p>
    <w:p w14:paraId="6D91C938" w14:textId="6021A4A8" w:rsidR="0020139C" w:rsidRDefault="0020139C" w:rsidP="00511320">
      <w:pPr>
        <w:rPr>
          <w:rFonts w:asciiTheme="minorHAnsi" w:hAnsiTheme="minorHAnsi"/>
          <w:sz w:val="24"/>
        </w:rPr>
      </w:pPr>
      <w:r w:rsidRPr="00080333">
        <w:rPr>
          <w:rFonts w:asciiTheme="minorHAnsi" w:hAnsiTheme="minorHAnsi"/>
          <w:sz w:val="24"/>
        </w:rPr>
        <w:t xml:space="preserve">Nejvýznamnější </w:t>
      </w:r>
      <w:r w:rsidRPr="00080333">
        <w:rPr>
          <w:rFonts w:asciiTheme="minorHAnsi" w:hAnsiTheme="minorHAnsi" w:cstheme="minorHAnsi"/>
          <w:sz w:val="24"/>
        </w:rPr>
        <w:t>položk</w:t>
      </w:r>
      <w:r w:rsidR="006607BD" w:rsidRPr="00080333">
        <w:rPr>
          <w:rFonts w:asciiTheme="minorHAnsi" w:hAnsiTheme="minorHAnsi" w:cstheme="minorHAnsi"/>
          <w:sz w:val="24"/>
        </w:rPr>
        <w:t>ou, kterou mají HZSK</w:t>
      </w:r>
      <w:r w:rsidRPr="00080333">
        <w:rPr>
          <w:rFonts w:asciiTheme="minorHAnsi" w:hAnsiTheme="minorHAnsi" w:cstheme="minorHAnsi"/>
          <w:sz w:val="24"/>
        </w:rPr>
        <w:t xml:space="preserve"> </w:t>
      </w:r>
      <w:r w:rsidR="00AF3C8F">
        <w:rPr>
          <w:rFonts w:asciiTheme="minorHAnsi" w:hAnsiTheme="minorHAnsi" w:cstheme="minorHAnsi"/>
          <w:sz w:val="24"/>
        </w:rPr>
        <w:t>v </w:t>
      </w:r>
      <w:r w:rsidRPr="00080333">
        <w:rPr>
          <w:rFonts w:asciiTheme="minorHAnsi" w:hAnsiTheme="minorHAnsi"/>
          <w:sz w:val="24"/>
        </w:rPr>
        <w:t xml:space="preserve">rozpočtovaných </w:t>
      </w:r>
      <w:r w:rsidRPr="00080333">
        <w:rPr>
          <w:rFonts w:asciiTheme="minorHAnsi" w:hAnsiTheme="minorHAnsi" w:cstheme="minorHAnsi"/>
          <w:sz w:val="24"/>
        </w:rPr>
        <w:t>příjm</w:t>
      </w:r>
      <w:r w:rsidR="003124BA" w:rsidRPr="00080333">
        <w:rPr>
          <w:rFonts w:asciiTheme="minorHAnsi" w:hAnsiTheme="minorHAnsi" w:cstheme="minorHAnsi"/>
          <w:sz w:val="24"/>
        </w:rPr>
        <w:t>ech, je</w:t>
      </w:r>
      <w:r w:rsidRPr="00080333">
        <w:rPr>
          <w:rFonts w:asciiTheme="minorHAnsi" w:hAnsiTheme="minorHAnsi"/>
          <w:sz w:val="24"/>
        </w:rPr>
        <w:t xml:space="preserve"> </w:t>
      </w:r>
      <w:r w:rsidRPr="00080333">
        <w:rPr>
          <w:rFonts w:asciiTheme="minorHAnsi" w:hAnsiTheme="minorHAnsi"/>
          <w:i/>
          <w:sz w:val="24"/>
        </w:rPr>
        <w:t>Pojistné na sociální zabezpečení a příspěvek na státní politiku zaměstnanosti</w:t>
      </w:r>
      <w:r w:rsidR="003124BA" w:rsidRPr="00080333">
        <w:rPr>
          <w:rFonts w:asciiTheme="minorHAnsi" w:hAnsiTheme="minorHAnsi" w:cstheme="minorHAnsi"/>
          <w:i/>
          <w:sz w:val="24"/>
        </w:rPr>
        <w:t>.</w:t>
      </w:r>
      <w:r w:rsidRPr="00080333">
        <w:rPr>
          <w:rFonts w:asciiTheme="minorHAnsi" w:hAnsiTheme="minorHAnsi" w:cstheme="minorHAnsi"/>
          <w:sz w:val="24"/>
        </w:rPr>
        <w:t xml:space="preserve"> </w:t>
      </w:r>
      <w:r w:rsidR="003176DC" w:rsidRPr="00080333">
        <w:rPr>
          <w:rFonts w:asciiTheme="minorHAnsi" w:hAnsiTheme="minorHAnsi" w:cstheme="minorHAnsi"/>
          <w:sz w:val="24"/>
        </w:rPr>
        <w:t>Zbývajících 10 %</w:t>
      </w:r>
      <w:r w:rsidR="003176DC" w:rsidRPr="00080333">
        <w:rPr>
          <w:rFonts w:asciiTheme="minorHAnsi" w:hAnsiTheme="minorHAnsi"/>
          <w:sz w:val="24"/>
        </w:rPr>
        <w:t xml:space="preserve"> </w:t>
      </w:r>
      <w:r w:rsidRPr="00080333">
        <w:rPr>
          <w:rFonts w:asciiTheme="minorHAnsi" w:hAnsiTheme="minorHAnsi"/>
          <w:sz w:val="24"/>
        </w:rPr>
        <w:t>rozpočtovan</w:t>
      </w:r>
      <w:r w:rsidR="003176DC" w:rsidRPr="00080333">
        <w:rPr>
          <w:rFonts w:asciiTheme="minorHAnsi" w:hAnsiTheme="minorHAnsi"/>
          <w:sz w:val="24"/>
        </w:rPr>
        <w:t>ých</w:t>
      </w:r>
      <w:r w:rsidRPr="00080333">
        <w:rPr>
          <w:rFonts w:asciiTheme="minorHAnsi" w:hAnsiTheme="minorHAnsi"/>
          <w:sz w:val="24"/>
        </w:rPr>
        <w:t xml:space="preserve"> příjm</w:t>
      </w:r>
      <w:r w:rsidR="003176DC" w:rsidRPr="00080333">
        <w:rPr>
          <w:rFonts w:asciiTheme="minorHAnsi" w:hAnsiTheme="minorHAnsi"/>
          <w:sz w:val="24"/>
        </w:rPr>
        <w:t>ů</w:t>
      </w:r>
      <w:r w:rsidRPr="00080333">
        <w:rPr>
          <w:rFonts w:asciiTheme="minorHAnsi" w:hAnsiTheme="minorHAnsi"/>
          <w:sz w:val="24"/>
        </w:rPr>
        <w:t xml:space="preserve"> </w:t>
      </w:r>
      <w:r w:rsidRPr="00080333">
        <w:rPr>
          <w:rFonts w:asciiTheme="minorHAnsi" w:hAnsiTheme="minorHAnsi" w:cstheme="minorHAnsi"/>
          <w:sz w:val="24"/>
        </w:rPr>
        <w:t>souvisel</w:t>
      </w:r>
      <w:r w:rsidR="003176DC" w:rsidRPr="00080333">
        <w:rPr>
          <w:rFonts w:asciiTheme="minorHAnsi" w:hAnsiTheme="minorHAnsi" w:cstheme="minorHAnsi"/>
          <w:sz w:val="24"/>
        </w:rPr>
        <w:t>o</w:t>
      </w:r>
      <w:r w:rsidRPr="00080333">
        <w:rPr>
          <w:rFonts w:asciiTheme="minorHAnsi" w:hAnsiTheme="minorHAnsi"/>
          <w:sz w:val="24"/>
        </w:rPr>
        <w:t xml:space="preserve"> s individuální činností jednotlivých HZSK </w:t>
      </w:r>
      <w:r w:rsidR="00BA102A">
        <w:rPr>
          <w:rFonts w:asciiTheme="minorHAnsi" w:hAnsiTheme="minorHAnsi" w:cstheme="minorHAnsi"/>
          <w:sz w:val="24"/>
        </w:rPr>
        <w:t>nebo</w:t>
      </w:r>
      <w:r w:rsidR="00BA102A" w:rsidRPr="00080333">
        <w:rPr>
          <w:rFonts w:asciiTheme="minorHAnsi" w:hAnsiTheme="minorHAnsi" w:cstheme="minorHAnsi"/>
          <w:sz w:val="24"/>
        </w:rPr>
        <w:t xml:space="preserve"> </w:t>
      </w:r>
      <w:r w:rsidR="00015A49">
        <w:rPr>
          <w:rFonts w:asciiTheme="minorHAnsi" w:hAnsiTheme="minorHAnsi" w:cstheme="minorHAnsi"/>
          <w:sz w:val="24"/>
        </w:rPr>
        <w:t>se jednalo o příjmy</w:t>
      </w:r>
      <w:r w:rsidR="00015A49">
        <w:rPr>
          <w:rFonts w:asciiTheme="minorHAnsi" w:hAnsiTheme="minorHAnsi"/>
          <w:sz w:val="24"/>
        </w:rPr>
        <w:t xml:space="preserve"> </w:t>
      </w:r>
      <w:r w:rsidRPr="00080333">
        <w:rPr>
          <w:rFonts w:asciiTheme="minorHAnsi" w:hAnsiTheme="minorHAnsi"/>
          <w:sz w:val="24"/>
        </w:rPr>
        <w:t>pro porovnání nevýznamné</w:t>
      </w:r>
      <w:r w:rsidR="003176DC" w:rsidRPr="00BA102A">
        <w:rPr>
          <w:rFonts w:asciiTheme="minorHAnsi" w:hAnsiTheme="minorHAnsi"/>
          <w:sz w:val="24"/>
        </w:rPr>
        <w:t>.</w:t>
      </w:r>
      <w:r w:rsidR="003124BA" w:rsidRPr="00BA102A">
        <w:rPr>
          <w:rFonts w:asciiTheme="minorHAnsi" w:hAnsiTheme="minorHAnsi"/>
          <w:sz w:val="24"/>
        </w:rPr>
        <w:t xml:space="preserve"> </w:t>
      </w:r>
    </w:p>
    <w:p w14:paraId="62D0721C" w14:textId="77777777" w:rsidR="00511320" w:rsidRPr="00080333" w:rsidRDefault="00511320" w:rsidP="00511320">
      <w:pPr>
        <w:rPr>
          <w:rFonts w:asciiTheme="minorHAnsi" w:hAnsiTheme="minorHAnsi" w:cstheme="minorHAnsi"/>
          <w:sz w:val="24"/>
        </w:rPr>
      </w:pPr>
    </w:p>
    <w:p w14:paraId="65622E8C" w14:textId="4E95F2AD" w:rsidR="00910169" w:rsidRPr="00910169" w:rsidRDefault="00910169" w:rsidP="00511320">
      <w:pPr>
        <w:rPr>
          <w:rFonts w:asciiTheme="minorHAnsi" w:hAnsiTheme="minorHAnsi" w:cstheme="minorHAnsi"/>
          <w:sz w:val="24"/>
        </w:rPr>
      </w:pPr>
      <w:r w:rsidRPr="00910169">
        <w:rPr>
          <w:rFonts w:asciiTheme="minorHAnsi" w:hAnsiTheme="minorHAnsi" w:cstheme="minorHAnsi"/>
          <w:sz w:val="24"/>
        </w:rPr>
        <w:t>V souvislosti s ověřováním nastavení rozpočtov</w:t>
      </w:r>
      <w:r w:rsidR="00605E41">
        <w:rPr>
          <w:rFonts w:asciiTheme="minorHAnsi" w:hAnsiTheme="minorHAnsi" w:cstheme="minorHAnsi"/>
          <w:sz w:val="24"/>
        </w:rPr>
        <w:t xml:space="preserve">aných </w:t>
      </w:r>
      <w:r w:rsidRPr="00910169">
        <w:rPr>
          <w:rFonts w:asciiTheme="minorHAnsi" w:hAnsiTheme="minorHAnsi" w:cstheme="minorHAnsi"/>
          <w:sz w:val="24"/>
        </w:rPr>
        <w:t xml:space="preserve">příjmů bylo zjištěno, že </w:t>
      </w:r>
      <w:r w:rsidR="00927E77">
        <w:rPr>
          <w:rFonts w:asciiTheme="minorHAnsi" w:hAnsiTheme="minorHAnsi" w:cstheme="minorHAnsi"/>
          <w:sz w:val="24"/>
        </w:rPr>
        <w:t>GŘ</w:t>
      </w:r>
      <w:r w:rsidRPr="00910169">
        <w:rPr>
          <w:rFonts w:asciiTheme="minorHAnsi" w:hAnsiTheme="minorHAnsi" w:cstheme="minorHAnsi"/>
          <w:sz w:val="24"/>
        </w:rPr>
        <w:t xml:space="preserve"> v letech 2013</w:t>
      </w:r>
      <w:r w:rsidR="001E5299">
        <w:rPr>
          <w:rFonts w:asciiTheme="minorHAnsi" w:hAnsiTheme="minorHAnsi" w:cstheme="minorHAnsi"/>
          <w:sz w:val="24"/>
        </w:rPr>
        <w:t> </w:t>
      </w:r>
      <w:r w:rsidRPr="00910169">
        <w:rPr>
          <w:rFonts w:asciiTheme="minorHAnsi" w:hAnsiTheme="minorHAnsi" w:cstheme="minorHAnsi"/>
          <w:sz w:val="24"/>
        </w:rPr>
        <w:t xml:space="preserve">a 2014 podhodnocovalo položku rozpočtu </w:t>
      </w:r>
      <w:r w:rsidRPr="00910169">
        <w:rPr>
          <w:rFonts w:asciiTheme="minorHAnsi" w:hAnsiTheme="minorHAnsi" w:cstheme="minorHAnsi"/>
          <w:i/>
          <w:sz w:val="24"/>
        </w:rPr>
        <w:t xml:space="preserve">Příjmy </w:t>
      </w:r>
      <w:r w:rsidR="00AF3C8F">
        <w:rPr>
          <w:rFonts w:asciiTheme="minorHAnsi" w:hAnsiTheme="minorHAnsi" w:cstheme="minorHAnsi"/>
          <w:i/>
          <w:sz w:val="24"/>
        </w:rPr>
        <w:t>z </w:t>
      </w:r>
      <w:r w:rsidRPr="00910169">
        <w:rPr>
          <w:rFonts w:asciiTheme="minorHAnsi" w:hAnsiTheme="minorHAnsi" w:cstheme="minorHAnsi"/>
          <w:i/>
          <w:sz w:val="24"/>
        </w:rPr>
        <w:t>pronájmu majetku</w:t>
      </w:r>
      <w:r w:rsidRPr="00910169">
        <w:rPr>
          <w:rFonts w:asciiTheme="minorHAnsi" w:hAnsiTheme="minorHAnsi" w:cstheme="minorHAnsi"/>
          <w:sz w:val="24"/>
        </w:rPr>
        <w:t>. Například pro HZS</w:t>
      </w:r>
      <w:r w:rsidR="001E5299">
        <w:rPr>
          <w:rFonts w:asciiTheme="minorHAnsi" w:hAnsiTheme="minorHAnsi" w:cstheme="minorHAnsi"/>
          <w:sz w:val="24"/>
        </w:rPr>
        <w:t> </w:t>
      </w:r>
      <w:r w:rsidRPr="00910169">
        <w:rPr>
          <w:rFonts w:asciiTheme="minorHAnsi" w:hAnsiTheme="minorHAnsi" w:cstheme="minorHAnsi"/>
          <w:sz w:val="24"/>
        </w:rPr>
        <w:t xml:space="preserve">Praha nerozpočtovalo příjmy této položky ve schváleném ani </w:t>
      </w:r>
      <w:r w:rsidR="00AF3C8F">
        <w:rPr>
          <w:rFonts w:asciiTheme="minorHAnsi" w:hAnsiTheme="minorHAnsi" w:cstheme="minorHAnsi"/>
          <w:sz w:val="24"/>
        </w:rPr>
        <w:t>v </w:t>
      </w:r>
      <w:r w:rsidRPr="00910169">
        <w:rPr>
          <w:rFonts w:asciiTheme="minorHAnsi" w:hAnsiTheme="minorHAnsi" w:cstheme="minorHAnsi"/>
          <w:sz w:val="24"/>
        </w:rPr>
        <w:t xml:space="preserve">konečném rozpočtu, přestože HZS Praha na základě uzavřených nájemních smluv vykazoval pravidelné příjmy z pronájmu nemovitostí. </w:t>
      </w:r>
      <w:r w:rsidR="00AF3C8F">
        <w:rPr>
          <w:rFonts w:asciiTheme="minorHAnsi" w:hAnsiTheme="minorHAnsi" w:cstheme="minorHAnsi"/>
          <w:sz w:val="24"/>
        </w:rPr>
        <w:t>V </w:t>
      </w:r>
      <w:r w:rsidRPr="00910169">
        <w:rPr>
          <w:rFonts w:asciiTheme="minorHAnsi" w:hAnsiTheme="minorHAnsi" w:cstheme="minorHAnsi"/>
          <w:sz w:val="24"/>
        </w:rPr>
        <w:t>roce 2013 byl tento příjem ve výši 940 tis. Kč a v roce 2014 ve výši 943 tis. Kč.</w:t>
      </w:r>
    </w:p>
    <w:p w14:paraId="48CC2502" w14:textId="77777777" w:rsidR="00C1751A" w:rsidRDefault="00C1751A" w:rsidP="009937C0">
      <w:pPr>
        <w:rPr>
          <w:rFonts w:asciiTheme="minorHAnsi" w:hAnsiTheme="minorHAnsi" w:cstheme="minorHAnsi"/>
          <w:b/>
          <w:bCs/>
        </w:rPr>
      </w:pPr>
    </w:p>
    <w:p w14:paraId="4A9CD57A" w14:textId="77777777" w:rsidR="00A63821" w:rsidRDefault="00DE0602" w:rsidP="00A63821">
      <w:pPr>
        <w:rPr>
          <w:rFonts w:asciiTheme="minorHAnsi" w:hAnsiTheme="minorHAnsi" w:cstheme="minorHAnsi"/>
          <w:b/>
          <w:bCs/>
          <w:sz w:val="24"/>
        </w:rPr>
      </w:pPr>
      <w:r w:rsidRPr="003443B7">
        <w:rPr>
          <w:rFonts w:asciiTheme="minorHAnsi" w:hAnsiTheme="minorHAnsi" w:cstheme="minorHAnsi"/>
          <w:b/>
          <w:bCs/>
          <w:sz w:val="24"/>
        </w:rPr>
        <w:t>Mimorozpočtové příjmy</w:t>
      </w:r>
      <w:r w:rsidR="003443B7">
        <w:rPr>
          <w:rFonts w:asciiTheme="minorHAnsi" w:hAnsiTheme="minorHAnsi" w:cstheme="minorHAnsi"/>
          <w:b/>
          <w:bCs/>
          <w:sz w:val="24"/>
        </w:rPr>
        <w:t xml:space="preserve"> </w:t>
      </w:r>
      <w:r w:rsidR="003443B7">
        <w:rPr>
          <w:rFonts w:asciiTheme="minorHAnsi" w:hAnsiTheme="minorHAnsi" w:cstheme="minorHAnsi"/>
          <w:b/>
          <w:sz w:val="24"/>
        </w:rPr>
        <w:t>kontrolovaných HZSK</w:t>
      </w:r>
    </w:p>
    <w:p w14:paraId="284B3B82" w14:textId="0D761073" w:rsidR="0075637C" w:rsidRDefault="00AF3C8F" w:rsidP="00A63821">
      <w:pPr>
        <w:spacing w:before="120"/>
        <w:rPr>
          <w:rFonts w:ascii="Calibri" w:eastAsiaTheme="minorHAnsi" w:hAnsi="Calibri" w:cs="Calibri"/>
          <w:sz w:val="24"/>
        </w:rPr>
      </w:pPr>
      <w:r>
        <w:rPr>
          <w:rFonts w:ascii="Calibri" w:eastAsiaTheme="minorHAnsi" w:hAnsi="Calibri" w:cs="Calibri"/>
          <w:sz w:val="24"/>
        </w:rPr>
        <w:t>V </w:t>
      </w:r>
      <w:r w:rsidR="0075637C" w:rsidRPr="00EF785F">
        <w:rPr>
          <w:rFonts w:ascii="Calibri" w:eastAsiaTheme="minorHAnsi" w:hAnsi="Calibri" w:cs="Calibri"/>
          <w:sz w:val="24"/>
        </w:rPr>
        <w:t xml:space="preserve">souladu </w:t>
      </w:r>
      <w:r>
        <w:rPr>
          <w:rFonts w:ascii="Calibri" w:eastAsiaTheme="minorHAnsi" w:hAnsi="Calibri" w:cs="Calibri"/>
          <w:sz w:val="24"/>
        </w:rPr>
        <w:t>s </w:t>
      </w:r>
      <w:r w:rsidR="0075637C" w:rsidRPr="00EF785F">
        <w:rPr>
          <w:rFonts w:ascii="Calibri" w:eastAsiaTheme="minorHAnsi" w:hAnsi="Calibri" w:cs="Calibri"/>
          <w:sz w:val="24"/>
        </w:rPr>
        <w:t>§ 45 odst. 11 zákona č. 218/2000 Sb.</w:t>
      </w:r>
      <w:r w:rsidR="0075637C">
        <w:rPr>
          <w:rStyle w:val="Znakapoznpodarou"/>
          <w:rFonts w:ascii="Calibri" w:eastAsiaTheme="minorHAnsi" w:hAnsi="Calibri" w:cs="Calibri"/>
          <w:sz w:val="24"/>
        </w:rPr>
        <w:footnoteReference w:id="11"/>
      </w:r>
      <w:r w:rsidR="0075637C" w:rsidRPr="00EF785F">
        <w:rPr>
          <w:rFonts w:ascii="Calibri" w:eastAsiaTheme="minorHAnsi" w:hAnsi="Calibri" w:cs="Calibri"/>
          <w:sz w:val="24"/>
        </w:rPr>
        <w:t xml:space="preserve"> </w:t>
      </w:r>
      <w:r w:rsidR="0075637C">
        <w:rPr>
          <w:rFonts w:ascii="Calibri" w:eastAsiaTheme="minorHAnsi" w:hAnsi="Calibri" w:cs="Calibri"/>
          <w:sz w:val="24"/>
        </w:rPr>
        <w:t>moh</w:t>
      </w:r>
      <w:r w:rsidR="00B137DA">
        <w:rPr>
          <w:rFonts w:ascii="Calibri" w:eastAsiaTheme="minorHAnsi" w:hAnsi="Calibri" w:cs="Calibri"/>
          <w:sz w:val="24"/>
        </w:rPr>
        <w:t>ou</w:t>
      </w:r>
      <w:r w:rsidR="0075637C">
        <w:rPr>
          <w:rFonts w:ascii="Calibri" w:eastAsiaTheme="minorHAnsi" w:hAnsi="Calibri" w:cs="Calibri"/>
          <w:sz w:val="24"/>
        </w:rPr>
        <w:t xml:space="preserve"> být příjmy za služby </w:t>
      </w:r>
      <w:r w:rsidR="00B137DA">
        <w:rPr>
          <w:rFonts w:ascii="Calibri" w:eastAsiaTheme="minorHAnsi" w:hAnsi="Calibri" w:cs="Calibri"/>
          <w:sz w:val="24"/>
        </w:rPr>
        <w:t>poskytované</w:t>
      </w:r>
      <w:r w:rsidR="00B137DA" w:rsidRPr="00EF785F">
        <w:rPr>
          <w:rFonts w:ascii="Calibri" w:eastAsiaTheme="minorHAnsi" w:hAnsi="Calibri" w:cs="Calibri"/>
          <w:sz w:val="24"/>
        </w:rPr>
        <w:t xml:space="preserve"> </w:t>
      </w:r>
      <w:r w:rsidR="00B137DA" w:rsidRPr="0075637C">
        <w:rPr>
          <w:rFonts w:ascii="Calibri" w:eastAsiaTheme="minorHAnsi" w:hAnsi="Calibri" w:cs="Calibri"/>
          <w:sz w:val="24"/>
        </w:rPr>
        <w:t>podle zákona č. 133/1985 Sb</w:t>
      </w:r>
      <w:r w:rsidR="00B137DA">
        <w:rPr>
          <w:rFonts w:ascii="Calibri" w:eastAsiaTheme="minorHAnsi" w:hAnsi="Calibri" w:cs="Calibri"/>
          <w:sz w:val="24"/>
        </w:rPr>
        <w:t xml:space="preserve">. </w:t>
      </w:r>
      <w:r w:rsidR="0075637C" w:rsidRPr="00EF785F">
        <w:rPr>
          <w:rFonts w:ascii="Calibri" w:eastAsiaTheme="minorHAnsi" w:hAnsi="Calibri" w:cs="Calibri"/>
          <w:sz w:val="24"/>
        </w:rPr>
        <w:t>použ</w:t>
      </w:r>
      <w:r w:rsidR="0075637C">
        <w:rPr>
          <w:rFonts w:ascii="Calibri" w:eastAsiaTheme="minorHAnsi" w:hAnsi="Calibri" w:cs="Calibri"/>
          <w:sz w:val="24"/>
        </w:rPr>
        <w:t>ity</w:t>
      </w:r>
      <w:r w:rsidR="0075637C" w:rsidRPr="00EF785F">
        <w:rPr>
          <w:rFonts w:ascii="Calibri" w:eastAsiaTheme="minorHAnsi" w:hAnsi="Calibri" w:cs="Calibri"/>
          <w:sz w:val="24"/>
        </w:rPr>
        <w:t xml:space="preserve"> k</w:t>
      </w:r>
      <w:r w:rsidR="0075637C">
        <w:rPr>
          <w:rFonts w:ascii="Calibri" w:eastAsiaTheme="minorHAnsi" w:hAnsi="Calibri" w:cs="Calibri"/>
          <w:sz w:val="24"/>
        </w:rPr>
        <w:t> </w:t>
      </w:r>
      <w:r w:rsidR="0075637C" w:rsidRPr="00EF785F">
        <w:rPr>
          <w:rFonts w:ascii="Calibri" w:eastAsiaTheme="minorHAnsi" w:hAnsi="Calibri" w:cs="Calibri"/>
          <w:sz w:val="24"/>
        </w:rPr>
        <w:t>posílení provozních výdajů formou povoleného p</w:t>
      </w:r>
      <w:r w:rsidR="0075637C">
        <w:rPr>
          <w:rFonts w:ascii="Calibri" w:eastAsiaTheme="minorHAnsi" w:hAnsi="Calibri" w:cs="Calibri"/>
          <w:sz w:val="24"/>
        </w:rPr>
        <w:t xml:space="preserve">řekročení rozpočtových limitů. </w:t>
      </w:r>
    </w:p>
    <w:p w14:paraId="71B69388" w14:textId="77777777" w:rsidR="00511320" w:rsidRPr="00BA102A" w:rsidRDefault="00511320" w:rsidP="00511320">
      <w:pPr>
        <w:rPr>
          <w:rFonts w:asciiTheme="minorHAnsi" w:eastAsiaTheme="minorHAnsi" w:hAnsiTheme="minorHAnsi"/>
          <w:b/>
          <w:sz w:val="24"/>
        </w:rPr>
      </w:pPr>
    </w:p>
    <w:p w14:paraId="30FA6A53" w14:textId="71F1B2F4" w:rsidR="000F5A67" w:rsidRDefault="000F5A67" w:rsidP="00511320">
      <w:pPr>
        <w:rPr>
          <w:rFonts w:ascii="Calibri" w:eastAsiaTheme="minorHAnsi" w:hAnsi="Calibri" w:cs="Calibri"/>
          <w:sz w:val="24"/>
        </w:rPr>
      </w:pPr>
      <w:r>
        <w:rPr>
          <w:rFonts w:ascii="Calibri" w:eastAsiaTheme="minorHAnsi" w:hAnsi="Calibri" w:cs="Calibri"/>
          <w:sz w:val="24"/>
        </w:rPr>
        <w:t>Kromě příjmů za výše</w:t>
      </w:r>
      <w:r w:rsidRPr="00494936">
        <w:rPr>
          <w:rFonts w:ascii="Calibri" w:eastAsiaTheme="minorHAnsi" w:hAnsi="Calibri" w:cs="Calibri"/>
          <w:sz w:val="24"/>
        </w:rPr>
        <w:t xml:space="preserve"> popsané zásahy u </w:t>
      </w:r>
      <w:r w:rsidR="00EF68B1">
        <w:rPr>
          <w:rFonts w:ascii="Calibri" w:eastAsiaTheme="minorHAnsi" w:hAnsi="Calibri" w:cs="Calibri"/>
          <w:sz w:val="24"/>
        </w:rPr>
        <w:t>dopravních nehod</w:t>
      </w:r>
      <w:r w:rsidRPr="00494936">
        <w:rPr>
          <w:rFonts w:ascii="Calibri" w:eastAsiaTheme="minorHAnsi" w:hAnsi="Calibri" w:cs="Calibri"/>
          <w:sz w:val="24"/>
        </w:rPr>
        <w:t xml:space="preserve"> </w:t>
      </w:r>
      <w:r w:rsidRPr="00EF785F">
        <w:rPr>
          <w:rFonts w:ascii="Calibri" w:eastAsiaTheme="minorHAnsi" w:hAnsi="Calibri" w:cs="Calibri"/>
          <w:sz w:val="24"/>
        </w:rPr>
        <w:t>mají HZSK na základě novely zákona č. 238/2000</w:t>
      </w:r>
      <w:r w:rsidR="00416AEA">
        <w:rPr>
          <w:rFonts w:ascii="Calibri" w:eastAsiaTheme="minorHAnsi" w:hAnsi="Calibri" w:cs="Calibri"/>
          <w:sz w:val="24"/>
        </w:rPr>
        <w:t> </w:t>
      </w:r>
      <w:r w:rsidRPr="00EF785F">
        <w:rPr>
          <w:rFonts w:ascii="Calibri" w:eastAsiaTheme="minorHAnsi" w:hAnsi="Calibri" w:cs="Calibri"/>
          <w:sz w:val="24"/>
        </w:rPr>
        <w:t>Sb</w:t>
      </w:r>
      <w:r>
        <w:rPr>
          <w:rFonts w:ascii="Calibri" w:eastAsiaTheme="minorHAnsi" w:hAnsi="Calibri" w:cs="Calibri"/>
          <w:sz w:val="24"/>
        </w:rPr>
        <w:t xml:space="preserve">. také právo na úhradu nákladů </w:t>
      </w:r>
      <w:r w:rsidRPr="00494936">
        <w:rPr>
          <w:rFonts w:ascii="Calibri" w:eastAsiaTheme="minorHAnsi" w:hAnsi="Calibri" w:cs="Calibri"/>
          <w:sz w:val="24"/>
        </w:rPr>
        <w:t xml:space="preserve">za zásahy </w:t>
      </w:r>
      <w:r w:rsidRPr="00986F07">
        <w:rPr>
          <w:rFonts w:ascii="Calibri" w:eastAsiaTheme="minorHAnsi" w:hAnsi="Calibri" w:cs="Calibri"/>
          <w:sz w:val="24"/>
        </w:rPr>
        <w:t>vyvolané úmyslným jednáním osob. O nároku na úhradu těchto nákladů rozhoduj</w:t>
      </w:r>
      <w:r w:rsidRPr="00EF785F">
        <w:rPr>
          <w:rFonts w:ascii="Calibri" w:eastAsiaTheme="minorHAnsi" w:hAnsi="Calibri" w:cs="Calibri"/>
          <w:sz w:val="24"/>
        </w:rPr>
        <w:t xml:space="preserve">e příslušný orgán, který ve věci vydal pravomocné rozhodnutí nebo pravomocný rozsudek. </w:t>
      </w:r>
      <w:r>
        <w:rPr>
          <w:rFonts w:ascii="Calibri" w:eastAsiaTheme="minorHAnsi" w:hAnsi="Calibri" w:cs="Calibri"/>
          <w:sz w:val="24"/>
        </w:rPr>
        <w:t xml:space="preserve">Výše náhrad byla stanovena stejně jako v případě zásahů u </w:t>
      </w:r>
      <w:r w:rsidR="00EF68B1">
        <w:rPr>
          <w:rFonts w:ascii="Calibri" w:eastAsiaTheme="minorHAnsi" w:hAnsi="Calibri" w:cs="Calibri"/>
          <w:sz w:val="24"/>
        </w:rPr>
        <w:t>dopravních nehod</w:t>
      </w:r>
      <w:r>
        <w:rPr>
          <w:rFonts w:ascii="Calibri" w:eastAsiaTheme="minorHAnsi" w:hAnsi="Calibri" w:cs="Calibri"/>
          <w:sz w:val="24"/>
        </w:rPr>
        <w:t xml:space="preserve"> </w:t>
      </w:r>
      <w:r w:rsidRPr="00EF785F">
        <w:rPr>
          <w:rFonts w:ascii="Calibri" w:eastAsiaTheme="minorHAnsi" w:hAnsi="Calibri" w:cs="Calibri"/>
          <w:sz w:val="24"/>
        </w:rPr>
        <w:t>paušální částkou ve výši 5 600 </w:t>
      </w:r>
      <w:r>
        <w:rPr>
          <w:rFonts w:ascii="Calibri" w:eastAsiaTheme="minorHAnsi" w:hAnsi="Calibri" w:cs="Calibri"/>
          <w:sz w:val="24"/>
        </w:rPr>
        <w:t>Kč. U</w:t>
      </w:r>
      <w:r w:rsidRPr="00494936">
        <w:rPr>
          <w:rFonts w:ascii="Calibri" w:eastAsiaTheme="minorHAnsi" w:hAnsi="Calibri" w:cs="Calibri"/>
          <w:sz w:val="24"/>
        </w:rPr>
        <w:t xml:space="preserve"> kontrolovaných HZSK vznikl v kontrolovaném období pouze jeden nárok na náhradu nákladů zásahu, </w:t>
      </w:r>
      <w:r w:rsidR="00890135">
        <w:rPr>
          <w:rFonts w:ascii="Calibri" w:eastAsiaTheme="minorHAnsi" w:hAnsi="Calibri" w:cs="Calibri"/>
          <w:sz w:val="24"/>
        </w:rPr>
        <w:t>který však nebyl uhrazen.</w:t>
      </w:r>
    </w:p>
    <w:p w14:paraId="0446AFD0" w14:textId="77777777" w:rsidR="00511320" w:rsidRDefault="00511320" w:rsidP="00511320">
      <w:pPr>
        <w:rPr>
          <w:rFonts w:asciiTheme="minorHAnsi" w:hAnsiTheme="minorHAnsi" w:cstheme="minorHAnsi"/>
          <w:sz w:val="24"/>
        </w:rPr>
      </w:pPr>
    </w:p>
    <w:p w14:paraId="27A28D85" w14:textId="606047C9" w:rsidR="00B137DA" w:rsidRPr="00A41065" w:rsidRDefault="00794AD3" w:rsidP="00511320">
      <w:pPr>
        <w:rPr>
          <w:rFonts w:ascii="Calibri" w:hAnsi="Calibri" w:cs="Calibri"/>
          <w:sz w:val="24"/>
        </w:rPr>
      </w:pPr>
      <w:r>
        <w:rPr>
          <w:rFonts w:asciiTheme="minorHAnsi" w:hAnsiTheme="minorHAnsi" w:cstheme="minorHAnsi"/>
          <w:sz w:val="24"/>
        </w:rPr>
        <w:t xml:space="preserve">Dalším mimorozpočtovým příjmem jsou výše popsané příjmy za služby poskytované v souvislosti s připojením na PCO a </w:t>
      </w:r>
      <w:r w:rsidR="00B137DA">
        <w:rPr>
          <w:rFonts w:asciiTheme="minorHAnsi" w:hAnsiTheme="minorHAnsi" w:cstheme="minorHAnsi"/>
          <w:sz w:val="24"/>
        </w:rPr>
        <w:t xml:space="preserve">pohotovostní </w:t>
      </w:r>
      <w:r w:rsidR="009C47EE">
        <w:rPr>
          <w:rFonts w:asciiTheme="minorHAnsi" w:hAnsiTheme="minorHAnsi" w:cstheme="minorHAnsi"/>
          <w:sz w:val="24"/>
        </w:rPr>
        <w:t xml:space="preserve">a jiné </w:t>
      </w:r>
      <w:r>
        <w:rPr>
          <w:rFonts w:asciiTheme="minorHAnsi" w:hAnsiTheme="minorHAnsi" w:cstheme="minorHAnsi"/>
          <w:sz w:val="24"/>
        </w:rPr>
        <w:t>služby</w:t>
      </w:r>
      <w:r w:rsidR="00B137DA">
        <w:rPr>
          <w:rFonts w:asciiTheme="minorHAnsi" w:hAnsiTheme="minorHAnsi" w:cstheme="minorHAnsi"/>
          <w:sz w:val="24"/>
        </w:rPr>
        <w:t>, které mohou HZSK</w:t>
      </w:r>
      <w:r>
        <w:rPr>
          <w:rFonts w:asciiTheme="minorHAnsi" w:hAnsiTheme="minorHAnsi" w:cstheme="minorHAnsi"/>
          <w:sz w:val="24"/>
        </w:rPr>
        <w:t xml:space="preserve"> poskytova</w:t>
      </w:r>
      <w:r w:rsidR="00B137DA">
        <w:rPr>
          <w:rFonts w:asciiTheme="minorHAnsi" w:hAnsiTheme="minorHAnsi" w:cstheme="minorHAnsi"/>
          <w:sz w:val="24"/>
        </w:rPr>
        <w:t xml:space="preserve">t </w:t>
      </w:r>
      <w:r w:rsidR="00B137DA">
        <w:rPr>
          <w:rFonts w:ascii="Calibri" w:hAnsi="Calibri" w:cs="Calibri"/>
          <w:sz w:val="24"/>
        </w:rPr>
        <w:t>na základě ustanovení</w:t>
      </w:r>
      <w:r>
        <w:rPr>
          <w:rFonts w:ascii="Calibri" w:hAnsi="Calibri" w:cs="Calibri"/>
          <w:sz w:val="24"/>
        </w:rPr>
        <w:t xml:space="preserve"> § 97 zákona č. 133/1985 Sb.</w:t>
      </w:r>
      <w:r w:rsidR="00B137DA" w:rsidRPr="00B137DA">
        <w:rPr>
          <w:rFonts w:ascii="Calibri" w:hAnsi="Calibri" w:cs="Calibri"/>
          <w:sz w:val="24"/>
        </w:rPr>
        <w:t xml:space="preserve"> </w:t>
      </w:r>
      <w:r w:rsidR="00B137DA" w:rsidRPr="00A41065">
        <w:rPr>
          <w:rFonts w:ascii="Calibri" w:hAnsi="Calibri" w:cs="Calibri"/>
          <w:sz w:val="24"/>
        </w:rPr>
        <w:t xml:space="preserve">Celkové příjmy kontrolovaných HZSK za </w:t>
      </w:r>
      <w:r w:rsidR="00647083">
        <w:rPr>
          <w:rFonts w:ascii="Calibri" w:hAnsi="Calibri" w:cs="Calibri"/>
          <w:sz w:val="24"/>
        </w:rPr>
        <w:t>pohotovostní a</w:t>
      </w:r>
      <w:r w:rsidR="00B137DA" w:rsidRPr="00A41065">
        <w:rPr>
          <w:rFonts w:ascii="Calibri" w:hAnsi="Calibri" w:cs="Calibri"/>
          <w:sz w:val="24"/>
        </w:rPr>
        <w:t xml:space="preserve"> </w:t>
      </w:r>
      <w:r w:rsidR="00B137DA">
        <w:rPr>
          <w:rFonts w:ascii="Calibri" w:hAnsi="Calibri" w:cs="Calibri"/>
          <w:sz w:val="24"/>
        </w:rPr>
        <w:t xml:space="preserve">ostatní </w:t>
      </w:r>
      <w:r w:rsidR="00B137DA" w:rsidRPr="00A41065">
        <w:rPr>
          <w:rFonts w:ascii="Calibri" w:hAnsi="Calibri" w:cs="Calibri"/>
          <w:sz w:val="24"/>
        </w:rPr>
        <w:t xml:space="preserve">služby v letech 2013 a 2014 byly ve výši </w:t>
      </w:r>
      <w:r w:rsidR="00B137DA" w:rsidRPr="00A41065">
        <w:rPr>
          <w:rFonts w:ascii="Calibri" w:hAnsi="Calibri" w:cs="Calibri"/>
          <w:color w:val="000000"/>
          <w:sz w:val="24"/>
        </w:rPr>
        <w:t>1 66</w:t>
      </w:r>
      <w:r w:rsidR="00B137DA">
        <w:rPr>
          <w:rFonts w:ascii="Calibri" w:hAnsi="Calibri" w:cs="Calibri"/>
          <w:color w:val="000000"/>
          <w:sz w:val="24"/>
        </w:rPr>
        <w:t>6</w:t>
      </w:r>
      <w:r w:rsidR="00B70C96">
        <w:rPr>
          <w:rFonts w:ascii="Calibri" w:hAnsi="Calibri" w:cs="Calibri"/>
          <w:color w:val="000000"/>
          <w:sz w:val="24"/>
        </w:rPr>
        <w:t> </w:t>
      </w:r>
      <w:r w:rsidR="00B137DA">
        <w:rPr>
          <w:rFonts w:ascii="Calibri" w:hAnsi="Calibri" w:cs="Calibri"/>
          <w:color w:val="000000"/>
          <w:sz w:val="24"/>
        </w:rPr>
        <w:t>905</w:t>
      </w:r>
      <w:r w:rsidR="00B70C96">
        <w:rPr>
          <w:rFonts w:ascii="Calibri" w:hAnsi="Calibri" w:cs="Calibri"/>
          <w:color w:val="000000"/>
          <w:sz w:val="24"/>
        </w:rPr>
        <w:t> </w:t>
      </w:r>
      <w:r w:rsidR="00B137DA" w:rsidRPr="00A41065">
        <w:rPr>
          <w:rFonts w:ascii="Calibri" w:hAnsi="Calibri" w:cs="Calibri"/>
          <w:color w:val="000000"/>
          <w:sz w:val="24"/>
        </w:rPr>
        <w:t>Kč</w:t>
      </w:r>
      <w:r w:rsidR="00B70C96">
        <w:rPr>
          <w:rFonts w:ascii="Calibri" w:hAnsi="Calibri" w:cs="Calibri"/>
          <w:color w:val="000000"/>
          <w:sz w:val="24"/>
        </w:rPr>
        <w:t xml:space="preserve"> a u </w:t>
      </w:r>
      <w:r w:rsidR="00B066B7">
        <w:rPr>
          <w:rFonts w:ascii="Calibri" w:hAnsi="Calibri" w:cs="Calibri"/>
          <w:color w:val="000000"/>
          <w:sz w:val="24"/>
        </w:rPr>
        <w:t xml:space="preserve">jednotlivých HZSK se pohybovaly od 0 Kč do </w:t>
      </w:r>
      <w:r w:rsidR="00B137DA" w:rsidRPr="00A41065">
        <w:rPr>
          <w:rFonts w:ascii="Calibri" w:hAnsi="Calibri" w:cs="Calibri"/>
          <w:color w:val="000000"/>
          <w:sz w:val="24"/>
        </w:rPr>
        <w:t>1 407 305 Kč.</w:t>
      </w:r>
    </w:p>
    <w:p w14:paraId="11CDCF25" w14:textId="702EFCC6" w:rsidR="000F5A67" w:rsidRDefault="000F5A67" w:rsidP="0047367A">
      <w:pPr>
        <w:rPr>
          <w:rFonts w:asciiTheme="minorHAnsi" w:hAnsiTheme="minorHAnsi" w:cstheme="minorHAnsi"/>
          <w:sz w:val="24"/>
        </w:rPr>
      </w:pPr>
    </w:p>
    <w:p w14:paraId="4E02918C" w14:textId="522C5F7E" w:rsidR="00127ABB" w:rsidRDefault="00FE6D27" w:rsidP="00127ABB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Následující tabulka uvádí přehled mimorozpočtových příjmů</w:t>
      </w:r>
      <w:r w:rsidR="009616AA">
        <w:rPr>
          <w:rFonts w:asciiTheme="minorHAnsi" w:hAnsiTheme="minorHAnsi" w:cstheme="minorHAnsi"/>
          <w:sz w:val="24"/>
        </w:rPr>
        <w:t xml:space="preserve"> kontrolovaných HZSK </w:t>
      </w:r>
      <w:r w:rsidR="007173E2">
        <w:rPr>
          <w:rFonts w:asciiTheme="minorHAnsi" w:hAnsiTheme="minorHAnsi" w:cstheme="minorHAnsi"/>
          <w:sz w:val="24"/>
        </w:rPr>
        <w:t>za kontrolované období let 2013 a 2014.</w:t>
      </w:r>
    </w:p>
    <w:p w14:paraId="26D36527" w14:textId="77777777" w:rsidR="00511320" w:rsidRDefault="00511320" w:rsidP="00127ABB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0E160842" w14:textId="698BB63B" w:rsidR="006A1FEC" w:rsidRPr="00F146E7" w:rsidRDefault="006A1FEC" w:rsidP="00511320">
      <w:pPr>
        <w:tabs>
          <w:tab w:val="right" w:pos="9070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Tabulka č. </w:t>
      </w:r>
      <w:r w:rsidR="003443B7">
        <w:rPr>
          <w:rFonts w:asciiTheme="minorHAnsi" w:hAnsiTheme="minorHAnsi" w:cstheme="minorHAnsi"/>
          <w:b/>
          <w:sz w:val="24"/>
        </w:rPr>
        <w:t>8</w:t>
      </w:r>
      <w:r>
        <w:rPr>
          <w:rFonts w:asciiTheme="minorHAnsi" w:hAnsiTheme="minorHAnsi" w:cstheme="minorHAnsi"/>
          <w:b/>
          <w:sz w:val="24"/>
        </w:rPr>
        <w:t> </w:t>
      </w:r>
      <w:r w:rsidR="001E5299">
        <w:rPr>
          <w:rFonts w:asciiTheme="minorHAnsi" w:hAnsiTheme="minorHAnsi" w:cstheme="minorHAnsi"/>
          <w:b/>
          <w:sz w:val="24"/>
        </w:rPr>
        <w:t>–</w:t>
      </w:r>
      <w:r>
        <w:rPr>
          <w:rFonts w:asciiTheme="minorHAnsi" w:hAnsiTheme="minorHAnsi" w:cstheme="minorHAnsi"/>
          <w:b/>
          <w:sz w:val="24"/>
        </w:rPr>
        <w:t> </w:t>
      </w:r>
      <w:r w:rsidRPr="00F146E7">
        <w:rPr>
          <w:rFonts w:asciiTheme="minorHAnsi" w:hAnsiTheme="minorHAnsi" w:cstheme="minorHAnsi"/>
          <w:b/>
          <w:sz w:val="24"/>
        </w:rPr>
        <w:t xml:space="preserve">Přehled </w:t>
      </w:r>
      <w:r>
        <w:rPr>
          <w:rFonts w:asciiTheme="minorHAnsi" w:hAnsiTheme="minorHAnsi" w:cstheme="minorHAnsi"/>
          <w:b/>
          <w:sz w:val="24"/>
        </w:rPr>
        <w:t>mimorozpočtových</w:t>
      </w:r>
      <w:r w:rsidRPr="00F146E7">
        <w:rPr>
          <w:rFonts w:asciiTheme="minorHAnsi" w:hAnsiTheme="minorHAnsi" w:cstheme="minorHAnsi"/>
          <w:b/>
          <w:sz w:val="24"/>
        </w:rPr>
        <w:t xml:space="preserve"> příjmů </w:t>
      </w:r>
      <w:r w:rsidR="00416AEA">
        <w:rPr>
          <w:rFonts w:asciiTheme="minorHAnsi" w:hAnsiTheme="minorHAnsi" w:cstheme="minorHAnsi"/>
          <w:b/>
          <w:sz w:val="24"/>
        </w:rPr>
        <w:t>za roky 2013 a 2014</w:t>
      </w:r>
      <w:r w:rsidRPr="00F146E7">
        <w:rPr>
          <w:rFonts w:asciiTheme="minorHAnsi" w:hAnsiTheme="minorHAnsi" w:cstheme="minorHAnsi"/>
          <w:b/>
          <w:sz w:val="24"/>
        </w:rPr>
        <w:tab/>
        <w:t>(v tis. Kč)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1090"/>
        <w:gridCol w:w="1091"/>
        <w:gridCol w:w="1090"/>
        <w:gridCol w:w="1091"/>
        <w:gridCol w:w="1091"/>
      </w:tblGrid>
      <w:tr w:rsidR="00CE326A" w:rsidRPr="00C35579" w14:paraId="67DE3FE0" w14:textId="05C804ED" w:rsidTr="0019015B">
        <w:trPr>
          <w:trHeight w:val="455"/>
        </w:trPr>
        <w:tc>
          <w:tcPr>
            <w:tcW w:w="3619" w:type="dxa"/>
            <w:shd w:val="clear" w:color="auto" w:fill="DBE5F1" w:themeFill="accent1" w:themeFillTint="33"/>
            <w:vAlign w:val="center"/>
            <w:hideMark/>
          </w:tcPr>
          <w:p w14:paraId="7E4790AF" w14:textId="77777777" w:rsidR="00CE326A" w:rsidRPr="00F61AF6" w:rsidRDefault="00CE326A" w:rsidP="002536B3">
            <w:pPr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</w:rPr>
              <w:t>Druh příjmu</w:t>
            </w:r>
          </w:p>
        </w:tc>
        <w:tc>
          <w:tcPr>
            <w:tcW w:w="1090" w:type="dxa"/>
            <w:shd w:val="clear" w:color="auto" w:fill="DBE5F1" w:themeFill="accent1" w:themeFillTint="33"/>
            <w:vAlign w:val="center"/>
          </w:tcPr>
          <w:p w14:paraId="1A867912" w14:textId="77777777" w:rsidR="00CE326A" w:rsidRPr="00F61AF6" w:rsidRDefault="00CE326A" w:rsidP="006734C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F61AF6">
              <w:rPr>
                <w:rFonts w:asciiTheme="minorHAnsi" w:eastAsiaTheme="minorHAnsi" w:hAnsiTheme="minorHAnsi" w:cstheme="minorHAnsi"/>
                <w:b/>
                <w:szCs w:val="22"/>
              </w:rPr>
              <w:t>HZS Praha</w:t>
            </w:r>
          </w:p>
        </w:tc>
        <w:tc>
          <w:tcPr>
            <w:tcW w:w="1091" w:type="dxa"/>
            <w:shd w:val="clear" w:color="auto" w:fill="DBE5F1" w:themeFill="accent1" w:themeFillTint="33"/>
            <w:vAlign w:val="center"/>
          </w:tcPr>
          <w:p w14:paraId="33DF65CE" w14:textId="77777777" w:rsidR="00CE326A" w:rsidRPr="00F61AF6" w:rsidRDefault="00CE326A" w:rsidP="006734C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F61AF6">
              <w:rPr>
                <w:rFonts w:asciiTheme="minorHAnsi" w:eastAsiaTheme="minorHAnsi" w:hAnsiTheme="minorHAnsi" w:cstheme="minorHAnsi"/>
                <w:b/>
                <w:szCs w:val="22"/>
              </w:rPr>
              <w:t>HZS LK</w:t>
            </w:r>
          </w:p>
        </w:tc>
        <w:tc>
          <w:tcPr>
            <w:tcW w:w="1090" w:type="dxa"/>
            <w:shd w:val="clear" w:color="auto" w:fill="DBE5F1" w:themeFill="accent1" w:themeFillTint="33"/>
            <w:vAlign w:val="center"/>
          </w:tcPr>
          <w:p w14:paraId="1C516781" w14:textId="77777777" w:rsidR="00CE326A" w:rsidRPr="00F61AF6" w:rsidRDefault="00CE326A" w:rsidP="006734C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F61AF6">
              <w:rPr>
                <w:rFonts w:asciiTheme="minorHAnsi" w:eastAsiaTheme="minorHAnsi" w:hAnsiTheme="minorHAnsi" w:cstheme="minorHAnsi"/>
                <w:b/>
                <w:szCs w:val="22"/>
              </w:rPr>
              <w:t>HZS JMK</w:t>
            </w:r>
          </w:p>
        </w:tc>
        <w:tc>
          <w:tcPr>
            <w:tcW w:w="1091" w:type="dxa"/>
            <w:shd w:val="clear" w:color="auto" w:fill="DBE5F1" w:themeFill="accent1" w:themeFillTint="33"/>
            <w:vAlign w:val="center"/>
          </w:tcPr>
          <w:p w14:paraId="79FC8744" w14:textId="77777777" w:rsidR="00CE326A" w:rsidRPr="00F61AF6" w:rsidRDefault="00CE326A" w:rsidP="006734C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F61AF6">
              <w:rPr>
                <w:rFonts w:asciiTheme="minorHAnsi" w:eastAsiaTheme="minorHAnsi" w:hAnsiTheme="minorHAnsi" w:cstheme="minorHAnsi"/>
                <w:b/>
                <w:szCs w:val="22"/>
              </w:rPr>
              <w:t>HZS PK</w:t>
            </w:r>
          </w:p>
        </w:tc>
        <w:tc>
          <w:tcPr>
            <w:tcW w:w="1091" w:type="dxa"/>
            <w:shd w:val="clear" w:color="auto" w:fill="DBE5F1" w:themeFill="accent1" w:themeFillTint="33"/>
            <w:vAlign w:val="center"/>
          </w:tcPr>
          <w:p w14:paraId="65719CF6" w14:textId="1C849755" w:rsidR="00CE326A" w:rsidRPr="00F61AF6" w:rsidRDefault="00CE326A" w:rsidP="006734C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</w:rPr>
              <w:t>ZÚ</w:t>
            </w:r>
          </w:p>
        </w:tc>
      </w:tr>
      <w:tr w:rsidR="00CE326A" w:rsidRPr="00C35579" w14:paraId="5C072A16" w14:textId="529F714B" w:rsidTr="006734C1">
        <w:trPr>
          <w:trHeight w:val="284"/>
        </w:trPr>
        <w:tc>
          <w:tcPr>
            <w:tcW w:w="3619" w:type="dxa"/>
            <w:shd w:val="clear" w:color="000000" w:fill="FFFFFF"/>
            <w:noWrap/>
            <w:vAlign w:val="center"/>
            <w:hideMark/>
          </w:tcPr>
          <w:p w14:paraId="54455E19" w14:textId="5EAB3FE5" w:rsidR="00CE326A" w:rsidRPr="00CE326A" w:rsidRDefault="00CE326A" w:rsidP="002536B3">
            <w:pPr>
              <w:rPr>
                <w:rFonts w:asciiTheme="minorHAnsi" w:eastAsiaTheme="minorHAnsi" w:hAnsiTheme="minorHAnsi" w:cstheme="minorHAnsi"/>
                <w:bCs/>
                <w:szCs w:val="22"/>
              </w:rPr>
            </w:pPr>
            <w:r w:rsidRPr="00CE326A">
              <w:rPr>
                <w:rFonts w:asciiTheme="minorHAnsi" w:eastAsiaTheme="minorHAnsi" w:hAnsiTheme="minorHAnsi" w:cstheme="minorHAnsi"/>
                <w:bCs/>
                <w:szCs w:val="22"/>
              </w:rPr>
              <w:t xml:space="preserve">Zásahy u </w:t>
            </w:r>
            <w:r w:rsidR="00EF68B1">
              <w:rPr>
                <w:rFonts w:asciiTheme="minorHAnsi" w:eastAsiaTheme="minorHAnsi" w:hAnsiTheme="minorHAnsi" w:cstheme="minorHAnsi"/>
                <w:bCs/>
                <w:szCs w:val="22"/>
              </w:rPr>
              <w:t>dopravních nehod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14:paraId="0437CA3D" w14:textId="20642AF0" w:rsidR="00CE326A" w:rsidRPr="00A15A62" w:rsidRDefault="00C27D07" w:rsidP="006734C1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7 234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14:paraId="6B5641E0" w14:textId="6F7FE75B" w:rsidR="00CE326A" w:rsidRPr="00A15A62" w:rsidRDefault="00C27D07" w:rsidP="006734C1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9 881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14:paraId="672A25A9" w14:textId="18DB753D" w:rsidR="00CE326A" w:rsidRPr="00A15A62" w:rsidRDefault="00C27D07" w:rsidP="006734C1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24 750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14:paraId="56F3A4D3" w14:textId="3DCFFF3F" w:rsidR="00CE326A" w:rsidRPr="00A15A62" w:rsidRDefault="00C27D07" w:rsidP="006734C1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9 552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14:paraId="49CA219D" w14:textId="362D5D48" w:rsidR="00CE326A" w:rsidRPr="00A15A62" w:rsidRDefault="00C27D07" w:rsidP="006734C1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207</w:t>
            </w:r>
          </w:p>
        </w:tc>
      </w:tr>
      <w:tr w:rsidR="00CE326A" w:rsidRPr="00C35579" w14:paraId="29B9E021" w14:textId="0C9CC958" w:rsidTr="006734C1">
        <w:trPr>
          <w:trHeight w:val="284"/>
        </w:trPr>
        <w:tc>
          <w:tcPr>
            <w:tcW w:w="3619" w:type="dxa"/>
            <w:shd w:val="clear" w:color="000000" w:fill="FFFFFF"/>
            <w:vAlign w:val="center"/>
          </w:tcPr>
          <w:p w14:paraId="5191C650" w14:textId="69EE4FFB" w:rsidR="00CE326A" w:rsidRPr="00CE326A" w:rsidRDefault="00CE326A" w:rsidP="006A1FEC">
            <w:pPr>
              <w:rPr>
                <w:rFonts w:asciiTheme="minorHAnsi" w:eastAsiaTheme="minorHAnsi" w:hAnsiTheme="minorHAnsi" w:cstheme="minorHAnsi"/>
                <w:bCs/>
                <w:szCs w:val="22"/>
              </w:rPr>
            </w:pPr>
            <w:r w:rsidRPr="00CE326A">
              <w:rPr>
                <w:rFonts w:asciiTheme="minorHAnsi" w:hAnsiTheme="minorHAnsi" w:cstheme="minorHAnsi"/>
                <w:szCs w:val="22"/>
              </w:rPr>
              <w:t>Služby související s PCO</w:t>
            </w:r>
            <w:r w:rsidRPr="00CE326A">
              <w:rPr>
                <w:rFonts w:asciiTheme="minorHAnsi" w:eastAsiaTheme="minorHAnsi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14:paraId="6071CB92" w14:textId="17A5B0C3" w:rsidR="002E0384" w:rsidRPr="00A15A62" w:rsidRDefault="002E0384" w:rsidP="006734C1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3 060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14:paraId="089B7815" w14:textId="7885F052" w:rsidR="00CE326A" w:rsidRPr="00A15A62" w:rsidRDefault="00CE326A" w:rsidP="006734C1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18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14:paraId="4F5A8183" w14:textId="7B3BA3EC" w:rsidR="00CE326A" w:rsidRPr="00A15A62" w:rsidRDefault="00CE326A" w:rsidP="006734C1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cs-CZ"/>
              </w:rPr>
              <w:t>27</w:t>
            </w:r>
            <w:r w:rsidR="007173E2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  <w:lang w:eastAsia="cs-CZ"/>
              </w:rPr>
              <w:t>664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14:paraId="5E276E28" w14:textId="3A0C8162" w:rsidR="00CE326A" w:rsidRPr="00A15A62" w:rsidRDefault="00CE326A" w:rsidP="006734C1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8</w:t>
            </w:r>
            <w:r w:rsidR="007173E2">
              <w:rPr>
                <w:rFonts w:asciiTheme="minorHAnsi" w:eastAsia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Cs w:val="22"/>
              </w:rPr>
              <w:t>276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14:paraId="75E4DB7B" w14:textId="2FDAD80A" w:rsidR="00CE326A" w:rsidRDefault="001E5299" w:rsidP="006734C1">
            <w:pPr>
              <w:tabs>
                <w:tab w:val="left" w:pos="1064"/>
              </w:tabs>
              <w:ind w:right="71"/>
              <w:jc w:val="right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–</w:t>
            </w:r>
          </w:p>
        </w:tc>
      </w:tr>
      <w:tr w:rsidR="00CE326A" w:rsidRPr="00C35579" w14:paraId="14364435" w14:textId="67C4E575" w:rsidTr="006734C1">
        <w:trPr>
          <w:trHeight w:val="284"/>
        </w:trPr>
        <w:tc>
          <w:tcPr>
            <w:tcW w:w="3619" w:type="dxa"/>
            <w:shd w:val="clear" w:color="000000" w:fill="FFFFFF"/>
            <w:vAlign w:val="center"/>
          </w:tcPr>
          <w:p w14:paraId="5AD82588" w14:textId="7ACAEA4C" w:rsidR="00CE326A" w:rsidRPr="00CE326A" w:rsidRDefault="00CE326A" w:rsidP="009C47EE">
            <w:pPr>
              <w:rPr>
                <w:rFonts w:asciiTheme="minorHAnsi" w:eastAsiaTheme="minorHAnsi" w:hAnsiTheme="minorHAnsi" w:cstheme="minorHAnsi"/>
                <w:bCs/>
                <w:szCs w:val="22"/>
              </w:rPr>
            </w:pPr>
            <w:r w:rsidRPr="00CE326A">
              <w:rPr>
                <w:rFonts w:asciiTheme="minorHAnsi" w:hAnsiTheme="minorHAnsi" w:cstheme="minorHAnsi"/>
                <w:szCs w:val="22"/>
              </w:rPr>
              <w:t xml:space="preserve">Pohotovostní a </w:t>
            </w:r>
            <w:r w:rsidR="009C47EE">
              <w:rPr>
                <w:rFonts w:asciiTheme="minorHAnsi" w:hAnsiTheme="minorHAnsi" w:cstheme="minorHAnsi"/>
                <w:szCs w:val="22"/>
              </w:rPr>
              <w:t>jiné</w:t>
            </w:r>
            <w:r w:rsidRPr="00CE326A">
              <w:rPr>
                <w:rFonts w:asciiTheme="minorHAnsi" w:hAnsiTheme="minorHAnsi" w:cstheme="minorHAnsi"/>
                <w:szCs w:val="22"/>
              </w:rPr>
              <w:t xml:space="preserve"> služby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14:paraId="3124C08D" w14:textId="4E42412D" w:rsidR="00CE326A" w:rsidRDefault="00CE326A" w:rsidP="006734C1">
            <w:pPr>
              <w:tabs>
                <w:tab w:val="left" w:pos="1064"/>
              </w:tabs>
              <w:ind w:right="7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14:paraId="69FBBB82" w14:textId="26D28D0F" w:rsidR="00CE326A" w:rsidRDefault="007173E2" w:rsidP="006734C1">
            <w:pPr>
              <w:ind w:right="7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14:paraId="795565B5" w14:textId="6CE95D40" w:rsidR="00CE326A" w:rsidRDefault="007173E2" w:rsidP="006734C1">
            <w:pPr>
              <w:ind w:right="7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1 407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14:paraId="5C2BB7C7" w14:textId="4F41FA71" w:rsidR="00CE326A" w:rsidRDefault="007173E2" w:rsidP="006734C1">
            <w:pPr>
              <w:tabs>
                <w:tab w:val="left" w:pos="1064"/>
              </w:tabs>
              <w:ind w:right="7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14:paraId="07A3A960" w14:textId="4A68A560" w:rsidR="00CE326A" w:rsidRDefault="001F60BE" w:rsidP="006734C1">
            <w:pPr>
              <w:ind w:right="71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</w:t>
            </w:r>
          </w:p>
        </w:tc>
      </w:tr>
    </w:tbl>
    <w:p w14:paraId="5FBB6187" w14:textId="799ED2F8" w:rsidR="00CE326A" w:rsidRPr="00C12DFE" w:rsidRDefault="00C12DFE" w:rsidP="00CE326A">
      <w:pPr>
        <w:rPr>
          <w:rFonts w:ascii="Calibri" w:eastAsiaTheme="minorHAnsi" w:hAnsi="Calibri" w:cs="Calibri"/>
          <w:sz w:val="20"/>
          <w:szCs w:val="20"/>
        </w:rPr>
      </w:pPr>
      <w:r w:rsidRPr="00C12DFE">
        <w:rPr>
          <w:rFonts w:ascii="Calibri" w:eastAsiaTheme="minorHAnsi" w:hAnsi="Calibri" w:cs="Calibri"/>
          <w:b/>
          <w:sz w:val="20"/>
          <w:szCs w:val="20"/>
        </w:rPr>
        <w:t>Zdroj</w:t>
      </w:r>
      <w:r w:rsidRPr="0019015B">
        <w:rPr>
          <w:rFonts w:ascii="Calibri" w:eastAsiaTheme="minorHAnsi" w:hAnsi="Calibri" w:cs="Calibri"/>
          <w:b/>
          <w:sz w:val="20"/>
          <w:szCs w:val="20"/>
        </w:rPr>
        <w:t xml:space="preserve">: </w:t>
      </w:r>
      <w:r w:rsidR="001E5299" w:rsidRPr="0019015B">
        <w:rPr>
          <w:rFonts w:ascii="Calibri" w:eastAsiaTheme="minorHAnsi" w:hAnsi="Calibri" w:cs="Calibri"/>
          <w:sz w:val="20"/>
          <w:szCs w:val="20"/>
        </w:rPr>
        <w:t>údaje</w:t>
      </w:r>
      <w:r w:rsidR="001E5299">
        <w:rPr>
          <w:rFonts w:ascii="Calibri" w:eastAsiaTheme="minorHAnsi" w:hAnsi="Calibri" w:cs="Calibri"/>
          <w:b/>
          <w:sz w:val="20"/>
          <w:szCs w:val="20"/>
        </w:rPr>
        <w:t xml:space="preserve"> </w:t>
      </w:r>
      <w:r>
        <w:rPr>
          <w:rFonts w:ascii="Calibri" w:eastAsiaTheme="minorHAnsi" w:hAnsi="Calibri" w:cs="Calibri"/>
          <w:sz w:val="20"/>
          <w:szCs w:val="20"/>
        </w:rPr>
        <w:t>kontrolovan</w:t>
      </w:r>
      <w:r w:rsidR="001E5299">
        <w:rPr>
          <w:rFonts w:ascii="Calibri" w:eastAsiaTheme="minorHAnsi" w:hAnsi="Calibri" w:cs="Calibri"/>
          <w:sz w:val="20"/>
          <w:szCs w:val="20"/>
        </w:rPr>
        <w:t>ých</w:t>
      </w:r>
      <w:r>
        <w:rPr>
          <w:rFonts w:ascii="Calibri" w:eastAsiaTheme="minorHAnsi" w:hAnsi="Calibri" w:cs="Calibri"/>
          <w:sz w:val="20"/>
          <w:szCs w:val="20"/>
        </w:rPr>
        <w:t xml:space="preserve"> </w:t>
      </w:r>
      <w:r w:rsidRPr="00C12DFE">
        <w:rPr>
          <w:rFonts w:ascii="Calibri" w:eastAsiaTheme="minorHAnsi" w:hAnsi="Calibri" w:cs="Calibri"/>
          <w:sz w:val="20"/>
          <w:szCs w:val="20"/>
        </w:rPr>
        <w:t>HZSK</w:t>
      </w:r>
      <w:r>
        <w:rPr>
          <w:rFonts w:ascii="Calibri" w:eastAsiaTheme="minorHAnsi" w:hAnsi="Calibri" w:cs="Calibri"/>
          <w:sz w:val="20"/>
          <w:szCs w:val="20"/>
        </w:rPr>
        <w:t>.</w:t>
      </w:r>
    </w:p>
    <w:p w14:paraId="2010594C" w14:textId="77777777" w:rsidR="00C12DFE" w:rsidRDefault="00C12DFE" w:rsidP="004E1F59">
      <w:pPr>
        <w:rPr>
          <w:rFonts w:asciiTheme="minorHAnsi" w:hAnsiTheme="minorHAnsi" w:cstheme="minorHAnsi"/>
          <w:bCs/>
          <w:sz w:val="24"/>
        </w:rPr>
      </w:pPr>
    </w:p>
    <w:p w14:paraId="68862BA1" w14:textId="0E6FAC6F" w:rsidR="003F1527" w:rsidRPr="00454ABA" w:rsidRDefault="00AF3C8F" w:rsidP="004E1F59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>S </w:t>
      </w:r>
      <w:r w:rsidR="009536E2" w:rsidRPr="00454ABA">
        <w:rPr>
          <w:rFonts w:asciiTheme="minorHAnsi" w:hAnsiTheme="minorHAnsi" w:cstheme="minorHAnsi"/>
          <w:b/>
          <w:bCs/>
          <w:sz w:val="24"/>
        </w:rPr>
        <w:t>výjimkou</w:t>
      </w:r>
      <w:r w:rsidR="00494936" w:rsidRPr="00454ABA">
        <w:rPr>
          <w:rFonts w:asciiTheme="minorHAnsi" w:hAnsiTheme="minorHAnsi" w:cstheme="minorHAnsi"/>
          <w:b/>
          <w:bCs/>
          <w:sz w:val="24"/>
        </w:rPr>
        <w:t xml:space="preserve"> ZÚ jsou činnosti kontrolovaných HZSK srovnatelné, přesto </w:t>
      </w:r>
      <w:r w:rsidR="001E5299">
        <w:rPr>
          <w:rFonts w:asciiTheme="minorHAnsi" w:hAnsiTheme="minorHAnsi" w:cstheme="minorHAnsi"/>
          <w:b/>
          <w:bCs/>
          <w:sz w:val="24"/>
        </w:rPr>
        <w:t>byly zjištěny</w:t>
      </w:r>
      <w:r w:rsidR="00494936" w:rsidRPr="00454ABA">
        <w:rPr>
          <w:rFonts w:asciiTheme="minorHAnsi" w:hAnsiTheme="minorHAnsi" w:cstheme="minorHAnsi"/>
          <w:b/>
          <w:bCs/>
          <w:sz w:val="24"/>
        </w:rPr>
        <w:t xml:space="preserve"> velké rozdíly ve výši mimorozpočtových příjmů</w:t>
      </w:r>
      <w:r w:rsidR="00BF2F90">
        <w:rPr>
          <w:rFonts w:asciiTheme="minorHAnsi" w:hAnsiTheme="minorHAnsi" w:cstheme="minorHAnsi"/>
          <w:b/>
          <w:bCs/>
          <w:sz w:val="24"/>
        </w:rPr>
        <w:t xml:space="preserve">. Tyto rozdíly byly způsobeny odlišnými </w:t>
      </w:r>
      <w:r w:rsidR="00494936" w:rsidRPr="00454ABA">
        <w:rPr>
          <w:rFonts w:asciiTheme="minorHAnsi" w:hAnsiTheme="minorHAnsi" w:cstheme="minorHAnsi"/>
          <w:b/>
          <w:bCs/>
          <w:sz w:val="24"/>
        </w:rPr>
        <w:t>přístup</w:t>
      </w:r>
      <w:r w:rsidR="001E5299">
        <w:rPr>
          <w:rFonts w:asciiTheme="minorHAnsi" w:hAnsiTheme="minorHAnsi" w:cstheme="minorHAnsi"/>
          <w:b/>
          <w:bCs/>
          <w:sz w:val="24"/>
        </w:rPr>
        <w:t>y</w:t>
      </w:r>
      <w:r w:rsidR="00494936" w:rsidRPr="00454ABA">
        <w:rPr>
          <w:rFonts w:asciiTheme="minorHAnsi" w:hAnsiTheme="minorHAnsi" w:cstheme="minorHAnsi"/>
          <w:b/>
          <w:bCs/>
          <w:sz w:val="24"/>
        </w:rPr>
        <w:t xml:space="preserve"> jednotlivých HZSK </w:t>
      </w:r>
      <w:r w:rsidR="009536E2" w:rsidRPr="00454ABA">
        <w:rPr>
          <w:rFonts w:asciiTheme="minorHAnsi" w:hAnsiTheme="minorHAnsi" w:cstheme="minorHAnsi"/>
          <w:b/>
          <w:bCs/>
          <w:sz w:val="24"/>
        </w:rPr>
        <w:t xml:space="preserve">při uplatňování náhrad </w:t>
      </w:r>
      <w:r w:rsidR="009536E2" w:rsidRPr="00454ABA">
        <w:rPr>
          <w:rFonts w:ascii="Calibri" w:hAnsi="Calibri" w:cs="Calibri"/>
          <w:b/>
          <w:sz w:val="24"/>
        </w:rPr>
        <w:t>vynaložených nákladů za poskytnuté služby.</w:t>
      </w:r>
    </w:p>
    <w:p w14:paraId="0F62E4CB" w14:textId="77777777" w:rsidR="002243E4" w:rsidRDefault="002243E4" w:rsidP="00147C45">
      <w:pPr>
        <w:rPr>
          <w:rFonts w:asciiTheme="minorHAnsi" w:hAnsiTheme="minorHAnsi" w:cstheme="minorHAnsi"/>
          <w:b/>
          <w:bCs/>
        </w:rPr>
      </w:pPr>
    </w:p>
    <w:p w14:paraId="0F1A4B66" w14:textId="77777777" w:rsidR="005E52EC" w:rsidRPr="00FD3BF7" w:rsidRDefault="005E52EC" w:rsidP="001E5299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C</w:t>
      </w:r>
      <w:r w:rsidRPr="00FD3BF7">
        <w:rPr>
          <w:rFonts w:asciiTheme="minorHAnsi" w:hAnsiTheme="minorHAnsi" w:cstheme="minorHAnsi"/>
          <w:b/>
          <w:bCs/>
          <w:sz w:val="24"/>
        </w:rPr>
        <w:t>entralizované zadávání veřejných zakázek a centrální nákup</w:t>
      </w:r>
      <w:r>
        <w:rPr>
          <w:rFonts w:asciiTheme="minorHAnsi" w:hAnsiTheme="minorHAnsi" w:cstheme="minorHAnsi"/>
          <w:b/>
          <w:bCs/>
          <w:sz w:val="24"/>
        </w:rPr>
        <w:t>y</w:t>
      </w:r>
    </w:p>
    <w:p w14:paraId="5C97A650" w14:textId="77777777" w:rsidR="009937C0" w:rsidRDefault="009937C0" w:rsidP="009937C0">
      <w:pPr>
        <w:rPr>
          <w:rFonts w:ascii="Calibri" w:hAnsi="Calibri" w:cs="Calibri"/>
          <w:sz w:val="24"/>
        </w:rPr>
      </w:pPr>
    </w:p>
    <w:p w14:paraId="6EC8CC1C" w14:textId="18173D1C" w:rsidR="005E52EC" w:rsidRDefault="00BF2F90" w:rsidP="00CB2EB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Výběr dodavatelů specializované požární techniky, pohonných hmot a dále například i požárnických uniforem, triček a ponožek realizuje GŘ centrálně pro všechny</w:t>
      </w:r>
      <w:r w:rsidRPr="007C1305">
        <w:rPr>
          <w:rFonts w:ascii="Calibri" w:hAnsi="Calibri" w:cs="Calibri"/>
          <w:sz w:val="24"/>
        </w:rPr>
        <w:t xml:space="preserve"> </w:t>
      </w:r>
      <w:r w:rsidRPr="003F1527">
        <w:rPr>
          <w:rFonts w:ascii="Calibri" w:hAnsi="Calibri" w:cs="Calibri"/>
          <w:sz w:val="24"/>
        </w:rPr>
        <w:t xml:space="preserve">organizační složky </w:t>
      </w:r>
      <w:r>
        <w:rPr>
          <w:rFonts w:ascii="Calibri" w:hAnsi="Calibri" w:cs="Calibri"/>
          <w:sz w:val="24"/>
        </w:rPr>
        <w:t xml:space="preserve">HZS. </w:t>
      </w:r>
      <w:r w:rsidR="005E52EC">
        <w:rPr>
          <w:rFonts w:ascii="Calibri" w:hAnsi="Calibri" w:cs="Calibri"/>
          <w:sz w:val="24"/>
        </w:rPr>
        <w:t xml:space="preserve">Při kontrole bylo zjištěno, že se </w:t>
      </w:r>
      <w:r w:rsidR="00927E77">
        <w:rPr>
          <w:rFonts w:ascii="Calibri" w:hAnsi="Calibri" w:cs="Calibri"/>
          <w:sz w:val="24"/>
        </w:rPr>
        <w:t>GŘ</w:t>
      </w:r>
      <w:r w:rsidR="005E52EC">
        <w:rPr>
          <w:rFonts w:ascii="Calibri" w:hAnsi="Calibri" w:cs="Calibri"/>
          <w:sz w:val="24"/>
        </w:rPr>
        <w:t xml:space="preserve"> </w:t>
      </w:r>
      <w:r w:rsidR="005E52EC" w:rsidRPr="004D0519">
        <w:rPr>
          <w:rFonts w:ascii="Calibri" w:hAnsi="Calibri" w:cs="Calibri"/>
          <w:sz w:val="24"/>
        </w:rPr>
        <w:t>nepodíl</w:t>
      </w:r>
      <w:r w:rsidR="005E52EC">
        <w:rPr>
          <w:rFonts w:ascii="Calibri" w:hAnsi="Calibri" w:cs="Calibri"/>
          <w:sz w:val="24"/>
        </w:rPr>
        <w:t>elo</w:t>
      </w:r>
      <w:r w:rsidR="005E52EC" w:rsidRPr="004D0519">
        <w:rPr>
          <w:rFonts w:ascii="Calibri" w:hAnsi="Calibri" w:cs="Calibri"/>
          <w:sz w:val="24"/>
        </w:rPr>
        <w:t xml:space="preserve"> na výběru dodavatelů a specifikaci předmětu dodávek při pořízení zásahového vybavení, např. oblek</w:t>
      </w:r>
      <w:r w:rsidR="005E52EC">
        <w:rPr>
          <w:rFonts w:ascii="Calibri" w:hAnsi="Calibri" w:cs="Calibri"/>
          <w:sz w:val="24"/>
        </w:rPr>
        <w:t>ů</w:t>
      </w:r>
      <w:r w:rsidR="005E52EC" w:rsidRPr="004D0519">
        <w:rPr>
          <w:rFonts w:ascii="Calibri" w:hAnsi="Calibri" w:cs="Calibri"/>
          <w:sz w:val="24"/>
        </w:rPr>
        <w:t>, obuv</w:t>
      </w:r>
      <w:r w:rsidR="005E52EC">
        <w:rPr>
          <w:rFonts w:ascii="Calibri" w:hAnsi="Calibri" w:cs="Calibri"/>
          <w:sz w:val="24"/>
        </w:rPr>
        <w:t>i</w:t>
      </w:r>
      <w:r w:rsidR="005E52EC" w:rsidRPr="004D0519">
        <w:rPr>
          <w:rFonts w:ascii="Calibri" w:hAnsi="Calibri" w:cs="Calibri"/>
          <w:sz w:val="24"/>
        </w:rPr>
        <w:t>, rukavic a</w:t>
      </w:r>
      <w:r w:rsidR="00422D8C">
        <w:rPr>
          <w:rFonts w:ascii="Calibri" w:hAnsi="Calibri" w:cs="Calibri"/>
          <w:sz w:val="24"/>
        </w:rPr>
        <w:t> </w:t>
      </w:r>
      <w:r w:rsidR="005E52EC" w:rsidRPr="004D0519">
        <w:rPr>
          <w:rFonts w:ascii="Calibri" w:hAnsi="Calibri" w:cs="Calibri"/>
          <w:sz w:val="24"/>
        </w:rPr>
        <w:t>přil</w:t>
      </w:r>
      <w:r w:rsidR="005E52EC">
        <w:rPr>
          <w:rFonts w:ascii="Calibri" w:hAnsi="Calibri" w:cs="Calibri"/>
          <w:sz w:val="24"/>
        </w:rPr>
        <w:t>e</w:t>
      </w:r>
      <w:r w:rsidR="005E52EC" w:rsidRPr="004D0519">
        <w:rPr>
          <w:rFonts w:ascii="Calibri" w:hAnsi="Calibri" w:cs="Calibri"/>
          <w:sz w:val="24"/>
        </w:rPr>
        <w:t>b</w:t>
      </w:r>
      <w:r w:rsidR="005E52EC">
        <w:rPr>
          <w:rFonts w:ascii="Calibri" w:hAnsi="Calibri" w:cs="Calibri"/>
          <w:sz w:val="24"/>
        </w:rPr>
        <w:t>,</w:t>
      </w:r>
      <w:r w:rsidR="000F3523">
        <w:rPr>
          <w:rFonts w:ascii="Calibri" w:hAnsi="Calibri" w:cs="Calibri"/>
          <w:sz w:val="24"/>
        </w:rPr>
        <w:t xml:space="preserve"> </w:t>
      </w:r>
      <w:r w:rsidR="005E52EC">
        <w:rPr>
          <w:rFonts w:ascii="Calibri" w:hAnsi="Calibri" w:cs="Calibri"/>
          <w:sz w:val="24"/>
        </w:rPr>
        <w:t xml:space="preserve">přestože </w:t>
      </w:r>
      <w:r w:rsidR="005E52EC" w:rsidRPr="004D0519">
        <w:rPr>
          <w:rFonts w:ascii="Calibri" w:hAnsi="Calibri" w:cs="Calibri"/>
          <w:sz w:val="24"/>
        </w:rPr>
        <w:t xml:space="preserve">se </w:t>
      </w:r>
      <w:r w:rsidR="005E52EC">
        <w:rPr>
          <w:rFonts w:ascii="Calibri" w:hAnsi="Calibri" w:cs="Calibri"/>
          <w:sz w:val="24"/>
        </w:rPr>
        <w:t xml:space="preserve">jedná </w:t>
      </w:r>
      <w:r w:rsidR="005E52EC" w:rsidRPr="004D0519">
        <w:rPr>
          <w:rFonts w:ascii="Calibri" w:hAnsi="Calibri" w:cs="Calibri"/>
          <w:sz w:val="24"/>
        </w:rPr>
        <w:t>o základní vybaven</w:t>
      </w:r>
      <w:r w:rsidR="005E52EC">
        <w:rPr>
          <w:rFonts w:ascii="Calibri" w:hAnsi="Calibri" w:cs="Calibri"/>
          <w:sz w:val="24"/>
        </w:rPr>
        <w:t>í pro cca 6 300</w:t>
      </w:r>
      <w:r w:rsidR="005E52EC" w:rsidRPr="004D0519">
        <w:rPr>
          <w:rFonts w:ascii="Calibri" w:hAnsi="Calibri" w:cs="Calibri"/>
          <w:sz w:val="24"/>
        </w:rPr>
        <w:t xml:space="preserve"> příslušníků </w:t>
      </w:r>
      <w:r w:rsidR="00DA7297">
        <w:rPr>
          <w:rFonts w:ascii="Calibri" w:hAnsi="Calibri" w:cs="Calibri"/>
          <w:sz w:val="24"/>
        </w:rPr>
        <w:t xml:space="preserve">HZS. </w:t>
      </w:r>
      <w:r w:rsidR="005E52EC">
        <w:rPr>
          <w:rFonts w:ascii="Calibri" w:hAnsi="Calibri" w:cs="Calibri"/>
          <w:sz w:val="24"/>
        </w:rPr>
        <w:t xml:space="preserve">Například </w:t>
      </w:r>
      <w:r w:rsidR="005E52EC" w:rsidRPr="003764C1">
        <w:rPr>
          <w:rFonts w:ascii="Calibri" w:hAnsi="Calibri" w:cs="Calibri"/>
          <w:sz w:val="24"/>
        </w:rPr>
        <w:t>v</w:t>
      </w:r>
      <w:r w:rsidR="007D0F2B">
        <w:rPr>
          <w:rFonts w:ascii="Calibri" w:hAnsi="Calibri" w:cs="Calibri"/>
          <w:sz w:val="24"/>
        </w:rPr>
        <w:t> </w:t>
      </w:r>
      <w:r w:rsidR="005E52EC" w:rsidRPr="003764C1">
        <w:rPr>
          <w:rFonts w:ascii="Calibri" w:hAnsi="Calibri" w:cs="Calibri"/>
          <w:sz w:val="24"/>
        </w:rPr>
        <w:t>letech</w:t>
      </w:r>
      <w:r w:rsidR="007D0F2B">
        <w:rPr>
          <w:rFonts w:ascii="Calibri" w:hAnsi="Calibri" w:cs="Calibri"/>
          <w:sz w:val="24"/>
        </w:rPr>
        <w:t xml:space="preserve"> </w:t>
      </w:r>
      <w:r w:rsidR="007D0F2B">
        <w:rPr>
          <w:rFonts w:ascii="Calibri" w:hAnsi="Calibri" w:cs="Calibri"/>
          <w:sz w:val="24"/>
        </w:rPr>
        <w:br/>
      </w:r>
      <w:r w:rsidR="005E52EC" w:rsidRPr="003764C1">
        <w:rPr>
          <w:rFonts w:ascii="Calibri" w:hAnsi="Calibri" w:cs="Calibri"/>
          <w:sz w:val="24"/>
        </w:rPr>
        <w:t>2013</w:t>
      </w:r>
      <w:r w:rsidR="007B3856">
        <w:rPr>
          <w:rFonts w:ascii="Calibri" w:hAnsi="Calibri" w:cs="Calibri"/>
          <w:sz w:val="24"/>
        </w:rPr>
        <w:t>–</w:t>
      </w:r>
      <w:r w:rsidR="005E52EC" w:rsidRPr="003764C1">
        <w:rPr>
          <w:rFonts w:ascii="Calibri" w:hAnsi="Calibri" w:cs="Calibri"/>
          <w:sz w:val="24"/>
        </w:rPr>
        <w:t>2014</w:t>
      </w:r>
      <w:r w:rsidR="005E52EC">
        <w:rPr>
          <w:rFonts w:ascii="Calibri" w:hAnsi="Calibri" w:cs="Calibri"/>
          <w:sz w:val="24"/>
        </w:rPr>
        <w:t xml:space="preserve"> k</w:t>
      </w:r>
      <w:r w:rsidR="005E52EC" w:rsidRPr="003764C1">
        <w:rPr>
          <w:rFonts w:ascii="Calibri" w:hAnsi="Calibri" w:cs="Calibri"/>
          <w:sz w:val="24"/>
        </w:rPr>
        <w:t>ontrolované osoby pořídily celkem 761 vícevrstvých zásahových obleků v celkové ceně 11</w:t>
      </w:r>
      <w:r w:rsidR="005E52EC">
        <w:rPr>
          <w:rFonts w:ascii="Calibri" w:hAnsi="Calibri" w:cs="Calibri"/>
          <w:sz w:val="24"/>
        </w:rPr>
        <w:t>,</w:t>
      </w:r>
      <w:r w:rsidR="005E52EC" w:rsidRPr="003764C1">
        <w:rPr>
          <w:rFonts w:ascii="Calibri" w:hAnsi="Calibri" w:cs="Calibri"/>
          <w:sz w:val="24"/>
        </w:rPr>
        <w:t>1</w:t>
      </w:r>
      <w:r w:rsidR="00B70C96">
        <w:rPr>
          <w:rFonts w:ascii="Calibri" w:hAnsi="Calibri" w:cs="Calibri"/>
          <w:sz w:val="24"/>
        </w:rPr>
        <w:t> </w:t>
      </w:r>
      <w:r w:rsidR="005E52EC">
        <w:rPr>
          <w:rFonts w:ascii="Calibri" w:hAnsi="Calibri" w:cs="Calibri"/>
          <w:sz w:val="24"/>
        </w:rPr>
        <w:t>mil.</w:t>
      </w:r>
      <w:r w:rsidR="005E52EC" w:rsidRPr="003764C1">
        <w:rPr>
          <w:rFonts w:ascii="Calibri" w:hAnsi="Calibri" w:cs="Calibri"/>
          <w:sz w:val="24"/>
        </w:rPr>
        <w:t xml:space="preserve"> Kč</w:t>
      </w:r>
      <w:r w:rsidR="005E52EC">
        <w:rPr>
          <w:rFonts w:ascii="Calibri" w:hAnsi="Calibri" w:cs="Calibri"/>
          <w:sz w:val="24"/>
        </w:rPr>
        <w:t xml:space="preserve"> a </w:t>
      </w:r>
      <w:r w:rsidR="005E52EC" w:rsidRPr="003764C1">
        <w:rPr>
          <w:rFonts w:ascii="Calibri" w:hAnsi="Calibri" w:cs="Calibri"/>
          <w:sz w:val="24"/>
        </w:rPr>
        <w:t xml:space="preserve">506 párů hasičské zásahové obuvi v celkové ceně </w:t>
      </w:r>
      <w:r w:rsidR="005E52EC">
        <w:rPr>
          <w:rFonts w:ascii="Calibri" w:hAnsi="Calibri" w:cs="Calibri"/>
          <w:sz w:val="24"/>
        </w:rPr>
        <w:t xml:space="preserve">2,5 mil. </w:t>
      </w:r>
      <w:r w:rsidR="005E52EC" w:rsidRPr="003764C1">
        <w:rPr>
          <w:rFonts w:ascii="Calibri" w:hAnsi="Calibri" w:cs="Calibri"/>
          <w:sz w:val="24"/>
        </w:rPr>
        <w:t>Kč</w:t>
      </w:r>
      <w:r w:rsidR="005E52EC">
        <w:rPr>
          <w:rFonts w:ascii="Calibri" w:hAnsi="Calibri" w:cs="Calibri"/>
          <w:sz w:val="24"/>
        </w:rPr>
        <w:t>.</w:t>
      </w:r>
    </w:p>
    <w:p w14:paraId="01052D56" w14:textId="77777777" w:rsidR="00660ADA" w:rsidRPr="004D0519" w:rsidRDefault="00660ADA" w:rsidP="00CB2EBA">
      <w:pPr>
        <w:rPr>
          <w:rFonts w:ascii="Calibri" w:hAnsi="Calibri" w:cs="Calibri"/>
          <w:sz w:val="24"/>
        </w:rPr>
      </w:pPr>
    </w:p>
    <w:p w14:paraId="6C218996" w14:textId="7E502A52" w:rsidR="005E52EC" w:rsidRPr="002765F8" w:rsidRDefault="005E52EC" w:rsidP="00660ADA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 xml:space="preserve">Výběr dodavatelů zásahového vybavení byl vzhledem k tomu, že se u kontrolovaných osob jednalo o zakázky malého rozsahu, prováděn nejčastěji </w:t>
      </w:r>
      <w:r w:rsidRPr="00FD2B25">
        <w:rPr>
          <w:rFonts w:ascii="Calibri" w:hAnsi="Calibri" w:cs="Calibri"/>
          <w:sz w:val="24"/>
        </w:rPr>
        <w:t xml:space="preserve">oslovením tří až pěti </w:t>
      </w:r>
      <w:r>
        <w:rPr>
          <w:rFonts w:ascii="Calibri" w:hAnsi="Calibri" w:cs="Calibri"/>
          <w:sz w:val="24"/>
        </w:rPr>
        <w:t>dodavatelů</w:t>
      </w:r>
      <w:r w:rsidR="00147C45">
        <w:rPr>
          <w:rFonts w:ascii="Calibri" w:hAnsi="Calibri" w:cs="Calibri"/>
          <w:sz w:val="24"/>
        </w:rPr>
        <w:t>. V</w:t>
      </w:r>
      <w:r>
        <w:rPr>
          <w:rFonts w:ascii="Calibri" w:hAnsi="Calibri" w:cs="Calibri"/>
          <w:sz w:val="24"/>
        </w:rPr>
        <w:t xml:space="preserve"> některých případech byl </w:t>
      </w:r>
      <w:r w:rsidR="00147C45">
        <w:rPr>
          <w:rFonts w:ascii="Calibri" w:hAnsi="Calibri" w:cs="Calibri"/>
          <w:sz w:val="24"/>
        </w:rPr>
        <w:t xml:space="preserve">ale </w:t>
      </w:r>
      <w:r w:rsidRPr="00FD2B25">
        <w:rPr>
          <w:rFonts w:ascii="Calibri" w:hAnsi="Calibri" w:cs="Calibri"/>
          <w:sz w:val="24"/>
        </w:rPr>
        <w:t>osloven pouze jed</w:t>
      </w:r>
      <w:r>
        <w:rPr>
          <w:rFonts w:ascii="Calibri" w:hAnsi="Calibri" w:cs="Calibri"/>
          <w:sz w:val="24"/>
        </w:rPr>
        <w:t>e</w:t>
      </w:r>
      <w:r w:rsidRPr="00FD2B25">
        <w:rPr>
          <w:rFonts w:ascii="Calibri" w:hAnsi="Calibri" w:cs="Calibri"/>
          <w:sz w:val="24"/>
        </w:rPr>
        <w:t>n dodavatel.</w:t>
      </w:r>
      <w:r w:rsidRPr="004D51FC">
        <w:rPr>
          <w:rFonts w:ascii="Calibri" w:hAnsi="Calibri" w:cs="Calibri"/>
          <w:sz w:val="24"/>
        </w:rPr>
        <w:t xml:space="preserve"> </w:t>
      </w:r>
      <w:r w:rsidR="007F2E92" w:rsidRPr="002765F8">
        <w:rPr>
          <w:rFonts w:ascii="Calibri" w:hAnsi="Calibri" w:cs="Calibri"/>
          <w:b/>
          <w:sz w:val="24"/>
        </w:rPr>
        <w:t xml:space="preserve">Cena zásahových vícevrstvých obleků se podle typu a dodavatele pohybovala od </w:t>
      </w:r>
      <w:r w:rsidR="00A017AD">
        <w:rPr>
          <w:rFonts w:ascii="Calibri" w:hAnsi="Calibri" w:cs="Calibri"/>
          <w:b/>
          <w:sz w:val="24"/>
        </w:rPr>
        <w:t xml:space="preserve">cca 11 tis. </w:t>
      </w:r>
      <w:r w:rsidR="007F2E92" w:rsidRPr="002765F8">
        <w:rPr>
          <w:rFonts w:ascii="Calibri" w:hAnsi="Calibri" w:cs="Calibri"/>
          <w:b/>
          <w:sz w:val="24"/>
        </w:rPr>
        <w:t xml:space="preserve">Kč do 19 </w:t>
      </w:r>
      <w:r w:rsidR="00A017AD">
        <w:rPr>
          <w:rFonts w:ascii="Calibri" w:hAnsi="Calibri" w:cs="Calibri"/>
          <w:b/>
          <w:sz w:val="24"/>
        </w:rPr>
        <w:t>tis.</w:t>
      </w:r>
      <w:r w:rsidR="007F2E92" w:rsidRPr="002765F8">
        <w:rPr>
          <w:rFonts w:ascii="Calibri" w:hAnsi="Calibri" w:cs="Calibri"/>
          <w:b/>
          <w:sz w:val="24"/>
        </w:rPr>
        <w:t xml:space="preserve"> Kč. </w:t>
      </w:r>
      <w:r w:rsidRPr="002765F8">
        <w:rPr>
          <w:rFonts w:ascii="Calibri" w:hAnsi="Calibri" w:cs="Calibri"/>
          <w:b/>
          <w:sz w:val="24"/>
        </w:rPr>
        <w:t xml:space="preserve">Při pořízení stejného typu </w:t>
      </w:r>
      <w:r w:rsidR="007F2E92" w:rsidRPr="002765F8">
        <w:rPr>
          <w:rFonts w:ascii="Calibri" w:hAnsi="Calibri" w:cs="Calibri"/>
          <w:b/>
          <w:sz w:val="24"/>
        </w:rPr>
        <w:t>v</w:t>
      </w:r>
      <w:r w:rsidRPr="002765F8">
        <w:rPr>
          <w:rFonts w:ascii="Calibri" w:hAnsi="Calibri" w:cs="Calibri"/>
          <w:b/>
          <w:sz w:val="24"/>
        </w:rPr>
        <w:t xml:space="preserve">ícevrstvého zásahového obleku </w:t>
      </w:r>
      <w:r w:rsidR="007F2E92" w:rsidRPr="002765F8">
        <w:rPr>
          <w:rFonts w:ascii="Calibri" w:hAnsi="Calibri" w:cs="Calibri"/>
          <w:b/>
          <w:sz w:val="24"/>
        </w:rPr>
        <w:t xml:space="preserve">se jednotková pořizovací cena </w:t>
      </w:r>
      <w:r w:rsidR="003443B7" w:rsidRPr="002765F8">
        <w:rPr>
          <w:rFonts w:ascii="Calibri" w:hAnsi="Calibri" w:cs="Calibri"/>
          <w:b/>
          <w:sz w:val="24"/>
        </w:rPr>
        <w:t>lišila až o </w:t>
      </w:r>
      <w:r w:rsidRPr="002765F8">
        <w:rPr>
          <w:rFonts w:ascii="Calibri" w:hAnsi="Calibri" w:cs="Calibri"/>
          <w:b/>
          <w:sz w:val="24"/>
        </w:rPr>
        <w:t>3 000 Kč a u </w:t>
      </w:r>
      <w:r w:rsidR="007F2E92" w:rsidRPr="002765F8">
        <w:rPr>
          <w:rFonts w:ascii="Calibri" w:hAnsi="Calibri" w:cs="Calibri"/>
          <w:b/>
          <w:sz w:val="24"/>
        </w:rPr>
        <w:t xml:space="preserve">stejné </w:t>
      </w:r>
      <w:r w:rsidRPr="002765F8">
        <w:rPr>
          <w:rFonts w:ascii="Calibri" w:hAnsi="Calibri" w:cs="Calibri"/>
          <w:b/>
          <w:sz w:val="24"/>
        </w:rPr>
        <w:t>zásahové obuvi až o 600 Kč.</w:t>
      </w:r>
    </w:p>
    <w:p w14:paraId="3481D08E" w14:textId="77777777" w:rsidR="009937C0" w:rsidRDefault="009937C0" w:rsidP="002243E4">
      <w:pPr>
        <w:shd w:val="clear" w:color="auto" w:fill="FFFFFF"/>
        <w:rPr>
          <w:rFonts w:ascii="Calibri" w:hAnsi="Calibri" w:cs="Calibri"/>
          <w:sz w:val="24"/>
        </w:rPr>
      </w:pPr>
    </w:p>
    <w:p w14:paraId="7E2C8E50" w14:textId="7153067E" w:rsidR="00E03891" w:rsidRPr="00FF4FED" w:rsidRDefault="00E03891" w:rsidP="00BF6EAB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4"/>
        </w:rPr>
      </w:pPr>
      <w:r w:rsidRPr="00FF4FED">
        <w:rPr>
          <w:rFonts w:asciiTheme="minorHAnsi" w:hAnsiTheme="minorHAnsi" w:cstheme="minorHAnsi"/>
          <w:b/>
          <w:bCs/>
          <w:sz w:val="24"/>
        </w:rPr>
        <w:t>Nakládání s majetkem a poř</w:t>
      </w:r>
      <w:r w:rsidR="00BF6EAB">
        <w:rPr>
          <w:rFonts w:asciiTheme="minorHAnsi" w:hAnsiTheme="minorHAnsi" w:cstheme="minorHAnsi"/>
          <w:b/>
          <w:bCs/>
          <w:sz w:val="24"/>
        </w:rPr>
        <w:t>izování</w:t>
      </w:r>
      <w:r w:rsidRPr="00FF4FED">
        <w:rPr>
          <w:rFonts w:asciiTheme="minorHAnsi" w:hAnsiTheme="minorHAnsi" w:cstheme="minorHAnsi"/>
          <w:b/>
          <w:bCs/>
          <w:sz w:val="24"/>
        </w:rPr>
        <w:t xml:space="preserve"> materiálu, služeb</w:t>
      </w:r>
    </w:p>
    <w:p w14:paraId="4FB223B3" w14:textId="77777777" w:rsidR="00147C45" w:rsidRDefault="00147C45" w:rsidP="00E03891">
      <w:pPr>
        <w:rPr>
          <w:rFonts w:ascii="Calibri" w:eastAsiaTheme="minorHAnsi" w:hAnsi="Calibri" w:cs="Calibri"/>
          <w:sz w:val="24"/>
        </w:rPr>
      </w:pPr>
    </w:p>
    <w:p w14:paraId="0DE12807" w14:textId="417A541F" w:rsidR="00E03891" w:rsidRDefault="00E03891" w:rsidP="00E03891">
      <w:pPr>
        <w:rPr>
          <w:rFonts w:ascii="Calibri" w:eastAsiaTheme="minorHAnsi" w:hAnsi="Calibri" w:cs="Calibri"/>
          <w:sz w:val="24"/>
        </w:rPr>
      </w:pPr>
      <w:r>
        <w:rPr>
          <w:rFonts w:ascii="Calibri" w:eastAsiaTheme="minorHAnsi" w:hAnsi="Calibri" w:cs="Calibri"/>
          <w:sz w:val="24"/>
        </w:rPr>
        <w:t>Pořízení investičního majetku realizují HZSK převážně z prostředků program</w:t>
      </w:r>
      <w:r w:rsidR="00D70895">
        <w:rPr>
          <w:rFonts w:ascii="Calibri" w:eastAsiaTheme="minorHAnsi" w:hAnsi="Calibri" w:cs="Calibri"/>
          <w:sz w:val="24"/>
        </w:rPr>
        <w:t>ů</w:t>
      </w:r>
      <w:r w:rsidR="00D5565E">
        <w:rPr>
          <w:rFonts w:ascii="Calibri" w:eastAsiaTheme="minorHAnsi" w:hAnsi="Calibri" w:cs="Calibri"/>
          <w:sz w:val="24"/>
        </w:rPr>
        <w:t xml:space="preserve"> </w:t>
      </w:r>
      <w:r w:rsidR="00D5565E" w:rsidRPr="00D5565E">
        <w:rPr>
          <w:rFonts w:ascii="Calibri" w:eastAsiaTheme="minorHAnsi" w:hAnsi="Calibri" w:cs="Calibri"/>
          <w:sz w:val="24"/>
        </w:rPr>
        <w:t xml:space="preserve">reprodukce majetku </w:t>
      </w:r>
      <w:r w:rsidR="005B5DE5">
        <w:rPr>
          <w:rFonts w:ascii="Calibri" w:eastAsiaTheme="minorHAnsi" w:hAnsi="Calibri" w:cs="Calibri"/>
          <w:sz w:val="24"/>
        </w:rPr>
        <w:t xml:space="preserve">HZS </w:t>
      </w:r>
      <w:r w:rsidR="00D5565E" w:rsidRPr="00D5565E">
        <w:rPr>
          <w:rFonts w:ascii="Calibri" w:eastAsiaTheme="minorHAnsi" w:hAnsi="Calibri" w:cs="Calibri"/>
          <w:sz w:val="24"/>
        </w:rPr>
        <w:t>a</w:t>
      </w:r>
      <w:r w:rsidR="00D70895">
        <w:rPr>
          <w:rFonts w:ascii="Calibri" w:eastAsiaTheme="minorHAnsi" w:hAnsi="Calibri" w:cs="Calibri"/>
          <w:sz w:val="24"/>
        </w:rPr>
        <w:t xml:space="preserve"> </w:t>
      </w:r>
      <w:r w:rsidR="00D5565E" w:rsidRPr="00D5565E">
        <w:rPr>
          <w:rFonts w:ascii="Calibri" w:eastAsiaTheme="minorHAnsi" w:hAnsi="Calibri" w:cs="Calibri"/>
          <w:sz w:val="24"/>
        </w:rPr>
        <w:t>program</w:t>
      </w:r>
      <w:r w:rsidR="00D5565E">
        <w:rPr>
          <w:rFonts w:ascii="Calibri" w:eastAsiaTheme="minorHAnsi" w:hAnsi="Calibri" w:cs="Calibri"/>
          <w:sz w:val="24"/>
        </w:rPr>
        <w:t>ů</w:t>
      </w:r>
      <w:r w:rsidR="00D5565E" w:rsidRPr="00D5565E">
        <w:rPr>
          <w:rFonts w:ascii="Calibri" w:eastAsiaTheme="minorHAnsi" w:hAnsi="Calibri" w:cs="Calibri"/>
          <w:sz w:val="24"/>
        </w:rPr>
        <w:t xml:space="preserve"> nebo projekt</w:t>
      </w:r>
      <w:r w:rsidR="00D5565E">
        <w:rPr>
          <w:rFonts w:ascii="Calibri" w:eastAsiaTheme="minorHAnsi" w:hAnsi="Calibri" w:cs="Calibri"/>
          <w:sz w:val="24"/>
        </w:rPr>
        <w:t>ů</w:t>
      </w:r>
      <w:r w:rsidR="00D5565E" w:rsidRPr="00D5565E">
        <w:rPr>
          <w:rFonts w:ascii="Calibri" w:eastAsiaTheme="minorHAnsi" w:hAnsi="Calibri" w:cs="Calibri"/>
          <w:sz w:val="24"/>
        </w:rPr>
        <w:t xml:space="preserve"> spolufinancovaný</w:t>
      </w:r>
      <w:r w:rsidR="00BA102A">
        <w:rPr>
          <w:rFonts w:ascii="Calibri" w:eastAsiaTheme="minorHAnsi" w:hAnsi="Calibri" w:cs="Calibri"/>
          <w:sz w:val="24"/>
        </w:rPr>
        <w:t>ch</w:t>
      </w:r>
      <w:r w:rsidR="00D5565E" w:rsidRPr="00D5565E">
        <w:rPr>
          <w:rFonts w:ascii="Calibri" w:eastAsiaTheme="minorHAnsi" w:hAnsi="Calibri" w:cs="Calibri"/>
          <w:sz w:val="24"/>
        </w:rPr>
        <w:t xml:space="preserve"> </w:t>
      </w:r>
      <w:r w:rsidR="00AF3C8F">
        <w:rPr>
          <w:rFonts w:ascii="Calibri" w:eastAsiaTheme="minorHAnsi" w:hAnsi="Calibri" w:cs="Calibri"/>
          <w:sz w:val="24"/>
        </w:rPr>
        <w:t>z </w:t>
      </w:r>
      <w:r w:rsidR="00D5565E" w:rsidRPr="00D5565E">
        <w:rPr>
          <w:rFonts w:ascii="Calibri" w:eastAsiaTheme="minorHAnsi" w:hAnsi="Calibri" w:cs="Calibri"/>
          <w:sz w:val="24"/>
        </w:rPr>
        <w:t>rozpočtu Evropské unie</w:t>
      </w:r>
      <w:r>
        <w:rPr>
          <w:rFonts w:ascii="Calibri" w:eastAsiaTheme="minorHAnsi" w:hAnsi="Calibri" w:cs="Calibri"/>
          <w:sz w:val="24"/>
        </w:rPr>
        <w:t>, které nebyly předmětem této kontroly</w:t>
      </w:r>
      <w:r w:rsidR="00965FEA">
        <w:rPr>
          <w:rFonts w:ascii="Calibri" w:eastAsiaTheme="minorHAnsi" w:hAnsi="Calibri" w:cs="Calibri"/>
          <w:sz w:val="24"/>
        </w:rPr>
        <w:t>.</w:t>
      </w:r>
      <w:r w:rsidR="00D70895">
        <w:rPr>
          <w:rFonts w:ascii="Calibri" w:eastAsiaTheme="minorHAnsi" w:hAnsi="Calibri" w:cs="Calibri"/>
          <w:sz w:val="24"/>
        </w:rPr>
        <w:t xml:space="preserve"> Kontrola hospodaření s </w:t>
      </w:r>
      <w:r>
        <w:rPr>
          <w:rFonts w:ascii="Calibri" w:eastAsiaTheme="minorHAnsi" w:hAnsi="Calibri" w:cs="Calibri"/>
          <w:sz w:val="24"/>
        </w:rPr>
        <w:t xml:space="preserve">majetkem a peněžními prostředky byla prováděna na vybraném vzorku </w:t>
      </w:r>
      <w:r w:rsidR="00D70895">
        <w:rPr>
          <w:rFonts w:ascii="Calibri" w:eastAsiaTheme="minorHAnsi" w:hAnsi="Calibri" w:cs="Calibri"/>
          <w:sz w:val="24"/>
        </w:rPr>
        <w:t>majetku a </w:t>
      </w:r>
      <w:r w:rsidRPr="00D56410">
        <w:rPr>
          <w:rFonts w:ascii="Calibri" w:eastAsiaTheme="minorHAnsi" w:hAnsi="Calibri" w:cs="Calibri"/>
          <w:sz w:val="24"/>
        </w:rPr>
        <w:t>peněžních operací.</w:t>
      </w:r>
      <w:r>
        <w:rPr>
          <w:rFonts w:ascii="Calibri" w:eastAsiaTheme="minorHAnsi" w:hAnsi="Calibri" w:cs="Calibri"/>
          <w:sz w:val="24"/>
        </w:rPr>
        <w:t xml:space="preserve">  </w:t>
      </w:r>
    </w:p>
    <w:p w14:paraId="1BB78A28" w14:textId="77777777" w:rsidR="00A017AD" w:rsidRDefault="00A017AD" w:rsidP="00E03891">
      <w:pPr>
        <w:rPr>
          <w:rFonts w:ascii="Calibri" w:eastAsiaTheme="minorHAnsi" w:hAnsi="Calibri" w:cs="Calibri"/>
          <w:sz w:val="24"/>
        </w:rPr>
      </w:pPr>
    </w:p>
    <w:p w14:paraId="746EFBDF" w14:textId="77777777" w:rsidR="00E03891" w:rsidRPr="00F36009" w:rsidRDefault="00E03891" w:rsidP="00E03891">
      <w:pPr>
        <w:rPr>
          <w:rFonts w:ascii="Calibri" w:eastAsiaTheme="minorHAnsi" w:hAnsi="Calibri" w:cs="Calibri"/>
          <w:b/>
          <w:sz w:val="24"/>
        </w:rPr>
      </w:pPr>
      <w:r w:rsidRPr="00F36009">
        <w:rPr>
          <w:rFonts w:ascii="Calibri" w:eastAsiaTheme="minorHAnsi" w:hAnsi="Calibri" w:cs="Calibri"/>
          <w:b/>
          <w:sz w:val="24"/>
        </w:rPr>
        <w:t>Nemovitý majetek</w:t>
      </w:r>
    </w:p>
    <w:p w14:paraId="7AC24A21" w14:textId="12B25D40" w:rsidR="00E03891" w:rsidRDefault="00E03891" w:rsidP="0047367A">
      <w:pPr>
        <w:spacing w:before="120"/>
        <w:rPr>
          <w:rFonts w:ascii="Calibri" w:eastAsiaTheme="minorHAnsi" w:hAnsi="Calibri" w:cs="Calibri"/>
          <w:sz w:val="24"/>
        </w:rPr>
      </w:pPr>
      <w:r>
        <w:rPr>
          <w:rFonts w:ascii="Calibri" w:eastAsiaTheme="minorHAnsi" w:hAnsi="Calibri" w:cs="Calibri"/>
          <w:sz w:val="24"/>
        </w:rPr>
        <w:t xml:space="preserve">HZSK vykonávaly svou činnost převážně v objektech, </w:t>
      </w:r>
      <w:r w:rsidR="00D70895">
        <w:rPr>
          <w:rFonts w:ascii="Calibri" w:eastAsiaTheme="minorHAnsi" w:hAnsi="Calibri" w:cs="Calibri"/>
          <w:sz w:val="24"/>
        </w:rPr>
        <w:t>s</w:t>
      </w:r>
      <w:r>
        <w:rPr>
          <w:rFonts w:ascii="Calibri" w:eastAsiaTheme="minorHAnsi" w:hAnsi="Calibri" w:cs="Calibri"/>
          <w:sz w:val="24"/>
        </w:rPr>
        <w:t>e kterým</w:t>
      </w:r>
      <w:r w:rsidR="00D70895">
        <w:rPr>
          <w:rFonts w:ascii="Calibri" w:eastAsiaTheme="minorHAnsi" w:hAnsi="Calibri" w:cs="Calibri"/>
          <w:sz w:val="24"/>
        </w:rPr>
        <w:t>i</w:t>
      </w:r>
      <w:r>
        <w:rPr>
          <w:rFonts w:ascii="Calibri" w:eastAsiaTheme="minorHAnsi" w:hAnsi="Calibri" w:cs="Calibri"/>
          <w:sz w:val="24"/>
        </w:rPr>
        <w:t xml:space="preserve"> </w:t>
      </w:r>
      <w:r w:rsidR="00D70895">
        <w:rPr>
          <w:rFonts w:ascii="Calibri" w:eastAsiaTheme="minorHAnsi" w:hAnsi="Calibri" w:cs="Calibri"/>
          <w:sz w:val="24"/>
        </w:rPr>
        <w:t>jsou příslušné hospodařit.</w:t>
      </w:r>
      <w:r>
        <w:rPr>
          <w:rFonts w:ascii="Calibri" w:eastAsiaTheme="minorHAnsi" w:hAnsi="Calibri" w:cs="Calibri"/>
          <w:sz w:val="24"/>
        </w:rPr>
        <w:t xml:space="preserve"> Výjimkou je HZS Prah</w:t>
      </w:r>
      <w:r w:rsidR="007D10DE">
        <w:rPr>
          <w:rFonts w:ascii="Calibri" w:eastAsiaTheme="minorHAnsi" w:hAnsi="Calibri" w:cs="Calibri"/>
          <w:sz w:val="24"/>
        </w:rPr>
        <w:t>a</w:t>
      </w:r>
      <w:r>
        <w:rPr>
          <w:rFonts w:ascii="Calibri" w:eastAsiaTheme="minorHAnsi" w:hAnsi="Calibri" w:cs="Calibri"/>
          <w:sz w:val="24"/>
        </w:rPr>
        <w:t xml:space="preserve">, který vykonával činnost převážně </w:t>
      </w:r>
      <w:r w:rsidR="00AF3C8F">
        <w:rPr>
          <w:rFonts w:ascii="Calibri" w:eastAsiaTheme="minorHAnsi" w:hAnsi="Calibri" w:cs="Calibri"/>
          <w:sz w:val="24"/>
        </w:rPr>
        <w:t>v </w:t>
      </w:r>
      <w:r>
        <w:rPr>
          <w:rFonts w:ascii="Calibri" w:eastAsiaTheme="minorHAnsi" w:hAnsi="Calibri" w:cs="Calibri"/>
          <w:sz w:val="24"/>
        </w:rPr>
        <w:t xml:space="preserve">objektech najatých od obce za symbolické ceny. </w:t>
      </w:r>
    </w:p>
    <w:p w14:paraId="7328041A" w14:textId="77777777" w:rsidR="00E03891" w:rsidRDefault="00E03891" w:rsidP="00E03891">
      <w:pPr>
        <w:rPr>
          <w:rFonts w:ascii="Calibri" w:eastAsiaTheme="minorHAnsi" w:hAnsi="Calibri" w:cs="Calibri"/>
          <w:sz w:val="24"/>
        </w:rPr>
      </w:pPr>
    </w:p>
    <w:p w14:paraId="456CF3D4" w14:textId="1827E63C" w:rsidR="006F442E" w:rsidRDefault="00E03891" w:rsidP="00E03891">
      <w:pPr>
        <w:rPr>
          <w:rFonts w:ascii="Calibri" w:eastAsiaTheme="minorHAnsi" w:hAnsi="Calibri" w:cs="Calibri"/>
          <w:sz w:val="24"/>
        </w:rPr>
      </w:pPr>
      <w:r>
        <w:rPr>
          <w:rFonts w:ascii="Calibri" w:eastAsiaTheme="minorHAnsi" w:hAnsi="Calibri" w:cs="Calibri"/>
          <w:sz w:val="24"/>
        </w:rPr>
        <w:t xml:space="preserve">Při kontrole nakládání s nemovitým majetkem a jeho evidence v účetnictví nebylo zjištěno porušení právních předpisů. Pouze v oblasti pronájmu majetku bylo zjištěno, že některé HZSK </w:t>
      </w:r>
      <w:r w:rsidR="00D70895">
        <w:rPr>
          <w:rFonts w:ascii="Calibri" w:eastAsiaTheme="minorHAnsi" w:hAnsi="Calibri" w:cs="Calibri"/>
          <w:sz w:val="24"/>
        </w:rPr>
        <w:t xml:space="preserve">neodůvodněně snižovaly výnos z majetku státu tím, že </w:t>
      </w:r>
      <w:r>
        <w:rPr>
          <w:rFonts w:ascii="Calibri" w:eastAsiaTheme="minorHAnsi" w:hAnsi="Calibri" w:cs="Calibri"/>
          <w:sz w:val="24"/>
        </w:rPr>
        <w:t xml:space="preserve">nevyužily vždy svého práva navýšit nájemné o inflaci. U jednoho z kontrolovaných HZSK bylo zjištěno, že </w:t>
      </w:r>
      <w:r w:rsidR="00AF3C8F">
        <w:rPr>
          <w:rFonts w:ascii="Calibri" w:eastAsiaTheme="minorHAnsi" w:hAnsi="Calibri" w:cs="Calibri"/>
          <w:sz w:val="24"/>
        </w:rPr>
        <w:t>v </w:t>
      </w:r>
      <w:r w:rsidRPr="00AB3869">
        <w:rPr>
          <w:rFonts w:ascii="Calibri" w:eastAsiaTheme="minorHAnsi" w:hAnsi="Calibri" w:cs="Calibri"/>
          <w:sz w:val="24"/>
        </w:rPr>
        <w:t xml:space="preserve">letech 2006 až 2008 získal od Úřadu pro zastupování státu ve věcech majetkových </w:t>
      </w:r>
      <w:r w:rsidR="00F057A2">
        <w:rPr>
          <w:rFonts w:ascii="Calibri" w:eastAsiaTheme="minorHAnsi" w:hAnsi="Calibri" w:cs="Calibri"/>
          <w:sz w:val="24"/>
        </w:rPr>
        <w:t>příslušnost</w:t>
      </w:r>
      <w:r>
        <w:rPr>
          <w:rFonts w:ascii="Calibri" w:eastAsiaTheme="minorHAnsi" w:hAnsi="Calibri" w:cs="Calibri"/>
          <w:sz w:val="24"/>
        </w:rPr>
        <w:t xml:space="preserve"> hospodařit s </w:t>
      </w:r>
      <w:r w:rsidRPr="00AB3869">
        <w:rPr>
          <w:rFonts w:ascii="Calibri" w:eastAsiaTheme="minorHAnsi" w:hAnsi="Calibri" w:cs="Calibri"/>
          <w:sz w:val="24"/>
        </w:rPr>
        <w:t>rodinn</w:t>
      </w:r>
      <w:r>
        <w:rPr>
          <w:rFonts w:ascii="Calibri" w:eastAsiaTheme="minorHAnsi" w:hAnsi="Calibri" w:cs="Calibri"/>
          <w:sz w:val="24"/>
        </w:rPr>
        <w:t xml:space="preserve">ými </w:t>
      </w:r>
      <w:r w:rsidRPr="00AB3869">
        <w:rPr>
          <w:rFonts w:ascii="Calibri" w:eastAsiaTheme="minorHAnsi" w:hAnsi="Calibri" w:cs="Calibri"/>
          <w:sz w:val="24"/>
        </w:rPr>
        <w:t>domy a bytov</w:t>
      </w:r>
      <w:r>
        <w:rPr>
          <w:rFonts w:ascii="Calibri" w:eastAsiaTheme="minorHAnsi" w:hAnsi="Calibri" w:cs="Calibri"/>
          <w:sz w:val="24"/>
        </w:rPr>
        <w:t xml:space="preserve">ými </w:t>
      </w:r>
      <w:r w:rsidRPr="00AB3869">
        <w:rPr>
          <w:rFonts w:ascii="Calibri" w:eastAsiaTheme="minorHAnsi" w:hAnsi="Calibri" w:cs="Calibri"/>
          <w:sz w:val="24"/>
        </w:rPr>
        <w:t>jednotk</w:t>
      </w:r>
      <w:r>
        <w:rPr>
          <w:rFonts w:ascii="Calibri" w:eastAsiaTheme="minorHAnsi" w:hAnsi="Calibri" w:cs="Calibri"/>
          <w:sz w:val="24"/>
        </w:rPr>
        <w:t xml:space="preserve">ami s tím, že je potřebuje </w:t>
      </w:r>
      <w:r w:rsidR="00AF3C8F">
        <w:rPr>
          <w:rFonts w:ascii="Calibri" w:eastAsiaTheme="minorHAnsi" w:hAnsi="Calibri" w:cs="Calibri"/>
          <w:sz w:val="24"/>
        </w:rPr>
        <w:t>k </w:t>
      </w:r>
      <w:r w:rsidRPr="00AB3869">
        <w:rPr>
          <w:rFonts w:ascii="Calibri" w:eastAsiaTheme="minorHAnsi" w:hAnsi="Calibri" w:cs="Calibri"/>
          <w:sz w:val="24"/>
        </w:rPr>
        <w:t xml:space="preserve">plnění funkcí v rámci své působnosti, </w:t>
      </w:r>
      <w:r>
        <w:rPr>
          <w:rFonts w:ascii="Calibri" w:eastAsiaTheme="minorHAnsi" w:hAnsi="Calibri" w:cs="Calibri"/>
          <w:sz w:val="24"/>
        </w:rPr>
        <w:t xml:space="preserve">ale již v roce 2012 jednal o jejich nepotřebnosti. </w:t>
      </w:r>
    </w:p>
    <w:p w14:paraId="7FD2F01E" w14:textId="77777777" w:rsidR="006F442E" w:rsidRDefault="006F442E" w:rsidP="00E03891">
      <w:pPr>
        <w:rPr>
          <w:rFonts w:ascii="Calibri" w:eastAsiaTheme="minorHAnsi" w:hAnsi="Calibri" w:cs="Calibri"/>
          <w:sz w:val="24"/>
        </w:rPr>
      </w:pPr>
    </w:p>
    <w:p w14:paraId="0CBB9C30" w14:textId="77777777" w:rsidR="00E03891" w:rsidRPr="00F36009" w:rsidRDefault="00E03891" w:rsidP="00660ADA">
      <w:pPr>
        <w:keepNext/>
        <w:spacing w:after="120"/>
        <w:rPr>
          <w:rFonts w:ascii="Calibri" w:eastAsiaTheme="minorHAnsi" w:hAnsi="Calibri" w:cs="Calibri"/>
          <w:b/>
          <w:sz w:val="24"/>
        </w:rPr>
      </w:pPr>
      <w:r w:rsidRPr="00F36009">
        <w:rPr>
          <w:rFonts w:ascii="Calibri" w:eastAsiaTheme="minorHAnsi" w:hAnsi="Calibri" w:cs="Calibri"/>
          <w:b/>
          <w:sz w:val="24"/>
        </w:rPr>
        <w:lastRenderedPageBreak/>
        <w:t xml:space="preserve">Movitý majetek, materiál a služby </w:t>
      </w:r>
    </w:p>
    <w:p w14:paraId="103642C3" w14:textId="58CC4DA3" w:rsidR="00E6669F" w:rsidRPr="00A253F6" w:rsidRDefault="00E03891" w:rsidP="00660ADA">
      <w:pPr>
        <w:keepNext/>
        <w:rPr>
          <w:rFonts w:ascii="Calibri" w:eastAsiaTheme="minorHAnsi" w:hAnsi="Calibri" w:cs="Calibri"/>
          <w:sz w:val="24"/>
        </w:rPr>
      </w:pPr>
      <w:r w:rsidRPr="00D56410">
        <w:rPr>
          <w:rFonts w:ascii="Calibri" w:eastAsiaTheme="minorHAnsi" w:hAnsi="Calibri" w:cs="Calibri"/>
          <w:sz w:val="24"/>
        </w:rPr>
        <w:t xml:space="preserve">Při kontrole nakládání </w:t>
      </w:r>
      <w:r w:rsidR="00AF3C8F">
        <w:rPr>
          <w:rFonts w:ascii="Calibri" w:eastAsiaTheme="minorHAnsi" w:hAnsi="Calibri" w:cs="Calibri"/>
          <w:sz w:val="24"/>
        </w:rPr>
        <w:t>s </w:t>
      </w:r>
      <w:r w:rsidRPr="00D56410">
        <w:rPr>
          <w:rFonts w:ascii="Calibri" w:eastAsiaTheme="minorHAnsi" w:hAnsi="Calibri" w:cs="Calibri"/>
          <w:sz w:val="24"/>
        </w:rPr>
        <w:t>majetkem a pořízení materiálu a služeb byl</w:t>
      </w:r>
      <w:r w:rsidR="003443B7">
        <w:rPr>
          <w:rFonts w:ascii="Calibri" w:eastAsiaTheme="minorHAnsi" w:hAnsi="Calibri" w:cs="Calibri"/>
          <w:sz w:val="24"/>
        </w:rPr>
        <w:t>a</w:t>
      </w:r>
      <w:r w:rsidRPr="00D56410">
        <w:rPr>
          <w:rFonts w:ascii="Calibri" w:eastAsiaTheme="minorHAnsi" w:hAnsi="Calibri" w:cs="Calibri"/>
          <w:sz w:val="24"/>
        </w:rPr>
        <w:t xml:space="preserve"> </w:t>
      </w:r>
      <w:r w:rsidR="003443B7">
        <w:rPr>
          <w:rFonts w:ascii="Calibri" w:eastAsiaTheme="minorHAnsi" w:hAnsi="Calibri" w:cs="Calibri"/>
          <w:sz w:val="24"/>
        </w:rPr>
        <w:t>v následujících případech</w:t>
      </w:r>
      <w:r w:rsidR="003443B7" w:rsidRPr="00D56410">
        <w:rPr>
          <w:rFonts w:ascii="Calibri" w:eastAsiaTheme="minorHAnsi" w:hAnsi="Calibri" w:cs="Calibri"/>
          <w:sz w:val="24"/>
        </w:rPr>
        <w:t xml:space="preserve"> </w:t>
      </w:r>
      <w:r w:rsidRPr="00D56410">
        <w:rPr>
          <w:rFonts w:ascii="Calibri" w:eastAsiaTheme="minorHAnsi" w:hAnsi="Calibri" w:cs="Calibri"/>
          <w:sz w:val="24"/>
        </w:rPr>
        <w:t>zjištěn</w:t>
      </w:r>
      <w:r w:rsidR="003443B7">
        <w:rPr>
          <w:rFonts w:ascii="Calibri" w:eastAsiaTheme="minorHAnsi" w:hAnsi="Calibri" w:cs="Calibri"/>
          <w:sz w:val="24"/>
        </w:rPr>
        <w:t>a</w:t>
      </w:r>
      <w:r w:rsidRPr="00D56410">
        <w:rPr>
          <w:rFonts w:ascii="Calibri" w:eastAsiaTheme="minorHAnsi" w:hAnsi="Calibri" w:cs="Calibri"/>
          <w:sz w:val="24"/>
        </w:rPr>
        <w:t xml:space="preserve"> </w:t>
      </w:r>
      <w:r w:rsidR="003443B7">
        <w:rPr>
          <w:rFonts w:ascii="Calibri" w:eastAsiaTheme="minorHAnsi" w:hAnsi="Calibri" w:cs="Calibri"/>
          <w:sz w:val="24"/>
        </w:rPr>
        <w:t>m</w:t>
      </w:r>
      <w:r w:rsidRPr="00D56410">
        <w:rPr>
          <w:rFonts w:ascii="Calibri" w:eastAsiaTheme="minorHAnsi" w:hAnsi="Calibri" w:cs="Calibri"/>
          <w:sz w:val="24"/>
        </w:rPr>
        <w:t xml:space="preserve">éně významná pochybení </w:t>
      </w:r>
      <w:r w:rsidR="00AF3C8F">
        <w:rPr>
          <w:rFonts w:ascii="Calibri" w:eastAsiaTheme="minorHAnsi" w:hAnsi="Calibri" w:cs="Calibri"/>
          <w:sz w:val="24"/>
        </w:rPr>
        <w:t>v </w:t>
      </w:r>
      <w:r w:rsidR="00C12DFE">
        <w:rPr>
          <w:rFonts w:ascii="Calibri" w:eastAsiaTheme="minorHAnsi" w:hAnsi="Calibri" w:cs="Calibri"/>
          <w:sz w:val="24"/>
        </w:rPr>
        <w:t>dodržování zákona o </w:t>
      </w:r>
      <w:r w:rsidR="009413C3">
        <w:rPr>
          <w:rFonts w:ascii="Calibri" w:eastAsiaTheme="minorHAnsi" w:hAnsi="Calibri" w:cs="Calibri"/>
          <w:sz w:val="24"/>
        </w:rPr>
        <w:t>veřejných zakázkách</w:t>
      </w:r>
      <w:r w:rsidR="00AD1D5C">
        <w:rPr>
          <w:rStyle w:val="Znakapoznpodarou"/>
          <w:rFonts w:ascii="Calibri" w:eastAsiaTheme="minorHAnsi" w:hAnsi="Calibri" w:cs="Calibri"/>
          <w:sz w:val="24"/>
        </w:rPr>
        <w:footnoteReference w:id="12"/>
      </w:r>
      <w:r w:rsidR="006F442E">
        <w:rPr>
          <w:rFonts w:ascii="Calibri" w:eastAsiaTheme="minorHAnsi" w:hAnsi="Calibri" w:cs="Calibri"/>
          <w:sz w:val="24"/>
        </w:rPr>
        <w:t>, zákona o </w:t>
      </w:r>
      <w:r w:rsidR="00771884">
        <w:rPr>
          <w:rFonts w:ascii="Calibri" w:eastAsiaTheme="minorHAnsi" w:hAnsi="Calibri" w:cs="Calibri"/>
          <w:sz w:val="24"/>
        </w:rPr>
        <w:t>účetnictví</w:t>
      </w:r>
      <w:r w:rsidR="00AD1D5C">
        <w:rPr>
          <w:rStyle w:val="Znakapoznpodarou"/>
          <w:rFonts w:ascii="Calibri" w:eastAsiaTheme="minorHAnsi" w:hAnsi="Calibri" w:cs="Calibri"/>
          <w:sz w:val="24"/>
        </w:rPr>
        <w:footnoteReference w:id="13"/>
      </w:r>
      <w:r w:rsidR="00771884">
        <w:rPr>
          <w:rFonts w:ascii="Calibri" w:eastAsiaTheme="minorHAnsi" w:hAnsi="Calibri" w:cs="Calibri"/>
          <w:sz w:val="24"/>
        </w:rPr>
        <w:t xml:space="preserve"> a zákona o </w:t>
      </w:r>
      <w:r w:rsidR="009413C3">
        <w:rPr>
          <w:rFonts w:ascii="Calibri" w:eastAsiaTheme="minorHAnsi" w:hAnsi="Calibri" w:cs="Calibri"/>
          <w:sz w:val="24"/>
        </w:rPr>
        <w:t>majetku státu</w:t>
      </w:r>
      <w:r w:rsidR="00AD1D5C">
        <w:rPr>
          <w:rStyle w:val="Znakapoznpodarou"/>
          <w:rFonts w:ascii="Calibri" w:eastAsiaTheme="minorHAnsi" w:hAnsi="Calibri" w:cs="Calibri"/>
          <w:sz w:val="24"/>
        </w:rPr>
        <w:footnoteReference w:id="14"/>
      </w:r>
      <w:r w:rsidR="00E6669F" w:rsidRPr="00A253F6">
        <w:rPr>
          <w:rFonts w:ascii="Calibri" w:eastAsiaTheme="minorHAnsi" w:hAnsi="Calibri" w:cs="Calibri"/>
          <w:sz w:val="24"/>
        </w:rPr>
        <w:t xml:space="preserve">: </w:t>
      </w:r>
    </w:p>
    <w:p w14:paraId="7C3ED438" w14:textId="4BA295BF" w:rsidR="005F5738" w:rsidRPr="005F5738" w:rsidRDefault="005F5738" w:rsidP="005F5738">
      <w:pPr>
        <w:pStyle w:val="Odstavecseseznamem"/>
        <w:numPr>
          <w:ilvl w:val="0"/>
          <w:numId w:val="17"/>
        </w:numPr>
        <w:ind w:left="284" w:hanging="284"/>
        <w:rPr>
          <w:rFonts w:ascii="Calibri" w:hAnsi="Calibri" w:cs="Calibri"/>
          <w:sz w:val="24"/>
        </w:rPr>
      </w:pPr>
      <w:r w:rsidRPr="005F5738">
        <w:rPr>
          <w:rFonts w:ascii="Calibri" w:eastAsiaTheme="minorHAnsi" w:hAnsi="Calibri" w:cs="Calibri"/>
          <w:sz w:val="24"/>
        </w:rPr>
        <w:t xml:space="preserve">V oblasti </w:t>
      </w:r>
      <w:r w:rsidR="003716A5" w:rsidRPr="005F5738">
        <w:rPr>
          <w:rFonts w:ascii="Calibri" w:eastAsiaTheme="minorHAnsi" w:hAnsi="Calibri" w:cs="Calibri"/>
          <w:sz w:val="24"/>
        </w:rPr>
        <w:t xml:space="preserve">veřejných zakázek </w:t>
      </w:r>
      <w:r w:rsidR="003716A5" w:rsidRPr="005F5738">
        <w:rPr>
          <w:rFonts w:ascii="Calibri" w:hAnsi="Calibri" w:cs="Calibri"/>
          <w:sz w:val="24"/>
        </w:rPr>
        <w:t xml:space="preserve">se </w:t>
      </w:r>
      <w:r w:rsidR="00897B93">
        <w:rPr>
          <w:rFonts w:ascii="Calibri" w:hAnsi="Calibri" w:cs="Calibri"/>
          <w:sz w:val="24"/>
        </w:rPr>
        <w:t xml:space="preserve">jednalo </w:t>
      </w:r>
      <w:r w:rsidR="003716A5" w:rsidRPr="005F5738">
        <w:rPr>
          <w:rFonts w:ascii="Calibri" w:hAnsi="Calibri" w:cs="Calibri"/>
          <w:sz w:val="24"/>
        </w:rPr>
        <w:t>o</w:t>
      </w:r>
      <w:r w:rsidR="00E6669F">
        <w:rPr>
          <w:rFonts w:ascii="Calibri" w:hAnsi="Calibri" w:cs="Calibri"/>
          <w:sz w:val="24"/>
        </w:rPr>
        <w:t xml:space="preserve"> nedostatky, které neměly vliv na výběr ne</w:t>
      </w:r>
      <w:r w:rsidR="007C367B">
        <w:rPr>
          <w:rFonts w:ascii="Calibri" w:hAnsi="Calibri" w:cs="Calibri"/>
          <w:sz w:val="24"/>
        </w:rPr>
        <w:t>j</w:t>
      </w:r>
      <w:r w:rsidR="00E6669F">
        <w:rPr>
          <w:rFonts w:ascii="Calibri" w:hAnsi="Calibri" w:cs="Calibri"/>
          <w:sz w:val="24"/>
        </w:rPr>
        <w:t xml:space="preserve">vhodnější nabídky, a to </w:t>
      </w:r>
      <w:r w:rsidR="003716A5" w:rsidRPr="005F5738">
        <w:rPr>
          <w:rFonts w:ascii="Calibri" w:hAnsi="Calibri" w:cs="Calibri"/>
          <w:sz w:val="24"/>
        </w:rPr>
        <w:t xml:space="preserve">nedodržení zákonem stanovené lhůty pro uzavření smlouvy a nevyloučení uchazeče, který podal nabídku </w:t>
      </w:r>
      <w:r w:rsidR="00A253F6">
        <w:rPr>
          <w:rFonts w:ascii="Calibri" w:hAnsi="Calibri" w:cs="Calibri"/>
          <w:sz w:val="24"/>
        </w:rPr>
        <w:t>ne</w:t>
      </w:r>
      <w:r w:rsidR="003716A5" w:rsidRPr="005F5738">
        <w:rPr>
          <w:rFonts w:ascii="Calibri" w:hAnsi="Calibri" w:cs="Calibri"/>
          <w:sz w:val="24"/>
        </w:rPr>
        <w:t>splňující požadavky zadavatele</w:t>
      </w:r>
      <w:r w:rsidR="00A253F6">
        <w:rPr>
          <w:rFonts w:ascii="Calibri" w:hAnsi="Calibri" w:cs="Calibri"/>
          <w:sz w:val="24"/>
        </w:rPr>
        <w:t>.</w:t>
      </w:r>
      <w:r w:rsidR="00E6669F">
        <w:rPr>
          <w:rFonts w:ascii="Calibri" w:hAnsi="Calibri" w:cs="Calibri"/>
          <w:sz w:val="24"/>
        </w:rPr>
        <w:t xml:space="preserve"> </w:t>
      </w:r>
    </w:p>
    <w:p w14:paraId="35092270" w14:textId="551089D7" w:rsidR="00A253F6" w:rsidRDefault="00A253F6" w:rsidP="00A253F6">
      <w:pPr>
        <w:pStyle w:val="Odstavecseseznamem"/>
        <w:numPr>
          <w:ilvl w:val="0"/>
          <w:numId w:val="17"/>
        </w:numPr>
        <w:ind w:left="284" w:hanging="284"/>
        <w:rPr>
          <w:rFonts w:ascii="Calibri" w:eastAsiaTheme="minorHAnsi" w:hAnsi="Calibri" w:cs="Calibri"/>
          <w:sz w:val="24"/>
        </w:rPr>
      </w:pPr>
      <w:r w:rsidRPr="00C87E4A">
        <w:rPr>
          <w:rFonts w:ascii="Calibri" w:eastAsiaTheme="minorHAnsi" w:hAnsi="Calibri" w:cs="Calibri"/>
          <w:sz w:val="24"/>
        </w:rPr>
        <w:t>V oblasti prodeje nepotřebného majetku bylo zjištěno, že prodej majetku v celkové pořizovací ceně 33 </w:t>
      </w:r>
      <w:r w:rsidR="002C78C3">
        <w:rPr>
          <w:rFonts w:ascii="Calibri" w:eastAsiaTheme="minorHAnsi" w:hAnsi="Calibri" w:cs="Calibri"/>
          <w:sz w:val="24"/>
        </w:rPr>
        <w:t>9</w:t>
      </w:r>
      <w:r w:rsidRPr="00C87E4A">
        <w:rPr>
          <w:rFonts w:ascii="Calibri" w:eastAsiaTheme="minorHAnsi" w:hAnsi="Calibri" w:cs="Calibri"/>
          <w:sz w:val="24"/>
        </w:rPr>
        <w:t>00 Kč byl realizován v ni</w:t>
      </w:r>
      <w:r>
        <w:rPr>
          <w:rFonts w:ascii="Calibri" w:eastAsiaTheme="minorHAnsi" w:hAnsi="Calibri" w:cs="Calibri"/>
          <w:sz w:val="24"/>
        </w:rPr>
        <w:t>ž</w:t>
      </w:r>
      <w:r w:rsidRPr="00C87E4A">
        <w:rPr>
          <w:rFonts w:ascii="Calibri" w:eastAsiaTheme="minorHAnsi" w:hAnsi="Calibri" w:cs="Calibri"/>
          <w:sz w:val="24"/>
        </w:rPr>
        <w:t xml:space="preserve">ších </w:t>
      </w:r>
      <w:r w:rsidR="00640D40">
        <w:rPr>
          <w:rFonts w:ascii="Calibri" w:eastAsiaTheme="minorHAnsi" w:hAnsi="Calibri" w:cs="Calibri"/>
          <w:sz w:val="24"/>
        </w:rPr>
        <w:t xml:space="preserve">cenách, </w:t>
      </w:r>
      <w:r w:rsidRPr="00C87E4A">
        <w:rPr>
          <w:rFonts w:ascii="Calibri" w:eastAsiaTheme="minorHAnsi" w:hAnsi="Calibri" w:cs="Calibri"/>
          <w:sz w:val="24"/>
        </w:rPr>
        <w:t xml:space="preserve">než </w:t>
      </w:r>
      <w:r w:rsidR="00640D40">
        <w:rPr>
          <w:rFonts w:ascii="Calibri" w:eastAsiaTheme="minorHAnsi" w:hAnsi="Calibri" w:cs="Calibri"/>
          <w:sz w:val="24"/>
        </w:rPr>
        <w:t xml:space="preserve">byly </w:t>
      </w:r>
      <w:r w:rsidRPr="00C87E4A">
        <w:rPr>
          <w:rFonts w:ascii="Calibri" w:eastAsiaTheme="minorHAnsi" w:hAnsi="Calibri" w:cs="Calibri"/>
          <w:sz w:val="24"/>
        </w:rPr>
        <w:t>cen</w:t>
      </w:r>
      <w:r w:rsidR="00640D40">
        <w:rPr>
          <w:rFonts w:ascii="Calibri" w:eastAsiaTheme="minorHAnsi" w:hAnsi="Calibri" w:cs="Calibri"/>
          <w:sz w:val="24"/>
        </w:rPr>
        <w:t>y</w:t>
      </w:r>
      <w:r w:rsidRPr="00C87E4A">
        <w:rPr>
          <w:rFonts w:ascii="Calibri" w:eastAsiaTheme="minorHAnsi" w:hAnsi="Calibri" w:cs="Calibri"/>
          <w:sz w:val="24"/>
        </w:rPr>
        <w:t xml:space="preserve"> v místě a čase obvykl</w:t>
      </w:r>
      <w:r w:rsidR="00640D40">
        <w:rPr>
          <w:rFonts w:ascii="Calibri" w:eastAsiaTheme="minorHAnsi" w:hAnsi="Calibri" w:cs="Calibri"/>
          <w:sz w:val="24"/>
        </w:rPr>
        <w:t>é</w:t>
      </w:r>
      <w:r w:rsidRPr="00C87E4A">
        <w:rPr>
          <w:rFonts w:ascii="Calibri" w:eastAsiaTheme="minorHAnsi" w:hAnsi="Calibri" w:cs="Calibri"/>
          <w:sz w:val="24"/>
        </w:rPr>
        <w:t>.</w:t>
      </w:r>
    </w:p>
    <w:p w14:paraId="40548CE7" w14:textId="7684D418" w:rsidR="00897B93" w:rsidRPr="00D51878" w:rsidRDefault="00897B93" w:rsidP="00D51878">
      <w:pPr>
        <w:pStyle w:val="Odstavecseseznamem"/>
        <w:numPr>
          <w:ilvl w:val="0"/>
          <w:numId w:val="17"/>
        </w:numPr>
        <w:ind w:left="284" w:hanging="284"/>
        <w:rPr>
          <w:rFonts w:ascii="Calibri" w:eastAsiaTheme="minorHAnsi" w:hAnsi="Calibri" w:cs="Calibri"/>
          <w:sz w:val="24"/>
        </w:rPr>
      </w:pPr>
      <w:r w:rsidRPr="00A253F6">
        <w:rPr>
          <w:rFonts w:ascii="Calibri" w:eastAsiaTheme="minorHAnsi" w:hAnsi="Calibri" w:cs="Calibri"/>
          <w:sz w:val="24"/>
        </w:rPr>
        <w:t xml:space="preserve">V oblasti účtování o majetku bylo zjištěno, že </w:t>
      </w:r>
      <w:r w:rsidR="00D51878">
        <w:rPr>
          <w:rFonts w:ascii="Calibri" w:eastAsiaTheme="minorHAnsi" w:hAnsi="Calibri" w:cs="Calibri"/>
          <w:sz w:val="24"/>
        </w:rPr>
        <w:t xml:space="preserve">kontrolované osoby </w:t>
      </w:r>
      <w:r w:rsidR="006164D4">
        <w:rPr>
          <w:rFonts w:ascii="Calibri" w:eastAsiaTheme="minorHAnsi" w:hAnsi="Calibri" w:cs="Calibri"/>
          <w:sz w:val="24"/>
        </w:rPr>
        <w:t xml:space="preserve">u majetku </w:t>
      </w:r>
      <w:r w:rsidR="00AF3C8F">
        <w:rPr>
          <w:rFonts w:ascii="Calibri" w:eastAsiaTheme="minorHAnsi" w:hAnsi="Calibri" w:cs="Calibri"/>
          <w:sz w:val="24"/>
        </w:rPr>
        <w:t>v </w:t>
      </w:r>
      <w:r w:rsidR="00A253F6" w:rsidRPr="00D51878">
        <w:rPr>
          <w:rFonts w:ascii="Calibri" w:eastAsiaTheme="minorHAnsi" w:hAnsi="Calibri" w:cs="Calibri"/>
          <w:sz w:val="24"/>
        </w:rPr>
        <w:t xml:space="preserve">celkové pořizovací ceně </w:t>
      </w:r>
      <w:r w:rsidR="00D51878" w:rsidRPr="00D51878">
        <w:rPr>
          <w:rFonts w:ascii="Calibri" w:eastAsiaTheme="minorHAnsi" w:hAnsi="Calibri" w:cs="Calibri"/>
          <w:sz w:val="24"/>
        </w:rPr>
        <w:t xml:space="preserve">1 350 048 </w:t>
      </w:r>
      <w:r w:rsidRPr="00D51878">
        <w:rPr>
          <w:rFonts w:ascii="Calibri" w:eastAsiaTheme="minorHAnsi" w:hAnsi="Calibri" w:cs="Calibri"/>
          <w:sz w:val="24"/>
        </w:rPr>
        <w:t xml:space="preserve">Kč </w:t>
      </w:r>
      <w:r w:rsidR="00A253F6" w:rsidRPr="00D51878">
        <w:rPr>
          <w:rFonts w:ascii="Calibri" w:eastAsiaTheme="minorHAnsi" w:hAnsi="Calibri" w:cs="Calibri"/>
          <w:sz w:val="24"/>
        </w:rPr>
        <w:t>ocenil</w:t>
      </w:r>
      <w:r w:rsidR="00D51878">
        <w:rPr>
          <w:rFonts w:ascii="Calibri" w:eastAsiaTheme="minorHAnsi" w:hAnsi="Calibri" w:cs="Calibri"/>
          <w:sz w:val="24"/>
        </w:rPr>
        <w:t>y</w:t>
      </w:r>
      <w:r w:rsidR="00A253F6" w:rsidRPr="00D51878">
        <w:rPr>
          <w:rFonts w:ascii="Calibri" w:eastAsiaTheme="minorHAnsi" w:hAnsi="Calibri" w:cs="Calibri"/>
          <w:sz w:val="24"/>
        </w:rPr>
        <w:t xml:space="preserve"> jednotlivé položky majetku </w:t>
      </w:r>
      <w:r w:rsidR="005F5738" w:rsidRPr="00D51878">
        <w:rPr>
          <w:rFonts w:ascii="Calibri" w:eastAsiaTheme="minorHAnsi" w:hAnsi="Calibri" w:cs="Calibri"/>
          <w:sz w:val="24"/>
        </w:rPr>
        <w:t xml:space="preserve">v jiných </w:t>
      </w:r>
      <w:r w:rsidRPr="00D51878">
        <w:rPr>
          <w:rFonts w:ascii="Calibri" w:eastAsiaTheme="minorHAnsi" w:hAnsi="Calibri" w:cs="Calibri"/>
          <w:sz w:val="24"/>
        </w:rPr>
        <w:t xml:space="preserve">než </w:t>
      </w:r>
      <w:r w:rsidR="005F5738" w:rsidRPr="00D51878">
        <w:rPr>
          <w:rFonts w:ascii="Calibri" w:eastAsiaTheme="minorHAnsi" w:hAnsi="Calibri" w:cs="Calibri"/>
          <w:sz w:val="24"/>
        </w:rPr>
        <w:t>pořizovacích cenách</w:t>
      </w:r>
      <w:r w:rsidRPr="00D51878">
        <w:rPr>
          <w:rFonts w:ascii="Calibri" w:eastAsiaTheme="minorHAnsi" w:hAnsi="Calibri" w:cs="Calibri"/>
          <w:sz w:val="24"/>
        </w:rPr>
        <w:t>.</w:t>
      </w:r>
    </w:p>
    <w:p w14:paraId="699DD43A" w14:textId="19DF89C4" w:rsidR="005F5EA1" w:rsidRPr="009C3AFC" w:rsidRDefault="00AF3EAA" w:rsidP="000C521B">
      <w:pPr>
        <w:pStyle w:val="Odstavecseseznamem"/>
        <w:numPr>
          <w:ilvl w:val="0"/>
          <w:numId w:val="17"/>
        </w:numPr>
        <w:ind w:left="284" w:hanging="284"/>
        <w:rPr>
          <w:rFonts w:ascii="Calibri" w:eastAsiaTheme="minorHAnsi" w:hAnsi="Calibri" w:cs="Calibri"/>
          <w:sz w:val="24"/>
        </w:rPr>
      </w:pPr>
      <w:r w:rsidRPr="009C3AFC">
        <w:rPr>
          <w:rFonts w:ascii="Calibri" w:eastAsiaTheme="minorHAnsi" w:hAnsi="Calibri" w:cs="Calibri"/>
          <w:sz w:val="24"/>
        </w:rPr>
        <w:t xml:space="preserve">V oblasti evidence pohledávek byly zjištěny nedostatky </w:t>
      </w:r>
      <w:r w:rsidR="00D51878" w:rsidRPr="009C3AFC">
        <w:rPr>
          <w:rFonts w:ascii="Calibri" w:eastAsiaTheme="minorHAnsi" w:hAnsi="Calibri" w:cs="Calibri"/>
          <w:sz w:val="24"/>
        </w:rPr>
        <w:t xml:space="preserve">u pohledávek </w:t>
      </w:r>
      <w:r w:rsidRPr="009C3AFC">
        <w:rPr>
          <w:rFonts w:ascii="Calibri" w:eastAsiaTheme="minorHAnsi" w:hAnsi="Calibri" w:cs="Calibri"/>
          <w:sz w:val="24"/>
        </w:rPr>
        <w:t xml:space="preserve">v celkové výši </w:t>
      </w:r>
      <w:r w:rsidR="00D51878" w:rsidRPr="009C3AFC">
        <w:rPr>
          <w:rFonts w:ascii="Calibri" w:eastAsiaTheme="minorHAnsi" w:hAnsi="Calibri" w:cs="Calibri"/>
          <w:sz w:val="24"/>
        </w:rPr>
        <w:t>2</w:t>
      </w:r>
      <w:r w:rsidR="002C78C3">
        <w:rPr>
          <w:rFonts w:ascii="Calibri" w:eastAsiaTheme="minorHAnsi" w:hAnsi="Calibri" w:cs="Calibri"/>
          <w:sz w:val="24"/>
        </w:rPr>
        <w:t>59 791 </w:t>
      </w:r>
      <w:r w:rsidRPr="009C3AFC">
        <w:rPr>
          <w:rFonts w:ascii="Calibri" w:eastAsiaTheme="minorHAnsi" w:hAnsi="Calibri" w:cs="Calibri"/>
          <w:sz w:val="24"/>
        </w:rPr>
        <w:t xml:space="preserve">Kč. Jednalo se o </w:t>
      </w:r>
      <w:r w:rsidR="00C20438" w:rsidRPr="009C3AFC">
        <w:rPr>
          <w:rFonts w:ascii="Calibri" w:eastAsiaTheme="minorHAnsi" w:hAnsi="Calibri" w:cs="Calibri"/>
          <w:sz w:val="24"/>
        </w:rPr>
        <w:t xml:space="preserve">nezaúčtování pohledávek, </w:t>
      </w:r>
      <w:r w:rsidRPr="009C3AFC">
        <w:rPr>
          <w:rFonts w:ascii="Calibri" w:eastAsiaTheme="minorHAnsi" w:hAnsi="Calibri" w:cs="Calibri"/>
          <w:sz w:val="24"/>
        </w:rPr>
        <w:t xml:space="preserve">nedostatky </w:t>
      </w:r>
      <w:r w:rsidR="00AF3C8F">
        <w:rPr>
          <w:rFonts w:ascii="Calibri" w:eastAsiaTheme="minorHAnsi" w:hAnsi="Calibri" w:cs="Calibri"/>
          <w:sz w:val="24"/>
        </w:rPr>
        <w:t>v </w:t>
      </w:r>
      <w:r w:rsidR="00A253F6" w:rsidRPr="009C3AFC">
        <w:rPr>
          <w:rFonts w:ascii="Calibri" w:eastAsiaTheme="minorHAnsi" w:hAnsi="Calibri" w:cs="Calibri"/>
          <w:sz w:val="24"/>
        </w:rPr>
        <w:t xml:space="preserve">inventarizaci </w:t>
      </w:r>
      <w:r w:rsidR="00C20438" w:rsidRPr="009C3AFC">
        <w:rPr>
          <w:rFonts w:ascii="Calibri" w:eastAsiaTheme="minorHAnsi" w:hAnsi="Calibri" w:cs="Calibri"/>
          <w:sz w:val="24"/>
        </w:rPr>
        <w:t xml:space="preserve">pohledávek </w:t>
      </w:r>
      <w:r w:rsidRPr="009C3AFC">
        <w:rPr>
          <w:rFonts w:ascii="Calibri" w:eastAsiaTheme="minorHAnsi" w:hAnsi="Calibri" w:cs="Calibri"/>
          <w:sz w:val="24"/>
        </w:rPr>
        <w:t xml:space="preserve">nebo </w:t>
      </w:r>
      <w:r w:rsidR="00766E9A">
        <w:rPr>
          <w:rFonts w:ascii="Calibri" w:eastAsiaTheme="minorHAnsi" w:hAnsi="Calibri" w:cs="Calibri"/>
          <w:sz w:val="24"/>
        </w:rPr>
        <w:t xml:space="preserve">nedostatky ve </w:t>
      </w:r>
      <w:r w:rsidR="00674377" w:rsidRPr="009C3AFC">
        <w:rPr>
          <w:rFonts w:ascii="Calibri" w:eastAsiaTheme="minorHAnsi" w:hAnsi="Calibri" w:cs="Calibri"/>
          <w:sz w:val="24"/>
        </w:rPr>
        <w:t xml:space="preserve">vymáhání a správě </w:t>
      </w:r>
      <w:r w:rsidRPr="009C3AFC">
        <w:rPr>
          <w:rFonts w:ascii="Calibri" w:eastAsiaTheme="minorHAnsi" w:hAnsi="Calibri" w:cs="Calibri"/>
          <w:sz w:val="24"/>
        </w:rPr>
        <w:t xml:space="preserve">pohledávek. </w:t>
      </w:r>
      <w:r w:rsidR="00C20438" w:rsidRPr="009C3AFC">
        <w:rPr>
          <w:rFonts w:ascii="Calibri" w:eastAsiaTheme="minorHAnsi" w:hAnsi="Calibri" w:cs="Calibri"/>
          <w:sz w:val="24"/>
        </w:rPr>
        <w:t xml:space="preserve">Dále se jednalo o účtování uplatněných nároků na úhradu nákladů zásahů u </w:t>
      </w:r>
      <w:r w:rsidR="00EF68B1">
        <w:rPr>
          <w:rFonts w:ascii="Calibri" w:eastAsiaTheme="minorHAnsi" w:hAnsi="Calibri" w:cs="Calibri"/>
          <w:sz w:val="24"/>
        </w:rPr>
        <w:t>dopravních nehod</w:t>
      </w:r>
      <w:r w:rsidR="00C20438" w:rsidRPr="009C3AFC">
        <w:rPr>
          <w:rFonts w:ascii="Calibri" w:eastAsiaTheme="minorHAnsi" w:hAnsi="Calibri" w:cs="Calibri"/>
          <w:sz w:val="24"/>
        </w:rPr>
        <w:t xml:space="preserve"> v celkové výši </w:t>
      </w:r>
      <w:r w:rsidR="00AD1D5C">
        <w:rPr>
          <w:rFonts w:ascii="Calibri" w:eastAsiaTheme="minorHAnsi" w:hAnsi="Calibri" w:cs="Calibri"/>
          <w:sz w:val="24"/>
        </w:rPr>
        <w:t>39 837 </w:t>
      </w:r>
      <w:r w:rsidR="00D51878" w:rsidRPr="009C3AFC">
        <w:rPr>
          <w:rFonts w:ascii="Calibri" w:eastAsiaTheme="minorHAnsi" w:hAnsi="Calibri" w:cs="Calibri"/>
          <w:sz w:val="24"/>
        </w:rPr>
        <w:t xml:space="preserve">218 </w:t>
      </w:r>
      <w:r w:rsidR="00C20438" w:rsidRPr="009C3AFC">
        <w:rPr>
          <w:rFonts w:ascii="Calibri" w:eastAsiaTheme="minorHAnsi" w:hAnsi="Calibri" w:cs="Calibri"/>
          <w:sz w:val="24"/>
        </w:rPr>
        <w:t>Kč pouze na podrozvahových účtech.</w:t>
      </w:r>
    </w:p>
    <w:p w14:paraId="38934359" w14:textId="77777777" w:rsidR="00833728" w:rsidRDefault="00833728" w:rsidP="00833728">
      <w:pPr>
        <w:rPr>
          <w:rFonts w:asciiTheme="minorHAnsi" w:hAnsiTheme="minorHAnsi" w:cstheme="minorHAnsi"/>
          <w:sz w:val="24"/>
          <w:lang w:eastAsia="cs-CZ"/>
        </w:rPr>
      </w:pPr>
    </w:p>
    <w:p w14:paraId="193DE010" w14:textId="77777777" w:rsidR="00982BBB" w:rsidRDefault="00982BBB">
      <w:pPr>
        <w:spacing w:after="200" w:line="276" w:lineRule="auto"/>
        <w:jc w:val="left"/>
        <w:rPr>
          <w:rFonts w:asciiTheme="minorHAnsi" w:hAnsiTheme="minorHAnsi" w:cstheme="minorHAnsi"/>
          <w:sz w:val="24"/>
          <w:lang w:eastAsia="cs-CZ"/>
        </w:rPr>
      </w:pPr>
      <w:r>
        <w:rPr>
          <w:rFonts w:asciiTheme="minorHAnsi" w:hAnsiTheme="minorHAnsi" w:cstheme="minorHAnsi"/>
          <w:sz w:val="24"/>
          <w:lang w:eastAsia="cs-CZ"/>
        </w:rPr>
        <w:br w:type="page"/>
      </w:r>
    </w:p>
    <w:p w14:paraId="754A00FC" w14:textId="712AFD21" w:rsidR="000C7E82" w:rsidRPr="00660ADA" w:rsidRDefault="000C7E82" w:rsidP="00833728">
      <w:pPr>
        <w:rPr>
          <w:rFonts w:asciiTheme="minorHAnsi" w:hAnsiTheme="minorHAnsi" w:cstheme="minorHAnsi"/>
          <w:b/>
          <w:sz w:val="28"/>
          <w:szCs w:val="28"/>
        </w:rPr>
      </w:pPr>
      <w:r w:rsidRPr="00660ADA">
        <w:rPr>
          <w:rFonts w:asciiTheme="minorHAnsi" w:hAnsiTheme="minorHAnsi" w:cstheme="minorHAnsi"/>
          <w:b/>
          <w:sz w:val="28"/>
          <w:szCs w:val="28"/>
        </w:rPr>
        <w:lastRenderedPageBreak/>
        <w:t>Seznam zkratek</w:t>
      </w:r>
    </w:p>
    <w:p w14:paraId="38D3693A" w14:textId="77777777" w:rsidR="00A41B9D" w:rsidRDefault="00A41B9D" w:rsidP="00D50BC4">
      <w:pPr>
        <w:pStyle w:val="KP-normlntext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6730"/>
      </w:tblGrid>
      <w:tr w:rsidR="006C167B" w14:paraId="6A8B6AAB" w14:textId="77777777" w:rsidTr="004A298C">
        <w:tc>
          <w:tcPr>
            <w:tcW w:w="2376" w:type="dxa"/>
          </w:tcPr>
          <w:p w14:paraId="4DE666FE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825524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ČKP</w:t>
            </w:r>
          </w:p>
        </w:tc>
        <w:tc>
          <w:tcPr>
            <w:tcW w:w="6836" w:type="dxa"/>
          </w:tcPr>
          <w:p w14:paraId="1B0A05C1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825524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Česká kancelář pojistitelů</w:t>
            </w:r>
          </w:p>
        </w:tc>
      </w:tr>
      <w:tr w:rsidR="006C167B" w14:paraId="085B436E" w14:textId="77777777" w:rsidTr="004A298C">
        <w:tc>
          <w:tcPr>
            <w:tcW w:w="2376" w:type="dxa"/>
          </w:tcPr>
          <w:p w14:paraId="686494F7" w14:textId="77777777" w:rsidR="006C167B" w:rsidRPr="00D73F4D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EPS</w:t>
            </w:r>
          </w:p>
        </w:tc>
        <w:tc>
          <w:tcPr>
            <w:tcW w:w="6836" w:type="dxa"/>
          </w:tcPr>
          <w:p w14:paraId="75B3A8AF" w14:textId="77777777" w:rsidR="006C167B" w:rsidRPr="00D73F4D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hAnsiTheme="minorHAnsi" w:cstheme="minorHAnsi"/>
                <w:sz w:val="24"/>
              </w:rPr>
            </w:pPr>
            <w:r w:rsidRPr="007C3102">
              <w:rPr>
                <w:rFonts w:ascii="Calibri" w:hAnsi="Calibri" w:cs="Calibri"/>
                <w:sz w:val="24"/>
              </w:rPr>
              <w:t>elektrick</w:t>
            </w:r>
            <w:r>
              <w:rPr>
                <w:rFonts w:ascii="Calibri" w:hAnsi="Calibri" w:cs="Calibri"/>
                <w:sz w:val="24"/>
              </w:rPr>
              <w:t>á</w:t>
            </w:r>
            <w:r w:rsidRPr="007C3102">
              <w:rPr>
                <w:rFonts w:ascii="Calibri" w:hAnsi="Calibri" w:cs="Calibri"/>
                <w:sz w:val="24"/>
              </w:rPr>
              <w:t xml:space="preserve"> požární signalizace</w:t>
            </w:r>
          </w:p>
        </w:tc>
      </w:tr>
      <w:tr w:rsidR="006C167B" w14:paraId="3EBFEAFC" w14:textId="77777777" w:rsidTr="004A298C">
        <w:tc>
          <w:tcPr>
            <w:tcW w:w="2376" w:type="dxa"/>
          </w:tcPr>
          <w:p w14:paraId="03CAE57D" w14:textId="77777777" w:rsidR="006C167B" w:rsidRPr="007F5548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5524">
              <w:rPr>
                <w:rFonts w:asciiTheme="minorHAnsi" w:hAnsiTheme="minorHAnsi" w:cstheme="minorHAnsi"/>
                <w:sz w:val="24"/>
                <w:szCs w:val="24"/>
              </w:rPr>
              <w:t>FZŠ</w:t>
            </w:r>
          </w:p>
        </w:tc>
        <w:tc>
          <w:tcPr>
            <w:tcW w:w="6836" w:type="dxa"/>
          </w:tcPr>
          <w:p w14:paraId="19D2958C" w14:textId="77777777" w:rsidR="006C167B" w:rsidRPr="007F5548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5524">
              <w:rPr>
                <w:rFonts w:asciiTheme="minorHAnsi" w:hAnsiTheme="minorHAnsi" w:cstheme="minorHAnsi"/>
                <w:sz w:val="24"/>
                <w:szCs w:val="24"/>
              </w:rPr>
              <w:t>fond zábrany škod</w:t>
            </w:r>
          </w:p>
        </w:tc>
      </w:tr>
      <w:tr w:rsidR="006C167B" w14:paraId="16C9131A" w14:textId="77777777" w:rsidTr="004A298C">
        <w:tc>
          <w:tcPr>
            <w:tcW w:w="2376" w:type="dxa"/>
          </w:tcPr>
          <w:p w14:paraId="63A69831" w14:textId="182F67E4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GŘ</w:t>
            </w:r>
          </w:p>
        </w:tc>
        <w:tc>
          <w:tcPr>
            <w:tcW w:w="6836" w:type="dxa"/>
          </w:tcPr>
          <w:p w14:paraId="0929770E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7F5548">
              <w:rPr>
                <w:rFonts w:asciiTheme="minorHAnsi" w:hAnsiTheme="minorHAnsi" w:cstheme="minorHAnsi"/>
                <w:sz w:val="24"/>
                <w:szCs w:val="24"/>
              </w:rPr>
              <w:t xml:space="preserve">generální ředitelství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HZS ČR</w:t>
            </w:r>
          </w:p>
        </w:tc>
      </w:tr>
      <w:tr w:rsidR="006C167B" w14:paraId="4D9B20A3" w14:textId="77777777" w:rsidTr="00DB2F79">
        <w:tc>
          <w:tcPr>
            <w:tcW w:w="2376" w:type="dxa"/>
          </w:tcPr>
          <w:p w14:paraId="3AEE9D12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HZS</w:t>
            </w:r>
          </w:p>
        </w:tc>
        <w:tc>
          <w:tcPr>
            <w:tcW w:w="6836" w:type="dxa"/>
          </w:tcPr>
          <w:p w14:paraId="6F0C8019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7F5548">
              <w:rPr>
                <w:rFonts w:asciiTheme="minorHAnsi" w:hAnsiTheme="minorHAnsi" w:cstheme="minorHAnsi"/>
                <w:sz w:val="24"/>
                <w:szCs w:val="24"/>
              </w:rPr>
              <w:t>Hasičský záchranný sbor České republiky</w:t>
            </w:r>
          </w:p>
        </w:tc>
      </w:tr>
      <w:tr w:rsidR="006C167B" w14:paraId="507230E0" w14:textId="77777777" w:rsidTr="004A298C">
        <w:tc>
          <w:tcPr>
            <w:tcW w:w="2376" w:type="dxa"/>
          </w:tcPr>
          <w:p w14:paraId="533FFA3C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825524">
              <w:rPr>
                <w:rFonts w:asciiTheme="minorHAnsi" w:hAnsiTheme="minorHAnsi" w:cstheme="minorHAnsi"/>
                <w:sz w:val="24"/>
              </w:rPr>
              <w:t>HZS JMK</w:t>
            </w:r>
          </w:p>
        </w:tc>
        <w:tc>
          <w:tcPr>
            <w:tcW w:w="6836" w:type="dxa"/>
          </w:tcPr>
          <w:p w14:paraId="586FB4A6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825524">
              <w:rPr>
                <w:rFonts w:asciiTheme="minorHAnsi" w:hAnsiTheme="minorHAnsi" w:cstheme="minorHAnsi"/>
                <w:sz w:val="24"/>
              </w:rPr>
              <w:t xml:space="preserve">Hasičský záchranný sbor Jihomoravského kraje </w:t>
            </w:r>
          </w:p>
        </w:tc>
      </w:tr>
      <w:tr w:rsidR="006C167B" w14:paraId="5CFA0D03" w14:textId="77777777" w:rsidTr="004A298C">
        <w:tc>
          <w:tcPr>
            <w:tcW w:w="2376" w:type="dxa"/>
          </w:tcPr>
          <w:p w14:paraId="47C9E2C8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825524">
              <w:rPr>
                <w:rFonts w:asciiTheme="minorHAnsi" w:hAnsiTheme="minorHAnsi" w:cstheme="minorHAnsi"/>
                <w:sz w:val="24"/>
              </w:rPr>
              <w:t>HZS LK</w:t>
            </w:r>
          </w:p>
        </w:tc>
        <w:tc>
          <w:tcPr>
            <w:tcW w:w="6836" w:type="dxa"/>
          </w:tcPr>
          <w:p w14:paraId="270DF198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825524">
              <w:rPr>
                <w:rFonts w:asciiTheme="minorHAnsi" w:hAnsiTheme="minorHAnsi" w:cstheme="minorHAnsi"/>
                <w:sz w:val="24"/>
              </w:rPr>
              <w:t xml:space="preserve">Hasičský záchranný sbor Libereckého </w:t>
            </w:r>
            <w:r>
              <w:rPr>
                <w:rFonts w:asciiTheme="minorHAnsi" w:hAnsiTheme="minorHAnsi" w:cstheme="minorHAnsi"/>
                <w:sz w:val="24"/>
              </w:rPr>
              <w:t>kraje</w:t>
            </w:r>
          </w:p>
        </w:tc>
      </w:tr>
      <w:tr w:rsidR="006C167B" w14:paraId="16F2B07A" w14:textId="77777777" w:rsidTr="004A298C">
        <w:tc>
          <w:tcPr>
            <w:tcW w:w="2376" w:type="dxa"/>
          </w:tcPr>
          <w:p w14:paraId="7FD22026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D73F4D">
              <w:rPr>
                <w:rFonts w:asciiTheme="minorHAnsi" w:hAnsiTheme="minorHAnsi" w:cstheme="minorHAnsi"/>
                <w:sz w:val="24"/>
              </w:rPr>
              <w:t>HZS PK</w:t>
            </w:r>
          </w:p>
        </w:tc>
        <w:tc>
          <w:tcPr>
            <w:tcW w:w="6836" w:type="dxa"/>
          </w:tcPr>
          <w:p w14:paraId="3B285FDF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D73F4D">
              <w:rPr>
                <w:rFonts w:asciiTheme="minorHAnsi" w:hAnsiTheme="minorHAnsi" w:cstheme="minorHAnsi"/>
                <w:sz w:val="24"/>
              </w:rPr>
              <w:t xml:space="preserve">Hasičský záchranný sbor Pardubického kraje </w:t>
            </w:r>
          </w:p>
        </w:tc>
      </w:tr>
      <w:tr w:rsidR="006C167B" w14:paraId="60B9B3AB" w14:textId="77777777" w:rsidTr="004A298C">
        <w:tc>
          <w:tcPr>
            <w:tcW w:w="2376" w:type="dxa"/>
          </w:tcPr>
          <w:p w14:paraId="7768F037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825524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HZS Praha</w:t>
            </w:r>
          </w:p>
        </w:tc>
        <w:tc>
          <w:tcPr>
            <w:tcW w:w="6836" w:type="dxa"/>
          </w:tcPr>
          <w:p w14:paraId="0FD45B27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825524">
              <w:rPr>
                <w:rFonts w:asciiTheme="minorHAnsi" w:hAnsiTheme="minorHAnsi" w:cstheme="minorHAnsi"/>
                <w:sz w:val="24"/>
              </w:rPr>
              <w:t xml:space="preserve">Hasičský záchranný sbor hlavního města Prahy </w:t>
            </w:r>
          </w:p>
        </w:tc>
      </w:tr>
      <w:tr w:rsidR="006C167B" w14:paraId="5464E5F2" w14:textId="77777777" w:rsidTr="004A298C">
        <w:tc>
          <w:tcPr>
            <w:tcW w:w="2376" w:type="dxa"/>
          </w:tcPr>
          <w:p w14:paraId="0A0CEFA7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7F5548">
              <w:rPr>
                <w:rFonts w:asciiTheme="minorHAnsi" w:hAnsiTheme="minorHAnsi" w:cstheme="minorHAnsi"/>
                <w:sz w:val="24"/>
                <w:szCs w:val="24"/>
              </w:rPr>
              <w:t>HZSK</w:t>
            </w:r>
          </w:p>
        </w:tc>
        <w:tc>
          <w:tcPr>
            <w:tcW w:w="6836" w:type="dxa"/>
          </w:tcPr>
          <w:p w14:paraId="2D529683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7F5548">
              <w:rPr>
                <w:rFonts w:asciiTheme="minorHAnsi" w:hAnsiTheme="minorHAnsi" w:cstheme="minorHAnsi"/>
                <w:sz w:val="24"/>
                <w:szCs w:val="24"/>
              </w:rPr>
              <w:t>hasičské záchranné sbory krajů a záchranný útvar</w:t>
            </w:r>
          </w:p>
        </w:tc>
      </w:tr>
      <w:tr w:rsidR="006C167B" w14:paraId="13853616" w14:textId="77777777" w:rsidTr="004A298C">
        <w:tc>
          <w:tcPr>
            <w:tcW w:w="2376" w:type="dxa"/>
          </w:tcPr>
          <w:p w14:paraId="3DFA9D82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7F5548">
              <w:rPr>
                <w:rFonts w:asciiTheme="minorHAnsi" w:hAnsiTheme="minorHAnsi" w:cstheme="minorHAnsi"/>
                <w:sz w:val="24"/>
                <w:szCs w:val="24"/>
              </w:rPr>
              <w:t>NKÚ</w:t>
            </w:r>
          </w:p>
        </w:tc>
        <w:tc>
          <w:tcPr>
            <w:tcW w:w="6836" w:type="dxa"/>
          </w:tcPr>
          <w:p w14:paraId="52795380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7F5548">
              <w:rPr>
                <w:rFonts w:asciiTheme="minorHAnsi" w:hAnsiTheme="minorHAnsi" w:cstheme="minorHAnsi"/>
                <w:sz w:val="24"/>
                <w:szCs w:val="24"/>
              </w:rPr>
              <w:t>Nejvyšší kontrolní úřad</w:t>
            </w:r>
          </w:p>
        </w:tc>
      </w:tr>
      <w:tr w:rsidR="006C167B" w14:paraId="7F1635D8" w14:textId="77777777" w:rsidTr="004A298C">
        <w:tc>
          <w:tcPr>
            <w:tcW w:w="2376" w:type="dxa"/>
          </w:tcPr>
          <w:p w14:paraId="390A8CCE" w14:textId="77777777" w:rsidR="006C167B" w:rsidRPr="00D73F4D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PCO</w:t>
            </w:r>
          </w:p>
        </w:tc>
        <w:tc>
          <w:tcPr>
            <w:tcW w:w="6836" w:type="dxa"/>
          </w:tcPr>
          <w:p w14:paraId="64C89C04" w14:textId="77777777" w:rsidR="006C167B" w:rsidRPr="00D73F4D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pult centralizované ochrany</w:t>
            </w:r>
          </w:p>
        </w:tc>
      </w:tr>
      <w:tr w:rsidR="006C167B" w14:paraId="499C9CF8" w14:textId="77777777" w:rsidTr="004A298C">
        <w:tc>
          <w:tcPr>
            <w:tcW w:w="2376" w:type="dxa"/>
          </w:tcPr>
          <w:p w14:paraId="121C8AFE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D73F4D">
              <w:rPr>
                <w:rFonts w:asciiTheme="minorHAnsi" w:hAnsiTheme="minorHAnsi" w:cstheme="minorHAnsi"/>
                <w:sz w:val="24"/>
              </w:rPr>
              <w:t>ZÚ</w:t>
            </w:r>
          </w:p>
        </w:tc>
        <w:tc>
          <w:tcPr>
            <w:tcW w:w="6836" w:type="dxa"/>
          </w:tcPr>
          <w:p w14:paraId="6C0CFEEC" w14:textId="77777777" w:rsidR="006C167B" w:rsidRDefault="006C167B" w:rsidP="00D50BC4">
            <w:pPr>
              <w:pStyle w:val="KP-normlntext"/>
              <w:tabs>
                <w:tab w:val="left" w:pos="2268"/>
              </w:tabs>
              <w:spacing w:before="0" w:after="0" w:line="276" w:lineRule="auto"/>
              <w:ind w:firstLine="0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D73F4D">
              <w:rPr>
                <w:rFonts w:asciiTheme="minorHAnsi" w:hAnsiTheme="minorHAnsi" w:cstheme="minorHAnsi"/>
                <w:sz w:val="24"/>
              </w:rPr>
              <w:t xml:space="preserve">Záchranný útvar </w:t>
            </w:r>
            <w:r>
              <w:rPr>
                <w:rFonts w:asciiTheme="minorHAnsi" w:hAnsiTheme="minorHAnsi" w:cstheme="minorHAnsi"/>
                <w:sz w:val="24"/>
              </w:rPr>
              <w:t>HZS ČR</w:t>
            </w:r>
          </w:p>
        </w:tc>
      </w:tr>
    </w:tbl>
    <w:p w14:paraId="7ABCBA59" w14:textId="4197D3FE" w:rsidR="00B01C0E" w:rsidRPr="00B01C0E" w:rsidRDefault="00B01C0E" w:rsidP="00D50BC4">
      <w:pPr>
        <w:pStyle w:val="KP-normlntext"/>
        <w:tabs>
          <w:tab w:val="left" w:pos="2268"/>
        </w:tabs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sectPr w:rsidR="00B01C0E" w:rsidRPr="00B01C0E" w:rsidSect="00F0122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474D3" w14:textId="77777777" w:rsidR="00477681" w:rsidRDefault="00477681" w:rsidP="00111871">
      <w:r>
        <w:separator/>
      </w:r>
    </w:p>
  </w:endnote>
  <w:endnote w:type="continuationSeparator" w:id="0">
    <w:p w14:paraId="77C57940" w14:textId="77777777" w:rsidR="00477681" w:rsidRDefault="00477681" w:rsidP="00111871">
      <w:r>
        <w:continuationSeparator/>
      </w:r>
    </w:p>
  </w:endnote>
  <w:endnote w:type="continuationNotice" w:id="1">
    <w:p w14:paraId="68298F5E" w14:textId="77777777" w:rsidR="00477681" w:rsidRDefault="00477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4517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</w:rPr>
    </w:sdtEndPr>
    <w:sdtContent>
      <w:p w14:paraId="754A0114" w14:textId="77777777" w:rsidR="00477681" w:rsidRPr="005E3829" w:rsidRDefault="00477681">
        <w:pPr>
          <w:pStyle w:val="Zpat"/>
          <w:jc w:val="center"/>
          <w:rPr>
            <w:rFonts w:asciiTheme="minorHAnsi" w:hAnsiTheme="minorHAnsi" w:cstheme="minorHAnsi"/>
            <w:sz w:val="24"/>
          </w:rPr>
        </w:pPr>
        <w:r w:rsidRPr="005E3829">
          <w:rPr>
            <w:rFonts w:asciiTheme="minorHAnsi" w:hAnsiTheme="minorHAnsi" w:cstheme="minorHAnsi"/>
            <w:sz w:val="24"/>
          </w:rPr>
          <w:fldChar w:fldCharType="begin"/>
        </w:r>
        <w:r w:rsidRPr="005E3829">
          <w:rPr>
            <w:rFonts w:asciiTheme="minorHAnsi" w:hAnsiTheme="minorHAnsi" w:cstheme="minorHAnsi"/>
            <w:sz w:val="24"/>
          </w:rPr>
          <w:instrText>PAGE   \* MERGEFORMAT</w:instrText>
        </w:r>
        <w:r w:rsidRPr="005E3829">
          <w:rPr>
            <w:rFonts w:asciiTheme="minorHAnsi" w:hAnsiTheme="minorHAnsi" w:cstheme="minorHAnsi"/>
            <w:sz w:val="24"/>
          </w:rPr>
          <w:fldChar w:fldCharType="separate"/>
        </w:r>
        <w:r w:rsidR="000865F4">
          <w:rPr>
            <w:rFonts w:asciiTheme="minorHAnsi" w:hAnsiTheme="minorHAnsi" w:cstheme="minorHAnsi"/>
            <w:noProof/>
            <w:sz w:val="24"/>
          </w:rPr>
          <w:t>16</w:t>
        </w:r>
        <w:r w:rsidRPr="005E3829">
          <w:rPr>
            <w:rFonts w:asciiTheme="minorHAnsi" w:hAnsiTheme="minorHAnsi" w:cstheme="minorHAnsi"/>
            <w:sz w:val="24"/>
          </w:rPr>
          <w:fldChar w:fldCharType="end"/>
        </w:r>
      </w:p>
    </w:sdtContent>
  </w:sdt>
  <w:p w14:paraId="754A0115" w14:textId="77777777" w:rsidR="00477681" w:rsidRDefault="004776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D7CC6" w14:textId="77777777" w:rsidR="00477681" w:rsidRDefault="00477681" w:rsidP="00111871">
      <w:r>
        <w:separator/>
      </w:r>
    </w:p>
  </w:footnote>
  <w:footnote w:type="continuationSeparator" w:id="0">
    <w:p w14:paraId="51B2B994" w14:textId="77777777" w:rsidR="00477681" w:rsidRDefault="00477681" w:rsidP="00111871">
      <w:r>
        <w:continuationSeparator/>
      </w:r>
    </w:p>
  </w:footnote>
  <w:footnote w:type="continuationNotice" w:id="1">
    <w:p w14:paraId="47294AFE" w14:textId="77777777" w:rsidR="00477681" w:rsidRDefault="00477681"/>
  </w:footnote>
  <w:footnote w:id="2">
    <w:p w14:paraId="7BD3C4C3" w14:textId="77777777" w:rsidR="00477681" w:rsidRPr="00E03B8E" w:rsidRDefault="00477681" w:rsidP="007B083D">
      <w:pPr>
        <w:pStyle w:val="Textpoznpodarou"/>
        <w:ind w:left="284" w:hanging="284"/>
        <w:rPr>
          <w:rFonts w:asciiTheme="minorHAnsi" w:hAnsiTheme="minorHAnsi" w:cstheme="minorHAnsi"/>
        </w:rPr>
      </w:pPr>
      <w:r w:rsidRPr="00E03B8E">
        <w:rPr>
          <w:rStyle w:val="Znakapoznpodarou"/>
          <w:rFonts w:asciiTheme="minorHAnsi" w:hAnsiTheme="minorHAnsi" w:cstheme="minorHAnsi"/>
        </w:rPr>
        <w:footnoteRef/>
      </w:r>
      <w:r w:rsidRPr="00E03B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03B8E">
        <w:rPr>
          <w:rFonts w:asciiTheme="minorHAnsi" w:hAnsiTheme="minorHAnsi" w:cstheme="minorHAnsi"/>
        </w:rPr>
        <w:t xml:space="preserve">Ustanovení § 12 </w:t>
      </w:r>
      <w:r w:rsidRPr="00E03B8E">
        <w:rPr>
          <w:rFonts w:asciiTheme="minorHAnsi" w:hAnsiTheme="minorHAnsi" w:cstheme="minorHAnsi"/>
          <w:color w:val="000000"/>
        </w:rPr>
        <w:t>zákona č. 2/1969 Sb., o zřízení ministerstev a jiných ústředních orgánů státní správy České republiky.</w:t>
      </w:r>
    </w:p>
  </w:footnote>
  <w:footnote w:id="3">
    <w:p w14:paraId="3FE7BAB2" w14:textId="2B10976D" w:rsidR="00477681" w:rsidRPr="003234CE" w:rsidRDefault="00477681" w:rsidP="00DE1737">
      <w:pPr>
        <w:pStyle w:val="Textpoznpodarou"/>
        <w:ind w:left="284" w:hanging="284"/>
        <w:rPr>
          <w:rFonts w:asciiTheme="minorHAnsi" w:hAnsiTheme="minorHAnsi" w:cstheme="minorHAnsi"/>
        </w:rPr>
      </w:pPr>
      <w:r w:rsidRPr="003234CE">
        <w:rPr>
          <w:rStyle w:val="Znakapoznpodarou"/>
          <w:rFonts w:asciiTheme="minorHAnsi" w:hAnsiTheme="minorHAnsi" w:cstheme="minorHAnsi"/>
        </w:rPr>
        <w:footnoteRef/>
      </w:r>
      <w:r w:rsidRPr="003234CE">
        <w:rPr>
          <w:rFonts w:asciiTheme="minorHAnsi" w:hAnsiTheme="minorHAnsi" w:cstheme="minorHAnsi"/>
        </w:rPr>
        <w:t xml:space="preserve"> </w:t>
      </w:r>
      <w:r w:rsidRPr="003234CE">
        <w:rPr>
          <w:rFonts w:asciiTheme="minorHAnsi" w:hAnsiTheme="minorHAnsi" w:cstheme="minorHAnsi"/>
        </w:rPr>
        <w:tab/>
        <w:t>Zákon č. 238/2000 Sb., o Hasičském záchranném sboru České republiky a o změně některých zákonů.</w:t>
      </w:r>
    </w:p>
  </w:footnote>
  <w:footnote w:id="4">
    <w:p w14:paraId="6B71E4A3" w14:textId="77777777" w:rsidR="00477681" w:rsidRPr="003234CE" w:rsidRDefault="00477681" w:rsidP="007073D6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3234CE">
        <w:rPr>
          <w:rStyle w:val="Znakapoznpodarou"/>
          <w:rFonts w:asciiTheme="minorHAnsi" w:hAnsiTheme="minorHAnsi" w:cstheme="minorHAnsi"/>
        </w:rPr>
        <w:footnoteRef/>
      </w:r>
      <w:r w:rsidRPr="003234CE">
        <w:rPr>
          <w:rFonts w:asciiTheme="minorHAnsi" w:hAnsiTheme="minorHAnsi" w:cstheme="minorHAnsi"/>
        </w:rPr>
        <w:t xml:space="preserve"> </w:t>
      </w:r>
      <w:r w:rsidRPr="003234CE">
        <w:rPr>
          <w:rFonts w:asciiTheme="minorHAnsi" w:hAnsiTheme="minorHAnsi" w:cstheme="minorHAnsi"/>
        </w:rPr>
        <w:tab/>
        <w:t>Zákon č. 133/1985 Sb., o požární ochraně.</w:t>
      </w:r>
    </w:p>
  </w:footnote>
  <w:footnote w:id="5">
    <w:p w14:paraId="5C7AC6CC" w14:textId="77777777" w:rsidR="00477681" w:rsidRPr="009C3FE0" w:rsidRDefault="00477681" w:rsidP="002613CD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9C3FE0">
        <w:rPr>
          <w:rStyle w:val="Znakapoznpodarou"/>
          <w:rFonts w:asciiTheme="minorHAnsi" w:hAnsiTheme="minorHAnsi" w:cstheme="minorHAnsi"/>
        </w:rPr>
        <w:footnoteRef/>
      </w:r>
      <w:r w:rsidRPr="009C3FE0">
        <w:rPr>
          <w:rFonts w:asciiTheme="minorHAnsi" w:hAnsiTheme="minorHAnsi" w:cstheme="minorHAnsi"/>
        </w:rPr>
        <w:t xml:space="preserve"> </w:t>
      </w:r>
      <w:r w:rsidRPr="009C3FE0">
        <w:rPr>
          <w:rFonts w:asciiTheme="minorHAnsi" w:hAnsiTheme="minorHAnsi" w:cstheme="minorHAnsi"/>
        </w:rPr>
        <w:tab/>
        <w:t>Kontrolní akce č. 1</w:t>
      </w:r>
      <w:r>
        <w:rPr>
          <w:rFonts w:asciiTheme="minorHAnsi" w:hAnsiTheme="minorHAnsi" w:cstheme="minorHAnsi"/>
        </w:rPr>
        <w:t>4</w:t>
      </w:r>
      <w:r w:rsidRPr="009C3FE0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3</w:t>
      </w:r>
      <w:r w:rsidRPr="009C3F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</w:t>
      </w:r>
      <w:r w:rsidRPr="00DE1737">
        <w:rPr>
          <w:rFonts w:asciiTheme="minorHAnsi" w:hAnsiTheme="minorHAnsi" w:cstheme="minorHAnsi"/>
          <w:i/>
        </w:rPr>
        <w:t>Peněžní prostředky určené na rozvoj a obnovu materiálně technické základny Hasičského záchranného sboru ČR</w:t>
      </w:r>
      <w:r>
        <w:rPr>
          <w:rFonts w:asciiTheme="minorHAnsi" w:hAnsiTheme="minorHAnsi" w:cstheme="minorHAnsi"/>
          <w:i/>
        </w:rPr>
        <w:t>.</w:t>
      </w:r>
    </w:p>
  </w:footnote>
  <w:footnote w:id="6">
    <w:p w14:paraId="6D2978D1" w14:textId="44D4619E" w:rsidR="00477681" w:rsidRDefault="00477681" w:rsidP="002613CD">
      <w:pPr>
        <w:pStyle w:val="Textpoznpodarou"/>
        <w:tabs>
          <w:tab w:val="left" w:pos="284"/>
        </w:tabs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C3FE0">
        <w:rPr>
          <w:rFonts w:asciiTheme="minorHAnsi" w:hAnsiTheme="minorHAnsi" w:cstheme="minorHAnsi"/>
        </w:rPr>
        <w:t>Kontrolní akce č. 1</w:t>
      </w:r>
      <w:r>
        <w:rPr>
          <w:rFonts w:asciiTheme="minorHAnsi" w:hAnsiTheme="minorHAnsi" w:cstheme="minorHAnsi"/>
        </w:rPr>
        <w:t>5</w:t>
      </w:r>
      <w:r w:rsidRPr="009C3FE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32 –</w:t>
      </w:r>
      <w:r w:rsidRPr="009C3FE0">
        <w:rPr>
          <w:rFonts w:asciiTheme="minorHAnsi" w:hAnsiTheme="minorHAnsi" w:cstheme="minorHAnsi"/>
        </w:rPr>
        <w:t xml:space="preserve"> </w:t>
      </w:r>
      <w:r w:rsidRPr="002610DE">
        <w:rPr>
          <w:rFonts w:asciiTheme="minorHAnsi" w:hAnsiTheme="minorHAnsi" w:cstheme="minorHAnsi"/>
          <w:i/>
        </w:rPr>
        <w:t xml:space="preserve">Účetní závěrka Ministerstva vnitra </w:t>
      </w:r>
      <w:r>
        <w:rPr>
          <w:rFonts w:asciiTheme="minorHAnsi" w:hAnsiTheme="minorHAnsi" w:cstheme="minorHAnsi"/>
          <w:i/>
        </w:rPr>
        <w:t>k </w:t>
      </w:r>
      <w:r w:rsidRPr="002610DE">
        <w:rPr>
          <w:rFonts w:asciiTheme="minorHAnsi" w:hAnsiTheme="minorHAnsi" w:cstheme="minorHAnsi"/>
          <w:i/>
        </w:rPr>
        <w:t>31. 12. 2014</w:t>
      </w:r>
      <w:r>
        <w:rPr>
          <w:rFonts w:asciiTheme="minorHAnsi" w:hAnsiTheme="minorHAnsi" w:cstheme="minorHAnsi"/>
          <w:i/>
        </w:rPr>
        <w:t>.</w:t>
      </w:r>
    </w:p>
  </w:footnote>
  <w:footnote w:id="7">
    <w:p w14:paraId="6987127E" w14:textId="6E9DBB35" w:rsidR="00477681" w:rsidRPr="003234CE" w:rsidRDefault="00477681" w:rsidP="0088175F">
      <w:pPr>
        <w:pStyle w:val="Textpoznpodarou"/>
        <w:ind w:left="284" w:hanging="284"/>
        <w:rPr>
          <w:rFonts w:asciiTheme="minorHAnsi" w:hAnsiTheme="minorHAnsi" w:cstheme="minorHAnsi"/>
        </w:rPr>
      </w:pPr>
      <w:r w:rsidRPr="003234CE">
        <w:rPr>
          <w:rStyle w:val="Znakapoznpodarou"/>
          <w:rFonts w:asciiTheme="minorHAnsi" w:hAnsiTheme="minorHAnsi" w:cstheme="minorHAnsi"/>
        </w:rPr>
        <w:footnoteRef/>
      </w:r>
      <w:r w:rsidRPr="003234CE">
        <w:rPr>
          <w:rFonts w:asciiTheme="minorHAnsi" w:hAnsiTheme="minorHAnsi" w:cstheme="minorHAnsi"/>
        </w:rPr>
        <w:t xml:space="preserve"> </w:t>
      </w:r>
      <w:r w:rsidRPr="003234CE">
        <w:rPr>
          <w:rFonts w:asciiTheme="minorHAnsi" w:hAnsiTheme="minorHAnsi" w:cstheme="minorHAnsi"/>
        </w:rPr>
        <w:tab/>
        <w:t>Zákon č. 168/1999 Sb., o pojištění odpovědnosti za škodu způsobenou provozem vozidla a o změně některých souvisejících zákonů (zákon o pojištění odpovědnosti z provozu vozidla).</w:t>
      </w:r>
    </w:p>
  </w:footnote>
  <w:footnote w:id="8">
    <w:p w14:paraId="00AEAF40" w14:textId="433E7D3B" w:rsidR="00477681" w:rsidRDefault="00477681" w:rsidP="002356E0">
      <w:pPr>
        <w:pStyle w:val="Textpoznpodarou"/>
        <w:tabs>
          <w:tab w:val="left" w:pos="284"/>
        </w:tabs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Theme="minorHAnsi" w:hAnsiTheme="minorHAnsi" w:cstheme="minorHAnsi"/>
        </w:rPr>
        <w:t>K</w:t>
      </w:r>
      <w:r w:rsidRPr="00784415">
        <w:rPr>
          <w:rFonts w:asciiTheme="minorHAnsi" w:hAnsiTheme="minorHAnsi" w:cstheme="minorHAnsi"/>
        </w:rPr>
        <w:t xml:space="preserve">omplexní pozměňovací návrh </w:t>
      </w:r>
      <w:r>
        <w:rPr>
          <w:rFonts w:asciiTheme="minorHAnsi" w:hAnsiTheme="minorHAnsi" w:cstheme="minorHAnsi"/>
        </w:rPr>
        <w:t>k </w:t>
      </w:r>
      <w:r w:rsidRPr="00784415">
        <w:rPr>
          <w:rFonts w:asciiTheme="minorHAnsi" w:hAnsiTheme="minorHAnsi" w:cstheme="minorHAnsi"/>
        </w:rPr>
        <w:t>sněmovnímu tisku č. 709</w:t>
      </w:r>
      <w:r>
        <w:rPr>
          <w:rFonts w:asciiTheme="minorHAnsi" w:hAnsiTheme="minorHAnsi" w:cstheme="minorHAnsi"/>
        </w:rPr>
        <w:t xml:space="preserve"> ze dne 25. 2. 2013 (kterým se mění zákon č. </w:t>
      </w:r>
      <w:r w:rsidRPr="002356E0">
        <w:rPr>
          <w:rFonts w:asciiTheme="minorHAnsi" w:hAnsiTheme="minorHAnsi" w:cstheme="minorHAnsi"/>
        </w:rPr>
        <w:t>168/1999 Sb., o pojištění odpovědnosti za škodu způsobenou</w:t>
      </w:r>
      <w:r>
        <w:rPr>
          <w:rFonts w:asciiTheme="minorHAnsi" w:hAnsiTheme="minorHAnsi" w:cstheme="minorHAnsi"/>
        </w:rPr>
        <w:t xml:space="preserve"> </w:t>
      </w:r>
      <w:r w:rsidRPr="002356E0">
        <w:rPr>
          <w:rFonts w:asciiTheme="minorHAnsi" w:hAnsiTheme="minorHAnsi" w:cstheme="minorHAnsi"/>
        </w:rPr>
        <w:t>provozem vozidla a o změně některých souvisejících zákonů (zákon o pojištění odpovědnosti</w:t>
      </w:r>
      <w:r>
        <w:rPr>
          <w:rFonts w:asciiTheme="minorHAnsi" w:hAnsiTheme="minorHAnsi" w:cstheme="minorHAnsi"/>
        </w:rPr>
        <w:t xml:space="preserve"> z </w:t>
      </w:r>
      <w:r w:rsidRPr="002356E0">
        <w:rPr>
          <w:rFonts w:asciiTheme="minorHAnsi" w:hAnsiTheme="minorHAnsi" w:cstheme="minorHAnsi"/>
        </w:rPr>
        <w:t>provozu vozidla), ve znění pozdějších předpisů, zákon č. 238/2000 Sb., o Hasičském</w:t>
      </w:r>
      <w:r>
        <w:rPr>
          <w:rFonts w:asciiTheme="minorHAnsi" w:hAnsiTheme="minorHAnsi" w:cstheme="minorHAnsi"/>
        </w:rPr>
        <w:t xml:space="preserve"> </w:t>
      </w:r>
      <w:r w:rsidRPr="002356E0">
        <w:rPr>
          <w:rFonts w:asciiTheme="minorHAnsi" w:hAnsiTheme="minorHAnsi" w:cstheme="minorHAnsi"/>
        </w:rPr>
        <w:t>záchr</w:t>
      </w:r>
      <w:r>
        <w:rPr>
          <w:rFonts w:asciiTheme="minorHAnsi" w:hAnsiTheme="minorHAnsi" w:cstheme="minorHAnsi"/>
        </w:rPr>
        <w:t>anném sboru České republiky a o </w:t>
      </w:r>
      <w:r w:rsidRPr="002356E0">
        <w:rPr>
          <w:rFonts w:asciiTheme="minorHAnsi" w:hAnsiTheme="minorHAnsi" w:cstheme="minorHAnsi"/>
        </w:rPr>
        <w:t>změně některých zákonů, ve znění pozdějších</w:t>
      </w:r>
      <w:r>
        <w:rPr>
          <w:rFonts w:asciiTheme="minorHAnsi" w:hAnsiTheme="minorHAnsi" w:cstheme="minorHAnsi"/>
        </w:rPr>
        <w:t xml:space="preserve"> </w:t>
      </w:r>
      <w:r w:rsidRPr="002356E0">
        <w:rPr>
          <w:rFonts w:asciiTheme="minorHAnsi" w:hAnsiTheme="minorHAnsi" w:cstheme="minorHAnsi"/>
        </w:rPr>
        <w:t xml:space="preserve">předpisů, a zákon č. 586/1992 Sb., o daních </w:t>
      </w:r>
      <w:r>
        <w:rPr>
          <w:rFonts w:asciiTheme="minorHAnsi" w:hAnsiTheme="minorHAnsi" w:cstheme="minorHAnsi"/>
        </w:rPr>
        <w:t>z </w:t>
      </w:r>
      <w:r w:rsidRPr="002356E0">
        <w:rPr>
          <w:rFonts w:asciiTheme="minorHAnsi" w:hAnsiTheme="minorHAnsi" w:cstheme="minorHAnsi"/>
        </w:rPr>
        <w:t>příjmů, ve znění pozdějších předpisů</w:t>
      </w:r>
      <w:r>
        <w:rPr>
          <w:rFonts w:asciiTheme="minorHAnsi" w:hAnsiTheme="minorHAnsi" w:cstheme="minorHAnsi"/>
        </w:rPr>
        <w:t>).</w:t>
      </w:r>
    </w:p>
  </w:footnote>
  <w:footnote w:id="9">
    <w:p w14:paraId="2A3E969B" w14:textId="674504CC" w:rsidR="00477681" w:rsidRPr="00802557" w:rsidRDefault="00477681" w:rsidP="00E74413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02557">
        <w:rPr>
          <w:rStyle w:val="Znakapoznpodarou"/>
          <w:rFonts w:asciiTheme="minorHAnsi" w:hAnsiTheme="minorHAnsi" w:cstheme="minorHAnsi"/>
        </w:rPr>
        <w:footnoteRef/>
      </w:r>
      <w:r w:rsidRPr="00802557">
        <w:rPr>
          <w:rFonts w:asciiTheme="minorHAnsi" w:hAnsiTheme="minorHAnsi" w:cstheme="minorHAnsi"/>
        </w:rPr>
        <w:t xml:space="preserve"> </w:t>
      </w:r>
      <w:r w:rsidRPr="00802557">
        <w:rPr>
          <w:rFonts w:asciiTheme="minorHAnsi" w:hAnsiTheme="minorHAnsi" w:cstheme="minorHAnsi"/>
        </w:rPr>
        <w:tab/>
      </w:r>
      <w:r w:rsidRPr="00802557">
        <w:rPr>
          <w:rFonts w:asciiTheme="minorHAnsi" w:eastAsiaTheme="minorHAnsi" w:hAnsiTheme="minorHAnsi" w:cstheme="minorHAnsi"/>
          <w:szCs w:val="22"/>
        </w:rPr>
        <w:t>Nařízení vlády</w:t>
      </w:r>
      <w:r w:rsidRPr="00802557">
        <w:rPr>
          <w:rFonts w:asciiTheme="minorHAnsi" w:hAnsiTheme="minorHAnsi" w:cstheme="minorHAnsi"/>
        </w:rPr>
        <w:t xml:space="preserve"> </w:t>
      </w:r>
      <w:r w:rsidRPr="00EF785F">
        <w:rPr>
          <w:rFonts w:asciiTheme="minorHAnsi" w:eastAsiaTheme="minorHAnsi" w:hAnsiTheme="minorHAnsi" w:cstheme="minorHAnsi"/>
          <w:szCs w:val="22"/>
        </w:rPr>
        <w:t>č. 263/2013 Sb.</w:t>
      </w:r>
      <w:r>
        <w:rPr>
          <w:rFonts w:asciiTheme="minorHAnsi" w:eastAsiaTheme="minorHAnsi" w:hAnsiTheme="minorHAnsi" w:cstheme="minorHAnsi"/>
          <w:szCs w:val="22"/>
        </w:rPr>
        <w:t xml:space="preserve">, </w:t>
      </w:r>
      <w:r w:rsidRPr="00F004FF">
        <w:rPr>
          <w:rFonts w:asciiTheme="minorHAnsi" w:eastAsiaTheme="minorHAnsi" w:hAnsiTheme="minorHAnsi" w:cstheme="minorHAnsi"/>
          <w:szCs w:val="22"/>
        </w:rPr>
        <w:t>o paušální výši úhrady nákladů zásahu</w:t>
      </w:r>
      <w:r>
        <w:rPr>
          <w:rFonts w:asciiTheme="minorHAnsi" w:eastAsiaTheme="minorHAnsi" w:hAnsiTheme="minorHAnsi" w:cstheme="minorHAnsi"/>
          <w:szCs w:val="22"/>
        </w:rPr>
        <w:t>.</w:t>
      </w:r>
    </w:p>
  </w:footnote>
  <w:footnote w:id="10">
    <w:p w14:paraId="1439A710" w14:textId="21C8933C" w:rsidR="00477681" w:rsidRDefault="00477681" w:rsidP="009B7136">
      <w:pPr>
        <w:pStyle w:val="Textpoznpodarou"/>
        <w:tabs>
          <w:tab w:val="left" w:pos="284"/>
        </w:tabs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>
        <w:rPr>
          <w:rFonts w:ascii="Calibri" w:hAnsi="Calibri" w:cs="Calibri"/>
        </w:rPr>
        <w:t>snesení vlády ČR ze dne 12. 9. 2012 č. </w:t>
      </w:r>
      <w:r w:rsidRPr="00FA14BF">
        <w:rPr>
          <w:rFonts w:ascii="Calibri" w:hAnsi="Calibri" w:cs="Calibri"/>
        </w:rPr>
        <w:t>657</w:t>
      </w:r>
      <w:r>
        <w:rPr>
          <w:rFonts w:ascii="Calibri" w:hAnsi="Calibri" w:cs="Calibri"/>
        </w:rPr>
        <w:t xml:space="preserve"> a u</w:t>
      </w:r>
      <w:r w:rsidRPr="00FA14BF">
        <w:rPr>
          <w:rFonts w:ascii="Calibri" w:hAnsi="Calibri" w:cs="Calibri"/>
        </w:rPr>
        <w:t>snesení vlády ČR ze dne 30</w:t>
      </w:r>
      <w:r>
        <w:rPr>
          <w:rFonts w:ascii="Calibri" w:hAnsi="Calibri" w:cs="Calibri"/>
        </w:rPr>
        <w:t>. </w:t>
      </w:r>
      <w:r w:rsidRPr="00FA14BF">
        <w:rPr>
          <w:rFonts w:ascii="Calibri" w:hAnsi="Calibri" w:cs="Calibri"/>
        </w:rPr>
        <w:t>10.</w:t>
      </w:r>
      <w:r>
        <w:rPr>
          <w:rFonts w:ascii="Calibri" w:hAnsi="Calibri" w:cs="Calibri"/>
        </w:rPr>
        <w:t> 2013 č. </w:t>
      </w:r>
      <w:r w:rsidRPr="00FA14BF">
        <w:rPr>
          <w:rFonts w:ascii="Calibri" w:hAnsi="Calibri" w:cs="Calibri"/>
        </w:rPr>
        <w:t>817</w:t>
      </w:r>
      <w:r>
        <w:rPr>
          <w:rFonts w:ascii="Calibri" w:hAnsi="Calibri" w:cs="Calibri"/>
        </w:rPr>
        <w:t>.</w:t>
      </w:r>
    </w:p>
  </w:footnote>
  <w:footnote w:id="11">
    <w:p w14:paraId="6936BF1E" w14:textId="4B183026" w:rsidR="00477681" w:rsidRPr="00A06887" w:rsidRDefault="00477681" w:rsidP="0075637C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A06887">
        <w:rPr>
          <w:rStyle w:val="Znakapoznpodarou"/>
          <w:rFonts w:asciiTheme="minorHAnsi" w:hAnsiTheme="minorHAnsi" w:cstheme="minorHAnsi"/>
        </w:rPr>
        <w:footnoteRef/>
      </w:r>
      <w:r w:rsidRPr="00A068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</w:t>
      </w:r>
      <w:r w:rsidRPr="00EF785F">
        <w:rPr>
          <w:rFonts w:asciiTheme="minorHAnsi" w:eastAsiaTheme="minorHAnsi" w:hAnsiTheme="minorHAnsi" w:cstheme="minorHAnsi"/>
        </w:rPr>
        <w:t>ákon č. 218/2000 Sb., o rozpočtových pravidlech a o změně některých souvisejících zákonů (rozpočtová pravidla)</w:t>
      </w:r>
      <w:r>
        <w:rPr>
          <w:rFonts w:asciiTheme="minorHAnsi" w:eastAsiaTheme="minorHAnsi" w:hAnsiTheme="minorHAnsi" w:cstheme="minorHAnsi"/>
        </w:rPr>
        <w:t>.</w:t>
      </w:r>
    </w:p>
  </w:footnote>
  <w:footnote w:id="12">
    <w:p w14:paraId="22E8D421" w14:textId="427B6ECD" w:rsidR="00477681" w:rsidRPr="00660ADA" w:rsidRDefault="00477681" w:rsidP="00AD1D5C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660ADA">
        <w:rPr>
          <w:rStyle w:val="Znakapoznpodarou"/>
          <w:rFonts w:asciiTheme="minorHAnsi" w:hAnsiTheme="minorHAnsi" w:cstheme="minorHAnsi"/>
        </w:rPr>
        <w:footnoteRef/>
      </w:r>
      <w:r w:rsidRPr="00660ADA">
        <w:rPr>
          <w:rFonts w:asciiTheme="minorHAnsi" w:hAnsiTheme="minorHAnsi" w:cstheme="minorHAnsi"/>
        </w:rPr>
        <w:t xml:space="preserve"> </w:t>
      </w:r>
      <w:r w:rsidRPr="00660ADA">
        <w:rPr>
          <w:rFonts w:asciiTheme="minorHAnsi" w:hAnsiTheme="minorHAnsi" w:cstheme="minorHAnsi"/>
        </w:rPr>
        <w:tab/>
        <w:t>Zákon č. 137/2006 Sb., o veřejných zakázkách.</w:t>
      </w:r>
    </w:p>
  </w:footnote>
  <w:footnote w:id="13">
    <w:p w14:paraId="62AC5B4F" w14:textId="1456864B" w:rsidR="00477681" w:rsidRPr="00660ADA" w:rsidRDefault="00477681" w:rsidP="00AD1D5C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660ADA">
        <w:rPr>
          <w:rStyle w:val="Znakapoznpodarou"/>
          <w:rFonts w:asciiTheme="minorHAnsi" w:hAnsiTheme="minorHAnsi" w:cstheme="minorHAnsi"/>
        </w:rPr>
        <w:footnoteRef/>
      </w:r>
      <w:r w:rsidRPr="00660ADA">
        <w:rPr>
          <w:rFonts w:asciiTheme="minorHAnsi" w:hAnsiTheme="minorHAnsi" w:cstheme="minorHAnsi"/>
        </w:rPr>
        <w:t xml:space="preserve"> </w:t>
      </w:r>
      <w:r w:rsidRPr="00660ADA">
        <w:rPr>
          <w:rFonts w:asciiTheme="minorHAnsi" w:hAnsiTheme="minorHAnsi" w:cstheme="minorHAnsi"/>
        </w:rPr>
        <w:tab/>
        <w:t>Zákon č. 563/1991 Sb., o účetnictví.</w:t>
      </w:r>
    </w:p>
  </w:footnote>
  <w:footnote w:id="14">
    <w:p w14:paraId="1A6842EC" w14:textId="1A74726B" w:rsidR="00477681" w:rsidRPr="00660ADA" w:rsidRDefault="00477681" w:rsidP="00CC5FEE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660ADA">
        <w:rPr>
          <w:rStyle w:val="Znakapoznpodarou"/>
          <w:rFonts w:asciiTheme="minorHAnsi" w:hAnsiTheme="minorHAnsi" w:cstheme="minorHAnsi"/>
        </w:rPr>
        <w:footnoteRef/>
      </w:r>
      <w:r w:rsidRPr="00660ADA">
        <w:rPr>
          <w:rFonts w:asciiTheme="minorHAnsi" w:hAnsiTheme="minorHAnsi" w:cstheme="minorHAnsi"/>
        </w:rPr>
        <w:t xml:space="preserve"> </w:t>
      </w:r>
      <w:r w:rsidRPr="00660ADA">
        <w:rPr>
          <w:rFonts w:asciiTheme="minorHAnsi" w:hAnsiTheme="minorHAnsi" w:cstheme="minorHAnsi"/>
        </w:rPr>
        <w:tab/>
        <w:t xml:space="preserve">Zákon č. 219/2000 Sb., o majetku České republiky a jejím vystupování </w:t>
      </w:r>
      <w:r>
        <w:rPr>
          <w:rFonts w:asciiTheme="minorHAnsi" w:hAnsiTheme="minorHAnsi" w:cstheme="minorHAnsi"/>
        </w:rPr>
        <w:t>v </w:t>
      </w:r>
      <w:r w:rsidRPr="00660ADA">
        <w:rPr>
          <w:rFonts w:asciiTheme="minorHAnsi" w:hAnsiTheme="minorHAnsi" w:cstheme="minorHAnsi"/>
        </w:rPr>
        <w:t>právních vztazích.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223" w14:textId="77777777" w:rsidR="00477681" w:rsidRDefault="004776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0DB4"/>
    <w:multiLevelType w:val="hybridMultilevel"/>
    <w:tmpl w:val="E9CE4B0C"/>
    <w:lvl w:ilvl="0" w:tplc="04050019">
      <w:numFmt w:val="bullet"/>
      <w:lvlText w:val="-"/>
      <w:lvlJc w:val="left"/>
      <w:pPr>
        <w:ind w:left="100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86D6F1A"/>
    <w:multiLevelType w:val="hybridMultilevel"/>
    <w:tmpl w:val="F1BC7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6A32"/>
    <w:multiLevelType w:val="hybridMultilevel"/>
    <w:tmpl w:val="BAC2508A"/>
    <w:lvl w:ilvl="0" w:tplc="6548F1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0B4"/>
    <w:multiLevelType w:val="hybridMultilevel"/>
    <w:tmpl w:val="6792A3FC"/>
    <w:lvl w:ilvl="0" w:tplc="040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C343A3B"/>
    <w:multiLevelType w:val="hybridMultilevel"/>
    <w:tmpl w:val="C47C488C"/>
    <w:lvl w:ilvl="0" w:tplc="EAD825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10F0"/>
    <w:multiLevelType w:val="hybridMultilevel"/>
    <w:tmpl w:val="5F3CF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A7658"/>
    <w:multiLevelType w:val="hybridMultilevel"/>
    <w:tmpl w:val="76F87D26"/>
    <w:lvl w:ilvl="0" w:tplc="14B02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A4E94"/>
    <w:multiLevelType w:val="hybridMultilevel"/>
    <w:tmpl w:val="A8CE5212"/>
    <w:lvl w:ilvl="0" w:tplc="6548F1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E6A5A"/>
    <w:multiLevelType w:val="hybridMultilevel"/>
    <w:tmpl w:val="B6C29DA0"/>
    <w:lvl w:ilvl="0" w:tplc="6548F1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43F94"/>
    <w:multiLevelType w:val="hybridMultilevel"/>
    <w:tmpl w:val="D91A4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D4873"/>
    <w:multiLevelType w:val="hybridMultilevel"/>
    <w:tmpl w:val="3118B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32CFA"/>
    <w:multiLevelType w:val="multilevel"/>
    <w:tmpl w:val="74FA053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B1A2135"/>
    <w:multiLevelType w:val="hybridMultilevel"/>
    <w:tmpl w:val="9E443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152CB"/>
    <w:multiLevelType w:val="hybridMultilevel"/>
    <w:tmpl w:val="A344E268"/>
    <w:lvl w:ilvl="0" w:tplc="EFF0819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058B9"/>
    <w:multiLevelType w:val="hybridMultilevel"/>
    <w:tmpl w:val="0444121A"/>
    <w:lvl w:ilvl="0" w:tplc="6548F1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E7AC3"/>
    <w:multiLevelType w:val="hybridMultilevel"/>
    <w:tmpl w:val="E4FE9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C2CC6"/>
    <w:multiLevelType w:val="hybridMultilevel"/>
    <w:tmpl w:val="7FFA10E0"/>
    <w:lvl w:ilvl="0" w:tplc="04050001">
      <w:start w:val="1"/>
      <w:numFmt w:val="decimal"/>
      <w:pStyle w:val="Bezmezer"/>
      <w:lvlText w:val="%1.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E62927"/>
    <w:multiLevelType w:val="hybridMultilevel"/>
    <w:tmpl w:val="0818C686"/>
    <w:lvl w:ilvl="0" w:tplc="04050019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A1439"/>
    <w:multiLevelType w:val="hybridMultilevel"/>
    <w:tmpl w:val="1E1C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820C5"/>
    <w:multiLevelType w:val="hybridMultilevel"/>
    <w:tmpl w:val="B284E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12B4A"/>
    <w:multiLevelType w:val="hybridMultilevel"/>
    <w:tmpl w:val="CA82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D1E76"/>
    <w:multiLevelType w:val="hybridMultilevel"/>
    <w:tmpl w:val="A378BE02"/>
    <w:lvl w:ilvl="0" w:tplc="04050019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B06B4"/>
    <w:multiLevelType w:val="hybridMultilevel"/>
    <w:tmpl w:val="399C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37CCD"/>
    <w:multiLevelType w:val="hybridMultilevel"/>
    <w:tmpl w:val="3C749034"/>
    <w:lvl w:ilvl="0" w:tplc="6548F1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90767"/>
    <w:multiLevelType w:val="multilevel"/>
    <w:tmpl w:val="4882F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>
    <w:nsid w:val="6A150782"/>
    <w:multiLevelType w:val="hybridMultilevel"/>
    <w:tmpl w:val="DEBEB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F508A"/>
    <w:multiLevelType w:val="hybridMultilevel"/>
    <w:tmpl w:val="29225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E235D"/>
    <w:multiLevelType w:val="hybridMultilevel"/>
    <w:tmpl w:val="B5AE5522"/>
    <w:lvl w:ilvl="0" w:tplc="E8ACC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11E70"/>
    <w:multiLevelType w:val="hybridMultilevel"/>
    <w:tmpl w:val="A9C69368"/>
    <w:lvl w:ilvl="0" w:tplc="6548F1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83CB1"/>
    <w:multiLevelType w:val="hybridMultilevel"/>
    <w:tmpl w:val="31DE9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63E99"/>
    <w:multiLevelType w:val="hybridMultilevel"/>
    <w:tmpl w:val="4E3491B0"/>
    <w:lvl w:ilvl="0" w:tplc="E8ACC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F130E"/>
    <w:multiLevelType w:val="hybridMultilevel"/>
    <w:tmpl w:val="56B49D32"/>
    <w:lvl w:ilvl="0" w:tplc="04050019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7"/>
  </w:num>
  <w:num w:numId="5">
    <w:abstractNumId w:val="28"/>
  </w:num>
  <w:num w:numId="6">
    <w:abstractNumId w:val="2"/>
  </w:num>
  <w:num w:numId="7">
    <w:abstractNumId w:val="24"/>
  </w:num>
  <w:num w:numId="8">
    <w:abstractNumId w:val="19"/>
  </w:num>
  <w:num w:numId="9">
    <w:abstractNumId w:val="4"/>
  </w:num>
  <w:num w:numId="10">
    <w:abstractNumId w:val="14"/>
  </w:num>
  <w:num w:numId="11">
    <w:abstractNumId w:val="30"/>
  </w:num>
  <w:num w:numId="12">
    <w:abstractNumId w:val="27"/>
  </w:num>
  <w:num w:numId="13">
    <w:abstractNumId w:val="3"/>
  </w:num>
  <w:num w:numId="14">
    <w:abstractNumId w:val="0"/>
  </w:num>
  <w:num w:numId="15">
    <w:abstractNumId w:val="21"/>
  </w:num>
  <w:num w:numId="16">
    <w:abstractNumId w:val="17"/>
  </w:num>
  <w:num w:numId="17">
    <w:abstractNumId w:val="31"/>
  </w:num>
  <w:num w:numId="18">
    <w:abstractNumId w:val="28"/>
  </w:num>
  <w:num w:numId="19">
    <w:abstractNumId w:val="8"/>
  </w:num>
  <w:num w:numId="20">
    <w:abstractNumId w:val="9"/>
  </w:num>
  <w:num w:numId="21">
    <w:abstractNumId w:val="26"/>
  </w:num>
  <w:num w:numId="22">
    <w:abstractNumId w:val="22"/>
  </w:num>
  <w:num w:numId="23">
    <w:abstractNumId w:val="5"/>
  </w:num>
  <w:num w:numId="24">
    <w:abstractNumId w:val="12"/>
  </w:num>
  <w:num w:numId="25">
    <w:abstractNumId w:val="29"/>
  </w:num>
  <w:num w:numId="26">
    <w:abstractNumId w:val="10"/>
  </w:num>
  <w:num w:numId="27">
    <w:abstractNumId w:val="6"/>
  </w:num>
  <w:num w:numId="28">
    <w:abstractNumId w:val="18"/>
  </w:num>
  <w:num w:numId="29">
    <w:abstractNumId w:val="25"/>
  </w:num>
  <w:num w:numId="30">
    <w:abstractNumId w:val="20"/>
  </w:num>
  <w:num w:numId="31">
    <w:abstractNumId w:val="15"/>
  </w:num>
  <w:num w:numId="32">
    <w:abstractNumId w:val="1"/>
  </w:num>
  <w:num w:numId="3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71"/>
    <w:rsid w:val="00000785"/>
    <w:rsid w:val="00000C79"/>
    <w:rsid w:val="00001CE5"/>
    <w:rsid w:val="00001E2C"/>
    <w:rsid w:val="00002699"/>
    <w:rsid w:val="0000509E"/>
    <w:rsid w:val="00005162"/>
    <w:rsid w:val="00007B90"/>
    <w:rsid w:val="000129CB"/>
    <w:rsid w:val="000136FE"/>
    <w:rsid w:val="00013E5E"/>
    <w:rsid w:val="00014190"/>
    <w:rsid w:val="0001420B"/>
    <w:rsid w:val="000156D4"/>
    <w:rsid w:val="00015A49"/>
    <w:rsid w:val="00017194"/>
    <w:rsid w:val="00017A1E"/>
    <w:rsid w:val="000206A9"/>
    <w:rsid w:val="00025420"/>
    <w:rsid w:val="00025D6D"/>
    <w:rsid w:val="00030AFF"/>
    <w:rsid w:val="00031E6E"/>
    <w:rsid w:val="00034104"/>
    <w:rsid w:val="00036B69"/>
    <w:rsid w:val="00037929"/>
    <w:rsid w:val="00037D89"/>
    <w:rsid w:val="00040265"/>
    <w:rsid w:val="00044F42"/>
    <w:rsid w:val="00045706"/>
    <w:rsid w:val="0004640D"/>
    <w:rsid w:val="00046505"/>
    <w:rsid w:val="0005004F"/>
    <w:rsid w:val="0005052D"/>
    <w:rsid w:val="00055427"/>
    <w:rsid w:val="000556F2"/>
    <w:rsid w:val="0005775A"/>
    <w:rsid w:val="00057C18"/>
    <w:rsid w:val="00062000"/>
    <w:rsid w:val="0006394B"/>
    <w:rsid w:val="00066217"/>
    <w:rsid w:val="00066450"/>
    <w:rsid w:val="0007206F"/>
    <w:rsid w:val="00072FB9"/>
    <w:rsid w:val="00074E0D"/>
    <w:rsid w:val="00075294"/>
    <w:rsid w:val="0007605E"/>
    <w:rsid w:val="00076E4C"/>
    <w:rsid w:val="00077721"/>
    <w:rsid w:val="00077AC0"/>
    <w:rsid w:val="0008027A"/>
    <w:rsid w:val="00080333"/>
    <w:rsid w:val="000808E4"/>
    <w:rsid w:val="00081E59"/>
    <w:rsid w:val="00082D0D"/>
    <w:rsid w:val="00083FF7"/>
    <w:rsid w:val="00084078"/>
    <w:rsid w:val="000865F4"/>
    <w:rsid w:val="000867D4"/>
    <w:rsid w:val="00086DDC"/>
    <w:rsid w:val="00086F2D"/>
    <w:rsid w:val="00090B1B"/>
    <w:rsid w:val="00092A77"/>
    <w:rsid w:val="00093396"/>
    <w:rsid w:val="00093C56"/>
    <w:rsid w:val="00094570"/>
    <w:rsid w:val="00095258"/>
    <w:rsid w:val="00096807"/>
    <w:rsid w:val="00097F90"/>
    <w:rsid w:val="000A0F45"/>
    <w:rsid w:val="000A315D"/>
    <w:rsid w:val="000A3616"/>
    <w:rsid w:val="000A45CF"/>
    <w:rsid w:val="000A5EB2"/>
    <w:rsid w:val="000A6280"/>
    <w:rsid w:val="000A7118"/>
    <w:rsid w:val="000B03B3"/>
    <w:rsid w:val="000B1158"/>
    <w:rsid w:val="000B26EB"/>
    <w:rsid w:val="000B43C9"/>
    <w:rsid w:val="000B47D4"/>
    <w:rsid w:val="000B4E1E"/>
    <w:rsid w:val="000B50FC"/>
    <w:rsid w:val="000B5A8E"/>
    <w:rsid w:val="000C0807"/>
    <w:rsid w:val="000C20C6"/>
    <w:rsid w:val="000C2E08"/>
    <w:rsid w:val="000C48CB"/>
    <w:rsid w:val="000C521B"/>
    <w:rsid w:val="000C5484"/>
    <w:rsid w:val="000C5CB5"/>
    <w:rsid w:val="000C7BA5"/>
    <w:rsid w:val="000C7E82"/>
    <w:rsid w:val="000D0B8B"/>
    <w:rsid w:val="000D0DE3"/>
    <w:rsid w:val="000D134A"/>
    <w:rsid w:val="000D25D5"/>
    <w:rsid w:val="000D288B"/>
    <w:rsid w:val="000D2DD7"/>
    <w:rsid w:val="000D375A"/>
    <w:rsid w:val="000D48B4"/>
    <w:rsid w:val="000D4B94"/>
    <w:rsid w:val="000D615F"/>
    <w:rsid w:val="000D78A5"/>
    <w:rsid w:val="000E4B36"/>
    <w:rsid w:val="000E67AF"/>
    <w:rsid w:val="000E6EB3"/>
    <w:rsid w:val="000E7907"/>
    <w:rsid w:val="000F1093"/>
    <w:rsid w:val="000F11E6"/>
    <w:rsid w:val="000F127F"/>
    <w:rsid w:val="000F21AB"/>
    <w:rsid w:val="000F2CEB"/>
    <w:rsid w:val="000F3523"/>
    <w:rsid w:val="000F5A67"/>
    <w:rsid w:val="00101FE8"/>
    <w:rsid w:val="001053CF"/>
    <w:rsid w:val="001060DF"/>
    <w:rsid w:val="00106868"/>
    <w:rsid w:val="00107145"/>
    <w:rsid w:val="00107BFD"/>
    <w:rsid w:val="00107EA9"/>
    <w:rsid w:val="00110DED"/>
    <w:rsid w:val="00111871"/>
    <w:rsid w:val="001128F6"/>
    <w:rsid w:val="001141C0"/>
    <w:rsid w:val="00115389"/>
    <w:rsid w:val="00115D45"/>
    <w:rsid w:val="0011701A"/>
    <w:rsid w:val="00125BBC"/>
    <w:rsid w:val="00127ABB"/>
    <w:rsid w:val="00131B91"/>
    <w:rsid w:val="001333AE"/>
    <w:rsid w:val="00135D3D"/>
    <w:rsid w:val="001365AA"/>
    <w:rsid w:val="00136B5A"/>
    <w:rsid w:val="00140910"/>
    <w:rsid w:val="00143555"/>
    <w:rsid w:val="001445E6"/>
    <w:rsid w:val="00145310"/>
    <w:rsid w:val="00146948"/>
    <w:rsid w:val="00146CE2"/>
    <w:rsid w:val="00147C45"/>
    <w:rsid w:val="00150061"/>
    <w:rsid w:val="00150B9D"/>
    <w:rsid w:val="00151110"/>
    <w:rsid w:val="0015130D"/>
    <w:rsid w:val="00151ABC"/>
    <w:rsid w:val="00152559"/>
    <w:rsid w:val="001549F5"/>
    <w:rsid w:val="00160767"/>
    <w:rsid w:val="001612E0"/>
    <w:rsid w:val="00166029"/>
    <w:rsid w:val="00170768"/>
    <w:rsid w:val="00171170"/>
    <w:rsid w:val="00171306"/>
    <w:rsid w:val="00172296"/>
    <w:rsid w:val="001724CA"/>
    <w:rsid w:val="00172BC3"/>
    <w:rsid w:val="0017356F"/>
    <w:rsid w:val="0018036A"/>
    <w:rsid w:val="00183138"/>
    <w:rsid w:val="0019015B"/>
    <w:rsid w:val="00190EF8"/>
    <w:rsid w:val="001928BC"/>
    <w:rsid w:val="00194281"/>
    <w:rsid w:val="00195B63"/>
    <w:rsid w:val="00195CEC"/>
    <w:rsid w:val="001A0234"/>
    <w:rsid w:val="001A0DB0"/>
    <w:rsid w:val="001A2E18"/>
    <w:rsid w:val="001A37B6"/>
    <w:rsid w:val="001A3C84"/>
    <w:rsid w:val="001A4CB3"/>
    <w:rsid w:val="001A5A38"/>
    <w:rsid w:val="001A7626"/>
    <w:rsid w:val="001B0AAE"/>
    <w:rsid w:val="001B2F2D"/>
    <w:rsid w:val="001B5034"/>
    <w:rsid w:val="001B63DD"/>
    <w:rsid w:val="001C1AEC"/>
    <w:rsid w:val="001C35DB"/>
    <w:rsid w:val="001C3E17"/>
    <w:rsid w:val="001C4914"/>
    <w:rsid w:val="001C6946"/>
    <w:rsid w:val="001C7C87"/>
    <w:rsid w:val="001D140D"/>
    <w:rsid w:val="001D305D"/>
    <w:rsid w:val="001D3ABB"/>
    <w:rsid w:val="001D6705"/>
    <w:rsid w:val="001D6E44"/>
    <w:rsid w:val="001D700D"/>
    <w:rsid w:val="001D76BE"/>
    <w:rsid w:val="001D7B18"/>
    <w:rsid w:val="001D7D22"/>
    <w:rsid w:val="001E0537"/>
    <w:rsid w:val="001E1401"/>
    <w:rsid w:val="001E1CB5"/>
    <w:rsid w:val="001E5299"/>
    <w:rsid w:val="001E6AC6"/>
    <w:rsid w:val="001E7352"/>
    <w:rsid w:val="001F21D5"/>
    <w:rsid w:val="001F2559"/>
    <w:rsid w:val="001F3515"/>
    <w:rsid w:val="001F358B"/>
    <w:rsid w:val="001F363C"/>
    <w:rsid w:val="001F379A"/>
    <w:rsid w:val="001F3F36"/>
    <w:rsid w:val="001F4A98"/>
    <w:rsid w:val="001F5128"/>
    <w:rsid w:val="001F5BF5"/>
    <w:rsid w:val="001F5C8F"/>
    <w:rsid w:val="001F60BE"/>
    <w:rsid w:val="001F7502"/>
    <w:rsid w:val="0020139C"/>
    <w:rsid w:val="00201BF2"/>
    <w:rsid w:val="00201DD9"/>
    <w:rsid w:val="00204E3E"/>
    <w:rsid w:val="002061CE"/>
    <w:rsid w:val="00206FF3"/>
    <w:rsid w:val="00210747"/>
    <w:rsid w:val="00211750"/>
    <w:rsid w:val="002129AA"/>
    <w:rsid w:val="00220B93"/>
    <w:rsid w:val="002229D3"/>
    <w:rsid w:val="002243E4"/>
    <w:rsid w:val="00224ACD"/>
    <w:rsid w:val="002266DB"/>
    <w:rsid w:val="002266EA"/>
    <w:rsid w:val="00230D34"/>
    <w:rsid w:val="002321F0"/>
    <w:rsid w:val="002324B0"/>
    <w:rsid w:val="00232952"/>
    <w:rsid w:val="0023311D"/>
    <w:rsid w:val="00234412"/>
    <w:rsid w:val="00234D6B"/>
    <w:rsid w:val="002356E0"/>
    <w:rsid w:val="00235F5C"/>
    <w:rsid w:val="002364AD"/>
    <w:rsid w:val="0023685E"/>
    <w:rsid w:val="00237550"/>
    <w:rsid w:val="0023761A"/>
    <w:rsid w:val="002379FF"/>
    <w:rsid w:val="00240454"/>
    <w:rsid w:val="00240D7E"/>
    <w:rsid w:val="00242DAC"/>
    <w:rsid w:val="00243E03"/>
    <w:rsid w:val="00243F98"/>
    <w:rsid w:val="00245E10"/>
    <w:rsid w:val="002469A0"/>
    <w:rsid w:val="00251057"/>
    <w:rsid w:val="00251544"/>
    <w:rsid w:val="00252361"/>
    <w:rsid w:val="002536B3"/>
    <w:rsid w:val="00253AF5"/>
    <w:rsid w:val="00254352"/>
    <w:rsid w:val="002547F2"/>
    <w:rsid w:val="00255EAC"/>
    <w:rsid w:val="00255F65"/>
    <w:rsid w:val="00256E22"/>
    <w:rsid w:val="00260185"/>
    <w:rsid w:val="00260912"/>
    <w:rsid w:val="002610DE"/>
    <w:rsid w:val="002613CD"/>
    <w:rsid w:val="0026475F"/>
    <w:rsid w:val="00264C48"/>
    <w:rsid w:val="002671D0"/>
    <w:rsid w:val="00267554"/>
    <w:rsid w:val="0027025F"/>
    <w:rsid w:val="002707C4"/>
    <w:rsid w:val="00271287"/>
    <w:rsid w:val="0027276C"/>
    <w:rsid w:val="002729FC"/>
    <w:rsid w:val="00273D61"/>
    <w:rsid w:val="00274292"/>
    <w:rsid w:val="00274BF8"/>
    <w:rsid w:val="00275F72"/>
    <w:rsid w:val="002765F8"/>
    <w:rsid w:val="002774AF"/>
    <w:rsid w:val="00280082"/>
    <w:rsid w:val="0028152A"/>
    <w:rsid w:val="00282E7D"/>
    <w:rsid w:val="00284AB0"/>
    <w:rsid w:val="0028533F"/>
    <w:rsid w:val="002868C9"/>
    <w:rsid w:val="0028767F"/>
    <w:rsid w:val="00287D47"/>
    <w:rsid w:val="002902CC"/>
    <w:rsid w:val="00290B98"/>
    <w:rsid w:val="00291FC0"/>
    <w:rsid w:val="00294273"/>
    <w:rsid w:val="0029686C"/>
    <w:rsid w:val="00296B5F"/>
    <w:rsid w:val="002A1736"/>
    <w:rsid w:val="002A1E8E"/>
    <w:rsid w:val="002A20E1"/>
    <w:rsid w:val="002A4353"/>
    <w:rsid w:val="002A63A1"/>
    <w:rsid w:val="002B07DE"/>
    <w:rsid w:val="002B0CC5"/>
    <w:rsid w:val="002B2F88"/>
    <w:rsid w:val="002B4D23"/>
    <w:rsid w:val="002B5323"/>
    <w:rsid w:val="002B765F"/>
    <w:rsid w:val="002B7A3B"/>
    <w:rsid w:val="002C0606"/>
    <w:rsid w:val="002C0D9C"/>
    <w:rsid w:val="002C1FE3"/>
    <w:rsid w:val="002C2071"/>
    <w:rsid w:val="002C4A34"/>
    <w:rsid w:val="002C527D"/>
    <w:rsid w:val="002C7032"/>
    <w:rsid w:val="002C70AA"/>
    <w:rsid w:val="002C739B"/>
    <w:rsid w:val="002C78C3"/>
    <w:rsid w:val="002D0392"/>
    <w:rsid w:val="002D1D0D"/>
    <w:rsid w:val="002D2B42"/>
    <w:rsid w:val="002D333E"/>
    <w:rsid w:val="002D4DC7"/>
    <w:rsid w:val="002D5695"/>
    <w:rsid w:val="002E0384"/>
    <w:rsid w:val="002E112D"/>
    <w:rsid w:val="002E17E3"/>
    <w:rsid w:val="002E3A32"/>
    <w:rsid w:val="002E4464"/>
    <w:rsid w:val="002E4B67"/>
    <w:rsid w:val="002E6EAD"/>
    <w:rsid w:val="002E6FF0"/>
    <w:rsid w:val="002F0E87"/>
    <w:rsid w:val="002F18F5"/>
    <w:rsid w:val="002F2A4C"/>
    <w:rsid w:val="002F46FA"/>
    <w:rsid w:val="002F4D8C"/>
    <w:rsid w:val="002F72A1"/>
    <w:rsid w:val="00300126"/>
    <w:rsid w:val="00300D9A"/>
    <w:rsid w:val="0030198F"/>
    <w:rsid w:val="00303452"/>
    <w:rsid w:val="003050D5"/>
    <w:rsid w:val="003066BF"/>
    <w:rsid w:val="00306773"/>
    <w:rsid w:val="00307A48"/>
    <w:rsid w:val="00307ABD"/>
    <w:rsid w:val="00307CA2"/>
    <w:rsid w:val="003105D0"/>
    <w:rsid w:val="0031136E"/>
    <w:rsid w:val="00311C56"/>
    <w:rsid w:val="003124BA"/>
    <w:rsid w:val="0031273D"/>
    <w:rsid w:val="003143AD"/>
    <w:rsid w:val="00315B9A"/>
    <w:rsid w:val="003166F9"/>
    <w:rsid w:val="00316B59"/>
    <w:rsid w:val="003176DC"/>
    <w:rsid w:val="003213C5"/>
    <w:rsid w:val="003234CE"/>
    <w:rsid w:val="003242AC"/>
    <w:rsid w:val="00324EEA"/>
    <w:rsid w:val="00330454"/>
    <w:rsid w:val="0033052E"/>
    <w:rsid w:val="00330C22"/>
    <w:rsid w:val="003328B7"/>
    <w:rsid w:val="00332AD5"/>
    <w:rsid w:val="00335934"/>
    <w:rsid w:val="0033692D"/>
    <w:rsid w:val="00337001"/>
    <w:rsid w:val="003370FC"/>
    <w:rsid w:val="003374CC"/>
    <w:rsid w:val="00343F29"/>
    <w:rsid w:val="003443B7"/>
    <w:rsid w:val="00347361"/>
    <w:rsid w:val="00347869"/>
    <w:rsid w:val="00347C50"/>
    <w:rsid w:val="00350DFD"/>
    <w:rsid w:val="003515F6"/>
    <w:rsid w:val="00351FFB"/>
    <w:rsid w:val="00354CF4"/>
    <w:rsid w:val="00357921"/>
    <w:rsid w:val="00357C95"/>
    <w:rsid w:val="00360060"/>
    <w:rsid w:val="00360ED5"/>
    <w:rsid w:val="00361A36"/>
    <w:rsid w:val="00362DCD"/>
    <w:rsid w:val="00364420"/>
    <w:rsid w:val="00364A98"/>
    <w:rsid w:val="00364D01"/>
    <w:rsid w:val="00366BB9"/>
    <w:rsid w:val="00367056"/>
    <w:rsid w:val="003678D9"/>
    <w:rsid w:val="003706EF"/>
    <w:rsid w:val="0037100C"/>
    <w:rsid w:val="0037116A"/>
    <w:rsid w:val="003716A5"/>
    <w:rsid w:val="00371838"/>
    <w:rsid w:val="003725CE"/>
    <w:rsid w:val="00374AAC"/>
    <w:rsid w:val="00375D1A"/>
    <w:rsid w:val="00375EB7"/>
    <w:rsid w:val="003764C1"/>
    <w:rsid w:val="00376F6D"/>
    <w:rsid w:val="00377FB8"/>
    <w:rsid w:val="00380857"/>
    <w:rsid w:val="00380DAB"/>
    <w:rsid w:val="0038257D"/>
    <w:rsid w:val="00382BE9"/>
    <w:rsid w:val="00383CD2"/>
    <w:rsid w:val="00383DD0"/>
    <w:rsid w:val="00390BB9"/>
    <w:rsid w:val="00392421"/>
    <w:rsid w:val="00393FEA"/>
    <w:rsid w:val="00395FF9"/>
    <w:rsid w:val="003975C4"/>
    <w:rsid w:val="003A0228"/>
    <w:rsid w:val="003A25BA"/>
    <w:rsid w:val="003A65E0"/>
    <w:rsid w:val="003A7C22"/>
    <w:rsid w:val="003B154E"/>
    <w:rsid w:val="003B3909"/>
    <w:rsid w:val="003B537C"/>
    <w:rsid w:val="003B688F"/>
    <w:rsid w:val="003B693E"/>
    <w:rsid w:val="003C0344"/>
    <w:rsid w:val="003C0C57"/>
    <w:rsid w:val="003C1EB0"/>
    <w:rsid w:val="003C3118"/>
    <w:rsid w:val="003C340D"/>
    <w:rsid w:val="003C368C"/>
    <w:rsid w:val="003C5495"/>
    <w:rsid w:val="003C5B16"/>
    <w:rsid w:val="003C5EC8"/>
    <w:rsid w:val="003D1080"/>
    <w:rsid w:val="003D4004"/>
    <w:rsid w:val="003D4181"/>
    <w:rsid w:val="003D5767"/>
    <w:rsid w:val="003E0A28"/>
    <w:rsid w:val="003E0FBE"/>
    <w:rsid w:val="003E1682"/>
    <w:rsid w:val="003E1830"/>
    <w:rsid w:val="003E30E0"/>
    <w:rsid w:val="003E372A"/>
    <w:rsid w:val="003E407F"/>
    <w:rsid w:val="003E588D"/>
    <w:rsid w:val="003E5BE2"/>
    <w:rsid w:val="003E6302"/>
    <w:rsid w:val="003E73C9"/>
    <w:rsid w:val="003F0BA9"/>
    <w:rsid w:val="003F0BEC"/>
    <w:rsid w:val="003F1527"/>
    <w:rsid w:val="003F2C8D"/>
    <w:rsid w:val="003F6708"/>
    <w:rsid w:val="003F739B"/>
    <w:rsid w:val="00401215"/>
    <w:rsid w:val="00402ADA"/>
    <w:rsid w:val="004036FF"/>
    <w:rsid w:val="004040D9"/>
    <w:rsid w:val="00405965"/>
    <w:rsid w:val="00405CD3"/>
    <w:rsid w:val="0040693B"/>
    <w:rsid w:val="00407A1F"/>
    <w:rsid w:val="00411458"/>
    <w:rsid w:val="00412356"/>
    <w:rsid w:val="00412B0B"/>
    <w:rsid w:val="004134D1"/>
    <w:rsid w:val="0041554D"/>
    <w:rsid w:val="00416AEA"/>
    <w:rsid w:val="004210BE"/>
    <w:rsid w:val="0042249D"/>
    <w:rsid w:val="00422C52"/>
    <w:rsid w:val="00422D8C"/>
    <w:rsid w:val="0042347B"/>
    <w:rsid w:val="004234C0"/>
    <w:rsid w:val="0042693C"/>
    <w:rsid w:val="00426C9A"/>
    <w:rsid w:val="00427459"/>
    <w:rsid w:val="00427BE0"/>
    <w:rsid w:val="00427C01"/>
    <w:rsid w:val="00430AD4"/>
    <w:rsid w:val="00431EE1"/>
    <w:rsid w:val="004354AC"/>
    <w:rsid w:val="004361B6"/>
    <w:rsid w:val="00436677"/>
    <w:rsid w:val="00437200"/>
    <w:rsid w:val="0043757B"/>
    <w:rsid w:val="00437874"/>
    <w:rsid w:val="00437E9E"/>
    <w:rsid w:val="00443DBB"/>
    <w:rsid w:val="00446D16"/>
    <w:rsid w:val="0045372B"/>
    <w:rsid w:val="00454AAA"/>
    <w:rsid w:val="00454ABA"/>
    <w:rsid w:val="0045770B"/>
    <w:rsid w:val="0046506C"/>
    <w:rsid w:val="004658B8"/>
    <w:rsid w:val="004661D2"/>
    <w:rsid w:val="004678AC"/>
    <w:rsid w:val="00470811"/>
    <w:rsid w:val="00470855"/>
    <w:rsid w:val="004718FF"/>
    <w:rsid w:val="0047367A"/>
    <w:rsid w:val="00475DA7"/>
    <w:rsid w:val="00477681"/>
    <w:rsid w:val="0048171B"/>
    <w:rsid w:val="00481BDD"/>
    <w:rsid w:val="0048236A"/>
    <w:rsid w:val="004913B6"/>
    <w:rsid w:val="004947BC"/>
    <w:rsid w:val="00494936"/>
    <w:rsid w:val="00495953"/>
    <w:rsid w:val="0049735A"/>
    <w:rsid w:val="004A298C"/>
    <w:rsid w:val="004A3216"/>
    <w:rsid w:val="004A3FE0"/>
    <w:rsid w:val="004A63F9"/>
    <w:rsid w:val="004A67ED"/>
    <w:rsid w:val="004A6BAA"/>
    <w:rsid w:val="004B02AD"/>
    <w:rsid w:val="004B06D4"/>
    <w:rsid w:val="004B2FF8"/>
    <w:rsid w:val="004B336D"/>
    <w:rsid w:val="004B6F2F"/>
    <w:rsid w:val="004C04CF"/>
    <w:rsid w:val="004C0C7D"/>
    <w:rsid w:val="004C1A99"/>
    <w:rsid w:val="004C4823"/>
    <w:rsid w:val="004C5607"/>
    <w:rsid w:val="004C5C6E"/>
    <w:rsid w:val="004D0519"/>
    <w:rsid w:val="004D0D24"/>
    <w:rsid w:val="004D2489"/>
    <w:rsid w:val="004D4BC6"/>
    <w:rsid w:val="004D51FC"/>
    <w:rsid w:val="004D576A"/>
    <w:rsid w:val="004D584D"/>
    <w:rsid w:val="004D611C"/>
    <w:rsid w:val="004D6F44"/>
    <w:rsid w:val="004D7219"/>
    <w:rsid w:val="004D737C"/>
    <w:rsid w:val="004D750A"/>
    <w:rsid w:val="004D7718"/>
    <w:rsid w:val="004E19F6"/>
    <w:rsid w:val="004E1E66"/>
    <w:rsid w:val="004E1F59"/>
    <w:rsid w:val="004E4935"/>
    <w:rsid w:val="004F074C"/>
    <w:rsid w:val="004F0C4B"/>
    <w:rsid w:val="004F1F11"/>
    <w:rsid w:val="004F2690"/>
    <w:rsid w:val="004F3D74"/>
    <w:rsid w:val="004F4435"/>
    <w:rsid w:val="004F4B80"/>
    <w:rsid w:val="004F5594"/>
    <w:rsid w:val="004F5E5F"/>
    <w:rsid w:val="004F6BA9"/>
    <w:rsid w:val="00501CE1"/>
    <w:rsid w:val="0050390B"/>
    <w:rsid w:val="00504139"/>
    <w:rsid w:val="00504930"/>
    <w:rsid w:val="005052BA"/>
    <w:rsid w:val="0050531A"/>
    <w:rsid w:val="00506FAD"/>
    <w:rsid w:val="00510958"/>
    <w:rsid w:val="00511320"/>
    <w:rsid w:val="00513D55"/>
    <w:rsid w:val="00513E2B"/>
    <w:rsid w:val="005163AE"/>
    <w:rsid w:val="00516E37"/>
    <w:rsid w:val="005171D0"/>
    <w:rsid w:val="005178D0"/>
    <w:rsid w:val="00520FA5"/>
    <w:rsid w:val="005224D5"/>
    <w:rsid w:val="00522D10"/>
    <w:rsid w:val="0052407B"/>
    <w:rsid w:val="00524452"/>
    <w:rsid w:val="005251D7"/>
    <w:rsid w:val="0052552D"/>
    <w:rsid w:val="00525D45"/>
    <w:rsid w:val="00525EBB"/>
    <w:rsid w:val="00531993"/>
    <w:rsid w:val="00532961"/>
    <w:rsid w:val="00533280"/>
    <w:rsid w:val="0053691C"/>
    <w:rsid w:val="00537466"/>
    <w:rsid w:val="00541592"/>
    <w:rsid w:val="00541EA5"/>
    <w:rsid w:val="00543556"/>
    <w:rsid w:val="00544629"/>
    <w:rsid w:val="00545331"/>
    <w:rsid w:val="00546095"/>
    <w:rsid w:val="00547821"/>
    <w:rsid w:val="0055001B"/>
    <w:rsid w:val="0055181C"/>
    <w:rsid w:val="005523CC"/>
    <w:rsid w:val="0055333B"/>
    <w:rsid w:val="005543F4"/>
    <w:rsid w:val="00554CC2"/>
    <w:rsid w:val="005556DD"/>
    <w:rsid w:val="00556146"/>
    <w:rsid w:val="0056098E"/>
    <w:rsid w:val="00560F70"/>
    <w:rsid w:val="00561D3F"/>
    <w:rsid w:val="0056219C"/>
    <w:rsid w:val="0056507B"/>
    <w:rsid w:val="00565757"/>
    <w:rsid w:val="00566735"/>
    <w:rsid w:val="00571FE9"/>
    <w:rsid w:val="005737D8"/>
    <w:rsid w:val="00573E34"/>
    <w:rsid w:val="00574AED"/>
    <w:rsid w:val="0058010D"/>
    <w:rsid w:val="005802EF"/>
    <w:rsid w:val="005809E2"/>
    <w:rsid w:val="00580E01"/>
    <w:rsid w:val="0058167C"/>
    <w:rsid w:val="00582BE5"/>
    <w:rsid w:val="00585339"/>
    <w:rsid w:val="005859D5"/>
    <w:rsid w:val="00585F72"/>
    <w:rsid w:val="00586FC2"/>
    <w:rsid w:val="005875AA"/>
    <w:rsid w:val="005936D8"/>
    <w:rsid w:val="00593E81"/>
    <w:rsid w:val="005944AF"/>
    <w:rsid w:val="0059455A"/>
    <w:rsid w:val="00595501"/>
    <w:rsid w:val="005A037A"/>
    <w:rsid w:val="005A0950"/>
    <w:rsid w:val="005A1DE0"/>
    <w:rsid w:val="005A33A2"/>
    <w:rsid w:val="005A3A94"/>
    <w:rsid w:val="005A3CE5"/>
    <w:rsid w:val="005A5FE9"/>
    <w:rsid w:val="005B2FFE"/>
    <w:rsid w:val="005B3138"/>
    <w:rsid w:val="005B3A2A"/>
    <w:rsid w:val="005B3AE2"/>
    <w:rsid w:val="005B423E"/>
    <w:rsid w:val="005B5084"/>
    <w:rsid w:val="005B5547"/>
    <w:rsid w:val="005B5DE5"/>
    <w:rsid w:val="005B5FD0"/>
    <w:rsid w:val="005B6127"/>
    <w:rsid w:val="005B75F8"/>
    <w:rsid w:val="005C1B08"/>
    <w:rsid w:val="005C1DDB"/>
    <w:rsid w:val="005C20FC"/>
    <w:rsid w:val="005C2AE1"/>
    <w:rsid w:val="005C4626"/>
    <w:rsid w:val="005C73FC"/>
    <w:rsid w:val="005C792A"/>
    <w:rsid w:val="005D0A7E"/>
    <w:rsid w:val="005D11CF"/>
    <w:rsid w:val="005D189E"/>
    <w:rsid w:val="005D596E"/>
    <w:rsid w:val="005D5D7E"/>
    <w:rsid w:val="005E05C4"/>
    <w:rsid w:val="005E0A55"/>
    <w:rsid w:val="005E122D"/>
    <w:rsid w:val="005E1B21"/>
    <w:rsid w:val="005E2EA8"/>
    <w:rsid w:val="005E3829"/>
    <w:rsid w:val="005E4A33"/>
    <w:rsid w:val="005E4C90"/>
    <w:rsid w:val="005E52EC"/>
    <w:rsid w:val="005E542D"/>
    <w:rsid w:val="005E5496"/>
    <w:rsid w:val="005E5987"/>
    <w:rsid w:val="005F04CE"/>
    <w:rsid w:val="005F3F66"/>
    <w:rsid w:val="005F5738"/>
    <w:rsid w:val="005F5EA1"/>
    <w:rsid w:val="005F6FE9"/>
    <w:rsid w:val="00601450"/>
    <w:rsid w:val="006028C0"/>
    <w:rsid w:val="00603C29"/>
    <w:rsid w:val="00605E41"/>
    <w:rsid w:val="00605E61"/>
    <w:rsid w:val="00605F1C"/>
    <w:rsid w:val="00606345"/>
    <w:rsid w:val="006067E9"/>
    <w:rsid w:val="00606BDF"/>
    <w:rsid w:val="00610212"/>
    <w:rsid w:val="006118EE"/>
    <w:rsid w:val="006164D4"/>
    <w:rsid w:val="0062282B"/>
    <w:rsid w:val="006232B7"/>
    <w:rsid w:val="0062388D"/>
    <w:rsid w:val="00623A15"/>
    <w:rsid w:val="006256AB"/>
    <w:rsid w:val="006262A6"/>
    <w:rsid w:val="00627268"/>
    <w:rsid w:val="006273E9"/>
    <w:rsid w:val="006309D5"/>
    <w:rsid w:val="00630CF5"/>
    <w:rsid w:val="00631962"/>
    <w:rsid w:val="006341BB"/>
    <w:rsid w:val="00634251"/>
    <w:rsid w:val="00634945"/>
    <w:rsid w:val="00635B5E"/>
    <w:rsid w:val="00636EFE"/>
    <w:rsid w:val="0063778E"/>
    <w:rsid w:val="00640D40"/>
    <w:rsid w:val="006448B1"/>
    <w:rsid w:val="00646058"/>
    <w:rsid w:val="00647083"/>
    <w:rsid w:val="0065004C"/>
    <w:rsid w:val="00651309"/>
    <w:rsid w:val="00653346"/>
    <w:rsid w:val="006547DC"/>
    <w:rsid w:val="00654DAC"/>
    <w:rsid w:val="00655079"/>
    <w:rsid w:val="00655361"/>
    <w:rsid w:val="0065584B"/>
    <w:rsid w:val="0065687E"/>
    <w:rsid w:val="00657887"/>
    <w:rsid w:val="00657B35"/>
    <w:rsid w:val="0066039B"/>
    <w:rsid w:val="006607BD"/>
    <w:rsid w:val="0066099A"/>
    <w:rsid w:val="00660ADA"/>
    <w:rsid w:val="00663A72"/>
    <w:rsid w:val="00667CD2"/>
    <w:rsid w:val="00672949"/>
    <w:rsid w:val="0067322D"/>
    <w:rsid w:val="006734C1"/>
    <w:rsid w:val="00673506"/>
    <w:rsid w:val="00674377"/>
    <w:rsid w:val="00676503"/>
    <w:rsid w:val="00680A51"/>
    <w:rsid w:val="00680C6B"/>
    <w:rsid w:val="006820D7"/>
    <w:rsid w:val="006841AF"/>
    <w:rsid w:val="006841BB"/>
    <w:rsid w:val="00684999"/>
    <w:rsid w:val="0068645F"/>
    <w:rsid w:val="00687CAA"/>
    <w:rsid w:val="00692948"/>
    <w:rsid w:val="0069389D"/>
    <w:rsid w:val="00694843"/>
    <w:rsid w:val="0069515A"/>
    <w:rsid w:val="00696060"/>
    <w:rsid w:val="006A0150"/>
    <w:rsid w:val="006A1F62"/>
    <w:rsid w:val="006A1FEC"/>
    <w:rsid w:val="006A4F78"/>
    <w:rsid w:val="006A5854"/>
    <w:rsid w:val="006A7F27"/>
    <w:rsid w:val="006B14D9"/>
    <w:rsid w:val="006B269D"/>
    <w:rsid w:val="006B2E23"/>
    <w:rsid w:val="006B3CEF"/>
    <w:rsid w:val="006B48A4"/>
    <w:rsid w:val="006B4FA1"/>
    <w:rsid w:val="006B78D1"/>
    <w:rsid w:val="006C0773"/>
    <w:rsid w:val="006C1058"/>
    <w:rsid w:val="006C167B"/>
    <w:rsid w:val="006C1BBA"/>
    <w:rsid w:val="006C24A3"/>
    <w:rsid w:val="006C31EC"/>
    <w:rsid w:val="006C42AB"/>
    <w:rsid w:val="006C5255"/>
    <w:rsid w:val="006C5BF7"/>
    <w:rsid w:val="006C6DE7"/>
    <w:rsid w:val="006C7DD6"/>
    <w:rsid w:val="006D2348"/>
    <w:rsid w:val="006D45F3"/>
    <w:rsid w:val="006D4934"/>
    <w:rsid w:val="006D7576"/>
    <w:rsid w:val="006D7C58"/>
    <w:rsid w:val="006E026D"/>
    <w:rsid w:val="006E0A3B"/>
    <w:rsid w:val="006E4595"/>
    <w:rsid w:val="006E69ED"/>
    <w:rsid w:val="006F0E84"/>
    <w:rsid w:val="006F0FED"/>
    <w:rsid w:val="006F1DF6"/>
    <w:rsid w:val="006F3598"/>
    <w:rsid w:val="006F442E"/>
    <w:rsid w:val="006F64F0"/>
    <w:rsid w:val="006F765F"/>
    <w:rsid w:val="006F7A53"/>
    <w:rsid w:val="006F7C0F"/>
    <w:rsid w:val="00700408"/>
    <w:rsid w:val="0070244F"/>
    <w:rsid w:val="00705362"/>
    <w:rsid w:val="00705B17"/>
    <w:rsid w:val="0070644C"/>
    <w:rsid w:val="00706B57"/>
    <w:rsid w:val="007073D6"/>
    <w:rsid w:val="00711F7A"/>
    <w:rsid w:val="00712B3A"/>
    <w:rsid w:val="0071398C"/>
    <w:rsid w:val="007139A0"/>
    <w:rsid w:val="007173E2"/>
    <w:rsid w:val="00717A06"/>
    <w:rsid w:val="00723149"/>
    <w:rsid w:val="0072599F"/>
    <w:rsid w:val="00726124"/>
    <w:rsid w:val="0073144A"/>
    <w:rsid w:val="00732A9A"/>
    <w:rsid w:val="00732B56"/>
    <w:rsid w:val="007338CB"/>
    <w:rsid w:val="0073516F"/>
    <w:rsid w:val="007357D1"/>
    <w:rsid w:val="00735ACA"/>
    <w:rsid w:val="00736509"/>
    <w:rsid w:val="0073688D"/>
    <w:rsid w:val="00740466"/>
    <w:rsid w:val="00740C8C"/>
    <w:rsid w:val="00742A94"/>
    <w:rsid w:val="00743534"/>
    <w:rsid w:val="00743FB7"/>
    <w:rsid w:val="00747529"/>
    <w:rsid w:val="00747567"/>
    <w:rsid w:val="00751DE3"/>
    <w:rsid w:val="00754794"/>
    <w:rsid w:val="0075572C"/>
    <w:rsid w:val="0075637C"/>
    <w:rsid w:val="007609E5"/>
    <w:rsid w:val="00760D62"/>
    <w:rsid w:val="00761BB5"/>
    <w:rsid w:val="007646C2"/>
    <w:rsid w:val="00766E9A"/>
    <w:rsid w:val="00770035"/>
    <w:rsid w:val="00770493"/>
    <w:rsid w:val="00771884"/>
    <w:rsid w:val="0077242C"/>
    <w:rsid w:val="00773602"/>
    <w:rsid w:val="00773FC6"/>
    <w:rsid w:val="0077482A"/>
    <w:rsid w:val="007765FD"/>
    <w:rsid w:val="00777D66"/>
    <w:rsid w:val="007803C2"/>
    <w:rsid w:val="00781CB1"/>
    <w:rsid w:val="00782104"/>
    <w:rsid w:val="00783B61"/>
    <w:rsid w:val="00784415"/>
    <w:rsid w:val="00785EFA"/>
    <w:rsid w:val="00786190"/>
    <w:rsid w:val="007863AC"/>
    <w:rsid w:val="00791069"/>
    <w:rsid w:val="00794AD3"/>
    <w:rsid w:val="0079548B"/>
    <w:rsid w:val="00795C2D"/>
    <w:rsid w:val="007A0C71"/>
    <w:rsid w:val="007A1B0A"/>
    <w:rsid w:val="007A3E04"/>
    <w:rsid w:val="007A4064"/>
    <w:rsid w:val="007A44EF"/>
    <w:rsid w:val="007A60B5"/>
    <w:rsid w:val="007A7684"/>
    <w:rsid w:val="007B083D"/>
    <w:rsid w:val="007B1507"/>
    <w:rsid w:val="007B1658"/>
    <w:rsid w:val="007B1AFD"/>
    <w:rsid w:val="007B3856"/>
    <w:rsid w:val="007B4723"/>
    <w:rsid w:val="007B5416"/>
    <w:rsid w:val="007B610B"/>
    <w:rsid w:val="007B7FBD"/>
    <w:rsid w:val="007C0C85"/>
    <w:rsid w:val="007C1305"/>
    <w:rsid w:val="007C3102"/>
    <w:rsid w:val="007C367B"/>
    <w:rsid w:val="007C3A2D"/>
    <w:rsid w:val="007C3F4F"/>
    <w:rsid w:val="007C51E1"/>
    <w:rsid w:val="007D0F2B"/>
    <w:rsid w:val="007D10DE"/>
    <w:rsid w:val="007D16F2"/>
    <w:rsid w:val="007D47BF"/>
    <w:rsid w:val="007D5669"/>
    <w:rsid w:val="007D5908"/>
    <w:rsid w:val="007D717F"/>
    <w:rsid w:val="007E0049"/>
    <w:rsid w:val="007E0329"/>
    <w:rsid w:val="007E0ECC"/>
    <w:rsid w:val="007F16E7"/>
    <w:rsid w:val="007F25BA"/>
    <w:rsid w:val="007F2E92"/>
    <w:rsid w:val="007F31B6"/>
    <w:rsid w:val="007F32A0"/>
    <w:rsid w:val="007F4195"/>
    <w:rsid w:val="007F5A3F"/>
    <w:rsid w:val="007F5DEC"/>
    <w:rsid w:val="007F665B"/>
    <w:rsid w:val="00800E06"/>
    <w:rsid w:val="00801FA8"/>
    <w:rsid w:val="00802557"/>
    <w:rsid w:val="0080448E"/>
    <w:rsid w:val="0080489E"/>
    <w:rsid w:val="0080489F"/>
    <w:rsid w:val="00805913"/>
    <w:rsid w:val="00807026"/>
    <w:rsid w:val="0080750D"/>
    <w:rsid w:val="008077BC"/>
    <w:rsid w:val="00807C42"/>
    <w:rsid w:val="0081158D"/>
    <w:rsid w:val="00813035"/>
    <w:rsid w:val="008133D4"/>
    <w:rsid w:val="008201C1"/>
    <w:rsid w:val="0082042F"/>
    <w:rsid w:val="00820885"/>
    <w:rsid w:val="00820ACF"/>
    <w:rsid w:val="00825AC4"/>
    <w:rsid w:val="00826224"/>
    <w:rsid w:val="00827A7E"/>
    <w:rsid w:val="0083039C"/>
    <w:rsid w:val="00830B28"/>
    <w:rsid w:val="00831E86"/>
    <w:rsid w:val="00832147"/>
    <w:rsid w:val="00833403"/>
    <w:rsid w:val="00833728"/>
    <w:rsid w:val="00833FA8"/>
    <w:rsid w:val="00835085"/>
    <w:rsid w:val="0083518E"/>
    <w:rsid w:val="00835634"/>
    <w:rsid w:val="008363B8"/>
    <w:rsid w:val="00836A3D"/>
    <w:rsid w:val="00836AE8"/>
    <w:rsid w:val="0083795C"/>
    <w:rsid w:val="00842E75"/>
    <w:rsid w:val="0084351F"/>
    <w:rsid w:val="00843B25"/>
    <w:rsid w:val="00844F27"/>
    <w:rsid w:val="00845EE4"/>
    <w:rsid w:val="00847AF9"/>
    <w:rsid w:val="00850AE4"/>
    <w:rsid w:val="00851A03"/>
    <w:rsid w:val="008523C0"/>
    <w:rsid w:val="00852B86"/>
    <w:rsid w:val="00852DD6"/>
    <w:rsid w:val="00853357"/>
    <w:rsid w:val="00853DD7"/>
    <w:rsid w:val="00854C34"/>
    <w:rsid w:val="00857BFC"/>
    <w:rsid w:val="00860468"/>
    <w:rsid w:val="00860B52"/>
    <w:rsid w:val="00861831"/>
    <w:rsid w:val="0086337F"/>
    <w:rsid w:val="00863774"/>
    <w:rsid w:val="0086406D"/>
    <w:rsid w:val="0086432A"/>
    <w:rsid w:val="008644E8"/>
    <w:rsid w:val="00865F23"/>
    <w:rsid w:val="00873EE1"/>
    <w:rsid w:val="00875CA1"/>
    <w:rsid w:val="00876940"/>
    <w:rsid w:val="0088175F"/>
    <w:rsid w:val="00882D4D"/>
    <w:rsid w:val="00883C5D"/>
    <w:rsid w:val="00884C7A"/>
    <w:rsid w:val="008856D1"/>
    <w:rsid w:val="00890135"/>
    <w:rsid w:val="00890A4A"/>
    <w:rsid w:val="00891819"/>
    <w:rsid w:val="00891861"/>
    <w:rsid w:val="00892E74"/>
    <w:rsid w:val="008936D1"/>
    <w:rsid w:val="00894842"/>
    <w:rsid w:val="00895178"/>
    <w:rsid w:val="00896753"/>
    <w:rsid w:val="00896C74"/>
    <w:rsid w:val="00897984"/>
    <w:rsid w:val="00897B93"/>
    <w:rsid w:val="008A0843"/>
    <w:rsid w:val="008A1F2E"/>
    <w:rsid w:val="008A30E7"/>
    <w:rsid w:val="008A34E7"/>
    <w:rsid w:val="008A4747"/>
    <w:rsid w:val="008A5D5B"/>
    <w:rsid w:val="008A6D4F"/>
    <w:rsid w:val="008A79C4"/>
    <w:rsid w:val="008B1BD0"/>
    <w:rsid w:val="008B5316"/>
    <w:rsid w:val="008B55BC"/>
    <w:rsid w:val="008B6199"/>
    <w:rsid w:val="008B707A"/>
    <w:rsid w:val="008C0F20"/>
    <w:rsid w:val="008C0F80"/>
    <w:rsid w:val="008C2A10"/>
    <w:rsid w:val="008C2D8B"/>
    <w:rsid w:val="008C6430"/>
    <w:rsid w:val="008C71A8"/>
    <w:rsid w:val="008C79A1"/>
    <w:rsid w:val="008D003E"/>
    <w:rsid w:val="008D05E8"/>
    <w:rsid w:val="008D070A"/>
    <w:rsid w:val="008D2C3D"/>
    <w:rsid w:val="008D2E49"/>
    <w:rsid w:val="008D3F66"/>
    <w:rsid w:val="008D5D18"/>
    <w:rsid w:val="008D7060"/>
    <w:rsid w:val="008E3BBE"/>
    <w:rsid w:val="008E46DC"/>
    <w:rsid w:val="008E7954"/>
    <w:rsid w:val="008F0DA1"/>
    <w:rsid w:val="008F1D56"/>
    <w:rsid w:val="008F2BDC"/>
    <w:rsid w:val="008F2D21"/>
    <w:rsid w:val="008F3A96"/>
    <w:rsid w:val="008F69C9"/>
    <w:rsid w:val="008F6A3E"/>
    <w:rsid w:val="008F73C3"/>
    <w:rsid w:val="008F7A50"/>
    <w:rsid w:val="008F7D34"/>
    <w:rsid w:val="009011B0"/>
    <w:rsid w:val="00901571"/>
    <w:rsid w:val="00902E56"/>
    <w:rsid w:val="009033EC"/>
    <w:rsid w:val="009042D0"/>
    <w:rsid w:val="0090545E"/>
    <w:rsid w:val="00907A47"/>
    <w:rsid w:val="00910169"/>
    <w:rsid w:val="00911D04"/>
    <w:rsid w:val="00912B96"/>
    <w:rsid w:val="009142B6"/>
    <w:rsid w:val="00915D75"/>
    <w:rsid w:val="00917C7B"/>
    <w:rsid w:val="00920A94"/>
    <w:rsid w:val="00921A77"/>
    <w:rsid w:val="00921C82"/>
    <w:rsid w:val="0092470E"/>
    <w:rsid w:val="00924E23"/>
    <w:rsid w:val="009258AD"/>
    <w:rsid w:val="00927CAC"/>
    <w:rsid w:val="00927E77"/>
    <w:rsid w:val="009306D9"/>
    <w:rsid w:val="00930A4F"/>
    <w:rsid w:val="00933C53"/>
    <w:rsid w:val="00933E32"/>
    <w:rsid w:val="00934528"/>
    <w:rsid w:val="0093497B"/>
    <w:rsid w:val="009352FA"/>
    <w:rsid w:val="009358F4"/>
    <w:rsid w:val="00935E73"/>
    <w:rsid w:val="009361D1"/>
    <w:rsid w:val="009375A1"/>
    <w:rsid w:val="00940EA4"/>
    <w:rsid w:val="009413C3"/>
    <w:rsid w:val="009420AE"/>
    <w:rsid w:val="00942A96"/>
    <w:rsid w:val="00942B1A"/>
    <w:rsid w:val="00946B4E"/>
    <w:rsid w:val="00947709"/>
    <w:rsid w:val="00951F47"/>
    <w:rsid w:val="00952122"/>
    <w:rsid w:val="009536E2"/>
    <w:rsid w:val="009537BE"/>
    <w:rsid w:val="00953854"/>
    <w:rsid w:val="00955504"/>
    <w:rsid w:val="009555C6"/>
    <w:rsid w:val="0095785E"/>
    <w:rsid w:val="009616AA"/>
    <w:rsid w:val="00962784"/>
    <w:rsid w:val="009648D2"/>
    <w:rsid w:val="00965FEA"/>
    <w:rsid w:val="00966269"/>
    <w:rsid w:val="009679A6"/>
    <w:rsid w:val="00971E9F"/>
    <w:rsid w:val="009739B2"/>
    <w:rsid w:val="00974E13"/>
    <w:rsid w:val="00977033"/>
    <w:rsid w:val="00977D47"/>
    <w:rsid w:val="00980676"/>
    <w:rsid w:val="00980A87"/>
    <w:rsid w:val="0098147B"/>
    <w:rsid w:val="009818E1"/>
    <w:rsid w:val="009828D9"/>
    <w:rsid w:val="00982BBB"/>
    <w:rsid w:val="00983236"/>
    <w:rsid w:val="00984CF8"/>
    <w:rsid w:val="0098520C"/>
    <w:rsid w:val="00985C0F"/>
    <w:rsid w:val="00986BE1"/>
    <w:rsid w:val="00986F07"/>
    <w:rsid w:val="009937C0"/>
    <w:rsid w:val="0099424F"/>
    <w:rsid w:val="009946B1"/>
    <w:rsid w:val="00995938"/>
    <w:rsid w:val="009959A3"/>
    <w:rsid w:val="00996CD2"/>
    <w:rsid w:val="009A0185"/>
    <w:rsid w:val="009A03FC"/>
    <w:rsid w:val="009A199E"/>
    <w:rsid w:val="009A34D5"/>
    <w:rsid w:val="009A498C"/>
    <w:rsid w:val="009A4C03"/>
    <w:rsid w:val="009A57E2"/>
    <w:rsid w:val="009B28CE"/>
    <w:rsid w:val="009B2BE9"/>
    <w:rsid w:val="009B37E1"/>
    <w:rsid w:val="009B4103"/>
    <w:rsid w:val="009B59DE"/>
    <w:rsid w:val="009B6F7A"/>
    <w:rsid w:val="009B70E4"/>
    <w:rsid w:val="009B7136"/>
    <w:rsid w:val="009B72C9"/>
    <w:rsid w:val="009B76A5"/>
    <w:rsid w:val="009B7952"/>
    <w:rsid w:val="009C0121"/>
    <w:rsid w:val="009C0C91"/>
    <w:rsid w:val="009C32F4"/>
    <w:rsid w:val="009C3AAC"/>
    <w:rsid w:val="009C3AFC"/>
    <w:rsid w:val="009C3FE0"/>
    <w:rsid w:val="009C47EE"/>
    <w:rsid w:val="009C59D8"/>
    <w:rsid w:val="009C7231"/>
    <w:rsid w:val="009D1648"/>
    <w:rsid w:val="009D5AFB"/>
    <w:rsid w:val="009D61CC"/>
    <w:rsid w:val="009E0C38"/>
    <w:rsid w:val="009E1214"/>
    <w:rsid w:val="009E45F5"/>
    <w:rsid w:val="009E5981"/>
    <w:rsid w:val="009E6B78"/>
    <w:rsid w:val="009E7797"/>
    <w:rsid w:val="009F3389"/>
    <w:rsid w:val="009F5CD9"/>
    <w:rsid w:val="009F5D6B"/>
    <w:rsid w:val="009F5F90"/>
    <w:rsid w:val="009F6FCF"/>
    <w:rsid w:val="009F76E9"/>
    <w:rsid w:val="00A01404"/>
    <w:rsid w:val="00A01607"/>
    <w:rsid w:val="00A017AD"/>
    <w:rsid w:val="00A03587"/>
    <w:rsid w:val="00A03E4F"/>
    <w:rsid w:val="00A0653A"/>
    <w:rsid w:val="00A06887"/>
    <w:rsid w:val="00A07A65"/>
    <w:rsid w:val="00A11C4B"/>
    <w:rsid w:val="00A127DA"/>
    <w:rsid w:val="00A13628"/>
    <w:rsid w:val="00A1436A"/>
    <w:rsid w:val="00A15A62"/>
    <w:rsid w:val="00A15CEF"/>
    <w:rsid w:val="00A15CFE"/>
    <w:rsid w:val="00A16877"/>
    <w:rsid w:val="00A17E91"/>
    <w:rsid w:val="00A20365"/>
    <w:rsid w:val="00A20E4D"/>
    <w:rsid w:val="00A21088"/>
    <w:rsid w:val="00A212FA"/>
    <w:rsid w:val="00A22590"/>
    <w:rsid w:val="00A24E2C"/>
    <w:rsid w:val="00A253F6"/>
    <w:rsid w:val="00A270D4"/>
    <w:rsid w:val="00A2740C"/>
    <w:rsid w:val="00A27E87"/>
    <w:rsid w:val="00A27EF5"/>
    <w:rsid w:val="00A30BC7"/>
    <w:rsid w:val="00A31E6F"/>
    <w:rsid w:val="00A35C03"/>
    <w:rsid w:val="00A365DF"/>
    <w:rsid w:val="00A37395"/>
    <w:rsid w:val="00A41065"/>
    <w:rsid w:val="00A414E7"/>
    <w:rsid w:val="00A41B9D"/>
    <w:rsid w:val="00A439C1"/>
    <w:rsid w:val="00A43D31"/>
    <w:rsid w:val="00A464BE"/>
    <w:rsid w:val="00A46EBC"/>
    <w:rsid w:val="00A521E8"/>
    <w:rsid w:val="00A52E9A"/>
    <w:rsid w:val="00A53ACE"/>
    <w:rsid w:val="00A54A0A"/>
    <w:rsid w:val="00A57092"/>
    <w:rsid w:val="00A57CAF"/>
    <w:rsid w:val="00A6072F"/>
    <w:rsid w:val="00A612F2"/>
    <w:rsid w:val="00A61399"/>
    <w:rsid w:val="00A63821"/>
    <w:rsid w:val="00A63F56"/>
    <w:rsid w:val="00A64C33"/>
    <w:rsid w:val="00A66FEE"/>
    <w:rsid w:val="00A721AC"/>
    <w:rsid w:val="00A733F2"/>
    <w:rsid w:val="00A73688"/>
    <w:rsid w:val="00A738F3"/>
    <w:rsid w:val="00A75B9F"/>
    <w:rsid w:val="00A75BFB"/>
    <w:rsid w:val="00A77C6E"/>
    <w:rsid w:val="00A803ED"/>
    <w:rsid w:val="00A8188C"/>
    <w:rsid w:val="00A81DC2"/>
    <w:rsid w:val="00A84E55"/>
    <w:rsid w:val="00A85CD4"/>
    <w:rsid w:val="00A8617C"/>
    <w:rsid w:val="00A9057E"/>
    <w:rsid w:val="00A92044"/>
    <w:rsid w:val="00A927BE"/>
    <w:rsid w:val="00A9343E"/>
    <w:rsid w:val="00A93BF5"/>
    <w:rsid w:val="00AA3EC3"/>
    <w:rsid w:val="00AA774F"/>
    <w:rsid w:val="00AB2EFF"/>
    <w:rsid w:val="00AB3869"/>
    <w:rsid w:val="00AB3BE5"/>
    <w:rsid w:val="00AB57BA"/>
    <w:rsid w:val="00AB64F5"/>
    <w:rsid w:val="00AB66C2"/>
    <w:rsid w:val="00AB67A0"/>
    <w:rsid w:val="00AC053E"/>
    <w:rsid w:val="00AC0A91"/>
    <w:rsid w:val="00AC2873"/>
    <w:rsid w:val="00AC5007"/>
    <w:rsid w:val="00AC53BB"/>
    <w:rsid w:val="00AC5E42"/>
    <w:rsid w:val="00AC6B0B"/>
    <w:rsid w:val="00AC71F6"/>
    <w:rsid w:val="00AD0A19"/>
    <w:rsid w:val="00AD1D5C"/>
    <w:rsid w:val="00AD4C9F"/>
    <w:rsid w:val="00AD4D2E"/>
    <w:rsid w:val="00AD6427"/>
    <w:rsid w:val="00AD78E5"/>
    <w:rsid w:val="00AE0F3F"/>
    <w:rsid w:val="00AE163D"/>
    <w:rsid w:val="00AE1DE5"/>
    <w:rsid w:val="00AE22E8"/>
    <w:rsid w:val="00AE5288"/>
    <w:rsid w:val="00AE57C8"/>
    <w:rsid w:val="00AE67F2"/>
    <w:rsid w:val="00AE7C3B"/>
    <w:rsid w:val="00AF0E1F"/>
    <w:rsid w:val="00AF3C8F"/>
    <w:rsid w:val="00AF3EAA"/>
    <w:rsid w:val="00AF4195"/>
    <w:rsid w:val="00AF436F"/>
    <w:rsid w:val="00AF5FDC"/>
    <w:rsid w:val="00AF63C6"/>
    <w:rsid w:val="00AF64D0"/>
    <w:rsid w:val="00B00458"/>
    <w:rsid w:val="00B00B60"/>
    <w:rsid w:val="00B00D96"/>
    <w:rsid w:val="00B01C0E"/>
    <w:rsid w:val="00B025F0"/>
    <w:rsid w:val="00B04223"/>
    <w:rsid w:val="00B0440E"/>
    <w:rsid w:val="00B04986"/>
    <w:rsid w:val="00B05AF3"/>
    <w:rsid w:val="00B066B7"/>
    <w:rsid w:val="00B06CE0"/>
    <w:rsid w:val="00B1047E"/>
    <w:rsid w:val="00B118E4"/>
    <w:rsid w:val="00B12204"/>
    <w:rsid w:val="00B12F0C"/>
    <w:rsid w:val="00B137DA"/>
    <w:rsid w:val="00B14C67"/>
    <w:rsid w:val="00B218B0"/>
    <w:rsid w:val="00B233DF"/>
    <w:rsid w:val="00B234C6"/>
    <w:rsid w:val="00B23A59"/>
    <w:rsid w:val="00B248A0"/>
    <w:rsid w:val="00B259C7"/>
    <w:rsid w:val="00B31BF9"/>
    <w:rsid w:val="00B34141"/>
    <w:rsid w:val="00B37CC3"/>
    <w:rsid w:val="00B40A79"/>
    <w:rsid w:val="00B42218"/>
    <w:rsid w:val="00B428A9"/>
    <w:rsid w:val="00B43984"/>
    <w:rsid w:val="00B45517"/>
    <w:rsid w:val="00B5104B"/>
    <w:rsid w:val="00B52A0B"/>
    <w:rsid w:val="00B52F23"/>
    <w:rsid w:val="00B544AD"/>
    <w:rsid w:val="00B55FA8"/>
    <w:rsid w:val="00B56A69"/>
    <w:rsid w:val="00B57949"/>
    <w:rsid w:val="00B606FC"/>
    <w:rsid w:val="00B612C1"/>
    <w:rsid w:val="00B61A7B"/>
    <w:rsid w:val="00B63037"/>
    <w:rsid w:val="00B63051"/>
    <w:rsid w:val="00B6311A"/>
    <w:rsid w:val="00B6401B"/>
    <w:rsid w:val="00B65F87"/>
    <w:rsid w:val="00B666DB"/>
    <w:rsid w:val="00B66C3F"/>
    <w:rsid w:val="00B70C96"/>
    <w:rsid w:val="00B7201C"/>
    <w:rsid w:val="00B7386C"/>
    <w:rsid w:val="00B741C5"/>
    <w:rsid w:val="00B74A3F"/>
    <w:rsid w:val="00B74C73"/>
    <w:rsid w:val="00B76D28"/>
    <w:rsid w:val="00B776E8"/>
    <w:rsid w:val="00B81A5D"/>
    <w:rsid w:val="00B851B8"/>
    <w:rsid w:val="00B85B06"/>
    <w:rsid w:val="00B85CAE"/>
    <w:rsid w:val="00B86315"/>
    <w:rsid w:val="00B86FD0"/>
    <w:rsid w:val="00B91075"/>
    <w:rsid w:val="00B9156C"/>
    <w:rsid w:val="00B9177D"/>
    <w:rsid w:val="00B92563"/>
    <w:rsid w:val="00B92B7C"/>
    <w:rsid w:val="00B92DD2"/>
    <w:rsid w:val="00B9448E"/>
    <w:rsid w:val="00B94DCD"/>
    <w:rsid w:val="00B95087"/>
    <w:rsid w:val="00B959EC"/>
    <w:rsid w:val="00B976B3"/>
    <w:rsid w:val="00BA102A"/>
    <w:rsid w:val="00BA3B04"/>
    <w:rsid w:val="00BA3E9D"/>
    <w:rsid w:val="00BA4465"/>
    <w:rsid w:val="00BA4B56"/>
    <w:rsid w:val="00BA684C"/>
    <w:rsid w:val="00BA6AAA"/>
    <w:rsid w:val="00BA6EB8"/>
    <w:rsid w:val="00BA7114"/>
    <w:rsid w:val="00BB1588"/>
    <w:rsid w:val="00BB333A"/>
    <w:rsid w:val="00BB345C"/>
    <w:rsid w:val="00BB3A6C"/>
    <w:rsid w:val="00BB4075"/>
    <w:rsid w:val="00BB4703"/>
    <w:rsid w:val="00BB638A"/>
    <w:rsid w:val="00BB717F"/>
    <w:rsid w:val="00BB7D47"/>
    <w:rsid w:val="00BC0448"/>
    <w:rsid w:val="00BC14FE"/>
    <w:rsid w:val="00BC72AB"/>
    <w:rsid w:val="00BD0026"/>
    <w:rsid w:val="00BD154E"/>
    <w:rsid w:val="00BD2B03"/>
    <w:rsid w:val="00BD51FF"/>
    <w:rsid w:val="00BD7076"/>
    <w:rsid w:val="00BD7EB3"/>
    <w:rsid w:val="00BE2A95"/>
    <w:rsid w:val="00BE2F72"/>
    <w:rsid w:val="00BE35C7"/>
    <w:rsid w:val="00BE408E"/>
    <w:rsid w:val="00BE4566"/>
    <w:rsid w:val="00BE4C1A"/>
    <w:rsid w:val="00BE5942"/>
    <w:rsid w:val="00BE5B88"/>
    <w:rsid w:val="00BE62C8"/>
    <w:rsid w:val="00BF2F90"/>
    <w:rsid w:val="00BF3DDF"/>
    <w:rsid w:val="00BF55E0"/>
    <w:rsid w:val="00BF5F65"/>
    <w:rsid w:val="00BF6586"/>
    <w:rsid w:val="00BF6EAB"/>
    <w:rsid w:val="00BF7105"/>
    <w:rsid w:val="00BF7372"/>
    <w:rsid w:val="00BF7A64"/>
    <w:rsid w:val="00BF7DBC"/>
    <w:rsid w:val="00C01429"/>
    <w:rsid w:val="00C01904"/>
    <w:rsid w:val="00C01B09"/>
    <w:rsid w:val="00C01B0F"/>
    <w:rsid w:val="00C01E85"/>
    <w:rsid w:val="00C0276D"/>
    <w:rsid w:val="00C05B62"/>
    <w:rsid w:val="00C061F6"/>
    <w:rsid w:val="00C11962"/>
    <w:rsid w:val="00C12DCB"/>
    <w:rsid w:val="00C12DFE"/>
    <w:rsid w:val="00C1384B"/>
    <w:rsid w:val="00C1469E"/>
    <w:rsid w:val="00C14B21"/>
    <w:rsid w:val="00C14FA6"/>
    <w:rsid w:val="00C1554A"/>
    <w:rsid w:val="00C1572C"/>
    <w:rsid w:val="00C15DDE"/>
    <w:rsid w:val="00C15E77"/>
    <w:rsid w:val="00C1651A"/>
    <w:rsid w:val="00C1751A"/>
    <w:rsid w:val="00C1780C"/>
    <w:rsid w:val="00C20438"/>
    <w:rsid w:val="00C20E6C"/>
    <w:rsid w:val="00C2104A"/>
    <w:rsid w:val="00C2188C"/>
    <w:rsid w:val="00C231E6"/>
    <w:rsid w:val="00C23906"/>
    <w:rsid w:val="00C26160"/>
    <w:rsid w:val="00C27D07"/>
    <w:rsid w:val="00C31C76"/>
    <w:rsid w:val="00C31E89"/>
    <w:rsid w:val="00C33836"/>
    <w:rsid w:val="00C3550A"/>
    <w:rsid w:val="00C369DC"/>
    <w:rsid w:val="00C4277D"/>
    <w:rsid w:val="00C4290F"/>
    <w:rsid w:val="00C4481B"/>
    <w:rsid w:val="00C44C9C"/>
    <w:rsid w:val="00C45359"/>
    <w:rsid w:val="00C47212"/>
    <w:rsid w:val="00C47D0A"/>
    <w:rsid w:val="00C50C05"/>
    <w:rsid w:val="00C516BD"/>
    <w:rsid w:val="00C52B6D"/>
    <w:rsid w:val="00C52FEE"/>
    <w:rsid w:val="00C531AB"/>
    <w:rsid w:val="00C53DD1"/>
    <w:rsid w:val="00C541B3"/>
    <w:rsid w:val="00C54FF8"/>
    <w:rsid w:val="00C55E11"/>
    <w:rsid w:val="00C56C76"/>
    <w:rsid w:val="00C60821"/>
    <w:rsid w:val="00C61B9E"/>
    <w:rsid w:val="00C61D1A"/>
    <w:rsid w:val="00C61EB3"/>
    <w:rsid w:val="00C66247"/>
    <w:rsid w:val="00C66FF1"/>
    <w:rsid w:val="00C67C4C"/>
    <w:rsid w:val="00C703D6"/>
    <w:rsid w:val="00C7072B"/>
    <w:rsid w:val="00C70D71"/>
    <w:rsid w:val="00C71325"/>
    <w:rsid w:val="00C71484"/>
    <w:rsid w:val="00C71BFF"/>
    <w:rsid w:val="00C72D85"/>
    <w:rsid w:val="00C7660C"/>
    <w:rsid w:val="00C806F8"/>
    <w:rsid w:val="00C80986"/>
    <w:rsid w:val="00C81496"/>
    <w:rsid w:val="00C8512B"/>
    <w:rsid w:val="00C86167"/>
    <w:rsid w:val="00C8688A"/>
    <w:rsid w:val="00C87E4A"/>
    <w:rsid w:val="00C90F87"/>
    <w:rsid w:val="00C92A9A"/>
    <w:rsid w:val="00C93185"/>
    <w:rsid w:val="00C934EC"/>
    <w:rsid w:val="00C94E64"/>
    <w:rsid w:val="00C95F9D"/>
    <w:rsid w:val="00C96711"/>
    <w:rsid w:val="00C9751C"/>
    <w:rsid w:val="00C979CC"/>
    <w:rsid w:val="00CA0306"/>
    <w:rsid w:val="00CA5CD8"/>
    <w:rsid w:val="00CA7333"/>
    <w:rsid w:val="00CB07BE"/>
    <w:rsid w:val="00CB0CC0"/>
    <w:rsid w:val="00CB131F"/>
    <w:rsid w:val="00CB2DD4"/>
    <w:rsid w:val="00CB2EBA"/>
    <w:rsid w:val="00CB2F3F"/>
    <w:rsid w:val="00CB3C86"/>
    <w:rsid w:val="00CB477D"/>
    <w:rsid w:val="00CB48A5"/>
    <w:rsid w:val="00CB4BF0"/>
    <w:rsid w:val="00CB4D3D"/>
    <w:rsid w:val="00CB6D92"/>
    <w:rsid w:val="00CB7159"/>
    <w:rsid w:val="00CB79BF"/>
    <w:rsid w:val="00CC0D31"/>
    <w:rsid w:val="00CC1069"/>
    <w:rsid w:val="00CC3179"/>
    <w:rsid w:val="00CC528C"/>
    <w:rsid w:val="00CC5DAD"/>
    <w:rsid w:val="00CC5FEE"/>
    <w:rsid w:val="00CC61D3"/>
    <w:rsid w:val="00CC6F52"/>
    <w:rsid w:val="00CC7745"/>
    <w:rsid w:val="00CD1E19"/>
    <w:rsid w:val="00CD3C55"/>
    <w:rsid w:val="00CD530D"/>
    <w:rsid w:val="00CD6936"/>
    <w:rsid w:val="00CD6F8A"/>
    <w:rsid w:val="00CE1078"/>
    <w:rsid w:val="00CE326A"/>
    <w:rsid w:val="00CE3EBC"/>
    <w:rsid w:val="00CE603C"/>
    <w:rsid w:val="00CE6419"/>
    <w:rsid w:val="00CE6DB9"/>
    <w:rsid w:val="00CF0857"/>
    <w:rsid w:val="00CF2558"/>
    <w:rsid w:val="00CF5520"/>
    <w:rsid w:val="00CF6103"/>
    <w:rsid w:val="00CF706D"/>
    <w:rsid w:val="00CF7440"/>
    <w:rsid w:val="00D01BC8"/>
    <w:rsid w:val="00D02F09"/>
    <w:rsid w:val="00D042AC"/>
    <w:rsid w:val="00D052BA"/>
    <w:rsid w:val="00D054F4"/>
    <w:rsid w:val="00D106B2"/>
    <w:rsid w:val="00D1218C"/>
    <w:rsid w:val="00D144B8"/>
    <w:rsid w:val="00D16582"/>
    <w:rsid w:val="00D17E17"/>
    <w:rsid w:val="00D2792A"/>
    <w:rsid w:val="00D3068E"/>
    <w:rsid w:val="00D320DD"/>
    <w:rsid w:val="00D3363C"/>
    <w:rsid w:val="00D36441"/>
    <w:rsid w:val="00D3687B"/>
    <w:rsid w:val="00D40039"/>
    <w:rsid w:val="00D407C3"/>
    <w:rsid w:val="00D4300D"/>
    <w:rsid w:val="00D44872"/>
    <w:rsid w:val="00D4567A"/>
    <w:rsid w:val="00D4704A"/>
    <w:rsid w:val="00D479DB"/>
    <w:rsid w:val="00D47C35"/>
    <w:rsid w:val="00D5038C"/>
    <w:rsid w:val="00D505CA"/>
    <w:rsid w:val="00D50BC4"/>
    <w:rsid w:val="00D51878"/>
    <w:rsid w:val="00D5228A"/>
    <w:rsid w:val="00D53650"/>
    <w:rsid w:val="00D546D0"/>
    <w:rsid w:val="00D5565E"/>
    <w:rsid w:val="00D55922"/>
    <w:rsid w:val="00D55BDE"/>
    <w:rsid w:val="00D567DB"/>
    <w:rsid w:val="00D57AD1"/>
    <w:rsid w:val="00D66E1F"/>
    <w:rsid w:val="00D67F1E"/>
    <w:rsid w:val="00D70857"/>
    <w:rsid w:val="00D70895"/>
    <w:rsid w:val="00D756C3"/>
    <w:rsid w:val="00D75C2F"/>
    <w:rsid w:val="00D76C46"/>
    <w:rsid w:val="00D77351"/>
    <w:rsid w:val="00D81218"/>
    <w:rsid w:val="00D82C2B"/>
    <w:rsid w:val="00D85501"/>
    <w:rsid w:val="00D85C26"/>
    <w:rsid w:val="00D863E2"/>
    <w:rsid w:val="00D866BC"/>
    <w:rsid w:val="00D90ACB"/>
    <w:rsid w:val="00D91C4E"/>
    <w:rsid w:val="00D93E70"/>
    <w:rsid w:val="00D95E43"/>
    <w:rsid w:val="00D969AE"/>
    <w:rsid w:val="00D96B3C"/>
    <w:rsid w:val="00DA6EDD"/>
    <w:rsid w:val="00DA7297"/>
    <w:rsid w:val="00DA7649"/>
    <w:rsid w:val="00DB09E1"/>
    <w:rsid w:val="00DB0A8A"/>
    <w:rsid w:val="00DB0AE5"/>
    <w:rsid w:val="00DB1760"/>
    <w:rsid w:val="00DB2352"/>
    <w:rsid w:val="00DB2F79"/>
    <w:rsid w:val="00DB598C"/>
    <w:rsid w:val="00DB5ADC"/>
    <w:rsid w:val="00DB734A"/>
    <w:rsid w:val="00DC168D"/>
    <w:rsid w:val="00DC24DF"/>
    <w:rsid w:val="00DC467B"/>
    <w:rsid w:val="00DC4DA5"/>
    <w:rsid w:val="00DC5309"/>
    <w:rsid w:val="00DC5FFC"/>
    <w:rsid w:val="00DC78FD"/>
    <w:rsid w:val="00DD0EE6"/>
    <w:rsid w:val="00DD3082"/>
    <w:rsid w:val="00DD31DF"/>
    <w:rsid w:val="00DD62C5"/>
    <w:rsid w:val="00DD66BA"/>
    <w:rsid w:val="00DE0602"/>
    <w:rsid w:val="00DE1737"/>
    <w:rsid w:val="00DE1A85"/>
    <w:rsid w:val="00DE1E73"/>
    <w:rsid w:val="00DE2C91"/>
    <w:rsid w:val="00DE3932"/>
    <w:rsid w:val="00DE3A40"/>
    <w:rsid w:val="00DE4003"/>
    <w:rsid w:val="00DE4174"/>
    <w:rsid w:val="00DE48C6"/>
    <w:rsid w:val="00DE7400"/>
    <w:rsid w:val="00DE74FF"/>
    <w:rsid w:val="00DF0876"/>
    <w:rsid w:val="00DF47BC"/>
    <w:rsid w:val="00DF4C20"/>
    <w:rsid w:val="00DF6898"/>
    <w:rsid w:val="00E0177F"/>
    <w:rsid w:val="00E01A17"/>
    <w:rsid w:val="00E02762"/>
    <w:rsid w:val="00E02921"/>
    <w:rsid w:val="00E02A44"/>
    <w:rsid w:val="00E02C01"/>
    <w:rsid w:val="00E03891"/>
    <w:rsid w:val="00E0621A"/>
    <w:rsid w:val="00E12823"/>
    <w:rsid w:val="00E152B9"/>
    <w:rsid w:val="00E20FD1"/>
    <w:rsid w:val="00E236D7"/>
    <w:rsid w:val="00E23A2F"/>
    <w:rsid w:val="00E24ED5"/>
    <w:rsid w:val="00E255D0"/>
    <w:rsid w:val="00E26540"/>
    <w:rsid w:val="00E27485"/>
    <w:rsid w:val="00E323FD"/>
    <w:rsid w:val="00E34D92"/>
    <w:rsid w:val="00E350CB"/>
    <w:rsid w:val="00E35EEB"/>
    <w:rsid w:val="00E36879"/>
    <w:rsid w:val="00E37696"/>
    <w:rsid w:val="00E40068"/>
    <w:rsid w:val="00E4071B"/>
    <w:rsid w:val="00E4382D"/>
    <w:rsid w:val="00E43AE4"/>
    <w:rsid w:val="00E45401"/>
    <w:rsid w:val="00E45D69"/>
    <w:rsid w:val="00E462E6"/>
    <w:rsid w:val="00E50A5B"/>
    <w:rsid w:val="00E520E2"/>
    <w:rsid w:val="00E54580"/>
    <w:rsid w:val="00E54EA1"/>
    <w:rsid w:val="00E55C47"/>
    <w:rsid w:val="00E602DC"/>
    <w:rsid w:val="00E605CA"/>
    <w:rsid w:val="00E62C23"/>
    <w:rsid w:val="00E64F7C"/>
    <w:rsid w:val="00E65043"/>
    <w:rsid w:val="00E660E3"/>
    <w:rsid w:val="00E6669F"/>
    <w:rsid w:val="00E676ED"/>
    <w:rsid w:val="00E676FA"/>
    <w:rsid w:val="00E67E4D"/>
    <w:rsid w:val="00E708CB"/>
    <w:rsid w:val="00E71EB8"/>
    <w:rsid w:val="00E722C2"/>
    <w:rsid w:val="00E72393"/>
    <w:rsid w:val="00E72C16"/>
    <w:rsid w:val="00E72D62"/>
    <w:rsid w:val="00E73BF8"/>
    <w:rsid w:val="00E74413"/>
    <w:rsid w:val="00E755F3"/>
    <w:rsid w:val="00E76B07"/>
    <w:rsid w:val="00E77721"/>
    <w:rsid w:val="00E83619"/>
    <w:rsid w:val="00E867B7"/>
    <w:rsid w:val="00E8708A"/>
    <w:rsid w:val="00E91C6D"/>
    <w:rsid w:val="00EA220B"/>
    <w:rsid w:val="00EA2D5F"/>
    <w:rsid w:val="00EA4553"/>
    <w:rsid w:val="00EA50DE"/>
    <w:rsid w:val="00EB206C"/>
    <w:rsid w:val="00EB3DD8"/>
    <w:rsid w:val="00EB486D"/>
    <w:rsid w:val="00EB6986"/>
    <w:rsid w:val="00EC18AE"/>
    <w:rsid w:val="00EC1980"/>
    <w:rsid w:val="00EC35CE"/>
    <w:rsid w:val="00EC3CD2"/>
    <w:rsid w:val="00EC4629"/>
    <w:rsid w:val="00ED0E7E"/>
    <w:rsid w:val="00ED13D0"/>
    <w:rsid w:val="00ED201C"/>
    <w:rsid w:val="00ED39A5"/>
    <w:rsid w:val="00ED50C4"/>
    <w:rsid w:val="00ED56C3"/>
    <w:rsid w:val="00EE01CA"/>
    <w:rsid w:val="00EE0F44"/>
    <w:rsid w:val="00EE23FD"/>
    <w:rsid w:val="00EE2A96"/>
    <w:rsid w:val="00EE3133"/>
    <w:rsid w:val="00EE3746"/>
    <w:rsid w:val="00EE3C35"/>
    <w:rsid w:val="00EE5659"/>
    <w:rsid w:val="00EE5BA0"/>
    <w:rsid w:val="00EE615B"/>
    <w:rsid w:val="00EE69D3"/>
    <w:rsid w:val="00EE715E"/>
    <w:rsid w:val="00EE751A"/>
    <w:rsid w:val="00EE7A38"/>
    <w:rsid w:val="00EE7B34"/>
    <w:rsid w:val="00EF324D"/>
    <w:rsid w:val="00EF4F26"/>
    <w:rsid w:val="00EF5CC6"/>
    <w:rsid w:val="00EF665D"/>
    <w:rsid w:val="00EF68B1"/>
    <w:rsid w:val="00EF785F"/>
    <w:rsid w:val="00F004FF"/>
    <w:rsid w:val="00F01222"/>
    <w:rsid w:val="00F01242"/>
    <w:rsid w:val="00F0146D"/>
    <w:rsid w:val="00F01C43"/>
    <w:rsid w:val="00F02C24"/>
    <w:rsid w:val="00F03317"/>
    <w:rsid w:val="00F03740"/>
    <w:rsid w:val="00F04434"/>
    <w:rsid w:val="00F057A2"/>
    <w:rsid w:val="00F059DA"/>
    <w:rsid w:val="00F07179"/>
    <w:rsid w:val="00F10425"/>
    <w:rsid w:val="00F11326"/>
    <w:rsid w:val="00F13CA0"/>
    <w:rsid w:val="00F146E7"/>
    <w:rsid w:val="00F1533F"/>
    <w:rsid w:val="00F16948"/>
    <w:rsid w:val="00F17BF4"/>
    <w:rsid w:val="00F17C93"/>
    <w:rsid w:val="00F20ED6"/>
    <w:rsid w:val="00F2136E"/>
    <w:rsid w:val="00F24B41"/>
    <w:rsid w:val="00F258C8"/>
    <w:rsid w:val="00F313CD"/>
    <w:rsid w:val="00F31E98"/>
    <w:rsid w:val="00F321AE"/>
    <w:rsid w:val="00F322AC"/>
    <w:rsid w:val="00F32F4A"/>
    <w:rsid w:val="00F36009"/>
    <w:rsid w:val="00F3689D"/>
    <w:rsid w:val="00F3778D"/>
    <w:rsid w:val="00F412C5"/>
    <w:rsid w:val="00F42D8D"/>
    <w:rsid w:val="00F474DF"/>
    <w:rsid w:val="00F52684"/>
    <w:rsid w:val="00F52C4E"/>
    <w:rsid w:val="00F5538E"/>
    <w:rsid w:val="00F55D79"/>
    <w:rsid w:val="00F60299"/>
    <w:rsid w:val="00F60649"/>
    <w:rsid w:val="00F62064"/>
    <w:rsid w:val="00F626CC"/>
    <w:rsid w:val="00F64A3B"/>
    <w:rsid w:val="00F64BCE"/>
    <w:rsid w:val="00F66100"/>
    <w:rsid w:val="00F677DD"/>
    <w:rsid w:val="00F719C3"/>
    <w:rsid w:val="00F73B3B"/>
    <w:rsid w:val="00F73D06"/>
    <w:rsid w:val="00F74146"/>
    <w:rsid w:val="00F75671"/>
    <w:rsid w:val="00F767D8"/>
    <w:rsid w:val="00F77051"/>
    <w:rsid w:val="00F82040"/>
    <w:rsid w:val="00F82049"/>
    <w:rsid w:val="00F8222E"/>
    <w:rsid w:val="00F8404D"/>
    <w:rsid w:val="00F84275"/>
    <w:rsid w:val="00F84489"/>
    <w:rsid w:val="00F85AC1"/>
    <w:rsid w:val="00F86ACD"/>
    <w:rsid w:val="00F90021"/>
    <w:rsid w:val="00F92923"/>
    <w:rsid w:val="00F945A1"/>
    <w:rsid w:val="00F9496D"/>
    <w:rsid w:val="00F95339"/>
    <w:rsid w:val="00F95BAF"/>
    <w:rsid w:val="00F95E15"/>
    <w:rsid w:val="00F97C7C"/>
    <w:rsid w:val="00FA013D"/>
    <w:rsid w:val="00FA024C"/>
    <w:rsid w:val="00FA16D0"/>
    <w:rsid w:val="00FA20B9"/>
    <w:rsid w:val="00FA213F"/>
    <w:rsid w:val="00FA2231"/>
    <w:rsid w:val="00FA2E2D"/>
    <w:rsid w:val="00FA3014"/>
    <w:rsid w:val="00FA5E0F"/>
    <w:rsid w:val="00FA7148"/>
    <w:rsid w:val="00FA7443"/>
    <w:rsid w:val="00FB0C5C"/>
    <w:rsid w:val="00FB2F97"/>
    <w:rsid w:val="00FB383C"/>
    <w:rsid w:val="00FB3D04"/>
    <w:rsid w:val="00FB42CA"/>
    <w:rsid w:val="00FB4695"/>
    <w:rsid w:val="00FB490A"/>
    <w:rsid w:val="00FB64F3"/>
    <w:rsid w:val="00FC03BE"/>
    <w:rsid w:val="00FC2027"/>
    <w:rsid w:val="00FC6362"/>
    <w:rsid w:val="00FC64F2"/>
    <w:rsid w:val="00FC700C"/>
    <w:rsid w:val="00FC7B9E"/>
    <w:rsid w:val="00FD150F"/>
    <w:rsid w:val="00FD1F06"/>
    <w:rsid w:val="00FD26D5"/>
    <w:rsid w:val="00FD2872"/>
    <w:rsid w:val="00FD2897"/>
    <w:rsid w:val="00FD2B25"/>
    <w:rsid w:val="00FD31F2"/>
    <w:rsid w:val="00FD346C"/>
    <w:rsid w:val="00FD3B50"/>
    <w:rsid w:val="00FD3BF7"/>
    <w:rsid w:val="00FD469F"/>
    <w:rsid w:val="00FD4AAE"/>
    <w:rsid w:val="00FD6501"/>
    <w:rsid w:val="00FD6C8F"/>
    <w:rsid w:val="00FE0CD4"/>
    <w:rsid w:val="00FE0DD5"/>
    <w:rsid w:val="00FE2A9E"/>
    <w:rsid w:val="00FE44D1"/>
    <w:rsid w:val="00FE45A3"/>
    <w:rsid w:val="00FE6D27"/>
    <w:rsid w:val="00FE6D8C"/>
    <w:rsid w:val="00FE7171"/>
    <w:rsid w:val="00FE7A3B"/>
    <w:rsid w:val="00FF2699"/>
    <w:rsid w:val="00FF2E28"/>
    <w:rsid w:val="00FF4FED"/>
    <w:rsid w:val="00FF53F6"/>
    <w:rsid w:val="00FF56B3"/>
    <w:rsid w:val="00FF5C29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FE30"/>
  <w15:docId w15:val="{AA5BB350-1341-4FD0-BABD-5EBCF50C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7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Zkladntext2"/>
    <w:next w:val="Normln"/>
    <w:link w:val="Nadpis1Char"/>
    <w:uiPriority w:val="9"/>
    <w:qFormat/>
    <w:rsid w:val="00111871"/>
    <w:pPr>
      <w:numPr>
        <w:numId w:val="2"/>
      </w:numPr>
      <w:tabs>
        <w:tab w:val="left" w:pos="284"/>
      </w:tabs>
      <w:overflowPunct/>
      <w:autoSpaceDE/>
      <w:autoSpaceDN/>
      <w:adjustRightInd/>
      <w:spacing w:after="0" w:line="23" w:lineRule="atLeast"/>
      <w:textAlignment w:val="auto"/>
      <w:outlineLvl w:val="0"/>
    </w:pPr>
    <w:rPr>
      <w:rFonts w:cs="Arial"/>
      <w:b/>
      <w:bCs/>
      <w:szCs w:val="22"/>
    </w:rPr>
  </w:style>
  <w:style w:type="paragraph" w:styleId="Nadpis2">
    <w:name w:val="heading 2"/>
    <w:basedOn w:val="Nadpis1"/>
    <w:next w:val="Normln"/>
    <w:link w:val="Nadpis2Char"/>
    <w:qFormat/>
    <w:rsid w:val="00111871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1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2"/>
    <w:next w:val="Normln"/>
    <w:link w:val="Nadpis4Char"/>
    <w:qFormat/>
    <w:rsid w:val="00111871"/>
    <w:pPr>
      <w:outlineLvl w:val="3"/>
    </w:pPr>
  </w:style>
  <w:style w:type="paragraph" w:styleId="Nadpis5">
    <w:name w:val="heading 5"/>
    <w:basedOn w:val="Normln"/>
    <w:next w:val="Normln"/>
    <w:link w:val="Nadpis5Char"/>
    <w:qFormat/>
    <w:rsid w:val="00111871"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1871"/>
    <w:rPr>
      <w:rFonts w:ascii="Arial" w:eastAsia="Times New Roman" w:hAnsi="Arial" w:cs="Arial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111871"/>
    <w:rPr>
      <w:rFonts w:ascii="Arial" w:eastAsia="Times New Roman" w:hAnsi="Arial" w:cs="Arial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1187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Nadpis4Char">
    <w:name w:val="Nadpis 4 Char"/>
    <w:basedOn w:val="Standardnpsmoodstavce"/>
    <w:link w:val="Nadpis4"/>
    <w:rsid w:val="00111871"/>
    <w:rPr>
      <w:rFonts w:ascii="Arial" w:eastAsia="Times New Roman" w:hAnsi="Arial" w:cs="Arial"/>
      <w:b/>
      <w:bCs/>
      <w:lang w:eastAsia="cs-CZ"/>
    </w:rPr>
  </w:style>
  <w:style w:type="character" w:customStyle="1" w:styleId="Nadpis5Char">
    <w:name w:val="Nadpis 5 Char"/>
    <w:basedOn w:val="Standardnpsmoodstavce"/>
    <w:link w:val="Nadpis5"/>
    <w:rsid w:val="00111871"/>
    <w:rPr>
      <w:rFonts w:ascii="Arial" w:eastAsia="Times New Roman" w:hAnsi="Arial" w:cs="Times New Roman"/>
      <w:b/>
      <w:sz w:val="28"/>
      <w:szCs w:val="24"/>
    </w:rPr>
  </w:style>
  <w:style w:type="paragraph" w:styleId="Nzev">
    <w:name w:val="Title"/>
    <w:basedOn w:val="Normln"/>
    <w:link w:val="NzevChar"/>
    <w:qFormat/>
    <w:rsid w:val="00111871"/>
    <w:pPr>
      <w:jc w:val="center"/>
    </w:pPr>
    <w:rPr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11871"/>
    <w:rPr>
      <w:rFonts w:ascii="Arial" w:eastAsia="Times New Roman" w:hAnsi="Arial" w:cs="Times New Roman"/>
      <w:b/>
      <w:szCs w:val="20"/>
      <w:lang w:eastAsia="cs-CZ"/>
    </w:rPr>
  </w:style>
  <w:style w:type="paragraph" w:styleId="Zkladntext">
    <w:name w:val="Body Text"/>
    <w:aliases w:val="Standard paragraph,Body Text1,b,block style,?????1"/>
    <w:basedOn w:val="Normln"/>
    <w:link w:val="ZkladntextChar"/>
    <w:semiHidden/>
    <w:rsid w:val="00111871"/>
    <w:rPr>
      <w:szCs w:val="20"/>
      <w:lang w:eastAsia="cs-CZ"/>
    </w:rPr>
  </w:style>
  <w:style w:type="character" w:customStyle="1" w:styleId="ZkladntextChar">
    <w:name w:val="Základní text Char"/>
    <w:aliases w:val="Standard paragraph Char,Body Text1 Char,b Char,block style Char,?????1 Char"/>
    <w:basedOn w:val="Standardnpsmoodstavce"/>
    <w:link w:val="Zkladntext"/>
    <w:semiHidden/>
    <w:rsid w:val="00111871"/>
    <w:rPr>
      <w:rFonts w:ascii="Arial" w:eastAsia="Times New Roman" w:hAnsi="Arial" w:cs="Times New Roman"/>
      <w:szCs w:val="20"/>
      <w:lang w:eastAsia="cs-CZ"/>
    </w:rPr>
  </w:style>
  <w:style w:type="paragraph" w:customStyle="1" w:styleId="Zkladntext2">
    <w:name w:val="Z‡kladn’ text 2"/>
    <w:basedOn w:val="Normln"/>
    <w:rsid w:val="00111871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customStyle="1" w:styleId="NormlnKZ">
    <w:name w:val="Normální KZ"/>
    <w:basedOn w:val="Normln"/>
    <w:rsid w:val="00111871"/>
    <w:pPr>
      <w:spacing w:after="120"/>
      <w:ind w:firstLine="425"/>
    </w:pPr>
    <w:rPr>
      <w:lang w:eastAsia="cs-CZ"/>
    </w:rPr>
  </w:style>
  <w:style w:type="paragraph" w:customStyle="1" w:styleId="Pa10">
    <w:name w:val="Pa10"/>
    <w:basedOn w:val="Normln"/>
    <w:next w:val="Normln"/>
    <w:uiPriority w:val="99"/>
    <w:rsid w:val="00111871"/>
    <w:pPr>
      <w:autoSpaceDE w:val="0"/>
      <w:autoSpaceDN w:val="0"/>
      <w:adjustRightInd w:val="0"/>
      <w:spacing w:before="360" w:after="100" w:line="281" w:lineRule="atLeast"/>
    </w:pPr>
    <w:rPr>
      <w:rFonts w:cs="Arial"/>
      <w:lang w:val="en-US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1118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1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871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118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871"/>
    <w:rPr>
      <w:rFonts w:ascii="Arial" w:eastAsia="Times New Roman" w:hAnsi="Arial" w:cs="Times New Roman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187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1871"/>
    <w:rPr>
      <w:rFonts w:ascii="Arial" w:eastAsia="Times New Roman" w:hAnsi="Arial" w:cs="Times New Roman"/>
      <w:sz w:val="20"/>
      <w:szCs w:val="20"/>
    </w:rPr>
  </w:style>
  <w:style w:type="character" w:styleId="Odkaznavysvtlivky">
    <w:name w:val="endnote reference"/>
    <w:uiPriority w:val="99"/>
    <w:semiHidden/>
    <w:unhideWhenUsed/>
    <w:rsid w:val="0011187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18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1871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aliases w:val="PGI Fußnote Ziffer + Times New Roman,12 b.,Zúžené o ...,PGI Fußnote Ziffer,Footnote,Footnote call"/>
    <w:uiPriority w:val="99"/>
    <w:unhideWhenUsed/>
    <w:rsid w:val="00111871"/>
    <w:rPr>
      <w:vertAlign w:val="superscript"/>
    </w:rPr>
  </w:style>
  <w:style w:type="character" w:styleId="Odkaznakoment">
    <w:name w:val="annotation reference"/>
    <w:uiPriority w:val="99"/>
    <w:semiHidden/>
    <w:unhideWhenUsed/>
    <w:rsid w:val="00111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1871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871"/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rsid w:val="00111871"/>
    <w:rPr>
      <w:rFonts w:ascii="Arial" w:eastAsia="Times New Roman" w:hAnsi="Arial" w:cs="Times New Roman"/>
      <w:szCs w:val="24"/>
    </w:rPr>
  </w:style>
  <w:style w:type="paragraph" w:customStyle="1" w:styleId="poznmkapodarou">
    <w:name w:val="poznámka pod čarou"/>
    <w:basedOn w:val="Textpoznpodarou"/>
    <w:link w:val="poznmkapodarouChar"/>
    <w:qFormat/>
    <w:rsid w:val="00111871"/>
    <w:pPr>
      <w:tabs>
        <w:tab w:val="left" w:pos="284"/>
      </w:tabs>
      <w:ind w:left="284" w:hanging="284"/>
    </w:pPr>
    <w:rPr>
      <w:rFonts w:cs="Arial"/>
      <w:sz w:val="18"/>
      <w:lang w:eastAsia="cs-CZ"/>
    </w:rPr>
  </w:style>
  <w:style w:type="character" w:customStyle="1" w:styleId="poznmkapodarouChar">
    <w:name w:val="poznámka pod čarou Char"/>
    <w:link w:val="poznmkapodarou"/>
    <w:rsid w:val="00111871"/>
    <w:rPr>
      <w:rFonts w:ascii="Arial" w:eastAsia="Times New Roman" w:hAnsi="Arial" w:cs="Arial"/>
      <w:sz w:val="18"/>
      <w:szCs w:val="20"/>
      <w:lang w:eastAsia="cs-CZ"/>
    </w:rPr>
  </w:style>
  <w:style w:type="paragraph" w:styleId="Bezmezer">
    <w:name w:val="No Spacing"/>
    <w:aliases w:val="číslovaný odstavec"/>
    <w:uiPriority w:val="1"/>
    <w:qFormat/>
    <w:rsid w:val="00111871"/>
    <w:pPr>
      <w:numPr>
        <w:numId w:val="1"/>
      </w:numPr>
      <w:spacing w:after="0"/>
      <w:ind w:left="714" w:hanging="357"/>
      <w:jc w:val="both"/>
    </w:pPr>
    <w:rPr>
      <w:rFonts w:ascii="Arial" w:eastAsia="Times New Roman" w:hAnsi="Arial" w:cs="Times New Roman"/>
    </w:rPr>
  </w:style>
  <w:style w:type="paragraph" w:customStyle="1" w:styleId="KP-normlntext">
    <w:name w:val="KP-normální text"/>
    <w:basedOn w:val="Normln"/>
    <w:link w:val="KP-normlntextChar"/>
    <w:qFormat/>
    <w:rsid w:val="00111871"/>
    <w:pPr>
      <w:spacing w:before="120" w:after="120"/>
      <w:ind w:firstLine="720"/>
    </w:pPr>
    <w:rPr>
      <w:rFonts w:cs="Arial"/>
      <w:color w:val="000000"/>
      <w:szCs w:val="22"/>
    </w:rPr>
  </w:style>
  <w:style w:type="character" w:customStyle="1" w:styleId="KP-normlntextChar">
    <w:name w:val="KP-normální text Char"/>
    <w:link w:val="KP-normlntext"/>
    <w:rsid w:val="00111871"/>
    <w:rPr>
      <w:rFonts w:ascii="Arial" w:eastAsia="Times New Roman" w:hAnsi="Arial" w:cs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871"/>
    <w:rPr>
      <w:rFonts w:ascii="Arial" w:eastAsia="Times New Roman" w:hAnsi="Arial" w:cs="Times New Roman"/>
      <w:b/>
      <w:bCs/>
      <w:sz w:val="20"/>
      <w:szCs w:val="20"/>
    </w:rPr>
  </w:style>
  <w:style w:type="character" w:styleId="Hypertextovodkaz">
    <w:name w:val="Hyperlink"/>
    <w:uiPriority w:val="99"/>
    <w:unhideWhenUsed/>
    <w:rsid w:val="00111871"/>
    <w:rPr>
      <w:color w:val="0000FF"/>
      <w:u w:val="single"/>
    </w:rPr>
  </w:style>
  <w:style w:type="character" w:styleId="Sledovanodkaz">
    <w:name w:val="FollowedHyperlink"/>
    <w:semiHidden/>
    <w:rsid w:val="00111871"/>
    <w:rPr>
      <w:color w:val="800080"/>
      <w:u w:val="single"/>
    </w:rPr>
  </w:style>
  <w:style w:type="paragraph" w:customStyle="1" w:styleId="Poznmkapodarou-text">
    <w:name w:val="Poznámka pod čarou - text"/>
    <w:basedOn w:val="Normln"/>
    <w:qFormat/>
    <w:rsid w:val="00111871"/>
    <w:pPr>
      <w:widowControl w:val="0"/>
      <w:tabs>
        <w:tab w:val="left" w:pos="284"/>
      </w:tabs>
      <w:adjustRightInd w:val="0"/>
      <w:ind w:left="284" w:hanging="284"/>
      <w:textAlignment w:val="baseline"/>
    </w:pPr>
    <w:rPr>
      <w:rFonts w:cs="Arial"/>
      <w:color w:val="000000"/>
      <w:spacing w:val="-4"/>
      <w:sz w:val="18"/>
      <w:szCs w:val="18"/>
      <w:lang w:eastAsia="cs-CZ"/>
    </w:rPr>
  </w:style>
  <w:style w:type="paragraph" w:customStyle="1" w:styleId="1117Normln">
    <w:name w:val="11/17 Normální"/>
    <w:basedOn w:val="Normln"/>
    <w:rsid w:val="00111871"/>
    <w:pPr>
      <w:keepNext/>
      <w:spacing w:before="120" w:after="120"/>
    </w:pPr>
    <w:rPr>
      <w:szCs w:val="22"/>
      <w:lang w:bidi="en-US"/>
    </w:rPr>
  </w:style>
  <w:style w:type="table" w:styleId="Mkatabulky">
    <w:name w:val="Table Grid"/>
    <w:basedOn w:val="Normlntabulka"/>
    <w:uiPriority w:val="59"/>
    <w:rsid w:val="001118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ln"/>
    <w:next w:val="Normln"/>
    <w:uiPriority w:val="99"/>
    <w:rsid w:val="00111871"/>
    <w:pPr>
      <w:autoSpaceDE w:val="0"/>
      <w:autoSpaceDN w:val="0"/>
      <w:adjustRightInd w:val="0"/>
      <w:jc w:val="left"/>
    </w:pPr>
    <w:rPr>
      <w:rFonts w:ascii="Times New Roman" w:eastAsia="Calibri" w:hAnsi="Times New Roman"/>
      <w:sz w:val="24"/>
      <w:lang w:eastAsia="cs-CZ"/>
    </w:rPr>
  </w:style>
  <w:style w:type="character" w:styleId="Zdraznn">
    <w:name w:val="Emphasis"/>
    <w:uiPriority w:val="20"/>
    <w:qFormat/>
    <w:rsid w:val="00111871"/>
    <w:rPr>
      <w:b/>
      <w:bCs/>
      <w:i w:val="0"/>
      <w:iCs w:val="0"/>
    </w:rPr>
  </w:style>
  <w:style w:type="character" w:customStyle="1" w:styleId="st">
    <w:name w:val="st"/>
    <w:rsid w:val="00111871"/>
  </w:style>
  <w:style w:type="character" w:styleId="Siln">
    <w:name w:val="Strong"/>
    <w:uiPriority w:val="22"/>
    <w:qFormat/>
    <w:rsid w:val="00111871"/>
    <w:rPr>
      <w:b/>
      <w:bCs/>
      <w:color w:val="333333"/>
    </w:rPr>
  </w:style>
  <w:style w:type="paragraph" w:customStyle="1" w:styleId="Default">
    <w:name w:val="Default"/>
    <w:rsid w:val="00111871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cs-CZ"/>
    </w:rPr>
  </w:style>
  <w:style w:type="character" w:customStyle="1" w:styleId="A3">
    <w:name w:val="A3"/>
    <w:uiPriority w:val="99"/>
    <w:rsid w:val="00111871"/>
    <w:rPr>
      <w:rFonts w:cs="Georgia"/>
      <w:color w:val="000000"/>
      <w:sz w:val="19"/>
      <w:szCs w:val="19"/>
    </w:rPr>
  </w:style>
  <w:style w:type="paragraph" w:styleId="Revize">
    <w:name w:val="Revision"/>
    <w:hidden/>
    <w:uiPriority w:val="99"/>
    <w:semiHidden/>
    <w:rsid w:val="0011187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Standard">
    <w:name w:val="Standard"/>
    <w:rsid w:val="004B336D"/>
    <w:pPr>
      <w:suppressAutoHyphens/>
      <w:spacing w:after="120"/>
      <w:jc w:val="both"/>
    </w:pPr>
    <w:rPr>
      <w:rFonts w:ascii="Arial" w:eastAsia="Times New Roman" w:hAnsi="Arial" w:cs="Calibri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27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277D"/>
    <w:rPr>
      <w:rFonts w:ascii="Arial" w:eastAsia="Times New Roman" w:hAnsi="Arial" w:cs="Times New Roman"/>
      <w:szCs w:val="24"/>
    </w:rPr>
  </w:style>
  <w:style w:type="paragraph" w:styleId="Zkladntextodsazen">
    <w:name w:val="Body Text Indent"/>
    <w:basedOn w:val="Normln"/>
    <w:link w:val="ZkladntextodsazenChar"/>
    <w:unhideWhenUsed/>
    <w:rsid w:val="00C92A9A"/>
    <w:pPr>
      <w:spacing w:after="120"/>
      <w:ind w:left="283"/>
      <w:jc w:val="left"/>
    </w:pPr>
    <w:rPr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92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11701A"/>
    <w:pPr>
      <w:ind w:left="720"/>
      <w:jc w:val="left"/>
    </w:pPr>
    <w:rPr>
      <w:rFonts w:eastAsiaTheme="minorHAnsi" w:cs="Arial"/>
      <w:sz w:val="24"/>
      <w:lang w:eastAsia="hi-IN"/>
    </w:rPr>
  </w:style>
  <w:style w:type="paragraph" w:styleId="Normlnweb">
    <w:name w:val="Normal (Web)"/>
    <w:basedOn w:val="Normln"/>
    <w:uiPriority w:val="99"/>
    <w:semiHidden/>
    <w:unhideWhenUsed/>
    <w:rsid w:val="005C792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99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967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2\ODBOR%20VII\650\_KONTROLY-PRACOVNI\_1508\_Z&#225;v&#283;r\gra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6206878580332"/>
          <c:y val="6.0142907840423039E-2"/>
          <c:w val="0.61531702359598883"/>
          <c:h val="0.8341575887881888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List1!$A$2</c:f>
              <c:strCache>
                <c:ptCount val="1"/>
                <c:pt idx="0">
                  <c:v>Dopravní nehody</c:v>
                </c:pt>
              </c:strCache>
            </c:strRef>
          </c:tx>
          <c:spPr>
            <a:solidFill>
              <a:srgbClr val="70578F"/>
            </a:solidFill>
          </c:spPr>
          <c:invertIfNegative val="0"/>
          <c:cat>
            <c:numRef>
              <c:f>List1!$B$1:$J$1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List1!$B$2:$J$2</c:f>
              <c:numCache>
                <c:formatCode>#,##0</c:formatCode>
                <c:ptCount val="9"/>
                <c:pt idx="0">
                  <c:v>18976</c:v>
                </c:pt>
                <c:pt idx="1">
                  <c:v>21270</c:v>
                </c:pt>
                <c:pt idx="2">
                  <c:v>20063</c:v>
                </c:pt>
                <c:pt idx="3">
                  <c:v>19004</c:v>
                </c:pt>
                <c:pt idx="4">
                  <c:v>18053</c:v>
                </c:pt>
                <c:pt idx="5">
                  <c:v>17061</c:v>
                </c:pt>
                <c:pt idx="6">
                  <c:v>18910</c:v>
                </c:pt>
                <c:pt idx="7">
                  <c:v>19023</c:v>
                </c:pt>
                <c:pt idx="8">
                  <c:v>19219</c:v>
                </c:pt>
              </c:numCache>
            </c:numRef>
          </c:val>
        </c:ser>
        <c:ser>
          <c:idx val="0"/>
          <c:order val="1"/>
          <c:tx>
            <c:strRef>
              <c:f>List1!$A$3</c:f>
              <c:strCache>
                <c:ptCount val="1"/>
                <c:pt idx="0">
                  <c:v>Požáry</c:v>
                </c:pt>
              </c:strCache>
            </c:strRef>
          </c:tx>
          <c:spPr>
            <a:solidFill>
              <a:srgbClr val="AF423F"/>
            </a:solidFill>
          </c:spPr>
          <c:invertIfNegative val="0"/>
          <c:cat>
            <c:numRef>
              <c:f>List1!$B$1:$J$1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List1!$B$3:$J$3</c:f>
              <c:numCache>
                <c:formatCode>#,##0</c:formatCode>
                <c:ptCount val="9"/>
                <c:pt idx="0">
                  <c:v>19665</c:v>
                </c:pt>
                <c:pt idx="1">
                  <c:v>21835</c:v>
                </c:pt>
                <c:pt idx="2">
                  <c:v>20406</c:v>
                </c:pt>
                <c:pt idx="3">
                  <c:v>19681</c:v>
                </c:pt>
                <c:pt idx="4">
                  <c:v>17296</c:v>
                </c:pt>
                <c:pt idx="5">
                  <c:v>20511</c:v>
                </c:pt>
                <c:pt idx="6">
                  <c:v>19908</c:v>
                </c:pt>
                <c:pt idx="7">
                  <c:v>16563</c:v>
                </c:pt>
                <c:pt idx="8">
                  <c:v>16851</c:v>
                </c:pt>
              </c:numCache>
            </c:numRef>
          </c:val>
        </c:ser>
        <c:ser>
          <c:idx val="4"/>
          <c:order val="2"/>
          <c:tx>
            <c:strRef>
              <c:f>List1!$A$4</c:f>
              <c:strCache>
                <c:ptCount val="1"/>
                <c:pt idx="0">
                  <c:v>Ostatní zásahy</c:v>
                </c:pt>
              </c:strCache>
            </c:strRef>
          </c:tx>
          <c:spPr>
            <a:solidFill>
              <a:srgbClr val="587EBC"/>
            </a:solidFill>
          </c:spPr>
          <c:invertIfNegative val="0"/>
          <c:cat>
            <c:numRef>
              <c:f>List1!$B$1:$J$1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List1!$B$4:$J$4</c:f>
              <c:numCache>
                <c:formatCode>#,##0</c:formatCode>
                <c:ptCount val="9"/>
                <c:pt idx="0">
                  <c:v>61747</c:v>
                </c:pt>
                <c:pt idx="1">
                  <c:v>64597</c:v>
                </c:pt>
                <c:pt idx="2">
                  <c:v>53962</c:v>
                </c:pt>
                <c:pt idx="3">
                  <c:v>58578</c:v>
                </c:pt>
                <c:pt idx="4">
                  <c:v>68263</c:v>
                </c:pt>
                <c:pt idx="5">
                  <c:v>55327</c:v>
                </c:pt>
                <c:pt idx="6">
                  <c:v>57258</c:v>
                </c:pt>
                <c:pt idx="7">
                  <c:v>68858</c:v>
                </c:pt>
                <c:pt idx="8">
                  <c:v>57179</c:v>
                </c:pt>
              </c:numCache>
            </c:numRef>
          </c:val>
        </c:ser>
        <c:ser>
          <c:idx val="5"/>
          <c:order val="3"/>
          <c:tx>
            <c:strRef>
              <c:f>List1!$A$5</c:f>
              <c:strCache>
                <c:ptCount val="1"/>
                <c:pt idx="0">
                  <c:v>Plané poplachy</c:v>
                </c:pt>
              </c:strCache>
            </c:strRef>
          </c:tx>
          <c:spPr>
            <a:solidFill>
              <a:srgbClr val="9FB361"/>
            </a:solidFill>
          </c:spPr>
          <c:invertIfNegative val="0"/>
          <c:cat>
            <c:numRef>
              <c:f>List1!$B$1:$J$1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List1!$B$5:$J$5</c:f>
              <c:numCache>
                <c:formatCode>#,##0</c:formatCode>
                <c:ptCount val="9"/>
                <c:pt idx="0">
                  <c:v>8409</c:v>
                </c:pt>
                <c:pt idx="1">
                  <c:v>8148</c:v>
                </c:pt>
                <c:pt idx="2">
                  <c:v>8194</c:v>
                </c:pt>
                <c:pt idx="3">
                  <c:v>8251</c:v>
                </c:pt>
                <c:pt idx="4">
                  <c:v>8037</c:v>
                </c:pt>
                <c:pt idx="5">
                  <c:v>8202</c:v>
                </c:pt>
                <c:pt idx="6">
                  <c:v>7909</c:v>
                </c:pt>
                <c:pt idx="7">
                  <c:v>7837</c:v>
                </c:pt>
                <c:pt idx="8">
                  <c:v>7527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6919112"/>
        <c:axId val="196919496"/>
      </c:barChart>
      <c:catAx>
        <c:axId val="196919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6919496"/>
        <c:crosses val="autoZero"/>
        <c:auto val="1"/>
        <c:lblAlgn val="ctr"/>
        <c:lblOffset val="100"/>
        <c:noMultiLvlLbl val="0"/>
      </c:catAx>
      <c:valAx>
        <c:axId val="196919496"/>
        <c:scaling>
          <c:orientation val="minMax"/>
          <c:max val="1200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cs-CZ" b="0"/>
                  <a:t>Počty zásahů</a:t>
                </a:r>
              </a:p>
            </c:rich>
          </c:tx>
          <c:layout>
            <c:manualLayout>
              <c:xMode val="edge"/>
              <c:yMode val="edge"/>
              <c:x val="1.7197927479142328E-2"/>
              <c:y val="0.28994815169449228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69191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627129942090567E-2"/>
          <c:y val="0.11878298193435217"/>
          <c:w val="0.53297618706404404"/>
          <c:h val="0.725587549902470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List4!$A$2</c:f>
              <c:strCache>
                <c:ptCount val="1"/>
                <c:pt idx="0">
                  <c:v>Platy a podobné a související výdaje</c:v>
                </c:pt>
              </c:strCache>
            </c:strRef>
          </c:tx>
          <c:invertIfNegative val="0"/>
          <c:cat>
            <c:strRef>
              <c:f>List4!$B$1:$E$1</c:f>
              <c:strCache>
                <c:ptCount val="4"/>
                <c:pt idx="0">
                  <c:v>HZS Praha</c:v>
                </c:pt>
                <c:pt idx="1">
                  <c:v>HZS LK</c:v>
                </c:pt>
                <c:pt idx="2">
                  <c:v>HZS JMK</c:v>
                </c:pt>
                <c:pt idx="3">
                  <c:v>HZS PK</c:v>
                </c:pt>
              </c:strCache>
            </c:strRef>
          </c:cat>
          <c:val>
            <c:numRef>
              <c:f>List4!$B$2:$E$2</c:f>
              <c:numCache>
                <c:formatCode>#,##0</c:formatCode>
                <c:ptCount val="4"/>
                <c:pt idx="0">
                  <c:v>550.24705159018504</c:v>
                </c:pt>
                <c:pt idx="1">
                  <c:v>531.99870717517774</c:v>
                </c:pt>
                <c:pt idx="2">
                  <c:v>528.63129736959422</c:v>
                </c:pt>
                <c:pt idx="3">
                  <c:v>524.12099109728626</c:v>
                </c:pt>
              </c:numCache>
            </c:numRef>
          </c:val>
        </c:ser>
        <c:ser>
          <c:idx val="1"/>
          <c:order val="1"/>
          <c:tx>
            <c:strRef>
              <c:f>List4!$A$3</c:f>
              <c:strCache>
                <c:ptCount val="1"/>
                <c:pt idx="0">
                  <c:v>Neinvestiční nákupy a související výdaje</c:v>
                </c:pt>
              </c:strCache>
            </c:strRef>
          </c:tx>
          <c:invertIfNegative val="0"/>
          <c:cat>
            <c:strRef>
              <c:f>List4!$B$1:$E$1</c:f>
              <c:strCache>
                <c:ptCount val="4"/>
                <c:pt idx="0">
                  <c:v>HZS Praha</c:v>
                </c:pt>
                <c:pt idx="1">
                  <c:v>HZS LK</c:v>
                </c:pt>
                <c:pt idx="2">
                  <c:v>HZS JMK</c:v>
                </c:pt>
                <c:pt idx="3">
                  <c:v>HZS PK</c:v>
                </c:pt>
              </c:strCache>
            </c:strRef>
          </c:cat>
          <c:val>
            <c:numRef>
              <c:f>List4!$B$3:$E$3</c:f>
              <c:numCache>
                <c:formatCode>#,##0</c:formatCode>
                <c:ptCount val="4"/>
                <c:pt idx="0">
                  <c:v>115.59834553686211</c:v>
                </c:pt>
                <c:pt idx="1">
                  <c:v>123.37427278603749</c:v>
                </c:pt>
                <c:pt idx="2">
                  <c:v>124.73863129736959</c:v>
                </c:pt>
                <c:pt idx="3">
                  <c:v>115.73849619221281</c:v>
                </c:pt>
              </c:numCache>
            </c:numRef>
          </c:val>
        </c:ser>
        <c:ser>
          <c:idx val="2"/>
          <c:order val="2"/>
          <c:tx>
            <c:strRef>
              <c:f>List4!$A$4</c:f>
              <c:strCache>
                <c:ptCount val="1"/>
                <c:pt idx="0">
                  <c:v>Neinvestiční transfery a ostatní výdaje</c:v>
                </c:pt>
              </c:strCache>
            </c:strRef>
          </c:tx>
          <c:invertIfNegative val="0"/>
          <c:cat>
            <c:strRef>
              <c:f>List4!$B$1:$E$1</c:f>
              <c:strCache>
                <c:ptCount val="4"/>
                <c:pt idx="0">
                  <c:v>HZS Praha</c:v>
                </c:pt>
                <c:pt idx="1">
                  <c:v>HZS LK</c:v>
                </c:pt>
                <c:pt idx="2">
                  <c:v>HZS JMK</c:v>
                </c:pt>
                <c:pt idx="3">
                  <c:v>HZS PK</c:v>
                </c:pt>
              </c:strCache>
            </c:strRef>
          </c:cat>
          <c:val>
            <c:numRef>
              <c:f>List4!$B$4:$E$4</c:f>
              <c:numCache>
                <c:formatCode>#,##0</c:formatCode>
                <c:ptCount val="4"/>
                <c:pt idx="0">
                  <c:v>14.416186909619363</c:v>
                </c:pt>
                <c:pt idx="1">
                  <c:v>10.817065287653524</c:v>
                </c:pt>
                <c:pt idx="2">
                  <c:v>10.863798484172982</c:v>
                </c:pt>
                <c:pt idx="3">
                  <c:v>10.602810254210018</c:v>
                </c:pt>
              </c:numCache>
            </c:numRef>
          </c:val>
        </c:ser>
        <c:ser>
          <c:idx val="3"/>
          <c:order val="3"/>
          <c:tx>
            <c:strRef>
              <c:f>List4!$A$5</c:f>
              <c:strCache>
                <c:ptCount val="1"/>
                <c:pt idx="0">
                  <c:v>Investiční nákupy a související výdaje</c:v>
                </c:pt>
              </c:strCache>
            </c:strRef>
          </c:tx>
          <c:invertIfNegative val="0"/>
          <c:cat>
            <c:strRef>
              <c:f>List4!$B$1:$E$1</c:f>
              <c:strCache>
                <c:ptCount val="4"/>
                <c:pt idx="0">
                  <c:v>HZS Praha</c:v>
                </c:pt>
                <c:pt idx="1">
                  <c:v>HZS LK</c:v>
                </c:pt>
                <c:pt idx="2">
                  <c:v>HZS JMK</c:v>
                </c:pt>
                <c:pt idx="3">
                  <c:v>HZS PK</c:v>
                </c:pt>
              </c:strCache>
            </c:strRef>
          </c:cat>
          <c:val>
            <c:numRef>
              <c:f>List4!$B$5:$E$5</c:f>
              <c:numCache>
                <c:formatCode>#,##0</c:formatCode>
                <c:ptCount val="4"/>
                <c:pt idx="0">
                  <c:v>149.47291934492205</c:v>
                </c:pt>
                <c:pt idx="1">
                  <c:v>214.17194570135746</c:v>
                </c:pt>
                <c:pt idx="2">
                  <c:v>159.90191707534552</c:v>
                </c:pt>
                <c:pt idx="3">
                  <c:v>177.63488147591977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7345632"/>
        <c:axId val="197346016"/>
        <c:axId val="0"/>
      </c:bar3DChart>
      <c:catAx>
        <c:axId val="197345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346016"/>
        <c:crosses val="autoZero"/>
        <c:auto val="1"/>
        <c:lblAlgn val="ctr"/>
        <c:lblOffset val="100"/>
        <c:noMultiLvlLbl val="0"/>
      </c:catAx>
      <c:valAx>
        <c:axId val="197346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cs-CZ" sz="1000" b="0"/>
                  <a:t>(v tis. Kč na zaměstnance) </a:t>
                </a:r>
              </a:p>
            </c:rich>
          </c:tx>
          <c:layout>
            <c:manualLayout>
              <c:xMode val="edge"/>
              <c:yMode val="edge"/>
              <c:x val="1.1022580166232114E-2"/>
              <c:y val="0.15689181193391288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734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778611742926252"/>
          <c:y val="0.21623686191145911"/>
          <c:w val="0.32899549256370153"/>
          <c:h val="0.7000465483196056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6972-6981-41E2-A801-BBAFD4647ACB}"/>
</file>

<file path=customXml/itemProps2.xml><?xml version="1.0" encoding="utf-8"?>
<ds:datastoreItem xmlns:ds="http://schemas.openxmlformats.org/officeDocument/2006/customXml" ds:itemID="{3FAE319B-93BC-44BE-B7DF-F307CED90F2B}"/>
</file>

<file path=customXml/itemProps3.xml><?xml version="1.0" encoding="utf-8"?>
<ds:datastoreItem xmlns:ds="http://schemas.openxmlformats.org/officeDocument/2006/customXml" ds:itemID="{277B6159-91F9-4B75-A6A9-1F3132289396}"/>
</file>

<file path=customXml/itemProps4.xml><?xml version="1.0" encoding="utf-8"?>
<ds:datastoreItem xmlns:ds="http://schemas.openxmlformats.org/officeDocument/2006/customXml" ds:itemID="{E1D66FAF-B55B-45F8-82A2-B372034B8CD3}"/>
</file>

<file path=customXml/itemProps5.xml><?xml version="1.0" encoding="utf-8"?>
<ds:datastoreItem xmlns:ds="http://schemas.openxmlformats.org/officeDocument/2006/customXml" ds:itemID="{7E5CE6A7-9F6D-479C-96F2-B9408ADBE681}"/>
</file>

<file path=docProps/app.xml><?xml version="1.0" encoding="utf-8"?>
<Properties xmlns="http://schemas.openxmlformats.org/officeDocument/2006/extended-properties" xmlns:vt="http://schemas.openxmlformats.org/officeDocument/2006/docPropsVTypes">
  <Template>692EA0BE.dotm</Template>
  <TotalTime>1</TotalTime>
  <Pages>16</Pages>
  <Words>5191</Words>
  <Characters>30630</Characters>
  <Application>Microsoft Office Word</Application>
  <DocSecurity>4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14/39</vt:lpstr>
    </vt:vector>
  </TitlesOfParts>
  <Company>NKU</Company>
  <LinksUpToDate>false</LinksUpToDate>
  <CharactersWithSpaces>35750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15/08</dc:title>
  <dc:subject>Kontrolní závěr z kontrolní akce NKÚ č. 15/08 - Majetek a peněžní prostředky státu, se kterými jsou příslušné hospodařit vybrané organizační složky státu, jež jsou součástí Hasičského záchranného sboru České republiky</dc:subject>
  <dc:creator>Nejvyšší kontrolní úřad</dc:creator>
  <cp:keywords>kontrolní závěr, nkú, hasičský záchranný sbor, HZS ČR</cp:keywords>
  <dc:description/>
  <cp:lastModifiedBy>KOKRDA Daniel</cp:lastModifiedBy>
  <cp:revision>2</cp:revision>
  <cp:lastPrinted>2016-01-05T06:02:00Z</cp:lastPrinted>
  <dcterms:created xsi:type="dcterms:W3CDTF">2016-01-08T11:36:00Z</dcterms:created>
  <dcterms:modified xsi:type="dcterms:W3CDTF">2016-01-08T11:36:00Z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