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BA6A6" w14:textId="77777777" w:rsidR="00E05B24" w:rsidRPr="00D15A6D" w:rsidRDefault="00DB2620" w:rsidP="00D15A6D">
      <w:pPr>
        <w:jc w:val="center"/>
        <w:rPr>
          <w:rFonts w:ascii="Calibri" w:hAnsi="Calibri" w:cs="Calibri"/>
        </w:rPr>
      </w:pPr>
      <w:r w:rsidRPr="00A315CB">
        <w:rPr>
          <w:noProof/>
        </w:rPr>
        <w:drawing>
          <wp:anchor distT="0" distB="0" distL="114300" distR="114300" simplePos="0" relativeHeight="251658240" behindDoc="0" locked="0" layoutInCell="1" allowOverlap="1" wp14:anchorId="78A4A915" wp14:editId="5FF78E34">
            <wp:simplePos x="0" y="0"/>
            <wp:positionH relativeFrom="column">
              <wp:posOffset>2487461</wp:posOffset>
            </wp:positionH>
            <wp:positionV relativeFrom="paragraph">
              <wp:posOffset>-1298</wp:posOffset>
            </wp:positionV>
            <wp:extent cx="780415" cy="560705"/>
            <wp:effectExtent l="0" t="0" r="635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0EF6" w14:textId="77777777" w:rsidR="008A11A2" w:rsidRPr="00D15A6D" w:rsidRDefault="008A11A2" w:rsidP="00D15A6D">
      <w:pPr>
        <w:jc w:val="center"/>
        <w:rPr>
          <w:rFonts w:ascii="Calibri" w:hAnsi="Calibri" w:cs="Calibri"/>
        </w:rPr>
      </w:pPr>
    </w:p>
    <w:p w14:paraId="570BD958" w14:textId="77777777" w:rsidR="00DB2620" w:rsidRPr="00D15A6D" w:rsidRDefault="00DB2620" w:rsidP="00D15A6D">
      <w:pPr>
        <w:pStyle w:val="Nadpis9"/>
        <w:spacing w:before="0" w:after="0"/>
        <w:jc w:val="center"/>
        <w:rPr>
          <w:rFonts w:ascii="Calibri" w:hAnsi="Calibri" w:cs="Calibri"/>
          <w:sz w:val="24"/>
          <w:szCs w:val="24"/>
        </w:rPr>
      </w:pPr>
    </w:p>
    <w:p w14:paraId="7C9DE6F9" w14:textId="77777777" w:rsidR="00E47DAC" w:rsidRPr="00D15A6D" w:rsidRDefault="00E47DAC" w:rsidP="00D15A6D">
      <w:pPr>
        <w:pStyle w:val="Nadpis9"/>
        <w:spacing w:before="0" w:after="0"/>
        <w:jc w:val="center"/>
        <w:rPr>
          <w:rFonts w:ascii="Calibri" w:hAnsi="Calibri" w:cs="Calibri"/>
          <w:b/>
          <w:sz w:val="28"/>
          <w:szCs w:val="24"/>
        </w:rPr>
      </w:pPr>
      <w:bookmarkStart w:id="0" w:name="_GoBack"/>
      <w:r w:rsidRPr="00D15A6D">
        <w:rPr>
          <w:rFonts w:ascii="Calibri" w:hAnsi="Calibri" w:cs="Calibri"/>
          <w:b/>
          <w:sz w:val="28"/>
          <w:szCs w:val="24"/>
        </w:rPr>
        <w:t>Kontrolní závěr z kontrolní akce</w:t>
      </w:r>
    </w:p>
    <w:p w14:paraId="50B2CEC6" w14:textId="77777777" w:rsidR="00DA0304" w:rsidRPr="00D15A6D" w:rsidRDefault="00DA0304" w:rsidP="00D15A6D">
      <w:pPr>
        <w:jc w:val="center"/>
        <w:rPr>
          <w:rFonts w:ascii="Calibri" w:hAnsi="Calibri" w:cs="Calibri"/>
        </w:rPr>
      </w:pPr>
    </w:p>
    <w:p w14:paraId="76B3668E" w14:textId="77777777" w:rsidR="00E47DAC" w:rsidRPr="004C031F" w:rsidRDefault="004379AD" w:rsidP="00D15A6D">
      <w:pPr>
        <w:ind w:right="68"/>
        <w:jc w:val="center"/>
        <w:rPr>
          <w:rFonts w:ascii="Calibri" w:hAnsi="Calibri" w:cs="Calibri"/>
          <w:b/>
          <w:bCs/>
          <w:sz w:val="28"/>
        </w:rPr>
      </w:pPr>
      <w:r w:rsidRPr="004C031F">
        <w:rPr>
          <w:rFonts w:ascii="Calibri" w:hAnsi="Calibri" w:cs="Calibri"/>
          <w:b/>
          <w:bCs/>
          <w:sz w:val="28"/>
        </w:rPr>
        <w:t>1</w:t>
      </w:r>
      <w:r w:rsidR="000E67B9" w:rsidRPr="004C031F">
        <w:rPr>
          <w:rFonts w:ascii="Calibri" w:hAnsi="Calibri" w:cs="Calibri"/>
          <w:b/>
          <w:bCs/>
          <w:sz w:val="28"/>
        </w:rPr>
        <w:t>5</w:t>
      </w:r>
      <w:r w:rsidR="00553974" w:rsidRPr="004C031F">
        <w:rPr>
          <w:rFonts w:ascii="Calibri" w:hAnsi="Calibri" w:cs="Calibri"/>
          <w:b/>
          <w:bCs/>
          <w:sz w:val="28"/>
        </w:rPr>
        <w:t>/</w:t>
      </w:r>
      <w:r w:rsidR="000E67B9" w:rsidRPr="004C031F">
        <w:rPr>
          <w:rFonts w:ascii="Calibri" w:hAnsi="Calibri" w:cs="Calibri"/>
          <w:b/>
          <w:bCs/>
          <w:sz w:val="28"/>
        </w:rPr>
        <w:t>16</w:t>
      </w:r>
    </w:p>
    <w:p w14:paraId="5B72539D" w14:textId="77777777" w:rsidR="00DA0304" w:rsidRPr="00D15A6D" w:rsidRDefault="00DA0304" w:rsidP="00D15A6D">
      <w:pPr>
        <w:ind w:right="68"/>
        <w:jc w:val="center"/>
        <w:rPr>
          <w:rFonts w:ascii="Calibri" w:hAnsi="Calibri" w:cs="Calibri"/>
          <w:bCs/>
        </w:rPr>
      </w:pPr>
    </w:p>
    <w:p w14:paraId="4BFE9BF4" w14:textId="77777777" w:rsidR="001E1D26" w:rsidRPr="004C031F" w:rsidRDefault="008409FA" w:rsidP="00D15A6D">
      <w:pPr>
        <w:jc w:val="center"/>
        <w:rPr>
          <w:rFonts w:ascii="Calibri" w:hAnsi="Calibri" w:cs="Calibri"/>
          <w:b/>
          <w:sz w:val="28"/>
        </w:rPr>
      </w:pPr>
      <w:r w:rsidRPr="004C031F">
        <w:rPr>
          <w:rFonts w:ascii="Calibri" w:hAnsi="Calibri" w:cs="Calibri"/>
          <w:b/>
          <w:sz w:val="28"/>
        </w:rPr>
        <w:t xml:space="preserve">Peněžní prostředky určené na </w:t>
      </w:r>
      <w:r w:rsidR="000E67B9" w:rsidRPr="004C031F">
        <w:rPr>
          <w:rFonts w:ascii="Calibri" w:hAnsi="Calibri" w:cs="Calibri"/>
          <w:b/>
          <w:sz w:val="28"/>
        </w:rPr>
        <w:t>financování vybraných programů v</w:t>
      </w:r>
      <w:r w:rsidR="00DB2620" w:rsidRPr="004C031F">
        <w:rPr>
          <w:rFonts w:ascii="Calibri" w:hAnsi="Calibri" w:cs="Calibri"/>
          <w:b/>
          <w:sz w:val="28"/>
        </w:rPr>
        <w:t xml:space="preserve"> </w:t>
      </w:r>
      <w:r w:rsidR="000E67B9" w:rsidRPr="004C031F">
        <w:rPr>
          <w:rFonts w:ascii="Calibri" w:hAnsi="Calibri" w:cs="Calibri"/>
          <w:b/>
          <w:sz w:val="28"/>
        </w:rPr>
        <w:t>působnosti Ministerstva spravedlnosti</w:t>
      </w:r>
    </w:p>
    <w:bookmarkEnd w:id="0"/>
    <w:p w14:paraId="01B1CB64" w14:textId="77777777" w:rsidR="00E47DAC" w:rsidRPr="004C031F" w:rsidRDefault="00E47DAC" w:rsidP="004C031F">
      <w:pPr>
        <w:spacing w:line="264" w:lineRule="auto"/>
        <w:rPr>
          <w:rFonts w:ascii="Calibri" w:hAnsi="Calibri" w:cs="Calibri"/>
        </w:rPr>
      </w:pPr>
    </w:p>
    <w:p w14:paraId="1CD47673" w14:textId="77777777" w:rsidR="00DB2620" w:rsidRPr="004C031F" w:rsidRDefault="00DB2620" w:rsidP="004C031F">
      <w:pPr>
        <w:spacing w:line="264" w:lineRule="auto"/>
        <w:rPr>
          <w:rFonts w:ascii="Calibri" w:hAnsi="Calibri" w:cs="Calibri"/>
        </w:rPr>
      </w:pPr>
    </w:p>
    <w:p w14:paraId="1DD0D952" w14:textId="25B27F7B" w:rsidR="00E47DAC" w:rsidRPr="004C031F" w:rsidRDefault="00E47DAC" w:rsidP="004C031F">
      <w:pPr>
        <w:pStyle w:val="Zkladn"/>
        <w:spacing w:before="0" w:line="264" w:lineRule="auto"/>
        <w:rPr>
          <w:rFonts w:ascii="Calibri" w:hAnsi="Calibri" w:cs="Calibri"/>
        </w:rPr>
      </w:pPr>
      <w:r w:rsidRPr="004C031F">
        <w:rPr>
          <w:rFonts w:ascii="Calibri" w:hAnsi="Calibri" w:cs="Calibri"/>
        </w:rPr>
        <w:t>Kontrolní akce byla zařazena do plánu kontrolní činnosti Nejvyššího kontrolního úřadu (dále jen „NKÚ“) na rok 20</w:t>
      </w:r>
      <w:r w:rsidR="004379AD" w:rsidRPr="004C031F">
        <w:rPr>
          <w:rFonts w:ascii="Calibri" w:hAnsi="Calibri" w:cs="Calibri"/>
        </w:rPr>
        <w:t>1</w:t>
      </w:r>
      <w:r w:rsidR="000E67B9" w:rsidRPr="004C031F">
        <w:rPr>
          <w:rFonts w:ascii="Calibri" w:hAnsi="Calibri" w:cs="Calibri"/>
        </w:rPr>
        <w:t>5</w:t>
      </w:r>
      <w:r w:rsidRPr="004C031F">
        <w:rPr>
          <w:rFonts w:ascii="Calibri" w:hAnsi="Calibri" w:cs="Calibri"/>
        </w:rPr>
        <w:t xml:space="preserve"> pod číslem </w:t>
      </w:r>
      <w:r w:rsidR="004379AD" w:rsidRPr="004C031F">
        <w:rPr>
          <w:rFonts w:ascii="Calibri" w:hAnsi="Calibri" w:cs="Calibri"/>
        </w:rPr>
        <w:t>1</w:t>
      </w:r>
      <w:r w:rsidR="000E67B9" w:rsidRPr="004C031F">
        <w:rPr>
          <w:rFonts w:ascii="Calibri" w:hAnsi="Calibri" w:cs="Calibri"/>
        </w:rPr>
        <w:t>5</w:t>
      </w:r>
      <w:r w:rsidRPr="004C031F">
        <w:rPr>
          <w:rFonts w:ascii="Calibri" w:hAnsi="Calibri" w:cs="Calibri"/>
        </w:rPr>
        <w:t>/</w:t>
      </w:r>
      <w:r w:rsidR="000E67B9" w:rsidRPr="004C031F">
        <w:rPr>
          <w:rFonts w:ascii="Calibri" w:hAnsi="Calibri" w:cs="Calibri"/>
        </w:rPr>
        <w:t>16</w:t>
      </w:r>
      <w:r w:rsidRPr="004C031F">
        <w:rPr>
          <w:rFonts w:ascii="Calibri" w:hAnsi="Calibri" w:cs="Calibri"/>
        </w:rPr>
        <w:t>. Kontrolní akci řídil a</w:t>
      </w:r>
      <w:r w:rsidR="00C61ED8">
        <w:rPr>
          <w:rFonts w:ascii="Calibri" w:hAnsi="Calibri" w:cs="Calibri"/>
        </w:rPr>
        <w:t> </w:t>
      </w:r>
      <w:r w:rsidRPr="004C031F">
        <w:rPr>
          <w:rFonts w:ascii="Calibri" w:hAnsi="Calibri" w:cs="Calibri"/>
        </w:rPr>
        <w:t>kontrolní záv</w:t>
      </w:r>
      <w:r w:rsidR="001E1D26" w:rsidRPr="004C031F">
        <w:rPr>
          <w:rFonts w:ascii="Calibri" w:hAnsi="Calibri" w:cs="Calibri"/>
        </w:rPr>
        <w:t>ěr vypracoval člen NKÚ RNDr. Petr Neuvirt.</w:t>
      </w:r>
    </w:p>
    <w:p w14:paraId="702DEA77" w14:textId="77777777" w:rsidR="00D86778" w:rsidRPr="004C031F" w:rsidRDefault="00D86778" w:rsidP="004C031F">
      <w:pPr>
        <w:pStyle w:val="Zkladntextodsazen"/>
        <w:spacing w:after="0" w:line="264" w:lineRule="auto"/>
        <w:ind w:left="0"/>
        <w:jc w:val="both"/>
        <w:rPr>
          <w:rFonts w:ascii="Calibri" w:hAnsi="Calibri" w:cs="Calibri"/>
        </w:rPr>
      </w:pPr>
    </w:p>
    <w:p w14:paraId="2C88C29B" w14:textId="77777777" w:rsidR="000E67B9" w:rsidRPr="004C031F" w:rsidRDefault="005B57A3" w:rsidP="004C031F">
      <w:pPr>
        <w:spacing w:line="264" w:lineRule="auto"/>
        <w:jc w:val="both"/>
        <w:rPr>
          <w:rFonts w:ascii="Calibri" w:hAnsi="Calibri" w:cs="Calibri"/>
          <w:lang w:eastAsia="en-US"/>
        </w:rPr>
      </w:pPr>
      <w:r w:rsidRPr="004C031F">
        <w:rPr>
          <w:rFonts w:ascii="Calibri" w:hAnsi="Calibri" w:cs="Calibri"/>
          <w:lang w:eastAsia="en-US"/>
        </w:rPr>
        <w:t xml:space="preserve">Cílem kontroly bylo prověřit </w:t>
      </w:r>
      <w:r w:rsidR="00707865" w:rsidRPr="004C031F">
        <w:rPr>
          <w:rFonts w:ascii="Calibri" w:hAnsi="Calibri" w:cs="Calibri"/>
          <w:lang w:eastAsia="en-US"/>
        </w:rPr>
        <w:t xml:space="preserve">systém </w:t>
      </w:r>
      <w:r w:rsidRPr="004C031F">
        <w:rPr>
          <w:rFonts w:ascii="Calibri" w:hAnsi="Calibri" w:cs="Calibri"/>
          <w:lang w:eastAsia="en-US"/>
        </w:rPr>
        <w:t xml:space="preserve">poskytování, čerpání a použití peněžních prostředků určených </w:t>
      </w:r>
      <w:r w:rsidR="003D64F8" w:rsidRPr="004C031F">
        <w:rPr>
          <w:rFonts w:ascii="Calibri" w:hAnsi="Calibri" w:cs="Calibri"/>
          <w:lang w:eastAsia="en-US"/>
        </w:rPr>
        <w:t xml:space="preserve">na </w:t>
      </w:r>
      <w:r w:rsidR="000E67B9" w:rsidRPr="004C031F">
        <w:rPr>
          <w:rFonts w:ascii="Calibri" w:hAnsi="Calibri" w:cs="Calibri"/>
          <w:lang w:eastAsia="en-US"/>
        </w:rPr>
        <w:t>financování vybraných programů v</w:t>
      </w:r>
      <w:r w:rsidR="00DB2620" w:rsidRPr="004C031F">
        <w:rPr>
          <w:rFonts w:ascii="Calibri" w:hAnsi="Calibri" w:cs="Calibri"/>
          <w:lang w:eastAsia="en-US"/>
        </w:rPr>
        <w:t xml:space="preserve"> </w:t>
      </w:r>
      <w:r w:rsidR="000E67B9" w:rsidRPr="004C031F">
        <w:rPr>
          <w:rFonts w:ascii="Calibri" w:hAnsi="Calibri" w:cs="Calibri"/>
          <w:lang w:eastAsia="en-US"/>
        </w:rPr>
        <w:t>působnosti Ministerstva spravedlnosti</w:t>
      </w:r>
      <w:r w:rsidR="00A600C4" w:rsidRPr="004C031F">
        <w:rPr>
          <w:rFonts w:ascii="Calibri" w:hAnsi="Calibri" w:cs="Calibri"/>
          <w:lang w:eastAsia="en-US"/>
        </w:rPr>
        <w:t>.</w:t>
      </w:r>
    </w:p>
    <w:p w14:paraId="159E7307" w14:textId="77777777" w:rsidR="000E67B9" w:rsidRPr="004C031F" w:rsidRDefault="000E67B9" w:rsidP="004C031F">
      <w:pPr>
        <w:pStyle w:val="Zkladntextodsazen"/>
        <w:spacing w:after="0" w:line="264" w:lineRule="auto"/>
        <w:ind w:left="0"/>
        <w:jc w:val="both"/>
        <w:rPr>
          <w:rFonts w:ascii="Calibri" w:hAnsi="Calibri" w:cs="Calibri"/>
        </w:rPr>
      </w:pPr>
    </w:p>
    <w:p w14:paraId="7AAF884A" w14:textId="77777777" w:rsidR="000E67B9" w:rsidRPr="004C031F" w:rsidRDefault="008409FA" w:rsidP="004C031F">
      <w:pPr>
        <w:pStyle w:val="Zkladntextodsazen"/>
        <w:spacing w:after="0" w:line="264" w:lineRule="auto"/>
        <w:ind w:left="0"/>
        <w:jc w:val="both"/>
        <w:rPr>
          <w:rFonts w:ascii="Calibri" w:hAnsi="Calibri" w:cs="Calibri"/>
        </w:rPr>
      </w:pPr>
      <w:r w:rsidRPr="004C031F">
        <w:rPr>
          <w:rFonts w:ascii="Calibri" w:hAnsi="Calibri" w:cs="Calibri"/>
        </w:rPr>
        <w:t>Kontrolováno bylo</w:t>
      </w:r>
      <w:r w:rsidR="00637B66" w:rsidRPr="004C031F">
        <w:rPr>
          <w:rFonts w:ascii="Calibri" w:hAnsi="Calibri" w:cs="Calibri"/>
        </w:rPr>
        <w:t xml:space="preserve"> </w:t>
      </w:r>
      <w:r w:rsidR="00E47DAC" w:rsidRPr="004C031F">
        <w:rPr>
          <w:rFonts w:ascii="Calibri" w:hAnsi="Calibri" w:cs="Calibri"/>
        </w:rPr>
        <w:t>období</w:t>
      </w:r>
      <w:r w:rsidRPr="004C031F">
        <w:rPr>
          <w:rFonts w:ascii="Calibri" w:hAnsi="Calibri" w:cs="Calibri"/>
        </w:rPr>
        <w:t xml:space="preserve"> od roku 20</w:t>
      </w:r>
      <w:r w:rsidR="000E67B9" w:rsidRPr="004C031F">
        <w:rPr>
          <w:rFonts w:ascii="Calibri" w:hAnsi="Calibri" w:cs="Calibri"/>
        </w:rPr>
        <w:t>12</w:t>
      </w:r>
      <w:r w:rsidR="001E1D26" w:rsidRPr="004C031F">
        <w:rPr>
          <w:rFonts w:ascii="Calibri" w:hAnsi="Calibri" w:cs="Calibri"/>
        </w:rPr>
        <w:t xml:space="preserve"> do roku</w:t>
      </w:r>
      <w:r w:rsidRPr="004C031F">
        <w:rPr>
          <w:rFonts w:ascii="Calibri" w:hAnsi="Calibri" w:cs="Calibri"/>
        </w:rPr>
        <w:t xml:space="preserve"> 201</w:t>
      </w:r>
      <w:r w:rsidR="000E67B9" w:rsidRPr="004C031F">
        <w:rPr>
          <w:rFonts w:ascii="Calibri" w:hAnsi="Calibri" w:cs="Calibri"/>
        </w:rPr>
        <w:t>5</w:t>
      </w:r>
      <w:r w:rsidR="00491C48" w:rsidRPr="004C031F">
        <w:rPr>
          <w:rFonts w:ascii="Calibri" w:hAnsi="Calibri" w:cs="Calibri"/>
        </w:rPr>
        <w:t>,</w:t>
      </w:r>
      <w:r w:rsidR="00E47DAC" w:rsidRPr="004C031F">
        <w:rPr>
          <w:rFonts w:ascii="Calibri" w:hAnsi="Calibri" w:cs="Calibri"/>
        </w:rPr>
        <w:t xml:space="preserve"> </w:t>
      </w:r>
      <w:r w:rsidR="00150511" w:rsidRPr="004C031F">
        <w:rPr>
          <w:rFonts w:ascii="Calibri" w:hAnsi="Calibri" w:cs="Calibri"/>
        </w:rPr>
        <w:t>v</w:t>
      </w:r>
      <w:r w:rsidR="00DB2620" w:rsidRPr="004C031F">
        <w:rPr>
          <w:rFonts w:ascii="Calibri" w:hAnsi="Calibri" w:cs="Calibri"/>
        </w:rPr>
        <w:t xml:space="preserve"> </w:t>
      </w:r>
      <w:r w:rsidR="00DD1F0E" w:rsidRPr="004C031F">
        <w:rPr>
          <w:rFonts w:ascii="Calibri" w:hAnsi="Calibri" w:cs="Calibri"/>
        </w:rPr>
        <w:t>případě věcných souvislostí i</w:t>
      </w:r>
      <w:r w:rsidR="00DB2620" w:rsidRPr="004C031F">
        <w:rPr>
          <w:rFonts w:ascii="Calibri" w:hAnsi="Calibri" w:cs="Calibri"/>
        </w:rPr>
        <w:t xml:space="preserve"> </w:t>
      </w:r>
      <w:r w:rsidR="00DD1F0E" w:rsidRPr="004C031F">
        <w:rPr>
          <w:rFonts w:ascii="Calibri" w:hAnsi="Calibri" w:cs="Calibri"/>
        </w:rPr>
        <w:t>období</w:t>
      </w:r>
      <w:r w:rsidR="00CD1855" w:rsidRPr="004C031F">
        <w:rPr>
          <w:rFonts w:ascii="Calibri" w:hAnsi="Calibri" w:cs="Calibri"/>
        </w:rPr>
        <w:t xml:space="preserve"> předcházející</w:t>
      </w:r>
      <w:r w:rsidR="00DD1F0E" w:rsidRPr="004C031F">
        <w:rPr>
          <w:rFonts w:ascii="Calibri" w:hAnsi="Calibri" w:cs="Calibri"/>
        </w:rPr>
        <w:t xml:space="preserve">. </w:t>
      </w:r>
      <w:r w:rsidR="00E47DAC" w:rsidRPr="004C031F">
        <w:rPr>
          <w:rFonts w:ascii="Calibri" w:hAnsi="Calibri" w:cs="Calibri"/>
        </w:rPr>
        <w:t>Kontrola byla prov</w:t>
      </w:r>
      <w:r w:rsidR="005C2A50" w:rsidRPr="004C031F">
        <w:rPr>
          <w:rFonts w:ascii="Calibri" w:hAnsi="Calibri" w:cs="Calibri"/>
        </w:rPr>
        <w:t>á</w:t>
      </w:r>
      <w:r w:rsidR="00E47DAC" w:rsidRPr="004C031F">
        <w:rPr>
          <w:rFonts w:ascii="Calibri" w:hAnsi="Calibri" w:cs="Calibri"/>
        </w:rPr>
        <w:t>d</w:t>
      </w:r>
      <w:r w:rsidR="005C2A50" w:rsidRPr="004C031F">
        <w:rPr>
          <w:rFonts w:ascii="Calibri" w:hAnsi="Calibri" w:cs="Calibri"/>
        </w:rPr>
        <w:t>ě</w:t>
      </w:r>
      <w:r w:rsidR="00E47DAC" w:rsidRPr="004C031F">
        <w:rPr>
          <w:rFonts w:ascii="Calibri" w:hAnsi="Calibri" w:cs="Calibri"/>
        </w:rPr>
        <w:t xml:space="preserve">na </w:t>
      </w:r>
      <w:r w:rsidR="00DE137C" w:rsidRPr="004C031F">
        <w:rPr>
          <w:rFonts w:ascii="Calibri" w:hAnsi="Calibri" w:cs="Calibri"/>
        </w:rPr>
        <w:t xml:space="preserve">u kontrolovaných osob </w:t>
      </w:r>
      <w:r w:rsidR="00E47DAC" w:rsidRPr="004C031F">
        <w:rPr>
          <w:rFonts w:ascii="Calibri" w:hAnsi="Calibri" w:cs="Calibri"/>
        </w:rPr>
        <w:t xml:space="preserve">od </w:t>
      </w:r>
      <w:r w:rsidR="000E67B9" w:rsidRPr="004C031F">
        <w:rPr>
          <w:rFonts w:ascii="Calibri" w:hAnsi="Calibri" w:cs="Calibri"/>
        </w:rPr>
        <w:t xml:space="preserve">května do listopadu </w:t>
      </w:r>
      <w:r w:rsidR="00DE137C" w:rsidRPr="004C031F">
        <w:rPr>
          <w:rFonts w:ascii="Calibri" w:hAnsi="Calibri" w:cs="Calibri"/>
        </w:rPr>
        <w:t>2015.</w:t>
      </w:r>
    </w:p>
    <w:p w14:paraId="3B0C7A4A" w14:textId="77777777" w:rsidR="000E67B9" w:rsidRPr="004C031F" w:rsidRDefault="000E67B9" w:rsidP="004C031F">
      <w:pPr>
        <w:pStyle w:val="Zkladn"/>
        <w:spacing w:before="0" w:line="264" w:lineRule="auto"/>
        <w:rPr>
          <w:rFonts w:ascii="Calibri" w:hAnsi="Calibri" w:cs="Calibri"/>
        </w:rPr>
      </w:pPr>
    </w:p>
    <w:p w14:paraId="68BC4903" w14:textId="77777777" w:rsidR="00DE137C" w:rsidRPr="004C031F" w:rsidRDefault="00DE137C" w:rsidP="004C031F">
      <w:pPr>
        <w:pStyle w:val="Zkladn"/>
        <w:spacing w:before="0" w:line="264" w:lineRule="auto"/>
        <w:rPr>
          <w:rFonts w:ascii="Calibri" w:hAnsi="Calibri" w:cs="Calibri"/>
        </w:rPr>
      </w:pPr>
      <w:r w:rsidRPr="004C031F">
        <w:rPr>
          <w:rFonts w:ascii="Calibri" w:hAnsi="Calibri" w:cs="Calibri"/>
        </w:rPr>
        <w:t>Kontrolované osoby:</w:t>
      </w:r>
    </w:p>
    <w:p w14:paraId="1A49FA05" w14:textId="20B7F241" w:rsidR="000E67B9" w:rsidRPr="004C031F" w:rsidRDefault="000E67B9" w:rsidP="004C031F">
      <w:pPr>
        <w:pStyle w:val="Odstavecseseznamem"/>
        <w:numPr>
          <w:ilvl w:val="0"/>
          <w:numId w:val="18"/>
        </w:numPr>
        <w:spacing w:line="264" w:lineRule="auto"/>
        <w:ind w:left="284" w:hanging="284"/>
        <w:jc w:val="both"/>
        <w:rPr>
          <w:rFonts w:ascii="Calibri" w:hAnsi="Calibri" w:cs="Calibri"/>
          <w:lang w:eastAsia="en-US"/>
        </w:rPr>
      </w:pPr>
      <w:r w:rsidRPr="004C031F">
        <w:rPr>
          <w:rFonts w:ascii="Calibri" w:hAnsi="Calibri" w:cs="Calibri"/>
          <w:lang w:eastAsia="en-US"/>
        </w:rPr>
        <w:t>Ministerstvo spravedlnosti (dále také „MSp“)</w:t>
      </w:r>
      <w:r w:rsidR="00F40326">
        <w:rPr>
          <w:rFonts w:ascii="Calibri" w:hAnsi="Calibri" w:cs="Calibri"/>
          <w:lang w:eastAsia="en-US"/>
        </w:rPr>
        <w:t>,</w:t>
      </w:r>
      <w:r w:rsidRPr="004C031F">
        <w:rPr>
          <w:rFonts w:ascii="Calibri" w:hAnsi="Calibri" w:cs="Calibri"/>
          <w:lang w:eastAsia="en-US"/>
        </w:rPr>
        <w:t xml:space="preserve"> </w:t>
      </w:r>
    </w:p>
    <w:p w14:paraId="230943F2" w14:textId="4BD56341" w:rsidR="000E67B9" w:rsidRPr="004C031F" w:rsidRDefault="000E67B9" w:rsidP="004C031F">
      <w:pPr>
        <w:pStyle w:val="Odstavecseseznamem"/>
        <w:numPr>
          <w:ilvl w:val="0"/>
          <w:numId w:val="18"/>
        </w:numPr>
        <w:spacing w:line="264" w:lineRule="auto"/>
        <w:ind w:left="284" w:hanging="284"/>
        <w:jc w:val="both"/>
        <w:rPr>
          <w:rFonts w:ascii="Calibri" w:hAnsi="Calibri" w:cs="Calibri"/>
          <w:lang w:eastAsia="en-US"/>
        </w:rPr>
      </w:pPr>
      <w:r w:rsidRPr="004C031F">
        <w:rPr>
          <w:rFonts w:ascii="Calibri" w:hAnsi="Calibri" w:cs="Calibri"/>
          <w:lang w:eastAsia="en-US"/>
        </w:rPr>
        <w:t>Městský soud v</w:t>
      </w:r>
      <w:r w:rsidR="00DB2620" w:rsidRPr="004C031F">
        <w:rPr>
          <w:rFonts w:ascii="Calibri" w:hAnsi="Calibri" w:cs="Calibri"/>
          <w:lang w:eastAsia="en-US"/>
        </w:rPr>
        <w:t xml:space="preserve"> </w:t>
      </w:r>
      <w:r w:rsidRPr="004C031F">
        <w:rPr>
          <w:rFonts w:ascii="Calibri" w:hAnsi="Calibri" w:cs="Calibri"/>
          <w:lang w:eastAsia="en-US"/>
        </w:rPr>
        <w:t>Praze</w:t>
      </w:r>
      <w:r w:rsidR="00F40326">
        <w:rPr>
          <w:rFonts w:ascii="Calibri" w:hAnsi="Calibri" w:cs="Calibri"/>
          <w:lang w:eastAsia="en-US"/>
        </w:rPr>
        <w:t>,</w:t>
      </w:r>
      <w:r w:rsidRPr="004C031F">
        <w:rPr>
          <w:rFonts w:ascii="Calibri" w:hAnsi="Calibri" w:cs="Calibri"/>
          <w:lang w:eastAsia="en-US"/>
        </w:rPr>
        <w:t xml:space="preserve"> </w:t>
      </w:r>
    </w:p>
    <w:p w14:paraId="3580623F" w14:textId="544DA4EE" w:rsidR="000E67B9" w:rsidRPr="004C031F" w:rsidRDefault="000E67B9" w:rsidP="004C031F">
      <w:pPr>
        <w:pStyle w:val="Odstavecseseznamem"/>
        <w:numPr>
          <w:ilvl w:val="0"/>
          <w:numId w:val="18"/>
        </w:numPr>
        <w:spacing w:line="264" w:lineRule="auto"/>
        <w:ind w:left="284" w:hanging="284"/>
        <w:jc w:val="both"/>
        <w:rPr>
          <w:rFonts w:ascii="Calibri" w:hAnsi="Calibri" w:cs="Calibri"/>
          <w:lang w:eastAsia="en-US"/>
        </w:rPr>
      </w:pPr>
      <w:r w:rsidRPr="004C031F">
        <w:rPr>
          <w:rFonts w:ascii="Calibri" w:hAnsi="Calibri" w:cs="Calibri"/>
          <w:lang w:eastAsia="en-US"/>
        </w:rPr>
        <w:t>Krajský soud v Hradci Králové</w:t>
      </w:r>
      <w:r w:rsidR="00CD1855" w:rsidRPr="004C031F">
        <w:rPr>
          <w:rFonts w:ascii="Calibri" w:hAnsi="Calibri" w:cs="Calibri"/>
          <w:lang w:eastAsia="en-US"/>
        </w:rPr>
        <w:t xml:space="preserve"> (dále také „KS v</w:t>
      </w:r>
      <w:r w:rsidR="00DB2620" w:rsidRPr="004C031F">
        <w:rPr>
          <w:rFonts w:ascii="Calibri" w:hAnsi="Calibri" w:cs="Calibri"/>
          <w:lang w:eastAsia="en-US"/>
        </w:rPr>
        <w:t xml:space="preserve"> </w:t>
      </w:r>
      <w:r w:rsidR="00CD1855" w:rsidRPr="004C031F">
        <w:rPr>
          <w:rFonts w:ascii="Calibri" w:hAnsi="Calibri" w:cs="Calibri"/>
          <w:lang w:eastAsia="en-US"/>
        </w:rPr>
        <w:t>Hradci Králové“)</w:t>
      </w:r>
      <w:r w:rsidR="00F40326">
        <w:rPr>
          <w:rFonts w:ascii="Calibri" w:hAnsi="Calibri" w:cs="Calibri"/>
          <w:lang w:eastAsia="en-US"/>
        </w:rPr>
        <w:t>,</w:t>
      </w:r>
    </w:p>
    <w:p w14:paraId="1945E1BB" w14:textId="41BD2304" w:rsidR="000E67B9" w:rsidRPr="004C031F" w:rsidRDefault="000E67B9" w:rsidP="004C031F">
      <w:pPr>
        <w:pStyle w:val="Odstavecseseznamem"/>
        <w:numPr>
          <w:ilvl w:val="0"/>
          <w:numId w:val="18"/>
        </w:numPr>
        <w:spacing w:line="264" w:lineRule="auto"/>
        <w:ind w:left="284" w:hanging="284"/>
        <w:jc w:val="both"/>
        <w:rPr>
          <w:rFonts w:ascii="Calibri" w:hAnsi="Calibri" w:cs="Calibri"/>
          <w:lang w:eastAsia="en-US"/>
        </w:rPr>
      </w:pPr>
      <w:r w:rsidRPr="004C031F">
        <w:rPr>
          <w:rFonts w:ascii="Calibri" w:hAnsi="Calibri" w:cs="Calibri"/>
          <w:lang w:eastAsia="en-US"/>
        </w:rPr>
        <w:t>Okresní soud v Jičíně</w:t>
      </w:r>
      <w:r w:rsidR="00F40326">
        <w:rPr>
          <w:rFonts w:ascii="Calibri" w:hAnsi="Calibri" w:cs="Calibri"/>
          <w:lang w:eastAsia="en-US"/>
        </w:rPr>
        <w:t>,</w:t>
      </w:r>
      <w:r w:rsidRPr="004C031F">
        <w:rPr>
          <w:rFonts w:ascii="Calibri" w:hAnsi="Calibri" w:cs="Calibri"/>
          <w:lang w:eastAsia="en-US"/>
        </w:rPr>
        <w:t xml:space="preserve"> </w:t>
      </w:r>
    </w:p>
    <w:p w14:paraId="28F18A6B" w14:textId="0FF52127" w:rsidR="000E67B9" w:rsidRPr="004C031F" w:rsidRDefault="000E67B9" w:rsidP="004C031F">
      <w:pPr>
        <w:pStyle w:val="Odstavecseseznamem"/>
        <w:numPr>
          <w:ilvl w:val="0"/>
          <w:numId w:val="18"/>
        </w:numPr>
        <w:spacing w:line="264" w:lineRule="auto"/>
        <w:ind w:left="284" w:hanging="284"/>
        <w:jc w:val="both"/>
        <w:rPr>
          <w:rFonts w:ascii="Calibri" w:hAnsi="Calibri" w:cs="Calibri"/>
          <w:lang w:eastAsia="en-US"/>
        </w:rPr>
      </w:pPr>
      <w:r w:rsidRPr="004C031F">
        <w:rPr>
          <w:rFonts w:ascii="Calibri" w:hAnsi="Calibri" w:cs="Calibri"/>
          <w:lang w:eastAsia="en-US"/>
        </w:rPr>
        <w:t>Okresní soud Plzeň-sever</w:t>
      </w:r>
      <w:r w:rsidR="00F40326">
        <w:rPr>
          <w:rFonts w:ascii="Calibri" w:hAnsi="Calibri" w:cs="Calibri"/>
          <w:lang w:eastAsia="en-US"/>
        </w:rPr>
        <w:t>,</w:t>
      </w:r>
    </w:p>
    <w:p w14:paraId="5557E949" w14:textId="4A05A0B2" w:rsidR="000E67B9" w:rsidRPr="004C031F" w:rsidRDefault="000E67B9" w:rsidP="004C031F">
      <w:pPr>
        <w:pStyle w:val="Odstavecseseznamem"/>
        <w:numPr>
          <w:ilvl w:val="0"/>
          <w:numId w:val="18"/>
        </w:numPr>
        <w:spacing w:line="264" w:lineRule="auto"/>
        <w:ind w:left="284" w:hanging="284"/>
        <w:jc w:val="both"/>
        <w:rPr>
          <w:rFonts w:ascii="Calibri" w:hAnsi="Calibri" w:cs="Calibri"/>
          <w:lang w:eastAsia="en-US"/>
        </w:rPr>
      </w:pPr>
      <w:r w:rsidRPr="004C031F">
        <w:rPr>
          <w:rFonts w:ascii="Calibri" w:hAnsi="Calibri" w:cs="Calibri"/>
          <w:lang w:eastAsia="en-US"/>
        </w:rPr>
        <w:t>Okresní soud v</w:t>
      </w:r>
      <w:r w:rsidR="00DB2620" w:rsidRPr="004C031F">
        <w:rPr>
          <w:rFonts w:ascii="Calibri" w:hAnsi="Calibri" w:cs="Calibri"/>
          <w:lang w:eastAsia="en-US"/>
        </w:rPr>
        <w:t xml:space="preserve"> </w:t>
      </w:r>
      <w:r w:rsidRPr="004C031F">
        <w:rPr>
          <w:rFonts w:ascii="Calibri" w:hAnsi="Calibri" w:cs="Calibri"/>
          <w:lang w:eastAsia="en-US"/>
        </w:rPr>
        <w:t>Sokolově</w:t>
      </w:r>
      <w:r w:rsidR="00F40326">
        <w:rPr>
          <w:rFonts w:ascii="Calibri" w:hAnsi="Calibri" w:cs="Calibri"/>
          <w:lang w:eastAsia="en-US"/>
        </w:rPr>
        <w:t>,</w:t>
      </w:r>
    </w:p>
    <w:p w14:paraId="289D7B20" w14:textId="54F2AA19" w:rsidR="000E67B9" w:rsidRPr="004C031F" w:rsidRDefault="000E67B9" w:rsidP="004C031F">
      <w:pPr>
        <w:pStyle w:val="Odstavecseseznamem"/>
        <w:numPr>
          <w:ilvl w:val="0"/>
          <w:numId w:val="18"/>
        </w:numPr>
        <w:spacing w:line="264" w:lineRule="auto"/>
        <w:ind w:left="284" w:hanging="284"/>
        <w:jc w:val="both"/>
        <w:rPr>
          <w:rFonts w:ascii="Calibri" w:hAnsi="Calibri" w:cs="Calibri"/>
          <w:lang w:eastAsia="en-US"/>
        </w:rPr>
      </w:pPr>
      <w:r w:rsidRPr="004C031F">
        <w:rPr>
          <w:rFonts w:ascii="Calibri" w:hAnsi="Calibri" w:cs="Calibri"/>
          <w:lang w:eastAsia="en-US"/>
        </w:rPr>
        <w:t>Okresní soud v</w:t>
      </w:r>
      <w:r w:rsidR="00DB2620" w:rsidRPr="004C031F">
        <w:rPr>
          <w:rFonts w:ascii="Calibri" w:hAnsi="Calibri" w:cs="Calibri"/>
          <w:lang w:eastAsia="en-US"/>
        </w:rPr>
        <w:t xml:space="preserve"> </w:t>
      </w:r>
      <w:r w:rsidRPr="004C031F">
        <w:rPr>
          <w:rFonts w:ascii="Calibri" w:hAnsi="Calibri" w:cs="Calibri"/>
          <w:lang w:eastAsia="en-US"/>
        </w:rPr>
        <w:t>Klatovech</w:t>
      </w:r>
      <w:r w:rsidR="00F40326">
        <w:rPr>
          <w:rFonts w:ascii="Calibri" w:hAnsi="Calibri" w:cs="Calibri"/>
          <w:lang w:eastAsia="en-US"/>
        </w:rPr>
        <w:t>,</w:t>
      </w:r>
    </w:p>
    <w:p w14:paraId="3C8939CA" w14:textId="77777777" w:rsidR="000E67B9" w:rsidRPr="004C031F" w:rsidRDefault="000E67B9" w:rsidP="004C031F">
      <w:pPr>
        <w:pStyle w:val="Odstavecseseznamem"/>
        <w:numPr>
          <w:ilvl w:val="0"/>
          <w:numId w:val="18"/>
        </w:numPr>
        <w:spacing w:line="264" w:lineRule="auto"/>
        <w:ind w:left="284" w:hanging="284"/>
        <w:jc w:val="both"/>
        <w:rPr>
          <w:rFonts w:ascii="Calibri" w:hAnsi="Calibri" w:cs="Calibri"/>
          <w:lang w:eastAsia="en-US"/>
        </w:rPr>
      </w:pPr>
      <w:r w:rsidRPr="004C031F">
        <w:rPr>
          <w:rFonts w:ascii="Calibri" w:hAnsi="Calibri" w:cs="Calibri"/>
          <w:lang w:eastAsia="en-US"/>
        </w:rPr>
        <w:t>Vězeňská služba České republiky</w:t>
      </w:r>
      <w:r w:rsidR="007D2606" w:rsidRPr="004C031F">
        <w:rPr>
          <w:rFonts w:ascii="Calibri" w:hAnsi="Calibri" w:cs="Calibri"/>
          <w:lang w:eastAsia="en-US"/>
        </w:rPr>
        <w:t xml:space="preserve"> (dále také</w:t>
      </w:r>
      <w:r w:rsidR="003437C6" w:rsidRPr="004C031F">
        <w:rPr>
          <w:rFonts w:ascii="Calibri" w:hAnsi="Calibri" w:cs="Calibri"/>
          <w:lang w:eastAsia="en-US"/>
        </w:rPr>
        <w:t xml:space="preserve"> „VS“</w:t>
      </w:r>
      <w:r w:rsidR="00BF391A" w:rsidRPr="004C031F">
        <w:rPr>
          <w:rFonts w:ascii="Calibri" w:hAnsi="Calibri" w:cs="Calibri"/>
          <w:lang w:eastAsia="en-US"/>
        </w:rPr>
        <w:t>)</w:t>
      </w:r>
      <w:r w:rsidRPr="004C031F">
        <w:rPr>
          <w:rFonts w:ascii="Calibri" w:hAnsi="Calibri" w:cs="Calibri"/>
          <w:lang w:eastAsia="en-US"/>
        </w:rPr>
        <w:t>.</w:t>
      </w:r>
    </w:p>
    <w:p w14:paraId="777AD8F0" w14:textId="77777777" w:rsidR="008409FA" w:rsidRPr="004C031F" w:rsidRDefault="008409FA" w:rsidP="004C031F">
      <w:pPr>
        <w:spacing w:line="264" w:lineRule="auto"/>
        <w:jc w:val="both"/>
        <w:rPr>
          <w:rFonts w:ascii="Calibri" w:hAnsi="Calibri" w:cs="Calibri"/>
          <w:lang w:eastAsia="en-US"/>
        </w:rPr>
      </w:pPr>
    </w:p>
    <w:p w14:paraId="3EE1783B" w14:textId="7C746E53" w:rsidR="003437C6" w:rsidRPr="004C031F" w:rsidRDefault="007D2606" w:rsidP="004C031F">
      <w:pPr>
        <w:pStyle w:val="Zkladn"/>
        <w:spacing w:before="0" w:line="264" w:lineRule="auto"/>
        <w:rPr>
          <w:rFonts w:ascii="Calibri" w:hAnsi="Calibri" w:cs="Calibri"/>
        </w:rPr>
      </w:pPr>
      <w:r w:rsidRPr="004C031F">
        <w:rPr>
          <w:rFonts w:ascii="Calibri" w:hAnsi="Calibri" w:cs="Calibri"/>
        </w:rPr>
        <w:t>Námitky</w:t>
      </w:r>
      <w:r w:rsidR="00E47DAC" w:rsidRPr="004C031F">
        <w:rPr>
          <w:rFonts w:ascii="Calibri" w:hAnsi="Calibri" w:cs="Calibri"/>
        </w:rPr>
        <w:t xml:space="preserve"> proti kontroln</w:t>
      </w:r>
      <w:r w:rsidRPr="004C031F">
        <w:rPr>
          <w:rFonts w:ascii="Calibri" w:hAnsi="Calibri" w:cs="Calibri"/>
        </w:rPr>
        <w:t>ímu protokolu, které</w:t>
      </w:r>
      <w:r w:rsidR="003D64F8" w:rsidRPr="004C031F">
        <w:rPr>
          <w:rFonts w:ascii="Calibri" w:hAnsi="Calibri" w:cs="Calibri"/>
        </w:rPr>
        <w:t xml:space="preserve"> podalo</w:t>
      </w:r>
      <w:r w:rsidRPr="004C031F">
        <w:rPr>
          <w:rFonts w:ascii="Calibri" w:hAnsi="Calibri" w:cs="Calibri"/>
        </w:rPr>
        <w:t xml:space="preserve"> MSp</w:t>
      </w:r>
      <w:r w:rsidR="005B2F71" w:rsidRPr="004C031F">
        <w:rPr>
          <w:rFonts w:ascii="Calibri" w:hAnsi="Calibri" w:cs="Calibri"/>
        </w:rPr>
        <w:t>,</w:t>
      </w:r>
      <w:r w:rsidRPr="004C031F">
        <w:rPr>
          <w:rFonts w:ascii="Calibri" w:hAnsi="Calibri" w:cs="Calibri"/>
        </w:rPr>
        <w:t xml:space="preserve"> </w:t>
      </w:r>
      <w:r w:rsidR="00F40326">
        <w:rPr>
          <w:rFonts w:ascii="Calibri" w:hAnsi="Calibri" w:cs="Calibri"/>
        </w:rPr>
        <w:t xml:space="preserve">vypořádala </w:t>
      </w:r>
      <w:r w:rsidRPr="004C031F">
        <w:rPr>
          <w:rFonts w:ascii="Calibri" w:hAnsi="Calibri" w:cs="Calibri"/>
        </w:rPr>
        <w:t xml:space="preserve">vedoucí </w:t>
      </w:r>
      <w:r w:rsidR="00CD1855" w:rsidRPr="004C031F">
        <w:rPr>
          <w:rFonts w:ascii="Calibri" w:hAnsi="Calibri" w:cs="Calibri"/>
        </w:rPr>
        <w:t>skupiny kont</w:t>
      </w:r>
      <w:r w:rsidR="00C65035" w:rsidRPr="004C031F">
        <w:rPr>
          <w:rFonts w:ascii="Calibri" w:hAnsi="Calibri" w:cs="Calibri"/>
        </w:rPr>
        <w:t>rolujících rozhodnutím o námitkách</w:t>
      </w:r>
      <w:r w:rsidR="00CD1855" w:rsidRPr="004C031F">
        <w:rPr>
          <w:rFonts w:ascii="Calibri" w:hAnsi="Calibri" w:cs="Calibri"/>
        </w:rPr>
        <w:t>.</w:t>
      </w:r>
    </w:p>
    <w:p w14:paraId="6ACE51D0" w14:textId="77777777" w:rsidR="00BA33A6" w:rsidRPr="004C031F" w:rsidRDefault="00BA33A6" w:rsidP="004C031F">
      <w:pPr>
        <w:spacing w:line="264" w:lineRule="auto"/>
        <w:ind w:right="70"/>
        <w:jc w:val="both"/>
        <w:rPr>
          <w:rFonts w:ascii="Calibri" w:hAnsi="Calibri" w:cs="Calibri"/>
        </w:rPr>
      </w:pPr>
    </w:p>
    <w:p w14:paraId="0825855D" w14:textId="77777777" w:rsidR="00DB2620" w:rsidRPr="004C031F" w:rsidRDefault="00DB2620" w:rsidP="004C031F">
      <w:pPr>
        <w:spacing w:line="264" w:lineRule="auto"/>
        <w:ind w:right="70"/>
        <w:jc w:val="both"/>
        <w:rPr>
          <w:rFonts w:ascii="Calibri" w:hAnsi="Calibri" w:cs="Calibri"/>
        </w:rPr>
      </w:pPr>
    </w:p>
    <w:p w14:paraId="2279EA5F" w14:textId="77777777" w:rsidR="00E47DAC" w:rsidRPr="004C031F" w:rsidRDefault="00E47DAC" w:rsidP="004C031F">
      <w:pPr>
        <w:spacing w:line="264" w:lineRule="auto"/>
        <w:ind w:right="70"/>
        <w:jc w:val="both"/>
        <w:rPr>
          <w:rFonts w:ascii="Calibri" w:hAnsi="Calibri" w:cs="Calibri"/>
        </w:rPr>
      </w:pPr>
      <w:r w:rsidRPr="004C031F">
        <w:rPr>
          <w:rFonts w:ascii="Calibri" w:hAnsi="Calibri" w:cs="Calibri"/>
          <w:b/>
          <w:bCs/>
          <w:i/>
          <w:iCs/>
        </w:rPr>
        <w:t>K o l e g i u m</w:t>
      </w:r>
      <w:r w:rsidRPr="004C031F">
        <w:rPr>
          <w:rFonts w:ascii="Calibri" w:hAnsi="Calibri" w:cs="Calibri"/>
        </w:rPr>
        <w:t xml:space="preserve">   </w:t>
      </w:r>
      <w:r w:rsidRPr="004C031F">
        <w:rPr>
          <w:rFonts w:ascii="Calibri" w:hAnsi="Calibri" w:cs="Calibri"/>
          <w:b/>
          <w:bCs/>
          <w:i/>
          <w:iCs/>
        </w:rPr>
        <w:t>N</w:t>
      </w:r>
      <w:r w:rsidR="008D64F9" w:rsidRPr="004C031F">
        <w:rPr>
          <w:rFonts w:ascii="Calibri" w:hAnsi="Calibri" w:cs="Calibri"/>
          <w:b/>
          <w:bCs/>
          <w:i/>
          <w:iCs/>
        </w:rPr>
        <w:t xml:space="preserve"> </w:t>
      </w:r>
      <w:r w:rsidRPr="004C031F">
        <w:rPr>
          <w:rFonts w:ascii="Calibri" w:hAnsi="Calibri" w:cs="Calibri"/>
          <w:b/>
          <w:bCs/>
          <w:i/>
          <w:iCs/>
        </w:rPr>
        <w:t>K</w:t>
      </w:r>
      <w:r w:rsidR="005E2660" w:rsidRPr="004C031F">
        <w:rPr>
          <w:rFonts w:ascii="Calibri" w:hAnsi="Calibri" w:cs="Calibri"/>
          <w:b/>
          <w:bCs/>
          <w:i/>
          <w:iCs/>
        </w:rPr>
        <w:t xml:space="preserve"> </w:t>
      </w:r>
      <w:r w:rsidRPr="004C031F">
        <w:rPr>
          <w:rFonts w:ascii="Calibri" w:hAnsi="Calibri" w:cs="Calibri"/>
          <w:b/>
          <w:bCs/>
          <w:i/>
          <w:iCs/>
        </w:rPr>
        <w:t>Ú</w:t>
      </w:r>
      <w:r w:rsidR="002313A4" w:rsidRPr="004C031F">
        <w:rPr>
          <w:rFonts w:ascii="Calibri" w:hAnsi="Calibri" w:cs="Calibri"/>
          <w:b/>
          <w:bCs/>
          <w:i/>
          <w:iCs/>
        </w:rPr>
        <w:t xml:space="preserve">  </w:t>
      </w:r>
      <w:r w:rsidR="00F738AA" w:rsidRPr="004C031F">
        <w:rPr>
          <w:rFonts w:ascii="Calibri" w:hAnsi="Calibri" w:cs="Calibri"/>
          <w:b/>
          <w:bCs/>
          <w:iCs/>
        </w:rPr>
        <w:t xml:space="preserve"> </w:t>
      </w:r>
      <w:r w:rsidRPr="004C031F">
        <w:rPr>
          <w:rFonts w:ascii="Calibri" w:hAnsi="Calibri" w:cs="Calibri"/>
        </w:rPr>
        <w:t>na</w:t>
      </w:r>
      <w:r w:rsidR="00F57CC9" w:rsidRPr="004C031F">
        <w:rPr>
          <w:rFonts w:ascii="Calibri" w:hAnsi="Calibri" w:cs="Calibri"/>
        </w:rPr>
        <w:t xml:space="preserve"> </w:t>
      </w:r>
      <w:r w:rsidR="00F34AD3" w:rsidRPr="004C031F">
        <w:rPr>
          <w:rFonts w:ascii="Calibri" w:hAnsi="Calibri" w:cs="Calibri"/>
        </w:rPr>
        <w:t>svém</w:t>
      </w:r>
      <w:r w:rsidR="00794A4A" w:rsidRPr="004C031F">
        <w:rPr>
          <w:rFonts w:ascii="Calibri" w:hAnsi="Calibri" w:cs="Calibri"/>
        </w:rPr>
        <w:t xml:space="preserve"> </w:t>
      </w:r>
      <w:r w:rsidR="00C113D6" w:rsidRPr="004C031F">
        <w:rPr>
          <w:rFonts w:ascii="Calibri" w:hAnsi="Calibri" w:cs="Calibri"/>
        </w:rPr>
        <w:t xml:space="preserve">I. </w:t>
      </w:r>
      <w:r w:rsidR="007A5A84" w:rsidRPr="004C031F">
        <w:rPr>
          <w:rFonts w:ascii="Calibri" w:hAnsi="Calibri" w:cs="Calibri"/>
        </w:rPr>
        <w:t>jedn</w:t>
      </w:r>
      <w:r w:rsidRPr="004C031F">
        <w:rPr>
          <w:rFonts w:ascii="Calibri" w:hAnsi="Calibri" w:cs="Calibri"/>
        </w:rPr>
        <w:t xml:space="preserve">ání, </w:t>
      </w:r>
      <w:r w:rsidR="00A80C9B" w:rsidRPr="004C031F">
        <w:rPr>
          <w:rFonts w:ascii="Calibri" w:hAnsi="Calibri" w:cs="Calibri"/>
        </w:rPr>
        <w:t xml:space="preserve">které se </w:t>
      </w:r>
      <w:r w:rsidRPr="004C031F">
        <w:rPr>
          <w:rFonts w:ascii="Calibri" w:hAnsi="Calibri" w:cs="Calibri"/>
        </w:rPr>
        <w:t>kona</w:t>
      </w:r>
      <w:r w:rsidR="00A80C9B" w:rsidRPr="004C031F">
        <w:rPr>
          <w:rFonts w:ascii="Calibri" w:hAnsi="Calibri" w:cs="Calibri"/>
        </w:rPr>
        <w:t>lo</w:t>
      </w:r>
      <w:r w:rsidRPr="004C031F">
        <w:rPr>
          <w:rFonts w:ascii="Calibri" w:hAnsi="Calibri" w:cs="Calibri"/>
        </w:rPr>
        <w:t xml:space="preserve"> dne</w:t>
      </w:r>
      <w:r w:rsidR="009A12AE" w:rsidRPr="004C031F">
        <w:rPr>
          <w:rFonts w:ascii="Calibri" w:hAnsi="Calibri" w:cs="Calibri"/>
        </w:rPr>
        <w:t xml:space="preserve"> </w:t>
      </w:r>
      <w:r w:rsidR="00C113D6" w:rsidRPr="004C031F">
        <w:rPr>
          <w:rFonts w:ascii="Calibri" w:hAnsi="Calibri" w:cs="Calibri"/>
        </w:rPr>
        <w:t xml:space="preserve">18. ledna </w:t>
      </w:r>
      <w:r w:rsidR="00DB2620" w:rsidRPr="004C031F">
        <w:rPr>
          <w:rFonts w:ascii="Calibri" w:hAnsi="Calibri" w:cs="Calibri"/>
        </w:rPr>
        <w:t>2016</w:t>
      </w:r>
      <w:r w:rsidRPr="004C031F">
        <w:rPr>
          <w:rFonts w:ascii="Calibri" w:hAnsi="Calibri" w:cs="Calibri"/>
        </w:rPr>
        <w:t xml:space="preserve">, </w:t>
      </w:r>
    </w:p>
    <w:p w14:paraId="3A211115" w14:textId="77777777" w:rsidR="00E47DAC" w:rsidRPr="004C031F" w:rsidRDefault="00A427F9" w:rsidP="004C031F">
      <w:pPr>
        <w:spacing w:line="264" w:lineRule="auto"/>
        <w:ind w:right="68"/>
        <w:jc w:val="both"/>
        <w:rPr>
          <w:rFonts w:ascii="Calibri" w:hAnsi="Calibri" w:cs="Calibri"/>
        </w:rPr>
      </w:pPr>
      <w:r w:rsidRPr="004C031F">
        <w:rPr>
          <w:rFonts w:ascii="Calibri" w:hAnsi="Calibri" w:cs="Calibri"/>
          <w:b/>
          <w:bCs/>
          <w:i/>
          <w:iCs/>
        </w:rPr>
        <w:t>s</w:t>
      </w:r>
      <w:r w:rsidR="003E0C7C" w:rsidRPr="004C031F">
        <w:rPr>
          <w:rFonts w:ascii="Calibri" w:hAnsi="Calibri" w:cs="Calibri"/>
          <w:b/>
          <w:bCs/>
          <w:i/>
          <w:iCs/>
        </w:rPr>
        <w:t xml:space="preserve"> </w:t>
      </w:r>
      <w:r w:rsidRPr="004C031F">
        <w:rPr>
          <w:rFonts w:ascii="Calibri" w:hAnsi="Calibri" w:cs="Calibri"/>
          <w:b/>
          <w:bCs/>
          <w:i/>
          <w:iCs/>
        </w:rPr>
        <w:t>c</w:t>
      </w:r>
      <w:r w:rsidR="003E0C7C" w:rsidRPr="004C031F">
        <w:rPr>
          <w:rFonts w:ascii="Calibri" w:hAnsi="Calibri" w:cs="Calibri"/>
          <w:b/>
          <w:bCs/>
          <w:i/>
          <w:iCs/>
        </w:rPr>
        <w:t xml:space="preserve"> </w:t>
      </w:r>
      <w:r w:rsidRPr="004C031F">
        <w:rPr>
          <w:rFonts w:ascii="Calibri" w:hAnsi="Calibri" w:cs="Calibri"/>
          <w:b/>
          <w:bCs/>
          <w:i/>
          <w:iCs/>
        </w:rPr>
        <w:t>h</w:t>
      </w:r>
      <w:r w:rsidR="003E0C7C" w:rsidRPr="004C031F">
        <w:rPr>
          <w:rFonts w:ascii="Calibri" w:hAnsi="Calibri" w:cs="Calibri"/>
          <w:b/>
          <w:bCs/>
          <w:i/>
          <w:iCs/>
        </w:rPr>
        <w:t xml:space="preserve"> </w:t>
      </w:r>
      <w:r w:rsidR="00150511" w:rsidRPr="004C031F">
        <w:rPr>
          <w:rFonts w:ascii="Calibri" w:hAnsi="Calibri" w:cs="Calibri"/>
          <w:b/>
          <w:bCs/>
          <w:i/>
          <w:iCs/>
        </w:rPr>
        <w:t xml:space="preserve">v </w:t>
      </w:r>
      <w:r w:rsidRPr="004C031F">
        <w:rPr>
          <w:rFonts w:ascii="Calibri" w:hAnsi="Calibri" w:cs="Calibri"/>
          <w:b/>
          <w:bCs/>
          <w:i/>
          <w:iCs/>
        </w:rPr>
        <w:t>á</w:t>
      </w:r>
      <w:r w:rsidR="003E0C7C" w:rsidRPr="004C031F">
        <w:rPr>
          <w:rFonts w:ascii="Calibri" w:hAnsi="Calibri" w:cs="Calibri"/>
          <w:b/>
          <w:bCs/>
          <w:i/>
          <w:iCs/>
        </w:rPr>
        <w:t xml:space="preserve"> </w:t>
      </w:r>
      <w:r w:rsidRPr="004C031F">
        <w:rPr>
          <w:rFonts w:ascii="Calibri" w:hAnsi="Calibri" w:cs="Calibri"/>
          <w:b/>
          <w:bCs/>
          <w:i/>
          <w:iCs/>
        </w:rPr>
        <w:t>l</w:t>
      </w:r>
      <w:r w:rsidR="003E0C7C" w:rsidRPr="004C031F">
        <w:rPr>
          <w:rFonts w:ascii="Calibri" w:hAnsi="Calibri" w:cs="Calibri"/>
          <w:b/>
          <w:bCs/>
          <w:i/>
          <w:iCs/>
        </w:rPr>
        <w:t xml:space="preserve"> </w:t>
      </w:r>
      <w:r w:rsidRPr="004C031F">
        <w:rPr>
          <w:rFonts w:ascii="Calibri" w:hAnsi="Calibri" w:cs="Calibri"/>
          <w:b/>
          <w:bCs/>
          <w:i/>
          <w:iCs/>
        </w:rPr>
        <w:t>i</w:t>
      </w:r>
      <w:r w:rsidR="003E0C7C" w:rsidRPr="004C031F">
        <w:rPr>
          <w:rFonts w:ascii="Calibri" w:hAnsi="Calibri" w:cs="Calibri"/>
          <w:b/>
          <w:bCs/>
          <w:i/>
          <w:iCs/>
        </w:rPr>
        <w:t xml:space="preserve"> </w:t>
      </w:r>
      <w:r w:rsidRPr="004C031F">
        <w:rPr>
          <w:rFonts w:ascii="Calibri" w:hAnsi="Calibri" w:cs="Calibri"/>
          <w:b/>
          <w:bCs/>
          <w:i/>
          <w:iCs/>
        </w:rPr>
        <w:t>l</w:t>
      </w:r>
      <w:r w:rsidR="003E0C7C" w:rsidRPr="004C031F">
        <w:rPr>
          <w:rFonts w:ascii="Calibri" w:hAnsi="Calibri" w:cs="Calibri"/>
          <w:b/>
          <w:bCs/>
          <w:i/>
          <w:iCs/>
        </w:rPr>
        <w:t xml:space="preserve"> </w:t>
      </w:r>
      <w:r w:rsidRPr="004C031F">
        <w:rPr>
          <w:rFonts w:ascii="Calibri" w:hAnsi="Calibri" w:cs="Calibri"/>
          <w:b/>
          <w:bCs/>
          <w:i/>
          <w:iCs/>
        </w:rPr>
        <w:t>o</w:t>
      </w:r>
      <w:r w:rsidR="00E47DAC" w:rsidRPr="004C031F">
        <w:rPr>
          <w:rFonts w:ascii="Calibri" w:hAnsi="Calibri" w:cs="Calibri"/>
        </w:rPr>
        <w:t xml:space="preserve"> </w:t>
      </w:r>
      <w:r w:rsidR="002313A4" w:rsidRPr="004C031F">
        <w:rPr>
          <w:rFonts w:ascii="Calibri" w:hAnsi="Calibri" w:cs="Calibri"/>
        </w:rPr>
        <w:t xml:space="preserve">  </w:t>
      </w:r>
      <w:r w:rsidR="00E47DAC" w:rsidRPr="004C031F">
        <w:rPr>
          <w:rFonts w:ascii="Calibri" w:hAnsi="Calibri" w:cs="Calibri"/>
        </w:rPr>
        <w:t>usnesením č.</w:t>
      </w:r>
      <w:r w:rsidR="009A12AE" w:rsidRPr="004C031F">
        <w:rPr>
          <w:rFonts w:ascii="Calibri" w:hAnsi="Calibri" w:cs="Calibri"/>
        </w:rPr>
        <w:t xml:space="preserve"> </w:t>
      </w:r>
      <w:r w:rsidR="002B2268" w:rsidRPr="004C031F">
        <w:rPr>
          <w:rFonts w:ascii="Calibri" w:hAnsi="Calibri" w:cs="Calibri"/>
        </w:rPr>
        <w:t>10</w:t>
      </w:r>
      <w:r w:rsidR="00DB2620" w:rsidRPr="004C031F">
        <w:rPr>
          <w:rFonts w:ascii="Calibri" w:hAnsi="Calibri" w:cs="Calibri"/>
        </w:rPr>
        <w:t>/</w:t>
      </w:r>
      <w:r w:rsidR="00C113D6" w:rsidRPr="004C031F">
        <w:rPr>
          <w:rFonts w:ascii="Calibri" w:hAnsi="Calibri" w:cs="Calibri"/>
        </w:rPr>
        <w:t>I</w:t>
      </w:r>
      <w:r w:rsidR="00DB2620" w:rsidRPr="004C031F">
        <w:rPr>
          <w:rFonts w:ascii="Calibri" w:hAnsi="Calibri" w:cs="Calibri"/>
        </w:rPr>
        <w:t>/2016</w:t>
      </w:r>
    </w:p>
    <w:p w14:paraId="219932EA" w14:textId="77777777" w:rsidR="00E47DAC" w:rsidRPr="004C031F" w:rsidRDefault="00A427F9" w:rsidP="004C031F">
      <w:pPr>
        <w:spacing w:line="264" w:lineRule="auto"/>
        <w:ind w:right="70"/>
        <w:jc w:val="both"/>
        <w:rPr>
          <w:rFonts w:ascii="Calibri" w:hAnsi="Calibri" w:cs="Calibri"/>
        </w:rPr>
      </w:pPr>
      <w:r w:rsidRPr="004C031F">
        <w:rPr>
          <w:rFonts w:ascii="Calibri" w:hAnsi="Calibri" w:cs="Calibri"/>
          <w:b/>
          <w:bCs/>
          <w:i/>
          <w:iCs/>
        </w:rPr>
        <w:t>k</w:t>
      </w:r>
      <w:r w:rsidR="003E0C7C" w:rsidRPr="004C031F">
        <w:rPr>
          <w:rFonts w:ascii="Calibri" w:hAnsi="Calibri" w:cs="Calibri"/>
          <w:b/>
          <w:bCs/>
          <w:i/>
          <w:iCs/>
        </w:rPr>
        <w:t xml:space="preserve"> </w:t>
      </w:r>
      <w:r w:rsidRPr="004C031F">
        <w:rPr>
          <w:rFonts w:ascii="Calibri" w:hAnsi="Calibri" w:cs="Calibri"/>
          <w:b/>
          <w:bCs/>
          <w:i/>
          <w:iCs/>
        </w:rPr>
        <w:t>o</w:t>
      </w:r>
      <w:r w:rsidR="003E0C7C" w:rsidRPr="004C031F">
        <w:rPr>
          <w:rFonts w:ascii="Calibri" w:hAnsi="Calibri" w:cs="Calibri"/>
          <w:b/>
          <w:bCs/>
          <w:i/>
          <w:iCs/>
        </w:rPr>
        <w:t xml:space="preserve"> </w:t>
      </w:r>
      <w:r w:rsidRPr="004C031F">
        <w:rPr>
          <w:rFonts w:ascii="Calibri" w:hAnsi="Calibri" w:cs="Calibri"/>
          <w:b/>
          <w:bCs/>
          <w:i/>
          <w:iCs/>
        </w:rPr>
        <w:t>n</w:t>
      </w:r>
      <w:r w:rsidR="003E0C7C" w:rsidRPr="004C031F">
        <w:rPr>
          <w:rFonts w:ascii="Calibri" w:hAnsi="Calibri" w:cs="Calibri"/>
          <w:b/>
          <w:bCs/>
          <w:i/>
          <w:iCs/>
        </w:rPr>
        <w:t xml:space="preserve"> </w:t>
      </w:r>
      <w:r w:rsidRPr="004C031F">
        <w:rPr>
          <w:rFonts w:ascii="Calibri" w:hAnsi="Calibri" w:cs="Calibri"/>
          <w:b/>
          <w:bCs/>
          <w:i/>
          <w:iCs/>
        </w:rPr>
        <w:t>t</w:t>
      </w:r>
      <w:r w:rsidR="003E0C7C" w:rsidRPr="004C031F">
        <w:rPr>
          <w:rFonts w:ascii="Calibri" w:hAnsi="Calibri" w:cs="Calibri"/>
          <w:b/>
          <w:bCs/>
          <w:i/>
          <w:iCs/>
        </w:rPr>
        <w:t xml:space="preserve"> </w:t>
      </w:r>
      <w:r w:rsidRPr="004C031F">
        <w:rPr>
          <w:rFonts w:ascii="Calibri" w:hAnsi="Calibri" w:cs="Calibri"/>
          <w:b/>
          <w:bCs/>
          <w:i/>
          <w:iCs/>
        </w:rPr>
        <w:t>r</w:t>
      </w:r>
      <w:r w:rsidR="003E0C7C" w:rsidRPr="004C031F">
        <w:rPr>
          <w:rFonts w:ascii="Calibri" w:hAnsi="Calibri" w:cs="Calibri"/>
          <w:b/>
          <w:bCs/>
          <w:i/>
          <w:iCs/>
        </w:rPr>
        <w:t xml:space="preserve"> </w:t>
      </w:r>
      <w:r w:rsidRPr="004C031F">
        <w:rPr>
          <w:rFonts w:ascii="Calibri" w:hAnsi="Calibri" w:cs="Calibri"/>
          <w:b/>
          <w:bCs/>
          <w:i/>
          <w:iCs/>
        </w:rPr>
        <w:t>o</w:t>
      </w:r>
      <w:r w:rsidR="003E0C7C" w:rsidRPr="004C031F">
        <w:rPr>
          <w:rFonts w:ascii="Calibri" w:hAnsi="Calibri" w:cs="Calibri"/>
          <w:b/>
          <w:bCs/>
          <w:i/>
          <w:iCs/>
        </w:rPr>
        <w:t xml:space="preserve"> </w:t>
      </w:r>
      <w:r w:rsidRPr="004C031F">
        <w:rPr>
          <w:rFonts w:ascii="Calibri" w:hAnsi="Calibri" w:cs="Calibri"/>
          <w:b/>
          <w:bCs/>
          <w:i/>
          <w:iCs/>
        </w:rPr>
        <w:t>l</w:t>
      </w:r>
      <w:r w:rsidR="003E0C7C" w:rsidRPr="004C031F">
        <w:rPr>
          <w:rFonts w:ascii="Calibri" w:hAnsi="Calibri" w:cs="Calibri"/>
          <w:b/>
          <w:bCs/>
          <w:i/>
          <w:iCs/>
        </w:rPr>
        <w:t xml:space="preserve"> </w:t>
      </w:r>
      <w:r w:rsidRPr="004C031F">
        <w:rPr>
          <w:rFonts w:ascii="Calibri" w:hAnsi="Calibri" w:cs="Calibri"/>
          <w:b/>
          <w:bCs/>
          <w:i/>
          <w:iCs/>
        </w:rPr>
        <w:t>n</w:t>
      </w:r>
      <w:r w:rsidR="003E0C7C" w:rsidRPr="004C031F">
        <w:rPr>
          <w:rFonts w:ascii="Calibri" w:hAnsi="Calibri" w:cs="Calibri"/>
          <w:b/>
          <w:bCs/>
          <w:i/>
          <w:iCs/>
        </w:rPr>
        <w:t xml:space="preserve"> </w:t>
      </w:r>
      <w:r w:rsidRPr="004C031F">
        <w:rPr>
          <w:rFonts w:ascii="Calibri" w:hAnsi="Calibri" w:cs="Calibri"/>
          <w:b/>
          <w:bCs/>
          <w:i/>
          <w:iCs/>
        </w:rPr>
        <w:t xml:space="preserve">í </w:t>
      </w:r>
      <w:r w:rsidR="003E0C7C" w:rsidRPr="004C031F">
        <w:rPr>
          <w:rFonts w:ascii="Calibri" w:hAnsi="Calibri" w:cs="Calibri"/>
          <w:b/>
          <w:bCs/>
          <w:i/>
          <w:iCs/>
        </w:rPr>
        <w:t xml:space="preserve">  </w:t>
      </w:r>
      <w:r w:rsidRPr="004C031F">
        <w:rPr>
          <w:rFonts w:ascii="Calibri" w:hAnsi="Calibri" w:cs="Calibri"/>
          <w:b/>
          <w:bCs/>
          <w:i/>
          <w:iCs/>
        </w:rPr>
        <w:t>z</w:t>
      </w:r>
      <w:r w:rsidR="003E0C7C" w:rsidRPr="004C031F">
        <w:rPr>
          <w:rFonts w:ascii="Calibri" w:hAnsi="Calibri" w:cs="Calibri"/>
          <w:b/>
          <w:bCs/>
          <w:i/>
          <w:iCs/>
        </w:rPr>
        <w:t xml:space="preserve"> </w:t>
      </w:r>
      <w:r w:rsidRPr="004C031F">
        <w:rPr>
          <w:rFonts w:ascii="Calibri" w:hAnsi="Calibri" w:cs="Calibri"/>
          <w:b/>
          <w:bCs/>
          <w:i/>
          <w:iCs/>
        </w:rPr>
        <w:t>á</w:t>
      </w:r>
      <w:r w:rsidR="003E0C7C" w:rsidRPr="004C031F">
        <w:rPr>
          <w:rFonts w:ascii="Calibri" w:hAnsi="Calibri" w:cs="Calibri"/>
          <w:b/>
          <w:bCs/>
          <w:i/>
          <w:iCs/>
        </w:rPr>
        <w:t xml:space="preserve"> </w:t>
      </w:r>
      <w:r w:rsidR="00150511" w:rsidRPr="004C031F">
        <w:rPr>
          <w:rFonts w:ascii="Calibri" w:hAnsi="Calibri" w:cs="Calibri"/>
          <w:b/>
          <w:bCs/>
          <w:i/>
          <w:iCs/>
        </w:rPr>
        <w:t xml:space="preserve">v </w:t>
      </w:r>
      <w:r w:rsidRPr="004C031F">
        <w:rPr>
          <w:rFonts w:ascii="Calibri" w:hAnsi="Calibri" w:cs="Calibri"/>
          <w:b/>
          <w:bCs/>
          <w:i/>
          <w:iCs/>
        </w:rPr>
        <w:t>ě</w:t>
      </w:r>
      <w:r w:rsidR="003E0C7C" w:rsidRPr="004C031F">
        <w:rPr>
          <w:rFonts w:ascii="Calibri" w:hAnsi="Calibri" w:cs="Calibri"/>
          <w:b/>
          <w:bCs/>
          <w:i/>
          <w:iCs/>
        </w:rPr>
        <w:t xml:space="preserve"> </w:t>
      </w:r>
      <w:r w:rsidRPr="004C031F">
        <w:rPr>
          <w:rFonts w:ascii="Calibri" w:hAnsi="Calibri" w:cs="Calibri"/>
          <w:b/>
          <w:bCs/>
          <w:i/>
          <w:iCs/>
        </w:rPr>
        <w:t>r</w:t>
      </w:r>
      <w:r w:rsidR="00E47DAC" w:rsidRPr="004C031F">
        <w:rPr>
          <w:rFonts w:ascii="Calibri" w:hAnsi="Calibri" w:cs="Calibri"/>
        </w:rPr>
        <w:t xml:space="preserve"> </w:t>
      </w:r>
      <w:r w:rsidR="002313A4" w:rsidRPr="004C031F">
        <w:rPr>
          <w:rFonts w:ascii="Calibri" w:hAnsi="Calibri" w:cs="Calibri"/>
        </w:rPr>
        <w:t xml:space="preserve">  </w:t>
      </w:r>
      <w:r w:rsidR="00150511" w:rsidRPr="004C031F">
        <w:rPr>
          <w:rFonts w:ascii="Calibri" w:hAnsi="Calibri" w:cs="Calibri"/>
        </w:rPr>
        <w:t>v</w:t>
      </w:r>
      <w:r w:rsidR="00DB2620" w:rsidRPr="004C031F">
        <w:rPr>
          <w:rFonts w:ascii="Calibri" w:hAnsi="Calibri" w:cs="Calibri"/>
        </w:rPr>
        <w:t xml:space="preserve"> </w:t>
      </w:r>
      <w:r w:rsidR="00E47DAC" w:rsidRPr="004C031F">
        <w:rPr>
          <w:rFonts w:ascii="Calibri" w:hAnsi="Calibri" w:cs="Calibri"/>
        </w:rPr>
        <w:t>tomto znění:</w:t>
      </w:r>
    </w:p>
    <w:p w14:paraId="0D42FE26" w14:textId="77777777" w:rsidR="000928BB" w:rsidRPr="004C031F" w:rsidRDefault="000928BB" w:rsidP="004C031F">
      <w:pPr>
        <w:pStyle w:val="Nadpis4"/>
        <w:spacing w:before="0" w:after="0" w:line="264" w:lineRule="auto"/>
        <w:jc w:val="center"/>
        <w:rPr>
          <w:rFonts w:cs="Calibri"/>
          <w:sz w:val="24"/>
          <w:szCs w:val="24"/>
        </w:rPr>
      </w:pPr>
    </w:p>
    <w:p w14:paraId="5E1CA1B0" w14:textId="77777777" w:rsidR="00DB2620" w:rsidRPr="00A315CB" w:rsidRDefault="00DB2620">
      <w:r w:rsidRPr="00A315CB">
        <w:br w:type="page"/>
      </w:r>
    </w:p>
    <w:p w14:paraId="0B73CB63" w14:textId="77777777" w:rsidR="000928BB" w:rsidRPr="00A315CB" w:rsidRDefault="000928BB" w:rsidP="003D3E7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315CB">
        <w:rPr>
          <w:rFonts w:asciiTheme="minorHAnsi" w:hAnsiTheme="minorHAnsi" w:cstheme="minorHAnsi"/>
          <w:b/>
          <w:sz w:val="28"/>
          <w:szCs w:val="28"/>
        </w:rPr>
        <w:lastRenderedPageBreak/>
        <w:t>I. Informace k předmětu kontroly</w:t>
      </w:r>
    </w:p>
    <w:p w14:paraId="744E3E66" w14:textId="77777777" w:rsidR="005815F1" w:rsidRPr="004C031F" w:rsidRDefault="005815F1" w:rsidP="004C031F">
      <w:pPr>
        <w:spacing w:line="264" w:lineRule="auto"/>
        <w:jc w:val="both"/>
        <w:rPr>
          <w:rFonts w:asciiTheme="minorHAnsi" w:hAnsiTheme="minorHAnsi" w:cstheme="minorHAnsi"/>
        </w:rPr>
      </w:pPr>
    </w:p>
    <w:p w14:paraId="78BCBA0D" w14:textId="77777777" w:rsidR="00984817" w:rsidRPr="00A315CB" w:rsidRDefault="000E67B9" w:rsidP="004C031F">
      <w:pPr>
        <w:pStyle w:val="Default"/>
        <w:spacing w:line="264" w:lineRule="auto"/>
        <w:jc w:val="both"/>
        <w:rPr>
          <w:rFonts w:asciiTheme="minorHAnsi" w:hAnsiTheme="minorHAnsi" w:cstheme="minorHAnsi"/>
          <w:color w:val="auto"/>
          <w:lang w:eastAsia="en-US"/>
        </w:rPr>
      </w:pPr>
      <w:r w:rsidRPr="00A315CB">
        <w:rPr>
          <w:rFonts w:asciiTheme="minorHAnsi" w:hAnsiTheme="minorHAnsi" w:cstheme="minorHAnsi"/>
          <w:color w:val="auto"/>
          <w:lang w:eastAsia="en-US"/>
        </w:rPr>
        <w:t>Ministerstvo spravedlnosti je podle ustanovení § 11 zákona č. 2/1969 Sb.</w:t>
      </w:r>
      <w:r w:rsidR="003F0DF9" w:rsidRPr="00A315CB">
        <w:rPr>
          <w:rStyle w:val="Znakapoznpodarou"/>
          <w:rFonts w:asciiTheme="minorHAnsi" w:hAnsiTheme="minorHAnsi" w:cstheme="minorHAnsi"/>
          <w:color w:val="auto"/>
          <w:lang w:eastAsia="en-US"/>
        </w:rPr>
        <w:footnoteReference w:id="1"/>
      </w:r>
      <w:r w:rsidRPr="00A315CB">
        <w:rPr>
          <w:rFonts w:asciiTheme="minorHAnsi" w:hAnsiTheme="minorHAnsi" w:cstheme="minorHAnsi"/>
          <w:color w:val="auto"/>
          <w:lang w:eastAsia="en-US"/>
        </w:rPr>
        <w:t xml:space="preserve"> ústředním orgánem státní správy pro soudy, státní zastupitelství, vězeňství, probaci a mediaci</w:t>
      </w:r>
      <w:r w:rsidR="00A60874" w:rsidRPr="00A315CB">
        <w:rPr>
          <w:rFonts w:asciiTheme="minorHAnsi" w:hAnsiTheme="minorHAnsi" w:cstheme="minorHAnsi"/>
          <w:color w:val="auto"/>
          <w:lang w:eastAsia="en-US"/>
        </w:rPr>
        <w:t>.</w:t>
      </w:r>
      <w:r w:rsidR="00A315CB" w:rsidRPr="00A315CB">
        <w:rPr>
          <w:rFonts w:asciiTheme="minorHAnsi" w:hAnsiTheme="minorHAnsi" w:cstheme="minorHAnsi"/>
          <w:color w:val="auto"/>
          <w:lang w:eastAsia="en-US"/>
        </w:rPr>
        <w:t xml:space="preserve"> </w:t>
      </w:r>
      <w:r w:rsidR="00A26B88" w:rsidRPr="00A315CB">
        <w:rPr>
          <w:rFonts w:asciiTheme="minorHAnsi" w:hAnsiTheme="minorHAnsi" w:cstheme="minorHAnsi"/>
          <w:color w:val="auto"/>
          <w:lang w:eastAsia="en-US"/>
        </w:rPr>
        <w:t xml:space="preserve">Je </w:t>
      </w:r>
      <w:r w:rsidRPr="00A315CB">
        <w:rPr>
          <w:rFonts w:asciiTheme="minorHAnsi" w:hAnsiTheme="minorHAnsi" w:cstheme="minorHAnsi"/>
          <w:color w:val="auto"/>
          <w:lang w:eastAsia="en-US"/>
        </w:rPr>
        <w:t>organizační složkou státu</w:t>
      </w:r>
      <w:r w:rsidR="00A26B88" w:rsidRPr="00A315CB">
        <w:rPr>
          <w:rFonts w:asciiTheme="minorHAnsi" w:hAnsiTheme="minorHAnsi" w:cstheme="minorHAnsi"/>
          <w:color w:val="auto"/>
          <w:lang w:eastAsia="en-US"/>
        </w:rPr>
        <w:t>, účetní jednotkou a </w:t>
      </w:r>
      <w:r w:rsidR="00984817" w:rsidRPr="00A315CB">
        <w:rPr>
          <w:rFonts w:asciiTheme="minorHAnsi" w:hAnsiTheme="minorHAnsi" w:cstheme="minorHAnsi"/>
          <w:color w:val="auto"/>
          <w:lang w:eastAsia="en-US"/>
        </w:rPr>
        <w:t xml:space="preserve">jako správce kapitoly státního rozpočtu (dále také „SR“) je odpovědné za hospodárnost, efektivnost a účelnost vynakládání výdajů ve své kapitole. </w:t>
      </w:r>
    </w:p>
    <w:p w14:paraId="7B3A6D3F" w14:textId="77777777" w:rsidR="00C26205" w:rsidRPr="00A315CB" w:rsidRDefault="00C26205" w:rsidP="004C031F">
      <w:pPr>
        <w:pStyle w:val="Default"/>
        <w:spacing w:line="264" w:lineRule="auto"/>
        <w:jc w:val="both"/>
        <w:rPr>
          <w:rFonts w:asciiTheme="minorHAnsi" w:hAnsiTheme="minorHAnsi" w:cstheme="minorHAnsi"/>
          <w:color w:val="auto"/>
          <w:lang w:eastAsia="en-US"/>
        </w:rPr>
      </w:pPr>
    </w:p>
    <w:p w14:paraId="0B7DF2B7" w14:textId="0A2F80EE" w:rsidR="00BF391A" w:rsidRPr="00A315CB" w:rsidRDefault="00BF391A" w:rsidP="004C031F">
      <w:pPr>
        <w:pStyle w:val="Default"/>
        <w:spacing w:line="264" w:lineRule="auto"/>
        <w:jc w:val="both"/>
        <w:rPr>
          <w:rFonts w:asciiTheme="minorHAnsi" w:hAnsiTheme="minorHAnsi" w:cstheme="minorHAnsi"/>
          <w:color w:val="auto"/>
          <w:lang w:eastAsia="en-US"/>
        </w:rPr>
      </w:pPr>
      <w:r w:rsidRPr="00A315CB">
        <w:rPr>
          <w:rFonts w:asciiTheme="minorHAnsi" w:hAnsiTheme="minorHAnsi" w:cstheme="minorHAnsi"/>
          <w:color w:val="auto"/>
          <w:lang w:eastAsia="en-US"/>
        </w:rPr>
        <w:t xml:space="preserve">Do působnosti MSp patří </w:t>
      </w:r>
      <w:r w:rsidR="00CD1855" w:rsidRPr="00A315CB">
        <w:rPr>
          <w:rFonts w:asciiTheme="minorHAnsi" w:hAnsiTheme="minorHAnsi" w:cstheme="minorHAnsi"/>
          <w:color w:val="auto"/>
          <w:lang w:eastAsia="en-US"/>
        </w:rPr>
        <w:t xml:space="preserve">mj. </w:t>
      </w:r>
      <w:r w:rsidR="005A5F5E" w:rsidRPr="00A315CB">
        <w:rPr>
          <w:rFonts w:asciiTheme="minorHAnsi" w:hAnsiTheme="minorHAnsi" w:cstheme="minorHAnsi"/>
          <w:color w:val="auto"/>
          <w:lang w:eastAsia="en-US"/>
        </w:rPr>
        <w:t>s</w:t>
      </w:r>
      <w:r w:rsidRPr="00A315CB">
        <w:rPr>
          <w:rFonts w:asciiTheme="minorHAnsi" w:hAnsiTheme="minorHAnsi" w:cstheme="minorHAnsi"/>
          <w:color w:val="auto"/>
          <w:lang w:eastAsia="en-US"/>
        </w:rPr>
        <w:t>tátní správa soudů. Soustav</w:t>
      </w:r>
      <w:r w:rsidR="00B63F0D">
        <w:rPr>
          <w:rFonts w:asciiTheme="minorHAnsi" w:hAnsiTheme="minorHAnsi" w:cstheme="minorHAnsi"/>
          <w:color w:val="auto"/>
          <w:lang w:eastAsia="en-US"/>
        </w:rPr>
        <w:t>u</w:t>
      </w:r>
      <w:r w:rsidRPr="00A315CB">
        <w:rPr>
          <w:rFonts w:asciiTheme="minorHAnsi" w:hAnsiTheme="minorHAnsi" w:cstheme="minorHAnsi"/>
          <w:color w:val="auto"/>
          <w:lang w:eastAsia="en-US"/>
        </w:rPr>
        <w:t xml:space="preserve"> a organizac</w:t>
      </w:r>
      <w:r w:rsidR="00B63F0D">
        <w:rPr>
          <w:rFonts w:asciiTheme="minorHAnsi" w:hAnsiTheme="minorHAnsi" w:cstheme="minorHAnsi"/>
          <w:color w:val="auto"/>
          <w:lang w:eastAsia="en-US"/>
        </w:rPr>
        <w:t>i</w:t>
      </w:r>
      <w:r w:rsidRPr="00A315CB">
        <w:rPr>
          <w:rFonts w:asciiTheme="minorHAnsi" w:hAnsiTheme="minorHAnsi" w:cstheme="minorHAnsi"/>
          <w:color w:val="auto"/>
          <w:lang w:eastAsia="en-US"/>
        </w:rPr>
        <w:t xml:space="preserve"> soudů vykonávajících soudní moc </w:t>
      </w:r>
      <w:r w:rsidR="00B63F0D">
        <w:rPr>
          <w:rFonts w:asciiTheme="minorHAnsi" w:hAnsiTheme="minorHAnsi" w:cstheme="minorHAnsi"/>
          <w:color w:val="auto"/>
          <w:lang w:eastAsia="en-US"/>
        </w:rPr>
        <w:t>upravuje</w:t>
      </w:r>
      <w:r w:rsidRPr="00A315CB">
        <w:rPr>
          <w:rFonts w:asciiTheme="minorHAnsi" w:hAnsiTheme="minorHAnsi" w:cstheme="minorHAnsi"/>
          <w:color w:val="auto"/>
          <w:lang w:eastAsia="en-US"/>
        </w:rPr>
        <w:t xml:space="preserve"> hlav</w:t>
      </w:r>
      <w:r w:rsidR="00B63F0D">
        <w:rPr>
          <w:rFonts w:asciiTheme="minorHAnsi" w:hAnsiTheme="minorHAnsi" w:cstheme="minorHAnsi"/>
          <w:color w:val="auto"/>
          <w:lang w:eastAsia="en-US"/>
        </w:rPr>
        <w:t>a</w:t>
      </w:r>
      <w:r w:rsidR="00A023F2" w:rsidRPr="00A315CB">
        <w:rPr>
          <w:rFonts w:asciiTheme="minorHAnsi" w:hAnsiTheme="minorHAnsi" w:cstheme="minorHAnsi"/>
          <w:color w:val="auto"/>
          <w:lang w:eastAsia="en-US"/>
        </w:rPr>
        <w:t xml:space="preserve"> čtvrt</w:t>
      </w:r>
      <w:r w:rsidR="00B63F0D">
        <w:rPr>
          <w:rFonts w:asciiTheme="minorHAnsi" w:hAnsiTheme="minorHAnsi" w:cstheme="minorHAnsi"/>
          <w:color w:val="auto"/>
          <w:lang w:eastAsia="en-US"/>
        </w:rPr>
        <w:t>á</w:t>
      </w:r>
      <w:r w:rsidR="00A023F2" w:rsidRPr="00A315CB">
        <w:rPr>
          <w:rFonts w:asciiTheme="minorHAnsi" w:hAnsiTheme="minorHAnsi" w:cstheme="minorHAnsi"/>
          <w:color w:val="auto"/>
          <w:lang w:eastAsia="en-US"/>
        </w:rPr>
        <w:t xml:space="preserve"> Ústavy České republiky</w:t>
      </w:r>
      <w:r w:rsidR="00C26205" w:rsidRPr="00A315CB">
        <w:rPr>
          <w:rStyle w:val="Znakapoznpodarou"/>
          <w:rFonts w:asciiTheme="minorHAnsi" w:hAnsiTheme="minorHAnsi" w:cstheme="minorHAnsi"/>
          <w:color w:val="auto"/>
          <w:lang w:eastAsia="en-US"/>
        </w:rPr>
        <w:footnoteReference w:id="2"/>
      </w:r>
      <w:r w:rsidR="00A023F2" w:rsidRPr="00A315CB">
        <w:rPr>
          <w:rFonts w:asciiTheme="minorHAnsi" w:hAnsiTheme="minorHAnsi" w:cstheme="minorHAnsi"/>
          <w:color w:val="auto"/>
          <w:lang w:eastAsia="en-US"/>
        </w:rPr>
        <w:t xml:space="preserve"> </w:t>
      </w:r>
      <w:r w:rsidR="00D00178" w:rsidRPr="00A315CB">
        <w:rPr>
          <w:rFonts w:asciiTheme="minorHAnsi" w:hAnsiTheme="minorHAnsi" w:cstheme="minorHAnsi"/>
          <w:color w:val="auto"/>
          <w:lang w:eastAsia="en-US"/>
        </w:rPr>
        <w:t>a</w:t>
      </w:r>
      <w:r w:rsidR="00B63F0D">
        <w:rPr>
          <w:rFonts w:asciiTheme="minorHAnsi" w:hAnsiTheme="minorHAnsi" w:cstheme="minorHAnsi"/>
          <w:color w:val="auto"/>
          <w:lang w:eastAsia="en-US"/>
        </w:rPr>
        <w:t> </w:t>
      </w:r>
      <w:r w:rsidR="00D00178" w:rsidRPr="00A315CB">
        <w:rPr>
          <w:rFonts w:asciiTheme="minorHAnsi" w:hAnsiTheme="minorHAnsi" w:cstheme="minorHAnsi"/>
          <w:color w:val="auto"/>
          <w:lang w:eastAsia="en-US"/>
        </w:rPr>
        <w:t xml:space="preserve">dále </w:t>
      </w:r>
      <w:r w:rsidRPr="00A315CB">
        <w:rPr>
          <w:rFonts w:asciiTheme="minorHAnsi" w:hAnsiTheme="minorHAnsi" w:cstheme="minorHAnsi"/>
          <w:color w:val="auto"/>
          <w:lang w:eastAsia="en-US"/>
        </w:rPr>
        <w:t>zákon č. 6/2002 Sb.</w:t>
      </w:r>
      <w:r w:rsidR="00C26205" w:rsidRPr="00A315CB">
        <w:rPr>
          <w:rStyle w:val="Znakapoznpodarou"/>
          <w:rFonts w:asciiTheme="minorHAnsi" w:hAnsiTheme="minorHAnsi" w:cstheme="minorHAnsi"/>
          <w:color w:val="auto"/>
          <w:lang w:eastAsia="en-US"/>
        </w:rPr>
        <w:footnoteReference w:id="3"/>
      </w:r>
      <w:r w:rsidRPr="00A315CB">
        <w:rPr>
          <w:rFonts w:asciiTheme="minorHAnsi" w:hAnsiTheme="minorHAnsi" w:cstheme="minorHAnsi"/>
          <w:color w:val="auto"/>
          <w:lang w:eastAsia="en-US"/>
        </w:rPr>
        <w:t xml:space="preserve"> Soustava soudů zahrnuje Městský soud v Praze</w:t>
      </w:r>
      <w:r w:rsidR="00B63F0D">
        <w:rPr>
          <w:rFonts w:asciiTheme="minorHAnsi" w:hAnsiTheme="minorHAnsi" w:cstheme="minorHAnsi"/>
          <w:color w:val="auto"/>
          <w:lang w:eastAsia="en-US"/>
        </w:rPr>
        <w:t>,</w:t>
      </w:r>
      <w:r w:rsidRPr="00A315CB">
        <w:rPr>
          <w:rFonts w:asciiTheme="minorHAnsi" w:hAnsiTheme="minorHAnsi" w:cstheme="minorHAnsi"/>
          <w:color w:val="auto"/>
          <w:lang w:eastAsia="en-US"/>
        </w:rPr>
        <w:t xml:space="preserve"> sedm krajských soudů, které přímo řídí 86</w:t>
      </w:r>
      <w:r w:rsidR="004C2D0D">
        <w:rPr>
          <w:rFonts w:asciiTheme="minorHAnsi" w:hAnsiTheme="minorHAnsi" w:cstheme="minorHAnsi"/>
          <w:color w:val="auto"/>
          <w:lang w:eastAsia="en-US"/>
        </w:rPr>
        <w:t> </w:t>
      </w:r>
      <w:r w:rsidRPr="00A315CB">
        <w:rPr>
          <w:rFonts w:asciiTheme="minorHAnsi" w:hAnsiTheme="minorHAnsi" w:cstheme="minorHAnsi"/>
          <w:color w:val="auto"/>
          <w:lang w:eastAsia="en-US"/>
        </w:rPr>
        <w:t>okresních a obvodních soud</w:t>
      </w:r>
      <w:r w:rsidR="00D00178" w:rsidRPr="00A315CB">
        <w:rPr>
          <w:rFonts w:asciiTheme="minorHAnsi" w:hAnsiTheme="minorHAnsi" w:cstheme="minorHAnsi"/>
          <w:color w:val="auto"/>
          <w:lang w:eastAsia="en-US"/>
        </w:rPr>
        <w:t xml:space="preserve">ů, dále </w:t>
      </w:r>
      <w:r w:rsidR="00B63F0D">
        <w:rPr>
          <w:rFonts w:asciiTheme="minorHAnsi" w:hAnsiTheme="minorHAnsi" w:cstheme="minorHAnsi"/>
          <w:color w:val="auto"/>
          <w:lang w:eastAsia="en-US"/>
        </w:rPr>
        <w:t>v</w:t>
      </w:r>
      <w:r w:rsidR="00D00178" w:rsidRPr="00A315CB">
        <w:rPr>
          <w:rFonts w:asciiTheme="minorHAnsi" w:hAnsiTheme="minorHAnsi" w:cstheme="minorHAnsi"/>
          <w:color w:val="auto"/>
          <w:lang w:eastAsia="en-US"/>
        </w:rPr>
        <w:t>rchní soud</w:t>
      </w:r>
      <w:r w:rsidR="00B63F0D">
        <w:rPr>
          <w:rFonts w:asciiTheme="minorHAnsi" w:hAnsiTheme="minorHAnsi" w:cstheme="minorHAnsi"/>
          <w:color w:val="auto"/>
          <w:lang w:eastAsia="en-US"/>
        </w:rPr>
        <w:t>y</w:t>
      </w:r>
      <w:r w:rsidR="00D00178" w:rsidRPr="00A315CB">
        <w:rPr>
          <w:rFonts w:asciiTheme="minorHAnsi" w:hAnsiTheme="minorHAnsi" w:cstheme="minorHAnsi"/>
          <w:color w:val="auto"/>
          <w:lang w:eastAsia="en-US"/>
        </w:rPr>
        <w:t xml:space="preserve"> v</w:t>
      </w:r>
      <w:r w:rsidR="00B63F0D">
        <w:rPr>
          <w:rFonts w:asciiTheme="minorHAnsi" w:hAnsiTheme="minorHAnsi" w:cstheme="minorHAnsi"/>
          <w:color w:val="auto"/>
          <w:lang w:eastAsia="en-US"/>
        </w:rPr>
        <w:t> </w:t>
      </w:r>
      <w:r w:rsidR="00D00178" w:rsidRPr="00A315CB">
        <w:rPr>
          <w:rFonts w:asciiTheme="minorHAnsi" w:hAnsiTheme="minorHAnsi" w:cstheme="minorHAnsi"/>
          <w:color w:val="auto"/>
          <w:lang w:eastAsia="en-US"/>
        </w:rPr>
        <w:t>Praze a v </w:t>
      </w:r>
      <w:r w:rsidRPr="00A315CB">
        <w:rPr>
          <w:rFonts w:asciiTheme="minorHAnsi" w:hAnsiTheme="minorHAnsi" w:cstheme="minorHAnsi"/>
          <w:color w:val="auto"/>
          <w:lang w:eastAsia="en-US"/>
        </w:rPr>
        <w:t>Olomouci, Nejvyšší soud v</w:t>
      </w:r>
      <w:r w:rsidR="004C2D0D">
        <w:rPr>
          <w:rFonts w:asciiTheme="minorHAnsi" w:hAnsiTheme="minorHAnsi" w:cstheme="minorHAnsi"/>
          <w:color w:val="auto"/>
          <w:lang w:eastAsia="en-US"/>
        </w:rPr>
        <w:t> </w:t>
      </w:r>
      <w:r w:rsidRPr="00A315CB">
        <w:rPr>
          <w:rFonts w:asciiTheme="minorHAnsi" w:hAnsiTheme="minorHAnsi" w:cstheme="minorHAnsi"/>
          <w:color w:val="auto"/>
          <w:lang w:eastAsia="en-US"/>
        </w:rPr>
        <w:t>Brně a</w:t>
      </w:r>
      <w:r w:rsidR="00567530">
        <w:rPr>
          <w:rFonts w:asciiTheme="minorHAnsi" w:hAnsiTheme="minorHAnsi" w:cstheme="minorHAnsi"/>
          <w:color w:val="auto"/>
          <w:lang w:eastAsia="en-US"/>
        </w:rPr>
        <w:t> </w:t>
      </w:r>
      <w:r w:rsidRPr="00A315CB">
        <w:rPr>
          <w:rFonts w:asciiTheme="minorHAnsi" w:hAnsiTheme="minorHAnsi" w:cstheme="minorHAnsi"/>
          <w:color w:val="auto"/>
          <w:lang w:eastAsia="en-US"/>
        </w:rPr>
        <w:t xml:space="preserve">Nejvyšší správní soud v Brně. </w:t>
      </w:r>
      <w:r w:rsidR="00707865" w:rsidRPr="00A315CB">
        <w:rPr>
          <w:rFonts w:asciiTheme="minorHAnsi" w:hAnsiTheme="minorHAnsi" w:cstheme="minorHAnsi"/>
          <w:color w:val="auto"/>
          <w:lang w:eastAsia="en-US"/>
        </w:rPr>
        <w:t>Soudy j</w:t>
      </w:r>
      <w:r w:rsidR="00A26B88" w:rsidRPr="00A315CB">
        <w:rPr>
          <w:rFonts w:asciiTheme="minorHAnsi" w:hAnsiTheme="minorHAnsi" w:cstheme="minorHAnsi"/>
          <w:color w:val="auto"/>
          <w:lang w:eastAsia="en-US"/>
        </w:rPr>
        <w:t>sou organizačními složkami státu a účetními jednotkami.</w:t>
      </w:r>
    </w:p>
    <w:p w14:paraId="79D50E73" w14:textId="77777777" w:rsidR="003D3E73" w:rsidRPr="00A315CB" w:rsidRDefault="003D3E73" w:rsidP="004C031F">
      <w:pPr>
        <w:pStyle w:val="Default"/>
        <w:spacing w:line="264" w:lineRule="auto"/>
        <w:jc w:val="both"/>
        <w:rPr>
          <w:rFonts w:asciiTheme="minorHAnsi" w:hAnsiTheme="minorHAnsi" w:cstheme="minorHAnsi"/>
          <w:color w:val="auto"/>
          <w:lang w:eastAsia="en-US"/>
        </w:rPr>
      </w:pPr>
    </w:p>
    <w:p w14:paraId="7D9845EA" w14:textId="72F2DF1C" w:rsidR="00BF391A" w:rsidRPr="00A315CB" w:rsidRDefault="00CD1855" w:rsidP="004C031F">
      <w:pPr>
        <w:pStyle w:val="Default"/>
        <w:spacing w:line="264" w:lineRule="auto"/>
        <w:jc w:val="both"/>
        <w:rPr>
          <w:rFonts w:asciiTheme="minorHAnsi" w:hAnsiTheme="minorHAnsi" w:cstheme="minorHAnsi"/>
          <w:color w:val="auto"/>
          <w:lang w:eastAsia="en-US"/>
        </w:rPr>
      </w:pPr>
      <w:r w:rsidRPr="00A315CB">
        <w:rPr>
          <w:rFonts w:asciiTheme="minorHAnsi" w:hAnsiTheme="minorHAnsi" w:cstheme="minorHAnsi"/>
          <w:color w:val="auto"/>
          <w:lang w:eastAsia="en-US"/>
        </w:rPr>
        <w:t>M</w:t>
      </w:r>
      <w:r w:rsidR="00B63F0D">
        <w:rPr>
          <w:rFonts w:asciiTheme="minorHAnsi" w:hAnsiTheme="minorHAnsi" w:cstheme="minorHAnsi"/>
          <w:color w:val="auto"/>
          <w:lang w:eastAsia="en-US"/>
        </w:rPr>
        <w:t>inisterstvu spravedlnosti</w:t>
      </w:r>
      <w:r w:rsidRPr="00A315CB">
        <w:rPr>
          <w:rFonts w:asciiTheme="minorHAnsi" w:hAnsiTheme="minorHAnsi" w:cstheme="minorHAnsi"/>
          <w:color w:val="auto"/>
          <w:lang w:eastAsia="en-US"/>
        </w:rPr>
        <w:t xml:space="preserve"> je </w:t>
      </w:r>
      <w:r w:rsidR="00BF391A" w:rsidRPr="00A315CB">
        <w:rPr>
          <w:rFonts w:asciiTheme="minorHAnsi" w:hAnsiTheme="minorHAnsi" w:cstheme="minorHAnsi"/>
          <w:color w:val="auto"/>
          <w:lang w:eastAsia="en-US"/>
        </w:rPr>
        <w:t>podřízena VS</w:t>
      </w:r>
      <w:r w:rsidR="00B63F0D">
        <w:rPr>
          <w:rFonts w:asciiTheme="minorHAnsi" w:hAnsiTheme="minorHAnsi" w:cstheme="minorHAnsi"/>
          <w:color w:val="auto"/>
          <w:lang w:eastAsia="en-US"/>
        </w:rPr>
        <w:t xml:space="preserve"> –</w:t>
      </w:r>
      <w:r w:rsidR="00BF391A" w:rsidRPr="00A315CB">
        <w:rPr>
          <w:rFonts w:asciiTheme="minorHAnsi" w:hAnsiTheme="minorHAnsi" w:cstheme="minorHAnsi"/>
          <w:color w:val="auto"/>
          <w:lang w:eastAsia="en-US"/>
        </w:rPr>
        <w:t xml:space="preserve"> ozbrojený bezpečnostní sbor, který zajišťuje výkon vazby, výkon zabezpečovací detence a výkon trestu odnětí svobody, jakož i ochranu pořádku a bezpečnosti při v</w:t>
      </w:r>
      <w:r w:rsidRPr="00A315CB">
        <w:rPr>
          <w:rFonts w:asciiTheme="minorHAnsi" w:hAnsiTheme="minorHAnsi" w:cstheme="minorHAnsi"/>
          <w:color w:val="auto"/>
          <w:lang w:eastAsia="en-US"/>
        </w:rPr>
        <w:t>ýkonu soudnictví a správě soudů a</w:t>
      </w:r>
      <w:r w:rsidR="00BF391A" w:rsidRPr="00A315CB">
        <w:rPr>
          <w:rFonts w:asciiTheme="minorHAnsi" w:hAnsiTheme="minorHAnsi" w:cstheme="minorHAnsi"/>
          <w:color w:val="auto"/>
          <w:lang w:eastAsia="en-US"/>
        </w:rPr>
        <w:t xml:space="preserve"> při činnosti státních zastupitelství a </w:t>
      </w:r>
      <w:r w:rsidR="003437C6" w:rsidRPr="00A315CB">
        <w:rPr>
          <w:rFonts w:asciiTheme="minorHAnsi" w:hAnsiTheme="minorHAnsi" w:cstheme="minorHAnsi"/>
          <w:color w:val="auto"/>
          <w:lang w:eastAsia="en-US"/>
        </w:rPr>
        <w:t xml:space="preserve">MSp. VS </w:t>
      </w:r>
      <w:r w:rsidR="00BF391A" w:rsidRPr="00A315CB">
        <w:rPr>
          <w:rFonts w:asciiTheme="minorHAnsi" w:hAnsiTheme="minorHAnsi" w:cstheme="minorHAnsi"/>
          <w:color w:val="auto"/>
          <w:lang w:eastAsia="en-US"/>
        </w:rPr>
        <w:t xml:space="preserve">má postavení správního úřadu, </w:t>
      </w:r>
      <w:r w:rsidRPr="00A315CB">
        <w:rPr>
          <w:rFonts w:asciiTheme="minorHAnsi" w:hAnsiTheme="minorHAnsi" w:cstheme="minorHAnsi"/>
          <w:color w:val="auto"/>
          <w:lang w:eastAsia="en-US"/>
        </w:rPr>
        <w:t>je organizační složkou státu a účetní jednotkou</w:t>
      </w:r>
      <w:r w:rsidR="00BF391A" w:rsidRPr="00A315CB">
        <w:rPr>
          <w:rFonts w:asciiTheme="minorHAnsi" w:hAnsiTheme="minorHAnsi" w:cstheme="minorHAnsi"/>
          <w:color w:val="auto"/>
          <w:lang w:eastAsia="en-US"/>
        </w:rPr>
        <w:t>. Byla zřízena s účinností od 1. ledna 1993 zákonem č. 555/1992 Sb.</w:t>
      </w:r>
      <w:r w:rsidR="00C26205" w:rsidRPr="00A315CB">
        <w:rPr>
          <w:rStyle w:val="Znakapoznpodarou"/>
          <w:rFonts w:asciiTheme="minorHAnsi" w:hAnsiTheme="minorHAnsi" w:cstheme="minorHAnsi"/>
          <w:color w:val="auto"/>
          <w:lang w:eastAsia="en-US"/>
        </w:rPr>
        <w:footnoteReference w:id="4"/>
      </w:r>
      <w:r w:rsidR="00BF391A" w:rsidRPr="00A315CB">
        <w:rPr>
          <w:rFonts w:asciiTheme="minorHAnsi" w:hAnsiTheme="minorHAnsi" w:cstheme="minorHAnsi"/>
          <w:color w:val="auto"/>
          <w:lang w:eastAsia="en-US"/>
        </w:rPr>
        <w:t xml:space="preserve"> Tvoří ji Generální ředitelství Vězeňské služby, 35 věznic, vazebních věznic a ústavů pro výkon zabezpečovací detence, dále </w:t>
      </w:r>
      <w:r w:rsidR="00B63F0D">
        <w:rPr>
          <w:rFonts w:asciiTheme="minorHAnsi" w:hAnsiTheme="minorHAnsi" w:cstheme="minorHAnsi"/>
          <w:color w:val="auto"/>
          <w:lang w:eastAsia="en-US"/>
        </w:rPr>
        <w:t>s</w:t>
      </w:r>
      <w:r w:rsidR="00BF391A" w:rsidRPr="00A315CB">
        <w:rPr>
          <w:rFonts w:asciiTheme="minorHAnsi" w:hAnsiTheme="minorHAnsi" w:cstheme="minorHAnsi"/>
          <w:color w:val="auto"/>
          <w:lang w:eastAsia="en-US"/>
        </w:rPr>
        <w:t xml:space="preserve">třední odborné učiliště a Akademie Vězeňské služby. </w:t>
      </w:r>
    </w:p>
    <w:p w14:paraId="55BF10D3" w14:textId="77777777" w:rsidR="003D3E73" w:rsidRPr="00A315CB" w:rsidRDefault="003D3E73" w:rsidP="004C031F">
      <w:pPr>
        <w:pStyle w:val="Default"/>
        <w:spacing w:line="264" w:lineRule="auto"/>
        <w:jc w:val="both"/>
        <w:rPr>
          <w:rFonts w:asciiTheme="minorHAnsi" w:hAnsiTheme="minorHAnsi" w:cstheme="minorHAnsi"/>
          <w:color w:val="auto"/>
          <w:lang w:eastAsia="en-US"/>
        </w:rPr>
      </w:pPr>
    </w:p>
    <w:p w14:paraId="1DF5615F" w14:textId="77777777" w:rsidR="003D3E73" w:rsidRPr="00A315CB" w:rsidRDefault="000E67B9" w:rsidP="004C031F">
      <w:pPr>
        <w:pStyle w:val="Default"/>
        <w:spacing w:line="264" w:lineRule="auto"/>
        <w:jc w:val="both"/>
        <w:rPr>
          <w:rFonts w:asciiTheme="minorHAnsi" w:hAnsiTheme="minorHAnsi" w:cstheme="minorHAnsi"/>
          <w:color w:val="auto"/>
          <w:lang w:eastAsia="en-US"/>
        </w:rPr>
      </w:pPr>
      <w:r w:rsidRPr="00A315CB">
        <w:rPr>
          <w:rFonts w:asciiTheme="minorHAnsi" w:hAnsiTheme="minorHAnsi" w:cstheme="minorHAnsi"/>
          <w:color w:val="auto"/>
          <w:lang w:eastAsia="en-US"/>
        </w:rPr>
        <w:t xml:space="preserve">MSp je správcem níže uvedených programů reprodukce majetku: </w:t>
      </w:r>
    </w:p>
    <w:p w14:paraId="69A53082" w14:textId="77777777" w:rsidR="00A023F2" w:rsidRPr="00A315CB" w:rsidRDefault="00A023F2" w:rsidP="004C031F">
      <w:pPr>
        <w:pStyle w:val="Default"/>
        <w:spacing w:line="264" w:lineRule="auto"/>
        <w:jc w:val="both"/>
        <w:rPr>
          <w:rFonts w:asciiTheme="minorHAnsi" w:hAnsiTheme="minorHAnsi" w:cstheme="minorHAnsi"/>
          <w:color w:val="auto"/>
          <w:lang w:eastAsia="en-US"/>
        </w:rPr>
      </w:pPr>
    </w:p>
    <w:p w14:paraId="0142D182" w14:textId="77777777" w:rsidR="00E3650D" w:rsidRPr="00A315CB" w:rsidRDefault="00BF391A" w:rsidP="00F14641">
      <w:pPr>
        <w:pStyle w:val="Odstavecseseznamem"/>
        <w:numPr>
          <w:ilvl w:val="0"/>
          <w:numId w:val="11"/>
        </w:numPr>
        <w:spacing w:line="264" w:lineRule="auto"/>
        <w:ind w:left="284" w:hanging="284"/>
        <w:jc w:val="both"/>
        <w:rPr>
          <w:rFonts w:asciiTheme="minorHAnsi" w:hAnsiTheme="minorHAnsi" w:cstheme="minorHAnsi"/>
          <w:lang w:eastAsia="en-US"/>
        </w:rPr>
      </w:pPr>
      <w:r w:rsidRPr="00A315CB">
        <w:rPr>
          <w:rFonts w:asciiTheme="minorHAnsi" w:hAnsiTheme="minorHAnsi" w:cstheme="minorHAnsi"/>
          <w:lang w:eastAsia="en-US"/>
        </w:rPr>
        <w:t xml:space="preserve">Program </w:t>
      </w:r>
      <w:r w:rsidR="000E67B9" w:rsidRPr="00A315CB">
        <w:rPr>
          <w:rFonts w:asciiTheme="minorHAnsi" w:hAnsiTheme="minorHAnsi" w:cstheme="minorHAnsi"/>
          <w:lang w:eastAsia="en-US"/>
        </w:rPr>
        <w:t>č. 136</w:t>
      </w:r>
      <w:r w:rsidR="00DB2620" w:rsidRPr="00A315CB">
        <w:rPr>
          <w:rFonts w:asciiTheme="minorHAnsi" w:hAnsiTheme="minorHAnsi" w:cstheme="minorHAnsi"/>
          <w:lang w:eastAsia="en-US"/>
        </w:rPr>
        <w:t xml:space="preserve"> </w:t>
      </w:r>
      <w:r w:rsidR="000E67B9" w:rsidRPr="00A315CB">
        <w:rPr>
          <w:rFonts w:asciiTheme="minorHAnsi" w:hAnsiTheme="minorHAnsi" w:cstheme="minorHAnsi"/>
          <w:lang w:eastAsia="en-US"/>
        </w:rPr>
        <w:t>010</w:t>
      </w:r>
      <w:r w:rsidR="00B63F0D">
        <w:rPr>
          <w:rFonts w:asciiTheme="minorHAnsi" w:hAnsiTheme="minorHAnsi" w:cstheme="minorHAnsi"/>
          <w:lang w:eastAsia="en-US"/>
        </w:rPr>
        <w:t xml:space="preserve"> –</w:t>
      </w:r>
      <w:r w:rsidRPr="00A315CB">
        <w:rPr>
          <w:rFonts w:asciiTheme="minorHAnsi" w:hAnsiTheme="minorHAnsi" w:cstheme="minorHAnsi"/>
          <w:lang w:eastAsia="en-US"/>
        </w:rPr>
        <w:t xml:space="preserve"> </w:t>
      </w:r>
      <w:r w:rsidR="000E67B9" w:rsidRPr="00A315CB">
        <w:rPr>
          <w:rFonts w:asciiTheme="minorHAnsi" w:hAnsiTheme="minorHAnsi" w:cstheme="minorHAnsi"/>
          <w:i/>
          <w:lang w:eastAsia="en-US"/>
        </w:rPr>
        <w:t xml:space="preserve">Rozvoj a obnova materiálně technické základny systému řízení Ministerstva spravedlnosti </w:t>
      </w:r>
      <w:r w:rsidRPr="00A315CB">
        <w:rPr>
          <w:rFonts w:asciiTheme="minorHAnsi" w:hAnsiTheme="minorHAnsi" w:cstheme="minorHAnsi"/>
          <w:lang w:eastAsia="en-US"/>
        </w:rPr>
        <w:t xml:space="preserve">(dále také „program 136 010“) </w:t>
      </w:r>
      <w:r w:rsidR="00C65035" w:rsidRPr="00A315CB">
        <w:rPr>
          <w:rFonts w:asciiTheme="minorHAnsi" w:hAnsiTheme="minorHAnsi" w:cstheme="minorHAnsi"/>
          <w:lang w:eastAsia="en-US"/>
        </w:rPr>
        <w:t xml:space="preserve">měl být realizován </w:t>
      </w:r>
      <w:r w:rsidRPr="00A315CB">
        <w:rPr>
          <w:rFonts w:asciiTheme="minorHAnsi" w:hAnsiTheme="minorHAnsi" w:cstheme="minorHAnsi"/>
          <w:lang w:eastAsia="en-US"/>
        </w:rPr>
        <w:t>v</w:t>
      </w:r>
      <w:r w:rsidR="00DB2620" w:rsidRPr="00A315CB">
        <w:rPr>
          <w:rFonts w:asciiTheme="minorHAnsi" w:hAnsiTheme="minorHAnsi" w:cstheme="minorHAnsi"/>
          <w:lang w:eastAsia="en-US"/>
        </w:rPr>
        <w:t xml:space="preserve"> </w:t>
      </w:r>
      <w:r w:rsidRPr="00A315CB">
        <w:rPr>
          <w:rFonts w:asciiTheme="minorHAnsi" w:hAnsiTheme="minorHAnsi" w:cstheme="minorHAnsi"/>
          <w:lang w:eastAsia="en-US"/>
        </w:rPr>
        <w:t>letech 2008 až 2013 s</w:t>
      </w:r>
      <w:r w:rsidR="00DB2620" w:rsidRPr="00A315CB">
        <w:rPr>
          <w:rFonts w:asciiTheme="minorHAnsi" w:hAnsiTheme="minorHAnsi" w:cstheme="minorHAnsi"/>
          <w:lang w:eastAsia="en-US"/>
        </w:rPr>
        <w:t xml:space="preserve"> </w:t>
      </w:r>
      <w:r w:rsidRPr="00A315CB">
        <w:rPr>
          <w:rFonts w:asciiTheme="minorHAnsi" w:hAnsiTheme="minorHAnsi" w:cstheme="minorHAnsi"/>
          <w:lang w:eastAsia="en-US"/>
        </w:rPr>
        <w:t>celkovými výdaji 4</w:t>
      </w:r>
      <w:r w:rsidR="00DB2620" w:rsidRPr="00A315CB">
        <w:rPr>
          <w:rFonts w:asciiTheme="minorHAnsi" w:hAnsiTheme="minorHAnsi" w:cstheme="minorHAnsi"/>
          <w:lang w:eastAsia="en-US"/>
        </w:rPr>
        <w:t xml:space="preserve"> </w:t>
      </w:r>
      <w:r w:rsidRPr="00A315CB">
        <w:rPr>
          <w:rFonts w:asciiTheme="minorHAnsi" w:hAnsiTheme="minorHAnsi" w:cstheme="minorHAnsi"/>
          <w:lang w:eastAsia="en-US"/>
        </w:rPr>
        <w:t>938,564 mil. Kč.</w:t>
      </w:r>
      <w:r w:rsidR="00E3650D" w:rsidRPr="00A315CB">
        <w:rPr>
          <w:rFonts w:asciiTheme="minorHAnsi" w:hAnsiTheme="minorHAnsi" w:cstheme="minorHAnsi"/>
          <w:lang w:eastAsia="en-US"/>
        </w:rPr>
        <w:t xml:space="preserve"> V</w:t>
      </w:r>
      <w:r w:rsidR="00DB2620" w:rsidRPr="00A315CB">
        <w:rPr>
          <w:rFonts w:asciiTheme="minorHAnsi" w:hAnsiTheme="minorHAnsi" w:cstheme="minorHAnsi"/>
          <w:lang w:eastAsia="en-US"/>
        </w:rPr>
        <w:t xml:space="preserve"> </w:t>
      </w:r>
      <w:r w:rsidR="007D2606" w:rsidRPr="00A315CB">
        <w:rPr>
          <w:rFonts w:asciiTheme="minorHAnsi" w:hAnsiTheme="minorHAnsi" w:cstheme="minorHAnsi"/>
          <w:lang w:eastAsia="en-US"/>
        </w:rPr>
        <w:t xml:space="preserve">průběhu </w:t>
      </w:r>
      <w:r w:rsidR="00C65035" w:rsidRPr="00A315CB">
        <w:rPr>
          <w:rFonts w:asciiTheme="minorHAnsi" w:hAnsiTheme="minorHAnsi" w:cstheme="minorHAnsi"/>
          <w:lang w:eastAsia="en-US"/>
        </w:rPr>
        <w:t xml:space="preserve">jeho realizace </w:t>
      </w:r>
      <w:r w:rsidR="00E3650D" w:rsidRPr="00A315CB">
        <w:rPr>
          <w:rFonts w:asciiTheme="minorHAnsi" w:hAnsiTheme="minorHAnsi" w:cstheme="minorHAnsi"/>
          <w:lang w:eastAsia="en-US"/>
        </w:rPr>
        <w:t>došlo</w:t>
      </w:r>
      <w:r w:rsidR="007D2606" w:rsidRPr="00A315CB">
        <w:rPr>
          <w:rFonts w:asciiTheme="minorHAnsi" w:hAnsiTheme="minorHAnsi" w:cstheme="minorHAnsi"/>
          <w:lang w:eastAsia="en-US"/>
        </w:rPr>
        <w:t xml:space="preserve"> postupně</w:t>
      </w:r>
      <w:r w:rsidR="00E3650D" w:rsidRPr="00A315CB">
        <w:rPr>
          <w:rFonts w:asciiTheme="minorHAnsi" w:hAnsiTheme="minorHAnsi" w:cstheme="minorHAnsi"/>
          <w:lang w:eastAsia="en-US"/>
        </w:rPr>
        <w:t xml:space="preserve"> ke čtyřem změnám a</w:t>
      </w:r>
      <w:r w:rsidR="00DB2620" w:rsidRPr="00A315CB">
        <w:rPr>
          <w:rFonts w:asciiTheme="minorHAnsi" w:hAnsiTheme="minorHAnsi" w:cstheme="minorHAnsi"/>
          <w:lang w:eastAsia="en-US"/>
        </w:rPr>
        <w:t xml:space="preserve"> </w:t>
      </w:r>
      <w:r w:rsidR="00E3650D" w:rsidRPr="00A315CB">
        <w:rPr>
          <w:rFonts w:asciiTheme="minorHAnsi" w:hAnsiTheme="minorHAnsi" w:cstheme="minorHAnsi"/>
          <w:lang w:eastAsia="en-US"/>
        </w:rPr>
        <w:t>program byl pr</w:t>
      </w:r>
      <w:r w:rsidR="00CD1855" w:rsidRPr="00A315CB">
        <w:rPr>
          <w:rFonts w:asciiTheme="minorHAnsi" w:hAnsiTheme="minorHAnsi" w:cstheme="minorHAnsi"/>
          <w:lang w:eastAsia="en-US"/>
        </w:rPr>
        <w:t xml:space="preserve">odloužen </w:t>
      </w:r>
      <w:r w:rsidR="00E3650D" w:rsidRPr="00A315CB">
        <w:rPr>
          <w:rFonts w:asciiTheme="minorHAnsi" w:hAnsiTheme="minorHAnsi" w:cstheme="minorHAnsi"/>
          <w:lang w:eastAsia="en-US"/>
        </w:rPr>
        <w:t xml:space="preserve">do </w:t>
      </w:r>
      <w:r w:rsidR="00CD1855" w:rsidRPr="00A315CB">
        <w:rPr>
          <w:rFonts w:asciiTheme="minorHAnsi" w:hAnsiTheme="minorHAnsi" w:cstheme="minorHAnsi"/>
          <w:lang w:eastAsia="en-US"/>
        </w:rPr>
        <w:t xml:space="preserve">konce </w:t>
      </w:r>
      <w:r w:rsidR="00E3650D" w:rsidRPr="00A315CB">
        <w:rPr>
          <w:rFonts w:asciiTheme="minorHAnsi" w:hAnsiTheme="minorHAnsi" w:cstheme="minorHAnsi"/>
          <w:lang w:eastAsia="en-US"/>
        </w:rPr>
        <w:t xml:space="preserve">roku 2018. </w:t>
      </w:r>
      <w:r w:rsidR="007D2606" w:rsidRPr="00A315CB">
        <w:rPr>
          <w:rFonts w:asciiTheme="minorHAnsi" w:hAnsiTheme="minorHAnsi" w:cstheme="minorHAnsi"/>
          <w:lang w:eastAsia="en-US"/>
        </w:rPr>
        <w:t xml:space="preserve">Náplní programu </w:t>
      </w:r>
      <w:r w:rsidR="00A023F2" w:rsidRPr="00A315CB">
        <w:rPr>
          <w:rFonts w:asciiTheme="minorHAnsi" w:eastAsiaTheme="minorHAnsi" w:hAnsiTheme="minorHAnsi" w:cstheme="minorHAnsi"/>
        </w:rPr>
        <w:t>byl</w:t>
      </w:r>
      <w:r w:rsidR="007D2606" w:rsidRPr="00A315CB">
        <w:rPr>
          <w:rFonts w:asciiTheme="minorHAnsi" w:eastAsiaTheme="minorHAnsi" w:hAnsiTheme="minorHAnsi" w:cstheme="minorHAnsi"/>
        </w:rPr>
        <w:t xml:space="preserve">o </w:t>
      </w:r>
      <w:r w:rsidR="00A023F2" w:rsidRPr="00A315CB">
        <w:rPr>
          <w:rFonts w:asciiTheme="minorHAnsi" w:eastAsiaTheme="minorHAnsi" w:hAnsiTheme="minorHAnsi" w:cstheme="minorHAnsi"/>
        </w:rPr>
        <w:t xml:space="preserve">zabezpečení </w:t>
      </w:r>
      <w:r w:rsidR="00A023F2" w:rsidRPr="00A315CB">
        <w:rPr>
          <w:rFonts w:asciiTheme="minorHAnsi" w:hAnsiTheme="minorHAnsi" w:cstheme="minorHAnsi"/>
          <w:lang w:eastAsia="en-US"/>
        </w:rPr>
        <w:t>materiálně technických potřeb systému řízení MSp včetně přímo řízených specializovaných složek, jako jsou např. Justiční akademie či Probační a mediační služba. Součástí programu bylo i zajištění potřeb justiční části resortu v</w:t>
      </w:r>
      <w:r w:rsidR="00DB2620" w:rsidRPr="00A315CB">
        <w:rPr>
          <w:rFonts w:asciiTheme="minorHAnsi" w:hAnsiTheme="minorHAnsi" w:cstheme="minorHAnsi"/>
          <w:lang w:eastAsia="en-US"/>
        </w:rPr>
        <w:t xml:space="preserve"> </w:t>
      </w:r>
      <w:r w:rsidR="00A023F2" w:rsidRPr="00A315CB">
        <w:rPr>
          <w:rFonts w:asciiTheme="minorHAnsi" w:hAnsiTheme="minorHAnsi" w:cstheme="minorHAnsi"/>
          <w:lang w:eastAsia="en-US"/>
        </w:rPr>
        <w:t>oblasti informačních a</w:t>
      </w:r>
      <w:r w:rsidR="00DB2620" w:rsidRPr="00A315CB">
        <w:rPr>
          <w:rFonts w:asciiTheme="minorHAnsi" w:hAnsiTheme="minorHAnsi" w:cstheme="minorHAnsi"/>
          <w:lang w:eastAsia="en-US"/>
        </w:rPr>
        <w:t xml:space="preserve"> </w:t>
      </w:r>
      <w:r w:rsidR="00A023F2" w:rsidRPr="00A315CB">
        <w:rPr>
          <w:rFonts w:asciiTheme="minorHAnsi" w:hAnsiTheme="minorHAnsi" w:cstheme="minorHAnsi"/>
          <w:lang w:eastAsia="en-US"/>
        </w:rPr>
        <w:t xml:space="preserve">komunikačních technologií a bezpečnostních systémů objektů. </w:t>
      </w:r>
      <w:r w:rsidR="00E3650D" w:rsidRPr="00A315CB">
        <w:rPr>
          <w:rFonts w:asciiTheme="minorHAnsi" w:hAnsiTheme="minorHAnsi" w:cstheme="minorHAnsi"/>
          <w:lang w:eastAsia="en-US"/>
        </w:rPr>
        <w:t xml:space="preserve">Přehled </w:t>
      </w:r>
      <w:r w:rsidR="007D2606" w:rsidRPr="00A315CB">
        <w:rPr>
          <w:rFonts w:asciiTheme="minorHAnsi" w:hAnsiTheme="minorHAnsi" w:cstheme="minorHAnsi"/>
          <w:lang w:eastAsia="en-US"/>
        </w:rPr>
        <w:t>o</w:t>
      </w:r>
      <w:r w:rsidR="00DB2620" w:rsidRPr="00A315CB">
        <w:rPr>
          <w:rFonts w:asciiTheme="minorHAnsi" w:hAnsiTheme="minorHAnsi" w:cstheme="minorHAnsi"/>
          <w:lang w:eastAsia="en-US"/>
        </w:rPr>
        <w:t> </w:t>
      </w:r>
      <w:r w:rsidR="007D2606" w:rsidRPr="00A315CB">
        <w:rPr>
          <w:rFonts w:asciiTheme="minorHAnsi" w:hAnsiTheme="minorHAnsi" w:cstheme="minorHAnsi"/>
          <w:lang w:eastAsia="en-US"/>
        </w:rPr>
        <w:t>peněžních</w:t>
      </w:r>
      <w:r w:rsidR="00D00178" w:rsidRPr="00A315CB">
        <w:rPr>
          <w:rFonts w:asciiTheme="minorHAnsi" w:hAnsiTheme="minorHAnsi" w:cstheme="minorHAnsi"/>
          <w:lang w:eastAsia="en-US"/>
        </w:rPr>
        <w:t xml:space="preserve"> prostředcích stanovených</w:t>
      </w:r>
      <w:r w:rsidR="007D2606" w:rsidRPr="00A315CB">
        <w:rPr>
          <w:rFonts w:asciiTheme="minorHAnsi" w:hAnsiTheme="minorHAnsi" w:cstheme="minorHAnsi"/>
          <w:lang w:eastAsia="en-US"/>
        </w:rPr>
        <w:t xml:space="preserve"> v</w:t>
      </w:r>
      <w:r w:rsidR="00DB2620" w:rsidRPr="00A315CB">
        <w:rPr>
          <w:rFonts w:asciiTheme="minorHAnsi" w:hAnsiTheme="minorHAnsi" w:cstheme="minorHAnsi"/>
          <w:lang w:eastAsia="en-US"/>
        </w:rPr>
        <w:t xml:space="preserve"> </w:t>
      </w:r>
      <w:r w:rsidR="007D2606" w:rsidRPr="00A315CB">
        <w:rPr>
          <w:rFonts w:asciiTheme="minorHAnsi" w:hAnsiTheme="minorHAnsi" w:cstheme="minorHAnsi"/>
          <w:lang w:eastAsia="en-US"/>
        </w:rPr>
        <w:t>dokumentaci programu a její</w:t>
      </w:r>
      <w:r w:rsidR="00D00178" w:rsidRPr="00A315CB">
        <w:rPr>
          <w:rFonts w:asciiTheme="minorHAnsi" w:hAnsiTheme="minorHAnsi" w:cstheme="minorHAnsi"/>
          <w:lang w:eastAsia="en-US"/>
        </w:rPr>
        <w:t>ch</w:t>
      </w:r>
      <w:r w:rsidR="00C65035" w:rsidRPr="00A315CB">
        <w:rPr>
          <w:rFonts w:asciiTheme="minorHAnsi" w:hAnsiTheme="minorHAnsi" w:cstheme="minorHAnsi"/>
          <w:lang w:eastAsia="en-US"/>
        </w:rPr>
        <w:t xml:space="preserve"> změnách, rozpočtu a</w:t>
      </w:r>
      <w:r w:rsidR="00DB2620" w:rsidRPr="00A315CB">
        <w:rPr>
          <w:rFonts w:asciiTheme="minorHAnsi" w:hAnsiTheme="minorHAnsi" w:cstheme="minorHAnsi"/>
          <w:lang w:eastAsia="en-US"/>
        </w:rPr>
        <w:t xml:space="preserve"> </w:t>
      </w:r>
      <w:r w:rsidR="00C65035" w:rsidRPr="00A315CB">
        <w:rPr>
          <w:rFonts w:asciiTheme="minorHAnsi" w:hAnsiTheme="minorHAnsi" w:cstheme="minorHAnsi"/>
          <w:lang w:eastAsia="en-US"/>
        </w:rPr>
        <w:t xml:space="preserve">skutečném </w:t>
      </w:r>
      <w:r w:rsidR="00E3650D" w:rsidRPr="00A315CB">
        <w:rPr>
          <w:rFonts w:asciiTheme="minorHAnsi" w:hAnsiTheme="minorHAnsi" w:cstheme="minorHAnsi"/>
          <w:lang w:eastAsia="en-US"/>
        </w:rPr>
        <w:t>č</w:t>
      </w:r>
      <w:r w:rsidR="00D00178" w:rsidRPr="00A315CB">
        <w:rPr>
          <w:rFonts w:asciiTheme="minorHAnsi" w:hAnsiTheme="minorHAnsi" w:cstheme="minorHAnsi"/>
          <w:lang w:eastAsia="en-US"/>
        </w:rPr>
        <w:t>erpání je uveden v</w:t>
      </w:r>
      <w:r w:rsidR="00DB2620" w:rsidRPr="00A315CB">
        <w:rPr>
          <w:rFonts w:asciiTheme="minorHAnsi" w:hAnsiTheme="minorHAnsi" w:cstheme="minorHAnsi"/>
          <w:lang w:eastAsia="en-US"/>
        </w:rPr>
        <w:t xml:space="preserve"> </w:t>
      </w:r>
      <w:r w:rsidR="00D00178" w:rsidRPr="00A315CB">
        <w:rPr>
          <w:rFonts w:asciiTheme="minorHAnsi" w:hAnsiTheme="minorHAnsi" w:cstheme="minorHAnsi"/>
          <w:lang w:eastAsia="en-US"/>
        </w:rPr>
        <w:t>tabulce č. 1.</w:t>
      </w:r>
      <w:r w:rsidR="00E3650D" w:rsidRPr="00A315CB">
        <w:rPr>
          <w:rFonts w:asciiTheme="minorHAnsi" w:hAnsiTheme="minorHAnsi" w:cstheme="minorHAnsi"/>
          <w:lang w:eastAsia="en-US"/>
        </w:rPr>
        <w:t xml:space="preserve"> </w:t>
      </w:r>
    </w:p>
    <w:p w14:paraId="7B6C1960" w14:textId="77777777" w:rsidR="00DB2620" w:rsidRPr="00A315CB" w:rsidRDefault="00DB2620">
      <w:pPr>
        <w:rPr>
          <w:rFonts w:asciiTheme="minorHAnsi" w:hAnsiTheme="minorHAnsi" w:cstheme="minorHAnsi"/>
        </w:rPr>
      </w:pPr>
      <w:r w:rsidRPr="00A315CB">
        <w:rPr>
          <w:rFonts w:asciiTheme="minorHAnsi" w:hAnsiTheme="minorHAnsi" w:cstheme="minorHAnsi"/>
        </w:rPr>
        <w:br w:type="page"/>
      </w:r>
    </w:p>
    <w:p w14:paraId="7D167E12" w14:textId="6A66379F" w:rsidR="00E3650D" w:rsidRPr="00A315CB" w:rsidRDefault="00E3650D" w:rsidP="00F14641">
      <w:pPr>
        <w:tabs>
          <w:tab w:val="right" w:pos="9072"/>
        </w:tabs>
        <w:spacing w:after="40"/>
        <w:jc w:val="both"/>
        <w:rPr>
          <w:rFonts w:asciiTheme="minorHAnsi" w:hAnsiTheme="minorHAnsi" w:cstheme="minorHAnsi"/>
          <w:bCs/>
        </w:rPr>
      </w:pPr>
      <w:r w:rsidRPr="00A315CB">
        <w:rPr>
          <w:rFonts w:asciiTheme="minorHAnsi" w:hAnsiTheme="minorHAnsi" w:cstheme="minorHAnsi"/>
          <w:b/>
          <w:bCs/>
        </w:rPr>
        <w:lastRenderedPageBreak/>
        <w:t xml:space="preserve">Tabulka </w:t>
      </w:r>
      <w:r w:rsidR="007B30A1" w:rsidRPr="00A315CB">
        <w:rPr>
          <w:rFonts w:asciiTheme="minorHAnsi" w:hAnsiTheme="minorHAnsi" w:cstheme="minorHAnsi"/>
          <w:b/>
          <w:bCs/>
        </w:rPr>
        <w:t>č</w:t>
      </w:r>
      <w:r w:rsidR="00D00178" w:rsidRPr="00A315CB">
        <w:rPr>
          <w:rFonts w:asciiTheme="minorHAnsi" w:hAnsiTheme="minorHAnsi" w:cstheme="minorHAnsi"/>
          <w:b/>
          <w:bCs/>
        </w:rPr>
        <w:t xml:space="preserve">. 1 – </w:t>
      </w:r>
      <w:r w:rsidR="0050134C">
        <w:rPr>
          <w:rFonts w:asciiTheme="minorHAnsi" w:hAnsiTheme="minorHAnsi" w:cstheme="minorHAnsi"/>
          <w:b/>
          <w:bCs/>
        </w:rPr>
        <w:t>P</w:t>
      </w:r>
      <w:r w:rsidRPr="00A315CB">
        <w:rPr>
          <w:rFonts w:asciiTheme="minorHAnsi" w:hAnsiTheme="minorHAnsi" w:cstheme="minorHAnsi"/>
          <w:b/>
          <w:bCs/>
        </w:rPr>
        <w:t>rogram 136</w:t>
      </w:r>
      <w:r w:rsidR="00DB2620" w:rsidRPr="00A315CB">
        <w:rPr>
          <w:rFonts w:asciiTheme="minorHAnsi" w:hAnsiTheme="minorHAnsi" w:cstheme="minorHAnsi"/>
          <w:b/>
          <w:bCs/>
        </w:rPr>
        <w:t xml:space="preserve"> </w:t>
      </w:r>
      <w:r w:rsidRPr="00A315CB">
        <w:rPr>
          <w:rFonts w:asciiTheme="minorHAnsi" w:hAnsiTheme="minorHAnsi" w:cstheme="minorHAnsi"/>
          <w:b/>
          <w:bCs/>
        </w:rPr>
        <w:t>010</w:t>
      </w:r>
      <w:r w:rsidR="00DB2620" w:rsidRPr="00A315CB">
        <w:rPr>
          <w:rFonts w:asciiTheme="minorHAnsi" w:hAnsiTheme="minorHAnsi" w:cstheme="minorHAnsi"/>
          <w:b/>
          <w:bCs/>
        </w:rPr>
        <w:tab/>
      </w:r>
      <w:r w:rsidR="00A600C4" w:rsidRPr="004D0310">
        <w:rPr>
          <w:rFonts w:asciiTheme="minorHAnsi" w:hAnsiTheme="minorHAnsi" w:cstheme="minorHAnsi"/>
          <w:b/>
          <w:bCs/>
        </w:rPr>
        <w:t>(</w:t>
      </w:r>
      <w:r w:rsidR="00A600C4" w:rsidRPr="00A315CB">
        <w:rPr>
          <w:rFonts w:asciiTheme="minorHAnsi" w:hAnsiTheme="minorHAnsi" w:cstheme="minorHAnsi"/>
          <w:b/>
          <w:bCs/>
        </w:rPr>
        <w:t xml:space="preserve">v </w:t>
      </w:r>
      <w:r w:rsidR="00CD1855" w:rsidRPr="00A315CB">
        <w:rPr>
          <w:rFonts w:asciiTheme="minorHAnsi" w:hAnsiTheme="minorHAnsi" w:cstheme="minorHAnsi"/>
          <w:b/>
          <w:bCs/>
        </w:rPr>
        <w:t>mil. Kč</w:t>
      </w:r>
      <w:r w:rsidR="00A600C4" w:rsidRPr="00A315CB">
        <w:rPr>
          <w:rFonts w:asciiTheme="minorHAnsi" w:hAnsiTheme="minorHAnsi" w:cstheme="minorHAnsi"/>
          <w:b/>
          <w:bCs/>
        </w:rPr>
        <w:t>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882"/>
        <w:gridCol w:w="672"/>
        <w:gridCol w:w="672"/>
        <w:gridCol w:w="672"/>
        <w:gridCol w:w="672"/>
        <w:gridCol w:w="672"/>
        <w:gridCol w:w="831"/>
        <w:gridCol w:w="832"/>
      </w:tblGrid>
      <w:tr w:rsidR="00E3650D" w:rsidRPr="00F14641" w14:paraId="25330B05" w14:textId="77777777" w:rsidTr="00DB2620">
        <w:trPr>
          <w:trHeight w:val="283"/>
          <w:jc w:val="center"/>
        </w:trPr>
        <w:tc>
          <w:tcPr>
            <w:tcW w:w="30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62EF6A34" w14:textId="6E70B1BD" w:rsidR="00E3650D" w:rsidRPr="00F14641" w:rsidRDefault="00E3650D" w:rsidP="003D3E7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15CA3BDD" w14:textId="77777777" w:rsidR="00E3650D" w:rsidRPr="00F14641" w:rsidRDefault="000F4A05" w:rsidP="003D3E7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14641"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 w:rsidR="00E3650D" w:rsidRPr="00F14641"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Pr="00F14641">
              <w:rPr>
                <w:rFonts w:ascii="Calibri" w:hAnsi="Calibri" w:cs="Calibri"/>
                <w:b/>
                <w:sz w:val="20"/>
                <w:szCs w:val="20"/>
              </w:rPr>
              <w:t xml:space="preserve"> 2010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0A674124" w14:textId="77777777" w:rsidR="00E3650D" w:rsidRPr="00F14641" w:rsidRDefault="000F4A05" w:rsidP="003D3E7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14641">
              <w:rPr>
                <w:rFonts w:ascii="Calibri" w:hAnsi="Calibri" w:cs="Calibri"/>
                <w:b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363AA9DE" w14:textId="77777777" w:rsidR="00E3650D" w:rsidRPr="00F14641" w:rsidRDefault="000F4A05" w:rsidP="003D3E7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14641">
              <w:rPr>
                <w:rFonts w:ascii="Calibri" w:hAnsi="Calibri" w:cs="Calibri"/>
                <w:b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03936E70" w14:textId="77777777" w:rsidR="00E3650D" w:rsidRPr="00F14641" w:rsidRDefault="000F4A05" w:rsidP="003D3E7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14641">
              <w:rPr>
                <w:rFonts w:ascii="Calibri" w:hAnsi="Calibri" w:cs="Calibri"/>
                <w:b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4A00686C" w14:textId="77777777" w:rsidR="00E3650D" w:rsidRPr="00F14641" w:rsidRDefault="000F4A05" w:rsidP="003D3E7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14641">
              <w:rPr>
                <w:rFonts w:ascii="Calibri" w:hAnsi="Calibri" w:cs="Calibri"/>
                <w:b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0CB2D7BF" w14:textId="77777777" w:rsidR="00E3650D" w:rsidRPr="00F14641" w:rsidRDefault="000F4A05" w:rsidP="003D3E73">
            <w:pPr>
              <w:ind w:right="-10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14641">
              <w:rPr>
                <w:rFonts w:ascii="Calibri" w:hAnsi="Calibri" w:cs="Calibri"/>
                <w:b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440B6C10" w14:textId="745F9DD6" w:rsidR="00E3650D" w:rsidRPr="00F14641" w:rsidRDefault="000F4A05" w:rsidP="000F6B2D">
            <w:pPr>
              <w:ind w:right="-9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14641">
              <w:rPr>
                <w:rFonts w:ascii="Calibri" w:hAnsi="Calibri" w:cs="Calibri"/>
                <w:b/>
                <w:sz w:val="20"/>
                <w:szCs w:val="20"/>
              </w:rPr>
              <w:t>2016</w:t>
            </w:r>
            <w:r w:rsidR="000F6B2D">
              <w:rPr>
                <w:rFonts w:ascii="Calibri" w:hAnsi="Calibri" w:cs="Calibri"/>
                <w:b/>
                <w:sz w:val="20"/>
                <w:szCs w:val="20"/>
              </w:rPr>
              <w:t>–</w:t>
            </w:r>
            <w:r w:rsidR="00E3650D" w:rsidRPr="00F14641">
              <w:rPr>
                <w:rFonts w:ascii="Calibri" w:hAnsi="Calibri" w:cs="Calibri"/>
                <w:b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53D8C11" w14:textId="77777777" w:rsidR="00E3650D" w:rsidRPr="00F14641" w:rsidRDefault="00E3650D" w:rsidP="003D3E7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14641">
              <w:rPr>
                <w:rFonts w:ascii="Calibri" w:hAnsi="Calibri" w:cs="Calibri"/>
                <w:b/>
                <w:sz w:val="20"/>
                <w:szCs w:val="20"/>
              </w:rPr>
              <w:t>Celkem</w:t>
            </w:r>
          </w:p>
        </w:tc>
      </w:tr>
      <w:tr w:rsidR="00E3650D" w:rsidRPr="00F14641" w14:paraId="6F79F7F7" w14:textId="77777777" w:rsidTr="00F14641">
        <w:trPr>
          <w:trHeight w:val="283"/>
          <w:jc w:val="center"/>
        </w:trPr>
        <w:tc>
          <w:tcPr>
            <w:tcW w:w="3090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23A840D" w14:textId="13371674" w:rsidR="00E3650D" w:rsidRPr="00F14641" w:rsidRDefault="0050134C" w:rsidP="003D3E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="00E3650D" w:rsidRPr="00F14641">
              <w:rPr>
                <w:rFonts w:ascii="Calibri" w:hAnsi="Calibri" w:cs="Calibri"/>
                <w:sz w:val="20"/>
                <w:szCs w:val="20"/>
              </w:rPr>
              <w:t xml:space="preserve">okumentace </w:t>
            </w:r>
            <w:r w:rsidR="000F4A05" w:rsidRPr="00F14641">
              <w:rPr>
                <w:rFonts w:ascii="Calibri" w:hAnsi="Calibri" w:cs="Calibri"/>
                <w:sz w:val="20"/>
                <w:szCs w:val="20"/>
              </w:rPr>
              <w:t>(leden 2008)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09E8BA45" w14:textId="43650F6C" w:rsidR="00E3650D" w:rsidRPr="00F14641" w:rsidRDefault="00C65035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2</w:t>
            </w:r>
            <w:r w:rsidR="00DB2620" w:rsidRPr="00F1464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14641">
              <w:rPr>
                <w:rFonts w:ascii="Calibri" w:hAnsi="Calibri" w:cs="Calibri"/>
                <w:sz w:val="20"/>
                <w:szCs w:val="20"/>
              </w:rPr>
              <w:t>489,6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403EB0D9" w14:textId="77777777" w:rsidR="00E3650D" w:rsidRPr="00F14641" w:rsidRDefault="00A744A3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816,3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40134F1F" w14:textId="77777777" w:rsidR="00E3650D" w:rsidRPr="00F14641" w:rsidRDefault="000F4A05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816,4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3FCF2D61" w14:textId="77777777" w:rsidR="00E3650D" w:rsidRPr="00F14641" w:rsidRDefault="000F4A05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816,3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A0CC945" w14:textId="77777777" w:rsidR="00E3650D" w:rsidRPr="00F14641" w:rsidRDefault="00E3650D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0</w:t>
            </w:r>
            <w:r w:rsidR="0050134C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792062E" w14:textId="77777777" w:rsidR="00E3650D" w:rsidRPr="00F14641" w:rsidRDefault="00E3650D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0</w:t>
            </w:r>
            <w:r w:rsidR="0050134C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803C956" w14:textId="77777777" w:rsidR="00E3650D" w:rsidRPr="00F14641" w:rsidRDefault="00E3650D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0</w:t>
            </w:r>
            <w:r w:rsidR="0050134C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4FABAE" w14:textId="77777777" w:rsidR="00E3650D" w:rsidRPr="00F14641" w:rsidRDefault="007C5E89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 xml:space="preserve">4 </w:t>
            </w:r>
            <w:r w:rsidR="00A744A3" w:rsidRPr="00F14641">
              <w:rPr>
                <w:rFonts w:ascii="Calibri" w:hAnsi="Calibri" w:cs="Calibri"/>
                <w:sz w:val="20"/>
                <w:szCs w:val="20"/>
              </w:rPr>
              <w:t>938,6</w:t>
            </w:r>
          </w:p>
        </w:tc>
      </w:tr>
      <w:tr w:rsidR="007C5E89" w:rsidRPr="00F14641" w14:paraId="51397406" w14:textId="77777777" w:rsidTr="00F14641">
        <w:trPr>
          <w:trHeight w:val="283"/>
          <w:jc w:val="center"/>
        </w:trPr>
        <w:tc>
          <w:tcPr>
            <w:tcW w:w="30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2AC30E" w14:textId="77777777" w:rsidR="007C5E89" w:rsidRPr="00F14641" w:rsidRDefault="007C5E89" w:rsidP="003D3E73">
            <w:pPr>
              <w:pStyle w:val="Odstavecseseznamem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1. změna (duben 2008)</w:t>
            </w:r>
          </w:p>
        </w:tc>
        <w:tc>
          <w:tcPr>
            <w:tcW w:w="0" w:type="auto"/>
            <w:vAlign w:val="center"/>
          </w:tcPr>
          <w:p w14:paraId="4489C188" w14:textId="77777777" w:rsidR="007C5E89" w:rsidRPr="00F14641" w:rsidRDefault="00C65035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2</w:t>
            </w:r>
            <w:r w:rsidR="00DB2620" w:rsidRPr="00F1464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14641">
              <w:rPr>
                <w:rFonts w:ascii="Calibri" w:hAnsi="Calibri" w:cs="Calibri"/>
                <w:sz w:val="20"/>
                <w:szCs w:val="20"/>
              </w:rPr>
              <w:t>439,6</w:t>
            </w:r>
          </w:p>
        </w:tc>
        <w:tc>
          <w:tcPr>
            <w:tcW w:w="0" w:type="auto"/>
            <w:vAlign w:val="center"/>
          </w:tcPr>
          <w:p w14:paraId="73D26940" w14:textId="77777777" w:rsidR="007C5E89" w:rsidRPr="00F14641" w:rsidRDefault="000F4A05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816,3</w:t>
            </w:r>
          </w:p>
        </w:tc>
        <w:tc>
          <w:tcPr>
            <w:tcW w:w="0" w:type="auto"/>
            <w:vAlign w:val="center"/>
          </w:tcPr>
          <w:p w14:paraId="6A1CBD33" w14:textId="77777777" w:rsidR="007C5E89" w:rsidRPr="00F14641" w:rsidRDefault="000F4A05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816,4</w:t>
            </w:r>
          </w:p>
        </w:tc>
        <w:tc>
          <w:tcPr>
            <w:tcW w:w="0" w:type="auto"/>
            <w:vAlign w:val="center"/>
          </w:tcPr>
          <w:p w14:paraId="6B933E98" w14:textId="77777777" w:rsidR="007C5E89" w:rsidRPr="00F14641" w:rsidRDefault="000F4A05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816,3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D52ABC" w14:textId="77777777" w:rsidR="007C5E89" w:rsidRPr="00F14641" w:rsidRDefault="007C5E89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0</w:t>
            </w:r>
            <w:r w:rsidR="0050134C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D515C9" w14:textId="77777777" w:rsidR="007C5E89" w:rsidRPr="00F14641" w:rsidRDefault="007C5E89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0</w:t>
            </w:r>
            <w:r w:rsidR="0050134C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B18F4B" w14:textId="77777777" w:rsidR="007C5E89" w:rsidRPr="00F14641" w:rsidRDefault="007C5E89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0</w:t>
            </w:r>
            <w:r w:rsidR="0050134C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D310D5" w14:textId="77777777" w:rsidR="007C5E89" w:rsidRPr="00F14641" w:rsidRDefault="007C5E89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4</w:t>
            </w:r>
            <w:r w:rsidR="00DB2620" w:rsidRPr="00F1464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14641">
              <w:rPr>
                <w:rFonts w:ascii="Calibri" w:hAnsi="Calibri" w:cs="Calibri"/>
                <w:sz w:val="20"/>
                <w:szCs w:val="20"/>
              </w:rPr>
              <w:t>888,6</w:t>
            </w:r>
          </w:p>
        </w:tc>
      </w:tr>
      <w:tr w:rsidR="00E3650D" w:rsidRPr="00F14641" w14:paraId="214AA116" w14:textId="77777777" w:rsidTr="00F14641">
        <w:trPr>
          <w:trHeight w:val="283"/>
          <w:jc w:val="center"/>
        </w:trPr>
        <w:tc>
          <w:tcPr>
            <w:tcW w:w="30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24F04F" w14:textId="77777777" w:rsidR="00E3650D" w:rsidRPr="00F14641" w:rsidRDefault="007C5E89" w:rsidP="003D3E73">
            <w:pPr>
              <w:pStyle w:val="Odstavecseseznamem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2</w:t>
            </w:r>
            <w:r w:rsidR="00A744A3" w:rsidRPr="00F14641">
              <w:rPr>
                <w:rFonts w:ascii="Calibri" w:hAnsi="Calibri" w:cs="Calibri"/>
                <w:sz w:val="20"/>
                <w:szCs w:val="20"/>
              </w:rPr>
              <w:t>. změna</w:t>
            </w:r>
            <w:r w:rsidRPr="00F14641">
              <w:rPr>
                <w:rFonts w:ascii="Calibri" w:hAnsi="Calibri" w:cs="Calibri"/>
                <w:sz w:val="20"/>
                <w:szCs w:val="20"/>
              </w:rPr>
              <w:t xml:space="preserve"> (říjen</w:t>
            </w:r>
            <w:r w:rsidR="00A744A3" w:rsidRPr="00F14641">
              <w:rPr>
                <w:rFonts w:ascii="Calibri" w:hAnsi="Calibri" w:cs="Calibri"/>
                <w:sz w:val="20"/>
                <w:szCs w:val="20"/>
              </w:rPr>
              <w:t xml:space="preserve"> 2008) </w:t>
            </w:r>
          </w:p>
        </w:tc>
        <w:tc>
          <w:tcPr>
            <w:tcW w:w="0" w:type="auto"/>
            <w:vAlign w:val="center"/>
          </w:tcPr>
          <w:p w14:paraId="3823D048" w14:textId="77777777" w:rsidR="00E3650D" w:rsidRPr="00F14641" w:rsidRDefault="00C65035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1</w:t>
            </w:r>
            <w:r w:rsidR="00DB2620" w:rsidRPr="00F1464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14641">
              <w:rPr>
                <w:rFonts w:ascii="Calibri" w:hAnsi="Calibri" w:cs="Calibri"/>
                <w:sz w:val="20"/>
                <w:szCs w:val="20"/>
              </w:rPr>
              <w:t>972,9</w:t>
            </w:r>
          </w:p>
        </w:tc>
        <w:tc>
          <w:tcPr>
            <w:tcW w:w="0" w:type="auto"/>
            <w:vAlign w:val="center"/>
          </w:tcPr>
          <w:p w14:paraId="50FA1BDE" w14:textId="77777777" w:rsidR="00E3650D" w:rsidRPr="00F14641" w:rsidRDefault="000F4A05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711,3</w:t>
            </w:r>
          </w:p>
        </w:tc>
        <w:tc>
          <w:tcPr>
            <w:tcW w:w="0" w:type="auto"/>
            <w:vAlign w:val="center"/>
          </w:tcPr>
          <w:p w14:paraId="260BF8F4" w14:textId="77777777" w:rsidR="00E3650D" w:rsidRPr="00F14641" w:rsidRDefault="000F4A05" w:rsidP="00F14641">
            <w:pPr>
              <w:jc w:val="right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711,4</w:t>
            </w:r>
          </w:p>
        </w:tc>
        <w:tc>
          <w:tcPr>
            <w:tcW w:w="0" w:type="auto"/>
            <w:vAlign w:val="center"/>
          </w:tcPr>
          <w:p w14:paraId="345A724C" w14:textId="77777777" w:rsidR="00E3650D" w:rsidRPr="00F14641" w:rsidRDefault="000F4A05" w:rsidP="00F14641">
            <w:pPr>
              <w:jc w:val="right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711,3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DF964B" w14:textId="77777777" w:rsidR="00E3650D" w:rsidRPr="00F14641" w:rsidRDefault="00A744A3" w:rsidP="00F14641">
            <w:pPr>
              <w:jc w:val="right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0</w:t>
            </w:r>
            <w:r w:rsidR="0050134C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957610" w14:textId="77777777" w:rsidR="00E3650D" w:rsidRPr="00F14641" w:rsidRDefault="00E3650D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0</w:t>
            </w:r>
            <w:r w:rsidR="0050134C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DF3435" w14:textId="77777777" w:rsidR="00E3650D" w:rsidRPr="00F14641" w:rsidRDefault="00E3650D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0</w:t>
            </w:r>
            <w:r w:rsidR="0050134C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E29A6A" w14:textId="77777777" w:rsidR="00E3650D" w:rsidRPr="00F14641" w:rsidRDefault="004D7973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4</w:t>
            </w:r>
            <w:r w:rsidR="00DB2620" w:rsidRPr="00F1464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14641">
              <w:rPr>
                <w:rFonts w:ascii="Calibri" w:hAnsi="Calibri" w:cs="Calibri"/>
                <w:sz w:val="20"/>
                <w:szCs w:val="20"/>
              </w:rPr>
              <w:t>106,9</w:t>
            </w:r>
          </w:p>
        </w:tc>
      </w:tr>
      <w:tr w:rsidR="00E3650D" w:rsidRPr="00F14641" w14:paraId="03A05253" w14:textId="77777777" w:rsidTr="00F14641">
        <w:trPr>
          <w:trHeight w:val="283"/>
          <w:jc w:val="center"/>
        </w:trPr>
        <w:tc>
          <w:tcPr>
            <w:tcW w:w="30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1294E5" w14:textId="77777777" w:rsidR="00E3650D" w:rsidRPr="00F14641" w:rsidRDefault="004D7973" w:rsidP="003D3E73">
            <w:pPr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3</w:t>
            </w:r>
            <w:r w:rsidR="00A744A3" w:rsidRPr="00F14641">
              <w:rPr>
                <w:rFonts w:ascii="Calibri" w:hAnsi="Calibri" w:cs="Calibri"/>
                <w:sz w:val="20"/>
                <w:szCs w:val="20"/>
              </w:rPr>
              <w:t>.</w:t>
            </w:r>
            <w:r w:rsidRPr="00F14641">
              <w:rPr>
                <w:rFonts w:ascii="Calibri" w:hAnsi="Calibri" w:cs="Calibri"/>
                <w:sz w:val="20"/>
                <w:szCs w:val="20"/>
              </w:rPr>
              <w:t xml:space="preserve"> změna (duben</w:t>
            </w:r>
            <w:r w:rsidR="00A744A3" w:rsidRPr="00F1464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14641">
              <w:rPr>
                <w:rFonts w:ascii="Calibri" w:hAnsi="Calibri" w:cs="Calibri"/>
                <w:sz w:val="20"/>
                <w:szCs w:val="20"/>
              </w:rPr>
              <w:t>2013</w:t>
            </w:r>
            <w:r w:rsidR="007C5E89" w:rsidRPr="00F14641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2EE6EF1B" w14:textId="77777777" w:rsidR="00E3650D" w:rsidRPr="00F14641" w:rsidRDefault="000F4A05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639,0</w:t>
            </w:r>
          </w:p>
        </w:tc>
        <w:tc>
          <w:tcPr>
            <w:tcW w:w="0" w:type="auto"/>
            <w:vAlign w:val="center"/>
          </w:tcPr>
          <w:p w14:paraId="6C6FB772" w14:textId="77777777" w:rsidR="00E3650D" w:rsidRPr="00F14641" w:rsidRDefault="000F4A05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161,1</w:t>
            </w:r>
          </w:p>
        </w:tc>
        <w:tc>
          <w:tcPr>
            <w:tcW w:w="0" w:type="auto"/>
            <w:vAlign w:val="center"/>
          </w:tcPr>
          <w:p w14:paraId="14DD8C0C" w14:textId="77777777" w:rsidR="000F4A05" w:rsidRPr="00F14641" w:rsidRDefault="000F4A05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794,0</w:t>
            </w:r>
          </w:p>
        </w:tc>
        <w:tc>
          <w:tcPr>
            <w:tcW w:w="0" w:type="auto"/>
            <w:vAlign w:val="center"/>
          </w:tcPr>
          <w:p w14:paraId="1252771D" w14:textId="77777777" w:rsidR="00E3650D" w:rsidRPr="00F14641" w:rsidRDefault="000F4A05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279,7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B04358" w14:textId="77777777" w:rsidR="00E3650D" w:rsidRPr="00F14641" w:rsidRDefault="000F4A05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132,3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14361A" w14:textId="77777777" w:rsidR="00E3650D" w:rsidRPr="00F14641" w:rsidRDefault="000F4A05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131,6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6C4096" w14:textId="77777777" w:rsidR="00E3650D" w:rsidRPr="00F14641" w:rsidRDefault="004D7973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0</w:t>
            </w:r>
            <w:r w:rsidR="0050134C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F6A839" w14:textId="77777777" w:rsidR="00E3650D" w:rsidRPr="00F14641" w:rsidRDefault="004D7973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2</w:t>
            </w:r>
            <w:r w:rsidR="00DB2620" w:rsidRPr="00F1464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14641">
              <w:rPr>
                <w:rFonts w:ascii="Calibri" w:hAnsi="Calibri" w:cs="Calibri"/>
                <w:sz w:val="20"/>
                <w:szCs w:val="20"/>
              </w:rPr>
              <w:t>137,7</w:t>
            </w:r>
          </w:p>
        </w:tc>
      </w:tr>
      <w:tr w:rsidR="00E3650D" w:rsidRPr="00F14641" w14:paraId="0F65041D" w14:textId="77777777" w:rsidTr="00F14641">
        <w:trPr>
          <w:trHeight w:val="283"/>
          <w:jc w:val="center"/>
        </w:trPr>
        <w:tc>
          <w:tcPr>
            <w:tcW w:w="30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82F5CC" w14:textId="77777777" w:rsidR="00E3650D" w:rsidRPr="00F14641" w:rsidRDefault="004D7973" w:rsidP="003D3E73">
            <w:pPr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4. změna (červen 2015)</w:t>
            </w:r>
          </w:p>
        </w:tc>
        <w:tc>
          <w:tcPr>
            <w:tcW w:w="0" w:type="auto"/>
            <w:vAlign w:val="center"/>
          </w:tcPr>
          <w:p w14:paraId="131C5D11" w14:textId="77777777" w:rsidR="00E3650D" w:rsidRPr="00F14641" w:rsidRDefault="000F4A05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639,0</w:t>
            </w:r>
          </w:p>
        </w:tc>
        <w:tc>
          <w:tcPr>
            <w:tcW w:w="0" w:type="auto"/>
            <w:vAlign w:val="center"/>
          </w:tcPr>
          <w:p w14:paraId="422B135E" w14:textId="77777777" w:rsidR="00E3650D" w:rsidRPr="00F14641" w:rsidRDefault="000F4A05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161,1</w:t>
            </w:r>
          </w:p>
        </w:tc>
        <w:tc>
          <w:tcPr>
            <w:tcW w:w="0" w:type="auto"/>
            <w:vAlign w:val="center"/>
          </w:tcPr>
          <w:p w14:paraId="0992CDDA" w14:textId="77777777" w:rsidR="00E3650D" w:rsidRPr="00F14641" w:rsidRDefault="00C65035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222,1</w:t>
            </w:r>
          </w:p>
        </w:tc>
        <w:tc>
          <w:tcPr>
            <w:tcW w:w="0" w:type="auto"/>
            <w:vAlign w:val="center"/>
          </w:tcPr>
          <w:p w14:paraId="5FEFC95C" w14:textId="77777777" w:rsidR="00E3650D" w:rsidRPr="00F14641" w:rsidRDefault="000F4A05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154,2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0CABDC" w14:textId="77777777" w:rsidR="00E3650D" w:rsidRPr="00F14641" w:rsidRDefault="000F4A05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148,4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29DDCE" w14:textId="77777777" w:rsidR="00E3650D" w:rsidRPr="00F14641" w:rsidRDefault="000F4A05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737</w:t>
            </w:r>
            <w:r w:rsidR="007B30A1" w:rsidRPr="00F14641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2EFB3A" w14:textId="77777777" w:rsidR="00E3650D" w:rsidRPr="00F14641" w:rsidRDefault="007B30A1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399,4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68E6A4" w14:textId="77777777" w:rsidR="00E3650D" w:rsidRPr="00F14641" w:rsidRDefault="004D7973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2</w:t>
            </w:r>
            <w:r w:rsidR="00DB2620" w:rsidRPr="00F1464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14641">
              <w:rPr>
                <w:rFonts w:ascii="Calibri" w:hAnsi="Calibri" w:cs="Calibri"/>
                <w:sz w:val="20"/>
                <w:szCs w:val="20"/>
              </w:rPr>
              <w:t>461,2</w:t>
            </w:r>
          </w:p>
        </w:tc>
      </w:tr>
      <w:tr w:rsidR="00E3650D" w:rsidRPr="00F14641" w14:paraId="27E14A2A" w14:textId="77777777" w:rsidTr="00F14641">
        <w:trPr>
          <w:trHeight w:val="283"/>
          <w:jc w:val="center"/>
        </w:trPr>
        <w:tc>
          <w:tcPr>
            <w:tcW w:w="30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5B7A9E" w14:textId="77777777" w:rsidR="00E3650D" w:rsidRPr="00F14641" w:rsidRDefault="004D7973" w:rsidP="003D3E73">
            <w:pPr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Rozpočet</w:t>
            </w:r>
          </w:p>
        </w:tc>
        <w:tc>
          <w:tcPr>
            <w:tcW w:w="0" w:type="auto"/>
            <w:vAlign w:val="center"/>
          </w:tcPr>
          <w:p w14:paraId="1D7BCE13" w14:textId="77777777" w:rsidR="00E3650D" w:rsidRPr="00F14641" w:rsidRDefault="00C65035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1</w:t>
            </w:r>
            <w:r w:rsidR="00DB2620" w:rsidRPr="00F1464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14641">
              <w:rPr>
                <w:rFonts w:ascii="Calibri" w:hAnsi="Calibri" w:cs="Calibri"/>
                <w:sz w:val="20"/>
                <w:szCs w:val="20"/>
              </w:rPr>
              <w:t>379,4</w:t>
            </w:r>
          </w:p>
        </w:tc>
        <w:tc>
          <w:tcPr>
            <w:tcW w:w="0" w:type="auto"/>
            <w:vAlign w:val="center"/>
          </w:tcPr>
          <w:p w14:paraId="319D7E1A" w14:textId="77777777" w:rsidR="00E3650D" w:rsidRPr="00F14641" w:rsidRDefault="007B30A1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186,3</w:t>
            </w:r>
          </w:p>
        </w:tc>
        <w:tc>
          <w:tcPr>
            <w:tcW w:w="0" w:type="auto"/>
            <w:vAlign w:val="center"/>
          </w:tcPr>
          <w:p w14:paraId="01FB8510" w14:textId="77777777" w:rsidR="00E3650D" w:rsidRPr="00F14641" w:rsidRDefault="007B30A1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264,0</w:t>
            </w:r>
          </w:p>
        </w:tc>
        <w:tc>
          <w:tcPr>
            <w:tcW w:w="0" w:type="auto"/>
            <w:vAlign w:val="center"/>
          </w:tcPr>
          <w:p w14:paraId="292C7395" w14:textId="77777777" w:rsidR="00E3650D" w:rsidRPr="00F14641" w:rsidRDefault="007B30A1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591,0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5ADA86" w14:textId="77777777" w:rsidR="00E3650D" w:rsidRPr="00F14641" w:rsidRDefault="007B30A1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132,6</w:t>
            </w:r>
            <w:r w:rsidR="004D7973" w:rsidRPr="00F1464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7E046C" w14:textId="77777777" w:rsidR="00E3650D" w:rsidRPr="00F14641" w:rsidRDefault="007B30A1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133,2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7C707D" w14:textId="77777777" w:rsidR="00E3650D" w:rsidRPr="00F14641" w:rsidRDefault="00E3650D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F4294C" w14:textId="77777777" w:rsidR="00E3650D" w:rsidRPr="00F14641" w:rsidRDefault="004D7973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2</w:t>
            </w:r>
            <w:r w:rsidR="00DB2620" w:rsidRPr="00F1464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14641">
              <w:rPr>
                <w:rFonts w:ascii="Calibri" w:hAnsi="Calibri" w:cs="Calibri"/>
                <w:sz w:val="20"/>
                <w:szCs w:val="20"/>
              </w:rPr>
              <w:t>686,5</w:t>
            </w:r>
          </w:p>
        </w:tc>
      </w:tr>
      <w:tr w:rsidR="00E3650D" w:rsidRPr="00F14641" w14:paraId="611FA6BC" w14:textId="77777777" w:rsidTr="00F14641">
        <w:trPr>
          <w:trHeight w:val="283"/>
          <w:jc w:val="center"/>
        </w:trPr>
        <w:tc>
          <w:tcPr>
            <w:tcW w:w="30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E6E2FC" w14:textId="77777777" w:rsidR="00E3650D" w:rsidRPr="00F14641" w:rsidRDefault="004D7973" w:rsidP="003D3E73">
            <w:pPr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Skutečnost</w:t>
            </w:r>
          </w:p>
        </w:tc>
        <w:tc>
          <w:tcPr>
            <w:tcW w:w="0" w:type="auto"/>
            <w:vAlign w:val="center"/>
          </w:tcPr>
          <w:p w14:paraId="1C9E9A17" w14:textId="77777777" w:rsidR="00E3650D" w:rsidRPr="00F14641" w:rsidRDefault="007B30A1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639,0</w:t>
            </w:r>
          </w:p>
        </w:tc>
        <w:tc>
          <w:tcPr>
            <w:tcW w:w="0" w:type="auto"/>
            <w:vAlign w:val="center"/>
          </w:tcPr>
          <w:p w14:paraId="0B8A3535" w14:textId="77777777" w:rsidR="00E3650D" w:rsidRPr="00F14641" w:rsidRDefault="007B30A1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161,1</w:t>
            </w:r>
          </w:p>
        </w:tc>
        <w:tc>
          <w:tcPr>
            <w:tcW w:w="0" w:type="auto"/>
            <w:vAlign w:val="center"/>
          </w:tcPr>
          <w:p w14:paraId="5027E55B" w14:textId="77777777" w:rsidR="00E3650D" w:rsidRPr="00F14641" w:rsidRDefault="00C65035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222,1</w:t>
            </w:r>
          </w:p>
        </w:tc>
        <w:tc>
          <w:tcPr>
            <w:tcW w:w="0" w:type="auto"/>
            <w:vAlign w:val="center"/>
          </w:tcPr>
          <w:p w14:paraId="2596A941" w14:textId="77777777" w:rsidR="00E3650D" w:rsidRPr="00F14641" w:rsidRDefault="007B30A1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154,2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E7EA3F" w14:textId="77777777" w:rsidR="00E3650D" w:rsidRPr="00F14641" w:rsidRDefault="007B30A1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148,4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123F3E" w14:textId="77777777" w:rsidR="00E3650D" w:rsidRPr="00F14641" w:rsidRDefault="00E3650D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10E486" w14:textId="77777777" w:rsidR="00E3650D" w:rsidRPr="00F14641" w:rsidRDefault="00E3650D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1BA899" w14:textId="77777777" w:rsidR="00E3650D" w:rsidRPr="00F14641" w:rsidRDefault="004D7973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1</w:t>
            </w:r>
            <w:r w:rsidR="00DB2620" w:rsidRPr="00F1464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14641">
              <w:rPr>
                <w:rFonts w:ascii="Calibri" w:hAnsi="Calibri" w:cs="Calibri"/>
                <w:sz w:val="20"/>
                <w:szCs w:val="20"/>
              </w:rPr>
              <w:t>324,8</w:t>
            </w:r>
          </w:p>
        </w:tc>
      </w:tr>
      <w:tr w:rsidR="00E3650D" w:rsidRPr="00F14641" w14:paraId="24BBFF1D" w14:textId="77777777" w:rsidTr="00F14641">
        <w:trPr>
          <w:trHeight w:val="283"/>
          <w:jc w:val="center"/>
        </w:trPr>
        <w:tc>
          <w:tcPr>
            <w:tcW w:w="30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4C5A22" w14:textId="170D6D51" w:rsidR="00E3650D" w:rsidRPr="00F14641" w:rsidRDefault="0050134C" w:rsidP="005013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– z</w:t>
            </w:r>
            <w:r w:rsidR="00984817" w:rsidRPr="00F14641">
              <w:rPr>
                <w:rFonts w:ascii="Calibri" w:hAnsi="Calibri" w:cs="Calibri"/>
                <w:sz w:val="20"/>
                <w:szCs w:val="20"/>
              </w:rPr>
              <w:t xml:space="preserve"> toho</w:t>
            </w:r>
            <w:r w:rsidR="007B30A1" w:rsidRPr="00F14641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DE137C" w:rsidRPr="00F14641">
              <w:rPr>
                <w:rFonts w:ascii="Calibri" w:hAnsi="Calibri" w:cs="Calibri"/>
                <w:sz w:val="20"/>
                <w:szCs w:val="20"/>
              </w:rPr>
              <w:t xml:space="preserve">prostředky </w:t>
            </w:r>
            <w:r w:rsidR="007B30A1" w:rsidRPr="00F14641">
              <w:rPr>
                <w:rFonts w:ascii="Calibri" w:hAnsi="Calibri" w:cs="Calibri"/>
                <w:sz w:val="20"/>
                <w:szCs w:val="20"/>
              </w:rPr>
              <w:t>EU</w:t>
            </w:r>
          </w:p>
        </w:tc>
        <w:tc>
          <w:tcPr>
            <w:tcW w:w="0" w:type="auto"/>
            <w:vAlign w:val="center"/>
          </w:tcPr>
          <w:p w14:paraId="0A2A8A0B" w14:textId="77777777" w:rsidR="00E3650D" w:rsidRPr="00F14641" w:rsidRDefault="007B30A1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80,6</w:t>
            </w:r>
          </w:p>
        </w:tc>
        <w:tc>
          <w:tcPr>
            <w:tcW w:w="0" w:type="auto"/>
            <w:vAlign w:val="center"/>
          </w:tcPr>
          <w:p w14:paraId="1CFE8A9C" w14:textId="77777777" w:rsidR="00E3650D" w:rsidRPr="00F14641" w:rsidRDefault="00C65035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51,9</w:t>
            </w:r>
          </w:p>
        </w:tc>
        <w:tc>
          <w:tcPr>
            <w:tcW w:w="0" w:type="auto"/>
            <w:vAlign w:val="center"/>
          </w:tcPr>
          <w:p w14:paraId="6C184881" w14:textId="77777777" w:rsidR="00E3650D" w:rsidRPr="00F14641" w:rsidRDefault="007B30A1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16,5</w:t>
            </w:r>
          </w:p>
        </w:tc>
        <w:tc>
          <w:tcPr>
            <w:tcW w:w="0" w:type="auto"/>
            <w:vAlign w:val="center"/>
          </w:tcPr>
          <w:p w14:paraId="7AA261CA" w14:textId="77777777" w:rsidR="00E3650D" w:rsidRPr="00F14641" w:rsidRDefault="007B30A1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2,6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8E75FF" w14:textId="77777777" w:rsidR="00E3650D" w:rsidRPr="00F14641" w:rsidRDefault="007B30A1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3,7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519BF7" w14:textId="77777777" w:rsidR="00E3650D" w:rsidRPr="00F14641" w:rsidRDefault="00E3650D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D934E3" w14:textId="77777777" w:rsidR="00E3650D" w:rsidRPr="00F14641" w:rsidRDefault="00E3650D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CEC081" w14:textId="77777777" w:rsidR="00E3650D" w:rsidRPr="00F14641" w:rsidRDefault="007B30A1" w:rsidP="00F1464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155,3</w:t>
            </w:r>
          </w:p>
        </w:tc>
      </w:tr>
    </w:tbl>
    <w:p w14:paraId="5B36C4BD" w14:textId="77777777" w:rsidR="00E3650D" w:rsidRPr="00A315CB" w:rsidRDefault="00E3650D" w:rsidP="00F14641">
      <w:pPr>
        <w:spacing w:before="40"/>
        <w:rPr>
          <w:rFonts w:asciiTheme="minorHAnsi" w:hAnsiTheme="minorHAnsi" w:cstheme="minorHAnsi"/>
          <w:bCs/>
          <w:sz w:val="20"/>
          <w:szCs w:val="20"/>
        </w:rPr>
      </w:pPr>
      <w:r w:rsidRPr="00A315CB">
        <w:rPr>
          <w:rFonts w:asciiTheme="minorHAnsi" w:hAnsiTheme="minorHAnsi" w:cstheme="minorHAnsi"/>
          <w:b/>
          <w:bCs/>
          <w:sz w:val="20"/>
          <w:szCs w:val="20"/>
        </w:rPr>
        <w:t>Zdroj:</w:t>
      </w:r>
      <w:r w:rsidRPr="00A315CB">
        <w:rPr>
          <w:rFonts w:asciiTheme="minorHAnsi" w:hAnsiTheme="minorHAnsi" w:cstheme="minorHAnsi"/>
          <w:bCs/>
          <w:sz w:val="20"/>
          <w:szCs w:val="20"/>
        </w:rPr>
        <w:t xml:space="preserve"> d</w:t>
      </w:r>
      <w:r w:rsidR="004D7973" w:rsidRPr="00A315CB">
        <w:rPr>
          <w:rFonts w:asciiTheme="minorHAnsi" w:hAnsiTheme="minorHAnsi" w:cstheme="minorHAnsi"/>
          <w:bCs/>
          <w:sz w:val="20"/>
          <w:szCs w:val="20"/>
        </w:rPr>
        <w:t>okumentace programu 136 0</w:t>
      </w:r>
      <w:r w:rsidR="00F6004D" w:rsidRPr="00A315CB">
        <w:rPr>
          <w:rFonts w:asciiTheme="minorHAnsi" w:hAnsiTheme="minorHAnsi" w:cstheme="minorHAnsi"/>
          <w:bCs/>
          <w:sz w:val="20"/>
          <w:szCs w:val="20"/>
        </w:rPr>
        <w:t>10 včetně změn, závěrečné úč</w:t>
      </w:r>
      <w:r w:rsidRPr="00A315CB">
        <w:rPr>
          <w:rFonts w:asciiTheme="minorHAnsi" w:hAnsiTheme="minorHAnsi" w:cstheme="minorHAnsi"/>
          <w:bCs/>
          <w:sz w:val="20"/>
          <w:szCs w:val="20"/>
        </w:rPr>
        <w:t>t</w:t>
      </w:r>
      <w:r w:rsidR="00F6004D" w:rsidRPr="00A315CB">
        <w:rPr>
          <w:rFonts w:asciiTheme="minorHAnsi" w:hAnsiTheme="minorHAnsi" w:cstheme="minorHAnsi"/>
          <w:bCs/>
          <w:sz w:val="20"/>
          <w:szCs w:val="20"/>
        </w:rPr>
        <w:t>y</w:t>
      </w:r>
      <w:r w:rsidRPr="00A315CB">
        <w:rPr>
          <w:rFonts w:asciiTheme="minorHAnsi" w:hAnsiTheme="minorHAnsi" w:cstheme="minorHAnsi"/>
          <w:bCs/>
          <w:sz w:val="20"/>
          <w:szCs w:val="20"/>
        </w:rPr>
        <w:t xml:space="preserve"> kapitoly </w:t>
      </w:r>
      <w:r w:rsidR="004D7973" w:rsidRPr="00A315CB">
        <w:rPr>
          <w:rFonts w:asciiTheme="minorHAnsi" w:hAnsiTheme="minorHAnsi" w:cstheme="minorHAnsi"/>
          <w:bCs/>
          <w:sz w:val="20"/>
          <w:szCs w:val="20"/>
        </w:rPr>
        <w:t>MSp</w:t>
      </w:r>
      <w:r w:rsidRPr="00A315CB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14:paraId="5F267241" w14:textId="77777777" w:rsidR="000E67B9" w:rsidRPr="00A315CB" w:rsidRDefault="000E67B9" w:rsidP="004C031F">
      <w:pPr>
        <w:pStyle w:val="Default"/>
        <w:spacing w:line="264" w:lineRule="auto"/>
        <w:jc w:val="both"/>
        <w:rPr>
          <w:rFonts w:asciiTheme="minorHAnsi" w:hAnsiTheme="minorHAnsi" w:cstheme="minorHAnsi"/>
          <w:color w:val="auto"/>
          <w:lang w:eastAsia="en-US"/>
        </w:rPr>
      </w:pPr>
    </w:p>
    <w:p w14:paraId="60FA2185" w14:textId="79028254" w:rsidR="00D00178" w:rsidRPr="00A315CB" w:rsidRDefault="00BF391A" w:rsidP="00F14641">
      <w:pPr>
        <w:pStyle w:val="Odstavecseseznamem"/>
        <w:numPr>
          <w:ilvl w:val="0"/>
          <w:numId w:val="11"/>
        </w:numPr>
        <w:spacing w:line="264" w:lineRule="auto"/>
        <w:ind w:left="284" w:hanging="284"/>
        <w:jc w:val="both"/>
        <w:rPr>
          <w:rFonts w:asciiTheme="minorHAnsi" w:hAnsiTheme="minorHAnsi" w:cstheme="minorHAnsi"/>
          <w:lang w:eastAsia="en-US"/>
        </w:rPr>
      </w:pPr>
      <w:r w:rsidRPr="00A315CB">
        <w:rPr>
          <w:rFonts w:asciiTheme="minorHAnsi" w:hAnsiTheme="minorHAnsi" w:cstheme="minorHAnsi"/>
          <w:lang w:eastAsia="en-US"/>
        </w:rPr>
        <w:t>P</w:t>
      </w:r>
      <w:r w:rsidR="00BC58E7" w:rsidRPr="00A315CB">
        <w:rPr>
          <w:rFonts w:asciiTheme="minorHAnsi" w:hAnsiTheme="minorHAnsi" w:cstheme="minorHAnsi"/>
          <w:lang w:eastAsia="en-US"/>
        </w:rPr>
        <w:t xml:space="preserve">rogram </w:t>
      </w:r>
      <w:r w:rsidRPr="00A315CB">
        <w:rPr>
          <w:rFonts w:asciiTheme="minorHAnsi" w:hAnsiTheme="minorHAnsi" w:cstheme="minorHAnsi"/>
          <w:lang w:eastAsia="en-US"/>
        </w:rPr>
        <w:t>č. 136</w:t>
      </w:r>
      <w:r w:rsidR="0050134C">
        <w:rPr>
          <w:rFonts w:asciiTheme="minorHAnsi" w:hAnsiTheme="minorHAnsi" w:cstheme="minorHAnsi"/>
          <w:lang w:eastAsia="en-US"/>
        </w:rPr>
        <w:t> </w:t>
      </w:r>
      <w:r w:rsidRPr="00A315CB">
        <w:rPr>
          <w:rFonts w:asciiTheme="minorHAnsi" w:hAnsiTheme="minorHAnsi" w:cstheme="minorHAnsi"/>
          <w:lang w:eastAsia="en-US"/>
        </w:rPr>
        <w:t>110</w:t>
      </w:r>
      <w:r w:rsidR="0050134C">
        <w:rPr>
          <w:rFonts w:asciiTheme="minorHAnsi" w:hAnsiTheme="minorHAnsi" w:cstheme="minorHAnsi"/>
          <w:lang w:eastAsia="en-US"/>
        </w:rPr>
        <w:t> –</w:t>
      </w:r>
      <w:r w:rsidRPr="00A315CB">
        <w:rPr>
          <w:rFonts w:asciiTheme="minorHAnsi" w:hAnsiTheme="minorHAnsi" w:cstheme="minorHAnsi"/>
          <w:lang w:eastAsia="en-US"/>
        </w:rPr>
        <w:t xml:space="preserve"> </w:t>
      </w:r>
      <w:r w:rsidR="000E67B9" w:rsidRPr="00A315CB">
        <w:rPr>
          <w:rFonts w:asciiTheme="minorHAnsi" w:hAnsiTheme="minorHAnsi" w:cstheme="minorHAnsi"/>
          <w:i/>
          <w:lang w:eastAsia="en-US"/>
        </w:rPr>
        <w:t>Rozvoj a obnova materiálně technické základny justice</w:t>
      </w:r>
      <w:r w:rsidR="000E67B9" w:rsidRPr="00A315CB">
        <w:rPr>
          <w:rFonts w:asciiTheme="minorHAnsi" w:hAnsiTheme="minorHAnsi" w:cstheme="minorHAnsi"/>
          <w:lang w:eastAsia="en-US"/>
        </w:rPr>
        <w:t xml:space="preserve"> </w:t>
      </w:r>
      <w:r w:rsidRPr="00A315CB">
        <w:rPr>
          <w:rFonts w:asciiTheme="minorHAnsi" w:hAnsiTheme="minorHAnsi" w:cstheme="minorHAnsi"/>
          <w:lang w:eastAsia="en-US"/>
        </w:rPr>
        <w:t xml:space="preserve">(dále také „program </w:t>
      </w:r>
      <w:r w:rsidR="007B30A1" w:rsidRPr="00A315CB">
        <w:rPr>
          <w:rFonts w:asciiTheme="minorHAnsi" w:hAnsiTheme="minorHAnsi" w:cstheme="minorHAnsi"/>
          <w:lang w:eastAsia="en-US"/>
        </w:rPr>
        <w:t>136 110“) měl být realizován v</w:t>
      </w:r>
      <w:r w:rsidR="00DB2620" w:rsidRPr="00A315CB">
        <w:rPr>
          <w:rFonts w:asciiTheme="minorHAnsi" w:hAnsiTheme="minorHAnsi" w:cstheme="minorHAnsi"/>
          <w:lang w:eastAsia="en-US"/>
        </w:rPr>
        <w:t xml:space="preserve"> </w:t>
      </w:r>
      <w:r w:rsidR="007B30A1" w:rsidRPr="00A315CB">
        <w:rPr>
          <w:rFonts w:asciiTheme="minorHAnsi" w:hAnsiTheme="minorHAnsi" w:cstheme="minorHAnsi"/>
          <w:lang w:eastAsia="en-US"/>
        </w:rPr>
        <w:t>letech 2009 až 2013 s</w:t>
      </w:r>
      <w:r w:rsidR="00DB2620" w:rsidRPr="00A315CB">
        <w:rPr>
          <w:rFonts w:asciiTheme="minorHAnsi" w:hAnsiTheme="minorHAnsi" w:cstheme="minorHAnsi"/>
          <w:lang w:eastAsia="en-US"/>
        </w:rPr>
        <w:t xml:space="preserve"> </w:t>
      </w:r>
      <w:r w:rsidR="00F14641">
        <w:rPr>
          <w:rFonts w:asciiTheme="minorHAnsi" w:hAnsiTheme="minorHAnsi" w:cstheme="minorHAnsi"/>
          <w:lang w:eastAsia="en-US"/>
        </w:rPr>
        <w:t>celkovými výdaji 1 987,114 </w:t>
      </w:r>
      <w:r w:rsidR="007B30A1" w:rsidRPr="00A315CB">
        <w:rPr>
          <w:rFonts w:asciiTheme="minorHAnsi" w:hAnsiTheme="minorHAnsi" w:cstheme="minorHAnsi"/>
          <w:lang w:eastAsia="en-US"/>
        </w:rPr>
        <w:t>mil. Kč. V</w:t>
      </w:r>
      <w:r w:rsidR="00DB2620" w:rsidRPr="00A315CB">
        <w:rPr>
          <w:rFonts w:asciiTheme="minorHAnsi" w:hAnsiTheme="minorHAnsi" w:cstheme="minorHAnsi"/>
          <w:lang w:eastAsia="en-US"/>
        </w:rPr>
        <w:t xml:space="preserve"> </w:t>
      </w:r>
      <w:r w:rsidR="007B30A1" w:rsidRPr="00A315CB">
        <w:rPr>
          <w:rFonts w:asciiTheme="minorHAnsi" w:hAnsiTheme="minorHAnsi" w:cstheme="minorHAnsi"/>
          <w:lang w:eastAsia="en-US"/>
        </w:rPr>
        <w:t xml:space="preserve">průběhu realizace došlo ke dvěma změnám a program byl </w:t>
      </w:r>
      <w:r w:rsidR="00C65035" w:rsidRPr="00A315CB">
        <w:rPr>
          <w:rFonts w:asciiTheme="minorHAnsi" w:hAnsiTheme="minorHAnsi" w:cstheme="minorHAnsi"/>
          <w:lang w:eastAsia="en-US"/>
        </w:rPr>
        <w:t xml:space="preserve">postupně </w:t>
      </w:r>
      <w:r w:rsidR="007B30A1" w:rsidRPr="00A315CB">
        <w:rPr>
          <w:rFonts w:asciiTheme="minorHAnsi" w:hAnsiTheme="minorHAnsi" w:cstheme="minorHAnsi"/>
          <w:lang w:eastAsia="en-US"/>
        </w:rPr>
        <w:t xml:space="preserve">prodloužen až do konce roku 2018. </w:t>
      </w:r>
      <w:r w:rsidR="00C65035" w:rsidRPr="00A315CB">
        <w:rPr>
          <w:rFonts w:asciiTheme="minorHAnsi" w:hAnsiTheme="minorHAnsi" w:cstheme="minorHAnsi"/>
          <w:lang w:eastAsia="en-US"/>
        </w:rPr>
        <w:t xml:space="preserve">Náplní </w:t>
      </w:r>
      <w:r w:rsidR="00C65035" w:rsidRPr="00A315CB">
        <w:rPr>
          <w:rFonts w:asciiTheme="minorHAnsi" w:eastAsiaTheme="minorHAnsi" w:hAnsiTheme="minorHAnsi" w:cstheme="minorHAnsi"/>
        </w:rPr>
        <w:t>p</w:t>
      </w:r>
      <w:r w:rsidR="00A023F2" w:rsidRPr="00A315CB">
        <w:rPr>
          <w:rFonts w:asciiTheme="minorHAnsi" w:eastAsiaTheme="minorHAnsi" w:hAnsiTheme="minorHAnsi" w:cstheme="minorHAnsi"/>
        </w:rPr>
        <w:t>rogram</w:t>
      </w:r>
      <w:r w:rsidR="00C65035" w:rsidRPr="00A315CB">
        <w:rPr>
          <w:rFonts w:asciiTheme="minorHAnsi" w:eastAsiaTheme="minorHAnsi" w:hAnsiTheme="minorHAnsi" w:cstheme="minorHAnsi"/>
        </w:rPr>
        <w:t xml:space="preserve">u </w:t>
      </w:r>
      <w:r w:rsidR="00A023F2" w:rsidRPr="00A315CB">
        <w:rPr>
          <w:rFonts w:asciiTheme="minorHAnsi" w:eastAsiaTheme="minorHAnsi" w:hAnsiTheme="minorHAnsi" w:cstheme="minorHAnsi"/>
        </w:rPr>
        <w:t>byl</w:t>
      </w:r>
      <w:r w:rsidR="00C65035" w:rsidRPr="00A315CB">
        <w:rPr>
          <w:rFonts w:asciiTheme="minorHAnsi" w:eastAsiaTheme="minorHAnsi" w:hAnsiTheme="minorHAnsi" w:cstheme="minorHAnsi"/>
        </w:rPr>
        <w:t xml:space="preserve">o </w:t>
      </w:r>
      <w:r w:rsidR="00A023F2" w:rsidRPr="00A315CB">
        <w:rPr>
          <w:rFonts w:asciiTheme="minorHAnsi" w:eastAsiaTheme="minorHAnsi" w:hAnsiTheme="minorHAnsi" w:cstheme="minorHAnsi"/>
        </w:rPr>
        <w:t>zabezpečení materiálně technických potřeb regionálních složek justice, jako jsou soudy a státní zastupitelství. Výdaje se týkaly jak oblasti nemovitého majetku, tak i</w:t>
      </w:r>
      <w:r w:rsidR="00DB2620" w:rsidRPr="00A315CB">
        <w:rPr>
          <w:rFonts w:asciiTheme="minorHAnsi" w:eastAsiaTheme="minorHAnsi" w:hAnsiTheme="minorHAnsi" w:cstheme="minorHAnsi"/>
        </w:rPr>
        <w:t xml:space="preserve"> </w:t>
      </w:r>
      <w:r w:rsidR="00A023F2" w:rsidRPr="00A315CB">
        <w:rPr>
          <w:rFonts w:asciiTheme="minorHAnsi" w:eastAsiaTheme="minorHAnsi" w:hAnsiTheme="minorHAnsi" w:cstheme="minorHAnsi"/>
        </w:rPr>
        <w:t xml:space="preserve">pořízení dopravních prostředků a technického vybavení. </w:t>
      </w:r>
      <w:r w:rsidR="00D00178" w:rsidRPr="00A315CB">
        <w:rPr>
          <w:rFonts w:asciiTheme="minorHAnsi" w:hAnsiTheme="minorHAnsi" w:cstheme="minorHAnsi"/>
          <w:lang w:eastAsia="en-US"/>
        </w:rPr>
        <w:t xml:space="preserve">Přehled </w:t>
      </w:r>
      <w:r w:rsidR="007D2606" w:rsidRPr="00A315CB">
        <w:rPr>
          <w:rFonts w:asciiTheme="minorHAnsi" w:hAnsiTheme="minorHAnsi" w:cstheme="minorHAnsi"/>
          <w:lang w:eastAsia="en-US"/>
        </w:rPr>
        <w:t>o peněžních</w:t>
      </w:r>
      <w:r w:rsidR="00D00178" w:rsidRPr="00A315CB">
        <w:rPr>
          <w:rFonts w:asciiTheme="minorHAnsi" w:hAnsiTheme="minorHAnsi" w:cstheme="minorHAnsi"/>
          <w:lang w:eastAsia="en-US"/>
        </w:rPr>
        <w:t xml:space="preserve"> prostředcích stanovených</w:t>
      </w:r>
      <w:r w:rsidR="007D2606" w:rsidRPr="00A315CB">
        <w:rPr>
          <w:rFonts w:asciiTheme="minorHAnsi" w:hAnsiTheme="minorHAnsi" w:cstheme="minorHAnsi"/>
          <w:lang w:eastAsia="en-US"/>
        </w:rPr>
        <w:t xml:space="preserve"> v</w:t>
      </w:r>
      <w:r w:rsidR="00DB2620" w:rsidRPr="00A315CB">
        <w:rPr>
          <w:rFonts w:asciiTheme="minorHAnsi" w:hAnsiTheme="minorHAnsi" w:cstheme="minorHAnsi"/>
          <w:lang w:eastAsia="en-US"/>
        </w:rPr>
        <w:t xml:space="preserve"> </w:t>
      </w:r>
      <w:r w:rsidR="007D2606" w:rsidRPr="00A315CB">
        <w:rPr>
          <w:rFonts w:asciiTheme="minorHAnsi" w:hAnsiTheme="minorHAnsi" w:cstheme="minorHAnsi"/>
          <w:lang w:eastAsia="en-US"/>
        </w:rPr>
        <w:t>dokumentaci programu a její</w:t>
      </w:r>
      <w:r w:rsidR="00D00178" w:rsidRPr="00A315CB">
        <w:rPr>
          <w:rFonts w:asciiTheme="minorHAnsi" w:hAnsiTheme="minorHAnsi" w:cstheme="minorHAnsi"/>
          <w:lang w:eastAsia="en-US"/>
        </w:rPr>
        <w:t>c</w:t>
      </w:r>
      <w:r w:rsidR="00C65035" w:rsidRPr="00A315CB">
        <w:rPr>
          <w:rFonts w:asciiTheme="minorHAnsi" w:hAnsiTheme="minorHAnsi" w:cstheme="minorHAnsi"/>
          <w:lang w:eastAsia="en-US"/>
        </w:rPr>
        <w:t>h změnách, rozpočtu a</w:t>
      </w:r>
      <w:r w:rsidR="00DB2620" w:rsidRPr="00A315CB">
        <w:rPr>
          <w:rFonts w:asciiTheme="minorHAnsi" w:hAnsiTheme="minorHAnsi" w:cstheme="minorHAnsi"/>
          <w:lang w:eastAsia="en-US"/>
        </w:rPr>
        <w:t xml:space="preserve"> </w:t>
      </w:r>
      <w:r w:rsidR="00C65035" w:rsidRPr="00A315CB">
        <w:rPr>
          <w:rFonts w:asciiTheme="minorHAnsi" w:hAnsiTheme="minorHAnsi" w:cstheme="minorHAnsi"/>
          <w:lang w:eastAsia="en-US"/>
        </w:rPr>
        <w:t>skutečném</w:t>
      </w:r>
      <w:r w:rsidR="00D00178" w:rsidRPr="00A315CB">
        <w:rPr>
          <w:rFonts w:asciiTheme="minorHAnsi" w:hAnsiTheme="minorHAnsi" w:cstheme="minorHAnsi"/>
          <w:lang w:eastAsia="en-US"/>
        </w:rPr>
        <w:t xml:space="preserve"> čerpání je uveden v</w:t>
      </w:r>
      <w:r w:rsidR="00DB2620" w:rsidRPr="00A315CB">
        <w:rPr>
          <w:rFonts w:asciiTheme="minorHAnsi" w:hAnsiTheme="minorHAnsi" w:cstheme="minorHAnsi"/>
          <w:lang w:eastAsia="en-US"/>
        </w:rPr>
        <w:t xml:space="preserve"> </w:t>
      </w:r>
      <w:r w:rsidR="00D00178" w:rsidRPr="00A315CB">
        <w:rPr>
          <w:rFonts w:asciiTheme="minorHAnsi" w:hAnsiTheme="minorHAnsi" w:cstheme="minorHAnsi"/>
          <w:lang w:eastAsia="en-US"/>
        </w:rPr>
        <w:t xml:space="preserve">tabulce č. 2. </w:t>
      </w:r>
    </w:p>
    <w:p w14:paraId="76E4D975" w14:textId="77777777" w:rsidR="00C26205" w:rsidRPr="00A315CB" w:rsidRDefault="00C26205" w:rsidP="004C031F">
      <w:pPr>
        <w:pStyle w:val="Odstavecseseznamem"/>
        <w:spacing w:line="264" w:lineRule="auto"/>
        <w:ind w:left="357"/>
        <w:jc w:val="both"/>
        <w:rPr>
          <w:rFonts w:asciiTheme="minorHAnsi" w:hAnsiTheme="minorHAnsi" w:cstheme="minorHAnsi"/>
        </w:rPr>
      </w:pPr>
    </w:p>
    <w:p w14:paraId="44775E28" w14:textId="704EC806" w:rsidR="007B30A1" w:rsidRPr="00A315CB" w:rsidRDefault="007B30A1" w:rsidP="00F14641">
      <w:pPr>
        <w:tabs>
          <w:tab w:val="right" w:pos="9072"/>
        </w:tabs>
        <w:spacing w:after="40"/>
        <w:jc w:val="both"/>
        <w:rPr>
          <w:rFonts w:asciiTheme="minorHAnsi" w:hAnsiTheme="minorHAnsi" w:cstheme="minorHAnsi"/>
          <w:bCs/>
        </w:rPr>
      </w:pPr>
      <w:r w:rsidRPr="00A315CB">
        <w:rPr>
          <w:rFonts w:asciiTheme="minorHAnsi" w:hAnsiTheme="minorHAnsi" w:cstheme="minorHAnsi"/>
          <w:b/>
          <w:bCs/>
        </w:rPr>
        <w:t>Tabulka č. 2</w:t>
      </w:r>
      <w:r w:rsidR="00D00178" w:rsidRPr="00A315CB">
        <w:rPr>
          <w:rFonts w:asciiTheme="minorHAnsi" w:hAnsiTheme="minorHAnsi" w:cstheme="minorHAnsi"/>
          <w:b/>
          <w:bCs/>
        </w:rPr>
        <w:t xml:space="preserve"> – </w:t>
      </w:r>
      <w:r w:rsidR="0050134C">
        <w:rPr>
          <w:rFonts w:asciiTheme="minorHAnsi" w:hAnsiTheme="minorHAnsi" w:cstheme="minorHAnsi"/>
          <w:b/>
          <w:bCs/>
        </w:rPr>
        <w:t>P</w:t>
      </w:r>
      <w:r w:rsidR="00180226" w:rsidRPr="00A315CB">
        <w:rPr>
          <w:rFonts w:asciiTheme="minorHAnsi" w:hAnsiTheme="minorHAnsi" w:cstheme="minorHAnsi"/>
          <w:b/>
          <w:bCs/>
        </w:rPr>
        <w:t>rogram 136</w:t>
      </w:r>
      <w:r w:rsidR="00DB2620" w:rsidRPr="00A315CB">
        <w:rPr>
          <w:rFonts w:asciiTheme="minorHAnsi" w:hAnsiTheme="minorHAnsi" w:cstheme="minorHAnsi"/>
          <w:b/>
          <w:bCs/>
        </w:rPr>
        <w:t xml:space="preserve"> </w:t>
      </w:r>
      <w:r w:rsidR="00180226" w:rsidRPr="00A315CB">
        <w:rPr>
          <w:rFonts w:asciiTheme="minorHAnsi" w:hAnsiTheme="minorHAnsi" w:cstheme="minorHAnsi"/>
          <w:b/>
          <w:bCs/>
        </w:rPr>
        <w:t>1</w:t>
      </w:r>
      <w:r w:rsidRPr="00A315CB">
        <w:rPr>
          <w:rFonts w:asciiTheme="minorHAnsi" w:hAnsiTheme="minorHAnsi" w:cstheme="minorHAnsi"/>
          <w:b/>
          <w:bCs/>
        </w:rPr>
        <w:t>10</w:t>
      </w:r>
      <w:r w:rsidR="00DB2620" w:rsidRPr="00A315CB">
        <w:rPr>
          <w:rFonts w:asciiTheme="minorHAnsi" w:hAnsiTheme="minorHAnsi" w:cstheme="minorHAnsi"/>
          <w:b/>
          <w:bCs/>
        </w:rPr>
        <w:tab/>
      </w:r>
      <w:r w:rsidR="00A600C4" w:rsidRPr="00A315CB">
        <w:rPr>
          <w:rFonts w:asciiTheme="minorHAnsi" w:hAnsiTheme="minorHAnsi" w:cstheme="minorHAnsi"/>
          <w:b/>
          <w:bCs/>
        </w:rPr>
        <w:t>(v</w:t>
      </w:r>
      <w:r w:rsidR="00CD1855" w:rsidRPr="00A315CB">
        <w:rPr>
          <w:rFonts w:asciiTheme="minorHAnsi" w:hAnsiTheme="minorHAnsi" w:cstheme="minorHAnsi"/>
          <w:b/>
          <w:bCs/>
        </w:rPr>
        <w:t xml:space="preserve"> mil. Kč</w:t>
      </w:r>
      <w:r w:rsidR="00A600C4" w:rsidRPr="00A315CB">
        <w:rPr>
          <w:rFonts w:asciiTheme="minorHAnsi" w:hAnsiTheme="minorHAnsi" w:cstheme="minorHAnsi"/>
          <w:b/>
          <w:bCs/>
        </w:rPr>
        <w:t>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2"/>
        <w:gridCol w:w="622"/>
        <w:gridCol w:w="672"/>
        <w:gridCol w:w="672"/>
        <w:gridCol w:w="672"/>
        <w:gridCol w:w="672"/>
        <w:gridCol w:w="672"/>
        <w:gridCol w:w="672"/>
        <w:gridCol w:w="907"/>
        <w:gridCol w:w="832"/>
      </w:tblGrid>
      <w:tr w:rsidR="007B30A1" w:rsidRPr="00F14641" w14:paraId="685F8E9F" w14:textId="77777777" w:rsidTr="000F6B2D">
        <w:trPr>
          <w:trHeight w:val="283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3263F9BA" w14:textId="195C8398" w:rsidR="007B30A1" w:rsidRPr="00F14641" w:rsidRDefault="007B30A1" w:rsidP="0050134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12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40701C34" w14:textId="77777777" w:rsidR="007B30A1" w:rsidRPr="00F14641" w:rsidRDefault="007B30A1" w:rsidP="000F6B2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14641">
              <w:rPr>
                <w:rFonts w:ascii="Calibri" w:hAnsi="Calibri" w:cs="Calibri"/>
                <w:b/>
                <w:sz w:val="20"/>
                <w:szCs w:val="20"/>
              </w:rPr>
              <w:t>2009</w:t>
            </w:r>
          </w:p>
        </w:tc>
        <w:tc>
          <w:tcPr>
            <w:tcW w:w="672" w:type="dxa"/>
            <w:tcBorders>
              <w:top w:val="single" w:sz="12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27F6C33F" w14:textId="77777777" w:rsidR="007B30A1" w:rsidRPr="00F14641" w:rsidRDefault="007B30A1" w:rsidP="000F6B2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14641">
              <w:rPr>
                <w:rFonts w:ascii="Calibri" w:hAnsi="Calibri" w:cs="Calibri"/>
                <w:b/>
                <w:sz w:val="20"/>
                <w:szCs w:val="20"/>
              </w:rPr>
              <w:t>2010</w:t>
            </w:r>
          </w:p>
        </w:tc>
        <w:tc>
          <w:tcPr>
            <w:tcW w:w="672" w:type="dxa"/>
            <w:tcBorders>
              <w:top w:val="single" w:sz="12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40ACFEE2" w14:textId="77777777" w:rsidR="007B30A1" w:rsidRPr="00F14641" w:rsidRDefault="007B30A1" w:rsidP="000F6B2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14641">
              <w:rPr>
                <w:rFonts w:ascii="Calibri" w:hAnsi="Calibri" w:cs="Calibri"/>
                <w:b/>
                <w:sz w:val="20"/>
                <w:szCs w:val="20"/>
              </w:rPr>
              <w:t>2011</w:t>
            </w:r>
          </w:p>
        </w:tc>
        <w:tc>
          <w:tcPr>
            <w:tcW w:w="672" w:type="dxa"/>
            <w:tcBorders>
              <w:top w:val="single" w:sz="12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47BB0A61" w14:textId="77777777" w:rsidR="007B30A1" w:rsidRPr="00F14641" w:rsidRDefault="007B30A1" w:rsidP="000F6B2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14641">
              <w:rPr>
                <w:rFonts w:ascii="Calibri" w:hAnsi="Calibri" w:cs="Calibri"/>
                <w:b/>
                <w:sz w:val="20"/>
                <w:szCs w:val="20"/>
              </w:rPr>
              <w:t>2012</w:t>
            </w:r>
          </w:p>
        </w:tc>
        <w:tc>
          <w:tcPr>
            <w:tcW w:w="672" w:type="dxa"/>
            <w:tcBorders>
              <w:top w:val="single" w:sz="12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6D8A02C1" w14:textId="77777777" w:rsidR="007B30A1" w:rsidRPr="00F14641" w:rsidRDefault="007B30A1" w:rsidP="000F6B2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14641">
              <w:rPr>
                <w:rFonts w:ascii="Calibri" w:hAnsi="Calibri" w:cs="Calibri"/>
                <w:b/>
                <w:sz w:val="20"/>
                <w:szCs w:val="20"/>
              </w:rPr>
              <w:t>2013</w:t>
            </w:r>
          </w:p>
        </w:tc>
        <w:tc>
          <w:tcPr>
            <w:tcW w:w="672" w:type="dxa"/>
            <w:tcBorders>
              <w:top w:val="single" w:sz="12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629885F2" w14:textId="77777777" w:rsidR="007B30A1" w:rsidRPr="00F14641" w:rsidRDefault="007B30A1" w:rsidP="000F6B2D">
            <w:pPr>
              <w:ind w:right="-10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14641">
              <w:rPr>
                <w:rFonts w:ascii="Calibri" w:hAnsi="Calibri" w:cs="Calibri"/>
                <w:b/>
                <w:sz w:val="20"/>
                <w:szCs w:val="20"/>
              </w:rPr>
              <w:t>2014</w:t>
            </w:r>
          </w:p>
        </w:tc>
        <w:tc>
          <w:tcPr>
            <w:tcW w:w="672" w:type="dxa"/>
            <w:tcBorders>
              <w:top w:val="single" w:sz="12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10577B0B" w14:textId="77777777" w:rsidR="007B30A1" w:rsidRPr="00F14641" w:rsidRDefault="007B30A1" w:rsidP="000F6B2D">
            <w:pPr>
              <w:ind w:right="-9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14641">
              <w:rPr>
                <w:rFonts w:ascii="Calibri" w:hAnsi="Calibri" w:cs="Calibri"/>
                <w:b/>
                <w:sz w:val="20"/>
                <w:szCs w:val="20"/>
              </w:rPr>
              <w:t>2015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07181E94" w14:textId="0D3129FA" w:rsidR="007B30A1" w:rsidRPr="00F14641" w:rsidRDefault="007B30A1" w:rsidP="000F6B2D">
            <w:pPr>
              <w:ind w:right="-9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14641">
              <w:rPr>
                <w:rFonts w:ascii="Calibri" w:hAnsi="Calibri" w:cs="Calibri"/>
                <w:b/>
                <w:sz w:val="20"/>
                <w:szCs w:val="20"/>
              </w:rPr>
              <w:t>2016</w:t>
            </w:r>
            <w:r w:rsidR="000F6B2D">
              <w:rPr>
                <w:rFonts w:ascii="Calibri" w:hAnsi="Calibri" w:cs="Calibri"/>
                <w:b/>
                <w:sz w:val="20"/>
                <w:szCs w:val="20"/>
              </w:rPr>
              <w:t>–</w:t>
            </w:r>
            <w:r w:rsidRPr="00F14641">
              <w:rPr>
                <w:rFonts w:ascii="Calibri" w:hAnsi="Calibri" w:cs="Calibri"/>
                <w:b/>
                <w:sz w:val="20"/>
                <w:szCs w:val="20"/>
              </w:rPr>
              <w:t>18</w:t>
            </w:r>
          </w:p>
        </w:tc>
        <w:tc>
          <w:tcPr>
            <w:tcW w:w="83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4359D57A" w14:textId="77777777" w:rsidR="007B30A1" w:rsidRPr="00F14641" w:rsidRDefault="007B30A1" w:rsidP="000F6B2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14641">
              <w:rPr>
                <w:rFonts w:ascii="Calibri" w:hAnsi="Calibri" w:cs="Calibri"/>
                <w:b/>
                <w:sz w:val="20"/>
                <w:szCs w:val="20"/>
              </w:rPr>
              <w:t>Celkem</w:t>
            </w:r>
          </w:p>
        </w:tc>
      </w:tr>
      <w:tr w:rsidR="007B30A1" w:rsidRPr="00F14641" w14:paraId="4A01CB8E" w14:textId="77777777" w:rsidTr="000F6B2D">
        <w:trPr>
          <w:trHeight w:val="283"/>
          <w:jc w:val="center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4EF59C8" w14:textId="3224016F" w:rsidR="007B30A1" w:rsidRPr="00F14641" w:rsidRDefault="0050134C" w:rsidP="003D3E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="007B30A1" w:rsidRPr="00F14641">
              <w:rPr>
                <w:rFonts w:ascii="Calibri" w:hAnsi="Calibri" w:cs="Calibri"/>
                <w:sz w:val="20"/>
                <w:szCs w:val="20"/>
              </w:rPr>
              <w:t>okumentace (červenec 2008)</w:t>
            </w:r>
          </w:p>
        </w:tc>
        <w:tc>
          <w:tcPr>
            <w:tcW w:w="622" w:type="dxa"/>
            <w:tcBorders>
              <w:top w:val="single" w:sz="8" w:space="0" w:color="auto"/>
            </w:tcBorders>
            <w:vAlign w:val="center"/>
          </w:tcPr>
          <w:p w14:paraId="5D541656" w14:textId="77777777" w:rsidR="007B30A1" w:rsidRPr="00F14641" w:rsidRDefault="007B30A1" w:rsidP="000F6B2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50,0</w:t>
            </w:r>
          </w:p>
        </w:tc>
        <w:tc>
          <w:tcPr>
            <w:tcW w:w="672" w:type="dxa"/>
            <w:tcBorders>
              <w:top w:val="single" w:sz="8" w:space="0" w:color="auto"/>
            </w:tcBorders>
            <w:vAlign w:val="center"/>
          </w:tcPr>
          <w:p w14:paraId="7DE9C26C" w14:textId="77777777" w:rsidR="007B30A1" w:rsidRPr="00F14641" w:rsidRDefault="007B30A1" w:rsidP="000F6B2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484,3</w:t>
            </w:r>
          </w:p>
        </w:tc>
        <w:tc>
          <w:tcPr>
            <w:tcW w:w="672" w:type="dxa"/>
            <w:tcBorders>
              <w:top w:val="single" w:sz="8" w:space="0" w:color="auto"/>
            </w:tcBorders>
            <w:vAlign w:val="center"/>
          </w:tcPr>
          <w:p w14:paraId="0BD499A1" w14:textId="77777777" w:rsidR="007B30A1" w:rsidRPr="00F14641" w:rsidRDefault="007B30A1" w:rsidP="000F6B2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486,5</w:t>
            </w:r>
          </w:p>
        </w:tc>
        <w:tc>
          <w:tcPr>
            <w:tcW w:w="672" w:type="dxa"/>
            <w:tcBorders>
              <w:top w:val="single" w:sz="8" w:space="0" w:color="auto"/>
            </w:tcBorders>
            <w:vAlign w:val="center"/>
          </w:tcPr>
          <w:p w14:paraId="76167AA5" w14:textId="77777777" w:rsidR="007B30A1" w:rsidRPr="00F14641" w:rsidRDefault="007B30A1" w:rsidP="000F6B2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482,5</w:t>
            </w:r>
          </w:p>
        </w:tc>
        <w:tc>
          <w:tcPr>
            <w:tcW w:w="6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76BFEE1" w14:textId="77777777" w:rsidR="007B30A1" w:rsidRPr="00F14641" w:rsidRDefault="007B30A1" w:rsidP="000F6B2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483,8</w:t>
            </w:r>
          </w:p>
        </w:tc>
        <w:tc>
          <w:tcPr>
            <w:tcW w:w="6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51DF027" w14:textId="77777777" w:rsidR="007B30A1" w:rsidRPr="00F14641" w:rsidRDefault="007B30A1" w:rsidP="000F6B2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0</w:t>
            </w:r>
            <w:r w:rsidR="0050134C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672" w:type="dxa"/>
            <w:tcBorders>
              <w:top w:val="single" w:sz="8" w:space="0" w:color="auto"/>
            </w:tcBorders>
            <w:vAlign w:val="center"/>
          </w:tcPr>
          <w:p w14:paraId="4892F005" w14:textId="77777777" w:rsidR="007B30A1" w:rsidRPr="00F14641" w:rsidRDefault="007B30A1" w:rsidP="000F6B2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0</w:t>
            </w:r>
            <w:r w:rsidR="0050134C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90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80EC037" w14:textId="77777777" w:rsidR="007B30A1" w:rsidRPr="00F14641" w:rsidRDefault="007B30A1" w:rsidP="000F6B2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0</w:t>
            </w:r>
            <w:r w:rsidR="0050134C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832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F0D3FF" w14:textId="77777777" w:rsidR="007B30A1" w:rsidRPr="00F14641" w:rsidRDefault="00A600C4" w:rsidP="000F6B2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1 987</w:t>
            </w:r>
            <w:r w:rsidR="00CD1855" w:rsidRPr="00F14641">
              <w:rPr>
                <w:rFonts w:ascii="Calibri" w:hAnsi="Calibri" w:cs="Calibri"/>
                <w:sz w:val="20"/>
                <w:szCs w:val="20"/>
              </w:rPr>
              <w:t>,1</w:t>
            </w:r>
          </w:p>
        </w:tc>
      </w:tr>
      <w:tr w:rsidR="007B30A1" w:rsidRPr="00F14641" w14:paraId="0B00AD19" w14:textId="77777777" w:rsidTr="000F6B2D">
        <w:trPr>
          <w:trHeight w:val="283"/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EAF268" w14:textId="77777777" w:rsidR="007B30A1" w:rsidRPr="00F14641" w:rsidRDefault="00BC58E7" w:rsidP="003D3E73">
            <w:pPr>
              <w:pStyle w:val="Odstavecseseznamem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1. změna (únor 2013</w:t>
            </w:r>
            <w:r w:rsidR="007B30A1" w:rsidRPr="00F14641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622" w:type="dxa"/>
            <w:vAlign w:val="center"/>
          </w:tcPr>
          <w:p w14:paraId="6D62683B" w14:textId="77777777" w:rsidR="007B30A1" w:rsidRPr="00F14641" w:rsidRDefault="00BC58E7" w:rsidP="000F6B2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75,5</w:t>
            </w:r>
          </w:p>
        </w:tc>
        <w:tc>
          <w:tcPr>
            <w:tcW w:w="672" w:type="dxa"/>
            <w:vAlign w:val="center"/>
          </w:tcPr>
          <w:p w14:paraId="73458136" w14:textId="77777777" w:rsidR="007B30A1" w:rsidRPr="00F14641" w:rsidRDefault="00C65035" w:rsidP="000F6B2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199,2</w:t>
            </w:r>
          </w:p>
        </w:tc>
        <w:tc>
          <w:tcPr>
            <w:tcW w:w="672" w:type="dxa"/>
            <w:vAlign w:val="center"/>
          </w:tcPr>
          <w:p w14:paraId="4C7AF678" w14:textId="77777777" w:rsidR="007B30A1" w:rsidRPr="00F14641" w:rsidRDefault="00BC58E7" w:rsidP="000F6B2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258,2</w:t>
            </w:r>
          </w:p>
        </w:tc>
        <w:tc>
          <w:tcPr>
            <w:tcW w:w="672" w:type="dxa"/>
            <w:vAlign w:val="center"/>
          </w:tcPr>
          <w:p w14:paraId="244E2B31" w14:textId="77777777" w:rsidR="007B30A1" w:rsidRPr="00F14641" w:rsidRDefault="00BC58E7" w:rsidP="000F6B2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387,2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65DBC938" w14:textId="77777777" w:rsidR="007B30A1" w:rsidRPr="00F14641" w:rsidRDefault="00BC58E7" w:rsidP="000F6B2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298,5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3BC3620E" w14:textId="77777777" w:rsidR="007B30A1" w:rsidRPr="00F14641" w:rsidRDefault="00BC58E7" w:rsidP="000F6B2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270,5</w:t>
            </w:r>
          </w:p>
        </w:tc>
        <w:tc>
          <w:tcPr>
            <w:tcW w:w="672" w:type="dxa"/>
            <w:vAlign w:val="center"/>
          </w:tcPr>
          <w:p w14:paraId="51957E77" w14:textId="77777777" w:rsidR="007B30A1" w:rsidRPr="00F14641" w:rsidRDefault="00BC58E7" w:rsidP="000F6B2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270,5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F216ABA" w14:textId="77777777" w:rsidR="007B30A1" w:rsidRPr="00F14641" w:rsidRDefault="00BC58E7" w:rsidP="000F6B2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0</w:t>
            </w:r>
            <w:r w:rsidR="0050134C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8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08570E" w14:textId="77777777" w:rsidR="007B30A1" w:rsidRPr="00F14641" w:rsidRDefault="00BC58E7" w:rsidP="000F6B2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1</w:t>
            </w:r>
            <w:r w:rsidR="00DB2620" w:rsidRPr="00F1464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14641">
              <w:rPr>
                <w:rFonts w:ascii="Calibri" w:hAnsi="Calibri" w:cs="Calibri"/>
                <w:sz w:val="20"/>
                <w:szCs w:val="20"/>
              </w:rPr>
              <w:t>759,6</w:t>
            </w:r>
          </w:p>
        </w:tc>
      </w:tr>
      <w:tr w:rsidR="007B30A1" w:rsidRPr="00F14641" w14:paraId="44429A98" w14:textId="77777777" w:rsidTr="000F6B2D">
        <w:trPr>
          <w:trHeight w:val="283"/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FD590C" w14:textId="77777777" w:rsidR="007B30A1" w:rsidRPr="00F14641" w:rsidRDefault="007B30A1" w:rsidP="003D3E73">
            <w:pPr>
              <w:pStyle w:val="Odstavecseseznamem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2. změna</w:t>
            </w:r>
            <w:r w:rsidR="00BC58E7" w:rsidRPr="00F14641">
              <w:rPr>
                <w:rFonts w:ascii="Calibri" w:hAnsi="Calibri" w:cs="Calibri"/>
                <w:sz w:val="20"/>
                <w:szCs w:val="20"/>
              </w:rPr>
              <w:t xml:space="preserve"> (prosinec</w:t>
            </w:r>
            <w:r w:rsidR="00CD1855" w:rsidRPr="00F14641">
              <w:rPr>
                <w:rFonts w:ascii="Calibri" w:hAnsi="Calibri" w:cs="Calibri"/>
                <w:sz w:val="20"/>
                <w:szCs w:val="20"/>
              </w:rPr>
              <w:t xml:space="preserve"> 2013</w:t>
            </w:r>
            <w:r w:rsidRPr="00F14641">
              <w:rPr>
                <w:rFonts w:ascii="Calibri" w:hAnsi="Calibri" w:cs="Calibri"/>
                <w:sz w:val="20"/>
                <w:szCs w:val="20"/>
              </w:rPr>
              <w:t xml:space="preserve">) </w:t>
            </w:r>
          </w:p>
        </w:tc>
        <w:tc>
          <w:tcPr>
            <w:tcW w:w="622" w:type="dxa"/>
            <w:vAlign w:val="center"/>
          </w:tcPr>
          <w:p w14:paraId="194DE758" w14:textId="77777777" w:rsidR="007B30A1" w:rsidRPr="00F14641" w:rsidRDefault="00BC58E7" w:rsidP="000F6B2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75,5</w:t>
            </w:r>
          </w:p>
        </w:tc>
        <w:tc>
          <w:tcPr>
            <w:tcW w:w="672" w:type="dxa"/>
            <w:vAlign w:val="center"/>
          </w:tcPr>
          <w:p w14:paraId="5CB0E778" w14:textId="77777777" w:rsidR="007B30A1" w:rsidRPr="00F14641" w:rsidRDefault="00C65035" w:rsidP="000F6B2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199,2</w:t>
            </w:r>
          </w:p>
        </w:tc>
        <w:tc>
          <w:tcPr>
            <w:tcW w:w="672" w:type="dxa"/>
            <w:vAlign w:val="center"/>
          </w:tcPr>
          <w:p w14:paraId="09ACD1E5" w14:textId="77777777" w:rsidR="007B30A1" w:rsidRPr="00F14641" w:rsidRDefault="00BC58E7" w:rsidP="000F6B2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258,2</w:t>
            </w:r>
          </w:p>
        </w:tc>
        <w:tc>
          <w:tcPr>
            <w:tcW w:w="672" w:type="dxa"/>
            <w:vAlign w:val="center"/>
          </w:tcPr>
          <w:p w14:paraId="45FCF5DD" w14:textId="77777777" w:rsidR="007B30A1" w:rsidRPr="00F14641" w:rsidRDefault="00BC58E7" w:rsidP="000F6B2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287,7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1470F78E" w14:textId="77777777" w:rsidR="007B30A1" w:rsidRPr="00F14641" w:rsidRDefault="00BC58E7" w:rsidP="000F6B2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354,7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4CD5B503" w14:textId="77777777" w:rsidR="007B30A1" w:rsidRPr="00F14641" w:rsidRDefault="00BC58E7" w:rsidP="000F6B2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542,4</w:t>
            </w:r>
          </w:p>
        </w:tc>
        <w:tc>
          <w:tcPr>
            <w:tcW w:w="672" w:type="dxa"/>
            <w:vAlign w:val="center"/>
          </w:tcPr>
          <w:p w14:paraId="3D8E174C" w14:textId="77777777" w:rsidR="007B30A1" w:rsidRPr="00F14641" w:rsidRDefault="00BC58E7" w:rsidP="000F6B2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626,0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F2084F8" w14:textId="77777777" w:rsidR="007B30A1" w:rsidRPr="00F14641" w:rsidRDefault="00BC58E7" w:rsidP="000F6B2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1</w:t>
            </w:r>
            <w:r w:rsidR="00DB2620" w:rsidRPr="00F1464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14641">
              <w:rPr>
                <w:rFonts w:ascii="Calibri" w:hAnsi="Calibri" w:cs="Calibri"/>
                <w:sz w:val="20"/>
                <w:szCs w:val="20"/>
              </w:rPr>
              <w:t>249,5</w:t>
            </w:r>
          </w:p>
        </w:tc>
        <w:tc>
          <w:tcPr>
            <w:tcW w:w="8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99E712" w14:textId="77777777" w:rsidR="007B30A1" w:rsidRPr="00F14641" w:rsidRDefault="00BC58E7" w:rsidP="000F6B2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3</w:t>
            </w:r>
            <w:r w:rsidR="00DB2620" w:rsidRPr="00F1464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14641">
              <w:rPr>
                <w:rFonts w:ascii="Calibri" w:hAnsi="Calibri" w:cs="Calibri"/>
                <w:sz w:val="20"/>
                <w:szCs w:val="20"/>
              </w:rPr>
              <w:t>593,2</w:t>
            </w:r>
          </w:p>
        </w:tc>
      </w:tr>
      <w:tr w:rsidR="007B30A1" w:rsidRPr="00F14641" w14:paraId="3C0CF81F" w14:textId="77777777" w:rsidTr="000F6B2D">
        <w:trPr>
          <w:trHeight w:val="283"/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319934" w14:textId="77777777" w:rsidR="007B30A1" w:rsidRPr="00F14641" w:rsidRDefault="007B30A1" w:rsidP="003D3E73">
            <w:pPr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Rozpočet</w:t>
            </w:r>
          </w:p>
        </w:tc>
        <w:tc>
          <w:tcPr>
            <w:tcW w:w="622" w:type="dxa"/>
            <w:vAlign w:val="center"/>
          </w:tcPr>
          <w:p w14:paraId="6BCF2D84" w14:textId="77777777" w:rsidR="007B30A1" w:rsidRPr="00F14641" w:rsidRDefault="00BC58E7" w:rsidP="000F6B2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15,0</w:t>
            </w:r>
          </w:p>
        </w:tc>
        <w:tc>
          <w:tcPr>
            <w:tcW w:w="672" w:type="dxa"/>
            <w:vAlign w:val="center"/>
          </w:tcPr>
          <w:p w14:paraId="061201B0" w14:textId="77777777" w:rsidR="007B30A1" w:rsidRPr="00F14641" w:rsidRDefault="00C65035" w:rsidP="000F6B2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150,7</w:t>
            </w:r>
          </w:p>
        </w:tc>
        <w:tc>
          <w:tcPr>
            <w:tcW w:w="672" w:type="dxa"/>
            <w:vAlign w:val="center"/>
          </w:tcPr>
          <w:p w14:paraId="7BD78397" w14:textId="77777777" w:rsidR="007B30A1" w:rsidRPr="00F14641" w:rsidRDefault="00BC58E7" w:rsidP="000F6B2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234,5</w:t>
            </w:r>
          </w:p>
        </w:tc>
        <w:tc>
          <w:tcPr>
            <w:tcW w:w="672" w:type="dxa"/>
            <w:vAlign w:val="center"/>
          </w:tcPr>
          <w:p w14:paraId="15E04313" w14:textId="77777777" w:rsidR="007B30A1" w:rsidRPr="00F14641" w:rsidRDefault="00C65035" w:rsidP="000F6B2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285,9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5779F642" w14:textId="77777777" w:rsidR="007B30A1" w:rsidRPr="00F14641" w:rsidRDefault="00BC58E7" w:rsidP="000F6B2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298,2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7CE93151" w14:textId="77777777" w:rsidR="007B30A1" w:rsidRPr="00F14641" w:rsidRDefault="00BC58E7" w:rsidP="000F6B2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542,4</w:t>
            </w:r>
          </w:p>
        </w:tc>
        <w:tc>
          <w:tcPr>
            <w:tcW w:w="672" w:type="dxa"/>
            <w:vAlign w:val="center"/>
          </w:tcPr>
          <w:p w14:paraId="1915ED7C" w14:textId="77777777" w:rsidR="007B30A1" w:rsidRPr="00F14641" w:rsidRDefault="00BC58E7" w:rsidP="000F6B2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660,0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94467AA" w14:textId="77777777" w:rsidR="007B30A1" w:rsidRPr="00F14641" w:rsidRDefault="007B30A1" w:rsidP="000F6B2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49D8BF" w14:textId="77777777" w:rsidR="007B30A1" w:rsidRPr="00F14641" w:rsidRDefault="007D2606" w:rsidP="000F6B2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2</w:t>
            </w:r>
            <w:r w:rsidR="00DB2620" w:rsidRPr="00F1464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14641">
              <w:rPr>
                <w:rFonts w:ascii="Calibri" w:hAnsi="Calibri" w:cs="Calibri"/>
                <w:sz w:val="20"/>
                <w:szCs w:val="20"/>
              </w:rPr>
              <w:t>1</w:t>
            </w:r>
            <w:r w:rsidR="00BC58E7" w:rsidRPr="00F14641">
              <w:rPr>
                <w:rFonts w:ascii="Calibri" w:hAnsi="Calibri" w:cs="Calibri"/>
                <w:sz w:val="20"/>
                <w:szCs w:val="20"/>
              </w:rPr>
              <w:t>86,7</w:t>
            </w:r>
          </w:p>
        </w:tc>
      </w:tr>
      <w:tr w:rsidR="007B30A1" w:rsidRPr="00F14641" w14:paraId="1AEE1DBD" w14:textId="77777777" w:rsidTr="000F6B2D">
        <w:trPr>
          <w:trHeight w:val="283"/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9783D8" w14:textId="77777777" w:rsidR="007B30A1" w:rsidRPr="00F14641" w:rsidRDefault="007B30A1" w:rsidP="003D3E73">
            <w:pPr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Skutečnost</w:t>
            </w:r>
          </w:p>
        </w:tc>
        <w:tc>
          <w:tcPr>
            <w:tcW w:w="622" w:type="dxa"/>
            <w:vAlign w:val="center"/>
          </w:tcPr>
          <w:p w14:paraId="47A9D35B" w14:textId="77777777" w:rsidR="007B30A1" w:rsidRPr="00F14641" w:rsidRDefault="00BC58E7" w:rsidP="000F6B2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75,5</w:t>
            </w:r>
          </w:p>
        </w:tc>
        <w:tc>
          <w:tcPr>
            <w:tcW w:w="672" w:type="dxa"/>
            <w:vAlign w:val="center"/>
          </w:tcPr>
          <w:p w14:paraId="591E1463" w14:textId="77777777" w:rsidR="007B30A1" w:rsidRPr="00F14641" w:rsidRDefault="00C65035" w:rsidP="000F6B2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199,2</w:t>
            </w:r>
          </w:p>
        </w:tc>
        <w:tc>
          <w:tcPr>
            <w:tcW w:w="672" w:type="dxa"/>
            <w:vAlign w:val="center"/>
          </w:tcPr>
          <w:p w14:paraId="7200FAFF" w14:textId="77777777" w:rsidR="007B30A1" w:rsidRPr="00F14641" w:rsidRDefault="00BC58E7" w:rsidP="000F6B2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258,2</w:t>
            </w:r>
          </w:p>
        </w:tc>
        <w:tc>
          <w:tcPr>
            <w:tcW w:w="672" w:type="dxa"/>
            <w:vAlign w:val="center"/>
          </w:tcPr>
          <w:p w14:paraId="2AA9EB18" w14:textId="77777777" w:rsidR="007B30A1" w:rsidRPr="00F14641" w:rsidRDefault="00BC58E7" w:rsidP="000F6B2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287,7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53ACC545" w14:textId="77777777" w:rsidR="007B30A1" w:rsidRPr="00F14641" w:rsidRDefault="00BC58E7" w:rsidP="000F6B2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196,9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2618C1D5" w14:textId="77777777" w:rsidR="007B30A1" w:rsidRPr="00F14641" w:rsidRDefault="00BC58E7" w:rsidP="000F6B2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221,3</w:t>
            </w:r>
          </w:p>
        </w:tc>
        <w:tc>
          <w:tcPr>
            <w:tcW w:w="672" w:type="dxa"/>
            <w:vAlign w:val="center"/>
          </w:tcPr>
          <w:p w14:paraId="1ED0D316" w14:textId="77777777" w:rsidR="007B30A1" w:rsidRPr="00F14641" w:rsidRDefault="007B30A1" w:rsidP="000F6B2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4C3EAA24" w14:textId="77777777" w:rsidR="007B30A1" w:rsidRPr="00F14641" w:rsidRDefault="007B30A1" w:rsidP="000F6B2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11F4EE" w14:textId="77777777" w:rsidR="007B30A1" w:rsidRPr="00F14641" w:rsidRDefault="00BC58E7" w:rsidP="000F6B2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14641">
              <w:rPr>
                <w:rFonts w:ascii="Calibri" w:hAnsi="Calibri" w:cs="Calibri"/>
                <w:sz w:val="20"/>
                <w:szCs w:val="20"/>
              </w:rPr>
              <w:t>1</w:t>
            </w:r>
            <w:r w:rsidR="00DB2620" w:rsidRPr="00F1464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14641">
              <w:rPr>
                <w:rFonts w:ascii="Calibri" w:hAnsi="Calibri" w:cs="Calibri"/>
                <w:sz w:val="20"/>
                <w:szCs w:val="20"/>
              </w:rPr>
              <w:t>238,8</w:t>
            </w:r>
          </w:p>
        </w:tc>
      </w:tr>
    </w:tbl>
    <w:p w14:paraId="3BF795E1" w14:textId="77777777" w:rsidR="007B30A1" w:rsidRPr="00A315CB" w:rsidRDefault="007B30A1" w:rsidP="00F14641">
      <w:pPr>
        <w:spacing w:before="40"/>
        <w:rPr>
          <w:rFonts w:asciiTheme="minorHAnsi" w:hAnsiTheme="minorHAnsi" w:cstheme="minorHAnsi"/>
          <w:bCs/>
          <w:sz w:val="20"/>
          <w:szCs w:val="20"/>
        </w:rPr>
      </w:pPr>
      <w:r w:rsidRPr="00A315CB">
        <w:rPr>
          <w:rFonts w:asciiTheme="minorHAnsi" w:hAnsiTheme="minorHAnsi" w:cstheme="minorHAnsi"/>
          <w:b/>
          <w:bCs/>
          <w:sz w:val="20"/>
          <w:szCs w:val="20"/>
        </w:rPr>
        <w:t>Zdroj:</w:t>
      </w:r>
      <w:r w:rsidRPr="00A315CB">
        <w:rPr>
          <w:rFonts w:asciiTheme="minorHAnsi" w:hAnsiTheme="minorHAnsi" w:cstheme="minorHAnsi"/>
          <w:bCs/>
          <w:sz w:val="20"/>
          <w:szCs w:val="20"/>
        </w:rPr>
        <w:t xml:space="preserve"> dokumentace programu 136 110 včetně z</w:t>
      </w:r>
      <w:r w:rsidR="00F6004D" w:rsidRPr="00A315CB">
        <w:rPr>
          <w:rFonts w:asciiTheme="minorHAnsi" w:hAnsiTheme="minorHAnsi" w:cstheme="minorHAnsi"/>
          <w:bCs/>
          <w:sz w:val="20"/>
          <w:szCs w:val="20"/>
        </w:rPr>
        <w:t>měn, závěrečné úč</w:t>
      </w:r>
      <w:r w:rsidRPr="00A315CB">
        <w:rPr>
          <w:rFonts w:asciiTheme="minorHAnsi" w:hAnsiTheme="minorHAnsi" w:cstheme="minorHAnsi"/>
          <w:bCs/>
          <w:sz w:val="20"/>
          <w:szCs w:val="20"/>
        </w:rPr>
        <w:t>t</w:t>
      </w:r>
      <w:r w:rsidR="00F6004D" w:rsidRPr="00A315CB">
        <w:rPr>
          <w:rFonts w:asciiTheme="minorHAnsi" w:hAnsiTheme="minorHAnsi" w:cstheme="minorHAnsi"/>
          <w:bCs/>
          <w:sz w:val="20"/>
          <w:szCs w:val="20"/>
        </w:rPr>
        <w:t>y</w:t>
      </w:r>
      <w:r w:rsidRPr="00A315CB">
        <w:rPr>
          <w:rFonts w:asciiTheme="minorHAnsi" w:hAnsiTheme="minorHAnsi" w:cstheme="minorHAnsi"/>
          <w:bCs/>
          <w:sz w:val="20"/>
          <w:szCs w:val="20"/>
        </w:rPr>
        <w:t xml:space="preserve"> kapitoly MSp. </w:t>
      </w:r>
    </w:p>
    <w:p w14:paraId="243DB7C0" w14:textId="77777777" w:rsidR="007B30A1" w:rsidRPr="00A315CB" w:rsidRDefault="007B30A1" w:rsidP="004C031F">
      <w:pPr>
        <w:pStyle w:val="Default"/>
        <w:spacing w:line="264" w:lineRule="auto"/>
        <w:jc w:val="both"/>
        <w:rPr>
          <w:rFonts w:asciiTheme="minorHAnsi" w:hAnsiTheme="minorHAnsi" w:cstheme="minorHAnsi"/>
          <w:color w:val="auto"/>
          <w:lang w:eastAsia="en-US"/>
        </w:rPr>
      </w:pPr>
    </w:p>
    <w:p w14:paraId="6EBF0083" w14:textId="2A57E035" w:rsidR="00D00178" w:rsidRPr="00A315CB" w:rsidRDefault="00BF391A" w:rsidP="00F14641">
      <w:pPr>
        <w:pStyle w:val="Odstavecseseznamem"/>
        <w:numPr>
          <w:ilvl w:val="0"/>
          <w:numId w:val="11"/>
        </w:numPr>
        <w:spacing w:line="264" w:lineRule="auto"/>
        <w:ind w:left="284" w:hanging="284"/>
        <w:jc w:val="both"/>
        <w:rPr>
          <w:rFonts w:asciiTheme="minorHAnsi" w:hAnsiTheme="minorHAnsi" w:cstheme="minorHAnsi"/>
          <w:lang w:eastAsia="en-US"/>
        </w:rPr>
      </w:pPr>
      <w:r w:rsidRPr="00A315CB">
        <w:rPr>
          <w:rFonts w:asciiTheme="minorHAnsi" w:hAnsiTheme="minorHAnsi" w:cstheme="minorHAnsi"/>
          <w:lang w:eastAsia="en-US"/>
        </w:rPr>
        <w:t xml:space="preserve">Program </w:t>
      </w:r>
      <w:r w:rsidR="000E67B9" w:rsidRPr="00A315CB">
        <w:rPr>
          <w:rFonts w:asciiTheme="minorHAnsi" w:hAnsiTheme="minorHAnsi" w:cstheme="minorHAnsi"/>
          <w:lang w:eastAsia="en-US"/>
        </w:rPr>
        <w:t>č. 2</w:t>
      </w:r>
      <w:r w:rsidRPr="00A315CB">
        <w:rPr>
          <w:rFonts w:asciiTheme="minorHAnsi" w:hAnsiTheme="minorHAnsi" w:cstheme="minorHAnsi"/>
          <w:lang w:eastAsia="en-US"/>
        </w:rPr>
        <w:t>36</w:t>
      </w:r>
      <w:r w:rsidR="0050134C">
        <w:rPr>
          <w:rFonts w:asciiTheme="minorHAnsi" w:hAnsiTheme="minorHAnsi" w:cstheme="minorHAnsi"/>
          <w:lang w:eastAsia="en-US"/>
        </w:rPr>
        <w:t> </w:t>
      </w:r>
      <w:r w:rsidRPr="00A315CB">
        <w:rPr>
          <w:rFonts w:asciiTheme="minorHAnsi" w:hAnsiTheme="minorHAnsi" w:cstheme="minorHAnsi"/>
          <w:lang w:eastAsia="en-US"/>
        </w:rPr>
        <w:t>210</w:t>
      </w:r>
      <w:r w:rsidR="0050134C">
        <w:rPr>
          <w:rFonts w:asciiTheme="minorHAnsi" w:hAnsiTheme="minorHAnsi" w:cstheme="minorHAnsi"/>
          <w:lang w:eastAsia="en-US"/>
        </w:rPr>
        <w:t> –</w:t>
      </w:r>
      <w:r w:rsidRPr="00A315CB">
        <w:rPr>
          <w:rFonts w:asciiTheme="minorHAnsi" w:hAnsiTheme="minorHAnsi" w:cstheme="minorHAnsi"/>
          <w:lang w:eastAsia="en-US"/>
        </w:rPr>
        <w:t xml:space="preserve"> </w:t>
      </w:r>
      <w:r w:rsidR="000E67B9" w:rsidRPr="00A315CB">
        <w:rPr>
          <w:rFonts w:asciiTheme="minorHAnsi" w:hAnsiTheme="minorHAnsi" w:cstheme="minorHAnsi"/>
          <w:i/>
          <w:lang w:eastAsia="en-US"/>
        </w:rPr>
        <w:t>Rozvoj a obnova materiálně technické základny vězeňství</w:t>
      </w:r>
      <w:r w:rsidR="00BC58E7" w:rsidRPr="00A315CB">
        <w:rPr>
          <w:rFonts w:asciiTheme="minorHAnsi" w:hAnsiTheme="minorHAnsi" w:cstheme="minorHAnsi"/>
          <w:lang w:eastAsia="en-US"/>
        </w:rPr>
        <w:t xml:space="preserve"> (dále také „program 236 210“) měl být realizován v</w:t>
      </w:r>
      <w:r w:rsidR="00DB2620" w:rsidRPr="00A315CB">
        <w:rPr>
          <w:rFonts w:asciiTheme="minorHAnsi" w:hAnsiTheme="minorHAnsi" w:cstheme="minorHAnsi"/>
          <w:lang w:eastAsia="en-US"/>
        </w:rPr>
        <w:t xml:space="preserve"> </w:t>
      </w:r>
      <w:r w:rsidR="00BC58E7" w:rsidRPr="00A315CB">
        <w:rPr>
          <w:rFonts w:asciiTheme="minorHAnsi" w:hAnsiTheme="minorHAnsi" w:cstheme="minorHAnsi"/>
          <w:lang w:eastAsia="en-US"/>
        </w:rPr>
        <w:t>letech 2003 až 2007 s</w:t>
      </w:r>
      <w:r w:rsidR="00DB2620" w:rsidRPr="00A315CB">
        <w:rPr>
          <w:rFonts w:asciiTheme="minorHAnsi" w:hAnsiTheme="minorHAnsi" w:cstheme="minorHAnsi"/>
          <w:lang w:eastAsia="en-US"/>
        </w:rPr>
        <w:t xml:space="preserve"> </w:t>
      </w:r>
      <w:r w:rsidR="00BC58E7" w:rsidRPr="00A315CB">
        <w:rPr>
          <w:rFonts w:asciiTheme="minorHAnsi" w:hAnsiTheme="minorHAnsi" w:cstheme="minorHAnsi"/>
          <w:lang w:eastAsia="en-US"/>
        </w:rPr>
        <w:t>celkovými v</w:t>
      </w:r>
      <w:r w:rsidR="00F14641">
        <w:rPr>
          <w:rFonts w:asciiTheme="minorHAnsi" w:hAnsiTheme="minorHAnsi" w:cstheme="minorHAnsi"/>
          <w:lang w:eastAsia="en-US"/>
        </w:rPr>
        <w:t>ýdaji 3 369,808 mil. </w:t>
      </w:r>
      <w:r w:rsidR="00C65035" w:rsidRPr="00A315CB">
        <w:rPr>
          <w:rFonts w:asciiTheme="minorHAnsi" w:hAnsiTheme="minorHAnsi" w:cstheme="minorHAnsi"/>
          <w:lang w:eastAsia="en-US"/>
        </w:rPr>
        <w:t>Kč. Š</w:t>
      </w:r>
      <w:r w:rsidR="00BC58E7" w:rsidRPr="00A315CB">
        <w:rPr>
          <w:rFonts w:asciiTheme="minorHAnsi" w:hAnsiTheme="minorHAnsi" w:cstheme="minorHAnsi"/>
          <w:lang w:eastAsia="en-US"/>
        </w:rPr>
        <w:t xml:space="preserve">esti změnami dokumentace byl </w:t>
      </w:r>
      <w:r w:rsidR="00C65035" w:rsidRPr="00A315CB">
        <w:rPr>
          <w:rFonts w:asciiTheme="minorHAnsi" w:hAnsiTheme="minorHAnsi" w:cstheme="minorHAnsi"/>
          <w:lang w:eastAsia="en-US"/>
        </w:rPr>
        <w:t xml:space="preserve">postupně </w:t>
      </w:r>
      <w:r w:rsidR="00BC58E7" w:rsidRPr="00A315CB">
        <w:rPr>
          <w:rFonts w:asciiTheme="minorHAnsi" w:hAnsiTheme="minorHAnsi" w:cstheme="minorHAnsi"/>
          <w:lang w:eastAsia="en-US"/>
        </w:rPr>
        <w:t>prodloužen do konce roku 2016.</w:t>
      </w:r>
      <w:r w:rsidR="00DB2620" w:rsidRPr="00A315CB">
        <w:rPr>
          <w:rFonts w:asciiTheme="minorHAnsi" w:hAnsiTheme="minorHAnsi" w:cstheme="minorHAnsi"/>
          <w:lang w:eastAsia="en-US"/>
        </w:rPr>
        <w:t xml:space="preserve"> </w:t>
      </w:r>
      <w:r w:rsidR="00C65035" w:rsidRPr="00A315CB">
        <w:rPr>
          <w:rFonts w:asciiTheme="minorHAnsi" w:hAnsiTheme="minorHAnsi" w:cstheme="minorHAnsi"/>
          <w:lang w:eastAsia="en-US"/>
        </w:rPr>
        <w:t xml:space="preserve">Náplní programu </w:t>
      </w:r>
      <w:r w:rsidR="00A023F2" w:rsidRPr="00A315CB">
        <w:rPr>
          <w:rFonts w:asciiTheme="minorHAnsi" w:hAnsiTheme="minorHAnsi" w:cstheme="minorHAnsi"/>
        </w:rPr>
        <w:t>byl</w:t>
      </w:r>
      <w:r w:rsidR="00C65035" w:rsidRPr="00A315CB">
        <w:rPr>
          <w:rFonts w:asciiTheme="minorHAnsi" w:hAnsiTheme="minorHAnsi" w:cstheme="minorHAnsi"/>
        </w:rPr>
        <w:t xml:space="preserve">a </w:t>
      </w:r>
      <w:r w:rsidR="00A023F2" w:rsidRPr="00A315CB">
        <w:rPr>
          <w:rFonts w:asciiTheme="minorHAnsi" w:hAnsiTheme="minorHAnsi" w:cstheme="minorHAnsi"/>
        </w:rPr>
        <w:t>o</w:t>
      </w:r>
      <w:r w:rsidR="00C65035" w:rsidRPr="00A315CB">
        <w:rPr>
          <w:rFonts w:asciiTheme="minorHAnsi" w:hAnsiTheme="minorHAnsi" w:cstheme="minorHAnsi"/>
        </w:rPr>
        <w:t>bnova</w:t>
      </w:r>
      <w:r w:rsidR="00D00178" w:rsidRPr="00A315CB">
        <w:rPr>
          <w:rFonts w:asciiTheme="minorHAnsi" w:hAnsiTheme="minorHAnsi" w:cstheme="minorHAnsi"/>
        </w:rPr>
        <w:t xml:space="preserve"> majetku VS.</w:t>
      </w:r>
      <w:r w:rsidR="00A023F2" w:rsidRPr="00A315CB">
        <w:rPr>
          <w:rFonts w:asciiTheme="minorHAnsi" w:hAnsiTheme="minorHAnsi" w:cstheme="minorHAnsi"/>
        </w:rPr>
        <w:t xml:space="preserve"> </w:t>
      </w:r>
      <w:r w:rsidR="00D00178" w:rsidRPr="00A315CB">
        <w:rPr>
          <w:rFonts w:asciiTheme="minorHAnsi" w:hAnsiTheme="minorHAnsi" w:cstheme="minorHAnsi"/>
          <w:lang w:eastAsia="en-US"/>
        </w:rPr>
        <w:t xml:space="preserve">Přehled </w:t>
      </w:r>
      <w:r w:rsidR="00A600C4" w:rsidRPr="00A315CB">
        <w:rPr>
          <w:rFonts w:asciiTheme="minorHAnsi" w:hAnsiTheme="minorHAnsi" w:cstheme="minorHAnsi"/>
          <w:lang w:eastAsia="en-US"/>
        </w:rPr>
        <w:t>o peněžních</w:t>
      </w:r>
      <w:r w:rsidR="00D00178" w:rsidRPr="00A315CB">
        <w:rPr>
          <w:rFonts w:asciiTheme="minorHAnsi" w:hAnsiTheme="minorHAnsi" w:cstheme="minorHAnsi"/>
          <w:lang w:eastAsia="en-US"/>
        </w:rPr>
        <w:t xml:space="preserve"> prostřed</w:t>
      </w:r>
      <w:r w:rsidR="007D2606" w:rsidRPr="00A315CB">
        <w:rPr>
          <w:rFonts w:asciiTheme="minorHAnsi" w:hAnsiTheme="minorHAnsi" w:cstheme="minorHAnsi"/>
          <w:lang w:eastAsia="en-US"/>
        </w:rPr>
        <w:t>cích stanovených v</w:t>
      </w:r>
      <w:r w:rsidR="00F14641">
        <w:rPr>
          <w:rFonts w:asciiTheme="minorHAnsi" w:hAnsiTheme="minorHAnsi" w:cstheme="minorHAnsi"/>
          <w:lang w:eastAsia="en-US"/>
        </w:rPr>
        <w:t> </w:t>
      </w:r>
      <w:r w:rsidR="007D2606" w:rsidRPr="00A315CB">
        <w:rPr>
          <w:rFonts w:asciiTheme="minorHAnsi" w:hAnsiTheme="minorHAnsi" w:cstheme="minorHAnsi"/>
          <w:lang w:eastAsia="en-US"/>
        </w:rPr>
        <w:t>dokumentaci programu a její</w:t>
      </w:r>
      <w:r w:rsidR="00D00178" w:rsidRPr="00A315CB">
        <w:rPr>
          <w:rFonts w:asciiTheme="minorHAnsi" w:hAnsiTheme="minorHAnsi" w:cstheme="minorHAnsi"/>
          <w:lang w:eastAsia="en-US"/>
        </w:rPr>
        <w:t>c</w:t>
      </w:r>
      <w:r w:rsidR="00C65035" w:rsidRPr="00A315CB">
        <w:rPr>
          <w:rFonts w:asciiTheme="minorHAnsi" w:hAnsiTheme="minorHAnsi" w:cstheme="minorHAnsi"/>
          <w:lang w:eastAsia="en-US"/>
        </w:rPr>
        <w:t>h změnách, rozpočtu a</w:t>
      </w:r>
      <w:r w:rsidR="00DB2620" w:rsidRPr="00A315CB">
        <w:rPr>
          <w:rFonts w:asciiTheme="minorHAnsi" w:hAnsiTheme="minorHAnsi" w:cstheme="minorHAnsi"/>
          <w:lang w:eastAsia="en-US"/>
        </w:rPr>
        <w:t xml:space="preserve"> </w:t>
      </w:r>
      <w:r w:rsidR="00C65035" w:rsidRPr="00A315CB">
        <w:rPr>
          <w:rFonts w:asciiTheme="minorHAnsi" w:hAnsiTheme="minorHAnsi" w:cstheme="minorHAnsi"/>
          <w:lang w:eastAsia="en-US"/>
        </w:rPr>
        <w:t>skutečném</w:t>
      </w:r>
      <w:r w:rsidR="00D00178" w:rsidRPr="00A315CB">
        <w:rPr>
          <w:rFonts w:asciiTheme="minorHAnsi" w:hAnsiTheme="minorHAnsi" w:cstheme="minorHAnsi"/>
          <w:lang w:eastAsia="en-US"/>
        </w:rPr>
        <w:t xml:space="preserve"> čerpání je uveden v</w:t>
      </w:r>
      <w:r w:rsidR="00F14641">
        <w:rPr>
          <w:rFonts w:asciiTheme="minorHAnsi" w:hAnsiTheme="minorHAnsi" w:cstheme="minorHAnsi"/>
          <w:lang w:eastAsia="en-US"/>
        </w:rPr>
        <w:t> </w:t>
      </w:r>
      <w:r w:rsidR="00D00178" w:rsidRPr="00A315CB">
        <w:rPr>
          <w:rFonts w:asciiTheme="minorHAnsi" w:hAnsiTheme="minorHAnsi" w:cstheme="minorHAnsi"/>
          <w:lang w:eastAsia="en-US"/>
        </w:rPr>
        <w:t xml:space="preserve">tabulce č. 3. </w:t>
      </w:r>
    </w:p>
    <w:p w14:paraId="30839189" w14:textId="77777777" w:rsidR="00DB2620" w:rsidRPr="00A315CB" w:rsidRDefault="00DB2620">
      <w:pPr>
        <w:rPr>
          <w:rFonts w:asciiTheme="minorHAnsi" w:hAnsiTheme="minorHAnsi" w:cstheme="minorHAnsi"/>
        </w:rPr>
      </w:pPr>
      <w:r w:rsidRPr="00A315CB">
        <w:rPr>
          <w:rFonts w:asciiTheme="minorHAnsi" w:hAnsiTheme="minorHAnsi" w:cstheme="minorHAnsi"/>
        </w:rPr>
        <w:br w:type="page"/>
      </w:r>
    </w:p>
    <w:p w14:paraId="4272F6A2" w14:textId="084125C7" w:rsidR="00BC58E7" w:rsidRPr="00A315CB" w:rsidRDefault="00BC58E7" w:rsidP="00D57B03">
      <w:pPr>
        <w:tabs>
          <w:tab w:val="right" w:pos="9072"/>
        </w:tabs>
        <w:spacing w:after="40"/>
        <w:rPr>
          <w:rFonts w:asciiTheme="minorHAnsi" w:hAnsiTheme="minorHAnsi" w:cstheme="minorHAnsi"/>
          <w:bCs/>
        </w:rPr>
      </w:pPr>
      <w:r w:rsidRPr="00A315CB">
        <w:rPr>
          <w:rFonts w:asciiTheme="minorHAnsi" w:hAnsiTheme="minorHAnsi" w:cstheme="minorHAnsi"/>
          <w:b/>
          <w:bCs/>
        </w:rPr>
        <w:lastRenderedPageBreak/>
        <w:t>Ta</w:t>
      </w:r>
      <w:r w:rsidR="00D00178" w:rsidRPr="00A315CB">
        <w:rPr>
          <w:rFonts w:asciiTheme="minorHAnsi" w:hAnsiTheme="minorHAnsi" w:cstheme="minorHAnsi"/>
          <w:b/>
          <w:bCs/>
        </w:rPr>
        <w:t>bulka č. 3 –</w:t>
      </w:r>
      <w:r w:rsidR="00DB2620" w:rsidRPr="00A315CB">
        <w:rPr>
          <w:rFonts w:asciiTheme="minorHAnsi" w:hAnsiTheme="minorHAnsi" w:cstheme="minorHAnsi"/>
          <w:b/>
          <w:bCs/>
        </w:rPr>
        <w:t xml:space="preserve"> </w:t>
      </w:r>
      <w:r w:rsidR="0050134C">
        <w:rPr>
          <w:rFonts w:asciiTheme="minorHAnsi" w:hAnsiTheme="minorHAnsi" w:cstheme="minorHAnsi"/>
          <w:b/>
          <w:bCs/>
        </w:rPr>
        <w:t>P</w:t>
      </w:r>
      <w:r w:rsidR="00180226" w:rsidRPr="00A315CB">
        <w:rPr>
          <w:rFonts w:asciiTheme="minorHAnsi" w:hAnsiTheme="minorHAnsi" w:cstheme="minorHAnsi"/>
          <w:b/>
          <w:bCs/>
        </w:rPr>
        <w:t>rogram 236</w:t>
      </w:r>
      <w:r w:rsidR="00DB2620" w:rsidRPr="00A315CB">
        <w:rPr>
          <w:rFonts w:asciiTheme="minorHAnsi" w:hAnsiTheme="minorHAnsi" w:cstheme="minorHAnsi"/>
          <w:b/>
          <w:bCs/>
        </w:rPr>
        <w:t xml:space="preserve"> </w:t>
      </w:r>
      <w:r w:rsidR="00180226" w:rsidRPr="00A315CB">
        <w:rPr>
          <w:rFonts w:asciiTheme="minorHAnsi" w:hAnsiTheme="minorHAnsi" w:cstheme="minorHAnsi"/>
          <w:b/>
          <w:bCs/>
        </w:rPr>
        <w:t>2</w:t>
      </w:r>
      <w:r w:rsidRPr="00A315CB">
        <w:rPr>
          <w:rFonts w:asciiTheme="minorHAnsi" w:hAnsiTheme="minorHAnsi" w:cstheme="minorHAnsi"/>
          <w:b/>
          <w:bCs/>
        </w:rPr>
        <w:t>10</w:t>
      </w:r>
      <w:r w:rsidR="00DB2620" w:rsidRPr="00A315CB">
        <w:rPr>
          <w:rFonts w:asciiTheme="minorHAnsi" w:hAnsiTheme="minorHAnsi" w:cstheme="minorHAnsi"/>
          <w:b/>
          <w:bCs/>
        </w:rPr>
        <w:tab/>
      </w:r>
      <w:r w:rsidR="00A600C4" w:rsidRPr="00A315CB">
        <w:rPr>
          <w:rFonts w:asciiTheme="minorHAnsi" w:hAnsiTheme="minorHAnsi" w:cstheme="minorHAnsi"/>
          <w:b/>
          <w:bCs/>
        </w:rPr>
        <w:t xml:space="preserve">(v </w:t>
      </w:r>
      <w:r w:rsidR="00180226" w:rsidRPr="00A315CB">
        <w:rPr>
          <w:rFonts w:asciiTheme="minorHAnsi" w:hAnsiTheme="minorHAnsi" w:cstheme="minorHAnsi"/>
          <w:b/>
          <w:bCs/>
        </w:rPr>
        <w:t>mil. Kč</w:t>
      </w:r>
      <w:r w:rsidR="00A600C4" w:rsidRPr="00A315CB">
        <w:rPr>
          <w:rFonts w:asciiTheme="minorHAnsi" w:hAnsiTheme="minorHAnsi" w:cstheme="minorHAnsi"/>
          <w:b/>
          <w:bCs/>
        </w:rPr>
        <w:t>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907"/>
        <w:gridCol w:w="1020"/>
        <w:gridCol w:w="675"/>
        <w:gridCol w:w="675"/>
        <w:gridCol w:w="675"/>
        <w:gridCol w:w="675"/>
        <w:gridCol w:w="571"/>
        <w:gridCol w:w="571"/>
        <w:gridCol w:w="850"/>
      </w:tblGrid>
      <w:tr w:rsidR="00BC58E7" w:rsidRPr="00D57B03" w14:paraId="356AF5BE" w14:textId="77777777" w:rsidTr="000F6B2D">
        <w:trPr>
          <w:trHeight w:val="283"/>
          <w:jc w:val="center"/>
        </w:trPr>
        <w:tc>
          <w:tcPr>
            <w:tcW w:w="25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4F6C71BA" w14:textId="4652F293" w:rsidR="00BC58E7" w:rsidRPr="00D57B03" w:rsidRDefault="00BC58E7" w:rsidP="0050134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0E53D459" w14:textId="77777777" w:rsidR="00BC58E7" w:rsidRPr="00D57B03" w:rsidRDefault="00BD4F0D" w:rsidP="00D57B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57B03">
              <w:rPr>
                <w:rFonts w:ascii="Calibri" w:hAnsi="Calibri" w:cs="Calibri"/>
                <w:b/>
                <w:sz w:val="20"/>
                <w:szCs w:val="20"/>
              </w:rPr>
              <w:t>do 20</w:t>
            </w:r>
            <w:r w:rsidR="00BC58E7" w:rsidRPr="00D57B03">
              <w:rPr>
                <w:rFonts w:ascii="Calibri" w:hAnsi="Calibri" w:cs="Calibri"/>
                <w:b/>
                <w:sz w:val="20"/>
                <w:szCs w:val="20"/>
              </w:rPr>
              <w:t>07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410623C3" w14:textId="7730BC7A" w:rsidR="00BC58E7" w:rsidRPr="00D57B03" w:rsidRDefault="00C65035" w:rsidP="000F6B2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57B03">
              <w:rPr>
                <w:rFonts w:ascii="Calibri" w:hAnsi="Calibri" w:cs="Calibri"/>
                <w:b/>
                <w:sz w:val="20"/>
                <w:szCs w:val="20"/>
              </w:rPr>
              <w:t>2008</w:t>
            </w:r>
            <w:r w:rsidR="000F6B2D">
              <w:rPr>
                <w:rFonts w:ascii="Calibri" w:hAnsi="Calibri" w:cs="Calibri"/>
                <w:b/>
                <w:sz w:val="20"/>
                <w:szCs w:val="20"/>
              </w:rPr>
              <w:t>–</w:t>
            </w:r>
            <w:r w:rsidR="00BC58E7" w:rsidRPr="00D57B03"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single" w:sz="12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2396C9FB" w14:textId="77777777" w:rsidR="00BC58E7" w:rsidRPr="00D57B03" w:rsidRDefault="00BC58E7" w:rsidP="00D57B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57B03">
              <w:rPr>
                <w:rFonts w:ascii="Calibri" w:hAnsi="Calibri" w:cs="Calibri"/>
                <w:b/>
                <w:sz w:val="20"/>
                <w:szCs w:val="20"/>
              </w:rPr>
              <w:t>2011</w:t>
            </w:r>
          </w:p>
        </w:tc>
        <w:tc>
          <w:tcPr>
            <w:tcW w:w="675" w:type="dxa"/>
            <w:tcBorders>
              <w:top w:val="single" w:sz="12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6ACF695D" w14:textId="77777777" w:rsidR="00BC58E7" w:rsidRPr="00D57B03" w:rsidRDefault="00BC58E7" w:rsidP="00D57B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57B03">
              <w:rPr>
                <w:rFonts w:ascii="Calibri" w:hAnsi="Calibri" w:cs="Calibri"/>
                <w:b/>
                <w:sz w:val="20"/>
                <w:szCs w:val="20"/>
              </w:rPr>
              <w:t>2012</w:t>
            </w:r>
          </w:p>
        </w:tc>
        <w:tc>
          <w:tcPr>
            <w:tcW w:w="675" w:type="dxa"/>
            <w:tcBorders>
              <w:top w:val="single" w:sz="12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320A040E" w14:textId="77777777" w:rsidR="00BC58E7" w:rsidRPr="00D57B03" w:rsidRDefault="00BC58E7" w:rsidP="00D57B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57B03">
              <w:rPr>
                <w:rFonts w:ascii="Calibri" w:hAnsi="Calibri" w:cs="Calibri"/>
                <w:b/>
                <w:sz w:val="20"/>
                <w:szCs w:val="20"/>
              </w:rPr>
              <w:t>2013</w:t>
            </w:r>
          </w:p>
        </w:tc>
        <w:tc>
          <w:tcPr>
            <w:tcW w:w="675" w:type="dxa"/>
            <w:tcBorders>
              <w:top w:val="single" w:sz="12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454A5CE2" w14:textId="77777777" w:rsidR="00BC58E7" w:rsidRPr="00D57B03" w:rsidRDefault="00BC58E7" w:rsidP="00D57B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57B03">
              <w:rPr>
                <w:rFonts w:ascii="Calibri" w:hAnsi="Calibri" w:cs="Calibri"/>
                <w:b/>
                <w:sz w:val="20"/>
                <w:szCs w:val="20"/>
              </w:rPr>
              <w:t>2014</w:t>
            </w:r>
          </w:p>
        </w:tc>
        <w:tc>
          <w:tcPr>
            <w:tcW w:w="5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50DA3519" w14:textId="77777777" w:rsidR="00BC58E7" w:rsidRPr="00D57B03" w:rsidRDefault="00BC58E7" w:rsidP="00D57B03">
            <w:pPr>
              <w:ind w:right="-10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57B03">
              <w:rPr>
                <w:rFonts w:ascii="Calibri" w:hAnsi="Calibri" w:cs="Calibri"/>
                <w:b/>
                <w:sz w:val="20"/>
                <w:szCs w:val="20"/>
              </w:rPr>
              <w:t>2015</w:t>
            </w:r>
          </w:p>
        </w:tc>
        <w:tc>
          <w:tcPr>
            <w:tcW w:w="5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14:paraId="5E33E89B" w14:textId="77777777" w:rsidR="00BC58E7" w:rsidRPr="00D57B03" w:rsidRDefault="00BC58E7" w:rsidP="00D57B03">
            <w:pPr>
              <w:ind w:right="-9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57B03">
              <w:rPr>
                <w:rFonts w:ascii="Calibri" w:hAnsi="Calibri" w:cs="Calibri"/>
                <w:b/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086F6B10" w14:textId="77777777" w:rsidR="00BC58E7" w:rsidRPr="00D57B03" w:rsidRDefault="00BC58E7" w:rsidP="00D57B0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57B03">
              <w:rPr>
                <w:rFonts w:ascii="Calibri" w:hAnsi="Calibri" w:cs="Calibri"/>
                <w:b/>
                <w:sz w:val="20"/>
                <w:szCs w:val="20"/>
              </w:rPr>
              <w:t>Celkem</w:t>
            </w:r>
          </w:p>
        </w:tc>
      </w:tr>
      <w:tr w:rsidR="00BC58E7" w:rsidRPr="00D57B03" w14:paraId="42E04742" w14:textId="77777777" w:rsidTr="000F6B2D">
        <w:trPr>
          <w:trHeight w:val="283"/>
          <w:jc w:val="center"/>
        </w:trPr>
        <w:tc>
          <w:tcPr>
            <w:tcW w:w="2523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6244F3" w14:textId="23BB94AD" w:rsidR="00BC58E7" w:rsidRPr="00D57B03" w:rsidRDefault="0050134C" w:rsidP="00D57B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="00BC58E7" w:rsidRPr="00D57B03">
              <w:rPr>
                <w:rFonts w:ascii="Calibri" w:hAnsi="Calibri" w:cs="Calibri"/>
                <w:sz w:val="20"/>
                <w:szCs w:val="20"/>
              </w:rPr>
              <w:t>okumentace (květen 2003</w:t>
            </w:r>
            <w:r w:rsidR="00FF3964" w:rsidRPr="00D57B03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907" w:type="dxa"/>
            <w:tcBorders>
              <w:top w:val="single" w:sz="8" w:space="0" w:color="auto"/>
            </w:tcBorders>
            <w:vAlign w:val="center"/>
          </w:tcPr>
          <w:p w14:paraId="4BFC10B1" w14:textId="77777777" w:rsidR="00BC58E7" w:rsidRPr="00D57B03" w:rsidRDefault="00EB3BA9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3</w:t>
            </w:r>
            <w:r w:rsidR="00DB2620" w:rsidRPr="00D57B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57B03">
              <w:rPr>
                <w:rFonts w:ascii="Calibri" w:hAnsi="Calibri" w:cs="Calibri"/>
                <w:sz w:val="20"/>
                <w:szCs w:val="20"/>
              </w:rPr>
              <w:t>369,8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vAlign w:val="center"/>
          </w:tcPr>
          <w:p w14:paraId="20193E27" w14:textId="77777777" w:rsidR="00BC58E7" w:rsidRPr="00D57B03" w:rsidRDefault="00C65035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0</w:t>
            </w:r>
            <w:r w:rsidR="0050134C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675" w:type="dxa"/>
            <w:tcBorders>
              <w:top w:val="single" w:sz="8" w:space="0" w:color="auto"/>
            </w:tcBorders>
            <w:vAlign w:val="center"/>
          </w:tcPr>
          <w:p w14:paraId="03722E92" w14:textId="77777777" w:rsidR="00BC58E7" w:rsidRPr="00D57B03" w:rsidRDefault="00EB3BA9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0</w:t>
            </w:r>
            <w:r w:rsidR="0050134C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675" w:type="dxa"/>
            <w:tcBorders>
              <w:top w:val="single" w:sz="8" w:space="0" w:color="auto"/>
            </w:tcBorders>
            <w:vAlign w:val="center"/>
          </w:tcPr>
          <w:p w14:paraId="4E7146B1" w14:textId="77777777" w:rsidR="00BC58E7" w:rsidRPr="00D57B03" w:rsidRDefault="00EB3BA9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0</w:t>
            </w:r>
            <w:r w:rsidR="0050134C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675" w:type="dxa"/>
            <w:tcBorders>
              <w:top w:val="single" w:sz="8" w:space="0" w:color="auto"/>
            </w:tcBorders>
            <w:vAlign w:val="center"/>
          </w:tcPr>
          <w:p w14:paraId="6AB1E238" w14:textId="77777777" w:rsidR="00BC58E7" w:rsidRPr="00D57B03" w:rsidRDefault="00EB3BA9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0</w:t>
            </w:r>
            <w:r w:rsidR="0050134C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67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5406A17" w14:textId="77777777" w:rsidR="00BC58E7" w:rsidRPr="00D57B03" w:rsidRDefault="00EB3BA9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0</w:t>
            </w:r>
            <w:r w:rsidR="0050134C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57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332D5D6" w14:textId="77777777" w:rsidR="00BC58E7" w:rsidRPr="00D57B03" w:rsidRDefault="00EB3BA9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0</w:t>
            </w:r>
            <w:r w:rsidR="0050134C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57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04258A5" w14:textId="77777777" w:rsidR="00BC58E7" w:rsidRPr="00D57B03" w:rsidRDefault="00EB3BA9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0</w:t>
            </w:r>
            <w:r w:rsidR="0050134C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F8CFA" w14:textId="77777777" w:rsidR="00BC58E7" w:rsidRPr="00D57B03" w:rsidRDefault="00EB3BA9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3</w:t>
            </w:r>
            <w:r w:rsidR="00DB2620" w:rsidRPr="00D57B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57B03">
              <w:rPr>
                <w:rFonts w:ascii="Calibri" w:hAnsi="Calibri" w:cs="Calibri"/>
                <w:sz w:val="20"/>
                <w:szCs w:val="20"/>
              </w:rPr>
              <w:t>369,8</w:t>
            </w:r>
          </w:p>
        </w:tc>
      </w:tr>
      <w:tr w:rsidR="00BC58E7" w:rsidRPr="00D57B03" w14:paraId="35261262" w14:textId="77777777" w:rsidTr="000F6B2D">
        <w:trPr>
          <w:trHeight w:val="283"/>
          <w:jc w:val="center"/>
        </w:trPr>
        <w:tc>
          <w:tcPr>
            <w:tcW w:w="25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1A934F" w14:textId="77777777" w:rsidR="00BC58E7" w:rsidRPr="00D57B03" w:rsidRDefault="00EB3BA9" w:rsidP="00D57B03">
            <w:pPr>
              <w:pStyle w:val="Odstavecseseznamem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1. změna (září 2007</w:t>
            </w:r>
            <w:r w:rsidR="00BC58E7" w:rsidRPr="00D57B03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907" w:type="dxa"/>
            <w:vAlign w:val="center"/>
          </w:tcPr>
          <w:p w14:paraId="6391F97D" w14:textId="77777777" w:rsidR="00BC58E7" w:rsidRPr="00D57B03" w:rsidRDefault="00EB3BA9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2</w:t>
            </w:r>
            <w:r w:rsidR="00DB2620" w:rsidRPr="00D57B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57B03">
              <w:rPr>
                <w:rFonts w:ascii="Calibri" w:hAnsi="Calibri" w:cs="Calibri"/>
                <w:sz w:val="20"/>
                <w:szCs w:val="20"/>
              </w:rPr>
              <w:t>760,8</w:t>
            </w:r>
          </w:p>
        </w:tc>
        <w:tc>
          <w:tcPr>
            <w:tcW w:w="1020" w:type="dxa"/>
            <w:vAlign w:val="center"/>
          </w:tcPr>
          <w:p w14:paraId="721D2EA9" w14:textId="77777777" w:rsidR="00BC58E7" w:rsidRPr="00D57B03" w:rsidRDefault="00C65035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751,0</w:t>
            </w:r>
          </w:p>
        </w:tc>
        <w:tc>
          <w:tcPr>
            <w:tcW w:w="675" w:type="dxa"/>
            <w:vAlign w:val="center"/>
          </w:tcPr>
          <w:p w14:paraId="64940C11" w14:textId="77777777" w:rsidR="00BC58E7" w:rsidRPr="00D57B03" w:rsidRDefault="00EB3BA9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0</w:t>
            </w:r>
            <w:r w:rsidR="0050134C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675" w:type="dxa"/>
            <w:vAlign w:val="center"/>
          </w:tcPr>
          <w:p w14:paraId="1E9FDFFD" w14:textId="77777777" w:rsidR="00BC58E7" w:rsidRPr="00D57B03" w:rsidRDefault="00EB3BA9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0</w:t>
            </w:r>
            <w:r w:rsidR="0050134C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675" w:type="dxa"/>
            <w:vAlign w:val="center"/>
          </w:tcPr>
          <w:p w14:paraId="7660B164" w14:textId="77777777" w:rsidR="00BC58E7" w:rsidRPr="00D57B03" w:rsidRDefault="00EB3BA9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0</w:t>
            </w:r>
            <w:r w:rsidR="0050134C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6824A47" w14:textId="77777777" w:rsidR="00BC58E7" w:rsidRPr="00D57B03" w:rsidRDefault="00EB3BA9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0</w:t>
            </w:r>
            <w:r w:rsidR="0050134C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7F6876DB" w14:textId="77777777" w:rsidR="00BC58E7" w:rsidRPr="00D57B03" w:rsidRDefault="00EB3BA9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0</w:t>
            </w:r>
            <w:r w:rsidR="0050134C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65A4B381" w14:textId="77777777" w:rsidR="00BC58E7" w:rsidRPr="00D57B03" w:rsidRDefault="00EB3BA9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0</w:t>
            </w:r>
            <w:r w:rsidR="0050134C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87571E" w14:textId="77777777" w:rsidR="00BC58E7" w:rsidRPr="00D57B03" w:rsidRDefault="00EB3BA9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3</w:t>
            </w:r>
            <w:r w:rsidR="00DB2620" w:rsidRPr="00D57B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57B03">
              <w:rPr>
                <w:rFonts w:ascii="Calibri" w:hAnsi="Calibri" w:cs="Calibri"/>
                <w:sz w:val="20"/>
                <w:szCs w:val="20"/>
              </w:rPr>
              <w:t>511,8</w:t>
            </w:r>
          </w:p>
        </w:tc>
      </w:tr>
      <w:tr w:rsidR="00BC58E7" w:rsidRPr="00D57B03" w14:paraId="7BE61C39" w14:textId="77777777" w:rsidTr="000F6B2D">
        <w:trPr>
          <w:trHeight w:val="283"/>
          <w:jc w:val="center"/>
        </w:trPr>
        <w:tc>
          <w:tcPr>
            <w:tcW w:w="25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9C1671" w14:textId="77777777" w:rsidR="00BC58E7" w:rsidRPr="00D57B03" w:rsidRDefault="00BC58E7" w:rsidP="00D57B03">
            <w:pPr>
              <w:pStyle w:val="Odstavecseseznamem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2. změna</w:t>
            </w:r>
            <w:r w:rsidR="00EB3BA9" w:rsidRPr="00D57B03">
              <w:rPr>
                <w:rFonts w:ascii="Calibri" w:hAnsi="Calibri" w:cs="Calibri"/>
                <w:sz w:val="20"/>
                <w:szCs w:val="20"/>
              </w:rPr>
              <w:t xml:space="preserve"> (leden 2009</w:t>
            </w:r>
            <w:r w:rsidRPr="00D57B03">
              <w:rPr>
                <w:rFonts w:ascii="Calibri" w:hAnsi="Calibri" w:cs="Calibri"/>
                <w:sz w:val="20"/>
                <w:szCs w:val="20"/>
              </w:rPr>
              <w:t xml:space="preserve">) </w:t>
            </w:r>
          </w:p>
        </w:tc>
        <w:tc>
          <w:tcPr>
            <w:tcW w:w="907" w:type="dxa"/>
            <w:vAlign w:val="center"/>
          </w:tcPr>
          <w:p w14:paraId="4F15A28D" w14:textId="77777777" w:rsidR="00BC58E7" w:rsidRPr="00D57B03" w:rsidRDefault="00BD4F0D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2</w:t>
            </w:r>
            <w:r w:rsidR="00DB2620" w:rsidRPr="00D57B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57B03">
              <w:rPr>
                <w:rFonts w:ascii="Calibri" w:hAnsi="Calibri" w:cs="Calibri"/>
                <w:sz w:val="20"/>
                <w:szCs w:val="20"/>
              </w:rPr>
              <w:t>721,8</w:t>
            </w:r>
          </w:p>
        </w:tc>
        <w:tc>
          <w:tcPr>
            <w:tcW w:w="1020" w:type="dxa"/>
            <w:vAlign w:val="center"/>
          </w:tcPr>
          <w:p w14:paraId="0C09C93A" w14:textId="77777777" w:rsidR="00BC58E7" w:rsidRPr="00D57B03" w:rsidRDefault="00C65035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888,9</w:t>
            </w:r>
          </w:p>
        </w:tc>
        <w:tc>
          <w:tcPr>
            <w:tcW w:w="675" w:type="dxa"/>
            <w:vAlign w:val="center"/>
          </w:tcPr>
          <w:p w14:paraId="6E796CEA" w14:textId="77777777" w:rsidR="00BC58E7" w:rsidRPr="00D57B03" w:rsidRDefault="00EB3BA9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0</w:t>
            </w:r>
            <w:r w:rsidR="0050134C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675" w:type="dxa"/>
            <w:vAlign w:val="center"/>
          </w:tcPr>
          <w:p w14:paraId="43544BB6" w14:textId="77777777" w:rsidR="00BC58E7" w:rsidRPr="00D57B03" w:rsidRDefault="00EB3BA9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0</w:t>
            </w:r>
            <w:r w:rsidR="0050134C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675" w:type="dxa"/>
            <w:vAlign w:val="center"/>
          </w:tcPr>
          <w:p w14:paraId="13E964F4" w14:textId="77777777" w:rsidR="00BC58E7" w:rsidRPr="00D57B03" w:rsidRDefault="00EB3BA9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0</w:t>
            </w:r>
            <w:r w:rsidR="0050134C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BD2A454" w14:textId="77777777" w:rsidR="00BC58E7" w:rsidRPr="00D57B03" w:rsidRDefault="00EB3BA9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0</w:t>
            </w:r>
            <w:r w:rsidR="0050134C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5AF7137D" w14:textId="77777777" w:rsidR="00BC58E7" w:rsidRPr="00D57B03" w:rsidRDefault="00EB3BA9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0</w:t>
            </w:r>
            <w:r w:rsidR="0050134C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53B38EAE" w14:textId="77777777" w:rsidR="00BC58E7" w:rsidRPr="00D57B03" w:rsidRDefault="00EB3BA9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0</w:t>
            </w:r>
            <w:r w:rsidR="0050134C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75951C" w14:textId="77777777" w:rsidR="00BC58E7" w:rsidRPr="00D57B03" w:rsidRDefault="00EB3BA9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3</w:t>
            </w:r>
            <w:r w:rsidR="00DB2620" w:rsidRPr="00D57B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57B03">
              <w:rPr>
                <w:rFonts w:ascii="Calibri" w:hAnsi="Calibri" w:cs="Calibri"/>
                <w:sz w:val="20"/>
                <w:szCs w:val="20"/>
              </w:rPr>
              <w:t>610,7</w:t>
            </w:r>
          </w:p>
        </w:tc>
      </w:tr>
      <w:tr w:rsidR="00BC58E7" w:rsidRPr="00D57B03" w14:paraId="1C95E01A" w14:textId="77777777" w:rsidTr="000F6B2D">
        <w:trPr>
          <w:trHeight w:val="283"/>
          <w:jc w:val="center"/>
        </w:trPr>
        <w:tc>
          <w:tcPr>
            <w:tcW w:w="25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D5BABB" w14:textId="77777777" w:rsidR="00BC58E7" w:rsidRPr="00D57B03" w:rsidRDefault="00EB3BA9" w:rsidP="00D57B03">
            <w:pPr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3</w:t>
            </w:r>
            <w:r w:rsidR="00BC58E7" w:rsidRPr="00D57B03">
              <w:rPr>
                <w:rFonts w:ascii="Calibri" w:hAnsi="Calibri" w:cs="Calibri"/>
                <w:sz w:val="20"/>
                <w:szCs w:val="20"/>
              </w:rPr>
              <w:t>.</w:t>
            </w:r>
            <w:r w:rsidRPr="00D57B03">
              <w:rPr>
                <w:rFonts w:ascii="Calibri" w:hAnsi="Calibri" w:cs="Calibri"/>
                <w:sz w:val="20"/>
                <w:szCs w:val="20"/>
              </w:rPr>
              <w:t xml:space="preserve"> změna (červenec</w:t>
            </w:r>
            <w:r w:rsidR="00BC58E7" w:rsidRPr="00D57B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57B03">
              <w:rPr>
                <w:rFonts w:ascii="Calibri" w:hAnsi="Calibri" w:cs="Calibri"/>
                <w:sz w:val="20"/>
                <w:szCs w:val="20"/>
              </w:rPr>
              <w:t>2009</w:t>
            </w:r>
            <w:r w:rsidR="00BC58E7" w:rsidRPr="00D57B03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907" w:type="dxa"/>
            <w:vAlign w:val="center"/>
          </w:tcPr>
          <w:p w14:paraId="336973DF" w14:textId="77777777" w:rsidR="00BC58E7" w:rsidRPr="00D57B03" w:rsidRDefault="00BD4F0D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2</w:t>
            </w:r>
            <w:r w:rsidR="00DB2620" w:rsidRPr="00D57B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57B03">
              <w:rPr>
                <w:rFonts w:ascii="Calibri" w:hAnsi="Calibri" w:cs="Calibri"/>
                <w:sz w:val="20"/>
                <w:szCs w:val="20"/>
              </w:rPr>
              <w:t>721,8</w:t>
            </w:r>
          </w:p>
        </w:tc>
        <w:tc>
          <w:tcPr>
            <w:tcW w:w="1020" w:type="dxa"/>
            <w:vAlign w:val="center"/>
          </w:tcPr>
          <w:p w14:paraId="6F8F06FA" w14:textId="77777777" w:rsidR="00BC58E7" w:rsidRPr="00D57B03" w:rsidRDefault="00C65035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865,5</w:t>
            </w:r>
          </w:p>
        </w:tc>
        <w:tc>
          <w:tcPr>
            <w:tcW w:w="675" w:type="dxa"/>
            <w:vAlign w:val="center"/>
          </w:tcPr>
          <w:p w14:paraId="5D0BA446" w14:textId="6E436A2A" w:rsidR="00BC58E7" w:rsidRPr="00D57B03" w:rsidRDefault="00EB3BA9" w:rsidP="0050134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0</w:t>
            </w:r>
            <w:r w:rsidR="0050134C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675" w:type="dxa"/>
            <w:vAlign w:val="center"/>
          </w:tcPr>
          <w:p w14:paraId="22A9EA39" w14:textId="77777777" w:rsidR="00BC58E7" w:rsidRPr="00D57B03" w:rsidRDefault="00EB3BA9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0</w:t>
            </w:r>
            <w:r w:rsidR="0050134C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675" w:type="dxa"/>
            <w:vAlign w:val="center"/>
          </w:tcPr>
          <w:p w14:paraId="6B8B498C" w14:textId="77777777" w:rsidR="00BC58E7" w:rsidRPr="00D57B03" w:rsidRDefault="00EB3BA9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0</w:t>
            </w:r>
            <w:r w:rsidR="0050134C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9916C94" w14:textId="77777777" w:rsidR="00BC58E7" w:rsidRPr="00D57B03" w:rsidRDefault="00EB3BA9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0</w:t>
            </w:r>
            <w:r w:rsidR="0050134C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3AFF592F" w14:textId="77777777" w:rsidR="00BC58E7" w:rsidRPr="00D57B03" w:rsidRDefault="00EB3BA9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0</w:t>
            </w:r>
            <w:r w:rsidR="0050134C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710D3DBB" w14:textId="77777777" w:rsidR="00BC58E7" w:rsidRPr="00D57B03" w:rsidRDefault="00EB3BA9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0</w:t>
            </w:r>
            <w:r w:rsidR="0050134C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063116" w14:textId="77777777" w:rsidR="00BC58E7" w:rsidRPr="00D57B03" w:rsidRDefault="00EB3BA9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3 587,3</w:t>
            </w:r>
          </w:p>
        </w:tc>
      </w:tr>
      <w:tr w:rsidR="00BC58E7" w:rsidRPr="00D57B03" w14:paraId="671A922D" w14:textId="77777777" w:rsidTr="000F6B2D">
        <w:trPr>
          <w:trHeight w:val="283"/>
          <w:jc w:val="center"/>
        </w:trPr>
        <w:tc>
          <w:tcPr>
            <w:tcW w:w="25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C30762" w14:textId="77777777" w:rsidR="00BC58E7" w:rsidRPr="00D57B03" w:rsidRDefault="00EB3BA9" w:rsidP="00D57B03">
            <w:pPr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4. změna (březen 2010</w:t>
            </w:r>
            <w:r w:rsidR="00BC58E7" w:rsidRPr="00D57B03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907" w:type="dxa"/>
            <w:vAlign w:val="center"/>
          </w:tcPr>
          <w:p w14:paraId="20FF0E73" w14:textId="77777777" w:rsidR="00BC58E7" w:rsidRPr="00D57B03" w:rsidRDefault="00BD4F0D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2 721,8</w:t>
            </w:r>
          </w:p>
        </w:tc>
        <w:tc>
          <w:tcPr>
            <w:tcW w:w="1020" w:type="dxa"/>
            <w:vAlign w:val="center"/>
          </w:tcPr>
          <w:p w14:paraId="73DA0F11" w14:textId="77777777" w:rsidR="00BC58E7" w:rsidRPr="00D57B03" w:rsidRDefault="00C65035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934,8</w:t>
            </w:r>
          </w:p>
        </w:tc>
        <w:tc>
          <w:tcPr>
            <w:tcW w:w="675" w:type="dxa"/>
            <w:vAlign w:val="center"/>
          </w:tcPr>
          <w:p w14:paraId="0F80EF59" w14:textId="77777777" w:rsidR="00BC58E7" w:rsidRPr="00D57B03" w:rsidRDefault="00EB3BA9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203,6</w:t>
            </w:r>
          </w:p>
        </w:tc>
        <w:tc>
          <w:tcPr>
            <w:tcW w:w="675" w:type="dxa"/>
            <w:vAlign w:val="center"/>
          </w:tcPr>
          <w:p w14:paraId="606AD9A9" w14:textId="77777777" w:rsidR="00BC58E7" w:rsidRPr="00D57B03" w:rsidRDefault="00EB3BA9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0</w:t>
            </w:r>
            <w:r w:rsidR="0050134C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675" w:type="dxa"/>
            <w:vAlign w:val="center"/>
          </w:tcPr>
          <w:p w14:paraId="7E2D084D" w14:textId="77777777" w:rsidR="00BC58E7" w:rsidRPr="00D57B03" w:rsidRDefault="00EB3BA9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0</w:t>
            </w:r>
            <w:r w:rsidR="0050134C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0A45EFF" w14:textId="2B4CCBBD" w:rsidR="00BC58E7" w:rsidRPr="00D57B03" w:rsidRDefault="00EB3BA9" w:rsidP="0050134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0</w:t>
            </w:r>
            <w:r w:rsidR="0050134C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5CDD1B33" w14:textId="77777777" w:rsidR="00BC58E7" w:rsidRPr="00D57B03" w:rsidRDefault="00EB3BA9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0</w:t>
            </w:r>
            <w:r w:rsidR="0050134C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29696712" w14:textId="77777777" w:rsidR="00BC58E7" w:rsidRPr="00D57B03" w:rsidRDefault="00EB3BA9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0</w:t>
            </w:r>
            <w:r w:rsidR="0050134C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A3D476" w14:textId="77777777" w:rsidR="00BC58E7" w:rsidRPr="00D57B03" w:rsidRDefault="00EB3BA9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3</w:t>
            </w:r>
            <w:r w:rsidR="00DB2620" w:rsidRPr="00D57B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57B03">
              <w:rPr>
                <w:rFonts w:ascii="Calibri" w:hAnsi="Calibri" w:cs="Calibri"/>
                <w:sz w:val="20"/>
                <w:szCs w:val="20"/>
              </w:rPr>
              <w:t>860,2</w:t>
            </w:r>
          </w:p>
        </w:tc>
      </w:tr>
      <w:tr w:rsidR="00EB3BA9" w:rsidRPr="00D57B03" w14:paraId="7C75B1EE" w14:textId="77777777" w:rsidTr="000F6B2D">
        <w:trPr>
          <w:trHeight w:val="283"/>
          <w:jc w:val="center"/>
        </w:trPr>
        <w:tc>
          <w:tcPr>
            <w:tcW w:w="25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66A3FD" w14:textId="77777777" w:rsidR="00EB3BA9" w:rsidRPr="00D57B03" w:rsidRDefault="00EB3BA9" w:rsidP="00D57B03">
            <w:pPr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5. změna (říjen 2010)</w:t>
            </w:r>
          </w:p>
        </w:tc>
        <w:tc>
          <w:tcPr>
            <w:tcW w:w="907" w:type="dxa"/>
            <w:vAlign w:val="center"/>
          </w:tcPr>
          <w:p w14:paraId="59ADDA01" w14:textId="77777777" w:rsidR="00EB3BA9" w:rsidRPr="00D57B03" w:rsidRDefault="00BD4F0D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2</w:t>
            </w:r>
            <w:r w:rsidR="00DB2620" w:rsidRPr="00D57B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57B03">
              <w:rPr>
                <w:rFonts w:ascii="Calibri" w:hAnsi="Calibri" w:cs="Calibri"/>
                <w:sz w:val="20"/>
                <w:szCs w:val="20"/>
              </w:rPr>
              <w:t>721,8</w:t>
            </w:r>
          </w:p>
        </w:tc>
        <w:tc>
          <w:tcPr>
            <w:tcW w:w="1020" w:type="dxa"/>
            <w:vAlign w:val="center"/>
          </w:tcPr>
          <w:p w14:paraId="7D9141EF" w14:textId="77777777" w:rsidR="00EB3BA9" w:rsidRPr="00D57B03" w:rsidRDefault="00C65035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996,5</w:t>
            </w:r>
          </w:p>
        </w:tc>
        <w:tc>
          <w:tcPr>
            <w:tcW w:w="675" w:type="dxa"/>
            <w:vAlign w:val="center"/>
          </w:tcPr>
          <w:p w14:paraId="489B76DE" w14:textId="77777777" w:rsidR="00EB3BA9" w:rsidRPr="00D57B03" w:rsidRDefault="00E26675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99,4</w:t>
            </w:r>
          </w:p>
        </w:tc>
        <w:tc>
          <w:tcPr>
            <w:tcW w:w="675" w:type="dxa"/>
            <w:vAlign w:val="center"/>
          </w:tcPr>
          <w:p w14:paraId="0F2C0508" w14:textId="77777777" w:rsidR="00EB3BA9" w:rsidRPr="00D57B03" w:rsidRDefault="00E26675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352,8</w:t>
            </w:r>
          </w:p>
        </w:tc>
        <w:tc>
          <w:tcPr>
            <w:tcW w:w="675" w:type="dxa"/>
            <w:vAlign w:val="center"/>
          </w:tcPr>
          <w:p w14:paraId="26C9CA57" w14:textId="77777777" w:rsidR="00EB3BA9" w:rsidRPr="00D57B03" w:rsidRDefault="00E26675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152,7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6643B8E" w14:textId="77777777" w:rsidR="00EB3BA9" w:rsidRPr="00D57B03" w:rsidRDefault="00E26675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43,2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6E4D8928" w14:textId="77777777" w:rsidR="00EB3BA9" w:rsidRPr="00D57B03" w:rsidRDefault="00E26675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0</w:t>
            </w:r>
            <w:r w:rsidR="0050134C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2F93A3D1" w14:textId="77777777" w:rsidR="00EB3BA9" w:rsidRPr="00D57B03" w:rsidRDefault="00E26675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0</w:t>
            </w:r>
            <w:r w:rsidR="0050134C">
              <w:rPr>
                <w:rFonts w:ascii="Calibri" w:hAnsi="Calibri" w:cs="Calibri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004C23" w14:textId="77777777" w:rsidR="00EB3BA9" w:rsidRPr="00D57B03" w:rsidRDefault="00E26675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4</w:t>
            </w:r>
            <w:r w:rsidR="00DB2620" w:rsidRPr="00D57B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57B03">
              <w:rPr>
                <w:rFonts w:ascii="Calibri" w:hAnsi="Calibri" w:cs="Calibri"/>
                <w:sz w:val="20"/>
                <w:szCs w:val="20"/>
              </w:rPr>
              <w:t>366,4</w:t>
            </w:r>
          </w:p>
        </w:tc>
      </w:tr>
      <w:tr w:rsidR="00EB3BA9" w:rsidRPr="00D57B03" w14:paraId="5C2EEE22" w14:textId="77777777" w:rsidTr="000F6B2D">
        <w:trPr>
          <w:trHeight w:val="283"/>
          <w:jc w:val="center"/>
        </w:trPr>
        <w:tc>
          <w:tcPr>
            <w:tcW w:w="25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37E1C9" w14:textId="77777777" w:rsidR="00EB3BA9" w:rsidRPr="00D57B03" w:rsidRDefault="00EB3BA9" w:rsidP="00D57B03">
            <w:pPr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6. změna (listopad 2014)</w:t>
            </w:r>
          </w:p>
        </w:tc>
        <w:tc>
          <w:tcPr>
            <w:tcW w:w="907" w:type="dxa"/>
            <w:vAlign w:val="center"/>
          </w:tcPr>
          <w:p w14:paraId="5CDDAC44" w14:textId="77777777" w:rsidR="00EB3BA9" w:rsidRPr="00D57B03" w:rsidRDefault="00BD4F0D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2</w:t>
            </w:r>
            <w:r w:rsidR="00DB2620" w:rsidRPr="00D57B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57B03">
              <w:rPr>
                <w:rFonts w:ascii="Calibri" w:hAnsi="Calibri" w:cs="Calibri"/>
                <w:sz w:val="20"/>
                <w:szCs w:val="20"/>
              </w:rPr>
              <w:t>721,8</w:t>
            </w:r>
          </w:p>
        </w:tc>
        <w:tc>
          <w:tcPr>
            <w:tcW w:w="1020" w:type="dxa"/>
            <w:vAlign w:val="center"/>
          </w:tcPr>
          <w:p w14:paraId="3F269B26" w14:textId="77777777" w:rsidR="00EB3BA9" w:rsidRPr="00D57B03" w:rsidRDefault="00C65035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861,4</w:t>
            </w:r>
          </w:p>
        </w:tc>
        <w:tc>
          <w:tcPr>
            <w:tcW w:w="675" w:type="dxa"/>
            <w:vAlign w:val="center"/>
          </w:tcPr>
          <w:p w14:paraId="471AD09A" w14:textId="77777777" w:rsidR="00EB3BA9" w:rsidRPr="00D57B03" w:rsidRDefault="00C65035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96,9</w:t>
            </w:r>
          </w:p>
        </w:tc>
        <w:tc>
          <w:tcPr>
            <w:tcW w:w="675" w:type="dxa"/>
            <w:vAlign w:val="center"/>
          </w:tcPr>
          <w:p w14:paraId="6AC18EF1" w14:textId="77777777" w:rsidR="00EB3BA9" w:rsidRPr="00D57B03" w:rsidRDefault="00E26675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167,4</w:t>
            </w:r>
          </w:p>
        </w:tc>
        <w:tc>
          <w:tcPr>
            <w:tcW w:w="675" w:type="dxa"/>
            <w:vAlign w:val="center"/>
          </w:tcPr>
          <w:p w14:paraId="1E959C14" w14:textId="77777777" w:rsidR="00EB3BA9" w:rsidRPr="00D57B03" w:rsidRDefault="00E26675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241,4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C916DA6" w14:textId="77777777" w:rsidR="00EB3BA9" w:rsidRPr="00D57B03" w:rsidRDefault="00E26675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139,5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222876F6" w14:textId="77777777" w:rsidR="00EB3BA9" w:rsidRPr="00D57B03" w:rsidRDefault="00E26675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50,0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05688660" w14:textId="77777777" w:rsidR="00EB3BA9" w:rsidRPr="00D57B03" w:rsidRDefault="00E26675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F7BD89" w14:textId="77777777" w:rsidR="00EB3BA9" w:rsidRPr="00D57B03" w:rsidRDefault="00E26675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4</w:t>
            </w:r>
            <w:r w:rsidR="00DB2620" w:rsidRPr="00D57B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57B03">
              <w:rPr>
                <w:rFonts w:ascii="Calibri" w:hAnsi="Calibri" w:cs="Calibri"/>
                <w:sz w:val="20"/>
                <w:szCs w:val="20"/>
              </w:rPr>
              <w:t>308,4</w:t>
            </w:r>
          </w:p>
        </w:tc>
      </w:tr>
      <w:tr w:rsidR="00BC58E7" w:rsidRPr="00D57B03" w14:paraId="0EFB9255" w14:textId="77777777" w:rsidTr="000F6B2D">
        <w:trPr>
          <w:trHeight w:val="283"/>
          <w:jc w:val="center"/>
        </w:trPr>
        <w:tc>
          <w:tcPr>
            <w:tcW w:w="25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72857E" w14:textId="77777777" w:rsidR="00BC58E7" w:rsidRPr="00D57B03" w:rsidRDefault="00BC58E7" w:rsidP="00D57B03">
            <w:pPr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Rozpočet</w:t>
            </w:r>
          </w:p>
        </w:tc>
        <w:tc>
          <w:tcPr>
            <w:tcW w:w="907" w:type="dxa"/>
            <w:vAlign w:val="center"/>
          </w:tcPr>
          <w:p w14:paraId="3777DEE8" w14:textId="77777777" w:rsidR="00BC58E7" w:rsidRPr="00D57B03" w:rsidRDefault="00E26675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2</w:t>
            </w:r>
            <w:r w:rsidR="00DB2620" w:rsidRPr="00D57B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57B03">
              <w:rPr>
                <w:rFonts w:ascii="Calibri" w:hAnsi="Calibri" w:cs="Calibri"/>
                <w:sz w:val="20"/>
                <w:szCs w:val="20"/>
              </w:rPr>
              <w:t>585,7</w:t>
            </w:r>
          </w:p>
        </w:tc>
        <w:tc>
          <w:tcPr>
            <w:tcW w:w="1020" w:type="dxa"/>
            <w:vAlign w:val="center"/>
          </w:tcPr>
          <w:p w14:paraId="0CAF4399" w14:textId="77777777" w:rsidR="00BC58E7" w:rsidRPr="00D57B03" w:rsidRDefault="00C65035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773,5</w:t>
            </w:r>
          </w:p>
        </w:tc>
        <w:tc>
          <w:tcPr>
            <w:tcW w:w="675" w:type="dxa"/>
            <w:vAlign w:val="center"/>
          </w:tcPr>
          <w:p w14:paraId="3AC10BD7" w14:textId="77777777" w:rsidR="00BC58E7" w:rsidRPr="00D57B03" w:rsidRDefault="00E26675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99,4</w:t>
            </w:r>
          </w:p>
        </w:tc>
        <w:tc>
          <w:tcPr>
            <w:tcW w:w="675" w:type="dxa"/>
            <w:vAlign w:val="center"/>
          </w:tcPr>
          <w:p w14:paraId="1AF006FB" w14:textId="77777777" w:rsidR="00BC58E7" w:rsidRPr="00D57B03" w:rsidRDefault="00E26675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206,8</w:t>
            </w:r>
          </w:p>
        </w:tc>
        <w:tc>
          <w:tcPr>
            <w:tcW w:w="675" w:type="dxa"/>
            <w:vAlign w:val="center"/>
          </w:tcPr>
          <w:p w14:paraId="054896CA" w14:textId="77777777" w:rsidR="00BC58E7" w:rsidRPr="00D57B03" w:rsidRDefault="00E26675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410,1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CCD816C" w14:textId="77777777" w:rsidR="00BC58E7" w:rsidRPr="00D57B03" w:rsidRDefault="00E26675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221,6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02EAF55D" w14:textId="77777777" w:rsidR="00BC58E7" w:rsidRPr="00D57B03" w:rsidRDefault="00BC58E7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0AD39E32" w14:textId="77777777" w:rsidR="00BC58E7" w:rsidRPr="00D57B03" w:rsidRDefault="00BC58E7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689A7D" w14:textId="77777777" w:rsidR="00BC58E7" w:rsidRPr="00D57B03" w:rsidRDefault="00E26675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4</w:t>
            </w:r>
            <w:r w:rsidR="00DB2620" w:rsidRPr="00D57B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57B03">
              <w:rPr>
                <w:rFonts w:ascii="Calibri" w:hAnsi="Calibri" w:cs="Calibri"/>
                <w:sz w:val="20"/>
                <w:szCs w:val="20"/>
              </w:rPr>
              <w:t>297,1</w:t>
            </w:r>
          </w:p>
        </w:tc>
      </w:tr>
      <w:tr w:rsidR="00BC58E7" w:rsidRPr="00D57B03" w14:paraId="73E78805" w14:textId="77777777" w:rsidTr="000F6B2D">
        <w:trPr>
          <w:trHeight w:val="283"/>
          <w:jc w:val="center"/>
        </w:trPr>
        <w:tc>
          <w:tcPr>
            <w:tcW w:w="25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2984D8" w14:textId="77777777" w:rsidR="00BC58E7" w:rsidRPr="00D57B03" w:rsidRDefault="00BC58E7" w:rsidP="00D57B03">
            <w:pPr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Skutečnost</w:t>
            </w:r>
          </w:p>
        </w:tc>
        <w:tc>
          <w:tcPr>
            <w:tcW w:w="907" w:type="dxa"/>
            <w:vAlign w:val="center"/>
          </w:tcPr>
          <w:p w14:paraId="27DA34A0" w14:textId="77777777" w:rsidR="00BC58E7" w:rsidRPr="00D57B03" w:rsidRDefault="00C65035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2</w:t>
            </w:r>
            <w:r w:rsidR="00DB2620" w:rsidRPr="00D57B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57B03">
              <w:rPr>
                <w:rFonts w:ascii="Calibri" w:hAnsi="Calibri" w:cs="Calibri"/>
                <w:sz w:val="20"/>
                <w:szCs w:val="20"/>
              </w:rPr>
              <w:t>721,8</w:t>
            </w:r>
          </w:p>
        </w:tc>
        <w:tc>
          <w:tcPr>
            <w:tcW w:w="1020" w:type="dxa"/>
            <w:vAlign w:val="center"/>
          </w:tcPr>
          <w:p w14:paraId="7921B603" w14:textId="77777777" w:rsidR="00BC58E7" w:rsidRPr="00D57B03" w:rsidRDefault="00C65035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861,4</w:t>
            </w:r>
          </w:p>
        </w:tc>
        <w:tc>
          <w:tcPr>
            <w:tcW w:w="675" w:type="dxa"/>
            <w:vAlign w:val="center"/>
          </w:tcPr>
          <w:p w14:paraId="1D5093C4" w14:textId="77777777" w:rsidR="00BC58E7" w:rsidRPr="00D57B03" w:rsidRDefault="00C65035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96,9</w:t>
            </w:r>
          </w:p>
        </w:tc>
        <w:tc>
          <w:tcPr>
            <w:tcW w:w="675" w:type="dxa"/>
            <w:vAlign w:val="center"/>
          </w:tcPr>
          <w:p w14:paraId="374197A7" w14:textId="77777777" w:rsidR="00BC58E7" w:rsidRPr="00D57B03" w:rsidRDefault="00E26675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167,4</w:t>
            </w:r>
          </w:p>
        </w:tc>
        <w:tc>
          <w:tcPr>
            <w:tcW w:w="675" w:type="dxa"/>
            <w:vAlign w:val="center"/>
          </w:tcPr>
          <w:p w14:paraId="6A63A626" w14:textId="77777777" w:rsidR="00BC58E7" w:rsidRPr="00D57B03" w:rsidRDefault="00E26675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241,4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BEA00C3" w14:textId="77777777" w:rsidR="00BC58E7" w:rsidRPr="00D57B03" w:rsidRDefault="00C65035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48,7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2B2BDD1B" w14:textId="77777777" w:rsidR="00BC58E7" w:rsidRPr="00D57B03" w:rsidRDefault="00BC58E7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4CCE2B5A" w14:textId="77777777" w:rsidR="00BC58E7" w:rsidRPr="00D57B03" w:rsidRDefault="00BC58E7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61EDAB" w14:textId="77777777" w:rsidR="00BC58E7" w:rsidRPr="00D57B03" w:rsidRDefault="00E26675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4</w:t>
            </w:r>
            <w:r w:rsidR="00DB2620" w:rsidRPr="00D57B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57B03">
              <w:rPr>
                <w:rFonts w:ascii="Calibri" w:hAnsi="Calibri" w:cs="Calibri"/>
                <w:sz w:val="20"/>
                <w:szCs w:val="20"/>
              </w:rPr>
              <w:t>137,6</w:t>
            </w:r>
          </w:p>
        </w:tc>
      </w:tr>
      <w:tr w:rsidR="00BC58E7" w:rsidRPr="00D57B03" w14:paraId="335B1296" w14:textId="77777777" w:rsidTr="000F6B2D">
        <w:trPr>
          <w:trHeight w:val="283"/>
          <w:jc w:val="center"/>
        </w:trPr>
        <w:tc>
          <w:tcPr>
            <w:tcW w:w="25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5A0BEC" w14:textId="3C30DC84" w:rsidR="00BC58E7" w:rsidRPr="00D57B03" w:rsidRDefault="0050134C" w:rsidP="005013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– z</w:t>
            </w:r>
            <w:r w:rsidR="00984817" w:rsidRPr="00D57B03">
              <w:rPr>
                <w:rFonts w:ascii="Calibri" w:hAnsi="Calibri" w:cs="Calibri"/>
                <w:sz w:val="20"/>
                <w:szCs w:val="20"/>
              </w:rPr>
              <w:t xml:space="preserve"> toho</w:t>
            </w:r>
            <w:r w:rsidR="00BC58E7" w:rsidRPr="00D57B03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DE137C" w:rsidRPr="00D57B03">
              <w:rPr>
                <w:rFonts w:ascii="Calibri" w:hAnsi="Calibri" w:cs="Calibri"/>
                <w:sz w:val="20"/>
                <w:szCs w:val="20"/>
              </w:rPr>
              <w:t xml:space="preserve">prostředky </w:t>
            </w:r>
            <w:r w:rsidR="00BC58E7" w:rsidRPr="00D57B03">
              <w:rPr>
                <w:rFonts w:ascii="Calibri" w:hAnsi="Calibri" w:cs="Calibri"/>
                <w:sz w:val="20"/>
                <w:szCs w:val="20"/>
              </w:rPr>
              <w:t>EU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14:paraId="5D8829FC" w14:textId="77777777" w:rsidR="00BC58E7" w:rsidRPr="00D57B03" w:rsidRDefault="00BC58E7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12" w:space="0" w:color="auto"/>
            </w:tcBorders>
            <w:vAlign w:val="center"/>
          </w:tcPr>
          <w:p w14:paraId="4BBF8CCD" w14:textId="77777777" w:rsidR="00BC58E7" w:rsidRPr="00D57B03" w:rsidRDefault="00BC58E7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single" w:sz="12" w:space="0" w:color="auto"/>
            </w:tcBorders>
            <w:vAlign w:val="center"/>
          </w:tcPr>
          <w:p w14:paraId="0E896FAA" w14:textId="77777777" w:rsidR="00BC58E7" w:rsidRPr="00D57B03" w:rsidRDefault="00E26675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2,4</w:t>
            </w:r>
          </w:p>
        </w:tc>
        <w:tc>
          <w:tcPr>
            <w:tcW w:w="675" w:type="dxa"/>
            <w:tcBorders>
              <w:bottom w:val="single" w:sz="12" w:space="0" w:color="auto"/>
            </w:tcBorders>
            <w:vAlign w:val="center"/>
          </w:tcPr>
          <w:p w14:paraId="498D8268" w14:textId="77777777" w:rsidR="00BC58E7" w:rsidRPr="00D57B03" w:rsidRDefault="00C65035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3,8</w:t>
            </w:r>
          </w:p>
        </w:tc>
        <w:tc>
          <w:tcPr>
            <w:tcW w:w="675" w:type="dxa"/>
            <w:tcBorders>
              <w:bottom w:val="single" w:sz="12" w:space="0" w:color="auto"/>
            </w:tcBorders>
            <w:vAlign w:val="center"/>
          </w:tcPr>
          <w:p w14:paraId="54D0ABB8" w14:textId="77777777" w:rsidR="00BC58E7" w:rsidRPr="00D57B03" w:rsidRDefault="00E26675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19,2</w:t>
            </w:r>
          </w:p>
        </w:tc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5886CF" w14:textId="77777777" w:rsidR="00BC58E7" w:rsidRPr="00D57B03" w:rsidRDefault="00E26675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5,3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38B2A7" w14:textId="77777777" w:rsidR="00BC58E7" w:rsidRPr="00D57B03" w:rsidRDefault="00BC58E7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2A8963" w14:textId="77777777" w:rsidR="00BC58E7" w:rsidRPr="00D57B03" w:rsidRDefault="00BC58E7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E550D6" w14:textId="77777777" w:rsidR="00BC58E7" w:rsidRPr="00D57B03" w:rsidRDefault="00E26675" w:rsidP="00D57B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7B03">
              <w:rPr>
                <w:rFonts w:ascii="Calibri" w:hAnsi="Calibri" w:cs="Calibri"/>
                <w:sz w:val="20"/>
                <w:szCs w:val="20"/>
              </w:rPr>
              <w:t>30,7</w:t>
            </w:r>
          </w:p>
        </w:tc>
      </w:tr>
    </w:tbl>
    <w:p w14:paraId="47E4CD3F" w14:textId="77777777" w:rsidR="00BC58E7" w:rsidRPr="00A315CB" w:rsidRDefault="00BC58E7" w:rsidP="00D57B03">
      <w:pPr>
        <w:spacing w:before="40"/>
        <w:rPr>
          <w:rFonts w:asciiTheme="minorHAnsi" w:hAnsiTheme="minorHAnsi" w:cstheme="minorHAnsi"/>
          <w:bCs/>
          <w:sz w:val="20"/>
          <w:szCs w:val="20"/>
        </w:rPr>
      </w:pPr>
      <w:r w:rsidRPr="00A315CB">
        <w:rPr>
          <w:rFonts w:asciiTheme="minorHAnsi" w:hAnsiTheme="minorHAnsi" w:cstheme="minorHAnsi"/>
          <w:b/>
          <w:bCs/>
          <w:sz w:val="20"/>
          <w:szCs w:val="20"/>
        </w:rPr>
        <w:t>Zdroj:</w:t>
      </w:r>
      <w:r w:rsidRPr="00A315C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80226" w:rsidRPr="00A315CB">
        <w:rPr>
          <w:rFonts w:asciiTheme="minorHAnsi" w:hAnsiTheme="minorHAnsi" w:cstheme="minorHAnsi"/>
          <w:bCs/>
          <w:sz w:val="20"/>
          <w:szCs w:val="20"/>
        </w:rPr>
        <w:t>dokumentace programu 236 2</w:t>
      </w:r>
      <w:r w:rsidR="00F6004D" w:rsidRPr="00A315CB">
        <w:rPr>
          <w:rFonts w:asciiTheme="minorHAnsi" w:hAnsiTheme="minorHAnsi" w:cstheme="minorHAnsi"/>
          <w:bCs/>
          <w:sz w:val="20"/>
          <w:szCs w:val="20"/>
        </w:rPr>
        <w:t>10 včetně změn, závěrečné úč</w:t>
      </w:r>
      <w:r w:rsidRPr="00A315CB">
        <w:rPr>
          <w:rFonts w:asciiTheme="minorHAnsi" w:hAnsiTheme="minorHAnsi" w:cstheme="minorHAnsi"/>
          <w:bCs/>
          <w:sz w:val="20"/>
          <w:szCs w:val="20"/>
        </w:rPr>
        <w:t>t</w:t>
      </w:r>
      <w:r w:rsidR="00F6004D" w:rsidRPr="00A315CB">
        <w:rPr>
          <w:rFonts w:asciiTheme="minorHAnsi" w:hAnsiTheme="minorHAnsi" w:cstheme="minorHAnsi"/>
          <w:bCs/>
          <w:sz w:val="20"/>
          <w:szCs w:val="20"/>
        </w:rPr>
        <w:t>y</w:t>
      </w:r>
      <w:r w:rsidRPr="00A315CB">
        <w:rPr>
          <w:rFonts w:asciiTheme="minorHAnsi" w:hAnsiTheme="minorHAnsi" w:cstheme="minorHAnsi"/>
          <w:bCs/>
          <w:sz w:val="20"/>
          <w:szCs w:val="20"/>
        </w:rPr>
        <w:t xml:space="preserve"> kapitoly MSp. </w:t>
      </w:r>
    </w:p>
    <w:p w14:paraId="2FA2D20A" w14:textId="77777777" w:rsidR="00FF3964" w:rsidRPr="00D57B03" w:rsidRDefault="00FF3964" w:rsidP="00D57B03">
      <w:pPr>
        <w:spacing w:before="40"/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14608F8B" w14:textId="77777777" w:rsidR="00180226" w:rsidRPr="00A315CB" w:rsidRDefault="00FF3964" w:rsidP="00D57B03">
      <w:pPr>
        <w:pStyle w:val="Odstavecseseznamem"/>
        <w:numPr>
          <w:ilvl w:val="0"/>
          <w:numId w:val="11"/>
        </w:numPr>
        <w:spacing w:line="264" w:lineRule="auto"/>
        <w:ind w:left="284" w:hanging="284"/>
        <w:jc w:val="both"/>
        <w:rPr>
          <w:rFonts w:asciiTheme="minorHAnsi" w:hAnsiTheme="minorHAnsi" w:cstheme="minorHAnsi"/>
        </w:rPr>
      </w:pPr>
      <w:r w:rsidRPr="00A315CB">
        <w:rPr>
          <w:rFonts w:asciiTheme="minorHAnsi" w:hAnsiTheme="minorHAnsi" w:cstheme="minorHAnsi"/>
          <w:lang w:eastAsia="en-US"/>
        </w:rPr>
        <w:t>Program č. 136 310</w:t>
      </w:r>
      <w:r w:rsidR="0050134C">
        <w:rPr>
          <w:rFonts w:asciiTheme="minorHAnsi" w:hAnsiTheme="minorHAnsi" w:cstheme="minorHAnsi"/>
          <w:lang w:eastAsia="en-US"/>
        </w:rPr>
        <w:t xml:space="preserve"> –</w:t>
      </w:r>
      <w:r w:rsidRPr="00A315CB">
        <w:rPr>
          <w:rFonts w:asciiTheme="minorHAnsi" w:hAnsiTheme="minorHAnsi" w:cstheme="minorHAnsi"/>
          <w:lang w:eastAsia="en-US"/>
        </w:rPr>
        <w:t xml:space="preserve"> </w:t>
      </w:r>
      <w:r w:rsidRPr="00A315CB">
        <w:rPr>
          <w:rFonts w:asciiTheme="minorHAnsi" w:hAnsiTheme="minorHAnsi" w:cstheme="minorHAnsi"/>
          <w:i/>
          <w:lang w:eastAsia="en-US"/>
        </w:rPr>
        <w:t>Rozvoj a obnova materiálně technické základny vězeňství</w:t>
      </w:r>
      <w:r w:rsidRPr="00A315CB">
        <w:rPr>
          <w:rFonts w:asciiTheme="minorHAnsi" w:hAnsiTheme="minorHAnsi" w:cstheme="minorHAnsi"/>
          <w:lang w:eastAsia="en-US"/>
        </w:rPr>
        <w:t xml:space="preserve"> (dále také „program 136 310“) měl být realizován v</w:t>
      </w:r>
      <w:r w:rsidR="00DB2620" w:rsidRPr="00A315CB">
        <w:rPr>
          <w:rFonts w:asciiTheme="minorHAnsi" w:hAnsiTheme="minorHAnsi" w:cstheme="minorHAnsi"/>
          <w:lang w:eastAsia="en-US"/>
        </w:rPr>
        <w:t xml:space="preserve"> </w:t>
      </w:r>
      <w:r w:rsidRPr="00A315CB">
        <w:rPr>
          <w:rFonts w:asciiTheme="minorHAnsi" w:hAnsiTheme="minorHAnsi" w:cstheme="minorHAnsi"/>
          <w:lang w:eastAsia="en-US"/>
        </w:rPr>
        <w:t>letech 2013 až 2015 s</w:t>
      </w:r>
      <w:r w:rsidR="00DB2620" w:rsidRPr="00A315CB">
        <w:rPr>
          <w:rFonts w:asciiTheme="minorHAnsi" w:hAnsiTheme="minorHAnsi" w:cstheme="minorHAnsi"/>
          <w:lang w:eastAsia="en-US"/>
        </w:rPr>
        <w:t xml:space="preserve"> </w:t>
      </w:r>
      <w:r w:rsidRPr="00A315CB">
        <w:rPr>
          <w:rFonts w:asciiTheme="minorHAnsi" w:hAnsiTheme="minorHAnsi" w:cstheme="minorHAnsi"/>
          <w:lang w:eastAsia="en-US"/>
        </w:rPr>
        <w:t>celkovými výdaji 310,452</w:t>
      </w:r>
      <w:r w:rsidR="00DB2620" w:rsidRPr="00A315CB">
        <w:rPr>
          <w:rFonts w:asciiTheme="minorHAnsi" w:hAnsiTheme="minorHAnsi" w:cstheme="minorHAnsi"/>
          <w:lang w:eastAsia="en-US"/>
        </w:rPr>
        <w:t> </w:t>
      </w:r>
      <w:r w:rsidRPr="00A315CB">
        <w:rPr>
          <w:rFonts w:asciiTheme="minorHAnsi" w:hAnsiTheme="minorHAnsi" w:cstheme="minorHAnsi"/>
          <w:lang w:eastAsia="en-US"/>
        </w:rPr>
        <w:t xml:space="preserve">mil. Kč. </w:t>
      </w:r>
      <w:r w:rsidR="00A023F2" w:rsidRPr="00A315CB">
        <w:rPr>
          <w:rFonts w:asciiTheme="minorHAnsi" w:hAnsiTheme="minorHAnsi" w:cstheme="minorHAnsi"/>
        </w:rPr>
        <w:t>Program navazuje na předchozí stejnojmenný program 236</w:t>
      </w:r>
      <w:r w:rsidR="00DB2620" w:rsidRPr="00A315CB">
        <w:rPr>
          <w:rFonts w:asciiTheme="minorHAnsi" w:hAnsiTheme="minorHAnsi" w:cstheme="minorHAnsi"/>
        </w:rPr>
        <w:t xml:space="preserve"> </w:t>
      </w:r>
      <w:r w:rsidR="00A023F2" w:rsidRPr="00A315CB">
        <w:rPr>
          <w:rFonts w:asciiTheme="minorHAnsi" w:hAnsiTheme="minorHAnsi" w:cstheme="minorHAnsi"/>
        </w:rPr>
        <w:t xml:space="preserve">210. </w:t>
      </w:r>
      <w:r w:rsidRPr="00A315CB">
        <w:rPr>
          <w:rFonts w:asciiTheme="minorHAnsi" w:hAnsiTheme="minorHAnsi" w:cstheme="minorHAnsi"/>
        </w:rPr>
        <w:t>Do konce roku 2014 bylo z</w:t>
      </w:r>
      <w:r w:rsidR="00DB2620" w:rsidRPr="00A315CB">
        <w:rPr>
          <w:rFonts w:asciiTheme="minorHAnsi" w:hAnsiTheme="minorHAnsi" w:cstheme="minorHAnsi"/>
        </w:rPr>
        <w:t xml:space="preserve"> </w:t>
      </w:r>
      <w:r w:rsidRPr="00A315CB">
        <w:rPr>
          <w:rFonts w:asciiTheme="minorHAnsi" w:hAnsiTheme="minorHAnsi" w:cstheme="minorHAnsi"/>
        </w:rPr>
        <w:t>programu vyčerpáno pouze 69,3 mil. Kč.</w:t>
      </w:r>
      <w:r w:rsidR="00180226" w:rsidRPr="00A315CB">
        <w:rPr>
          <w:rFonts w:asciiTheme="minorHAnsi" w:hAnsiTheme="minorHAnsi" w:cstheme="minorHAnsi"/>
        </w:rPr>
        <w:t xml:space="preserve"> V</w:t>
      </w:r>
      <w:r w:rsidR="00DB2620" w:rsidRPr="00A315CB">
        <w:rPr>
          <w:rFonts w:asciiTheme="minorHAnsi" w:hAnsiTheme="minorHAnsi" w:cstheme="minorHAnsi"/>
        </w:rPr>
        <w:t xml:space="preserve"> </w:t>
      </w:r>
      <w:r w:rsidR="00180226" w:rsidRPr="00A315CB">
        <w:rPr>
          <w:rFonts w:asciiTheme="minorHAnsi" w:hAnsiTheme="minorHAnsi" w:cstheme="minorHAnsi"/>
        </w:rPr>
        <w:t xml:space="preserve">průběhu kontroly byla v říjnu 2015 schválena změna dokumentace programu, kterou byla navýšena účast státního rozpočtu na </w:t>
      </w:r>
      <w:r w:rsidR="00C65035" w:rsidRPr="00A315CB">
        <w:rPr>
          <w:rFonts w:asciiTheme="minorHAnsi" w:hAnsiTheme="minorHAnsi" w:cstheme="minorHAnsi"/>
        </w:rPr>
        <w:t xml:space="preserve">jeho financování </w:t>
      </w:r>
      <w:r w:rsidR="00180226" w:rsidRPr="00A315CB">
        <w:rPr>
          <w:rFonts w:asciiTheme="minorHAnsi" w:hAnsiTheme="minorHAnsi" w:cstheme="minorHAnsi"/>
        </w:rPr>
        <w:t>na 1</w:t>
      </w:r>
      <w:r w:rsidR="00DB2620" w:rsidRPr="00A315CB">
        <w:rPr>
          <w:rFonts w:asciiTheme="minorHAnsi" w:hAnsiTheme="minorHAnsi" w:cstheme="minorHAnsi"/>
        </w:rPr>
        <w:t xml:space="preserve"> </w:t>
      </w:r>
      <w:r w:rsidR="00180226" w:rsidRPr="00A315CB">
        <w:rPr>
          <w:rFonts w:asciiTheme="minorHAnsi" w:hAnsiTheme="minorHAnsi" w:cstheme="minorHAnsi"/>
        </w:rPr>
        <w:t>599,1 mil. Kč a prodloužena doba realizace do konce roku 2018.</w:t>
      </w:r>
    </w:p>
    <w:p w14:paraId="576F8D07" w14:textId="77777777" w:rsidR="00C65035" w:rsidRPr="00A315CB" w:rsidRDefault="00C65035" w:rsidP="00D57B03">
      <w:pPr>
        <w:pStyle w:val="Odstavecseseznamem"/>
        <w:spacing w:line="264" w:lineRule="auto"/>
        <w:ind w:left="0"/>
        <w:jc w:val="both"/>
        <w:rPr>
          <w:rFonts w:asciiTheme="minorHAnsi" w:hAnsiTheme="minorHAnsi" w:cstheme="minorHAnsi"/>
        </w:rPr>
      </w:pPr>
    </w:p>
    <w:p w14:paraId="6D8234F5" w14:textId="77777777" w:rsidR="00DB2620" w:rsidRPr="00A315CB" w:rsidRDefault="00DB2620" w:rsidP="00D57B03">
      <w:pPr>
        <w:pStyle w:val="Odstavecseseznamem"/>
        <w:spacing w:line="264" w:lineRule="auto"/>
        <w:ind w:left="0"/>
        <w:jc w:val="both"/>
        <w:rPr>
          <w:rFonts w:asciiTheme="minorHAnsi" w:hAnsiTheme="minorHAnsi" w:cstheme="minorHAnsi"/>
        </w:rPr>
      </w:pPr>
    </w:p>
    <w:p w14:paraId="37369F07" w14:textId="77777777" w:rsidR="002E0724" w:rsidRPr="00A315CB" w:rsidRDefault="002E0724" w:rsidP="003D3E73">
      <w:pPr>
        <w:jc w:val="center"/>
        <w:rPr>
          <w:rFonts w:asciiTheme="minorHAnsi" w:hAnsiTheme="minorHAnsi" w:cstheme="minorHAnsi"/>
          <w:sz w:val="28"/>
          <w:szCs w:val="28"/>
        </w:rPr>
      </w:pPr>
      <w:r w:rsidRPr="00A315CB">
        <w:rPr>
          <w:rFonts w:asciiTheme="minorHAnsi" w:hAnsiTheme="minorHAnsi" w:cstheme="minorHAnsi"/>
          <w:b/>
          <w:sz w:val="28"/>
          <w:szCs w:val="28"/>
        </w:rPr>
        <w:t>II. Shrnutí a vyhodnocení skutečností zjištěných při</w:t>
      </w:r>
      <w:r w:rsidR="00DB2620" w:rsidRPr="00A315C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315CB">
        <w:rPr>
          <w:rFonts w:asciiTheme="minorHAnsi" w:hAnsiTheme="minorHAnsi" w:cstheme="minorHAnsi"/>
          <w:b/>
          <w:sz w:val="28"/>
          <w:szCs w:val="28"/>
        </w:rPr>
        <w:t>kontrole</w:t>
      </w:r>
    </w:p>
    <w:p w14:paraId="457FAB7B" w14:textId="77777777" w:rsidR="0001248D" w:rsidRPr="00A315CB" w:rsidRDefault="0001248D" w:rsidP="004C031F">
      <w:pPr>
        <w:spacing w:line="264" w:lineRule="auto"/>
        <w:jc w:val="both"/>
        <w:rPr>
          <w:rFonts w:asciiTheme="minorHAnsi" w:hAnsiTheme="minorHAnsi" w:cstheme="minorHAnsi"/>
          <w:b/>
        </w:rPr>
      </w:pPr>
    </w:p>
    <w:p w14:paraId="4DE262A7" w14:textId="7E66A606" w:rsidR="00A36CBC" w:rsidRPr="00A315CB" w:rsidRDefault="005A0ADC" w:rsidP="004C031F">
      <w:pPr>
        <w:spacing w:line="264" w:lineRule="auto"/>
        <w:jc w:val="both"/>
        <w:rPr>
          <w:rFonts w:asciiTheme="minorHAnsi" w:hAnsiTheme="minorHAnsi" w:cstheme="minorHAnsi"/>
        </w:rPr>
      </w:pPr>
      <w:r w:rsidRPr="00A315CB">
        <w:rPr>
          <w:rFonts w:asciiTheme="minorHAnsi" w:hAnsiTheme="minorHAnsi" w:cstheme="minorHAnsi"/>
          <w:b/>
        </w:rPr>
        <w:t>Kontrolované p</w:t>
      </w:r>
      <w:r w:rsidR="00A36CBC" w:rsidRPr="00A315CB">
        <w:rPr>
          <w:rFonts w:asciiTheme="minorHAnsi" w:hAnsiTheme="minorHAnsi" w:cstheme="minorHAnsi"/>
          <w:b/>
        </w:rPr>
        <w:t>rogramy v</w:t>
      </w:r>
      <w:r w:rsidR="00DB2620" w:rsidRPr="00A315CB">
        <w:rPr>
          <w:rFonts w:asciiTheme="minorHAnsi" w:hAnsiTheme="minorHAnsi" w:cstheme="minorHAnsi"/>
          <w:b/>
        </w:rPr>
        <w:t xml:space="preserve"> </w:t>
      </w:r>
      <w:r w:rsidR="00A36CBC" w:rsidRPr="00A315CB">
        <w:rPr>
          <w:rFonts w:asciiTheme="minorHAnsi" w:hAnsiTheme="minorHAnsi" w:cstheme="minorHAnsi"/>
          <w:b/>
        </w:rPr>
        <w:t>působnosti MSp</w:t>
      </w:r>
      <w:r w:rsidRPr="00A315CB">
        <w:rPr>
          <w:rFonts w:asciiTheme="minorHAnsi" w:hAnsiTheme="minorHAnsi" w:cstheme="minorHAnsi"/>
          <w:b/>
        </w:rPr>
        <w:t xml:space="preserve"> naplňovaly stanovený účel a sloužily k reprodu</w:t>
      </w:r>
      <w:r w:rsidR="00B81396" w:rsidRPr="00A315CB">
        <w:rPr>
          <w:rFonts w:asciiTheme="minorHAnsi" w:hAnsiTheme="minorHAnsi" w:cstheme="minorHAnsi"/>
          <w:b/>
        </w:rPr>
        <w:t>k</w:t>
      </w:r>
      <w:r w:rsidR="006412B0" w:rsidRPr="00A315CB">
        <w:rPr>
          <w:rFonts w:asciiTheme="minorHAnsi" w:hAnsiTheme="minorHAnsi" w:cstheme="minorHAnsi"/>
          <w:b/>
        </w:rPr>
        <w:t xml:space="preserve">ci majetku justice a vězeňství, ale </w:t>
      </w:r>
      <w:r w:rsidR="00A36CBC" w:rsidRPr="00A315CB">
        <w:rPr>
          <w:rFonts w:asciiTheme="minorHAnsi" w:hAnsiTheme="minorHAnsi" w:cstheme="minorHAnsi"/>
          <w:b/>
        </w:rPr>
        <w:t>nebyly</w:t>
      </w:r>
      <w:r w:rsidR="00B81396" w:rsidRPr="00A315CB">
        <w:rPr>
          <w:rFonts w:asciiTheme="minorHAnsi" w:hAnsiTheme="minorHAnsi" w:cstheme="minorHAnsi"/>
          <w:b/>
        </w:rPr>
        <w:t xml:space="preserve"> připraveny a </w:t>
      </w:r>
      <w:r w:rsidR="00D16671" w:rsidRPr="00A315CB">
        <w:rPr>
          <w:rFonts w:asciiTheme="minorHAnsi" w:hAnsiTheme="minorHAnsi" w:cstheme="minorHAnsi"/>
          <w:b/>
        </w:rPr>
        <w:t>realizovány tak, aby byly</w:t>
      </w:r>
      <w:r w:rsidR="00A36CBC" w:rsidRPr="00A315CB">
        <w:rPr>
          <w:rFonts w:asciiTheme="minorHAnsi" w:hAnsiTheme="minorHAnsi" w:cstheme="minorHAnsi"/>
          <w:b/>
        </w:rPr>
        <w:t xml:space="preserve"> účinným nástrojem zabezpečujícím efektivní vynakládání prostředků státního rozpočtu.</w:t>
      </w:r>
      <w:r w:rsidR="00676552" w:rsidRPr="00A315CB">
        <w:rPr>
          <w:rFonts w:asciiTheme="minorHAnsi" w:hAnsiTheme="minorHAnsi" w:cstheme="minorHAnsi"/>
          <w:b/>
        </w:rPr>
        <w:t xml:space="preserve"> MSp </w:t>
      </w:r>
      <w:r w:rsidR="00185486">
        <w:rPr>
          <w:rFonts w:asciiTheme="minorHAnsi" w:hAnsiTheme="minorHAnsi" w:cstheme="minorHAnsi"/>
          <w:b/>
        </w:rPr>
        <w:t xml:space="preserve">prostřednictvím programů </w:t>
      </w:r>
      <w:r w:rsidR="00676552" w:rsidRPr="00A315CB">
        <w:rPr>
          <w:rFonts w:asciiTheme="minorHAnsi" w:hAnsiTheme="minorHAnsi" w:cstheme="minorHAnsi"/>
          <w:b/>
        </w:rPr>
        <w:t>většinou zabezpečovalo aktuální potřeby</w:t>
      </w:r>
      <w:r w:rsidR="000F7EC8" w:rsidRPr="00A315CB">
        <w:rPr>
          <w:rFonts w:asciiTheme="minorHAnsi" w:hAnsiTheme="minorHAnsi" w:cstheme="minorHAnsi"/>
          <w:b/>
        </w:rPr>
        <w:t xml:space="preserve">. </w:t>
      </w:r>
      <w:r w:rsidR="004C5C45" w:rsidRPr="00A315CB">
        <w:rPr>
          <w:rFonts w:asciiTheme="minorHAnsi" w:hAnsiTheme="minorHAnsi" w:cstheme="minorHAnsi"/>
          <w:b/>
        </w:rPr>
        <w:t>Většina p</w:t>
      </w:r>
      <w:r w:rsidR="000F7EC8" w:rsidRPr="00A315CB">
        <w:rPr>
          <w:rFonts w:asciiTheme="minorHAnsi" w:hAnsiTheme="minorHAnsi" w:cstheme="minorHAnsi"/>
          <w:b/>
        </w:rPr>
        <w:t>rioritní</w:t>
      </w:r>
      <w:r w:rsidR="004C5C45" w:rsidRPr="00A315CB">
        <w:rPr>
          <w:rFonts w:asciiTheme="minorHAnsi" w:hAnsiTheme="minorHAnsi" w:cstheme="minorHAnsi"/>
          <w:b/>
        </w:rPr>
        <w:t>ch projektů obsažen</w:t>
      </w:r>
      <w:r w:rsidR="002B2268">
        <w:rPr>
          <w:rFonts w:asciiTheme="minorHAnsi" w:hAnsiTheme="minorHAnsi" w:cstheme="minorHAnsi"/>
          <w:b/>
        </w:rPr>
        <w:t>ých</w:t>
      </w:r>
      <w:r w:rsidR="000F7EC8" w:rsidRPr="00A315CB">
        <w:rPr>
          <w:rFonts w:asciiTheme="minorHAnsi" w:hAnsiTheme="minorHAnsi" w:cstheme="minorHAnsi"/>
          <w:b/>
        </w:rPr>
        <w:t xml:space="preserve"> v</w:t>
      </w:r>
      <w:r w:rsidR="00676552" w:rsidRPr="00A315CB">
        <w:rPr>
          <w:rFonts w:asciiTheme="minorHAnsi" w:hAnsiTheme="minorHAnsi" w:cstheme="minorHAnsi"/>
          <w:b/>
        </w:rPr>
        <w:t> koncepcí</w:t>
      </w:r>
      <w:r w:rsidR="000F7EC8" w:rsidRPr="00A315CB">
        <w:rPr>
          <w:rFonts w:asciiTheme="minorHAnsi" w:hAnsiTheme="minorHAnsi" w:cstheme="minorHAnsi"/>
          <w:b/>
        </w:rPr>
        <w:t>ch</w:t>
      </w:r>
      <w:r w:rsidR="004C5C45" w:rsidRPr="00A315CB">
        <w:rPr>
          <w:rFonts w:asciiTheme="minorHAnsi" w:hAnsiTheme="minorHAnsi" w:cstheme="minorHAnsi"/>
          <w:b/>
        </w:rPr>
        <w:t xml:space="preserve"> buď realizována nebyla, nebo byla realizována</w:t>
      </w:r>
      <w:r w:rsidR="00676552" w:rsidRPr="00A315CB">
        <w:rPr>
          <w:rFonts w:asciiTheme="minorHAnsi" w:hAnsiTheme="minorHAnsi" w:cstheme="minorHAnsi"/>
          <w:b/>
        </w:rPr>
        <w:t xml:space="preserve"> v omezeném rozsahu</w:t>
      </w:r>
      <w:r w:rsidR="006412B0" w:rsidRPr="00A315CB">
        <w:rPr>
          <w:rFonts w:asciiTheme="minorHAnsi" w:hAnsiTheme="minorHAnsi" w:cstheme="minorHAnsi"/>
          <w:b/>
        </w:rPr>
        <w:t xml:space="preserve">. </w:t>
      </w:r>
      <w:r w:rsidR="00BD4F0D" w:rsidRPr="00A315CB">
        <w:rPr>
          <w:rFonts w:asciiTheme="minorHAnsi" w:hAnsiTheme="minorHAnsi" w:cstheme="minorHAnsi"/>
          <w:b/>
        </w:rPr>
        <w:t>Jednou z</w:t>
      </w:r>
      <w:r w:rsidR="00676552" w:rsidRPr="00A315CB">
        <w:rPr>
          <w:rFonts w:asciiTheme="minorHAnsi" w:hAnsiTheme="minorHAnsi" w:cstheme="minorHAnsi"/>
          <w:b/>
        </w:rPr>
        <w:t> </w:t>
      </w:r>
      <w:r w:rsidR="00BD4F0D" w:rsidRPr="00A315CB">
        <w:rPr>
          <w:rFonts w:asciiTheme="minorHAnsi" w:hAnsiTheme="minorHAnsi" w:cstheme="minorHAnsi"/>
          <w:b/>
        </w:rPr>
        <w:t xml:space="preserve">příčin byl </w:t>
      </w:r>
      <w:r w:rsidR="00DE137C" w:rsidRPr="00A315CB">
        <w:rPr>
          <w:rFonts w:asciiTheme="minorHAnsi" w:hAnsiTheme="minorHAnsi" w:cstheme="minorHAnsi"/>
          <w:b/>
        </w:rPr>
        <w:t>nedostatek</w:t>
      </w:r>
      <w:r w:rsidR="00A36CBC" w:rsidRPr="00A315CB">
        <w:rPr>
          <w:rFonts w:asciiTheme="minorHAnsi" w:hAnsiTheme="minorHAnsi" w:cstheme="minorHAnsi"/>
          <w:b/>
        </w:rPr>
        <w:t xml:space="preserve"> </w:t>
      </w:r>
      <w:r w:rsidR="00180226" w:rsidRPr="00A315CB">
        <w:rPr>
          <w:rFonts w:asciiTheme="minorHAnsi" w:hAnsiTheme="minorHAnsi" w:cstheme="minorHAnsi"/>
          <w:b/>
        </w:rPr>
        <w:t xml:space="preserve">peněžních </w:t>
      </w:r>
      <w:r w:rsidR="00A36CBC" w:rsidRPr="00A315CB">
        <w:rPr>
          <w:rFonts w:asciiTheme="minorHAnsi" w:hAnsiTheme="minorHAnsi" w:cstheme="minorHAnsi"/>
          <w:b/>
        </w:rPr>
        <w:t>prost</w:t>
      </w:r>
      <w:r w:rsidR="00180226" w:rsidRPr="00A315CB">
        <w:rPr>
          <w:rFonts w:asciiTheme="minorHAnsi" w:hAnsiTheme="minorHAnsi" w:cstheme="minorHAnsi"/>
          <w:b/>
        </w:rPr>
        <w:t>ředků v</w:t>
      </w:r>
      <w:r w:rsidR="006412B0" w:rsidRPr="00A315CB">
        <w:rPr>
          <w:rFonts w:asciiTheme="minorHAnsi" w:hAnsiTheme="minorHAnsi" w:cstheme="minorHAnsi"/>
          <w:b/>
        </w:rPr>
        <w:t> </w:t>
      </w:r>
      <w:r w:rsidR="00180226" w:rsidRPr="00A315CB">
        <w:rPr>
          <w:rFonts w:asciiTheme="minorHAnsi" w:hAnsiTheme="minorHAnsi" w:cstheme="minorHAnsi"/>
          <w:b/>
        </w:rPr>
        <w:t>porovnání s</w:t>
      </w:r>
      <w:r w:rsidR="00054E4B" w:rsidRPr="00A315CB">
        <w:rPr>
          <w:rFonts w:asciiTheme="minorHAnsi" w:hAnsiTheme="minorHAnsi" w:cstheme="minorHAnsi"/>
          <w:b/>
        </w:rPr>
        <w:t> </w:t>
      </w:r>
      <w:r w:rsidR="00180226" w:rsidRPr="00A315CB">
        <w:rPr>
          <w:rFonts w:asciiTheme="minorHAnsi" w:hAnsiTheme="minorHAnsi" w:cstheme="minorHAnsi"/>
          <w:b/>
        </w:rPr>
        <w:t>předpoklady uvedený</w:t>
      </w:r>
      <w:r w:rsidR="005A5F5E" w:rsidRPr="00A315CB">
        <w:rPr>
          <w:rFonts w:asciiTheme="minorHAnsi" w:hAnsiTheme="minorHAnsi" w:cstheme="minorHAnsi"/>
          <w:b/>
        </w:rPr>
        <w:t>mi</w:t>
      </w:r>
      <w:r w:rsidR="00676552" w:rsidRPr="00A315CB">
        <w:rPr>
          <w:rFonts w:asciiTheme="minorHAnsi" w:hAnsiTheme="minorHAnsi" w:cstheme="minorHAnsi"/>
          <w:b/>
        </w:rPr>
        <w:t xml:space="preserve"> a </w:t>
      </w:r>
      <w:r w:rsidR="00180226" w:rsidRPr="00A315CB">
        <w:rPr>
          <w:rFonts w:asciiTheme="minorHAnsi" w:hAnsiTheme="minorHAnsi" w:cstheme="minorHAnsi"/>
          <w:b/>
        </w:rPr>
        <w:t>schválený</w:t>
      </w:r>
      <w:r w:rsidR="005A5F5E" w:rsidRPr="00A315CB">
        <w:rPr>
          <w:rFonts w:asciiTheme="minorHAnsi" w:hAnsiTheme="minorHAnsi" w:cstheme="minorHAnsi"/>
          <w:b/>
        </w:rPr>
        <w:t>mi</w:t>
      </w:r>
      <w:r w:rsidR="00180226" w:rsidRPr="00A315CB">
        <w:rPr>
          <w:rFonts w:asciiTheme="minorHAnsi" w:hAnsiTheme="minorHAnsi" w:cstheme="minorHAnsi"/>
          <w:b/>
        </w:rPr>
        <w:t xml:space="preserve"> v</w:t>
      </w:r>
      <w:r w:rsidR="00676552" w:rsidRPr="00A315CB">
        <w:rPr>
          <w:rFonts w:asciiTheme="minorHAnsi" w:hAnsiTheme="minorHAnsi" w:cstheme="minorHAnsi"/>
          <w:b/>
        </w:rPr>
        <w:t> </w:t>
      </w:r>
      <w:r w:rsidR="00180226" w:rsidRPr="00A315CB">
        <w:rPr>
          <w:rFonts w:asciiTheme="minorHAnsi" w:hAnsiTheme="minorHAnsi" w:cstheme="minorHAnsi"/>
          <w:b/>
        </w:rPr>
        <w:t xml:space="preserve">dokumentacích programů. </w:t>
      </w:r>
      <w:r w:rsidR="006412B0" w:rsidRPr="00A315CB">
        <w:rPr>
          <w:rFonts w:asciiTheme="minorHAnsi" w:hAnsiTheme="minorHAnsi" w:cstheme="minorHAnsi"/>
          <w:b/>
        </w:rPr>
        <w:t>V</w:t>
      </w:r>
      <w:r w:rsidR="00210D87" w:rsidRPr="00A315CB">
        <w:rPr>
          <w:rFonts w:asciiTheme="minorHAnsi" w:hAnsiTheme="minorHAnsi" w:cstheme="minorHAnsi"/>
          <w:b/>
        </w:rPr>
        <w:t xml:space="preserve"> některých letech </w:t>
      </w:r>
      <w:r w:rsidR="006412B0" w:rsidRPr="00A315CB">
        <w:rPr>
          <w:rFonts w:asciiTheme="minorHAnsi" w:hAnsiTheme="minorHAnsi" w:cstheme="minorHAnsi"/>
          <w:b/>
        </w:rPr>
        <w:t>však n</w:t>
      </w:r>
      <w:r w:rsidR="0007408B" w:rsidRPr="00A315CB">
        <w:rPr>
          <w:rFonts w:asciiTheme="minorHAnsi" w:hAnsiTheme="minorHAnsi" w:cstheme="minorHAnsi"/>
          <w:b/>
        </w:rPr>
        <w:t>ebyly vyčerpány ani v rozpočtu schválené investiční</w:t>
      </w:r>
      <w:r w:rsidR="006412B0" w:rsidRPr="00A315CB">
        <w:rPr>
          <w:rFonts w:asciiTheme="minorHAnsi" w:hAnsiTheme="minorHAnsi" w:cstheme="minorHAnsi"/>
          <w:b/>
        </w:rPr>
        <w:t xml:space="preserve"> prostředky.</w:t>
      </w:r>
      <w:r w:rsidR="00210D87" w:rsidRPr="00A315CB">
        <w:rPr>
          <w:rFonts w:asciiTheme="minorHAnsi" w:hAnsiTheme="minorHAnsi" w:cstheme="minorHAnsi"/>
          <w:b/>
        </w:rPr>
        <w:t xml:space="preserve"> </w:t>
      </w:r>
      <w:r w:rsidR="00180226" w:rsidRPr="00A315CB">
        <w:rPr>
          <w:rFonts w:asciiTheme="minorHAnsi" w:hAnsiTheme="minorHAnsi" w:cstheme="minorHAnsi"/>
          <w:b/>
        </w:rPr>
        <w:t>Dlouh</w:t>
      </w:r>
      <w:r w:rsidR="00185486">
        <w:rPr>
          <w:rFonts w:asciiTheme="minorHAnsi" w:hAnsiTheme="minorHAnsi" w:cstheme="minorHAnsi"/>
          <w:b/>
        </w:rPr>
        <w:t>o trvající</w:t>
      </w:r>
      <w:r w:rsidR="00180226" w:rsidRPr="00A315CB">
        <w:rPr>
          <w:rFonts w:asciiTheme="minorHAnsi" w:hAnsiTheme="minorHAnsi" w:cstheme="minorHAnsi"/>
          <w:b/>
        </w:rPr>
        <w:t xml:space="preserve"> období realizace</w:t>
      </w:r>
      <w:r w:rsidR="00210D87" w:rsidRPr="00A315CB">
        <w:rPr>
          <w:rFonts w:asciiTheme="minorHAnsi" w:hAnsiTheme="minorHAnsi" w:cstheme="minorHAnsi"/>
          <w:b/>
        </w:rPr>
        <w:t xml:space="preserve"> programů</w:t>
      </w:r>
      <w:r w:rsidR="00180226" w:rsidRPr="00A315CB">
        <w:rPr>
          <w:rFonts w:asciiTheme="minorHAnsi" w:hAnsiTheme="minorHAnsi" w:cstheme="minorHAnsi"/>
          <w:b/>
        </w:rPr>
        <w:t xml:space="preserve"> (</w:t>
      </w:r>
      <w:r w:rsidR="002B2268">
        <w:rPr>
          <w:rFonts w:asciiTheme="minorHAnsi" w:hAnsiTheme="minorHAnsi" w:cstheme="minorHAnsi"/>
          <w:b/>
        </w:rPr>
        <w:t>9</w:t>
      </w:r>
      <w:r w:rsidR="00180226" w:rsidRPr="00A315CB">
        <w:rPr>
          <w:rFonts w:asciiTheme="minorHAnsi" w:hAnsiTheme="minorHAnsi" w:cstheme="minorHAnsi"/>
          <w:b/>
        </w:rPr>
        <w:t xml:space="preserve"> až 13 let) spolu se změnami věcného rámce snižují možnost věrohodného vyhodnocení</w:t>
      </w:r>
      <w:r w:rsidR="00185486">
        <w:rPr>
          <w:rFonts w:asciiTheme="minorHAnsi" w:hAnsiTheme="minorHAnsi" w:cstheme="minorHAnsi"/>
          <w:b/>
        </w:rPr>
        <w:t xml:space="preserve"> programů</w:t>
      </w:r>
      <w:r w:rsidR="00180226" w:rsidRPr="00A315CB">
        <w:rPr>
          <w:rFonts w:asciiTheme="minorHAnsi" w:hAnsiTheme="minorHAnsi" w:cstheme="minorHAnsi"/>
          <w:b/>
        </w:rPr>
        <w:t>.</w:t>
      </w:r>
      <w:r w:rsidR="00A36CBC" w:rsidRPr="00A315CB">
        <w:rPr>
          <w:rFonts w:asciiTheme="minorHAnsi" w:hAnsiTheme="minorHAnsi" w:cstheme="minorHAnsi"/>
          <w:b/>
        </w:rPr>
        <w:t xml:space="preserve"> </w:t>
      </w:r>
      <w:r w:rsidR="00185486">
        <w:rPr>
          <w:rFonts w:asciiTheme="minorHAnsi" w:hAnsiTheme="minorHAnsi" w:cstheme="minorHAnsi"/>
          <w:b/>
        </w:rPr>
        <w:t>P</w:t>
      </w:r>
      <w:r w:rsidR="00E2030C" w:rsidRPr="00A315CB">
        <w:rPr>
          <w:rFonts w:asciiTheme="minorHAnsi" w:hAnsiTheme="minorHAnsi" w:cstheme="minorHAnsi"/>
          <w:b/>
        </w:rPr>
        <w:t xml:space="preserve">arametry </w:t>
      </w:r>
      <w:r w:rsidR="00185486">
        <w:rPr>
          <w:rFonts w:asciiTheme="minorHAnsi" w:hAnsiTheme="minorHAnsi" w:cstheme="minorHAnsi"/>
          <w:b/>
        </w:rPr>
        <w:t xml:space="preserve">stanovené pro hodnocení </w:t>
      </w:r>
      <w:r w:rsidR="00E2030C" w:rsidRPr="00A315CB">
        <w:rPr>
          <w:rFonts w:asciiTheme="minorHAnsi" w:hAnsiTheme="minorHAnsi" w:cstheme="minorHAnsi"/>
          <w:b/>
        </w:rPr>
        <w:t>pro</w:t>
      </w:r>
      <w:r w:rsidR="00F753E4" w:rsidRPr="00A315CB">
        <w:rPr>
          <w:rFonts w:asciiTheme="minorHAnsi" w:hAnsiTheme="minorHAnsi" w:cstheme="minorHAnsi"/>
          <w:b/>
        </w:rPr>
        <w:t>gramů</w:t>
      </w:r>
      <w:r w:rsidR="00E2030C" w:rsidRPr="00A315CB">
        <w:rPr>
          <w:rFonts w:asciiTheme="minorHAnsi" w:hAnsiTheme="minorHAnsi" w:cstheme="minorHAnsi"/>
          <w:b/>
        </w:rPr>
        <w:t xml:space="preserve"> </w:t>
      </w:r>
      <w:r w:rsidR="006412B0" w:rsidRPr="00A315CB">
        <w:rPr>
          <w:rFonts w:asciiTheme="minorHAnsi" w:hAnsiTheme="minorHAnsi" w:cstheme="minorHAnsi"/>
          <w:b/>
        </w:rPr>
        <w:t xml:space="preserve">byly navíc v průběhu realizace </w:t>
      </w:r>
      <w:r w:rsidR="00BF39C1" w:rsidRPr="00A315CB">
        <w:rPr>
          <w:rFonts w:asciiTheme="minorHAnsi" w:hAnsiTheme="minorHAnsi" w:cstheme="minorHAnsi"/>
          <w:b/>
        </w:rPr>
        <w:t>z</w:t>
      </w:r>
      <w:r w:rsidR="006412B0" w:rsidRPr="00A315CB">
        <w:rPr>
          <w:rFonts w:asciiTheme="minorHAnsi" w:hAnsiTheme="minorHAnsi" w:cstheme="minorHAnsi"/>
          <w:b/>
        </w:rPr>
        <w:t>měněn</w:t>
      </w:r>
      <w:r w:rsidR="0066717D" w:rsidRPr="00A315CB">
        <w:rPr>
          <w:rFonts w:asciiTheme="minorHAnsi" w:hAnsiTheme="minorHAnsi" w:cstheme="minorHAnsi"/>
          <w:b/>
        </w:rPr>
        <w:t>y a </w:t>
      </w:r>
      <w:r w:rsidR="00BF39C1" w:rsidRPr="00A315CB">
        <w:rPr>
          <w:rFonts w:asciiTheme="minorHAnsi" w:hAnsiTheme="minorHAnsi" w:cstheme="minorHAnsi"/>
          <w:b/>
        </w:rPr>
        <w:t xml:space="preserve">nově stanovené parametry </w:t>
      </w:r>
      <w:r w:rsidR="00E2030C" w:rsidRPr="00A315CB">
        <w:rPr>
          <w:rFonts w:asciiTheme="minorHAnsi" w:hAnsiTheme="minorHAnsi" w:cstheme="minorHAnsi"/>
          <w:b/>
        </w:rPr>
        <w:t>nemají dostatečnou vypovídací schopnost pro hodnocení efektivnosti.</w:t>
      </w:r>
    </w:p>
    <w:p w14:paraId="00EF79C3" w14:textId="77777777" w:rsidR="00A36CBC" w:rsidRPr="00A315CB" w:rsidRDefault="00A36CBC" w:rsidP="004C031F">
      <w:pPr>
        <w:pStyle w:val="Zkladntextodsazen"/>
        <w:spacing w:after="0" w:line="264" w:lineRule="auto"/>
        <w:ind w:left="0"/>
        <w:jc w:val="both"/>
        <w:rPr>
          <w:rFonts w:asciiTheme="minorHAnsi" w:hAnsiTheme="minorHAnsi" w:cstheme="minorHAnsi"/>
          <w:b/>
        </w:rPr>
      </w:pPr>
    </w:p>
    <w:p w14:paraId="7E1EE030" w14:textId="19F23B80" w:rsidR="00A36CBC" w:rsidRPr="00A315CB" w:rsidRDefault="00DA2E49" w:rsidP="000F6B2D">
      <w:pPr>
        <w:pStyle w:val="Zkladntextodsazen"/>
        <w:spacing w:after="0" w:line="264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A315CB">
        <w:rPr>
          <w:rFonts w:asciiTheme="minorHAnsi" w:hAnsiTheme="minorHAnsi" w:cstheme="minorHAnsi"/>
          <w:b/>
        </w:rPr>
        <w:t>1.</w:t>
      </w:r>
      <w:r w:rsidR="000F6B2D">
        <w:rPr>
          <w:rFonts w:asciiTheme="minorHAnsi" w:hAnsiTheme="minorHAnsi" w:cstheme="minorHAnsi"/>
          <w:b/>
        </w:rPr>
        <w:tab/>
      </w:r>
      <w:r w:rsidR="00A36CBC" w:rsidRPr="00A315CB">
        <w:rPr>
          <w:rFonts w:asciiTheme="minorHAnsi" w:hAnsiTheme="minorHAnsi" w:cstheme="minorHAnsi"/>
          <w:b/>
        </w:rPr>
        <w:t xml:space="preserve">MSp mělo zpracované koncepce </w:t>
      </w:r>
      <w:r w:rsidR="00C76802" w:rsidRPr="00A315CB">
        <w:rPr>
          <w:rFonts w:asciiTheme="minorHAnsi" w:hAnsiTheme="minorHAnsi" w:cstheme="minorHAnsi"/>
          <w:b/>
        </w:rPr>
        <w:t>reprodukce majetku v</w:t>
      </w:r>
      <w:r w:rsidR="00DB2620" w:rsidRPr="00A315CB">
        <w:rPr>
          <w:rFonts w:asciiTheme="minorHAnsi" w:hAnsiTheme="minorHAnsi" w:cstheme="minorHAnsi"/>
          <w:b/>
        </w:rPr>
        <w:t xml:space="preserve"> </w:t>
      </w:r>
      <w:r w:rsidR="00C76802" w:rsidRPr="00A315CB">
        <w:rPr>
          <w:rFonts w:asciiTheme="minorHAnsi" w:hAnsiTheme="minorHAnsi" w:cstheme="minorHAnsi"/>
          <w:b/>
        </w:rPr>
        <w:t>oblasti justice i vězeňství</w:t>
      </w:r>
      <w:r w:rsidR="00116B2E" w:rsidRPr="00A315CB">
        <w:rPr>
          <w:rFonts w:asciiTheme="minorHAnsi" w:hAnsiTheme="minorHAnsi" w:cstheme="minorHAnsi"/>
          <w:b/>
        </w:rPr>
        <w:t xml:space="preserve"> pro roky 2008 až 2013</w:t>
      </w:r>
      <w:r w:rsidR="00185486">
        <w:rPr>
          <w:rFonts w:asciiTheme="minorHAnsi" w:hAnsiTheme="minorHAnsi" w:cstheme="minorHAnsi"/>
          <w:b/>
        </w:rPr>
        <w:t>; tyto koncepce</w:t>
      </w:r>
      <w:r w:rsidR="00116B2E" w:rsidRPr="00A315CB">
        <w:rPr>
          <w:rFonts w:asciiTheme="minorHAnsi" w:hAnsiTheme="minorHAnsi" w:cstheme="minorHAnsi"/>
          <w:b/>
        </w:rPr>
        <w:t xml:space="preserve"> měly být podkladem pro programy</w:t>
      </w:r>
      <w:r w:rsidR="00C76802" w:rsidRPr="00A315CB">
        <w:rPr>
          <w:rFonts w:asciiTheme="minorHAnsi" w:hAnsiTheme="minorHAnsi" w:cstheme="minorHAnsi"/>
          <w:b/>
        </w:rPr>
        <w:t xml:space="preserve"> rozvoje materiálně technické základny </w:t>
      </w:r>
      <w:r w:rsidR="00185486">
        <w:rPr>
          <w:rFonts w:asciiTheme="minorHAnsi" w:hAnsiTheme="minorHAnsi" w:cstheme="minorHAnsi"/>
          <w:b/>
        </w:rPr>
        <w:t>zmíněných</w:t>
      </w:r>
      <w:r w:rsidR="00C76802" w:rsidRPr="00A315CB">
        <w:rPr>
          <w:rFonts w:asciiTheme="minorHAnsi" w:hAnsiTheme="minorHAnsi" w:cstheme="minorHAnsi"/>
          <w:b/>
        </w:rPr>
        <w:t xml:space="preserve"> oblastí. V</w:t>
      </w:r>
      <w:r w:rsidR="00DB2620" w:rsidRPr="00A315CB">
        <w:rPr>
          <w:rFonts w:asciiTheme="minorHAnsi" w:hAnsiTheme="minorHAnsi" w:cstheme="minorHAnsi"/>
          <w:b/>
        </w:rPr>
        <w:t xml:space="preserve"> </w:t>
      </w:r>
      <w:r w:rsidR="00C76802" w:rsidRPr="00A315CB">
        <w:rPr>
          <w:rFonts w:asciiTheme="minorHAnsi" w:hAnsiTheme="minorHAnsi" w:cstheme="minorHAnsi"/>
          <w:b/>
        </w:rPr>
        <w:t xml:space="preserve">koncepcích uvedené potřebné investiční prostředky značně převyšovaly </w:t>
      </w:r>
      <w:r w:rsidR="00185486">
        <w:rPr>
          <w:rFonts w:asciiTheme="minorHAnsi" w:hAnsiTheme="minorHAnsi" w:cstheme="minorHAnsi"/>
          <w:b/>
        </w:rPr>
        <w:t xml:space="preserve">objem </w:t>
      </w:r>
      <w:r w:rsidR="00C76802" w:rsidRPr="00A315CB">
        <w:rPr>
          <w:rFonts w:asciiTheme="minorHAnsi" w:hAnsiTheme="minorHAnsi" w:cstheme="minorHAnsi"/>
          <w:b/>
        </w:rPr>
        <w:t>disponibilní</w:t>
      </w:r>
      <w:r w:rsidR="00185486">
        <w:rPr>
          <w:rFonts w:asciiTheme="minorHAnsi" w:hAnsiTheme="minorHAnsi" w:cstheme="minorHAnsi"/>
          <w:b/>
        </w:rPr>
        <w:t>ch</w:t>
      </w:r>
      <w:r w:rsidR="00C76802" w:rsidRPr="00A315CB">
        <w:rPr>
          <w:rFonts w:asciiTheme="minorHAnsi" w:hAnsiTheme="minorHAnsi" w:cstheme="minorHAnsi"/>
          <w:b/>
        </w:rPr>
        <w:t xml:space="preserve"> </w:t>
      </w:r>
      <w:r w:rsidR="00180226" w:rsidRPr="00A315CB">
        <w:rPr>
          <w:rFonts w:asciiTheme="minorHAnsi" w:hAnsiTheme="minorHAnsi" w:cstheme="minorHAnsi"/>
          <w:b/>
        </w:rPr>
        <w:t>peněžní</w:t>
      </w:r>
      <w:r w:rsidR="00185486">
        <w:rPr>
          <w:rFonts w:asciiTheme="minorHAnsi" w:hAnsiTheme="minorHAnsi" w:cstheme="minorHAnsi"/>
          <w:b/>
        </w:rPr>
        <w:t>ch</w:t>
      </w:r>
      <w:r w:rsidR="00180226" w:rsidRPr="00A315CB">
        <w:rPr>
          <w:rFonts w:asciiTheme="minorHAnsi" w:hAnsiTheme="minorHAnsi" w:cstheme="minorHAnsi"/>
          <w:b/>
        </w:rPr>
        <w:t xml:space="preserve"> </w:t>
      </w:r>
      <w:r w:rsidR="00C76802" w:rsidRPr="00A315CB">
        <w:rPr>
          <w:rFonts w:asciiTheme="minorHAnsi" w:hAnsiTheme="minorHAnsi" w:cstheme="minorHAnsi"/>
          <w:b/>
        </w:rPr>
        <w:t>prostředk</w:t>
      </w:r>
      <w:r w:rsidR="00185486">
        <w:rPr>
          <w:rFonts w:asciiTheme="minorHAnsi" w:hAnsiTheme="minorHAnsi" w:cstheme="minorHAnsi"/>
          <w:b/>
        </w:rPr>
        <w:t>ů</w:t>
      </w:r>
      <w:r w:rsidR="00C76802" w:rsidRPr="00A315CB">
        <w:rPr>
          <w:rFonts w:asciiTheme="minorHAnsi" w:hAnsiTheme="minorHAnsi" w:cstheme="minorHAnsi"/>
          <w:b/>
        </w:rPr>
        <w:t xml:space="preserve">. </w:t>
      </w:r>
      <w:r w:rsidR="00116B2E" w:rsidRPr="00A315CB">
        <w:rPr>
          <w:rFonts w:asciiTheme="minorHAnsi" w:hAnsiTheme="minorHAnsi" w:cstheme="minorHAnsi"/>
          <w:b/>
        </w:rPr>
        <w:t xml:space="preserve">Koncepce nebyly do doby ukončení kontroly aktualizovány a MSp promítalo </w:t>
      </w:r>
      <w:r w:rsidR="00180226" w:rsidRPr="00A315CB">
        <w:rPr>
          <w:rFonts w:asciiTheme="minorHAnsi" w:hAnsiTheme="minorHAnsi" w:cstheme="minorHAnsi"/>
          <w:b/>
        </w:rPr>
        <w:t xml:space="preserve">změny svých </w:t>
      </w:r>
      <w:r w:rsidR="00116B2E" w:rsidRPr="00A315CB">
        <w:rPr>
          <w:rFonts w:asciiTheme="minorHAnsi" w:hAnsiTheme="minorHAnsi" w:cstheme="minorHAnsi"/>
          <w:b/>
        </w:rPr>
        <w:lastRenderedPageBreak/>
        <w:t>investiční</w:t>
      </w:r>
      <w:r w:rsidR="00180226" w:rsidRPr="00A315CB">
        <w:rPr>
          <w:rFonts w:asciiTheme="minorHAnsi" w:hAnsiTheme="minorHAnsi" w:cstheme="minorHAnsi"/>
          <w:b/>
        </w:rPr>
        <w:t>ch potřeb</w:t>
      </w:r>
      <w:r w:rsidR="00116B2E" w:rsidRPr="00A315CB">
        <w:rPr>
          <w:rFonts w:asciiTheme="minorHAnsi" w:hAnsiTheme="minorHAnsi" w:cstheme="minorHAnsi"/>
          <w:b/>
        </w:rPr>
        <w:t xml:space="preserve"> do změn dokumentací programů. </w:t>
      </w:r>
      <w:r w:rsidR="003D3E73" w:rsidRPr="00A315CB">
        <w:rPr>
          <w:rFonts w:asciiTheme="minorHAnsi" w:hAnsiTheme="minorHAnsi" w:cstheme="minorHAnsi"/>
          <w:b/>
        </w:rPr>
        <w:t>Objem výdajů na financování programů se od roku 2009 razantně snížil</w:t>
      </w:r>
      <w:r w:rsidR="00AD1998" w:rsidRPr="00A315CB">
        <w:rPr>
          <w:rFonts w:asciiTheme="minorHAnsi" w:hAnsiTheme="minorHAnsi" w:cstheme="minorHAnsi"/>
          <w:b/>
        </w:rPr>
        <w:t>, což mělo vliv na realizaci programů</w:t>
      </w:r>
      <w:r w:rsidR="003D3E73" w:rsidRPr="00A315CB">
        <w:rPr>
          <w:rFonts w:asciiTheme="minorHAnsi" w:hAnsiTheme="minorHAnsi" w:cstheme="minorHAnsi"/>
          <w:b/>
        </w:rPr>
        <w:t>.</w:t>
      </w:r>
    </w:p>
    <w:p w14:paraId="018B940B" w14:textId="77777777" w:rsidR="00BF4CA3" w:rsidRPr="00A315CB" w:rsidRDefault="00BF4CA3" w:rsidP="000F6B2D">
      <w:pPr>
        <w:pStyle w:val="Zkladntextodsazen"/>
        <w:spacing w:after="0" w:line="264" w:lineRule="auto"/>
        <w:ind w:left="284" w:hanging="284"/>
        <w:jc w:val="both"/>
        <w:rPr>
          <w:rFonts w:asciiTheme="minorHAnsi" w:hAnsiTheme="minorHAnsi" w:cstheme="minorHAnsi"/>
          <w:b/>
        </w:rPr>
      </w:pPr>
    </w:p>
    <w:p w14:paraId="62BB19B9" w14:textId="6DFFF50E" w:rsidR="00180226" w:rsidRPr="00A315CB" w:rsidRDefault="00DA2E49" w:rsidP="000F6B2D">
      <w:pPr>
        <w:pStyle w:val="Zkladntextodsazen"/>
        <w:spacing w:after="0" w:line="264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A315CB">
        <w:rPr>
          <w:rFonts w:asciiTheme="minorHAnsi" w:hAnsiTheme="minorHAnsi" w:cstheme="minorHAnsi"/>
          <w:b/>
        </w:rPr>
        <w:t>2.</w:t>
      </w:r>
      <w:r w:rsidR="000F6B2D">
        <w:rPr>
          <w:rFonts w:asciiTheme="minorHAnsi" w:hAnsiTheme="minorHAnsi" w:cstheme="minorHAnsi"/>
          <w:b/>
        </w:rPr>
        <w:tab/>
      </w:r>
      <w:r w:rsidR="00BF4CA3" w:rsidRPr="00A315CB">
        <w:rPr>
          <w:rFonts w:asciiTheme="minorHAnsi" w:hAnsiTheme="minorHAnsi" w:cstheme="minorHAnsi"/>
          <w:b/>
        </w:rPr>
        <w:t>MSp v</w:t>
      </w:r>
      <w:r w:rsidR="00DB2620" w:rsidRPr="00A315CB">
        <w:rPr>
          <w:rFonts w:asciiTheme="minorHAnsi" w:hAnsiTheme="minorHAnsi" w:cstheme="minorHAnsi"/>
          <w:b/>
        </w:rPr>
        <w:t xml:space="preserve"> </w:t>
      </w:r>
      <w:r w:rsidR="00BF4CA3" w:rsidRPr="00A315CB">
        <w:rPr>
          <w:rFonts w:asciiTheme="minorHAnsi" w:hAnsiTheme="minorHAnsi" w:cstheme="minorHAnsi"/>
          <w:b/>
        </w:rPr>
        <w:t xml:space="preserve">průběhu realizace u všech programů výrazně upravovalo jejich </w:t>
      </w:r>
      <w:r w:rsidR="00823667" w:rsidRPr="00A315CB">
        <w:rPr>
          <w:rFonts w:asciiTheme="minorHAnsi" w:hAnsiTheme="minorHAnsi" w:cstheme="minorHAnsi"/>
          <w:b/>
        </w:rPr>
        <w:t>časové i</w:t>
      </w:r>
      <w:r w:rsidR="00DB2620" w:rsidRPr="00A315CB">
        <w:rPr>
          <w:rFonts w:asciiTheme="minorHAnsi" w:hAnsiTheme="minorHAnsi" w:cstheme="minorHAnsi"/>
          <w:b/>
        </w:rPr>
        <w:t xml:space="preserve"> </w:t>
      </w:r>
      <w:r w:rsidR="00180226" w:rsidRPr="00A315CB">
        <w:rPr>
          <w:rFonts w:asciiTheme="minorHAnsi" w:hAnsiTheme="minorHAnsi" w:cstheme="minorHAnsi"/>
          <w:b/>
        </w:rPr>
        <w:t xml:space="preserve">finanční </w:t>
      </w:r>
      <w:r w:rsidR="003D0D59">
        <w:rPr>
          <w:rFonts w:asciiTheme="minorHAnsi" w:hAnsiTheme="minorHAnsi" w:cstheme="minorHAnsi"/>
          <w:b/>
        </w:rPr>
        <w:t>parametry</w:t>
      </w:r>
      <w:r w:rsidR="008501FD" w:rsidRPr="00A315CB">
        <w:rPr>
          <w:rFonts w:asciiTheme="minorHAnsi" w:hAnsiTheme="minorHAnsi" w:cstheme="minorHAnsi"/>
          <w:b/>
        </w:rPr>
        <w:t xml:space="preserve">. </w:t>
      </w:r>
      <w:r w:rsidRPr="00A315CB">
        <w:rPr>
          <w:rFonts w:asciiTheme="minorHAnsi" w:hAnsiTheme="minorHAnsi" w:cstheme="minorHAnsi"/>
          <w:b/>
        </w:rPr>
        <w:t>Schválený rozpočet a</w:t>
      </w:r>
      <w:r w:rsidR="0089524C">
        <w:rPr>
          <w:rFonts w:asciiTheme="minorHAnsi" w:hAnsiTheme="minorHAnsi" w:cstheme="minorHAnsi"/>
          <w:b/>
        </w:rPr>
        <w:t>ni</w:t>
      </w:r>
      <w:r w:rsidRPr="00A315CB">
        <w:rPr>
          <w:rFonts w:asciiTheme="minorHAnsi" w:hAnsiTheme="minorHAnsi" w:cstheme="minorHAnsi"/>
          <w:b/>
        </w:rPr>
        <w:t xml:space="preserve"> skutečné čerpání </w:t>
      </w:r>
      <w:r w:rsidR="007D2606" w:rsidRPr="00A315CB">
        <w:rPr>
          <w:rFonts w:asciiTheme="minorHAnsi" w:hAnsiTheme="minorHAnsi" w:cstheme="minorHAnsi"/>
          <w:b/>
        </w:rPr>
        <w:t>peněžních prostředků na programy nedosahoval</w:t>
      </w:r>
      <w:r w:rsidR="0089524C">
        <w:rPr>
          <w:rFonts w:asciiTheme="minorHAnsi" w:hAnsiTheme="minorHAnsi" w:cstheme="minorHAnsi"/>
          <w:b/>
        </w:rPr>
        <w:t>y</w:t>
      </w:r>
      <w:r w:rsidRPr="00A315CB">
        <w:rPr>
          <w:rFonts w:asciiTheme="minorHAnsi" w:hAnsiTheme="minorHAnsi" w:cstheme="minorHAnsi"/>
          <w:b/>
        </w:rPr>
        <w:t xml:space="preserve"> pře</w:t>
      </w:r>
      <w:r w:rsidR="00D16671" w:rsidRPr="00A315CB">
        <w:rPr>
          <w:rFonts w:asciiTheme="minorHAnsi" w:hAnsiTheme="minorHAnsi" w:cstheme="minorHAnsi"/>
          <w:b/>
        </w:rPr>
        <w:t>dpokládané výše uvedené</w:t>
      </w:r>
      <w:r w:rsidRPr="00A315CB">
        <w:rPr>
          <w:rFonts w:asciiTheme="minorHAnsi" w:hAnsiTheme="minorHAnsi" w:cstheme="minorHAnsi"/>
          <w:b/>
        </w:rPr>
        <w:t xml:space="preserve"> v</w:t>
      </w:r>
      <w:r w:rsidR="00DB2620" w:rsidRPr="00A315CB">
        <w:rPr>
          <w:rFonts w:asciiTheme="minorHAnsi" w:hAnsiTheme="minorHAnsi" w:cstheme="minorHAnsi"/>
          <w:b/>
        </w:rPr>
        <w:t xml:space="preserve"> </w:t>
      </w:r>
      <w:r w:rsidRPr="00A315CB">
        <w:rPr>
          <w:rFonts w:asciiTheme="minorHAnsi" w:hAnsiTheme="minorHAnsi" w:cstheme="minorHAnsi"/>
          <w:b/>
        </w:rPr>
        <w:t>dokum</w:t>
      </w:r>
      <w:r w:rsidR="00D16671" w:rsidRPr="00A315CB">
        <w:rPr>
          <w:rFonts w:asciiTheme="minorHAnsi" w:hAnsiTheme="minorHAnsi" w:cstheme="minorHAnsi"/>
          <w:b/>
        </w:rPr>
        <w:t>entacích</w:t>
      </w:r>
      <w:r w:rsidR="00F45465" w:rsidRPr="00A315CB">
        <w:rPr>
          <w:rFonts w:asciiTheme="minorHAnsi" w:hAnsiTheme="minorHAnsi" w:cstheme="minorHAnsi"/>
          <w:b/>
        </w:rPr>
        <w:t xml:space="preserve"> nebo jejich změnách</w:t>
      </w:r>
      <w:r w:rsidR="00D16671" w:rsidRPr="00A315CB">
        <w:rPr>
          <w:rFonts w:asciiTheme="minorHAnsi" w:hAnsiTheme="minorHAnsi" w:cstheme="minorHAnsi"/>
          <w:b/>
        </w:rPr>
        <w:t>. V důsledku toho byla</w:t>
      </w:r>
      <w:r w:rsidR="00DB2620" w:rsidRPr="00A315CB">
        <w:rPr>
          <w:rFonts w:asciiTheme="minorHAnsi" w:hAnsiTheme="minorHAnsi" w:cstheme="minorHAnsi"/>
          <w:b/>
        </w:rPr>
        <w:t xml:space="preserve"> </w:t>
      </w:r>
      <w:r w:rsidR="00D16671" w:rsidRPr="00A315CB">
        <w:rPr>
          <w:rFonts w:asciiTheme="minorHAnsi" w:hAnsiTheme="minorHAnsi" w:cstheme="minorHAnsi"/>
          <w:b/>
        </w:rPr>
        <w:t>z</w:t>
      </w:r>
      <w:r w:rsidR="00DB2620" w:rsidRPr="00A315CB">
        <w:rPr>
          <w:rFonts w:asciiTheme="minorHAnsi" w:hAnsiTheme="minorHAnsi" w:cstheme="minorHAnsi"/>
          <w:b/>
        </w:rPr>
        <w:t xml:space="preserve"> </w:t>
      </w:r>
      <w:r w:rsidR="00D16671" w:rsidRPr="00A315CB">
        <w:rPr>
          <w:rFonts w:asciiTheme="minorHAnsi" w:hAnsiTheme="minorHAnsi" w:cstheme="minorHAnsi"/>
          <w:b/>
        </w:rPr>
        <w:t>akcí uvedených v</w:t>
      </w:r>
      <w:r w:rsidR="00DB2620" w:rsidRPr="00A315CB">
        <w:rPr>
          <w:rFonts w:asciiTheme="minorHAnsi" w:hAnsiTheme="minorHAnsi" w:cstheme="minorHAnsi"/>
          <w:b/>
        </w:rPr>
        <w:t xml:space="preserve"> </w:t>
      </w:r>
      <w:r w:rsidR="00D16671" w:rsidRPr="00A315CB">
        <w:rPr>
          <w:rFonts w:asciiTheme="minorHAnsi" w:hAnsiTheme="minorHAnsi" w:cstheme="minorHAnsi"/>
          <w:b/>
        </w:rPr>
        <w:t>koncepcích</w:t>
      </w:r>
      <w:r w:rsidR="00F45465" w:rsidRPr="00A315CB">
        <w:rPr>
          <w:rFonts w:asciiTheme="minorHAnsi" w:hAnsiTheme="minorHAnsi" w:cstheme="minorHAnsi"/>
          <w:b/>
        </w:rPr>
        <w:t xml:space="preserve"> a dokumentacích programů</w:t>
      </w:r>
      <w:r w:rsidR="00D16671" w:rsidRPr="00A315CB">
        <w:rPr>
          <w:rFonts w:asciiTheme="minorHAnsi" w:hAnsiTheme="minorHAnsi" w:cstheme="minorHAnsi"/>
          <w:b/>
        </w:rPr>
        <w:t xml:space="preserve"> realizována pouze část. </w:t>
      </w:r>
      <w:r w:rsidR="0048288E" w:rsidRPr="00A315CB">
        <w:rPr>
          <w:rFonts w:asciiTheme="minorHAnsi" w:hAnsiTheme="minorHAnsi" w:cstheme="minorHAnsi"/>
          <w:b/>
        </w:rPr>
        <w:t>Skutečné čerpání prostředků bylo v kont</w:t>
      </w:r>
      <w:r w:rsidR="00066E48" w:rsidRPr="00A315CB">
        <w:rPr>
          <w:rFonts w:asciiTheme="minorHAnsi" w:hAnsiTheme="minorHAnsi" w:cstheme="minorHAnsi"/>
          <w:b/>
        </w:rPr>
        <w:t>rol</w:t>
      </w:r>
      <w:r w:rsidR="0048288E" w:rsidRPr="00A315CB">
        <w:rPr>
          <w:rFonts w:asciiTheme="minorHAnsi" w:hAnsiTheme="minorHAnsi" w:cstheme="minorHAnsi"/>
          <w:b/>
        </w:rPr>
        <w:t xml:space="preserve">ovaném období nižší než schválený rozpočet. </w:t>
      </w:r>
      <w:r w:rsidR="00180226" w:rsidRPr="00A315CB">
        <w:rPr>
          <w:rFonts w:asciiTheme="minorHAnsi" w:hAnsiTheme="minorHAnsi" w:cstheme="minorHAnsi"/>
          <w:b/>
        </w:rPr>
        <w:t xml:space="preserve">Doba </w:t>
      </w:r>
      <w:r w:rsidR="00F6004D" w:rsidRPr="00A315CB">
        <w:rPr>
          <w:rFonts w:asciiTheme="minorHAnsi" w:hAnsiTheme="minorHAnsi" w:cstheme="minorHAnsi"/>
          <w:b/>
        </w:rPr>
        <w:t>realizace programů byla opakovaně</w:t>
      </w:r>
      <w:r w:rsidR="00180226" w:rsidRPr="00A315CB">
        <w:rPr>
          <w:rFonts w:asciiTheme="minorHAnsi" w:hAnsiTheme="minorHAnsi" w:cstheme="minorHAnsi"/>
          <w:b/>
        </w:rPr>
        <w:t xml:space="preserve"> prodlužována</w:t>
      </w:r>
      <w:r w:rsidR="00823667" w:rsidRPr="00A315CB">
        <w:rPr>
          <w:rFonts w:asciiTheme="minorHAnsi" w:hAnsiTheme="minorHAnsi" w:cstheme="minorHAnsi"/>
          <w:b/>
        </w:rPr>
        <w:t xml:space="preserve"> a do doby ukončení kontro</w:t>
      </w:r>
      <w:r w:rsidR="00AD1998" w:rsidRPr="00A315CB">
        <w:rPr>
          <w:rFonts w:asciiTheme="minorHAnsi" w:hAnsiTheme="minorHAnsi" w:cstheme="minorHAnsi"/>
          <w:b/>
        </w:rPr>
        <w:t>ly ne</w:t>
      </w:r>
      <w:r w:rsidR="0001248D" w:rsidRPr="00A315CB">
        <w:rPr>
          <w:rFonts w:asciiTheme="minorHAnsi" w:hAnsiTheme="minorHAnsi" w:cstheme="minorHAnsi"/>
          <w:b/>
        </w:rPr>
        <w:t>byl žádný program ukončen ani</w:t>
      </w:r>
      <w:r w:rsidR="00AD1998" w:rsidRPr="00A315CB">
        <w:rPr>
          <w:rFonts w:asciiTheme="minorHAnsi" w:hAnsiTheme="minorHAnsi" w:cstheme="minorHAnsi"/>
          <w:b/>
        </w:rPr>
        <w:t xml:space="preserve"> vyhodnocen.</w:t>
      </w:r>
      <w:r w:rsidR="00B0234B" w:rsidRPr="00A315CB">
        <w:rPr>
          <w:rFonts w:asciiTheme="minorHAnsi" w:hAnsiTheme="minorHAnsi" w:cstheme="minorHAnsi"/>
          <w:b/>
        </w:rPr>
        <w:t xml:space="preserve"> </w:t>
      </w:r>
    </w:p>
    <w:p w14:paraId="3ED6C319" w14:textId="77777777" w:rsidR="00180226" w:rsidRPr="00A315CB" w:rsidRDefault="00180226" w:rsidP="000F6B2D">
      <w:pPr>
        <w:pStyle w:val="Zkladntextodsazen"/>
        <w:spacing w:after="0" w:line="264" w:lineRule="auto"/>
        <w:ind w:left="284"/>
        <w:jc w:val="both"/>
        <w:rPr>
          <w:rFonts w:asciiTheme="minorHAnsi" w:hAnsiTheme="minorHAnsi" w:cstheme="minorHAnsi"/>
          <w:b/>
        </w:rPr>
      </w:pPr>
    </w:p>
    <w:p w14:paraId="500762CF" w14:textId="61118AB4" w:rsidR="001410DB" w:rsidRPr="00A315CB" w:rsidRDefault="00AD1998" w:rsidP="000F6B2D">
      <w:pPr>
        <w:pStyle w:val="Zkladntextodsazen"/>
        <w:spacing w:after="0" w:line="264" w:lineRule="auto"/>
        <w:ind w:left="284"/>
        <w:jc w:val="both"/>
        <w:rPr>
          <w:rFonts w:asciiTheme="minorHAnsi" w:hAnsiTheme="minorHAnsi" w:cstheme="minorHAnsi"/>
          <w:b/>
        </w:rPr>
      </w:pPr>
      <w:r w:rsidRPr="00A315CB">
        <w:rPr>
          <w:rFonts w:asciiTheme="minorHAnsi" w:hAnsiTheme="minorHAnsi" w:cstheme="minorHAnsi"/>
          <w:b/>
        </w:rPr>
        <w:t>MSp v</w:t>
      </w:r>
      <w:r w:rsidR="00DB2620" w:rsidRPr="00A315CB">
        <w:rPr>
          <w:rFonts w:asciiTheme="minorHAnsi" w:hAnsiTheme="minorHAnsi" w:cstheme="minorHAnsi"/>
          <w:b/>
        </w:rPr>
        <w:t xml:space="preserve"> </w:t>
      </w:r>
      <w:r w:rsidRPr="00A315CB">
        <w:rPr>
          <w:rFonts w:asciiTheme="minorHAnsi" w:hAnsiTheme="minorHAnsi" w:cstheme="minorHAnsi"/>
          <w:b/>
        </w:rPr>
        <w:t>oblasti vězeňství zahájilo v</w:t>
      </w:r>
      <w:r w:rsidR="00DB2620" w:rsidRPr="00A315CB">
        <w:rPr>
          <w:rFonts w:asciiTheme="minorHAnsi" w:hAnsiTheme="minorHAnsi" w:cstheme="minorHAnsi"/>
          <w:b/>
        </w:rPr>
        <w:t xml:space="preserve"> </w:t>
      </w:r>
      <w:r w:rsidRPr="00A315CB">
        <w:rPr>
          <w:rFonts w:asciiTheme="minorHAnsi" w:hAnsiTheme="minorHAnsi" w:cstheme="minorHAnsi"/>
          <w:b/>
        </w:rPr>
        <w:t>roce 2013 nový program 136</w:t>
      </w:r>
      <w:r w:rsidR="00DB2620" w:rsidRPr="00A315CB">
        <w:rPr>
          <w:rFonts w:asciiTheme="minorHAnsi" w:hAnsiTheme="minorHAnsi" w:cstheme="minorHAnsi"/>
          <w:b/>
        </w:rPr>
        <w:t xml:space="preserve"> </w:t>
      </w:r>
      <w:r w:rsidRPr="00A315CB">
        <w:rPr>
          <w:rFonts w:asciiTheme="minorHAnsi" w:hAnsiTheme="minorHAnsi" w:cstheme="minorHAnsi"/>
          <w:b/>
        </w:rPr>
        <w:t xml:space="preserve">310, </w:t>
      </w:r>
      <w:r w:rsidR="00180226" w:rsidRPr="00A315CB">
        <w:rPr>
          <w:rFonts w:asciiTheme="minorHAnsi" w:hAnsiTheme="minorHAnsi" w:cstheme="minorHAnsi"/>
          <w:b/>
        </w:rPr>
        <w:t>jehož cíle byly téměř totožné s</w:t>
      </w:r>
      <w:r w:rsidR="00DB2620" w:rsidRPr="00A315CB">
        <w:rPr>
          <w:rFonts w:asciiTheme="minorHAnsi" w:hAnsiTheme="minorHAnsi" w:cstheme="minorHAnsi"/>
          <w:b/>
        </w:rPr>
        <w:t xml:space="preserve"> </w:t>
      </w:r>
      <w:r w:rsidR="00180226" w:rsidRPr="00A315CB">
        <w:rPr>
          <w:rFonts w:asciiTheme="minorHAnsi" w:hAnsiTheme="minorHAnsi" w:cstheme="minorHAnsi"/>
          <w:b/>
        </w:rPr>
        <w:t>cíli programu</w:t>
      </w:r>
      <w:r w:rsidRPr="00A315CB">
        <w:rPr>
          <w:rFonts w:asciiTheme="minorHAnsi" w:hAnsiTheme="minorHAnsi" w:cstheme="minorHAnsi"/>
          <w:b/>
        </w:rPr>
        <w:t xml:space="preserve"> 236</w:t>
      </w:r>
      <w:r w:rsidR="00DB2620" w:rsidRPr="00A315CB">
        <w:rPr>
          <w:rFonts w:asciiTheme="minorHAnsi" w:hAnsiTheme="minorHAnsi" w:cstheme="minorHAnsi"/>
          <w:b/>
        </w:rPr>
        <w:t xml:space="preserve"> </w:t>
      </w:r>
      <w:r w:rsidRPr="00A315CB">
        <w:rPr>
          <w:rFonts w:asciiTheme="minorHAnsi" w:hAnsiTheme="minorHAnsi" w:cstheme="minorHAnsi"/>
          <w:b/>
        </w:rPr>
        <w:t xml:space="preserve">210. </w:t>
      </w:r>
      <w:r w:rsidR="00180226" w:rsidRPr="00A315CB">
        <w:rPr>
          <w:rFonts w:asciiTheme="minorHAnsi" w:hAnsiTheme="minorHAnsi" w:cstheme="minorHAnsi"/>
          <w:b/>
        </w:rPr>
        <w:t xml:space="preserve">Registrace </w:t>
      </w:r>
      <w:r w:rsidR="0089524C">
        <w:rPr>
          <w:rFonts w:asciiTheme="minorHAnsi" w:hAnsiTheme="minorHAnsi" w:cstheme="minorHAnsi"/>
          <w:b/>
        </w:rPr>
        <w:t>i</w:t>
      </w:r>
      <w:r w:rsidR="00180226" w:rsidRPr="00A315CB">
        <w:rPr>
          <w:rFonts w:asciiTheme="minorHAnsi" w:hAnsiTheme="minorHAnsi" w:cstheme="minorHAnsi"/>
          <w:b/>
        </w:rPr>
        <w:t xml:space="preserve"> realizace </w:t>
      </w:r>
      <w:r w:rsidR="00DE137C" w:rsidRPr="00A315CB">
        <w:rPr>
          <w:rFonts w:asciiTheme="minorHAnsi" w:hAnsiTheme="minorHAnsi" w:cstheme="minorHAnsi"/>
          <w:b/>
        </w:rPr>
        <w:t>jednotlivých akcí v</w:t>
      </w:r>
      <w:r w:rsidR="00DB2620" w:rsidRPr="00A315CB">
        <w:rPr>
          <w:rFonts w:asciiTheme="minorHAnsi" w:hAnsiTheme="minorHAnsi" w:cstheme="minorHAnsi"/>
          <w:b/>
        </w:rPr>
        <w:t xml:space="preserve"> </w:t>
      </w:r>
      <w:r w:rsidR="00DE137C" w:rsidRPr="00A315CB">
        <w:rPr>
          <w:rFonts w:asciiTheme="minorHAnsi" w:hAnsiTheme="minorHAnsi" w:cstheme="minorHAnsi"/>
          <w:b/>
        </w:rPr>
        <w:t>rámci nového</w:t>
      </w:r>
      <w:r w:rsidR="00180226" w:rsidRPr="00A315CB">
        <w:rPr>
          <w:rFonts w:asciiTheme="minorHAnsi" w:hAnsiTheme="minorHAnsi" w:cstheme="minorHAnsi"/>
          <w:b/>
        </w:rPr>
        <w:t xml:space="preserve"> programu byl</w:t>
      </w:r>
      <w:r w:rsidR="0089524C">
        <w:rPr>
          <w:rFonts w:asciiTheme="minorHAnsi" w:hAnsiTheme="minorHAnsi" w:cstheme="minorHAnsi"/>
          <w:b/>
        </w:rPr>
        <w:t>y</w:t>
      </w:r>
      <w:r w:rsidR="00180226" w:rsidRPr="00A315CB">
        <w:rPr>
          <w:rFonts w:asciiTheme="minorHAnsi" w:hAnsiTheme="minorHAnsi" w:cstheme="minorHAnsi"/>
          <w:b/>
        </w:rPr>
        <w:t xml:space="preserve"> od počátku značně opožděn</w:t>
      </w:r>
      <w:r w:rsidR="0089524C">
        <w:rPr>
          <w:rFonts w:asciiTheme="minorHAnsi" w:hAnsiTheme="minorHAnsi" w:cstheme="minorHAnsi"/>
          <w:b/>
        </w:rPr>
        <w:t>y</w:t>
      </w:r>
      <w:r w:rsidR="00180226" w:rsidRPr="00A315CB">
        <w:rPr>
          <w:rFonts w:asciiTheme="minorHAnsi" w:hAnsiTheme="minorHAnsi" w:cstheme="minorHAnsi"/>
          <w:b/>
        </w:rPr>
        <w:t xml:space="preserve"> a MSp i po jeho zahájení </w:t>
      </w:r>
      <w:r w:rsidR="0001248D" w:rsidRPr="00A315CB">
        <w:rPr>
          <w:rFonts w:asciiTheme="minorHAnsi" w:hAnsiTheme="minorHAnsi" w:cstheme="minorHAnsi"/>
          <w:b/>
        </w:rPr>
        <w:t xml:space="preserve">registrovalo některé </w:t>
      </w:r>
      <w:r w:rsidR="00DE137C" w:rsidRPr="00A315CB">
        <w:rPr>
          <w:rFonts w:asciiTheme="minorHAnsi" w:hAnsiTheme="minorHAnsi" w:cstheme="minorHAnsi"/>
          <w:b/>
        </w:rPr>
        <w:t>další</w:t>
      </w:r>
      <w:r w:rsidR="00180226" w:rsidRPr="00A315CB">
        <w:rPr>
          <w:rFonts w:asciiTheme="minorHAnsi" w:hAnsiTheme="minorHAnsi" w:cstheme="minorHAnsi"/>
          <w:b/>
        </w:rPr>
        <w:t xml:space="preserve"> akce do programu předešlého</w:t>
      </w:r>
      <w:r w:rsidR="001410DB" w:rsidRPr="00A315CB">
        <w:rPr>
          <w:rFonts w:asciiTheme="minorHAnsi" w:hAnsiTheme="minorHAnsi" w:cstheme="minorHAnsi"/>
          <w:b/>
        </w:rPr>
        <w:t xml:space="preserve">. </w:t>
      </w:r>
    </w:p>
    <w:p w14:paraId="4666790A" w14:textId="77777777" w:rsidR="00823667" w:rsidRPr="00A315CB" w:rsidRDefault="00823667" w:rsidP="000F6B2D">
      <w:pPr>
        <w:pStyle w:val="Zkladntextodsazen"/>
        <w:spacing w:after="0" w:line="264" w:lineRule="auto"/>
        <w:ind w:left="284" w:hanging="284"/>
        <w:jc w:val="both"/>
        <w:rPr>
          <w:rFonts w:asciiTheme="minorHAnsi" w:hAnsiTheme="minorHAnsi" w:cstheme="minorHAnsi"/>
          <w:b/>
        </w:rPr>
      </w:pPr>
    </w:p>
    <w:p w14:paraId="643E464E" w14:textId="79030B2E" w:rsidR="00DA2E49" w:rsidRPr="00A315CB" w:rsidRDefault="00DA2E49" w:rsidP="000F6B2D">
      <w:pPr>
        <w:pStyle w:val="Zkladntextodsazen"/>
        <w:spacing w:after="0" w:line="264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A315CB">
        <w:rPr>
          <w:rFonts w:asciiTheme="minorHAnsi" w:hAnsiTheme="minorHAnsi" w:cstheme="minorHAnsi"/>
          <w:b/>
        </w:rPr>
        <w:t>3.</w:t>
      </w:r>
      <w:r w:rsidR="000F6B2D">
        <w:rPr>
          <w:rFonts w:asciiTheme="minorHAnsi" w:hAnsiTheme="minorHAnsi" w:cstheme="minorHAnsi"/>
          <w:b/>
        </w:rPr>
        <w:tab/>
      </w:r>
      <w:r w:rsidR="00823667" w:rsidRPr="00A315CB">
        <w:rPr>
          <w:rFonts w:asciiTheme="minorHAnsi" w:hAnsiTheme="minorHAnsi" w:cstheme="minorHAnsi"/>
          <w:b/>
        </w:rPr>
        <w:t>MSp měnilo v</w:t>
      </w:r>
      <w:r w:rsidR="00DB2620" w:rsidRPr="00A315CB">
        <w:rPr>
          <w:rFonts w:asciiTheme="minorHAnsi" w:hAnsiTheme="minorHAnsi" w:cstheme="minorHAnsi"/>
          <w:b/>
        </w:rPr>
        <w:t xml:space="preserve"> </w:t>
      </w:r>
      <w:r w:rsidR="00823667" w:rsidRPr="00A315CB">
        <w:rPr>
          <w:rFonts w:asciiTheme="minorHAnsi" w:hAnsiTheme="minorHAnsi" w:cstheme="minorHAnsi"/>
          <w:b/>
        </w:rPr>
        <w:t xml:space="preserve">průběhu realizace </w:t>
      </w:r>
      <w:r w:rsidR="00F45465" w:rsidRPr="00A315CB">
        <w:rPr>
          <w:rFonts w:asciiTheme="minorHAnsi" w:hAnsiTheme="minorHAnsi" w:cstheme="minorHAnsi"/>
          <w:b/>
        </w:rPr>
        <w:t>v</w:t>
      </w:r>
      <w:r w:rsidR="00DB2620" w:rsidRPr="00A315CB">
        <w:rPr>
          <w:rFonts w:asciiTheme="minorHAnsi" w:hAnsiTheme="minorHAnsi" w:cstheme="minorHAnsi"/>
          <w:b/>
        </w:rPr>
        <w:t xml:space="preserve"> </w:t>
      </w:r>
      <w:r w:rsidR="00F45465" w:rsidRPr="00A315CB">
        <w:rPr>
          <w:rFonts w:asciiTheme="minorHAnsi" w:hAnsiTheme="minorHAnsi" w:cstheme="minorHAnsi"/>
          <w:b/>
        </w:rPr>
        <w:t>dokumentacích programů</w:t>
      </w:r>
      <w:r w:rsidR="00823667" w:rsidRPr="00A315CB">
        <w:rPr>
          <w:rFonts w:asciiTheme="minorHAnsi" w:hAnsiTheme="minorHAnsi" w:cstheme="minorHAnsi"/>
          <w:b/>
        </w:rPr>
        <w:t xml:space="preserve"> stanovené </w:t>
      </w:r>
      <w:r w:rsidR="008A4F25" w:rsidRPr="00A315CB">
        <w:rPr>
          <w:rFonts w:asciiTheme="minorHAnsi" w:hAnsiTheme="minorHAnsi" w:cstheme="minorHAnsi"/>
          <w:b/>
        </w:rPr>
        <w:t>parametry</w:t>
      </w:r>
      <w:r w:rsidR="005A5F5E" w:rsidRPr="00A315CB">
        <w:rPr>
          <w:rFonts w:asciiTheme="minorHAnsi" w:hAnsiTheme="minorHAnsi" w:cstheme="minorHAnsi"/>
          <w:b/>
          <w:strike/>
        </w:rPr>
        <w:t xml:space="preserve"> </w:t>
      </w:r>
      <w:r w:rsidR="00823667" w:rsidRPr="00A315CB">
        <w:rPr>
          <w:rFonts w:asciiTheme="minorHAnsi" w:hAnsiTheme="minorHAnsi" w:cstheme="minorHAnsi"/>
          <w:b/>
        </w:rPr>
        <w:t>programu, a to i</w:t>
      </w:r>
      <w:r w:rsidR="00DB2620" w:rsidRPr="00A315CB">
        <w:rPr>
          <w:rFonts w:asciiTheme="minorHAnsi" w:hAnsiTheme="minorHAnsi" w:cstheme="minorHAnsi"/>
          <w:b/>
        </w:rPr>
        <w:t xml:space="preserve"> </w:t>
      </w:r>
      <w:r w:rsidR="00823667" w:rsidRPr="00A315CB">
        <w:rPr>
          <w:rFonts w:asciiTheme="minorHAnsi" w:hAnsiTheme="minorHAnsi" w:cstheme="minorHAnsi"/>
          <w:b/>
        </w:rPr>
        <w:t>v</w:t>
      </w:r>
      <w:r w:rsidR="00DB2620" w:rsidRPr="00A315CB">
        <w:rPr>
          <w:rFonts w:asciiTheme="minorHAnsi" w:hAnsiTheme="minorHAnsi" w:cstheme="minorHAnsi"/>
          <w:b/>
        </w:rPr>
        <w:t xml:space="preserve"> </w:t>
      </w:r>
      <w:r w:rsidR="00823667" w:rsidRPr="00A315CB">
        <w:rPr>
          <w:rFonts w:asciiTheme="minorHAnsi" w:hAnsiTheme="minorHAnsi" w:cstheme="minorHAnsi"/>
          <w:b/>
        </w:rPr>
        <w:t>době, kdy měl být p</w:t>
      </w:r>
      <w:r w:rsidR="008501FD" w:rsidRPr="00A315CB">
        <w:rPr>
          <w:rFonts w:asciiTheme="minorHAnsi" w:hAnsiTheme="minorHAnsi" w:cstheme="minorHAnsi"/>
          <w:b/>
        </w:rPr>
        <w:t xml:space="preserve">rogram již ukončen a vyhodnocen. </w:t>
      </w:r>
      <w:r w:rsidR="00740F67" w:rsidRPr="00A315CB">
        <w:rPr>
          <w:rFonts w:asciiTheme="minorHAnsi" w:hAnsiTheme="minorHAnsi" w:cstheme="minorHAnsi"/>
          <w:b/>
        </w:rPr>
        <w:t>Změněné parametry v</w:t>
      </w:r>
      <w:r w:rsidR="00DB2620" w:rsidRPr="00A315CB">
        <w:rPr>
          <w:rFonts w:asciiTheme="minorHAnsi" w:hAnsiTheme="minorHAnsi" w:cstheme="minorHAnsi"/>
          <w:b/>
        </w:rPr>
        <w:t xml:space="preserve"> </w:t>
      </w:r>
      <w:r w:rsidR="00740F67" w:rsidRPr="00A315CB">
        <w:rPr>
          <w:rFonts w:asciiTheme="minorHAnsi" w:hAnsiTheme="minorHAnsi" w:cstheme="minorHAnsi"/>
          <w:b/>
        </w:rPr>
        <w:t>některých případech nemají</w:t>
      </w:r>
      <w:r w:rsidR="00823667" w:rsidRPr="00A315CB">
        <w:rPr>
          <w:rFonts w:asciiTheme="minorHAnsi" w:hAnsiTheme="minorHAnsi" w:cstheme="minorHAnsi"/>
          <w:b/>
        </w:rPr>
        <w:t xml:space="preserve"> dostatečnou vypovídací schopnost</w:t>
      </w:r>
      <w:r w:rsidR="003D0D59">
        <w:rPr>
          <w:rFonts w:asciiTheme="minorHAnsi" w:hAnsiTheme="minorHAnsi" w:cstheme="minorHAnsi"/>
          <w:b/>
        </w:rPr>
        <w:t>,</w:t>
      </w:r>
      <w:r w:rsidR="00823667" w:rsidRPr="00A315CB">
        <w:rPr>
          <w:rFonts w:asciiTheme="minorHAnsi" w:hAnsiTheme="minorHAnsi" w:cstheme="minorHAnsi"/>
          <w:b/>
        </w:rPr>
        <w:t xml:space="preserve"> a nejsou </w:t>
      </w:r>
      <w:r w:rsidR="003D0D59">
        <w:rPr>
          <w:rFonts w:asciiTheme="minorHAnsi" w:hAnsiTheme="minorHAnsi" w:cstheme="minorHAnsi"/>
          <w:b/>
        </w:rPr>
        <w:t>tedy</w:t>
      </w:r>
      <w:r w:rsidR="00823667" w:rsidRPr="00A315CB">
        <w:rPr>
          <w:rFonts w:asciiTheme="minorHAnsi" w:hAnsiTheme="minorHAnsi" w:cstheme="minorHAnsi"/>
          <w:b/>
        </w:rPr>
        <w:t xml:space="preserve"> objektivním ukazatelem pro hod</w:t>
      </w:r>
      <w:r w:rsidR="0041533F" w:rsidRPr="00A315CB">
        <w:rPr>
          <w:rFonts w:asciiTheme="minorHAnsi" w:hAnsiTheme="minorHAnsi" w:cstheme="minorHAnsi"/>
          <w:b/>
        </w:rPr>
        <w:t xml:space="preserve">nocení míry naplňování </w:t>
      </w:r>
      <w:r w:rsidR="001410DB" w:rsidRPr="00A315CB">
        <w:rPr>
          <w:rFonts w:asciiTheme="minorHAnsi" w:hAnsiTheme="minorHAnsi" w:cstheme="minorHAnsi"/>
          <w:b/>
        </w:rPr>
        <w:t xml:space="preserve">cílů </w:t>
      </w:r>
      <w:r w:rsidR="00DE137C" w:rsidRPr="00A315CB">
        <w:rPr>
          <w:rFonts w:asciiTheme="minorHAnsi" w:hAnsiTheme="minorHAnsi" w:cstheme="minorHAnsi"/>
          <w:b/>
        </w:rPr>
        <w:t>programů</w:t>
      </w:r>
      <w:r w:rsidR="0041533F" w:rsidRPr="00A315CB">
        <w:rPr>
          <w:rFonts w:asciiTheme="minorHAnsi" w:hAnsiTheme="minorHAnsi" w:cstheme="minorHAnsi"/>
          <w:b/>
        </w:rPr>
        <w:t xml:space="preserve"> a</w:t>
      </w:r>
      <w:r w:rsidR="003D0D59">
        <w:rPr>
          <w:rFonts w:asciiTheme="minorHAnsi" w:hAnsiTheme="minorHAnsi" w:cstheme="minorHAnsi"/>
          <w:b/>
        </w:rPr>
        <w:t>ni</w:t>
      </w:r>
      <w:r w:rsidR="0041533F" w:rsidRPr="00A315CB">
        <w:rPr>
          <w:rFonts w:asciiTheme="minorHAnsi" w:hAnsiTheme="minorHAnsi" w:cstheme="minorHAnsi"/>
          <w:b/>
        </w:rPr>
        <w:t xml:space="preserve"> pro vyhodnocení efek</w:t>
      </w:r>
      <w:r w:rsidR="001410DB" w:rsidRPr="00A315CB">
        <w:rPr>
          <w:rFonts w:asciiTheme="minorHAnsi" w:hAnsiTheme="minorHAnsi" w:cstheme="minorHAnsi"/>
          <w:b/>
        </w:rPr>
        <w:t>tivnosti vynaložených peněžních</w:t>
      </w:r>
      <w:r w:rsidR="0041533F" w:rsidRPr="00A315CB">
        <w:rPr>
          <w:rFonts w:asciiTheme="minorHAnsi" w:hAnsiTheme="minorHAnsi" w:cstheme="minorHAnsi"/>
          <w:b/>
        </w:rPr>
        <w:t xml:space="preserve"> pro</w:t>
      </w:r>
      <w:r w:rsidR="00C26205" w:rsidRPr="00A315CB">
        <w:rPr>
          <w:rFonts w:asciiTheme="minorHAnsi" w:hAnsiTheme="minorHAnsi" w:cstheme="minorHAnsi"/>
          <w:b/>
        </w:rPr>
        <w:t xml:space="preserve">středků. </w:t>
      </w:r>
      <w:r w:rsidR="008501FD" w:rsidRPr="00A315CB">
        <w:rPr>
          <w:rFonts w:asciiTheme="minorHAnsi" w:hAnsiTheme="minorHAnsi" w:cstheme="minorHAnsi"/>
          <w:b/>
        </w:rPr>
        <w:t>Z</w:t>
      </w:r>
      <w:r w:rsidR="00DB2620" w:rsidRPr="00A315CB">
        <w:rPr>
          <w:rFonts w:asciiTheme="minorHAnsi" w:hAnsiTheme="minorHAnsi" w:cstheme="minorHAnsi"/>
          <w:b/>
        </w:rPr>
        <w:t xml:space="preserve"> </w:t>
      </w:r>
      <w:r w:rsidR="008501FD" w:rsidRPr="00A315CB">
        <w:rPr>
          <w:rFonts w:asciiTheme="minorHAnsi" w:hAnsiTheme="minorHAnsi" w:cstheme="minorHAnsi"/>
          <w:b/>
        </w:rPr>
        <w:t>parametrů</w:t>
      </w:r>
      <w:r w:rsidR="0001248D" w:rsidRPr="00A315CB">
        <w:rPr>
          <w:rFonts w:asciiTheme="minorHAnsi" w:hAnsiTheme="minorHAnsi" w:cstheme="minorHAnsi"/>
          <w:b/>
        </w:rPr>
        <w:t xml:space="preserve"> byly vypuštěny ceny za </w:t>
      </w:r>
      <w:r w:rsidR="001410DB" w:rsidRPr="00A315CB">
        <w:rPr>
          <w:rFonts w:asciiTheme="minorHAnsi" w:hAnsiTheme="minorHAnsi" w:cstheme="minorHAnsi"/>
          <w:b/>
        </w:rPr>
        <w:t xml:space="preserve">měrnou </w:t>
      </w:r>
      <w:r w:rsidR="008501FD" w:rsidRPr="00A315CB">
        <w:rPr>
          <w:rFonts w:asciiTheme="minorHAnsi" w:hAnsiTheme="minorHAnsi" w:cstheme="minorHAnsi"/>
          <w:b/>
        </w:rPr>
        <w:t>jednotku</w:t>
      </w:r>
      <w:r w:rsidR="001410DB" w:rsidRPr="00A315CB">
        <w:rPr>
          <w:rFonts w:asciiTheme="minorHAnsi" w:hAnsiTheme="minorHAnsi" w:cstheme="minorHAnsi"/>
          <w:b/>
        </w:rPr>
        <w:t xml:space="preserve"> (m</w:t>
      </w:r>
      <w:r w:rsidR="001410DB" w:rsidRPr="00A315CB">
        <w:rPr>
          <w:rFonts w:asciiTheme="minorHAnsi" w:hAnsiTheme="minorHAnsi" w:cstheme="minorHAnsi"/>
          <w:b/>
          <w:vertAlign w:val="superscript"/>
        </w:rPr>
        <w:t>2</w:t>
      </w:r>
      <w:r w:rsidR="001410DB" w:rsidRPr="00A315CB">
        <w:rPr>
          <w:rFonts w:asciiTheme="minorHAnsi" w:hAnsiTheme="minorHAnsi" w:cstheme="minorHAnsi"/>
          <w:b/>
        </w:rPr>
        <w:t>)</w:t>
      </w:r>
      <w:r w:rsidR="008501FD" w:rsidRPr="00A315CB">
        <w:rPr>
          <w:rFonts w:asciiTheme="minorHAnsi" w:hAnsiTheme="minorHAnsi" w:cstheme="minorHAnsi"/>
          <w:b/>
        </w:rPr>
        <w:t>,</w:t>
      </w:r>
      <w:r w:rsidRPr="00A315CB">
        <w:rPr>
          <w:rFonts w:asciiTheme="minorHAnsi" w:hAnsiTheme="minorHAnsi" w:cstheme="minorHAnsi"/>
          <w:b/>
        </w:rPr>
        <w:t xml:space="preserve"> které </w:t>
      </w:r>
      <w:r w:rsidR="00F6004D" w:rsidRPr="00A315CB">
        <w:rPr>
          <w:rFonts w:asciiTheme="minorHAnsi" w:hAnsiTheme="minorHAnsi" w:cstheme="minorHAnsi"/>
          <w:b/>
        </w:rPr>
        <w:t>jsou ukazatelem hospodárnosti</w:t>
      </w:r>
      <w:r w:rsidR="008501FD" w:rsidRPr="00A315CB">
        <w:rPr>
          <w:rFonts w:asciiTheme="minorHAnsi" w:hAnsiTheme="minorHAnsi" w:cstheme="minorHAnsi"/>
          <w:b/>
        </w:rPr>
        <w:t xml:space="preserve"> realizace </w:t>
      </w:r>
      <w:r w:rsidR="001410DB" w:rsidRPr="00A315CB">
        <w:rPr>
          <w:rFonts w:asciiTheme="minorHAnsi" w:hAnsiTheme="minorHAnsi" w:cstheme="minorHAnsi"/>
          <w:b/>
        </w:rPr>
        <w:t xml:space="preserve">investičních </w:t>
      </w:r>
      <w:r w:rsidR="008501FD" w:rsidRPr="00A315CB">
        <w:rPr>
          <w:rFonts w:asciiTheme="minorHAnsi" w:hAnsiTheme="minorHAnsi" w:cstheme="minorHAnsi"/>
          <w:b/>
        </w:rPr>
        <w:t>akcí. Plnění stanovených cílů nebylo</w:t>
      </w:r>
      <w:r w:rsidR="00513D0F" w:rsidRPr="00A315CB">
        <w:rPr>
          <w:rFonts w:asciiTheme="minorHAnsi" w:hAnsiTheme="minorHAnsi" w:cstheme="minorHAnsi"/>
          <w:b/>
        </w:rPr>
        <w:t xml:space="preserve"> průběžně dostatečně sledováno.</w:t>
      </w:r>
    </w:p>
    <w:p w14:paraId="441BF7BA" w14:textId="77777777" w:rsidR="005E50A8" w:rsidRPr="00A315CB" w:rsidRDefault="005E50A8" w:rsidP="000F6B2D">
      <w:pPr>
        <w:pStyle w:val="Zkladntextodsazen"/>
        <w:spacing w:after="0" w:line="264" w:lineRule="auto"/>
        <w:ind w:left="284" w:hanging="284"/>
        <w:jc w:val="both"/>
        <w:rPr>
          <w:rFonts w:asciiTheme="minorHAnsi" w:hAnsiTheme="minorHAnsi" w:cstheme="minorHAnsi"/>
          <w:b/>
        </w:rPr>
      </w:pPr>
    </w:p>
    <w:p w14:paraId="7FFB68CB" w14:textId="43CA27FB" w:rsidR="00DE137C" w:rsidRDefault="005E50A8" w:rsidP="000F6B2D">
      <w:pPr>
        <w:pStyle w:val="Zkladntextodsazen"/>
        <w:spacing w:after="0" w:line="264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A315CB">
        <w:rPr>
          <w:rFonts w:asciiTheme="minorHAnsi" w:hAnsiTheme="minorHAnsi" w:cstheme="minorHAnsi"/>
          <w:b/>
        </w:rPr>
        <w:t>4.</w:t>
      </w:r>
      <w:r w:rsidR="000F6B2D">
        <w:rPr>
          <w:rFonts w:asciiTheme="minorHAnsi" w:hAnsiTheme="minorHAnsi" w:cstheme="minorHAnsi"/>
          <w:b/>
        </w:rPr>
        <w:tab/>
      </w:r>
      <w:r w:rsidR="00B81396" w:rsidRPr="00A315CB">
        <w:rPr>
          <w:rFonts w:asciiTheme="minorHAnsi" w:hAnsiTheme="minorHAnsi" w:cstheme="minorHAnsi"/>
          <w:b/>
        </w:rPr>
        <w:t>NKÚ p</w:t>
      </w:r>
      <w:r w:rsidRPr="00A315CB">
        <w:rPr>
          <w:rFonts w:asciiTheme="minorHAnsi" w:hAnsiTheme="minorHAnsi" w:cstheme="minorHAnsi"/>
          <w:b/>
        </w:rPr>
        <w:t xml:space="preserve">ři kontrole </w:t>
      </w:r>
      <w:r w:rsidR="00DE137C" w:rsidRPr="00A315CB">
        <w:rPr>
          <w:rFonts w:asciiTheme="minorHAnsi" w:hAnsiTheme="minorHAnsi" w:cstheme="minorHAnsi"/>
          <w:b/>
        </w:rPr>
        <w:t xml:space="preserve">16 projektů </w:t>
      </w:r>
      <w:r w:rsidR="003D0D59">
        <w:rPr>
          <w:rFonts w:asciiTheme="minorHAnsi" w:hAnsiTheme="minorHAnsi" w:cstheme="minorHAnsi"/>
          <w:b/>
        </w:rPr>
        <w:t xml:space="preserve">realizovaných </w:t>
      </w:r>
      <w:r w:rsidR="00DE137C" w:rsidRPr="00A315CB">
        <w:rPr>
          <w:rFonts w:asciiTheme="minorHAnsi" w:hAnsiTheme="minorHAnsi" w:cstheme="minorHAnsi"/>
          <w:b/>
        </w:rPr>
        <w:t>v</w:t>
      </w:r>
      <w:r w:rsidR="00DB2620" w:rsidRPr="00A315CB">
        <w:rPr>
          <w:rFonts w:asciiTheme="minorHAnsi" w:hAnsiTheme="minorHAnsi" w:cstheme="minorHAnsi"/>
          <w:b/>
        </w:rPr>
        <w:t xml:space="preserve"> </w:t>
      </w:r>
      <w:r w:rsidR="00DE137C" w:rsidRPr="00A315CB">
        <w:rPr>
          <w:rFonts w:asciiTheme="minorHAnsi" w:hAnsiTheme="minorHAnsi" w:cstheme="minorHAnsi"/>
          <w:b/>
        </w:rPr>
        <w:t xml:space="preserve">oblasti </w:t>
      </w:r>
      <w:r w:rsidR="003D0D59">
        <w:rPr>
          <w:rFonts w:asciiTheme="minorHAnsi" w:hAnsiTheme="minorHAnsi" w:cstheme="minorHAnsi"/>
          <w:b/>
        </w:rPr>
        <w:t xml:space="preserve">rozvoje </w:t>
      </w:r>
      <w:r w:rsidR="00DE137C" w:rsidRPr="00A315CB">
        <w:rPr>
          <w:rFonts w:asciiTheme="minorHAnsi" w:hAnsiTheme="minorHAnsi" w:cstheme="minorHAnsi"/>
          <w:b/>
        </w:rPr>
        <w:t>materiálně technické základny justice s</w:t>
      </w:r>
      <w:r w:rsidR="00DB2620" w:rsidRPr="00A315CB">
        <w:rPr>
          <w:rFonts w:asciiTheme="minorHAnsi" w:hAnsiTheme="minorHAnsi" w:cstheme="minorHAnsi"/>
          <w:b/>
        </w:rPr>
        <w:t xml:space="preserve"> </w:t>
      </w:r>
      <w:r w:rsidR="00DE137C" w:rsidRPr="00A315CB">
        <w:rPr>
          <w:rFonts w:asciiTheme="minorHAnsi" w:hAnsiTheme="minorHAnsi" w:cstheme="minorHAnsi"/>
          <w:b/>
        </w:rPr>
        <w:t xml:space="preserve">celkovými náklady 492,4 mil. Kč </w:t>
      </w:r>
      <w:r w:rsidR="00B81396" w:rsidRPr="00A315CB">
        <w:rPr>
          <w:rFonts w:asciiTheme="minorHAnsi" w:hAnsiTheme="minorHAnsi" w:cstheme="minorHAnsi"/>
          <w:b/>
        </w:rPr>
        <w:t xml:space="preserve">zjistil </w:t>
      </w:r>
      <w:r w:rsidR="00DE137C" w:rsidRPr="00A315CB">
        <w:rPr>
          <w:rFonts w:asciiTheme="minorHAnsi" w:hAnsiTheme="minorHAnsi" w:cstheme="minorHAnsi"/>
          <w:b/>
        </w:rPr>
        <w:t>nedostatky u tří projektů:</w:t>
      </w:r>
    </w:p>
    <w:p w14:paraId="6AF025DC" w14:textId="77777777" w:rsidR="00DE137C" w:rsidRPr="00A315CB" w:rsidRDefault="00DE137C" w:rsidP="000F6B2D">
      <w:pPr>
        <w:pStyle w:val="Zkladntextodsazen"/>
        <w:numPr>
          <w:ilvl w:val="0"/>
          <w:numId w:val="11"/>
        </w:numPr>
        <w:spacing w:after="0" w:line="264" w:lineRule="auto"/>
        <w:ind w:left="567" w:hanging="283"/>
        <w:jc w:val="both"/>
        <w:rPr>
          <w:rFonts w:asciiTheme="minorHAnsi" w:hAnsiTheme="minorHAnsi" w:cstheme="minorHAnsi"/>
          <w:b/>
        </w:rPr>
      </w:pPr>
      <w:r w:rsidRPr="00A315CB">
        <w:rPr>
          <w:rFonts w:asciiTheme="minorHAnsi" w:hAnsiTheme="minorHAnsi" w:cstheme="minorHAnsi"/>
          <w:b/>
        </w:rPr>
        <w:t>P</w:t>
      </w:r>
      <w:r w:rsidR="004B5CEA" w:rsidRPr="00A315CB">
        <w:rPr>
          <w:rFonts w:asciiTheme="minorHAnsi" w:hAnsiTheme="minorHAnsi" w:cstheme="minorHAnsi"/>
          <w:b/>
        </w:rPr>
        <w:t>ři rekonstrukci</w:t>
      </w:r>
      <w:r w:rsidR="005E50A8" w:rsidRPr="00A315CB">
        <w:rPr>
          <w:rFonts w:asciiTheme="minorHAnsi" w:hAnsiTheme="minorHAnsi" w:cstheme="minorHAnsi"/>
          <w:b/>
        </w:rPr>
        <w:t xml:space="preserve"> budovy KS </w:t>
      </w:r>
      <w:r w:rsidR="001410DB" w:rsidRPr="00A315CB">
        <w:rPr>
          <w:rFonts w:asciiTheme="minorHAnsi" w:hAnsiTheme="minorHAnsi" w:cstheme="minorHAnsi"/>
          <w:b/>
        </w:rPr>
        <w:t>v Hradci</w:t>
      </w:r>
      <w:r w:rsidR="005E50A8" w:rsidRPr="00A315CB">
        <w:rPr>
          <w:rFonts w:asciiTheme="minorHAnsi" w:hAnsiTheme="minorHAnsi" w:cstheme="minorHAnsi"/>
          <w:b/>
        </w:rPr>
        <w:t xml:space="preserve"> Králové nebyl v</w:t>
      </w:r>
      <w:r w:rsidR="00DB2620" w:rsidRPr="00A315CB">
        <w:rPr>
          <w:rFonts w:asciiTheme="minorHAnsi" w:hAnsiTheme="minorHAnsi" w:cstheme="minorHAnsi"/>
          <w:b/>
        </w:rPr>
        <w:t xml:space="preserve"> </w:t>
      </w:r>
      <w:r w:rsidR="005E50A8" w:rsidRPr="00A315CB">
        <w:rPr>
          <w:rFonts w:asciiTheme="minorHAnsi" w:hAnsiTheme="minorHAnsi" w:cstheme="minorHAnsi"/>
          <w:b/>
        </w:rPr>
        <w:t>předprojektové přípravě dostatečně vymezen předmět</w:t>
      </w:r>
      <w:r w:rsidR="0001248D" w:rsidRPr="00A315CB">
        <w:rPr>
          <w:rFonts w:asciiTheme="minorHAnsi" w:hAnsiTheme="minorHAnsi" w:cstheme="minorHAnsi"/>
          <w:b/>
        </w:rPr>
        <w:t xml:space="preserve"> investiční </w:t>
      </w:r>
      <w:r w:rsidR="005E50A8" w:rsidRPr="00A315CB">
        <w:rPr>
          <w:rFonts w:asciiTheme="minorHAnsi" w:hAnsiTheme="minorHAnsi" w:cstheme="minorHAnsi"/>
          <w:b/>
        </w:rPr>
        <w:t xml:space="preserve">akce, což mělo za následek podhodnocení předpokládaných nákladů. </w:t>
      </w:r>
    </w:p>
    <w:p w14:paraId="19E95B57" w14:textId="04D0E438" w:rsidR="00E719DD" w:rsidRPr="00A315CB" w:rsidRDefault="00C53555" w:rsidP="000F6B2D">
      <w:pPr>
        <w:pStyle w:val="Zkladntextodsazen"/>
        <w:numPr>
          <w:ilvl w:val="0"/>
          <w:numId w:val="11"/>
        </w:numPr>
        <w:spacing w:after="0" w:line="264" w:lineRule="auto"/>
        <w:ind w:left="567" w:hanging="283"/>
        <w:jc w:val="both"/>
        <w:rPr>
          <w:rFonts w:asciiTheme="minorHAnsi" w:hAnsiTheme="minorHAnsi" w:cstheme="minorHAnsi"/>
          <w:b/>
        </w:rPr>
      </w:pPr>
      <w:r w:rsidRPr="00A315CB">
        <w:rPr>
          <w:rFonts w:asciiTheme="minorHAnsi" w:hAnsiTheme="minorHAnsi" w:cstheme="minorHAnsi"/>
          <w:b/>
        </w:rPr>
        <w:t>MSp pořídilo v</w:t>
      </w:r>
      <w:r w:rsidR="00DB2620" w:rsidRPr="00A315CB">
        <w:rPr>
          <w:rFonts w:asciiTheme="minorHAnsi" w:hAnsiTheme="minorHAnsi" w:cstheme="minorHAnsi"/>
          <w:b/>
        </w:rPr>
        <w:t xml:space="preserve"> </w:t>
      </w:r>
      <w:r w:rsidRPr="00A315CB">
        <w:rPr>
          <w:rFonts w:asciiTheme="minorHAnsi" w:hAnsiTheme="minorHAnsi" w:cstheme="minorHAnsi"/>
          <w:b/>
        </w:rPr>
        <w:t xml:space="preserve">roce </w:t>
      </w:r>
      <w:r w:rsidR="00F15AF9" w:rsidRPr="00A315CB">
        <w:rPr>
          <w:rFonts w:asciiTheme="minorHAnsi" w:hAnsiTheme="minorHAnsi" w:cstheme="minorHAnsi"/>
          <w:b/>
        </w:rPr>
        <w:t xml:space="preserve">2009 </w:t>
      </w:r>
      <w:r w:rsidR="00DE137C" w:rsidRPr="00A315CB">
        <w:rPr>
          <w:rFonts w:asciiTheme="minorHAnsi" w:hAnsiTheme="minorHAnsi" w:cstheme="minorHAnsi"/>
          <w:b/>
        </w:rPr>
        <w:t xml:space="preserve">další </w:t>
      </w:r>
      <w:r w:rsidR="00F15AF9" w:rsidRPr="00A315CB">
        <w:rPr>
          <w:rFonts w:asciiTheme="minorHAnsi" w:hAnsiTheme="minorHAnsi" w:cstheme="minorHAnsi"/>
          <w:b/>
        </w:rPr>
        <w:t xml:space="preserve">objekt </w:t>
      </w:r>
      <w:r w:rsidR="009B3D68" w:rsidRPr="00A315CB">
        <w:rPr>
          <w:rFonts w:asciiTheme="minorHAnsi" w:hAnsiTheme="minorHAnsi" w:cstheme="minorHAnsi"/>
          <w:b/>
        </w:rPr>
        <w:t>do J</w:t>
      </w:r>
      <w:r w:rsidR="00BD4F0D" w:rsidRPr="00A315CB">
        <w:rPr>
          <w:rFonts w:asciiTheme="minorHAnsi" w:hAnsiTheme="minorHAnsi" w:cstheme="minorHAnsi"/>
          <w:b/>
        </w:rPr>
        <w:t>ustičního</w:t>
      </w:r>
      <w:r w:rsidR="00DE137C" w:rsidRPr="00A315CB">
        <w:rPr>
          <w:rFonts w:asciiTheme="minorHAnsi" w:hAnsiTheme="minorHAnsi" w:cstheme="minorHAnsi"/>
          <w:b/>
        </w:rPr>
        <w:t xml:space="preserve"> areálu </w:t>
      </w:r>
      <w:r w:rsidR="0001248D" w:rsidRPr="00A315CB">
        <w:rPr>
          <w:rFonts w:asciiTheme="minorHAnsi" w:hAnsiTheme="minorHAnsi" w:cstheme="minorHAnsi"/>
          <w:b/>
        </w:rPr>
        <w:t xml:space="preserve">Na </w:t>
      </w:r>
      <w:r w:rsidR="00D10CA3" w:rsidRPr="00A315CB">
        <w:rPr>
          <w:rFonts w:asciiTheme="minorHAnsi" w:hAnsiTheme="minorHAnsi" w:cstheme="minorHAnsi"/>
          <w:b/>
        </w:rPr>
        <w:t>M</w:t>
      </w:r>
      <w:r w:rsidR="003D0D59">
        <w:rPr>
          <w:rFonts w:asciiTheme="minorHAnsi" w:hAnsiTheme="minorHAnsi" w:cstheme="minorHAnsi"/>
          <w:b/>
        </w:rPr>
        <w:t>í</w:t>
      </w:r>
      <w:r w:rsidR="00D10CA3" w:rsidRPr="00A315CB">
        <w:rPr>
          <w:rFonts w:asciiTheme="minorHAnsi" w:hAnsiTheme="minorHAnsi" w:cstheme="minorHAnsi"/>
          <w:b/>
        </w:rPr>
        <w:t>čánkách</w:t>
      </w:r>
      <w:r w:rsidR="0001248D" w:rsidRPr="00A315CB">
        <w:rPr>
          <w:rFonts w:asciiTheme="minorHAnsi" w:hAnsiTheme="minorHAnsi" w:cstheme="minorHAnsi"/>
          <w:b/>
        </w:rPr>
        <w:t xml:space="preserve"> </w:t>
      </w:r>
      <w:r w:rsidR="00F15AF9" w:rsidRPr="00A315CB">
        <w:rPr>
          <w:rFonts w:asciiTheme="minorHAnsi" w:hAnsiTheme="minorHAnsi" w:cstheme="minorHAnsi"/>
          <w:b/>
        </w:rPr>
        <w:t>včetně projektové dokumenta</w:t>
      </w:r>
      <w:r w:rsidR="0001248D" w:rsidRPr="00A315CB">
        <w:rPr>
          <w:rFonts w:asciiTheme="minorHAnsi" w:hAnsiTheme="minorHAnsi" w:cstheme="minorHAnsi"/>
          <w:b/>
        </w:rPr>
        <w:t xml:space="preserve">ce na jeho rekonstrukci. </w:t>
      </w:r>
      <w:r w:rsidR="00A26B88" w:rsidRPr="00A315CB">
        <w:rPr>
          <w:rFonts w:asciiTheme="minorHAnsi" w:hAnsiTheme="minorHAnsi" w:cstheme="minorHAnsi"/>
          <w:b/>
        </w:rPr>
        <w:t>T</w:t>
      </w:r>
      <w:r w:rsidR="00605772" w:rsidRPr="00A315CB">
        <w:rPr>
          <w:rFonts w:asciiTheme="minorHAnsi" w:hAnsiTheme="minorHAnsi" w:cstheme="minorHAnsi"/>
          <w:b/>
        </w:rPr>
        <w:t xml:space="preserve">uto dokumentaci </w:t>
      </w:r>
      <w:r w:rsidR="00A26B88" w:rsidRPr="00A315CB">
        <w:rPr>
          <w:rFonts w:asciiTheme="minorHAnsi" w:hAnsiTheme="minorHAnsi" w:cstheme="minorHAnsi"/>
          <w:b/>
        </w:rPr>
        <w:t>zaúčtovalo do užívání, ačkoliv r</w:t>
      </w:r>
      <w:r w:rsidR="00261EF0" w:rsidRPr="00A315CB">
        <w:rPr>
          <w:rFonts w:asciiTheme="minorHAnsi" w:hAnsiTheme="minorHAnsi" w:cstheme="minorHAnsi"/>
          <w:b/>
        </w:rPr>
        <w:t>ekonstrukci doposud ne</w:t>
      </w:r>
      <w:r w:rsidR="006F4887" w:rsidRPr="00A315CB">
        <w:rPr>
          <w:rFonts w:asciiTheme="minorHAnsi" w:hAnsiTheme="minorHAnsi" w:cstheme="minorHAnsi"/>
          <w:b/>
        </w:rPr>
        <w:t>provedlo a dokumentaci nevyužilo</w:t>
      </w:r>
      <w:r w:rsidR="00261EF0" w:rsidRPr="00A315CB">
        <w:rPr>
          <w:rFonts w:asciiTheme="minorHAnsi" w:hAnsiTheme="minorHAnsi" w:cstheme="minorHAnsi"/>
          <w:b/>
        </w:rPr>
        <w:t>.</w:t>
      </w:r>
    </w:p>
    <w:p w14:paraId="2861DA2B" w14:textId="5CCFD93C" w:rsidR="0001248D" w:rsidRPr="00A315CB" w:rsidRDefault="0001248D" w:rsidP="000F6B2D">
      <w:pPr>
        <w:pStyle w:val="Zkladntextodsazen"/>
        <w:numPr>
          <w:ilvl w:val="0"/>
          <w:numId w:val="11"/>
        </w:numPr>
        <w:spacing w:after="0" w:line="264" w:lineRule="auto"/>
        <w:ind w:left="567" w:hanging="283"/>
        <w:jc w:val="both"/>
        <w:rPr>
          <w:rFonts w:asciiTheme="minorHAnsi" w:hAnsiTheme="minorHAnsi" w:cstheme="minorHAnsi"/>
          <w:b/>
        </w:rPr>
      </w:pPr>
      <w:r w:rsidRPr="00A315CB">
        <w:rPr>
          <w:rFonts w:asciiTheme="minorHAnsi" w:hAnsiTheme="minorHAnsi" w:cstheme="minorHAnsi"/>
          <w:b/>
        </w:rPr>
        <w:t>Při pořizování informačních a komunikačních technologií M</w:t>
      </w:r>
      <w:r w:rsidR="003D0D59">
        <w:rPr>
          <w:rFonts w:asciiTheme="minorHAnsi" w:hAnsiTheme="minorHAnsi" w:cstheme="minorHAnsi"/>
          <w:b/>
        </w:rPr>
        <w:t>inisterstvo spravedlnosti</w:t>
      </w:r>
      <w:r w:rsidRPr="00A315CB">
        <w:rPr>
          <w:rFonts w:asciiTheme="minorHAnsi" w:hAnsiTheme="minorHAnsi" w:cstheme="minorHAnsi"/>
          <w:b/>
        </w:rPr>
        <w:t xml:space="preserve"> </w:t>
      </w:r>
      <w:r w:rsidR="0042469E" w:rsidRPr="00A315CB">
        <w:rPr>
          <w:rFonts w:asciiTheme="minorHAnsi" w:hAnsiTheme="minorHAnsi" w:cstheme="minorHAnsi"/>
          <w:b/>
        </w:rPr>
        <w:t>nedefinovalo veškeré své potřeby. V</w:t>
      </w:r>
      <w:r w:rsidR="00DB2620" w:rsidRPr="00A315CB">
        <w:rPr>
          <w:rFonts w:asciiTheme="minorHAnsi" w:hAnsiTheme="minorHAnsi" w:cstheme="minorHAnsi"/>
          <w:b/>
        </w:rPr>
        <w:t xml:space="preserve"> </w:t>
      </w:r>
      <w:r w:rsidRPr="00A315CB">
        <w:rPr>
          <w:rFonts w:asciiTheme="minorHAnsi" w:hAnsiTheme="minorHAnsi" w:cstheme="minorHAnsi"/>
          <w:b/>
        </w:rPr>
        <w:t>průběhu dvou a půl roku trvání investiční akce opakovaně měnilo rozsah i obsa</w:t>
      </w:r>
      <w:r w:rsidR="004F6FC2" w:rsidRPr="00A315CB">
        <w:rPr>
          <w:rFonts w:asciiTheme="minorHAnsi" w:hAnsiTheme="minorHAnsi" w:cstheme="minorHAnsi"/>
          <w:b/>
        </w:rPr>
        <w:t>h věcných parametrů</w:t>
      </w:r>
      <w:r w:rsidRPr="00A315CB">
        <w:rPr>
          <w:rFonts w:asciiTheme="minorHAnsi" w:hAnsiTheme="minorHAnsi" w:cstheme="minorHAnsi"/>
          <w:b/>
        </w:rPr>
        <w:t>.</w:t>
      </w:r>
    </w:p>
    <w:p w14:paraId="4CFB7AFD" w14:textId="77777777" w:rsidR="008C032B" w:rsidRPr="00A315CB" w:rsidRDefault="008C032B" w:rsidP="000F6B2D">
      <w:pPr>
        <w:pStyle w:val="Zkladntextodsazen"/>
        <w:spacing w:after="0" w:line="264" w:lineRule="auto"/>
        <w:ind w:left="284" w:hanging="284"/>
        <w:jc w:val="both"/>
        <w:rPr>
          <w:rFonts w:asciiTheme="minorHAnsi" w:hAnsiTheme="minorHAnsi" w:cstheme="minorHAnsi"/>
          <w:b/>
        </w:rPr>
      </w:pPr>
    </w:p>
    <w:p w14:paraId="66AA0DCE" w14:textId="383CCA4D" w:rsidR="008C032B" w:rsidRPr="00A315CB" w:rsidRDefault="004F6FC2" w:rsidP="000F6B2D">
      <w:pPr>
        <w:pStyle w:val="Zkladntextodsazen"/>
        <w:spacing w:after="0" w:line="264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A315CB">
        <w:rPr>
          <w:rFonts w:asciiTheme="minorHAnsi" w:hAnsiTheme="minorHAnsi" w:cstheme="minorHAnsi"/>
          <w:b/>
        </w:rPr>
        <w:t>5.</w:t>
      </w:r>
      <w:r w:rsidR="000F6B2D">
        <w:rPr>
          <w:rFonts w:asciiTheme="minorHAnsi" w:hAnsiTheme="minorHAnsi" w:cstheme="minorHAnsi"/>
          <w:b/>
        </w:rPr>
        <w:tab/>
      </w:r>
      <w:r w:rsidRPr="00A315CB">
        <w:rPr>
          <w:rFonts w:asciiTheme="minorHAnsi" w:hAnsiTheme="minorHAnsi" w:cstheme="minorHAnsi"/>
          <w:b/>
        </w:rPr>
        <w:t xml:space="preserve">Při kontrole </w:t>
      </w:r>
      <w:r w:rsidR="00DE137C" w:rsidRPr="00A315CB">
        <w:rPr>
          <w:rFonts w:asciiTheme="minorHAnsi" w:hAnsiTheme="minorHAnsi" w:cstheme="minorHAnsi"/>
          <w:b/>
        </w:rPr>
        <w:t xml:space="preserve">osmi </w:t>
      </w:r>
      <w:r w:rsidR="008C032B" w:rsidRPr="00A315CB">
        <w:rPr>
          <w:rFonts w:asciiTheme="minorHAnsi" w:hAnsiTheme="minorHAnsi" w:cstheme="minorHAnsi"/>
          <w:b/>
        </w:rPr>
        <w:t xml:space="preserve">projektů </w:t>
      </w:r>
      <w:r w:rsidR="003D0D59">
        <w:rPr>
          <w:rFonts w:asciiTheme="minorHAnsi" w:hAnsiTheme="minorHAnsi" w:cstheme="minorHAnsi"/>
          <w:b/>
        </w:rPr>
        <w:t>zaměřených na rozvoj a obnovu materiálně technické základny</w:t>
      </w:r>
      <w:r w:rsidR="008C032B" w:rsidRPr="00A315CB">
        <w:rPr>
          <w:rFonts w:asciiTheme="minorHAnsi" w:hAnsiTheme="minorHAnsi" w:cstheme="minorHAnsi"/>
          <w:b/>
        </w:rPr>
        <w:t xml:space="preserve"> vězeňství</w:t>
      </w:r>
      <w:r w:rsidR="00DE137C" w:rsidRPr="00A315CB">
        <w:rPr>
          <w:rFonts w:asciiTheme="minorHAnsi" w:hAnsiTheme="minorHAnsi" w:cstheme="minorHAnsi"/>
          <w:b/>
        </w:rPr>
        <w:t xml:space="preserve"> s</w:t>
      </w:r>
      <w:r w:rsidR="00DB2620" w:rsidRPr="00A315CB">
        <w:rPr>
          <w:rFonts w:asciiTheme="minorHAnsi" w:hAnsiTheme="minorHAnsi" w:cstheme="minorHAnsi"/>
          <w:b/>
        </w:rPr>
        <w:t xml:space="preserve"> </w:t>
      </w:r>
      <w:r w:rsidR="003D0D59">
        <w:rPr>
          <w:rFonts w:asciiTheme="minorHAnsi" w:hAnsiTheme="minorHAnsi" w:cstheme="minorHAnsi"/>
          <w:b/>
        </w:rPr>
        <w:t>celkovými náklady 236,1 mil. </w:t>
      </w:r>
      <w:r w:rsidR="00DE137C" w:rsidRPr="00A315CB">
        <w:rPr>
          <w:rFonts w:asciiTheme="minorHAnsi" w:hAnsiTheme="minorHAnsi" w:cstheme="minorHAnsi"/>
          <w:b/>
        </w:rPr>
        <w:t>Kč</w:t>
      </w:r>
      <w:r w:rsidR="00A52FAC" w:rsidRPr="00A315CB">
        <w:rPr>
          <w:rFonts w:asciiTheme="minorHAnsi" w:hAnsiTheme="minorHAnsi" w:cstheme="minorHAnsi"/>
          <w:b/>
        </w:rPr>
        <w:t xml:space="preserve"> </w:t>
      </w:r>
      <w:r w:rsidRPr="00A315CB">
        <w:rPr>
          <w:rFonts w:asciiTheme="minorHAnsi" w:hAnsiTheme="minorHAnsi" w:cstheme="minorHAnsi"/>
          <w:b/>
        </w:rPr>
        <w:t xml:space="preserve">byly závažnější </w:t>
      </w:r>
      <w:r w:rsidR="00A600C4" w:rsidRPr="00A315CB">
        <w:rPr>
          <w:rFonts w:asciiTheme="minorHAnsi" w:hAnsiTheme="minorHAnsi" w:cstheme="minorHAnsi"/>
          <w:b/>
        </w:rPr>
        <w:t>nedostatky</w:t>
      </w:r>
      <w:r w:rsidRPr="00A315CB">
        <w:rPr>
          <w:rFonts w:asciiTheme="minorHAnsi" w:hAnsiTheme="minorHAnsi" w:cstheme="minorHAnsi"/>
          <w:b/>
        </w:rPr>
        <w:t xml:space="preserve"> zjištěny </w:t>
      </w:r>
      <w:r w:rsidR="00A600C4" w:rsidRPr="00A315CB">
        <w:rPr>
          <w:rFonts w:asciiTheme="minorHAnsi" w:hAnsiTheme="minorHAnsi" w:cstheme="minorHAnsi"/>
          <w:b/>
        </w:rPr>
        <w:t xml:space="preserve">zejména </w:t>
      </w:r>
      <w:r w:rsidR="003D0D59">
        <w:rPr>
          <w:rFonts w:asciiTheme="minorHAnsi" w:hAnsiTheme="minorHAnsi" w:cstheme="minorHAnsi"/>
          <w:b/>
        </w:rPr>
        <w:t>v oblasti</w:t>
      </w:r>
      <w:r w:rsidR="0017464D" w:rsidRPr="00A315CB">
        <w:rPr>
          <w:rFonts w:asciiTheme="minorHAnsi" w:hAnsiTheme="minorHAnsi" w:cstheme="minorHAnsi"/>
          <w:b/>
        </w:rPr>
        <w:t xml:space="preserve"> pořizování velkokuchyňských technologií</w:t>
      </w:r>
      <w:r w:rsidR="00A600C4" w:rsidRPr="00A315CB">
        <w:rPr>
          <w:rFonts w:asciiTheme="minorHAnsi" w:hAnsiTheme="minorHAnsi" w:cstheme="minorHAnsi"/>
          <w:b/>
        </w:rPr>
        <w:t xml:space="preserve">, kde </w:t>
      </w:r>
      <w:r w:rsidR="00DE137C" w:rsidRPr="00A315CB">
        <w:rPr>
          <w:rFonts w:asciiTheme="minorHAnsi" w:hAnsiTheme="minorHAnsi" w:cstheme="minorHAnsi"/>
          <w:b/>
        </w:rPr>
        <w:t>byly zjištěny i</w:t>
      </w:r>
      <w:r w:rsidR="004C2D0D">
        <w:rPr>
          <w:rFonts w:asciiTheme="minorHAnsi" w:hAnsiTheme="minorHAnsi" w:cstheme="minorHAnsi"/>
          <w:b/>
        </w:rPr>
        <w:t> </w:t>
      </w:r>
      <w:r w:rsidR="00DE137C" w:rsidRPr="00A315CB">
        <w:rPr>
          <w:rFonts w:asciiTheme="minorHAnsi" w:hAnsiTheme="minorHAnsi" w:cstheme="minorHAnsi"/>
          <w:b/>
        </w:rPr>
        <w:t>skutečnosti</w:t>
      </w:r>
      <w:r w:rsidR="0042469E" w:rsidRPr="00A315CB">
        <w:rPr>
          <w:rFonts w:asciiTheme="minorHAnsi" w:hAnsiTheme="minorHAnsi" w:cstheme="minorHAnsi"/>
          <w:b/>
        </w:rPr>
        <w:t xml:space="preserve">, které NKÚ vyhodnotil jako </w:t>
      </w:r>
      <w:r w:rsidR="00A600C4" w:rsidRPr="00A315CB">
        <w:rPr>
          <w:rFonts w:asciiTheme="minorHAnsi" w:hAnsiTheme="minorHAnsi" w:cstheme="minorHAnsi"/>
          <w:b/>
        </w:rPr>
        <w:t>porušen</w:t>
      </w:r>
      <w:r w:rsidR="00DE137C" w:rsidRPr="00A315CB">
        <w:rPr>
          <w:rFonts w:asciiTheme="minorHAnsi" w:hAnsiTheme="minorHAnsi" w:cstheme="minorHAnsi"/>
          <w:b/>
        </w:rPr>
        <w:t xml:space="preserve">í rozpočtové kázně ve výši </w:t>
      </w:r>
      <w:r w:rsidR="00F4218A" w:rsidRPr="00A315CB">
        <w:rPr>
          <w:rFonts w:asciiTheme="minorHAnsi" w:hAnsiTheme="minorHAnsi" w:cstheme="minorHAnsi"/>
          <w:b/>
        </w:rPr>
        <w:t>804</w:t>
      </w:r>
      <w:r w:rsidR="00DB2620" w:rsidRPr="00A315CB">
        <w:rPr>
          <w:rFonts w:asciiTheme="minorHAnsi" w:hAnsiTheme="minorHAnsi" w:cstheme="minorHAnsi"/>
          <w:b/>
        </w:rPr>
        <w:t xml:space="preserve"> </w:t>
      </w:r>
      <w:r w:rsidR="00F4218A" w:rsidRPr="00A315CB">
        <w:rPr>
          <w:rFonts w:asciiTheme="minorHAnsi" w:hAnsiTheme="minorHAnsi" w:cstheme="minorHAnsi"/>
          <w:b/>
        </w:rPr>
        <w:t>156 Kč.</w:t>
      </w:r>
      <w:r w:rsidR="0017464D" w:rsidRPr="00A315CB">
        <w:rPr>
          <w:rFonts w:asciiTheme="minorHAnsi" w:hAnsiTheme="minorHAnsi" w:cstheme="minorHAnsi"/>
          <w:b/>
        </w:rPr>
        <w:t xml:space="preserve"> </w:t>
      </w:r>
    </w:p>
    <w:p w14:paraId="24E08622" w14:textId="77777777" w:rsidR="00A600C4" w:rsidRDefault="00A600C4" w:rsidP="004C031F">
      <w:pPr>
        <w:pStyle w:val="Zkladntextodsazen"/>
        <w:spacing w:after="0" w:line="264" w:lineRule="auto"/>
        <w:ind w:left="0"/>
        <w:jc w:val="both"/>
        <w:rPr>
          <w:rFonts w:asciiTheme="minorHAnsi" w:hAnsiTheme="minorHAnsi" w:cstheme="minorHAnsi"/>
          <w:b/>
        </w:rPr>
      </w:pPr>
    </w:p>
    <w:p w14:paraId="6739FA86" w14:textId="77777777" w:rsidR="003D0D59" w:rsidRPr="00A315CB" w:rsidRDefault="003D0D59" w:rsidP="004C031F">
      <w:pPr>
        <w:pStyle w:val="Zkladntextodsazen"/>
        <w:spacing w:after="0" w:line="264" w:lineRule="auto"/>
        <w:ind w:left="0"/>
        <w:jc w:val="both"/>
        <w:rPr>
          <w:rFonts w:asciiTheme="minorHAnsi" w:hAnsiTheme="minorHAnsi" w:cstheme="minorHAnsi"/>
          <w:b/>
        </w:rPr>
      </w:pPr>
    </w:p>
    <w:p w14:paraId="482472DB" w14:textId="77777777" w:rsidR="00C76802" w:rsidRPr="00A315CB" w:rsidRDefault="00C76802" w:rsidP="003D3E73">
      <w:pPr>
        <w:ind w:left="624" w:hanging="62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315CB">
        <w:rPr>
          <w:rFonts w:asciiTheme="minorHAnsi" w:hAnsiTheme="minorHAnsi" w:cstheme="minorHAnsi"/>
          <w:b/>
          <w:sz w:val="28"/>
          <w:szCs w:val="28"/>
        </w:rPr>
        <w:lastRenderedPageBreak/>
        <w:t>III. Podrobnosti a příklady ke zjištěným skutečnostem</w:t>
      </w:r>
    </w:p>
    <w:p w14:paraId="39572356" w14:textId="77777777" w:rsidR="00C76802" w:rsidRPr="00A315CB" w:rsidRDefault="00C76802" w:rsidP="004C031F">
      <w:pPr>
        <w:spacing w:line="264" w:lineRule="auto"/>
        <w:ind w:left="624" w:hanging="624"/>
        <w:jc w:val="both"/>
        <w:rPr>
          <w:rFonts w:asciiTheme="minorHAnsi" w:hAnsiTheme="minorHAnsi" w:cstheme="minorHAnsi"/>
        </w:rPr>
      </w:pPr>
    </w:p>
    <w:p w14:paraId="5EF363AC" w14:textId="77777777" w:rsidR="00C76802" w:rsidRPr="00A315CB" w:rsidRDefault="00C76802" w:rsidP="004C031F">
      <w:pPr>
        <w:spacing w:line="264" w:lineRule="auto"/>
        <w:ind w:left="624" w:hanging="624"/>
        <w:jc w:val="both"/>
        <w:rPr>
          <w:rFonts w:asciiTheme="minorHAnsi" w:hAnsiTheme="minorHAnsi" w:cstheme="minorHAnsi"/>
        </w:rPr>
      </w:pPr>
      <w:r w:rsidRPr="00A315CB">
        <w:rPr>
          <w:rFonts w:asciiTheme="minorHAnsi" w:hAnsiTheme="minorHAnsi" w:cstheme="minorHAnsi"/>
          <w:b/>
        </w:rPr>
        <w:t>Podrobnosti a příklady ke zjištěním v části II.1</w:t>
      </w:r>
    </w:p>
    <w:p w14:paraId="3A4397A0" w14:textId="77777777" w:rsidR="003D3E73" w:rsidRPr="00A315CB" w:rsidRDefault="003D3E73" w:rsidP="004C031F">
      <w:pPr>
        <w:spacing w:line="264" w:lineRule="auto"/>
        <w:jc w:val="both"/>
        <w:rPr>
          <w:rFonts w:asciiTheme="minorHAnsi" w:hAnsiTheme="minorHAnsi" w:cstheme="minorHAnsi"/>
          <w:b/>
        </w:rPr>
      </w:pPr>
    </w:p>
    <w:p w14:paraId="4E1C9C4E" w14:textId="7494CEC6" w:rsidR="00116B2E" w:rsidRPr="00A315CB" w:rsidRDefault="00C76802" w:rsidP="004C031F">
      <w:pPr>
        <w:spacing w:line="264" w:lineRule="auto"/>
        <w:jc w:val="both"/>
        <w:rPr>
          <w:rFonts w:asciiTheme="minorHAnsi" w:hAnsiTheme="minorHAnsi" w:cstheme="minorHAnsi"/>
        </w:rPr>
      </w:pPr>
      <w:r w:rsidRPr="00A315CB">
        <w:rPr>
          <w:rFonts w:asciiTheme="minorHAnsi" w:hAnsiTheme="minorHAnsi" w:cstheme="minorHAnsi"/>
          <w:b/>
        </w:rPr>
        <w:t xml:space="preserve">a) </w:t>
      </w:r>
      <w:r w:rsidRPr="00A315CB">
        <w:rPr>
          <w:rFonts w:asciiTheme="minorHAnsi" w:hAnsiTheme="minorHAnsi" w:cstheme="minorHAnsi"/>
        </w:rPr>
        <w:t>K</w:t>
      </w:r>
      <w:r w:rsidR="001410DB" w:rsidRPr="00A315CB">
        <w:rPr>
          <w:rFonts w:asciiTheme="minorHAnsi" w:hAnsiTheme="minorHAnsi" w:cstheme="minorHAnsi"/>
        </w:rPr>
        <w:t xml:space="preserve">oncepce </w:t>
      </w:r>
      <w:r w:rsidR="00A36CBC" w:rsidRPr="00A315CB">
        <w:rPr>
          <w:rFonts w:asciiTheme="minorHAnsi" w:hAnsiTheme="minorHAnsi" w:cstheme="minorHAnsi"/>
        </w:rPr>
        <w:t>reprodukce majetku justice pro ob</w:t>
      </w:r>
      <w:r w:rsidR="001410DB" w:rsidRPr="00A315CB">
        <w:rPr>
          <w:rFonts w:asciiTheme="minorHAnsi" w:hAnsiTheme="minorHAnsi" w:cstheme="minorHAnsi"/>
        </w:rPr>
        <w:t xml:space="preserve">dobí let 2008 až 2013 </w:t>
      </w:r>
      <w:r w:rsidR="003E2874" w:rsidRPr="00A315CB">
        <w:rPr>
          <w:rFonts w:asciiTheme="minorHAnsi" w:hAnsiTheme="minorHAnsi" w:cstheme="minorHAnsi"/>
        </w:rPr>
        <w:t>z </w:t>
      </w:r>
      <w:r w:rsidR="007911CB" w:rsidRPr="00A315CB">
        <w:rPr>
          <w:rFonts w:asciiTheme="minorHAnsi" w:hAnsiTheme="minorHAnsi" w:cstheme="minorHAnsi"/>
        </w:rPr>
        <w:t>prosince</w:t>
      </w:r>
      <w:r w:rsidR="0042469E" w:rsidRPr="00A315CB">
        <w:rPr>
          <w:rFonts w:asciiTheme="minorHAnsi" w:hAnsiTheme="minorHAnsi" w:cstheme="minorHAnsi"/>
        </w:rPr>
        <w:t xml:space="preserve"> 200</w:t>
      </w:r>
      <w:r w:rsidR="003E2874" w:rsidRPr="00A315CB">
        <w:rPr>
          <w:rFonts w:asciiTheme="minorHAnsi" w:hAnsiTheme="minorHAnsi" w:cstheme="minorHAnsi"/>
        </w:rPr>
        <w:t xml:space="preserve">6 </w:t>
      </w:r>
      <w:r w:rsidR="001410DB" w:rsidRPr="00A315CB">
        <w:rPr>
          <w:rFonts w:asciiTheme="minorHAnsi" w:hAnsiTheme="minorHAnsi" w:cstheme="minorHAnsi"/>
        </w:rPr>
        <w:t xml:space="preserve">obsahovala </w:t>
      </w:r>
      <w:r w:rsidR="00A36CBC" w:rsidRPr="00A315CB">
        <w:rPr>
          <w:rFonts w:asciiTheme="minorHAnsi" w:hAnsiTheme="minorHAnsi" w:cstheme="minorHAnsi"/>
        </w:rPr>
        <w:t>zhodnocení výchozího stavu i stavu, kterého mělo být dosaženo realizací programů 136</w:t>
      </w:r>
      <w:r w:rsidR="00DB2620" w:rsidRPr="00A315CB">
        <w:rPr>
          <w:rFonts w:asciiTheme="minorHAnsi" w:hAnsiTheme="minorHAnsi" w:cstheme="minorHAnsi"/>
        </w:rPr>
        <w:t xml:space="preserve"> </w:t>
      </w:r>
      <w:r w:rsidR="00A36CBC" w:rsidRPr="00A315CB">
        <w:rPr>
          <w:rFonts w:asciiTheme="minorHAnsi" w:hAnsiTheme="minorHAnsi" w:cstheme="minorHAnsi"/>
        </w:rPr>
        <w:t>010 a 136</w:t>
      </w:r>
      <w:r w:rsidR="00DB2620" w:rsidRPr="00A315CB">
        <w:rPr>
          <w:rFonts w:asciiTheme="minorHAnsi" w:hAnsiTheme="minorHAnsi" w:cstheme="minorHAnsi"/>
        </w:rPr>
        <w:t xml:space="preserve"> </w:t>
      </w:r>
      <w:r w:rsidR="00A36CBC" w:rsidRPr="00A315CB">
        <w:rPr>
          <w:rFonts w:asciiTheme="minorHAnsi" w:hAnsiTheme="minorHAnsi" w:cstheme="minorHAnsi"/>
        </w:rPr>
        <w:t xml:space="preserve">110. Byly zde uvedeny </w:t>
      </w:r>
      <w:r w:rsidR="004B0943" w:rsidRPr="00A315CB">
        <w:rPr>
          <w:rFonts w:asciiTheme="minorHAnsi" w:hAnsiTheme="minorHAnsi" w:cstheme="minorHAnsi"/>
        </w:rPr>
        <w:t xml:space="preserve">rovněž plánované investiční akce seřazené dle priorit a </w:t>
      </w:r>
      <w:r w:rsidR="00A36CBC" w:rsidRPr="00A315CB">
        <w:rPr>
          <w:rFonts w:asciiTheme="minorHAnsi" w:hAnsiTheme="minorHAnsi" w:cstheme="minorHAnsi"/>
        </w:rPr>
        <w:t xml:space="preserve">předpokládané objemy potřebných investičních prostředků </w:t>
      </w:r>
      <w:r w:rsidR="001410DB" w:rsidRPr="00A315CB">
        <w:rPr>
          <w:rFonts w:asciiTheme="minorHAnsi" w:hAnsiTheme="minorHAnsi" w:cstheme="minorHAnsi"/>
        </w:rPr>
        <w:t>ve výši 16,5 mld. Kč</w:t>
      </w:r>
      <w:r w:rsidR="00A36CBC" w:rsidRPr="00A315CB">
        <w:rPr>
          <w:rFonts w:asciiTheme="minorHAnsi" w:hAnsiTheme="minorHAnsi" w:cstheme="minorHAnsi"/>
        </w:rPr>
        <w:t xml:space="preserve">. </w:t>
      </w:r>
      <w:r w:rsidR="001410DB" w:rsidRPr="00A315CB">
        <w:rPr>
          <w:rFonts w:asciiTheme="minorHAnsi" w:hAnsiTheme="minorHAnsi" w:cstheme="minorHAnsi"/>
        </w:rPr>
        <w:t>Uvedená částka</w:t>
      </w:r>
      <w:r w:rsidR="002F604F" w:rsidRPr="00A315CB">
        <w:rPr>
          <w:rFonts w:asciiTheme="minorHAnsi" w:hAnsiTheme="minorHAnsi" w:cstheme="minorHAnsi"/>
        </w:rPr>
        <w:t xml:space="preserve"> značně převyšovala</w:t>
      </w:r>
      <w:r w:rsidR="00A36CBC" w:rsidRPr="00A315CB">
        <w:rPr>
          <w:rFonts w:asciiTheme="minorHAnsi" w:hAnsiTheme="minorHAnsi" w:cstheme="minorHAnsi"/>
        </w:rPr>
        <w:t xml:space="preserve"> </w:t>
      </w:r>
      <w:r w:rsidR="001410DB" w:rsidRPr="00A315CB">
        <w:rPr>
          <w:rFonts w:asciiTheme="minorHAnsi" w:hAnsiTheme="minorHAnsi" w:cstheme="minorHAnsi"/>
        </w:rPr>
        <w:t xml:space="preserve">peněžní </w:t>
      </w:r>
      <w:r w:rsidR="00A36CBC" w:rsidRPr="00A315CB">
        <w:rPr>
          <w:rFonts w:asciiTheme="minorHAnsi" w:hAnsiTheme="minorHAnsi" w:cstheme="minorHAnsi"/>
        </w:rPr>
        <w:t xml:space="preserve">prostředky podle původních dokumentací obou programů, které byly </w:t>
      </w:r>
      <w:r w:rsidR="0001248D" w:rsidRPr="00A315CB">
        <w:rPr>
          <w:rFonts w:asciiTheme="minorHAnsi" w:hAnsiTheme="minorHAnsi" w:cstheme="minorHAnsi"/>
        </w:rPr>
        <w:t>stanoven</w:t>
      </w:r>
      <w:r w:rsidR="003D0D59">
        <w:rPr>
          <w:rFonts w:asciiTheme="minorHAnsi" w:hAnsiTheme="minorHAnsi" w:cstheme="minorHAnsi"/>
        </w:rPr>
        <w:t>y</w:t>
      </w:r>
      <w:r w:rsidR="0001248D" w:rsidRPr="00A315CB">
        <w:rPr>
          <w:rFonts w:asciiTheme="minorHAnsi" w:hAnsiTheme="minorHAnsi" w:cstheme="minorHAnsi"/>
        </w:rPr>
        <w:t xml:space="preserve"> v</w:t>
      </w:r>
      <w:r w:rsidR="00DB2620" w:rsidRPr="00A315CB">
        <w:rPr>
          <w:rFonts w:asciiTheme="minorHAnsi" w:hAnsiTheme="minorHAnsi" w:cstheme="minorHAnsi"/>
        </w:rPr>
        <w:t xml:space="preserve"> </w:t>
      </w:r>
      <w:r w:rsidR="0001248D" w:rsidRPr="00A315CB">
        <w:rPr>
          <w:rFonts w:asciiTheme="minorHAnsi" w:hAnsiTheme="minorHAnsi" w:cstheme="minorHAnsi"/>
        </w:rPr>
        <w:t xml:space="preserve">celkové výši </w:t>
      </w:r>
      <w:r w:rsidR="00A36CBC" w:rsidRPr="00A315CB">
        <w:rPr>
          <w:rFonts w:asciiTheme="minorHAnsi" w:hAnsiTheme="minorHAnsi" w:cstheme="minorHAnsi"/>
        </w:rPr>
        <w:t>6,9 mld. Kč. Skutečné čerpání</w:t>
      </w:r>
      <w:r w:rsidR="001410DB" w:rsidRPr="00A315CB">
        <w:rPr>
          <w:rFonts w:asciiTheme="minorHAnsi" w:hAnsiTheme="minorHAnsi" w:cstheme="minorHAnsi"/>
        </w:rPr>
        <w:t xml:space="preserve"> na tyto programy</w:t>
      </w:r>
      <w:r w:rsidR="00A36CBC" w:rsidRPr="00A315CB">
        <w:rPr>
          <w:rFonts w:asciiTheme="minorHAnsi" w:hAnsiTheme="minorHAnsi" w:cstheme="minorHAnsi"/>
        </w:rPr>
        <w:t xml:space="preserve"> pa</w:t>
      </w:r>
      <w:r w:rsidR="00A023F2" w:rsidRPr="00A315CB">
        <w:rPr>
          <w:rFonts w:asciiTheme="minorHAnsi" w:hAnsiTheme="minorHAnsi" w:cstheme="minorHAnsi"/>
        </w:rPr>
        <w:t>k v</w:t>
      </w:r>
      <w:r w:rsidR="00DB2620" w:rsidRPr="00A315CB">
        <w:rPr>
          <w:rFonts w:asciiTheme="minorHAnsi" w:hAnsiTheme="minorHAnsi" w:cstheme="minorHAnsi"/>
        </w:rPr>
        <w:t xml:space="preserve"> </w:t>
      </w:r>
      <w:r w:rsidR="00A023F2" w:rsidRPr="00A315CB">
        <w:rPr>
          <w:rFonts w:asciiTheme="minorHAnsi" w:hAnsiTheme="minorHAnsi" w:cstheme="minorHAnsi"/>
        </w:rPr>
        <w:t>uvedených letech činilo 2,2</w:t>
      </w:r>
      <w:r w:rsidR="00DB2620" w:rsidRPr="00A315CB">
        <w:rPr>
          <w:rFonts w:asciiTheme="minorHAnsi" w:hAnsiTheme="minorHAnsi" w:cstheme="minorHAnsi"/>
        </w:rPr>
        <w:t xml:space="preserve"> </w:t>
      </w:r>
      <w:r w:rsidR="00605772" w:rsidRPr="00A315CB">
        <w:rPr>
          <w:rFonts w:asciiTheme="minorHAnsi" w:hAnsiTheme="minorHAnsi" w:cstheme="minorHAnsi"/>
        </w:rPr>
        <w:t>mld. Kč (</w:t>
      </w:r>
      <w:r w:rsidR="00E004E0" w:rsidRPr="00A315CB">
        <w:rPr>
          <w:rFonts w:asciiTheme="minorHAnsi" w:hAnsiTheme="minorHAnsi" w:cstheme="minorHAnsi"/>
        </w:rPr>
        <w:t xml:space="preserve">a </w:t>
      </w:r>
      <w:r w:rsidR="003D0D59">
        <w:rPr>
          <w:rFonts w:asciiTheme="minorHAnsi" w:hAnsiTheme="minorHAnsi" w:cstheme="minorHAnsi"/>
        </w:rPr>
        <w:t>dále bylo čerpáno</w:t>
      </w:r>
      <w:r w:rsidR="00A36CBC" w:rsidRPr="00A315CB">
        <w:rPr>
          <w:rFonts w:asciiTheme="minorHAnsi" w:hAnsiTheme="minorHAnsi" w:cstheme="minorHAnsi"/>
        </w:rPr>
        <w:t xml:space="preserve"> 2,4 mld. Kč </w:t>
      </w:r>
      <w:r w:rsidR="004B5CEA" w:rsidRPr="00A315CB">
        <w:rPr>
          <w:rFonts w:asciiTheme="minorHAnsi" w:hAnsiTheme="minorHAnsi" w:cstheme="minorHAnsi"/>
        </w:rPr>
        <w:t>u</w:t>
      </w:r>
      <w:r w:rsidR="003D0D59">
        <w:rPr>
          <w:rFonts w:asciiTheme="minorHAnsi" w:hAnsiTheme="minorHAnsi" w:cstheme="minorHAnsi"/>
        </w:rPr>
        <w:t> </w:t>
      </w:r>
      <w:r w:rsidR="00A36CBC" w:rsidRPr="00A315CB">
        <w:rPr>
          <w:rFonts w:asciiTheme="minorHAnsi" w:hAnsiTheme="minorHAnsi" w:cstheme="minorHAnsi"/>
        </w:rPr>
        <w:t>dobíhajícího programu 236</w:t>
      </w:r>
      <w:r w:rsidR="00DB2620" w:rsidRPr="00A315CB">
        <w:rPr>
          <w:rFonts w:asciiTheme="minorHAnsi" w:hAnsiTheme="minorHAnsi" w:cstheme="minorHAnsi"/>
        </w:rPr>
        <w:t xml:space="preserve"> </w:t>
      </w:r>
      <w:r w:rsidR="00A36CBC" w:rsidRPr="00A315CB">
        <w:rPr>
          <w:rFonts w:asciiTheme="minorHAnsi" w:hAnsiTheme="minorHAnsi" w:cstheme="minorHAnsi"/>
        </w:rPr>
        <w:t>110 v</w:t>
      </w:r>
      <w:r w:rsidR="00DB2620" w:rsidRPr="00A315CB">
        <w:rPr>
          <w:rFonts w:asciiTheme="minorHAnsi" w:hAnsiTheme="minorHAnsi" w:cstheme="minorHAnsi"/>
        </w:rPr>
        <w:t xml:space="preserve"> </w:t>
      </w:r>
      <w:r w:rsidR="00A36CBC" w:rsidRPr="00A315CB">
        <w:rPr>
          <w:rFonts w:asciiTheme="minorHAnsi" w:hAnsiTheme="minorHAnsi" w:cstheme="minorHAnsi"/>
        </w:rPr>
        <w:t>letech 2008 až 2009).</w:t>
      </w:r>
      <w:r w:rsidR="00E72019" w:rsidRPr="00A315CB">
        <w:rPr>
          <w:rFonts w:asciiTheme="minorHAnsi" w:hAnsiTheme="minorHAnsi" w:cstheme="minorHAnsi"/>
        </w:rPr>
        <w:t xml:space="preserve"> </w:t>
      </w:r>
      <w:r w:rsidR="004F6FC2" w:rsidRPr="00A315CB">
        <w:rPr>
          <w:rFonts w:asciiTheme="minorHAnsi" w:hAnsiTheme="minorHAnsi" w:cstheme="minorHAnsi"/>
        </w:rPr>
        <w:t>V</w:t>
      </w:r>
      <w:r w:rsidR="00DB2620" w:rsidRPr="00A315CB">
        <w:rPr>
          <w:rFonts w:asciiTheme="minorHAnsi" w:hAnsiTheme="minorHAnsi" w:cstheme="minorHAnsi"/>
        </w:rPr>
        <w:t xml:space="preserve"> </w:t>
      </w:r>
      <w:r w:rsidR="004F6FC2" w:rsidRPr="00A315CB">
        <w:rPr>
          <w:rFonts w:asciiTheme="minorHAnsi" w:hAnsiTheme="minorHAnsi" w:cstheme="minorHAnsi"/>
        </w:rPr>
        <w:t>koncepci bylo jmenovit</w:t>
      </w:r>
      <w:r w:rsidR="00A315CB">
        <w:rPr>
          <w:rFonts w:asciiTheme="minorHAnsi" w:hAnsiTheme="minorHAnsi" w:cstheme="minorHAnsi"/>
        </w:rPr>
        <w:t xml:space="preserve">ě uvedeno 16 prioritních akcí, </w:t>
      </w:r>
      <w:r w:rsidR="0048288E" w:rsidRPr="00A315CB">
        <w:rPr>
          <w:rFonts w:asciiTheme="minorHAnsi" w:hAnsiTheme="minorHAnsi" w:cstheme="minorHAnsi"/>
        </w:rPr>
        <w:t xml:space="preserve">dokumentace programu obsahovala </w:t>
      </w:r>
      <w:r w:rsidR="004F6FC2" w:rsidRPr="00A315CB">
        <w:rPr>
          <w:rFonts w:asciiTheme="minorHAnsi" w:hAnsiTheme="minorHAnsi" w:cstheme="minorHAnsi"/>
        </w:rPr>
        <w:t xml:space="preserve">14 </w:t>
      </w:r>
      <w:r w:rsidR="00A315CB">
        <w:rPr>
          <w:rFonts w:asciiTheme="minorHAnsi" w:hAnsiTheme="minorHAnsi" w:cstheme="minorHAnsi"/>
        </w:rPr>
        <w:t>z nich</w:t>
      </w:r>
      <w:r w:rsidR="0048288E" w:rsidRPr="00A315CB">
        <w:rPr>
          <w:rFonts w:asciiTheme="minorHAnsi" w:hAnsiTheme="minorHAnsi" w:cstheme="minorHAnsi"/>
        </w:rPr>
        <w:t xml:space="preserve">. </w:t>
      </w:r>
      <w:r w:rsidR="00116B2E" w:rsidRPr="00A315CB">
        <w:rPr>
          <w:rFonts w:asciiTheme="minorHAnsi" w:hAnsiTheme="minorHAnsi" w:cstheme="minorHAnsi"/>
        </w:rPr>
        <w:t xml:space="preserve">MSp připravuje novou koncepci, </w:t>
      </w:r>
      <w:r w:rsidR="004F6FC2" w:rsidRPr="00A315CB">
        <w:rPr>
          <w:rFonts w:asciiTheme="minorHAnsi" w:hAnsiTheme="minorHAnsi" w:cstheme="minorHAnsi"/>
        </w:rPr>
        <w:t xml:space="preserve">která </w:t>
      </w:r>
      <w:r w:rsidR="00116B2E" w:rsidRPr="00A315CB">
        <w:rPr>
          <w:rFonts w:asciiTheme="minorHAnsi" w:hAnsiTheme="minorHAnsi" w:cstheme="minorHAnsi"/>
        </w:rPr>
        <w:t xml:space="preserve">do doby ukončení kontroly nebyla schválena. </w:t>
      </w:r>
    </w:p>
    <w:p w14:paraId="3AA54B9B" w14:textId="77777777" w:rsidR="003D3E73" w:rsidRPr="00A315CB" w:rsidRDefault="003D3E73" w:rsidP="004C031F">
      <w:pPr>
        <w:spacing w:line="264" w:lineRule="auto"/>
        <w:jc w:val="both"/>
        <w:rPr>
          <w:rFonts w:asciiTheme="minorHAnsi" w:hAnsiTheme="minorHAnsi" w:cstheme="minorHAnsi"/>
          <w:b/>
        </w:rPr>
      </w:pPr>
    </w:p>
    <w:p w14:paraId="72524908" w14:textId="0BCD8582" w:rsidR="003D3E73" w:rsidRPr="00A315CB" w:rsidRDefault="00116B2E" w:rsidP="004C031F">
      <w:pPr>
        <w:spacing w:line="264" w:lineRule="auto"/>
        <w:jc w:val="both"/>
        <w:rPr>
          <w:rFonts w:asciiTheme="minorHAnsi" w:hAnsiTheme="minorHAnsi" w:cstheme="minorHAnsi"/>
        </w:rPr>
      </w:pPr>
      <w:r w:rsidRPr="00A315CB">
        <w:rPr>
          <w:rFonts w:asciiTheme="minorHAnsi" w:hAnsiTheme="minorHAnsi" w:cstheme="minorHAnsi"/>
          <w:b/>
        </w:rPr>
        <w:t xml:space="preserve">b) </w:t>
      </w:r>
      <w:r w:rsidRPr="00A315CB">
        <w:rPr>
          <w:rFonts w:asciiTheme="minorHAnsi" w:hAnsiTheme="minorHAnsi" w:cstheme="minorHAnsi"/>
        </w:rPr>
        <w:t xml:space="preserve">Koncepce </w:t>
      </w:r>
      <w:r w:rsidR="001410DB" w:rsidRPr="00A315CB">
        <w:rPr>
          <w:rFonts w:asciiTheme="minorHAnsi" w:hAnsiTheme="minorHAnsi" w:cstheme="minorHAnsi"/>
        </w:rPr>
        <w:t xml:space="preserve">reprodukce majetku </w:t>
      </w:r>
      <w:r w:rsidRPr="00A315CB">
        <w:rPr>
          <w:rFonts w:asciiTheme="minorHAnsi" w:hAnsiTheme="minorHAnsi" w:cstheme="minorHAnsi"/>
        </w:rPr>
        <w:t xml:space="preserve">vězeňství pro období let 2008 až 2013 </w:t>
      </w:r>
      <w:r w:rsidR="002F604F" w:rsidRPr="00A315CB">
        <w:rPr>
          <w:rFonts w:asciiTheme="minorHAnsi" w:hAnsiTheme="minorHAnsi" w:cstheme="minorHAnsi"/>
        </w:rPr>
        <w:t xml:space="preserve">měla být </w:t>
      </w:r>
      <w:r w:rsidRPr="00A315CB">
        <w:rPr>
          <w:rFonts w:asciiTheme="minorHAnsi" w:hAnsiTheme="minorHAnsi" w:cstheme="minorHAnsi"/>
        </w:rPr>
        <w:t>zejména podkladem pro zahájení nového programu v</w:t>
      </w:r>
      <w:r w:rsidR="00DB2620" w:rsidRPr="00A315CB">
        <w:rPr>
          <w:rFonts w:asciiTheme="minorHAnsi" w:hAnsiTheme="minorHAnsi" w:cstheme="minorHAnsi"/>
        </w:rPr>
        <w:t xml:space="preserve"> </w:t>
      </w:r>
      <w:r w:rsidRPr="00A315CB">
        <w:rPr>
          <w:rFonts w:asciiTheme="minorHAnsi" w:hAnsiTheme="minorHAnsi" w:cstheme="minorHAnsi"/>
        </w:rPr>
        <w:t>této oblasti. Nový program 136</w:t>
      </w:r>
      <w:r w:rsidR="00DB2620" w:rsidRPr="00A315CB">
        <w:rPr>
          <w:rFonts w:asciiTheme="minorHAnsi" w:hAnsiTheme="minorHAnsi" w:cstheme="minorHAnsi"/>
        </w:rPr>
        <w:t xml:space="preserve"> </w:t>
      </w:r>
      <w:r w:rsidRPr="00A315CB">
        <w:rPr>
          <w:rFonts w:asciiTheme="minorHAnsi" w:hAnsiTheme="minorHAnsi" w:cstheme="minorHAnsi"/>
        </w:rPr>
        <w:t xml:space="preserve">310 byl </w:t>
      </w:r>
      <w:r w:rsidR="002F604F" w:rsidRPr="00A315CB">
        <w:rPr>
          <w:rFonts w:asciiTheme="minorHAnsi" w:hAnsiTheme="minorHAnsi" w:cstheme="minorHAnsi"/>
        </w:rPr>
        <w:t xml:space="preserve">však </w:t>
      </w:r>
      <w:r w:rsidR="001410DB" w:rsidRPr="00A315CB">
        <w:rPr>
          <w:rFonts w:asciiTheme="minorHAnsi" w:hAnsiTheme="minorHAnsi" w:cstheme="minorHAnsi"/>
        </w:rPr>
        <w:t>zahájen až v</w:t>
      </w:r>
      <w:r w:rsidR="00DB2620" w:rsidRPr="00A315CB">
        <w:rPr>
          <w:rFonts w:asciiTheme="minorHAnsi" w:hAnsiTheme="minorHAnsi" w:cstheme="minorHAnsi"/>
        </w:rPr>
        <w:t xml:space="preserve"> </w:t>
      </w:r>
      <w:r w:rsidR="001410DB" w:rsidRPr="00A315CB">
        <w:rPr>
          <w:rFonts w:asciiTheme="minorHAnsi" w:hAnsiTheme="minorHAnsi" w:cstheme="minorHAnsi"/>
        </w:rPr>
        <w:t>roce 2013, zatímco</w:t>
      </w:r>
      <w:r w:rsidR="004F6FC2" w:rsidRPr="00A315CB">
        <w:rPr>
          <w:rFonts w:asciiTheme="minorHAnsi" w:hAnsiTheme="minorHAnsi" w:cstheme="minorHAnsi"/>
        </w:rPr>
        <w:t xml:space="preserve"> MSp opakovaně </w:t>
      </w:r>
      <w:r w:rsidRPr="00A315CB">
        <w:rPr>
          <w:rFonts w:asciiTheme="minorHAnsi" w:hAnsiTheme="minorHAnsi" w:cstheme="minorHAnsi"/>
        </w:rPr>
        <w:t>prodlužovalo program 23</w:t>
      </w:r>
      <w:r w:rsidR="001410DB" w:rsidRPr="00A315CB">
        <w:rPr>
          <w:rFonts w:asciiTheme="minorHAnsi" w:hAnsiTheme="minorHAnsi" w:cstheme="minorHAnsi"/>
        </w:rPr>
        <w:t>6</w:t>
      </w:r>
      <w:r w:rsidR="00DB2620" w:rsidRPr="00A315CB">
        <w:rPr>
          <w:rFonts w:asciiTheme="minorHAnsi" w:hAnsiTheme="minorHAnsi" w:cstheme="minorHAnsi"/>
        </w:rPr>
        <w:t xml:space="preserve"> </w:t>
      </w:r>
      <w:r w:rsidR="001410DB" w:rsidRPr="00A315CB">
        <w:rPr>
          <w:rFonts w:asciiTheme="minorHAnsi" w:hAnsiTheme="minorHAnsi" w:cstheme="minorHAnsi"/>
        </w:rPr>
        <w:t>210, zahájený již v</w:t>
      </w:r>
      <w:r w:rsidR="00DB2620" w:rsidRPr="00A315CB">
        <w:rPr>
          <w:rFonts w:asciiTheme="minorHAnsi" w:hAnsiTheme="minorHAnsi" w:cstheme="minorHAnsi"/>
        </w:rPr>
        <w:t xml:space="preserve"> </w:t>
      </w:r>
      <w:r w:rsidR="001410DB" w:rsidRPr="00A315CB">
        <w:rPr>
          <w:rFonts w:asciiTheme="minorHAnsi" w:hAnsiTheme="minorHAnsi" w:cstheme="minorHAnsi"/>
        </w:rPr>
        <w:t>roce 2003 s</w:t>
      </w:r>
      <w:r w:rsidR="00DB2620" w:rsidRPr="00A315CB">
        <w:rPr>
          <w:rFonts w:asciiTheme="minorHAnsi" w:hAnsiTheme="minorHAnsi" w:cstheme="minorHAnsi"/>
        </w:rPr>
        <w:t xml:space="preserve"> </w:t>
      </w:r>
      <w:r w:rsidR="001410DB" w:rsidRPr="00A315CB">
        <w:rPr>
          <w:rFonts w:asciiTheme="minorHAnsi" w:hAnsiTheme="minorHAnsi" w:cstheme="minorHAnsi"/>
        </w:rPr>
        <w:t>plánovanou dobou realizace do roku 2007.</w:t>
      </w:r>
      <w:r w:rsidRPr="00A315CB">
        <w:rPr>
          <w:rFonts w:asciiTheme="minorHAnsi" w:hAnsiTheme="minorHAnsi" w:cstheme="minorHAnsi"/>
        </w:rPr>
        <w:t xml:space="preserve"> Koncepce nevymezovala výchozí ani cílový stav</w:t>
      </w:r>
      <w:r w:rsidR="001410DB" w:rsidRPr="00A315CB">
        <w:rPr>
          <w:rFonts w:asciiTheme="minorHAnsi" w:hAnsiTheme="minorHAnsi" w:cstheme="minorHAnsi"/>
        </w:rPr>
        <w:t xml:space="preserve"> majetku v</w:t>
      </w:r>
      <w:r w:rsidR="00DB2620" w:rsidRPr="00A315CB">
        <w:rPr>
          <w:rFonts w:asciiTheme="minorHAnsi" w:hAnsiTheme="minorHAnsi" w:cstheme="minorHAnsi"/>
        </w:rPr>
        <w:t xml:space="preserve"> </w:t>
      </w:r>
      <w:r w:rsidR="001410DB" w:rsidRPr="00A315CB">
        <w:rPr>
          <w:rFonts w:asciiTheme="minorHAnsi" w:hAnsiTheme="minorHAnsi" w:cstheme="minorHAnsi"/>
        </w:rPr>
        <w:t>oblasti vězeňství.</w:t>
      </w:r>
      <w:r w:rsidR="00DB2620" w:rsidRPr="00A315CB">
        <w:rPr>
          <w:rFonts w:asciiTheme="minorHAnsi" w:hAnsiTheme="minorHAnsi" w:cstheme="minorHAnsi"/>
        </w:rPr>
        <w:t xml:space="preserve"> </w:t>
      </w:r>
      <w:r w:rsidRPr="00A315CB">
        <w:rPr>
          <w:rFonts w:asciiTheme="minorHAnsi" w:hAnsiTheme="minorHAnsi" w:cstheme="minorHAnsi"/>
        </w:rPr>
        <w:t>Obsahovala podrobný výčet jednotlivých investičních akcí, jejich zařazení do programů reprodukce majetku a</w:t>
      </w:r>
      <w:r w:rsidR="00DB2620" w:rsidRPr="00A315CB">
        <w:rPr>
          <w:rFonts w:asciiTheme="minorHAnsi" w:hAnsiTheme="minorHAnsi" w:cstheme="minorHAnsi"/>
        </w:rPr>
        <w:t xml:space="preserve"> </w:t>
      </w:r>
      <w:r w:rsidRPr="00A315CB">
        <w:rPr>
          <w:rFonts w:asciiTheme="minorHAnsi" w:hAnsiTheme="minorHAnsi" w:cstheme="minorHAnsi"/>
        </w:rPr>
        <w:t xml:space="preserve">předpokládané objemy potřebných investičních prostředků. </w:t>
      </w:r>
      <w:r w:rsidR="00E72019" w:rsidRPr="00A315CB">
        <w:rPr>
          <w:rFonts w:asciiTheme="minorHAnsi" w:hAnsiTheme="minorHAnsi" w:cstheme="minorHAnsi"/>
        </w:rPr>
        <w:t>V</w:t>
      </w:r>
      <w:r w:rsidR="00DB2620" w:rsidRPr="00A315CB">
        <w:rPr>
          <w:rFonts w:asciiTheme="minorHAnsi" w:hAnsiTheme="minorHAnsi" w:cstheme="minorHAnsi"/>
        </w:rPr>
        <w:t xml:space="preserve"> </w:t>
      </w:r>
      <w:r w:rsidR="00E72019" w:rsidRPr="00A315CB">
        <w:rPr>
          <w:rFonts w:asciiTheme="minorHAnsi" w:hAnsiTheme="minorHAnsi" w:cstheme="minorHAnsi"/>
        </w:rPr>
        <w:t xml:space="preserve">dokumentacích programů nebyly akce jmenovitě uvedeny. Potřeba </w:t>
      </w:r>
      <w:r w:rsidR="001410DB" w:rsidRPr="00A315CB">
        <w:rPr>
          <w:rFonts w:asciiTheme="minorHAnsi" w:hAnsiTheme="minorHAnsi" w:cstheme="minorHAnsi"/>
        </w:rPr>
        <w:t xml:space="preserve">investičních </w:t>
      </w:r>
      <w:r w:rsidRPr="00A315CB">
        <w:rPr>
          <w:rFonts w:asciiTheme="minorHAnsi" w:hAnsiTheme="minorHAnsi" w:cstheme="minorHAnsi"/>
        </w:rPr>
        <w:t xml:space="preserve">prostředků </w:t>
      </w:r>
      <w:r w:rsidR="0048288E" w:rsidRPr="00A315CB">
        <w:rPr>
          <w:rFonts w:asciiTheme="minorHAnsi" w:hAnsiTheme="minorHAnsi" w:cstheme="minorHAnsi"/>
        </w:rPr>
        <w:t>odhadnut</w:t>
      </w:r>
      <w:r w:rsidR="003D0D59">
        <w:rPr>
          <w:rFonts w:asciiTheme="minorHAnsi" w:hAnsiTheme="minorHAnsi" w:cstheme="minorHAnsi"/>
        </w:rPr>
        <w:t>á</w:t>
      </w:r>
      <w:r w:rsidR="0048288E" w:rsidRPr="00A315CB">
        <w:rPr>
          <w:rFonts w:asciiTheme="minorHAnsi" w:hAnsiTheme="minorHAnsi" w:cstheme="minorHAnsi"/>
        </w:rPr>
        <w:t xml:space="preserve"> v koncepci </w:t>
      </w:r>
      <w:r w:rsidRPr="00A315CB">
        <w:rPr>
          <w:rFonts w:asciiTheme="minorHAnsi" w:hAnsiTheme="minorHAnsi" w:cstheme="minorHAnsi"/>
        </w:rPr>
        <w:t xml:space="preserve">ve výši 5,8 mld. Kč </w:t>
      </w:r>
      <w:r w:rsidR="00E72019" w:rsidRPr="00A315CB">
        <w:rPr>
          <w:rFonts w:asciiTheme="minorHAnsi" w:hAnsiTheme="minorHAnsi" w:cstheme="minorHAnsi"/>
        </w:rPr>
        <w:t xml:space="preserve">značně převyšovala </w:t>
      </w:r>
      <w:r w:rsidR="001410DB" w:rsidRPr="00A315CB">
        <w:rPr>
          <w:rFonts w:asciiTheme="minorHAnsi" w:hAnsiTheme="minorHAnsi" w:cstheme="minorHAnsi"/>
        </w:rPr>
        <w:t xml:space="preserve">peněžní </w:t>
      </w:r>
      <w:r w:rsidR="00E72019" w:rsidRPr="00A315CB">
        <w:rPr>
          <w:rFonts w:asciiTheme="minorHAnsi" w:hAnsiTheme="minorHAnsi" w:cstheme="minorHAnsi"/>
        </w:rPr>
        <w:t xml:space="preserve">prostředky </w:t>
      </w:r>
      <w:r w:rsidR="0048288E" w:rsidRPr="00A315CB">
        <w:rPr>
          <w:rFonts w:asciiTheme="minorHAnsi" w:hAnsiTheme="minorHAnsi" w:cstheme="minorHAnsi"/>
        </w:rPr>
        <w:t xml:space="preserve">stanovené </w:t>
      </w:r>
      <w:r w:rsidR="00E72019" w:rsidRPr="00A315CB">
        <w:rPr>
          <w:rFonts w:asciiTheme="minorHAnsi" w:hAnsiTheme="minorHAnsi" w:cstheme="minorHAnsi"/>
        </w:rPr>
        <w:t>v platných dokumentacích programů, které</w:t>
      </w:r>
      <w:r w:rsidR="004F6FC2" w:rsidRPr="00A315CB">
        <w:rPr>
          <w:rFonts w:asciiTheme="minorHAnsi" w:hAnsiTheme="minorHAnsi" w:cstheme="minorHAnsi"/>
        </w:rPr>
        <w:t xml:space="preserve"> v</w:t>
      </w:r>
      <w:r w:rsidR="0048288E" w:rsidRPr="00A315CB">
        <w:rPr>
          <w:rFonts w:asciiTheme="minorHAnsi" w:hAnsiTheme="minorHAnsi" w:cstheme="minorHAnsi"/>
        </w:rPr>
        <w:t> </w:t>
      </w:r>
      <w:r w:rsidR="0042469E" w:rsidRPr="00A315CB">
        <w:rPr>
          <w:rFonts w:asciiTheme="minorHAnsi" w:hAnsiTheme="minorHAnsi" w:cstheme="minorHAnsi"/>
        </w:rPr>
        <w:t>uvedených letech činily pouze 1,7 mld. Kč.</w:t>
      </w:r>
    </w:p>
    <w:p w14:paraId="59C89BEF" w14:textId="77777777" w:rsidR="00F4218A" w:rsidRPr="00A315CB" w:rsidRDefault="00F4218A" w:rsidP="004C031F">
      <w:pPr>
        <w:spacing w:line="264" w:lineRule="auto"/>
        <w:jc w:val="both"/>
        <w:rPr>
          <w:rFonts w:asciiTheme="minorHAnsi" w:hAnsiTheme="minorHAnsi" w:cstheme="minorHAnsi"/>
          <w:b/>
        </w:rPr>
      </w:pPr>
    </w:p>
    <w:p w14:paraId="00130C8D" w14:textId="77777777" w:rsidR="00F4218A" w:rsidRPr="00A315CB" w:rsidRDefault="003D3E73" w:rsidP="004C031F">
      <w:pPr>
        <w:spacing w:line="264" w:lineRule="auto"/>
        <w:jc w:val="both"/>
        <w:rPr>
          <w:rFonts w:asciiTheme="minorHAnsi" w:hAnsiTheme="minorHAnsi" w:cstheme="minorHAnsi"/>
        </w:rPr>
      </w:pPr>
      <w:r w:rsidRPr="00A315CB">
        <w:rPr>
          <w:rFonts w:asciiTheme="minorHAnsi" w:hAnsiTheme="minorHAnsi" w:cstheme="minorHAnsi"/>
          <w:b/>
        </w:rPr>
        <w:t>c)</w:t>
      </w:r>
      <w:r w:rsidR="002F604F" w:rsidRPr="00A315CB">
        <w:rPr>
          <w:rFonts w:asciiTheme="minorHAnsi" w:hAnsiTheme="minorHAnsi" w:cstheme="minorHAnsi"/>
        </w:rPr>
        <w:t xml:space="preserve"> O</w:t>
      </w:r>
      <w:r w:rsidRPr="00A315CB">
        <w:rPr>
          <w:rFonts w:asciiTheme="minorHAnsi" w:hAnsiTheme="minorHAnsi" w:cstheme="minorHAnsi"/>
        </w:rPr>
        <w:t xml:space="preserve">bjem výdajů MSp na programy </w:t>
      </w:r>
      <w:r w:rsidR="002F604F" w:rsidRPr="00A315CB">
        <w:rPr>
          <w:rFonts w:asciiTheme="minorHAnsi" w:hAnsiTheme="minorHAnsi" w:cstheme="minorHAnsi"/>
        </w:rPr>
        <w:t xml:space="preserve">se </w:t>
      </w:r>
      <w:r w:rsidRPr="00A315CB">
        <w:rPr>
          <w:rFonts w:asciiTheme="minorHAnsi" w:hAnsiTheme="minorHAnsi" w:cstheme="minorHAnsi"/>
        </w:rPr>
        <w:t>od roku 2009 razantním</w:t>
      </w:r>
      <w:r w:rsidR="002F604F" w:rsidRPr="00A315CB">
        <w:rPr>
          <w:rFonts w:asciiTheme="minorHAnsi" w:hAnsiTheme="minorHAnsi" w:cstheme="minorHAnsi"/>
        </w:rPr>
        <w:t xml:space="preserve"> způsobem snížil</w:t>
      </w:r>
      <w:r w:rsidR="00F4218A" w:rsidRPr="00A315CB">
        <w:rPr>
          <w:rFonts w:asciiTheme="minorHAnsi" w:hAnsiTheme="minorHAnsi" w:cstheme="minorHAnsi"/>
        </w:rPr>
        <w:t>, jak je uvedeno v</w:t>
      </w:r>
      <w:r w:rsidR="00DB2620" w:rsidRPr="00A315CB">
        <w:rPr>
          <w:rFonts w:asciiTheme="minorHAnsi" w:hAnsiTheme="minorHAnsi" w:cstheme="minorHAnsi"/>
        </w:rPr>
        <w:t xml:space="preserve"> </w:t>
      </w:r>
      <w:r w:rsidR="00F4218A" w:rsidRPr="00A315CB">
        <w:rPr>
          <w:rFonts w:asciiTheme="minorHAnsi" w:hAnsiTheme="minorHAnsi" w:cstheme="minorHAnsi"/>
        </w:rPr>
        <w:t>tabulce č. 4.</w:t>
      </w:r>
    </w:p>
    <w:p w14:paraId="75D51FD6" w14:textId="77777777" w:rsidR="00F4218A" w:rsidRPr="00A315CB" w:rsidRDefault="00F4218A" w:rsidP="004C031F">
      <w:pPr>
        <w:spacing w:line="264" w:lineRule="auto"/>
        <w:jc w:val="both"/>
        <w:rPr>
          <w:rFonts w:asciiTheme="minorHAnsi" w:hAnsiTheme="minorHAnsi" w:cstheme="minorHAnsi"/>
        </w:rPr>
      </w:pPr>
    </w:p>
    <w:p w14:paraId="0C3351CD" w14:textId="66877E34" w:rsidR="00F4218A" w:rsidRPr="00A315CB" w:rsidRDefault="00F4218A" w:rsidP="004C031F">
      <w:pPr>
        <w:pStyle w:val="Zkladntextodsazen"/>
        <w:tabs>
          <w:tab w:val="left" w:pos="8080"/>
        </w:tabs>
        <w:spacing w:after="40"/>
        <w:ind w:left="0"/>
        <w:jc w:val="both"/>
        <w:rPr>
          <w:rFonts w:asciiTheme="minorHAnsi" w:hAnsiTheme="minorHAnsi" w:cstheme="minorHAnsi"/>
          <w:b/>
        </w:rPr>
      </w:pPr>
      <w:r w:rsidRPr="00A315CB">
        <w:rPr>
          <w:rFonts w:asciiTheme="minorHAnsi" w:hAnsiTheme="minorHAnsi" w:cstheme="minorHAnsi"/>
          <w:b/>
        </w:rPr>
        <w:t>Tabulka č. 4</w:t>
      </w:r>
      <w:r w:rsidRPr="00A315CB">
        <w:rPr>
          <w:rFonts w:asciiTheme="minorHAnsi" w:hAnsiTheme="minorHAnsi" w:cstheme="minorHAnsi"/>
        </w:rPr>
        <w:t xml:space="preserve"> </w:t>
      </w:r>
      <w:r w:rsidRPr="00A315CB">
        <w:rPr>
          <w:rFonts w:asciiTheme="minorHAnsi" w:hAnsiTheme="minorHAnsi" w:cstheme="minorHAnsi"/>
          <w:b/>
        </w:rPr>
        <w:t xml:space="preserve">– </w:t>
      </w:r>
      <w:r w:rsidR="003D0D59">
        <w:rPr>
          <w:rFonts w:asciiTheme="minorHAnsi" w:hAnsiTheme="minorHAnsi" w:cstheme="minorHAnsi"/>
          <w:b/>
        </w:rPr>
        <w:t>V</w:t>
      </w:r>
      <w:r w:rsidRPr="00A315CB">
        <w:rPr>
          <w:rFonts w:asciiTheme="minorHAnsi" w:hAnsiTheme="minorHAnsi" w:cstheme="minorHAnsi"/>
          <w:b/>
        </w:rPr>
        <w:t>ýdaje MSp na financování programů v</w:t>
      </w:r>
      <w:r w:rsidR="00DB2620" w:rsidRPr="00A315CB">
        <w:rPr>
          <w:rFonts w:asciiTheme="minorHAnsi" w:hAnsiTheme="minorHAnsi" w:cstheme="minorHAnsi"/>
          <w:b/>
        </w:rPr>
        <w:t xml:space="preserve"> </w:t>
      </w:r>
      <w:r w:rsidRPr="00A315CB">
        <w:rPr>
          <w:rFonts w:asciiTheme="minorHAnsi" w:hAnsiTheme="minorHAnsi" w:cstheme="minorHAnsi"/>
          <w:b/>
        </w:rPr>
        <w:t>letech 2003 až 2014</w:t>
      </w:r>
      <w:r w:rsidR="00DB2620" w:rsidRPr="00A315CB">
        <w:rPr>
          <w:rFonts w:asciiTheme="minorHAnsi" w:hAnsiTheme="minorHAnsi" w:cstheme="minorHAnsi"/>
          <w:b/>
        </w:rPr>
        <w:tab/>
      </w:r>
      <w:r w:rsidRPr="004D0310">
        <w:rPr>
          <w:rFonts w:asciiTheme="minorHAnsi" w:hAnsiTheme="minorHAnsi" w:cstheme="minorHAnsi"/>
          <w:b/>
        </w:rPr>
        <w:t>(</w:t>
      </w:r>
      <w:r w:rsidRPr="00A315CB">
        <w:rPr>
          <w:rFonts w:asciiTheme="minorHAnsi" w:hAnsiTheme="minorHAnsi" w:cstheme="minorHAnsi"/>
          <w:b/>
        </w:rPr>
        <w:t>v</w:t>
      </w:r>
      <w:r w:rsidRPr="00A315CB">
        <w:rPr>
          <w:rFonts w:asciiTheme="minorHAnsi" w:hAnsiTheme="minorHAnsi" w:cstheme="minorHAnsi"/>
        </w:rPr>
        <w:t xml:space="preserve"> </w:t>
      </w:r>
      <w:r w:rsidRPr="00A315CB">
        <w:rPr>
          <w:rFonts w:asciiTheme="minorHAnsi" w:hAnsiTheme="minorHAnsi" w:cstheme="minorHAnsi"/>
          <w:b/>
        </w:rPr>
        <w:t>mil. Kč)</w:t>
      </w:r>
    </w:p>
    <w:tbl>
      <w:tblPr>
        <w:tblW w:w="9062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1015"/>
        <w:gridCol w:w="1016"/>
        <w:gridCol w:w="1016"/>
        <w:gridCol w:w="1016"/>
        <w:gridCol w:w="1016"/>
        <w:gridCol w:w="1016"/>
      </w:tblGrid>
      <w:tr w:rsidR="00F4218A" w:rsidRPr="004C031F" w14:paraId="69184A09" w14:textId="77777777" w:rsidTr="004C031F">
        <w:trPr>
          <w:trHeight w:val="283"/>
        </w:trPr>
        <w:tc>
          <w:tcPr>
            <w:tcW w:w="29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27D5ECBB" w14:textId="3DEF2A4F" w:rsidR="00F4218A" w:rsidRPr="004C031F" w:rsidRDefault="00F4218A" w:rsidP="004C031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C031F">
              <w:rPr>
                <w:rFonts w:ascii="Calibri" w:hAnsi="Calibri" w:cs="Calibri"/>
                <w:b/>
                <w:sz w:val="20"/>
                <w:szCs w:val="20"/>
              </w:rPr>
              <w:t>Rok</w:t>
            </w:r>
          </w:p>
        </w:tc>
        <w:tc>
          <w:tcPr>
            <w:tcW w:w="10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4E791CE" w14:textId="77777777" w:rsidR="00F4218A" w:rsidRPr="004C031F" w:rsidRDefault="00F4218A" w:rsidP="004C03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031F">
              <w:rPr>
                <w:rFonts w:ascii="Calibri" w:hAnsi="Calibri" w:cs="Calibri"/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2D17DCD" w14:textId="77777777" w:rsidR="00F4218A" w:rsidRPr="004C031F" w:rsidRDefault="00F4218A" w:rsidP="004C03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031F">
              <w:rPr>
                <w:rFonts w:ascii="Calibri" w:hAnsi="Calibri" w:cs="Calibri"/>
                <w:b/>
                <w:bCs/>
                <w:sz w:val="20"/>
                <w:szCs w:val="20"/>
              </w:rPr>
              <w:t>2004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49D405E0" w14:textId="77777777" w:rsidR="00F4218A" w:rsidRPr="004C031F" w:rsidRDefault="00F4218A" w:rsidP="004C03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031F">
              <w:rPr>
                <w:rFonts w:ascii="Calibri" w:hAnsi="Calibri" w:cs="Calibri"/>
                <w:b/>
                <w:bCs/>
                <w:sz w:val="20"/>
                <w:szCs w:val="20"/>
              </w:rPr>
              <w:t>2005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65F24B7F" w14:textId="77777777" w:rsidR="00F4218A" w:rsidRPr="004C031F" w:rsidRDefault="00F4218A" w:rsidP="004C03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031F">
              <w:rPr>
                <w:rFonts w:ascii="Calibri" w:hAnsi="Calibri" w:cs="Calibri"/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1B474146" w14:textId="77777777" w:rsidR="00F4218A" w:rsidRPr="004C031F" w:rsidRDefault="00F4218A" w:rsidP="004C03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031F">
              <w:rPr>
                <w:rFonts w:ascii="Calibri" w:hAnsi="Calibri" w:cs="Calibri"/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179FD0C1" w14:textId="77777777" w:rsidR="00F4218A" w:rsidRPr="004C031F" w:rsidRDefault="00F4218A" w:rsidP="004C03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031F">
              <w:rPr>
                <w:rFonts w:ascii="Calibri" w:hAnsi="Calibri" w:cs="Calibri"/>
                <w:b/>
                <w:bCs/>
                <w:sz w:val="20"/>
                <w:szCs w:val="20"/>
              </w:rPr>
              <w:t>2008</w:t>
            </w:r>
          </w:p>
        </w:tc>
      </w:tr>
      <w:tr w:rsidR="00F4218A" w:rsidRPr="004C031F" w14:paraId="5B05B8C3" w14:textId="77777777" w:rsidTr="004C031F">
        <w:trPr>
          <w:trHeight w:val="283"/>
        </w:trPr>
        <w:tc>
          <w:tcPr>
            <w:tcW w:w="29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37E0" w14:textId="770170A5" w:rsidR="00F4218A" w:rsidRPr="004C031F" w:rsidRDefault="000F6B2D" w:rsidP="004C03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</w:t>
            </w:r>
            <w:r w:rsidR="00F4218A" w:rsidRPr="004C031F">
              <w:rPr>
                <w:rFonts w:ascii="Calibri" w:hAnsi="Calibri" w:cs="Calibri"/>
                <w:sz w:val="20"/>
                <w:szCs w:val="20"/>
              </w:rPr>
              <w:t>ýdaje na programy – celkem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68D6" w14:textId="77777777" w:rsidR="00F4218A" w:rsidRPr="004C031F" w:rsidRDefault="00F4218A" w:rsidP="004C031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C031F">
              <w:rPr>
                <w:rFonts w:ascii="Calibri" w:hAnsi="Calibri" w:cs="Calibri"/>
                <w:sz w:val="20"/>
                <w:szCs w:val="20"/>
              </w:rPr>
              <w:t>2 391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B921" w14:textId="77777777" w:rsidR="00F4218A" w:rsidRPr="004C031F" w:rsidRDefault="00F4218A" w:rsidP="004C031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C031F">
              <w:rPr>
                <w:rFonts w:ascii="Calibri" w:hAnsi="Calibri" w:cs="Calibri"/>
                <w:sz w:val="20"/>
                <w:szCs w:val="20"/>
              </w:rPr>
              <w:t>3 182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E33B" w14:textId="77777777" w:rsidR="00F4218A" w:rsidRPr="004C031F" w:rsidRDefault="00F4218A" w:rsidP="004C031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C031F">
              <w:rPr>
                <w:rFonts w:ascii="Calibri" w:hAnsi="Calibri" w:cs="Calibri"/>
                <w:sz w:val="20"/>
                <w:szCs w:val="20"/>
              </w:rPr>
              <w:t>3 712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29C5" w14:textId="77777777" w:rsidR="00F4218A" w:rsidRPr="004C031F" w:rsidRDefault="00F4218A" w:rsidP="004C031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C031F">
              <w:rPr>
                <w:rFonts w:ascii="Calibri" w:hAnsi="Calibri" w:cs="Calibri"/>
                <w:sz w:val="20"/>
                <w:szCs w:val="20"/>
              </w:rPr>
              <w:t>2 310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5484" w14:textId="77777777" w:rsidR="00F4218A" w:rsidRPr="004C031F" w:rsidRDefault="00F4218A" w:rsidP="004C031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C031F">
              <w:rPr>
                <w:rFonts w:ascii="Calibri" w:hAnsi="Calibri" w:cs="Calibri"/>
                <w:sz w:val="20"/>
                <w:szCs w:val="20"/>
              </w:rPr>
              <w:t>2 111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B91FCC" w14:textId="77777777" w:rsidR="00F4218A" w:rsidRPr="004C031F" w:rsidRDefault="00F4218A" w:rsidP="004C031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C031F">
              <w:rPr>
                <w:rFonts w:ascii="Calibri" w:hAnsi="Calibri" w:cs="Calibri"/>
                <w:sz w:val="20"/>
                <w:szCs w:val="20"/>
              </w:rPr>
              <w:t>2 250</w:t>
            </w:r>
          </w:p>
        </w:tc>
      </w:tr>
      <w:tr w:rsidR="00F4218A" w:rsidRPr="004C031F" w14:paraId="2F3F6AC4" w14:textId="77777777" w:rsidTr="004C031F">
        <w:trPr>
          <w:trHeight w:val="283"/>
        </w:trPr>
        <w:tc>
          <w:tcPr>
            <w:tcW w:w="29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0103" w14:textId="0D4B6F64" w:rsidR="00F4218A" w:rsidRPr="004C031F" w:rsidRDefault="000F6B2D" w:rsidP="004C03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</w:t>
            </w:r>
            <w:r w:rsidR="00F4218A" w:rsidRPr="004C031F">
              <w:rPr>
                <w:rFonts w:ascii="Calibri" w:hAnsi="Calibri" w:cs="Calibri"/>
                <w:sz w:val="20"/>
                <w:szCs w:val="20"/>
              </w:rPr>
              <w:t>ustiční část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8058" w14:textId="77777777" w:rsidR="00F4218A" w:rsidRPr="004C031F" w:rsidRDefault="00F4218A" w:rsidP="004C031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C031F">
              <w:rPr>
                <w:rFonts w:ascii="Calibri" w:hAnsi="Calibri" w:cs="Calibri"/>
                <w:sz w:val="20"/>
                <w:szCs w:val="20"/>
              </w:rPr>
              <w:t>1 708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88E8" w14:textId="77777777" w:rsidR="00F4218A" w:rsidRPr="004C031F" w:rsidRDefault="00F4218A" w:rsidP="004C031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C031F">
              <w:rPr>
                <w:rFonts w:ascii="Calibri" w:hAnsi="Calibri" w:cs="Calibri"/>
                <w:sz w:val="20"/>
                <w:szCs w:val="20"/>
              </w:rPr>
              <w:t>2 398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1D6C" w14:textId="77777777" w:rsidR="00F4218A" w:rsidRPr="004C031F" w:rsidRDefault="00F4218A" w:rsidP="004C031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C031F">
              <w:rPr>
                <w:rFonts w:ascii="Calibri" w:hAnsi="Calibri" w:cs="Calibri"/>
                <w:sz w:val="20"/>
                <w:szCs w:val="20"/>
              </w:rPr>
              <w:t>2 770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9CB6" w14:textId="77777777" w:rsidR="00F4218A" w:rsidRPr="004C031F" w:rsidRDefault="00F4218A" w:rsidP="004C031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C031F">
              <w:rPr>
                <w:rFonts w:ascii="Calibri" w:hAnsi="Calibri" w:cs="Calibri"/>
                <w:sz w:val="20"/>
                <w:szCs w:val="20"/>
              </w:rPr>
              <w:t>1 783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E236" w14:textId="77777777" w:rsidR="00F4218A" w:rsidRPr="004C031F" w:rsidRDefault="00F4218A" w:rsidP="004C031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C031F">
              <w:rPr>
                <w:rFonts w:ascii="Calibri" w:hAnsi="Calibri" w:cs="Calibri"/>
                <w:sz w:val="20"/>
                <w:szCs w:val="20"/>
              </w:rPr>
              <w:t>1 593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EA0144" w14:textId="77777777" w:rsidR="00F4218A" w:rsidRPr="004C031F" w:rsidRDefault="00F4218A" w:rsidP="004C031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C031F">
              <w:rPr>
                <w:rFonts w:ascii="Calibri" w:hAnsi="Calibri" w:cs="Calibri"/>
                <w:sz w:val="20"/>
                <w:szCs w:val="20"/>
              </w:rPr>
              <w:t>1 758</w:t>
            </w:r>
          </w:p>
        </w:tc>
      </w:tr>
      <w:tr w:rsidR="00F4218A" w:rsidRPr="004C031F" w14:paraId="1035C427" w14:textId="77777777" w:rsidTr="004C031F">
        <w:trPr>
          <w:trHeight w:val="283"/>
        </w:trPr>
        <w:tc>
          <w:tcPr>
            <w:tcW w:w="29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AB9C" w14:textId="21FD1623" w:rsidR="00F4218A" w:rsidRPr="004C031F" w:rsidRDefault="000F6B2D" w:rsidP="004C03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</w:t>
            </w:r>
            <w:r w:rsidR="00F4218A" w:rsidRPr="004C031F">
              <w:rPr>
                <w:rFonts w:ascii="Calibri" w:hAnsi="Calibri" w:cs="Calibri"/>
                <w:sz w:val="20"/>
                <w:szCs w:val="20"/>
              </w:rPr>
              <w:t>ězeňství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414F" w14:textId="77777777" w:rsidR="00F4218A" w:rsidRPr="004C031F" w:rsidRDefault="00F4218A" w:rsidP="004C031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C031F">
              <w:rPr>
                <w:rFonts w:ascii="Calibri" w:hAnsi="Calibri" w:cs="Calibri"/>
                <w:sz w:val="20"/>
                <w:szCs w:val="20"/>
              </w:rPr>
              <w:t>683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5209" w14:textId="77777777" w:rsidR="00F4218A" w:rsidRPr="004C031F" w:rsidRDefault="00F4218A" w:rsidP="004C031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C031F">
              <w:rPr>
                <w:rFonts w:ascii="Calibri" w:hAnsi="Calibri" w:cs="Calibri"/>
                <w:sz w:val="20"/>
                <w:szCs w:val="20"/>
              </w:rPr>
              <w:t>784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F10C" w14:textId="77777777" w:rsidR="00F4218A" w:rsidRPr="004C031F" w:rsidRDefault="00F4218A" w:rsidP="004C031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C031F">
              <w:rPr>
                <w:rFonts w:ascii="Calibri" w:hAnsi="Calibri" w:cs="Calibri"/>
                <w:sz w:val="20"/>
                <w:szCs w:val="20"/>
              </w:rPr>
              <w:t>942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21A9" w14:textId="77777777" w:rsidR="00F4218A" w:rsidRPr="004C031F" w:rsidRDefault="00F4218A" w:rsidP="004C031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C031F">
              <w:rPr>
                <w:rFonts w:ascii="Calibri" w:hAnsi="Calibri" w:cs="Calibri"/>
                <w:sz w:val="20"/>
                <w:szCs w:val="20"/>
              </w:rPr>
              <w:t>527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5B77" w14:textId="77777777" w:rsidR="00F4218A" w:rsidRPr="004C031F" w:rsidRDefault="00F4218A" w:rsidP="004C031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C031F">
              <w:rPr>
                <w:rFonts w:ascii="Calibri" w:hAnsi="Calibri" w:cs="Calibri"/>
                <w:sz w:val="20"/>
                <w:szCs w:val="20"/>
              </w:rPr>
              <w:t>518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399C80" w14:textId="77777777" w:rsidR="00F4218A" w:rsidRPr="004C031F" w:rsidRDefault="00F4218A" w:rsidP="004C031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C031F">
              <w:rPr>
                <w:rFonts w:ascii="Calibri" w:hAnsi="Calibri" w:cs="Calibri"/>
                <w:sz w:val="20"/>
                <w:szCs w:val="20"/>
              </w:rPr>
              <w:t>492</w:t>
            </w:r>
          </w:p>
        </w:tc>
      </w:tr>
      <w:tr w:rsidR="00F4218A" w:rsidRPr="004C031F" w14:paraId="66B6DE37" w14:textId="77777777" w:rsidTr="004C031F">
        <w:trPr>
          <w:trHeight w:val="283"/>
        </w:trPr>
        <w:tc>
          <w:tcPr>
            <w:tcW w:w="29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9B2C423" w14:textId="77777777" w:rsidR="00F4218A" w:rsidRPr="004C031F" w:rsidRDefault="00F4218A" w:rsidP="004C031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C031F">
              <w:rPr>
                <w:rFonts w:ascii="Calibri" w:hAnsi="Calibri" w:cs="Calibri"/>
                <w:b/>
                <w:sz w:val="20"/>
                <w:szCs w:val="20"/>
              </w:rPr>
              <w:t>Rok</w:t>
            </w:r>
          </w:p>
        </w:tc>
        <w:tc>
          <w:tcPr>
            <w:tcW w:w="10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A1B66DA" w14:textId="77777777" w:rsidR="00F4218A" w:rsidRPr="004C031F" w:rsidRDefault="00F4218A" w:rsidP="004C03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031F">
              <w:rPr>
                <w:rFonts w:ascii="Calibri" w:hAnsi="Calibri" w:cs="Calibri"/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6845A803" w14:textId="77777777" w:rsidR="00F4218A" w:rsidRPr="004C031F" w:rsidRDefault="00F4218A" w:rsidP="004C03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031F">
              <w:rPr>
                <w:rFonts w:ascii="Calibri" w:hAnsi="Calibri" w:cs="Calibri"/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34B6DBB" w14:textId="77777777" w:rsidR="00F4218A" w:rsidRPr="004C031F" w:rsidRDefault="00F4218A" w:rsidP="004C03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031F">
              <w:rPr>
                <w:rFonts w:ascii="Calibri" w:hAnsi="Calibri" w:cs="Calibri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0FBD7554" w14:textId="77777777" w:rsidR="00F4218A" w:rsidRPr="004C031F" w:rsidRDefault="00F4218A" w:rsidP="004C03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031F">
              <w:rPr>
                <w:rFonts w:ascii="Calibri" w:hAnsi="Calibri" w:cs="Calibri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24ADB8C" w14:textId="77777777" w:rsidR="00F4218A" w:rsidRPr="004C031F" w:rsidRDefault="00F4218A" w:rsidP="004C03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031F">
              <w:rPr>
                <w:rFonts w:ascii="Calibri" w:hAnsi="Calibri" w:cs="Calibri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3CD5875D" w14:textId="77777777" w:rsidR="00F4218A" w:rsidRPr="004C031F" w:rsidRDefault="00F4218A" w:rsidP="004C03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C031F">
              <w:rPr>
                <w:rFonts w:ascii="Calibri" w:hAnsi="Calibri" w:cs="Calibri"/>
                <w:b/>
                <w:bCs/>
                <w:sz w:val="20"/>
                <w:szCs w:val="20"/>
              </w:rPr>
              <w:t>2014</w:t>
            </w:r>
          </w:p>
        </w:tc>
      </w:tr>
      <w:tr w:rsidR="00F4218A" w:rsidRPr="004C031F" w14:paraId="4480632C" w14:textId="77777777" w:rsidTr="004C031F">
        <w:trPr>
          <w:trHeight w:val="283"/>
        </w:trPr>
        <w:tc>
          <w:tcPr>
            <w:tcW w:w="2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BF3F" w14:textId="05470925" w:rsidR="00F4218A" w:rsidRPr="004C031F" w:rsidRDefault="000F6B2D" w:rsidP="004C03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</w:t>
            </w:r>
            <w:r w:rsidR="00F4218A" w:rsidRPr="004C031F">
              <w:rPr>
                <w:rFonts w:ascii="Calibri" w:hAnsi="Calibri" w:cs="Calibri"/>
                <w:sz w:val="20"/>
                <w:szCs w:val="20"/>
              </w:rPr>
              <w:t xml:space="preserve">ýdaje na programy </w:t>
            </w:r>
            <w:r w:rsidR="00FD44A4" w:rsidRPr="004C031F">
              <w:rPr>
                <w:rFonts w:ascii="Calibri" w:hAnsi="Calibri" w:cs="Calibri"/>
                <w:sz w:val="20"/>
                <w:szCs w:val="20"/>
              </w:rPr>
              <w:t>–</w:t>
            </w:r>
            <w:r w:rsidR="00F4218A" w:rsidRPr="004C031F">
              <w:rPr>
                <w:rFonts w:ascii="Calibri" w:hAnsi="Calibri" w:cs="Calibri"/>
                <w:sz w:val="20"/>
                <w:szCs w:val="20"/>
              </w:rPr>
              <w:t xml:space="preserve"> celkem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9081" w14:textId="77777777" w:rsidR="00F4218A" w:rsidRPr="004C031F" w:rsidRDefault="00F4218A" w:rsidP="004C031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C031F">
              <w:rPr>
                <w:rFonts w:ascii="Calibri" w:hAnsi="Calibri" w:cs="Calibri"/>
                <w:sz w:val="20"/>
                <w:szCs w:val="20"/>
              </w:rPr>
              <w:t>1 392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7CAF" w14:textId="77777777" w:rsidR="00F4218A" w:rsidRPr="004C031F" w:rsidRDefault="00F4218A" w:rsidP="004C031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C031F">
              <w:rPr>
                <w:rFonts w:ascii="Calibri" w:hAnsi="Calibri" w:cs="Calibri"/>
                <w:sz w:val="20"/>
                <w:szCs w:val="20"/>
              </w:rPr>
              <w:t>568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F48E" w14:textId="77777777" w:rsidR="00F4218A" w:rsidRPr="004C031F" w:rsidRDefault="00F4218A" w:rsidP="004C031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C031F">
              <w:rPr>
                <w:rFonts w:ascii="Calibri" w:hAnsi="Calibri" w:cs="Calibri"/>
                <w:sz w:val="20"/>
                <w:szCs w:val="20"/>
              </w:rPr>
              <w:t>516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C128" w14:textId="77777777" w:rsidR="00F4218A" w:rsidRPr="004C031F" w:rsidRDefault="00F4218A" w:rsidP="004C031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C031F">
              <w:rPr>
                <w:rFonts w:ascii="Calibri" w:hAnsi="Calibri" w:cs="Calibri"/>
                <w:sz w:val="20"/>
                <w:szCs w:val="20"/>
              </w:rPr>
              <w:t>677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DFA4" w14:textId="77777777" w:rsidR="00F4218A" w:rsidRPr="004C031F" w:rsidRDefault="00F4218A" w:rsidP="004C031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C031F">
              <w:rPr>
                <w:rFonts w:ascii="Calibri" w:hAnsi="Calibri" w:cs="Calibri"/>
                <w:sz w:val="20"/>
                <w:szCs w:val="20"/>
              </w:rPr>
              <w:t>593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6374B1" w14:textId="77777777" w:rsidR="00F4218A" w:rsidRPr="004C031F" w:rsidRDefault="00F4218A" w:rsidP="004C031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C031F">
              <w:rPr>
                <w:rFonts w:ascii="Calibri" w:hAnsi="Calibri" w:cs="Calibri"/>
                <w:sz w:val="20"/>
                <w:szCs w:val="20"/>
              </w:rPr>
              <w:t>488</w:t>
            </w:r>
          </w:p>
        </w:tc>
      </w:tr>
      <w:tr w:rsidR="00F4218A" w:rsidRPr="004C031F" w14:paraId="1DA64475" w14:textId="77777777" w:rsidTr="004C031F">
        <w:trPr>
          <w:trHeight w:val="283"/>
        </w:trPr>
        <w:tc>
          <w:tcPr>
            <w:tcW w:w="29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63A8" w14:textId="11368E69" w:rsidR="00F4218A" w:rsidRPr="004C031F" w:rsidRDefault="000F6B2D" w:rsidP="004C03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</w:t>
            </w:r>
            <w:r w:rsidR="00F4218A" w:rsidRPr="004C031F">
              <w:rPr>
                <w:rFonts w:ascii="Calibri" w:hAnsi="Calibri" w:cs="Calibri"/>
                <w:sz w:val="20"/>
                <w:szCs w:val="20"/>
              </w:rPr>
              <w:t>ustiční část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E13F" w14:textId="77777777" w:rsidR="00F4218A" w:rsidRPr="004C031F" w:rsidRDefault="00F4218A" w:rsidP="004C031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C031F">
              <w:rPr>
                <w:rFonts w:ascii="Calibri" w:hAnsi="Calibri" w:cs="Calibri"/>
                <w:sz w:val="20"/>
                <w:szCs w:val="20"/>
              </w:rPr>
              <w:t>1 157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1717" w14:textId="77777777" w:rsidR="00F4218A" w:rsidRPr="004C031F" w:rsidRDefault="00F4218A" w:rsidP="004C031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C031F">
              <w:rPr>
                <w:rFonts w:ascii="Calibri" w:hAnsi="Calibri" w:cs="Calibri"/>
                <w:sz w:val="20"/>
                <w:szCs w:val="20"/>
              </w:rPr>
              <w:t>434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81BB" w14:textId="77777777" w:rsidR="00F4218A" w:rsidRPr="004C031F" w:rsidRDefault="00F4218A" w:rsidP="004C031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C031F">
              <w:rPr>
                <w:rFonts w:ascii="Calibri" w:hAnsi="Calibri" w:cs="Calibri"/>
                <w:sz w:val="20"/>
                <w:szCs w:val="20"/>
              </w:rPr>
              <w:t>419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BB81" w14:textId="77777777" w:rsidR="00F4218A" w:rsidRPr="004C031F" w:rsidRDefault="00F4218A" w:rsidP="004C031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C031F">
              <w:rPr>
                <w:rFonts w:ascii="Calibri" w:hAnsi="Calibri" w:cs="Calibri"/>
                <w:sz w:val="20"/>
                <w:szCs w:val="20"/>
              </w:rPr>
              <w:t>510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02CE" w14:textId="77777777" w:rsidR="00F4218A" w:rsidRPr="004C031F" w:rsidRDefault="00F4218A" w:rsidP="004C031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C031F">
              <w:rPr>
                <w:rFonts w:ascii="Calibri" w:hAnsi="Calibri" w:cs="Calibri"/>
                <w:sz w:val="20"/>
                <w:szCs w:val="20"/>
              </w:rPr>
              <w:t>351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C3627D" w14:textId="77777777" w:rsidR="00F4218A" w:rsidRPr="004C031F" w:rsidRDefault="00F4218A" w:rsidP="004C031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C031F">
              <w:rPr>
                <w:rFonts w:ascii="Calibri" w:hAnsi="Calibri" w:cs="Calibri"/>
                <w:sz w:val="20"/>
                <w:szCs w:val="20"/>
              </w:rPr>
              <w:t>370</w:t>
            </w:r>
          </w:p>
        </w:tc>
      </w:tr>
      <w:tr w:rsidR="00F4218A" w:rsidRPr="004C031F" w14:paraId="7D7DDE4D" w14:textId="77777777" w:rsidTr="004C031F">
        <w:trPr>
          <w:trHeight w:val="283"/>
        </w:trPr>
        <w:tc>
          <w:tcPr>
            <w:tcW w:w="29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F77A" w14:textId="75020DEF" w:rsidR="00F4218A" w:rsidRPr="004C031F" w:rsidRDefault="000F6B2D" w:rsidP="004C03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</w:t>
            </w:r>
            <w:r w:rsidR="00F4218A" w:rsidRPr="004C031F">
              <w:rPr>
                <w:rFonts w:ascii="Calibri" w:hAnsi="Calibri" w:cs="Calibri"/>
                <w:sz w:val="20"/>
                <w:szCs w:val="20"/>
              </w:rPr>
              <w:t>ězeňství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B4EC" w14:textId="77777777" w:rsidR="00F4218A" w:rsidRPr="004C031F" w:rsidRDefault="00F4218A" w:rsidP="004C031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C031F">
              <w:rPr>
                <w:rFonts w:ascii="Calibri" w:hAnsi="Calibri" w:cs="Calibri"/>
                <w:sz w:val="20"/>
                <w:szCs w:val="20"/>
              </w:rPr>
              <w:t>235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A504" w14:textId="77777777" w:rsidR="00F4218A" w:rsidRPr="004C031F" w:rsidRDefault="00F4218A" w:rsidP="004C031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C031F">
              <w:rPr>
                <w:rFonts w:ascii="Calibri" w:hAnsi="Calibri" w:cs="Calibri"/>
                <w:sz w:val="20"/>
                <w:szCs w:val="20"/>
              </w:rPr>
              <w:t>134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57C8" w14:textId="77777777" w:rsidR="00F4218A" w:rsidRPr="004C031F" w:rsidRDefault="00F4218A" w:rsidP="004C031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C031F">
              <w:rPr>
                <w:rFonts w:ascii="Calibri" w:hAnsi="Calibri" w:cs="Calibri"/>
                <w:sz w:val="20"/>
                <w:szCs w:val="20"/>
              </w:rPr>
              <w:t>97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5884" w14:textId="77777777" w:rsidR="00F4218A" w:rsidRPr="004C031F" w:rsidRDefault="00F4218A" w:rsidP="004C031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C031F">
              <w:rPr>
                <w:rFonts w:ascii="Calibri" w:hAnsi="Calibri" w:cs="Calibri"/>
                <w:sz w:val="20"/>
                <w:szCs w:val="20"/>
              </w:rPr>
              <w:t>167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9705" w14:textId="77777777" w:rsidR="00F4218A" w:rsidRPr="004C031F" w:rsidRDefault="00F4218A" w:rsidP="004C031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C031F">
              <w:rPr>
                <w:rFonts w:ascii="Calibri" w:hAnsi="Calibri" w:cs="Calibri"/>
                <w:sz w:val="20"/>
                <w:szCs w:val="20"/>
              </w:rPr>
              <w:t>242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A47734" w14:textId="77777777" w:rsidR="00F4218A" w:rsidRPr="004C031F" w:rsidRDefault="00F4218A" w:rsidP="004C031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C031F">
              <w:rPr>
                <w:rFonts w:ascii="Calibri" w:hAnsi="Calibri" w:cs="Calibri"/>
                <w:sz w:val="20"/>
                <w:szCs w:val="20"/>
              </w:rPr>
              <w:t>118</w:t>
            </w:r>
          </w:p>
        </w:tc>
      </w:tr>
    </w:tbl>
    <w:p w14:paraId="60C63D10" w14:textId="77777777" w:rsidR="00F4218A" w:rsidRPr="00A315CB" w:rsidRDefault="00F4218A" w:rsidP="00D57B03">
      <w:pPr>
        <w:spacing w:before="40"/>
        <w:rPr>
          <w:rFonts w:asciiTheme="minorHAnsi" w:hAnsiTheme="minorHAnsi" w:cstheme="minorHAnsi"/>
          <w:bCs/>
          <w:sz w:val="20"/>
          <w:szCs w:val="20"/>
        </w:rPr>
      </w:pPr>
      <w:r w:rsidRPr="00A315CB">
        <w:rPr>
          <w:rFonts w:asciiTheme="minorHAnsi" w:hAnsiTheme="minorHAnsi" w:cstheme="minorHAnsi"/>
          <w:b/>
          <w:bCs/>
          <w:sz w:val="20"/>
          <w:szCs w:val="20"/>
        </w:rPr>
        <w:t>Zdroj:</w:t>
      </w:r>
      <w:r w:rsidRPr="00A315CB">
        <w:rPr>
          <w:rFonts w:asciiTheme="minorHAnsi" w:hAnsiTheme="minorHAnsi" w:cstheme="minorHAnsi"/>
          <w:bCs/>
          <w:sz w:val="20"/>
          <w:szCs w:val="20"/>
        </w:rPr>
        <w:t xml:space="preserve"> údaje poskytnuté ekonomickým odborem MSp</w:t>
      </w:r>
      <w:r w:rsidR="00FD44A4">
        <w:rPr>
          <w:rFonts w:asciiTheme="minorHAnsi" w:hAnsiTheme="minorHAnsi" w:cstheme="minorHAnsi"/>
          <w:bCs/>
          <w:sz w:val="20"/>
          <w:szCs w:val="20"/>
        </w:rPr>
        <w:t>.</w:t>
      </w:r>
    </w:p>
    <w:p w14:paraId="302169DA" w14:textId="77777777" w:rsidR="00F4218A" w:rsidRPr="00A315CB" w:rsidRDefault="00F4218A" w:rsidP="004C031F">
      <w:pPr>
        <w:spacing w:line="264" w:lineRule="auto"/>
        <w:ind w:left="624" w:hanging="624"/>
        <w:jc w:val="both"/>
        <w:rPr>
          <w:rFonts w:asciiTheme="minorHAnsi" w:hAnsiTheme="minorHAnsi" w:cstheme="minorHAnsi"/>
          <w:b/>
        </w:rPr>
      </w:pPr>
    </w:p>
    <w:p w14:paraId="0CE69E46" w14:textId="77777777" w:rsidR="003D3E73" w:rsidRPr="00A315CB" w:rsidRDefault="00F4218A" w:rsidP="004C031F">
      <w:pPr>
        <w:spacing w:line="264" w:lineRule="auto"/>
        <w:jc w:val="both"/>
        <w:rPr>
          <w:rFonts w:asciiTheme="minorHAnsi" w:hAnsiTheme="minorHAnsi" w:cstheme="minorHAnsi"/>
        </w:rPr>
      </w:pPr>
      <w:r w:rsidRPr="00A315CB">
        <w:rPr>
          <w:rFonts w:asciiTheme="minorHAnsi" w:hAnsiTheme="minorHAnsi" w:cstheme="minorHAnsi"/>
        </w:rPr>
        <w:t xml:space="preserve">Výdaje oproti roku 2008 klesly </w:t>
      </w:r>
      <w:r w:rsidR="002F604F" w:rsidRPr="00A315CB">
        <w:rPr>
          <w:rFonts w:asciiTheme="minorHAnsi" w:hAnsiTheme="minorHAnsi" w:cstheme="minorHAnsi"/>
        </w:rPr>
        <w:t>v roce 2009 o</w:t>
      </w:r>
      <w:r w:rsidR="00DB2620" w:rsidRPr="00A315CB">
        <w:rPr>
          <w:rFonts w:asciiTheme="minorHAnsi" w:hAnsiTheme="minorHAnsi" w:cstheme="minorHAnsi"/>
        </w:rPr>
        <w:t xml:space="preserve"> </w:t>
      </w:r>
      <w:r w:rsidRPr="00A315CB">
        <w:rPr>
          <w:rFonts w:asciiTheme="minorHAnsi" w:hAnsiTheme="minorHAnsi" w:cstheme="minorHAnsi"/>
        </w:rPr>
        <w:t xml:space="preserve">38 % </w:t>
      </w:r>
      <w:r w:rsidR="003D3E73" w:rsidRPr="00A315CB">
        <w:rPr>
          <w:rFonts w:asciiTheme="minorHAnsi" w:hAnsiTheme="minorHAnsi" w:cstheme="minorHAnsi"/>
        </w:rPr>
        <w:t xml:space="preserve">a </w:t>
      </w:r>
      <w:r w:rsidRPr="00A315CB">
        <w:rPr>
          <w:rFonts w:asciiTheme="minorHAnsi" w:hAnsiTheme="minorHAnsi" w:cstheme="minorHAnsi"/>
        </w:rPr>
        <w:t>v</w:t>
      </w:r>
      <w:r w:rsidR="00DB2620" w:rsidRPr="00A315CB">
        <w:rPr>
          <w:rFonts w:asciiTheme="minorHAnsi" w:hAnsiTheme="minorHAnsi" w:cstheme="minorHAnsi"/>
        </w:rPr>
        <w:t xml:space="preserve"> </w:t>
      </w:r>
      <w:r w:rsidRPr="00A315CB">
        <w:rPr>
          <w:rFonts w:asciiTheme="minorHAnsi" w:hAnsiTheme="minorHAnsi" w:cstheme="minorHAnsi"/>
        </w:rPr>
        <w:t>roce 2010 dokonce o 75 %.</w:t>
      </w:r>
      <w:r w:rsidR="003D3E73" w:rsidRPr="00A315CB">
        <w:rPr>
          <w:rFonts w:asciiTheme="minorHAnsi" w:hAnsiTheme="minorHAnsi" w:cstheme="minorHAnsi"/>
        </w:rPr>
        <w:t xml:space="preserve"> Výdaje v letech 2003 až 2008 činily celkem 15</w:t>
      </w:r>
      <w:r w:rsidR="00DB2620" w:rsidRPr="00A315CB">
        <w:rPr>
          <w:rFonts w:asciiTheme="minorHAnsi" w:hAnsiTheme="minorHAnsi" w:cstheme="minorHAnsi"/>
        </w:rPr>
        <w:t xml:space="preserve"> </w:t>
      </w:r>
      <w:r w:rsidR="003D3E73" w:rsidRPr="00A315CB">
        <w:rPr>
          <w:rFonts w:asciiTheme="minorHAnsi" w:hAnsiTheme="minorHAnsi" w:cstheme="minorHAnsi"/>
        </w:rPr>
        <w:t>956,0 mil. Kč, tj. průměrně 2</w:t>
      </w:r>
      <w:r w:rsidR="00DB2620" w:rsidRPr="00A315CB">
        <w:rPr>
          <w:rFonts w:asciiTheme="minorHAnsi" w:hAnsiTheme="minorHAnsi" w:cstheme="minorHAnsi"/>
        </w:rPr>
        <w:t xml:space="preserve"> </w:t>
      </w:r>
      <w:r w:rsidR="003D3E73" w:rsidRPr="00A315CB">
        <w:rPr>
          <w:rFonts w:asciiTheme="minorHAnsi" w:hAnsiTheme="minorHAnsi" w:cstheme="minorHAnsi"/>
        </w:rPr>
        <w:t xml:space="preserve">659,3 mil. Kč ročně. V letech 2009 až 2014 </w:t>
      </w:r>
      <w:r w:rsidR="0001248D" w:rsidRPr="00A315CB">
        <w:rPr>
          <w:rFonts w:asciiTheme="minorHAnsi" w:hAnsiTheme="minorHAnsi" w:cstheme="minorHAnsi"/>
        </w:rPr>
        <w:t xml:space="preserve">výdaje </w:t>
      </w:r>
      <w:r w:rsidR="003D3E73" w:rsidRPr="00A315CB">
        <w:rPr>
          <w:rFonts w:asciiTheme="minorHAnsi" w:hAnsiTheme="minorHAnsi" w:cstheme="minorHAnsi"/>
        </w:rPr>
        <w:t>činily 4</w:t>
      </w:r>
      <w:r w:rsidR="00DB2620" w:rsidRPr="00A315CB">
        <w:rPr>
          <w:rFonts w:asciiTheme="minorHAnsi" w:hAnsiTheme="minorHAnsi" w:cstheme="minorHAnsi"/>
        </w:rPr>
        <w:t xml:space="preserve"> </w:t>
      </w:r>
      <w:r w:rsidR="003D3E73" w:rsidRPr="00A315CB">
        <w:rPr>
          <w:rFonts w:asciiTheme="minorHAnsi" w:hAnsiTheme="minorHAnsi" w:cstheme="minorHAnsi"/>
        </w:rPr>
        <w:t>234,0 mil. Kč, tj. průměr</w:t>
      </w:r>
      <w:r w:rsidR="0001248D" w:rsidRPr="00A315CB">
        <w:rPr>
          <w:rFonts w:asciiTheme="minorHAnsi" w:hAnsiTheme="minorHAnsi" w:cstheme="minorHAnsi"/>
        </w:rPr>
        <w:t>ně 705,7 mil. Kč ročně, což odpovídá</w:t>
      </w:r>
      <w:r w:rsidR="003D3E73" w:rsidRPr="00A315CB">
        <w:rPr>
          <w:rFonts w:asciiTheme="minorHAnsi" w:hAnsiTheme="minorHAnsi" w:cstheme="minorHAnsi"/>
        </w:rPr>
        <w:t xml:space="preserve"> pouze 26,5</w:t>
      </w:r>
      <w:r w:rsidR="00BD4F0D" w:rsidRPr="00A315CB">
        <w:rPr>
          <w:rFonts w:asciiTheme="minorHAnsi" w:hAnsiTheme="minorHAnsi" w:cstheme="minorHAnsi"/>
        </w:rPr>
        <w:t xml:space="preserve"> </w:t>
      </w:r>
      <w:r w:rsidR="003D3E73" w:rsidRPr="00A315CB">
        <w:rPr>
          <w:rFonts w:asciiTheme="minorHAnsi" w:hAnsiTheme="minorHAnsi" w:cstheme="minorHAnsi"/>
        </w:rPr>
        <w:t xml:space="preserve">% předchozího srovnávaného období. </w:t>
      </w:r>
    </w:p>
    <w:p w14:paraId="0652A140" w14:textId="77777777" w:rsidR="004F6FC2" w:rsidRPr="00A315CB" w:rsidRDefault="004F6FC2" w:rsidP="004C031F">
      <w:pPr>
        <w:spacing w:line="264" w:lineRule="auto"/>
        <w:jc w:val="both"/>
        <w:rPr>
          <w:rFonts w:asciiTheme="minorHAnsi" w:hAnsiTheme="minorHAnsi" w:cstheme="minorHAnsi"/>
          <w:b/>
        </w:rPr>
      </w:pPr>
    </w:p>
    <w:p w14:paraId="2B00C21C" w14:textId="77777777" w:rsidR="00D16671" w:rsidRDefault="00D16671" w:rsidP="004C031F">
      <w:pPr>
        <w:spacing w:line="264" w:lineRule="auto"/>
        <w:ind w:left="624" w:hanging="624"/>
        <w:jc w:val="both"/>
        <w:rPr>
          <w:rFonts w:asciiTheme="minorHAnsi" w:hAnsiTheme="minorHAnsi" w:cstheme="minorHAnsi"/>
          <w:b/>
        </w:rPr>
      </w:pPr>
      <w:r w:rsidRPr="00A315CB">
        <w:rPr>
          <w:rFonts w:asciiTheme="minorHAnsi" w:hAnsiTheme="minorHAnsi" w:cstheme="minorHAnsi"/>
          <w:b/>
        </w:rPr>
        <w:t>Podrobnosti a příklady ke zjištěním v části II.2</w:t>
      </w:r>
    </w:p>
    <w:p w14:paraId="572365F1" w14:textId="77777777" w:rsidR="00A55E20" w:rsidRPr="00A315CB" w:rsidRDefault="00A55E20" w:rsidP="004C031F">
      <w:pPr>
        <w:spacing w:line="264" w:lineRule="auto"/>
        <w:ind w:left="624" w:hanging="624"/>
        <w:jc w:val="both"/>
        <w:rPr>
          <w:rFonts w:asciiTheme="minorHAnsi" w:hAnsiTheme="minorHAnsi" w:cstheme="minorHAnsi"/>
          <w:b/>
        </w:rPr>
      </w:pPr>
    </w:p>
    <w:p w14:paraId="040AAA1E" w14:textId="30A48A3A" w:rsidR="005B3B25" w:rsidRDefault="00551F12" w:rsidP="004C031F">
      <w:pPr>
        <w:spacing w:line="264" w:lineRule="auto"/>
        <w:jc w:val="both"/>
        <w:rPr>
          <w:rFonts w:asciiTheme="minorHAnsi" w:hAnsiTheme="minorHAnsi" w:cstheme="minorHAnsi"/>
        </w:rPr>
      </w:pPr>
      <w:r w:rsidRPr="00A315CB">
        <w:rPr>
          <w:rFonts w:asciiTheme="minorHAnsi" w:hAnsiTheme="minorHAnsi" w:cstheme="minorHAnsi"/>
          <w:b/>
        </w:rPr>
        <w:t>a)</w:t>
      </w:r>
      <w:r w:rsidRPr="00A315CB">
        <w:rPr>
          <w:rFonts w:asciiTheme="minorHAnsi" w:hAnsiTheme="minorHAnsi" w:cstheme="minorHAnsi"/>
        </w:rPr>
        <w:t xml:space="preserve"> </w:t>
      </w:r>
      <w:r w:rsidRPr="00A315CB">
        <w:rPr>
          <w:rFonts w:asciiTheme="minorHAnsi" w:hAnsiTheme="minorHAnsi" w:cstheme="minorHAnsi"/>
          <w:b/>
        </w:rPr>
        <w:t>Program 136</w:t>
      </w:r>
      <w:r w:rsidR="00DB2620" w:rsidRPr="00A315CB">
        <w:rPr>
          <w:rFonts w:asciiTheme="minorHAnsi" w:hAnsiTheme="minorHAnsi" w:cstheme="minorHAnsi"/>
          <w:b/>
        </w:rPr>
        <w:t xml:space="preserve"> </w:t>
      </w:r>
      <w:r w:rsidRPr="00A315CB">
        <w:rPr>
          <w:rFonts w:asciiTheme="minorHAnsi" w:hAnsiTheme="minorHAnsi" w:cstheme="minorHAnsi"/>
          <w:b/>
        </w:rPr>
        <w:t>010</w:t>
      </w:r>
      <w:r w:rsidRPr="00A315CB">
        <w:rPr>
          <w:rFonts w:asciiTheme="minorHAnsi" w:hAnsiTheme="minorHAnsi" w:cstheme="minorHAnsi"/>
        </w:rPr>
        <w:t xml:space="preserve"> byl zahájen v</w:t>
      </w:r>
      <w:r w:rsidR="00DB2620" w:rsidRPr="00A315CB">
        <w:rPr>
          <w:rFonts w:asciiTheme="minorHAnsi" w:hAnsiTheme="minorHAnsi" w:cstheme="minorHAnsi"/>
        </w:rPr>
        <w:t xml:space="preserve"> </w:t>
      </w:r>
      <w:r w:rsidRPr="00A315CB">
        <w:rPr>
          <w:rFonts w:asciiTheme="minorHAnsi" w:hAnsiTheme="minorHAnsi" w:cstheme="minorHAnsi"/>
        </w:rPr>
        <w:t>roce 2008 s</w:t>
      </w:r>
      <w:r w:rsidR="00DB2620" w:rsidRPr="00A315CB">
        <w:rPr>
          <w:rFonts w:asciiTheme="minorHAnsi" w:hAnsiTheme="minorHAnsi" w:cstheme="minorHAnsi"/>
        </w:rPr>
        <w:t xml:space="preserve"> </w:t>
      </w:r>
      <w:r w:rsidRPr="00A315CB">
        <w:rPr>
          <w:rFonts w:asciiTheme="minorHAnsi" w:hAnsiTheme="minorHAnsi" w:cstheme="minorHAnsi"/>
        </w:rPr>
        <w:t>předpokládaným ukončením v</w:t>
      </w:r>
      <w:r w:rsidR="00DB2620" w:rsidRPr="00A315CB">
        <w:rPr>
          <w:rFonts w:asciiTheme="minorHAnsi" w:hAnsiTheme="minorHAnsi" w:cstheme="minorHAnsi"/>
        </w:rPr>
        <w:t xml:space="preserve"> </w:t>
      </w:r>
      <w:r w:rsidRPr="00A315CB">
        <w:rPr>
          <w:rFonts w:asciiTheme="minorHAnsi" w:hAnsiTheme="minorHAnsi" w:cstheme="minorHAnsi"/>
        </w:rPr>
        <w:t>roce 2013 a</w:t>
      </w:r>
      <w:r w:rsidR="00DB2620" w:rsidRPr="00A315CB">
        <w:rPr>
          <w:rFonts w:asciiTheme="minorHAnsi" w:hAnsiTheme="minorHAnsi" w:cstheme="minorHAnsi"/>
        </w:rPr>
        <w:t xml:space="preserve"> </w:t>
      </w:r>
      <w:r w:rsidR="00927CAA" w:rsidRPr="00A315CB">
        <w:rPr>
          <w:rFonts w:asciiTheme="minorHAnsi" w:hAnsiTheme="minorHAnsi" w:cstheme="minorHAnsi"/>
        </w:rPr>
        <w:t>s</w:t>
      </w:r>
      <w:r w:rsidR="001410DB" w:rsidRPr="00A315CB">
        <w:rPr>
          <w:rFonts w:asciiTheme="minorHAnsi" w:hAnsiTheme="minorHAnsi" w:cstheme="minorHAnsi"/>
        </w:rPr>
        <w:t>e</w:t>
      </w:r>
      <w:r w:rsidR="00DB2620" w:rsidRPr="00A315CB">
        <w:rPr>
          <w:rFonts w:asciiTheme="minorHAnsi" w:hAnsiTheme="minorHAnsi" w:cstheme="minorHAnsi"/>
        </w:rPr>
        <w:t xml:space="preserve"> </w:t>
      </w:r>
      <w:r w:rsidR="001410DB" w:rsidRPr="00A315CB">
        <w:rPr>
          <w:rFonts w:asciiTheme="minorHAnsi" w:hAnsiTheme="minorHAnsi" w:cstheme="minorHAnsi"/>
        </w:rPr>
        <w:t xml:space="preserve">stanovenými </w:t>
      </w:r>
      <w:r w:rsidR="00927CAA" w:rsidRPr="00A315CB">
        <w:rPr>
          <w:rFonts w:asciiTheme="minorHAnsi" w:hAnsiTheme="minorHAnsi" w:cstheme="minorHAnsi"/>
        </w:rPr>
        <w:t>výdaji</w:t>
      </w:r>
      <w:r w:rsidR="003D0D59">
        <w:rPr>
          <w:rFonts w:asciiTheme="minorHAnsi" w:hAnsiTheme="minorHAnsi" w:cstheme="minorHAnsi"/>
        </w:rPr>
        <w:t xml:space="preserve"> ve výši</w:t>
      </w:r>
      <w:r w:rsidR="00927CAA" w:rsidRPr="00A315CB">
        <w:rPr>
          <w:rFonts w:asciiTheme="minorHAnsi" w:hAnsiTheme="minorHAnsi" w:cstheme="minorHAnsi"/>
        </w:rPr>
        <w:t xml:space="preserve"> </w:t>
      </w:r>
      <w:r w:rsidRPr="00A315CB">
        <w:rPr>
          <w:rFonts w:asciiTheme="minorHAnsi" w:hAnsiTheme="minorHAnsi" w:cstheme="minorHAnsi"/>
        </w:rPr>
        <w:t>4</w:t>
      </w:r>
      <w:r w:rsidR="00DB2620" w:rsidRPr="00A315CB">
        <w:rPr>
          <w:rFonts w:asciiTheme="minorHAnsi" w:hAnsiTheme="minorHAnsi" w:cstheme="minorHAnsi"/>
        </w:rPr>
        <w:t xml:space="preserve"> </w:t>
      </w:r>
      <w:r w:rsidRPr="00A315CB">
        <w:rPr>
          <w:rFonts w:asciiTheme="minorHAnsi" w:hAnsiTheme="minorHAnsi" w:cstheme="minorHAnsi"/>
        </w:rPr>
        <w:t>938,6 mil. Kč. Do doby uko</w:t>
      </w:r>
      <w:r w:rsidR="00927CAA" w:rsidRPr="00A315CB">
        <w:rPr>
          <w:rFonts w:asciiTheme="minorHAnsi" w:hAnsiTheme="minorHAnsi" w:cstheme="minorHAnsi"/>
        </w:rPr>
        <w:t>nčení kontroly MSp požadovalo a</w:t>
      </w:r>
      <w:r w:rsidR="00DB2620" w:rsidRPr="00A315CB">
        <w:rPr>
          <w:rFonts w:asciiTheme="minorHAnsi" w:hAnsiTheme="minorHAnsi" w:cstheme="minorHAnsi"/>
        </w:rPr>
        <w:t xml:space="preserve"> </w:t>
      </w:r>
      <w:r w:rsidRPr="00A315CB">
        <w:rPr>
          <w:rFonts w:asciiTheme="minorHAnsi" w:hAnsiTheme="minorHAnsi" w:cstheme="minorHAnsi"/>
        </w:rPr>
        <w:t>MF schválilo čtyři změny dokumentace programu, kterými byl</w:t>
      </w:r>
      <w:r w:rsidR="001410DB" w:rsidRPr="00A315CB">
        <w:rPr>
          <w:rFonts w:asciiTheme="minorHAnsi" w:hAnsiTheme="minorHAnsi" w:cstheme="minorHAnsi"/>
        </w:rPr>
        <w:t xml:space="preserve">a realizace </w:t>
      </w:r>
      <w:r w:rsidRPr="00A315CB">
        <w:rPr>
          <w:rFonts w:asciiTheme="minorHAnsi" w:hAnsiTheme="minorHAnsi" w:cstheme="minorHAnsi"/>
        </w:rPr>
        <w:t>program</w:t>
      </w:r>
      <w:r w:rsidR="001410DB" w:rsidRPr="00A315CB">
        <w:rPr>
          <w:rFonts w:asciiTheme="minorHAnsi" w:hAnsiTheme="minorHAnsi" w:cstheme="minorHAnsi"/>
        </w:rPr>
        <w:t>u</w:t>
      </w:r>
      <w:r w:rsidRPr="00A315CB">
        <w:rPr>
          <w:rFonts w:asciiTheme="minorHAnsi" w:hAnsiTheme="minorHAnsi" w:cstheme="minorHAnsi"/>
        </w:rPr>
        <w:t xml:space="preserve"> postupně prodloužen</w:t>
      </w:r>
      <w:r w:rsidR="001410DB" w:rsidRPr="00A315CB">
        <w:rPr>
          <w:rFonts w:asciiTheme="minorHAnsi" w:hAnsiTheme="minorHAnsi" w:cstheme="minorHAnsi"/>
        </w:rPr>
        <w:t xml:space="preserve">a do konce roku 2018 </w:t>
      </w:r>
      <w:r w:rsidRPr="00A315CB">
        <w:rPr>
          <w:rFonts w:asciiTheme="minorHAnsi" w:hAnsiTheme="minorHAnsi" w:cstheme="minorHAnsi"/>
        </w:rPr>
        <w:t xml:space="preserve">a </w:t>
      </w:r>
      <w:r w:rsidR="00927CAA" w:rsidRPr="00A315CB">
        <w:rPr>
          <w:rFonts w:asciiTheme="minorHAnsi" w:hAnsiTheme="minorHAnsi" w:cstheme="minorHAnsi"/>
        </w:rPr>
        <w:t>výdaje sníženy</w:t>
      </w:r>
      <w:r w:rsidRPr="00A315CB">
        <w:rPr>
          <w:rFonts w:asciiTheme="minorHAnsi" w:hAnsiTheme="minorHAnsi" w:cstheme="minorHAnsi"/>
        </w:rPr>
        <w:t xml:space="preserve"> na 2</w:t>
      </w:r>
      <w:r w:rsidR="00DB2620" w:rsidRPr="00A315CB">
        <w:rPr>
          <w:rFonts w:asciiTheme="minorHAnsi" w:hAnsiTheme="minorHAnsi" w:cstheme="minorHAnsi"/>
        </w:rPr>
        <w:t xml:space="preserve"> </w:t>
      </w:r>
      <w:r w:rsidRPr="00A315CB">
        <w:rPr>
          <w:rFonts w:asciiTheme="minorHAnsi" w:hAnsiTheme="minorHAnsi" w:cstheme="minorHAnsi"/>
        </w:rPr>
        <w:t xml:space="preserve">461,2 mil. Kč. </w:t>
      </w:r>
      <w:r w:rsidR="003D0D59" w:rsidRPr="00A315CB">
        <w:rPr>
          <w:rFonts w:asciiTheme="minorHAnsi" w:hAnsiTheme="minorHAnsi" w:cstheme="minorHAnsi"/>
          <w:bCs/>
        </w:rPr>
        <w:t xml:space="preserve">MSp uvedlo </w:t>
      </w:r>
      <w:r w:rsidR="003D0D59">
        <w:rPr>
          <w:rFonts w:asciiTheme="minorHAnsi" w:hAnsiTheme="minorHAnsi" w:cstheme="minorHAnsi"/>
          <w:bCs/>
        </w:rPr>
        <w:t>j</w:t>
      </w:r>
      <w:r w:rsidR="005B3B25" w:rsidRPr="00A315CB">
        <w:rPr>
          <w:rFonts w:asciiTheme="minorHAnsi" w:hAnsiTheme="minorHAnsi" w:cstheme="minorHAnsi"/>
          <w:bCs/>
        </w:rPr>
        <w:t xml:space="preserve">ako důvod prodlužování programu </w:t>
      </w:r>
      <w:r w:rsidR="00605772" w:rsidRPr="00A315CB">
        <w:rPr>
          <w:rFonts w:asciiTheme="minorHAnsi" w:hAnsiTheme="minorHAnsi" w:cstheme="minorHAnsi"/>
          <w:bCs/>
        </w:rPr>
        <w:t>realizaci akcí z</w:t>
      </w:r>
      <w:r w:rsidR="00DB2620" w:rsidRPr="00A315CB">
        <w:rPr>
          <w:rFonts w:asciiTheme="minorHAnsi" w:hAnsiTheme="minorHAnsi" w:cstheme="minorHAnsi"/>
          <w:bCs/>
        </w:rPr>
        <w:t xml:space="preserve"> </w:t>
      </w:r>
      <w:r w:rsidR="00605772" w:rsidRPr="00A315CB">
        <w:rPr>
          <w:rFonts w:asciiTheme="minorHAnsi" w:hAnsiTheme="minorHAnsi" w:cstheme="minorHAnsi"/>
          <w:bCs/>
        </w:rPr>
        <w:t>prostředků EU. Tyto prostředky však byly d</w:t>
      </w:r>
      <w:r w:rsidR="00A0533C" w:rsidRPr="00A315CB">
        <w:rPr>
          <w:rFonts w:asciiTheme="minorHAnsi" w:hAnsiTheme="minorHAnsi" w:cstheme="minorHAnsi"/>
          <w:bCs/>
        </w:rPr>
        <w:t xml:space="preserve">o konce roku 2014 čerpány </w:t>
      </w:r>
      <w:r w:rsidR="00605772" w:rsidRPr="00A315CB">
        <w:rPr>
          <w:rFonts w:asciiTheme="minorHAnsi" w:hAnsiTheme="minorHAnsi" w:cstheme="minorHAnsi"/>
          <w:bCs/>
        </w:rPr>
        <w:t xml:space="preserve">ve výši 155,3 mil. Kč, </w:t>
      </w:r>
      <w:r w:rsidR="003D0D59">
        <w:rPr>
          <w:rFonts w:asciiTheme="minorHAnsi" w:hAnsiTheme="minorHAnsi" w:cstheme="minorHAnsi"/>
          <w:bCs/>
        </w:rPr>
        <w:t>což je</w:t>
      </w:r>
      <w:r w:rsidR="00605772" w:rsidRPr="00A315CB">
        <w:rPr>
          <w:rFonts w:asciiTheme="minorHAnsi" w:hAnsiTheme="minorHAnsi" w:cstheme="minorHAnsi"/>
          <w:bCs/>
        </w:rPr>
        <w:t xml:space="preserve"> </w:t>
      </w:r>
      <w:r w:rsidR="00A0533C" w:rsidRPr="00A315CB">
        <w:rPr>
          <w:rFonts w:asciiTheme="minorHAnsi" w:hAnsiTheme="minorHAnsi" w:cstheme="minorHAnsi"/>
          <w:bCs/>
        </w:rPr>
        <w:t xml:space="preserve">pouze </w:t>
      </w:r>
      <w:r w:rsidR="00605772" w:rsidRPr="00A315CB">
        <w:rPr>
          <w:rFonts w:asciiTheme="minorHAnsi" w:hAnsiTheme="minorHAnsi" w:cstheme="minorHAnsi"/>
          <w:bCs/>
        </w:rPr>
        <w:t>11,7 % vyčerpaných prostředků.</w:t>
      </w:r>
      <w:r w:rsidR="005B3B25" w:rsidRPr="00A315CB">
        <w:rPr>
          <w:rFonts w:asciiTheme="minorHAnsi" w:hAnsiTheme="minorHAnsi" w:cstheme="minorHAnsi"/>
          <w:bCs/>
        </w:rPr>
        <w:t xml:space="preserve"> </w:t>
      </w:r>
      <w:r w:rsidR="005B3B25" w:rsidRPr="00A315CB">
        <w:rPr>
          <w:rFonts w:asciiTheme="minorHAnsi" w:hAnsiTheme="minorHAnsi" w:cstheme="minorHAnsi"/>
        </w:rPr>
        <w:t>V současné době MSp dokonce počítá s</w:t>
      </w:r>
      <w:r w:rsidR="00DB2620" w:rsidRPr="00A315CB">
        <w:rPr>
          <w:rFonts w:asciiTheme="minorHAnsi" w:hAnsiTheme="minorHAnsi" w:cstheme="minorHAnsi"/>
        </w:rPr>
        <w:t xml:space="preserve"> </w:t>
      </w:r>
      <w:r w:rsidR="005B3B25" w:rsidRPr="00A315CB">
        <w:rPr>
          <w:rFonts w:asciiTheme="minorHAnsi" w:hAnsiTheme="minorHAnsi" w:cstheme="minorHAnsi"/>
        </w:rPr>
        <w:t>prodloužením programu až do roku 2021.</w:t>
      </w:r>
    </w:p>
    <w:p w14:paraId="282CF307" w14:textId="77777777" w:rsidR="00A55E20" w:rsidRPr="00A315CB" w:rsidRDefault="00A55E20" w:rsidP="004C031F">
      <w:pPr>
        <w:spacing w:line="264" w:lineRule="auto"/>
        <w:jc w:val="both"/>
        <w:rPr>
          <w:rFonts w:asciiTheme="minorHAnsi" w:hAnsiTheme="minorHAnsi" w:cstheme="minorHAnsi"/>
          <w:bCs/>
        </w:rPr>
      </w:pPr>
    </w:p>
    <w:p w14:paraId="5F741AE0" w14:textId="77777777" w:rsidR="00551F12" w:rsidRDefault="00551F12" w:rsidP="004C031F">
      <w:pPr>
        <w:spacing w:line="264" w:lineRule="auto"/>
        <w:jc w:val="both"/>
        <w:rPr>
          <w:rFonts w:asciiTheme="minorHAnsi" w:hAnsiTheme="minorHAnsi" w:cstheme="minorHAnsi"/>
          <w:bCs/>
        </w:rPr>
      </w:pPr>
      <w:r w:rsidRPr="00A315CB">
        <w:rPr>
          <w:rFonts w:asciiTheme="minorHAnsi" w:hAnsiTheme="minorHAnsi" w:cstheme="minorHAnsi"/>
        </w:rPr>
        <w:t xml:space="preserve">Ve změnách dokumentace se mj. zohledňovalo nízké čerpání. </w:t>
      </w:r>
      <w:r w:rsidR="00927CAA" w:rsidRPr="00A315CB">
        <w:rPr>
          <w:rFonts w:asciiTheme="minorHAnsi" w:hAnsiTheme="minorHAnsi" w:cstheme="minorHAnsi"/>
          <w:bCs/>
        </w:rPr>
        <w:t xml:space="preserve">Podle druhé změny </w:t>
      </w:r>
      <w:r w:rsidRPr="00A315CB">
        <w:rPr>
          <w:rFonts w:asciiTheme="minorHAnsi" w:hAnsiTheme="minorHAnsi" w:cstheme="minorHAnsi"/>
          <w:bCs/>
        </w:rPr>
        <w:t xml:space="preserve">dokumentace </w:t>
      </w:r>
      <w:r w:rsidR="001410DB" w:rsidRPr="00A315CB">
        <w:rPr>
          <w:rFonts w:asciiTheme="minorHAnsi" w:hAnsiTheme="minorHAnsi" w:cstheme="minorHAnsi"/>
          <w:bCs/>
        </w:rPr>
        <w:t>programu mělo být v</w:t>
      </w:r>
      <w:r w:rsidR="00DB2620" w:rsidRPr="00A315CB">
        <w:rPr>
          <w:rFonts w:asciiTheme="minorHAnsi" w:hAnsiTheme="minorHAnsi" w:cstheme="minorHAnsi"/>
          <w:bCs/>
        </w:rPr>
        <w:t xml:space="preserve"> </w:t>
      </w:r>
      <w:r w:rsidR="001410DB" w:rsidRPr="00A315CB">
        <w:rPr>
          <w:rFonts w:asciiTheme="minorHAnsi" w:hAnsiTheme="minorHAnsi" w:cstheme="minorHAnsi"/>
          <w:bCs/>
        </w:rPr>
        <w:t xml:space="preserve">letech 2008 až </w:t>
      </w:r>
      <w:r w:rsidRPr="00A315CB">
        <w:rPr>
          <w:rFonts w:asciiTheme="minorHAnsi" w:hAnsiTheme="minorHAnsi" w:cstheme="minorHAnsi"/>
          <w:bCs/>
        </w:rPr>
        <w:t>2012 v</w:t>
      </w:r>
      <w:r w:rsidR="00DB2620" w:rsidRPr="00A315CB">
        <w:rPr>
          <w:rFonts w:asciiTheme="minorHAnsi" w:hAnsiTheme="minorHAnsi" w:cstheme="minorHAnsi"/>
          <w:bCs/>
        </w:rPr>
        <w:t xml:space="preserve"> </w:t>
      </w:r>
      <w:r w:rsidR="001410DB" w:rsidRPr="00A315CB">
        <w:rPr>
          <w:rFonts w:asciiTheme="minorHAnsi" w:hAnsiTheme="minorHAnsi" w:cstheme="minorHAnsi"/>
          <w:bCs/>
        </w:rPr>
        <w:t xml:space="preserve">rámci </w:t>
      </w:r>
      <w:r w:rsidRPr="00A315CB">
        <w:rPr>
          <w:rFonts w:asciiTheme="minorHAnsi" w:hAnsiTheme="minorHAnsi" w:cstheme="minorHAnsi"/>
          <w:bCs/>
        </w:rPr>
        <w:t>programu v</w:t>
      </w:r>
      <w:r w:rsidR="00927CAA" w:rsidRPr="00A315CB">
        <w:rPr>
          <w:rFonts w:asciiTheme="minorHAnsi" w:hAnsiTheme="minorHAnsi" w:cstheme="minorHAnsi"/>
          <w:bCs/>
        </w:rPr>
        <w:t>yčerpáno 3</w:t>
      </w:r>
      <w:r w:rsidR="00DB2620" w:rsidRPr="00A315CB">
        <w:rPr>
          <w:rFonts w:asciiTheme="minorHAnsi" w:hAnsiTheme="minorHAnsi" w:cstheme="minorHAnsi"/>
          <w:bCs/>
        </w:rPr>
        <w:t> </w:t>
      </w:r>
      <w:r w:rsidR="00927CAA" w:rsidRPr="00A315CB">
        <w:rPr>
          <w:rFonts w:asciiTheme="minorHAnsi" w:hAnsiTheme="minorHAnsi" w:cstheme="minorHAnsi"/>
          <w:bCs/>
        </w:rPr>
        <w:t>395,7</w:t>
      </w:r>
      <w:r w:rsidR="00DB2620" w:rsidRPr="00A315CB">
        <w:rPr>
          <w:rFonts w:asciiTheme="minorHAnsi" w:hAnsiTheme="minorHAnsi" w:cstheme="minorHAnsi"/>
          <w:bCs/>
        </w:rPr>
        <w:t> </w:t>
      </w:r>
      <w:r w:rsidRPr="00A315CB">
        <w:rPr>
          <w:rFonts w:asciiTheme="minorHAnsi" w:hAnsiTheme="minorHAnsi" w:cstheme="minorHAnsi"/>
          <w:bCs/>
        </w:rPr>
        <w:t>mil. Kč. Rozpočet na</w:t>
      </w:r>
      <w:r w:rsidR="00927CAA" w:rsidRPr="00A315CB">
        <w:rPr>
          <w:rFonts w:asciiTheme="minorHAnsi" w:hAnsiTheme="minorHAnsi" w:cstheme="minorHAnsi"/>
          <w:bCs/>
        </w:rPr>
        <w:t xml:space="preserve"> tyto roky činil pouze 1</w:t>
      </w:r>
      <w:r w:rsidR="00DB2620" w:rsidRPr="00A315CB">
        <w:rPr>
          <w:rFonts w:asciiTheme="minorHAnsi" w:hAnsiTheme="minorHAnsi" w:cstheme="minorHAnsi"/>
          <w:bCs/>
        </w:rPr>
        <w:t xml:space="preserve"> </w:t>
      </w:r>
      <w:r w:rsidR="00927CAA" w:rsidRPr="00A315CB">
        <w:rPr>
          <w:rFonts w:asciiTheme="minorHAnsi" w:hAnsiTheme="minorHAnsi" w:cstheme="minorHAnsi"/>
          <w:bCs/>
        </w:rPr>
        <w:t>829,6 mil. Kč a skutečnost 1</w:t>
      </w:r>
      <w:r w:rsidR="00DB2620" w:rsidRPr="00A315CB">
        <w:rPr>
          <w:rFonts w:asciiTheme="minorHAnsi" w:hAnsiTheme="minorHAnsi" w:cstheme="minorHAnsi"/>
          <w:bCs/>
        </w:rPr>
        <w:t xml:space="preserve"> </w:t>
      </w:r>
      <w:r w:rsidR="00927CAA" w:rsidRPr="00A315CB">
        <w:rPr>
          <w:rFonts w:asciiTheme="minorHAnsi" w:hAnsiTheme="minorHAnsi" w:cstheme="minorHAnsi"/>
          <w:bCs/>
        </w:rPr>
        <w:t>022,2 mil. Kč</w:t>
      </w:r>
      <w:r w:rsidRPr="00A315CB">
        <w:rPr>
          <w:rFonts w:asciiTheme="minorHAnsi" w:hAnsiTheme="minorHAnsi" w:cstheme="minorHAnsi"/>
          <w:bCs/>
        </w:rPr>
        <w:t xml:space="preserve">. </w:t>
      </w:r>
      <w:r w:rsidR="00707865" w:rsidRPr="00A315CB">
        <w:rPr>
          <w:rFonts w:asciiTheme="minorHAnsi" w:hAnsiTheme="minorHAnsi" w:cstheme="minorHAnsi"/>
          <w:bCs/>
        </w:rPr>
        <w:t>Nevyužití</w:t>
      </w:r>
      <w:r w:rsidR="00F753E4" w:rsidRPr="00A315CB">
        <w:rPr>
          <w:rFonts w:asciiTheme="minorHAnsi" w:hAnsiTheme="minorHAnsi" w:cstheme="minorHAnsi"/>
          <w:bCs/>
        </w:rPr>
        <w:t xml:space="preserve"> prostředků bylo způsobe</w:t>
      </w:r>
      <w:r w:rsidR="00707865" w:rsidRPr="00A315CB">
        <w:rPr>
          <w:rFonts w:asciiTheme="minorHAnsi" w:hAnsiTheme="minorHAnsi" w:cstheme="minorHAnsi"/>
          <w:bCs/>
        </w:rPr>
        <w:t>no zpožděným čerpáním prostředků</w:t>
      </w:r>
      <w:r w:rsidR="00F753E4" w:rsidRPr="00A315CB">
        <w:rPr>
          <w:rFonts w:asciiTheme="minorHAnsi" w:hAnsiTheme="minorHAnsi" w:cstheme="minorHAnsi"/>
          <w:bCs/>
        </w:rPr>
        <w:t xml:space="preserve"> EU a posunem realizace některých akcí. </w:t>
      </w:r>
      <w:r w:rsidR="00927CAA" w:rsidRPr="00A315CB">
        <w:rPr>
          <w:rFonts w:asciiTheme="minorHAnsi" w:hAnsiTheme="minorHAnsi" w:cstheme="minorHAnsi"/>
          <w:bCs/>
        </w:rPr>
        <w:t>Čerpání se nezvýšilo ani v</w:t>
      </w:r>
      <w:r w:rsidR="00DB2620" w:rsidRPr="00A315CB">
        <w:rPr>
          <w:rFonts w:asciiTheme="minorHAnsi" w:hAnsiTheme="minorHAnsi" w:cstheme="minorHAnsi"/>
          <w:bCs/>
        </w:rPr>
        <w:t xml:space="preserve"> </w:t>
      </w:r>
      <w:r w:rsidR="00927CAA" w:rsidRPr="00A315CB">
        <w:rPr>
          <w:rFonts w:asciiTheme="minorHAnsi" w:hAnsiTheme="minorHAnsi" w:cstheme="minorHAnsi"/>
          <w:bCs/>
        </w:rPr>
        <w:t>dalších letech.</w:t>
      </w:r>
      <w:r w:rsidRPr="00A315CB">
        <w:rPr>
          <w:rFonts w:asciiTheme="minorHAnsi" w:hAnsiTheme="minorHAnsi" w:cstheme="minorHAnsi"/>
          <w:bCs/>
        </w:rPr>
        <w:t xml:space="preserve"> </w:t>
      </w:r>
      <w:r w:rsidR="00927CAA" w:rsidRPr="00A315CB">
        <w:rPr>
          <w:rFonts w:asciiTheme="minorHAnsi" w:hAnsiTheme="minorHAnsi" w:cstheme="minorHAnsi"/>
          <w:bCs/>
        </w:rPr>
        <w:t xml:space="preserve">Podle třetí změny dokumentace programu mělo být v letech 2013 a 2014 čerpáno 412,0 mil. Kč, </w:t>
      </w:r>
      <w:r w:rsidR="00A11C3C" w:rsidRPr="00A315CB">
        <w:rPr>
          <w:rFonts w:asciiTheme="minorHAnsi" w:hAnsiTheme="minorHAnsi" w:cstheme="minorHAnsi"/>
          <w:bCs/>
        </w:rPr>
        <w:t xml:space="preserve">ale skutečnost </w:t>
      </w:r>
      <w:r w:rsidR="00927CAA" w:rsidRPr="00A315CB">
        <w:rPr>
          <w:rFonts w:asciiTheme="minorHAnsi" w:hAnsiTheme="minorHAnsi" w:cstheme="minorHAnsi"/>
          <w:bCs/>
        </w:rPr>
        <w:t xml:space="preserve">byla pouze 302,6 mil. Kč. </w:t>
      </w:r>
      <w:r w:rsidR="00A11C3C" w:rsidRPr="00A315CB">
        <w:rPr>
          <w:rFonts w:asciiTheme="minorHAnsi" w:hAnsiTheme="minorHAnsi" w:cstheme="minorHAnsi"/>
          <w:bCs/>
        </w:rPr>
        <w:t>Hlavním důvodem bylo neuskutečnění veřejné zakázky ve výši 80,0</w:t>
      </w:r>
      <w:r w:rsidR="00C113D6">
        <w:rPr>
          <w:rFonts w:asciiTheme="minorHAnsi" w:hAnsiTheme="minorHAnsi" w:cstheme="minorHAnsi"/>
          <w:bCs/>
        </w:rPr>
        <w:t> </w:t>
      </w:r>
      <w:r w:rsidR="00A11C3C" w:rsidRPr="00A315CB">
        <w:rPr>
          <w:rFonts w:asciiTheme="minorHAnsi" w:hAnsiTheme="minorHAnsi" w:cstheme="minorHAnsi"/>
          <w:bCs/>
        </w:rPr>
        <w:t xml:space="preserve">mil. Kč na pořízení elektronického monitorovacího systému pro trestní justici. </w:t>
      </w:r>
    </w:p>
    <w:p w14:paraId="0437DA39" w14:textId="77777777" w:rsidR="00A55E20" w:rsidRPr="00A315CB" w:rsidRDefault="00A55E20" w:rsidP="004C031F">
      <w:pPr>
        <w:spacing w:line="264" w:lineRule="auto"/>
        <w:jc w:val="both"/>
        <w:rPr>
          <w:rFonts w:asciiTheme="minorHAnsi" w:hAnsiTheme="minorHAnsi" w:cstheme="minorHAnsi"/>
          <w:bCs/>
        </w:rPr>
      </w:pPr>
    </w:p>
    <w:p w14:paraId="6DBB5DD3" w14:textId="31F89129" w:rsidR="007B695D" w:rsidRDefault="00E27702" w:rsidP="004C031F">
      <w:pPr>
        <w:spacing w:line="264" w:lineRule="auto"/>
        <w:jc w:val="both"/>
        <w:rPr>
          <w:rFonts w:asciiTheme="minorHAnsi" w:hAnsiTheme="minorHAnsi" w:cstheme="minorHAnsi"/>
          <w:bCs/>
        </w:rPr>
      </w:pPr>
      <w:r w:rsidRPr="00A315CB">
        <w:rPr>
          <w:rFonts w:asciiTheme="minorHAnsi" w:hAnsiTheme="minorHAnsi" w:cstheme="minorHAnsi"/>
          <w:b/>
          <w:bCs/>
        </w:rPr>
        <w:t>b)</w:t>
      </w:r>
      <w:r w:rsidRPr="00A315CB">
        <w:rPr>
          <w:rFonts w:asciiTheme="minorHAnsi" w:hAnsiTheme="minorHAnsi" w:cstheme="minorHAnsi"/>
          <w:bCs/>
        </w:rPr>
        <w:t xml:space="preserve"> </w:t>
      </w:r>
      <w:r w:rsidRPr="00A315CB">
        <w:rPr>
          <w:rFonts w:asciiTheme="minorHAnsi" w:hAnsiTheme="minorHAnsi" w:cstheme="minorHAnsi"/>
          <w:b/>
          <w:bCs/>
        </w:rPr>
        <w:t>Program 136</w:t>
      </w:r>
      <w:r w:rsidR="00DB2620" w:rsidRPr="00A315CB">
        <w:rPr>
          <w:rFonts w:asciiTheme="minorHAnsi" w:hAnsiTheme="minorHAnsi" w:cstheme="minorHAnsi"/>
          <w:b/>
          <w:bCs/>
        </w:rPr>
        <w:t xml:space="preserve"> </w:t>
      </w:r>
      <w:r w:rsidRPr="00A315CB">
        <w:rPr>
          <w:rFonts w:asciiTheme="minorHAnsi" w:hAnsiTheme="minorHAnsi" w:cstheme="minorHAnsi"/>
          <w:b/>
          <w:bCs/>
        </w:rPr>
        <w:t>110</w:t>
      </w:r>
      <w:r w:rsidRPr="00A315CB">
        <w:rPr>
          <w:rFonts w:asciiTheme="minorHAnsi" w:hAnsiTheme="minorHAnsi" w:cstheme="minorHAnsi"/>
          <w:bCs/>
        </w:rPr>
        <w:t xml:space="preserve"> byl zahájen v</w:t>
      </w:r>
      <w:r w:rsidR="00DB2620" w:rsidRPr="00A315CB">
        <w:rPr>
          <w:rFonts w:asciiTheme="minorHAnsi" w:hAnsiTheme="minorHAnsi" w:cstheme="minorHAnsi"/>
          <w:bCs/>
        </w:rPr>
        <w:t xml:space="preserve"> </w:t>
      </w:r>
      <w:r w:rsidRPr="00A315CB">
        <w:rPr>
          <w:rFonts w:asciiTheme="minorHAnsi" w:hAnsiTheme="minorHAnsi" w:cstheme="minorHAnsi"/>
          <w:bCs/>
        </w:rPr>
        <w:t>roce 2009 s</w:t>
      </w:r>
      <w:r w:rsidR="00DB2620" w:rsidRPr="00A315CB">
        <w:rPr>
          <w:rFonts w:asciiTheme="minorHAnsi" w:hAnsiTheme="minorHAnsi" w:cstheme="minorHAnsi"/>
          <w:bCs/>
        </w:rPr>
        <w:t xml:space="preserve"> </w:t>
      </w:r>
      <w:r w:rsidRPr="00A315CB">
        <w:rPr>
          <w:rFonts w:asciiTheme="minorHAnsi" w:hAnsiTheme="minorHAnsi" w:cstheme="minorHAnsi"/>
          <w:bCs/>
        </w:rPr>
        <w:t>předpokládaným ukončením v</w:t>
      </w:r>
      <w:r w:rsidR="00DB2620" w:rsidRPr="00A315CB">
        <w:rPr>
          <w:rFonts w:asciiTheme="minorHAnsi" w:hAnsiTheme="minorHAnsi" w:cstheme="minorHAnsi"/>
          <w:bCs/>
        </w:rPr>
        <w:t xml:space="preserve"> </w:t>
      </w:r>
      <w:r w:rsidRPr="00A315CB">
        <w:rPr>
          <w:rFonts w:asciiTheme="minorHAnsi" w:hAnsiTheme="minorHAnsi" w:cstheme="minorHAnsi"/>
          <w:bCs/>
        </w:rPr>
        <w:t>roce 2013 a s výdaji ve výši 1</w:t>
      </w:r>
      <w:r w:rsidR="00DB2620" w:rsidRPr="00A315CB">
        <w:rPr>
          <w:rFonts w:asciiTheme="minorHAnsi" w:hAnsiTheme="minorHAnsi" w:cstheme="minorHAnsi"/>
          <w:bCs/>
        </w:rPr>
        <w:t xml:space="preserve"> </w:t>
      </w:r>
      <w:r w:rsidRPr="00A315CB">
        <w:rPr>
          <w:rFonts w:asciiTheme="minorHAnsi" w:hAnsiTheme="minorHAnsi" w:cstheme="minorHAnsi"/>
          <w:bCs/>
        </w:rPr>
        <w:t>987,1 mil. Kč. Do doby ukončení kontroly MSp požadovalo a MF schválilo dvě změny dokumentace programu. V</w:t>
      </w:r>
      <w:r w:rsidR="00DB2620" w:rsidRPr="00A315CB">
        <w:rPr>
          <w:rFonts w:asciiTheme="minorHAnsi" w:hAnsiTheme="minorHAnsi" w:cstheme="minorHAnsi"/>
          <w:bCs/>
        </w:rPr>
        <w:t xml:space="preserve"> </w:t>
      </w:r>
      <w:r w:rsidRPr="00A315CB">
        <w:rPr>
          <w:rFonts w:asciiTheme="minorHAnsi" w:hAnsiTheme="minorHAnsi" w:cstheme="minorHAnsi"/>
          <w:bCs/>
        </w:rPr>
        <w:t xml:space="preserve">první změně </w:t>
      </w:r>
      <w:r w:rsidR="0068092F">
        <w:rPr>
          <w:rFonts w:asciiTheme="minorHAnsi" w:hAnsiTheme="minorHAnsi" w:cstheme="minorHAnsi"/>
          <w:bCs/>
        </w:rPr>
        <w:t>z února</w:t>
      </w:r>
      <w:r w:rsidRPr="00A315CB">
        <w:rPr>
          <w:rFonts w:asciiTheme="minorHAnsi" w:hAnsiTheme="minorHAnsi" w:cstheme="minorHAnsi"/>
          <w:bCs/>
        </w:rPr>
        <w:t xml:space="preserve"> 2013 byly výdaje sníženy na 1 759,6 mil. Kč a program byl prodloužen o dva roky do roku 2015. V</w:t>
      </w:r>
      <w:r w:rsidR="00DB2620" w:rsidRPr="00A315CB">
        <w:rPr>
          <w:rFonts w:asciiTheme="minorHAnsi" w:hAnsiTheme="minorHAnsi" w:cstheme="minorHAnsi"/>
          <w:bCs/>
        </w:rPr>
        <w:t xml:space="preserve"> </w:t>
      </w:r>
      <w:r w:rsidRPr="00A315CB">
        <w:rPr>
          <w:rFonts w:asciiTheme="minorHAnsi" w:hAnsiTheme="minorHAnsi" w:cstheme="minorHAnsi"/>
          <w:bCs/>
        </w:rPr>
        <w:t>této úpr</w:t>
      </w:r>
      <w:r w:rsidR="007B695D" w:rsidRPr="00A315CB">
        <w:rPr>
          <w:rFonts w:asciiTheme="minorHAnsi" w:hAnsiTheme="minorHAnsi" w:cstheme="minorHAnsi"/>
          <w:bCs/>
        </w:rPr>
        <w:t>avě MSp zohlednilo nižší uvolňování</w:t>
      </w:r>
      <w:r w:rsidRPr="00A315CB">
        <w:rPr>
          <w:rFonts w:asciiTheme="minorHAnsi" w:hAnsiTheme="minorHAnsi" w:cstheme="minorHAnsi"/>
          <w:bCs/>
        </w:rPr>
        <w:t xml:space="preserve"> prostředků oproti předpokladu</w:t>
      </w:r>
      <w:r w:rsidR="007B695D" w:rsidRPr="00A315CB">
        <w:rPr>
          <w:rFonts w:asciiTheme="minorHAnsi" w:hAnsiTheme="minorHAnsi" w:cstheme="minorHAnsi"/>
          <w:bCs/>
        </w:rPr>
        <w:t>. D</w:t>
      </w:r>
      <w:r w:rsidR="002E7F49" w:rsidRPr="00A315CB">
        <w:rPr>
          <w:rFonts w:asciiTheme="minorHAnsi" w:hAnsiTheme="minorHAnsi" w:cstheme="minorHAnsi"/>
          <w:bCs/>
        </w:rPr>
        <w:t>o konce</w:t>
      </w:r>
      <w:r w:rsidR="007B695D" w:rsidRPr="00A315CB">
        <w:rPr>
          <w:rFonts w:asciiTheme="minorHAnsi" w:hAnsiTheme="minorHAnsi" w:cstheme="minorHAnsi"/>
          <w:bCs/>
        </w:rPr>
        <w:t xml:space="preserve"> roku 2012 byla</w:t>
      </w:r>
      <w:r w:rsidR="00F4218A" w:rsidRPr="00A315CB">
        <w:rPr>
          <w:rFonts w:asciiTheme="minorHAnsi" w:hAnsiTheme="minorHAnsi" w:cstheme="minorHAnsi"/>
          <w:bCs/>
        </w:rPr>
        <w:t xml:space="preserve"> </w:t>
      </w:r>
      <w:r w:rsidR="007B695D" w:rsidRPr="00A315CB">
        <w:rPr>
          <w:rFonts w:asciiTheme="minorHAnsi" w:hAnsiTheme="minorHAnsi" w:cstheme="minorHAnsi"/>
          <w:bCs/>
        </w:rPr>
        <w:t>v rozpočtu částka 686,3 mil. Kč</w:t>
      </w:r>
      <w:r w:rsidR="00605772" w:rsidRPr="00A315CB">
        <w:rPr>
          <w:rFonts w:asciiTheme="minorHAnsi" w:hAnsiTheme="minorHAnsi" w:cstheme="minorHAnsi"/>
          <w:bCs/>
        </w:rPr>
        <w:t>, tj.</w:t>
      </w:r>
      <w:r w:rsidR="0001248D" w:rsidRPr="00A315CB">
        <w:rPr>
          <w:rFonts w:asciiTheme="minorHAnsi" w:hAnsiTheme="minorHAnsi" w:cstheme="minorHAnsi"/>
          <w:bCs/>
        </w:rPr>
        <w:t xml:space="preserve"> </w:t>
      </w:r>
      <w:r w:rsidR="007B695D" w:rsidRPr="00A315CB">
        <w:rPr>
          <w:rFonts w:asciiTheme="minorHAnsi" w:hAnsiTheme="minorHAnsi" w:cstheme="minorHAnsi"/>
          <w:bCs/>
        </w:rPr>
        <w:t>45,7</w:t>
      </w:r>
      <w:r w:rsidR="00707865" w:rsidRPr="00A315CB">
        <w:rPr>
          <w:rFonts w:asciiTheme="minorHAnsi" w:hAnsiTheme="minorHAnsi" w:cstheme="minorHAnsi"/>
          <w:bCs/>
        </w:rPr>
        <w:t xml:space="preserve"> </w:t>
      </w:r>
      <w:r w:rsidR="002E7F49" w:rsidRPr="00A315CB">
        <w:rPr>
          <w:rFonts w:asciiTheme="minorHAnsi" w:hAnsiTheme="minorHAnsi" w:cstheme="minorHAnsi"/>
          <w:bCs/>
        </w:rPr>
        <w:t xml:space="preserve">% </w:t>
      </w:r>
      <w:r w:rsidR="0068092F" w:rsidRPr="00A315CB">
        <w:rPr>
          <w:rFonts w:asciiTheme="minorHAnsi" w:hAnsiTheme="minorHAnsi" w:cstheme="minorHAnsi"/>
          <w:bCs/>
        </w:rPr>
        <w:t xml:space="preserve">výdajů </w:t>
      </w:r>
      <w:r w:rsidR="004F6FC2" w:rsidRPr="00A315CB">
        <w:rPr>
          <w:rFonts w:asciiTheme="minorHAnsi" w:hAnsiTheme="minorHAnsi" w:cstheme="minorHAnsi"/>
          <w:bCs/>
        </w:rPr>
        <w:t xml:space="preserve">stanovených </w:t>
      </w:r>
      <w:r w:rsidR="0001248D" w:rsidRPr="00A315CB">
        <w:rPr>
          <w:rFonts w:asciiTheme="minorHAnsi" w:hAnsiTheme="minorHAnsi" w:cstheme="minorHAnsi"/>
          <w:bCs/>
        </w:rPr>
        <w:t xml:space="preserve">podle </w:t>
      </w:r>
      <w:r w:rsidR="007B695D" w:rsidRPr="00A315CB">
        <w:rPr>
          <w:rFonts w:asciiTheme="minorHAnsi" w:hAnsiTheme="minorHAnsi" w:cstheme="minorHAnsi"/>
          <w:bCs/>
        </w:rPr>
        <w:t>dokumentace. Skutečné čerpání bylo 820,6 mil. Kč.</w:t>
      </w:r>
    </w:p>
    <w:p w14:paraId="480B4C6E" w14:textId="77777777" w:rsidR="00A55E20" w:rsidRPr="00A315CB" w:rsidRDefault="00A55E20" w:rsidP="004C031F">
      <w:pPr>
        <w:spacing w:line="264" w:lineRule="auto"/>
        <w:jc w:val="both"/>
        <w:rPr>
          <w:rFonts w:asciiTheme="minorHAnsi" w:hAnsiTheme="minorHAnsi" w:cstheme="minorHAnsi"/>
          <w:bCs/>
        </w:rPr>
      </w:pPr>
    </w:p>
    <w:p w14:paraId="747FFDA3" w14:textId="3203276E" w:rsidR="007B695D" w:rsidRDefault="00E27702" w:rsidP="004C031F">
      <w:pPr>
        <w:spacing w:line="264" w:lineRule="auto"/>
        <w:jc w:val="both"/>
        <w:rPr>
          <w:rFonts w:asciiTheme="minorHAnsi" w:hAnsiTheme="minorHAnsi" w:cstheme="minorHAnsi"/>
          <w:bCs/>
        </w:rPr>
      </w:pPr>
      <w:r w:rsidRPr="00A315CB">
        <w:rPr>
          <w:rFonts w:asciiTheme="minorHAnsi" w:hAnsiTheme="minorHAnsi" w:cstheme="minorHAnsi"/>
          <w:bCs/>
        </w:rPr>
        <w:t>V</w:t>
      </w:r>
      <w:r w:rsidR="00DB2620" w:rsidRPr="00A315CB">
        <w:rPr>
          <w:rFonts w:asciiTheme="minorHAnsi" w:hAnsiTheme="minorHAnsi" w:cstheme="minorHAnsi"/>
          <w:bCs/>
        </w:rPr>
        <w:t xml:space="preserve"> </w:t>
      </w:r>
      <w:r w:rsidRPr="00A315CB">
        <w:rPr>
          <w:rFonts w:asciiTheme="minorHAnsi" w:hAnsiTheme="minorHAnsi" w:cstheme="minorHAnsi"/>
          <w:bCs/>
        </w:rPr>
        <w:t>prosinci 2013 byly druhou změnou výdaje zásadně navýšeny na 3</w:t>
      </w:r>
      <w:r w:rsidR="00DB2620" w:rsidRPr="00A315CB">
        <w:rPr>
          <w:rFonts w:asciiTheme="minorHAnsi" w:hAnsiTheme="minorHAnsi" w:cstheme="minorHAnsi"/>
          <w:bCs/>
        </w:rPr>
        <w:t xml:space="preserve"> </w:t>
      </w:r>
      <w:r w:rsidRPr="00A315CB">
        <w:rPr>
          <w:rFonts w:asciiTheme="minorHAnsi" w:hAnsiTheme="minorHAnsi" w:cstheme="minorHAnsi"/>
          <w:bCs/>
        </w:rPr>
        <w:t xml:space="preserve">593,2 mil. Kč a </w:t>
      </w:r>
      <w:r w:rsidR="00985CFC" w:rsidRPr="00A315CB">
        <w:rPr>
          <w:rFonts w:asciiTheme="minorHAnsi" w:hAnsiTheme="minorHAnsi" w:cstheme="minorHAnsi"/>
          <w:bCs/>
        </w:rPr>
        <w:t xml:space="preserve">doba realizace </w:t>
      </w:r>
      <w:r w:rsidRPr="00A315CB">
        <w:rPr>
          <w:rFonts w:asciiTheme="minorHAnsi" w:hAnsiTheme="minorHAnsi" w:cstheme="minorHAnsi"/>
          <w:bCs/>
        </w:rPr>
        <w:t>program</w:t>
      </w:r>
      <w:r w:rsidR="00985CFC" w:rsidRPr="00A315CB">
        <w:rPr>
          <w:rFonts w:asciiTheme="minorHAnsi" w:hAnsiTheme="minorHAnsi" w:cstheme="minorHAnsi"/>
          <w:bCs/>
        </w:rPr>
        <w:t>u</w:t>
      </w:r>
      <w:r w:rsidRPr="00A315CB">
        <w:rPr>
          <w:rFonts w:asciiTheme="minorHAnsi" w:hAnsiTheme="minorHAnsi" w:cstheme="minorHAnsi"/>
          <w:bCs/>
        </w:rPr>
        <w:t xml:space="preserve"> byl</w:t>
      </w:r>
      <w:r w:rsidR="00985CFC" w:rsidRPr="00A315CB">
        <w:rPr>
          <w:rFonts w:asciiTheme="minorHAnsi" w:hAnsiTheme="minorHAnsi" w:cstheme="minorHAnsi"/>
          <w:bCs/>
        </w:rPr>
        <w:t>a</w:t>
      </w:r>
      <w:r w:rsidRPr="00A315CB">
        <w:rPr>
          <w:rFonts w:asciiTheme="minorHAnsi" w:hAnsiTheme="minorHAnsi" w:cstheme="minorHAnsi"/>
          <w:bCs/>
        </w:rPr>
        <w:t xml:space="preserve"> prodloužen</w:t>
      </w:r>
      <w:r w:rsidR="00985CFC" w:rsidRPr="00A315CB">
        <w:rPr>
          <w:rFonts w:asciiTheme="minorHAnsi" w:hAnsiTheme="minorHAnsi" w:cstheme="minorHAnsi"/>
          <w:bCs/>
        </w:rPr>
        <w:t>a o</w:t>
      </w:r>
      <w:r w:rsidR="00DB2620" w:rsidRPr="00A315CB">
        <w:rPr>
          <w:rFonts w:asciiTheme="minorHAnsi" w:hAnsiTheme="minorHAnsi" w:cstheme="minorHAnsi"/>
          <w:bCs/>
        </w:rPr>
        <w:t xml:space="preserve"> </w:t>
      </w:r>
      <w:r w:rsidRPr="00A315CB">
        <w:rPr>
          <w:rFonts w:asciiTheme="minorHAnsi" w:hAnsiTheme="minorHAnsi" w:cstheme="minorHAnsi"/>
          <w:bCs/>
        </w:rPr>
        <w:t>další tři roky</w:t>
      </w:r>
      <w:r w:rsidR="0068092F">
        <w:rPr>
          <w:rFonts w:asciiTheme="minorHAnsi" w:hAnsiTheme="minorHAnsi" w:cstheme="minorHAnsi"/>
          <w:bCs/>
        </w:rPr>
        <w:t>, tj.</w:t>
      </w:r>
      <w:r w:rsidRPr="00A315CB">
        <w:rPr>
          <w:rFonts w:asciiTheme="minorHAnsi" w:hAnsiTheme="minorHAnsi" w:cstheme="minorHAnsi"/>
          <w:bCs/>
        </w:rPr>
        <w:t xml:space="preserve"> do roku 2018. Čerpání prostředků v</w:t>
      </w:r>
      <w:r w:rsidR="00C113D6">
        <w:rPr>
          <w:rFonts w:asciiTheme="minorHAnsi" w:hAnsiTheme="minorHAnsi" w:cstheme="minorHAnsi"/>
          <w:bCs/>
        </w:rPr>
        <w:t> </w:t>
      </w:r>
      <w:r w:rsidRPr="00A315CB">
        <w:rPr>
          <w:rFonts w:asciiTheme="minorHAnsi" w:hAnsiTheme="minorHAnsi" w:cstheme="minorHAnsi"/>
          <w:bCs/>
        </w:rPr>
        <w:t>letech 201</w:t>
      </w:r>
      <w:r w:rsidR="00985CFC" w:rsidRPr="00A315CB">
        <w:rPr>
          <w:rFonts w:asciiTheme="minorHAnsi" w:hAnsiTheme="minorHAnsi" w:cstheme="minorHAnsi"/>
          <w:bCs/>
        </w:rPr>
        <w:t>3 a 2014 se přitom nezlepšilo</w:t>
      </w:r>
      <w:r w:rsidR="0068092F">
        <w:rPr>
          <w:rFonts w:asciiTheme="minorHAnsi" w:hAnsiTheme="minorHAnsi" w:cstheme="minorHAnsi"/>
          <w:bCs/>
        </w:rPr>
        <w:t>, takže nebyly naplněny</w:t>
      </w:r>
      <w:r w:rsidRPr="00A315CB">
        <w:rPr>
          <w:rFonts w:asciiTheme="minorHAnsi" w:hAnsiTheme="minorHAnsi" w:cstheme="minorHAnsi"/>
          <w:bCs/>
        </w:rPr>
        <w:t xml:space="preserve"> předpoklady </w:t>
      </w:r>
      <w:r w:rsidR="0068092F">
        <w:rPr>
          <w:rFonts w:asciiTheme="minorHAnsi" w:hAnsiTheme="minorHAnsi" w:cstheme="minorHAnsi"/>
          <w:bCs/>
        </w:rPr>
        <w:t>uvedené v </w:t>
      </w:r>
      <w:r w:rsidRPr="00A315CB">
        <w:rPr>
          <w:rFonts w:asciiTheme="minorHAnsi" w:hAnsiTheme="minorHAnsi" w:cstheme="minorHAnsi"/>
          <w:bCs/>
        </w:rPr>
        <w:t>upravené dokumentac</w:t>
      </w:r>
      <w:r w:rsidR="0068092F">
        <w:rPr>
          <w:rFonts w:asciiTheme="minorHAnsi" w:hAnsiTheme="minorHAnsi" w:cstheme="minorHAnsi"/>
          <w:bCs/>
        </w:rPr>
        <w:t>i</w:t>
      </w:r>
      <w:r w:rsidR="002E7F49" w:rsidRPr="00A315CB">
        <w:rPr>
          <w:rFonts w:asciiTheme="minorHAnsi" w:hAnsiTheme="minorHAnsi" w:cstheme="minorHAnsi"/>
          <w:bCs/>
        </w:rPr>
        <w:t xml:space="preserve"> (druhá změna dokumentace předpokládala v</w:t>
      </w:r>
      <w:r w:rsidR="00DB2620" w:rsidRPr="00A315CB">
        <w:rPr>
          <w:rFonts w:asciiTheme="minorHAnsi" w:hAnsiTheme="minorHAnsi" w:cstheme="minorHAnsi"/>
          <w:bCs/>
        </w:rPr>
        <w:t xml:space="preserve"> </w:t>
      </w:r>
      <w:r w:rsidR="007507A8" w:rsidRPr="00A315CB">
        <w:rPr>
          <w:rFonts w:asciiTheme="minorHAnsi" w:hAnsiTheme="minorHAnsi" w:cstheme="minorHAnsi"/>
          <w:bCs/>
        </w:rPr>
        <w:t xml:space="preserve">uvedených letech čerpání </w:t>
      </w:r>
      <w:r w:rsidR="00707865" w:rsidRPr="00A315CB">
        <w:rPr>
          <w:rFonts w:asciiTheme="minorHAnsi" w:hAnsiTheme="minorHAnsi" w:cstheme="minorHAnsi"/>
          <w:bCs/>
        </w:rPr>
        <w:t>897,1</w:t>
      </w:r>
      <w:r w:rsidR="00C113D6">
        <w:rPr>
          <w:rFonts w:asciiTheme="minorHAnsi" w:hAnsiTheme="minorHAnsi" w:cstheme="minorHAnsi"/>
          <w:bCs/>
        </w:rPr>
        <w:t> </w:t>
      </w:r>
      <w:r w:rsidR="002E7F49" w:rsidRPr="00A315CB">
        <w:rPr>
          <w:rFonts w:asciiTheme="minorHAnsi" w:hAnsiTheme="minorHAnsi" w:cstheme="minorHAnsi"/>
          <w:bCs/>
        </w:rPr>
        <w:t>mil. Kč</w:t>
      </w:r>
      <w:r w:rsidR="0068092F">
        <w:rPr>
          <w:rFonts w:asciiTheme="minorHAnsi" w:hAnsiTheme="minorHAnsi" w:cstheme="minorHAnsi"/>
          <w:bCs/>
        </w:rPr>
        <w:t>, zatímco</w:t>
      </w:r>
      <w:r w:rsidR="002E7F49" w:rsidRPr="00A315CB">
        <w:rPr>
          <w:rFonts w:asciiTheme="minorHAnsi" w:hAnsiTheme="minorHAnsi" w:cstheme="minorHAnsi"/>
          <w:bCs/>
        </w:rPr>
        <w:t xml:space="preserve"> skutečnost činila 418,2 mil. Kč)</w:t>
      </w:r>
      <w:r w:rsidRPr="00A315CB">
        <w:rPr>
          <w:rFonts w:asciiTheme="minorHAnsi" w:hAnsiTheme="minorHAnsi" w:cstheme="minorHAnsi"/>
          <w:bCs/>
        </w:rPr>
        <w:t>.</w:t>
      </w:r>
      <w:r w:rsidR="007507A8" w:rsidRPr="00A315CB">
        <w:rPr>
          <w:rFonts w:asciiTheme="minorHAnsi" w:hAnsiTheme="minorHAnsi" w:cstheme="minorHAnsi"/>
          <w:bCs/>
        </w:rPr>
        <w:t xml:space="preserve"> </w:t>
      </w:r>
    </w:p>
    <w:p w14:paraId="6D3242B5" w14:textId="77777777" w:rsidR="00A55E20" w:rsidRPr="00A315CB" w:rsidRDefault="00A55E20" w:rsidP="004C031F">
      <w:pPr>
        <w:spacing w:line="264" w:lineRule="auto"/>
        <w:jc w:val="both"/>
        <w:rPr>
          <w:rFonts w:asciiTheme="minorHAnsi" w:hAnsiTheme="minorHAnsi" w:cstheme="minorHAnsi"/>
          <w:bCs/>
        </w:rPr>
      </w:pPr>
    </w:p>
    <w:p w14:paraId="3C361A8E" w14:textId="4333D08D" w:rsidR="00CD025E" w:rsidRDefault="00E27702" w:rsidP="004C031F">
      <w:pPr>
        <w:spacing w:line="264" w:lineRule="auto"/>
        <w:jc w:val="both"/>
        <w:rPr>
          <w:rFonts w:asciiTheme="minorHAnsi" w:hAnsiTheme="minorHAnsi" w:cstheme="minorHAnsi"/>
          <w:bCs/>
        </w:rPr>
      </w:pPr>
      <w:r w:rsidRPr="00A315CB">
        <w:rPr>
          <w:rFonts w:asciiTheme="minorHAnsi" w:hAnsiTheme="minorHAnsi" w:cstheme="minorHAnsi"/>
          <w:bCs/>
        </w:rPr>
        <w:t>Z</w:t>
      </w:r>
      <w:r w:rsidR="00DB2620" w:rsidRPr="00A315CB">
        <w:rPr>
          <w:rFonts w:asciiTheme="minorHAnsi" w:hAnsiTheme="minorHAnsi" w:cstheme="minorHAnsi"/>
          <w:bCs/>
        </w:rPr>
        <w:t xml:space="preserve"> </w:t>
      </w:r>
      <w:r w:rsidRPr="00A315CB">
        <w:rPr>
          <w:rFonts w:asciiTheme="minorHAnsi" w:hAnsiTheme="minorHAnsi" w:cstheme="minorHAnsi"/>
          <w:bCs/>
        </w:rPr>
        <w:t>projektů uvede</w:t>
      </w:r>
      <w:r w:rsidR="0009745F" w:rsidRPr="00A315CB">
        <w:rPr>
          <w:rFonts w:asciiTheme="minorHAnsi" w:hAnsiTheme="minorHAnsi" w:cstheme="minorHAnsi"/>
          <w:bCs/>
        </w:rPr>
        <w:t>ných v</w:t>
      </w:r>
      <w:r w:rsidR="00DB2620" w:rsidRPr="00A315CB">
        <w:rPr>
          <w:rFonts w:asciiTheme="minorHAnsi" w:hAnsiTheme="minorHAnsi" w:cstheme="minorHAnsi"/>
          <w:bCs/>
        </w:rPr>
        <w:t xml:space="preserve"> </w:t>
      </w:r>
      <w:r w:rsidR="0009745F" w:rsidRPr="00A315CB">
        <w:rPr>
          <w:rFonts w:asciiTheme="minorHAnsi" w:hAnsiTheme="minorHAnsi" w:cstheme="minorHAnsi"/>
          <w:bCs/>
        </w:rPr>
        <w:t>dokumentaci programu byla</w:t>
      </w:r>
      <w:r w:rsidR="00E72019" w:rsidRPr="00A315CB">
        <w:rPr>
          <w:rFonts w:asciiTheme="minorHAnsi" w:hAnsiTheme="minorHAnsi" w:cstheme="minorHAnsi"/>
          <w:bCs/>
        </w:rPr>
        <w:t xml:space="preserve"> realizována přibližně čtvrtina</w:t>
      </w:r>
      <w:r w:rsidR="0009745F" w:rsidRPr="00A315CB">
        <w:rPr>
          <w:rFonts w:asciiTheme="minorHAnsi" w:hAnsiTheme="minorHAnsi" w:cstheme="minorHAnsi"/>
          <w:bCs/>
        </w:rPr>
        <w:t>, přičemž některé z</w:t>
      </w:r>
      <w:r w:rsidR="00DB2620" w:rsidRPr="00A315CB">
        <w:rPr>
          <w:rFonts w:asciiTheme="minorHAnsi" w:hAnsiTheme="minorHAnsi" w:cstheme="minorHAnsi"/>
          <w:bCs/>
        </w:rPr>
        <w:t xml:space="preserve"> </w:t>
      </w:r>
      <w:r w:rsidR="0009745F" w:rsidRPr="00A315CB">
        <w:rPr>
          <w:rFonts w:asciiTheme="minorHAnsi" w:hAnsiTheme="minorHAnsi" w:cstheme="minorHAnsi"/>
          <w:bCs/>
        </w:rPr>
        <w:t>nich v</w:t>
      </w:r>
      <w:r w:rsidR="00DB2620" w:rsidRPr="00A315CB">
        <w:rPr>
          <w:rFonts w:asciiTheme="minorHAnsi" w:hAnsiTheme="minorHAnsi" w:cstheme="minorHAnsi"/>
          <w:bCs/>
        </w:rPr>
        <w:t xml:space="preserve"> </w:t>
      </w:r>
      <w:r w:rsidR="0009745F" w:rsidRPr="00A315CB">
        <w:rPr>
          <w:rFonts w:asciiTheme="minorHAnsi" w:hAnsiTheme="minorHAnsi" w:cstheme="minorHAnsi"/>
          <w:bCs/>
        </w:rPr>
        <w:t>menším rozsahu</w:t>
      </w:r>
      <w:r w:rsidRPr="00A315CB">
        <w:rPr>
          <w:rFonts w:asciiTheme="minorHAnsi" w:hAnsiTheme="minorHAnsi" w:cstheme="minorHAnsi"/>
          <w:bCs/>
        </w:rPr>
        <w:t xml:space="preserve">. </w:t>
      </w:r>
      <w:r w:rsidR="002E7F49" w:rsidRPr="00A315CB">
        <w:rPr>
          <w:rFonts w:asciiTheme="minorHAnsi" w:hAnsiTheme="minorHAnsi" w:cstheme="minorHAnsi"/>
          <w:bCs/>
        </w:rPr>
        <w:t xml:space="preserve">Například </w:t>
      </w:r>
      <w:r w:rsidRPr="00A315CB">
        <w:rPr>
          <w:rFonts w:asciiTheme="minorHAnsi" w:hAnsiTheme="minorHAnsi" w:cstheme="minorHAnsi"/>
          <w:bCs/>
        </w:rPr>
        <w:t>vybudování</w:t>
      </w:r>
      <w:r w:rsidR="002E7F49" w:rsidRPr="00A315CB">
        <w:rPr>
          <w:rFonts w:asciiTheme="minorHAnsi" w:hAnsiTheme="minorHAnsi" w:cstheme="minorHAnsi"/>
          <w:bCs/>
        </w:rPr>
        <w:t xml:space="preserve"> nového sídla</w:t>
      </w:r>
      <w:r w:rsidRPr="00A315CB">
        <w:rPr>
          <w:rFonts w:asciiTheme="minorHAnsi" w:hAnsiTheme="minorHAnsi" w:cstheme="minorHAnsi"/>
          <w:bCs/>
        </w:rPr>
        <w:t xml:space="preserve"> pobočky Krajského soudu v</w:t>
      </w:r>
      <w:r w:rsidR="00DB2620" w:rsidRPr="00A315CB">
        <w:rPr>
          <w:rFonts w:asciiTheme="minorHAnsi" w:hAnsiTheme="minorHAnsi" w:cstheme="minorHAnsi"/>
          <w:bCs/>
        </w:rPr>
        <w:t xml:space="preserve"> </w:t>
      </w:r>
      <w:r w:rsidRPr="00A315CB">
        <w:rPr>
          <w:rFonts w:asciiTheme="minorHAnsi" w:hAnsiTheme="minorHAnsi" w:cstheme="minorHAnsi"/>
          <w:bCs/>
        </w:rPr>
        <w:t>Hradci Králové byl</w:t>
      </w:r>
      <w:r w:rsidR="002E7F49" w:rsidRPr="00A315CB">
        <w:rPr>
          <w:rFonts w:asciiTheme="minorHAnsi" w:hAnsiTheme="minorHAnsi" w:cstheme="minorHAnsi"/>
          <w:bCs/>
        </w:rPr>
        <w:t>o</w:t>
      </w:r>
      <w:r w:rsidRPr="00A315CB">
        <w:rPr>
          <w:rFonts w:asciiTheme="minorHAnsi" w:hAnsiTheme="minorHAnsi" w:cstheme="minorHAnsi"/>
          <w:bCs/>
        </w:rPr>
        <w:t xml:space="preserve"> nakonec </w:t>
      </w:r>
      <w:r w:rsidR="002E7F49" w:rsidRPr="00A315CB">
        <w:rPr>
          <w:rFonts w:asciiTheme="minorHAnsi" w:hAnsiTheme="minorHAnsi" w:cstheme="minorHAnsi"/>
          <w:bCs/>
        </w:rPr>
        <w:t xml:space="preserve">nahrazeno rekonstrukcí </w:t>
      </w:r>
      <w:r w:rsidR="00F4218A" w:rsidRPr="00A315CB">
        <w:rPr>
          <w:rFonts w:asciiTheme="minorHAnsi" w:hAnsiTheme="minorHAnsi" w:cstheme="minorHAnsi"/>
          <w:bCs/>
        </w:rPr>
        <w:t xml:space="preserve">budovy </w:t>
      </w:r>
      <w:r w:rsidRPr="00A315CB">
        <w:rPr>
          <w:rFonts w:asciiTheme="minorHAnsi" w:hAnsiTheme="minorHAnsi" w:cstheme="minorHAnsi"/>
          <w:bCs/>
        </w:rPr>
        <w:t>bývalé Střední průmyslové školy</w:t>
      </w:r>
      <w:r w:rsidR="00985CFC" w:rsidRPr="00A315CB">
        <w:rPr>
          <w:rFonts w:asciiTheme="minorHAnsi" w:hAnsiTheme="minorHAnsi" w:cstheme="minorHAnsi"/>
          <w:bCs/>
        </w:rPr>
        <w:t xml:space="preserve"> chemické v</w:t>
      </w:r>
      <w:r w:rsidR="00DB2620" w:rsidRPr="00A315CB">
        <w:rPr>
          <w:rFonts w:asciiTheme="minorHAnsi" w:hAnsiTheme="minorHAnsi" w:cstheme="minorHAnsi"/>
          <w:bCs/>
        </w:rPr>
        <w:t xml:space="preserve"> </w:t>
      </w:r>
      <w:r w:rsidR="00985CFC" w:rsidRPr="00A315CB">
        <w:rPr>
          <w:rFonts w:asciiTheme="minorHAnsi" w:hAnsiTheme="minorHAnsi" w:cstheme="minorHAnsi"/>
          <w:bCs/>
        </w:rPr>
        <w:t>Pardubicích, získané</w:t>
      </w:r>
      <w:r w:rsidRPr="00A315CB">
        <w:rPr>
          <w:rFonts w:asciiTheme="minorHAnsi" w:hAnsiTheme="minorHAnsi" w:cstheme="minorHAnsi"/>
          <w:bCs/>
        </w:rPr>
        <w:t xml:space="preserve"> bezúplatným převode</w:t>
      </w:r>
      <w:r w:rsidR="0009745F" w:rsidRPr="00A315CB">
        <w:rPr>
          <w:rFonts w:asciiTheme="minorHAnsi" w:hAnsiTheme="minorHAnsi" w:cstheme="minorHAnsi"/>
          <w:bCs/>
        </w:rPr>
        <w:t>m od Pardubického kraje. U</w:t>
      </w:r>
      <w:r w:rsidR="00DB2620" w:rsidRPr="00A315CB">
        <w:rPr>
          <w:rFonts w:asciiTheme="minorHAnsi" w:hAnsiTheme="minorHAnsi" w:cstheme="minorHAnsi"/>
          <w:bCs/>
        </w:rPr>
        <w:t xml:space="preserve"> </w:t>
      </w:r>
      <w:r w:rsidR="0009745F" w:rsidRPr="00A315CB">
        <w:rPr>
          <w:rFonts w:asciiTheme="minorHAnsi" w:hAnsiTheme="minorHAnsi" w:cstheme="minorHAnsi"/>
          <w:bCs/>
        </w:rPr>
        <w:t>dalších pěti rekonstrukcí budov okresních soud</w:t>
      </w:r>
      <w:r w:rsidR="0068092F">
        <w:rPr>
          <w:rFonts w:asciiTheme="minorHAnsi" w:hAnsiTheme="minorHAnsi" w:cstheme="minorHAnsi"/>
          <w:bCs/>
        </w:rPr>
        <w:t>ů</w:t>
      </w:r>
      <w:r w:rsidR="0009745F" w:rsidRPr="00A315CB">
        <w:rPr>
          <w:rFonts w:asciiTheme="minorHAnsi" w:hAnsiTheme="minorHAnsi" w:cstheme="minorHAnsi"/>
          <w:bCs/>
        </w:rPr>
        <w:t xml:space="preserve"> </w:t>
      </w:r>
      <w:r w:rsidR="0068092F">
        <w:rPr>
          <w:rFonts w:asciiTheme="minorHAnsi" w:hAnsiTheme="minorHAnsi" w:cstheme="minorHAnsi"/>
          <w:bCs/>
        </w:rPr>
        <w:t xml:space="preserve">ve </w:t>
      </w:r>
      <w:r w:rsidR="0009745F" w:rsidRPr="00A315CB">
        <w:rPr>
          <w:rFonts w:asciiTheme="minorHAnsi" w:hAnsiTheme="minorHAnsi" w:cstheme="minorHAnsi"/>
          <w:bCs/>
        </w:rPr>
        <w:t>Strakonic</w:t>
      </w:r>
      <w:r w:rsidR="0068092F">
        <w:rPr>
          <w:rFonts w:asciiTheme="minorHAnsi" w:hAnsiTheme="minorHAnsi" w:cstheme="minorHAnsi"/>
          <w:bCs/>
        </w:rPr>
        <w:t>ích</w:t>
      </w:r>
      <w:r w:rsidR="0009745F" w:rsidRPr="00A315CB">
        <w:rPr>
          <w:rFonts w:asciiTheme="minorHAnsi" w:hAnsiTheme="minorHAnsi" w:cstheme="minorHAnsi"/>
          <w:bCs/>
        </w:rPr>
        <w:t>, Česk</w:t>
      </w:r>
      <w:r w:rsidR="0068092F">
        <w:rPr>
          <w:rFonts w:asciiTheme="minorHAnsi" w:hAnsiTheme="minorHAnsi" w:cstheme="minorHAnsi"/>
          <w:bCs/>
        </w:rPr>
        <w:t>é</w:t>
      </w:r>
      <w:r w:rsidR="0009745F" w:rsidRPr="00A315CB">
        <w:rPr>
          <w:rFonts w:asciiTheme="minorHAnsi" w:hAnsiTheme="minorHAnsi" w:cstheme="minorHAnsi"/>
          <w:bCs/>
        </w:rPr>
        <w:t xml:space="preserve"> Líp</w:t>
      </w:r>
      <w:r w:rsidR="0068092F">
        <w:rPr>
          <w:rFonts w:asciiTheme="minorHAnsi" w:hAnsiTheme="minorHAnsi" w:cstheme="minorHAnsi"/>
          <w:bCs/>
        </w:rPr>
        <w:t>ě</w:t>
      </w:r>
      <w:r w:rsidR="0009745F" w:rsidRPr="00A315CB">
        <w:rPr>
          <w:rFonts w:asciiTheme="minorHAnsi" w:hAnsiTheme="minorHAnsi" w:cstheme="minorHAnsi"/>
          <w:bCs/>
        </w:rPr>
        <w:t>, Teplic</w:t>
      </w:r>
      <w:r w:rsidR="0068092F">
        <w:rPr>
          <w:rFonts w:asciiTheme="minorHAnsi" w:hAnsiTheme="minorHAnsi" w:cstheme="minorHAnsi"/>
          <w:bCs/>
        </w:rPr>
        <w:t>ích</w:t>
      </w:r>
      <w:r w:rsidR="0009745F" w:rsidRPr="00A315CB">
        <w:rPr>
          <w:rFonts w:asciiTheme="minorHAnsi" w:hAnsiTheme="minorHAnsi" w:cstheme="minorHAnsi"/>
          <w:bCs/>
        </w:rPr>
        <w:t>, Hradc</w:t>
      </w:r>
      <w:r w:rsidR="0068092F">
        <w:rPr>
          <w:rFonts w:asciiTheme="minorHAnsi" w:hAnsiTheme="minorHAnsi" w:cstheme="minorHAnsi"/>
          <w:bCs/>
        </w:rPr>
        <w:t>i</w:t>
      </w:r>
      <w:r w:rsidR="0009745F" w:rsidRPr="00A315CB">
        <w:rPr>
          <w:rFonts w:asciiTheme="minorHAnsi" w:hAnsiTheme="minorHAnsi" w:cstheme="minorHAnsi"/>
          <w:bCs/>
        </w:rPr>
        <w:t xml:space="preserve"> Králové a Krajsk</w:t>
      </w:r>
      <w:r w:rsidR="0068092F">
        <w:rPr>
          <w:rFonts w:asciiTheme="minorHAnsi" w:hAnsiTheme="minorHAnsi" w:cstheme="minorHAnsi"/>
          <w:bCs/>
        </w:rPr>
        <w:t>ého</w:t>
      </w:r>
      <w:r w:rsidR="0009745F" w:rsidRPr="00A315CB">
        <w:rPr>
          <w:rFonts w:asciiTheme="minorHAnsi" w:hAnsiTheme="minorHAnsi" w:cstheme="minorHAnsi"/>
          <w:bCs/>
        </w:rPr>
        <w:t xml:space="preserve"> soud</w:t>
      </w:r>
      <w:r w:rsidR="0068092F">
        <w:rPr>
          <w:rFonts w:asciiTheme="minorHAnsi" w:hAnsiTheme="minorHAnsi" w:cstheme="minorHAnsi"/>
          <w:bCs/>
        </w:rPr>
        <w:t>u</w:t>
      </w:r>
      <w:r w:rsidR="0009745F" w:rsidRPr="00A315CB">
        <w:rPr>
          <w:rFonts w:asciiTheme="minorHAnsi" w:hAnsiTheme="minorHAnsi" w:cstheme="minorHAnsi"/>
          <w:bCs/>
        </w:rPr>
        <w:t xml:space="preserve"> v</w:t>
      </w:r>
      <w:r w:rsidR="00DB2620" w:rsidRPr="00A315CB">
        <w:rPr>
          <w:rFonts w:asciiTheme="minorHAnsi" w:hAnsiTheme="minorHAnsi" w:cstheme="minorHAnsi"/>
          <w:bCs/>
        </w:rPr>
        <w:t xml:space="preserve"> </w:t>
      </w:r>
      <w:r w:rsidR="0009745F" w:rsidRPr="00A315CB">
        <w:rPr>
          <w:rFonts w:asciiTheme="minorHAnsi" w:hAnsiTheme="minorHAnsi" w:cstheme="minorHAnsi"/>
          <w:bCs/>
        </w:rPr>
        <w:t xml:space="preserve">Ostravě bylo postupováno po menších etapách (výměny oken, zateplení budov, modernizace jednotlivých budov apod.). </w:t>
      </w:r>
      <w:r w:rsidR="00CD025E" w:rsidRPr="00A315CB">
        <w:rPr>
          <w:rFonts w:asciiTheme="minorHAnsi" w:hAnsiTheme="minorHAnsi" w:cstheme="minorHAnsi"/>
          <w:bCs/>
        </w:rPr>
        <w:t>Rekonstrukce objektu</w:t>
      </w:r>
      <w:r w:rsidR="0009745F" w:rsidRPr="00A315CB">
        <w:rPr>
          <w:rFonts w:asciiTheme="minorHAnsi" w:hAnsiTheme="minorHAnsi" w:cstheme="minorHAnsi"/>
          <w:bCs/>
        </w:rPr>
        <w:t xml:space="preserve"> </w:t>
      </w:r>
      <w:r w:rsidR="0068092F">
        <w:rPr>
          <w:rFonts w:asciiTheme="minorHAnsi" w:hAnsiTheme="minorHAnsi" w:cstheme="minorHAnsi"/>
          <w:bCs/>
        </w:rPr>
        <w:t xml:space="preserve">v ulici </w:t>
      </w:r>
      <w:r w:rsidR="0009745F" w:rsidRPr="00A315CB">
        <w:rPr>
          <w:rFonts w:asciiTheme="minorHAnsi" w:hAnsiTheme="minorHAnsi" w:cstheme="minorHAnsi"/>
          <w:bCs/>
        </w:rPr>
        <w:t xml:space="preserve">Na </w:t>
      </w:r>
      <w:r w:rsidR="00A55E20" w:rsidRPr="00A315CB">
        <w:rPr>
          <w:rFonts w:asciiTheme="minorHAnsi" w:hAnsiTheme="minorHAnsi" w:cstheme="minorHAnsi"/>
          <w:bCs/>
        </w:rPr>
        <w:t>M</w:t>
      </w:r>
      <w:r w:rsidR="0068092F">
        <w:rPr>
          <w:rFonts w:asciiTheme="minorHAnsi" w:hAnsiTheme="minorHAnsi" w:cstheme="minorHAnsi"/>
          <w:bCs/>
        </w:rPr>
        <w:t>í</w:t>
      </w:r>
      <w:r w:rsidR="00A55E20" w:rsidRPr="00A315CB">
        <w:rPr>
          <w:rFonts w:asciiTheme="minorHAnsi" w:hAnsiTheme="minorHAnsi" w:cstheme="minorHAnsi"/>
          <w:bCs/>
        </w:rPr>
        <w:t>čánkách</w:t>
      </w:r>
      <w:r w:rsidR="0009745F" w:rsidRPr="00A315CB">
        <w:rPr>
          <w:rFonts w:asciiTheme="minorHAnsi" w:hAnsiTheme="minorHAnsi" w:cstheme="minorHAnsi"/>
          <w:bCs/>
        </w:rPr>
        <w:t xml:space="preserve"> byla realizována </w:t>
      </w:r>
      <w:r w:rsidR="00CD025E" w:rsidRPr="00A315CB">
        <w:rPr>
          <w:rFonts w:asciiTheme="minorHAnsi" w:hAnsiTheme="minorHAnsi" w:cstheme="minorHAnsi"/>
          <w:bCs/>
        </w:rPr>
        <w:t>v</w:t>
      </w:r>
      <w:r w:rsidR="00DB2620" w:rsidRPr="00A315CB">
        <w:rPr>
          <w:rFonts w:asciiTheme="minorHAnsi" w:hAnsiTheme="minorHAnsi" w:cstheme="minorHAnsi"/>
          <w:bCs/>
        </w:rPr>
        <w:t xml:space="preserve"> </w:t>
      </w:r>
      <w:r w:rsidR="00CD025E" w:rsidRPr="00A315CB">
        <w:rPr>
          <w:rFonts w:asciiTheme="minorHAnsi" w:hAnsiTheme="minorHAnsi" w:cstheme="minorHAnsi"/>
          <w:bCs/>
        </w:rPr>
        <w:t>rámci programu 136</w:t>
      </w:r>
      <w:r w:rsidR="00A55E20">
        <w:rPr>
          <w:rFonts w:asciiTheme="minorHAnsi" w:hAnsiTheme="minorHAnsi" w:cstheme="minorHAnsi"/>
          <w:bCs/>
        </w:rPr>
        <w:t> </w:t>
      </w:r>
      <w:r w:rsidR="00CD025E" w:rsidRPr="00A315CB">
        <w:rPr>
          <w:rFonts w:asciiTheme="minorHAnsi" w:hAnsiTheme="minorHAnsi" w:cstheme="minorHAnsi"/>
          <w:bCs/>
        </w:rPr>
        <w:t>010.</w:t>
      </w:r>
    </w:p>
    <w:p w14:paraId="02A59CB8" w14:textId="77777777" w:rsidR="00A55E20" w:rsidRPr="00A315CB" w:rsidRDefault="00A55E20" w:rsidP="004C031F">
      <w:pPr>
        <w:spacing w:line="264" w:lineRule="auto"/>
        <w:jc w:val="both"/>
        <w:rPr>
          <w:rFonts w:asciiTheme="minorHAnsi" w:hAnsiTheme="minorHAnsi" w:cstheme="minorHAnsi"/>
          <w:bCs/>
        </w:rPr>
      </w:pPr>
    </w:p>
    <w:p w14:paraId="2679FE3C" w14:textId="35D48DFC" w:rsidR="0009745F" w:rsidRDefault="0009745F" w:rsidP="004C031F">
      <w:pPr>
        <w:spacing w:line="264" w:lineRule="auto"/>
        <w:jc w:val="both"/>
        <w:rPr>
          <w:rFonts w:asciiTheme="minorHAnsi" w:hAnsiTheme="minorHAnsi" w:cstheme="minorHAnsi"/>
          <w:bCs/>
        </w:rPr>
      </w:pPr>
      <w:r w:rsidRPr="00A315CB">
        <w:rPr>
          <w:rFonts w:asciiTheme="minorHAnsi" w:hAnsiTheme="minorHAnsi" w:cstheme="minorHAnsi"/>
          <w:b/>
          <w:bCs/>
        </w:rPr>
        <w:lastRenderedPageBreak/>
        <w:t>c)</w:t>
      </w:r>
      <w:r w:rsidRPr="00A315CB">
        <w:rPr>
          <w:rFonts w:asciiTheme="minorHAnsi" w:hAnsiTheme="minorHAnsi" w:cstheme="minorHAnsi"/>
          <w:bCs/>
        </w:rPr>
        <w:t xml:space="preserve"> </w:t>
      </w:r>
      <w:r w:rsidRPr="00A315CB">
        <w:rPr>
          <w:rFonts w:asciiTheme="minorHAnsi" w:hAnsiTheme="minorHAnsi" w:cstheme="minorHAnsi"/>
          <w:b/>
          <w:bCs/>
        </w:rPr>
        <w:t>Program 236</w:t>
      </w:r>
      <w:r w:rsidR="00DB2620" w:rsidRPr="00A315CB">
        <w:rPr>
          <w:rFonts w:asciiTheme="minorHAnsi" w:hAnsiTheme="minorHAnsi" w:cstheme="minorHAnsi"/>
          <w:b/>
          <w:bCs/>
        </w:rPr>
        <w:t xml:space="preserve"> </w:t>
      </w:r>
      <w:r w:rsidRPr="00A315CB">
        <w:rPr>
          <w:rFonts w:asciiTheme="minorHAnsi" w:hAnsiTheme="minorHAnsi" w:cstheme="minorHAnsi"/>
          <w:b/>
          <w:bCs/>
        </w:rPr>
        <w:t>210</w:t>
      </w:r>
      <w:r w:rsidRPr="00A315CB">
        <w:rPr>
          <w:rFonts w:asciiTheme="minorHAnsi" w:hAnsiTheme="minorHAnsi" w:cstheme="minorHAnsi"/>
          <w:bCs/>
        </w:rPr>
        <w:t xml:space="preserve"> byl zahájen v</w:t>
      </w:r>
      <w:r w:rsidR="00DB2620" w:rsidRPr="00A315CB">
        <w:rPr>
          <w:rFonts w:asciiTheme="minorHAnsi" w:hAnsiTheme="minorHAnsi" w:cstheme="minorHAnsi"/>
          <w:bCs/>
        </w:rPr>
        <w:t xml:space="preserve"> </w:t>
      </w:r>
      <w:r w:rsidRPr="00A315CB">
        <w:rPr>
          <w:rFonts w:asciiTheme="minorHAnsi" w:hAnsiTheme="minorHAnsi" w:cstheme="minorHAnsi"/>
          <w:bCs/>
        </w:rPr>
        <w:t>roce 2003 s</w:t>
      </w:r>
      <w:r w:rsidR="00DB2620" w:rsidRPr="00A315CB">
        <w:rPr>
          <w:rFonts w:asciiTheme="minorHAnsi" w:hAnsiTheme="minorHAnsi" w:cstheme="minorHAnsi"/>
          <w:bCs/>
        </w:rPr>
        <w:t xml:space="preserve"> </w:t>
      </w:r>
      <w:r w:rsidRPr="00A315CB">
        <w:rPr>
          <w:rFonts w:asciiTheme="minorHAnsi" w:hAnsiTheme="minorHAnsi" w:cstheme="minorHAnsi"/>
          <w:bCs/>
        </w:rPr>
        <w:t>předpokládaným ukončením v</w:t>
      </w:r>
      <w:r w:rsidR="00DB2620" w:rsidRPr="00A315CB">
        <w:rPr>
          <w:rFonts w:asciiTheme="minorHAnsi" w:hAnsiTheme="minorHAnsi" w:cstheme="minorHAnsi"/>
          <w:bCs/>
        </w:rPr>
        <w:t xml:space="preserve"> </w:t>
      </w:r>
      <w:r w:rsidRPr="00A315CB">
        <w:rPr>
          <w:rFonts w:asciiTheme="minorHAnsi" w:hAnsiTheme="minorHAnsi" w:cstheme="minorHAnsi"/>
          <w:bCs/>
        </w:rPr>
        <w:t>roce 2007 a s výdaji 3</w:t>
      </w:r>
      <w:r w:rsidR="00DB2620" w:rsidRPr="00A315CB">
        <w:rPr>
          <w:rFonts w:asciiTheme="minorHAnsi" w:hAnsiTheme="minorHAnsi" w:cstheme="minorHAnsi"/>
          <w:bCs/>
        </w:rPr>
        <w:t xml:space="preserve"> </w:t>
      </w:r>
      <w:r w:rsidRPr="00A315CB">
        <w:rPr>
          <w:rFonts w:asciiTheme="minorHAnsi" w:hAnsiTheme="minorHAnsi" w:cstheme="minorHAnsi"/>
          <w:bCs/>
        </w:rPr>
        <w:t>369,8 mil. Kč. Do doby ukončení kontroly MSp požadovalo a MF schválilo postupně šest změn do</w:t>
      </w:r>
      <w:r w:rsidR="00985CFC" w:rsidRPr="00A315CB">
        <w:rPr>
          <w:rFonts w:asciiTheme="minorHAnsi" w:hAnsiTheme="minorHAnsi" w:cstheme="minorHAnsi"/>
          <w:bCs/>
        </w:rPr>
        <w:t>kumentace programu, kterými byla opakovaně prodlužována</w:t>
      </w:r>
      <w:r w:rsidRPr="00A315CB">
        <w:rPr>
          <w:rFonts w:asciiTheme="minorHAnsi" w:hAnsiTheme="minorHAnsi" w:cstheme="minorHAnsi"/>
          <w:bCs/>
        </w:rPr>
        <w:t xml:space="preserve"> </w:t>
      </w:r>
      <w:r w:rsidR="00985CFC" w:rsidRPr="00A315CB">
        <w:rPr>
          <w:rFonts w:asciiTheme="minorHAnsi" w:hAnsiTheme="minorHAnsi" w:cstheme="minorHAnsi"/>
          <w:bCs/>
        </w:rPr>
        <w:t>doba realizace programu</w:t>
      </w:r>
      <w:r w:rsidRPr="00A315CB">
        <w:rPr>
          <w:rFonts w:asciiTheme="minorHAnsi" w:hAnsiTheme="minorHAnsi" w:cstheme="minorHAnsi"/>
          <w:bCs/>
        </w:rPr>
        <w:t>, a to až do konce roku 2016, tj. o devět roků. Účast státního rozpočtu na financování programu byla postupně navýšena na 4</w:t>
      </w:r>
      <w:r w:rsidR="00DB2620" w:rsidRPr="00A315CB">
        <w:rPr>
          <w:rFonts w:asciiTheme="minorHAnsi" w:hAnsiTheme="minorHAnsi" w:cstheme="minorHAnsi"/>
          <w:bCs/>
        </w:rPr>
        <w:t xml:space="preserve"> </w:t>
      </w:r>
      <w:r w:rsidRPr="00A315CB">
        <w:rPr>
          <w:rFonts w:asciiTheme="minorHAnsi" w:hAnsiTheme="minorHAnsi" w:cstheme="minorHAnsi"/>
          <w:bCs/>
        </w:rPr>
        <w:t xml:space="preserve">308,4 mil. Kč, což bylo způsobeno </w:t>
      </w:r>
      <w:r w:rsidR="0068092F" w:rsidRPr="00A315CB">
        <w:rPr>
          <w:rFonts w:asciiTheme="minorHAnsi" w:hAnsiTheme="minorHAnsi" w:cstheme="minorHAnsi"/>
          <w:bCs/>
        </w:rPr>
        <w:t xml:space="preserve">mj. </w:t>
      </w:r>
      <w:r w:rsidRPr="00A315CB">
        <w:rPr>
          <w:rFonts w:asciiTheme="minorHAnsi" w:hAnsiTheme="minorHAnsi" w:cstheme="minorHAnsi"/>
          <w:bCs/>
        </w:rPr>
        <w:t>opakovaným prodlužováním</w:t>
      </w:r>
      <w:r w:rsidR="00985CFC" w:rsidRPr="00A315CB">
        <w:rPr>
          <w:rFonts w:asciiTheme="minorHAnsi" w:hAnsiTheme="minorHAnsi" w:cstheme="minorHAnsi"/>
          <w:bCs/>
        </w:rPr>
        <w:t xml:space="preserve"> prog</w:t>
      </w:r>
      <w:r w:rsidR="0001248D" w:rsidRPr="00A315CB">
        <w:rPr>
          <w:rFonts w:asciiTheme="minorHAnsi" w:hAnsiTheme="minorHAnsi" w:cstheme="minorHAnsi"/>
          <w:bCs/>
        </w:rPr>
        <w:t>ramu a jeho rozšiřováním (doplnění nového</w:t>
      </w:r>
      <w:r w:rsidR="00985CFC" w:rsidRPr="00A315CB">
        <w:rPr>
          <w:rFonts w:asciiTheme="minorHAnsi" w:hAnsiTheme="minorHAnsi" w:cstheme="minorHAnsi"/>
          <w:bCs/>
        </w:rPr>
        <w:t xml:space="preserve"> podprogram</w:t>
      </w:r>
      <w:r w:rsidR="0001248D" w:rsidRPr="00A315CB">
        <w:rPr>
          <w:rFonts w:asciiTheme="minorHAnsi" w:hAnsiTheme="minorHAnsi" w:cstheme="minorHAnsi"/>
          <w:bCs/>
        </w:rPr>
        <w:t>u spolufinancovaného</w:t>
      </w:r>
      <w:r w:rsidR="00985CFC" w:rsidRPr="00A315CB">
        <w:rPr>
          <w:rFonts w:asciiTheme="minorHAnsi" w:hAnsiTheme="minorHAnsi" w:cstheme="minorHAnsi"/>
          <w:bCs/>
        </w:rPr>
        <w:t xml:space="preserve"> z</w:t>
      </w:r>
      <w:r w:rsidR="00DB2620" w:rsidRPr="00A315CB">
        <w:rPr>
          <w:rFonts w:asciiTheme="minorHAnsi" w:hAnsiTheme="minorHAnsi" w:cstheme="minorHAnsi"/>
          <w:bCs/>
        </w:rPr>
        <w:t xml:space="preserve"> </w:t>
      </w:r>
      <w:r w:rsidR="00985CFC" w:rsidRPr="00A315CB">
        <w:rPr>
          <w:rFonts w:asciiTheme="minorHAnsi" w:hAnsiTheme="minorHAnsi" w:cstheme="minorHAnsi"/>
          <w:bCs/>
        </w:rPr>
        <w:t>prostředků EU).</w:t>
      </w:r>
    </w:p>
    <w:p w14:paraId="311B10E7" w14:textId="77777777" w:rsidR="00A55E20" w:rsidRPr="00A315CB" w:rsidRDefault="00A55E20" w:rsidP="004C031F">
      <w:pPr>
        <w:spacing w:line="264" w:lineRule="auto"/>
        <w:jc w:val="both"/>
        <w:rPr>
          <w:rFonts w:asciiTheme="minorHAnsi" w:hAnsiTheme="minorHAnsi" w:cstheme="minorHAnsi"/>
          <w:bCs/>
        </w:rPr>
      </w:pPr>
    </w:p>
    <w:p w14:paraId="766434DF" w14:textId="3657D171" w:rsidR="00F4218A" w:rsidRDefault="0009745F" w:rsidP="004C031F">
      <w:pPr>
        <w:spacing w:line="264" w:lineRule="auto"/>
        <w:jc w:val="both"/>
        <w:rPr>
          <w:rFonts w:asciiTheme="minorHAnsi" w:hAnsiTheme="minorHAnsi" w:cstheme="minorHAnsi"/>
          <w:bCs/>
        </w:rPr>
      </w:pPr>
      <w:r w:rsidRPr="00A315CB">
        <w:rPr>
          <w:rFonts w:asciiTheme="minorHAnsi" w:hAnsiTheme="minorHAnsi" w:cstheme="minorHAnsi"/>
          <w:bCs/>
        </w:rPr>
        <w:t>K</w:t>
      </w:r>
      <w:r w:rsidR="00DB2620" w:rsidRPr="00A315CB">
        <w:rPr>
          <w:rFonts w:asciiTheme="minorHAnsi" w:hAnsiTheme="minorHAnsi" w:cstheme="minorHAnsi"/>
          <w:bCs/>
        </w:rPr>
        <w:t xml:space="preserve"> </w:t>
      </w:r>
      <w:r w:rsidRPr="00A315CB">
        <w:rPr>
          <w:rFonts w:asciiTheme="minorHAnsi" w:hAnsiTheme="minorHAnsi" w:cstheme="minorHAnsi"/>
          <w:bCs/>
        </w:rPr>
        <w:t xml:space="preserve">prodlužování </w:t>
      </w:r>
      <w:r w:rsidR="0071682C" w:rsidRPr="00A315CB">
        <w:rPr>
          <w:rFonts w:asciiTheme="minorHAnsi" w:hAnsiTheme="minorHAnsi" w:cstheme="minorHAnsi"/>
          <w:bCs/>
        </w:rPr>
        <w:t xml:space="preserve">doby trvání </w:t>
      </w:r>
      <w:r w:rsidRPr="00A315CB">
        <w:rPr>
          <w:rFonts w:asciiTheme="minorHAnsi" w:hAnsiTheme="minorHAnsi" w:cstheme="minorHAnsi"/>
          <w:bCs/>
        </w:rPr>
        <w:t>docházelo většinou v</w:t>
      </w:r>
      <w:r w:rsidR="00DB2620" w:rsidRPr="00A315CB">
        <w:rPr>
          <w:rFonts w:asciiTheme="minorHAnsi" w:hAnsiTheme="minorHAnsi" w:cstheme="minorHAnsi"/>
          <w:bCs/>
        </w:rPr>
        <w:t xml:space="preserve"> </w:t>
      </w:r>
      <w:r w:rsidRPr="00A315CB">
        <w:rPr>
          <w:rFonts w:asciiTheme="minorHAnsi" w:hAnsiTheme="minorHAnsi" w:cstheme="minorHAnsi"/>
          <w:bCs/>
        </w:rPr>
        <w:t>době, kdy měl být program ukončen. Jako hlavní důvod prodlužování programu uvádělo</w:t>
      </w:r>
      <w:r w:rsidR="0068092F" w:rsidRPr="0068092F">
        <w:rPr>
          <w:rFonts w:asciiTheme="minorHAnsi" w:hAnsiTheme="minorHAnsi" w:cstheme="minorHAnsi"/>
          <w:bCs/>
        </w:rPr>
        <w:t xml:space="preserve"> </w:t>
      </w:r>
      <w:r w:rsidR="0068092F" w:rsidRPr="00A315CB">
        <w:rPr>
          <w:rFonts w:asciiTheme="minorHAnsi" w:hAnsiTheme="minorHAnsi" w:cstheme="minorHAnsi"/>
          <w:bCs/>
        </w:rPr>
        <w:t>MSp</w:t>
      </w:r>
      <w:r w:rsidRPr="00A315CB">
        <w:rPr>
          <w:rFonts w:asciiTheme="minorHAnsi" w:hAnsiTheme="minorHAnsi" w:cstheme="minorHAnsi"/>
          <w:bCs/>
        </w:rPr>
        <w:t xml:space="preserve"> zařazení projektů s</w:t>
      </w:r>
      <w:r w:rsidR="00E004E0" w:rsidRPr="00A315CB">
        <w:rPr>
          <w:rFonts w:asciiTheme="minorHAnsi" w:hAnsiTheme="minorHAnsi" w:cstheme="minorHAnsi"/>
          <w:bCs/>
        </w:rPr>
        <w:t>polufinancovaných z rozpočtu EU. T</w:t>
      </w:r>
      <w:r w:rsidRPr="00A315CB">
        <w:rPr>
          <w:rFonts w:asciiTheme="minorHAnsi" w:hAnsiTheme="minorHAnsi" w:cstheme="minorHAnsi"/>
          <w:bCs/>
        </w:rPr>
        <w:t>yto prostředky však byly v</w:t>
      </w:r>
      <w:r w:rsidR="00DB2620" w:rsidRPr="00A315CB">
        <w:rPr>
          <w:rFonts w:asciiTheme="minorHAnsi" w:hAnsiTheme="minorHAnsi" w:cstheme="minorHAnsi"/>
          <w:bCs/>
        </w:rPr>
        <w:t xml:space="preserve"> </w:t>
      </w:r>
      <w:r w:rsidRPr="00A315CB">
        <w:rPr>
          <w:rFonts w:asciiTheme="minorHAnsi" w:hAnsiTheme="minorHAnsi" w:cstheme="minorHAnsi"/>
          <w:bCs/>
        </w:rPr>
        <w:t xml:space="preserve">letech 2003 až </w:t>
      </w:r>
      <w:r w:rsidR="0071682C" w:rsidRPr="00A315CB">
        <w:rPr>
          <w:rFonts w:asciiTheme="minorHAnsi" w:hAnsiTheme="minorHAnsi" w:cstheme="minorHAnsi"/>
          <w:bCs/>
        </w:rPr>
        <w:t>2014 čerpány pouze ve výši 30,7 </w:t>
      </w:r>
      <w:r w:rsidR="00605772" w:rsidRPr="00A315CB">
        <w:rPr>
          <w:rFonts w:asciiTheme="minorHAnsi" w:hAnsiTheme="minorHAnsi" w:cstheme="minorHAnsi"/>
          <w:bCs/>
        </w:rPr>
        <w:t>mil. Kč, tj. 0,74 % vyčerpaných prostředků.</w:t>
      </w:r>
    </w:p>
    <w:p w14:paraId="7D4D4FBC" w14:textId="77777777" w:rsidR="004C031F" w:rsidRPr="00A315CB" w:rsidRDefault="004C031F" w:rsidP="004C031F">
      <w:pPr>
        <w:spacing w:line="264" w:lineRule="auto"/>
        <w:jc w:val="both"/>
        <w:rPr>
          <w:rFonts w:asciiTheme="minorHAnsi" w:hAnsiTheme="minorHAnsi" w:cstheme="minorHAnsi"/>
          <w:bCs/>
        </w:rPr>
      </w:pPr>
    </w:p>
    <w:p w14:paraId="7BFEFF1B" w14:textId="3414DE77" w:rsidR="0009745F" w:rsidRDefault="0009745F" w:rsidP="004C031F">
      <w:pPr>
        <w:spacing w:line="264" w:lineRule="auto"/>
        <w:jc w:val="both"/>
        <w:rPr>
          <w:rFonts w:asciiTheme="minorHAnsi" w:hAnsiTheme="minorHAnsi" w:cstheme="minorHAnsi"/>
          <w:bCs/>
        </w:rPr>
      </w:pPr>
      <w:r w:rsidRPr="00A315CB">
        <w:rPr>
          <w:rFonts w:asciiTheme="minorHAnsi" w:hAnsiTheme="minorHAnsi" w:cstheme="minorHAnsi"/>
          <w:bCs/>
        </w:rPr>
        <w:t>MSp v</w:t>
      </w:r>
      <w:r w:rsidR="00DB2620" w:rsidRPr="00A315CB">
        <w:rPr>
          <w:rFonts w:asciiTheme="minorHAnsi" w:hAnsiTheme="minorHAnsi" w:cstheme="minorHAnsi"/>
          <w:bCs/>
        </w:rPr>
        <w:t xml:space="preserve"> </w:t>
      </w:r>
      <w:r w:rsidRPr="00A315CB">
        <w:rPr>
          <w:rFonts w:asciiTheme="minorHAnsi" w:hAnsiTheme="minorHAnsi" w:cstheme="minorHAnsi"/>
          <w:bCs/>
        </w:rPr>
        <w:t>rámci programu 236</w:t>
      </w:r>
      <w:r w:rsidR="00DB2620" w:rsidRPr="00A315CB">
        <w:rPr>
          <w:rFonts w:asciiTheme="minorHAnsi" w:hAnsiTheme="minorHAnsi" w:cstheme="minorHAnsi"/>
          <w:bCs/>
        </w:rPr>
        <w:t xml:space="preserve"> </w:t>
      </w:r>
      <w:r w:rsidRPr="00A315CB">
        <w:rPr>
          <w:rFonts w:asciiTheme="minorHAnsi" w:hAnsiTheme="minorHAnsi" w:cstheme="minorHAnsi"/>
          <w:bCs/>
        </w:rPr>
        <w:t>210 evidovalo a</w:t>
      </w:r>
      <w:r w:rsidR="00DB2620" w:rsidRPr="00A315CB">
        <w:rPr>
          <w:rFonts w:asciiTheme="minorHAnsi" w:hAnsiTheme="minorHAnsi" w:cstheme="minorHAnsi"/>
          <w:bCs/>
        </w:rPr>
        <w:t xml:space="preserve"> </w:t>
      </w:r>
      <w:r w:rsidRPr="00A315CB">
        <w:rPr>
          <w:rFonts w:asciiTheme="minorHAnsi" w:hAnsiTheme="minorHAnsi" w:cstheme="minorHAnsi"/>
          <w:bCs/>
        </w:rPr>
        <w:t>registrovalo akce ještě v</w:t>
      </w:r>
      <w:r w:rsidR="00DB2620" w:rsidRPr="00A315CB">
        <w:rPr>
          <w:rFonts w:asciiTheme="minorHAnsi" w:hAnsiTheme="minorHAnsi" w:cstheme="minorHAnsi"/>
          <w:bCs/>
        </w:rPr>
        <w:t xml:space="preserve"> </w:t>
      </w:r>
      <w:r w:rsidRPr="00A315CB">
        <w:rPr>
          <w:rFonts w:asciiTheme="minorHAnsi" w:hAnsiTheme="minorHAnsi" w:cstheme="minorHAnsi"/>
          <w:bCs/>
        </w:rPr>
        <w:t>období</w:t>
      </w:r>
      <w:r w:rsidR="00985CFC" w:rsidRPr="00A315CB">
        <w:rPr>
          <w:rFonts w:asciiTheme="minorHAnsi" w:hAnsiTheme="minorHAnsi" w:cstheme="minorHAnsi"/>
          <w:bCs/>
        </w:rPr>
        <w:t xml:space="preserve"> let 2013 a</w:t>
      </w:r>
      <w:r w:rsidR="00DB2620" w:rsidRPr="00A315CB">
        <w:rPr>
          <w:rFonts w:asciiTheme="minorHAnsi" w:hAnsiTheme="minorHAnsi" w:cstheme="minorHAnsi"/>
          <w:bCs/>
        </w:rPr>
        <w:t xml:space="preserve"> </w:t>
      </w:r>
      <w:r w:rsidRPr="00A315CB">
        <w:rPr>
          <w:rFonts w:asciiTheme="minorHAnsi" w:hAnsiTheme="minorHAnsi" w:cstheme="minorHAnsi"/>
          <w:bCs/>
        </w:rPr>
        <w:t>2014 (rekonstrukce obje</w:t>
      </w:r>
      <w:r w:rsidR="0001248D" w:rsidRPr="00A315CB">
        <w:rPr>
          <w:rFonts w:asciiTheme="minorHAnsi" w:hAnsiTheme="minorHAnsi" w:cstheme="minorHAnsi"/>
          <w:bCs/>
        </w:rPr>
        <w:t>ktu č. 17 na Pankráci a nástavba</w:t>
      </w:r>
      <w:r w:rsidRPr="00A315CB">
        <w:rPr>
          <w:rFonts w:asciiTheme="minorHAnsi" w:hAnsiTheme="minorHAnsi" w:cstheme="minorHAnsi"/>
          <w:bCs/>
        </w:rPr>
        <w:t xml:space="preserve"> objektu E v</w:t>
      </w:r>
      <w:r w:rsidR="00DB2620" w:rsidRPr="00A315CB">
        <w:rPr>
          <w:rFonts w:asciiTheme="minorHAnsi" w:hAnsiTheme="minorHAnsi" w:cstheme="minorHAnsi"/>
          <w:bCs/>
        </w:rPr>
        <w:t xml:space="preserve"> </w:t>
      </w:r>
      <w:r w:rsidRPr="00A315CB">
        <w:rPr>
          <w:rFonts w:asciiTheme="minorHAnsi" w:hAnsiTheme="minorHAnsi" w:cstheme="minorHAnsi"/>
          <w:bCs/>
        </w:rPr>
        <w:t>Českých Budějovicích), kdy již byl schválen nový</w:t>
      </w:r>
      <w:r w:rsidR="0068092F">
        <w:rPr>
          <w:rFonts w:asciiTheme="minorHAnsi" w:hAnsiTheme="minorHAnsi" w:cstheme="minorHAnsi"/>
          <w:bCs/>
        </w:rPr>
        <w:t>,</w:t>
      </w:r>
      <w:r w:rsidR="00985CFC" w:rsidRPr="00A315CB">
        <w:rPr>
          <w:rFonts w:asciiTheme="minorHAnsi" w:hAnsiTheme="minorHAnsi" w:cstheme="minorHAnsi"/>
          <w:bCs/>
        </w:rPr>
        <w:t xml:space="preserve"> věcně téměř totožný</w:t>
      </w:r>
      <w:r w:rsidR="004F6FC2" w:rsidRPr="00A315CB">
        <w:rPr>
          <w:rFonts w:asciiTheme="minorHAnsi" w:hAnsiTheme="minorHAnsi" w:cstheme="minorHAnsi"/>
          <w:bCs/>
        </w:rPr>
        <w:t xml:space="preserve"> program 136</w:t>
      </w:r>
      <w:r w:rsidR="00DB2620" w:rsidRPr="00A315CB">
        <w:rPr>
          <w:rFonts w:asciiTheme="minorHAnsi" w:hAnsiTheme="minorHAnsi" w:cstheme="minorHAnsi"/>
          <w:bCs/>
        </w:rPr>
        <w:t xml:space="preserve"> </w:t>
      </w:r>
      <w:r w:rsidR="004F6FC2" w:rsidRPr="00A315CB">
        <w:rPr>
          <w:rFonts w:asciiTheme="minorHAnsi" w:hAnsiTheme="minorHAnsi" w:cstheme="minorHAnsi"/>
          <w:bCs/>
        </w:rPr>
        <w:t xml:space="preserve">310, </w:t>
      </w:r>
      <w:r w:rsidR="0068092F">
        <w:rPr>
          <w:rFonts w:asciiTheme="minorHAnsi" w:hAnsiTheme="minorHAnsi" w:cstheme="minorHAnsi"/>
          <w:bCs/>
        </w:rPr>
        <w:t>který byl</w:t>
      </w:r>
      <w:r w:rsidRPr="00A315CB">
        <w:rPr>
          <w:rFonts w:asciiTheme="minorHAnsi" w:hAnsiTheme="minorHAnsi" w:cstheme="minorHAnsi"/>
          <w:bCs/>
        </w:rPr>
        <w:t xml:space="preserve"> na počátku </w:t>
      </w:r>
      <w:r w:rsidR="0068092F">
        <w:rPr>
          <w:rFonts w:asciiTheme="minorHAnsi" w:hAnsiTheme="minorHAnsi" w:cstheme="minorHAnsi"/>
          <w:bCs/>
        </w:rPr>
        <w:t>čerpán jen minimálně</w:t>
      </w:r>
      <w:r w:rsidRPr="00A315CB">
        <w:rPr>
          <w:rFonts w:asciiTheme="minorHAnsi" w:hAnsiTheme="minorHAnsi" w:cstheme="minorHAnsi"/>
          <w:bCs/>
        </w:rPr>
        <w:t>.</w:t>
      </w:r>
      <w:r w:rsidR="004C031F">
        <w:rPr>
          <w:rFonts w:asciiTheme="minorHAnsi" w:hAnsiTheme="minorHAnsi" w:cstheme="minorHAnsi"/>
          <w:bCs/>
        </w:rPr>
        <w:t xml:space="preserve"> </w:t>
      </w:r>
      <w:r w:rsidR="0068092F">
        <w:rPr>
          <w:rFonts w:asciiTheme="minorHAnsi" w:hAnsiTheme="minorHAnsi" w:cstheme="minorHAnsi"/>
          <w:bCs/>
        </w:rPr>
        <w:t xml:space="preserve">V programu </w:t>
      </w:r>
      <w:r w:rsidR="00605772">
        <w:rPr>
          <w:rFonts w:asciiTheme="minorHAnsi" w:hAnsiTheme="minorHAnsi" w:cstheme="minorHAnsi"/>
          <w:bCs/>
        </w:rPr>
        <w:t>236</w:t>
      </w:r>
      <w:r w:rsidR="00DB2620">
        <w:rPr>
          <w:rFonts w:asciiTheme="minorHAnsi" w:hAnsiTheme="minorHAnsi" w:cstheme="minorHAnsi"/>
          <w:bCs/>
        </w:rPr>
        <w:t xml:space="preserve"> </w:t>
      </w:r>
      <w:r w:rsidR="00605772">
        <w:rPr>
          <w:rFonts w:asciiTheme="minorHAnsi" w:hAnsiTheme="minorHAnsi" w:cstheme="minorHAnsi"/>
          <w:bCs/>
        </w:rPr>
        <w:t xml:space="preserve">210 byly realizovány </w:t>
      </w:r>
      <w:r w:rsidRPr="0009745F">
        <w:rPr>
          <w:rFonts w:asciiTheme="minorHAnsi" w:hAnsiTheme="minorHAnsi" w:cstheme="minorHAnsi"/>
          <w:bCs/>
        </w:rPr>
        <w:t>akce uvedené v</w:t>
      </w:r>
      <w:r w:rsidR="00DB2620">
        <w:rPr>
          <w:rFonts w:asciiTheme="minorHAnsi" w:hAnsiTheme="minorHAnsi" w:cstheme="minorHAnsi"/>
          <w:bCs/>
        </w:rPr>
        <w:t xml:space="preserve"> </w:t>
      </w:r>
      <w:r w:rsidRPr="0009745F">
        <w:rPr>
          <w:rFonts w:asciiTheme="minorHAnsi" w:hAnsiTheme="minorHAnsi" w:cstheme="minorHAnsi"/>
          <w:bCs/>
        </w:rPr>
        <w:t>koncepci, ale i další projekty, které v koncepci uveden</w:t>
      </w:r>
      <w:r w:rsidR="0068092F">
        <w:rPr>
          <w:rFonts w:asciiTheme="minorHAnsi" w:hAnsiTheme="minorHAnsi" w:cstheme="minorHAnsi"/>
          <w:bCs/>
        </w:rPr>
        <w:t>y</w:t>
      </w:r>
      <w:r w:rsidRPr="0009745F">
        <w:rPr>
          <w:rFonts w:asciiTheme="minorHAnsi" w:hAnsiTheme="minorHAnsi" w:cstheme="minorHAnsi"/>
          <w:bCs/>
        </w:rPr>
        <w:t xml:space="preserve"> nebyly a byly do programu operativně zařazovány na základě okamžité potřeby. </w:t>
      </w:r>
    </w:p>
    <w:p w14:paraId="008DA4C0" w14:textId="77777777" w:rsidR="004B5CEA" w:rsidRDefault="004B5CEA" w:rsidP="004C031F">
      <w:pPr>
        <w:spacing w:line="264" w:lineRule="auto"/>
        <w:jc w:val="both"/>
        <w:rPr>
          <w:rFonts w:asciiTheme="minorHAnsi" w:hAnsiTheme="minorHAnsi" w:cstheme="minorHAnsi"/>
          <w:b/>
          <w:bCs/>
        </w:rPr>
      </w:pPr>
    </w:p>
    <w:p w14:paraId="54F609A1" w14:textId="1FA741E4" w:rsidR="00B06B9F" w:rsidRDefault="0009745F" w:rsidP="004C031F">
      <w:pPr>
        <w:spacing w:line="264" w:lineRule="auto"/>
        <w:jc w:val="both"/>
        <w:rPr>
          <w:rFonts w:asciiTheme="minorHAnsi" w:hAnsiTheme="minorHAnsi" w:cstheme="minorHAnsi"/>
          <w:bCs/>
        </w:rPr>
      </w:pPr>
      <w:r w:rsidRPr="0009745F">
        <w:rPr>
          <w:rFonts w:asciiTheme="minorHAnsi" w:hAnsiTheme="minorHAnsi" w:cstheme="minorHAnsi"/>
          <w:b/>
          <w:bCs/>
        </w:rPr>
        <w:t>d)</w:t>
      </w:r>
      <w:r>
        <w:rPr>
          <w:rFonts w:asciiTheme="minorHAnsi" w:hAnsiTheme="minorHAnsi" w:cstheme="minorHAnsi"/>
          <w:bCs/>
        </w:rPr>
        <w:t xml:space="preserve"> </w:t>
      </w:r>
      <w:r w:rsidRPr="00AD1998">
        <w:rPr>
          <w:rFonts w:asciiTheme="minorHAnsi" w:hAnsiTheme="minorHAnsi" w:cstheme="minorHAnsi"/>
          <w:b/>
          <w:bCs/>
        </w:rPr>
        <w:t>Program 136</w:t>
      </w:r>
      <w:r w:rsidR="00DB2620">
        <w:rPr>
          <w:rFonts w:asciiTheme="minorHAnsi" w:hAnsiTheme="minorHAnsi" w:cstheme="minorHAnsi"/>
          <w:b/>
          <w:bCs/>
        </w:rPr>
        <w:t xml:space="preserve"> </w:t>
      </w:r>
      <w:r w:rsidRPr="00AD1998">
        <w:rPr>
          <w:rFonts w:asciiTheme="minorHAnsi" w:hAnsiTheme="minorHAnsi" w:cstheme="minorHAnsi"/>
          <w:b/>
          <w:bCs/>
        </w:rPr>
        <w:t>310</w:t>
      </w:r>
      <w:r w:rsidRPr="0009745F">
        <w:rPr>
          <w:rFonts w:asciiTheme="minorHAnsi" w:hAnsiTheme="minorHAnsi" w:cstheme="minorHAnsi"/>
          <w:bCs/>
        </w:rPr>
        <w:t xml:space="preserve"> měl </w:t>
      </w:r>
      <w:r w:rsidR="00AD1998">
        <w:rPr>
          <w:rFonts w:asciiTheme="minorHAnsi" w:hAnsiTheme="minorHAnsi" w:cstheme="minorHAnsi"/>
          <w:bCs/>
        </w:rPr>
        <w:t>být realizován v</w:t>
      </w:r>
      <w:r w:rsidR="00DB2620">
        <w:rPr>
          <w:rFonts w:asciiTheme="minorHAnsi" w:hAnsiTheme="minorHAnsi" w:cstheme="minorHAnsi"/>
          <w:bCs/>
        </w:rPr>
        <w:t xml:space="preserve"> </w:t>
      </w:r>
      <w:r w:rsidR="00AD1998">
        <w:rPr>
          <w:rFonts w:asciiTheme="minorHAnsi" w:hAnsiTheme="minorHAnsi" w:cstheme="minorHAnsi"/>
          <w:bCs/>
        </w:rPr>
        <w:t xml:space="preserve">letech </w:t>
      </w:r>
      <w:r w:rsidRPr="0009745F">
        <w:rPr>
          <w:rFonts w:asciiTheme="minorHAnsi" w:hAnsiTheme="minorHAnsi" w:cstheme="minorHAnsi"/>
          <w:bCs/>
        </w:rPr>
        <w:t xml:space="preserve">2013 </w:t>
      </w:r>
      <w:r w:rsidR="00985CFC">
        <w:rPr>
          <w:rFonts w:asciiTheme="minorHAnsi" w:hAnsiTheme="minorHAnsi" w:cstheme="minorHAnsi"/>
          <w:bCs/>
        </w:rPr>
        <w:t>až</w:t>
      </w:r>
      <w:r w:rsidRPr="0009745F">
        <w:rPr>
          <w:rFonts w:asciiTheme="minorHAnsi" w:hAnsiTheme="minorHAnsi" w:cstheme="minorHAnsi"/>
          <w:bCs/>
        </w:rPr>
        <w:t xml:space="preserve"> 2015</w:t>
      </w:r>
      <w:r w:rsidR="00AD1998">
        <w:rPr>
          <w:rFonts w:asciiTheme="minorHAnsi" w:hAnsiTheme="minorHAnsi" w:cstheme="minorHAnsi"/>
          <w:bCs/>
        </w:rPr>
        <w:t xml:space="preserve"> s</w:t>
      </w:r>
      <w:r w:rsidR="00DB2620">
        <w:rPr>
          <w:rFonts w:asciiTheme="minorHAnsi" w:hAnsiTheme="minorHAnsi" w:cstheme="minorHAnsi"/>
          <w:bCs/>
        </w:rPr>
        <w:t xml:space="preserve"> </w:t>
      </w:r>
      <w:r w:rsidR="00AD1998">
        <w:rPr>
          <w:rFonts w:asciiTheme="minorHAnsi" w:hAnsiTheme="minorHAnsi" w:cstheme="minorHAnsi"/>
          <w:bCs/>
        </w:rPr>
        <w:t>výdaji 310,5 mil. Kč</w:t>
      </w:r>
      <w:r w:rsidRPr="0009745F">
        <w:rPr>
          <w:rFonts w:asciiTheme="minorHAnsi" w:hAnsiTheme="minorHAnsi" w:cstheme="minorHAnsi"/>
          <w:bCs/>
        </w:rPr>
        <w:t xml:space="preserve">. </w:t>
      </w:r>
      <w:r w:rsidR="00AD1998">
        <w:rPr>
          <w:rFonts w:asciiTheme="minorHAnsi" w:hAnsiTheme="minorHAnsi" w:cstheme="minorHAnsi"/>
          <w:bCs/>
        </w:rPr>
        <w:t>Program b</w:t>
      </w:r>
      <w:r w:rsidRPr="0009745F">
        <w:rPr>
          <w:rFonts w:asciiTheme="minorHAnsi" w:hAnsiTheme="minorHAnsi" w:cstheme="minorHAnsi"/>
          <w:bCs/>
        </w:rPr>
        <w:t xml:space="preserve">yl od svého zahájení značně opožděn, když do roku 2014 bylo vyčerpáno pouze </w:t>
      </w:r>
      <w:r w:rsidR="00AD1998">
        <w:rPr>
          <w:rFonts w:asciiTheme="minorHAnsi" w:hAnsiTheme="minorHAnsi" w:cstheme="minorHAnsi"/>
          <w:bCs/>
        </w:rPr>
        <w:t xml:space="preserve">69,3 mil. Kč. </w:t>
      </w:r>
      <w:r w:rsidRPr="0009745F">
        <w:rPr>
          <w:rFonts w:asciiTheme="minorHAnsi" w:hAnsiTheme="minorHAnsi" w:cstheme="minorHAnsi"/>
          <w:bCs/>
        </w:rPr>
        <w:t xml:space="preserve">MSp předpokládá, že </w:t>
      </w:r>
      <w:r w:rsidR="008172EE" w:rsidRPr="008A4F25">
        <w:rPr>
          <w:rFonts w:asciiTheme="minorHAnsi" w:hAnsiTheme="minorHAnsi" w:cstheme="minorHAnsi"/>
          <w:bCs/>
        </w:rPr>
        <w:t>v</w:t>
      </w:r>
      <w:r w:rsidR="00DB2620">
        <w:rPr>
          <w:rFonts w:asciiTheme="minorHAnsi" w:hAnsiTheme="minorHAnsi" w:cstheme="minorHAnsi"/>
          <w:bCs/>
        </w:rPr>
        <w:t xml:space="preserve"> </w:t>
      </w:r>
      <w:r w:rsidR="008172EE" w:rsidRPr="008A4F25">
        <w:rPr>
          <w:rFonts w:asciiTheme="minorHAnsi" w:hAnsiTheme="minorHAnsi" w:cstheme="minorHAnsi"/>
          <w:bCs/>
        </w:rPr>
        <w:t xml:space="preserve">roce </w:t>
      </w:r>
      <w:r w:rsidRPr="008A4F25">
        <w:rPr>
          <w:rFonts w:asciiTheme="minorHAnsi" w:hAnsiTheme="minorHAnsi" w:cstheme="minorHAnsi"/>
          <w:bCs/>
        </w:rPr>
        <w:t>2015</w:t>
      </w:r>
      <w:r w:rsidR="008172EE">
        <w:rPr>
          <w:rFonts w:asciiTheme="minorHAnsi" w:hAnsiTheme="minorHAnsi" w:cstheme="minorHAnsi"/>
          <w:bCs/>
        </w:rPr>
        <w:t xml:space="preserve"> </w:t>
      </w:r>
      <w:r w:rsidR="00985CFC">
        <w:rPr>
          <w:rFonts w:asciiTheme="minorHAnsi" w:hAnsiTheme="minorHAnsi" w:cstheme="minorHAnsi"/>
          <w:bCs/>
        </w:rPr>
        <w:t>bude z</w:t>
      </w:r>
      <w:r w:rsidR="00DB2620">
        <w:rPr>
          <w:rFonts w:asciiTheme="minorHAnsi" w:hAnsiTheme="minorHAnsi" w:cstheme="minorHAnsi"/>
          <w:bCs/>
        </w:rPr>
        <w:t xml:space="preserve"> </w:t>
      </w:r>
      <w:r w:rsidR="00985CFC">
        <w:rPr>
          <w:rFonts w:asciiTheme="minorHAnsi" w:hAnsiTheme="minorHAnsi" w:cstheme="minorHAnsi"/>
          <w:bCs/>
        </w:rPr>
        <w:t xml:space="preserve">programu vyčerpáno </w:t>
      </w:r>
      <w:r w:rsidR="0071682C">
        <w:rPr>
          <w:rFonts w:asciiTheme="minorHAnsi" w:hAnsiTheme="minorHAnsi" w:cstheme="minorHAnsi"/>
          <w:bCs/>
        </w:rPr>
        <w:t xml:space="preserve">dalších </w:t>
      </w:r>
      <w:r w:rsidR="00985CFC">
        <w:rPr>
          <w:rFonts w:asciiTheme="minorHAnsi" w:hAnsiTheme="minorHAnsi" w:cstheme="minorHAnsi"/>
          <w:bCs/>
        </w:rPr>
        <w:t>cca 180 mil. Kč. Změnou dokumentace programu v</w:t>
      </w:r>
      <w:r w:rsidR="00DB2620">
        <w:rPr>
          <w:rFonts w:asciiTheme="minorHAnsi" w:hAnsiTheme="minorHAnsi" w:cstheme="minorHAnsi"/>
          <w:bCs/>
        </w:rPr>
        <w:t xml:space="preserve"> </w:t>
      </w:r>
      <w:r w:rsidR="00985CFC">
        <w:rPr>
          <w:rFonts w:asciiTheme="minorHAnsi" w:hAnsiTheme="minorHAnsi" w:cstheme="minorHAnsi"/>
          <w:bCs/>
        </w:rPr>
        <w:t>říjnu 2015 došlo k</w:t>
      </w:r>
      <w:r w:rsidR="00DB2620">
        <w:rPr>
          <w:rFonts w:asciiTheme="minorHAnsi" w:hAnsiTheme="minorHAnsi" w:cstheme="minorHAnsi"/>
          <w:bCs/>
        </w:rPr>
        <w:t xml:space="preserve"> </w:t>
      </w:r>
      <w:r w:rsidR="00985CFC">
        <w:rPr>
          <w:rFonts w:asciiTheme="minorHAnsi" w:hAnsiTheme="minorHAnsi" w:cstheme="minorHAnsi"/>
          <w:bCs/>
        </w:rPr>
        <w:t>prodloužení realizace programu do roku 2018 a navýšení účasti státního rozpočtu na 1</w:t>
      </w:r>
      <w:r w:rsidR="00DB2620">
        <w:rPr>
          <w:rFonts w:asciiTheme="minorHAnsi" w:hAnsiTheme="minorHAnsi" w:cstheme="minorHAnsi"/>
          <w:bCs/>
        </w:rPr>
        <w:t xml:space="preserve"> </w:t>
      </w:r>
      <w:r w:rsidR="00985CFC">
        <w:rPr>
          <w:rFonts w:asciiTheme="minorHAnsi" w:hAnsiTheme="minorHAnsi" w:cstheme="minorHAnsi"/>
          <w:bCs/>
        </w:rPr>
        <w:t>599,1 mil. Kč.</w:t>
      </w:r>
      <w:r w:rsidR="00B06B9F">
        <w:rPr>
          <w:rFonts w:asciiTheme="minorHAnsi" w:hAnsiTheme="minorHAnsi" w:cstheme="minorHAnsi"/>
          <w:bCs/>
        </w:rPr>
        <w:t xml:space="preserve"> </w:t>
      </w:r>
      <w:r w:rsidR="00933328">
        <w:rPr>
          <w:rFonts w:asciiTheme="minorHAnsi" w:hAnsiTheme="minorHAnsi" w:cstheme="minorHAnsi"/>
          <w:bCs/>
        </w:rPr>
        <w:t xml:space="preserve">Ve </w:t>
      </w:r>
      <w:r w:rsidR="00B06B9F" w:rsidRPr="00B06B9F">
        <w:rPr>
          <w:rFonts w:asciiTheme="minorHAnsi" w:hAnsiTheme="minorHAnsi" w:cstheme="minorHAnsi"/>
          <w:bCs/>
        </w:rPr>
        <w:t xml:space="preserve">schválené </w:t>
      </w:r>
      <w:r w:rsidR="00933328">
        <w:rPr>
          <w:rFonts w:asciiTheme="minorHAnsi" w:hAnsiTheme="minorHAnsi" w:cstheme="minorHAnsi"/>
          <w:bCs/>
        </w:rPr>
        <w:t xml:space="preserve">změně dokumentace programu jsou </w:t>
      </w:r>
      <w:r w:rsidR="00A315CB">
        <w:rPr>
          <w:rFonts w:asciiTheme="minorHAnsi" w:hAnsiTheme="minorHAnsi" w:cstheme="minorHAnsi"/>
          <w:bCs/>
        </w:rPr>
        <w:t xml:space="preserve">uvedeny </w:t>
      </w:r>
      <w:r w:rsidR="00B06B9F" w:rsidRPr="00B06B9F">
        <w:rPr>
          <w:rFonts w:asciiTheme="minorHAnsi" w:hAnsiTheme="minorHAnsi" w:cstheme="minorHAnsi"/>
          <w:bCs/>
        </w:rPr>
        <w:t>výdaje v</w:t>
      </w:r>
      <w:r w:rsidR="00DB2620">
        <w:rPr>
          <w:rFonts w:asciiTheme="minorHAnsi" w:hAnsiTheme="minorHAnsi" w:cstheme="minorHAnsi"/>
          <w:bCs/>
        </w:rPr>
        <w:t xml:space="preserve"> </w:t>
      </w:r>
      <w:r w:rsidR="00B06B9F" w:rsidRPr="00B06B9F">
        <w:rPr>
          <w:rFonts w:asciiTheme="minorHAnsi" w:hAnsiTheme="minorHAnsi" w:cstheme="minorHAnsi"/>
          <w:bCs/>
        </w:rPr>
        <w:t xml:space="preserve">roce 2015 </w:t>
      </w:r>
      <w:r w:rsidR="00933328">
        <w:rPr>
          <w:rFonts w:asciiTheme="minorHAnsi" w:hAnsiTheme="minorHAnsi" w:cstheme="minorHAnsi"/>
          <w:bCs/>
        </w:rPr>
        <w:t xml:space="preserve">ve výši 575 mil. Kč. Skutečné čerpání </w:t>
      </w:r>
      <w:r w:rsidR="00B06B9F" w:rsidRPr="00B06B9F">
        <w:rPr>
          <w:rFonts w:asciiTheme="minorHAnsi" w:hAnsiTheme="minorHAnsi" w:cstheme="minorHAnsi"/>
          <w:bCs/>
        </w:rPr>
        <w:t xml:space="preserve">je </w:t>
      </w:r>
      <w:r w:rsidR="00933328">
        <w:rPr>
          <w:rFonts w:asciiTheme="minorHAnsi" w:hAnsiTheme="minorHAnsi" w:cstheme="minorHAnsi"/>
          <w:bCs/>
        </w:rPr>
        <w:t xml:space="preserve">VS </w:t>
      </w:r>
      <w:r w:rsidR="00B06B9F" w:rsidRPr="00B06B9F">
        <w:rPr>
          <w:rFonts w:asciiTheme="minorHAnsi" w:hAnsiTheme="minorHAnsi" w:cstheme="minorHAnsi"/>
          <w:bCs/>
        </w:rPr>
        <w:t xml:space="preserve">odhadováno pouze na 180 mil. Kč. </w:t>
      </w:r>
      <w:r w:rsidR="00933328">
        <w:rPr>
          <w:rFonts w:asciiTheme="minorHAnsi" w:hAnsiTheme="minorHAnsi" w:cstheme="minorHAnsi"/>
          <w:bCs/>
        </w:rPr>
        <w:t>Z toho vyplývá, že značná část bude převedena do nárok</w:t>
      </w:r>
      <w:r w:rsidR="0068092F">
        <w:rPr>
          <w:rFonts w:asciiTheme="minorHAnsi" w:hAnsiTheme="minorHAnsi" w:cstheme="minorHAnsi"/>
          <w:bCs/>
        </w:rPr>
        <w:t>ů</w:t>
      </w:r>
      <w:r w:rsidR="00933328">
        <w:rPr>
          <w:rFonts w:asciiTheme="minorHAnsi" w:hAnsiTheme="minorHAnsi" w:cstheme="minorHAnsi"/>
          <w:bCs/>
        </w:rPr>
        <w:t xml:space="preserve"> z nespotřebovaných výdajů. </w:t>
      </w:r>
      <w:r w:rsidR="00B06B9F" w:rsidRPr="00B06B9F">
        <w:rPr>
          <w:rFonts w:asciiTheme="minorHAnsi" w:hAnsiTheme="minorHAnsi" w:cstheme="minorHAnsi"/>
          <w:bCs/>
        </w:rPr>
        <w:t>VS</w:t>
      </w:r>
      <w:r w:rsidR="005B2F71">
        <w:rPr>
          <w:rFonts w:asciiTheme="minorHAnsi" w:hAnsiTheme="minorHAnsi" w:cstheme="minorHAnsi"/>
          <w:bCs/>
        </w:rPr>
        <w:t> </w:t>
      </w:r>
      <w:r w:rsidR="00B06B9F" w:rsidRPr="00B06B9F">
        <w:rPr>
          <w:rFonts w:asciiTheme="minorHAnsi" w:hAnsiTheme="minorHAnsi" w:cstheme="minorHAnsi"/>
          <w:bCs/>
        </w:rPr>
        <w:t>tak prostřed</w:t>
      </w:r>
      <w:r w:rsidR="004F6FC2">
        <w:rPr>
          <w:rFonts w:asciiTheme="minorHAnsi" w:hAnsiTheme="minorHAnsi" w:cstheme="minorHAnsi"/>
          <w:bCs/>
        </w:rPr>
        <w:t xml:space="preserve">nictvím MSp registruje akce, které bezprostředně </w:t>
      </w:r>
      <w:r w:rsidR="00B06B9F" w:rsidRPr="00B06B9F">
        <w:rPr>
          <w:rFonts w:asciiTheme="minorHAnsi" w:hAnsiTheme="minorHAnsi" w:cstheme="minorHAnsi"/>
          <w:bCs/>
        </w:rPr>
        <w:t>nerealizuje a nefinancuje.</w:t>
      </w:r>
    </w:p>
    <w:p w14:paraId="7DDC41F3" w14:textId="77777777" w:rsidR="00985CFC" w:rsidRDefault="00985CFC" w:rsidP="004C031F">
      <w:pPr>
        <w:spacing w:line="264" w:lineRule="auto"/>
        <w:jc w:val="both"/>
        <w:rPr>
          <w:rFonts w:asciiTheme="minorHAnsi" w:hAnsiTheme="minorHAnsi" w:cstheme="minorHAnsi"/>
          <w:bCs/>
        </w:rPr>
      </w:pPr>
    </w:p>
    <w:p w14:paraId="05DAF221" w14:textId="77777777" w:rsidR="00D16671" w:rsidRDefault="00D16671" w:rsidP="004C031F">
      <w:pPr>
        <w:spacing w:line="264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Podrobnosti a příklady ke zjištěním v části II.3</w:t>
      </w:r>
    </w:p>
    <w:p w14:paraId="3B87905D" w14:textId="77777777" w:rsidR="001D231A" w:rsidRDefault="001D231A" w:rsidP="004C031F">
      <w:pPr>
        <w:spacing w:line="264" w:lineRule="auto"/>
        <w:jc w:val="both"/>
        <w:rPr>
          <w:rFonts w:asciiTheme="minorHAnsi" w:hAnsiTheme="minorHAnsi" w:cstheme="minorHAnsi"/>
          <w:b/>
        </w:rPr>
      </w:pPr>
    </w:p>
    <w:p w14:paraId="5ABA1859" w14:textId="6E978651" w:rsidR="00BA037C" w:rsidRDefault="00740F67" w:rsidP="004C031F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a) </w:t>
      </w:r>
      <w:r w:rsidRPr="00740F67">
        <w:rPr>
          <w:rFonts w:asciiTheme="minorHAnsi" w:hAnsiTheme="minorHAnsi" w:cstheme="minorHAnsi"/>
        </w:rPr>
        <w:t>MSp</w:t>
      </w:r>
      <w:r>
        <w:rPr>
          <w:rFonts w:asciiTheme="minorHAnsi" w:hAnsiTheme="minorHAnsi" w:cstheme="minorHAnsi"/>
        </w:rPr>
        <w:t xml:space="preserve"> </w:t>
      </w:r>
      <w:r w:rsidR="00BA037C">
        <w:rPr>
          <w:rFonts w:asciiTheme="minorHAnsi" w:hAnsiTheme="minorHAnsi" w:cstheme="minorHAnsi"/>
        </w:rPr>
        <w:t>u programů 136</w:t>
      </w:r>
      <w:r w:rsidR="00DB2620">
        <w:rPr>
          <w:rFonts w:asciiTheme="minorHAnsi" w:hAnsiTheme="minorHAnsi" w:cstheme="minorHAnsi"/>
        </w:rPr>
        <w:t xml:space="preserve"> </w:t>
      </w:r>
      <w:r w:rsidR="00BA037C">
        <w:rPr>
          <w:rFonts w:asciiTheme="minorHAnsi" w:hAnsiTheme="minorHAnsi" w:cstheme="minorHAnsi"/>
        </w:rPr>
        <w:t>010 a 136</w:t>
      </w:r>
      <w:r w:rsidR="00DB2620">
        <w:rPr>
          <w:rFonts w:asciiTheme="minorHAnsi" w:hAnsiTheme="minorHAnsi" w:cstheme="minorHAnsi"/>
        </w:rPr>
        <w:t xml:space="preserve"> </w:t>
      </w:r>
      <w:r w:rsidR="00BA037C">
        <w:rPr>
          <w:rFonts w:asciiTheme="minorHAnsi" w:hAnsiTheme="minorHAnsi" w:cstheme="minorHAnsi"/>
        </w:rPr>
        <w:t xml:space="preserve">110 </w:t>
      </w:r>
      <w:r w:rsidR="001B7707">
        <w:rPr>
          <w:rFonts w:asciiTheme="minorHAnsi" w:hAnsiTheme="minorHAnsi" w:cstheme="minorHAnsi"/>
        </w:rPr>
        <w:t>nahradil</w:t>
      </w:r>
      <w:r w:rsidR="001D231A">
        <w:rPr>
          <w:rFonts w:asciiTheme="minorHAnsi" w:hAnsiTheme="minorHAnsi" w:cstheme="minorHAnsi"/>
        </w:rPr>
        <w:t>o</w:t>
      </w:r>
      <w:r w:rsidR="001B7707">
        <w:rPr>
          <w:rFonts w:asciiTheme="minorHAnsi" w:hAnsiTheme="minorHAnsi" w:cstheme="minorHAnsi"/>
        </w:rPr>
        <w:t xml:space="preserve"> v roce 2013</w:t>
      </w:r>
      <w:r w:rsidR="00BA037C">
        <w:rPr>
          <w:rFonts w:asciiTheme="minorHAnsi" w:hAnsiTheme="minorHAnsi" w:cstheme="minorHAnsi"/>
        </w:rPr>
        <w:t xml:space="preserve"> (tj. v</w:t>
      </w:r>
      <w:r w:rsidR="00DB2620">
        <w:rPr>
          <w:rFonts w:asciiTheme="minorHAnsi" w:hAnsiTheme="minorHAnsi" w:cstheme="minorHAnsi"/>
        </w:rPr>
        <w:t xml:space="preserve"> </w:t>
      </w:r>
      <w:r w:rsidR="00BA037C">
        <w:rPr>
          <w:rFonts w:asciiTheme="minorHAnsi" w:hAnsiTheme="minorHAnsi" w:cstheme="minorHAnsi"/>
        </w:rPr>
        <w:t xml:space="preserve">době, kdy měly být programy ukončeny) </w:t>
      </w:r>
      <w:r w:rsidR="001D231A">
        <w:rPr>
          <w:rFonts w:asciiTheme="minorHAnsi" w:hAnsiTheme="minorHAnsi" w:cstheme="minorHAnsi"/>
        </w:rPr>
        <w:t>některé</w:t>
      </w:r>
      <w:r w:rsidR="001B7707">
        <w:rPr>
          <w:rFonts w:asciiTheme="minorHAnsi" w:hAnsiTheme="minorHAnsi" w:cstheme="minorHAnsi"/>
        </w:rPr>
        <w:t xml:space="preserve"> </w:t>
      </w:r>
      <w:r w:rsidR="00FD44A4">
        <w:rPr>
          <w:rFonts w:asciiTheme="minorHAnsi" w:hAnsiTheme="minorHAnsi" w:cstheme="minorHAnsi"/>
        </w:rPr>
        <w:t>technickoekonomické</w:t>
      </w:r>
      <w:r>
        <w:rPr>
          <w:rFonts w:asciiTheme="minorHAnsi" w:hAnsiTheme="minorHAnsi" w:cstheme="minorHAnsi"/>
        </w:rPr>
        <w:t xml:space="preserve"> parametry</w:t>
      </w:r>
      <w:r w:rsidR="00BA037C">
        <w:rPr>
          <w:rFonts w:asciiTheme="minorHAnsi" w:hAnsiTheme="minorHAnsi" w:cstheme="minorHAnsi"/>
        </w:rPr>
        <w:t xml:space="preserve"> </w:t>
      </w:r>
      <w:r w:rsidR="00B06B9F">
        <w:rPr>
          <w:rFonts w:asciiTheme="minorHAnsi" w:hAnsiTheme="minorHAnsi" w:cstheme="minorHAnsi"/>
        </w:rPr>
        <w:t>uvedené v</w:t>
      </w:r>
      <w:r w:rsidR="00DB2620">
        <w:rPr>
          <w:rFonts w:asciiTheme="minorHAnsi" w:hAnsiTheme="minorHAnsi" w:cstheme="minorHAnsi"/>
        </w:rPr>
        <w:t xml:space="preserve"> </w:t>
      </w:r>
      <w:r w:rsidR="00B06B9F">
        <w:rPr>
          <w:rFonts w:asciiTheme="minorHAnsi" w:hAnsiTheme="minorHAnsi" w:cstheme="minorHAnsi"/>
        </w:rPr>
        <w:t xml:space="preserve">měrných jednotkách </w:t>
      </w:r>
      <w:r w:rsidR="001B7707" w:rsidRPr="00A234AA">
        <w:rPr>
          <w:rFonts w:asciiTheme="minorHAnsi" w:hAnsiTheme="minorHAnsi" w:cstheme="minorHAnsi"/>
        </w:rPr>
        <w:t xml:space="preserve">procentuálním vyjádřením </w:t>
      </w:r>
      <w:r w:rsidR="005B3EC6" w:rsidRPr="00A234AA">
        <w:rPr>
          <w:rFonts w:asciiTheme="minorHAnsi" w:hAnsiTheme="minorHAnsi" w:cstheme="minorHAnsi"/>
        </w:rPr>
        <w:t>cíle. Podle vyjádření MSp procento uvádí poměr mezi počtem justičních složek resortu podpořených v</w:t>
      </w:r>
      <w:r w:rsidR="00DB2620">
        <w:rPr>
          <w:rFonts w:asciiTheme="minorHAnsi" w:hAnsiTheme="minorHAnsi" w:cstheme="minorHAnsi"/>
        </w:rPr>
        <w:t xml:space="preserve"> </w:t>
      </w:r>
      <w:r w:rsidR="005B3EC6" w:rsidRPr="00A234AA">
        <w:rPr>
          <w:rFonts w:asciiTheme="minorHAnsi" w:hAnsiTheme="minorHAnsi" w:cstheme="minorHAnsi"/>
        </w:rPr>
        <w:t>rámci daného cíle k</w:t>
      </w:r>
      <w:r w:rsidR="00DB2620">
        <w:rPr>
          <w:rFonts w:asciiTheme="minorHAnsi" w:hAnsiTheme="minorHAnsi" w:cstheme="minorHAnsi"/>
        </w:rPr>
        <w:t xml:space="preserve"> </w:t>
      </w:r>
      <w:r w:rsidR="005B3EC6" w:rsidRPr="00A234AA">
        <w:rPr>
          <w:rFonts w:asciiTheme="minorHAnsi" w:hAnsiTheme="minorHAnsi" w:cstheme="minorHAnsi"/>
        </w:rPr>
        <w:t>celkovému počtu justičních složek res</w:t>
      </w:r>
      <w:r w:rsidR="0071682C">
        <w:rPr>
          <w:rFonts w:asciiTheme="minorHAnsi" w:hAnsiTheme="minorHAnsi" w:cstheme="minorHAnsi"/>
        </w:rPr>
        <w:t>ortu (podprogram 136</w:t>
      </w:r>
      <w:r w:rsidR="00DB2620">
        <w:rPr>
          <w:rFonts w:asciiTheme="minorHAnsi" w:hAnsiTheme="minorHAnsi" w:cstheme="minorHAnsi"/>
        </w:rPr>
        <w:t xml:space="preserve"> </w:t>
      </w:r>
      <w:r w:rsidR="0071682C">
        <w:rPr>
          <w:rFonts w:asciiTheme="minorHAnsi" w:hAnsiTheme="minorHAnsi" w:cstheme="minorHAnsi"/>
        </w:rPr>
        <w:t>011), případně</w:t>
      </w:r>
      <w:r w:rsidR="005B3EC6" w:rsidRPr="00A234AA">
        <w:rPr>
          <w:rFonts w:asciiTheme="minorHAnsi" w:hAnsiTheme="minorHAnsi" w:cstheme="minorHAnsi"/>
        </w:rPr>
        <w:t xml:space="preserve"> </w:t>
      </w:r>
      <w:r w:rsidR="001B7707" w:rsidRPr="00A234AA">
        <w:rPr>
          <w:rFonts w:asciiTheme="minorHAnsi" w:hAnsiTheme="minorHAnsi" w:cstheme="minorHAnsi"/>
        </w:rPr>
        <w:t>po</w:t>
      </w:r>
      <w:r w:rsidR="005B3EC6" w:rsidRPr="00A234AA">
        <w:rPr>
          <w:rFonts w:asciiTheme="minorHAnsi" w:hAnsiTheme="minorHAnsi" w:cstheme="minorHAnsi"/>
        </w:rPr>
        <w:t>měr výdajů na daný</w:t>
      </w:r>
      <w:r w:rsidR="001B7707" w:rsidRPr="00A234AA">
        <w:rPr>
          <w:rFonts w:asciiTheme="minorHAnsi" w:hAnsiTheme="minorHAnsi" w:cstheme="minorHAnsi"/>
        </w:rPr>
        <w:t xml:space="preserve"> parametrizovaný cíl</w:t>
      </w:r>
      <w:r w:rsidR="005B3EC6" w:rsidRPr="00A234AA">
        <w:rPr>
          <w:rFonts w:asciiTheme="minorHAnsi" w:hAnsiTheme="minorHAnsi" w:cstheme="minorHAnsi"/>
        </w:rPr>
        <w:t xml:space="preserve"> k celkovým výdajům na daný program, resp. podprogram (program 136 110 a podprogram 136</w:t>
      </w:r>
      <w:r w:rsidR="00DB2620">
        <w:rPr>
          <w:rFonts w:asciiTheme="minorHAnsi" w:hAnsiTheme="minorHAnsi" w:cstheme="minorHAnsi"/>
        </w:rPr>
        <w:t xml:space="preserve"> </w:t>
      </w:r>
      <w:r w:rsidR="005B3EC6" w:rsidRPr="00A234AA">
        <w:rPr>
          <w:rFonts w:asciiTheme="minorHAnsi" w:hAnsiTheme="minorHAnsi" w:cstheme="minorHAnsi"/>
        </w:rPr>
        <w:t>012)</w:t>
      </w:r>
      <w:r w:rsidR="001B7707" w:rsidRPr="00A234AA">
        <w:rPr>
          <w:rFonts w:asciiTheme="minorHAnsi" w:hAnsiTheme="minorHAnsi" w:cstheme="minorHAnsi"/>
        </w:rPr>
        <w:t>.</w:t>
      </w:r>
      <w:r w:rsidR="001B7707">
        <w:rPr>
          <w:rFonts w:asciiTheme="minorHAnsi" w:hAnsiTheme="minorHAnsi" w:cstheme="minorHAnsi"/>
        </w:rPr>
        <w:t xml:space="preserve"> Tento ukazatel nevypovídá o </w:t>
      </w:r>
      <w:r w:rsidR="0041533F">
        <w:rPr>
          <w:rFonts w:asciiTheme="minorHAnsi" w:hAnsiTheme="minorHAnsi" w:cstheme="minorHAnsi"/>
        </w:rPr>
        <w:t>e</w:t>
      </w:r>
      <w:r w:rsidR="00985CFC">
        <w:rPr>
          <w:rFonts w:asciiTheme="minorHAnsi" w:hAnsiTheme="minorHAnsi" w:cstheme="minorHAnsi"/>
        </w:rPr>
        <w:t xml:space="preserve">fektivnosti využití peněžních </w:t>
      </w:r>
      <w:r w:rsidR="0041533F">
        <w:rPr>
          <w:rFonts w:asciiTheme="minorHAnsi" w:hAnsiTheme="minorHAnsi" w:cstheme="minorHAnsi"/>
        </w:rPr>
        <w:t xml:space="preserve">prostředků, ale pouze stanoví, kolik jich má být vyčerpáno. </w:t>
      </w:r>
      <w:r w:rsidR="0068092F">
        <w:rPr>
          <w:rFonts w:asciiTheme="minorHAnsi" w:hAnsiTheme="minorHAnsi" w:cstheme="minorHAnsi"/>
        </w:rPr>
        <w:t>N</w:t>
      </w:r>
      <w:r w:rsidR="00BA037C">
        <w:rPr>
          <w:rFonts w:asciiTheme="minorHAnsi" w:hAnsiTheme="minorHAnsi" w:cstheme="minorHAnsi"/>
        </w:rPr>
        <w:t>apř.:</w:t>
      </w:r>
    </w:p>
    <w:p w14:paraId="304502FF" w14:textId="4608BDFF" w:rsidR="00BA037C" w:rsidRPr="00A315CB" w:rsidRDefault="00B06B9F" w:rsidP="004C031F">
      <w:pPr>
        <w:pStyle w:val="Odstavecseseznamem"/>
        <w:numPr>
          <w:ilvl w:val="0"/>
          <w:numId w:val="11"/>
        </w:numPr>
        <w:spacing w:line="264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MSp u</w:t>
      </w:r>
      <w:r w:rsidR="00BA037C">
        <w:rPr>
          <w:rFonts w:asciiTheme="minorHAnsi" w:hAnsiTheme="minorHAnsi" w:cstheme="minorHAnsi"/>
        </w:rPr>
        <w:t xml:space="preserve"> </w:t>
      </w:r>
      <w:r w:rsidR="00BA037C" w:rsidRPr="00BA037C">
        <w:rPr>
          <w:rFonts w:asciiTheme="minorHAnsi" w:hAnsiTheme="minorHAnsi" w:cstheme="minorHAnsi"/>
          <w:b/>
        </w:rPr>
        <w:t>podprogramu 136</w:t>
      </w:r>
      <w:r w:rsidR="00DB2620">
        <w:rPr>
          <w:rFonts w:asciiTheme="minorHAnsi" w:hAnsiTheme="minorHAnsi" w:cstheme="minorHAnsi"/>
          <w:b/>
        </w:rPr>
        <w:t xml:space="preserve"> </w:t>
      </w:r>
      <w:r w:rsidR="00BA037C" w:rsidRPr="00BA037C">
        <w:rPr>
          <w:rFonts w:asciiTheme="minorHAnsi" w:hAnsiTheme="minorHAnsi" w:cstheme="minorHAnsi"/>
          <w:b/>
        </w:rPr>
        <w:t>011</w:t>
      </w:r>
      <w:r w:rsidR="00BA037C">
        <w:rPr>
          <w:rFonts w:asciiTheme="minorHAnsi" w:hAnsiTheme="minorHAnsi" w:cstheme="minorHAnsi"/>
        </w:rPr>
        <w:t xml:space="preserve"> stanovilo ve třetí změně dokumentace podíl 65</w:t>
      </w:r>
      <w:r w:rsidR="00F4218A">
        <w:rPr>
          <w:rFonts w:asciiTheme="minorHAnsi" w:hAnsiTheme="minorHAnsi" w:cstheme="minorHAnsi"/>
        </w:rPr>
        <w:t xml:space="preserve"> </w:t>
      </w:r>
      <w:r w:rsidR="00BA037C">
        <w:rPr>
          <w:rFonts w:asciiTheme="minorHAnsi" w:hAnsiTheme="minorHAnsi" w:cstheme="minorHAnsi"/>
        </w:rPr>
        <w:t xml:space="preserve">% u ukazatele </w:t>
      </w:r>
      <w:r w:rsidR="007E3B79">
        <w:rPr>
          <w:rFonts w:asciiTheme="minorHAnsi" w:hAnsiTheme="minorHAnsi" w:cstheme="minorHAnsi"/>
        </w:rPr>
        <w:t>„</w:t>
      </w:r>
      <w:r w:rsidR="007E3B79">
        <w:rPr>
          <w:rFonts w:asciiTheme="minorHAnsi" w:hAnsiTheme="minorHAnsi" w:cstheme="minorHAnsi"/>
          <w:i/>
        </w:rPr>
        <w:t>r</w:t>
      </w:r>
      <w:r w:rsidR="00BA037C" w:rsidRPr="00BA037C">
        <w:rPr>
          <w:rFonts w:asciiTheme="minorHAnsi" w:hAnsiTheme="minorHAnsi" w:cstheme="minorHAnsi"/>
          <w:i/>
        </w:rPr>
        <w:t>ozvoj a obnova techniky ICT OSS</w:t>
      </w:r>
      <w:r w:rsidR="007E3B79">
        <w:rPr>
          <w:rFonts w:asciiTheme="minorHAnsi" w:hAnsiTheme="minorHAnsi" w:cstheme="minorHAnsi"/>
        </w:rPr>
        <w:t>“</w:t>
      </w:r>
      <w:r w:rsidR="00BA037C">
        <w:rPr>
          <w:rFonts w:asciiTheme="minorHAnsi" w:hAnsiTheme="minorHAnsi" w:cstheme="minorHAnsi"/>
        </w:rPr>
        <w:t>. Ve čtvrté změně t</w:t>
      </w:r>
      <w:r w:rsidR="00780495">
        <w:rPr>
          <w:rFonts w:asciiTheme="minorHAnsi" w:hAnsiTheme="minorHAnsi" w:cstheme="minorHAnsi"/>
        </w:rPr>
        <w:t xml:space="preserve">ento podíl bez </w:t>
      </w:r>
      <w:r w:rsidR="00780495" w:rsidRPr="00A315CB">
        <w:rPr>
          <w:rFonts w:asciiTheme="minorHAnsi" w:hAnsiTheme="minorHAnsi" w:cstheme="minorHAnsi"/>
        </w:rPr>
        <w:t>vysvětlení zvýšilo</w:t>
      </w:r>
      <w:r w:rsidR="00BA037C" w:rsidRPr="00A315CB">
        <w:rPr>
          <w:rFonts w:asciiTheme="minorHAnsi" w:hAnsiTheme="minorHAnsi" w:cstheme="minorHAnsi"/>
        </w:rPr>
        <w:t xml:space="preserve"> na 95</w:t>
      </w:r>
      <w:r w:rsidRPr="00A315CB">
        <w:rPr>
          <w:rFonts w:asciiTheme="minorHAnsi" w:hAnsiTheme="minorHAnsi" w:cstheme="minorHAnsi"/>
        </w:rPr>
        <w:t xml:space="preserve"> </w:t>
      </w:r>
      <w:r w:rsidR="00BA037C" w:rsidRPr="00A315CB">
        <w:rPr>
          <w:rFonts w:asciiTheme="minorHAnsi" w:hAnsiTheme="minorHAnsi" w:cstheme="minorHAnsi"/>
        </w:rPr>
        <w:t>%.</w:t>
      </w:r>
    </w:p>
    <w:p w14:paraId="6290C35B" w14:textId="32D6AB26" w:rsidR="00B23884" w:rsidRPr="00BA037C" w:rsidRDefault="00B06B9F" w:rsidP="004C031F">
      <w:pPr>
        <w:pStyle w:val="Odstavecseseznamem"/>
        <w:numPr>
          <w:ilvl w:val="0"/>
          <w:numId w:val="11"/>
        </w:numPr>
        <w:spacing w:line="264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MSp u</w:t>
      </w:r>
      <w:r w:rsidR="00BA037C">
        <w:rPr>
          <w:rFonts w:asciiTheme="minorHAnsi" w:hAnsiTheme="minorHAnsi" w:cstheme="minorHAnsi"/>
        </w:rPr>
        <w:t xml:space="preserve"> </w:t>
      </w:r>
      <w:r w:rsidR="00BA037C" w:rsidRPr="00974BEA">
        <w:rPr>
          <w:rFonts w:asciiTheme="minorHAnsi" w:hAnsiTheme="minorHAnsi" w:cstheme="minorHAnsi"/>
          <w:b/>
        </w:rPr>
        <w:t xml:space="preserve">programu </w:t>
      </w:r>
      <w:r w:rsidR="00BA037C" w:rsidRPr="00BA037C">
        <w:rPr>
          <w:rFonts w:asciiTheme="minorHAnsi" w:hAnsiTheme="minorHAnsi" w:cstheme="minorHAnsi"/>
          <w:b/>
        </w:rPr>
        <w:t>136</w:t>
      </w:r>
      <w:r w:rsidR="00DB2620">
        <w:rPr>
          <w:rFonts w:asciiTheme="minorHAnsi" w:hAnsiTheme="minorHAnsi" w:cstheme="minorHAnsi"/>
          <w:b/>
        </w:rPr>
        <w:t xml:space="preserve"> </w:t>
      </w:r>
      <w:r w:rsidR="00BA037C" w:rsidRPr="00BA037C">
        <w:rPr>
          <w:rFonts w:asciiTheme="minorHAnsi" w:hAnsiTheme="minorHAnsi" w:cstheme="minorHAnsi"/>
          <w:b/>
        </w:rPr>
        <w:t>110</w:t>
      </w:r>
      <w:r w:rsidR="00BA037C">
        <w:rPr>
          <w:rFonts w:asciiTheme="minorHAnsi" w:hAnsiTheme="minorHAnsi" w:cstheme="minorHAnsi"/>
        </w:rPr>
        <w:t xml:space="preserve"> </w:t>
      </w:r>
      <w:r w:rsidR="001B7707" w:rsidRPr="00BA037C">
        <w:rPr>
          <w:rFonts w:asciiTheme="minorHAnsi" w:hAnsiTheme="minorHAnsi" w:cstheme="minorHAnsi"/>
        </w:rPr>
        <w:t xml:space="preserve">stanovilo </w:t>
      </w:r>
      <w:r w:rsidR="00BA037C">
        <w:rPr>
          <w:rFonts w:asciiTheme="minorHAnsi" w:hAnsiTheme="minorHAnsi" w:cstheme="minorHAnsi"/>
        </w:rPr>
        <w:t>v</w:t>
      </w:r>
      <w:r w:rsidR="00DB2620">
        <w:rPr>
          <w:rFonts w:asciiTheme="minorHAnsi" w:hAnsiTheme="minorHAnsi" w:cstheme="minorHAnsi"/>
        </w:rPr>
        <w:t xml:space="preserve"> </w:t>
      </w:r>
      <w:r w:rsidR="00BA037C">
        <w:rPr>
          <w:rFonts w:asciiTheme="minorHAnsi" w:hAnsiTheme="minorHAnsi" w:cstheme="minorHAnsi"/>
        </w:rPr>
        <w:t xml:space="preserve">první změně dokumentace </w:t>
      </w:r>
      <w:r w:rsidR="00983F2D">
        <w:rPr>
          <w:rFonts w:asciiTheme="minorHAnsi" w:hAnsiTheme="minorHAnsi" w:cstheme="minorHAnsi"/>
        </w:rPr>
        <w:t>15% podíl u </w:t>
      </w:r>
      <w:r w:rsidR="001B7707" w:rsidRPr="00BA037C">
        <w:rPr>
          <w:rFonts w:asciiTheme="minorHAnsi" w:hAnsiTheme="minorHAnsi" w:cstheme="minorHAnsi"/>
        </w:rPr>
        <w:t xml:space="preserve">ukazatele </w:t>
      </w:r>
      <w:r w:rsidR="007E3B79">
        <w:rPr>
          <w:rFonts w:asciiTheme="minorHAnsi" w:hAnsiTheme="minorHAnsi" w:cstheme="minorHAnsi"/>
        </w:rPr>
        <w:t>„</w:t>
      </w:r>
      <w:r w:rsidR="007E3B79">
        <w:rPr>
          <w:rFonts w:asciiTheme="minorHAnsi" w:hAnsiTheme="minorHAnsi" w:cstheme="minorHAnsi"/>
          <w:i/>
        </w:rPr>
        <w:t>v</w:t>
      </w:r>
      <w:r w:rsidR="00BA037C">
        <w:rPr>
          <w:rFonts w:asciiTheme="minorHAnsi" w:hAnsiTheme="minorHAnsi" w:cstheme="minorHAnsi"/>
          <w:i/>
        </w:rPr>
        <w:t>ybavení potřebnou technikou a</w:t>
      </w:r>
      <w:r w:rsidR="00DB2620">
        <w:rPr>
          <w:rFonts w:asciiTheme="minorHAnsi" w:hAnsiTheme="minorHAnsi" w:cstheme="minorHAnsi"/>
          <w:i/>
        </w:rPr>
        <w:t xml:space="preserve"> </w:t>
      </w:r>
      <w:r w:rsidR="001B7707" w:rsidRPr="00BA037C">
        <w:rPr>
          <w:rFonts w:asciiTheme="minorHAnsi" w:hAnsiTheme="minorHAnsi" w:cstheme="minorHAnsi"/>
          <w:i/>
        </w:rPr>
        <w:t>zařízením</w:t>
      </w:r>
      <w:r w:rsidR="007E3B79">
        <w:rPr>
          <w:rFonts w:asciiTheme="minorHAnsi" w:hAnsiTheme="minorHAnsi" w:cstheme="minorHAnsi"/>
        </w:rPr>
        <w:t>“</w:t>
      </w:r>
      <w:r w:rsidR="001B7707" w:rsidRPr="00BA037C">
        <w:rPr>
          <w:rFonts w:asciiTheme="minorHAnsi" w:hAnsiTheme="minorHAnsi" w:cstheme="minorHAnsi"/>
        </w:rPr>
        <w:t xml:space="preserve"> </w:t>
      </w:r>
      <w:r w:rsidR="006D2804" w:rsidRPr="00BA037C">
        <w:rPr>
          <w:rFonts w:asciiTheme="minorHAnsi" w:hAnsiTheme="minorHAnsi" w:cstheme="minorHAnsi"/>
        </w:rPr>
        <w:t>a</w:t>
      </w:r>
      <w:r w:rsidR="00DB2620">
        <w:rPr>
          <w:rFonts w:asciiTheme="minorHAnsi" w:hAnsiTheme="minorHAnsi" w:cstheme="minorHAnsi"/>
        </w:rPr>
        <w:t xml:space="preserve"> </w:t>
      </w:r>
      <w:r w:rsidR="001B7707" w:rsidRPr="00BA037C">
        <w:rPr>
          <w:rFonts w:asciiTheme="minorHAnsi" w:hAnsiTheme="minorHAnsi" w:cstheme="minorHAnsi"/>
        </w:rPr>
        <w:t xml:space="preserve">10% podíl u ukazatele </w:t>
      </w:r>
      <w:r w:rsidR="007E3B79">
        <w:rPr>
          <w:rFonts w:asciiTheme="minorHAnsi" w:hAnsiTheme="minorHAnsi" w:cstheme="minorHAnsi"/>
        </w:rPr>
        <w:t>„</w:t>
      </w:r>
      <w:r w:rsidR="007E3B79">
        <w:rPr>
          <w:rFonts w:asciiTheme="minorHAnsi" w:hAnsiTheme="minorHAnsi" w:cstheme="minorHAnsi"/>
          <w:i/>
        </w:rPr>
        <w:t>r</w:t>
      </w:r>
      <w:r w:rsidR="00F14641">
        <w:rPr>
          <w:rFonts w:asciiTheme="minorHAnsi" w:hAnsiTheme="minorHAnsi" w:cstheme="minorHAnsi"/>
          <w:i/>
        </w:rPr>
        <w:t>ozšíření kapacit a </w:t>
      </w:r>
      <w:r w:rsidR="001B7707" w:rsidRPr="00BA037C">
        <w:rPr>
          <w:rFonts w:asciiTheme="minorHAnsi" w:hAnsiTheme="minorHAnsi" w:cstheme="minorHAnsi"/>
          <w:i/>
        </w:rPr>
        <w:t>opravy objektů</w:t>
      </w:r>
      <w:r w:rsidR="007E3B79">
        <w:rPr>
          <w:rFonts w:asciiTheme="minorHAnsi" w:hAnsiTheme="minorHAnsi" w:cstheme="minorHAnsi"/>
        </w:rPr>
        <w:t>“</w:t>
      </w:r>
      <w:r w:rsidR="00BA037C">
        <w:rPr>
          <w:rFonts w:asciiTheme="minorHAnsi" w:hAnsiTheme="minorHAnsi" w:cstheme="minorHAnsi"/>
        </w:rPr>
        <w:t>. V</w:t>
      </w:r>
      <w:r>
        <w:rPr>
          <w:rFonts w:asciiTheme="minorHAnsi" w:hAnsiTheme="minorHAnsi" w:cstheme="minorHAnsi"/>
        </w:rPr>
        <w:t>e</w:t>
      </w:r>
      <w:r w:rsidR="00DB2620">
        <w:rPr>
          <w:rFonts w:asciiTheme="minorHAnsi" w:hAnsiTheme="minorHAnsi" w:cstheme="minorHAnsi"/>
        </w:rPr>
        <w:t xml:space="preserve"> </w:t>
      </w:r>
      <w:r w:rsidR="00BA037C">
        <w:rPr>
          <w:rFonts w:asciiTheme="minorHAnsi" w:hAnsiTheme="minorHAnsi" w:cstheme="minorHAnsi"/>
        </w:rPr>
        <w:t xml:space="preserve">druhé změně dokumentace </w:t>
      </w:r>
      <w:r w:rsidR="00974BEA">
        <w:rPr>
          <w:rFonts w:asciiTheme="minorHAnsi" w:hAnsiTheme="minorHAnsi" w:cstheme="minorHAnsi"/>
        </w:rPr>
        <w:t xml:space="preserve">byly </w:t>
      </w:r>
      <w:r w:rsidR="00985CFC">
        <w:rPr>
          <w:rFonts w:asciiTheme="minorHAnsi" w:hAnsiTheme="minorHAnsi" w:cstheme="minorHAnsi"/>
        </w:rPr>
        <w:t xml:space="preserve">peněžní </w:t>
      </w:r>
      <w:r w:rsidR="00974BEA">
        <w:rPr>
          <w:rFonts w:asciiTheme="minorHAnsi" w:hAnsiTheme="minorHAnsi" w:cstheme="minorHAnsi"/>
        </w:rPr>
        <w:t xml:space="preserve">prostředky navýšeny </w:t>
      </w:r>
      <w:r w:rsidR="00985CFC">
        <w:rPr>
          <w:rFonts w:asciiTheme="minorHAnsi" w:hAnsiTheme="minorHAnsi" w:cstheme="minorHAnsi"/>
        </w:rPr>
        <w:t>z</w:t>
      </w:r>
      <w:r w:rsidR="00F14641">
        <w:rPr>
          <w:rFonts w:asciiTheme="minorHAnsi" w:hAnsiTheme="minorHAnsi" w:cstheme="minorHAnsi"/>
        </w:rPr>
        <w:t> </w:t>
      </w:r>
      <w:r w:rsidR="00B23884" w:rsidRPr="00BA037C">
        <w:rPr>
          <w:rFonts w:asciiTheme="minorHAnsi" w:hAnsiTheme="minorHAnsi" w:cstheme="minorHAnsi"/>
        </w:rPr>
        <w:t>1</w:t>
      </w:r>
      <w:r w:rsidR="00F14641">
        <w:rPr>
          <w:rFonts w:asciiTheme="minorHAnsi" w:hAnsiTheme="minorHAnsi" w:cstheme="minorHAnsi"/>
        </w:rPr>
        <w:t> 759,6 mil. </w:t>
      </w:r>
      <w:r w:rsidR="00B23884" w:rsidRPr="00BA037C">
        <w:rPr>
          <w:rFonts w:asciiTheme="minorHAnsi" w:hAnsiTheme="minorHAnsi" w:cstheme="minorHAnsi"/>
        </w:rPr>
        <w:t>Kč na 3</w:t>
      </w:r>
      <w:r w:rsidR="00DB2620">
        <w:rPr>
          <w:rFonts w:asciiTheme="minorHAnsi" w:hAnsiTheme="minorHAnsi" w:cstheme="minorHAnsi"/>
        </w:rPr>
        <w:t xml:space="preserve"> </w:t>
      </w:r>
      <w:r w:rsidR="00B23884" w:rsidRPr="00BA037C">
        <w:rPr>
          <w:rFonts w:asciiTheme="minorHAnsi" w:hAnsiTheme="minorHAnsi" w:cstheme="minorHAnsi"/>
        </w:rPr>
        <w:t xml:space="preserve">593,2 mil. Kč </w:t>
      </w:r>
      <w:r w:rsidR="00974BEA">
        <w:rPr>
          <w:rFonts w:asciiTheme="minorHAnsi" w:hAnsiTheme="minorHAnsi" w:cstheme="minorHAnsi"/>
        </w:rPr>
        <w:t>(o 104,2</w:t>
      </w:r>
      <w:r>
        <w:rPr>
          <w:rFonts w:asciiTheme="minorHAnsi" w:hAnsiTheme="minorHAnsi" w:cstheme="minorHAnsi"/>
        </w:rPr>
        <w:t xml:space="preserve"> </w:t>
      </w:r>
      <w:r w:rsidR="00983F2D">
        <w:rPr>
          <w:rFonts w:asciiTheme="minorHAnsi" w:hAnsiTheme="minorHAnsi" w:cstheme="minorHAnsi"/>
        </w:rPr>
        <w:t>%). Podíl zůstal u </w:t>
      </w:r>
      <w:r w:rsidR="00974BEA">
        <w:rPr>
          <w:rFonts w:asciiTheme="minorHAnsi" w:hAnsiTheme="minorHAnsi" w:cstheme="minorHAnsi"/>
        </w:rPr>
        <w:t xml:space="preserve">obou ukazatelů nezměněn, ačkoliv </w:t>
      </w:r>
      <w:r w:rsidR="00985CFC">
        <w:rPr>
          <w:rFonts w:asciiTheme="minorHAnsi" w:hAnsiTheme="minorHAnsi" w:cstheme="minorHAnsi"/>
        </w:rPr>
        <w:t xml:space="preserve">peněžní </w:t>
      </w:r>
      <w:r w:rsidR="00B23884" w:rsidRPr="00BA037C">
        <w:rPr>
          <w:rFonts w:asciiTheme="minorHAnsi" w:hAnsiTheme="minorHAnsi" w:cstheme="minorHAnsi"/>
        </w:rPr>
        <w:t>prostředky vzrostly z</w:t>
      </w:r>
      <w:r w:rsidR="00DB2620">
        <w:rPr>
          <w:rFonts w:asciiTheme="minorHAnsi" w:hAnsiTheme="minorHAnsi" w:cstheme="minorHAnsi"/>
        </w:rPr>
        <w:t xml:space="preserve"> </w:t>
      </w:r>
      <w:r w:rsidR="00B23884" w:rsidRPr="00BA037C">
        <w:rPr>
          <w:rFonts w:asciiTheme="minorHAnsi" w:hAnsiTheme="minorHAnsi" w:cstheme="minorHAnsi"/>
        </w:rPr>
        <w:t>2</w:t>
      </w:r>
      <w:r w:rsidR="0071682C">
        <w:rPr>
          <w:rFonts w:asciiTheme="minorHAnsi" w:hAnsiTheme="minorHAnsi" w:cstheme="minorHAnsi"/>
        </w:rPr>
        <w:t>63,9 mil. Kč na 539,0 mil. Kč u</w:t>
      </w:r>
      <w:r w:rsidR="00DB2620">
        <w:rPr>
          <w:rFonts w:asciiTheme="minorHAnsi" w:hAnsiTheme="minorHAnsi" w:cstheme="minorHAnsi"/>
        </w:rPr>
        <w:t xml:space="preserve"> </w:t>
      </w:r>
      <w:r w:rsidR="00B23884" w:rsidRPr="00BA037C">
        <w:rPr>
          <w:rFonts w:asciiTheme="minorHAnsi" w:hAnsiTheme="minorHAnsi" w:cstheme="minorHAnsi"/>
        </w:rPr>
        <w:t>prvního ukazatele</w:t>
      </w:r>
      <w:r w:rsidR="007E3B79">
        <w:rPr>
          <w:rFonts w:asciiTheme="minorHAnsi" w:hAnsiTheme="minorHAnsi" w:cstheme="minorHAnsi"/>
        </w:rPr>
        <w:t xml:space="preserve">, respektive </w:t>
      </w:r>
      <w:r w:rsidR="00B23884" w:rsidRPr="00BA037C">
        <w:rPr>
          <w:rFonts w:asciiTheme="minorHAnsi" w:hAnsiTheme="minorHAnsi" w:cstheme="minorHAnsi"/>
        </w:rPr>
        <w:t>z</w:t>
      </w:r>
      <w:r w:rsidR="007E3B79">
        <w:rPr>
          <w:rFonts w:asciiTheme="minorHAnsi" w:hAnsiTheme="minorHAnsi" w:cstheme="minorHAnsi"/>
        </w:rPr>
        <w:t xml:space="preserve">e </w:t>
      </w:r>
      <w:r w:rsidR="00F14641">
        <w:rPr>
          <w:rFonts w:asciiTheme="minorHAnsi" w:hAnsiTheme="minorHAnsi" w:cstheme="minorHAnsi"/>
        </w:rPr>
        <w:t>176,0 mil. </w:t>
      </w:r>
      <w:r w:rsidR="00B23884" w:rsidRPr="00BA037C">
        <w:rPr>
          <w:rFonts w:asciiTheme="minorHAnsi" w:hAnsiTheme="minorHAnsi" w:cstheme="minorHAnsi"/>
        </w:rPr>
        <w:t>Kč na 359,3 mil. Kč u druhého ukazatele.</w:t>
      </w:r>
    </w:p>
    <w:p w14:paraId="66A36847" w14:textId="77777777" w:rsidR="00B23884" w:rsidRDefault="00B23884" w:rsidP="004C031F">
      <w:pPr>
        <w:spacing w:line="264" w:lineRule="auto"/>
        <w:jc w:val="both"/>
        <w:rPr>
          <w:rFonts w:asciiTheme="minorHAnsi" w:hAnsiTheme="minorHAnsi" w:cstheme="minorHAnsi"/>
        </w:rPr>
      </w:pPr>
    </w:p>
    <w:p w14:paraId="25E44D0D" w14:textId="208EB3B3" w:rsidR="00BA6EC6" w:rsidRDefault="00B23884" w:rsidP="004C031F">
      <w:pPr>
        <w:spacing w:line="264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Uvedené navýšení </w:t>
      </w:r>
      <w:r w:rsidR="001B7707" w:rsidRPr="008F364E">
        <w:rPr>
          <w:rFonts w:asciiTheme="minorHAnsi" w:hAnsiTheme="minorHAnsi" w:cstheme="minorHAnsi"/>
        </w:rPr>
        <w:t xml:space="preserve">výdajů </w:t>
      </w:r>
      <w:r w:rsidR="001B7707" w:rsidRPr="00B23884">
        <w:rPr>
          <w:rFonts w:asciiTheme="minorHAnsi" w:hAnsiTheme="minorHAnsi" w:cstheme="minorHAnsi"/>
          <w:b/>
        </w:rPr>
        <w:t>programu</w:t>
      </w:r>
      <w:r w:rsidRPr="00B23884">
        <w:rPr>
          <w:rFonts w:asciiTheme="minorHAnsi" w:hAnsiTheme="minorHAnsi" w:cstheme="minorHAnsi"/>
          <w:b/>
        </w:rPr>
        <w:t xml:space="preserve"> 136 110</w:t>
      </w:r>
      <w:r w:rsidR="001B7707" w:rsidRPr="00B23884">
        <w:rPr>
          <w:rFonts w:asciiTheme="minorHAnsi" w:hAnsiTheme="minorHAnsi" w:cstheme="minorHAnsi"/>
          <w:b/>
        </w:rPr>
        <w:t xml:space="preserve"> </w:t>
      </w:r>
      <w:r w:rsidRPr="00B23884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b/>
        </w:rPr>
        <w:t xml:space="preserve"> </w:t>
      </w:r>
      <w:r w:rsidRPr="00B23884">
        <w:rPr>
          <w:rFonts w:asciiTheme="minorHAnsi" w:hAnsiTheme="minorHAnsi" w:cstheme="minorHAnsi"/>
        </w:rPr>
        <w:t>104,2</w:t>
      </w:r>
      <w:r w:rsidR="00B06B9F">
        <w:rPr>
          <w:rFonts w:asciiTheme="minorHAnsi" w:hAnsiTheme="minorHAnsi" w:cstheme="minorHAnsi"/>
        </w:rPr>
        <w:t xml:space="preserve"> </w:t>
      </w:r>
      <w:r w:rsidRPr="00B23884">
        <w:rPr>
          <w:rFonts w:asciiTheme="minorHAnsi" w:hAnsiTheme="minorHAnsi" w:cstheme="minorHAnsi"/>
        </w:rPr>
        <w:t>%</w:t>
      </w:r>
      <w:r w:rsidRPr="004D0310">
        <w:rPr>
          <w:rFonts w:asciiTheme="minorHAnsi" w:hAnsiTheme="minorHAnsi" w:cstheme="minorHAnsi"/>
        </w:rPr>
        <w:t xml:space="preserve"> </w:t>
      </w:r>
      <w:r w:rsidR="008F364E">
        <w:rPr>
          <w:rFonts w:asciiTheme="minorHAnsi" w:hAnsiTheme="minorHAnsi" w:cstheme="minorHAnsi"/>
        </w:rPr>
        <w:t xml:space="preserve">neodpovídalo navýšení ukazatelů </w:t>
      </w:r>
      <w:r w:rsidR="007E3B79">
        <w:rPr>
          <w:rFonts w:asciiTheme="minorHAnsi" w:hAnsiTheme="minorHAnsi" w:cstheme="minorHAnsi"/>
        </w:rPr>
        <w:t>„</w:t>
      </w:r>
      <w:r w:rsidR="007E3B79">
        <w:rPr>
          <w:rFonts w:asciiTheme="minorHAnsi" w:hAnsiTheme="minorHAnsi" w:cstheme="minorHAnsi"/>
          <w:bCs/>
          <w:i/>
        </w:rPr>
        <w:t>m</w:t>
      </w:r>
      <w:r w:rsidR="006D2804" w:rsidRPr="008F364E">
        <w:rPr>
          <w:rFonts w:asciiTheme="minorHAnsi" w:hAnsiTheme="minorHAnsi" w:cstheme="minorHAnsi"/>
          <w:bCs/>
          <w:i/>
        </w:rPr>
        <w:t>odernizace a zvýšení počtu jednacích síní</w:t>
      </w:r>
      <w:r w:rsidR="007E3B79">
        <w:rPr>
          <w:rFonts w:asciiTheme="minorHAnsi" w:hAnsiTheme="minorHAnsi" w:cstheme="minorHAnsi"/>
          <w:bCs/>
        </w:rPr>
        <w:t>“</w:t>
      </w:r>
      <w:r w:rsidR="008F364E" w:rsidRPr="008F364E">
        <w:rPr>
          <w:rFonts w:asciiTheme="minorHAnsi" w:hAnsiTheme="minorHAnsi" w:cstheme="minorHAnsi"/>
          <w:bCs/>
        </w:rPr>
        <w:t>,</w:t>
      </w:r>
      <w:r w:rsidR="006D2804" w:rsidRPr="008F364E">
        <w:rPr>
          <w:rFonts w:asciiTheme="minorHAnsi" w:hAnsiTheme="minorHAnsi" w:cstheme="minorHAnsi"/>
          <w:bCs/>
        </w:rPr>
        <w:t xml:space="preserve"> </w:t>
      </w:r>
      <w:r w:rsidR="008F364E" w:rsidRPr="008F364E">
        <w:rPr>
          <w:rFonts w:asciiTheme="minorHAnsi" w:hAnsiTheme="minorHAnsi" w:cstheme="minorHAnsi"/>
          <w:bCs/>
        </w:rPr>
        <w:t>který</w:t>
      </w:r>
      <w:r w:rsidR="008F364E">
        <w:rPr>
          <w:rFonts w:asciiTheme="minorHAnsi" w:hAnsiTheme="minorHAnsi" w:cstheme="minorHAnsi"/>
          <w:bCs/>
          <w:i/>
        </w:rPr>
        <w:t xml:space="preserve"> </w:t>
      </w:r>
      <w:r w:rsidR="006D2804" w:rsidRPr="008F364E">
        <w:rPr>
          <w:rFonts w:asciiTheme="minorHAnsi" w:hAnsiTheme="minorHAnsi" w:cstheme="minorHAnsi"/>
          <w:bCs/>
        </w:rPr>
        <w:t>byl navýše</w:t>
      </w:r>
      <w:r w:rsidR="008F364E">
        <w:rPr>
          <w:rFonts w:asciiTheme="minorHAnsi" w:hAnsiTheme="minorHAnsi" w:cstheme="minorHAnsi"/>
          <w:bCs/>
        </w:rPr>
        <w:t>n</w:t>
      </w:r>
      <w:r w:rsidR="004B5CEA">
        <w:rPr>
          <w:rFonts w:asciiTheme="minorHAnsi" w:hAnsiTheme="minorHAnsi" w:cstheme="minorHAnsi"/>
          <w:bCs/>
        </w:rPr>
        <w:t xml:space="preserve"> pouze o 44,7 % (ze 47</w:t>
      </w:r>
      <w:r w:rsidR="005B2F71">
        <w:rPr>
          <w:rFonts w:asciiTheme="minorHAnsi" w:hAnsiTheme="minorHAnsi" w:cstheme="minorHAnsi"/>
          <w:bCs/>
        </w:rPr>
        <w:t> </w:t>
      </w:r>
      <w:r w:rsidR="00F4218A">
        <w:rPr>
          <w:rFonts w:asciiTheme="minorHAnsi" w:hAnsiTheme="minorHAnsi" w:cstheme="minorHAnsi"/>
          <w:bCs/>
        </w:rPr>
        <w:t xml:space="preserve">jednacích síní </w:t>
      </w:r>
      <w:r w:rsidR="004B5CEA">
        <w:rPr>
          <w:rFonts w:asciiTheme="minorHAnsi" w:hAnsiTheme="minorHAnsi" w:cstheme="minorHAnsi"/>
          <w:bCs/>
        </w:rPr>
        <w:t>na 68) a</w:t>
      </w:r>
      <w:r w:rsidR="00DB2620">
        <w:rPr>
          <w:rFonts w:asciiTheme="minorHAnsi" w:hAnsiTheme="minorHAnsi" w:cstheme="minorHAnsi"/>
          <w:bCs/>
        </w:rPr>
        <w:t xml:space="preserve"> </w:t>
      </w:r>
      <w:r w:rsidR="007E3B79">
        <w:rPr>
          <w:rFonts w:asciiTheme="minorHAnsi" w:hAnsiTheme="minorHAnsi" w:cstheme="minorHAnsi"/>
          <w:bCs/>
        </w:rPr>
        <w:t>„</w:t>
      </w:r>
      <w:r w:rsidR="007E3B79">
        <w:rPr>
          <w:rFonts w:asciiTheme="minorHAnsi" w:hAnsiTheme="minorHAnsi" w:cstheme="minorHAnsi"/>
          <w:bCs/>
          <w:i/>
        </w:rPr>
        <w:t>r</w:t>
      </w:r>
      <w:r w:rsidR="008F364E" w:rsidRPr="008F364E">
        <w:rPr>
          <w:rFonts w:asciiTheme="minorHAnsi" w:hAnsiTheme="minorHAnsi" w:cstheme="minorHAnsi"/>
          <w:bCs/>
          <w:i/>
        </w:rPr>
        <w:t>ozšíření kancelářských</w:t>
      </w:r>
      <w:r w:rsidR="008F364E">
        <w:rPr>
          <w:rFonts w:asciiTheme="minorHAnsi" w:hAnsiTheme="minorHAnsi" w:cstheme="minorHAnsi"/>
          <w:bCs/>
          <w:i/>
        </w:rPr>
        <w:t xml:space="preserve"> ploch a jejich modernizace</w:t>
      </w:r>
      <w:r w:rsidR="007E3B79">
        <w:rPr>
          <w:rFonts w:asciiTheme="minorHAnsi" w:hAnsiTheme="minorHAnsi" w:cstheme="minorHAnsi"/>
          <w:bCs/>
        </w:rPr>
        <w:t>“</w:t>
      </w:r>
      <w:r w:rsidR="008F364E" w:rsidRPr="008F364E">
        <w:rPr>
          <w:rFonts w:asciiTheme="minorHAnsi" w:hAnsiTheme="minorHAnsi" w:cstheme="minorHAnsi"/>
          <w:bCs/>
        </w:rPr>
        <w:t>, který</w:t>
      </w:r>
      <w:r w:rsidR="008F364E">
        <w:rPr>
          <w:rFonts w:asciiTheme="minorHAnsi" w:hAnsiTheme="minorHAnsi" w:cstheme="minorHAnsi"/>
          <w:bCs/>
          <w:i/>
        </w:rPr>
        <w:t xml:space="preserve"> </w:t>
      </w:r>
      <w:r w:rsidR="0071682C">
        <w:rPr>
          <w:rFonts w:asciiTheme="minorHAnsi" w:hAnsiTheme="minorHAnsi" w:cstheme="minorHAnsi"/>
          <w:bCs/>
        </w:rPr>
        <w:t xml:space="preserve">byl navýšen pouze o 18,6 % </w:t>
      </w:r>
      <w:r w:rsidR="004B5CEA">
        <w:rPr>
          <w:rFonts w:asciiTheme="minorHAnsi" w:hAnsiTheme="minorHAnsi" w:cstheme="minorHAnsi"/>
          <w:bCs/>
        </w:rPr>
        <w:t>(z</w:t>
      </w:r>
      <w:r w:rsidR="00B06B9F">
        <w:rPr>
          <w:rFonts w:asciiTheme="minorHAnsi" w:hAnsiTheme="minorHAnsi" w:cstheme="minorHAnsi"/>
          <w:bCs/>
        </w:rPr>
        <w:t>e</w:t>
      </w:r>
      <w:r w:rsidR="00DB2620">
        <w:rPr>
          <w:rFonts w:asciiTheme="minorHAnsi" w:hAnsiTheme="minorHAnsi" w:cstheme="minorHAnsi"/>
          <w:bCs/>
        </w:rPr>
        <w:t xml:space="preserve"> </w:t>
      </w:r>
      <w:r w:rsidR="008F364E" w:rsidRPr="008F364E">
        <w:rPr>
          <w:rFonts w:asciiTheme="minorHAnsi" w:hAnsiTheme="minorHAnsi" w:cstheme="minorHAnsi"/>
          <w:bCs/>
        </w:rPr>
        <w:t>4</w:t>
      </w:r>
      <w:r w:rsidR="00DB2620">
        <w:rPr>
          <w:rFonts w:asciiTheme="minorHAnsi" w:hAnsiTheme="minorHAnsi" w:cstheme="minorHAnsi"/>
          <w:bCs/>
        </w:rPr>
        <w:t xml:space="preserve"> </w:t>
      </w:r>
      <w:r w:rsidR="008F364E" w:rsidRPr="008F364E">
        <w:rPr>
          <w:rFonts w:asciiTheme="minorHAnsi" w:hAnsiTheme="minorHAnsi" w:cstheme="minorHAnsi"/>
          <w:bCs/>
        </w:rPr>
        <w:t>094 m</w:t>
      </w:r>
      <w:r w:rsidR="008F364E" w:rsidRPr="008F364E">
        <w:rPr>
          <w:rFonts w:asciiTheme="minorHAnsi" w:hAnsiTheme="minorHAnsi" w:cstheme="minorHAnsi"/>
          <w:bCs/>
          <w:vertAlign w:val="superscript"/>
        </w:rPr>
        <w:t>2</w:t>
      </w:r>
      <w:r w:rsidR="008F364E" w:rsidRPr="008F364E">
        <w:rPr>
          <w:rFonts w:asciiTheme="minorHAnsi" w:hAnsiTheme="minorHAnsi" w:cstheme="minorHAnsi"/>
          <w:bCs/>
        </w:rPr>
        <w:t xml:space="preserve"> na 4</w:t>
      </w:r>
      <w:r w:rsidR="00DB2620">
        <w:rPr>
          <w:rFonts w:asciiTheme="minorHAnsi" w:hAnsiTheme="minorHAnsi" w:cstheme="minorHAnsi"/>
          <w:bCs/>
        </w:rPr>
        <w:t xml:space="preserve"> </w:t>
      </w:r>
      <w:r w:rsidR="008F364E" w:rsidRPr="008F364E">
        <w:rPr>
          <w:rFonts w:asciiTheme="minorHAnsi" w:hAnsiTheme="minorHAnsi" w:cstheme="minorHAnsi"/>
          <w:bCs/>
        </w:rPr>
        <w:t>854 m</w:t>
      </w:r>
      <w:r w:rsidR="008F364E" w:rsidRPr="008F364E">
        <w:rPr>
          <w:rFonts w:asciiTheme="minorHAnsi" w:hAnsiTheme="minorHAnsi" w:cstheme="minorHAnsi"/>
          <w:bCs/>
          <w:vertAlign w:val="superscript"/>
        </w:rPr>
        <w:t>2</w:t>
      </w:r>
      <w:r w:rsidR="008F364E" w:rsidRPr="008F364E">
        <w:rPr>
          <w:rFonts w:asciiTheme="minorHAnsi" w:hAnsiTheme="minorHAnsi" w:cstheme="minorHAnsi"/>
          <w:bCs/>
        </w:rPr>
        <w:t xml:space="preserve">). </w:t>
      </w:r>
      <w:r w:rsidR="006D2804" w:rsidRPr="008F364E">
        <w:rPr>
          <w:rFonts w:asciiTheme="minorHAnsi" w:hAnsiTheme="minorHAnsi" w:cstheme="minorHAnsi"/>
          <w:bCs/>
        </w:rPr>
        <w:t xml:space="preserve">Skutečnost </w:t>
      </w:r>
      <w:r w:rsidR="008F364E">
        <w:rPr>
          <w:rFonts w:asciiTheme="minorHAnsi" w:hAnsiTheme="minorHAnsi" w:cstheme="minorHAnsi"/>
          <w:bCs/>
        </w:rPr>
        <w:t xml:space="preserve">za roky 2009 až 2014 přitom již </w:t>
      </w:r>
      <w:r w:rsidR="002631DD">
        <w:rPr>
          <w:rFonts w:asciiTheme="minorHAnsi" w:hAnsiTheme="minorHAnsi" w:cstheme="minorHAnsi"/>
          <w:bCs/>
        </w:rPr>
        <w:t xml:space="preserve">stanovené ukazatele </w:t>
      </w:r>
      <w:r>
        <w:rPr>
          <w:rFonts w:asciiTheme="minorHAnsi" w:hAnsiTheme="minorHAnsi" w:cstheme="minorHAnsi"/>
          <w:bCs/>
        </w:rPr>
        <w:t xml:space="preserve">značně </w:t>
      </w:r>
      <w:r w:rsidR="002631DD">
        <w:rPr>
          <w:rFonts w:asciiTheme="minorHAnsi" w:hAnsiTheme="minorHAnsi" w:cstheme="minorHAnsi"/>
          <w:bCs/>
        </w:rPr>
        <w:t xml:space="preserve">překročila, když </w:t>
      </w:r>
      <w:r w:rsidR="008F364E">
        <w:rPr>
          <w:rFonts w:asciiTheme="minorHAnsi" w:hAnsiTheme="minorHAnsi" w:cstheme="minorHAnsi"/>
          <w:bCs/>
        </w:rPr>
        <w:t>činila</w:t>
      </w:r>
      <w:r w:rsidR="006D2804" w:rsidRPr="008F364E">
        <w:rPr>
          <w:rFonts w:asciiTheme="minorHAnsi" w:hAnsiTheme="minorHAnsi" w:cstheme="minorHAnsi"/>
          <w:bCs/>
        </w:rPr>
        <w:t xml:space="preserve"> 107 jednacích síní</w:t>
      </w:r>
      <w:r w:rsidR="008F364E">
        <w:rPr>
          <w:rFonts w:asciiTheme="minorHAnsi" w:hAnsiTheme="minorHAnsi" w:cstheme="minorHAnsi"/>
          <w:bCs/>
        </w:rPr>
        <w:t xml:space="preserve"> a </w:t>
      </w:r>
      <w:r w:rsidR="006D2804" w:rsidRPr="008F364E">
        <w:rPr>
          <w:rFonts w:asciiTheme="minorHAnsi" w:hAnsiTheme="minorHAnsi" w:cstheme="minorHAnsi"/>
          <w:bCs/>
        </w:rPr>
        <w:t>12</w:t>
      </w:r>
      <w:r w:rsidR="00DB2620">
        <w:rPr>
          <w:rFonts w:asciiTheme="minorHAnsi" w:hAnsiTheme="minorHAnsi" w:cstheme="minorHAnsi"/>
          <w:bCs/>
        </w:rPr>
        <w:t xml:space="preserve"> </w:t>
      </w:r>
      <w:r w:rsidR="006D2804" w:rsidRPr="008F364E">
        <w:rPr>
          <w:rFonts w:asciiTheme="minorHAnsi" w:hAnsiTheme="minorHAnsi" w:cstheme="minorHAnsi"/>
          <w:bCs/>
        </w:rPr>
        <w:t>303 m</w:t>
      </w:r>
      <w:r w:rsidR="006D2804" w:rsidRPr="008F364E">
        <w:rPr>
          <w:rFonts w:asciiTheme="minorHAnsi" w:hAnsiTheme="minorHAnsi" w:cstheme="minorHAnsi"/>
          <w:bCs/>
          <w:vertAlign w:val="superscript"/>
        </w:rPr>
        <w:t>2</w:t>
      </w:r>
      <w:r w:rsidR="006D2804" w:rsidRPr="008F364E">
        <w:rPr>
          <w:rFonts w:asciiTheme="minorHAnsi" w:hAnsiTheme="minorHAnsi" w:cstheme="minorHAnsi"/>
          <w:bCs/>
        </w:rPr>
        <w:t xml:space="preserve">. </w:t>
      </w:r>
      <w:r w:rsidR="008F364E">
        <w:rPr>
          <w:rFonts w:asciiTheme="minorHAnsi" w:hAnsiTheme="minorHAnsi" w:cstheme="minorHAnsi"/>
          <w:bCs/>
        </w:rPr>
        <w:t xml:space="preserve">Srovnatelné bylo pouze zvýšení </w:t>
      </w:r>
      <w:r w:rsidR="008F364E" w:rsidRPr="008F364E">
        <w:rPr>
          <w:rFonts w:asciiTheme="minorHAnsi" w:hAnsiTheme="minorHAnsi" w:cstheme="minorHAnsi"/>
          <w:bCs/>
        </w:rPr>
        <w:t>ukazatel</w:t>
      </w:r>
      <w:r w:rsidR="008F364E">
        <w:rPr>
          <w:rFonts w:asciiTheme="minorHAnsi" w:hAnsiTheme="minorHAnsi" w:cstheme="minorHAnsi"/>
          <w:bCs/>
        </w:rPr>
        <w:t>e</w:t>
      </w:r>
      <w:r w:rsidR="008F364E" w:rsidRPr="008F364E">
        <w:rPr>
          <w:rFonts w:asciiTheme="minorHAnsi" w:hAnsiTheme="minorHAnsi" w:cstheme="minorHAnsi"/>
          <w:bCs/>
        </w:rPr>
        <w:t xml:space="preserve"> </w:t>
      </w:r>
      <w:r w:rsidR="007E3B79">
        <w:rPr>
          <w:rFonts w:asciiTheme="minorHAnsi" w:hAnsiTheme="minorHAnsi" w:cstheme="minorHAnsi"/>
          <w:bCs/>
        </w:rPr>
        <w:t>„</w:t>
      </w:r>
      <w:r w:rsidR="007E3B79">
        <w:rPr>
          <w:rFonts w:asciiTheme="minorHAnsi" w:hAnsiTheme="minorHAnsi" w:cstheme="minorHAnsi"/>
          <w:bCs/>
          <w:i/>
        </w:rPr>
        <w:t>o</w:t>
      </w:r>
      <w:r w:rsidR="008F364E" w:rsidRPr="008F364E">
        <w:rPr>
          <w:rFonts w:asciiTheme="minorHAnsi" w:hAnsiTheme="minorHAnsi" w:cstheme="minorHAnsi"/>
          <w:bCs/>
          <w:i/>
        </w:rPr>
        <w:t>bnova vozového parku</w:t>
      </w:r>
      <w:r w:rsidR="007E3B79">
        <w:rPr>
          <w:rFonts w:asciiTheme="minorHAnsi" w:hAnsiTheme="minorHAnsi" w:cstheme="minorHAnsi"/>
          <w:bCs/>
        </w:rPr>
        <w:t>“</w:t>
      </w:r>
      <w:r w:rsidR="00E70FD0">
        <w:rPr>
          <w:rFonts w:asciiTheme="minorHAnsi" w:hAnsiTheme="minorHAnsi" w:cstheme="minorHAnsi"/>
          <w:bCs/>
        </w:rPr>
        <w:t>, kde došlo k</w:t>
      </w:r>
      <w:r w:rsidR="00DB2620">
        <w:rPr>
          <w:rFonts w:asciiTheme="minorHAnsi" w:hAnsiTheme="minorHAnsi" w:cstheme="minorHAnsi"/>
          <w:bCs/>
        </w:rPr>
        <w:t xml:space="preserve"> </w:t>
      </w:r>
      <w:r w:rsidR="00E70FD0">
        <w:rPr>
          <w:rFonts w:asciiTheme="minorHAnsi" w:hAnsiTheme="minorHAnsi" w:cstheme="minorHAnsi"/>
          <w:bCs/>
        </w:rPr>
        <w:t>navýšení o </w:t>
      </w:r>
      <w:r w:rsidR="008F364E" w:rsidRPr="008F364E">
        <w:rPr>
          <w:rFonts w:asciiTheme="minorHAnsi" w:hAnsiTheme="minorHAnsi" w:cstheme="minorHAnsi"/>
          <w:bCs/>
        </w:rPr>
        <w:t>92,8 % (ze 138</w:t>
      </w:r>
      <w:r w:rsidR="00E70FD0">
        <w:rPr>
          <w:rFonts w:asciiTheme="minorHAnsi" w:hAnsiTheme="minorHAnsi" w:cstheme="minorHAnsi"/>
          <w:bCs/>
        </w:rPr>
        <w:t xml:space="preserve"> </w:t>
      </w:r>
      <w:r w:rsidR="007E3B79" w:rsidRPr="008F364E">
        <w:rPr>
          <w:rFonts w:asciiTheme="minorHAnsi" w:hAnsiTheme="minorHAnsi" w:cstheme="minorHAnsi"/>
          <w:bCs/>
        </w:rPr>
        <w:t>na 266</w:t>
      </w:r>
      <w:r w:rsidR="007E3B79">
        <w:rPr>
          <w:rFonts w:asciiTheme="minorHAnsi" w:hAnsiTheme="minorHAnsi" w:cstheme="minorHAnsi"/>
          <w:bCs/>
        </w:rPr>
        <w:t xml:space="preserve"> </w:t>
      </w:r>
      <w:r w:rsidR="00E70FD0">
        <w:rPr>
          <w:rFonts w:asciiTheme="minorHAnsi" w:hAnsiTheme="minorHAnsi" w:cstheme="minorHAnsi"/>
          <w:bCs/>
        </w:rPr>
        <w:t>vozidel</w:t>
      </w:r>
      <w:r w:rsidR="008F364E" w:rsidRPr="008F364E">
        <w:rPr>
          <w:rFonts w:asciiTheme="minorHAnsi" w:hAnsiTheme="minorHAnsi" w:cstheme="minorHAnsi"/>
          <w:bCs/>
        </w:rPr>
        <w:t>). Tento parametr byl přitom bez zdůvodnění první změnou do</w:t>
      </w:r>
      <w:r w:rsidR="004B5CEA">
        <w:rPr>
          <w:rFonts w:asciiTheme="minorHAnsi" w:hAnsiTheme="minorHAnsi" w:cstheme="minorHAnsi"/>
          <w:bCs/>
        </w:rPr>
        <w:t>kumentace snížen z 215 na 138 a</w:t>
      </w:r>
      <w:r w:rsidR="00DB2620">
        <w:rPr>
          <w:rFonts w:asciiTheme="minorHAnsi" w:hAnsiTheme="minorHAnsi" w:cstheme="minorHAnsi"/>
          <w:bCs/>
        </w:rPr>
        <w:t xml:space="preserve"> </w:t>
      </w:r>
      <w:r w:rsidR="008F364E" w:rsidRPr="008F364E">
        <w:rPr>
          <w:rFonts w:asciiTheme="minorHAnsi" w:hAnsiTheme="minorHAnsi" w:cstheme="minorHAnsi"/>
          <w:bCs/>
        </w:rPr>
        <w:t>druhou změnou dokumentace opět navýšen na 266. Skutečnost za roky 2009 až 2014 činila</w:t>
      </w:r>
      <w:r>
        <w:rPr>
          <w:rFonts w:asciiTheme="minorHAnsi" w:hAnsiTheme="minorHAnsi" w:cstheme="minorHAnsi"/>
          <w:bCs/>
        </w:rPr>
        <w:t xml:space="preserve"> již</w:t>
      </w:r>
      <w:r w:rsidR="008F364E" w:rsidRPr="008F364E">
        <w:rPr>
          <w:rFonts w:asciiTheme="minorHAnsi" w:hAnsiTheme="minorHAnsi" w:cstheme="minorHAnsi"/>
          <w:bCs/>
        </w:rPr>
        <w:t xml:space="preserve"> 248 nakoupených vozidel.</w:t>
      </w:r>
      <w:r w:rsidR="008F364E">
        <w:rPr>
          <w:rFonts w:asciiTheme="minorHAnsi" w:hAnsiTheme="minorHAnsi" w:cstheme="minorHAnsi"/>
          <w:bCs/>
        </w:rPr>
        <w:t xml:space="preserve"> </w:t>
      </w:r>
    </w:p>
    <w:p w14:paraId="426CBCB8" w14:textId="77777777" w:rsidR="00C113D6" w:rsidRDefault="00C113D6" w:rsidP="004C031F">
      <w:pPr>
        <w:spacing w:line="264" w:lineRule="auto"/>
        <w:jc w:val="both"/>
        <w:rPr>
          <w:rFonts w:asciiTheme="minorHAnsi" w:hAnsiTheme="minorHAnsi" w:cstheme="minorHAnsi"/>
          <w:bCs/>
        </w:rPr>
      </w:pPr>
    </w:p>
    <w:p w14:paraId="6090C63E" w14:textId="3DF3F218" w:rsidR="00513D0F" w:rsidRDefault="007E3B79" w:rsidP="004C031F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 programu</w:t>
      </w:r>
      <w:r w:rsidR="00983F2D">
        <w:rPr>
          <w:rFonts w:asciiTheme="minorHAnsi" w:hAnsiTheme="minorHAnsi" w:cstheme="minorHAnsi"/>
        </w:rPr>
        <w:t xml:space="preserve"> </w:t>
      </w:r>
      <w:r w:rsidR="00BA6EC6">
        <w:rPr>
          <w:rFonts w:asciiTheme="minorHAnsi" w:hAnsiTheme="minorHAnsi" w:cstheme="minorHAnsi"/>
        </w:rPr>
        <w:t>136</w:t>
      </w:r>
      <w:r w:rsidR="00DB2620">
        <w:rPr>
          <w:rFonts w:asciiTheme="minorHAnsi" w:hAnsiTheme="minorHAnsi" w:cstheme="minorHAnsi"/>
        </w:rPr>
        <w:t xml:space="preserve"> </w:t>
      </w:r>
      <w:r w:rsidR="00BA6EC6">
        <w:rPr>
          <w:rFonts w:asciiTheme="minorHAnsi" w:hAnsiTheme="minorHAnsi" w:cstheme="minorHAnsi"/>
        </w:rPr>
        <w:t xml:space="preserve">110 </w:t>
      </w:r>
      <w:r w:rsidR="00983F2D">
        <w:rPr>
          <w:rFonts w:asciiTheme="minorHAnsi" w:hAnsiTheme="minorHAnsi" w:cstheme="minorHAnsi"/>
        </w:rPr>
        <w:t xml:space="preserve">má být </w:t>
      </w:r>
      <w:r w:rsidR="00985CFC">
        <w:rPr>
          <w:rFonts w:asciiTheme="minorHAnsi" w:hAnsiTheme="minorHAnsi" w:cstheme="minorHAnsi"/>
        </w:rPr>
        <w:t>v</w:t>
      </w:r>
      <w:r w:rsidR="00DB2620">
        <w:rPr>
          <w:rFonts w:asciiTheme="minorHAnsi" w:hAnsiTheme="minorHAnsi" w:cstheme="minorHAnsi"/>
        </w:rPr>
        <w:t xml:space="preserve"> </w:t>
      </w:r>
      <w:r w:rsidR="00985CFC">
        <w:rPr>
          <w:rFonts w:asciiTheme="minorHAnsi" w:hAnsiTheme="minorHAnsi" w:cstheme="minorHAnsi"/>
        </w:rPr>
        <w:t>letech 2015 až 2018 vyčerpáno 1,9</w:t>
      </w:r>
      <w:r w:rsidR="00DB2620">
        <w:rPr>
          <w:rFonts w:asciiTheme="minorHAnsi" w:hAnsiTheme="minorHAnsi" w:cstheme="minorHAnsi"/>
        </w:rPr>
        <w:t xml:space="preserve"> </w:t>
      </w:r>
      <w:r w:rsidR="00983F2D">
        <w:rPr>
          <w:rFonts w:asciiTheme="minorHAnsi" w:hAnsiTheme="minorHAnsi" w:cstheme="minorHAnsi"/>
        </w:rPr>
        <w:t>mld.</w:t>
      </w:r>
      <w:r w:rsidR="00DB2620">
        <w:rPr>
          <w:rFonts w:asciiTheme="minorHAnsi" w:hAnsiTheme="minorHAnsi" w:cstheme="minorHAnsi"/>
        </w:rPr>
        <w:t xml:space="preserve"> </w:t>
      </w:r>
      <w:r w:rsidR="00BA6EC6">
        <w:rPr>
          <w:rFonts w:asciiTheme="minorHAnsi" w:hAnsiTheme="minorHAnsi" w:cstheme="minorHAnsi"/>
        </w:rPr>
        <w:t>Kč. Dva proc</w:t>
      </w:r>
      <w:r w:rsidR="00BD4F0D">
        <w:rPr>
          <w:rFonts w:asciiTheme="minorHAnsi" w:hAnsiTheme="minorHAnsi" w:cstheme="minorHAnsi"/>
        </w:rPr>
        <w:t>entuálně stanovené ukazatele vypovídají o čerpání 25</w:t>
      </w:r>
      <w:r w:rsidR="00E004E0">
        <w:rPr>
          <w:rFonts w:asciiTheme="minorHAnsi" w:hAnsiTheme="minorHAnsi" w:cstheme="minorHAnsi"/>
        </w:rPr>
        <w:t xml:space="preserve"> </w:t>
      </w:r>
      <w:r w:rsidR="00BD4F0D">
        <w:rPr>
          <w:rFonts w:asciiTheme="minorHAnsi" w:hAnsiTheme="minorHAnsi" w:cstheme="minorHAnsi"/>
        </w:rPr>
        <w:t xml:space="preserve">% těchto prostředků. Ze tří měřitelných </w:t>
      </w:r>
      <w:r w:rsidR="00BD4F0D" w:rsidRPr="00A315CB">
        <w:rPr>
          <w:rFonts w:asciiTheme="minorHAnsi" w:hAnsiTheme="minorHAnsi" w:cstheme="minorHAnsi"/>
        </w:rPr>
        <w:t xml:space="preserve">ukazatelů byly </w:t>
      </w:r>
      <w:r w:rsidR="00E70FD0" w:rsidRPr="00A315CB">
        <w:rPr>
          <w:rFonts w:asciiTheme="minorHAnsi" w:hAnsiTheme="minorHAnsi" w:cstheme="minorHAnsi"/>
        </w:rPr>
        <w:t>v</w:t>
      </w:r>
      <w:r w:rsidR="00DB2620" w:rsidRPr="00A315CB">
        <w:rPr>
          <w:rFonts w:asciiTheme="minorHAnsi" w:hAnsiTheme="minorHAnsi" w:cstheme="minorHAnsi"/>
        </w:rPr>
        <w:t xml:space="preserve"> </w:t>
      </w:r>
      <w:r w:rsidR="00E70FD0" w:rsidRPr="00A315CB">
        <w:rPr>
          <w:rFonts w:asciiTheme="minorHAnsi" w:hAnsiTheme="minorHAnsi" w:cstheme="minorHAnsi"/>
        </w:rPr>
        <w:t xml:space="preserve">roce </w:t>
      </w:r>
      <w:r w:rsidR="00BA6EC6" w:rsidRPr="00A315CB">
        <w:rPr>
          <w:rFonts w:asciiTheme="minorHAnsi" w:hAnsiTheme="minorHAnsi" w:cstheme="minorHAnsi"/>
        </w:rPr>
        <w:t xml:space="preserve">2014 </w:t>
      </w:r>
      <w:r w:rsidR="00B23884" w:rsidRPr="00A315CB">
        <w:rPr>
          <w:rFonts w:asciiTheme="minorHAnsi" w:hAnsiTheme="minorHAnsi" w:cstheme="minorHAnsi"/>
        </w:rPr>
        <w:t xml:space="preserve">dva </w:t>
      </w:r>
      <w:r w:rsidR="00E70FD0" w:rsidRPr="00A315CB">
        <w:rPr>
          <w:rFonts w:asciiTheme="minorHAnsi" w:hAnsiTheme="minorHAnsi" w:cstheme="minorHAnsi"/>
        </w:rPr>
        <w:t xml:space="preserve">již </w:t>
      </w:r>
      <w:r w:rsidR="00513D0F" w:rsidRPr="00A315CB">
        <w:rPr>
          <w:rFonts w:asciiTheme="minorHAnsi" w:hAnsiTheme="minorHAnsi" w:cstheme="minorHAnsi"/>
        </w:rPr>
        <w:t>překročeny</w:t>
      </w:r>
      <w:r w:rsidR="002F604F" w:rsidRPr="00A315CB">
        <w:rPr>
          <w:rFonts w:asciiTheme="minorHAnsi" w:hAnsiTheme="minorHAnsi" w:cstheme="minorHAnsi"/>
        </w:rPr>
        <w:t xml:space="preserve"> </w:t>
      </w:r>
      <w:r w:rsidR="00E70FD0" w:rsidRPr="00A315CB">
        <w:rPr>
          <w:rFonts w:asciiTheme="minorHAnsi" w:hAnsiTheme="minorHAnsi" w:cstheme="minorHAnsi"/>
        </w:rPr>
        <w:t>a třetí téměř naplněn</w:t>
      </w:r>
      <w:r w:rsidR="00513D0F" w:rsidRPr="00A315CB">
        <w:rPr>
          <w:rFonts w:asciiTheme="minorHAnsi" w:hAnsiTheme="minorHAnsi" w:cstheme="minorHAnsi"/>
        </w:rPr>
        <w:t>.</w:t>
      </w:r>
      <w:r w:rsidR="009A475B" w:rsidRPr="00A315CB">
        <w:rPr>
          <w:rFonts w:asciiTheme="minorHAnsi" w:hAnsiTheme="minorHAnsi" w:cstheme="minorHAnsi"/>
        </w:rPr>
        <w:t xml:space="preserve"> </w:t>
      </w:r>
      <w:r w:rsidR="009A475B" w:rsidRPr="00A315CB">
        <w:rPr>
          <w:rFonts w:asciiTheme="minorHAnsi" w:hAnsiTheme="minorHAnsi" w:cstheme="minorHAnsi"/>
          <w:bCs/>
        </w:rPr>
        <w:t xml:space="preserve">Žádné další ukazatele </w:t>
      </w:r>
      <w:r w:rsidR="00BD4F0D" w:rsidRPr="00A315CB">
        <w:rPr>
          <w:rFonts w:asciiTheme="minorHAnsi" w:hAnsiTheme="minorHAnsi" w:cstheme="minorHAnsi"/>
        </w:rPr>
        <w:t xml:space="preserve">MSp nestanovilo. Na dalších cca </w:t>
      </w:r>
      <w:r w:rsidR="0057587C" w:rsidRPr="00A315CB">
        <w:rPr>
          <w:rFonts w:asciiTheme="minorHAnsi" w:hAnsiTheme="minorHAnsi" w:cstheme="minorHAnsi"/>
        </w:rPr>
        <w:t>75</w:t>
      </w:r>
      <w:r w:rsidR="00605772" w:rsidRPr="00A315CB">
        <w:rPr>
          <w:rFonts w:asciiTheme="minorHAnsi" w:hAnsiTheme="minorHAnsi" w:cstheme="minorHAnsi"/>
        </w:rPr>
        <w:t xml:space="preserve"> </w:t>
      </w:r>
      <w:r w:rsidR="0057587C" w:rsidRPr="00A315CB">
        <w:rPr>
          <w:rFonts w:asciiTheme="minorHAnsi" w:hAnsiTheme="minorHAnsi" w:cstheme="minorHAnsi"/>
        </w:rPr>
        <w:t xml:space="preserve">% </w:t>
      </w:r>
      <w:r w:rsidR="00605772" w:rsidRPr="00A315CB">
        <w:rPr>
          <w:rFonts w:asciiTheme="minorHAnsi" w:hAnsiTheme="minorHAnsi" w:cstheme="minorHAnsi"/>
        </w:rPr>
        <w:t>předpokládaných výdajů v</w:t>
      </w:r>
      <w:r w:rsidR="00DB2620" w:rsidRPr="00A315CB">
        <w:rPr>
          <w:rFonts w:asciiTheme="minorHAnsi" w:hAnsiTheme="minorHAnsi" w:cstheme="minorHAnsi"/>
        </w:rPr>
        <w:t xml:space="preserve"> </w:t>
      </w:r>
      <w:r w:rsidR="00605772" w:rsidRPr="00A315CB">
        <w:rPr>
          <w:rFonts w:asciiTheme="minorHAnsi" w:hAnsiTheme="minorHAnsi" w:cstheme="minorHAnsi"/>
        </w:rPr>
        <w:t>uvedených čtyřech letech n</w:t>
      </w:r>
      <w:r w:rsidR="0057587C" w:rsidRPr="00A315CB">
        <w:rPr>
          <w:rFonts w:asciiTheme="minorHAnsi" w:hAnsiTheme="minorHAnsi" w:cstheme="minorHAnsi"/>
        </w:rPr>
        <w:t xml:space="preserve">ejsou </w:t>
      </w:r>
      <w:r w:rsidR="00FB61AB" w:rsidRPr="00A315CB">
        <w:rPr>
          <w:rFonts w:asciiTheme="minorHAnsi" w:hAnsiTheme="minorHAnsi" w:cstheme="minorHAnsi"/>
        </w:rPr>
        <w:t xml:space="preserve">ukazatele </w:t>
      </w:r>
      <w:r w:rsidR="00BD4F0D" w:rsidRPr="00A315CB">
        <w:rPr>
          <w:rFonts w:asciiTheme="minorHAnsi" w:hAnsiTheme="minorHAnsi" w:cstheme="minorHAnsi"/>
        </w:rPr>
        <w:t>prakticky</w:t>
      </w:r>
      <w:r w:rsidR="00FB61AB" w:rsidRPr="00A315CB">
        <w:rPr>
          <w:rFonts w:asciiTheme="minorHAnsi" w:hAnsiTheme="minorHAnsi" w:cstheme="minorHAnsi"/>
        </w:rPr>
        <w:t xml:space="preserve"> stanoveny</w:t>
      </w:r>
      <w:r>
        <w:rPr>
          <w:rFonts w:asciiTheme="minorHAnsi" w:hAnsiTheme="minorHAnsi" w:cstheme="minorHAnsi"/>
        </w:rPr>
        <w:t>,</w:t>
      </w:r>
      <w:r w:rsidR="00FB61AB" w:rsidRPr="00A315CB">
        <w:rPr>
          <w:rFonts w:asciiTheme="minorHAnsi" w:hAnsiTheme="minorHAnsi" w:cstheme="minorHAnsi"/>
        </w:rPr>
        <w:t xml:space="preserve"> chybí </w:t>
      </w:r>
      <w:r>
        <w:rPr>
          <w:rFonts w:asciiTheme="minorHAnsi" w:hAnsiTheme="minorHAnsi" w:cstheme="minorHAnsi"/>
        </w:rPr>
        <w:t>tedy</w:t>
      </w:r>
      <w:r w:rsidR="0094504C" w:rsidRPr="00A315CB">
        <w:rPr>
          <w:rFonts w:asciiTheme="minorHAnsi" w:hAnsiTheme="minorHAnsi" w:cstheme="minorHAnsi"/>
        </w:rPr>
        <w:t xml:space="preserve"> </w:t>
      </w:r>
      <w:r w:rsidR="00FB61AB" w:rsidRPr="00A315CB">
        <w:rPr>
          <w:rFonts w:asciiTheme="minorHAnsi" w:hAnsiTheme="minorHAnsi" w:cstheme="minorHAnsi"/>
        </w:rPr>
        <w:t>va</w:t>
      </w:r>
      <w:r w:rsidR="00605772" w:rsidRPr="00A315CB">
        <w:rPr>
          <w:rFonts w:asciiTheme="minorHAnsi" w:hAnsiTheme="minorHAnsi" w:cstheme="minorHAnsi"/>
        </w:rPr>
        <w:t>zba mezi peněžními prostředky a </w:t>
      </w:r>
      <w:r w:rsidR="00FB61AB" w:rsidRPr="00A315CB">
        <w:rPr>
          <w:rFonts w:asciiTheme="minorHAnsi" w:hAnsiTheme="minorHAnsi" w:cstheme="minorHAnsi"/>
        </w:rPr>
        <w:t>stanovenými cíli.</w:t>
      </w:r>
    </w:p>
    <w:p w14:paraId="2D122BD7" w14:textId="77777777" w:rsidR="00FD44A4" w:rsidRPr="00A315CB" w:rsidRDefault="00FD44A4" w:rsidP="004C031F">
      <w:pPr>
        <w:spacing w:line="264" w:lineRule="auto"/>
        <w:jc w:val="both"/>
        <w:rPr>
          <w:rFonts w:asciiTheme="minorHAnsi" w:hAnsiTheme="minorHAnsi" w:cstheme="minorHAnsi"/>
        </w:rPr>
      </w:pPr>
    </w:p>
    <w:p w14:paraId="2D289F7D" w14:textId="77777777" w:rsidR="00BB491B" w:rsidRDefault="002631DD" w:rsidP="004C031F">
      <w:pPr>
        <w:spacing w:line="264" w:lineRule="auto"/>
        <w:jc w:val="both"/>
        <w:rPr>
          <w:rFonts w:asciiTheme="minorHAnsi" w:hAnsiTheme="minorHAnsi" w:cstheme="minorHAnsi"/>
          <w:bCs/>
        </w:rPr>
      </w:pPr>
      <w:r w:rsidRPr="00A315CB">
        <w:rPr>
          <w:rFonts w:asciiTheme="minorHAnsi" w:hAnsiTheme="minorHAnsi" w:cstheme="minorHAnsi"/>
          <w:b/>
        </w:rPr>
        <w:t xml:space="preserve">b) </w:t>
      </w:r>
      <w:r w:rsidR="00BA6EC6" w:rsidRPr="00A315CB">
        <w:rPr>
          <w:rFonts w:asciiTheme="minorHAnsi" w:hAnsiTheme="minorHAnsi" w:cstheme="minorHAnsi"/>
          <w:bCs/>
        </w:rPr>
        <w:t xml:space="preserve">MSp </w:t>
      </w:r>
      <w:r w:rsidR="00B06B9F" w:rsidRPr="00A315CB">
        <w:rPr>
          <w:rFonts w:asciiTheme="minorHAnsi" w:hAnsiTheme="minorHAnsi" w:cstheme="minorHAnsi"/>
          <w:bCs/>
        </w:rPr>
        <w:t>změnou dokumentace</w:t>
      </w:r>
      <w:r w:rsidR="00513D0F" w:rsidRPr="00A315CB">
        <w:rPr>
          <w:rFonts w:asciiTheme="minorHAnsi" w:hAnsiTheme="minorHAnsi" w:cstheme="minorHAnsi"/>
          <w:bCs/>
        </w:rPr>
        <w:t xml:space="preserve"> programu v</w:t>
      </w:r>
      <w:r w:rsidR="00DB2620" w:rsidRPr="00A315CB">
        <w:rPr>
          <w:rFonts w:asciiTheme="minorHAnsi" w:hAnsiTheme="minorHAnsi" w:cstheme="minorHAnsi"/>
          <w:bCs/>
        </w:rPr>
        <w:t xml:space="preserve"> </w:t>
      </w:r>
      <w:r w:rsidR="00513D0F" w:rsidRPr="00A315CB">
        <w:rPr>
          <w:rFonts w:asciiTheme="minorHAnsi" w:hAnsiTheme="minorHAnsi" w:cstheme="minorHAnsi"/>
          <w:bCs/>
        </w:rPr>
        <w:t>roce 2013 upustilo od jednotkových cen, které byly ukazatelem hospodárnost</w:t>
      </w:r>
      <w:r w:rsidR="00B174A1" w:rsidRPr="00A315CB">
        <w:rPr>
          <w:rFonts w:asciiTheme="minorHAnsi" w:hAnsiTheme="minorHAnsi" w:cstheme="minorHAnsi"/>
          <w:bCs/>
        </w:rPr>
        <w:t>i</w:t>
      </w:r>
      <w:r w:rsidR="00985CFC" w:rsidRPr="00A315CB">
        <w:rPr>
          <w:rFonts w:asciiTheme="minorHAnsi" w:hAnsiTheme="minorHAnsi" w:cstheme="minorHAnsi"/>
          <w:bCs/>
        </w:rPr>
        <w:t xml:space="preserve"> realizace investičních akcí</w:t>
      </w:r>
      <w:r w:rsidR="00513D0F" w:rsidRPr="00A315CB">
        <w:rPr>
          <w:rFonts w:asciiTheme="minorHAnsi" w:hAnsiTheme="minorHAnsi" w:cstheme="minorHAnsi"/>
          <w:bCs/>
        </w:rPr>
        <w:t xml:space="preserve">. Jednotkové ceny </w:t>
      </w:r>
      <w:r w:rsidR="00CD552D" w:rsidRPr="00A315CB">
        <w:rPr>
          <w:rFonts w:asciiTheme="minorHAnsi" w:hAnsiTheme="minorHAnsi" w:cstheme="minorHAnsi"/>
          <w:bCs/>
        </w:rPr>
        <w:t xml:space="preserve">vypustilo </w:t>
      </w:r>
      <w:r w:rsidR="00513D0F" w:rsidRPr="00A315CB">
        <w:rPr>
          <w:rFonts w:asciiTheme="minorHAnsi" w:hAnsiTheme="minorHAnsi" w:cstheme="minorHAnsi"/>
          <w:bCs/>
        </w:rPr>
        <w:t xml:space="preserve">navíc </w:t>
      </w:r>
      <w:r w:rsidR="00BA6EC6" w:rsidRPr="00A315CB">
        <w:rPr>
          <w:rFonts w:asciiTheme="minorHAnsi" w:hAnsiTheme="minorHAnsi" w:cstheme="minorHAnsi"/>
          <w:bCs/>
        </w:rPr>
        <w:t>i </w:t>
      </w:r>
      <w:r w:rsidR="00513D0F" w:rsidRPr="00A315CB">
        <w:rPr>
          <w:rFonts w:asciiTheme="minorHAnsi" w:hAnsiTheme="minorHAnsi" w:cstheme="minorHAnsi"/>
          <w:bCs/>
        </w:rPr>
        <w:t xml:space="preserve">u parametrů uvedených ve stanovení výdajů na financování některých akcí, jako např. </w:t>
      </w:r>
      <w:r w:rsidR="00BA6EC6" w:rsidRPr="00A315CB">
        <w:rPr>
          <w:rFonts w:asciiTheme="minorHAnsi" w:hAnsiTheme="minorHAnsi" w:cstheme="minorHAnsi"/>
          <w:bCs/>
        </w:rPr>
        <w:t>u </w:t>
      </w:r>
      <w:r w:rsidR="00B06B9F" w:rsidRPr="00A315CB">
        <w:rPr>
          <w:rFonts w:asciiTheme="minorHAnsi" w:hAnsiTheme="minorHAnsi" w:cstheme="minorHAnsi"/>
          <w:bCs/>
        </w:rPr>
        <w:t>rekonstrukce pobočky</w:t>
      </w:r>
      <w:r w:rsidR="00513D0F" w:rsidRPr="00A315CB">
        <w:rPr>
          <w:rFonts w:asciiTheme="minorHAnsi" w:hAnsiTheme="minorHAnsi" w:cstheme="minorHAnsi"/>
          <w:bCs/>
        </w:rPr>
        <w:t xml:space="preserve"> KS </w:t>
      </w:r>
      <w:r w:rsidR="00985CFC" w:rsidRPr="00A315CB">
        <w:rPr>
          <w:rFonts w:asciiTheme="minorHAnsi" w:hAnsiTheme="minorHAnsi" w:cstheme="minorHAnsi"/>
          <w:bCs/>
        </w:rPr>
        <w:t>v Hradci</w:t>
      </w:r>
      <w:r w:rsidR="00513D0F" w:rsidRPr="00A315CB">
        <w:rPr>
          <w:rFonts w:asciiTheme="minorHAnsi" w:hAnsiTheme="minorHAnsi" w:cstheme="minorHAnsi"/>
          <w:bCs/>
        </w:rPr>
        <w:t xml:space="preserve"> Králové v</w:t>
      </w:r>
      <w:r w:rsidR="00DB2620" w:rsidRPr="00A315CB">
        <w:rPr>
          <w:rFonts w:asciiTheme="minorHAnsi" w:hAnsiTheme="minorHAnsi" w:cstheme="minorHAnsi"/>
          <w:bCs/>
        </w:rPr>
        <w:t xml:space="preserve"> </w:t>
      </w:r>
      <w:r w:rsidR="00513D0F" w:rsidRPr="00A315CB">
        <w:rPr>
          <w:rFonts w:asciiTheme="minorHAnsi" w:hAnsiTheme="minorHAnsi" w:cstheme="minorHAnsi"/>
          <w:bCs/>
        </w:rPr>
        <w:t xml:space="preserve">Pardubicích. </w:t>
      </w:r>
    </w:p>
    <w:p w14:paraId="0A7B43B9" w14:textId="77777777" w:rsidR="00FD44A4" w:rsidRPr="00A315CB" w:rsidRDefault="00FD44A4" w:rsidP="004C031F">
      <w:pPr>
        <w:spacing w:line="264" w:lineRule="auto"/>
        <w:jc w:val="both"/>
        <w:rPr>
          <w:rFonts w:asciiTheme="minorHAnsi" w:hAnsiTheme="minorHAnsi" w:cstheme="minorHAnsi"/>
          <w:bCs/>
        </w:rPr>
      </w:pPr>
    </w:p>
    <w:p w14:paraId="35E1C45C" w14:textId="4250D9DC" w:rsidR="00513D0F" w:rsidRDefault="00513D0F" w:rsidP="004C031F">
      <w:pPr>
        <w:spacing w:line="264" w:lineRule="auto"/>
        <w:jc w:val="both"/>
        <w:rPr>
          <w:rFonts w:asciiTheme="minorHAnsi" w:hAnsiTheme="minorHAnsi" w:cstheme="minorHAnsi"/>
          <w:bCs/>
        </w:rPr>
      </w:pPr>
      <w:r w:rsidRPr="00A315CB">
        <w:rPr>
          <w:rFonts w:asciiTheme="minorHAnsi" w:hAnsiTheme="minorHAnsi" w:cstheme="minorHAnsi"/>
          <w:bCs/>
        </w:rPr>
        <w:t xml:space="preserve">MSp sice zpracovalo materiál </w:t>
      </w:r>
      <w:r w:rsidRPr="00A315CB">
        <w:rPr>
          <w:rFonts w:asciiTheme="minorHAnsi" w:hAnsiTheme="minorHAnsi" w:cstheme="minorHAnsi"/>
          <w:bCs/>
          <w:i/>
        </w:rPr>
        <w:t>Sdělení MSp o</w:t>
      </w:r>
      <w:r w:rsidR="00DB2620" w:rsidRPr="00A315CB">
        <w:rPr>
          <w:rFonts w:asciiTheme="minorHAnsi" w:hAnsiTheme="minorHAnsi" w:cstheme="minorHAnsi"/>
          <w:bCs/>
          <w:i/>
        </w:rPr>
        <w:t xml:space="preserve"> </w:t>
      </w:r>
      <w:r w:rsidRPr="00A315CB">
        <w:rPr>
          <w:rFonts w:asciiTheme="minorHAnsi" w:hAnsiTheme="minorHAnsi" w:cstheme="minorHAnsi"/>
          <w:bCs/>
          <w:i/>
        </w:rPr>
        <w:t xml:space="preserve">stanovení technicko-ekonomických požadavků a standardů vybavení pro stavby justičních a vězeňských objektů pro roky 2009 až 2013, </w:t>
      </w:r>
      <w:r w:rsidRPr="00A315CB">
        <w:rPr>
          <w:rFonts w:asciiTheme="minorHAnsi" w:hAnsiTheme="minorHAnsi" w:cstheme="minorHAnsi"/>
          <w:bCs/>
        </w:rPr>
        <w:t>ve kterém stanovilo</w:t>
      </w:r>
      <w:r w:rsidR="00A0533C" w:rsidRPr="00A315CB">
        <w:rPr>
          <w:rFonts w:asciiTheme="minorHAnsi" w:hAnsiTheme="minorHAnsi" w:cstheme="minorHAnsi"/>
          <w:bCs/>
        </w:rPr>
        <w:t xml:space="preserve"> normy a limity pro pořizování investičního majetku, např.</w:t>
      </w:r>
      <w:r w:rsidRPr="00A315CB">
        <w:rPr>
          <w:rFonts w:asciiTheme="minorHAnsi" w:hAnsiTheme="minorHAnsi" w:cstheme="minorHAnsi"/>
          <w:bCs/>
        </w:rPr>
        <w:t xml:space="preserve"> maximální průměrné náklady obestavěného prostoru novostaveb soudní budovy na 5</w:t>
      </w:r>
      <w:r w:rsidR="00DB2620" w:rsidRPr="00A315CB">
        <w:rPr>
          <w:rFonts w:asciiTheme="minorHAnsi" w:hAnsiTheme="minorHAnsi" w:cstheme="minorHAnsi"/>
          <w:bCs/>
        </w:rPr>
        <w:t xml:space="preserve"> </w:t>
      </w:r>
      <w:r w:rsidRPr="00A315CB">
        <w:rPr>
          <w:rFonts w:asciiTheme="minorHAnsi" w:hAnsiTheme="minorHAnsi" w:cstheme="minorHAnsi"/>
          <w:bCs/>
        </w:rPr>
        <w:t>600 Kč/m</w:t>
      </w:r>
      <w:r w:rsidRPr="00A315CB">
        <w:rPr>
          <w:rFonts w:asciiTheme="minorHAnsi" w:hAnsiTheme="minorHAnsi" w:cstheme="minorHAnsi"/>
          <w:bCs/>
          <w:vertAlign w:val="superscript"/>
        </w:rPr>
        <w:t>3</w:t>
      </w:r>
      <w:r w:rsidRPr="00A315CB">
        <w:rPr>
          <w:rFonts w:asciiTheme="minorHAnsi" w:hAnsiTheme="minorHAnsi" w:cstheme="minorHAnsi"/>
          <w:bCs/>
        </w:rPr>
        <w:t>, ale uvedlo, že „</w:t>
      </w:r>
      <w:r w:rsidRPr="00A315CB">
        <w:rPr>
          <w:rFonts w:asciiTheme="minorHAnsi" w:hAnsiTheme="minorHAnsi" w:cstheme="minorHAnsi"/>
          <w:bCs/>
          <w:i/>
        </w:rPr>
        <w:t>vzhledem k</w:t>
      </w:r>
      <w:r w:rsidR="00DB2620" w:rsidRPr="00A315CB">
        <w:rPr>
          <w:rFonts w:asciiTheme="minorHAnsi" w:hAnsiTheme="minorHAnsi" w:cstheme="minorHAnsi"/>
          <w:bCs/>
          <w:i/>
        </w:rPr>
        <w:t xml:space="preserve"> </w:t>
      </w:r>
      <w:r w:rsidRPr="00A315CB">
        <w:rPr>
          <w:rFonts w:asciiTheme="minorHAnsi" w:hAnsiTheme="minorHAnsi" w:cstheme="minorHAnsi"/>
          <w:bCs/>
          <w:i/>
        </w:rPr>
        <w:t>plnění jiných významný</w:t>
      </w:r>
      <w:r w:rsidR="00983F2D" w:rsidRPr="00A315CB">
        <w:rPr>
          <w:rFonts w:asciiTheme="minorHAnsi" w:hAnsiTheme="minorHAnsi" w:cstheme="minorHAnsi"/>
          <w:bCs/>
          <w:i/>
        </w:rPr>
        <w:t xml:space="preserve">ch úkolů nebyl </w:t>
      </w:r>
      <w:r w:rsidR="00A0533C" w:rsidRPr="00A315CB">
        <w:rPr>
          <w:rFonts w:asciiTheme="minorHAnsi" w:hAnsiTheme="minorHAnsi" w:cstheme="minorHAnsi"/>
          <w:bCs/>
          <w:i/>
        </w:rPr>
        <w:t xml:space="preserve">materiál </w:t>
      </w:r>
      <w:r w:rsidR="00207D69" w:rsidRPr="00A315CB">
        <w:rPr>
          <w:rFonts w:asciiTheme="minorHAnsi" w:hAnsiTheme="minorHAnsi" w:cstheme="minorHAnsi"/>
          <w:bCs/>
          <w:i/>
        </w:rPr>
        <w:t>schválen, přes</w:t>
      </w:r>
      <w:r w:rsidR="00983F2D" w:rsidRPr="00A315CB">
        <w:rPr>
          <w:rFonts w:asciiTheme="minorHAnsi" w:hAnsiTheme="minorHAnsi" w:cstheme="minorHAnsi"/>
          <w:bCs/>
          <w:i/>
        </w:rPr>
        <w:t>to</w:t>
      </w:r>
      <w:r w:rsidR="00B06B9F" w:rsidRPr="00A315CB">
        <w:rPr>
          <w:rFonts w:asciiTheme="minorHAnsi" w:hAnsiTheme="minorHAnsi" w:cstheme="minorHAnsi"/>
          <w:bCs/>
          <w:i/>
        </w:rPr>
        <w:t>že</w:t>
      </w:r>
      <w:r w:rsidRPr="00A315CB">
        <w:rPr>
          <w:rFonts w:asciiTheme="minorHAnsi" w:hAnsiTheme="minorHAnsi" w:cstheme="minorHAnsi"/>
          <w:bCs/>
          <w:i/>
        </w:rPr>
        <w:t xml:space="preserve"> jeho normy jsou v</w:t>
      </w:r>
      <w:r w:rsidR="00DB2620" w:rsidRPr="00A315CB">
        <w:rPr>
          <w:rFonts w:asciiTheme="minorHAnsi" w:hAnsiTheme="minorHAnsi" w:cstheme="minorHAnsi"/>
          <w:bCs/>
          <w:i/>
        </w:rPr>
        <w:t xml:space="preserve"> </w:t>
      </w:r>
      <w:r w:rsidRPr="00A315CB">
        <w:rPr>
          <w:rFonts w:asciiTheme="minorHAnsi" w:hAnsiTheme="minorHAnsi" w:cstheme="minorHAnsi"/>
          <w:bCs/>
          <w:i/>
        </w:rPr>
        <w:t>praxi odboru při investiční výstavbě přiměřeně používány</w:t>
      </w:r>
      <w:r w:rsidRPr="00A315CB">
        <w:rPr>
          <w:rFonts w:asciiTheme="minorHAnsi" w:hAnsiTheme="minorHAnsi" w:cstheme="minorHAnsi"/>
          <w:bCs/>
        </w:rPr>
        <w:t>.“ Náklady na m</w:t>
      </w:r>
      <w:r w:rsidRPr="00A315CB">
        <w:rPr>
          <w:rFonts w:asciiTheme="minorHAnsi" w:hAnsiTheme="minorHAnsi" w:cstheme="minorHAnsi"/>
          <w:bCs/>
          <w:vertAlign w:val="superscript"/>
        </w:rPr>
        <w:t>3</w:t>
      </w:r>
      <w:r w:rsidRPr="00A315CB">
        <w:rPr>
          <w:rFonts w:asciiTheme="minorHAnsi" w:hAnsiTheme="minorHAnsi" w:cstheme="minorHAnsi"/>
          <w:bCs/>
        </w:rPr>
        <w:t xml:space="preserve"> přitom nebyly v</w:t>
      </w:r>
      <w:r w:rsidR="00DB2620" w:rsidRPr="00A315CB">
        <w:rPr>
          <w:rFonts w:asciiTheme="minorHAnsi" w:hAnsiTheme="minorHAnsi" w:cstheme="minorHAnsi"/>
          <w:bCs/>
        </w:rPr>
        <w:t xml:space="preserve"> </w:t>
      </w:r>
      <w:r w:rsidRPr="00A315CB">
        <w:rPr>
          <w:rFonts w:asciiTheme="minorHAnsi" w:hAnsiTheme="minorHAnsi" w:cstheme="minorHAnsi"/>
          <w:bCs/>
        </w:rPr>
        <w:t>dokumentac</w:t>
      </w:r>
      <w:r w:rsidR="007E3B79">
        <w:rPr>
          <w:rFonts w:asciiTheme="minorHAnsi" w:hAnsiTheme="minorHAnsi" w:cstheme="minorHAnsi"/>
          <w:bCs/>
        </w:rPr>
        <w:t>i</w:t>
      </w:r>
      <w:r w:rsidRPr="00A315CB">
        <w:rPr>
          <w:rFonts w:asciiTheme="minorHAnsi" w:hAnsiTheme="minorHAnsi" w:cstheme="minorHAnsi"/>
          <w:bCs/>
        </w:rPr>
        <w:t xml:space="preserve"> programu stanoveny a nyní </w:t>
      </w:r>
      <w:r w:rsidR="00985CFC" w:rsidRPr="00A315CB">
        <w:rPr>
          <w:rFonts w:asciiTheme="minorHAnsi" w:hAnsiTheme="minorHAnsi" w:cstheme="minorHAnsi"/>
          <w:bCs/>
        </w:rPr>
        <w:t>nejsou stanoveny ani žádné jiné jednotkové ceny.</w:t>
      </w:r>
      <w:r w:rsidR="007A7054" w:rsidRPr="00A315CB">
        <w:rPr>
          <w:rFonts w:asciiTheme="minorHAnsi" w:hAnsiTheme="minorHAnsi" w:cstheme="minorHAnsi"/>
          <w:bCs/>
        </w:rPr>
        <w:t xml:space="preserve"> </w:t>
      </w:r>
    </w:p>
    <w:p w14:paraId="3136C115" w14:textId="77777777" w:rsidR="00FD44A4" w:rsidRPr="00A315CB" w:rsidRDefault="00FD44A4" w:rsidP="004C031F">
      <w:pPr>
        <w:spacing w:line="264" w:lineRule="auto"/>
        <w:jc w:val="both"/>
        <w:rPr>
          <w:rFonts w:asciiTheme="minorHAnsi" w:hAnsiTheme="minorHAnsi" w:cstheme="minorHAnsi"/>
          <w:bCs/>
        </w:rPr>
      </w:pPr>
    </w:p>
    <w:p w14:paraId="1C9A1D4B" w14:textId="6F0609B6" w:rsidR="00E14318" w:rsidRPr="00A315CB" w:rsidRDefault="00983F2D" w:rsidP="004C031F">
      <w:pPr>
        <w:spacing w:line="264" w:lineRule="auto"/>
        <w:jc w:val="both"/>
        <w:rPr>
          <w:rFonts w:ascii="Calibri" w:hAnsi="Calibri" w:cs="Calibri"/>
        </w:rPr>
      </w:pPr>
      <w:r w:rsidRPr="00A315CB">
        <w:rPr>
          <w:rFonts w:asciiTheme="minorHAnsi" w:hAnsiTheme="minorHAnsi" w:cstheme="minorHAnsi"/>
          <w:bCs/>
        </w:rPr>
        <w:t>MSp odůvodnilo u</w:t>
      </w:r>
      <w:r w:rsidR="007A7054" w:rsidRPr="00A315CB">
        <w:rPr>
          <w:rFonts w:asciiTheme="minorHAnsi" w:hAnsiTheme="minorHAnsi" w:cstheme="minorHAnsi"/>
          <w:bCs/>
        </w:rPr>
        <w:t xml:space="preserve">puštění od jednotkových cen a konkrétních parametrů a indikátorů změnou legislativy a požadavky ze strany MF. </w:t>
      </w:r>
      <w:r w:rsidR="00E14318" w:rsidRPr="00A315CB">
        <w:rPr>
          <w:rFonts w:ascii="Calibri" w:hAnsi="Calibri" w:cs="Calibri"/>
        </w:rPr>
        <w:t>Přestože novelizací vyhlášky č. 560/2006 Sb.</w:t>
      </w:r>
      <w:r w:rsidR="00E14318" w:rsidRPr="00A315CB">
        <w:rPr>
          <w:rStyle w:val="Znakapoznpodarou"/>
          <w:rFonts w:ascii="Calibri" w:hAnsi="Calibri" w:cs="Calibri"/>
        </w:rPr>
        <w:footnoteReference w:id="5"/>
      </w:r>
      <w:r w:rsidR="00E14318" w:rsidRPr="00A315CB">
        <w:rPr>
          <w:rFonts w:ascii="Calibri" w:hAnsi="Calibri" w:cs="Calibri"/>
        </w:rPr>
        <w:t xml:space="preserve"> byly v</w:t>
      </w:r>
      <w:r w:rsidR="00DB2620" w:rsidRPr="00A315CB">
        <w:rPr>
          <w:rFonts w:ascii="Calibri" w:hAnsi="Calibri" w:cs="Calibri"/>
        </w:rPr>
        <w:t xml:space="preserve"> </w:t>
      </w:r>
      <w:r w:rsidR="00E14318" w:rsidRPr="00A315CB">
        <w:rPr>
          <w:rFonts w:ascii="Calibri" w:hAnsi="Calibri" w:cs="Calibri"/>
        </w:rPr>
        <w:t>dokumentaci programu indikátory a parametry</w:t>
      </w:r>
      <w:r w:rsidR="00E14318" w:rsidRPr="00A315CB">
        <w:rPr>
          <w:rFonts w:ascii="Calibri" w:hAnsi="Calibri" w:cs="Calibri"/>
          <w:b/>
          <w:bCs/>
        </w:rPr>
        <w:t xml:space="preserve"> </w:t>
      </w:r>
      <w:r w:rsidR="00E14318" w:rsidRPr="00A315CB">
        <w:rPr>
          <w:rFonts w:ascii="Calibri" w:hAnsi="Calibri" w:cs="Calibri"/>
        </w:rPr>
        <w:t>nahrazeny</w:t>
      </w:r>
      <w:r w:rsidR="00E14318" w:rsidRPr="00A315CB">
        <w:rPr>
          <w:rFonts w:ascii="Calibri" w:hAnsi="Calibri" w:cs="Calibri"/>
          <w:b/>
          <w:bCs/>
        </w:rPr>
        <w:t xml:space="preserve"> </w:t>
      </w:r>
      <w:r w:rsidR="00E14318" w:rsidRPr="00A315CB">
        <w:rPr>
          <w:rFonts w:ascii="Calibri" w:hAnsi="Calibri" w:cs="Calibri"/>
        </w:rPr>
        <w:t>stanovením</w:t>
      </w:r>
      <w:r w:rsidR="00E14318" w:rsidRPr="00A315CB">
        <w:rPr>
          <w:rFonts w:ascii="Calibri" w:hAnsi="Calibri" w:cs="Calibri"/>
          <w:b/>
          <w:bCs/>
        </w:rPr>
        <w:t xml:space="preserve"> </w:t>
      </w:r>
      <w:r w:rsidR="00E14318" w:rsidRPr="00A315CB">
        <w:rPr>
          <w:rFonts w:ascii="Calibri" w:hAnsi="Calibri" w:cs="Calibri"/>
        </w:rPr>
        <w:t>cílů</w:t>
      </w:r>
      <w:r w:rsidR="00E14318" w:rsidRPr="00A315CB">
        <w:rPr>
          <w:rFonts w:ascii="Calibri" w:hAnsi="Calibri" w:cs="Calibri"/>
          <w:b/>
          <w:bCs/>
        </w:rPr>
        <w:t xml:space="preserve"> </w:t>
      </w:r>
      <w:r w:rsidR="00E14318" w:rsidRPr="00A315CB">
        <w:rPr>
          <w:rFonts w:ascii="Calibri" w:hAnsi="Calibri" w:cs="Calibri"/>
        </w:rPr>
        <w:t xml:space="preserve">programu, </w:t>
      </w:r>
      <w:r w:rsidR="00E14318" w:rsidRPr="00A315CB">
        <w:rPr>
          <w:rFonts w:ascii="Calibri" w:hAnsi="Calibri" w:cs="Calibri"/>
        </w:rPr>
        <w:lastRenderedPageBreak/>
        <w:t>nebyla vypuštěna povinnost správce programu uvést dosažené hodnoty indikátorů a parametrů v</w:t>
      </w:r>
      <w:r w:rsidR="00DB2620" w:rsidRPr="00A315CB">
        <w:rPr>
          <w:rFonts w:ascii="Calibri" w:hAnsi="Calibri" w:cs="Calibri"/>
        </w:rPr>
        <w:t xml:space="preserve"> </w:t>
      </w:r>
      <w:r w:rsidR="00E14318" w:rsidRPr="00A315CB">
        <w:rPr>
          <w:rFonts w:ascii="Calibri" w:hAnsi="Calibri" w:cs="Calibri"/>
        </w:rPr>
        <w:t xml:space="preserve">závěrečném vyhodnocení programu. Vypuštění konkrétních ukazatelů </w:t>
      </w:r>
      <w:r w:rsidR="00BA73F9">
        <w:rPr>
          <w:rFonts w:ascii="Calibri" w:hAnsi="Calibri" w:cs="Calibri"/>
        </w:rPr>
        <w:t>vlivem změn</w:t>
      </w:r>
      <w:r w:rsidR="00DB2620" w:rsidRPr="00A315CB">
        <w:rPr>
          <w:rFonts w:ascii="Calibri" w:hAnsi="Calibri" w:cs="Calibri"/>
        </w:rPr>
        <w:t xml:space="preserve"> </w:t>
      </w:r>
      <w:r w:rsidR="00E14318" w:rsidRPr="00A315CB">
        <w:rPr>
          <w:rFonts w:ascii="Calibri" w:hAnsi="Calibri" w:cs="Calibri"/>
        </w:rPr>
        <w:t>dokumentace program</w:t>
      </w:r>
      <w:r w:rsidR="00BA73F9">
        <w:rPr>
          <w:rFonts w:ascii="Calibri" w:hAnsi="Calibri" w:cs="Calibri"/>
        </w:rPr>
        <w:t>u</w:t>
      </w:r>
      <w:r w:rsidR="00E14318" w:rsidRPr="00A315CB">
        <w:rPr>
          <w:rFonts w:ascii="Calibri" w:hAnsi="Calibri" w:cs="Calibri"/>
        </w:rPr>
        <w:t xml:space="preserve"> </w:t>
      </w:r>
      <w:r w:rsidRPr="00A315CB">
        <w:rPr>
          <w:rFonts w:ascii="Calibri" w:hAnsi="Calibri" w:cs="Calibri"/>
        </w:rPr>
        <w:t xml:space="preserve">však </w:t>
      </w:r>
      <w:r w:rsidR="00E14318" w:rsidRPr="00A315CB">
        <w:rPr>
          <w:rFonts w:ascii="Calibri" w:hAnsi="Calibri" w:cs="Calibri"/>
        </w:rPr>
        <w:t xml:space="preserve">závěrečné vyhodnocení </w:t>
      </w:r>
      <w:r w:rsidRPr="00A315CB">
        <w:rPr>
          <w:rFonts w:ascii="Calibri" w:hAnsi="Calibri" w:cs="Calibri"/>
        </w:rPr>
        <w:t xml:space="preserve">míry </w:t>
      </w:r>
      <w:r w:rsidR="00E14318" w:rsidRPr="00A315CB">
        <w:rPr>
          <w:rFonts w:ascii="Calibri" w:hAnsi="Calibri" w:cs="Calibri"/>
        </w:rPr>
        <w:t xml:space="preserve">naplnění cílů programů značně omezuje. </w:t>
      </w:r>
    </w:p>
    <w:p w14:paraId="5F6297D7" w14:textId="77777777" w:rsidR="00780495" w:rsidRPr="00F14641" w:rsidRDefault="00780495" w:rsidP="004C031F">
      <w:pPr>
        <w:spacing w:line="264" w:lineRule="auto"/>
        <w:jc w:val="both"/>
        <w:rPr>
          <w:rFonts w:ascii="Calibri" w:hAnsi="Calibri" w:cs="Calibri"/>
          <w:bCs/>
        </w:rPr>
      </w:pPr>
    </w:p>
    <w:p w14:paraId="64680BE3" w14:textId="46562A71" w:rsidR="009A475B" w:rsidRPr="00A315CB" w:rsidRDefault="009A475B" w:rsidP="004C031F">
      <w:pPr>
        <w:spacing w:line="264" w:lineRule="auto"/>
        <w:jc w:val="both"/>
        <w:rPr>
          <w:rFonts w:ascii="Calibri" w:hAnsi="Calibri" w:cs="Calibri"/>
        </w:rPr>
      </w:pPr>
      <w:r w:rsidRPr="00A315CB">
        <w:rPr>
          <w:rFonts w:ascii="Calibri" w:hAnsi="Calibri" w:cs="Calibri"/>
          <w:b/>
        </w:rPr>
        <w:t>c)</w:t>
      </w:r>
      <w:r w:rsidRPr="00A315CB">
        <w:rPr>
          <w:rFonts w:ascii="Calibri" w:hAnsi="Calibri" w:cs="Calibri"/>
        </w:rPr>
        <w:t xml:space="preserve"> Stanovené cíle by měly být rozhodující pro výběr akcí k</w:t>
      </w:r>
      <w:r w:rsidR="00DB2620" w:rsidRPr="00A315CB">
        <w:rPr>
          <w:rFonts w:ascii="Calibri" w:hAnsi="Calibri" w:cs="Calibri"/>
        </w:rPr>
        <w:t xml:space="preserve"> </w:t>
      </w:r>
      <w:r w:rsidRPr="00A315CB">
        <w:rPr>
          <w:rFonts w:ascii="Calibri" w:hAnsi="Calibri" w:cs="Calibri"/>
        </w:rPr>
        <w:t xml:space="preserve">realizaci. MSp o jejich plnění nemá dostatečný přehled. </w:t>
      </w:r>
      <w:r w:rsidR="00780495" w:rsidRPr="00A315CB">
        <w:rPr>
          <w:rFonts w:ascii="Calibri" w:hAnsi="Calibri" w:cs="Calibri"/>
        </w:rPr>
        <w:t xml:space="preserve">Např. u programu 136 310 byl v dokumentaci stanoven ukazatel </w:t>
      </w:r>
      <w:r w:rsidR="0042540E">
        <w:rPr>
          <w:rFonts w:ascii="Calibri" w:hAnsi="Calibri" w:cs="Calibri"/>
        </w:rPr>
        <w:t>„</w:t>
      </w:r>
      <w:r w:rsidR="0042540E" w:rsidRPr="004D0310">
        <w:rPr>
          <w:rFonts w:ascii="Calibri" w:hAnsi="Calibri" w:cs="Calibri"/>
          <w:i/>
        </w:rPr>
        <w:t>o</w:t>
      </w:r>
      <w:r w:rsidR="00780495" w:rsidRPr="004D0310">
        <w:rPr>
          <w:rFonts w:ascii="Calibri" w:hAnsi="Calibri" w:cs="Calibri"/>
          <w:i/>
        </w:rPr>
        <w:t>bnova ostatních podlahových ploch</w:t>
      </w:r>
      <w:r w:rsidR="0042540E">
        <w:rPr>
          <w:rFonts w:ascii="Calibri" w:hAnsi="Calibri" w:cs="Calibri"/>
        </w:rPr>
        <w:t>“</w:t>
      </w:r>
      <w:r w:rsidR="00780495" w:rsidRPr="00A315CB">
        <w:rPr>
          <w:rFonts w:ascii="Calibri" w:hAnsi="Calibri" w:cs="Calibri"/>
        </w:rPr>
        <w:t xml:space="preserve"> ve výši 1 000 m</w:t>
      </w:r>
      <w:r w:rsidR="00780495" w:rsidRPr="00A315CB">
        <w:rPr>
          <w:rFonts w:ascii="Calibri" w:hAnsi="Calibri" w:cs="Calibri"/>
          <w:vertAlign w:val="superscript"/>
        </w:rPr>
        <w:t>2</w:t>
      </w:r>
      <w:r w:rsidR="00780495" w:rsidRPr="00A315CB">
        <w:rPr>
          <w:rFonts w:ascii="Calibri" w:hAnsi="Calibri" w:cs="Calibri"/>
        </w:rPr>
        <w:t>. MSp uvedlo skutečnost v letech 2013 a 2014 ve výši 3 489 m</w:t>
      </w:r>
      <w:r w:rsidR="00780495" w:rsidRPr="00A315CB">
        <w:rPr>
          <w:rFonts w:ascii="Calibri" w:hAnsi="Calibri" w:cs="Calibri"/>
          <w:vertAlign w:val="superscript"/>
        </w:rPr>
        <w:t>2</w:t>
      </w:r>
      <w:r w:rsidR="00780495" w:rsidRPr="00A315CB">
        <w:rPr>
          <w:rFonts w:ascii="Calibri" w:hAnsi="Calibri" w:cs="Calibri"/>
        </w:rPr>
        <w:t>, ale očekávánou skutečnost v letech 2013 až 2015 pouze ve výši 944 m</w:t>
      </w:r>
      <w:r w:rsidR="00780495" w:rsidRPr="00A315CB">
        <w:rPr>
          <w:rFonts w:ascii="Calibri" w:hAnsi="Calibri" w:cs="Calibri"/>
          <w:vertAlign w:val="superscript"/>
        </w:rPr>
        <w:t>2</w:t>
      </w:r>
      <w:r w:rsidR="00780495" w:rsidRPr="00A315CB">
        <w:rPr>
          <w:rFonts w:ascii="Calibri" w:hAnsi="Calibri" w:cs="Calibri"/>
        </w:rPr>
        <w:t xml:space="preserve">. Podobně tomu bylo i u ukazatele </w:t>
      </w:r>
      <w:r w:rsidR="0042540E">
        <w:rPr>
          <w:rFonts w:ascii="Calibri" w:hAnsi="Calibri" w:cs="Calibri"/>
        </w:rPr>
        <w:t>„</w:t>
      </w:r>
      <w:r w:rsidR="0042540E" w:rsidRPr="004D0310">
        <w:rPr>
          <w:rFonts w:ascii="Calibri" w:hAnsi="Calibri" w:cs="Calibri"/>
          <w:i/>
        </w:rPr>
        <w:t>o</w:t>
      </w:r>
      <w:r w:rsidR="00780495" w:rsidRPr="004D0310">
        <w:rPr>
          <w:rFonts w:ascii="Calibri" w:hAnsi="Calibri" w:cs="Calibri"/>
          <w:i/>
        </w:rPr>
        <w:t>bnova ploch pro vzdělávání a rekvalifikaci</w:t>
      </w:r>
      <w:r w:rsidR="0042540E">
        <w:rPr>
          <w:rFonts w:ascii="Calibri" w:hAnsi="Calibri" w:cs="Calibri"/>
        </w:rPr>
        <w:t>“</w:t>
      </w:r>
      <w:r w:rsidR="00780495" w:rsidRPr="00A315CB">
        <w:rPr>
          <w:rFonts w:ascii="Calibri" w:hAnsi="Calibri" w:cs="Calibri"/>
        </w:rPr>
        <w:t xml:space="preserve">. </w:t>
      </w:r>
    </w:p>
    <w:p w14:paraId="069CFC2E" w14:textId="77777777" w:rsidR="005E50A8" w:rsidRPr="00F14641" w:rsidRDefault="005E50A8" w:rsidP="004C031F">
      <w:pPr>
        <w:spacing w:line="264" w:lineRule="auto"/>
        <w:ind w:left="624" w:hanging="624"/>
        <w:jc w:val="both"/>
        <w:rPr>
          <w:rFonts w:asciiTheme="minorHAnsi" w:hAnsiTheme="minorHAnsi" w:cstheme="minorHAnsi"/>
        </w:rPr>
      </w:pPr>
    </w:p>
    <w:p w14:paraId="4F8315BA" w14:textId="77777777" w:rsidR="005E50A8" w:rsidRPr="00A315CB" w:rsidRDefault="005E50A8" w:rsidP="004C031F">
      <w:pPr>
        <w:spacing w:line="264" w:lineRule="auto"/>
        <w:ind w:left="624" w:hanging="624"/>
        <w:jc w:val="both"/>
        <w:rPr>
          <w:rFonts w:asciiTheme="minorHAnsi" w:hAnsiTheme="minorHAnsi" w:cstheme="minorHAnsi"/>
        </w:rPr>
      </w:pPr>
      <w:r w:rsidRPr="00A315CB">
        <w:rPr>
          <w:rFonts w:asciiTheme="minorHAnsi" w:hAnsiTheme="minorHAnsi" w:cstheme="minorHAnsi"/>
          <w:b/>
        </w:rPr>
        <w:t>Podrobnosti a příklady ke zjištěním v části II.4</w:t>
      </w:r>
    </w:p>
    <w:p w14:paraId="72E55011" w14:textId="77777777" w:rsidR="004C031F" w:rsidRDefault="004C031F" w:rsidP="004C031F">
      <w:pPr>
        <w:spacing w:line="264" w:lineRule="auto"/>
        <w:jc w:val="both"/>
        <w:rPr>
          <w:rFonts w:asciiTheme="minorHAnsi" w:hAnsiTheme="minorHAnsi" w:cstheme="minorHAnsi"/>
        </w:rPr>
      </w:pPr>
    </w:p>
    <w:p w14:paraId="623D91A9" w14:textId="13E99EDE" w:rsidR="00B06B9F" w:rsidRDefault="00B06B9F" w:rsidP="004C031F">
      <w:pPr>
        <w:spacing w:line="264" w:lineRule="auto"/>
        <w:jc w:val="both"/>
        <w:rPr>
          <w:rFonts w:asciiTheme="minorHAnsi" w:hAnsiTheme="minorHAnsi" w:cstheme="minorHAnsi"/>
        </w:rPr>
      </w:pPr>
      <w:r w:rsidRPr="00A315CB">
        <w:rPr>
          <w:rFonts w:asciiTheme="minorHAnsi" w:hAnsiTheme="minorHAnsi" w:cstheme="minorHAnsi"/>
        </w:rPr>
        <w:t>Kontrole bylo podrobeno 16 projektů s</w:t>
      </w:r>
      <w:r w:rsidR="00DB2620" w:rsidRPr="00A315CB">
        <w:rPr>
          <w:rFonts w:asciiTheme="minorHAnsi" w:hAnsiTheme="minorHAnsi" w:cstheme="minorHAnsi"/>
        </w:rPr>
        <w:t xml:space="preserve"> </w:t>
      </w:r>
      <w:r w:rsidRPr="00A315CB">
        <w:rPr>
          <w:rFonts w:asciiTheme="minorHAnsi" w:hAnsiTheme="minorHAnsi" w:cstheme="minorHAnsi"/>
        </w:rPr>
        <w:t>celkovými náklady 492,4 mil. Kč. Projekty byly zaměřeny na rekonstrukc</w:t>
      </w:r>
      <w:r w:rsidR="0042540E">
        <w:rPr>
          <w:rFonts w:asciiTheme="minorHAnsi" w:hAnsiTheme="minorHAnsi" w:cstheme="minorHAnsi"/>
        </w:rPr>
        <w:t>e</w:t>
      </w:r>
      <w:r w:rsidRPr="00A315CB">
        <w:rPr>
          <w:rFonts w:asciiTheme="minorHAnsi" w:hAnsiTheme="minorHAnsi" w:cstheme="minorHAnsi"/>
        </w:rPr>
        <w:t xml:space="preserve"> a modernizac</w:t>
      </w:r>
      <w:r w:rsidR="0042540E">
        <w:rPr>
          <w:rFonts w:asciiTheme="minorHAnsi" w:hAnsiTheme="minorHAnsi" w:cstheme="minorHAnsi"/>
        </w:rPr>
        <w:t>e</w:t>
      </w:r>
      <w:r w:rsidRPr="00A315CB">
        <w:rPr>
          <w:rFonts w:asciiTheme="minorHAnsi" w:hAnsiTheme="minorHAnsi" w:cstheme="minorHAnsi"/>
        </w:rPr>
        <w:t xml:space="preserve"> soudních budov včetně nástav</w:t>
      </w:r>
      <w:r w:rsidR="0042540E">
        <w:rPr>
          <w:rFonts w:asciiTheme="minorHAnsi" w:hAnsiTheme="minorHAnsi" w:cstheme="minorHAnsi"/>
        </w:rPr>
        <w:t>e</w:t>
      </w:r>
      <w:r w:rsidRPr="00A315CB">
        <w:rPr>
          <w:rFonts w:asciiTheme="minorHAnsi" w:hAnsiTheme="minorHAnsi" w:cstheme="minorHAnsi"/>
        </w:rPr>
        <w:t>b, vestav</w:t>
      </w:r>
      <w:r w:rsidR="0042540E">
        <w:rPr>
          <w:rFonts w:asciiTheme="minorHAnsi" w:hAnsiTheme="minorHAnsi" w:cstheme="minorHAnsi"/>
        </w:rPr>
        <w:t>e</w:t>
      </w:r>
      <w:r w:rsidRPr="00A315CB">
        <w:rPr>
          <w:rFonts w:asciiTheme="minorHAnsi" w:hAnsiTheme="minorHAnsi" w:cstheme="minorHAnsi"/>
        </w:rPr>
        <w:t>b a přístav</w:t>
      </w:r>
      <w:r w:rsidR="0042540E">
        <w:rPr>
          <w:rFonts w:asciiTheme="minorHAnsi" w:hAnsiTheme="minorHAnsi" w:cstheme="minorHAnsi"/>
        </w:rPr>
        <w:t>e</w:t>
      </w:r>
      <w:r w:rsidRPr="00A315CB">
        <w:rPr>
          <w:rFonts w:asciiTheme="minorHAnsi" w:hAnsiTheme="minorHAnsi" w:cstheme="minorHAnsi"/>
        </w:rPr>
        <w:t xml:space="preserve">b, dále na odkoupení budovy Na </w:t>
      </w:r>
      <w:r w:rsidR="00D10CA3" w:rsidRPr="00A315CB">
        <w:rPr>
          <w:rFonts w:asciiTheme="minorHAnsi" w:hAnsiTheme="minorHAnsi" w:cstheme="minorHAnsi"/>
        </w:rPr>
        <w:t>M</w:t>
      </w:r>
      <w:r w:rsidR="0042540E">
        <w:rPr>
          <w:rFonts w:asciiTheme="minorHAnsi" w:hAnsiTheme="minorHAnsi" w:cstheme="minorHAnsi"/>
        </w:rPr>
        <w:t>í</w:t>
      </w:r>
      <w:r w:rsidR="00D10CA3" w:rsidRPr="00A315CB">
        <w:rPr>
          <w:rFonts w:asciiTheme="minorHAnsi" w:hAnsiTheme="minorHAnsi" w:cstheme="minorHAnsi"/>
        </w:rPr>
        <w:t>čánkách</w:t>
      </w:r>
      <w:r w:rsidRPr="00A315CB">
        <w:rPr>
          <w:rFonts w:asciiTheme="minorHAnsi" w:hAnsiTheme="minorHAnsi" w:cstheme="minorHAnsi"/>
        </w:rPr>
        <w:t xml:space="preserve"> a na obnovu informačních a komunikačních technologií.</w:t>
      </w:r>
    </w:p>
    <w:p w14:paraId="6F09F967" w14:textId="77777777" w:rsidR="004C031F" w:rsidRPr="00A315CB" w:rsidRDefault="004C031F" w:rsidP="004C031F">
      <w:pPr>
        <w:spacing w:line="264" w:lineRule="auto"/>
        <w:jc w:val="both"/>
        <w:rPr>
          <w:rFonts w:asciiTheme="minorHAnsi" w:hAnsiTheme="minorHAnsi" w:cstheme="minorHAnsi"/>
        </w:rPr>
      </w:pPr>
    </w:p>
    <w:p w14:paraId="6CB1CBAB" w14:textId="70BEBCC9" w:rsidR="005E50A8" w:rsidRDefault="005F49F6" w:rsidP="004C031F">
      <w:pPr>
        <w:spacing w:line="264" w:lineRule="auto"/>
        <w:jc w:val="both"/>
        <w:rPr>
          <w:rFonts w:asciiTheme="minorHAnsi" w:hAnsiTheme="minorHAnsi" w:cstheme="minorHAnsi"/>
        </w:rPr>
      </w:pPr>
      <w:r w:rsidRPr="00A315CB">
        <w:rPr>
          <w:rFonts w:asciiTheme="minorHAnsi" w:hAnsiTheme="minorHAnsi" w:cstheme="minorHAnsi"/>
          <w:b/>
        </w:rPr>
        <w:t>a)</w:t>
      </w:r>
      <w:r w:rsidRPr="00A315CB">
        <w:rPr>
          <w:rFonts w:asciiTheme="minorHAnsi" w:hAnsiTheme="minorHAnsi" w:cstheme="minorHAnsi"/>
        </w:rPr>
        <w:t xml:space="preserve"> </w:t>
      </w:r>
      <w:r w:rsidR="005E50A8" w:rsidRPr="00A315CB">
        <w:rPr>
          <w:rFonts w:asciiTheme="minorHAnsi" w:hAnsiTheme="minorHAnsi" w:cstheme="minorHAnsi"/>
        </w:rPr>
        <w:t xml:space="preserve">KS </w:t>
      </w:r>
      <w:r w:rsidR="004805F9" w:rsidRPr="00A315CB">
        <w:rPr>
          <w:rFonts w:asciiTheme="minorHAnsi" w:hAnsiTheme="minorHAnsi" w:cstheme="minorHAnsi"/>
        </w:rPr>
        <w:t>v Hradci</w:t>
      </w:r>
      <w:r w:rsidR="005E50A8" w:rsidRPr="00A315CB">
        <w:rPr>
          <w:rFonts w:asciiTheme="minorHAnsi" w:hAnsiTheme="minorHAnsi" w:cstheme="minorHAnsi"/>
        </w:rPr>
        <w:t xml:space="preserve"> Králové řešil umístění své pobočky v</w:t>
      </w:r>
      <w:r w:rsidR="00DB2620" w:rsidRPr="00A315CB">
        <w:rPr>
          <w:rFonts w:asciiTheme="minorHAnsi" w:hAnsiTheme="minorHAnsi" w:cstheme="minorHAnsi"/>
        </w:rPr>
        <w:t xml:space="preserve"> </w:t>
      </w:r>
      <w:r w:rsidR="005E50A8" w:rsidRPr="00A315CB">
        <w:rPr>
          <w:rFonts w:asciiTheme="minorHAnsi" w:hAnsiTheme="minorHAnsi" w:cstheme="minorHAnsi"/>
        </w:rPr>
        <w:t xml:space="preserve">Pardubicích, kde </w:t>
      </w:r>
      <w:r w:rsidR="0042540E">
        <w:rPr>
          <w:rFonts w:asciiTheme="minorHAnsi" w:hAnsiTheme="minorHAnsi" w:cstheme="minorHAnsi"/>
        </w:rPr>
        <w:t>platil nevýhodný nájem</w:t>
      </w:r>
      <w:r w:rsidR="005E50A8" w:rsidRPr="00A315CB">
        <w:rPr>
          <w:rFonts w:asciiTheme="minorHAnsi" w:hAnsiTheme="minorHAnsi" w:cstheme="minorHAnsi"/>
        </w:rPr>
        <w:t xml:space="preserve">. Pozemek pro novou budovu se </w:t>
      </w:r>
      <w:r w:rsidR="00780495" w:rsidRPr="00A315CB">
        <w:rPr>
          <w:rFonts w:asciiTheme="minorHAnsi" w:hAnsiTheme="minorHAnsi" w:cstheme="minorHAnsi"/>
        </w:rPr>
        <w:t>mu nepodařilo zajistit</w:t>
      </w:r>
      <w:r w:rsidR="005E50A8" w:rsidRPr="00A315CB">
        <w:rPr>
          <w:rFonts w:asciiTheme="minorHAnsi" w:hAnsiTheme="minorHAnsi" w:cstheme="minorHAnsi"/>
        </w:rPr>
        <w:t>, ale bezúplatným</w:t>
      </w:r>
      <w:r w:rsidR="004805F9" w:rsidRPr="00A315CB">
        <w:rPr>
          <w:rFonts w:asciiTheme="minorHAnsi" w:hAnsiTheme="minorHAnsi" w:cstheme="minorHAnsi"/>
        </w:rPr>
        <w:t xml:space="preserve"> převodem získal budovu bývalé </w:t>
      </w:r>
      <w:r w:rsidR="0042540E">
        <w:rPr>
          <w:rFonts w:asciiTheme="minorHAnsi" w:hAnsiTheme="minorHAnsi" w:cstheme="minorHAnsi"/>
        </w:rPr>
        <w:t>s</w:t>
      </w:r>
      <w:r w:rsidR="005E50A8" w:rsidRPr="00A315CB">
        <w:rPr>
          <w:rFonts w:asciiTheme="minorHAnsi" w:hAnsiTheme="minorHAnsi" w:cstheme="minorHAnsi"/>
        </w:rPr>
        <w:t>třední prů</w:t>
      </w:r>
      <w:r w:rsidR="004805F9" w:rsidRPr="00A315CB">
        <w:rPr>
          <w:rFonts w:asciiTheme="minorHAnsi" w:hAnsiTheme="minorHAnsi" w:cstheme="minorHAnsi"/>
        </w:rPr>
        <w:t>myslové školy chemické. Podle investičního záměru</w:t>
      </w:r>
      <w:r w:rsidR="005E50A8" w:rsidRPr="00A315CB">
        <w:rPr>
          <w:rFonts w:asciiTheme="minorHAnsi" w:hAnsiTheme="minorHAnsi" w:cstheme="minorHAnsi"/>
        </w:rPr>
        <w:t xml:space="preserve"> z</w:t>
      </w:r>
      <w:r w:rsidR="00DB2620" w:rsidRPr="00A315CB">
        <w:rPr>
          <w:rFonts w:asciiTheme="minorHAnsi" w:hAnsiTheme="minorHAnsi" w:cstheme="minorHAnsi"/>
        </w:rPr>
        <w:t xml:space="preserve"> </w:t>
      </w:r>
      <w:r w:rsidR="005E50A8" w:rsidRPr="00A315CB">
        <w:rPr>
          <w:rFonts w:asciiTheme="minorHAnsi" w:hAnsiTheme="minorHAnsi" w:cstheme="minorHAnsi"/>
        </w:rPr>
        <w:t>června 2012 byla přestavba této budovy na pobočku KS</w:t>
      </w:r>
      <w:r w:rsidR="00B06B9F" w:rsidRPr="00A315CB">
        <w:rPr>
          <w:rFonts w:asciiTheme="minorHAnsi" w:hAnsiTheme="minorHAnsi" w:cstheme="minorHAnsi"/>
        </w:rPr>
        <w:t xml:space="preserve"> v</w:t>
      </w:r>
      <w:r w:rsidR="00DB2620" w:rsidRPr="00A315CB">
        <w:rPr>
          <w:rFonts w:asciiTheme="minorHAnsi" w:hAnsiTheme="minorHAnsi" w:cstheme="minorHAnsi"/>
        </w:rPr>
        <w:t xml:space="preserve"> </w:t>
      </w:r>
      <w:r w:rsidR="00B06B9F" w:rsidRPr="00A315CB">
        <w:rPr>
          <w:rFonts w:asciiTheme="minorHAnsi" w:hAnsiTheme="minorHAnsi" w:cstheme="minorHAnsi"/>
        </w:rPr>
        <w:t>Hradci Králové</w:t>
      </w:r>
      <w:r w:rsidR="005E50A8" w:rsidRPr="00A315CB">
        <w:rPr>
          <w:rFonts w:asciiTheme="minorHAnsi" w:hAnsiTheme="minorHAnsi" w:cstheme="minorHAnsi"/>
        </w:rPr>
        <w:t xml:space="preserve"> výhodná</w:t>
      </w:r>
      <w:r w:rsidR="00B06B9F" w:rsidRPr="00A315CB">
        <w:rPr>
          <w:rFonts w:asciiTheme="minorHAnsi" w:hAnsiTheme="minorHAnsi" w:cstheme="minorHAnsi"/>
        </w:rPr>
        <w:t xml:space="preserve"> mj. proto, </w:t>
      </w:r>
      <w:r w:rsidR="005E50A8" w:rsidRPr="00A315CB">
        <w:rPr>
          <w:rFonts w:asciiTheme="minorHAnsi" w:hAnsiTheme="minorHAnsi" w:cstheme="minorHAnsi"/>
        </w:rPr>
        <w:t xml:space="preserve">že je </w:t>
      </w:r>
      <w:r w:rsidR="004805F9" w:rsidRPr="00A315CB">
        <w:rPr>
          <w:rFonts w:asciiTheme="minorHAnsi" w:hAnsiTheme="minorHAnsi" w:cstheme="minorHAnsi"/>
        </w:rPr>
        <w:t>v přímém sousedství s</w:t>
      </w:r>
      <w:r w:rsidR="00DB2620" w:rsidRPr="00A315CB">
        <w:rPr>
          <w:rFonts w:asciiTheme="minorHAnsi" w:hAnsiTheme="minorHAnsi" w:cstheme="minorHAnsi"/>
        </w:rPr>
        <w:t xml:space="preserve"> </w:t>
      </w:r>
      <w:r w:rsidR="004805F9" w:rsidRPr="00A315CB">
        <w:rPr>
          <w:rFonts w:asciiTheme="minorHAnsi" w:hAnsiTheme="minorHAnsi" w:cstheme="minorHAnsi"/>
        </w:rPr>
        <w:t>budovou okresního soudu</w:t>
      </w:r>
      <w:r w:rsidR="005E50A8" w:rsidRPr="00A315CB">
        <w:rPr>
          <w:rFonts w:asciiTheme="minorHAnsi" w:hAnsiTheme="minorHAnsi" w:cstheme="minorHAnsi"/>
        </w:rPr>
        <w:t>, jejíž rekonstrukce b</w:t>
      </w:r>
      <w:r w:rsidR="004805F9" w:rsidRPr="00A315CB">
        <w:rPr>
          <w:rFonts w:asciiTheme="minorHAnsi" w:hAnsiTheme="minorHAnsi" w:cstheme="minorHAnsi"/>
        </w:rPr>
        <w:t>yla také plánována. MSp tento investiční záměr</w:t>
      </w:r>
      <w:r w:rsidR="005E50A8" w:rsidRPr="00A315CB">
        <w:rPr>
          <w:rFonts w:asciiTheme="minorHAnsi" w:hAnsiTheme="minorHAnsi" w:cstheme="minorHAnsi"/>
        </w:rPr>
        <w:t xml:space="preserve"> zamítlo z</w:t>
      </w:r>
      <w:r w:rsidR="00DB2620" w:rsidRPr="00A315CB">
        <w:rPr>
          <w:rFonts w:asciiTheme="minorHAnsi" w:hAnsiTheme="minorHAnsi" w:cstheme="minorHAnsi"/>
        </w:rPr>
        <w:t xml:space="preserve"> </w:t>
      </w:r>
      <w:r w:rsidR="005E50A8" w:rsidRPr="00A315CB">
        <w:rPr>
          <w:rFonts w:asciiTheme="minorHAnsi" w:hAnsiTheme="minorHAnsi" w:cstheme="minorHAnsi"/>
        </w:rPr>
        <w:t>důvod</w:t>
      </w:r>
      <w:r w:rsidR="0042540E">
        <w:rPr>
          <w:rFonts w:asciiTheme="minorHAnsi" w:hAnsiTheme="minorHAnsi" w:cstheme="minorHAnsi"/>
        </w:rPr>
        <w:t>u</w:t>
      </w:r>
      <w:r w:rsidR="005E50A8" w:rsidRPr="00A315CB">
        <w:rPr>
          <w:rFonts w:asciiTheme="minorHAnsi" w:hAnsiTheme="minorHAnsi" w:cstheme="minorHAnsi"/>
        </w:rPr>
        <w:t xml:space="preserve"> </w:t>
      </w:r>
      <w:r w:rsidR="004805F9" w:rsidRPr="00A315CB">
        <w:rPr>
          <w:rFonts w:asciiTheme="minorHAnsi" w:hAnsiTheme="minorHAnsi" w:cstheme="minorHAnsi"/>
        </w:rPr>
        <w:t xml:space="preserve">blížícího se </w:t>
      </w:r>
      <w:r w:rsidR="005E50A8" w:rsidRPr="00A315CB">
        <w:rPr>
          <w:rFonts w:asciiTheme="minorHAnsi" w:hAnsiTheme="minorHAnsi" w:cstheme="minorHAnsi"/>
        </w:rPr>
        <w:t>ukončení programu 136 110 s</w:t>
      </w:r>
      <w:r w:rsidR="00DB2620" w:rsidRPr="00A315CB">
        <w:rPr>
          <w:rFonts w:asciiTheme="minorHAnsi" w:hAnsiTheme="minorHAnsi" w:cstheme="minorHAnsi"/>
        </w:rPr>
        <w:t xml:space="preserve"> </w:t>
      </w:r>
      <w:r w:rsidR="005E50A8" w:rsidRPr="00A315CB">
        <w:rPr>
          <w:rFonts w:asciiTheme="minorHAnsi" w:hAnsiTheme="minorHAnsi" w:cstheme="minorHAnsi"/>
        </w:rPr>
        <w:t xml:space="preserve">tím, že celá rekonstrukce by se nestihla </w:t>
      </w:r>
      <w:r w:rsidR="004805F9" w:rsidRPr="00A315CB">
        <w:rPr>
          <w:rFonts w:asciiTheme="minorHAnsi" w:hAnsiTheme="minorHAnsi" w:cstheme="minorHAnsi"/>
        </w:rPr>
        <w:t xml:space="preserve">do konce roku 2013 </w:t>
      </w:r>
      <w:r w:rsidR="005E50A8" w:rsidRPr="00A315CB">
        <w:rPr>
          <w:rFonts w:asciiTheme="minorHAnsi" w:hAnsiTheme="minorHAnsi" w:cstheme="minorHAnsi"/>
        </w:rPr>
        <w:t>ukončit a vyhodnotit</w:t>
      </w:r>
      <w:r w:rsidR="0042540E">
        <w:rPr>
          <w:rFonts w:asciiTheme="minorHAnsi" w:hAnsiTheme="minorHAnsi" w:cstheme="minorHAnsi"/>
        </w:rPr>
        <w:t>,</w:t>
      </w:r>
      <w:r w:rsidR="005E50A8" w:rsidRPr="00A315CB">
        <w:rPr>
          <w:rFonts w:asciiTheme="minorHAnsi" w:hAnsiTheme="minorHAnsi" w:cstheme="minorHAnsi"/>
        </w:rPr>
        <w:t xml:space="preserve"> a navrhlo rozdělení akce na dvě etapy. </w:t>
      </w:r>
      <w:r w:rsidR="004805F9" w:rsidRPr="00A315CB">
        <w:rPr>
          <w:rFonts w:asciiTheme="minorHAnsi" w:hAnsiTheme="minorHAnsi" w:cstheme="minorHAnsi"/>
        </w:rPr>
        <w:t xml:space="preserve">Na základě přepracovaného investičního záměru </w:t>
      </w:r>
      <w:r w:rsidR="00567530">
        <w:rPr>
          <w:rFonts w:asciiTheme="minorHAnsi" w:hAnsiTheme="minorHAnsi" w:cstheme="minorHAnsi"/>
        </w:rPr>
        <w:t>M</w:t>
      </w:r>
      <w:r w:rsidR="0042540E">
        <w:rPr>
          <w:rFonts w:asciiTheme="minorHAnsi" w:hAnsiTheme="minorHAnsi" w:cstheme="minorHAnsi"/>
        </w:rPr>
        <w:t>inisterstvo spravedlnost</w:t>
      </w:r>
      <w:r w:rsidR="0042236D">
        <w:rPr>
          <w:rFonts w:asciiTheme="minorHAnsi" w:hAnsiTheme="minorHAnsi" w:cstheme="minorHAnsi"/>
        </w:rPr>
        <w:t>i</w:t>
      </w:r>
      <w:r w:rsidR="005E50A8" w:rsidRPr="00A315CB">
        <w:rPr>
          <w:rFonts w:asciiTheme="minorHAnsi" w:hAnsiTheme="minorHAnsi" w:cstheme="minorHAnsi"/>
        </w:rPr>
        <w:t xml:space="preserve"> </w:t>
      </w:r>
      <w:r w:rsidR="004805F9" w:rsidRPr="00A315CB">
        <w:rPr>
          <w:rFonts w:asciiTheme="minorHAnsi" w:hAnsiTheme="minorHAnsi" w:cstheme="minorHAnsi"/>
        </w:rPr>
        <w:t xml:space="preserve">akci zaregistrovalo a </w:t>
      </w:r>
      <w:r w:rsidR="005E50A8" w:rsidRPr="00A315CB">
        <w:rPr>
          <w:rFonts w:asciiTheme="minorHAnsi" w:hAnsiTheme="minorHAnsi" w:cstheme="minorHAnsi"/>
        </w:rPr>
        <w:t>v</w:t>
      </w:r>
      <w:r w:rsidR="00DB2620" w:rsidRPr="00A315CB">
        <w:rPr>
          <w:rFonts w:asciiTheme="minorHAnsi" w:hAnsiTheme="minorHAnsi" w:cstheme="minorHAnsi"/>
        </w:rPr>
        <w:t xml:space="preserve"> </w:t>
      </w:r>
      <w:r w:rsidR="005E50A8" w:rsidRPr="00A315CB">
        <w:rPr>
          <w:rFonts w:asciiTheme="minorHAnsi" w:hAnsiTheme="minorHAnsi" w:cstheme="minorHAnsi"/>
        </w:rPr>
        <w:t xml:space="preserve">srpnu 2012 </w:t>
      </w:r>
      <w:r w:rsidR="004805F9" w:rsidRPr="00A315CB">
        <w:rPr>
          <w:rFonts w:asciiTheme="minorHAnsi" w:hAnsiTheme="minorHAnsi" w:cstheme="minorHAnsi"/>
        </w:rPr>
        <w:t xml:space="preserve">stanovilo </w:t>
      </w:r>
      <w:r w:rsidR="005E50A8" w:rsidRPr="00A315CB">
        <w:rPr>
          <w:rFonts w:asciiTheme="minorHAnsi" w:hAnsiTheme="minorHAnsi" w:cstheme="minorHAnsi"/>
        </w:rPr>
        <w:t>výdaje na</w:t>
      </w:r>
      <w:r w:rsidR="004805F9" w:rsidRPr="00A315CB">
        <w:rPr>
          <w:rFonts w:asciiTheme="minorHAnsi" w:hAnsiTheme="minorHAnsi" w:cstheme="minorHAnsi"/>
        </w:rPr>
        <w:t xml:space="preserve"> financování akce na</w:t>
      </w:r>
      <w:r w:rsidR="00567530">
        <w:rPr>
          <w:rFonts w:asciiTheme="minorHAnsi" w:hAnsiTheme="minorHAnsi" w:cstheme="minorHAnsi"/>
        </w:rPr>
        <w:t xml:space="preserve"> 35,2 </w:t>
      </w:r>
      <w:r w:rsidR="005E50A8" w:rsidRPr="00A315CB">
        <w:rPr>
          <w:rFonts w:asciiTheme="minorHAnsi" w:hAnsiTheme="minorHAnsi" w:cstheme="minorHAnsi"/>
        </w:rPr>
        <w:t>mil.</w:t>
      </w:r>
      <w:r w:rsidR="00567530">
        <w:rPr>
          <w:rFonts w:asciiTheme="minorHAnsi" w:hAnsiTheme="minorHAnsi" w:cstheme="minorHAnsi"/>
        </w:rPr>
        <w:t> </w:t>
      </w:r>
      <w:r w:rsidR="005E50A8" w:rsidRPr="00A315CB">
        <w:rPr>
          <w:rFonts w:asciiTheme="minorHAnsi" w:hAnsiTheme="minorHAnsi" w:cstheme="minorHAnsi"/>
        </w:rPr>
        <w:t>Kč.</w:t>
      </w:r>
    </w:p>
    <w:p w14:paraId="7BDF44A5" w14:textId="77777777" w:rsidR="00FD44A4" w:rsidRPr="00A315CB" w:rsidRDefault="00FD44A4" w:rsidP="004C031F">
      <w:pPr>
        <w:spacing w:line="264" w:lineRule="auto"/>
        <w:jc w:val="both"/>
        <w:rPr>
          <w:rFonts w:asciiTheme="minorHAnsi" w:hAnsiTheme="minorHAnsi" w:cstheme="minorHAnsi"/>
        </w:rPr>
      </w:pPr>
    </w:p>
    <w:p w14:paraId="3F5972F1" w14:textId="18FBF4B9" w:rsidR="005E50A8" w:rsidRDefault="00B06B9F" w:rsidP="004C031F">
      <w:pPr>
        <w:spacing w:line="264" w:lineRule="auto"/>
        <w:jc w:val="both"/>
        <w:rPr>
          <w:rFonts w:asciiTheme="minorHAnsi" w:hAnsiTheme="minorHAnsi" w:cstheme="minorHAnsi"/>
        </w:rPr>
      </w:pPr>
      <w:r w:rsidRPr="00A315CB">
        <w:rPr>
          <w:rFonts w:asciiTheme="minorHAnsi" w:hAnsiTheme="minorHAnsi" w:cstheme="minorHAnsi"/>
        </w:rPr>
        <w:t xml:space="preserve">Později MSp </w:t>
      </w:r>
      <w:r w:rsidR="005E50A8" w:rsidRPr="00A315CB">
        <w:rPr>
          <w:rFonts w:asciiTheme="minorHAnsi" w:hAnsiTheme="minorHAnsi" w:cstheme="minorHAnsi"/>
        </w:rPr>
        <w:t xml:space="preserve">program </w:t>
      </w:r>
      <w:r w:rsidR="004805F9" w:rsidRPr="00A315CB">
        <w:rPr>
          <w:rFonts w:asciiTheme="minorHAnsi" w:hAnsiTheme="minorHAnsi" w:cstheme="minorHAnsi"/>
        </w:rPr>
        <w:t>136</w:t>
      </w:r>
      <w:r w:rsidR="00DB2620" w:rsidRPr="00A315CB">
        <w:rPr>
          <w:rFonts w:asciiTheme="minorHAnsi" w:hAnsiTheme="minorHAnsi" w:cstheme="minorHAnsi"/>
        </w:rPr>
        <w:t xml:space="preserve"> </w:t>
      </w:r>
      <w:r w:rsidR="004805F9" w:rsidRPr="00A315CB">
        <w:rPr>
          <w:rFonts w:asciiTheme="minorHAnsi" w:hAnsiTheme="minorHAnsi" w:cstheme="minorHAnsi"/>
        </w:rPr>
        <w:t xml:space="preserve">110 </w:t>
      </w:r>
      <w:r w:rsidR="005E50A8" w:rsidRPr="00A315CB">
        <w:rPr>
          <w:rFonts w:asciiTheme="minorHAnsi" w:hAnsiTheme="minorHAnsi" w:cstheme="minorHAnsi"/>
        </w:rPr>
        <w:t>prodloužilo a dohodlo se s</w:t>
      </w:r>
      <w:r w:rsidR="00DB2620" w:rsidRPr="00A315CB">
        <w:rPr>
          <w:rFonts w:asciiTheme="minorHAnsi" w:hAnsiTheme="minorHAnsi" w:cstheme="minorHAnsi"/>
        </w:rPr>
        <w:t xml:space="preserve"> </w:t>
      </w:r>
      <w:r w:rsidR="005E50A8" w:rsidRPr="00A315CB">
        <w:rPr>
          <w:rFonts w:asciiTheme="minorHAnsi" w:hAnsiTheme="minorHAnsi" w:cstheme="minorHAnsi"/>
        </w:rPr>
        <w:t>KS na rekonstrukci celé budovy. KS</w:t>
      </w:r>
      <w:r w:rsidR="005B2F71" w:rsidRPr="00A315CB">
        <w:rPr>
          <w:rFonts w:asciiTheme="minorHAnsi" w:hAnsiTheme="minorHAnsi" w:cstheme="minorHAnsi"/>
        </w:rPr>
        <w:t> </w:t>
      </w:r>
      <w:r w:rsidR="005E50A8" w:rsidRPr="00A315CB">
        <w:rPr>
          <w:rFonts w:asciiTheme="minorHAnsi" w:hAnsiTheme="minorHAnsi" w:cstheme="minorHAnsi"/>
        </w:rPr>
        <w:t>zpracoval v</w:t>
      </w:r>
      <w:r w:rsidR="00DB2620" w:rsidRPr="00A315CB">
        <w:rPr>
          <w:rFonts w:asciiTheme="minorHAnsi" w:hAnsiTheme="minorHAnsi" w:cstheme="minorHAnsi"/>
        </w:rPr>
        <w:t xml:space="preserve"> </w:t>
      </w:r>
      <w:r w:rsidR="005E50A8" w:rsidRPr="00A315CB">
        <w:rPr>
          <w:rFonts w:asciiTheme="minorHAnsi" w:hAnsiTheme="minorHAnsi" w:cstheme="minorHAnsi"/>
        </w:rPr>
        <w:t>listopad</w:t>
      </w:r>
      <w:r w:rsidR="00BB491B" w:rsidRPr="00A315CB">
        <w:rPr>
          <w:rFonts w:asciiTheme="minorHAnsi" w:hAnsiTheme="minorHAnsi" w:cstheme="minorHAnsi"/>
        </w:rPr>
        <w:t>u 201</w:t>
      </w:r>
      <w:r w:rsidR="004805F9" w:rsidRPr="00A315CB">
        <w:rPr>
          <w:rFonts w:asciiTheme="minorHAnsi" w:hAnsiTheme="minorHAnsi" w:cstheme="minorHAnsi"/>
        </w:rPr>
        <w:t>3 nový investiční záměr</w:t>
      </w:r>
      <w:r w:rsidR="005E50A8" w:rsidRPr="00A315CB">
        <w:rPr>
          <w:rFonts w:asciiTheme="minorHAnsi" w:hAnsiTheme="minorHAnsi" w:cstheme="minorHAnsi"/>
        </w:rPr>
        <w:t xml:space="preserve"> s</w:t>
      </w:r>
      <w:r w:rsidR="00DB2620" w:rsidRPr="00A315CB">
        <w:rPr>
          <w:rFonts w:asciiTheme="minorHAnsi" w:hAnsiTheme="minorHAnsi" w:cstheme="minorHAnsi"/>
        </w:rPr>
        <w:t xml:space="preserve"> </w:t>
      </w:r>
      <w:r w:rsidR="004805F9" w:rsidRPr="00A315CB">
        <w:rPr>
          <w:rFonts w:asciiTheme="minorHAnsi" w:hAnsiTheme="minorHAnsi" w:cstheme="minorHAnsi"/>
        </w:rPr>
        <w:t xml:space="preserve">předpokládanými náklady 69,2 mil. Kč. Náklady nezahrnovaly </w:t>
      </w:r>
      <w:r w:rsidR="005E50A8" w:rsidRPr="00A315CB">
        <w:rPr>
          <w:rFonts w:asciiTheme="minorHAnsi" w:hAnsiTheme="minorHAnsi" w:cstheme="minorHAnsi"/>
        </w:rPr>
        <w:t>zateplení</w:t>
      </w:r>
      <w:r w:rsidR="004805F9" w:rsidRPr="00A315CB">
        <w:rPr>
          <w:rFonts w:asciiTheme="minorHAnsi" w:hAnsiTheme="minorHAnsi" w:cstheme="minorHAnsi"/>
        </w:rPr>
        <w:t xml:space="preserve"> vybraných částí budovy a</w:t>
      </w:r>
      <w:r w:rsidR="00DB2620" w:rsidRPr="00A315CB">
        <w:rPr>
          <w:rFonts w:asciiTheme="minorHAnsi" w:hAnsiTheme="minorHAnsi" w:cstheme="minorHAnsi"/>
        </w:rPr>
        <w:t xml:space="preserve"> </w:t>
      </w:r>
      <w:r w:rsidR="004805F9" w:rsidRPr="00A315CB">
        <w:rPr>
          <w:rFonts w:asciiTheme="minorHAnsi" w:hAnsiTheme="minorHAnsi" w:cstheme="minorHAnsi"/>
        </w:rPr>
        <w:t>výměnu</w:t>
      </w:r>
      <w:r w:rsidR="005E50A8" w:rsidRPr="00A315CB">
        <w:rPr>
          <w:rFonts w:asciiTheme="minorHAnsi" w:hAnsiTheme="minorHAnsi" w:cstheme="minorHAnsi"/>
        </w:rPr>
        <w:t xml:space="preserve"> oken, které měly být financovány z</w:t>
      </w:r>
      <w:r w:rsidR="00DB2620" w:rsidRPr="00A315CB">
        <w:rPr>
          <w:rFonts w:asciiTheme="minorHAnsi" w:hAnsiTheme="minorHAnsi" w:cstheme="minorHAnsi"/>
        </w:rPr>
        <w:t xml:space="preserve"> </w:t>
      </w:r>
      <w:r w:rsidR="0042540E">
        <w:rPr>
          <w:rFonts w:asciiTheme="minorHAnsi" w:hAnsiTheme="minorHAnsi" w:cstheme="minorHAnsi"/>
        </w:rPr>
        <w:t>o</w:t>
      </w:r>
      <w:r w:rsidR="005E50A8" w:rsidRPr="00A315CB">
        <w:rPr>
          <w:rFonts w:asciiTheme="minorHAnsi" w:hAnsiTheme="minorHAnsi" w:cstheme="minorHAnsi"/>
        </w:rPr>
        <w:t xml:space="preserve">peračního programu </w:t>
      </w:r>
      <w:r w:rsidR="004805F9" w:rsidRPr="004D0310">
        <w:rPr>
          <w:rFonts w:asciiTheme="minorHAnsi" w:hAnsiTheme="minorHAnsi" w:cstheme="minorHAnsi"/>
          <w:i/>
        </w:rPr>
        <w:t>Životní prostředí</w:t>
      </w:r>
      <w:r w:rsidR="004805F9" w:rsidRPr="00A315CB">
        <w:rPr>
          <w:rFonts w:asciiTheme="minorHAnsi" w:hAnsiTheme="minorHAnsi" w:cstheme="minorHAnsi"/>
        </w:rPr>
        <w:t>. V</w:t>
      </w:r>
      <w:r w:rsidR="00DB2620" w:rsidRPr="00A315CB">
        <w:rPr>
          <w:rFonts w:asciiTheme="minorHAnsi" w:hAnsiTheme="minorHAnsi" w:cstheme="minorHAnsi"/>
        </w:rPr>
        <w:t xml:space="preserve"> </w:t>
      </w:r>
      <w:r w:rsidR="004805F9" w:rsidRPr="00A315CB">
        <w:rPr>
          <w:rFonts w:asciiTheme="minorHAnsi" w:hAnsiTheme="minorHAnsi" w:cstheme="minorHAnsi"/>
        </w:rPr>
        <w:t xml:space="preserve">té době </w:t>
      </w:r>
      <w:r w:rsidR="005E50A8" w:rsidRPr="00A315CB">
        <w:rPr>
          <w:rFonts w:asciiTheme="minorHAnsi" w:hAnsiTheme="minorHAnsi" w:cstheme="minorHAnsi"/>
        </w:rPr>
        <w:t xml:space="preserve">však </w:t>
      </w:r>
      <w:r w:rsidR="004805F9" w:rsidRPr="00A315CB">
        <w:rPr>
          <w:rFonts w:asciiTheme="minorHAnsi" w:hAnsiTheme="minorHAnsi" w:cstheme="minorHAnsi"/>
        </w:rPr>
        <w:t xml:space="preserve">KS </w:t>
      </w:r>
      <w:r w:rsidR="005E50A8" w:rsidRPr="00A315CB">
        <w:rPr>
          <w:rFonts w:asciiTheme="minorHAnsi" w:hAnsiTheme="minorHAnsi" w:cstheme="minorHAnsi"/>
        </w:rPr>
        <w:t xml:space="preserve">již bylo známo, že financování </w:t>
      </w:r>
      <w:r w:rsidR="004805F9" w:rsidRPr="00A315CB">
        <w:rPr>
          <w:rFonts w:asciiTheme="minorHAnsi" w:hAnsiTheme="minorHAnsi" w:cstheme="minorHAnsi"/>
        </w:rPr>
        <w:t>této části rekonstrukce z</w:t>
      </w:r>
      <w:r w:rsidR="00DB2620" w:rsidRPr="00A315CB">
        <w:rPr>
          <w:rFonts w:asciiTheme="minorHAnsi" w:hAnsiTheme="minorHAnsi" w:cstheme="minorHAnsi"/>
        </w:rPr>
        <w:t xml:space="preserve"> </w:t>
      </w:r>
      <w:r w:rsidR="004805F9" w:rsidRPr="00A315CB">
        <w:rPr>
          <w:rFonts w:asciiTheme="minorHAnsi" w:hAnsiTheme="minorHAnsi" w:cstheme="minorHAnsi"/>
        </w:rPr>
        <w:t>prostředk</w:t>
      </w:r>
      <w:r w:rsidR="0042540E">
        <w:rPr>
          <w:rFonts w:asciiTheme="minorHAnsi" w:hAnsiTheme="minorHAnsi" w:cstheme="minorHAnsi"/>
        </w:rPr>
        <w:t>ů</w:t>
      </w:r>
      <w:r w:rsidR="004805F9" w:rsidRPr="00A315CB">
        <w:rPr>
          <w:rFonts w:asciiTheme="minorHAnsi" w:hAnsiTheme="minorHAnsi" w:cstheme="minorHAnsi"/>
        </w:rPr>
        <w:t xml:space="preserve"> EU realizováno nebude. </w:t>
      </w:r>
      <w:r w:rsidR="005E50A8" w:rsidRPr="00A315CB">
        <w:rPr>
          <w:rFonts w:asciiTheme="minorHAnsi" w:hAnsiTheme="minorHAnsi" w:cstheme="minorHAnsi"/>
        </w:rPr>
        <w:t>V projektové dokumentaci z</w:t>
      </w:r>
      <w:r w:rsidR="00DB2620" w:rsidRPr="00A315CB">
        <w:rPr>
          <w:rFonts w:asciiTheme="minorHAnsi" w:hAnsiTheme="minorHAnsi" w:cstheme="minorHAnsi"/>
        </w:rPr>
        <w:t xml:space="preserve"> </w:t>
      </w:r>
      <w:r w:rsidR="005E50A8" w:rsidRPr="00A315CB">
        <w:rPr>
          <w:rFonts w:asciiTheme="minorHAnsi" w:hAnsiTheme="minorHAnsi" w:cstheme="minorHAnsi"/>
        </w:rPr>
        <w:t xml:space="preserve">října 2014 byly </w:t>
      </w:r>
      <w:r w:rsidR="004805F9" w:rsidRPr="00A315CB">
        <w:rPr>
          <w:rFonts w:asciiTheme="minorHAnsi" w:hAnsiTheme="minorHAnsi" w:cstheme="minorHAnsi"/>
        </w:rPr>
        <w:t>celkové náklady oceněny na 138,8</w:t>
      </w:r>
      <w:r w:rsidR="005E50A8" w:rsidRPr="00A315CB">
        <w:rPr>
          <w:rFonts w:asciiTheme="minorHAnsi" w:hAnsiTheme="minorHAnsi" w:cstheme="minorHAnsi"/>
        </w:rPr>
        <w:t xml:space="preserve"> mil. Kč. Po dohodě KS s</w:t>
      </w:r>
      <w:r w:rsidR="00A315CB" w:rsidRPr="00A315CB">
        <w:rPr>
          <w:rFonts w:asciiTheme="minorHAnsi" w:hAnsiTheme="minorHAnsi" w:cstheme="minorHAnsi"/>
        </w:rPr>
        <w:t> </w:t>
      </w:r>
      <w:r w:rsidR="005E50A8" w:rsidRPr="00A315CB">
        <w:rPr>
          <w:rFonts w:asciiTheme="minorHAnsi" w:hAnsiTheme="minorHAnsi" w:cstheme="minorHAnsi"/>
        </w:rPr>
        <w:t>MSp bylo provedeno odborné posouzení</w:t>
      </w:r>
      <w:r w:rsidR="004805F9" w:rsidRPr="00A315CB">
        <w:rPr>
          <w:rFonts w:asciiTheme="minorHAnsi" w:hAnsiTheme="minorHAnsi" w:cstheme="minorHAnsi"/>
        </w:rPr>
        <w:t xml:space="preserve"> dokumentace provedení stavby, které vyčíslilo celkové náklady na rekonstrukci na 129,8 mil. Kč. Na tuto částku </w:t>
      </w:r>
      <w:r w:rsidR="005E50A8" w:rsidRPr="00A315CB">
        <w:rPr>
          <w:rFonts w:asciiTheme="minorHAnsi" w:hAnsiTheme="minorHAnsi" w:cstheme="minorHAnsi"/>
        </w:rPr>
        <w:t>MSp stanovilo v říjnu 2014 výdaje</w:t>
      </w:r>
      <w:r w:rsidR="004805F9" w:rsidRPr="00A315CB">
        <w:rPr>
          <w:rFonts w:asciiTheme="minorHAnsi" w:hAnsiTheme="minorHAnsi" w:cstheme="minorHAnsi"/>
        </w:rPr>
        <w:t xml:space="preserve"> ze</w:t>
      </w:r>
      <w:r w:rsidR="00DB2620" w:rsidRPr="00A315CB">
        <w:rPr>
          <w:rFonts w:asciiTheme="minorHAnsi" w:hAnsiTheme="minorHAnsi" w:cstheme="minorHAnsi"/>
        </w:rPr>
        <w:t xml:space="preserve"> </w:t>
      </w:r>
      <w:r w:rsidR="004805F9" w:rsidRPr="00A315CB">
        <w:rPr>
          <w:rFonts w:asciiTheme="minorHAnsi" w:hAnsiTheme="minorHAnsi" w:cstheme="minorHAnsi"/>
        </w:rPr>
        <w:t>státního rozpočtu</w:t>
      </w:r>
      <w:r w:rsidR="005E50A8" w:rsidRPr="00A315CB">
        <w:rPr>
          <w:rFonts w:asciiTheme="minorHAnsi" w:hAnsiTheme="minorHAnsi" w:cstheme="minorHAnsi"/>
        </w:rPr>
        <w:t>. Po proveden</w:t>
      </w:r>
      <w:r w:rsidR="0042540E">
        <w:rPr>
          <w:rFonts w:asciiTheme="minorHAnsi" w:hAnsiTheme="minorHAnsi" w:cstheme="minorHAnsi"/>
        </w:rPr>
        <w:t>í</w:t>
      </w:r>
      <w:r w:rsidR="004805F9" w:rsidRPr="00A315CB">
        <w:rPr>
          <w:rFonts w:asciiTheme="minorHAnsi" w:hAnsiTheme="minorHAnsi" w:cstheme="minorHAnsi"/>
        </w:rPr>
        <w:t xml:space="preserve"> zadávací</w:t>
      </w:r>
      <w:r w:rsidR="0042540E">
        <w:rPr>
          <w:rFonts w:asciiTheme="minorHAnsi" w:hAnsiTheme="minorHAnsi" w:cstheme="minorHAnsi"/>
        </w:rPr>
        <w:t>ho</w:t>
      </w:r>
      <w:r w:rsidR="004805F9" w:rsidRPr="00A315CB">
        <w:rPr>
          <w:rFonts w:asciiTheme="minorHAnsi" w:hAnsiTheme="minorHAnsi" w:cstheme="minorHAnsi"/>
        </w:rPr>
        <w:t xml:space="preserve"> řízení byly celkové náklady </w:t>
      </w:r>
      <w:r w:rsidR="005E50A8" w:rsidRPr="00A315CB">
        <w:rPr>
          <w:rFonts w:asciiTheme="minorHAnsi" w:hAnsiTheme="minorHAnsi" w:cstheme="minorHAnsi"/>
        </w:rPr>
        <w:t>sníženy na 86,8 mil. Kč.</w:t>
      </w:r>
      <w:r w:rsidR="004805F9" w:rsidRPr="00A315CB">
        <w:rPr>
          <w:rFonts w:asciiTheme="minorHAnsi" w:hAnsiTheme="minorHAnsi" w:cstheme="minorHAnsi"/>
        </w:rPr>
        <w:t xml:space="preserve"> </w:t>
      </w:r>
      <w:r w:rsidRPr="00A315CB">
        <w:rPr>
          <w:rFonts w:asciiTheme="minorHAnsi" w:hAnsiTheme="minorHAnsi" w:cstheme="minorHAnsi"/>
        </w:rPr>
        <w:t>Rekonstrukce</w:t>
      </w:r>
      <w:r w:rsidRPr="004D0310">
        <w:rPr>
          <w:rFonts w:asciiTheme="minorHAnsi" w:hAnsiTheme="minorHAnsi" w:cstheme="minorHAnsi"/>
        </w:rPr>
        <w:t xml:space="preserve"> </w:t>
      </w:r>
      <w:r w:rsidRPr="00A315CB">
        <w:rPr>
          <w:rFonts w:asciiTheme="minorHAnsi" w:hAnsiTheme="minorHAnsi" w:cstheme="minorHAnsi"/>
        </w:rPr>
        <w:t>má být dokončena v</w:t>
      </w:r>
      <w:r w:rsidR="00DB2620" w:rsidRPr="00A315CB">
        <w:rPr>
          <w:rFonts w:asciiTheme="minorHAnsi" w:hAnsiTheme="minorHAnsi" w:cstheme="minorHAnsi"/>
        </w:rPr>
        <w:t xml:space="preserve"> </w:t>
      </w:r>
      <w:r w:rsidRPr="00A315CB">
        <w:rPr>
          <w:rFonts w:asciiTheme="minorHAnsi" w:hAnsiTheme="minorHAnsi" w:cstheme="minorHAnsi"/>
        </w:rPr>
        <w:t>září 2016. Kontrolou byla zjištěna velká pravděpodobnost vzn</w:t>
      </w:r>
      <w:r w:rsidR="00983F2D" w:rsidRPr="00A315CB">
        <w:rPr>
          <w:rFonts w:asciiTheme="minorHAnsi" w:hAnsiTheme="minorHAnsi" w:cstheme="minorHAnsi"/>
        </w:rPr>
        <w:t xml:space="preserve">iku dalších prací nad rámec </w:t>
      </w:r>
      <w:r w:rsidR="00780495" w:rsidRPr="00A315CB">
        <w:rPr>
          <w:rFonts w:asciiTheme="minorHAnsi" w:hAnsiTheme="minorHAnsi" w:cstheme="minorHAnsi"/>
        </w:rPr>
        <w:t>původně sjednaného plnění</w:t>
      </w:r>
      <w:r w:rsidRPr="00A315CB">
        <w:rPr>
          <w:rFonts w:asciiTheme="minorHAnsi" w:hAnsiTheme="minorHAnsi" w:cstheme="minorHAnsi"/>
        </w:rPr>
        <w:t xml:space="preserve"> a </w:t>
      </w:r>
      <w:r w:rsidR="00707865" w:rsidRPr="00A315CB">
        <w:rPr>
          <w:rFonts w:asciiTheme="minorHAnsi" w:hAnsiTheme="minorHAnsi" w:cstheme="minorHAnsi"/>
        </w:rPr>
        <w:t xml:space="preserve">také </w:t>
      </w:r>
      <w:r w:rsidR="00261EF0" w:rsidRPr="00A315CB">
        <w:rPr>
          <w:rFonts w:asciiTheme="minorHAnsi" w:hAnsiTheme="minorHAnsi" w:cstheme="minorHAnsi"/>
        </w:rPr>
        <w:t xml:space="preserve">riziko sporného řízení ohledně úhrady víceprací, které zhotovitel již provedl a KS v Hradci Králové </w:t>
      </w:r>
      <w:r w:rsidRPr="00A315CB">
        <w:rPr>
          <w:rFonts w:asciiTheme="minorHAnsi" w:hAnsiTheme="minorHAnsi" w:cstheme="minorHAnsi"/>
        </w:rPr>
        <w:t>neuhradil.</w:t>
      </w:r>
    </w:p>
    <w:p w14:paraId="659B4AE9" w14:textId="77777777" w:rsidR="00FD44A4" w:rsidRPr="00A315CB" w:rsidRDefault="00FD44A4" w:rsidP="004C031F">
      <w:pPr>
        <w:spacing w:line="264" w:lineRule="auto"/>
        <w:jc w:val="both"/>
        <w:rPr>
          <w:rFonts w:asciiTheme="minorHAnsi" w:hAnsiTheme="minorHAnsi" w:cstheme="minorHAnsi"/>
        </w:rPr>
      </w:pPr>
    </w:p>
    <w:p w14:paraId="1195B1CD" w14:textId="34FFD5AE" w:rsidR="005F49F6" w:rsidRDefault="005F49F6" w:rsidP="004C031F">
      <w:pPr>
        <w:spacing w:line="264" w:lineRule="auto"/>
        <w:jc w:val="both"/>
        <w:rPr>
          <w:rFonts w:asciiTheme="minorHAnsi" w:hAnsiTheme="minorHAnsi" w:cstheme="minorHAnsi"/>
        </w:rPr>
      </w:pPr>
      <w:r w:rsidRPr="00A315CB">
        <w:rPr>
          <w:rFonts w:asciiTheme="minorHAnsi" w:hAnsiTheme="minorHAnsi" w:cstheme="minorHAnsi"/>
          <w:b/>
        </w:rPr>
        <w:lastRenderedPageBreak/>
        <w:t xml:space="preserve">b) </w:t>
      </w:r>
      <w:r w:rsidRPr="00A315CB">
        <w:rPr>
          <w:rFonts w:asciiTheme="minorHAnsi" w:hAnsiTheme="minorHAnsi" w:cstheme="minorHAnsi"/>
        </w:rPr>
        <w:t>MSp pořídilo úplatným převodem v</w:t>
      </w:r>
      <w:r w:rsidR="00DB2620" w:rsidRPr="00A315CB">
        <w:rPr>
          <w:rFonts w:asciiTheme="minorHAnsi" w:hAnsiTheme="minorHAnsi" w:cstheme="minorHAnsi"/>
        </w:rPr>
        <w:t xml:space="preserve"> </w:t>
      </w:r>
      <w:r w:rsidRPr="00A315CB">
        <w:rPr>
          <w:rFonts w:asciiTheme="minorHAnsi" w:hAnsiTheme="minorHAnsi" w:cstheme="minorHAnsi"/>
        </w:rPr>
        <w:t>roce 2009 objekt „CH“ s</w:t>
      </w:r>
      <w:r w:rsidR="00DB2620" w:rsidRPr="00A315CB">
        <w:rPr>
          <w:rFonts w:asciiTheme="minorHAnsi" w:hAnsiTheme="minorHAnsi" w:cstheme="minorHAnsi"/>
        </w:rPr>
        <w:t xml:space="preserve"> </w:t>
      </w:r>
      <w:r w:rsidRPr="00A315CB">
        <w:rPr>
          <w:rFonts w:asciiTheme="minorHAnsi" w:hAnsiTheme="minorHAnsi" w:cstheme="minorHAnsi"/>
        </w:rPr>
        <w:t xml:space="preserve">pozemky </w:t>
      </w:r>
      <w:r w:rsidR="00CF5E37">
        <w:rPr>
          <w:rFonts w:asciiTheme="minorHAnsi" w:hAnsiTheme="minorHAnsi" w:cstheme="minorHAnsi"/>
        </w:rPr>
        <w:t>pro</w:t>
      </w:r>
      <w:r w:rsidRPr="00A315CB">
        <w:rPr>
          <w:rFonts w:asciiTheme="minorHAnsi" w:hAnsiTheme="minorHAnsi" w:cstheme="minorHAnsi"/>
        </w:rPr>
        <w:t xml:space="preserve"> Justiční areál Na Míčánkách za cenu 71,0 mil. Kč, z</w:t>
      </w:r>
      <w:r w:rsidR="00DB2620" w:rsidRPr="00A315CB">
        <w:rPr>
          <w:rFonts w:asciiTheme="minorHAnsi" w:hAnsiTheme="minorHAnsi" w:cstheme="minorHAnsi"/>
        </w:rPr>
        <w:t xml:space="preserve"> </w:t>
      </w:r>
      <w:r w:rsidRPr="00A315CB">
        <w:rPr>
          <w:rFonts w:asciiTheme="minorHAnsi" w:hAnsiTheme="minorHAnsi" w:cstheme="minorHAnsi"/>
        </w:rPr>
        <w:t xml:space="preserve">toho cena za projektovou dokumentaci </w:t>
      </w:r>
      <w:r w:rsidR="00CF5E37" w:rsidRPr="00A315CB">
        <w:rPr>
          <w:rFonts w:asciiTheme="minorHAnsi" w:hAnsiTheme="minorHAnsi" w:cstheme="minorHAnsi"/>
        </w:rPr>
        <w:t xml:space="preserve">zpracovanou v roce 2008 </w:t>
      </w:r>
      <w:r w:rsidR="00B06B9F" w:rsidRPr="00A315CB">
        <w:rPr>
          <w:rFonts w:asciiTheme="minorHAnsi" w:hAnsiTheme="minorHAnsi" w:cstheme="minorHAnsi"/>
        </w:rPr>
        <w:t xml:space="preserve">na provedení rekonstrukce </w:t>
      </w:r>
      <w:r w:rsidR="00CF5E37">
        <w:rPr>
          <w:rFonts w:asciiTheme="minorHAnsi" w:hAnsiTheme="minorHAnsi" w:cstheme="minorHAnsi"/>
        </w:rPr>
        <w:t>činila 5,0 mil. </w:t>
      </w:r>
      <w:r w:rsidRPr="00A315CB">
        <w:rPr>
          <w:rFonts w:asciiTheme="minorHAnsi" w:hAnsiTheme="minorHAnsi" w:cstheme="minorHAnsi"/>
        </w:rPr>
        <w:t>Kč. Pořízený majetek MSp zařadilo do své majetkové evidence a zaúčtovalo na příslušné majetkové účty včetně</w:t>
      </w:r>
      <w:r w:rsidR="004805F9" w:rsidRPr="00A315CB">
        <w:rPr>
          <w:rFonts w:asciiTheme="minorHAnsi" w:hAnsiTheme="minorHAnsi" w:cstheme="minorHAnsi"/>
        </w:rPr>
        <w:t xml:space="preserve"> ceny za nevyužitou</w:t>
      </w:r>
      <w:r w:rsidRPr="00A315CB">
        <w:rPr>
          <w:rFonts w:asciiTheme="minorHAnsi" w:hAnsiTheme="minorHAnsi" w:cstheme="minorHAnsi"/>
        </w:rPr>
        <w:t xml:space="preserve"> </w:t>
      </w:r>
      <w:r w:rsidR="004805F9" w:rsidRPr="00A315CB">
        <w:rPr>
          <w:rFonts w:asciiTheme="minorHAnsi" w:hAnsiTheme="minorHAnsi" w:cstheme="minorHAnsi"/>
        </w:rPr>
        <w:t>projektovou dokumentaci</w:t>
      </w:r>
      <w:r w:rsidR="00C53555" w:rsidRPr="00A315CB">
        <w:rPr>
          <w:rFonts w:asciiTheme="minorHAnsi" w:hAnsiTheme="minorHAnsi" w:cstheme="minorHAnsi"/>
        </w:rPr>
        <w:t>. N</w:t>
      </w:r>
      <w:r w:rsidRPr="00A315CB">
        <w:rPr>
          <w:rFonts w:asciiTheme="minorHAnsi" w:hAnsiTheme="minorHAnsi" w:cstheme="minorHAnsi"/>
        </w:rPr>
        <w:t xml:space="preserve">epostupovalo </w:t>
      </w:r>
      <w:r w:rsidR="00C53555" w:rsidRPr="00A315CB">
        <w:rPr>
          <w:rFonts w:asciiTheme="minorHAnsi" w:hAnsiTheme="minorHAnsi" w:cstheme="minorHAnsi"/>
        </w:rPr>
        <w:t xml:space="preserve">tak </w:t>
      </w:r>
      <w:r w:rsidRPr="00A315CB">
        <w:rPr>
          <w:rFonts w:asciiTheme="minorHAnsi" w:hAnsiTheme="minorHAnsi" w:cstheme="minorHAnsi"/>
        </w:rPr>
        <w:t>v</w:t>
      </w:r>
      <w:r w:rsidR="00CF5E37">
        <w:rPr>
          <w:rFonts w:asciiTheme="minorHAnsi" w:hAnsiTheme="minorHAnsi" w:cstheme="minorHAnsi"/>
        </w:rPr>
        <w:t> </w:t>
      </w:r>
      <w:r w:rsidRPr="00A315CB">
        <w:rPr>
          <w:rFonts w:asciiTheme="minorHAnsi" w:hAnsiTheme="minorHAnsi" w:cstheme="minorHAnsi"/>
        </w:rPr>
        <w:t>souladu s vyhláškou č.</w:t>
      </w:r>
      <w:r w:rsidR="00DB2620" w:rsidRPr="00A315CB">
        <w:rPr>
          <w:rFonts w:asciiTheme="minorHAnsi" w:hAnsiTheme="minorHAnsi" w:cstheme="minorHAnsi"/>
        </w:rPr>
        <w:t xml:space="preserve"> </w:t>
      </w:r>
      <w:r w:rsidRPr="00A315CB">
        <w:rPr>
          <w:rFonts w:asciiTheme="minorHAnsi" w:hAnsiTheme="minorHAnsi" w:cstheme="minorHAnsi"/>
        </w:rPr>
        <w:t>505/2002 Sb.</w:t>
      </w:r>
      <w:r w:rsidR="0055013D" w:rsidRPr="00A315CB">
        <w:rPr>
          <w:rStyle w:val="Znakapoznpodarou"/>
          <w:rFonts w:asciiTheme="minorHAnsi" w:hAnsiTheme="minorHAnsi" w:cstheme="minorHAnsi"/>
        </w:rPr>
        <w:footnoteReference w:id="6"/>
      </w:r>
    </w:p>
    <w:p w14:paraId="36D2C131" w14:textId="77777777" w:rsidR="004C031F" w:rsidRPr="00A315CB" w:rsidRDefault="004C031F" w:rsidP="004C031F">
      <w:pPr>
        <w:spacing w:line="264" w:lineRule="auto"/>
        <w:jc w:val="both"/>
        <w:rPr>
          <w:rFonts w:asciiTheme="minorHAnsi" w:hAnsiTheme="minorHAnsi" w:cstheme="minorHAnsi"/>
        </w:rPr>
      </w:pPr>
    </w:p>
    <w:p w14:paraId="4E4A45B9" w14:textId="55B55205" w:rsidR="005F49F6" w:rsidRDefault="005F49F6" w:rsidP="004C031F">
      <w:pPr>
        <w:spacing w:line="264" w:lineRule="auto"/>
        <w:jc w:val="both"/>
        <w:rPr>
          <w:rFonts w:asciiTheme="minorHAnsi" w:hAnsiTheme="minorHAnsi" w:cstheme="minorHAnsi"/>
        </w:rPr>
      </w:pPr>
      <w:r w:rsidRPr="00A315CB">
        <w:rPr>
          <w:rFonts w:asciiTheme="minorHAnsi" w:hAnsiTheme="minorHAnsi" w:cstheme="minorHAnsi"/>
        </w:rPr>
        <w:t xml:space="preserve">Účelem této investice bylo získat další prostory pro umístění pražských justičních složek. </w:t>
      </w:r>
      <w:r w:rsidR="00C53555" w:rsidRPr="00A315CB">
        <w:rPr>
          <w:rFonts w:asciiTheme="minorHAnsi" w:hAnsiTheme="minorHAnsi" w:cstheme="minorHAnsi"/>
        </w:rPr>
        <w:t xml:space="preserve">Do objektu „CH“ se </w:t>
      </w:r>
      <w:r w:rsidRPr="00A315CB">
        <w:rPr>
          <w:rFonts w:asciiTheme="minorHAnsi" w:hAnsiTheme="minorHAnsi" w:cstheme="minorHAnsi"/>
        </w:rPr>
        <w:t>nastěhovali zaměstnanci P</w:t>
      </w:r>
      <w:r w:rsidR="00C53555" w:rsidRPr="00A315CB">
        <w:rPr>
          <w:rFonts w:asciiTheme="minorHAnsi" w:hAnsiTheme="minorHAnsi" w:cstheme="minorHAnsi"/>
        </w:rPr>
        <w:t>robační a mediační služby</w:t>
      </w:r>
      <w:r w:rsidRPr="00A315CB">
        <w:rPr>
          <w:rFonts w:asciiTheme="minorHAnsi" w:hAnsiTheme="minorHAnsi" w:cstheme="minorHAnsi"/>
        </w:rPr>
        <w:t xml:space="preserve">, </w:t>
      </w:r>
      <w:r w:rsidR="00C53555" w:rsidRPr="00A315CB">
        <w:rPr>
          <w:rFonts w:asciiTheme="minorHAnsi" w:hAnsiTheme="minorHAnsi" w:cstheme="minorHAnsi"/>
        </w:rPr>
        <w:t>kteří měli budov</w:t>
      </w:r>
      <w:r w:rsidR="00CF5E37">
        <w:rPr>
          <w:rFonts w:asciiTheme="minorHAnsi" w:hAnsiTheme="minorHAnsi" w:cstheme="minorHAnsi"/>
        </w:rPr>
        <w:t>u</w:t>
      </w:r>
      <w:r w:rsidR="00C53555" w:rsidRPr="00A315CB">
        <w:rPr>
          <w:rFonts w:asciiTheme="minorHAnsi" w:hAnsiTheme="minorHAnsi" w:cstheme="minorHAnsi"/>
        </w:rPr>
        <w:t xml:space="preserve"> využívat do její rekonstrukce v</w:t>
      </w:r>
      <w:r w:rsidR="00DB2620" w:rsidRPr="00A315CB">
        <w:rPr>
          <w:rFonts w:asciiTheme="minorHAnsi" w:hAnsiTheme="minorHAnsi" w:cstheme="minorHAnsi"/>
        </w:rPr>
        <w:t xml:space="preserve"> </w:t>
      </w:r>
      <w:r w:rsidR="00C53555" w:rsidRPr="00A315CB">
        <w:rPr>
          <w:rFonts w:asciiTheme="minorHAnsi" w:hAnsiTheme="minorHAnsi" w:cstheme="minorHAnsi"/>
        </w:rPr>
        <w:t xml:space="preserve">roce 2012. </w:t>
      </w:r>
      <w:r w:rsidR="00B06B9F" w:rsidRPr="00A315CB">
        <w:rPr>
          <w:rFonts w:asciiTheme="minorHAnsi" w:hAnsiTheme="minorHAnsi" w:cstheme="minorHAnsi"/>
        </w:rPr>
        <w:t>Poté</w:t>
      </w:r>
      <w:r w:rsidRPr="00A315CB">
        <w:rPr>
          <w:rFonts w:asciiTheme="minorHAnsi" w:hAnsiTheme="minorHAnsi" w:cstheme="minorHAnsi"/>
        </w:rPr>
        <w:t xml:space="preserve"> </w:t>
      </w:r>
      <w:r w:rsidR="00B06B9F" w:rsidRPr="00A315CB">
        <w:rPr>
          <w:rFonts w:asciiTheme="minorHAnsi" w:hAnsiTheme="minorHAnsi" w:cstheme="minorHAnsi"/>
        </w:rPr>
        <w:t xml:space="preserve">se </w:t>
      </w:r>
      <w:r w:rsidRPr="00A315CB">
        <w:rPr>
          <w:rFonts w:asciiTheme="minorHAnsi" w:hAnsiTheme="minorHAnsi" w:cstheme="minorHAnsi"/>
        </w:rPr>
        <w:t>měl</w:t>
      </w:r>
      <w:r w:rsidR="00983F2D" w:rsidRPr="00A315CB">
        <w:rPr>
          <w:rFonts w:asciiTheme="minorHAnsi" w:hAnsiTheme="minorHAnsi" w:cstheme="minorHAnsi"/>
        </w:rPr>
        <w:t>i</w:t>
      </w:r>
      <w:r w:rsidR="00B06B9F" w:rsidRPr="00A315CB">
        <w:rPr>
          <w:rFonts w:asciiTheme="minorHAnsi" w:hAnsiTheme="minorHAnsi" w:cstheme="minorHAnsi"/>
        </w:rPr>
        <w:t xml:space="preserve"> do budovy nastěhovat zaměstnanci </w:t>
      </w:r>
      <w:r w:rsidR="00C53555" w:rsidRPr="00A315CB">
        <w:rPr>
          <w:rFonts w:asciiTheme="minorHAnsi" w:hAnsiTheme="minorHAnsi" w:cstheme="minorHAnsi"/>
        </w:rPr>
        <w:t>obvodního soudu a</w:t>
      </w:r>
      <w:r w:rsidR="00DB2620" w:rsidRPr="00A315CB">
        <w:rPr>
          <w:rFonts w:asciiTheme="minorHAnsi" w:hAnsiTheme="minorHAnsi" w:cstheme="minorHAnsi"/>
        </w:rPr>
        <w:t xml:space="preserve"> </w:t>
      </w:r>
      <w:r w:rsidRPr="00A315CB">
        <w:rPr>
          <w:rFonts w:asciiTheme="minorHAnsi" w:hAnsiTheme="minorHAnsi" w:cstheme="minorHAnsi"/>
        </w:rPr>
        <w:t>příslušn</w:t>
      </w:r>
      <w:r w:rsidR="00C53555" w:rsidRPr="00A315CB">
        <w:rPr>
          <w:rFonts w:asciiTheme="minorHAnsi" w:hAnsiTheme="minorHAnsi" w:cstheme="minorHAnsi"/>
        </w:rPr>
        <w:t xml:space="preserve">ého státního zastupitelství. Rekonstrukce </w:t>
      </w:r>
      <w:r w:rsidR="00983F2D" w:rsidRPr="00A315CB">
        <w:rPr>
          <w:rFonts w:asciiTheme="minorHAnsi" w:hAnsiTheme="minorHAnsi" w:cstheme="minorHAnsi"/>
        </w:rPr>
        <w:t>nebyla do doby kontroly zahájena</w:t>
      </w:r>
      <w:r w:rsidR="00C53555" w:rsidRPr="00A315CB">
        <w:rPr>
          <w:rFonts w:asciiTheme="minorHAnsi" w:hAnsiTheme="minorHAnsi" w:cstheme="minorHAnsi"/>
        </w:rPr>
        <w:t xml:space="preserve"> a pořízená</w:t>
      </w:r>
      <w:r w:rsidRPr="00A315CB">
        <w:rPr>
          <w:rFonts w:asciiTheme="minorHAnsi" w:hAnsiTheme="minorHAnsi" w:cstheme="minorHAnsi"/>
        </w:rPr>
        <w:t xml:space="preserve"> </w:t>
      </w:r>
      <w:r w:rsidR="00C53555" w:rsidRPr="00A315CB">
        <w:rPr>
          <w:rFonts w:asciiTheme="minorHAnsi" w:hAnsiTheme="minorHAnsi" w:cstheme="minorHAnsi"/>
        </w:rPr>
        <w:t>projektová dokume</w:t>
      </w:r>
      <w:r w:rsidR="00707865" w:rsidRPr="00A315CB">
        <w:rPr>
          <w:rFonts w:asciiTheme="minorHAnsi" w:hAnsiTheme="minorHAnsi" w:cstheme="minorHAnsi"/>
        </w:rPr>
        <w:t>ntace nebyla využita. Důvodem byl</w:t>
      </w:r>
      <w:r w:rsidR="00C53555" w:rsidRPr="00A315CB">
        <w:rPr>
          <w:rFonts w:asciiTheme="minorHAnsi" w:hAnsiTheme="minorHAnsi" w:cstheme="minorHAnsi"/>
        </w:rPr>
        <w:t xml:space="preserve"> podle MSp </w:t>
      </w:r>
      <w:r w:rsidRPr="00A315CB">
        <w:rPr>
          <w:rFonts w:asciiTheme="minorHAnsi" w:hAnsiTheme="minorHAnsi" w:cstheme="minorHAnsi"/>
        </w:rPr>
        <w:t>nedostatek finančních prostředků. Cena za plán</w:t>
      </w:r>
      <w:r w:rsidR="00F2004F" w:rsidRPr="00A315CB">
        <w:rPr>
          <w:rFonts w:asciiTheme="minorHAnsi" w:hAnsiTheme="minorHAnsi" w:cstheme="minorHAnsi"/>
        </w:rPr>
        <w:t>ovanou rekonstrukci byla v</w:t>
      </w:r>
      <w:r w:rsidR="00DB2620" w:rsidRPr="00A315CB">
        <w:rPr>
          <w:rFonts w:asciiTheme="minorHAnsi" w:hAnsiTheme="minorHAnsi" w:cstheme="minorHAnsi"/>
        </w:rPr>
        <w:t xml:space="preserve"> </w:t>
      </w:r>
      <w:r w:rsidR="00F2004F" w:rsidRPr="00A315CB">
        <w:rPr>
          <w:rFonts w:asciiTheme="minorHAnsi" w:hAnsiTheme="minorHAnsi" w:cstheme="minorHAnsi"/>
        </w:rPr>
        <w:t>listopadu</w:t>
      </w:r>
      <w:r w:rsidRPr="00A315CB">
        <w:rPr>
          <w:rFonts w:asciiTheme="minorHAnsi" w:hAnsiTheme="minorHAnsi" w:cstheme="minorHAnsi"/>
        </w:rPr>
        <w:t xml:space="preserve"> 2009 </w:t>
      </w:r>
      <w:r w:rsidR="00B06B9F" w:rsidRPr="00A315CB">
        <w:rPr>
          <w:rFonts w:asciiTheme="minorHAnsi" w:hAnsiTheme="minorHAnsi" w:cstheme="minorHAnsi"/>
        </w:rPr>
        <w:t xml:space="preserve">odhadnuta </w:t>
      </w:r>
      <w:r w:rsidRPr="00A315CB">
        <w:rPr>
          <w:rFonts w:asciiTheme="minorHAnsi" w:hAnsiTheme="minorHAnsi" w:cstheme="minorHAnsi"/>
        </w:rPr>
        <w:t xml:space="preserve">na 270 mil. Kč. </w:t>
      </w:r>
    </w:p>
    <w:p w14:paraId="1261AAA5" w14:textId="77777777" w:rsidR="00FD44A4" w:rsidRPr="00A315CB" w:rsidRDefault="00FD44A4" w:rsidP="004C031F">
      <w:pPr>
        <w:spacing w:line="264" w:lineRule="auto"/>
        <w:jc w:val="both"/>
        <w:rPr>
          <w:rFonts w:asciiTheme="minorHAnsi" w:hAnsiTheme="minorHAnsi" w:cstheme="minorHAnsi"/>
        </w:rPr>
      </w:pPr>
    </w:p>
    <w:p w14:paraId="47DC26A6" w14:textId="6B2CD8DE" w:rsidR="00B06B9F" w:rsidRPr="00A315CB" w:rsidRDefault="00B06B9F" w:rsidP="004C031F">
      <w:pPr>
        <w:spacing w:line="264" w:lineRule="auto"/>
        <w:jc w:val="both"/>
        <w:rPr>
          <w:rFonts w:asciiTheme="minorHAnsi" w:hAnsiTheme="minorHAnsi" w:cstheme="minorHAnsi"/>
          <w:b/>
        </w:rPr>
      </w:pPr>
      <w:r w:rsidRPr="00A315CB">
        <w:rPr>
          <w:rFonts w:asciiTheme="minorHAnsi" w:hAnsiTheme="minorHAnsi" w:cstheme="minorHAnsi"/>
          <w:b/>
        </w:rPr>
        <w:t xml:space="preserve">c) </w:t>
      </w:r>
      <w:r w:rsidRPr="00A315CB">
        <w:rPr>
          <w:rFonts w:asciiTheme="minorHAnsi" w:hAnsiTheme="minorHAnsi" w:cstheme="minorHAnsi"/>
        </w:rPr>
        <w:t>MSp pořídilo v</w:t>
      </w:r>
      <w:r w:rsidR="00DB2620" w:rsidRPr="00A315CB">
        <w:rPr>
          <w:rFonts w:asciiTheme="minorHAnsi" w:hAnsiTheme="minorHAnsi" w:cstheme="minorHAnsi"/>
        </w:rPr>
        <w:t xml:space="preserve"> </w:t>
      </w:r>
      <w:r w:rsidRPr="00A315CB">
        <w:rPr>
          <w:rFonts w:asciiTheme="minorHAnsi" w:hAnsiTheme="minorHAnsi" w:cstheme="minorHAnsi"/>
        </w:rPr>
        <w:t>letech 2010 až 2012 výpočetní techniku, programové vybavení i projektovou dokumentaci na rekonstrukci serveroven</w:t>
      </w:r>
      <w:r w:rsidR="005B3B25" w:rsidRPr="00A315CB">
        <w:rPr>
          <w:rFonts w:asciiTheme="minorHAnsi" w:hAnsiTheme="minorHAnsi" w:cstheme="minorHAnsi"/>
        </w:rPr>
        <w:t xml:space="preserve"> </w:t>
      </w:r>
      <w:r w:rsidR="0094504C" w:rsidRPr="00A315CB">
        <w:rPr>
          <w:rFonts w:asciiTheme="minorHAnsi" w:hAnsiTheme="minorHAnsi" w:cstheme="minorHAnsi"/>
        </w:rPr>
        <w:t>v</w:t>
      </w:r>
      <w:r w:rsidR="00DB2620" w:rsidRPr="00A315CB">
        <w:rPr>
          <w:rFonts w:asciiTheme="minorHAnsi" w:hAnsiTheme="minorHAnsi" w:cstheme="minorHAnsi"/>
        </w:rPr>
        <w:t xml:space="preserve"> </w:t>
      </w:r>
      <w:r w:rsidR="0094504C" w:rsidRPr="00A315CB">
        <w:rPr>
          <w:rFonts w:asciiTheme="minorHAnsi" w:hAnsiTheme="minorHAnsi" w:cstheme="minorHAnsi"/>
        </w:rPr>
        <w:t>objektu N</w:t>
      </w:r>
      <w:r w:rsidR="005B3B25" w:rsidRPr="00A315CB">
        <w:rPr>
          <w:rFonts w:asciiTheme="minorHAnsi" w:hAnsiTheme="minorHAnsi" w:cstheme="minorHAnsi"/>
        </w:rPr>
        <w:t xml:space="preserve">a </w:t>
      </w:r>
      <w:r w:rsidR="00D10CA3" w:rsidRPr="00A315CB">
        <w:rPr>
          <w:rFonts w:asciiTheme="minorHAnsi" w:hAnsiTheme="minorHAnsi" w:cstheme="minorHAnsi"/>
        </w:rPr>
        <w:t>M</w:t>
      </w:r>
      <w:r w:rsidR="00965D21">
        <w:rPr>
          <w:rFonts w:asciiTheme="minorHAnsi" w:hAnsiTheme="minorHAnsi" w:cstheme="minorHAnsi"/>
        </w:rPr>
        <w:t>í</w:t>
      </w:r>
      <w:r w:rsidR="00D10CA3" w:rsidRPr="00A315CB">
        <w:rPr>
          <w:rFonts w:asciiTheme="minorHAnsi" w:hAnsiTheme="minorHAnsi" w:cstheme="minorHAnsi"/>
        </w:rPr>
        <w:t>čánkách</w:t>
      </w:r>
      <w:r w:rsidR="005B3B25" w:rsidRPr="00A315CB">
        <w:rPr>
          <w:rFonts w:asciiTheme="minorHAnsi" w:hAnsiTheme="minorHAnsi" w:cstheme="minorHAnsi"/>
        </w:rPr>
        <w:t xml:space="preserve"> v</w:t>
      </w:r>
      <w:r w:rsidR="00DB2620" w:rsidRPr="00A315CB">
        <w:rPr>
          <w:rFonts w:asciiTheme="minorHAnsi" w:hAnsiTheme="minorHAnsi" w:cstheme="minorHAnsi"/>
        </w:rPr>
        <w:t xml:space="preserve"> </w:t>
      </w:r>
      <w:r w:rsidR="005B3B25" w:rsidRPr="00A315CB">
        <w:rPr>
          <w:rFonts w:asciiTheme="minorHAnsi" w:hAnsiTheme="minorHAnsi" w:cstheme="minorHAnsi"/>
        </w:rPr>
        <w:t xml:space="preserve">rámci akce </w:t>
      </w:r>
      <w:r w:rsidR="005B3B25" w:rsidRPr="00A315CB">
        <w:rPr>
          <w:rFonts w:asciiTheme="minorHAnsi" w:hAnsiTheme="minorHAnsi" w:cstheme="minorHAnsi"/>
          <w:i/>
        </w:rPr>
        <w:t>Obnova techniky</w:t>
      </w:r>
      <w:r w:rsidR="005B3B25" w:rsidRPr="00A315CB">
        <w:rPr>
          <w:rFonts w:asciiTheme="minorHAnsi" w:hAnsiTheme="minorHAnsi" w:cstheme="minorHAnsi"/>
        </w:rPr>
        <w:t>.</w:t>
      </w:r>
      <w:r w:rsidRPr="00A315CB">
        <w:rPr>
          <w:rFonts w:asciiTheme="minorHAnsi" w:hAnsiTheme="minorHAnsi" w:cstheme="minorHAnsi"/>
        </w:rPr>
        <w:t xml:space="preserve"> Původní inves</w:t>
      </w:r>
      <w:r w:rsidR="00206DB2" w:rsidRPr="00A315CB">
        <w:rPr>
          <w:rFonts w:asciiTheme="minorHAnsi" w:hAnsiTheme="minorHAnsi" w:cstheme="minorHAnsi"/>
        </w:rPr>
        <w:t>tiční záměr obsahoval pořízení tří komodit za 30</w:t>
      </w:r>
      <w:r w:rsidR="009B3D68" w:rsidRPr="00A315CB">
        <w:rPr>
          <w:rFonts w:asciiTheme="minorHAnsi" w:hAnsiTheme="minorHAnsi" w:cstheme="minorHAnsi"/>
        </w:rPr>
        <w:t> </w:t>
      </w:r>
      <w:r w:rsidR="00206DB2" w:rsidRPr="00A315CB">
        <w:rPr>
          <w:rFonts w:asciiTheme="minorHAnsi" w:hAnsiTheme="minorHAnsi" w:cstheme="minorHAnsi"/>
        </w:rPr>
        <w:t>mil. Kč.</w:t>
      </w:r>
      <w:r w:rsidRPr="00A315CB">
        <w:rPr>
          <w:rFonts w:asciiTheme="minorHAnsi" w:hAnsiTheme="minorHAnsi" w:cstheme="minorHAnsi"/>
        </w:rPr>
        <w:t xml:space="preserve"> MSp akci postupn</w:t>
      </w:r>
      <w:r w:rsidR="00206DB2" w:rsidRPr="00A315CB">
        <w:rPr>
          <w:rFonts w:asciiTheme="minorHAnsi" w:hAnsiTheme="minorHAnsi" w:cstheme="minorHAnsi"/>
        </w:rPr>
        <w:t xml:space="preserve">ě rozšiřovalo až na 14 komodit za </w:t>
      </w:r>
      <w:r w:rsidR="00A23C0F" w:rsidRPr="00A315CB">
        <w:rPr>
          <w:rFonts w:asciiTheme="minorHAnsi" w:hAnsiTheme="minorHAnsi" w:cstheme="minorHAnsi"/>
        </w:rPr>
        <w:t>44,1</w:t>
      </w:r>
      <w:r w:rsidR="00DB2620" w:rsidRPr="00A315CB">
        <w:rPr>
          <w:rFonts w:asciiTheme="minorHAnsi" w:hAnsiTheme="minorHAnsi" w:cstheme="minorHAnsi"/>
        </w:rPr>
        <w:t xml:space="preserve"> </w:t>
      </w:r>
      <w:r w:rsidR="00206DB2" w:rsidRPr="00A315CB">
        <w:rPr>
          <w:rFonts w:asciiTheme="minorHAnsi" w:hAnsiTheme="minorHAnsi" w:cstheme="minorHAnsi"/>
        </w:rPr>
        <w:t>mil. Kč</w:t>
      </w:r>
      <w:r w:rsidRPr="00A315CB">
        <w:rPr>
          <w:rFonts w:asciiTheme="minorHAnsi" w:hAnsiTheme="minorHAnsi" w:cstheme="minorHAnsi"/>
        </w:rPr>
        <w:t xml:space="preserve">. Nakonec bylo </w:t>
      </w:r>
      <w:r w:rsidR="00206DB2" w:rsidRPr="00A315CB">
        <w:rPr>
          <w:rFonts w:asciiTheme="minorHAnsi" w:hAnsiTheme="minorHAnsi" w:cstheme="minorHAnsi"/>
        </w:rPr>
        <w:t xml:space="preserve">za uvedenou částku </w:t>
      </w:r>
      <w:r w:rsidRPr="00A315CB">
        <w:rPr>
          <w:rFonts w:asciiTheme="minorHAnsi" w:hAnsiTheme="minorHAnsi" w:cstheme="minorHAnsi"/>
        </w:rPr>
        <w:t>pořízeno celkem 16</w:t>
      </w:r>
      <w:r w:rsidR="00206DB2" w:rsidRPr="00A315CB">
        <w:rPr>
          <w:rFonts w:asciiTheme="minorHAnsi" w:hAnsiTheme="minorHAnsi" w:cstheme="minorHAnsi"/>
        </w:rPr>
        <w:t xml:space="preserve"> komodit</w:t>
      </w:r>
      <w:r w:rsidRPr="00A315CB">
        <w:rPr>
          <w:rFonts w:asciiTheme="minorHAnsi" w:hAnsiTheme="minorHAnsi" w:cstheme="minorHAnsi"/>
        </w:rPr>
        <w:t xml:space="preserve">. </w:t>
      </w:r>
    </w:p>
    <w:p w14:paraId="63C39CAC" w14:textId="77777777" w:rsidR="00017E46" w:rsidRDefault="00017E46" w:rsidP="004C031F">
      <w:pPr>
        <w:spacing w:line="264" w:lineRule="auto"/>
        <w:ind w:left="624" w:hanging="624"/>
        <w:jc w:val="both"/>
        <w:rPr>
          <w:rFonts w:asciiTheme="minorHAnsi" w:hAnsiTheme="minorHAnsi" w:cstheme="minorHAnsi"/>
          <w:b/>
        </w:rPr>
      </w:pPr>
    </w:p>
    <w:p w14:paraId="625E61AD" w14:textId="77777777" w:rsidR="00017E46" w:rsidRPr="00A315CB" w:rsidRDefault="00017E46" w:rsidP="004C031F">
      <w:pPr>
        <w:spacing w:line="264" w:lineRule="auto"/>
        <w:ind w:left="624" w:hanging="624"/>
        <w:jc w:val="both"/>
        <w:rPr>
          <w:rFonts w:asciiTheme="minorHAnsi" w:hAnsiTheme="minorHAnsi" w:cstheme="minorHAnsi"/>
        </w:rPr>
      </w:pPr>
      <w:r w:rsidRPr="00A315CB">
        <w:rPr>
          <w:rFonts w:asciiTheme="minorHAnsi" w:hAnsiTheme="minorHAnsi" w:cstheme="minorHAnsi"/>
          <w:b/>
        </w:rPr>
        <w:t>Podrobnosti a příklady ke zjištěním v části II.5</w:t>
      </w:r>
    </w:p>
    <w:p w14:paraId="59D618F7" w14:textId="77777777" w:rsidR="004C031F" w:rsidRDefault="004C031F" w:rsidP="004C031F">
      <w:pPr>
        <w:spacing w:line="264" w:lineRule="auto"/>
        <w:jc w:val="both"/>
        <w:rPr>
          <w:rFonts w:asciiTheme="minorHAnsi" w:hAnsiTheme="minorHAnsi" w:cstheme="minorHAnsi"/>
        </w:rPr>
      </w:pPr>
    </w:p>
    <w:p w14:paraId="0588A3E2" w14:textId="32889D15" w:rsidR="009E4CF6" w:rsidRPr="00A315CB" w:rsidRDefault="009E4CF6" w:rsidP="004C031F">
      <w:pPr>
        <w:spacing w:line="264" w:lineRule="auto"/>
        <w:jc w:val="both"/>
        <w:rPr>
          <w:rFonts w:asciiTheme="minorHAnsi" w:hAnsiTheme="minorHAnsi" w:cstheme="minorHAnsi"/>
        </w:rPr>
      </w:pPr>
      <w:r w:rsidRPr="00A315CB">
        <w:rPr>
          <w:rFonts w:asciiTheme="minorHAnsi" w:hAnsiTheme="minorHAnsi" w:cstheme="minorHAnsi"/>
        </w:rPr>
        <w:t xml:space="preserve">Kontrole bylo </w:t>
      </w:r>
      <w:r w:rsidR="003B15BB" w:rsidRPr="00A315CB">
        <w:rPr>
          <w:rFonts w:asciiTheme="minorHAnsi" w:hAnsiTheme="minorHAnsi" w:cstheme="minorHAnsi"/>
        </w:rPr>
        <w:t>podrobeno osm projektů s</w:t>
      </w:r>
      <w:r w:rsidR="00DB2620" w:rsidRPr="00A315CB">
        <w:rPr>
          <w:rFonts w:asciiTheme="minorHAnsi" w:hAnsiTheme="minorHAnsi" w:cstheme="minorHAnsi"/>
        </w:rPr>
        <w:t xml:space="preserve"> </w:t>
      </w:r>
      <w:r w:rsidR="003B15BB" w:rsidRPr="00A315CB">
        <w:rPr>
          <w:rFonts w:asciiTheme="minorHAnsi" w:hAnsiTheme="minorHAnsi" w:cstheme="minorHAnsi"/>
        </w:rPr>
        <w:t>celkovými náklady 236,1</w:t>
      </w:r>
      <w:r w:rsidRPr="00A315CB">
        <w:rPr>
          <w:rFonts w:asciiTheme="minorHAnsi" w:hAnsiTheme="minorHAnsi" w:cstheme="minorHAnsi"/>
        </w:rPr>
        <w:t xml:space="preserve"> mil. Kč. Projekty byly zaměřeny na nákup vozidel, </w:t>
      </w:r>
      <w:r w:rsidR="00C24B61" w:rsidRPr="00A315CB">
        <w:rPr>
          <w:rFonts w:asciiTheme="minorHAnsi" w:hAnsiTheme="minorHAnsi" w:cstheme="minorHAnsi"/>
        </w:rPr>
        <w:t xml:space="preserve">modernizaci vězeňských zařízení, výstavbu nové ubytovny </w:t>
      </w:r>
      <w:r w:rsidR="00206DB2" w:rsidRPr="00A315CB">
        <w:rPr>
          <w:rFonts w:asciiTheme="minorHAnsi" w:hAnsiTheme="minorHAnsi" w:cstheme="minorHAnsi"/>
        </w:rPr>
        <w:t>a </w:t>
      </w:r>
      <w:r w:rsidR="003437C6" w:rsidRPr="00A315CB">
        <w:rPr>
          <w:rFonts w:asciiTheme="minorHAnsi" w:hAnsiTheme="minorHAnsi" w:cstheme="minorHAnsi"/>
        </w:rPr>
        <w:t>pořízení velkokuchyňské technologie</w:t>
      </w:r>
      <w:r w:rsidR="00700202">
        <w:rPr>
          <w:rFonts w:asciiTheme="minorHAnsi" w:hAnsiTheme="minorHAnsi" w:cstheme="minorHAnsi"/>
        </w:rPr>
        <w:t xml:space="preserve"> (u tohoto projektu </w:t>
      </w:r>
      <w:r w:rsidR="003437C6" w:rsidRPr="00A315CB">
        <w:rPr>
          <w:rFonts w:asciiTheme="minorHAnsi" w:hAnsiTheme="minorHAnsi" w:cstheme="minorHAnsi"/>
        </w:rPr>
        <w:t>byly zjištěny největší nedostatky</w:t>
      </w:r>
      <w:r w:rsidR="00700202">
        <w:rPr>
          <w:rFonts w:asciiTheme="minorHAnsi" w:hAnsiTheme="minorHAnsi" w:cstheme="minorHAnsi"/>
        </w:rPr>
        <w:t>)</w:t>
      </w:r>
      <w:r w:rsidR="003437C6" w:rsidRPr="00A315CB">
        <w:rPr>
          <w:rFonts w:asciiTheme="minorHAnsi" w:hAnsiTheme="minorHAnsi" w:cstheme="minorHAnsi"/>
        </w:rPr>
        <w:t xml:space="preserve">. </w:t>
      </w:r>
    </w:p>
    <w:p w14:paraId="6603DB02" w14:textId="77777777" w:rsidR="00A55E20" w:rsidRPr="00A315CB" w:rsidRDefault="00A55E20" w:rsidP="004C031F">
      <w:pPr>
        <w:spacing w:line="264" w:lineRule="auto"/>
        <w:jc w:val="both"/>
        <w:rPr>
          <w:rFonts w:asciiTheme="minorHAnsi" w:hAnsiTheme="minorHAnsi" w:cstheme="minorHAnsi"/>
        </w:rPr>
      </w:pPr>
    </w:p>
    <w:p w14:paraId="3CF5C7A0" w14:textId="23200425" w:rsidR="00017E46" w:rsidRDefault="00017E46" w:rsidP="004C031F">
      <w:pPr>
        <w:spacing w:line="264" w:lineRule="auto"/>
        <w:jc w:val="both"/>
        <w:rPr>
          <w:rFonts w:ascii="Calibri" w:hAnsi="Calibri" w:cs="Calibri"/>
        </w:rPr>
      </w:pPr>
      <w:r w:rsidRPr="00A315CB">
        <w:rPr>
          <w:rFonts w:ascii="Calibri" w:hAnsi="Calibri" w:cs="Calibri"/>
        </w:rPr>
        <w:t>Pořízení velkokuchyňské technologie bylo předmětem dvou akcí</w:t>
      </w:r>
      <w:r w:rsidR="00700202">
        <w:rPr>
          <w:rFonts w:ascii="Calibri" w:hAnsi="Calibri" w:cs="Calibri"/>
        </w:rPr>
        <w:t>:</w:t>
      </w:r>
      <w:r w:rsidRPr="00A315CB">
        <w:rPr>
          <w:rFonts w:ascii="Calibri" w:hAnsi="Calibri" w:cs="Calibri"/>
        </w:rPr>
        <w:t xml:space="preserve"> </w:t>
      </w:r>
      <w:r w:rsidRPr="00A315CB">
        <w:rPr>
          <w:rFonts w:ascii="Calibri" w:hAnsi="Calibri" w:cs="Calibri"/>
          <w:i/>
        </w:rPr>
        <w:t xml:space="preserve">GŘ OL – velkokuchyňská technologie 2011 </w:t>
      </w:r>
      <w:r w:rsidRPr="00A315CB">
        <w:rPr>
          <w:rFonts w:ascii="Calibri" w:hAnsi="Calibri" w:cs="Calibri"/>
        </w:rPr>
        <w:t xml:space="preserve">a </w:t>
      </w:r>
      <w:r w:rsidRPr="00A315CB">
        <w:rPr>
          <w:rFonts w:ascii="Calibri" w:hAnsi="Calibri" w:cs="Calibri"/>
          <w:i/>
        </w:rPr>
        <w:t xml:space="preserve">Odolov – rozšíření stravovacího provozu. </w:t>
      </w:r>
      <w:r w:rsidR="00F2004F" w:rsidRPr="00A315CB">
        <w:rPr>
          <w:rFonts w:ascii="Calibri" w:hAnsi="Calibri" w:cs="Calibri"/>
        </w:rPr>
        <w:t>Investiční záměr</w:t>
      </w:r>
      <w:r w:rsidRPr="00A315CB">
        <w:rPr>
          <w:rFonts w:ascii="Calibri" w:hAnsi="Calibri" w:cs="Calibri"/>
        </w:rPr>
        <w:t xml:space="preserve"> první akce z června 2011 předpokládal pořízení </w:t>
      </w:r>
      <w:r w:rsidR="00F2004F" w:rsidRPr="00A315CB">
        <w:rPr>
          <w:rFonts w:ascii="Calibri" w:hAnsi="Calibri" w:cs="Calibri"/>
        </w:rPr>
        <w:t>kuchyňské technologie pro</w:t>
      </w:r>
      <w:r w:rsidR="00DB2620" w:rsidRPr="00A315CB">
        <w:rPr>
          <w:rFonts w:ascii="Calibri" w:hAnsi="Calibri" w:cs="Calibri"/>
        </w:rPr>
        <w:t xml:space="preserve"> </w:t>
      </w:r>
      <w:r w:rsidR="00F2004F" w:rsidRPr="00A315CB">
        <w:rPr>
          <w:rFonts w:ascii="Calibri" w:hAnsi="Calibri" w:cs="Calibri"/>
        </w:rPr>
        <w:t>osm věznic (Světlá nad Sázavou</w:t>
      </w:r>
      <w:r w:rsidRPr="00A315CB">
        <w:rPr>
          <w:rFonts w:ascii="Calibri" w:hAnsi="Calibri" w:cs="Calibri"/>
        </w:rPr>
        <w:t xml:space="preserve">, Rapotice, Valdice, Ruzyně, Pardubice, Všehrdy, Stráž pod Ralskem a Brno). Celkové </w:t>
      </w:r>
      <w:r>
        <w:rPr>
          <w:rFonts w:ascii="Calibri" w:hAnsi="Calibri" w:cs="Calibri"/>
        </w:rPr>
        <w:t>výdaje byly stanoveny na 10,3 mil. Kč. V</w:t>
      </w:r>
      <w:r w:rsidR="00DB262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zadávací dokumentaci ze srpna 2011 byl počet věznic rozšířen na devět, když byl</w:t>
      </w:r>
      <w:r w:rsidR="00A234AA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přidán</w:t>
      </w:r>
      <w:r w:rsidR="00F2004F">
        <w:rPr>
          <w:rFonts w:ascii="Calibri" w:hAnsi="Calibri" w:cs="Calibri"/>
        </w:rPr>
        <w:t>a věznice</w:t>
      </w:r>
      <w:r>
        <w:rPr>
          <w:rFonts w:ascii="Calibri" w:hAnsi="Calibri" w:cs="Calibri"/>
        </w:rPr>
        <w:t xml:space="preserve"> Odolov</w:t>
      </w:r>
      <w:r w:rsidR="00A234AA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Po proveden</w:t>
      </w:r>
      <w:r w:rsidR="00700202">
        <w:rPr>
          <w:rFonts w:ascii="Calibri" w:hAnsi="Calibri" w:cs="Calibri"/>
        </w:rPr>
        <w:t>í</w:t>
      </w:r>
      <w:r>
        <w:rPr>
          <w:rFonts w:ascii="Calibri" w:hAnsi="Calibri" w:cs="Calibri"/>
        </w:rPr>
        <w:t xml:space="preserve"> zadávací</w:t>
      </w:r>
      <w:r w:rsidR="00700202">
        <w:rPr>
          <w:rFonts w:ascii="Calibri" w:hAnsi="Calibri" w:cs="Calibri"/>
        </w:rPr>
        <w:t>ho</w:t>
      </w:r>
      <w:r>
        <w:rPr>
          <w:rFonts w:ascii="Calibri" w:hAnsi="Calibri" w:cs="Calibri"/>
        </w:rPr>
        <w:t xml:space="preserve"> řízení </w:t>
      </w:r>
      <w:r w:rsidR="00983F2D">
        <w:rPr>
          <w:rFonts w:ascii="Calibri" w:hAnsi="Calibri" w:cs="Calibri"/>
        </w:rPr>
        <w:t>byla akce opět rozdělena</w:t>
      </w:r>
      <w:r>
        <w:rPr>
          <w:rFonts w:ascii="Calibri" w:hAnsi="Calibri" w:cs="Calibri"/>
        </w:rPr>
        <w:t xml:space="preserve"> na Odolov </w:t>
      </w:r>
      <w:r w:rsidR="00C24B61" w:rsidRPr="00A234AA">
        <w:rPr>
          <w:rFonts w:ascii="Calibri" w:hAnsi="Calibri" w:cs="Calibri"/>
        </w:rPr>
        <w:t>s</w:t>
      </w:r>
      <w:r w:rsidR="00DB2620">
        <w:rPr>
          <w:rFonts w:ascii="Calibri" w:hAnsi="Calibri" w:cs="Calibri"/>
        </w:rPr>
        <w:t xml:space="preserve"> </w:t>
      </w:r>
      <w:r w:rsidR="00C24B61" w:rsidRPr="00A234AA">
        <w:rPr>
          <w:rFonts w:ascii="Calibri" w:hAnsi="Calibri" w:cs="Calibri"/>
        </w:rPr>
        <w:t xml:space="preserve">účastí státního rozpočtu ve výši </w:t>
      </w:r>
      <w:r w:rsidR="0071682C">
        <w:rPr>
          <w:rFonts w:ascii="Calibri" w:hAnsi="Calibri" w:cs="Calibri"/>
        </w:rPr>
        <w:t>6,654 mil. Kč a</w:t>
      </w:r>
      <w:r w:rsidR="00700202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zbylých osm věznic </w:t>
      </w:r>
      <w:r w:rsidR="00983F2D">
        <w:rPr>
          <w:rFonts w:ascii="Calibri" w:hAnsi="Calibri" w:cs="Calibri"/>
        </w:rPr>
        <w:t>s</w:t>
      </w:r>
      <w:r w:rsidR="00DB2620">
        <w:rPr>
          <w:rFonts w:ascii="Calibri" w:hAnsi="Calibri" w:cs="Calibri"/>
        </w:rPr>
        <w:t xml:space="preserve"> </w:t>
      </w:r>
      <w:r w:rsidR="00983F2D">
        <w:rPr>
          <w:rFonts w:ascii="Calibri" w:hAnsi="Calibri" w:cs="Calibri"/>
        </w:rPr>
        <w:t>účast</w:t>
      </w:r>
      <w:r w:rsidR="00700202">
        <w:rPr>
          <w:rFonts w:ascii="Calibri" w:hAnsi="Calibri" w:cs="Calibri"/>
        </w:rPr>
        <w:t>í</w:t>
      </w:r>
      <w:r w:rsidR="00983F2D">
        <w:rPr>
          <w:rFonts w:ascii="Calibri" w:hAnsi="Calibri" w:cs="Calibri"/>
        </w:rPr>
        <w:t xml:space="preserve"> státního rozpočtu ve výši </w:t>
      </w:r>
      <w:r w:rsidR="003B15BB">
        <w:rPr>
          <w:rFonts w:ascii="Calibri" w:hAnsi="Calibri" w:cs="Calibri"/>
        </w:rPr>
        <w:t>9,430</w:t>
      </w:r>
      <w:r>
        <w:rPr>
          <w:rFonts w:ascii="Calibri" w:hAnsi="Calibri" w:cs="Calibri"/>
        </w:rPr>
        <w:t xml:space="preserve"> mil. Kč včetně DPH. Obě akce realizoval jeden dodavatel. V</w:t>
      </w:r>
      <w:r w:rsidR="00DB262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realizaci těchto akcí v</w:t>
      </w:r>
      <w:r w:rsidR="00DB262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roce 2011 byly zjištěny následující nedostatky:</w:t>
      </w:r>
    </w:p>
    <w:p w14:paraId="3BF80E2E" w14:textId="74E72E9C" w:rsidR="003B15BB" w:rsidRPr="00A315CB" w:rsidRDefault="008955EF" w:rsidP="004C031F">
      <w:pPr>
        <w:pStyle w:val="Odstavecseseznamem"/>
        <w:numPr>
          <w:ilvl w:val="0"/>
          <w:numId w:val="17"/>
        </w:numPr>
        <w:spacing w:line="264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VS </w:t>
      </w:r>
      <w:r w:rsidR="003B15BB" w:rsidRPr="003B15BB">
        <w:rPr>
          <w:rFonts w:ascii="Calibri" w:hAnsi="Calibri" w:cs="Calibri"/>
        </w:rPr>
        <w:t xml:space="preserve">neměla připravenou projektovou dokumentaci na nezbytně nutné stavební práce pro napojení nových kuchyňských zařízení </w:t>
      </w:r>
      <w:r w:rsidR="00700202">
        <w:rPr>
          <w:rFonts w:ascii="Calibri" w:hAnsi="Calibri" w:cs="Calibri"/>
        </w:rPr>
        <w:t>ani</w:t>
      </w:r>
      <w:r w:rsidR="00700202" w:rsidRPr="003B15BB">
        <w:rPr>
          <w:rFonts w:ascii="Calibri" w:hAnsi="Calibri" w:cs="Calibri"/>
        </w:rPr>
        <w:t xml:space="preserve"> </w:t>
      </w:r>
      <w:r w:rsidR="003B15BB" w:rsidRPr="003B15BB">
        <w:rPr>
          <w:rFonts w:ascii="Calibri" w:hAnsi="Calibri" w:cs="Calibri"/>
        </w:rPr>
        <w:t>položkov</w:t>
      </w:r>
      <w:r w:rsidR="00700202">
        <w:rPr>
          <w:rFonts w:ascii="Calibri" w:hAnsi="Calibri" w:cs="Calibri"/>
        </w:rPr>
        <w:t>ý</w:t>
      </w:r>
      <w:r w:rsidR="003B15BB" w:rsidRPr="003B15BB">
        <w:rPr>
          <w:rFonts w:ascii="Calibri" w:hAnsi="Calibri" w:cs="Calibri"/>
        </w:rPr>
        <w:t xml:space="preserve"> rozpoč</w:t>
      </w:r>
      <w:r w:rsidR="00700202">
        <w:rPr>
          <w:rFonts w:ascii="Calibri" w:hAnsi="Calibri" w:cs="Calibri"/>
        </w:rPr>
        <w:t>e</w:t>
      </w:r>
      <w:r w:rsidR="003B15BB" w:rsidRPr="003B15BB">
        <w:rPr>
          <w:rFonts w:ascii="Calibri" w:hAnsi="Calibri" w:cs="Calibri"/>
        </w:rPr>
        <w:t>t a</w:t>
      </w:r>
      <w:r w:rsidR="00DB2620">
        <w:rPr>
          <w:rFonts w:ascii="Calibri" w:hAnsi="Calibri" w:cs="Calibri"/>
        </w:rPr>
        <w:t xml:space="preserve"> </w:t>
      </w:r>
      <w:r w:rsidR="003B15BB" w:rsidRPr="003B15BB">
        <w:rPr>
          <w:rFonts w:ascii="Calibri" w:hAnsi="Calibri" w:cs="Calibri"/>
        </w:rPr>
        <w:t>cenov</w:t>
      </w:r>
      <w:r w:rsidR="00700202">
        <w:rPr>
          <w:rFonts w:ascii="Calibri" w:hAnsi="Calibri" w:cs="Calibri"/>
        </w:rPr>
        <w:t>ý</w:t>
      </w:r>
      <w:r w:rsidR="003B15BB" w:rsidRPr="003B15BB">
        <w:rPr>
          <w:rFonts w:ascii="Calibri" w:hAnsi="Calibri" w:cs="Calibri"/>
        </w:rPr>
        <w:t xml:space="preserve"> </w:t>
      </w:r>
      <w:r w:rsidR="00700202">
        <w:rPr>
          <w:rFonts w:ascii="Calibri" w:hAnsi="Calibri" w:cs="Calibri"/>
        </w:rPr>
        <w:t>odhad a </w:t>
      </w:r>
      <w:r w:rsidR="003B15BB" w:rsidRPr="00A315CB">
        <w:rPr>
          <w:rFonts w:ascii="Calibri" w:hAnsi="Calibri" w:cs="Calibri"/>
        </w:rPr>
        <w:t>nezadala specializovanému odborníkovi zpracovat řešení nových kuchyňských technologií s</w:t>
      </w:r>
      <w:r w:rsidR="00975F7F">
        <w:rPr>
          <w:rFonts w:ascii="Calibri" w:hAnsi="Calibri" w:cs="Calibri"/>
        </w:rPr>
        <w:t> </w:t>
      </w:r>
      <w:r w:rsidR="003B15BB" w:rsidRPr="00A315CB">
        <w:rPr>
          <w:rFonts w:ascii="Calibri" w:hAnsi="Calibri" w:cs="Calibri"/>
        </w:rPr>
        <w:t>ohledem na specifikace jednotlivých kuchyní ve věznicích včetně odhadu cen.</w:t>
      </w:r>
    </w:p>
    <w:p w14:paraId="3644D85F" w14:textId="048BADB6" w:rsidR="003B15BB" w:rsidRPr="00A315CB" w:rsidRDefault="00017E46" w:rsidP="004C031F">
      <w:pPr>
        <w:pStyle w:val="Odstavecseseznamem"/>
        <w:numPr>
          <w:ilvl w:val="0"/>
          <w:numId w:val="17"/>
        </w:numPr>
        <w:spacing w:line="264" w:lineRule="auto"/>
        <w:ind w:left="284" w:hanging="284"/>
        <w:jc w:val="both"/>
        <w:rPr>
          <w:rFonts w:ascii="Calibri" w:hAnsi="Calibri" w:cs="Calibri"/>
        </w:rPr>
      </w:pPr>
      <w:r w:rsidRPr="00A315CB">
        <w:rPr>
          <w:rFonts w:ascii="Calibri" w:hAnsi="Calibri" w:cs="Calibri"/>
        </w:rPr>
        <w:lastRenderedPageBreak/>
        <w:t xml:space="preserve">VS </w:t>
      </w:r>
      <w:r w:rsidR="00DC438B" w:rsidRPr="00A315CB">
        <w:rPr>
          <w:rFonts w:ascii="Calibri" w:hAnsi="Calibri" w:cs="Calibri"/>
        </w:rPr>
        <w:t xml:space="preserve">porušila zákon </w:t>
      </w:r>
      <w:r w:rsidR="00F2004F" w:rsidRPr="00A315CB">
        <w:rPr>
          <w:rFonts w:ascii="Calibri" w:hAnsi="Calibri" w:cs="Calibri"/>
        </w:rPr>
        <w:t>č.</w:t>
      </w:r>
      <w:r w:rsidR="00DB2620" w:rsidRPr="00A315CB">
        <w:rPr>
          <w:rFonts w:ascii="Calibri" w:hAnsi="Calibri" w:cs="Calibri"/>
        </w:rPr>
        <w:t> </w:t>
      </w:r>
      <w:r w:rsidR="00F2004F" w:rsidRPr="00A315CB">
        <w:rPr>
          <w:rFonts w:ascii="Calibri" w:hAnsi="Calibri" w:cs="Calibri"/>
        </w:rPr>
        <w:t>137/2006 Sb.</w:t>
      </w:r>
      <w:r w:rsidR="0055013D" w:rsidRPr="00A315CB">
        <w:rPr>
          <w:rStyle w:val="Znakapoznpodarou"/>
          <w:rFonts w:ascii="Calibri" w:hAnsi="Calibri" w:cs="Calibri"/>
        </w:rPr>
        <w:footnoteReference w:id="7"/>
      </w:r>
      <w:r w:rsidR="0055013D" w:rsidRPr="00A315CB">
        <w:rPr>
          <w:rFonts w:ascii="Calibri" w:hAnsi="Calibri" w:cs="Calibri"/>
        </w:rPr>
        <w:t xml:space="preserve"> </w:t>
      </w:r>
      <w:r w:rsidR="00DC438B" w:rsidRPr="00A315CB">
        <w:rPr>
          <w:rFonts w:ascii="Calibri" w:hAnsi="Calibri" w:cs="Calibri"/>
        </w:rPr>
        <w:t xml:space="preserve">tím, že ve smyslu ustanovení § 155 neuchovala kompletní dokumentaci o veřejné zakázce a záznamy o úkonech učiněných elektronicky podle § 149 po stanovenou dobu. </w:t>
      </w:r>
      <w:r w:rsidR="003B15BB" w:rsidRPr="00A315CB">
        <w:rPr>
          <w:rFonts w:ascii="Calibri" w:hAnsi="Calibri" w:cs="Calibri"/>
        </w:rPr>
        <w:t>VS v</w:t>
      </w:r>
      <w:r w:rsidR="00DB2620" w:rsidRPr="00A315CB">
        <w:rPr>
          <w:rFonts w:ascii="Calibri" w:hAnsi="Calibri" w:cs="Calibri"/>
        </w:rPr>
        <w:t xml:space="preserve"> </w:t>
      </w:r>
      <w:r w:rsidR="003B15BB" w:rsidRPr="00A315CB">
        <w:rPr>
          <w:rFonts w:ascii="Calibri" w:hAnsi="Calibri" w:cs="Calibri"/>
        </w:rPr>
        <w:t xml:space="preserve">mnoha případech </w:t>
      </w:r>
      <w:r w:rsidR="00DC438B" w:rsidRPr="00A315CB">
        <w:rPr>
          <w:rFonts w:ascii="Calibri" w:hAnsi="Calibri" w:cs="Calibri"/>
        </w:rPr>
        <w:t>nepředložila</w:t>
      </w:r>
      <w:r w:rsidR="003B15BB" w:rsidRPr="00A315CB">
        <w:rPr>
          <w:rFonts w:ascii="Calibri" w:hAnsi="Calibri" w:cs="Calibri"/>
        </w:rPr>
        <w:t xml:space="preserve"> originály </w:t>
      </w:r>
      <w:r w:rsidR="000F7EC8" w:rsidRPr="00A315CB">
        <w:rPr>
          <w:rFonts w:ascii="Calibri" w:hAnsi="Calibri" w:cs="Calibri"/>
        </w:rPr>
        <w:t xml:space="preserve">listin </w:t>
      </w:r>
      <w:r w:rsidR="003B15BB" w:rsidRPr="00A315CB">
        <w:rPr>
          <w:rFonts w:ascii="Calibri" w:hAnsi="Calibri" w:cs="Calibri"/>
        </w:rPr>
        <w:t>(zejména předávací listiny u jednotlivých technologických zařízení</w:t>
      </w:r>
      <w:r w:rsidR="00700202">
        <w:rPr>
          <w:rFonts w:ascii="Calibri" w:hAnsi="Calibri" w:cs="Calibri"/>
        </w:rPr>
        <w:t xml:space="preserve"> a</w:t>
      </w:r>
      <w:r w:rsidR="003B15BB" w:rsidRPr="00A315CB">
        <w:rPr>
          <w:rFonts w:ascii="Calibri" w:hAnsi="Calibri" w:cs="Calibri"/>
        </w:rPr>
        <w:t xml:space="preserve"> nabídku vítězného uchazeče na realizaci akce). V</w:t>
      </w:r>
      <w:r w:rsidR="00DB2620" w:rsidRPr="00A315CB">
        <w:rPr>
          <w:rFonts w:ascii="Calibri" w:hAnsi="Calibri" w:cs="Calibri"/>
        </w:rPr>
        <w:t xml:space="preserve"> </w:t>
      </w:r>
      <w:r w:rsidR="003B15BB" w:rsidRPr="00A315CB">
        <w:rPr>
          <w:rFonts w:ascii="Calibri" w:hAnsi="Calibri" w:cs="Calibri"/>
        </w:rPr>
        <w:t xml:space="preserve">kopii vítězné nabídky nebyly očíslovány všechny stránky. </w:t>
      </w:r>
      <w:r w:rsidR="00700202">
        <w:rPr>
          <w:rFonts w:ascii="Calibri" w:hAnsi="Calibri" w:cs="Calibri"/>
        </w:rPr>
        <w:t>Z těchto důvodů</w:t>
      </w:r>
      <w:r w:rsidR="003B15BB" w:rsidRPr="00A315CB">
        <w:rPr>
          <w:rFonts w:ascii="Calibri" w:hAnsi="Calibri" w:cs="Calibri"/>
        </w:rPr>
        <w:t xml:space="preserve"> nebylo možné prověřit, zda uzavřená kupní smlouva této vítězné nabídce odpovídala.</w:t>
      </w:r>
    </w:p>
    <w:p w14:paraId="0A2D904D" w14:textId="77777777" w:rsidR="00017E46" w:rsidRPr="00A315CB" w:rsidRDefault="00017E46" w:rsidP="004C031F">
      <w:pPr>
        <w:pStyle w:val="Odstavecseseznamem"/>
        <w:numPr>
          <w:ilvl w:val="0"/>
          <w:numId w:val="17"/>
        </w:numPr>
        <w:spacing w:line="264" w:lineRule="auto"/>
        <w:ind w:left="284" w:hanging="284"/>
        <w:jc w:val="both"/>
        <w:rPr>
          <w:rFonts w:ascii="Calibri" w:hAnsi="Calibri" w:cs="Calibri"/>
        </w:rPr>
      </w:pPr>
      <w:r w:rsidRPr="00A315CB">
        <w:rPr>
          <w:rFonts w:ascii="Calibri" w:hAnsi="Calibri" w:cs="Calibri"/>
        </w:rPr>
        <w:t>VS nezajistila stavební připravenost pro montáž a uvedení do provoz</w:t>
      </w:r>
      <w:r w:rsidR="00707865" w:rsidRPr="00A315CB">
        <w:rPr>
          <w:rFonts w:ascii="Calibri" w:hAnsi="Calibri" w:cs="Calibri"/>
        </w:rPr>
        <w:t>u velkokuchyňského zařízení. N</w:t>
      </w:r>
      <w:r w:rsidRPr="00A315CB">
        <w:rPr>
          <w:rFonts w:ascii="Calibri" w:hAnsi="Calibri" w:cs="Calibri"/>
        </w:rPr>
        <w:t>apř. u plynového konvektomat</w:t>
      </w:r>
      <w:r w:rsidR="00983F2D" w:rsidRPr="00A315CB">
        <w:rPr>
          <w:rFonts w:ascii="Calibri" w:hAnsi="Calibri" w:cs="Calibri"/>
        </w:rPr>
        <w:t>u v</w:t>
      </w:r>
      <w:r w:rsidR="00DB2620" w:rsidRPr="00A315CB">
        <w:rPr>
          <w:rFonts w:ascii="Calibri" w:hAnsi="Calibri" w:cs="Calibri"/>
        </w:rPr>
        <w:t xml:space="preserve"> </w:t>
      </w:r>
      <w:r w:rsidR="00983F2D" w:rsidRPr="00A315CB">
        <w:rPr>
          <w:rFonts w:ascii="Calibri" w:hAnsi="Calibri" w:cs="Calibri"/>
        </w:rPr>
        <w:t xml:space="preserve">Brně </w:t>
      </w:r>
      <w:r w:rsidRPr="00A315CB">
        <w:rPr>
          <w:rFonts w:ascii="Calibri" w:hAnsi="Calibri" w:cs="Calibri"/>
        </w:rPr>
        <w:t xml:space="preserve">musela být </w:t>
      </w:r>
      <w:r w:rsidR="00983F2D" w:rsidRPr="00A315CB">
        <w:rPr>
          <w:rFonts w:ascii="Calibri" w:hAnsi="Calibri" w:cs="Calibri"/>
        </w:rPr>
        <w:t xml:space="preserve">následně </w:t>
      </w:r>
      <w:r w:rsidRPr="00A315CB">
        <w:rPr>
          <w:rFonts w:ascii="Calibri" w:hAnsi="Calibri" w:cs="Calibri"/>
        </w:rPr>
        <w:t xml:space="preserve">pro jeho zapojení vypsána zakázka malého rozsahu a </w:t>
      </w:r>
      <w:r w:rsidR="00F2004F" w:rsidRPr="00A315CB">
        <w:rPr>
          <w:rFonts w:ascii="Calibri" w:hAnsi="Calibri" w:cs="Calibri"/>
        </w:rPr>
        <w:t xml:space="preserve">cca </w:t>
      </w:r>
      <w:r w:rsidR="00171E37" w:rsidRPr="00A315CB">
        <w:rPr>
          <w:rFonts w:ascii="Calibri" w:hAnsi="Calibri" w:cs="Calibri"/>
        </w:rPr>
        <w:t>polovina záruční doby</w:t>
      </w:r>
      <w:r w:rsidRPr="00A315CB">
        <w:rPr>
          <w:rFonts w:ascii="Calibri" w:hAnsi="Calibri" w:cs="Calibri"/>
        </w:rPr>
        <w:t xml:space="preserve"> upl</w:t>
      </w:r>
      <w:r w:rsidR="003B15BB" w:rsidRPr="00A315CB">
        <w:rPr>
          <w:rFonts w:ascii="Calibri" w:hAnsi="Calibri" w:cs="Calibri"/>
        </w:rPr>
        <w:t>ynula, aniž byl přístroj užíván.</w:t>
      </w:r>
    </w:p>
    <w:p w14:paraId="1105A102" w14:textId="12E268D0" w:rsidR="00171E37" w:rsidRPr="00A315CB" w:rsidRDefault="003B15BB" w:rsidP="004C031F">
      <w:pPr>
        <w:pStyle w:val="Odstavecseseznamem"/>
        <w:numPr>
          <w:ilvl w:val="0"/>
          <w:numId w:val="17"/>
        </w:numPr>
        <w:spacing w:line="264" w:lineRule="auto"/>
        <w:ind w:left="284" w:hanging="284"/>
        <w:jc w:val="both"/>
        <w:rPr>
          <w:rFonts w:ascii="Calibri" w:hAnsi="Calibri" w:cs="Calibri"/>
        </w:rPr>
      </w:pPr>
      <w:r w:rsidRPr="00A315CB">
        <w:rPr>
          <w:rFonts w:ascii="Calibri" w:hAnsi="Calibri" w:cs="Calibri"/>
        </w:rPr>
        <w:t>U dodávek dvou komponent (konvektomat a varný kotel) v</w:t>
      </w:r>
      <w:r w:rsidR="00700202">
        <w:rPr>
          <w:rFonts w:ascii="Calibri" w:hAnsi="Calibri" w:cs="Calibri"/>
        </w:rPr>
        <w:t> </w:t>
      </w:r>
      <w:r w:rsidRPr="00A315CB">
        <w:rPr>
          <w:rFonts w:ascii="Calibri" w:hAnsi="Calibri" w:cs="Calibri"/>
        </w:rPr>
        <w:t>Rapoticích</w:t>
      </w:r>
      <w:r w:rsidR="00700202">
        <w:rPr>
          <w:rFonts w:ascii="Calibri" w:hAnsi="Calibri" w:cs="Calibri"/>
        </w:rPr>
        <w:t>,</w:t>
      </w:r>
      <w:r w:rsidRPr="00A315CB">
        <w:rPr>
          <w:rFonts w:ascii="Calibri" w:hAnsi="Calibri" w:cs="Calibri"/>
        </w:rPr>
        <w:t xml:space="preserve"> u elektrického kotle ve Valdicích a </w:t>
      </w:r>
      <w:r w:rsidR="00700202">
        <w:rPr>
          <w:rFonts w:ascii="Calibri" w:hAnsi="Calibri" w:cs="Calibri"/>
        </w:rPr>
        <w:t>u </w:t>
      </w:r>
      <w:r w:rsidRPr="00A315CB">
        <w:rPr>
          <w:rFonts w:ascii="Calibri" w:hAnsi="Calibri" w:cs="Calibri"/>
        </w:rPr>
        <w:t>plynového konvektomatu v</w:t>
      </w:r>
      <w:r w:rsidR="00DB2620" w:rsidRPr="00A315CB">
        <w:rPr>
          <w:rFonts w:ascii="Calibri" w:hAnsi="Calibri" w:cs="Calibri"/>
        </w:rPr>
        <w:t xml:space="preserve"> </w:t>
      </w:r>
      <w:r w:rsidRPr="00A315CB">
        <w:rPr>
          <w:rFonts w:ascii="Calibri" w:hAnsi="Calibri" w:cs="Calibri"/>
        </w:rPr>
        <w:t>Brně chybělo datum převzetí a</w:t>
      </w:r>
      <w:r w:rsidR="00171E37" w:rsidRPr="00A315CB">
        <w:rPr>
          <w:rFonts w:ascii="Calibri" w:hAnsi="Calibri" w:cs="Calibri"/>
        </w:rPr>
        <w:t xml:space="preserve"> nebylo možné určit, zda byla dodržena dodací lhůta stanovená v kupní smlouvě.</w:t>
      </w:r>
      <w:r w:rsidRPr="00A315CB">
        <w:rPr>
          <w:rFonts w:ascii="Calibri" w:hAnsi="Calibri" w:cs="Calibri"/>
        </w:rPr>
        <w:t xml:space="preserve"> </w:t>
      </w:r>
    </w:p>
    <w:p w14:paraId="1FFE84B3" w14:textId="77777777" w:rsidR="00017E46" w:rsidRPr="00A315CB" w:rsidRDefault="00017E46" w:rsidP="004C031F">
      <w:pPr>
        <w:pStyle w:val="Odstavecseseznamem"/>
        <w:numPr>
          <w:ilvl w:val="0"/>
          <w:numId w:val="17"/>
        </w:numPr>
        <w:spacing w:line="264" w:lineRule="auto"/>
        <w:ind w:left="284" w:hanging="284"/>
        <w:jc w:val="both"/>
        <w:rPr>
          <w:rFonts w:ascii="Calibri" w:hAnsi="Calibri" w:cs="Calibri"/>
        </w:rPr>
      </w:pPr>
      <w:r w:rsidRPr="00A315CB">
        <w:rPr>
          <w:rFonts w:ascii="Calibri" w:hAnsi="Calibri" w:cs="Calibri"/>
        </w:rPr>
        <w:t>VS proplatila všechny faktury v</w:t>
      </w:r>
      <w:r w:rsidR="00DB2620" w:rsidRPr="00A315CB">
        <w:rPr>
          <w:rFonts w:ascii="Calibri" w:hAnsi="Calibri" w:cs="Calibri"/>
        </w:rPr>
        <w:t xml:space="preserve"> </w:t>
      </w:r>
      <w:r w:rsidRPr="00A315CB">
        <w:rPr>
          <w:rFonts w:ascii="Calibri" w:hAnsi="Calibri" w:cs="Calibri"/>
        </w:rPr>
        <w:t xml:space="preserve">plné výši dříve, než bylo zboží nainstalováno, předvedeno a odzkoušeno, ačkoliv podle smlouvy mělo být pět procent </w:t>
      </w:r>
      <w:r w:rsidR="00983F2D" w:rsidRPr="00A315CB">
        <w:rPr>
          <w:rFonts w:ascii="Calibri" w:hAnsi="Calibri" w:cs="Calibri"/>
        </w:rPr>
        <w:t xml:space="preserve">ceny </w:t>
      </w:r>
      <w:r w:rsidRPr="00A315CB">
        <w:rPr>
          <w:rFonts w:ascii="Calibri" w:hAnsi="Calibri" w:cs="Calibri"/>
        </w:rPr>
        <w:t>proplaceno až</w:t>
      </w:r>
      <w:r w:rsidR="00F2004F" w:rsidRPr="00A315CB">
        <w:rPr>
          <w:rFonts w:ascii="Calibri" w:hAnsi="Calibri" w:cs="Calibri"/>
        </w:rPr>
        <w:t xml:space="preserve"> po provedení těchto činností</w:t>
      </w:r>
      <w:r w:rsidRPr="00A315CB">
        <w:rPr>
          <w:rFonts w:ascii="Calibri" w:hAnsi="Calibri" w:cs="Calibri"/>
        </w:rPr>
        <w:t xml:space="preserve">. </w:t>
      </w:r>
      <w:r w:rsidR="00A23C0F" w:rsidRPr="00A315CB">
        <w:rPr>
          <w:rFonts w:ascii="Calibri" w:hAnsi="Calibri" w:cs="Calibri"/>
        </w:rPr>
        <w:t xml:space="preserve">Tyto skutečnosti </w:t>
      </w:r>
      <w:r w:rsidR="00F753E4" w:rsidRPr="00A315CB">
        <w:rPr>
          <w:rFonts w:ascii="Calibri" w:hAnsi="Calibri" w:cs="Calibri"/>
        </w:rPr>
        <w:t xml:space="preserve">NKÚ vyhodnotil jako </w:t>
      </w:r>
      <w:r w:rsidR="00A23C0F" w:rsidRPr="00A315CB">
        <w:rPr>
          <w:rFonts w:ascii="Calibri" w:hAnsi="Calibri" w:cs="Calibri"/>
        </w:rPr>
        <w:t xml:space="preserve">porušení rozpočtové kázně </w:t>
      </w:r>
      <w:r w:rsidR="0055013D" w:rsidRPr="00A315CB">
        <w:rPr>
          <w:rFonts w:ascii="Calibri" w:hAnsi="Calibri" w:cs="Calibri"/>
        </w:rPr>
        <w:t xml:space="preserve">podle </w:t>
      </w:r>
      <w:r w:rsidR="00F2004F" w:rsidRPr="00A315CB">
        <w:rPr>
          <w:rFonts w:ascii="Calibri" w:hAnsi="Calibri" w:cs="Calibri"/>
        </w:rPr>
        <w:t>zákona č. 218/2000 Sb.</w:t>
      </w:r>
      <w:r w:rsidR="0055013D" w:rsidRPr="00A315CB">
        <w:rPr>
          <w:rStyle w:val="Znakapoznpodarou"/>
          <w:rFonts w:ascii="Calibri" w:hAnsi="Calibri" w:cs="Calibri"/>
        </w:rPr>
        <w:footnoteReference w:id="8"/>
      </w:r>
      <w:r w:rsidR="0055013D" w:rsidRPr="00A315CB">
        <w:rPr>
          <w:rFonts w:ascii="Calibri" w:hAnsi="Calibri" w:cs="Calibri"/>
        </w:rPr>
        <w:t xml:space="preserve"> </w:t>
      </w:r>
      <w:r w:rsidRPr="00A315CB">
        <w:rPr>
          <w:rFonts w:ascii="Calibri" w:hAnsi="Calibri" w:cs="Calibri"/>
        </w:rPr>
        <w:t>ve výši 471</w:t>
      </w:r>
      <w:r w:rsidR="00DB2620" w:rsidRPr="00A315CB">
        <w:rPr>
          <w:rFonts w:ascii="Calibri" w:hAnsi="Calibri" w:cs="Calibri"/>
        </w:rPr>
        <w:t xml:space="preserve"> </w:t>
      </w:r>
      <w:r w:rsidRPr="00A315CB">
        <w:rPr>
          <w:rFonts w:ascii="Calibri" w:hAnsi="Calibri" w:cs="Calibri"/>
        </w:rPr>
        <w:t>480 Kč u</w:t>
      </w:r>
      <w:r w:rsidR="00F753E4" w:rsidRPr="00A315CB">
        <w:rPr>
          <w:rFonts w:ascii="Calibri" w:hAnsi="Calibri" w:cs="Calibri"/>
        </w:rPr>
        <w:t> </w:t>
      </w:r>
      <w:r w:rsidRPr="00A315CB">
        <w:rPr>
          <w:rFonts w:ascii="Calibri" w:hAnsi="Calibri" w:cs="Calibri"/>
        </w:rPr>
        <w:t>prvního projektu</w:t>
      </w:r>
      <w:r w:rsidR="00F2004F" w:rsidRPr="00A315CB">
        <w:rPr>
          <w:rFonts w:ascii="Calibri" w:hAnsi="Calibri" w:cs="Calibri"/>
        </w:rPr>
        <w:t xml:space="preserve"> (osm věznic)</w:t>
      </w:r>
      <w:r w:rsidR="00983F2D" w:rsidRPr="00A315CB">
        <w:rPr>
          <w:rFonts w:ascii="Calibri" w:hAnsi="Calibri" w:cs="Calibri"/>
        </w:rPr>
        <w:t xml:space="preserve"> a</w:t>
      </w:r>
      <w:r w:rsidR="00F14641">
        <w:rPr>
          <w:rFonts w:ascii="Calibri" w:hAnsi="Calibri" w:cs="Calibri"/>
        </w:rPr>
        <w:t> </w:t>
      </w:r>
      <w:r w:rsidRPr="00A315CB">
        <w:rPr>
          <w:rFonts w:ascii="Calibri" w:hAnsi="Calibri" w:cs="Calibri"/>
        </w:rPr>
        <w:t>332</w:t>
      </w:r>
      <w:r w:rsidR="00DB2620" w:rsidRPr="00A315CB">
        <w:rPr>
          <w:rFonts w:ascii="Calibri" w:hAnsi="Calibri" w:cs="Calibri"/>
        </w:rPr>
        <w:t xml:space="preserve"> </w:t>
      </w:r>
      <w:r w:rsidRPr="00A315CB">
        <w:rPr>
          <w:rFonts w:ascii="Calibri" w:hAnsi="Calibri" w:cs="Calibri"/>
        </w:rPr>
        <w:t>676 Kč</w:t>
      </w:r>
      <w:r w:rsidR="00707865" w:rsidRPr="00A315CB">
        <w:rPr>
          <w:rFonts w:ascii="Calibri" w:hAnsi="Calibri" w:cs="Calibri"/>
        </w:rPr>
        <w:t xml:space="preserve"> </w:t>
      </w:r>
      <w:r w:rsidR="0071682C" w:rsidRPr="00A315CB">
        <w:rPr>
          <w:rFonts w:ascii="Calibri" w:hAnsi="Calibri" w:cs="Calibri"/>
        </w:rPr>
        <w:t>u</w:t>
      </w:r>
      <w:r w:rsidR="00DB2620" w:rsidRPr="00A315CB">
        <w:rPr>
          <w:rFonts w:ascii="Calibri" w:hAnsi="Calibri" w:cs="Calibri"/>
        </w:rPr>
        <w:t xml:space="preserve"> </w:t>
      </w:r>
      <w:r w:rsidR="00707865" w:rsidRPr="00A315CB">
        <w:rPr>
          <w:rFonts w:ascii="Calibri" w:hAnsi="Calibri" w:cs="Calibri"/>
        </w:rPr>
        <w:t>věznice Odolov</w:t>
      </w:r>
      <w:r w:rsidR="00206DB2" w:rsidRPr="00A315CB">
        <w:rPr>
          <w:rFonts w:ascii="Calibri" w:hAnsi="Calibri" w:cs="Calibri"/>
        </w:rPr>
        <w:t>.</w:t>
      </w:r>
    </w:p>
    <w:p w14:paraId="023578A2" w14:textId="442ECEE4" w:rsidR="00017E46" w:rsidRPr="00A315CB" w:rsidRDefault="00017E46" w:rsidP="004C031F">
      <w:pPr>
        <w:pStyle w:val="Odstavecseseznamem"/>
        <w:numPr>
          <w:ilvl w:val="0"/>
          <w:numId w:val="17"/>
        </w:numPr>
        <w:spacing w:line="264" w:lineRule="auto"/>
        <w:ind w:left="284" w:hanging="284"/>
        <w:jc w:val="both"/>
        <w:rPr>
          <w:rFonts w:ascii="Calibri" w:hAnsi="Calibri" w:cs="Calibri"/>
        </w:rPr>
      </w:pPr>
      <w:r w:rsidRPr="00A315CB">
        <w:rPr>
          <w:rFonts w:ascii="Calibri" w:hAnsi="Calibri" w:cs="Calibri"/>
        </w:rPr>
        <w:t>VS účtovala o zařazení majetku</w:t>
      </w:r>
      <w:r w:rsidR="00171E37" w:rsidRPr="00A315CB">
        <w:rPr>
          <w:rFonts w:ascii="Calibri" w:hAnsi="Calibri" w:cs="Calibri"/>
        </w:rPr>
        <w:t xml:space="preserve"> do užívání</w:t>
      </w:r>
      <w:r w:rsidRPr="00A315CB">
        <w:rPr>
          <w:rFonts w:ascii="Calibri" w:hAnsi="Calibri" w:cs="Calibri"/>
        </w:rPr>
        <w:t xml:space="preserve"> se zpožděním od čtyř do 11 měsíců po jeho předání, nainstalování, předvedení a odzkoušení</w:t>
      </w:r>
      <w:r w:rsidR="002558FE">
        <w:rPr>
          <w:rFonts w:ascii="Calibri" w:hAnsi="Calibri" w:cs="Calibri"/>
        </w:rPr>
        <w:t>, postupovala tedy</w:t>
      </w:r>
      <w:r w:rsidRPr="00A315CB">
        <w:rPr>
          <w:rFonts w:ascii="Calibri" w:hAnsi="Calibri" w:cs="Calibri"/>
        </w:rPr>
        <w:t xml:space="preserve"> v</w:t>
      </w:r>
      <w:r w:rsidR="00DB2620" w:rsidRPr="00A315CB">
        <w:rPr>
          <w:rFonts w:ascii="Calibri" w:hAnsi="Calibri" w:cs="Calibri"/>
        </w:rPr>
        <w:t xml:space="preserve"> </w:t>
      </w:r>
      <w:r w:rsidRPr="00A315CB">
        <w:rPr>
          <w:rFonts w:ascii="Calibri" w:hAnsi="Calibri" w:cs="Calibri"/>
        </w:rPr>
        <w:t xml:space="preserve">rozporu se zákonem </w:t>
      </w:r>
      <w:r w:rsidR="00F2004F" w:rsidRPr="00A315CB">
        <w:rPr>
          <w:rFonts w:ascii="Calibri" w:hAnsi="Calibri" w:cs="Calibri"/>
        </w:rPr>
        <w:t>č.</w:t>
      </w:r>
      <w:r w:rsidR="00C113D6">
        <w:rPr>
          <w:rFonts w:ascii="Calibri" w:hAnsi="Calibri" w:cs="Calibri"/>
        </w:rPr>
        <w:t> </w:t>
      </w:r>
      <w:r w:rsidR="00F2004F" w:rsidRPr="00A315CB">
        <w:rPr>
          <w:rFonts w:ascii="Calibri" w:hAnsi="Calibri" w:cs="Calibri"/>
        </w:rPr>
        <w:t>563/1991</w:t>
      </w:r>
      <w:r w:rsidR="00C113D6">
        <w:rPr>
          <w:rFonts w:ascii="Calibri" w:hAnsi="Calibri" w:cs="Calibri"/>
        </w:rPr>
        <w:t> </w:t>
      </w:r>
      <w:r w:rsidR="00F2004F" w:rsidRPr="00A315CB">
        <w:rPr>
          <w:rFonts w:ascii="Calibri" w:hAnsi="Calibri" w:cs="Calibri"/>
        </w:rPr>
        <w:t>Sb.</w:t>
      </w:r>
      <w:r w:rsidR="0055013D" w:rsidRPr="00A315CB">
        <w:rPr>
          <w:rStyle w:val="Znakapoznpodarou"/>
          <w:rFonts w:ascii="Calibri" w:hAnsi="Calibri" w:cs="Calibri"/>
        </w:rPr>
        <w:footnoteReference w:id="9"/>
      </w:r>
      <w:r w:rsidRPr="00A315CB">
        <w:rPr>
          <w:rFonts w:ascii="Calibri" w:hAnsi="Calibri" w:cs="Calibri"/>
        </w:rPr>
        <w:t>.</w:t>
      </w:r>
    </w:p>
    <w:p w14:paraId="58619BC4" w14:textId="03B350BA" w:rsidR="00CB1E6A" w:rsidRPr="00A315CB" w:rsidRDefault="00CB1E6A" w:rsidP="004C031F">
      <w:pPr>
        <w:pStyle w:val="Odstavecseseznamem"/>
        <w:numPr>
          <w:ilvl w:val="0"/>
          <w:numId w:val="17"/>
        </w:numPr>
        <w:spacing w:line="264" w:lineRule="auto"/>
        <w:ind w:left="284" w:hanging="284"/>
        <w:jc w:val="both"/>
        <w:rPr>
          <w:rFonts w:ascii="Calibri" w:hAnsi="Calibri" w:cs="Calibri"/>
        </w:rPr>
      </w:pPr>
      <w:r w:rsidRPr="00A315CB">
        <w:rPr>
          <w:rFonts w:ascii="Calibri" w:hAnsi="Calibri" w:cs="Calibri"/>
          <w:bCs/>
        </w:rPr>
        <w:t>Konvektomat v</w:t>
      </w:r>
      <w:r w:rsidR="003B15BB" w:rsidRPr="00A315CB">
        <w:rPr>
          <w:rFonts w:ascii="Calibri" w:hAnsi="Calibri" w:cs="Calibri"/>
          <w:bCs/>
        </w:rPr>
        <w:t>e věznici Brno</w:t>
      </w:r>
      <w:r w:rsidRPr="00A315CB">
        <w:rPr>
          <w:rFonts w:ascii="Calibri" w:hAnsi="Calibri" w:cs="Calibri"/>
          <w:bCs/>
        </w:rPr>
        <w:t xml:space="preserve"> </w:t>
      </w:r>
      <w:r w:rsidRPr="00A315CB">
        <w:rPr>
          <w:rFonts w:ascii="Calibri" w:hAnsi="Calibri" w:cs="Calibri"/>
        </w:rPr>
        <w:t xml:space="preserve">byl </w:t>
      </w:r>
      <w:r w:rsidR="00707865" w:rsidRPr="00A315CB">
        <w:rPr>
          <w:rFonts w:ascii="Calibri" w:hAnsi="Calibri" w:cs="Calibri"/>
        </w:rPr>
        <w:t xml:space="preserve">účetně </w:t>
      </w:r>
      <w:r w:rsidRPr="00A315CB">
        <w:rPr>
          <w:rFonts w:ascii="Calibri" w:hAnsi="Calibri" w:cs="Calibri"/>
        </w:rPr>
        <w:t>zařazen do užívání dne 21. prosince 2012</w:t>
      </w:r>
      <w:r w:rsidR="002B2268">
        <w:rPr>
          <w:rFonts w:ascii="Calibri" w:hAnsi="Calibri" w:cs="Calibri"/>
        </w:rPr>
        <w:t xml:space="preserve"> </w:t>
      </w:r>
      <w:r w:rsidRPr="00A315CB">
        <w:rPr>
          <w:rFonts w:ascii="Calibri" w:hAnsi="Calibri" w:cs="Calibri"/>
        </w:rPr>
        <w:t>a</w:t>
      </w:r>
      <w:r w:rsidR="00707865" w:rsidRPr="00A315CB">
        <w:rPr>
          <w:rFonts w:ascii="Calibri" w:hAnsi="Calibri" w:cs="Calibri"/>
        </w:rPr>
        <w:t> </w:t>
      </w:r>
      <w:r w:rsidRPr="00A315CB">
        <w:rPr>
          <w:rFonts w:ascii="Calibri" w:hAnsi="Calibri" w:cs="Calibri"/>
        </w:rPr>
        <w:t xml:space="preserve">současně VS od 1. ledna 2013 na toto zařízení uplatňovala odpisy. </w:t>
      </w:r>
      <w:r w:rsidR="002558FE">
        <w:rPr>
          <w:rFonts w:ascii="Calibri" w:hAnsi="Calibri" w:cs="Calibri"/>
        </w:rPr>
        <w:t>Ve skutečnosti</w:t>
      </w:r>
      <w:r w:rsidR="002B2268" w:rsidRPr="00A315CB">
        <w:rPr>
          <w:rFonts w:ascii="Calibri" w:hAnsi="Calibri" w:cs="Calibri"/>
        </w:rPr>
        <w:t xml:space="preserve"> byl uveden do provozu až po pěti měsících dne 27. května 2013, </w:t>
      </w:r>
      <w:r w:rsidR="002558FE">
        <w:rPr>
          <w:rFonts w:ascii="Calibri" w:hAnsi="Calibri" w:cs="Calibri"/>
        </w:rPr>
        <w:t>čímž došlo k porušení</w:t>
      </w:r>
      <w:r w:rsidRPr="00A315CB">
        <w:rPr>
          <w:rFonts w:ascii="Calibri" w:hAnsi="Calibri" w:cs="Calibri"/>
        </w:rPr>
        <w:t xml:space="preserve"> zákon</w:t>
      </w:r>
      <w:r w:rsidR="002558FE">
        <w:rPr>
          <w:rFonts w:ascii="Calibri" w:hAnsi="Calibri" w:cs="Calibri"/>
        </w:rPr>
        <w:t>a</w:t>
      </w:r>
      <w:r w:rsidR="00A600C4" w:rsidRPr="00A315CB">
        <w:rPr>
          <w:rFonts w:ascii="Calibri" w:hAnsi="Calibri" w:cs="Calibri"/>
        </w:rPr>
        <w:t xml:space="preserve"> č. </w:t>
      </w:r>
      <w:r w:rsidR="00F14641">
        <w:rPr>
          <w:rFonts w:ascii="Calibri" w:hAnsi="Calibri" w:cs="Calibri"/>
        </w:rPr>
        <w:t>563/1991 </w:t>
      </w:r>
      <w:r w:rsidR="00F2004F" w:rsidRPr="00A315CB">
        <w:rPr>
          <w:rFonts w:ascii="Calibri" w:hAnsi="Calibri" w:cs="Calibri"/>
        </w:rPr>
        <w:t>Sb.</w:t>
      </w:r>
      <w:r w:rsidR="009855D3" w:rsidRPr="00A315CB">
        <w:rPr>
          <w:rStyle w:val="Znakapoznpodarou"/>
          <w:rFonts w:ascii="Calibri" w:hAnsi="Calibri" w:cs="Calibri"/>
        </w:rPr>
        <w:footnoteReference w:id="10"/>
      </w:r>
      <w:r w:rsidRPr="00A315CB">
        <w:rPr>
          <w:rFonts w:ascii="Calibri" w:hAnsi="Calibri" w:cs="Calibri"/>
        </w:rPr>
        <w:t xml:space="preserve"> a zároveň jeho prováděcí vyhlášk</w:t>
      </w:r>
      <w:r w:rsidR="002558FE">
        <w:rPr>
          <w:rFonts w:ascii="Calibri" w:hAnsi="Calibri" w:cs="Calibri"/>
        </w:rPr>
        <w:t>y</w:t>
      </w:r>
      <w:r w:rsidR="009855D3" w:rsidRPr="00A315CB">
        <w:rPr>
          <w:rStyle w:val="Znakapoznpodarou"/>
          <w:rFonts w:ascii="Calibri" w:hAnsi="Calibri" w:cs="Calibri"/>
        </w:rPr>
        <w:footnoteReference w:id="11"/>
      </w:r>
      <w:r w:rsidRPr="00A315CB">
        <w:rPr>
          <w:rFonts w:ascii="Calibri" w:hAnsi="Calibri" w:cs="Calibri"/>
        </w:rPr>
        <w:t>.</w:t>
      </w:r>
    </w:p>
    <w:p w14:paraId="33A1A1E5" w14:textId="77777777" w:rsidR="00A600C4" w:rsidRPr="00A315CB" w:rsidRDefault="00A600C4" w:rsidP="004C031F">
      <w:pPr>
        <w:spacing w:line="264" w:lineRule="auto"/>
        <w:jc w:val="both"/>
        <w:rPr>
          <w:rFonts w:ascii="Calibri" w:hAnsi="Calibri" w:cs="Calibri"/>
        </w:rPr>
      </w:pPr>
    </w:p>
    <w:p w14:paraId="5ACCAA0D" w14:textId="3C84F078" w:rsidR="00206DB2" w:rsidRPr="00A600C4" w:rsidRDefault="00A600C4" w:rsidP="004C031F">
      <w:pPr>
        <w:spacing w:line="264" w:lineRule="auto"/>
        <w:jc w:val="both"/>
        <w:rPr>
          <w:rFonts w:ascii="Calibri" w:hAnsi="Calibri" w:cs="Calibri"/>
        </w:rPr>
      </w:pPr>
      <w:r w:rsidRPr="00A600C4">
        <w:rPr>
          <w:rFonts w:asciiTheme="minorHAnsi" w:hAnsiTheme="minorHAnsi" w:cstheme="minorHAnsi"/>
        </w:rPr>
        <w:t>VS u</w:t>
      </w:r>
      <w:r w:rsidR="002558FE">
        <w:rPr>
          <w:rFonts w:asciiTheme="minorHAnsi" w:hAnsiTheme="minorHAnsi" w:cstheme="minorHAnsi"/>
        </w:rPr>
        <w:t> akce</w:t>
      </w:r>
      <w:r w:rsidR="00206DB2">
        <w:rPr>
          <w:rFonts w:asciiTheme="minorHAnsi" w:hAnsiTheme="minorHAnsi" w:cstheme="minorHAnsi"/>
        </w:rPr>
        <w:t xml:space="preserve"> </w:t>
      </w:r>
      <w:r w:rsidR="00A23C0F" w:rsidRPr="00A600C4">
        <w:rPr>
          <w:rFonts w:asciiTheme="minorHAnsi" w:hAnsiTheme="minorHAnsi" w:cstheme="minorHAnsi"/>
          <w:i/>
        </w:rPr>
        <w:t>Světlá nad Sázavou</w:t>
      </w:r>
      <w:r w:rsidR="000F6B2D">
        <w:rPr>
          <w:rFonts w:asciiTheme="minorHAnsi" w:hAnsiTheme="minorHAnsi" w:cstheme="minorHAnsi"/>
          <w:i/>
        </w:rPr>
        <w:t> –</w:t>
      </w:r>
      <w:r w:rsidR="00A23C0F" w:rsidRPr="00A600C4">
        <w:rPr>
          <w:rFonts w:asciiTheme="minorHAnsi" w:hAnsiTheme="minorHAnsi" w:cstheme="minorHAnsi"/>
          <w:i/>
        </w:rPr>
        <w:t xml:space="preserve"> půdní vestavby na objektech C a B3</w:t>
      </w:r>
      <w:r w:rsidR="00A23C0F" w:rsidRPr="00A600C4">
        <w:rPr>
          <w:rFonts w:asciiTheme="minorHAnsi" w:hAnsiTheme="minorHAnsi" w:cstheme="minorHAnsi"/>
        </w:rPr>
        <w:t xml:space="preserve"> </w:t>
      </w:r>
      <w:r w:rsidR="00A23C0F">
        <w:rPr>
          <w:rFonts w:asciiTheme="minorHAnsi" w:hAnsiTheme="minorHAnsi" w:cstheme="minorHAnsi"/>
        </w:rPr>
        <w:t>a</w:t>
      </w:r>
      <w:r w:rsidR="000F6B2D">
        <w:rPr>
          <w:rFonts w:asciiTheme="minorHAnsi" w:hAnsiTheme="minorHAnsi" w:cstheme="minorHAnsi"/>
        </w:rPr>
        <w:t> </w:t>
      </w:r>
      <w:r w:rsidR="002558FE">
        <w:rPr>
          <w:rFonts w:asciiTheme="minorHAnsi" w:hAnsiTheme="minorHAnsi" w:cstheme="minorHAnsi"/>
        </w:rPr>
        <w:t xml:space="preserve">akce </w:t>
      </w:r>
      <w:r w:rsidR="000F6B2D">
        <w:rPr>
          <w:rFonts w:asciiTheme="minorHAnsi" w:hAnsiTheme="minorHAnsi" w:cstheme="minorHAnsi"/>
          <w:i/>
        </w:rPr>
        <w:t>Rapotice </w:t>
      </w:r>
      <w:r w:rsidR="00A23C0F" w:rsidRPr="00A600C4">
        <w:rPr>
          <w:rFonts w:asciiTheme="minorHAnsi" w:hAnsiTheme="minorHAnsi" w:cstheme="minorHAnsi"/>
          <w:i/>
        </w:rPr>
        <w:t>– nová ubytovna pro odsouzené</w:t>
      </w:r>
      <w:r w:rsidR="00A23C0F" w:rsidRPr="00A600C4">
        <w:rPr>
          <w:rFonts w:asciiTheme="minorHAnsi" w:hAnsiTheme="minorHAnsi" w:cstheme="minorHAnsi"/>
        </w:rPr>
        <w:t xml:space="preserve"> </w:t>
      </w:r>
      <w:r w:rsidR="00206DB2">
        <w:rPr>
          <w:rFonts w:asciiTheme="minorHAnsi" w:hAnsiTheme="minorHAnsi" w:cstheme="minorHAnsi"/>
        </w:rPr>
        <w:t xml:space="preserve">účtovala o zařazení majetku se zpožděním </w:t>
      </w:r>
      <w:r w:rsidR="00A23C0F">
        <w:rPr>
          <w:rFonts w:asciiTheme="minorHAnsi" w:hAnsiTheme="minorHAnsi" w:cstheme="minorHAnsi"/>
        </w:rPr>
        <w:t>od osmi do</w:t>
      </w:r>
      <w:r w:rsidR="009B3D68">
        <w:rPr>
          <w:rFonts w:asciiTheme="minorHAnsi" w:hAnsiTheme="minorHAnsi" w:cstheme="minorHAnsi"/>
        </w:rPr>
        <w:t xml:space="preserve"> 18 </w:t>
      </w:r>
      <w:r w:rsidR="00206DB2">
        <w:rPr>
          <w:rFonts w:asciiTheme="minorHAnsi" w:hAnsiTheme="minorHAnsi" w:cstheme="minorHAnsi"/>
        </w:rPr>
        <w:t xml:space="preserve">měsíců </w:t>
      </w:r>
      <w:r w:rsidR="00A23C0F">
        <w:rPr>
          <w:rFonts w:asciiTheme="minorHAnsi" w:hAnsiTheme="minorHAnsi" w:cstheme="minorHAnsi"/>
        </w:rPr>
        <w:t>po jeho dokončení</w:t>
      </w:r>
      <w:r w:rsidR="002558FE">
        <w:rPr>
          <w:rFonts w:ascii="Calibri" w:hAnsi="Calibri" w:cs="Calibri"/>
        </w:rPr>
        <w:t>, a nedodržela tedy zákon č. </w:t>
      </w:r>
      <w:r w:rsidR="00206DB2" w:rsidRPr="00A600C4">
        <w:rPr>
          <w:rFonts w:ascii="Calibri" w:hAnsi="Calibri" w:cs="Calibri"/>
        </w:rPr>
        <w:t>563/1991 Sb.</w:t>
      </w:r>
      <w:r w:rsidR="00206DB2">
        <w:rPr>
          <w:rStyle w:val="Znakapoznpodarou"/>
          <w:rFonts w:ascii="Calibri" w:hAnsi="Calibri" w:cs="Calibri"/>
        </w:rPr>
        <w:footnoteReference w:id="12"/>
      </w:r>
    </w:p>
    <w:sectPr w:rsidR="00206DB2" w:rsidRPr="00A600C4" w:rsidSect="004C031F">
      <w:footerReference w:type="default" r:id="rId12"/>
      <w:pgSz w:w="11907" w:h="16839" w:code="9"/>
      <w:pgMar w:top="1417" w:right="1417" w:bottom="1417" w:left="1417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95FA0" w14:textId="77777777" w:rsidR="004C2D0D" w:rsidRDefault="004C2D0D">
      <w:r>
        <w:separator/>
      </w:r>
    </w:p>
  </w:endnote>
  <w:endnote w:type="continuationSeparator" w:id="0">
    <w:p w14:paraId="6A93F75A" w14:textId="77777777" w:rsidR="004C2D0D" w:rsidRDefault="004C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3CE0F" w14:textId="77777777" w:rsidR="004C2D0D" w:rsidRPr="00C2708B" w:rsidRDefault="004C2D0D" w:rsidP="009A12AE">
    <w:pPr>
      <w:pStyle w:val="Zpat"/>
      <w:jc w:val="center"/>
      <w:rPr>
        <w:rFonts w:asciiTheme="minorHAnsi" w:hAnsiTheme="minorHAnsi" w:cstheme="minorHAnsi"/>
      </w:rPr>
    </w:pPr>
    <w:r w:rsidRPr="00C2708B">
      <w:rPr>
        <w:rFonts w:asciiTheme="minorHAnsi" w:hAnsiTheme="minorHAnsi" w:cstheme="minorHAnsi"/>
      </w:rPr>
      <w:fldChar w:fldCharType="begin"/>
    </w:r>
    <w:r w:rsidRPr="00C2708B">
      <w:rPr>
        <w:rFonts w:asciiTheme="minorHAnsi" w:hAnsiTheme="minorHAnsi" w:cstheme="minorHAnsi"/>
      </w:rPr>
      <w:instrText xml:space="preserve"> PAGE   \* MERGEFORMAT </w:instrText>
    </w:r>
    <w:r w:rsidRPr="00C2708B">
      <w:rPr>
        <w:rFonts w:asciiTheme="minorHAnsi" w:hAnsiTheme="minorHAnsi" w:cstheme="minorHAnsi"/>
      </w:rPr>
      <w:fldChar w:fldCharType="separate"/>
    </w:r>
    <w:r w:rsidR="00991CA4">
      <w:rPr>
        <w:rFonts w:asciiTheme="minorHAnsi" w:hAnsiTheme="minorHAnsi" w:cstheme="minorHAnsi"/>
        <w:noProof/>
      </w:rPr>
      <w:t>3</w:t>
    </w:r>
    <w:r w:rsidRPr="00C2708B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A9E76" w14:textId="77777777" w:rsidR="004C2D0D" w:rsidRDefault="004C2D0D">
      <w:r>
        <w:separator/>
      </w:r>
    </w:p>
  </w:footnote>
  <w:footnote w:type="continuationSeparator" w:id="0">
    <w:p w14:paraId="16D8177B" w14:textId="77777777" w:rsidR="004C2D0D" w:rsidRDefault="004C2D0D">
      <w:r>
        <w:continuationSeparator/>
      </w:r>
    </w:p>
  </w:footnote>
  <w:footnote w:id="1">
    <w:p w14:paraId="47948B6D" w14:textId="77777777" w:rsidR="004C2D0D" w:rsidRPr="00DB2620" w:rsidRDefault="004C2D0D" w:rsidP="00DB2620">
      <w:pPr>
        <w:pStyle w:val="Textpoznpodarou"/>
        <w:ind w:left="284" w:hanging="284"/>
        <w:rPr>
          <w:rFonts w:asciiTheme="minorHAnsi" w:hAnsiTheme="minorHAnsi" w:cstheme="minorHAnsi"/>
        </w:rPr>
      </w:pPr>
      <w:r w:rsidRPr="00DB262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DB2620">
        <w:rPr>
          <w:rFonts w:asciiTheme="minorHAnsi" w:hAnsiTheme="minorHAnsi" w:cstheme="minorHAnsi"/>
        </w:rPr>
        <w:t>Zákon č. 2/1969 Sb., o zřízení ministerstev a jiných ústředních orgánů státní správy České republiky.</w:t>
      </w:r>
    </w:p>
  </w:footnote>
  <w:footnote w:id="2">
    <w:p w14:paraId="28B5C00C" w14:textId="77777777" w:rsidR="004C2D0D" w:rsidRPr="00DB2620" w:rsidRDefault="004C2D0D" w:rsidP="00DB2620">
      <w:pPr>
        <w:pStyle w:val="Textpoznpodarou"/>
        <w:ind w:left="284" w:hanging="284"/>
        <w:rPr>
          <w:rFonts w:asciiTheme="minorHAnsi" w:hAnsiTheme="minorHAnsi" w:cstheme="minorHAnsi"/>
        </w:rPr>
      </w:pPr>
      <w:r w:rsidRPr="00DB262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DB2620">
        <w:rPr>
          <w:rFonts w:asciiTheme="minorHAnsi" w:hAnsiTheme="minorHAnsi" w:cstheme="minorHAnsi"/>
        </w:rPr>
        <w:t>Ústavní zákon č.</w:t>
      </w:r>
      <w:r>
        <w:rPr>
          <w:rFonts w:asciiTheme="minorHAnsi" w:hAnsiTheme="minorHAnsi" w:cstheme="minorHAnsi"/>
        </w:rPr>
        <w:t> </w:t>
      </w:r>
      <w:r w:rsidRPr="00DB2620">
        <w:rPr>
          <w:rFonts w:asciiTheme="minorHAnsi" w:hAnsiTheme="minorHAnsi" w:cstheme="minorHAnsi"/>
        </w:rPr>
        <w:t>1/1993 Sb., Ústava České republiky.</w:t>
      </w:r>
    </w:p>
  </w:footnote>
  <w:footnote w:id="3">
    <w:p w14:paraId="5F9551F7" w14:textId="77777777" w:rsidR="004C2D0D" w:rsidRPr="00DB2620" w:rsidRDefault="004C2D0D" w:rsidP="00D10CA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DB262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DB2620">
        <w:rPr>
          <w:rFonts w:asciiTheme="minorHAnsi" w:hAnsiTheme="minorHAnsi" w:cstheme="minorHAnsi"/>
        </w:rPr>
        <w:t>Zákon č.</w:t>
      </w:r>
      <w:r>
        <w:rPr>
          <w:rFonts w:asciiTheme="minorHAnsi" w:hAnsiTheme="minorHAnsi" w:cstheme="minorHAnsi"/>
        </w:rPr>
        <w:t> </w:t>
      </w:r>
      <w:r w:rsidRPr="00DB2620">
        <w:rPr>
          <w:rFonts w:asciiTheme="minorHAnsi" w:hAnsiTheme="minorHAnsi" w:cstheme="minorHAnsi"/>
        </w:rPr>
        <w:t>6/2002 Sb., o soudech, soudcích, přísedících a státní správě soudů a o změně některých dalších zákonů (zákon o soudech a soudcích)</w:t>
      </w:r>
      <w:r>
        <w:rPr>
          <w:rFonts w:asciiTheme="minorHAnsi" w:hAnsiTheme="minorHAnsi" w:cstheme="minorHAnsi"/>
        </w:rPr>
        <w:t>.</w:t>
      </w:r>
    </w:p>
  </w:footnote>
  <w:footnote w:id="4">
    <w:p w14:paraId="7E76671D" w14:textId="77777777" w:rsidR="004C2D0D" w:rsidRPr="00DB2620" w:rsidRDefault="004C2D0D" w:rsidP="00DB2620">
      <w:pPr>
        <w:pStyle w:val="Textpoznpodarou"/>
        <w:ind w:left="284" w:hanging="284"/>
        <w:rPr>
          <w:rFonts w:asciiTheme="minorHAnsi" w:hAnsiTheme="minorHAnsi" w:cstheme="minorHAnsi"/>
        </w:rPr>
      </w:pPr>
      <w:r w:rsidRPr="00DB262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DB2620">
        <w:rPr>
          <w:rFonts w:asciiTheme="minorHAnsi" w:hAnsiTheme="minorHAnsi" w:cstheme="minorHAnsi"/>
        </w:rPr>
        <w:t>Zákon č. 555/1992 Sb., o Vězeňské službě a justiční stráži České republiky.</w:t>
      </w:r>
    </w:p>
  </w:footnote>
  <w:footnote w:id="5">
    <w:p w14:paraId="1F5EC371" w14:textId="1EE9546D" w:rsidR="004C2D0D" w:rsidRPr="00DB2620" w:rsidRDefault="004C2D0D" w:rsidP="005B2F71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DB262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DB2620">
        <w:rPr>
          <w:rFonts w:asciiTheme="minorHAnsi" w:hAnsiTheme="minorHAnsi" w:cstheme="minorHAnsi"/>
          <w:iCs/>
        </w:rPr>
        <w:t>Vyhláška č. 11/2010 Sb., kterou se mění vyhláška č. 560/2006 Sb., o účasti státního rozpočtu na financování programů reprodukce majetku</w:t>
      </w:r>
      <w:r>
        <w:rPr>
          <w:rFonts w:asciiTheme="minorHAnsi" w:hAnsiTheme="minorHAnsi" w:cstheme="minorHAnsi"/>
          <w:iCs/>
        </w:rPr>
        <w:t>.</w:t>
      </w:r>
    </w:p>
  </w:footnote>
  <w:footnote w:id="6">
    <w:p w14:paraId="117C7BED" w14:textId="77777777" w:rsidR="004C2D0D" w:rsidRPr="00F14641" w:rsidRDefault="004C2D0D" w:rsidP="00DB2620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DB262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DB2620">
        <w:rPr>
          <w:rFonts w:asciiTheme="minorHAnsi" w:hAnsiTheme="minorHAnsi" w:cstheme="minorHAnsi"/>
        </w:rPr>
        <w:t>Ustanovení § 8 odst. 11 vyhlášky č. 505/2002 Sb., kterou se provádějí některá ustanovení zákona č.</w:t>
      </w:r>
      <w:r>
        <w:rPr>
          <w:rFonts w:asciiTheme="minorHAnsi" w:hAnsiTheme="minorHAnsi" w:cstheme="minorHAnsi"/>
        </w:rPr>
        <w:t> </w:t>
      </w:r>
      <w:r w:rsidRPr="00DB2620">
        <w:rPr>
          <w:rFonts w:asciiTheme="minorHAnsi" w:hAnsiTheme="minorHAnsi" w:cstheme="minorHAnsi"/>
        </w:rPr>
        <w:t>563/1991 Sb., o účetnictví, ve znění pozdějších předpisů, pro účetní jednotky, které jsou územními samosprávnými celky, příspěvkovými organizacemi, státními fondy a organizačními složkami státu</w:t>
      </w:r>
      <w:r w:rsidRPr="00F14641">
        <w:rPr>
          <w:rFonts w:ascii="Calibri" w:hAnsi="Calibri" w:cs="Calibri"/>
        </w:rPr>
        <w:t>.</w:t>
      </w:r>
    </w:p>
  </w:footnote>
  <w:footnote w:id="7">
    <w:p w14:paraId="6FAAFD93" w14:textId="1BB48B0A" w:rsidR="004C2D0D" w:rsidRPr="00A315CB" w:rsidRDefault="004C2D0D" w:rsidP="00DB2620">
      <w:pPr>
        <w:pStyle w:val="Textpoznpodarou"/>
        <w:ind w:left="284" w:hanging="284"/>
        <w:rPr>
          <w:rFonts w:asciiTheme="minorHAnsi" w:hAnsiTheme="minorHAnsi" w:cstheme="minorHAnsi"/>
        </w:rPr>
      </w:pPr>
      <w:r w:rsidRPr="00A315CB">
        <w:rPr>
          <w:rStyle w:val="Znakapoznpodarou"/>
          <w:rFonts w:asciiTheme="minorHAnsi" w:hAnsiTheme="minorHAnsi" w:cstheme="minorHAnsi"/>
        </w:rPr>
        <w:footnoteRef/>
      </w:r>
      <w:r w:rsidRPr="00A315CB">
        <w:rPr>
          <w:rFonts w:asciiTheme="minorHAnsi" w:hAnsiTheme="minorHAnsi" w:cstheme="minorHAnsi"/>
        </w:rPr>
        <w:tab/>
        <w:t>Zákon č.</w:t>
      </w:r>
      <w:r>
        <w:rPr>
          <w:rFonts w:asciiTheme="minorHAnsi" w:hAnsiTheme="minorHAnsi" w:cstheme="minorHAnsi"/>
        </w:rPr>
        <w:t> </w:t>
      </w:r>
      <w:r w:rsidRPr="00A315CB">
        <w:rPr>
          <w:rFonts w:asciiTheme="minorHAnsi" w:hAnsiTheme="minorHAnsi" w:cstheme="minorHAnsi"/>
        </w:rPr>
        <w:t>137/2006 Sb., o veřejných zakázkách.</w:t>
      </w:r>
    </w:p>
  </w:footnote>
  <w:footnote w:id="8">
    <w:p w14:paraId="0DCEDF60" w14:textId="77777777" w:rsidR="004C2D0D" w:rsidRPr="00DB2620" w:rsidRDefault="004C2D0D" w:rsidP="00DB2620">
      <w:pPr>
        <w:pStyle w:val="Textpoznpodarou"/>
        <w:ind w:left="284" w:right="113" w:hanging="284"/>
        <w:jc w:val="both"/>
        <w:rPr>
          <w:rFonts w:asciiTheme="minorHAnsi" w:hAnsiTheme="minorHAnsi" w:cstheme="minorHAnsi"/>
        </w:rPr>
      </w:pPr>
      <w:r w:rsidRPr="00DB262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DB2620">
        <w:rPr>
          <w:rFonts w:asciiTheme="minorHAnsi" w:hAnsiTheme="minorHAnsi" w:cstheme="minorHAnsi"/>
        </w:rPr>
        <w:t>Ustanovení § 45 odst. 2 a ustanovení § 44 odst. 1 písm. f) zákona č. 218/2000 Sb., o rozpočtových pravidlech a o změně některých souvisejících zákonů (rozpočtová pravidla).</w:t>
      </w:r>
    </w:p>
  </w:footnote>
  <w:footnote w:id="9">
    <w:p w14:paraId="545C19CD" w14:textId="77777777" w:rsidR="004C2D0D" w:rsidRPr="00DB2620" w:rsidRDefault="004C2D0D" w:rsidP="00DB2620">
      <w:pPr>
        <w:pStyle w:val="Textpoznpodarou"/>
        <w:ind w:left="284" w:hanging="284"/>
        <w:rPr>
          <w:rFonts w:asciiTheme="minorHAnsi" w:hAnsiTheme="minorHAnsi" w:cstheme="minorHAnsi"/>
        </w:rPr>
      </w:pPr>
      <w:r w:rsidRPr="00DB262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DB2620">
        <w:rPr>
          <w:rFonts w:asciiTheme="minorHAnsi" w:hAnsiTheme="minorHAnsi" w:cstheme="minorHAnsi"/>
        </w:rPr>
        <w:t>Ustanovení § 11 odst. 2 zákona č. 563/1991 Sb., o účetnictví.</w:t>
      </w:r>
    </w:p>
  </w:footnote>
  <w:footnote w:id="10">
    <w:p w14:paraId="6C56A297" w14:textId="77777777" w:rsidR="004C2D0D" w:rsidRPr="00DB2620" w:rsidRDefault="004C2D0D" w:rsidP="00DB2620">
      <w:pPr>
        <w:pStyle w:val="Textpoznpodarou"/>
        <w:ind w:left="284" w:hanging="284"/>
        <w:rPr>
          <w:rFonts w:asciiTheme="minorHAnsi" w:hAnsiTheme="minorHAnsi" w:cstheme="minorHAnsi"/>
        </w:rPr>
      </w:pPr>
      <w:r w:rsidRPr="00DB262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DB2620">
        <w:rPr>
          <w:rFonts w:asciiTheme="minorHAnsi" w:hAnsiTheme="minorHAnsi" w:cstheme="minorHAnsi"/>
        </w:rPr>
        <w:t>Ustanovení § 3 odst. 1 a § 4 odst. 8 zákona č. 563/1991 Sb., o účetnictví.</w:t>
      </w:r>
    </w:p>
  </w:footnote>
  <w:footnote w:id="11">
    <w:p w14:paraId="52A861E2" w14:textId="77777777" w:rsidR="004C2D0D" w:rsidRPr="00DB2620" w:rsidRDefault="004C2D0D" w:rsidP="00DB2620">
      <w:pPr>
        <w:pStyle w:val="Textpoznpodarou"/>
        <w:ind w:left="284" w:hanging="284"/>
        <w:rPr>
          <w:rFonts w:asciiTheme="minorHAnsi" w:hAnsiTheme="minorHAnsi" w:cstheme="minorHAnsi"/>
        </w:rPr>
      </w:pPr>
      <w:r w:rsidRPr="00DB262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DB2620">
        <w:rPr>
          <w:rFonts w:asciiTheme="minorHAnsi" w:hAnsiTheme="minorHAnsi" w:cstheme="minorHAnsi"/>
        </w:rPr>
        <w:t>Ustanovení § 66 odst. 7 písm. b) vyhlášky č. 410/2009 Sb., kterou se provádějí některá ustanovení zákona č.</w:t>
      </w:r>
      <w:r>
        <w:rPr>
          <w:rFonts w:asciiTheme="minorHAnsi" w:hAnsiTheme="minorHAnsi" w:cstheme="minorHAnsi"/>
        </w:rPr>
        <w:t> </w:t>
      </w:r>
      <w:r w:rsidRPr="00DB2620">
        <w:rPr>
          <w:rFonts w:asciiTheme="minorHAnsi" w:hAnsiTheme="minorHAnsi" w:cstheme="minorHAnsi"/>
        </w:rPr>
        <w:t>563/1991 Sb., o účetnictví.</w:t>
      </w:r>
    </w:p>
  </w:footnote>
  <w:footnote w:id="12">
    <w:p w14:paraId="20BFEBA7" w14:textId="77777777" w:rsidR="004C2D0D" w:rsidRPr="00DB2620" w:rsidRDefault="004C2D0D" w:rsidP="00DB2620">
      <w:pPr>
        <w:pStyle w:val="Textpoznpodarou"/>
        <w:ind w:left="284" w:hanging="284"/>
        <w:rPr>
          <w:rFonts w:asciiTheme="minorHAnsi" w:hAnsiTheme="minorHAnsi" w:cstheme="minorHAnsi"/>
        </w:rPr>
      </w:pPr>
      <w:r w:rsidRPr="00DB262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DB2620">
        <w:rPr>
          <w:rFonts w:asciiTheme="minorHAnsi" w:hAnsiTheme="minorHAnsi" w:cstheme="minorHAnsi"/>
        </w:rPr>
        <w:t>Ustanovení § 4 odst. 8 a § 11 odst. 2 zákona č. 563/1991 Sb., o účetnictví.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E468B"/>
    <w:multiLevelType w:val="hybridMultilevel"/>
    <w:tmpl w:val="4F2EEE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F1487"/>
    <w:multiLevelType w:val="hybridMultilevel"/>
    <w:tmpl w:val="A3F67CA2"/>
    <w:lvl w:ilvl="0" w:tplc="B0F8B0B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22ABA"/>
    <w:multiLevelType w:val="hybridMultilevel"/>
    <w:tmpl w:val="A6D0153A"/>
    <w:lvl w:ilvl="0" w:tplc="6548F14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3">
    <w:nsid w:val="10792F12"/>
    <w:multiLevelType w:val="hybridMultilevel"/>
    <w:tmpl w:val="FDF40B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B1579"/>
    <w:multiLevelType w:val="hybridMultilevel"/>
    <w:tmpl w:val="E0A84020"/>
    <w:lvl w:ilvl="0" w:tplc="98A47A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B4022"/>
    <w:multiLevelType w:val="hybridMultilevel"/>
    <w:tmpl w:val="570AB3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A069C"/>
    <w:multiLevelType w:val="hybridMultilevel"/>
    <w:tmpl w:val="96FA8B88"/>
    <w:lvl w:ilvl="0" w:tplc="6F44DE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2362B"/>
    <w:multiLevelType w:val="hybridMultilevel"/>
    <w:tmpl w:val="AF026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382FC3"/>
    <w:multiLevelType w:val="hybridMultilevel"/>
    <w:tmpl w:val="306C2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E1D9C"/>
    <w:multiLevelType w:val="hybridMultilevel"/>
    <w:tmpl w:val="340AE958"/>
    <w:lvl w:ilvl="0" w:tplc="7ED89D5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C4809"/>
    <w:multiLevelType w:val="hybridMultilevel"/>
    <w:tmpl w:val="4FFA80FC"/>
    <w:lvl w:ilvl="0" w:tplc="7ED89D5E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DF45287"/>
    <w:multiLevelType w:val="hybridMultilevel"/>
    <w:tmpl w:val="4FBEA142"/>
    <w:lvl w:ilvl="0" w:tplc="0DBE9540">
      <w:start w:val="4"/>
      <w:numFmt w:val="decimal"/>
      <w:lvlText w:val="%1"/>
      <w:lvlJc w:val="left"/>
      <w:pPr>
        <w:ind w:left="2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95" w:hanging="360"/>
      </w:pPr>
    </w:lvl>
    <w:lvl w:ilvl="2" w:tplc="0405001B" w:tentative="1">
      <w:start w:val="1"/>
      <w:numFmt w:val="lowerRoman"/>
      <w:lvlText w:val="%3."/>
      <w:lvlJc w:val="right"/>
      <w:pPr>
        <w:ind w:left="1715" w:hanging="180"/>
      </w:pPr>
    </w:lvl>
    <w:lvl w:ilvl="3" w:tplc="0405000F" w:tentative="1">
      <w:start w:val="1"/>
      <w:numFmt w:val="decimal"/>
      <w:lvlText w:val="%4."/>
      <w:lvlJc w:val="left"/>
      <w:pPr>
        <w:ind w:left="2435" w:hanging="360"/>
      </w:pPr>
    </w:lvl>
    <w:lvl w:ilvl="4" w:tplc="04050019" w:tentative="1">
      <w:start w:val="1"/>
      <w:numFmt w:val="lowerLetter"/>
      <w:lvlText w:val="%5."/>
      <w:lvlJc w:val="left"/>
      <w:pPr>
        <w:ind w:left="3155" w:hanging="360"/>
      </w:pPr>
    </w:lvl>
    <w:lvl w:ilvl="5" w:tplc="0405001B" w:tentative="1">
      <w:start w:val="1"/>
      <w:numFmt w:val="lowerRoman"/>
      <w:lvlText w:val="%6."/>
      <w:lvlJc w:val="right"/>
      <w:pPr>
        <w:ind w:left="3875" w:hanging="180"/>
      </w:pPr>
    </w:lvl>
    <w:lvl w:ilvl="6" w:tplc="0405000F" w:tentative="1">
      <w:start w:val="1"/>
      <w:numFmt w:val="decimal"/>
      <w:lvlText w:val="%7."/>
      <w:lvlJc w:val="left"/>
      <w:pPr>
        <w:ind w:left="4595" w:hanging="360"/>
      </w:pPr>
    </w:lvl>
    <w:lvl w:ilvl="7" w:tplc="04050019" w:tentative="1">
      <w:start w:val="1"/>
      <w:numFmt w:val="lowerLetter"/>
      <w:lvlText w:val="%8."/>
      <w:lvlJc w:val="left"/>
      <w:pPr>
        <w:ind w:left="5315" w:hanging="360"/>
      </w:pPr>
    </w:lvl>
    <w:lvl w:ilvl="8" w:tplc="0405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12">
    <w:nsid w:val="57052422"/>
    <w:multiLevelType w:val="hybridMultilevel"/>
    <w:tmpl w:val="F7D667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43305"/>
    <w:multiLevelType w:val="hybridMultilevel"/>
    <w:tmpl w:val="8294E72E"/>
    <w:lvl w:ilvl="0" w:tplc="5AD06D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52446D"/>
    <w:multiLevelType w:val="hybridMultilevel"/>
    <w:tmpl w:val="83060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C73DA5"/>
    <w:multiLevelType w:val="hybridMultilevel"/>
    <w:tmpl w:val="5B7278F6"/>
    <w:lvl w:ilvl="0" w:tplc="9C8E9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4317B4"/>
    <w:multiLevelType w:val="hybridMultilevel"/>
    <w:tmpl w:val="80BAE6DE"/>
    <w:lvl w:ilvl="0" w:tplc="5EC8B69E">
      <w:start w:val="66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6C52B8"/>
    <w:multiLevelType w:val="hybridMultilevel"/>
    <w:tmpl w:val="26CCE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11"/>
  </w:num>
  <w:num w:numId="10">
    <w:abstractNumId w:val="12"/>
  </w:num>
  <w:num w:numId="11">
    <w:abstractNumId w:val="7"/>
  </w:num>
  <w:num w:numId="12">
    <w:abstractNumId w:val="4"/>
  </w:num>
  <w:num w:numId="13">
    <w:abstractNumId w:val="13"/>
  </w:num>
  <w:num w:numId="14">
    <w:abstractNumId w:val="14"/>
  </w:num>
  <w:num w:numId="15">
    <w:abstractNumId w:val="5"/>
  </w:num>
  <w:num w:numId="16">
    <w:abstractNumId w:val="16"/>
  </w:num>
  <w:num w:numId="17">
    <w:abstractNumId w:val="17"/>
  </w:num>
  <w:num w:numId="18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0B"/>
    <w:rsid w:val="00000881"/>
    <w:rsid w:val="00000932"/>
    <w:rsid w:val="00000F96"/>
    <w:rsid w:val="00001B91"/>
    <w:rsid w:val="00002073"/>
    <w:rsid w:val="0000236D"/>
    <w:rsid w:val="0000330E"/>
    <w:rsid w:val="000033DB"/>
    <w:rsid w:val="00003D20"/>
    <w:rsid w:val="00003EAD"/>
    <w:rsid w:val="00003FF9"/>
    <w:rsid w:val="000044CF"/>
    <w:rsid w:val="00004DB0"/>
    <w:rsid w:val="00004E73"/>
    <w:rsid w:val="00005220"/>
    <w:rsid w:val="0000580F"/>
    <w:rsid w:val="00005C3E"/>
    <w:rsid w:val="00005C47"/>
    <w:rsid w:val="00005C6C"/>
    <w:rsid w:val="000066B9"/>
    <w:rsid w:val="00006886"/>
    <w:rsid w:val="00006B02"/>
    <w:rsid w:val="00007773"/>
    <w:rsid w:val="000104BD"/>
    <w:rsid w:val="0001113E"/>
    <w:rsid w:val="000112F9"/>
    <w:rsid w:val="00011810"/>
    <w:rsid w:val="000119C8"/>
    <w:rsid w:val="00011EF7"/>
    <w:rsid w:val="0001248D"/>
    <w:rsid w:val="000124FE"/>
    <w:rsid w:val="00013006"/>
    <w:rsid w:val="000131C6"/>
    <w:rsid w:val="00013507"/>
    <w:rsid w:val="000138FD"/>
    <w:rsid w:val="00013A3C"/>
    <w:rsid w:val="00014603"/>
    <w:rsid w:val="000152B0"/>
    <w:rsid w:val="0001567E"/>
    <w:rsid w:val="000156CF"/>
    <w:rsid w:val="0001597F"/>
    <w:rsid w:val="00015CCB"/>
    <w:rsid w:val="00015F28"/>
    <w:rsid w:val="000163B7"/>
    <w:rsid w:val="000172AE"/>
    <w:rsid w:val="00017773"/>
    <w:rsid w:val="00017BE6"/>
    <w:rsid w:val="00017E46"/>
    <w:rsid w:val="00017EC7"/>
    <w:rsid w:val="00017F46"/>
    <w:rsid w:val="00020834"/>
    <w:rsid w:val="00020A05"/>
    <w:rsid w:val="00020DE5"/>
    <w:rsid w:val="00021026"/>
    <w:rsid w:val="000218CA"/>
    <w:rsid w:val="000225B8"/>
    <w:rsid w:val="00022D5C"/>
    <w:rsid w:val="00023D6D"/>
    <w:rsid w:val="00023EA1"/>
    <w:rsid w:val="00024A45"/>
    <w:rsid w:val="00024E81"/>
    <w:rsid w:val="000254CB"/>
    <w:rsid w:val="00025A70"/>
    <w:rsid w:val="00025E01"/>
    <w:rsid w:val="00026AFA"/>
    <w:rsid w:val="00027D3C"/>
    <w:rsid w:val="00030772"/>
    <w:rsid w:val="000307C5"/>
    <w:rsid w:val="0003087F"/>
    <w:rsid w:val="00030DD7"/>
    <w:rsid w:val="0003111A"/>
    <w:rsid w:val="00031292"/>
    <w:rsid w:val="000314CC"/>
    <w:rsid w:val="00031A57"/>
    <w:rsid w:val="00031C8A"/>
    <w:rsid w:val="00031D26"/>
    <w:rsid w:val="00032482"/>
    <w:rsid w:val="000326DA"/>
    <w:rsid w:val="000328E1"/>
    <w:rsid w:val="00033741"/>
    <w:rsid w:val="000342ED"/>
    <w:rsid w:val="00034393"/>
    <w:rsid w:val="000343CF"/>
    <w:rsid w:val="000343E1"/>
    <w:rsid w:val="000347C0"/>
    <w:rsid w:val="00034844"/>
    <w:rsid w:val="000357D3"/>
    <w:rsid w:val="00037363"/>
    <w:rsid w:val="000406B5"/>
    <w:rsid w:val="000407CE"/>
    <w:rsid w:val="0004108C"/>
    <w:rsid w:val="00041909"/>
    <w:rsid w:val="00041943"/>
    <w:rsid w:val="000419A7"/>
    <w:rsid w:val="00041F40"/>
    <w:rsid w:val="00041F64"/>
    <w:rsid w:val="0004223E"/>
    <w:rsid w:val="000423CF"/>
    <w:rsid w:val="00042D81"/>
    <w:rsid w:val="00042F15"/>
    <w:rsid w:val="000430E2"/>
    <w:rsid w:val="00043439"/>
    <w:rsid w:val="000437B0"/>
    <w:rsid w:val="00043891"/>
    <w:rsid w:val="00043B34"/>
    <w:rsid w:val="00043B6B"/>
    <w:rsid w:val="0004461C"/>
    <w:rsid w:val="00044938"/>
    <w:rsid w:val="000459C2"/>
    <w:rsid w:val="00045E0B"/>
    <w:rsid w:val="000465B1"/>
    <w:rsid w:val="00046CD6"/>
    <w:rsid w:val="00050E1F"/>
    <w:rsid w:val="00051606"/>
    <w:rsid w:val="00051EBF"/>
    <w:rsid w:val="00052837"/>
    <w:rsid w:val="00052CBB"/>
    <w:rsid w:val="00052F4A"/>
    <w:rsid w:val="000530F1"/>
    <w:rsid w:val="000532AB"/>
    <w:rsid w:val="00054517"/>
    <w:rsid w:val="00054696"/>
    <w:rsid w:val="0005491B"/>
    <w:rsid w:val="000549C6"/>
    <w:rsid w:val="00054BBC"/>
    <w:rsid w:val="00054E4B"/>
    <w:rsid w:val="000550B4"/>
    <w:rsid w:val="000558EC"/>
    <w:rsid w:val="000559BB"/>
    <w:rsid w:val="00055A17"/>
    <w:rsid w:val="000569A4"/>
    <w:rsid w:val="00056F50"/>
    <w:rsid w:val="00057193"/>
    <w:rsid w:val="00057577"/>
    <w:rsid w:val="00057A70"/>
    <w:rsid w:val="00057CBE"/>
    <w:rsid w:val="00060C32"/>
    <w:rsid w:val="000613C2"/>
    <w:rsid w:val="00061429"/>
    <w:rsid w:val="00061621"/>
    <w:rsid w:val="0006260B"/>
    <w:rsid w:val="00064144"/>
    <w:rsid w:val="000641DB"/>
    <w:rsid w:val="000642CE"/>
    <w:rsid w:val="00064524"/>
    <w:rsid w:val="0006454E"/>
    <w:rsid w:val="000647BD"/>
    <w:rsid w:val="00064DEF"/>
    <w:rsid w:val="00064F00"/>
    <w:rsid w:val="00066699"/>
    <w:rsid w:val="0006671D"/>
    <w:rsid w:val="00066725"/>
    <w:rsid w:val="00066D9F"/>
    <w:rsid w:val="00066E48"/>
    <w:rsid w:val="00067667"/>
    <w:rsid w:val="00070408"/>
    <w:rsid w:val="0007064B"/>
    <w:rsid w:val="000706B4"/>
    <w:rsid w:val="000710D5"/>
    <w:rsid w:val="00071186"/>
    <w:rsid w:val="00071622"/>
    <w:rsid w:val="00071686"/>
    <w:rsid w:val="00071B68"/>
    <w:rsid w:val="00071FA4"/>
    <w:rsid w:val="00072445"/>
    <w:rsid w:val="00072D5A"/>
    <w:rsid w:val="000732F3"/>
    <w:rsid w:val="0007408B"/>
    <w:rsid w:val="00074954"/>
    <w:rsid w:val="00074A01"/>
    <w:rsid w:val="00075409"/>
    <w:rsid w:val="00075C06"/>
    <w:rsid w:val="00076806"/>
    <w:rsid w:val="00077153"/>
    <w:rsid w:val="00077196"/>
    <w:rsid w:val="000772FC"/>
    <w:rsid w:val="00077727"/>
    <w:rsid w:val="00080987"/>
    <w:rsid w:val="00080C12"/>
    <w:rsid w:val="00081221"/>
    <w:rsid w:val="000813FB"/>
    <w:rsid w:val="00081F8E"/>
    <w:rsid w:val="00082640"/>
    <w:rsid w:val="0008264D"/>
    <w:rsid w:val="000828E4"/>
    <w:rsid w:val="00082FB7"/>
    <w:rsid w:val="000839E5"/>
    <w:rsid w:val="000843F6"/>
    <w:rsid w:val="00084DFA"/>
    <w:rsid w:val="00084EF4"/>
    <w:rsid w:val="00084F19"/>
    <w:rsid w:val="000855DB"/>
    <w:rsid w:val="00086696"/>
    <w:rsid w:val="00086D3E"/>
    <w:rsid w:val="00087183"/>
    <w:rsid w:val="00087884"/>
    <w:rsid w:val="00087A8A"/>
    <w:rsid w:val="00087ABD"/>
    <w:rsid w:val="00087F21"/>
    <w:rsid w:val="000903FF"/>
    <w:rsid w:val="0009092D"/>
    <w:rsid w:val="000913CB"/>
    <w:rsid w:val="00091459"/>
    <w:rsid w:val="000919E2"/>
    <w:rsid w:val="000927F6"/>
    <w:rsid w:val="0009286D"/>
    <w:rsid w:val="000928BB"/>
    <w:rsid w:val="000928EE"/>
    <w:rsid w:val="00092FA7"/>
    <w:rsid w:val="000932A7"/>
    <w:rsid w:val="0009336C"/>
    <w:rsid w:val="00093E2F"/>
    <w:rsid w:val="00094A2D"/>
    <w:rsid w:val="00095323"/>
    <w:rsid w:val="00095329"/>
    <w:rsid w:val="00095721"/>
    <w:rsid w:val="00095904"/>
    <w:rsid w:val="0009635C"/>
    <w:rsid w:val="00096E1C"/>
    <w:rsid w:val="00096F81"/>
    <w:rsid w:val="0009709F"/>
    <w:rsid w:val="0009745F"/>
    <w:rsid w:val="000979E8"/>
    <w:rsid w:val="000A0A28"/>
    <w:rsid w:val="000A0AB9"/>
    <w:rsid w:val="000A0E63"/>
    <w:rsid w:val="000A0FA8"/>
    <w:rsid w:val="000A15CA"/>
    <w:rsid w:val="000A2538"/>
    <w:rsid w:val="000A41A3"/>
    <w:rsid w:val="000A446F"/>
    <w:rsid w:val="000A46D3"/>
    <w:rsid w:val="000A4816"/>
    <w:rsid w:val="000A53CC"/>
    <w:rsid w:val="000A58F6"/>
    <w:rsid w:val="000A7392"/>
    <w:rsid w:val="000B02A7"/>
    <w:rsid w:val="000B04BE"/>
    <w:rsid w:val="000B114F"/>
    <w:rsid w:val="000B12F1"/>
    <w:rsid w:val="000B1348"/>
    <w:rsid w:val="000B1C04"/>
    <w:rsid w:val="000B25C3"/>
    <w:rsid w:val="000B3105"/>
    <w:rsid w:val="000B3145"/>
    <w:rsid w:val="000B3978"/>
    <w:rsid w:val="000B3B08"/>
    <w:rsid w:val="000B3B74"/>
    <w:rsid w:val="000B556B"/>
    <w:rsid w:val="000B571C"/>
    <w:rsid w:val="000B5FE2"/>
    <w:rsid w:val="000B710A"/>
    <w:rsid w:val="000B7411"/>
    <w:rsid w:val="000B75F0"/>
    <w:rsid w:val="000C1234"/>
    <w:rsid w:val="000C18EF"/>
    <w:rsid w:val="000C1C55"/>
    <w:rsid w:val="000C1DFD"/>
    <w:rsid w:val="000C1E95"/>
    <w:rsid w:val="000C2190"/>
    <w:rsid w:val="000C28BB"/>
    <w:rsid w:val="000C3130"/>
    <w:rsid w:val="000C320D"/>
    <w:rsid w:val="000C3B6B"/>
    <w:rsid w:val="000C40E9"/>
    <w:rsid w:val="000C4C9A"/>
    <w:rsid w:val="000C5338"/>
    <w:rsid w:val="000C64AC"/>
    <w:rsid w:val="000C6DA4"/>
    <w:rsid w:val="000C6F9D"/>
    <w:rsid w:val="000C7BDF"/>
    <w:rsid w:val="000D0088"/>
    <w:rsid w:val="000D0135"/>
    <w:rsid w:val="000D01D6"/>
    <w:rsid w:val="000D05D4"/>
    <w:rsid w:val="000D0735"/>
    <w:rsid w:val="000D0ED6"/>
    <w:rsid w:val="000D17BB"/>
    <w:rsid w:val="000D18A3"/>
    <w:rsid w:val="000D18F3"/>
    <w:rsid w:val="000D1CB4"/>
    <w:rsid w:val="000D202F"/>
    <w:rsid w:val="000D2204"/>
    <w:rsid w:val="000D225C"/>
    <w:rsid w:val="000D225E"/>
    <w:rsid w:val="000D2D82"/>
    <w:rsid w:val="000D3453"/>
    <w:rsid w:val="000D350B"/>
    <w:rsid w:val="000D456D"/>
    <w:rsid w:val="000D4F7E"/>
    <w:rsid w:val="000D62D0"/>
    <w:rsid w:val="000D6416"/>
    <w:rsid w:val="000D6A32"/>
    <w:rsid w:val="000D6EB0"/>
    <w:rsid w:val="000D6EB6"/>
    <w:rsid w:val="000D702C"/>
    <w:rsid w:val="000D7A33"/>
    <w:rsid w:val="000D7D68"/>
    <w:rsid w:val="000E05EA"/>
    <w:rsid w:val="000E0AE6"/>
    <w:rsid w:val="000E101D"/>
    <w:rsid w:val="000E1099"/>
    <w:rsid w:val="000E123D"/>
    <w:rsid w:val="000E196A"/>
    <w:rsid w:val="000E1CA1"/>
    <w:rsid w:val="000E1E4B"/>
    <w:rsid w:val="000E23CC"/>
    <w:rsid w:val="000E2E38"/>
    <w:rsid w:val="000E352E"/>
    <w:rsid w:val="000E398D"/>
    <w:rsid w:val="000E399D"/>
    <w:rsid w:val="000E4219"/>
    <w:rsid w:val="000E5022"/>
    <w:rsid w:val="000E5071"/>
    <w:rsid w:val="000E53AF"/>
    <w:rsid w:val="000E5476"/>
    <w:rsid w:val="000E5629"/>
    <w:rsid w:val="000E5967"/>
    <w:rsid w:val="000E62B1"/>
    <w:rsid w:val="000E650F"/>
    <w:rsid w:val="000E661B"/>
    <w:rsid w:val="000E67B9"/>
    <w:rsid w:val="000F0258"/>
    <w:rsid w:val="000F0864"/>
    <w:rsid w:val="000F1DF3"/>
    <w:rsid w:val="000F1FF6"/>
    <w:rsid w:val="000F272E"/>
    <w:rsid w:val="000F31D0"/>
    <w:rsid w:val="000F3776"/>
    <w:rsid w:val="000F37A0"/>
    <w:rsid w:val="000F3957"/>
    <w:rsid w:val="000F4618"/>
    <w:rsid w:val="000F4A05"/>
    <w:rsid w:val="000F4E31"/>
    <w:rsid w:val="000F5FE2"/>
    <w:rsid w:val="000F5FF1"/>
    <w:rsid w:val="000F6159"/>
    <w:rsid w:val="000F659A"/>
    <w:rsid w:val="000F6B2D"/>
    <w:rsid w:val="000F6E30"/>
    <w:rsid w:val="000F7CC7"/>
    <w:rsid w:val="000F7D04"/>
    <w:rsid w:val="000F7EC8"/>
    <w:rsid w:val="001002B8"/>
    <w:rsid w:val="001002DE"/>
    <w:rsid w:val="0010034C"/>
    <w:rsid w:val="0010159A"/>
    <w:rsid w:val="00101798"/>
    <w:rsid w:val="001019FC"/>
    <w:rsid w:val="001021F7"/>
    <w:rsid w:val="0010231F"/>
    <w:rsid w:val="0010304D"/>
    <w:rsid w:val="0010376B"/>
    <w:rsid w:val="00103A3A"/>
    <w:rsid w:val="00103BA6"/>
    <w:rsid w:val="00104BDC"/>
    <w:rsid w:val="00105AD0"/>
    <w:rsid w:val="00106174"/>
    <w:rsid w:val="00106532"/>
    <w:rsid w:val="00106833"/>
    <w:rsid w:val="0010688E"/>
    <w:rsid w:val="00106D02"/>
    <w:rsid w:val="00110594"/>
    <w:rsid w:val="00110FFD"/>
    <w:rsid w:val="0011171A"/>
    <w:rsid w:val="00111936"/>
    <w:rsid w:val="00111E71"/>
    <w:rsid w:val="001129ED"/>
    <w:rsid w:val="00112B51"/>
    <w:rsid w:val="001135CA"/>
    <w:rsid w:val="0011376D"/>
    <w:rsid w:val="00113B93"/>
    <w:rsid w:val="001140CF"/>
    <w:rsid w:val="001140E8"/>
    <w:rsid w:val="00115CEF"/>
    <w:rsid w:val="00115E25"/>
    <w:rsid w:val="0011637B"/>
    <w:rsid w:val="00116982"/>
    <w:rsid w:val="00116B2E"/>
    <w:rsid w:val="00117DC9"/>
    <w:rsid w:val="001208DD"/>
    <w:rsid w:val="00120AA3"/>
    <w:rsid w:val="0012129B"/>
    <w:rsid w:val="00121642"/>
    <w:rsid w:val="00121B6F"/>
    <w:rsid w:val="00122D95"/>
    <w:rsid w:val="00122F13"/>
    <w:rsid w:val="0012376C"/>
    <w:rsid w:val="00124136"/>
    <w:rsid w:val="00124FF6"/>
    <w:rsid w:val="0012511E"/>
    <w:rsid w:val="00125B7B"/>
    <w:rsid w:val="00126303"/>
    <w:rsid w:val="001265E7"/>
    <w:rsid w:val="00126713"/>
    <w:rsid w:val="00126AA0"/>
    <w:rsid w:val="00127E65"/>
    <w:rsid w:val="001302F2"/>
    <w:rsid w:val="001325AD"/>
    <w:rsid w:val="00132A7F"/>
    <w:rsid w:val="00133019"/>
    <w:rsid w:val="001332BC"/>
    <w:rsid w:val="0013397D"/>
    <w:rsid w:val="00134C4E"/>
    <w:rsid w:val="0013587A"/>
    <w:rsid w:val="00135D90"/>
    <w:rsid w:val="00135E06"/>
    <w:rsid w:val="001360A2"/>
    <w:rsid w:val="001364A6"/>
    <w:rsid w:val="001368E7"/>
    <w:rsid w:val="00137D95"/>
    <w:rsid w:val="00140B7F"/>
    <w:rsid w:val="00140D10"/>
    <w:rsid w:val="0014105F"/>
    <w:rsid w:val="001410DB"/>
    <w:rsid w:val="0014132F"/>
    <w:rsid w:val="00141355"/>
    <w:rsid w:val="001415FD"/>
    <w:rsid w:val="0014163E"/>
    <w:rsid w:val="001418C0"/>
    <w:rsid w:val="00141C97"/>
    <w:rsid w:val="00141FA2"/>
    <w:rsid w:val="00141FDE"/>
    <w:rsid w:val="00142073"/>
    <w:rsid w:val="001422A6"/>
    <w:rsid w:val="001425AD"/>
    <w:rsid w:val="00142A6C"/>
    <w:rsid w:val="00142B1D"/>
    <w:rsid w:val="00143392"/>
    <w:rsid w:val="0014351A"/>
    <w:rsid w:val="00143530"/>
    <w:rsid w:val="00143C9D"/>
    <w:rsid w:val="0014414B"/>
    <w:rsid w:val="001442C8"/>
    <w:rsid w:val="00144332"/>
    <w:rsid w:val="00144916"/>
    <w:rsid w:val="0014534E"/>
    <w:rsid w:val="0014548A"/>
    <w:rsid w:val="001456CE"/>
    <w:rsid w:val="00145861"/>
    <w:rsid w:val="001462AD"/>
    <w:rsid w:val="001468BA"/>
    <w:rsid w:val="00146C0C"/>
    <w:rsid w:val="00147599"/>
    <w:rsid w:val="00147A69"/>
    <w:rsid w:val="00147AE0"/>
    <w:rsid w:val="00147EAF"/>
    <w:rsid w:val="00150511"/>
    <w:rsid w:val="00151252"/>
    <w:rsid w:val="00151B47"/>
    <w:rsid w:val="00151D94"/>
    <w:rsid w:val="001523C1"/>
    <w:rsid w:val="00152479"/>
    <w:rsid w:val="00152B55"/>
    <w:rsid w:val="001531E3"/>
    <w:rsid w:val="0015334F"/>
    <w:rsid w:val="00153700"/>
    <w:rsid w:val="00153985"/>
    <w:rsid w:val="00153BF0"/>
    <w:rsid w:val="00154178"/>
    <w:rsid w:val="00154C1C"/>
    <w:rsid w:val="001550CC"/>
    <w:rsid w:val="0015511A"/>
    <w:rsid w:val="00155CDC"/>
    <w:rsid w:val="00155DE6"/>
    <w:rsid w:val="001564AB"/>
    <w:rsid w:val="00156C62"/>
    <w:rsid w:val="0016027D"/>
    <w:rsid w:val="00160429"/>
    <w:rsid w:val="00160905"/>
    <w:rsid w:val="00160D42"/>
    <w:rsid w:val="00160E9D"/>
    <w:rsid w:val="00160F69"/>
    <w:rsid w:val="001616E0"/>
    <w:rsid w:val="00161978"/>
    <w:rsid w:val="0016199E"/>
    <w:rsid w:val="00161C93"/>
    <w:rsid w:val="001625D9"/>
    <w:rsid w:val="00162A88"/>
    <w:rsid w:val="00162B1D"/>
    <w:rsid w:val="00162BDF"/>
    <w:rsid w:val="00162C1D"/>
    <w:rsid w:val="00163354"/>
    <w:rsid w:val="001645EF"/>
    <w:rsid w:val="00164813"/>
    <w:rsid w:val="001671F8"/>
    <w:rsid w:val="00167879"/>
    <w:rsid w:val="001679FB"/>
    <w:rsid w:val="001702DE"/>
    <w:rsid w:val="00170BEB"/>
    <w:rsid w:val="00171086"/>
    <w:rsid w:val="00171371"/>
    <w:rsid w:val="001715AC"/>
    <w:rsid w:val="001718B7"/>
    <w:rsid w:val="00171A28"/>
    <w:rsid w:val="00171A41"/>
    <w:rsid w:val="00171E37"/>
    <w:rsid w:val="00172390"/>
    <w:rsid w:val="001725CE"/>
    <w:rsid w:val="00172804"/>
    <w:rsid w:val="00173420"/>
    <w:rsid w:val="0017377A"/>
    <w:rsid w:val="00173BFF"/>
    <w:rsid w:val="00173EA1"/>
    <w:rsid w:val="0017418E"/>
    <w:rsid w:val="001742A7"/>
    <w:rsid w:val="0017464D"/>
    <w:rsid w:val="00174783"/>
    <w:rsid w:val="00174F59"/>
    <w:rsid w:val="00175157"/>
    <w:rsid w:val="0017558B"/>
    <w:rsid w:val="00176033"/>
    <w:rsid w:val="001766BF"/>
    <w:rsid w:val="00176AE7"/>
    <w:rsid w:val="00177D39"/>
    <w:rsid w:val="00177D45"/>
    <w:rsid w:val="00177E1E"/>
    <w:rsid w:val="00180090"/>
    <w:rsid w:val="00180226"/>
    <w:rsid w:val="00180600"/>
    <w:rsid w:val="0018067B"/>
    <w:rsid w:val="001806F7"/>
    <w:rsid w:val="0018090A"/>
    <w:rsid w:val="00180B46"/>
    <w:rsid w:val="00180F3B"/>
    <w:rsid w:val="001826FC"/>
    <w:rsid w:val="00182BE1"/>
    <w:rsid w:val="00182F04"/>
    <w:rsid w:val="00184724"/>
    <w:rsid w:val="00185486"/>
    <w:rsid w:val="00185710"/>
    <w:rsid w:val="00185888"/>
    <w:rsid w:val="00185E76"/>
    <w:rsid w:val="001862F0"/>
    <w:rsid w:val="0018767F"/>
    <w:rsid w:val="0019012B"/>
    <w:rsid w:val="00190D5F"/>
    <w:rsid w:val="001922FC"/>
    <w:rsid w:val="00192304"/>
    <w:rsid w:val="00192BC2"/>
    <w:rsid w:val="00193533"/>
    <w:rsid w:val="0019357D"/>
    <w:rsid w:val="001938C6"/>
    <w:rsid w:val="00193C73"/>
    <w:rsid w:val="00194005"/>
    <w:rsid w:val="00194298"/>
    <w:rsid w:val="0019441C"/>
    <w:rsid w:val="00194F87"/>
    <w:rsid w:val="0019536B"/>
    <w:rsid w:val="00195A5C"/>
    <w:rsid w:val="00195B7C"/>
    <w:rsid w:val="0019670B"/>
    <w:rsid w:val="0019675E"/>
    <w:rsid w:val="00196F2C"/>
    <w:rsid w:val="001A03F3"/>
    <w:rsid w:val="001A08A9"/>
    <w:rsid w:val="001A094E"/>
    <w:rsid w:val="001A0E1F"/>
    <w:rsid w:val="001A0FC2"/>
    <w:rsid w:val="001A11D8"/>
    <w:rsid w:val="001A1216"/>
    <w:rsid w:val="001A1518"/>
    <w:rsid w:val="001A15D3"/>
    <w:rsid w:val="001A1AAC"/>
    <w:rsid w:val="001A1CBF"/>
    <w:rsid w:val="001A1DB1"/>
    <w:rsid w:val="001A1EC5"/>
    <w:rsid w:val="001A1F1B"/>
    <w:rsid w:val="001A2C49"/>
    <w:rsid w:val="001A3388"/>
    <w:rsid w:val="001A37F7"/>
    <w:rsid w:val="001A3FD4"/>
    <w:rsid w:val="001A4061"/>
    <w:rsid w:val="001A4FFF"/>
    <w:rsid w:val="001A50E5"/>
    <w:rsid w:val="001A5214"/>
    <w:rsid w:val="001A5493"/>
    <w:rsid w:val="001A5628"/>
    <w:rsid w:val="001A5B2A"/>
    <w:rsid w:val="001A5D01"/>
    <w:rsid w:val="001A71B5"/>
    <w:rsid w:val="001B0CBD"/>
    <w:rsid w:val="001B0CFC"/>
    <w:rsid w:val="001B0E97"/>
    <w:rsid w:val="001B12AA"/>
    <w:rsid w:val="001B12AC"/>
    <w:rsid w:val="001B1A8D"/>
    <w:rsid w:val="001B1AB6"/>
    <w:rsid w:val="001B2131"/>
    <w:rsid w:val="001B2565"/>
    <w:rsid w:val="001B296C"/>
    <w:rsid w:val="001B2A38"/>
    <w:rsid w:val="001B2B19"/>
    <w:rsid w:val="001B2B2B"/>
    <w:rsid w:val="001B2F10"/>
    <w:rsid w:val="001B3EE5"/>
    <w:rsid w:val="001B5134"/>
    <w:rsid w:val="001B537D"/>
    <w:rsid w:val="001B54CD"/>
    <w:rsid w:val="001B57E8"/>
    <w:rsid w:val="001B69B3"/>
    <w:rsid w:val="001B6DAD"/>
    <w:rsid w:val="001B7707"/>
    <w:rsid w:val="001C194C"/>
    <w:rsid w:val="001C196B"/>
    <w:rsid w:val="001C1BE9"/>
    <w:rsid w:val="001C422A"/>
    <w:rsid w:val="001C42DE"/>
    <w:rsid w:val="001C43C9"/>
    <w:rsid w:val="001C43FA"/>
    <w:rsid w:val="001C561C"/>
    <w:rsid w:val="001C6A88"/>
    <w:rsid w:val="001C6C82"/>
    <w:rsid w:val="001C78EE"/>
    <w:rsid w:val="001C7DEA"/>
    <w:rsid w:val="001D03FD"/>
    <w:rsid w:val="001D0FC2"/>
    <w:rsid w:val="001D0FEF"/>
    <w:rsid w:val="001D1646"/>
    <w:rsid w:val="001D16B5"/>
    <w:rsid w:val="001D231A"/>
    <w:rsid w:val="001D2E18"/>
    <w:rsid w:val="001D370A"/>
    <w:rsid w:val="001D37E1"/>
    <w:rsid w:val="001D61A3"/>
    <w:rsid w:val="001D727C"/>
    <w:rsid w:val="001E1655"/>
    <w:rsid w:val="001E1BDA"/>
    <w:rsid w:val="001E1D26"/>
    <w:rsid w:val="001E237D"/>
    <w:rsid w:val="001E2767"/>
    <w:rsid w:val="001E31FA"/>
    <w:rsid w:val="001E3785"/>
    <w:rsid w:val="001E41B1"/>
    <w:rsid w:val="001E5B7E"/>
    <w:rsid w:val="001E5B89"/>
    <w:rsid w:val="001E71A6"/>
    <w:rsid w:val="001E71E7"/>
    <w:rsid w:val="001F0078"/>
    <w:rsid w:val="001F028E"/>
    <w:rsid w:val="001F04A5"/>
    <w:rsid w:val="001F0576"/>
    <w:rsid w:val="001F071B"/>
    <w:rsid w:val="001F0D00"/>
    <w:rsid w:val="001F1CA5"/>
    <w:rsid w:val="001F28F7"/>
    <w:rsid w:val="001F32ED"/>
    <w:rsid w:val="001F47D9"/>
    <w:rsid w:val="001F4AA4"/>
    <w:rsid w:val="001F5098"/>
    <w:rsid w:val="001F5500"/>
    <w:rsid w:val="001F57C1"/>
    <w:rsid w:val="001F60FB"/>
    <w:rsid w:val="001F633D"/>
    <w:rsid w:val="001F6CE7"/>
    <w:rsid w:val="00200625"/>
    <w:rsid w:val="00201C5B"/>
    <w:rsid w:val="00201E5D"/>
    <w:rsid w:val="00202300"/>
    <w:rsid w:val="002026C0"/>
    <w:rsid w:val="00203DCE"/>
    <w:rsid w:val="00203FDA"/>
    <w:rsid w:val="002041DA"/>
    <w:rsid w:val="0020444C"/>
    <w:rsid w:val="00204CEA"/>
    <w:rsid w:val="0020536C"/>
    <w:rsid w:val="002053B9"/>
    <w:rsid w:val="002055CF"/>
    <w:rsid w:val="00206604"/>
    <w:rsid w:val="002067AB"/>
    <w:rsid w:val="00206DB2"/>
    <w:rsid w:val="00207D69"/>
    <w:rsid w:val="00210221"/>
    <w:rsid w:val="002102F9"/>
    <w:rsid w:val="00210672"/>
    <w:rsid w:val="00210D87"/>
    <w:rsid w:val="00210DAC"/>
    <w:rsid w:val="00210E6A"/>
    <w:rsid w:val="002112BF"/>
    <w:rsid w:val="00211AB9"/>
    <w:rsid w:val="002120C1"/>
    <w:rsid w:val="002125EB"/>
    <w:rsid w:val="00212868"/>
    <w:rsid w:val="00212FBB"/>
    <w:rsid w:val="00213252"/>
    <w:rsid w:val="0021333B"/>
    <w:rsid w:val="002138E6"/>
    <w:rsid w:val="00213FA5"/>
    <w:rsid w:val="0021620D"/>
    <w:rsid w:val="002162D9"/>
    <w:rsid w:val="00216406"/>
    <w:rsid w:val="00216945"/>
    <w:rsid w:val="002178C3"/>
    <w:rsid w:val="002207F9"/>
    <w:rsid w:val="00220899"/>
    <w:rsid w:val="00220BE9"/>
    <w:rsid w:val="0022140D"/>
    <w:rsid w:val="00221626"/>
    <w:rsid w:val="00222072"/>
    <w:rsid w:val="002231C0"/>
    <w:rsid w:val="0022321D"/>
    <w:rsid w:val="00224385"/>
    <w:rsid w:val="00225082"/>
    <w:rsid w:val="00225295"/>
    <w:rsid w:val="0022560C"/>
    <w:rsid w:val="00225A49"/>
    <w:rsid w:val="00225AD3"/>
    <w:rsid w:val="00225AEE"/>
    <w:rsid w:val="00226524"/>
    <w:rsid w:val="002268E1"/>
    <w:rsid w:val="00226C3E"/>
    <w:rsid w:val="002305C9"/>
    <w:rsid w:val="00230AF7"/>
    <w:rsid w:val="002313A4"/>
    <w:rsid w:val="00231891"/>
    <w:rsid w:val="00231DBD"/>
    <w:rsid w:val="00233586"/>
    <w:rsid w:val="00233807"/>
    <w:rsid w:val="00233994"/>
    <w:rsid w:val="00233B2D"/>
    <w:rsid w:val="00234F8D"/>
    <w:rsid w:val="00235288"/>
    <w:rsid w:val="00235671"/>
    <w:rsid w:val="00235DB4"/>
    <w:rsid w:val="00236071"/>
    <w:rsid w:val="002363A9"/>
    <w:rsid w:val="00236495"/>
    <w:rsid w:val="002364A9"/>
    <w:rsid w:val="0023655C"/>
    <w:rsid w:val="0023666E"/>
    <w:rsid w:val="00236DAD"/>
    <w:rsid w:val="002404C4"/>
    <w:rsid w:val="0024071F"/>
    <w:rsid w:val="00241158"/>
    <w:rsid w:val="0024159C"/>
    <w:rsid w:val="0024175C"/>
    <w:rsid w:val="00242247"/>
    <w:rsid w:val="0024296A"/>
    <w:rsid w:val="00242A4C"/>
    <w:rsid w:val="002433C3"/>
    <w:rsid w:val="00243D37"/>
    <w:rsid w:val="00244A9F"/>
    <w:rsid w:val="00244C66"/>
    <w:rsid w:val="00245685"/>
    <w:rsid w:val="00245B80"/>
    <w:rsid w:val="002460FB"/>
    <w:rsid w:val="0024692B"/>
    <w:rsid w:val="0024718B"/>
    <w:rsid w:val="00247367"/>
    <w:rsid w:val="00250426"/>
    <w:rsid w:val="002506B7"/>
    <w:rsid w:val="00251810"/>
    <w:rsid w:val="002518B4"/>
    <w:rsid w:val="00251995"/>
    <w:rsid w:val="00251B25"/>
    <w:rsid w:val="002521DD"/>
    <w:rsid w:val="00252631"/>
    <w:rsid w:val="00252CFD"/>
    <w:rsid w:val="002538C5"/>
    <w:rsid w:val="00254047"/>
    <w:rsid w:val="002558FE"/>
    <w:rsid w:val="00255EB1"/>
    <w:rsid w:val="00256320"/>
    <w:rsid w:val="00256572"/>
    <w:rsid w:val="00256EB7"/>
    <w:rsid w:val="00256EFA"/>
    <w:rsid w:val="00257267"/>
    <w:rsid w:val="00257504"/>
    <w:rsid w:val="002602FB"/>
    <w:rsid w:val="00260848"/>
    <w:rsid w:val="002609EA"/>
    <w:rsid w:val="002611AB"/>
    <w:rsid w:val="0026148B"/>
    <w:rsid w:val="00261540"/>
    <w:rsid w:val="00261C74"/>
    <w:rsid w:val="00261EF0"/>
    <w:rsid w:val="0026274F"/>
    <w:rsid w:val="00262AD6"/>
    <w:rsid w:val="00262B21"/>
    <w:rsid w:val="00262DF8"/>
    <w:rsid w:val="00262E38"/>
    <w:rsid w:val="002631DD"/>
    <w:rsid w:val="002634F2"/>
    <w:rsid w:val="00263EAF"/>
    <w:rsid w:val="00263EDA"/>
    <w:rsid w:val="00264E84"/>
    <w:rsid w:val="00265587"/>
    <w:rsid w:val="00265970"/>
    <w:rsid w:val="00265BFF"/>
    <w:rsid w:val="0026642A"/>
    <w:rsid w:val="00266517"/>
    <w:rsid w:val="00266632"/>
    <w:rsid w:val="00266664"/>
    <w:rsid w:val="0026712E"/>
    <w:rsid w:val="00267306"/>
    <w:rsid w:val="002675B4"/>
    <w:rsid w:val="00267B5B"/>
    <w:rsid w:val="002701B7"/>
    <w:rsid w:val="002706B5"/>
    <w:rsid w:val="00271D19"/>
    <w:rsid w:val="0027368D"/>
    <w:rsid w:val="002740E9"/>
    <w:rsid w:val="0027414F"/>
    <w:rsid w:val="00274CA4"/>
    <w:rsid w:val="002752AF"/>
    <w:rsid w:val="00275A7A"/>
    <w:rsid w:val="00275C51"/>
    <w:rsid w:val="00276F6C"/>
    <w:rsid w:val="0027715A"/>
    <w:rsid w:val="0027732A"/>
    <w:rsid w:val="00277434"/>
    <w:rsid w:val="0028011C"/>
    <w:rsid w:val="00280D14"/>
    <w:rsid w:val="002813A9"/>
    <w:rsid w:val="002814FC"/>
    <w:rsid w:val="00281932"/>
    <w:rsid w:val="0028216D"/>
    <w:rsid w:val="00283109"/>
    <w:rsid w:val="00283969"/>
    <w:rsid w:val="00283D70"/>
    <w:rsid w:val="00284318"/>
    <w:rsid w:val="00284AAA"/>
    <w:rsid w:val="00285FA7"/>
    <w:rsid w:val="00285FBA"/>
    <w:rsid w:val="002867B7"/>
    <w:rsid w:val="00286C01"/>
    <w:rsid w:val="00286C26"/>
    <w:rsid w:val="00287824"/>
    <w:rsid w:val="00287A57"/>
    <w:rsid w:val="00287D23"/>
    <w:rsid w:val="002906F9"/>
    <w:rsid w:val="00291500"/>
    <w:rsid w:val="00291E7B"/>
    <w:rsid w:val="00292390"/>
    <w:rsid w:val="00292459"/>
    <w:rsid w:val="002928DA"/>
    <w:rsid w:val="00293017"/>
    <w:rsid w:val="002932D8"/>
    <w:rsid w:val="002935A5"/>
    <w:rsid w:val="002938F8"/>
    <w:rsid w:val="00293C31"/>
    <w:rsid w:val="00293D6C"/>
    <w:rsid w:val="0029441E"/>
    <w:rsid w:val="0029453E"/>
    <w:rsid w:val="00295242"/>
    <w:rsid w:val="00295758"/>
    <w:rsid w:val="00295FE9"/>
    <w:rsid w:val="00296193"/>
    <w:rsid w:val="002961A0"/>
    <w:rsid w:val="002970F8"/>
    <w:rsid w:val="00297590"/>
    <w:rsid w:val="002975F0"/>
    <w:rsid w:val="002976D5"/>
    <w:rsid w:val="002979E6"/>
    <w:rsid w:val="00297B31"/>
    <w:rsid w:val="002A028B"/>
    <w:rsid w:val="002A08E4"/>
    <w:rsid w:val="002A094F"/>
    <w:rsid w:val="002A097F"/>
    <w:rsid w:val="002A0F56"/>
    <w:rsid w:val="002A1F47"/>
    <w:rsid w:val="002A21F9"/>
    <w:rsid w:val="002A23C8"/>
    <w:rsid w:val="002A31B4"/>
    <w:rsid w:val="002A3666"/>
    <w:rsid w:val="002A38AB"/>
    <w:rsid w:val="002A3B7E"/>
    <w:rsid w:val="002A4B86"/>
    <w:rsid w:val="002A546C"/>
    <w:rsid w:val="002A5E06"/>
    <w:rsid w:val="002A60F6"/>
    <w:rsid w:val="002A62ED"/>
    <w:rsid w:val="002A65F7"/>
    <w:rsid w:val="002A7DC1"/>
    <w:rsid w:val="002B023D"/>
    <w:rsid w:val="002B0259"/>
    <w:rsid w:val="002B19B7"/>
    <w:rsid w:val="002B1B19"/>
    <w:rsid w:val="002B2032"/>
    <w:rsid w:val="002B2268"/>
    <w:rsid w:val="002B2874"/>
    <w:rsid w:val="002B40EE"/>
    <w:rsid w:val="002B449A"/>
    <w:rsid w:val="002B452A"/>
    <w:rsid w:val="002B49C3"/>
    <w:rsid w:val="002B5587"/>
    <w:rsid w:val="002B5B65"/>
    <w:rsid w:val="002B6023"/>
    <w:rsid w:val="002B64F0"/>
    <w:rsid w:val="002B667A"/>
    <w:rsid w:val="002B6CC1"/>
    <w:rsid w:val="002B706F"/>
    <w:rsid w:val="002B71FA"/>
    <w:rsid w:val="002B77AD"/>
    <w:rsid w:val="002B7D05"/>
    <w:rsid w:val="002C052C"/>
    <w:rsid w:val="002C1910"/>
    <w:rsid w:val="002C1E06"/>
    <w:rsid w:val="002C2D4B"/>
    <w:rsid w:val="002C321C"/>
    <w:rsid w:val="002C3A25"/>
    <w:rsid w:val="002C43D4"/>
    <w:rsid w:val="002C4CBB"/>
    <w:rsid w:val="002C5128"/>
    <w:rsid w:val="002C5723"/>
    <w:rsid w:val="002C60C3"/>
    <w:rsid w:val="002C62BA"/>
    <w:rsid w:val="002C6584"/>
    <w:rsid w:val="002C6636"/>
    <w:rsid w:val="002C69F1"/>
    <w:rsid w:val="002C6AF1"/>
    <w:rsid w:val="002C77D6"/>
    <w:rsid w:val="002C7AB8"/>
    <w:rsid w:val="002C7C29"/>
    <w:rsid w:val="002D0280"/>
    <w:rsid w:val="002D0602"/>
    <w:rsid w:val="002D07DD"/>
    <w:rsid w:val="002D0E06"/>
    <w:rsid w:val="002D0E0E"/>
    <w:rsid w:val="002D15C9"/>
    <w:rsid w:val="002D2772"/>
    <w:rsid w:val="002D3D19"/>
    <w:rsid w:val="002D3D44"/>
    <w:rsid w:val="002D4A1A"/>
    <w:rsid w:val="002D5E03"/>
    <w:rsid w:val="002D6137"/>
    <w:rsid w:val="002D6A90"/>
    <w:rsid w:val="002D7863"/>
    <w:rsid w:val="002E0094"/>
    <w:rsid w:val="002E0186"/>
    <w:rsid w:val="002E0724"/>
    <w:rsid w:val="002E0869"/>
    <w:rsid w:val="002E0973"/>
    <w:rsid w:val="002E0A3E"/>
    <w:rsid w:val="002E0F51"/>
    <w:rsid w:val="002E15B2"/>
    <w:rsid w:val="002E1C5F"/>
    <w:rsid w:val="002E2E1C"/>
    <w:rsid w:val="002E3346"/>
    <w:rsid w:val="002E35D3"/>
    <w:rsid w:val="002E3C7D"/>
    <w:rsid w:val="002E3D05"/>
    <w:rsid w:val="002E505E"/>
    <w:rsid w:val="002E51F0"/>
    <w:rsid w:val="002E5898"/>
    <w:rsid w:val="002E5B89"/>
    <w:rsid w:val="002E64D3"/>
    <w:rsid w:val="002E7555"/>
    <w:rsid w:val="002E7D5C"/>
    <w:rsid w:val="002E7F49"/>
    <w:rsid w:val="002F0581"/>
    <w:rsid w:val="002F070D"/>
    <w:rsid w:val="002F0F7A"/>
    <w:rsid w:val="002F139B"/>
    <w:rsid w:val="002F1F14"/>
    <w:rsid w:val="002F1F30"/>
    <w:rsid w:val="002F2131"/>
    <w:rsid w:val="002F2767"/>
    <w:rsid w:val="002F375C"/>
    <w:rsid w:val="002F39A5"/>
    <w:rsid w:val="002F3D42"/>
    <w:rsid w:val="002F564D"/>
    <w:rsid w:val="002F5868"/>
    <w:rsid w:val="002F604F"/>
    <w:rsid w:val="002F61D6"/>
    <w:rsid w:val="002F68DF"/>
    <w:rsid w:val="002F6A21"/>
    <w:rsid w:val="002F6B67"/>
    <w:rsid w:val="002F7049"/>
    <w:rsid w:val="002F71ED"/>
    <w:rsid w:val="002F723B"/>
    <w:rsid w:val="002F745A"/>
    <w:rsid w:val="002F75BA"/>
    <w:rsid w:val="002F7C1A"/>
    <w:rsid w:val="00300043"/>
    <w:rsid w:val="003002FF"/>
    <w:rsid w:val="003007B2"/>
    <w:rsid w:val="003012CE"/>
    <w:rsid w:val="00301A10"/>
    <w:rsid w:val="00302053"/>
    <w:rsid w:val="00302146"/>
    <w:rsid w:val="00302194"/>
    <w:rsid w:val="003037C0"/>
    <w:rsid w:val="00303F08"/>
    <w:rsid w:val="00304520"/>
    <w:rsid w:val="00304E98"/>
    <w:rsid w:val="003059F1"/>
    <w:rsid w:val="0030653B"/>
    <w:rsid w:val="0030698E"/>
    <w:rsid w:val="00306F79"/>
    <w:rsid w:val="003073C5"/>
    <w:rsid w:val="0030741C"/>
    <w:rsid w:val="00307855"/>
    <w:rsid w:val="00310BDA"/>
    <w:rsid w:val="00310F25"/>
    <w:rsid w:val="003110B8"/>
    <w:rsid w:val="0031110D"/>
    <w:rsid w:val="00311871"/>
    <w:rsid w:val="00311DC6"/>
    <w:rsid w:val="0031325B"/>
    <w:rsid w:val="003137B1"/>
    <w:rsid w:val="0031405F"/>
    <w:rsid w:val="00314B6A"/>
    <w:rsid w:val="00314BCF"/>
    <w:rsid w:val="00315100"/>
    <w:rsid w:val="00315B4B"/>
    <w:rsid w:val="00315C2F"/>
    <w:rsid w:val="003166A9"/>
    <w:rsid w:val="0031679F"/>
    <w:rsid w:val="00316E13"/>
    <w:rsid w:val="0031716A"/>
    <w:rsid w:val="00317254"/>
    <w:rsid w:val="00317A1A"/>
    <w:rsid w:val="00320241"/>
    <w:rsid w:val="00320B18"/>
    <w:rsid w:val="00320C8C"/>
    <w:rsid w:val="003214CE"/>
    <w:rsid w:val="003217BE"/>
    <w:rsid w:val="0032182E"/>
    <w:rsid w:val="00321AF2"/>
    <w:rsid w:val="0032236E"/>
    <w:rsid w:val="0032250E"/>
    <w:rsid w:val="003231D6"/>
    <w:rsid w:val="0032329B"/>
    <w:rsid w:val="00323725"/>
    <w:rsid w:val="00323CC7"/>
    <w:rsid w:val="00323E94"/>
    <w:rsid w:val="00323F1A"/>
    <w:rsid w:val="003241F1"/>
    <w:rsid w:val="003245B8"/>
    <w:rsid w:val="00324B7C"/>
    <w:rsid w:val="0032616D"/>
    <w:rsid w:val="003262A8"/>
    <w:rsid w:val="00327081"/>
    <w:rsid w:val="00327AD6"/>
    <w:rsid w:val="0033001F"/>
    <w:rsid w:val="003317CA"/>
    <w:rsid w:val="00331F06"/>
    <w:rsid w:val="0033217F"/>
    <w:rsid w:val="003325F1"/>
    <w:rsid w:val="003329C3"/>
    <w:rsid w:val="00332DC7"/>
    <w:rsid w:val="00332FAF"/>
    <w:rsid w:val="0033422D"/>
    <w:rsid w:val="00334643"/>
    <w:rsid w:val="00336063"/>
    <w:rsid w:val="00336171"/>
    <w:rsid w:val="00337293"/>
    <w:rsid w:val="003379D9"/>
    <w:rsid w:val="00340233"/>
    <w:rsid w:val="003405F5"/>
    <w:rsid w:val="003409EE"/>
    <w:rsid w:val="003413A8"/>
    <w:rsid w:val="00342486"/>
    <w:rsid w:val="003432FA"/>
    <w:rsid w:val="0034365F"/>
    <w:rsid w:val="003437C6"/>
    <w:rsid w:val="00343F6F"/>
    <w:rsid w:val="0034446D"/>
    <w:rsid w:val="00344D8C"/>
    <w:rsid w:val="003459A8"/>
    <w:rsid w:val="00345B02"/>
    <w:rsid w:val="00345C6E"/>
    <w:rsid w:val="00346154"/>
    <w:rsid w:val="00346ED1"/>
    <w:rsid w:val="00347495"/>
    <w:rsid w:val="00347513"/>
    <w:rsid w:val="00347E78"/>
    <w:rsid w:val="00347F22"/>
    <w:rsid w:val="003501FD"/>
    <w:rsid w:val="00351186"/>
    <w:rsid w:val="003516A8"/>
    <w:rsid w:val="00351CCE"/>
    <w:rsid w:val="00352769"/>
    <w:rsid w:val="003527E5"/>
    <w:rsid w:val="00352FDD"/>
    <w:rsid w:val="003530D9"/>
    <w:rsid w:val="003532A3"/>
    <w:rsid w:val="00353B0A"/>
    <w:rsid w:val="0035498B"/>
    <w:rsid w:val="003554C0"/>
    <w:rsid w:val="00355574"/>
    <w:rsid w:val="00355A60"/>
    <w:rsid w:val="003569B5"/>
    <w:rsid w:val="00357E3F"/>
    <w:rsid w:val="0036057B"/>
    <w:rsid w:val="003609B2"/>
    <w:rsid w:val="00361034"/>
    <w:rsid w:val="00361469"/>
    <w:rsid w:val="00361986"/>
    <w:rsid w:val="00361D3F"/>
    <w:rsid w:val="00361FBE"/>
    <w:rsid w:val="0036238B"/>
    <w:rsid w:val="003632BC"/>
    <w:rsid w:val="0036343D"/>
    <w:rsid w:val="00363DB3"/>
    <w:rsid w:val="00363DD0"/>
    <w:rsid w:val="0036400F"/>
    <w:rsid w:val="003654BF"/>
    <w:rsid w:val="0036648A"/>
    <w:rsid w:val="00366780"/>
    <w:rsid w:val="00367296"/>
    <w:rsid w:val="00367A0B"/>
    <w:rsid w:val="00367ED2"/>
    <w:rsid w:val="00367EF5"/>
    <w:rsid w:val="00370161"/>
    <w:rsid w:val="00370D8B"/>
    <w:rsid w:val="00370EEE"/>
    <w:rsid w:val="00370F52"/>
    <w:rsid w:val="003710CA"/>
    <w:rsid w:val="00371287"/>
    <w:rsid w:val="0037139B"/>
    <w:rsid w:val="00371A1A"/>
    <w:rsid w:val="00371B53"/>
    <w:rsid w:val="00372011"/>
    <w:rsid w:val="003734EE"/>
    <w:rsid w:val="00374117"/>
    <w:rsid w:val="00374B2E"/>
    <w:rsid w:val="00374DED"/>
    <w:rsid w:val="00374E61"/>
    <w:rsid w:val="00375005"/>
    <w:rsid w:val="00375947"/>
    <w:rsid w:val="003760CA"/>
    <w:rsid w:val="00376323"/>
    <w:rsid w:val="003773C8"/>
    <w:rsid w:val="00377735"/>
    <w:rsid w:val="0038042C"/>
    <w:rsid w:val="00380A3C"/>
    <w:rsid w:val="00380E69"/>
    <w:rsid w:val="00380E77"/>
    <w:rsid w:val="00381031"/>
    <w:rsid w:val="003810AF"/>
    <w:rsid w:val="003817CB"/>
    <w:rsid w:val="00382C5D"/>
    <w:rsid w:val="00382C98"/>
    <w:rsid w:val="00382D65"/>
    <w:rsid w:val="00382FF4"/>
    <w:rsid w:val="00383DA1"/>
    <w:rsid w:val="0038550A"/>
    <w:rsid w:val="00386336"/>
    <w:rsid w:val="0038635C"/>
    <w:rsid w:val="00386617"/>
    <w:rsid w:val="003867B5"/>
    <w:rsid w:val="0038752E"/>
    <w:rsid w:val="00387A5A"/>
    <w:rsid w:val="00390646"/>
    <w:rsid w:val="00390C9B"/>
    <w:rsid w:val="00390D42"/>
    <w:rsid w:val="003913FF"/>
    <w:rsid w:val="003935E8"/>
    <w:rsid w:val="0039363F"/>
    <w:rsid w:val="003936B9"/>
    <w:rsid w:val="003938BB"/>
    <w:rsid w:val="00393B90"/>
    <w:rsid w:val="00396884"/>
    <w:rsid w:val="00396DA8"/>
    <w:rsid w:val="00396FA1"/>
    <w:rsid w:val="00397981"/>
    <w:rsid w:val="0039799D"/>
    <w:rsid w:val="00397D2C"/>
    <w:rsid w:val="003A022D"/>
    <w:rsid w:val="003A0581"/>
    <w:rsid w:val="003A0932"/>
    <w:rsid w:val="003A0B0D"/>
    <w:rsid w:val="003A0EBC"/>
    <w:rsid w:val="003A142D"/>
    <w:rsid w:val="003A19E6"/>
    <w:rsid w:val="003A1A1E"/>
    <w:rsid w:val="003A27F3"/>
    <w:rsid w:val="003A2BA0"/>
    <w:rsid w:val="003A2E8D"/>
    <w:rsid w:val="003A3681"/>
    <w:rsid w:val="003A3C8E"/>
    <w:rsid w:val="003A4000"/>
    <w:rsid w:val="003A40C3"/>
    <w:rsid w:val="003A4481"/>
    <w:rsid w:val="003A4B8E"/>
    <w:rsid w:val="003A5668"/>
    <w:rsid w:val="003A6650"/>
    <w:rsid w:val="003A6F58"/>
    <w:rsid w:val="003A732C"/>
    <w:rsid w:val="003A7746"/>
    <w:rsid w:val="003B0D1D"/>
    <w:rsid w:val="003B0FC5"/>
    <w:rsid w:val="003B1208"/>
    <w:rsid w:val="003B15BB"/>
    <w:rsid w:val="003B1653"/>
    <w:rsid w:val="003B1F73"/>
    <w:rsid w:val="003B2036"/>
    <w:rsid w:val="003B247C"/>
    <w:rsid w:val="003B287C"/>
    <w:rsid w:val="003B29E1"/>
    <w:rsid w:val="003B3007"/>
    <w:rsid w:val="003B4908"/>
    <w:rsid w:val="003B490B"/>
    <w:rsid w:val="003B509B"/>
    <w:rsid w:val="003B6D0E"/>
    <w:rsid w:val="003B7745"/>
    <w:rsid w:val="003B789C"/>
    <w:rsid w:val="003B7ED7"/>
    <w:rsid w:val="003C01C4"/>
    <w:rsid w:val="003C074F"/>
    <w:rsid w:val="003C0A39"/>
    <w:rsid w:val="003C0CD9"/>
    <w:rsid w:val="003C0EB0"/>
    <w:rsid w:val="003C12E8"/>
    <w:rsid w:val="003C1C3D"/>
    <w:rsid w:val="003C33D4"/>
    <w:rsid w:val="003C3CE6"/>
    <w:rsid w:val="003C4915"/>
    <w:rsid w:val="003C4D47"/>
    <w:rsid w:val="003C56C7"/>
    <w:rsid w:val="003C5C52"/>
    <w:rsid w:val="003C6486"/>
    <w:rsid w:val="003C6D0E"/>
    <w:rsid w:val="003C7688"/>
    <w:rsid w:val="003D0394"/>
    <w:rsid w:val="003D0751"/>
    <w:rsid w:val="003D0D59"/>
    <w:rsid w:val="003D1391"/>
    <w:rsid w:val="003D2161"/>
    <w:rsid w:val="003D27CF"/>
    <w:rsid w:val="003D3E73"/>
    <w:rsid w:val="003D4507"/>
    <w:rsid w:val="003D64F8"/>
    <w:rsid w:val="003D65DD"/>
    <w:rsid w:val="003D683E"/>
    <w:rsid w:val="003D79D3"/>
    <w:rsid w:val="003E0542"/>
    <w:rsid w:val="003E0B9F"/>
    <w:rsid w:val="003E0C7C"/>
    <w:rsid w:val="003E0E8D"/>
    <w:rsid w:val="003E11C3"/>
    <w:rsid w:val="003E1EF4"/>
    <w:rsid w:val="003E2019"/>
    <w:rsid w:val="003E2576"/>
    <w:rsid w:val="003E2874"/>
    <w:rsid w:val="003E2F16"/>
    <w:rsid w:val="003E32D4"/>
    <w:rsid w:val="003E36B0"/>
    <w:rsid w:val="003E37A1"/>
    <w:rsid w:val="003E3EED"/>
    <w:rsid w:val="003E436A"/>
    <w:rsid w:val="003E4602"/>
    <w:rsid w:val="003E60A1"/>
    <w:rsid w:val="003E61C3"/>
    <w:rsid w:val="003E61C9"/>
    <w:rsid w:val="003E64F1"/>
    <w:rsid w:val="003E67F9"/>
    <w:rsid w:val="003E6877"/>
    <w:rsid w:val="003E75C1"/>
    <w:rsid w:val="003F0277"/>
    <w:rsid w:val="003F046B"/>
    <w:rsid w:val="003F070E"/>
    <w:rsid w:val="003F0DF9"/>
    <w:rsid w:val="003F12AF"/>
    <w:rsid w:val="003F18CF"/>
    <w:rsid w:val="003F1FD6"/>
    <w:rsid w:val="003F22E7"/>
    <w:rsid w:val="003F3594"/>
    <w:rsid w:val="003F38E8"/>
    <w:rsid w:val="003F4DE4"/>
    <w:rsid w:val="003F4E24"/>
    <w:rsid w:val="003F4E3D"/>
    <w:rsid w:val="003F4E96"/>
    <w:rsid w:val="003F51DE"/>
    <w:rsid w:val="003F6CB9"/>
    <w:rsid w:val="003F6D3F"/>
    <w:rsid w:val="003F6D77"/>
    <w:rsid w:val="003F72E0"/>
    <w:rsid w:val="003F72F2"/>
    <w:rsid w:val="003F75C8"/>
    <w:rsid w:val="003F77BE"/>
    <w:rsid w:val="003F7B5D"/>
    <w:rsid w:val="003F7C6A"/>
    <w:rsid w:val="00400393"/>
    <w:rsid w:val="00400436"/>
    <w:rsid w:val="00400A4B"/>
    <w:rsid w:val="00401605"/>
    <w:rsid w:val="00402464"/>
    <w:rsid w:val="00402BE6"/>
    <w:rsid w:val="00402D68"/>
    <w:rsid w:val="00402D91"/>
    <w:rsid w:val="004030D0"/>
    <w:rsid w:val="0040328B"/>
    <w:rsid w:val="0040374F"/>
    <w:rsid w:val="004042DB"/>
    <w:rsid w:val="004044FC"/>
    <w:rsid w:val="00404632"/>
    <w:rsid w:val="00405BE6"/>
    <w:rsid w:val="00405D0F"/>
    <w:rsid w:val="004064FE"/>
    <w:rsid w:val="004066D6"/>
    <w:rsid w:val="00407431"/>
    <w:rsid w:val="0041094C"/>
    <w:rsid w:val="00411CB8"/>
    <w:rsid w:val="00411DDC"/>
    <w:rsid w:val="00411E5A"/>
    <w:rsid w:val="00412A45"/>
    <w:rsid w:val="00412BD9"/>
    <w:rsid w:val="00412D07"/>
    <w:rsid w:val="00412F8F"/>
    <w:rsid w:val="00413017"/>
    <w:rsid w:val="004131AD"/>
    <w:rsid w:val="00413C47"/>
    <w:rsid w:val="00414ABF"/>
    <w:rsid w:val="00414B15"/>
    <w:rsid w:val="00414D3A"/>
    <w:rsid w:val="00415098"/>
    <w:rsid w:val="0041533F"/>
    <w:rsid w:val="00415771"/>
    <w:rsid w:val="00416193"/>
    <w:rsid w:val="0041632B"/>
    <w:rsid w:val="00416C56"/>
    <w:rsid w:val="004175CD"/>
    <w:rsid w:val="00417708"/>
    <w:rsid w:val="00417B66"/>
    <w:rsid w:val="00417C8E"/>
    <w:rsid w:val="00420043"/>
    <w:rsid w:val="00420287"/>
    <w:rsid w:val="00420445"/>
    <w:rsid w:val="004204A3"/>
    <w:rsid w:val="004205B3"/>
    <w:rsid w:val="00421448"/>
    <w:rsid w:val="0042175C"/>
    <w:rsid w:val="004218CB"/>
    <w:rsid w:val="00421E08"/>
    <w:rsid w:val="0042236D"/>
    <w:rsid w:val="0042347F"/>
    <w:rsid w:val="004238F0"/>
    <w:rsid w:val="00423D11"/>
    <w:rsid w:val="00423FF0"/>
    <w:rsid w:val="0042469E"/>
    <w:rsid w:val="00424C2D"/>
    <w:rsid w:val="00425014"/>
    <w:rsid w:val="0042540E"/>
    <w:rsid w:val="004254AE"/>
    <w:rsid w:val="00425BAA"/>
    <w:rsid w:val="0042615D"/>
    <w:rsid w:val="00430278"/>
    <w:rsid w:val="004305D4"/>
    <w:rsid w:val="00430F1D"/>
    <w:rsid w:val="00431190"/>
    <w:rsid w:val="00431E7C"/>
    <w:rsid w:val="0043270E"/>
    <w:rsid w:val="00432BEE"/>
    <w:rsid w:val="004334D9"/>
    <w:rsid w:val="00434336"/>
    <w:rsid w:val="0043472C"/>
    <w:rsid w:val="004357F7"/>
    <w:rsid w:val="00435A98"/>
    <w:rsid w:val="00436C29"/>
    <w:rsid w:val="00436D7A"/>
    <w:rsid w:val="00436FE4"/>
    <w:rsid w:val="00437689"/>
    <w:rsid w:val="004379AD"/>
    <w:rsid w:val="00437D19"/>
    <w:rsid w:val="0044076A"/>
    <w:rsid w:val="00440A71"/>
    <w:rsid w:val="00440C28"/>
    <w:rsid w:val="00440E58"/>
    <w:rsid w:val="00440F95"/>
    <w:rsid w:val="0044156E"/>
    <w:rsid w:val="00441848"/>
    <w:rsid w:val="004420AF"/>
    <w:rsid w:val="0044225D"/>
    <w:rsid w:val="004423DF"/>
    <w:rsid w:val="00443032"/>
    <w:rsid w:val="00443443"/>
    <w:rsid w:val="0044382A"/>
    <w:rsid w:val="00443949"/>
    <w:rsid w:val="00443C05"/>
    <w:rsid w:val="00444832"/>
    <w:rsid w:val="00444854"/>
    <w:rsid w:val="00446FF8"/>
    <w:rsid w:val="004476A7"/>
    <w:rsid w:val="0044798F"/>
    <w:rsid w:val="00447B00"/>
    <w:rsid w:val="004502BA"/>
    <w:rsid w:val="004505F8"/>
    <w:rsid w:val="00452318"/>
    <w:rsid w:val="00452559"/>
    <w:rsid w:val="004528D2"/>
    <w:rsid w:val="00452BDA"/>
    <w:rsid w:val="0045313B"/>
    <w:rsid w:val="00453835"/>
    <w:rsid w:val="00453B39"/>
    <w:rsid w:val="00453D50"/>
    <w:rsid w:val="004541FF"/>
    <w:rsid w:val="00455704"/>
    <w:rsid w:val="00455A18"/>
    <w:rsid w:val="00455C05"/>
    <w:rsid w:val="004563AF"/>
    <w:rsid w:val="00456B6C"/>
    <w:rsid w:val="00457503"/>
    <w:rsid w:val="00457C80"/>
    <w:rsid w:val="00457E68"/>
    <w:rsid w:val="0046040B"/>
    <w:rsid w:val="00460687"/>
    <w:rsid w:val="00461010"/>
    <w:rsid w:val="00461467"/>
    <w:rsid w:val="004617F4"/>
    <w:rsid w:val="00461BC3"/>
    <w:rsid w:val="00461BDC"/>
    <w:rsid w:val="004621FE"/>
    <w:rsid w:val="00462A53"/>
    <w:rsid w:val="00462C92"/>
    <w:rsid w:val="0046306C"/>
    <w:rsid w:val="0046326E"/>
    <w:rsid w:val="00463B09"/>
    <w:rsid w:val="00463E5E"/>
    <w:rsid w:val="0046403D"/>
    <w:rsid w:val="0046417E"/>
    <w:rsid w:val="00464D6C"/>
    <w:rsid w:val="00464DC0"/>
    <w:rsid w:val="00464E56"/>
    <w:rsid w:val="00465D2E"/>
    <w:rsid w:val="00465DFE"/>
    <w:rsid w:val="004660EA"/>
    <w:rsid w:val="004666F5"/>
    <w:rsid w:val="00466B44"/>
    <w:rsid w:val="00467297"/>
    <w:rsid w:val="00467C75"/>
    <w:rsid w:val="0047020D"/>
    <w:rsid w:val="004702C9"/>
    <w:rsid w:val="00470A1F"/>
    <w:rsid w:val="00470ADE"/>
    <w:rsid w:val="00470DD0"/>
    <w:rsid w:val="00472692"/>
    <w:rsid w:val="0047280B"/>
    <w:rsid w:val="0047371F"/>
    <w:rsid w:val="00473FD7"/>
    <w:rsid w:val="0047419F"/>
    <w:rsid w:val="0047425E"/>
    <w:rsid w:val="00475654"/>
    <w:rsid w:val="00476250"/>
    <w:rsid w:val="00477441"/>
    <w:rsid w:val="00477B72"/>
    <w:rsid w:val="0048021D"/>
    <w:rsid w:val="00480434"/>
    <w:rsid w:val="004805F9"/>
    <w:rsid w:val="00480A9C"/>
    <w:rsid w:val="00481299"/>
    <w:rsid w:val="004826A3"/>
    <w:rsid w:val="004827C3"/>
    <w:rsid w:val="0048288E"/>
    <w:rsid w:val="00482A3B"/>
    <w:rsid w:val="004837AA"/>
    <w:rsid w:val="00483E99"/>
    <w:rsid w:val="0048444C"/>
    <w:rsid w:val="00485431"/>
    <w:rsid w:val="00485900"/>
    <w:rsid w:val="00485B34"/>
    <w:rsid w:val="00485CB1"/>
    <w:rsid w:val="004867B9"/>
    <w:rsid w:val="00486AA2"/>
    <w:rsid w:val="00487375"/>
    <w:rsid w:val="004879EE"/>
    <w:rsid w:val="004904BD"/>
    <w:rsid w:val="00490D8F"/>
    <w:rsid w:val="00491482"/>
    <w:rsid w:val="00491C48"/>
    <w:rsid w:val="0049213C"/>
    <w:rsid w:val="004927A0"/>
    <w:rsid w:val="00492930"/>
    <w:rsid w:val="00492B9C"/>
    <w:rsid w:val="00492E74"/>
    <w:rsid w:val="00493528"/>
    <w:rsid w:val="00494608"/>
    <w:rsid w:val="00494B16"/>
    <w:rsid w:val="00494FD7"/>
    <w:rsid w:val="00495944"/>
    <w:rsid w:val="00495CFC"/>
    <w:rsid w:val="004961EC"/>
    <w:rsid w:val="00496AB7"/>
    <w:rsid w:val="00497D13"/>
    <w:rsid w:val="00497D33"/>
    <w:rsid w:val="004A0235"/>
    <w:rsid w:val="004A1078"/>
    <w:rsid w:val="004A1233"/>
    <w:rsid w:val="004A1725"/>
    <w:rsid w:val="004A17DA"/>
    <w:rsid w:val="004A1BA8"/>
    <w:rsid w:val="004A2CA9"/>
    <w:rsid w:val="004A41CB"/>
    <w:rsid w:val="004A4673"/>
    <w:rsid w:val="004A4AF5"/>
    <w:rsid w:val="004A5560"/>
    <w:rsid w:val="004A6B78"/>
    <w:rsid w:val="004A6E29"/>
    <w:rsid w:val="004A76A1"/>
    <w:rsid w:val="004A7D52"/>
    <w:rsid w:val="004B03CB"/>
    <w:rsid w:val="004B07DF"/>
    <w:rsid w:val="004B0943"/>
    <w:rsid w:val="004B0F26"/>
    <w:rsid w:val="004B1F41"/>
    <w:rsid w:val="004B2742"/>
    <w:rsid w:val="004B2E60"/>
    <w:rsid w:val="004B3394"/>
    <w:rsid w:val="004B3500"/>
    <w:rsid w:val="004B3F26"/>
    <w:rsid w:val="004B4092"/>
    <w:rsid w:val="004B40D7"/>
    <w:rsid w:val="004B4192"/>
    <w:rsid w:val="004B48CE"/>
    <w:rsid w:val="004B5553"/>
    <w:rsid w:val="004B5CEA"/>
    <w:rsid w:val="004B5FDA"/>
    <w:rsid w:val="004B61A5"/>
    <w:rsid w:val="004B6E5E"/>
    <w:rsid w:val="004B7281"/>
    <w:rsid w:val="004B7372"/>
    <w:rsid w:val="004C031F"/>
    <w:rsid w:val="004C0469"/>
    <w:rsid w:val="004C068E"/>
    <w:rsid w:val="004C076A"/>
    <w:rsid w:val="004C08A0"/>
    <w:rsid w:val="004C09D0"/>
    <w:rsid w:val="004C0AB6"/>
    <w:rsid w:val="004C0C18"/>
    <w:rsid w:val="004C1221"/>
    <w:rsid w:val="004C146D"/>
    <w:rsid w:val="004C1FA3"/>
    <w:rsid w:val="004C2156"/>
    <w:rsid w:val="004C2AC9"/>
    <w:rsid w:val="004C2BA4"/>
    <w:rsid w:val="004C2D0D"/>
    <w:rsid w:val="004C2DA2"/>
    <w:rsid w:val="004C3573"/>
    <w:rsid w:val="004C3661"/>
    <w:rsid w:val="004C3B8C"/>
    <w:rsid w:val="004C40B6"/>
    <w:rsid w:val="004C40C7"/>
    <w:rsid w:val="004C4189"/>
    <w:rsid w:val="004C4959"/>
    <w:rsid w:val="004C4C23"/>
    <w:rsid w:val="004C4E36"/>
    <w:rsid w:val="004C5379"/>
    <w:rsid w:val="004C5C45"/>
    <w:rsid w:val="004C5EA3"/>
    <w:rsid w:val="004C6991"/>
    <w:rsid w:val="004C6B00"/>
    <w:rsid w:val="004C6B23"/>
    <w:rsid w:val="004C6BC7"/>
    <w:rsid w:val="004C7718"/>
    <w:rsid w:val="004C7B1A"/>
    <w:rsid w:val="004C7EB2"/>
    <w:rsid w:val="004D0310"/>
    <w:rsid w:val="004D0421"/>
    <w:rsid w:val="004D0A8E"/>
    <w:rsid w:val="004D0B8D"/>
    <w:rsid w:val="004D1154"/>
    <w:rsid w:val="004D26FF"/>
    <w:rsid w:val="004D2EB4"/>
    <w:rsid w:val="004D3193"/>
    <w:rsid w:val="004D3406"/>
    <w:rsid w:val="004D3796"/>
    <w:rsid w:val="004D3BF1"/>
    <w:rsid w:val="004D3D5C"/>
    <w:rsid w:val="004D6A48"/>
    <w:rsid w:val="004D7280"/>
    <w:rsid w:val="004D72A8"/>
    <w:rsid w:val="004D7484"/>
    <w:rsid w:val="004D7973"/>
    <w:rsid w:val="004E07C1"/>
    <w:rsid w:val="004E07C4"/>
    <w:rsid w:val="004E1577"/>
    <w:rsid w:val="004E1BEC"/>
    <w:rsid w:val="004E1DF2"/>
    <w:rsid w:val="004E1EC0"/>
    <w:rsid w:val="004E2588"/>
    <w:rsid w:val="004E2685"/>
    <w:rsid w:val="004E32F8"/>
    <w:rsid w:val="004E408D"/>
    <w:rsid w:val="004E42B9"/>
    <w:rsid w:val="004E4693"/>
    <w:rsid w:val="004E474A"/>
    <w:rsid w:val="004E4964"/>
    <w:rsid w:val="004E4DFD"/>
    <w:rsid w:val="004E5B5E"/>
    <w:rsid w:val="004E5B8C"/>
    <w:rsid w:val="004E647E"/>
    <w:rsid w:val="004E7035"/>
    <w:rsid w:val="004E71C3"/>
    <w:rsid w:val="004E725A"/>
    <w:rsid w:val="004E779A"/>
    <w:rsid w:val="004E7B81"/>
    <w:rsid w:val="004F088C"/>
    <w:rsid w:val="004F0C9A"/>
    <w:rsid w:val="004F0D80"/>
    <w:rsid w:val="004F187D"/>
    <w:rsid w:val="004F3124"/>
    <w:rsid w:val="004F4402"/>
    <w:rsid w:val="004F54B3"/>
    <w:rsid w:val="004F566B"/>
    <w:rsid w:val="004F5D1D"/>
    <w:rsid w:val="004F5F98"/>
    <w:rsid w:val="004F6F8B"/>
    <w:rsid w:val="004F6FC2"/>
    <w:rsid w:val="004F7254"/>
    <w:rsid w:val="004F7D98"/>
    <w:rsid w:val="00500C69"/>
    <w:rsid w:val="0050124D"/>
    <w:rsid w:val="005012C0"/>
    <w:rsid w:val="0050134C"/>
    <w:rsid w:val="005014F5"/>
    <w:rsid w:val="0050184D"/>
    <w:rsid w:val="00502861"/>
    <w:rsid w:val="00502A6D"/>
    <w:rsid w:val="00502D63"/>
    <w:rsid w:val="00503447"/>
    <w:rsid w:val="00503750"/>
    <w:rsid w:val="00503941"/>
    <w:rsid w:val="00503952"/>
    <w:rsid w:val="00503C3B"/>
    <w:rsid w:val="0050428D"/>
    <w:rsid w:val="00504691"/>
    <w:rsid w:val="005056D7"/>
    <w:rsid w:val="00505A53"/>
    <w:rsid w:val="00505B30"/>
    <w:rsid w:val="00505EF8"/>
    <w:rsid w:val="0050623D"/>
    <w:rsid w:val="00506EFF"/>
    <w:rsid w:val="0050734A"/>
    <w:rsid w:val="00510023"/>
    <w:rsid w:val="00510863"/>
    <w:rsid w:val="00510E6B"/>
    <w:rsid w:val="005113AD"/>
    <w:rsid w:val="00512231"/>
    <w:rsid w:val="00512C66"/>
    <w:rsid w:val="0051323B"/>
    <w:rsid w:val="0051333D"/>
    <w:rsid w:val="0051386E"/>
    <w:rsid w:val="00513B71"/>
    <w:rsid w:val="00513D0F"/>
    <w:rsid w:val="0051468D"/>
    <w:rsid w:val="0051494D"/>
    <w:rsid w:val="00514C6C"/>
    <w:rsid w:val="00514F96"/>
    <w:rsid w:val="0051518E"/>
    <w:rsid w:val="005152BC"/>
    <w:rsid w:val="0051542A"/>
    <w:rsid w:val="00516FD6"/>
    <w:rsid w:val="00517A19"/>
    <w:rsid w:val="005207E0"/>
    <w:rsid w:val="00521127"/>
    <w:rsid w:val="005211B2"/>
    <w:rsid w:val="005227A3"/>
    <w:rsid w:val="00522C42"/>
    <w:rsid w:val="00522D42"/>
    <w:rsid w:val="00522F55"/>
    <w:rsid w:val="00523275"/>
    <w:rsid w:val="00523A49"/>
    <w:rsid w:val="00523A52"/>
    <w:rsid w:val="00524F8D"/>
    <w:rsid w:val="00525331"/>
    <w:rsid w:val="00525945"/>
    <w:rsid w:val="00525B84"/>
    <w:rsid w:val="00526192"/>
    <w:rsid w:val="005262A9"/>
    <w:rsid w:val="005262E4"/>
    <w:rsid w:val="005264BD"/>
    <w:rsid w:val="00526E20"/>
    <w:rsid w:val="00526EA2"/>
    <w:rsid w:val="00527102"/>
    <w:rsid w:val="005273FC"/>
    <w:rsid w:val="00527595"/>
    <w:rsid w:val="005276F9"/>
    <w:rsid w:val="0052771A"/>
    <w:rsid w:val="00530B59"/>
    <w:rsid w:val="00530E88"/>
    <w:rsid w:val="0053112F"/>
    <w:rsid w:val="00531385"/>
    <w:rsid w:val="00531520"/>
    <w:rsid w:val="005316B6"/>
    <w:rsid w:val="00531952"/>
    <w:rsid w:val="00531B8F"/>
    <w:rsid w:val="00532930"/>
    <w:rsid w:val="00532984"/>
    <w:rsid w:val="00533040"/>
    <w:rsid w:val="00533E8B"/>
    <w:rsid w:val="00534BFA"/>
    <w:rsid w:val="005356ED"/>
    <w:rsid w:val="005364A3"/>
    <w:rsid w:val="00536AE4"/>
    <w:rsid w:val="00536F52"/>
    <w:rsid w:val="0053761C"/>
    <w:rsid w:val="005378B0"/>
    <w:rsid w:val="00537EB3"/>
    <w:rsid w:val="00537EFC"/>
    <w:rsid w:val="005402D7"/>
    <w:rsid w:val="0054056E"/>
    <w:rsid w:val="00540573"/>
    <w:rsid w:val="00540E91"/>
    <w:rsid w:val="00541D5C"/>
    <w:rsid w:val="005422D6"/>
    <w:rsid w:val="00542554"/>
    <w:rsid w:val="00542591"/>
    <w:rsid w:val="00542D05"/>
    <w:rsid w:val="00543CEA"/>
    <w:rsid w:val="0054437F"/>
    <w:rsid w:val="005446DE"/>
    <w:rsid w:val="00544718"/>
    <w:rsid w:val="00544765"/>
    <w:rsid w:val="00544FA1"/>
    <w:rsid w:val="005460EA"/>
    <w:rsid w:val="005467F0"/>
    <w:rsid w:val="0054695B"/>
    <w:rsid w:val="00546F15"/>
    <w:rsid w:val="005477A2"/>
    <w:rsid w:val="0055013D"/>
    <w:rsid w:val="00550320"/>
    <w:rsid w:val="005504A5"/>
    <w:rsid w:val="00550E46"/>
    <w:rsid w:val="00551243"/>
    <w:rsid w:val="00551769"/>
    <w:rsid w:val="005519B7"/>
    <w:rsid w:val="00551C9A"/>
    <w:rsid w:val="00551F12"/>
    <w:rsid w:val="0055235B"/>
    <w:rsid w:val="00553974"/>
    <w:rsid w:val="005539AE"/>
    <w:rsid w:val="00554650"/>
    <w:rsid w:val="00554FF2"/>
    <w:rsid w:val="0055560D"/>
    <w:rsid w:val="005559E9"/>
    <w:rsid w:val="00555A4F"/>
    <w:rsid w:val="005570BE"/>
    <w:rsid w:val="00557940"/>
    <w:rsid w:val="00557D62"/>
    <w:rsid w:val="00557EF0"/>
    <w:rsid w:val="005607B9"/>
    <w:rsid w:val="00560B85"/>
    <w:rsid w:val="0056233B"/>
    <w:rsid w:val="00562A51"/>
    <w:rsid w:val="00562B73"/>
    <w:rsid w:val="00562D96"/>
    <w:rsid w:val="005642F4"/>
    <w:rsid w:val="00564313"/>
    <w:rsid w:val="00564978"/>
    <w:rsid w:val="00564CC4"/>
    <w:rsid w:val="00564EBB"/>
    <w:rsid w:val="00565D6A"/>
    <w:rsid w:val="00566A8C"/>
    <w:rsid w:val="00566C7E"/>
    <w:rsid w:val="0056717F"/>
    <w:rsid w:val="00567253"/>
    <w:rsid w:val="00567530"/>
    <w:rsid w:val="00567B17"/>
    <w:rsid w:val="00567F19"/>
    <w:rsid w:val="00570B82"/>
    <w:rsid w:val="00570E53"/>
    <w:rsid w:val="005718A0"/>
    <w:rsid w:val="005720E6"/>
    <w:rsid w:val="005724C3"/>
    <w:rsid w:val="005729C7"/>
    <w:rsid w:val="00572E82"/>
    <w:rsid w:val="00572F77"/>
    <w:rsid w:val="00572FA9"/>
    <w:rsid w:val="0057357B"/>
    <w:rsid w:val="00573718"/>
    <w:rsid w:val="00574403"/>
    <w:rsid w:val="00574EA9"/>
    <w:rsid w:val="005753A1"/>
    <w:rsid w:val="0057587C"/>
    <w:rsid w:val="005760AF"/>
    <w:rsid w:val="00576987"/>
    <w:rsid w:val="005774CE"/>
    <w:rsid w:val="00577A7B"/>
    <w:rsid w:val="00580127"/>
    <w:rsid w:val="00580B39"/>
    <w:rsid w:val="005812A5"/>
    <w:rsid w:val="005815F1"/>
    <w:rsid w:val="00581DBF"/>
    <w:rsid w:val="00582527"/>
    <w:rsid w:val="0058326E"/>
    <w:rsid w:val="00583329"/>
    <w:rsid w:val="005834B1"/>
    <w:rsid w:val="0058352B"/>
    <w:rsid w:val="005838B7"/>
    <w:rsid w:val="00583A41"/>
    <w:rsid w:val="00584737"/>
    <w:rsid w:val="00585028"/>
    <w:rsid w:val="00586B32"/>
    <w:rsid w:val="00587440"/>
    <w:rsid w:val="00587679"/>
    <w:rsid w:val="0059015E"/>
    <w:rsid w:val="00590396"/>
    <w:rsid w:val="00590661"/>
    <w:rsid w:val="00591271"/>
    <w:rsid w:val="005919CC"/>
    <w:rsid w:val="00591F58"/>
    <w:rsid w:val="005923E7"/>
    <w:rsid w:val="00592611"/>
    <w:rsid w:val="005926FF"/>
    <w:rsid w:val="005927B6"/>
    <w:rsid w:val="00592ED9"/>
    <w:rsid w:val="00592FDE"/>
    <w:rsid w:val="00592FE6"/>
    <w:rsid w:val="005931E4"/>
    <w:rsid w:val="00593A13"/>
    <w:rsid w:val="005954D3"/>
    <w:rsid w:val="00595AF1"/>
    <w:rsid w:val="00596199"/>
    <w:rsid w:val="005972F4"/>
    <w:rsid w:val="005A00B2"/>
    <w:rsid w:val="005A0A00"/>
    <w:rsid w:val="005A0ADC"/>
    <w:rsid w:val="005A0BC1"/>
    <w:rsid w:val="005A16EB"/>
    <w:rsid w:val="005A2B90"/>
    <w:rsid w:val="005A2D77"/>
    <w:rsid w:val="005A2E40"/>
    <w:rsid w:val="005A38A2"/>
    <w:rsid w:val="005A39D0"/>
    <w:rsid w:val="005A3D43"/>
    <w:rsid w:val="005A4010"/>
    <w:rsid w:val="005A4CC6"/>
    <w:rsid w:val="005A564F"/>
    <w:rsid w:val="005A5F5E"/>
    <w:rsid w:val="005A642E"/>
    <w:rsid w:val="005A7722"/>
    <w:rsid w:val="005B009E"/>
    <w:rsid w:val="005B0659"/>
    <w:rsid w:val="005B0933"/>
    <w:rsid w:val="005B0A49"/>
    <w:rsid w:val="005B0F48"/>
    <w:rsid w:val="005B1BC4"/>
    <w:rsid w:val="005B1D52"/>
    <w:rsid w:val="005B2922"/>
    <w:rsid w:val="005B2F71"/>
    <w:rsid w:val="005B2F76"/>
    <w:rsid w:val="005B3624"/>
    <w:rsid w:val="005B3903"/>
    <w:rsid w:val="005B3B25"/>
    <w:rsid w:val="005B3EC6"/>
    <w:rsid w:val="005B4B4D"/>
    <w:rsid w:val="005B4E81"/>
    <w:rsid w:val="005B56E2"/>
    <w:rsid w:val="005B57A3"/>
    <w:rsid w:val="005B5A51"/>
    <w:rsid w:val="005B5EE5"/>
    <w:rsid w:val="005B665B"/>
    <w:rsid w:val="005B69B1"/>
    <w:rsid w:val="005B7EC4"/>
    <w:rsid w:val="005C0398"/>
    <w:rsid w:val="005C0588"/>
    <w:rsid w:val="005C0D9C"/>
    <w:rsid w:val="005C105E"/>
    <w:rsid w:val="005C1082"/>
    <w:rsid w:val="005C110C"/>
    <w:rsid w:val="005C1434"/>
    <w:rsid w:val="005C20F3"/>
    <w:rsid w:val="005C2A50"/>
    <w:rsid w:val="005C3502"/>
    <w:rsid w:val="005C4E45"/>
    <w:rsid w:val="005C4F27"/>
    <w:rsid w:val="005C5203"/>
    <w:rsid w:val="005C560C"/>
    <w:rsid w:val="005C5697"/>
    <w:rsid w:val="005C7158"/>
    <w:rsid w:val="005C75C9"/>
    <w:rsid w:val="005D0527"/>
    <w:rsid w:val="005D08B8"/>
    <w:rsid w:val="005D0D84"/>
    <w:rsid w:val="005D1278"/>
    <w:rsid w:val="005D1A73"/>
    <w:rsid w:val="005D4151"/>
    <w:rsid w:val="005D4DB0"/>
    <w:rsid w:val="005D5494"/>
    <w:rsid w:val="005D6267"/>
    <w:rsid w:val="005D6FF9"/>
    <w:rsid w:val="005D77BD"/>
    <w:rsid w:val="005E0230"/>
    <w:rsid w:val="005E04B5"/>
    <w:rsid w:val="005E05E5"/>
    <w:rsid w:val="005E0A06"/>
    <w:rsid w:val="005E0AB8"/>
    <w:rsid w:val="005E0CC2"/>
    <w:rsid w:val="005E199B"/>
    <w:rsid w:val="005E1E7B"/>
    <w:rsid w:val="005E2246"/>
    <w:rsid w:val="005E2660"/>
    <w:rsid w:val="005E273B"/>
    <w:rsid w:val="005E2CCA"/>
    <w:rsid w:val="005E30C8"/>
    <w:rsid w:val="005E44FA"/>
    <w:rsid w:val="005E50A8"/>
    <w:rsid w:val="005E687F"/>
    <w:rsid w:val="005E7C04"/>
    <w:rsid w:val="005F061D"/>
    <w:rsid w:val="005F0C85"/>
    <w:rsid w:val="005F0CDE"/>
    <w:rsid w:val="005F0FFB"/>
    <w:rsid w:val="005F1E84"/>
    <w:rsid w:val="005F20B1"/>
    <w:rsid w:val="005F2181"/>
    <w:rsid w:val="005F2A54"/>
    <w:rsid w:val="005F33D8"/>
    <w:rsid w:val="005F3755"/>
    <w:rsid w:val="005F37A5"/>
    <w:rsid w:val="005F3C9F"/>
    <w:rsid w:val="005F49F6"/>
    <w:rsid w:val="005F4C42"/>
    <w:rsid w:val="005F4CA5"/>
    <w:rsid w:val="005F543F"/>
    <w:rsid w:val="005F5D8A"/>
    <w:rsid w:val="005F5D8E"/>
    <w:rsid w:val="005F5E17"/>
    <w:rsid w:val="005F63B8"/>
    <w:rsid w:val="005F63C4"/>
    <w:rsid w:val="005F6C7F"/>
    <w:rsid w:val="005F7203"/>
    <w:rsid w:val="005F7485"/>
    <w:rsid w:val="005F7753"/>
    <w:rsid w:val="00600F1B"/>
    <w:rsid w:val="00601D92"/>
    <w:rsid w:val="00601E41"/>
    <w:rsid w:val="00602760"/>
    <w:rsid w:val="0060284B"/>
    <w:rsid w:val="006037AB"/>
    <w:rsid w:val="0060403D"/>
    <w:rsid w:val="0060510F"/>
    <w:rsid w:val="00605650"/>
    <w:rsid w:val="00605772"/>
    <w:rsid w:val="006061D6"/>
    <w:rsid w:val="00607113"/>
    <w:rsid w:val="00607473"/>
    <w:rsid w:val="00607D7B"/>
    <w:rsid w:val="006101EC"/>
    <w:rsid w:val="00610D3B"/>
    <w:rsid w:val="006110B9"/>
    <w:rsid w:val="00612F76"/>
    <w:rsid w:val="006134F1"/>
    <w:rsid w:val="006136B6"/>
    <w:rsid w:val="006138C2"/>
    <w:rsid w:val="0061444E"/>
    <w:rsid w:val="0061463F"/>
    <w:rsid w:val="00614EF9"/>
    <w:rsid w:val="006165E7"/>
    <w:rsid w:val="0061681B"/>
    <w:rsid w:val="00616F79"/>
    <w:rsid w:val="006177A1"/>
    <w:rsid w:val="00617A2C"/>
    <w:rsid w:val="00620A0C"/>
    <w:rsid w:val="0062143E"/>
    <w:rsid w:val="0062268C"/>
    <w:rsid w:val="006229AA"/>
    <w:rsid w:val="00622F5C"/>
    <w:rsid w:val="006235C4"/>
    <w:rsid w:val="006235D8"/>
    <w:rsid w:val="0062383D"/>
    <w:rsid w:val="00623A07"/>
    <w:rsid w:val="00624315"/>
    <w:rsid w:val="00624D07"/>
    <w:rsid w:val="00624DE8"/>
    <w:rsid w:val="00625674"/>
    <w:rsid w:val="00625684"/>
    <w:rsid w:val="00625B88"/>
    <w:rsid w:val="00625CFB"/>
    <w:rsid w:val="00625E35"/>
    <w:rsid w:val="006261F5"/>
    <w:rsid w:val="00626C02"/>
    <w:rsid w:val="00626E5C"/>
    <w:rsid w:val="0062715B"/>
    <w:rsid w:val="00627DAF"/>
    <w:rsid w:val="00630BAC"/>
    <w:rsid w:val="00630BDC"/>
    <w:rsid w:val="0063110C"/>
    <w:rsid w:val="006311CE"/>
    <w:rsid w:val="006312D5"/>
    <w:rsid w:val="00631481"/>
    <w:rsid w:val="00631FF2"/>
    <w:rsid w:val="0063224C"/>
    <w:rsid w:val="00632EAC"/>
    <w:rsid w:val="00632F91"/>
    <w:rsid w:val="00633E0D"/>
    <w:rsid w:val="0063422C"/>
    <w:rsid w:val="006344F8"/>
    <w:rsid w:val="0063489F"/>
    <w:rsid w:val="006348B6"/>
    <w:rsid w:val="006348B8"/>
    <w:rsid w:val="00634A5D"/>
    <w:rsid w:val="00635682"/>
    <w:rsid w:val="006358AE"/>
    <w:rsid w:val="00635A2D"/>
    <w:rsid w:val="0063668C"/>
    <w:rsid w:val="006368F7"/>
    <w:rsid w:val="00636944"/>
    <w:rsid w:val="00636B55"/>
    <w:rsid w:val="00636C61"/>
    <w:rsid w:val="006373ED"/>
    <w:rsid w:val="00637493"/>
    <w:rsid w:val="00637967"/>
    <w:rsid w:val="00637B66"/>
    <w:rsid w:val="00637E06"/>
    <w:rsid w:val="00640589"/>
    <w:rsid w:val="006412B0"/>
    <w:rsid w:val="006417AE"/>
    <w:rsid w:val="00641F85"/>
    <w:rsid w:val="00642731"/>
    <w:rsid w:val="00642870"/>
    <w:rsid w:val="00642EEE"/>
    <w:rsid w:val="0064383B"/>
    <w:rsid w:val="00643891"/>
    <w:rsid w:val="00643A2A"/>
    <w:rsid w:val="006443E3"/>
    <w:rsid w:val="00644499"/>
    <w:rsid w:val="0064482E"/>
    <w:rsid w:val="0064535F"/>
    <w:rsid w:val="006461CE"/>
    <w:rsid w:val="006462DB"/>
    <w:rsid w:val="006468BB"/>
    <w:rsid w:val="00647767"/>
    <w:rsid w:val="006501C2"/>
    <w:rsid w:val="00650EAA"/>
    <w:rsid w:val="00651C20"/>
    <w:rsid w:val="0065276A"/>
    <w:rsid w:val="00652998"/>
    <w:rsid w:val="00652B7E"/>
    <w:rsid w:val="00652FC8"/>
    <w:rsid w:val="00654441"/>
    <w:rsid w:val="00654D4A"/>
    <w:rsid w:val="00655A73"/>
    <w:rsid w:val="00655C7B"/>
    <w:rsid w:val="00655EA0"/>
    <w:rsid w:val="00656CDB"/>
    <w:rsid w:val="00656DD1"/>
    <w:rsid w:val="00657DF3"/>
    <w:rsid w:val="00660347"/>
    <w:rsid w:val="00660FFD"/>
    <w:rsid w:val="00661D41"/>
    <w:rsid w:val="0066205D"/>
    <w:rsid w:val="00663026"/>
    <w:rsid w:val="00663112"/>
    <w:rsid w:val="00663CAD"/>
    <w:rsid w:val="00664453"/>
    <w:rsid w:val="00664ADF"/>
    <w:rsid w:val="0066505D"/>
    <w:rsid w:val="006655F7"/>
    <w:rsid w:val="006656B4"/>
    <w:rsid w:val="00665C19"/>
    <w:rsid w:val="006660AE"/>
    <w:rsid w:val="00666B65"/>
    <w:rsid w:val="00666C65"/>
    <w:rsid w:val="00666EC5"/>
    <w:rsid w:val="00666F3C"/>
    <w:rsid w:val="0066717D"/>
    <w:rsid w:val="00667772"/>
    <w:rsid w:val="0066790E"/>
    <w:rsid w:val="00670891"/>
    <w:rsid w:val="00671F70"/>
    <w:rsid w:val="00672956"/>
    <w:rsid w:val="006732B0"/>
    <w:rsid w:val="006734B0"/>
    <w:rsid w:val="0067366E"/>
    <w:rsid w:val="0067381A"/>
    <w:rsid w:val="00673909"/>
    <w:rsid w:val="006753D6"/>
    <w:rsid w:val="0067564A"/>
    <w:rsid w:val="00675842"/>
    <w:rsid w:val="00675E97"/>
    <w:rsid w:val="00675FD2"/>
    <w:rsid w:val="00676552"/>
    <w:rsid w:val="00676869"/>
    <w:rsid w:val="00676E77"/>
    <w:rsid w:val="00677755"/>
    <w:rsid w:val="00677DFC"/>
    <w:rsid w:val="00677F37"/>
    <w:rsid w:val="0068064E"/>
    <w:rsid w:val="0068092F"/>
    <w:rsid w:val="00680A9F"/>
    <w:rsid w:val="00680DEA"/>
    <w:rsid w:val="006811F6"/>
    <w:rsid w:val="0068148F"/>
    <w:rsid w:val="0068158B"/>
    <w:rsid w:val="00681B0D"/>
    <w:rsid w:val="00681C95"/>
    <w:rsid w:val="006823EA"/>
    <w:rsid w:val="00682A8B"/>
    <w:rsid w:val="00682AAD"/>
    <w:rsid w:val="00682D13"/>
    <w:rsid w:val="006832E6"/>
    <w:rsid w:val="0068424C"/>
    <w:rsid w:val="00684A34"/>
    <w:rsid w:val="00684E7E"/>
    <w:rsid w:val="006854E7"/>
    <w:rsid w:val="006854F4"/>
    <w:rsid w:val="00686C5D"/>
    <w:rsid w:val="00686E78"/>
    <w:rsid w:val="00687035"/>
    <w:rsid w:val="00687072"/>
    <w:rsid w:val="00687651"/>
    <w:rsid w:val="00687738"/>
    <w:rsid w:val="00687815"/>
    <w:rsid w:val="006879AF"/>
    <w:rsid w:val="00687F8E"/>
    <w:rsid w:val="0069058A"/>
    <w:rsid w:val="00691AF7"/>
    <w:rsid w:val="00692D9C"/>
    <w:rsid w:val="00693110"/>
    <w:rsid w:val="00693C56"/>
    <w:rsid w:val="00694496"/>
    <w:rsid w:val="00694B7F"/>
    <w:rsid w:val="00695257"/>
    <w:rsid w:val="00695CDD"/>
    <w:rsid w:val="00695D02"/>
    <w:rsid w:val="00695DC0"/>
    <w:rsid w:val="00695F83"/>
    <w:rsid w:val="00696759"/>
    <w:rsid w:val="00696A2A"/>
    <w:rsid w:val="0069771F"/>
    <w:rsid w:val="006A0491"/>
    <w:rsid w:val="006A05F9"/>
    <w:rsid w:val="006A08BA"/>
    <w:rsid w:val="006A1850"/>
    <w:rsid w:val="006A190C"/>
    <w:rsid w:val="006A24D4"/>
    <w:rsid w:val="006A3864"/>
    <w:rsid w:val="006A4744"/>
    <w:rsid w:val="006A4F47"/>
    <w:rsid w:val="006A6CF0"/>
    <w:rsid w:val="006A716E"/>
    <w:rsid w:val="006A7430"/>
    <w:rsid w:val="006A7B8E"/>
    <w:rsid w:val="006B0092"/>
    <w:rsid w:val="006B123D"/>
    <w:rsid w:val="006B1452"/>
    <w:rsid w:val="006B1790"/>
    <w:rsid w:val="006B1946"/>
    <w:rsid w:val="006B1DAC"/>
    <w:rsid w:val="006B1DC1"/>
    <w:rsid w:val="006B285F"/>
    <w:rsid w:val="006B2898"/>
    <w:rsid w:val="006B34BF"/>
    <w:rsid w:val="006B3797"/>
    <w:rsid w:val="006B475E"/>
    <w:rsid w:val="006B4CBD"/>
    <w:rsid w:val="006B5CC1"/>
    <w:rsid w:val="006B5DE6"/>
    <w:rsid w:val="006B5E01"/>
    <w:rsid w:val="006B609B"/>
    <w:rsid w:val="006B6130"/>
    <w:rsid w:val="006B696C"/>
    <w:rsid w:val="006B6E06"/>
    <w:rsid w:val="006B6F29"/>
    <w:rsid w:val="006B787F"/>
    <w:rsid w:val="006B7C1E"/>
    <w:rsid w:val="006C0CD2"/>
    <w:rsid w:val="006C155E"/>
    <w:rsid w:val="006C2094"/>
    <w:rsid w:val="006C21CD"/>
    <w:rsid w:val="006C2237"/>
    <w:rsid w:val="006C2365"/>
    <w:rsid w:val="006C2486"/>
    <w:rsid w:val="006C25E5"/>
    <w:rsid w:val="006C2A41"/>
    <w:rsid w:val="006C2F3A"/>
    <w:rsid w:val="006C3DC4"/>
    <w:rsid w:val="006C4B12"/>
    <w:rsid w:val="006C53E6"/>
    <w:rsid w:val="006C5591"/>
    <w:rsid w:val="006C56D2"/>
    <w:rsid w:val="006C5943"/>
    <w:rsid w:val="006C5B48"/>
    <w:rsid w:val="006C664B"/>
    <w:rsid w:val="006C664D"/>
    <w:rsid w:val="006C67E7"/>
    <w:rsid w:val="006C6EEA"/>
    <w:rsid w:val="006C711A"/>
    <w:rsid w:val="006C7215"/>
    <w:rsid w:val="006C75E1"/>
    <w:rsid w:val="006C7992"/>
    <w:rsid w:val="006C7CE8"/>
    <w:rsid w:val="006C7D39"/>
    <w:rsid w:val="006C7E76"/>
    <w:rsid w:val="006D024A"/>
    <w:rsid w:val="006D07EA"/>
    <w:rsid w:val="006D0A26"/>
    <w:rsid w:val="006D0E1E"/>
    <w:rsid w:val="006D11E2"/>
    <w:rsid w:val="006D1761"/>
    <w:rsid w:val="006D17D9"/>
    <w:rsid w:val="006D1CC1"/>
    <w:rsid w:val="006D2804"/>
    <w:rsid w:val="006D3446"/>
    <w:rsid w:val="006D4195"/>
    <w:rsid w:val="006D432B"/>
    <w:rsid w:val="006D460E"/>
    <w:rsid w:val="006D47C3"/>
    <w:rsid w:val="006D568B"/>
    <w:rsid w:val="006D5F7B"/>
    <w:rsid w:val="006D5FB1"/>
    <w:rsid w:val="006D6507"/>
    <w:rsid w:val="006D700C"/>
    <w:rsid w:val="006D7B49"/>
    <w:rsid w:val="006E0102"/>
    <w:rsid w:val="006E0E9F"/>
    <w:rsid w:val="006E18E3"/>
    <w:rsid w:val="006E21E6"/>
    <w:rsid w:val="006E2276"/>
    <w:rsid w:val="006E2678"/>
    <w:rsid w:val="006E318F"/>
    <w:rsid w:val="006E31DE"/>
    <w:rsid w:val="006E3703"/>
    <w:rsid w:val="006E4676"/>
    <w:rsid w:val="006E52AF"/>
    <w:rsid w:val="006E5D2E"/>
    <w:rsid w:val="006E61F3"/>
    <w:rsid w:val="006E6B7E"/>
    <w:rsid w:val="006E74AD"/>
    <w:rsid w:val="006E7E9C"/>
    <w:rsid w:val="006F055A"/>
    <w:rsid w:val="006F0733"/>
    <w:rsid w:val="006F0A85"/>
    <w:rsid w:val="006F0D72"/>
    <w:rsid w:val="006F1468"/>
    <w:rsid w:val="006F1605"/>
    <w:rsid w:val="006F2FFF"/>
    <w:rsid w:val="006F3550"/>
    <w:rsid w:val="006F36C4"/>
    <w:rsid w:val="006F3A71"/>
    <w:rsid w:val="006F3F3F"/>
    <w:rsid w:val="006F4053"/>
    <w:rsid w:val="006F4786"/>
    <w:rsid w:val="006F47BA"/>
    <w:rsid w:val="006F4887"/>
    <w:rsid w:val="006F5BD1"/>
    <w:rsid w:val="006F5CA0"/>
    <w:rsid w:val="006F5F53"/>
    <w:rsid w:val="006F69D6"/>
    <w:rsid w:val="006F6BA9"/>
    <w:rsid w:val="006F7716"/>
    <w:rsid w:val="006F77E2"/>
    <w:rsid w:val="007000AC"/>
    <w:rsid w:val="00700202"/>
    <w:rsid w:val="00701076"/>
    <w:rsid w:val="00701276"/>
    <w:rsid w:val="0070196F"/>
    <w:rsid w:val="00701AF0"/>
    <w:rsid w:val="00701BB7"/>
    <w:rsid w:val="00703E8A"/>
    <w:rsid w:val="00704509"/>
    <w:rsid w:val="007062DB"/>
    <w:rsid w:val="007068CA"/>
    <w:rsid w:val="0070699C"/>
    <w:rsid w:val="00706B0D"/>
    <w:rsid w:val="00706EDD"/>
    <w:rsid w:val="0070777B"/>
    <w:rsid w:val="007077E9"/>
    <w:rsid w:val="00707865"/>
    <w:rsid w:val="0071012B"/>
    <w:rsid w:val="0071057A"/>
    <w:rsid w:val="00710ED3"/>
    <w:rsid w:val="0071110D"/>
    <w:rsid w:val="00711CD0"/>
    <w:rsid w:val="00712711"/>
    <w:rsid w:val="00713181"/>
    <w:rsid w:val="007134FE"/>
    <w:rsid w:val="00714162"/>
    <w:rsid w:val="00714812"/>
    <w:rsid w:val="00714EE0"/>
    <w:rsid w:val="007154F8"/>
    <w:rsid w:val="007161D7"/>
    <w:rsid w:val="007164A8"/>
    <w:rsid w:val="007164FB"/>
    <w:rsid w:val="0071682C"/>
    <w:rsid w:val="00717757"/>
    <w:rsid w:val="00717B5E"/>
    <w:rsid w:val="00720389"/>
    <w:rsid w:val="007203DF"/>
    <w:rsid w:val="00720C60"/>
    <w:rsid w:val="00720E75"/>
    <w:rsid w:val="00720EDB"/>
    <w:rsid w:val="00722439"/>
    <w:rsid w:val="007227A3"/>
    <w:rsid w:val="00722DE9"/>
    <w:rsid w:val="00723710"/>
    <w:rsid w:val="00723950"/>
    <w:rsid w:val="00723983"/>
    <w:rsid w:val="007241B4"/>
    <w:rsid w:val="007249AC"/>
    <w:rsid w:val="0072520C"/>
    <w:rsid w:val="0072524F"/>
    <w:rsid w:val="00725458"/>
    <w:rsid w:val="00726123"/>
    <w:rsid w:val="007261F2"/>
    <w:rsid w:val="00730837"/>
    <w:rsid w:val="0073131D"/>
    <w:rsid w:val="0073196A"/>
    <w:rsid w:val="00731B0C"/>
    <w:rsid w:val="00731D56"/>
    <w:rsid w:val="0073317A"/>
    <w:rsid w:val="0073329F"/>
    <w:rsid w:val="00733A39"/>
    <w:rsid w:val="00733B11"/>
    <w:rsid w:val="00734578"/>
    <w:rsid w:val="00734C2E"/>
    <w:rsid w:val="0073599E"/>
    <w:rsid w:val="00735E7A"/>
    <w:rsid w:val="007362A7"/>
    <w:rsid w:val="0073704C"/>
    <w:rsid w:val="007371DC"/>
    <w:rsid w:val="00737705"/>
    <w:rsid w:val="0074053E"/>
    <w:rsid w:val="0074076E"/>
    <w:rsid w:val="00740A31"/>
    <w:rsid w:val="00740DA7"/>
    <w:rsid w:val="00740F67"/>
    <w:rsid w:val="007414A8"/>
    <w:rsid w:val="00741516"/>
    <w:rsid w:val="00741F27"/>
    <w:rsid w:val="00742ED7"/>
    <w:rsid w:val="00743007"/>
    <w:rsid w:val="007438F4"/>
    <w:rsid w:val="00743912"/>
    <w:rsid w:val="00743A44"/>
    <w:rsid w:val="007446E7"/>
    <w:rsid w:val="00745FAC"/>
    <w:rsid w:val="0074618B"/>
    <w:rsid w:val="00746609"/>
    <w:rsid w:val="00746908"/>
    <w:rsid w:val="00746DF4"/>
    <w:rsid w:val="007477ED"/>
    <w:rsid w:val="007506FC"/>
    <w:rsid w:val="007507A8"/>
    <w:rsid w:val="007508EA"/>
    <w:rsid w:val="00750CE3"/>
    <w:rsid w:val="0075155A"/>
    <w:rsid w:val="00751895"/>
    <w:rsid w:val="00752012"/>
    <w:rsid w:val="007527B9"/>
    <w:rsid w:val="00752DB4"/>
    <w:rsid w:val="00752E40"/>
    <w:rsid w:val="007530C6"/>
    <w:rsid w:val="00754418"/>
    <w:rsid w:val="0075460F"/>
    <w:rsid w:val="0075463A"/>
    <w:rsid w:val="007552A7"/>
    <w:rsid w:val="0075538F"/>
    <w:rsid w:val="0075560F"/>
    <w:rsid w:val="007558B2"/>
    <w:rsid w:val="007561CC"/>
    <w:rsid w:val="00756312"/>
    <w:rsid w:val="00756562"/>
    <w:rsid w:val="00757034"/>
    <w:rsid w:val="00757897"/>
    <w:rsid w:val="00760141"/>
    <w:rsid w:val="007608B5"/>
    <w:rsid w:val="00761000"/>
    <w:rsid w:val="007615AC"/>
    <w:rsid w:val="00761926"/>
    <w:rsid w:val="00762030"/>
    <w:rsid w:val="00762401"/>
    <w:rsid w:val="00762A2A"/>
    <w:rsid w:val="00762DF4"/>
    <w:rsid w:val="007633F2"/>
    <w:rsid w:val="007637EC"/>
    <w:rsid w:val="007640A4"/>
    <w:rsid w:val="00764685"/>
    <w:rsid w:val="00764A74"/>
    <w:rsid w:val="00765046"/>
    <w:rsid w:val="007663D9"/>
    <w:rsid w:val="007668F3"/>
    <w:rsid w:val="00766C04"/>
    <w:rsid w:val="00766FAF"/>
    <w:rsid w:val="007670A5"/>
    <w:rsid w:val="00767286"/>
    <w:rsid w:val="007677F9"/>
    <w:rsid w:val="00767971"/>
    <w:rsid w:val="00767C06"/>
    <w:rsid w:val="00767D48"/>
    <w:rsid w:val="00770913"/>
    <w:rsid w:val="0077108F"/>
    <w:rsid w:val="0077112E"/>
    <w:rsid w:val="00772362"/>
    <w:rsid w:val="007731C0"/>
    <w:rsid w:val="00773D50"/>
    <w:rsid w:val="00773E73"/>
    <w:rsid w:val="0077427E"/>
    <w:rsid w:val="00774735"/>
    <w:rsid w:val="00774FD1"/>
    <w:rsid w:val="007752DC"/>
    <w:rsid w:val="0077539F"/>
    <w:rsid w:val="00775A4B"/>
    <w:rsid w:val="00776040"/>
    <w:rsid w:val="00776523"/>
    <w:rsid w:val="0078026A"/>
    <w:rsid w:val="00780495"/>
    <w:rsid w:val="00780745"/>
    <w:rsid w:val="00781014"/>
    <w:rsid w:val="007816A1"/>
    <w:rsid w:val="0078175A"/>
    <w:rsid w:val="0078187B"/>
    <w:rsid w:val="00781AD5"/>
    <w:rsid w:val="0078251A"/>
    <w:rsid w:val="0078265F"/>
    <w:rsid w:val="0078333E"/>
    <w:rsid w:val="0078374C"/>
    <w:rsid w:val="00783BBB"/>
    <w:rsid w:val="00784232"/>
    <w:rsid w:val="007847A7"/>
    <w:rsid w:val="0078509A"/>
    <w:rsid w:val="00785BCB"/>
    <w:rsid w:val="00785E9B"/>
    <w:rsid w:val="00785F22"/>
    <w:rsid w:val="00786472"/>
    <w:rsid w:val="007905C9"/>
    <w:rsid w:val="00790DA6"/>
    <w:rsid w:val="007911CB"/>
    <w:rsid w:val="007916E6"/>
    <w:rsid w:val="00792AEC"/>
    <w:rsid w:val="0079312A"/>
    <w:rsid w:val="0079344E"/>
    <w:rsid w:val="007935FC"/>
    <w:rsid w:val="0079360E"/>
    <w:rsid w:val="007939F2"/>
    <w:rsid w:val="007948FA"/>
    <w:rsid w:val="00794A4A"/>
    <w:rsid w:val="00794EDC"/>
    <w:rsid w:val="007950ED"/>
    <w:rsid w:val="007956E7"/>
    <w:rsid w:val="00796C4C"/>
    <w:rsid w:val="00797103"/>
    <w:rsid w:val="00797B24"/>
    <w:rsid w:val="00797F91"/>
    <w:rsid w:val="007A0B63"/>
    <w:rsid w:val="007A0D4D"/>
    <w:rsid w:val="007A1BC0"/>
    <w:rsid w:val="007A20EE"/>
    <w:rsid w:val="007A253E"/>
    <w:rsid w:val="007A35C4"/>
    <w:rsid w:val="007A387D"/>
    <w:rsid w:val="007A39A0"/>
    <w:rsid w:val="007A3B72"/>
    <w:rsid w:val="007A4423"/>
    <w:rsid w:val="007A516F"/>
    <w:rsid w:val="007A5196"/>
    <w:rsid w:val="007A57ED"/>
    <w:rsid w:val="007A5A84"/>
    <w:rsid w:val="007A5CE0"/>
    <w:rsid w:val="007A6634"/>
    <w:rsid w:val="007A67F8"/>
    <w:rsid w:val="007A6C55"/>
    <w:rsid w:val="007A7054"/>
    <w:rsid w:val="007A7248"/>
    <w:rsid w:val="007A7F4A"/>
    <w:rsid w:val="007B0508"/>
    <w:rsid w:val="007B05B5"/>
    <w:rsid w:val="007B0943"/>
    <w:rsid w:val="007B1295"/>
    <w:rsid w:val="007B14D0"/>
    <w:rsid w:val="007B1BA3"/>
    <w:rsid w:val="007B2294"/>
    <w:rsid w:val="007B2503"/>
    <w:rsid w:val="007B2554"/>
    <w:rsid w:val="007B30A1"/>
    <w:rsid w:val="007B3D05"/>
    <w:rsid w:val="007B40AA"/>
    <w:rsid w:val="007B40BB"/>
    <w:rsid w:val="007B498A"/>
    <w:rsid w:val="007B49FE"/>
    <w:rsid w:val="007B5259"/>
    <w:rsid w:val="007B601D"/>
    <w:rsid w:val="007B6379"/>
    <w:rsid w:val="007B68CC"/>
    <w:rsid w:val="007B695D"/>
    <w:rsid w:val="007B69D8"/>
    <w:rsid w:val="007B6CC8"/>
    <w:rsid w:val="007B78BD"/>
    <w:rsid w:val="007B7A9C"/>
    <w:rsid w:val="007C0203"/>
    <w:rsid w:val="007C0476"/>
    <w:rsid w:val="007C0573"/>
    <w:rsid w:val="007C13EB"/>
    <w:rsid w:val="007C1EF4"/>
    <w:rsid w:val="007C23FF"/>
    <w:rsid w:val="007C2A01"/>
    <w:rsid w:val="007C3291"/>
    <w:rsid w:val="007C3BFD"/>
    <w:rsid w:val="007C4325"/>
    <w:rsid w:val="007C45EB"/>
    <w:rsid w:val="007C5222"/>
    <w:rsid w:val="007C5432"/>
    <w:rsid w:val="007C5AF5"/>
    <w:rsid w:val="007C5D42"/>
    <w:rsid w:val="007C5E89"/>
    <w:rsid w:val="007C5F3F"/>
    <w:rsid w:val="007C6D49"/>
    <w:rsid w:val="007C7647"/>
    <w:rsid w:val="007C7B74"/>
    <w:rsid w:val="007C7F32"/>
    <w:rsid w:val="007D006F"/>
    <w:rsid w:val="007D00E0"/>
    <w:rsid w:val="007D0FD1"/>
    <w:rsid w:val="007D10FE"/>
    <w:rsid w:val="007D1AAC"/>
    <w:rsid w:val="007D24DA"/>
    <w:rsid w:val="007D2606"/>
    <w:rsid w:val="007D3BDE"/>
    <w:rsid w:val="007D4072"/>
    <w:rsid w:val="007D427E"/>
    <w:rsid w:val="007D50D9"/>
    <w:rsid w:val="007D53A6"/>
    <w:rsid w:val="007D6A4A"/>
    <w:rsid w:val="007D6DC4"/>
    <w:rsid w:val="007D7508"/>
    <w:rsid w:val="007D763F"/>
    <w:rsid w:val="007D7C50"/>
    <w:rsid w:val="007E0756"/>
    <w:rsid w:val="007E12BE"/>
    <w:rsid w:val="007E1976"/>
    <w:rsid w:val="007E1980"/>
    <w:rsid w:val="007E256E"/>
    <w:rsid w:val="007E3210"/>
    <w:rsid w:val="007E336E"/>
    <w:rsid w:val="007E33E4"/>
    <w:rsid w:val="007E382B"/>
    <w:rsid w:val="007E3B79"/>
    <w:rsid w:val="007E44BD"/>
    <w:rsid w:val="007E4515"/>
    <w:rsid w:val="007E4E7C"/>
    <w:rsid w:val="007E6337"/>
    <w:rsid w:val="007E681F"/>
    <w:rsid w:val="007E685B"/>
    <w:rsid w:val="007E6ACA"/>
    <w:rsid w:val="007E7695"/>
    <w:rsid w:val="007F0283"/>
    <w:rsid w:val="007F08E3"/>
    <w:rsid w:val="007F13F9"/>
    <w:rsid w:val="007F1ED9"/>
    <w:rsid w:val="007F31DA"/>
    <w:rsid w:val="007F3BC0"/>
    <w:rsid w:val="007F3FE2"/>
    <w:rsid w:val="007F47F5"/>
    <w:rsid w:val="007F58E4"/>
    <w:rsid w:val="007F718D"/>
    <w:rsid w:val="007F7E38"/>
    <w:rsid w:val="008003D0"/>
    <w:rsid w:val="00801731"/>
    <w:rsid w:val="0080248B"/>
    <w:rsid w:val="00802614"/>
    <w:rsid w:val="00803A70"/>
    <w:rsid w:val="00804518"/>
    <w:rsid w:val="0080487E"/>
    <w:rsid w:val="00804FD6"/>
    <w:rsid w:val="0080513F"/>
    <w:rsid w:val="0080593D"/>
    <w:rsid w:val="00806D82"/>
    <w:rsid w:val="00806E1B"/>
    <w:rsid w:val="00810B35"/>
    <w:rsid w:val="00810C83"/>
    <w:rsid w:val="008110EB"/>
    <w:rsid w:val="008110F7"/>
    <w:rsid w:val="00811182"/>
    <w:rsid w:val="008117B2"/>
    <w:rsid w:val="00811833"/>
    <w:rsid w:val="0081188F"/>
    <w:rsid w:val="008121BE"/>
    <w:rsid w:val="0081264C"/>
    <w:rsid w:val="00812F37"/>
    <w:rsid w:val="00813008"/>
    <w:rsid w:val="008131EE"/>
    <w:rsid w:val="00813F25"/>
    <w:rsid w:val="00813FE5"/>
    <w:rsid w:val="00814D33"/>
    <w:rsid w:val="00814EDD"/>
    <w:rsid w:val="00815A4D"/>
    <w:rsid w:val="00816029"/>
    <w:rsid w:val="0081614C"/>
    <w:rsid w:val="00816894"/>
    <w:rsid w:val="00816933"/>
    <w:rsid w:val="00817190"/>
    <w:rsid w:val="008172EE"/>
    <w:rsid w:val="00817AC6"/>
    <w:rsid w:val="00817AE6"/>
    <w:rsid w:val="00817DB2"/>
    <w:rsid w:val="00817F11"/>
    <w:rsid w:val="00820060"/>
    <w:rsid w:val="00820575"/>
    <w:rsid w:val="0082071B"/>
    <w:rsid w:val="008207B5"/>
    <w:rsid w:val="0082092A"/>
    <w:rsid w:val="00820B56"/>
    <w:rsid w:val="00820E5E"/>
    <w:rsid w:val="00820F12"/>
    <w:rsid w:val="0082126D"/>
    <w:rsid w:val="00821493"/>
    <w:rsid w:val="008216FE"/>
    <w:rsid w:val="00821B67"/>
    <w:rsid w:val="00821D98"/>
    <w:rsid w:val="00822BB3"/>
    <w:rsid w:val="00823667"/>
    <w:rsid w:val="00823B2D"/>
    <w:rsid w:val="00823DEC"/>
    <w:rsid w:val="00824EE4"/>
    <w:rsid w:val="00825727"/>
    <w:rsid w:val="008258B5"/>
    <w:rsid w:val="00825903"/>
    <w:rsid w:val="00825D60"/>
    <w:rsid w:val="00825F29"/>
    <w:rsid w:val="00825FFE"/>
    <w:rsid w:val="00826EEB"/>
    <w:rsid w:val="00826F64"/>
    <w:rsid w:val="00826F7B"/>
    <w:rsid w:val="0082730E"/>
    <w:rsid w:val="00827934"/>
    <w:rsid w:val="00830620"/>
    <w:rsid w:val="00830BDF"/>
    <w:rsid w:val="00830CA0"/>
    <w:rsid w:val="00832192"/>
    <w:rsid w:val="008324C9"/>
    <w:rsid w:val="00832A8E"/>
    <w:rsid w:val="00832D51"/>
    <w:rsid w:val="0083368D"/>
    <w:rsid w:val="00833ED1"/>
    <w:rsid w:val="008340DA"/>
    <w:rsid w:val="00834625"/>
    <w:rsid w:val="0083582D"/>
    <w:rsid w:val="00836B00"/>
    <w:rsid w:val="00837170"/>
    <w:rsid w:val="00837499"/>
    <w:rsid w:val="00837D4C"/>
    <w:rsid w:val="00837F48"/>
    <w:rsid w:val="008406A5"/>
    <w:rsid w:val="00840771"/>
    <w:rsid w:val="008409FA"/>
    <w:rsid w:val="00840DED"/>
    <w:rsid w:val="0084142C"/>
    <w:rsid w:val="00841790"/>
    <w:rsid w:val="00841BA1"/>
    <w:rsid w:val="00842297"/>
    <w:rsid w:val="008425D8"/>
    <w:rsid w:val="00842C0B"/>
    <w:rsid w:val="00843056"/>
    <w:rsid w:val="008434EF"/>
    <w:rsid w:val="008437A8"/>
    <w:rsid w:val="00843ADC"/>
    <w:rsid w:val="00844463"/>
    <w:rsid w:val="0084483E"/>
    <w:rsid w:val="00844C99"/>
    <w:rsid w:val="00844F10"/>
    <w:rsid w:val="008453ED"/>
    <w:rsid w:val="00845EEE"/>
    <w:rsid w:val="008470B8"/>
    <w:rsid w:val="008500C4"/>
    <w:rsid w:val="008501F9"/>
    <w:rsid w:val="008501FD"/>
    <w:rsid w:val="00851217"/>
    <w:rsid w:val="00851239"/>
    <w:rsid w:val="008516EF"/>
    <w:rsid w:val="00852643"/>
    <w:rsid w:val="008534E4"/>
    <w:rsid w:val="0085415B"/>
    <w:rsid w:val="00854741"/>
    <w:rsid w:val="00854A3C"/>
    <w:rsid w:val="00854D3B"/>
    <w:rsid w:val="00855DFC"/>
    <w:rsid w:val="00855E50"/>
    <w:rsid w:val="008568E3"/>
    <w:rsid w:val="00856AE5"/>
    <w:rsid w:val="00856D75"/>
    <w:rsid w:val="0085708B"/>
    <w:rsid w:val="008578C7"/>
    <w:rsid w:val="008578CD"/>
    <w:rsid w:val="00857B15"/>
    <w:rsid w:val="00857E36"/>
    <w:rsid w:val="00860DC3"/>
    <w:rsid w:val="00861BD6"/>
    <w:rsid w:val="00861C9F"/>
    <w:rsid w:val="00862181"/>
    <w:rsid w:val="00862FA2"/>
    <w:rsid w:val="008632A6"/>
    <w:rsid w:val="0086390D"/>
    <w:rsid w:val="0086470A"/>
    <w:rsid w:val="00864DC3"/>
    <w:rsid w:val="00864ECB"/>
    <w:rsid w:val="008666C6"/>
    <w:rsid w:val="00867B06"/>
    <w:rsid w:val="00867BAB"/>
    <w:rsid w:val="0087121D"/>
    <w:rsid w:val="008712C1"/>
    <w:rsid w:val="00871332"/>
    <w:rsid w:val="0087328F"/>
    <w:rsid w:val="00873436"/>
    <w:rsid w:val="00873FE6"/>
    <w:rsid w:val="0087444C"/>
    <w:rsid w:val="00874C86"/>
    <w:rsid w:val="00874EA8"/>
    <w:rsid w:val="00874F7B"/>
    <w:rsid w:val="00875253"/>
    <w:rsid w:val="008753ED"/>
    <w:rsid w:val="00875432"/>
    <w:rsid w:val="00876278"/>
    <w:rsid w:val="0087692D"/>
    <w:rsid w:val="008770CD"/>
    <w:rsid w:val="00877352"/>
    <w:rsid w:val="0087748D"/>
    <w:rsid w:val="008777F8"/>
    <w:rsid w:val="0087783C"/>
    <w:rsid w:val="008807FD"/>
    <w:rsid w:val="008809F3"/>
    <w:rsid w:val="008809FB"/>
    <w:rsid w:val="00880E67"/>
    <w:rsid w:val="0088151A"/>
    <w:rsid w:val="00881899"/>
    <w:rsid w:val="00882518"/>
    <w:rsid w:val="008828D7"/>
    <w:rsid w:val="00882D52"/>
    <w:rsid w:val="0088314C"/>
    <w:rsid w:val="00883F9B"/>
    <w:rsid w:val="00883FC5"/>
    <w:rsid w:val="00884703"/>
    <w:rsid w:val="0088486D"/>
    <w:rsid w:val="00885045"/>
    <w:rsid w:val="00885097"/>
    <w:rsid w:val="00885946"/>
    <w:rsid w:val="00885A29"/>
    <w:rsid w:val="00886699"/>
    <w:rsid w:val="00886EE9"/>
    <w:rsid w:val="0088709D"/>
    <w:rsid w:val="00887706"/>
    <w:rsid w:val="00890076"/>
    <w:rsid w:val="008905E0"/>
    <w:rsid w:val="0089084B"/>
    <w:rsid w:val="00890B07"/>
    <w:rsid w:val="008911E4"/>
    <w:rsid w:val="0089158D"/>
    <w:rsid w:val="00892557"/>
    <w:rsid w:val="00892F39"/>
    <w:rsid w:val="00893184"/>
    <w:rsid w:val="008931C9"/>
    <w:rsid w:val="00893379"/>
    <w:rsid w:val="00893535"/>
    <w:rsid w:val="00894660"/>
    <w:rsid w:val="00894886"/>
    <w:rsid w:val="0089524C"/>
    <w:rsid w:val="008955EF"/>
    <w:rsid w:val="0089568E"/>
    <w:rsid w:val="008958C0"/>
    <w:rsid w:val="00897B69"/>
    <w:rsid w:val="008A0110"/>
    <w:rsid w:val="008A049C"/>
    <w:rsid w:val="008A066D"/>
    <w:rsid w:val="008A0CC1"/>
    <w:rsid w:val="008A0FDD"/>
    <w:rsid w:val="008A1059"/>
    <w:rsid w:val="008A11A2"/>
    <w:rsid w:val="008A1C6F"/>
    <w:rsid w:val="008A2261"/>
    <w:rsid w:val="008A2427"/>
    <w:rsid w:val="008A242C"/>
    <w:rsid w:val="008A2813"/>
    <w:rsid w:val="008A2BD5"/>
    <w:rsid w:val="008A318B"/>
    <w:rsid w:val="008A3518"/>
    <w:rsid w:val="008A4461"/>
    <w:rsid w:val="008A4E4F"/>
    <w:rsid w:val="008A4F25"/>
    <w:rsid w:val="008A5649"/>
    <w:rsid w:val="008A5AE1"/>
    <w:rsid w:val="008A5EEC"/>
    <w:rsid w:val="008A6084"/>
    <w:rsid w:val="008A6C63"/>
    <w:rsid w:val="008A6D36"/>
    <w:rsid w:val="008A702A"/>
    <w:rsid w:val="008A7203"/>
    <w:rsid w:val="008A72B1"/>
    <w:rsid w:val="008B074B"/>
    <w:rsid w:val="008B085A"/>
    <w:rsid w:val="008B29FC"/>
    <w:rsid w:val="008B2EB8"/>
    <w:rsid w:val="008B30CD"/>
    <w:rsid w:val="008B3266"/>
    <w:rsid w:val="008B35D4"/>
    <w:rsid w:val="008B42AD"/>
    <w:rsid w:val="008B4684"/>
    <w:rsid w:val="008B4E7B"/>
    <w:rsid w:val="008B503C"/>
    <w:rsid w:val="008B5262"/>
    <w:rsid w:val="008B54A0"/>
    <w:rsid w:val="008B55D7"/>
    <w:rsid w:val="008B611E"/>
    <w:rsid w:val="008B646A"/>
    <w:rsid w:val="008B72CB"/>
    <w:rsid w:val="008B7405"/>
    <w:rsid w:val="008B759D"/>
    <w:rsid w:val="008B769F"/>
    <w:rsid w:val="008C032B"/>
    <w:rsid w:val="008C0580"/>
    <w:rsid w:val="008C0685"/>
    <w:rsid w:val="008C090E"/>
    <w:rsid w:val="008C1077"/>
    <w:rsid w:val="008C11F0"/>
    <w:rsid w:val="008C1D9F"/>
    <w:rsid w:val="008C259D"/>
    <w:rsid w:val="008C2A97"/>
    <w:rsid w:val="008C2DDC"/>
    <w:rsid w:val="008C38B5"/>
    <w:rsid w:val="008C4E4E"/>
    <w:rsid w:val="008C4FA8"/>
    <w:rsid w:val="008C521F"/>
    <w:rsid w:val="008C55E2"/>
    <w:rsid w:val="008C5669"/>
    <w:rsid w:val="008C62D2"/>
    <w:rsid w:val="008C6332"/>
    <w:rsid w:val="008C65F7"/>
    <w:rsid w:val="008C665E"/>
    <w:rsid w:val="008C71A2"/>
    <w:rsid w:val="008C72EC"/>
    <w:rsid w:val="008C7B12"/>
    <w:rsid w:val="008D01C5"/>
    <w:rsid w:val="008D06D2"/>
    <w:rsid w:val="008D0868"/>
    <w:rsid w:val="008D166B"/>
    <w:rsid w:val="008D2496"/>
    <w:rsid w:val="008D2E5B"/>
    <w:rsid w:val="008D3A22"/>
    <w:rsid w:val="008D3C28"/>
    <w:rsid w:val="008D3F97"/>
    <w:rsid w:val="008D42F9"/>
    <w:rsid w:val="008D443A"/>
    <w:rsid w:val="008D464C"/>
    <w:rsid w:val="008D4821"/>
    <w:rsid w:val="008D496B"/>
    <w:rsid w:val="008D4AAA"/>
    <w:rsid w:val="008D505D"/>
    <w:rsid w:val="008D568F"/>
    <w:rsid w:val="008D628C"/>
    <w:rsid w:val="008D64F4"/>
    <w:rsid w:val="008D64F9"/>
    <w:rsid w:val="008D6538"/>
    <w:rsid w:val="008E0901"/>
    <w:rsid w:val="008E173B"/>
    <w:rsid w:val="008E1B8F"/>
    <w:rsid w:val="008E1EE5"/>
    <w:rsid w:val="008E2949"/>
    <w:rsid w:val="008E29C2"/>
    <w:rsid w:val="008E2BC9"/>
    <w:rsid w:val="008E2E99"/>
    <w:rsid w:val="008E4476"/>
    <w:rsid w:val="008E4B95"/>
    <w:rsid w:val="008E5422"/>
    <w:rsid w:val="008E6536"/>
    <w:rsid w:val="008E711B"/>
    <w:rsid w:val="008E71B4"/>
    <w:rsid w:val="008E7491"/>
    <w:rsid w:val="008F0017"/>
    <w:rsid w:val="008F0DDE"/>
    <w:rsid w:val="008F119B"/>
    <w:rsid w:val="008F1361"/>
    <w:rsid w:val="008F1C0F"/>
    <w:rsid w:val="008F245A"/>
    <w:rsid w:val="008F25C8"/>
    <w:rsid w:val="008F29A0"/>
    <w:rsid w:val="008F2B10"/>
    <w:rsid w:val="008F2DEC"/>
    <w:rsid w:val="008F364E"/>
    <w:rsid w:val="008F3676"/>
    <w:rsid w:val="008F3757"/>
    <w:rsid w:val="008F3794"/>
    <w:rsid w:val="008F3F86"/>
    <w:rsid w:val="008F4290"/>
    <w:rsid w:val="008F4458"/>
    <w:rsid w:val="008F5167"/>
    <w:rsid w:val="008F519B"/>
    <w:rsid w:val="008F6808"/>
    <w:rsid w:val="008F6B69"/>
    <w:rsid w:val="009004DB"/>
    <w:rsid w:val="0090060E"/>
    <w:rsid w:val="00900FA8"/>
    <w:rsid w:val="00901164"/>
    <w:rsid w:val="009013C1"/>
    <w:rsid w:val="00901F09"/>
    <w:rsid w:val="00902843"/>
    <w:rsid w:val="00902BF5"/>
    <w:rsid w:val="0090325B"/>
    <w:rsid w:val="00903288"/>
    <w:rsid w:val="00903994"/>
    <w:rsid w:val="00903D12"/>
    <w:rsid w:val="0090533A"/>
    <w:rsid w:val="00905B1E"/>
    <w:rsid w:val="00905C0B"/>
    <w:rsid w:val="00905C58"/>
    <w:rsid w:val="00906E55"/>
    <w:rsid w:val="0090746C"/>
    <w:rsid w:val="009078EF"/>
    <w:rsid w:val="00907E29"/>
    <w:rsid w:val="0091051D"/>
    <w:rsid w:val="00910695"/>
    <w:rsid w:val="00910D55"/>
    <w:rsid w:val="009111DA"/>
    <w:rsid w:val="00911B42"/>
    <w:rsid w:val="00912D0D"/>
    <w:rsid w:val="00913104"/>
    <w:rsid w:val="009136EF"/>
    <w:rsid w:val="00913984"/>
    <w:rsid w:val="00913DA4"/>
    <w:rsid w:val="00914BF8"/>
    <w:rsid w:val="00915857"/>
    <w:rsid w:val="00915F86"/>
    <w:rsid w:val="0091678E"/>
    <w:rsid w:val="00916948"/>
    <w:rsid w:val="00917B99"/>
    <w:rsid w:val="00917C21"/>
    <w:rsid w:val="00917E99"/>
    <w:rsid w:val="00920574"/>
    <w:rsid w:val="0092090D"/>
    <w:rsid w:val="00920BF2"/>
    <w:rsid w:val="00920C5D"/>
    <w:rsid w:val="0092161B"/>
    <w:rsid w:val="00922431"/>
    <w:rsid w:val="00922983"/>
    <w:rsid w:val="00922C87"/>
    <w:rsid w:val="00923283"/>
    <w:rsid w:val="0092344D"/>
    <w:rsid w:val="009240B4"/>
    <w:rsid w:val="00924B50"/>
    <w:rsid w:val="00924C13"/>
    <w:rsid w:val="00924EAF"/>
    <w:rsid w:val="00924ECB"/>
    <w:rsid w:val="00925EFE"/>
    <w:rsid w:val="00926207"/>
    <w:rsid w:val="009267D1"/>
    <w:rsid w:val="00926E74"/>
    <w:rsid w:val="00927207"/>
    <w:rsid w:val="00927571"/>
    <w:rsid w:val="00927C3D"/>
    <w:rsid w:val="00927CAA"/>
    <w:rsid w:val="00927D99"/>
    <w:rsid w:val="00927DD9"/>
    <w:rsid w:val="0093035C"/>
    <w:rsid w:val="00930613"/>
    <w:rsid w:val="009319C5"/>
    <w:rsid w:val="00931B6B"/>
    <w:rsid w:val="00931BD8"/>
    <w:rsid w:val="00933300"/>
    <w:rsid w:val="00933328"/>
    <w:rsid w:val="0093472F"/>
    <w:rsid w:val="00934FB4"/>
    <w:rsid w:val="0093509F"/>
    <w:rsid w:val="00935502"/>
    <w:rsid w:val="009355AD"/>
    <w:rsid w:val="00936F7E"/>
    <w:rsid w:val="00940813"/>
    <w:rsid w:val="00940F2F"/>
    <w:rsid w:val="0094111C"/>
    <w:rsid w:val="009413DF"/>
    <w:rsid w:val="00941EA2"/>
    <w:rsid w:val="00942077"/>
    <w:rsid w:val="0094307C"/>
    <w:rsid w:val="00944526"/>
    <w:rsid w:val="00944732"/>
    <w:rsid w:val="00944ECF"/>
    <w:rsid w:val="00944F12"/>
    <w:rsid w:val="0094504C"/>
    <w:rsid w:val="00945808"/>
    <w:rsid w:val="00945AB1"/>
    <w:rsid w:val="00946BE2"/>
    <w:rsid w:val="0094704F"/>
    <w:rsid w:val="00947143"/>
    <w:rsid w:val="009472A2"/>
    <w:rsid w:val="009476B5"/>
    <w:rsid w:val="00947A5E"/>
    <w:rsid w:val="00950B5D"/>
    <w:rsid w:val="0095123B"/>
    <w:rsid w:val="00951EAE"/>
    <w:rsid w:val="0095209D"/>
    <w:rsid w:val="0095213B"/>
    <w:rsid w:val="00952224"/>
    <w:rsid w:val="00952490"/>
    <w:rsid w:val="009527A5"/>
    <w:rsid w:val="00952882"/>
    <w:rsid w:val="00953BE2"/>
    <w:rsid w:val="00953D0A"/>
    <w:rsid w:val="0095401D"/>
    <w:rsid w:val="009540B0"/>
    <w:rsid w:val="009569A7"/>
    <w:rsid w:val="00956B22"/>
    <w:rsid w:val="00956DB5"/>
    <w:rsid w:val="0095777D"/>
    <w:rsid w:val="00960017"/>
    <w:rsid w:val="00960242"/>
    <w:rsid w:val="00960FDA"/>
    <w:rsid w:val="009612DD"/>
    <w:rsid w:val="009619F0"/>
    <w:rsid w:val="009619FE"/>
    <w:rsid w:val="009623B6"/>
    <w:rsid w:val="00962500"/>
    <w:rsid w:val="00963178"/>
    <w:rsid w:val="009633AA"/>
    <w:rsid w:val="009638D4"/>
    <w:rsid w:val="009643EC"/>
    <w:rsid w:val="0096484B"/>
    <w:rsid w:val="00964BBA"/>
    <w:rsid w:val="00964FA6"/>
    <w:rsid w:val="00965D21"/>
    <w:rsid w:val="0096718D"/>
    <w:rsid w:val="00967261"/>
    <w:rsid w:val="009672DC"/>
    <w:rsid w:val="0096741E"/>
    <w:rsid w:val="009676A0"/>
    <w:rsid w:val="00967F1F"/>
    <w:rsid w:val="0097004D"/>
    <w:rsid w:val="00971964"/>
    <w:rsid w:val="00971AF8"/>
    <w:rsid w:val="00971C25"/>
    <w:rsid w:val="0097250A"/>
    <w:rsid w:val="00972B03"/>
    <w:rsid w:val="00972E21"/>
    <w:rsid w:val="00972E84"/>
    <w:rsid w:val="00973081"/>
    <w:rsid w:val="00974B25"/>
    <w:rsid w:val="00974BEA"/>
    <w:rsid w:val="00974C3E"/>
    <w:rsid w:val="00975D4F"/>
    <w:rsid w:val="00975F7F"/>
    <w:rsid w:val="00976ADB"/>
    <w:rsid w:val="009777CF"/>
    <w:rsid w:val="00977EDB"/>
    <w:rsid w:val="00977EE4"/>
    <w:rsid w:val="00977FBC"/>
    <w:rsid w:val="009801C9"/>
    <w:rsid w:val="0098066D"/>
    <w:rsid w:val="009808CA"/>
    <w:rsid w:val="00982184"/>
    <w:rsid w:val="009828BA"/>
    <w:rsid w:val="00982AF5"/>
    <w:rsid w:val="009832E5"/>
    <w:rsid w:val="00983584"/>
    <w:rsid w:val="00983786"/>
    <w:rsid w:val="00983F2D"/>
    <w:rsid w:val="009847DC"/>
    <w:rsid w:val="00984817"/>
    <w:rsid w:val="00984AC1"/>
    <w:rsid w:val="009855D3"/>
    <w:rsid w:val="0098582E"/>
    <w:rsid w:val="00985CFC"/>
    <w:rsid w:val="00986619"/>
    <w:rsid w:val="00986728"/>
    <w:rsid w:val="009868A7"/>
    <w:rsid w:val="0098792A"/>
    <w:rsid w:val="00987E3E"/>
    <w:rsid w:val="009900A2"/>
    <w:rsid w:val="009903D7"/>
    <w:rsid w:val="00990C82"/>
    <w:rsid w:val="00990CA5"/>
    <w:rsid w:val="00990D6E"/>
    <w:rsid w:val="009910C0"/>
    <w:rsid w:val="00991331"/>
    <w:rsid w:val="00991CA4"/>
    <w:rsid w:val="009928A3"/>
    <w:rsid w:val="0099292A"/>
    <w:rsid w:val="00992EA9"/>
    <w:rsid w:val="0099546D"/>
    <w:rsid w:val="009959D3"/>
    <w:rsid w:val="00995C8D"/>
    <w:rsid w:val="00995E6A"/>
    <w:rsid w:val="00995F6C"/>
    <w:rsid w:val="009966D0"/>
    <w:rsid w:val="00996C56"/>
    <w:rsid w:val="00997638"/>
    <w:rsid w:val="00997866"/>
    <w:rsid w:val="009A00DD"/>
    <w:rsid w:val="009A06F7"/>
    <w:rsid w:val="009A1173"/>
    <w:rsid w:val="009A119C"/>
    <w:rsid w:val="009A11D0"/>
    <w:rsid w:val="009A1212"/>
    <w:rsid w:val="009A12AE"/>
    <w:rsid w:val="009A1A0E"/>
    <w:rsid w:val="009A1A75"/>
    <w:rsid w:val="009A33DA"/>
    <w:rsid w:val="009A475B"/>
    <w:rsid w:val="009A4A40"/>
    <w:rsid w:val="009A4F6D"/>
    <w:rsid w:val="009A54F1"/>
    <w:rsid w:val="009A557B"/>
    <w:rsid w:val="009A5821"/>
    <w:rsid w:val="009A5AA7"/>
    <w:rsid w:val="009A670E"/>
    <w:rsid w:val="009A776B"/>
    <w:rsid w:val="009B029C"/>
    <w:rsid w:val="009B1547"/>
    <w:rsid w:val="009B1811"/>
    <w:rsid w:val="009B1A55"/>
    <w:rsid w:val="009B1FC5"/>
    <w:rsid w:val="009B2541"/>
    <w:rsid w:val="009B2A5D"/>
    <w:rsid w:val="009B3D68"/>
    <w:rsid w:val="009B42B1"/>
    <w:rsid w:val="009B4BE6"/>
    <w:rsid w:val="009B5407"/>
    <w:rsid w:val="009B5435"/>
    <w:rsid w:val="009B575C"/>
    <w:rsid w:val="009B5B69"/>
    <w:rsid w:val="009B69D1"/>
    <w:rsid w:val="009B6DF3"/>
    <w:rsid w:val="009B7709"/>
    <w:rsid w:val="009B792B"/>
    <w:rsid w:val="009B7E21"/>
    <w:rsid w:val="009C0062"/>
    <w:rsid w:val="009C02A3"/>
    <w:rsid w:val="009C02D8"/>
    <w:rsid w:val="009C0D71"/>
    <w:rsid w:val="009C0DAD"/>
    <w:rsid w:val="009C1291"/>
    <w:rsid w:val="009C1A17"/>
    <w:rsid w:val="009C1D01"/>
    <w:rsid w:val="009C1D40"/>
    <w:rsid w:val="009C1D5E"/>
    <w:rsid w:val="009C20CC"/>
    <w:rsid w:val="009C2BEC"/>
    <w:rsid w:val="009C368F"/>
    <w:rsid w:val="009C4C95"/>
    <w:rsid w:val="009C4D1E"/>
    <w:rsid w:val="009C4EE5"/>
    <w:rsid w:val="009C5448"/>
    <w:rsid w:val="009C55A5"/>
    <w:rsid w:val="009C5925"/>
    <w:rsid w:val="009C5C1F"/>
    <w:rsid w:val="009C6725"/>
    <w:rsid w:val="009C680D"/>
    <w:rsid w:val="009C6DDD"/>
    <w:rsid w:val="009C7A8F"/>
    <w:rsid w:val="009C7D11"/>
    <w:rsid w:val="009C7F1C"/>
    <w:rsid w:val="009D0503"/>
    <w:rsid w:val="009D0692"/>
    <w:rsid w:val="009D0B05"/>
    <w:rsid w:val="009D0F4C"/>
    <w:rsid w:val="009D13E9"/>
    <w:rsid w:val="009D14BC"/>
    <w:rsid w:val="009D17D3"/>
    <w:rsid w:val="009D203E"/>
    <w:rsid w:val="009D292A"/>
    <w:rsid w:val="009D3140"/>
    <w:rsid w:val="009D364B"/>
    <w:rsid w:val="009D3793"/>
    <w:rsid w:val="009D3E26"/>
    <w:rsid w:val="009D42AC"/>
    <w:rsid w:val="009D452F"/>
    <w:rsid w:val="009D4E80"/>
    <w:rsid w:val="009D52A0"/>
    <w:rsid w:val="009D5642"/>
    <w:rsid w:val="009D57D5"/>
    <w:rsid w:val="009D63E2"/>
    <w:rsid w:val="009D68FB"/>
    <w:rsid w:val="009D732B"/>
    <w:rsid w:val="009E1CB2"/>
    <w:rsid w:val="009E1F16"/>
    <w:rsid w:val="009E2450"/>
    <w:rsid w:val="009E24A5"/>
    <w:rsid w:val="009E31AA"/>
    <w:rsid w:val="009E412D"/>
    <w:rsid w:val="009E4181"/>
    <w:rsid w:val="009E444E"/>
    <w:rsid w:val="009E4CF6"/>
    <w:rsid w:val="009E61EE"/>
    <w:rsid w:val="009E65E3"/>
    <w:rsid w:val="009E660A"/>
    <w:rsid w:val="009E71FE"/>
    <w:rsid w:val="009F0167"/>
    <w:rsid w:val="009F04BC"/>
    <w:rsid w:val="009F0BE1"/>
    <w:rsid w:val="009F1684"/>
    <w:rsid w:val="009F3502"/>
    <w:rsid w:val="009F356F"/>
    <w:rsid w:val="009F36AD"/>
    <w:rsid w:val="009F3A73"/>
    <w:rsid w:val="009F3FFB"/>
    <w:rsid w:val="009F439A"/>
    <w:rsid w:val="009F4714"/>
    <w:rsid w:val="009F4D8D"/>
    <w:rsid w:val="009F51B0"/>
    <w:rsid w:val="009F53BD"/>
    <w:rsid w:val="009F550C"/>
    <w:rsid w:val="009F57C8"/>
    <w:rsid w:val="009F63B2"/>
    <w:rsid w:val="009F6942"/>
    <w:rsid w:val="009F6B03"/>
    <w:rsid w:val="00A008E8"/>
    <w:rsid w:val="00A00905"/>
    <w:rsid w:val="00A01162"/>
    <w:rsid w:val="00A01409"/>
    <w:rsid w:val="00A01CC1"/>
    <w:rsid w:val="00A01E5C"/>
    <w:rsid w:val="00A023F2"/>
    <w:rsid w:val="00A03D23"/>
    <w:rsid w:val="00A03F1D"/>
    <w:rsid w:val="00A04ABD"/>
    <w:rsid w:val="00A04EA5"/>
    <w:rsid w:val="00A051A6"/>
    <w:rsid w:val="00A0533C"/>
    <w:rsid w:val="00A05690"/>
    <w:rsid w:val="00A05DD3"/>
    <w:rsid w:val="00A05FE9"/>
    <w:rsid w:val="00A0613B"/>
    <w:rsid w:val="00A06675"/>
    <w:rsid w:val="00A10C16"/>
    <w:rsid w:val="00A10FA6"/>
    <w:rsid w:val="00A11898"/>
    <w:rsid w:val="00A11C3C"/>
    <w:rsid w:val="00A120FB"/>
    <w:rsid w:val="00A13512"/>
    <w:rsid w:val="00A13C71"/>
    <w:rsid w:val="00A142D1"/>
    <w:rsid w:val="00A148A0"/>
    <w:rsid w:val="00A14D9D"/>
    <w:rsid w:val="00A155BA"/>
    <w:rsid w:val="00A158CC"/>
    <w:rsid w:val="00A1592C"/>
    <w:rsid w:val="00A15A27"/>
    <w:rsid w:val="00A1675E"/>
    <w:rsid w:val="00A16920"/>
    <w:rsid w:val="00A16E48"/>
    <w:rsid w:val="00A17091"/>
    <w:rsid w:val="00A171B6"/>
    <w:rsid w:val="00A174B3"/>
    <w:rsid w:val="00A17F05"/>
    <w:rsid w:val="00A201CB"/>
    <w:rsid w:val="00A204D8"/>
    <w:rsid w:val="00A207D5"/>
    <w:rsid w:val="00A21096"/>
    <w:rsid w:val="00A22242"/>
    <w:rsid w:val="00A22264"/>
    <w:rsid w:val="00A22570"/>
    <w:rsid w:val="00A22E51"/>
    <w:rsid w:val="00A234AA"/>
    <w:rsid w:val="00A23A00"/>
    <w:rsid w:val="00A23C0F"/>
    <w:rsid w:val="00A23F99"/>
    <w:rsid w:val="00A24140"/>
    <w:rsid w:val="00A24C93"/>
    <w:rsid w:val="00A24DD4"/>
    <w:rsid w:val="00A2552E"/>
    <w:rsid w:val="00A25751"/>
    <w:rsid w:val="00A25E02"/>
    <w:rsid w:val="00A25FC5"/>
    <w:rsid w:val="00A26B88"/>
    <w:rsid w:val="00A27672"/>
    <w:rsid w:val="00A30584"/>
    <w:rsid w:val="00A30E44"/>
    <w:rsid w:val="00A311E1"/>
    <w:rsid w:val="00A313B1"/>
    <w:rsid w:val="00A314B2"/>
    <w:rsid w:val="00A315CB"/>
    <w:rsid w:val="00A3180D"/>
    <w:rsid w:val="00A32050"/>
    <w:rsid w:val="00A32209"/>
    <w:rsid w:val="00A3265F"/>
    <w:rsid w:val="00A32ADA"/>
    <w:rsid w:val="00A32AE1"/>
    <w:rsid w:val="00A339D3"/>
    <w:rsid w:val="00A342F9"/>
    <w:rsid w:val="00A34E2C"/>
    <w:rsid w:val="00A34F96"/>
    <w:rsid w:val="00A3547A"/>
    <w:rsid w:val="00A356E1"/>
    <w:rsid w:val="00A35D62"/>
    <w:rsid w:val="00A3616A"/>
    <w:rsid w:val="00A3653C"/>
    <w:rsid w:val="00A36950"/>
    <w:rsid w:val="00A36CBC"/>
    <w:rsid w:val="00A37278"/>
    <w:rsid w:val="00A372E0"/>
    <w:rsid w:val="00A3741A"/>
    <w:rsid w:val="00A410FB"/>
    <w:rsid w:val="00A41A09"/>
    <w:rsid w:val="00A427F9"/>
    <w:rsid w:val="00A428D5"/>
    <w:rsid w:val="00A42B46"/>
    <w:rsid w:val="00A42EFA"/>
    <w:rsid w:val="00A4301B"/>
    <w:rsid w:val="00A43D61"/>
    <w:rsid w:val="00A449C1"/>
    <w:rsid w:val="00A45167"/>
    <w:rsid w:val="00A45FB6"/>
    <w:rsid w:val="00A46081"/>
    <w:rsid w:val="00A467BB"/>
    <w:rsid w:val="00A4691B"/>
    <w:rsid w:val="00A46ECF"/>
    <w:rsid w:val="00A47EBA"/>
    <w:rsid w:val="00A47FFA"/>
    <w:rsid w:val="00A51932"/>
    <w:rsid w:val="00A52229"/>
    <w:rsid w:val="00A524C8"/>
    <w:rsid w:val="00A52D20"/>
    <w:rsid w:val="00A52FAC"/>
    <w:rsid w:val="00A53BD6"/>
    <w:rsid w:val="00A53D94"/>
    <w:rsid w:val="00A5425B"/>
    <w:rsid w:val="00A547E3"/>
    <w:rsid w:val="00A551AC"/>
    <w:rsid w:val="00A552E4"/>
    <w:rsid w:val="00A5596A"/>
    <w:rsid w:val="00A55A29"/>
    <w:rsid w:val="00A55E20"/>
    <w:rsid w:val="00A561CE"/>
    <w:rsid w:val="00A5633F"/>
    <w:rsid w:val="00A5641B"/>
    <w:rsid w:val="00A56430"/>
    <w:rsid w:val="00A56658"/>
    <w:rsid w:val="00A56775"/>
    <w:rsid w:val="00A56A18"/>
    <w:rsid w:val="00A600C4"/>
    <w:rsid w:val="00A6023B"/>
    <w:rsid w:val="00A60874"/>
    <w:rsid w:val="00A617D8"/>
    <w:rsid w:val="00A61A50"/>
    <w:rsid w:val="00A6239B"/>
    <w:rsid w:val="00A62540"/>
    <w:rsid w:val="00A63108"/>
    <w:rsid w:val="00A6388A"/>
    <w:rsid w:val="00A63AD2"/>
    <w:rsid w:val="00A63CDA"/>
    <w:rsid w:val="00A63EB5"/>
    <w:rsid w:val="00A6456A"/>
    <w:rsid w:val="00A64DA5"/>
    <w:rsid w:val="00A674DD"/>
    <w:rsid w:val="00A67910"/>
    <w:rsid w:val="00A67A2B"/>
    <w:rsid w:val="00A67EAE"/>
    <w:rsid w:val="00A7009F"/>
    <w:rsid w:val="00A7024A"/>
    <w:rsid w:val="00A70277"/>
    <w:rsid w:val="00A70768"/>
    <w:rsid w:val="00A709BF"/>
    <w:rsid w:val="00A70D2A"/>
    <w:rsid w:val="00A713BF"/>
    <w:rsid w:val="00A71DE0"/>
    <w:rsid w:val="00A7209C"/>
    <w:rsid w:val="00A729AF"/>
    <w:rsid w:val="00A729F7"/>
    <w:rsid w:val="00A72C20"/>
    <w:rsid w:val="00A73374"/>
    <w:rsid w:val="00A7403F"/>
    <w:rsid w:val="00A741F2"/>
    <w:rsid w:val="00A744A3"/>
    <w:rsid w:val="00A74B17"/>
    <w:rsid w:val="00A75249"/>
    <w:rsid w:val="00A7525E"/>
    <w:rsid w:val="00A75399"/>
    <w:rsid w:val="00A75455"/>
    <w:rsid w:val="00A7607E"/>
    <w:rsid w:val="00A762C5"/>
    <w:rsid w:val="00A77F83"/>
    <w:rsid w:val="00A80C9B"/>
    <w:rsid w:val="00A80ED8"/>
    <w:rsid w:val="00A81B3A"/>
    <w:rsid w:val="00A81C21"/>
    <w:rsid w:val="00A81D98"/>
    <w:rsid w:val="00A82174"/>
    <w:rsid w:val="00A82D0F"/>
    <w:rsid w:val="00A82FD2"/>
    <w:rsid w:val="00A8346D"/>
    <w:rsid w:val="00A8351D"/>
    <w:rsid w:val="00A836DB"/>
    <w:rsid w:val="00A842B7"/>
    <w:rsid w:val="00A853AB"/>
    <w:rsid w:val="00A85939"/>
    <w:rsid w:val="00A86DF7"/>
    <w:rsid w:val="00A870E9"/>
    <w:rsid w:val="00A87AF6"/>
    <w:rsid w:val="00A87B32"/>
    <w:rsid w:val="00A87DBB"/>
    <w:rsid w:val="00A9032C"/>
    <w:rsid w:val="00A90AA9"/>
    <w:rsid w:val="00A90E4B"/>
    <w:rsid w:val="00A9126B"/>
    <w:rsid w:val="00A91550"/>
    <w:rsid w:val="00A91777"/>
    <w:rsid w:val="00A91BB7"/>
    <w:rsid w:val="00A92204"/>
    <w:rsid w:val="00A927F1"/>
    <w:rsid w:val="00A93399"/>
    <w:rsid w:val="00A95018"/>
    <w:rsid w:val="00A950F4"/>
    <w:rsid w:val="00A9515E"/>
    <w:rsid w:val="00A953EB"/>
    <w:rsid w:val="00A97923"/>
    <w:rsid w:val="00AA023A"/>
    <w:rsid w:val="00AA0639"/>
    <w:rsid w:val="00AA0D62"/>
    <w:rsid w:val="00AA11D8"/>
    <w:rsid w:val="00AA12FB"/>
    <w:rsid w:val="00AA13BD"/>
    <w:rsid w:val="00AA1A37"/>
    <w:rsid w:val="00AA26D8"/>
    <w:rsid w:val="00AA2D89"/>
    <w:rsid w:val="00AA367F"/>
    <w:rsid w:val="00AA3695"/>
    <w:rsid w:val="00AA3A1A"/>
    <w:rsid w:val="00AA3B5D"/>
    <w:rsid w:val="00AA4033"/>
    <w:rsid w:val="00AA4402"/>
    <w:rsid w:val="00AA48ED"/>
    <w:rsid w:val="00AA5329"/>
    <w:rsid w:val="00AA550F"/>
    <w:rsid w:val="00AA5530"/>
    <w:rsid w:val="00AA5697"/>
    <w:rsid w:val="00AA5CC6"/>
    <w:rsid w:val="00AA6068"/>
    <w:rsid w:val="00AA7044"/>
    <w:rsid w:val="00AA7239"/>
    <w:rsid w:val="00AA7D06"/>
    <w:rsid w:val="00AA7D36"/>
    <w:rsid w:val="00AA7F82"/>
    <w:rsid w:val="00AB21D1"/>
    <w:rsid w:val="00AB2264"/>
    <w:rsid w:val="00AB25D0"/>
    <w:rsid w:val="00AB4355"/>
    <w:rsid w:val="00AB4D59"/>
    <w:rsid w:val="00AB55F9"/>
    <w:rsid w:val="00AB6614"/>
    <w:rsid w:val="00AB662B"/>
    <w:rsid w:val="00AB6A9C"/>
    <w:rsid w:val="00AB6C39"/>
    <w:rsid w:val="00AB7D51"/>
    <w:rsid w:val="00AB7D98"/>
    <w:rsid w:val="00AC0A12"/>
    <w:rsid w:val="00AC0B12"/>
    <w:rsid w:val="00AC0F4F"/>
    <w:rsid w:val="00AC0F8A"/>
    <w:rsid w:val="00AC1136"/>
    <w:rsid w:val="00AC161B"/>
    <w:rsid w:val="00AC16A4"/>
    <w:rsid w:val="00AC19AB"/>
    <w:rsid w:val="00AC1A02"/>
    <w:rsid w:val="00AC2755"/>
    <w:rsid w:val="00AC2BC3"/>
    <w:rsid w:val="00AC3133"/>
    <w:rsid w:val="00AC32E7"/>
    <w:rsid w:val="00AC3338"/>
    <w:rsid w:val="00AC33D2"/>
    <w:rsid w:val="00AC3842"/>
    <w:rsid w:val="00AC4496"/>
    <w:rsid w:val="00AC45DF"/>
    <w:rsid w:val="00AC47F7"/>
    <w:rsid w:val="00AC6184"/>
    <w:rsid w:val="00AC665A"/>
    <w:rsid w:val="00AC7AE9"/>
    <w:rsid w:val="00AC7E07"/>
    <w:rsid w:val="00AD150E"/>
    <w:rsid w:val="00AD17CC"/>
    <w:rsid w:val="00AD1998"/>
    <w:rsid w:val="00AD25B0"/>
    <w:rsid w:val="00AD2E20"/>
    <w:rsid w:val="00AD3995"/>
    <w:rsid w:val="00AD39A2"/>
    <w:rsid w:val="00AD47DD"/>
    <w:rsid w:val="00AD4B4E"/>
    <w:rsid w:val="00AD4B83"/>
    <w:rsid w:val="00AD6150"/>
    <w:rsid w:val="00AD6154"/>
    <w:rsid w:val="00AD62A2"/>
    <w:rsid w:val="00AD6E24"/>
    <w:rsid w:val="00AE1799"/>
    <w:rsid w:val="00AE19E9"/>
    <w:rsid w:val="00AE2095"/>
    <w:rsid w:val="00AE26A2"/>
    <w:rsid w:val="00AE28B1"/>
    <w:rsid w:val="00AE28EB"/>
    <w:rsid w:val="00AE2F24"/>
    <w:rsid w:val="00AE3A56"/>
    <w:rsid w:val="00AE3C96"/>
    <w:rsid w:val="00AE44F9"/>
    <w:rsid w:val="00AE5206"/>
    <w:rsid w:val="00AE521E"/>
    <w:rsid w:val="00AE5248"/>
    <w:rsid w:val="00AE5D74"/>
    <w:rsid w:val="00AE6432"/>
    <w:rsid w:val="00AE6818"/>
    <w:rsid w:val="00AE69DE"/>
    <w:rsid w:val="00AE6AE6"/>
    <w:rsid w:val="00AE6EC9"/>
    <w:rsid w:val="00AE716C"/>
    <w:rsid w:val="00AE7192"/>
    <w:rsid w:val="00AF040E"/>
    <w:rsid w:val="00AF042F"/>
    <w:rsid w:val="00AF05D4"/>
    <w:rsid w:val="00AF0C9C"/>
    <w:rsid w:val="00AF0D54"/>
    <w:rsid w:val="00AF1325"/>
    <w:rsid w:val="00AF1340"/>
    <w:rsid w:val="00AF1459"/>
    <w:rsid w:val="00AF1B7F"/>
    <w:rsid w:val="00AF22E3"/>
    <w:rsid w:val="00AF258E"/>
    <w:rsid w:val="00AF3197"/>
    <w:rsid w:val="00AF3280"/>
    <w:rsid w:val="00AF375C"/>
    <w:rsid w:val="00AF3B03"/>
    <w:rsid w:val="00AF4040"/>
    <w:rsid w:val="00AF4374"/>
    <w:rsid w:val="00AF4C84"/>
    <w:rsid w:val="00AF4C9B"/>
    <w:rsid w:val="00AF4DE8"/>
    <w:rsid w:val="00AF5033"/>
    <w:rsid w:val="00AF5169"/>
    <w:rsid w:val="00AF5183"/>
    <w:rsid w:val="00AF5CC7"/>
    <w:rsid w:val="00AF5D3E"/>
    <w:rsid w:val="00AF6858"/>
    <w:rsid w:val="00AF6CB6"/>
    <w:rsid w:val="00AF6CF7"/>
    <w:rsid w:val="00AF72EA"/>
    <w:rsid w:val="00AF749B"/>
    <w:rsid w:val="00AF7774"/>
    <w:rsid w:val="00AF7B5D"/>
    <w:rsid w:val="00B00307"/>
    <w:rsid w:val="00B00891"/>
    <w:rsid w:val="00B00949"/>
    <w:rsid w:val="00B00B12"/>
    <w:rsid w:val="00B00D58"/>
    <w:rsid w:val="00B01014"/>
    <w:rsid w:val="00B0116B"/>
    <w:rsid w:val="00B0158D"/>
    <w:rsid w:val="00B0169E"/>
    <w:rsid w:val="00B01889"/>
    <w:rsid w:val="00B02275"/>
    <w:rsid w:val="00B0234B"/>
    <w:rsid w:val="00B02657"/>
    <w:rsid w:val="00B03363"/>
    <w:rsid w:val="00B03FD1"/>
    <w:rsid w:val="00B0406B"/>
    <w:rsid w:val="00B06137"/>
    <w:rsid w:val="00B06538"/>
    <w:rsid w:val="00B06988"/>
    <w:rsid w:val="00B06B9F"/>
    <w:rsid w:val="00B07B16"/>
    <w:rsid w:val="00B07C9D"/>
    <w:rsid w:val="00B104F1"/>
    <w:rsid w:val="00B1070F"/>
    <w:rsid w:val="00B10E04"/>
    <w:rsid w:val="00B116F9"/>
    <w:rsid w:val="00B119DA"/>
    <w:rsid w:val="00B11C91"/>
    <w:rsid w:val="00B123AC"/>
    <w:rsid w:val="00B12444"/>
    <w:rsid w:val="00B1294A"/>
    <w:rsid w:val="00B129C6"/>
    <w:rsid w:val="00B129E8"/>
    <w:rsid w:val="00B13230"/>
    <w:rsid w:val="00B13C7F"/>
    <w:rsid w:val="00B13DA4"/>
    <w:rsid w:val="00B14069"/>
    <w:rsid w:val="00B142F5"/>
    <w:rsid w:val="00B143B3"/>
    <w:rsid w:val="00B145FC"/>
    <w:rsid w:val="00B1476B"/>
    <w:rsid w:val="00B15C49"/>
    <w:rsid w:val="00B1694C"/>
    <w:rsid w:val="00B1705E"/>
    <w:rsid w:val="00B174A1"/>
    <w:rsid w:val="00B17DD0"/>
    <w:rsid w:val="00B20265"/>
    <w:rsid w:val="00B20B8A"/>
    <w:rsid w:val="00B21368"/>
    <w:rsid w:val="00B21405"/>
    <w:rsid w:val="00B21520"/>
    <w:rsid w:val="00B21ED4"/>
    <w:rsid w:val="00B21F67"/>
    <w:rsid w:val="00B22532"/>
    <w:rsid w:val="00B22B40"/>
    <w:rsid w:val="00B23354"/>
    <w:rsid w:val="00B23884"/>
    <w:rsid w:val="00B24170"/>
    <w:rsid w:val="00B24319"/>
    <w:rsid w:val="00B24337"/>
    <w:rsid w:val="00B24BDD"/>
    <w:rsid w:val="00B25853"/>
    <w:rsid w:val="00B25989"/>
    <w:rsid w:val="00B25D0B"/>
    <w:rsid w:val="00B26F97"/>
    <w:rsid w:val="00B27432"/>
    <w:rsid w:val="00B27B29"/>
    <w:rsid w:val="00B27B2D"/>
    <w:rsid w:val="00B3011F"/>
    <w:rsid w:val="00B3037B"/>
    <w:rsid w:val="00B30CAC"/>
    <w:rsid w:val="00B31491"/>
    <w:rsid w:val="00B315AF"/>
    <w:rsid w:val="00B31E6C"/>
    <w:rsid w:val="00B324BD"/>
    <w:rsid w:val="00B32921"/>
    <w:rsid w:val="00B32F22"/>
    <w:rsid w:val="00B33240"/>
    <w:rsid w:val="00B332A6"/>
    <w:rsid w:val="00B33386"/>
    <w:rsid w:val="00B3415C"/>
    <w:rsid w:val="00B34207"/>
    <w:rsid w:val="00B3446D"/>
    <w:rsid w:val="00B34FED"/>
    <w:rsid w:val="00B356C1"/>
    <w:rsid w:val="00B35884"/>
    <w:rsid w:val="00B36023"/>
    <w:rsid w:val="00B3604B"/>
    <w:rsid w:val="00B36129"/>
    <w:rsid w:val="00B36517"/>
    <w:rsid w:val="00B36868"/>
    <w:rsid w:val="00B36F71"/>
    <w:rsid w:val="00B3729A"/>
    <w:rsid w:val="00B374DF"/>
    <w:rsid w:val="00B3766B"/>
    <w:rsid w:val="00B37A03"/>
    <w:rsid w:val="00B37E03"/>
    <w:rsid w:val="00B404FF"/>
    <w:rsid w:val="00B4097F"/>
    <w:rsid w:val="00B40CBB"/>
    <w:rsid w:val="00B412DF"/>
    <w:rsid w:val="00B41527"/>
    <w:rsid w:val="00B416F4"/>
    <w:rsid w:val="00B41E9C"/>
    <w:rsid w:val="00B43009"/>
    <w:rsid w:val="00B43B56"/>
    <w:rsid w:val="00B43C85"/>
    <w:rsid w:val="00B43DF6"/>
    <w:rsid w:val="00B43F83"/>
    <w:rsid w:val="00B442FD"/>
    <w:rsid w:val="00B4478A"/>
    <w:rsid w:val="00B44791"/>
    <w:rsid w:val="00B44B4E"/>
    <w:rsid w:val="00B44B71"/>
    <w:rsid w:val="00B44C6B"/>
    <w:rsid w:val="00B44F8C"/>
    <w:rsid w:val="00B450C6"/>
    <w:rsid w:val="00B46D2B"/>
    <w:rsid w:val="00B46F9C"/>
    <w:rsid w:val="00B4766E"/>
    <w:rsid w:val="00B50D31"/>
    <w:rsid w:val="00B50D62"/>
    <w:rsid w:val="00B51775"/>
    <w:rsid w:val="00B51B3E"/>
    <w:rsid w:val="00B52AB2"/>
    <w:rsid w:val="00B532DB"/>
    <w:rsid w:val="00B5464E"/>
    <w:rsid w:val="00B547E8"/>
    <w:rsid w:val="00B547F8"/>
    <w:rsid w:val="00B54E8B"/>
    <w:rsid w:val="00B555D6"/>
    <w:rsid w:val="00B57F3E"/>
    <w:rsid w:val="00B60196"/>
    <w:rsid w:val="00B6033F"/>
    <w:rsid w:val="00B60B57"/>
    <w:rsid w:val="00B60CEB"/>
    <w:rsid w:val="00B614E8"/>
    <w:rsid w:val="00B6268E"/>
    <w:rsid w:val="00B62D4B"/>
    <w:rsid w:val="00B63141"/>
    <w:rsid w:val="00B637DD"/>
    <w:rsid w:val="00B638D6"/>
    <w:rsid w:val="00B639E6"/>
    <w:rsid w:val="00B63B13"/>
    <w:rsid w:val="00B63C59"/>
    <w:rsid w:val="00B63F0D"/>
    <w:rsid w:val="00B6413C"/>
    <w:rsid w:val="00B6517F"/>
    <w:rsid w:val="00B65500"/>
    <w:rsid w:val="00B65547"/>
    <w:rsid w:val="00B659FB"/>
    <w:rsid w:val="00B664DA"/>
    <w:rsid w:val="00B6658E"/>
    <w:rsid w:val="00B666B6"/>
    <w:rsid w:val="00B667E8"/>
    <w:rsid w:val="00B71185"/>
    <w:rsid w:val="00B71532"/>
    <w:rsid w:val="00B72579"/>
    <w:rsid w:val="00B73402"/>
    <w:rsid w:val="00B734E8"/>
    <w:rsid w:val="00B7371D"/>
    <w:rsid w:val="00B73734"/>
    <w:rsid w:val="00B73897"/>
    <w:rsid w:val="00B73E87"/>
    <w:rsid w:val="00B740A4"/>
    <w:rsid w:val="00B74221"/>
    <w:rsid w:val="00B746A9"/>
    <w:rsid w:val="00B74A64"/>
    <w:rsid w:val="00B74D55"/>
    <w:rsid w:val="00B7569D"/>
    <w:rsid w:val="00B75F16"/>
    <w:rsid w:val="00B7698A"/>
    <w:rsid w:val="00B77C64"/>
    <w:rsid w:val="00B8026C"/>
    <w:rsid w:val="00B809F8"/>
    <w:rsid w:val="00B81396"/>
    <w:rsid w:val="00B81DEB"/>
    <w:rsid w:val="00B82C95"/>
    <w:rsid w:val="00B830A1"/>
    <w:rsid w:val="00B831A1"/>
    <w:rsid w:val="00B83771"/>
    <w:rsid w:val="00B83A62"/>
    <w:rsid w:val="00B83AA9"/>
    <w:rsid w:val="00B84034"/>
    <w:rsid w:val="00B8408A"/>
    <w:rsid w:val="00B841F4"/>
    <w:rsid w:val="00B8504F"/>
    <w:rsid w:val="00B8667B"/>
    <w:rsid w:val="00B867F7"/>
    <w:rsid w:val="00B869DE"/>
    <w:rsid w:val="00B86F5C"/>
    <w:rsid w:val="00B874EA"/>
    <w:rsid w:val="00B87A7D"/>
    <w:rsid w:val="00B90DB2"/>
    <w:rsid w:val="00B919F3"/>
    <w:rsid w:val="00B91A8A"/>
    <w:rsid w:val="00B942C2"/>
    <w:rsid w:val="00B94668"/>
    <w:rsid w:val="00B94B65"/>
    <w:rsid w:val="00B96307"/>
    <w:rsid w:val="00B965AE"/>
    <w:rsid w:val="00B96B55"/>
    <w:rsid w:val="00B9755F"/>
    <w:rsid w:val="00B977CF"/>
    <w:rsid w:val="00B97828"/>
    <w:rsid w:val="00B97EC5"/>
    <w:rsid w:val="00BA037C"/>
    <w:rsid w:val="00BA0E42"/>
    <w:rsid w:val="00BA18B1"/>
    <w:rsid w:val="00BA1CEF"/>
    <w:rsid w:val="00BA1E84"/>
    <w:rsid w:val="00BA1FCB"/>
    <w:rsid w:val="00BA2038"/>
    <w:rsid w:val="00BA25A7"/>
    <w:rsid w:val="00BA2696"/>
    <w:rsid w:val="00BA2948"/>
    <w:rsid w:val="00BA2CC3"/>
    <w:rsid w:val="00BA3051"/>
    <w:rsid w:val="00BA30CE"/>
    <w:rsid w:val="00BA33A6"/>
    <w:rsid w:val="00BA4119"/>
    <w:rsid w:val="00BA449C"/>
    <w:rsid w:val="00BA6D57"/>
    <w:rsid w:val="00BA6EC6"/>
    <w:rsid w:val="00BA709C"/>
    <w:rsid w:val="00BA73E5"/>
    <w:rsid w:val="00BA73F9"/>
    <w:rsid w:val="00BA79E1"/>
    <w:rsid w:val="00BA7A53"/>
    <w:rsid w:val="00BA7A55"/>
    <w:rsid w:val="00BA7A92"/>
    <w:rsid w:val="00BB006E"/>
    <w:rsid w:val="00BB0305"/>
    <w:rsid w:val="00BB054A"/>
    <w:rsid w:val="00BB0DB8"/>
    <w:rsid w:val="00BB16CF"/>
    <w:rsid w:val="00BB1E0D"/>
    <w:rsid w:val="00BB225D"/>
    <w:rsid w:val="00BB2409"/>
    <w:rsid w:val="00BB27AA"/>
    <w:rsid w:val="00BB2CF6"/>
    <w:rsid w:val="00BB3056"/>
    <w:rsid w:val="00BB396F"/>
    <w:rsid w:val="00BB423A"/>
    <w:rsid w:val="00BB491B"/>
    <w:rsid w:val="00BB5EA1"/>
    <w:rsid w:val="00BB674A"/>
    <w:rsid w:val="00BB6DBE"/>
    <w:rsid w:val="00BB72D2"/>
    <w:rsid w:val="00BB789F"/>
    <w:rsid w:val="00BB7F47"/>
    <w:rsid w:val="00BC0A0C"/>
    <w:rsid w:val="00BC0A3F"/>
    <w:rsid w:val="00BC2277"/>
    <w:rsid w:val="00BC24EC"/>
    <w:rsid w:val="00BC296A"/>
    <w:rsid w:val="00BC2D2A"/>
    <w:rsid w:val="00BC3CD5"/>
    <w:rsid w:val="00BC3F4A"/>
    <w:rsid w:val="00BC407B"/>
    <w:rsid w:val="00BC4673"/>
    <w:rsid w:val="00BC49D1"/>
    <w:rsid w:val="00BC4F19"/>
    <w:rsid w:val="00BC523C"/>
    <w:rsid w:val="00BC585A"/>
    <w:rsid w:val="00BC58E7"/>
    <w:rsid w:val="00BC5B22"/>
    <w:rsid w:val="00BC5BBB"/>
    <w:rsid w:val="00BC5BD1"/>
    <w:rsid w:val="00BC6A61"/>
    <w:rsid w:val="00BC6E7B"/>
    <w:rsid w:val="00BC75EC"/>
    <w:rsid w:val="00BC7805"/>
    <w:rsid w:val="00BC7A24"/>
    <w:rsid w:val="00BD031F"/>
    <w:rsid w:val="00BD1315"/>
    <w:rsid w:val="00BD1470"/>
    <w:rsid w:val="00BD2316"/>
    <w:rsid w:val="00BD3289"/>
    <w:rsid w:val="00BD377C"/>
    <w:rsid w:val="00BD3C9A"/>
    <w:rsid w:val="00BD413F"/>
    <w:rsid w:val="00BD45CA"/>
    <w:rsid w:val="00BD4C23"/>
    <w:rsid w:val="00BD4E34"/>
    <w:rsid w:val="00BD4F0D"/>
    <w:rsid w:val="00BD55CB"/>
    <w:rsid w:val="00BD5BDC"/>
    <w:rsid w:val="00BD5C08"/>
    <w:rsid w:val="00BD5D56"/>
    <w:rsid w:val="00BD61AE"/>
    <w:rsid w:val="00BD630D"/>
    <w:rsid w:val="00BD66A1"/>
    <w:rsid w:val="00BD6D1F"/>
    <w:rsid w:val="00BD6FDB"/>
    <w:rsid w:val="00BD7124"/>
    <w:rsid w:val="00BD736B"/>
    <w:rsid w:val="00BD737D"/>
    <w:rsid w:val="00BD742C"/>
    <w:rsid w:val="00BD743C"/>
    <w:rsid w:val="00BD7FAA"/>
    <w:rsid w:val="00BE015B"/>
    <w:rsid w:val="00BE046B"/>
    <w:rsid w:val="00BE0E92"/>
    <w:rsid w:val="00BE1A0A"/>
    <w:rsid w:val="00BE1CD3"/>
    <w:rsid w:val="00BE217C"/>
    <w:rsid w:val="00BE2407"/>
    <w:rsid w:val="00BE25B9"/>
    <w:rsid w:val="00BE2612"/>
    <w:rsid w:val="00BE2954"/>
    <w:rsid w:val="00BE2AA4"/>
    <w:rsid w:val="00BE3174"/>
    <w:rsid w:val="00BE376A"/>
    <w:rsid w:val="00BE3799"/>
    <w:rsid w:val="00BE3CB9"/>
    <w:rsid w:val="00BE4E7E"/>
    <w:rsid w:val="00BE55C5"/>
    <w:rsid w:val="00BE617B"/>
    <w:rsid w:val="00BE6403"/>
    <w:rsid w:val="00BE656D"/>
    <w:rsid w:val="00BE676D"/>
    <w:rsid w:val="00BE67AB"/>
    <w:rsid w:val="00BE6998"/>
    <w:rsid w:val="00BE7C52"/>
    <w:rsid w:val="00BF031B"/>
    <w:rsid w:val="00BF05F3"/>
    <w:rsid w:val="00BF0EBF"/>
    <w:rsid w:val="00BF154E"/>
    <w:rsid w:val="00BF1ACB"/>
    <w:rsid w:val="00BF1CA4"/>
    <w:rsid w:val="00BF248C"/>
    <w:rsid w:val="00BF271E"/>
    <w:rsid w:val="00BF2FE2"/>
    <w:rsid w:val="00BF391A"/>
    <w:rsid w:val="00BF395F"/>
    <w:rsid w:val="00BF39C1"/>
    <w:rsid w:val="00BF3DB8"/>
    <w:rsid w:val="00BF44EE"/>
    <w:rsid w:val="00BF4996"/>
    <w:rsid w:val="00BF4CA3"/>
    <w:rsid w:val="00BF5F21"/>
    <w:rsid w:val="00BF6099"/>
    <w:rsid w:val="00BF6129"/>
    <w:rsid w:val="00BF6ABA"/>
    <w:rsid w:val="00BF7CA9"/>
    <w:rsid w:val="00BF7E75"/>
    <w:rsid w:val="00C00405"/>
    <w:rsid w:val="00C00FD4"/>
    <w:rsid w:val="00C01487"/>
    <w:rsid w:val="00C042E8"/>
    <w:rsid w:val="00C04CDB"/>
    <w:rsid w:val="00C04EC8"/>
    <w:rsid w:val="00C0509C"/>
    <w:rsid w:val="00C0546A"/>
    <w:rsid w:val="00C057A2"/>
    <w:rsid w:val="00C05BCF"/>
    <w:rsid w:val="00C05F41"/>
    <w:rsid w:val="00C066D8"/>
    <w:rsid w:val="00C10ECE"/>
    <w:rsid w:val="00C11055"/>
    <w:rsid w:val="00C1134F"/>
    <w:rsid w:val="00C113D6"/>
    <w:rsid w:val="00C114F2"/>
    <w:rsid w:val="00C117A9"/>
    <w:rsid w:val="00C12CB7"/>
    <w:rsid w:val="00C12F37"/>
    <w:rsid w:val="00C14FAF"/>
    <w:rsid w:val="00C151B7"/>
    <w:rsid w:val="00C152B8"/>
    <w:rsid w:val="00C1579C"/>
    <w:rsid w:val="00C16FF4"/>
    <w:rsid w:val="00C174A4"/>
    <w:rsid w:val="00C17824"/>
    <w:rsid w:val="00C20BB3"/>
    <w:rsid w:val="00C20EA1"/>
    <w:rsid w:val="00C21610"/>
    <w:rsid w:val="00C21781"/>
    <w:rsid w:val="00C224F9"/>
    <w:rsid w:val="00C226D7"/>
    <w:rsid w:val="00C22AC8"/>
    <w:rsid w:val="00C22BF9"/>
    <w:rsid w:val="00C23B4D"/>
    <w:rsid w:val="00C23CB0"/>
    <w:rsid w:val="00C23E01"/>
    <w:rsid w:val="00C24B61"/>
    <w:rsid w:val="00C24D9B"/>
    <w:rsid w:val="00C25482"/>
    <w:rsid w:val="00C25556"/>
    <w:rsid w:val="00C25780"/>
    <w:rsid w:val="00C26205"/>
    <w:rsid w:val="00C26F99"/>
    <w:rsid w:val="00C27078"/>
    <w:rsid w:val="00C2708B"/>
    <w:rsid w:val="00C270C6"/>
    <w:rsid w:val="00C2790C"/>
    <w:rsid w:val="00C27EA4"/>
    <w:rsid w:val="00C302C6"/>
    <w:rsid w:val="00C30643"/>
    <w:rsid w:val="00C30B75"/>
    <w:rsid w:val="00C30FD5"/>
    <w:rsid w:val="00C310F9"/>
    <w:rsid w:val="00C313CF"/>
    <w:rsid w:val="00C318E5"/>
    <w:rsid w:val="00C319C5"/>
    <w:rsid w:val="00C31BBF"/>
    <w:rsid w:val="00C31D2E"/>
    <w:rsid w:val="00C31DF0"/>
    <w:rsid w:val="00C32026"/>
    <w:rsid w:val="00C328D5"/>
    <w:rsid w:val="00C32C9F"/>
    <w:rsid w:val="00C332E7"/>
    <w:rsid w:val="00C33C54"/>
    <w:rsid w:val="00C33C67"/>
    <w:rsid w:val="00C345E4"/>
    <w:rsid w:val="00C34A52"/>
    <w:rsid w:val="00C3522D"/>
    <w:rsid w:val="00C359F0"/>
    <w:rsid w:val="00C35C10"/>
    <w:rsid w:val="00C35D93"/>
    <w:rsid w:val="00C36336"/>
    <w:rsid w:val="00C36464"/>
    <w:rsid w:val="00C37159"/>
    <w:rsid w:val="00C37699"/>
    <w:rsid w:val="00C37B67"/>
    <w:rsid w:val="00C400E9"/>
    <w:rsid w:val="00C41263"/>
    <w:rsid w:val="00C417AA"/>
    <w:rsid w:val="00C417AE"/>
    <w:rsid w:val="00C41D2F"/>
    <w:rsid w:val="00C420B7"/>
    <w:rsid w:val="00C4244C"/>
    <w:rsid w:val="00C42497"/>
    <w:rsid w:val="00C428C4"/>
    <w:rsid w:val="00C42A5D"/>
    <w:rsid w:val="00C42C95"/>
    <w:rsid w:val="00C430C9"/>
    <w:rsid w:val="00C43F54"/>
    <w:rsid w:val="00C444C3"/>
    <w:rsid w:val="00C44681"/>
    <w:rsid w:val="00C44978"/>
    <w:rsid w:val="00C455BF"/>
    <w:rsid w:val="00C45925"/>
    <w:rsid w:val="00C45FF2"/>
    <w:rsid w:val="00C461FB"/>
    <w:rsid w:val="00C465F9"/>
    <w:rsid w:val="00C466ED"/>
    <w:rsid w:val="00C467D0"/>
    <w:rsid w:val="00C47091"/>
    <w:rsid w:val="00C470F0"/>
    <w:rsid w:val="00C47254"/>
    <w:rsid w:val="00C4774E"/>
    <w:rsid w:val="00C478A4"/>
    <w:rsid w:val="00C4794F"/>
    <w:rsid w:val="00C479A3"/>
    <w:rsid w:val="00C50544"/>
    <w:rsid w:val="00C50670"/>
    <w:rsid w:val="00C50C26"/>
    <w:rsid w:val="00C50C30"/>
    <w:rsid w:val="00C51D3E"/>
    <w:rsid w:val="00C51E52"/>
    <w:rsid w:val="00C52231"/>
    <w:rsid w:val="00C52569"/>
    <w:rsid w:val="00C52898"/>
    <w:rsid w:val="00C52F0D"/>
    <w:rsid w:val="00C53028"/>
    <w:rsid w:val="00C53555"/>
    <w:rsid w:val="00C5410C"/>
    <w:rsid w:val="00C5500D"/>
    <w:rsid w:val="00C5505E"/>
    <w:rsid w:val="00C5592C"/>
    <w:rsid w:val="00C55A92"/>
    <w:rsid w:val="00C55E70"/>
    <w:rsid w:val="00C56F36"/>
    <w:rsid w:val="00C57425"/>
    <w:rsid w:val="00C577FA"/>
    <w:rsid w:val="00C602FB"/>
    <w:rsid w:val="00C61166"/>
    <w:rsid w:val="00C61376"/>
    <w:rsid w:val="00C6168C"/>
    <w:rsid w:val="00C61ED8"/>
    <w:rsid w:val="00C62235"/>
    <w:rsid w:val="00C62586"/>
    <w:rsid w:val="00C62692"/>
    <w:rsid w:val="00C63352"/>
    <w:rsid w:val="00C63CA7"/>
    <w:rsid w:val="00C63F45"/>
    <w:rsid w:val="00C6469C"/>
    <w:rsid w:val="00C64C3A"/>
    <w:rsid w:val="00C64CB6"/>
    <w:rsid w:val="00C65035"/>
    <w:rsid w:val="00C6513C"/>
    <w:rsid w:val="00C654ED"/>
    <w:rsid w:val="00C66028"/>
    <w:rsid w:val="00C66B7F"/>
    <w:rsid w:val="00C66F1F"/>
    <w:rsid w:val="00C66F6B"/>
    <w:rsid w:val="00C675C3"/>
    <w:rsid w:val="00C67A91"/>
    <w:rsid w:val="00C67BE1"/>
    <w:rsid w:val="00C70B3A"/>
    <w:rsid w:val="00C71265"/>
    <w:rsid w:val="00C71CD7"/>
    <w:rsid w:val="00C7201B"/>
    <w:rsid w:val="00C733CE"/>
    <w:rsid w:val="00C73AA7"/>
    <w:rsid w:val="00C73F00"/>
    <w:rsid w:val="00C740B1"/>
    <w:rsid w:val="00C74C83"/>
    <w:rsid w:val="00C75C46"/>
    <w:rsid w:val="00C75FC0"/>
    <w:rsid w:val="00C76256"/>
    <w:rsid w:val="00C76537"/>
    <w:rsid w:val="00C76802"/>
    <w:rsid w:val="00C76F9D"/>
    <w:rsid w:val="00C77661"/>
    <w:rsid w:val="00C7778D"/>
    <w:rsid w:val="00C778EF"/>
    <w:rsid w:val="00C77A99"/>
    <w:rsid w:val="00C77B0D"/>
    <w:rsid w:val="00C80F06"/>
    <w:rsid w:val="00C82495"/>
    <w:rsid w:val="00C82621"/>
    <w:rsid w:val="00C82F60"/>
    <w:rsid w:val="00C82FAC"/>
    <w:rsid w:val="00C831B6"/>
    <w:rsid w:val="00C8381C"/>
    <w:rsid w:val="00C83966"/>
    <w:rsid w:val="00C83F96"/>
    <w:rsid w:val="00C84161"/>
    <w:rsid w:val="00C85617"/>
    <w:rsid w:val="00C85ABF"/>
    <w:rsid w:val="00C85D9A"/>
    <w:rsid w:val="00C85FF3"/>
    <w:rsid w:val="00C860B5"/>
    <w:rsid w:val="00C8672F"/>
    <w:rsid w:val="00C86DEA"/>
    <w:rsid w:val="00C879E7"/>
    <w:rsid w:val="00C90227"/>
    <w:rsid w:val="00C90C3D"/>
    <w:rsid w:val="00C91216"/>
    <w:rsid w:val="00C9126E"/>
    <w:rsid w:val="00C930AE"/>
    <w:rsid w:val="00C93533"/>
    <w:rsid w:val="00C93CE7"/>
    <w:rsid w:val="00C94AFD"/>
    <w:rsid w:val="00C95D21"/>
    <w:rsid w:val="00C967D1"/>
    <w:rsid w:val="00C96A43"/>
    <w:rsid w:val="00C979D8"/>
    <w:rsid w:val="00CA00F8"/>
    <w:rsid w:val="00CA016D"/>
    <w:rsid w:val="00CA0C1D"/>
    <w:rsid w:val="00CA131D"/>
    <w:rsid w:val="00CA1619"/>
    <w:rsid w:val="00CA18AC"/>
    <w:rsid w:val="00CA2837"/>
    <w:rsid w:val="00CA2D27"/>
    <w:rsid w:val="00CA301C"/>
    <w:rsid w:val="00CA30D6"/>
    <w:rsid w:val="00CA374A"/>
    <w:rsid w:val="00CA3A21"/>
    <w:rsid w:val="00CA4CC3"/>
    <w:rsid w:val="00CA5C8F"/>
    <w:rsid w:val="00CA5E93"/>
    <w:rsid w:val="00CA5FD8"/>
    <w:rsid w:val="00CA60A2"/>
    <w:rsid w:val="00CA6518"/>
    <w:rsid w:val="00CA67FD"/>
    <w:rsid w:val="00CA6DB2"/>
    <w:rsid w:val="00CA73A4"/>
    <w:rsid w:val="00CA787B"/>
    <w:rsid w:val="00CB04B2"/>
    <w:rsid w:val="00CB061C"/>
    <w:rsid w:val="00CB08EB"/>
    <w:rsid w:val="00CB0FA3"/>
    <w:rsid w:val="00CB1E6A"/>
    <w:rsid w:val="00CB24A4"/>
    <w:rsid w:val="00CB2B98"/>
    <w:rsid w:val="00CB2D83"/>
    <w:rsid w:val="00CB31B2"/>
    <w:rsid w:val="00CB38CF"/>
    <w:rsid w:val="00CB3C92"/>
    <w:rsid w:val="00CB4450"/>
    <w:rsid w:val="00CB456D"/>
    <w:rsid w:val="00CB4EE1"/>
    <w:rsid w:val="00CB514A"/>
    <w:rsid w:val="00CB5258"/>
    <w:rsid w:val="00CB55AF"/>
    <w:rsid w:val="00CB5BFA"/>
    <w:rsid w:val="00CB5E8A"/>
    <w:rsid w:val="00CB6902"/>
    <w:rsid w:val="00CB6EC0"/>
    <w:rsid w:val="00CB6F14"/>
    <w:rsid w:val="00CC165F"/>
    <w:rsid w:val="00CC17AE"/>
    <w:rsid w:val="00CC1D97"/>
    <w:rsid w:val="00CC21DB"/>
    <w:rsid w:val="00CC2526"/>
    <w:rsid w:val="00CC2532"/>
    <w:rsid w:val="00CC29AA"/>
    <w:rsid w:val="00CC4753"/>
    <w:rsid w:val="00CC479A"/>
    <w:rsid w:val="00CC4E1C"/>
    <w:rsid w:val="00CC59FB"/>
    <w:rsid w:val="00CC5F10"/>
    <w:rsid w:val="00CC6193"/>
    <w:rsid w:val="00CC6BC7"/>
    <w:rsid w:val="00CC6BCF"/>
    <w:rsid w:val="00CC6C16"/>
    <w:rsid w:val="00CC6C2B"/>
    <w:rsid w:val="00CC6F58"/>
    <w:rsid w:val="00CC76A9"/>
    <w:rsid w:val="00CC7709"/>
    <w:rsid w:val="00CC7A76"/>
    <w:rsid w:val="00CC7A77"/>
    <w:rsid w:val="00CC7D8F"/>
    <w:rsid w:val="00CD0075"/>
    <w:rsid w:val="00CD025E"/>
    <w:rsid w:val="00CD0FDF"/>
    <w:rsid w:val="00CD11B0"/>
    <w:rsid w:val="00CD1357"/>
    <w:rsid w:val="00CD163E"/>
    <w:rsid w:val="00CD17F8"/>
    <w:rsid w:val="00CD1855"/>
    <w:rsid w:val="00CD1D0A"/>
    <w:rsid w:val="00CD2295"/>
    <w:rsid w:val="00CD33C4"/>
    <w:rsid w:val="00CD366F"/>
    <w:rsid w:val="00CD38D3"/>
    <w:rsid w:val="00CD3938"/>
    <w:rsid w:val="00CD3B88"/>
    <w:rsid w:val="00CD4DB8"/>
    <w:rsid w:val="00CD5388"/>
    <w:rsid w:val="00CD552D"/>
    <w:rsid w:val="00CD5816"/>
    <w:rsid w:val="00CD5C32"/>
    <w:rsid w:val="00CD5C6C"/>
    <w:rsid w:val="00CD5DD3"/>
    <w:rsid w:val="00CD5FED"/>
    <w:rsid w:val="00CD60C0"/>
    <w:rsid w:val="00CD6666"/>
    <w:rsid w:val="00CD6700"/>
    <w:rsid w:val="00CD70A7"/>
    <w:rsid w:val="00CD787B"/>
    <w:rsid w:val="00CD7AE6"/>
    <w:rsid w:val="00CD7F4A"/>
    <w:rsid w:val="00CE0257"/>
    <w:rsid w:val="00CE0261"/>
    <w:rsid w:val="00CE06F0"/>
    <w:rsid w:val="00CE1045"/>
    <w:rsid w:val="00CE1192"/>
    <w:rsid w:val="00CE1CB7"/>
    <w:rsid w:val="00CE291F"/>
    <w:rsid w:val="00CE30D0"/>
    <w:rsid w:val="00CE315F"/>
    <w:rsid w:val="00CE3288"/>
    <w:rsid w:val="00CE3568"/>
    <w:rsid w:val="00CE3F00"/>
    <w:rsid w:val="00CE4083"/>
    <w:rsid w:val="00CE409D"/>
    <w:rsid w:val="00CE4955"/>
    <w:rsid w:val="00CE4F4A"/>
    <w:rsid w:val="00CE51C2"/>
    <w:rsid w:val="00CE615B"/>
    <w:rsid w:val="00CE6538"/>
    <w:rsid w:val="00CE6695"/>
    <w:rsid w:val="00CE6B77"/>
    <w:rsid w:val="00CE764E"/>
    <w:rsid w:val="00CE7FCF"/>
    <w:rsid w:val="00CF0E64"/>
    <w:rsid w:val="00CF0EE2"/>
    <w:rsid w:val="00CF11CF"/>
    <w:rsid w:val="00CF1289"/>
    <w:rsid w:val="00CF1562"/>
    <w:rsid w:val="00CF16CB"/>
    <w:rsid w:val="00CF1ACA"/>
    <w:rsid w:val="00CF2F2E"/>
    <w:rsid w:val="00CF44B3"/>
    <w:rsid w:val="00CF4560"/>
    <w:rsid w:val="00CF46D6"/>
    <w:rsid w:val="00CF4930"/>
    <w:rsid w:val="00CF54EC"/>
    <w:rsid w:val="00CF5839"/>
    <w:rsid w:val="00CF58F6"/>
    <w:rsid w:val="00CF5E37"/>
    <w:rsid w:val="00CF5E40"/>
    <w:rsid w:val="00CF62CF"/>
    <w:rsid w:val="00CF6FB0"/>
    <w:rsid w:val="00CF72AE"/>
    <w:rsid w:val="00CF7D7A"/>
    <w:rsid w:val="00D00178"/>
    <w:rsid w:val="00D003C6"/>
    <w:rsid w:val="00D00670"/>
    <w:rsid w:val="00D00AE5"/>
    <w:rsid w:val="00D0132F"/>
    <w:rsid w:val="00D01C2E"/>
    <w:rsid w:val="00D01FE3"/>
    <w:rsid w:val="00D0256E"/>
    <w:rsid w:val="00D02A4B"/>
    <w:rsid w:val="00D03804"/>
    <w:rsid w:val="00D039F9"/>
    <w:rsid w:val="00D04971"/>
    <w:rsid w:val="00D0582E"/>
    <w:rsid w:val="00D05ADB"/>
    <w:rsid w:val="00D10AAD"/>
    <w:rsid w:val="00D10BDA"/>
    <w:rsid w:val="00D10CA3"/>
    <w:rsid w:val="00D11351"/>
    <w:rsid w:val="00D1139F"/>
    <w:rsid w:val="00D115EB"/>
    <w:rsid w:val="00D1162E"/>
    <w:rsid w:val="00D124AF"/>
    <w:rsid w:val="00D127B4"/>
    <w:rsid w:val="00D12EAE"/>
    <w:rsid w:val="00D12ECA"/>
    <w:rsid w:val="00D13C51"/>
    <w:rsid w:val="00D14196"/>
    <w:rsid w:val="00D14707"/>
    <w:rsid w:val="00D14FB8"/>
    <w:rsid w:val="00D15759"/>
    <w:rsid w:val="00D15835"/>
    <w:rsid w:val="00D15A6D"/>
    <w:rsid w:val="00D16452"/>
    <w:rsid w:val="00D16671"/>
    <w:rsid w:val="00D16A5D"/>
    <w:rsid w:val="00D16C09"/>
    <w:rsid w:val="00D175FA"/>
    <w:rsid w:val="00D17893"/>
    <w:rsid w:val="00D179A8"/>
    <w:rsid w:val="00D17B20"/>
    <w:rsid w:val="00D17B52"/>
    <w:rsid w:val="00D200A9"/>
    <w:rsid w:val="00D20A68"/>
    <w:rsid w:val="00D20F99"/>
    <w:rsid w:val="00D22039"/>
    <w:rsid w:val="00D22F9B"/>
    <w:rsid w:val="00D23606"/>
    <w:rsid w:val="00D23B8B"/>
    <w:rsid w:val="00D242A2"/>
    <w:rsid w:val="00D24480"/>
    <w:rsid w:val="00D24938"/>
    <w:rsid w:val="00D24AC0"/>
    <w:rsid w:val="00D24CDC"/>
    <w:rsid w:val="00D250D0"/>
    <w:rsid w:val="00D256C2"/>
    <w:rsid w:val="00D25968"/>
    <w:rsid w:val="00D2608A"/>
    <w:rsid w:val="00D2651A"/>
    <w:rsid w:val="00D2697F"/>
    <w:rsid w:val="00D270EC"/>
    <w:rsid w:val="00D27B09"/>
    <w:rsid w:val="00D302FC"/>
    <w:rsid w:val="00D30426"/>
    <w:rsid w:val="00D3074F"/>
    <w:rsid w:val="00D30A1A"/>
    <w:rsid w:val="00D3109E"/>
    <w:rsid w:val="00D31312"/>
    <w:rsid w:val="00D3141F"/>
    <w:rsid w:val="00D327E3"/>
    <w:rsid w:val="00D32ECF"/>
    <w:rsid w:val="00D330C2"/>
    <w:rsid w:val="00D33B6D"/>
    <w:rsid w:val="00D33F7F"/>
    <w:rsid w:val="00D344B2"/>
    <w:rsid w:val="00D35484"/>
    <w:rsid w:val="00D35AF7"/>
    <w:rsid w:val="00D361DA"/>
    <w:rsid w:val="00D36366"/>
    <w:rsid w:val="00D36547"/>
    <w:rsid w:val="00D36F5B"/>
    <w:rsid w:val="00D37ADD"/>
    <w:rsid w:val="00D37B0A"/>
    <w:rsid w:val="00D37C79"/>
    <w:rsid w:val="00D4053B"/>
    <w:rsid w:val="00D40B46"/>
    <w:rsid w:val="00D40E6B"/>
    <w:rsid w:val="00D41189"/>
    <w:rsid w:val="00D412BF"/>
    <w:rsid w:val="00D41E85"/>
    <w:rsid w:val="00D422B0"/>
    <w:rsid w:val="00D425B9"/>
    <w:rsid w:val="00D42DDB"/>
    <w:rsid w:val="00D43F19"/>
    <w:rsid w:val="00D449FD"/>
    <w:rsid w:val="00D44A77"/>
    <w:rsid w:val="00D4548B"/>
    <w:rsid w:val="00D45997"/>
    <w:rsid w:val="00D46525"/>
    <w:rsid w:val="00D469C0"/>
    <w:rsid w:val="00D47645"/>
    <w:rsid w:val="00D50408"/>
    <w:rsid w:val="00D50902"/>
    <w:rsid w:val="00D50BDC"/>
    <w:rsid w:val="00D52061"/>
    <w:rsid w:val="00D520E2"/>
    <w:rsid w:val="00D52251"/>
    <w:rsid w:val="00D5262C"/>
    <w:rsid w:val="00D52757"/>
    <w:rsid w:val="00D52F55"/>
    <w:rsid w:val="00D52F66"/>
    <w:rsid w:val="00D52FA1"/>
    <w:rsid w:val="00D5332E"/>
    <w:rsid w:val="00D535DB"/>
    <w:rsid w:val="00D5380A"/>
    <w:rsid w:val="00D53A27"/>
    <w:rsid w:val="00D53CED"/>
    <w:rsid w:val="00D54236"/>
    <w:rsid w:val="00D54552"/>
    <w:rsid w:val="00D56265"/>
    <w:rsid w:val="00D57B03"/>
    <w:rsid w:val="00D57D86"/>
    <w:rsid w:val="00D57D9E"/>
    <w:rsid w:val="00D6067B"/>
    <w:rsid w:val="00D6070B"/>
    <w:rsid w:val="00D60C23"/>
    <w:rsid w:val="00D62779"/>
    <w:rsid w:val="00D629EA"/>
    <w:rsid w:val="00D641EB"/>
    <w:rsid w:val="00D64ECB"/>
    <w:rsid w:val="00D6544A"/>
    <w:rsid w:val="00D6567D"/>
    <w:rsid w:val="00D659A1"/>
    <w:rsid w:val="00D65EF1"/>
    <w:rsid w:val="00D66B1F"/>
    <w:rsid w:val="00D67E02"/>
    <w:rsid w:val="00D703B4"/>
    <w:rsid w:val="00D70451"/>
    <w:rsid w:val="00D711D8"/>
    <w:rsid w:val="00D7173B"/>
    <w:rsid w:val="00D7204E"/>
    <w:rsid w:val="00D72257"/>
    <w:rsid w:val="00D728B8"/>
    <w:rsid w:val="00D729D5"/>
    <w:rsid w:val="00D73F03"/>
    <w:rsid w:val="00D741C2"/>
    <w:rsid w:val="00D742C4"/>
    <w:rsid w:val="00D759F1"/>
    <w:rsid w:val="00D75A7D"/>
    <w:rsid w:val="00D761EE"/>
    <w:rsid w:val="00D76B4E"/>
    <w:rsid w:val="00D77226"/>
    <w:rsid w:val="00D8170D"/>
    <w:rsid w:val="00D81EC8"/>
    <w:rsid w:val="00D83B90"/>
    <w:rsid w:val="00D84514"/>
    <w:rsid w:val="00D847D0"/>
    <w:rsid w:val="00D84BFD"/>
    <w:rsid w:val="00D84E21"/>
    <w:rsid w:val="00D861CD"/>
    <w:rsid w:val="00D8637C"/>
    <w:rsid w:val="00D86778"/>
    <w:rsid w:val="00D86C17"/>
    <w:rsid w:val="00D87003"/>
    <w:rsid w:val="00D872D2"/>
    <w:rsid w:val="00D87357"/>
    <w:rsid w:val="00D8771E"/>
    <w:rsid w:val="00D87769"/>
    <w:rsid w:val="00D90608"/>
    <w:rsid w:val="00D9095E"/>
    <w:rsid w:val="00D90A53"/>
    <w:rsid w:val="00D91235"/>
    <w:rsid w:val="00D920FB"/>
    <w:rsid w:val="00D922F1"/>
    <w:rsid w:val="00D9248A"/>
    <w:rsid w:val="00D9346A"/>
    <w:rsid w:val="00D93503"/>
    <w:rsid w:val="00D9353A"/>
    <w:rsid w:val="00D9375D"/>
    <w:rsid w:val="00D93A38"/>
    <w:rsid w:val="00D94131"/>
    <w:rsid w:val="00D95CF6"/>
    <w:rsid w:val="00D95D04"/>
    <w:rsid w:val="00D9622C"/>
    <w:rsid w:val="00D9629F"/>
    <w:rsid w:val="00D97542"/>
    <w:rsid w:val="00DA0304"/>
    <w:rsid w:val="00DA0328"/>
    <w:rsid w:val="00DA0443"/>
    <w:rsid w:val="00DA0556"/>
    <w:rsid w:val="00DA05B3"/>
    <w:rsid w:val="00DA23FC"/>
    <w:rsid w:val="00DA2589"/>
    <w:rsid w:val="00DA2782"/>
    <w:rsid w:val="00DA2BEF"/>
    <w:rsid w:val="00DA2E49"/>
    <w:rsid w:val="00DA2F78"/>
    <w:rsid w:val="00DA401C"/>
    <w:rsid w:val="00DA427E"/>
    <w:rsid w:val="00DA42A9"/>
    <w:rsid w:val="00DA4E73"/>
    <w:rsid w:val="00DA4ED3"/>
    <w:rsid w:val="00DA51D8"/>
    <w:rsid w:val="00DA5232"/>
    <w:rsid w:val="00DA75DB"/>
    <w:rsid w:val="00DA76C0"/>
    <w:rsid w:val="00DA780C"/>
    <w:rsid w:val="00DA7998"/>
    <w:rsid w:val="00DA7AF8"/>
    <w:rsid w:val="00DA7B97"/>
    <w:rsid w:val="00DB0142"/>
    <w:rsid w:val="00DB01EC"/>
    <w:rsid w:val="00DB0BBB"/>
    <w:rsid w:val="00DB0EA1"/>
    <w:rsid w:val="00DB1189"/>
    <w:rsid w:val="00DB1DB6"/>
    <w:rsid w:val="00DB23ED"/>
    <w:rsid w:val="00DB2515"/>
    <w:rsid w:val="00DB2620"/>
    <w:rsid w:val="00DB2BE3"/>
    <w:rsid w:val="00DB3727"/>
    <w:rsid w:val="00DB3FA9"/>
    <w:rsid w:val="00DB44A6"/>
    <w:rsid w:val="00DB528D"/>
    <w:rsid w:val="00DB5B26"/>
    <w:rsid w:val="00DB5E62"/>
    <w:rsid w:val="00DB6644"/>
    <w:rsid w:val="00DB66DB"/>
    <w:rsid w:val="00DB7327"/>
    <w:rsid w:val="00DB7F76"/>
    <w:rsid w:val="00DC0769"/>
    <w:rsid w:val="00DC0D8A"/>
    <w:rsid w:val="00DC0E52"/>
    <w:rsid w:val="00DC115F"/>
    <w:rsid w:val="00DC1775"/>
    <w:rsid w:val="00DC1DC8"/>
    <w:rsid w:val="00DC272B"/>
    <w:rsid w:val="00DC284A"/>
    <w:rsid w:val="00DC33A4"/>
    <w:rsid w:val="00DC3581"/>
    <w:rsid w:val="00DC3B4E"/>
    <w:rsid w:val="00DC411B"/>
    <w:rsid w:val="00DC438B"/>
    <w:rsid w:val="00DC461C"/>
    <w:rsid w:val="00DC47C7"/>
    <w:rsid w:val="00DC53AC"/>
    <w:rsid w:val="00DC53BA"/>
    <w:rsid w:val="00DC5D44"/>
    <w:rsid w:val="00DC6D51"/>
    <w:rsid w:val="00DC7C7A"/>
    <w:rsid w:val="00DC7DF7"/>
    <w:rsid w:val="00DD0129"/>
    <w:rsid w:val="00DD0992"/>
    <w:rsid w:val="00DD0EE2"/>
    <w:rsid w:val="00DD18C9"/>
    <w:rsid w:val="00DD1F0E"/>
    <w:rsid w:val="00DD2BE6"/>
    <w:rsid w:val="00DD31A7"/>
    <w:rsid w:val="00DD4C0D"/>
    <w:rsid w:val="00DD4C9B"/>
    <w:rsid w:val="00DD4D18"/>
    <w:rsid w:val="00DD53DC"/>
    <w:rsid w:val="00DD563E"/>
    <w:rsid w:val="00DD5C29"/>
    <w:rsid w:val="00DD5CAC"/>
    <w:rsid w:val="00DD672F"/>
    <w:rsid w:val="00DD68F8"/>
    <w:rsid w:val="00DD7101"/>
    <w:rsid w:val="00DD784D"/>
    <w:rsid w:val="00DE137C"/>
    <w:rsid w:val="00DE1471"/>
    <w:rsid w:val="00DE189A"/>
    <w:rsid w:val="00DE1BB2"/>
    <w:rsid w:val="00DE2194"/>
    <w:rsid w:val="00DE2AB6"/>
    <w:rsid w:val="00DE3855"/>
    <w:rsid w:val="00DE3D75"/>
    <w:rsid w:val="00DE400F"/>
    <w:rsid w:val="00DE44F7"/>
    <w:rsid w:val="00DE4962"/>
    <w:rsid w:val="00DE4C61"/>
    <w:rsid w:val="00DE5B80"/>
    <w:rsid w:val="00DE6583"/>
    <w:rsid w:val="00DE709F"/>
    <w:rsid w:val="00DE7313"/>
    <w:rsid w:val="00DE774A"/>
    <w:rsid w:val="00DF0D66"/>
    <w:rsid w:val="00DF0E3D"/>
    <w:rsid w:val="00DF1A4B"/>
    <w:rsid w:val="00DF1B40"/>
    <w:rsid w:val="00DF21A4"/>
    <w:rsid w:val="00DF23F1"/>
    <w:rsid w:val="00DF27D9"/>
    <w:rsid w:val="00DF2922"/>
    <w:rsid w:val="00DF2EE8"/>
    <w:rsid w:val="00DF3B01"/>
    <w:rsid w:val="00DF458D"/>
    <w:rsid w:val="00DF4A4A"/>
    <w:rsid w:val="00DF519A"/>
    <w:rsid w:val="00DF5A27"/>
    <w:rsid w:val="00DF5FBE"/>
    <w:rsid w:val="00DF61D0"/>
    <w:rsid w:val="00DF6C8A"/>
    <w:rsid w:val="00DF715D"/>
    <w:rsid w:val="00DF76D1"/>
    <w:rsid w:val="00DF79A2"/>
    <w:rsid w:val="00DF7A18"/>
    <w:rsid w:val="00DF7DCC"/>
    <w:rsid w:val="00DF7F0A"/>
    <w:rsid w:val="00E0012D"/>
    <w:rsid w:val="00E00326"/>
    <w:rsid w:val="00E004E0"/>
    <w:rsid w:val="00E00B9C"/>
    <w:rsid w:val="00E01109"/>
    <w:rsid w:val="00E014C0"/>
    <w:rsid w:val="00E0152A"/>
    <w:rsid w:val="00E0192D"/>
    <w:rsid w:val="00E01E47"/>
    <w:rsid w:val="00E02AED"/>
    <w:rsid w:val="00E035CE"/>
    <w:rsid w:val="00E038D0"/>
    <w:rsid w:val="00E03B8E"/>
    <w:rsid w:val="00E03FB5"/>
    <w:rsid w:val="00E04842"/>
    <w:rsid w:val="00E0496B"/>
    <w:rsid w:val="00E05A55"/>
    <w:rsid w:val="00E05B24"/>
    <w:rsid w:val="00E0637B"/>
    <w:rsid w:val="00E06505"/>
    <w:rsid w:val="00E0680E"/>
    <w:rsid w:val="00E06933"/>
    <w:rsid w:val="00E06BC9"/>
    <w:rsid w:val="00E101AC"/>
    <w:rsid w:val="00E10EB5"/>
    <w:rsid w:val="00E11E2C"/>
    <w:rsid w:val="00E1223C"/>
    <w:rsid w:val="00E13BEB"/>
    <w:rsid w:val="00E14167"/>
    <w:rsid w:val="00E14318"/>
    <w:rsid w:val="00E15335"/>
    <w:rsid w:val="00E1611B"/>
    <w:rsid w:val="00E16312"/>
    <w:rsid w:val="00E16B59"/>
    <w:rsid w:val="00E16FEC"/>
    <w:rsid w:val="00E17D38"/>
    <w:rsid w:val="00E20067"/>
    <w:rsid w:val="00E2030C"/>
    <w:rsid w:val="00E204C5"/>
    <w:rsid w:val="00E20656"/>
    <w:rsid w:val="00E20780"/>
    <w:rsid w:val="00E20A0C"/>
    <w:rsid w:val="00E218BA"/>
    <w:rsid w:val="00E21A9E"/>
    <w:rsid w:val="00E21DBE"/>
    <w:rsid w:val="00E22208"/>
    <w:rsid w:val="00E22683"/>
    <w:rsid w:val="00E232AE"/>
    <w:rsid w:val="00E23372"/>
    <w:rsid w:val="00E23797"/>
    <w:rsid w:val="00E238EC"/>
    <w:rsid w:val="00E24A16"/>
    <w:rsid w:val="00E24BE8"/>
    <w:rsid w:val="00E24DEA"/>
    <w:rsid w:val="00E24EE7"/>
    <w:rsid w:val="00E252F0"/>
    <w:rsid w:val="00E25F2A"/>
    <w:rsid w:val="00E26675"/>
    <w:rsid w:val="00E27702"/>
    <w:rsid w:val="00E3003E"/>
    <w:rsid w:val="00E3022B"/>
    <w:rsid w:val="00E303BE"/>
    <w:rsid w:val="00E306DA"/>
    <w:rsid w:val="00E30968"/>
    <w:rsid w:val="00E3124F"/>
    <w:rsid w:val="00E316D9"/>
    <w:rsid w:val="00E32E67"/>
    <w:rsid w:val="00E330C5"/>
    <w:rsid w:val="00E33560"/>
    <w:rsid w:val="00E3413B"/>
    <w:rsid w:val="00E347E7"/>
    <w:rsid w:val="00E353E9"/>
    <w:rsid w:val="00E35776"/>
    <w:rsid w:val="00E3589F"/>
    <w:rsid w:val="00E35F3B"/>
    <w:rsid w:val="00E3650D"/>
    <w:rsid w:val="00E36EA9"/>
    <w:rsid w:val="00E370F0"/>
    <w:rsid w:val="00E3740A"/>
    <w:rsid w:val="00E401CF"/>
    <w:rsid w:val="00E40299"/>
    <w:rsid w:val="00E40F41"/>
    <w:rsid w:val="00E41393"/>
    <w:rsid w:val="00E41E97"/>
    <w:rsid w:val="00E42372"/>
    <w:rsid w:val="00E43744"/>
    <w:rsid w:val="00E4381D"/>
    <w:rsid w:val="00E43879"/>
    <w:rsid w:val="00E43B36"/>
    <w:rsid w:val="00E44044"/>
    <w:rsid w:val="00E441BF"/>
    <w:rsid w:val="00E44414"/>
    <w:rsid w:val="00E449B5"/>
    <w:rsid w:val="00E44A49"/>
    <w:rsid w:val="00E45190"/>
    <w:rsid w:val="00E4592C"/>
    <w:rsid w:val="00E45BB7"/>
    <w:rsid w:val="00E47304"/>
    <w:rsid w:val="00E47864"/>
    <w:rsid w:val="00E47BD0"/>
    <w:rsid w:val="00E47DAC"/>
    <w:rsid w:val="00E47F22"/>
    <w:rsid w:val="00E501A6"/>
    <w:rsid w:val="00E501EB"/>
    <w:rsid w:val="00E5076A"/>
    <w:rsid w:val="00E50BDC"/>
    <w:rsid w:val="00E50DBB"/>
    <w:rsid w:val="00E50E83"/>
    <w:rsid w:val="00E52403"/>
    <w:rsid w:val="00E52C97"/>
    <w:rsid w:val="00E532A8"/>
    <w:rsid w:val="00E53D05"/>
    <w:rsid w:val="00E54403"/>
    <w:rsid w:val="00E55624"/>
    <w:rsid w:val="00E55777"/>
    <w:rsid w:val="00E558D5"/>
    <w:rsid w:val="00E56B33"/>
    <w:rsid w:val="00E56C37"/>
    <w:rsid w:val="00E60643"/>
    <w:rsid w:val="00E60CD7"/>
    <w:rsid w:val="00E61322"/>
    <w:rsid w:val="00E61F75"/>
    <w:rsid w:val="00E636AB"/>
    <w:rsid w:val="00E63EF4"/>
    <w:rsid w:val="00E643C2"/>
    <w:rsid w:val="00E64C3E"/>
    <w:rsid w:val="00E64E56"/>
    <w:rsid w:val="00E6576C"/>
    <w:rsid w:val="00E65973"/>
    <w:rsid w:val="00E65F0D"/>
    <w:rsid w:val="00E662E1"/>
    <w:rsid w:val="00E666D7"/>
    <w:rsid w:val="00E66D43"/>
    <w:rsid w:val="00E679D3"/>
    <w:rsid w:val="00E70AE1"/>
    <w:rsid w:val="00E70C20"/>
    <w:rsid w:val="00E70D73"/>
    <w:rsid w:val="00E70FD0"/>
    <w:rsid w:val="00E71169"/>
    <w:rsid w:val="00E711F0"/>
    <w:rsid w:val="00E719DD"/>
    <w:rsid w:val="00E71D09"/>
    <w:rsid w:val="00E72019"/>
    <w:rsid w:val="00E7374D"/>
    <w:rsid w:val="00E73D04"/>
    <w:rsid w:val="00E74165"/>
    <w:rsid w:val="00E745B4"/>
    <w:rsid w:val="00E7461B"/>
    <w:rsid w:val="00E7484B"/>
    <w:rsid w:val="00E750A5"/>
    <w:rsid w:val="00E761A1"/>
    <w:rsid w:val="00E766D7"/>
    <w:rsid w:val="00E76BCC"/>
    <w:rsid w:val="00E7793F"/>
    <w:rsid w:val="00E77F8B"/>
    <w:rsid w:val="00E80EAC"/>
    <w:rsid w:val="00E811CA"/>
    <w:rsid w:val="00E8174E"/>
    <w:rsid w:val="00E81FD0"/>
    <w:rsid w:val="00E823CA"/>
    <w:rsid w:val="00E826FF"/>
    <w:rsid w:val="00E8284D"/>
    <w:rsid w:val="00E828FC"/>
    <w:rsid w:val="00E82BD9"/>
    <w:rsid w:val="00E83082"/>
    <w:rsid w:val="00E83EFF"/>
    <w:rsid w:val="00E83F2D"/>
    <w:rsid w:val="00E83F55"/>
    <w:rsid w:val="00E8408A"/>
    <w:rsid w:val="00E841DA"/>
    <w:rsid w:val="00E846ED"/>
    <w:rsid w:val="00E84760"/>
    <w:rsid w:val="00E8476C"/>
    <w:rsid w:val="00E856C5"/>
    <w:rsid w:val="00E86030"/>
    <w:rsid w:val="00E8618A"/>
    <w:rsid w:val="00E86DD1"/>
    <w:rsid w:val="00E876E4"/>
    <w:rsid w:val="00E90810"/>
    <w:rsid w:val="00E90DE0"/>
    <w:rsid w:val="00E918E1"/>
    <w:rsid w:val="00E919AD"/>
    <w:rsid w:val="00E928DA"/>
    <w:rsid w:val="00E93B7F"/>
    <w:rsid w:val="00E94894"/>
    <w:rsid w:val="00E94C7C"/>
    <w:rsid w:val="00E950BB"/>
    <w:rsid w:val="00E95263"/>
    <w:rsid w:val="00E95429"/>
    <w:rsid w:val="00E95804"/>
    <w:rsid w:val="00E95A51"/>
    <w:rsid w:val="00E9689F"/>
    <w:rsid w:val="00E96D01"/>
    <w:rsid w:val="00E96F1C"/>
    <w:rsid w:val="00E973CA"/>
    <w:rsid w:val="00E97504"/>
    <w:rsid w:val="00EA04E4"/>
    <w:rsid w:val="00EA0A7C"/>
    <w:rsid w:val="00EA0C40"/>
    <w:rsid w:val="00EA1C34"/>
    <w:rsid w:val="00EA2978"/>
    <w:rsid w:val="00EA2F88"/>
    <w:rsid w:val="00EA3450"/>
    <w:rsid w:val="00EA437D"/>
    <w:rsid w:val="00EA4EE5"/>
    <w:rsid w:val="00EA57AA"/>
    <w:rsid w:val="00EA5879"/>
    <w:rsid w:val="00EA5895"/>
    <w:rsid w:val="00EA5C4C"/>
    <w:rsid w:val="00EA6ABD"/>
    <w:rsid w:val="00EA6E50"/>
    <w:rsid w:val="00EA7311"/>
    <w:rsid w:val="00EA7784"/>
    <w:rsid w:val="00EA7A80"/>
    <w:rsid w:val="00EB06C3"/>
    <w:rsid w:val="00EB0B3A"/>
    <w:rsid w:val="00EB102E"/>
    <w:rsid w:val="00EB1C7D"/>
    <w:rsid w:val="00EB1F40"/>
    <w:rsid w:val="00EB29FE"/>
    <w:rsid w:val="00EB2F66"/>
    <w:rsid w:val="00EB3012"/>
    <w:rsid w:val="00EB39F1"/>
    <w:rsid w:val="00EB3BA9"/>
    <w:rsid w:val="00EB3E72"/>
    <w:rsid w:val="00EB4738"/>
    <w:rsid w:val="00EB54FC"/>
    <w:rsid w:val="00EB643C"/>
    <w:rsid w:val="00EB68F7"/>
    <w:rsid w:val="00EB6948"/>
    <w:rsid w:val="00EB6C92"/>
    <w:rsid w:val="00EB6E9A"/>
    <w:rsid w:val="00EB718C"/>
    <w:rsid w:val="00EB7472"/>
    <w:rsid w:val="00EB757A"/>
    <w:rsid w:val="00EB760D"/>
    <w:rsid w:val="00EB7667"/>
    <w:rsid w:val="00EC0250"/>
    <w:rsid w:val="00EC03AB"/>
    <w:rsid w:val="00EC0BF9"/>
    <w:rsid w:val="00EC12B7"/>
    <w:rsid w:val="00EC17A9"/>
    <w:rsid w:val="00EC1A2B"/>
    <w:rsid w:val="00EC321D"/>
    <w:rsid w:val="00EC3531"/>
    <w:rsid w:val="00EC3FF3"/>
    <w:rsid w:val="00EC438F"/>
    <w:rsid w:val="00EC48D1"/>
    <w:rsid w:val="00EC4E4D"/>
    <w:rsid w:val="00EC5A39"/>
    <w:rsid w:val="00EC5E74"/>
    <w:rsid w:val="00EC6532"/>
    <w:rsid w:val="00EC6D5D"/>
    <w:rsid w:val="00EC7046"/>
    <w:rsid w:val="00EC71CC"/>
    <w:rsid w:val="00EC71E5"/>
    <w:rsid w:val="00EC7404"/>
    <w:rsid w:val="00EC7ECE"/>
    <w:rsid w:val="00ED0086"/>
    <w:rsid w:val="00ED0A9A"/>
    <w:rsid w:val="00ED13C7"/>
    <w:rsid w:val="00ED1871"/>
    <w:rsid w:val="00ED18D1"/>
    <w:rsid w:val="00ED1A4B"/>
    <w:rsid w:val="00ED1C10"/>
    <w:rsid w:val="00ED1DAC"/>
    <w:rsid w:val="00ED2023"/>
    <w:rsid w:val="00ED2699"/>
    <w:rsid w:val="00ED2717"/>
    <w:rsid w:val="00ED2DAA"/>
    <w:rsid w:val="00ED3218"/>
    <w:rsid w:val="00ED32B8"/>
    <w:rsid w:val="00ED3581"/>
    <w:rsid w:val="00ED39F1"/>
    <w:rsid w:val="00ED3A9B"/>
    <w:rsid w:val="00ED3E2D"/>
    <w:rsid w:val="00ED44B0"/>
    <w:rsid w:val="00ED4951"/>
    <w:rsid w:val="00ED4965"/>
    <w:rsid w:val="00ED5396"/>
    <w:rsid w:val="00ED59E7"/>
    <w:rsid w:val="00ED6065"/>
    <w:rsid w:val="00ED63EC"/>
    <w:rsid w:val="00ED6577"/>
    <w:rsid w:val="00ED6A52"/>
    <w:rsid w:val="00ED701C"/>
    <w:rsid w:val="00ED7815"/>
    <w:rsid w:val="00EE05C0"/>
    <w:rsid w:val="00EE0737"/>
    <w:rsid w:val="00EE0CAD"/>
    <w:rsid w:val="00EE0EFE"/>
    <w:rsid w:val="00EE206D"/>
    <w:rsid w:val="00EE28AB"/>
    <w:rsid w:val="00EE300F"/>
    <w:rsid w:val="00EE3AAE"/>
    <w:rsid w:val="00EE3AC4"/>
    <w:rsid w:val="00EE3C69"/>
    <w:rsid w:val="00EE5052"/>
    <w:rsid w:val="00EE590D"/>
    <w:rsid w:val="00EE5923"/>
    <w:rsid w:val="00EE5EFB"/>
    <w:rsid w:val="00EE62E5"/>
    <w:rsid w:val="00EE7084"/>
    <w:rsid w:val="00EE7633"/>
    <w:rsid w:val="00EF0149"/>
    <w:rsid w:val="00EF08AD"/>
    <w:rsid w:val="00EF139E"/>
    <w:rsid w:val="00EF23B6"/>
    <w:rsid w:val="00EF2C66"/>
    <w:rsid w:val="00EF2CD9"/>
    <w:rsid w:val="00EF30BB"/>
    <w:rsid w:val="00EF3356"/>
    <w:rsid w:val="00EF33BE"/>
    <w:rsid w:val="00EF3689"/>
    <w:rsid w:val="00EF37FB"/>
    <w:rsid w:val="00EF37FD"/>
    <w:rsid w:val="00EF3FDC"/>
    <w:rsid w:val="00EF40A5"/>
    <w:rsid w:val="00EF4214"/>
    <w:rsid w:val="00EF4EE1"/>
    <w:rsid w:val="00EF5684"/>
    <w:rsid w:val="00EF57CE"/>
    <w:rsid w:val="00EF5AB2"/>
    <w:rsid w:val="00EF5CFA"/>
    <w:rsid w:val="00EF658A"/>
    <w:rsid w:val="00EF690E"/>
    <w:rsid w:val="00EF73D4"/>
    <w:rsid w:val="00EF77F4"/>
    <w:rsid w:val="00EF791F"/>
    <w:rsid w:val="00EF7998"/>
    <w:rsid w:val="00EF7A22"/>
    <w:rsid w:val="00EF7CC1"/>
    <w:rsid w:val="00F0086F"/>
    <w:rsid w:val="00F00A2F"/>
    <w:rsid w:val="00F0183A"/>
    <w:rsid w:val="00F01E16"/>
    <w:rsid w:val="00F0239A"/>
    <w:rsid w:val="00F02DD4"/>
    <w:rsid w:val="00F02DFD"/>
    <w:rsid w:val="00F02F78"/>
    <w:rsid w:val="00F03025"/>
    <w:rsid w:val="00F0307C"/>
    <w:rsid w:val="00F03225"/>
    <w:rsid w:val="00F037E7"/>
    <w:rsid w:val="00F03A20"/>
    <w:rsid w:val="00F03BD3"/>
    <w:rsid w:val="00F0404B"/>
    <w:rsid w:val="00F044C9"/>
    <w:rsid w:val="00F045AD"/>
    <w:rsid w:val="00F04602"/>
    <w:rsid w:val="00F05BAB"/>
    <w:rsid w:val="00F060B8"/>
    <w:rsid w:val="00F062AB"/>
    <w:rsid w:val="00F0674E"/>
    <w:rsid w:val="00F07CBF"/>
    <w:rsid w:val="00F07E79"/>
    <w:rsid w:val="00F1023E"/>
    <w:rsid w:val="00F107C8"/>
    <w:rsid w:val="00F10B18"/>
    <w:rsid w:val="00F10C2E"/>
    <w:rsid w:val="00F10C36"/>
    <w:rsid w:val="00F11B59"/>
    <w:rsid w:val="00F11C9F"/>
    <w:rsid w:val="00F1226D"/>
    <w:rsid w:val="00F126A3"/>
    <w:rsid w:val="00F12763"/>
    <w:rsid w:val="00F13AFC"/>
    <w:rsid w:val="00F13B8B"/>
    <w:rsid w:val="00F13EB3"/>
    <w:rsid w:val="00F13F08"/>
    <w:rsid w:val="00F14329"/>
    <w:rsid w:val="00F14641"/>
    <w:rsid w:val="00F14678"/>
    <w:rsid w:val="00F14946"/>
    <w:rsid w:val="00F14CF1"/>
    <w:rsid w:val="00F14F12"/>
    <w:rsid w:val="00F14F67"/>
    <w:rsid w:val="00F1578B"/>
    <w:rsid w:val="00F15AF9"/>
    <w:rsid w:val="00F15CBB"/>
    <w:rsid w:val="00F1755B"/>
    <w:rsid w:val="00F2004F"/>
    <w:rsid w:val="00F20438"/>
    <w:rsid w:val="00F2086E"/>
    <w:rsid w:val="00F20FEC"/>
    <w:rsid w:val="00F216C6"/>
    <w:rsid w:val="00F229AB"/>
    <w:rsid w:val="00F2334B"/>
    <w:rsid w:val="00F242C4"/>
    <w:rsid w:val="00F2491C"/>
    <w:rsid w:val="00F24C32"/>
    <w:rsid w:val="00F24E37"/>
    <w:rsid w:val="00F251A9"/>
    <w:rsid w:val="00F2523C"/>
    <w:rsid w:val="00F25282"/>
    <w:rsid w:val="00F2548A"/>
    <w:rsid w:val="00F25C6D"/>
    <w:rsid w:val="00F26123"/>
    <w:rsid w:val="00F26336"/>
    <w:rsid w:val="00F26767"/>
    <w:rsid w:val="00F2698F"/>
    <w:rsid w:val="00F26D89"/>
    <w:rsid w:val="00F270F4"/>
    <w:rsid w:val="00F27339"/>
    <w:rsid w:val="00F27730"/>
    <w:rsid w:val="00F279E0"/>
    <w:rsid w:val="00F31384"/>
    <w:rsid w:val="00F316EA"/>
    <w:rsid w:val="00F317C6"/>
    <w:rsid w:val="00F326E3"/>
    <w:rsid w:val="00F32855"/>
    <w:rsid w:val="00F32DA9"/>
    <w:rsid w:val="00F334ED"/>
    <w:rsid w:val="00F33658"/>
    <w:rsid w:val="00F33718"/>
    <w:rsid w:val="00F34AD3"/>
    <w:rsid w:val="00F3577A"/>
    <w:rsid w:val="00F36260"/>
    <w:rsid w:val="00F365CD"/>
    <w:rsid w:val="00F36743"/>
    <w:rsid w:val="00F37CF5"/>
    <w:rsid w:val="00F40326"/>
    <w:rsid w:val="00F4058F"/>
    <w:rsid w:val="00F40725"/>
    <w:rsid w:val="00F4099A"/>
    <w:rsid w:val="00F40EAA"/>
    <w:rsid w:val="00F41805"/>
    <w:rsid w:val="00F41923"/>
    <w:rsid w:val="00F41A88"/>
    <w:rsid w:val="00F4218A"/>
    <w:rsid w:val="00F425F3"/>
    <w:rsid w:val="00F43763"/>
    <w:rsid w:val="00F441B7"/>
    <w:rsid w:val="00F44588"/>
    <w:rsid w:val="00F45465"/>
    <w:rsid w:val="00F45495"/>
    <w:rsid w:val="00F45930"/>
    <w:rsid w:val="00F45ADC"/>
    <w:rsid w:val="00F46FA3"/>
    <w:rsid w:val="00F477AF"/>
    <w:rsid w:val="00F47B42"/>
    <w:rsid w:val="00F47F8D"/>
    <w:rsid w:val="00F50043"/>
    <w:rsid w:val="00F514F9"/>
    <w:rsid w:val="00F515EC"/>
    <w:rsid w:val="00F51B18"/>
    <w:rsid w:val="00F52A59"/>
    <w:rsid w:val="00F52B30"/>
    <w:rsid w:val="00F52D8B"/>
    <w:rsid w:val="00F53749"/>
    <w:rsid w:val="00F53D62"/>
    <w:rsid w:val="00F54B05"/>
    <w:rsid w:val="00F54F7B"/>
    <w:rsid w:val="00F557C3"/>
    <w:rsid w:val="00F558DD"/>
    <w:rsid w:val="00F559D1"/>
    <w:rsid w:val="00F5630D"/>
    <w:rsid w:val="00F56708"/>
    <w:rsid w:val="00F56712"/>
    <w:rsid w:val="00F56EA2"/>
    <w:rsid w:val="00F56F50"/>
    <w:rsid w:val="00F57828"/>
    <w:rsid w:val="00F57AFD"/>
    <w:rsid w:val="00F57CC9"/>
    <w:rsid w:val="00F57EC4"/>
    <w:rsid w:val="00F6004D"/>
    <w:rsid w:val="00F6029F"/>
    <w:rsid w:val="00F618C5"/>
    <w:rsid w:val="00F6295B"/>
    <w:rsid w:val="00F63232"/>
    <w:rsid w:val="00F6342A"/>
    <w:rsid w:val="00F63719"/>
    <w:rsid w:val="00F63C24"/>
    <w:rsid w:val="00F63DFE"/>
    <w:rsid w:val="00F641BE"/>
    <w:rsid w:val="00F649FE"/>
    <w:rsid w:val="00F64A0A"/>
    <w:rsid w:val="00F65334"/>
    <w:rsid w:val="00F65B68"/>
    <w:rsid w:val="00F65BAD"/>
    <w:rsid w:val="00F6615F"/>
    <w:rsid w:val="00F67157"/>
    <w:rsid w:val="00F6780B"/>
    <w:rsid w:val="00F67A7F"/>
    <w:rsid w:val="00F67B77"/>
    <w:rsid w:val="00F710A0"/>
    <w:rsid w:val="00F71216"/>
    <w:rsid w:val="00F71757"/>
    <w:rsid w:val="00F71ABB"/>
    <w:rsid w:val="00F72B96"/>
    <w:rsid w:val="00F72BB7"/>
    <w:rsid w:val="00F72CD7"/>
    <w:rsid w:val="00F72E25"/>
    <w:rsid w:val="00F734B3"/>
    <w:rsid w:val="00F737AD"/>
    <w:rsid w:val="00F738AA"/>
    <w:rsid w:val="00F73C18"/>
    <w:rsid w:val="00F73C38"/>
    <w:rsid w:val="00F745B5"/>
    <w:rsid w:val="00F7481E"/>
    <w:rsid w:val="00F748D8"/>
    <w:rsid w:val="00F7508B"/>
    <w:rsid w:val="00F750CE"/>
    <w:rsid w:val="00F753E4"/>
    <w:rsid w:val="00F7586D"/>
    <w:rsid w:val="00F762FA"/>
    <w:rsid w:val="00F76BC7"/>
    <w:rsid w:val="00F76FF4"/>
    <w:rsid w:val="00F771D5"/>
    <w:rsid w:val="00F7725C"/>
    <w:rsid w:val="00F77D60"/>
    <w:rsid w:val="00F803C0"/>
    <w:rsid w:val="00F80489"/>
    <w:rsid w:val="00F80A31"/>
    <w:rsid w:val="00F817A0"/>
    <w:rsid w:val="00F82639"/>
    <w:rsid w:val="00F82A8E"/>
    <w:rsid w:val="00F82E95"/>
    <w:rsid w:val="00F83456"/>
    <w:rsid w:val="00F8346F"/>
    <w:rsid w:val="00F83628"/>
    <w:rsid w:val="00F83875"/>
    <w:rsid w:val="00F83D7F"/>
    <w:rsid w:val="00F843D3"/>
    <w:rsid w:val="00F847A5"/>
    <w:rsid w:val="00F84D77"/>
    <w:rsid w:val="00F84DAF"/>
    <w:rsid w:val="00F8664B"/>
    <w:rsid w:val="00F866AD"/>
    <w:rsid w:val="00F86860"/>
    <w:rsid w:val="00F87171"/>
    <w:rsid w:val="00F87DAF"/>
    <w:rsid w:val="00F87E05"/>
    <w:rsid w:val="00F91080"/>
    <w:rsid w:val="00F929C3"/>
    <w:rsid w:val="00F92D19"/>
    <w:rsid w:val="00F930B6"/>
    <w:rsid w:val="00F936A7"/>
    <w:rsid w:val="00F9384D"/>
    <w:rsid w:val="00F94A2A"/>
    <w:rsid w:val="00F956E6"/>
    <w:rsid w:val="00F95924"/>
    <w:rsid w:val="00F95DEB"/>
    <w:rsid w:val="00F9624F"/>
    <w:rsid w:val="00F96407"/>
    <w:rsid w:val="00F966DF"/>
    <w:rsid w:val="00F96874"/>
    <w:rsid w:val="00F9704E"/>
    <w:rsid w:val="00F97721"/>
    <w:rsid w:val="00F97CD4"/>
    <w:rsid w:val="00FA023A"/>
    <w:rsid w:val="00FA0B9C"/>
    <w:rsid w:val="00FA0DE0"/>
    <w:rsid w:val="00FA15FD"/>
    <w:rsid w:val="00FA34D5"/>
    <w:rsid w:val="00FA3896"/>
    <w:rsid w:val="00FA3D16"/>
    <w:rsid w:val="00FA4994"/>
    <w:rsid w:val="00FA5199"/>
    <w:rsid w:val="00FA59F5"/>
    <w:rsid w:val="00FA5A27"/>
    <w:rsid w:val="00FA5E8A"/>
    <w:rsid w:val="00FA6BB1"/>
    <w:rsid w:val="00FA6FD7"/>
    <w:rsid w:val="00FA7217"/>
    <w:rsid w:val="00FA7508"/>
    <w:rsid w:val="00FA7EDB"/>
    <w:rsid w:val="00FB0048"/>
    <w:rsid w:val="00FB0E34"/>
    <w:rsid w:val="00FB0EAF"/>
    <w:rsid w:val="00FB1CBB"/>
    <w:rsid w:val="00FB2DE2"/>
    <w:rsid w:val="00FB3045"/>
    <w:rsid w:val="00FB3293"/>
    <w:rsid w:val="00FB4389"/>
    <w:rsid w:val="00FB46D1"/>
    <w:rsid w:val="00FB50FD"/>
    <w:rsid w:val="00FB524C"/>
    <w:rsid w:val="00FB5316"/>
    <w:rsid w:val="00FB59EA"/>
    <w:rsid w:val="00FB61AB"/>
    <w:rsid w:val="00FB633A"/>
    <w:rsid w:val="00FB6B8B"/>
    <w:rsid w:val="00FB6C55"/>
    <w:rsid w:val="00FB706D"/>
    <w:rsid w:val="00FB70B5"/>
    <w:rsid w:val="00FB74D5"/>
    <w:rsid w:val="00FB7993"/>
    <w:rsid w:val="00FC0F42"/>
    <w:rsid w:val="00FC1D0C"/>
    <w:rsid w:val="00FC3394"/>
    <w:rsid w:val="00FC3EDF"/>
    <w:rsid w:val="00FC3EF0"/>
    <w:rsid w:val="00FC4453"/>
    <w:rsid w:val="00FC4981"/>
    <w:rsid w:val="00FC64E1"/>
    <w:rsid w:val="00FC6653"/>
    <w:rsid w:val="00FC7678"/>
    <w:rsid w:val="00FD008B"/>
    <w:rsid w:val="00FD0A8C"/>
    <w:rsid w:val="00FD0C3C"/>
    <w:rsid w:val="00FD0CCF"/>
    <w:rsid w:val="00FD0E12"/>
    <w:rsid w:val="00FD140C"/>
    <w:rsid w:val="00FD145C"/>
    <w:rsid w:val="00FD1762"/>
    <w:rsid w:val="00FD1F85"/>
    <w:rsid w:val="00FD215A"/>
    <w:rsid w:val="00FD2665"/>
    <w:rsid w:val="00FD3575"/>
    <w:rsid w:val="00FD39BE"/>
    <w:rsid w:val="00FD3D98"/>
    <w:rsid w:val="00FD40D8"/>
    <w:rsid w:val="00FD447D"/>
    <w:rsid w:val="00FD44A4"/>
    <w:rsid w:val="00FD461F"/>
    <w:rsid w:val="00FD50A4"/>
    <w:rsid w:val="00FD520B"/>
    <w:rsid w:val="00FD5B60"/>
    <w:rsid w:val="00FD5F3A"/>
    <w:rsid w:val="00FD6D5F"/>
    <w:rsid w:val="00FD7198"/>
    <w:rsid w:val="00FD74A7"/>
    <w:rsid w:val="00FD7A1C"/>
    <w:rsid w:val="00FE015D"/>
    <w:rsid w:val="00FE0E7A"/>
    <w:rsid w:val="00FE12A2"/>
    <w:rsid w:val="00FE190B"/>
    <w:rsid w:val="00FE218F"/>
    <w:rsid w:val="00FE2DDD"/>
    <w:rsid w:val="00FE3640"/>
    <w:rsid w:val="00FE3C3F"/>
    <w:rsid w:val="00FE3D8E"/>
    <w:rsid w:val="00FE3F3A"/>
    <w:rsid w:val="00FE4629"/>
    <w:rsid w:val="00FE490F"/>
    <w:rsid w:val="00FE584F"/>
    <w:rsid w:val="00FE585E"/>
    <w:rsid w:val="00FE5F1E"/>
    <w:rsid w:val="00FE62BA"/>
    <w:rsid w:val="00FE6954"/>
    <w:rsid w:val="00FE6A6E"/>
    <w:rsid w:val="00FE6B87"/>
    <w:rsid w:val="00FF0634"/>
    <w:rsid w:val="00FF12AA"/>
    <w:rsid w:val="00FF2154"/>
    <w:rsid w:val="00FF239F"/>
    <w:rsid w:val="00FF2716"/>
    <w:rsid w:val="00FF32F9"/>
    <w:rsid w:val="00FF340F"/>
    <w:rsid w:val="00FF344D"/>
    <w:rsid w:val="00FF38FB"/>
    <w:rsid w:val="00FF3964"/>
    <w:rsid w:val="00FF554B"/>
    <w:rsid w:val="00FF5DE6"/>
    <w:rsid w:val="00FF5FF2"/>
    <w:rsid w:val="00FF7569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174C4B98"/>
  <w15:docId w15:val="{DF4A70A1-10AC-4297-9E31-B4046291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39E5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074A01"/>
    <w:pPr>
      <w:keepNext/>
      <w:keepLines/>
      <w:suppressAutoHyphens/>
      <w:overflowPunct w:val="0"/>
      <w:autoSpaceDE w:val="0"/>
      <w:autoSpaceDN w:val="0"/>
      <w:adjustRightInd w:val="0"/>
      <w:spacing w:before="480" w:after="240"/>
      <w:textAlignment w:val="baseline"/>
      <w:outlineLvl w:val="0"/>
    </w:pPr>
    <w:rPr>
      <w:rFonts w:ascii="Arial Narrow" w:hAnsi="Arial Narrow"/>
      <w:b/>
      <w:kern w:val="36"/>
      <w:sz w:val="36"/>
      <w:szCs w:val="20"/>
    </w:rPr>
  </w:style>
  <w:style w:type="paragraph" w:styleId="Nadpis2">
    <w:name w:val="heading 2"/>
    <w:basedOn w:val="Normln"/>
    <w:next w:val="Normln"/>
    <w:qFormat/>
    <w:rsid w:val="00074A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qFormat/>
    <w:rsid w:val="00074A0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rsid w:val="00074A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4A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qFormat/>
    <w:rsid w:val="00074A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074A01"/>
    <w:rPr>
      <w:rFonts w:ascii="Arial Narrow" w:hAnsi="Arial Narrow"/>
      <w:b/>
      <w:kern w:val="36"/>
      <w:sz w:val="36"/>
    </w:rPr>
  </w:style>
  <w:style w:type="character" w:customStyle="1" w:styleId="Nadpis2Char">
    <w:name w:val="Nadpis 2 Char"/>
    <w:basedOn w:val="Standardnpsmoodstavce"/>
    <w:rsid w:val="00074A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Vrazncitt">
    <w:name w:val="Intense Quote"/>
    <w:basedOn w:val="Normln"/>
    <w:next w:val="Normln"/>
    <w:qFormat/>
    <w:rsid w:val="00074A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basedOn w:val="Standardnpsmoodstavce"/>
    <w:rsid w:val="00074A01"/>
    <w:rPr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qFormat/>
    <w:rsid w:val="00074A01"/>
    <w:rPr>
      <w:b/>
      <w:bCs/>
      <w:i/>
      <w:iCs/>
      <w:color w:val="4F81BD"/>
    </w:rPr>
  </w:style>
  <w:style w:type="paragraph" w:customStyle="1" w:styleId="Bn">
    <w:name w:val="Běžný"/>
    <w:basedOn w:val="Normln"/>
    <w:qFormat/>
    <w:rsid w:val="00074A01"/>
    <w:pPr>
      <w:spacing w:before="40" w:line="276" w:lineRule="auto"/>
      <w:ind w:firstLine="284"/>
      <w:jc w:val="both"/>
    </w:pPr>
    <w:rPr>
      <w:rFonts w:ascii="Palatino Linotype" w:eastAsia="Calibri" w:hAnsi="Palatino Linotype"/>
      <w:sz w:val="22"/>
      <w:szCs w:val="22"/>
    </w:rPr>
  </w:style>
  <w:style w:type="character" w:customStyle="1" w:styleId="Nadpis3Char">
    <w:name w:val="Nadpis 3 Char"/>
    <w:basedOn w:val="Standardnpsmoodstavce"/>
    <w:uiPriority w:val="9"/>
    <w:rsid w:val="00074A0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Zkladntext3">
    <w:name w:val="Body Text 3"/>
    <w:basedOn w:val="Normln"/>
    <w:unhideWhenUsed/>
    <w:rsid w:val="00074A01"/>
    <w:pPr>
      <w:spacing w:after="120"/>
    </w:pPr>
    <w:rPr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rsid w:val="00074A01"/>
    <w:rPr>
      <w:sz w:val="16"/>
      <w:szCs w:val="16"/>
      <w:lang w:eastAsia="en-US"/>
    </w:rPr>
  </w:style>
  <w:style w:type="character" w:customStyle="1" w:styleId="Nadpis4Char">
    <w:name w:val="Nadpis 4 Char"/>
    <w:basedOn w:val="Standardnpsmoodstavce"/>
    <w:rsid w:val="00074A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semiHidden/>
    <w:rsid w:val="00074A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9Char">
    <w:name w:val="Nadpis 9 Char"/>
    <w:basedOn w:val="Standardnpsmoodstavce"/>
    <w:semiHidden/>
    <w:rsid w:val="00074A01"/>
    <w:rPr>
      <w:rFonts w:ascii="Cambria" w:eastAsia="Times New Roman" w:hAnsi="Cambria" w:cs="Times New Roman"/>
      <w:sz w:val="22"/>
      <w:szCs w:val="22"/>
    </w:rPr>
  </w:style>
  <w:style w:type="paragraph" w:styleId="Zkladntextodsazen">
    <w:name w:val="Body Text Indent"/>
    <w:basedOn w:val="Normln"/>
    <w:unhideWhenUsed/>
    <w:rsid w:val="00074A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semiHidden/>
    <w:rsid w:val="00074A01"/>
    <w:rPr>
      <w:sz w:val="24"/>
      <w:szCs w:val="24"/>
    </w:rPr>
  </w:style>
  <w:style w:type="paragraph" w:customStyle="1" w:styleId="Zkladn">
    <w:name w:val="Základní"/>
    <w:basedOn w:val="Normln"/>
    <w:rsid w:val="00074A01"/>
    <w:pPr>
      <w:spacing w:before="120"/>
      <w:jc w:val="both"/>
    </w:pPr>
    <w:rPr>
      <w:lang w:eastAsia="en-US"/>
    </w:rPr>
  </w:style>
  <w:style w:type="paragraph" w:styleId="Textpoznpodarou">
    <w:name w:val="footnote text"/>
    <w:basedOn w:val="Normln"/>
    <w:uiPriority w:val="99"/>
    <w:unhideWhenUsed/>
    <w:rsid w:val="00074A01"/>
    <w:rPr>
      <w:sz w:val="20"/>
      <w:szCs w:val="20"/>
    </w:rPr>
  </w:style>
  <w:style w:type="character" w:customStyle="1" w:styleId="TextpoznpodarouChar">
    <w:name w:val="Text pozn. pod čarou Char"/>
    <w:basedOn w:val="Standardnpsmoodstavce"/>
    <w:uiPriority w:val="99"/>
    <w:semiHidden/>
    <w:rsid w:val="00074A01"/>
  </w:style>
  <w:style w:type="character" w:styleId="Znakapoznpodarou">
    <w:name w:val="footnote reference"/>
    <w:aliases w:val="Footnote,Footnote call"/>
    <w:basedOn w:val="Standardnpsmoodstavce"/>
    <w:uiPriority w:val="99"/>
    <w:semiHidden/>
    <w:unhideWhenUsed/>
    <w:rsid w:val="00074A01"/>
    <w:rPr>
      <w:vertAlign w:val="superscript"/>
    </w:rPr>
  </w:style>
  <w:style w:type="paragraph" w:styleId="Zhlav">
    <w:name w:val="head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074A01"/>
    <w:rPr>
      <w:sz w:val="24"/>
      <w:szCs w:val="24"/>
    </w:rPr>
  </w:style>
  <w:style w:type="paragraph" w:styleId="Zpat">
    <w:name w:val="foot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074A0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A709C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B667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7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7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7E8"/>
    <w:rPr>
      <w:b/>
      <w:bCs/>
    </w:rPr>
  </w:style>
  <w:style w:type="paragraph" w:styleId="Revize">
    <w:name w:val="Revision"/>
    <w:hidden/>
    <w:uiPriority w:val="99"/>
    <w:semiHidden/>
    <w:rsid w:val="00B667E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03A70"/>
    <w:rPr>
      <w:rFonts w:ascii="Arial" w:eastAsia="Calibri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C41D2F"/>
    <w:pPr>
      <w:jc w:val="both"/>
    </w:pPr>
    <w:rPr>
      <w:rFonts w:cs="Arial"/>
      <w:i/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41D2F"/>
    <w:rPr>
      <w:rFonts w:ascii="Arial" w:hAnsi="Arial" w:cs="Arial"/>
      <w:i/>
      <w:sz w:val="22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5DC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5DC0"/>
    <w:rPr>
      <w:rFonts w:ascii="Arial" w:hAnsi="Arial"/>
      <w:sz w:val="16"/>
      <w:szCs w:val="16"/>
    </w:rPr>
  </w:style>
  <w:style w:type="paragraph" w:customStyle="1" w:styleId="NadpisKZ">
    <w:name w:val="Nadpis KZ"/>
    <w:basedOn w:val="Zkladntext2"/>
    <w:rsid w:val="004827C3"/>
  </w:style>
  <w:style w:type="paragraph" w:styleId="Zkladntext2">
    <w:name w:val="Body Text 2"/>
    <w:basedOn w:val="Normln"/>
    <w:link w:val="Zkladntext2Char"/>
    <w:uiPriority w:val="99"/>
    <w:semiHidden/>
    <w:unhideWhenUsed/>
    <w:rsid w:val="004827C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827C3"/>
    <w:rPr>
      <w:rFonts w:ascii="Arial" w:hAnsi="Arial"/>
      <w:sz w:val="24"/>
      <w:szCs w:val="24"/>
    </w:rPr>
  </w:style>
  <w:style w:type="paragraph" w:customStyle="1" w:styleId="Char4CharCharCharCharCharCharCharCharCharChar">
    <w:name w:val="Char4 Char Char Char Char Char Char Char Char Char Char"/>
    <w:basedOn w:val="Normln"/>
    <w:rsid w:val="000F3776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925EFE"/>
    <w:rPr>
      <w:color w:val="0000FF" w:themeColor="hyperlink"/>
      <w:u w:val="single"/>
    </w:rPr>
  </w:style>
  <w:style w:type="table" w:customStyle="1" w:styleId="Mkatabulky10">
    <w:name w:val="Mřížka tabulky10"/>
    <w:basedOn w:val="Normlntabulka"/>
    <w:next w:val="Mkatabulky"/>
    <w:uiPriority w:val="59"/>
    <w:rsid w:val="003A2E8D"/>
    <w:rPr>
      <w:rFonts w:asciiTheme="minorHAnsi" w:eastAsia="Calibr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7A253E"/>
    <w:rPr>
      <w:rFonts w:ascii="Arial" w:eastAsia="Calibri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E67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E79BEE-FEA5-4248-ACF2-02B36DB8E1D3}"/>
</file>

<file path=customXml/itemProps2.xml><?xml version="1.0" encoding="utf-8"?>
<ds:datastoreItem xmlns:ds="http://schemas.openxmlformats.org/officeDocument/2006/customXml" ds:itemID="{1C7228B4-BA39-49C6-B50E-51DA7CF18AF6}"/>
</file>

<file path=customXml/itemProps3.xml><?xml version="1.0" encoding="utf-8"?>
<ds:datastoreItem xmlns:ds="http://schemas.openxmlformats.org/officeDocument/2006/customXml" ds:itemID="{C871347A-F5E8-4EAA-9ACC-BF9749B23F79}"/>
</file>

<file path=customXml/itemProps4.xml><?xml version="1.0" encoding="utf-8"?>
<ds:datastoreItem xmlns:ds="http://schemas.openxmlformats.org/officeDocument/2006/customXml" ds:itemID="{86263C6D-10C8-4811-91D7-0A65CD731739}"/>
</file>

<file path=docProps/app.xml><?xml version="1.0" encoding="utf-8"?>
<Properties xmlns="http://schemas.openxmlformats.org/officeDocument/2006/extended-properties" xmlns:vt="http://schemas.openxmlformats.org/officeDocument/2006/docPropsVTypes">
  <Template>53DD8E99.dotm</Template>
  <TotalTime>9</TotalTime>
  <Pages>12</Pages>
  <Words>4472</Words>
  <Characters>26388</Characters>
  <Application>Microsoft Office Word</Application>
  <DocSecurity>0</DocSecurity>
  <Lines>219</Lines>
  <Paragraphs>61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Kontrolní závěr z kontrolní akce NKÚ č. 14/23</vt:lpstr>
      <vt:lpstr> </vt:lpstr>
    </vt:vector>
  </TitlesOfParts>
  <Company>Nejvyšší kontrolní úřad</Company>
  <LinksUpToDate>false</LinksUpToDate>
  <CharactersWithSpaces>30799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15/16</dc:title>
  <dc:creator>Nejvyšší kontrolní úřad</dc:creator>
  <cp:keywords>programy, ministerstvo spravedlnosti, kontrolní závěr</cp:keywords>
  <dc:description/>
  <cp:lastModifiedBy>KOKRDA Daniel</cp:lastModifiedBy>
  <cp:revision>5</cp:revision>
  <cp:lastPrinted>2016-01-21T14:20:00Z</cp:lastPrinted>
  <dcterms:created xsi:type="dcterms:W3CDTF">2016-01-22T07:26:00Z</dcterms:created>
  <dcterms:modified xsi:type="dcterms:W3CDTF">2016-01-28T07:29:00Z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114/15-NKU200/851/15</vt:lpwstr>
  </property>
  <property fmtid="{D5CDD505-2E9C-101B-9397-08002B2CF9AE}" pid="3" name="SZ_Spis_Pisemnost">
    <vt:lpwstr>114/15</vt:lpwstr>
  </property>
  <property fmtid="{D5CDD505-2E9C-101B-9397-08002B2CF9AE}" pid="4" name="DisplayName_SpisovyUzel_PoziceZodpo_Pisemnost">
    <vt:lpwstr>200</vt:lpwstr>
  </property>
  <property fmtid="{D5CDD505-2E9C-101B-9397-08002B2CF9AE}" pid="5" name="Zkratka_SpisovyUzel_PoziceZodpo_Pisemnost">
    <vt:lpwstr>200</vt:lpwstr>
  </property>
  <property fmtid="{D5CDD505-2E9C-101B-9397-08002B2CF9AE}" pid="6" name="Key_BarCode_Pisemnost">
    <vt:lpwstr>*B000254691*</vt:lpwstr>
  </property>
  <property fmtid="{D5CDD505-2E9C-101B-9397-08002B2CF9AE}" pid="7" name="DisplayName_CisloObalky_PostaOdes">
    <vt:lpwstr>{DisplayName_CisloObalky_PostaOdes}</vt:lpwstr>
  </property>
  <property fmtid="{D5CDD505-2E9C-101B-9397-08002B2CF9AE}" pid="8" name="EC_Pisemnost">
    <vt:lpwstr>15-22066/NKU</vt:lpwstr>
  </property>
  <property fmtid="{D5CDD505-2E9C-101B-9397-08002B2CF9AE}" pid="9" name="Odkaz">
    <vt:lpwstr>ODKAZ</vt:lpwstr>
  </property>
  <property fmtid="{D5CDD505-2E9C-101B-9397-08002B2CF9AE}" pid="10" name="SkartacniZnakLhuta_PisemnostZnak">
    <vt:lpwstr>?/?</vt:lpwstr>
  </property>
  <property fmtid="{D5CDD505-2E9C-101B-9397-08002B2CF9AE}" pid="11" name="CJ_Spis_Pisemnost">
    <vt:lpwstr>CJ/SPIS/ROK</vt:lpwstr>
  </property>
  <property fmtid="{D5CDD505-2E9C-101B-9397-08002B2CF9AE}" pid="12" name="ContentTypeId">
    <vt:lpwstr>0x0101002F7A625AE9F5AB4A939F92BCAA7FEC02</vt:lpwstr>
  </property>
  <property fmtid="{D5CDD505-2E9C-101B-9397-08002B2CF9AE}" pid="13" name="Contact_PostaOdes_All">
    <vt:lpwstr>ROZDĚLOVNÍK...</vt:lpwstr>
  </property>
  <property fmtid="{D5CDD505-2E9C-101B-9397-08002B2CF9AE}" pid="14" name="UserName_PisemnostTypZpristupneniInformaciZOSZ_Pisemnost">
    <vt:lpwstr>ZOSZ_UserName</vt:lpwstr>
  </property>
  <property fmtid="{D5CDD505-2E9C-101B-9397-08002B2CF9AE}" pid="15" name="Password_PisemnostTypZpristupneniInformaciZOSZ_Pisemnost">
    <vt:lpwstr>ZOSZ_Password</vt:lpwstr>
  </property>
  <property fmtid="{D5CDD505-2E9C-101B-9397-08002B2CF9AE}" pid="16" name="DatumPlatnosti_PisemnostTypZpristupneniInformaciZOSZ_Pisemnost">
    <vt:lpwstr>ZOSZ_DatumPlatnosti</vt:lpwstr>
  </property>
  <property fmtid="{D5CDD505-2E9C-101B-9397-08002B2CF9AE}" pid="17" name="TEST">
    <vt:lpwstr>testovací pole</vt:lpwstr>
  </property>
  <property fmtid="{D5CDD505-2E9C-101B-9397-08002B2CF9AE}" pid="18" name="PocetListu_Pisemnost">
    <vt:lpwstr>1</vt:lpwstr>
  </property>
  <property fmtid="{D5CDD505-2E9C-101B-9397-08002B2CF9AE}" pid="19" name="Vec_Pisemnost">
    <vt:lpwstr>KZ 15/16 - připomínkové řízení</vt:lpwstr>
  </property>
  <property fmtid="{D5CDD505-2E9C-101B-9397-08002B2CF9AE}" pid="20" name="DatumPoriz_Pisemnost">
    <vt:lpwstr>14.12.2015</vt:lpwstr>
  </property>
  <property fmtid="{D5CDD505-2E9C-101B-9397-08002B2CF9AE}" pid="21" name="KRukam">
    <vt:lpwstr>{KRukam}</vt:lpwstr>
  </property>
  <property fmtid="{D5CDD505-2E9C-101B-9397-08002B2CF9AE}" pid="22" name="PocetListuDokumentu_Pisemnost">
    <vt:lpwstr>1</vt:lpwstr>
  </property>
  <property fmtid="{D5CDD505-2E9C-101B-9397-08002B2CF9AE}" pid="23" name="PocetPriloh_Pisemnost">
    <vt:lpwstr>0</vt:lpwstr>
  </property>
  <property fmtid="{D5CDD505-2E9C-101B-9397-08002B2CF9AE}" pid="24" name="TypPrilohy_Pisemnost">
    <vt:lpwstr>TYP PŘÍLOHY</vt:lpwstr>
  </property>
  <property fmtid="{D5CDD505-2E9C-101B-9397-08002B2CF9AE}" pid="25" name="DisplayName_UserPoriz_Pisemnost">
    <vt:lpwstr>Ivana Růžičková</vt:lpwstr>
  </property>
  <property fmtid="{D5CDD505-2E9C-101B-9397-08002B2CF9AE}" pid="26" name="Podpis">
    <vt:lpwstr/>
  </property>
  <property fmtid="{D5CDD505-2E9C-101B-9397-08002B2CF9AE}" pid="27" name="SmlouvaCislo">
    <vt:lpwstr>ČÍSLO SMLOUVY</vt:lpwstr>
  </property>
</Properties>
</file>