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57F72" w14:textId="77777777" w:rsidR="00665555" w:rsidRPr="00014A22" w:rsidRDefault="0077328C" w:rsidP="00014A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14A22">
        <w:rPr>
          <w:rFonts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7216" behindDoc="0" locked="0" layoutInCell="1" allowOverlap="1" wp14:anchorId="09BC8940" wp14:editId="20EA0098">
            <wp:simplePos x="0" y="0"/>
            <wp:positionH relativeFrom="column">
              <wp:posOffset>2479509</wp:posOffset>
            </wp:positionH>
            <wp:positionV relativeFrom="paragraph">
              <wp:posOffset>-2402</wp:posOffset>
            </wp:positionV>
            <wp:extent cx="792480" cy="560705"/>
            <wp:effectExtent l="0" t="0" r="762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6EBE3" w14:textId="77777777" w:rsidR="0077328C" w:rsidRDefault="0077328C" w:rsidP="00014A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C445B80" w14:textId="77777777" w:rsidR="00320C9F" w:rsidRPr="00014A22" w:rsidRDefault="00320C9F" w:rsidP="00014A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5771709" w14:textId="77777777" w:rsidR="00665555" w:rsidRPr="00FF6029" w:rsidRDefault="00665555" w:rsidP="000B6DD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F6029">
        <w:rPr>
          <w:rFonts w:cstheme="minorHAnsi"/>
          <w:b/>
          <w:sz w:val="28"/>
          <w:szCs w:val="28"/>
        </w:rPr>
        <w:t>Kontrolní závěr z kontrolní akce</w:t>
      </w:r>
    </w:p>
    <w:p w14:paraId="74BBB6CB" w14:textId="77777777" w:rsidR="000B6DDB" w:rsidRPr="00014A22" w:rsidRDefault="000B6DDB" w:rsidP="000B6D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06073C5" w14:textId="77777777" w:rsidR="00665555" w:rsidRPr="00014A22" w:rsidRDefault="00665555" w:rsidP="000B6DDB">
      <w:pPr>
        <w:spacing w:after="0" w:line="240" w:lineRule="auto"/>
        <w:ind w:right="68"/>
        <w:jc w:val="center"/>
        <w:rPr>
          <w:rFonts w:cstheme="minorHAnsi"/>
          <w:b/>
          <w:bCs/>
          <w:sz w:val="28"/>
          <w:szCs w:val="28"/>
        </w:rPr>
      </w:pPr>
      <w:r w:rsidRPr="00014A22">
        <w:rPr>
          <w:rFonts w:cstheme="minorHAnsi"/>
          <w:b/>
          <w:bCs/>
          <w:sz w:val="28"/>
          <w:szCs w:val="28"/>
        </w:rPr>
        <w:t>15/2</w:t>
      </w:r>
      <w:r w:rsidR="0077328C" w:rsidRPr="00014A22">
        <w:rPr>
          <w:rFonts w:cstheme="minorHAnsi"/>
          <w:b/>
          <w:bCs/>
          <w:sz w:val="28"/>
          <w:szCs w:val="28"/>
        </w:rPr>
        <w:t>6</w:t>
      </w:r>
    </w:p>
    <w:p w14:paraId="6F46274D" w14:textId="77777777" w:rsidR="000B6DDB" w:rsidRPr="00014A22" w:rsidRDefault="000B6DDB" w:rsidP="000B6DD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15EB3E6" w14:textId="166B8831" w:rsidR="00665555" w:rsidRPr="00014A22" w:rsidRDefault="00665555" w:rsidP="000B6DDB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014A22">
        <w:rPr>
          <w:rFonts w:cstheme="minorHAnsi"/>
          <w:b/>
          <w:sz w:val="28"/>
          <w:szCs w:val="28"/>
        </w:rPr>
        <w:t>Peněžní prostředky Evropské unie</w:t>
      </w:r>
      <w:r w:rsidR="0077328C" w:rsidRPr="00014A22">
        <w:rPr>
          <w:rFonts w:cstheme="minorHAnsi"/>
          <w:b/>
          <w:sz w:val="28"/>
          <w:szCs w:val="28"/>
        </w:rPr>
        <w:t xml:space="preserve"> a státního rozpočtu vynaložené v rámci technické pomoci na aktivity související s publicitou a propagací operačních programů a projektů realizov</w:t>
      </w:r>
      <w:r w:rsidR="00CF2C62">
        <w:rPr>
          <w:rFonts w:cstheme="minorHAnsi"/>
          <w:b/>
          <w:sz w:val="28"/>
          <w:szCs w:val="28"/>
        </w:rPr>
        <w:t xml:space="preserve">aných v programovém období </w:t>
      </w:r>
      <w:bookmarkStart w:id="0" w:name="_GoBack"/>
      <w:r w:rsidR="00CF2C62">
        <w:rPr>
          <w:rFonts w:cstheme="minorHAnsi"/>
          <w:b/>
          <w:sz w:val="28"/>
          <w:szCs w:val="28"/>
        </w:rPr>
        <w:t>2007</w:t>
      </w:r>
      <w:r w:rsidR="00F759CA">
        <w:rPr>
          <w:rFonts w:cstheme="minorHAnsi"/>
          <w:b/>
          <w:sz w:val="28"/>
          <w:szCs w:val="28"/>
        </w:rPr>
        <w:t>–</w:t>
      </w:r>
      <w:r w:rsidR="0077328C" w:rsidRPr="00014A22">
        <w:rPr>
          <w:rFonts w:cstheme="minorHAnsi"/>
          <w:b/>
          <w:sz w:val="28"/>
          <w:szCs w:val="28"/>
        </w:rPr>
        <w:t>2013</w:t>
      </w:r>
      <w:bookmarkEnd w:id="0"/>
    </w:p>
    <w:p w14:paraId="5928735E" w14:textId="77777777" w:rsidR="00665555" w:rsidRPr="000B6DDB" w:rsidRDefault="00665555" w:rsidP="000B6D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FDEBDE1" w14:textId="77777777" w:rsidR="00014A22" w:rsidRPr="000B6DDB" w:rsidRDefault="00014A22" w:rsidP="000B6DDB">
      <w:pPr>
        <w:pStyle w:val="Zkladn"/>
        <w:spacing w:before="0"/>
        <w:rPr>
          <w:rFonts w:ascii="Calibri" w:hAnsi="Calibri" w:cs="Calibri"/>
        </w:rPr>
      </w:pPr>
    </w:p>
    <w:p w14:paraId="1F274DB0" w14:textId="77777777" w:rsidR="00665555" w:rsidRPr="000B6DDB" w:rsidRDefault="00665555" w:rsidP="000B6DDB">
      <w:pPr>
        <w:pStyle w:val="Zkladn"/>
        <w:spacing w:before="0"/>
        <w:rPr>
          <w:rFonts w:ascii="Calibri" w:hAnsi="Calibri" w:cs="Calibri"/>
        </w:rPr>
      </w:pPr>
      <w:r w:rsidRPr="000B6DDB">
        <w:rPr>
          <w:rFonts w:ascii="Calibri" w:hAnsi="Calibri" w:cs="Calibri"/>
        </w:rPr>
        <w:t>Kontrolní akce byla zařazena do plánu kontrolní činnosti Nejvyššího kontrolního úřadu (dále jen „NKÚ“) na rok 2015 pod číslem 15/2</w:t>
      </w:r>
      <w:r w:rsidR="0077328C" w:rsidRPr="000B6DDB">
        <w:rPr>
          <w:rFonts w:ascii="Calibri" w:hAnsi="Calibri" w:cs="Calibri"/>
        </w:rPr>
        <w:t>6</w:t>
      </w:r>
      <w:r w:rsidRPr="000B6DDB">
        <w:rPr>
          <w:rFonts w:ascii="Calibri" w:hAnsi="Calibri" w:cs="Calibri"/>
        </w:rPr>
        <w:t>. Kontrolní akci řídil a kontrolní závěr vypracoval člen NKÚ Ing. </w:t>
      </w:r>
      <w:r w:rsidR="0077328C" w:rsidRPr="000B6DDB">
        <w:rPr>
          <w:rFonts w:ascii="Calibri" w:hAnsi="Calibri" w:cs="Calibri"/>
        </w:rPr>
        <w:t>Jan Vedral.</w:t>
      </w:r>
    </w:p>
    <w:p w14:paraId="41DC109C" w14:textId="77777777" w:rsidR="00665555" w:rsidRPr="000B6DDB" w:rsidRDefault="00665555" w:rsidP="000B6DDB">
      <w:pPr>
        <w:pStyle w:val="Zkladn"/>
        <w:spacing w:before="0"/>
        <w:rPr>
          <w:rFonts w:ascii="Calibri" w:hAnsi="Calibri" w:cs="Calibri"/>
        </w:rPr>
      </w:pPr>
    </w:p>
    <w:p w14:paraId="327608F0" w14:textId="77777777" w:rsidR="00665555" w:rsidRPr="000B6DDB" w:rsidRDefault="00665555" w:rsidP="000B6D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B6DDB">
        <w:rPr>
          <w:rFonts w:ascii="Calibri" w:hAnsi="Calibri" w:cs="Calibri"/>
          <w:sz w:val="24"/>
          <w:szCs w:val="24"/>
        </w:rPr>
        <w:t>Cílem kontroly bylo prověřit</w:t>
      </w:r>
      <w:r w:rsidR="0077328C" w:rsidRPr="000B6DDB">
        <w:rPr>
          <w:rFonts w:ascii="Calibri" w:hAnsi="Calibri" w:cs="Calibri"/>
          <w:sz w:val="24"/>
          <w:szCs w:val="24"/>
        </w:rPr>
        <w:t xml:space="preserve"> u vybraných operačních programů, zda výdaje hrazené v rámci technické pomoci na informační a propagační aktivity byly vynaloženy v souladu s komunikačními plány, zda byly vynaloženy účelně a hospodárně a zda související výběrová řízení proběhla v souladu s platnou legislativou a pravidly příslušného operačního programu.</w:t>
      </w:r>
    </w:p>
    <w:p w14:paraId="7541B7F9" w14:textId="77777777" w:rsidR="00665555" w:rsidRPr="000B6DDB" w:rsidRDefault="00665555" w:rsidP="000B6DDB">
      <w:pPr>
        <w:pStyle w:val="Zkladn"/>
        <w:spacing w:before="0"/>
        <w:rPr>
          <w:rFonts w:ascii="Calibri" w:hAnsi="Calibri" w:cs="Calibri"/>
        </w:rPr>
      </w:pPr>
    </w:p>
    <w:p w14:paraId="753BD506" w14:textId="77777777" w:rsidR="00665555" w:rsidRPr="000B6DDB" w:rsidRDefault="00665555" w:rsidP="000B6D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B6DDB">
        <w:rPr>
          <w:rFonts w:ascii="Calibri" w:eastAsia="Calibri" w:hAnsi="Calibri" w:cs="Calibri"/>
          <w:sz w:val="24"/>
          <w:szCs w:val="24"/>
        </w:rPr>
        <w:t>K</w:t>
      </w:r>
      <w:r w:rsidRPr="000B6DDB">
        <w:rPr>
          <w:rFonts w:ascii="Calibri" w:hAnsi="Calibri" w:cs="Calibri"/>
          <w:sz w:val="24"/>
          <w:szCs w:val="24"/>
        </w:rPr>
        <w:t xml:space="preserve">ontrola byla prováděna u kontrolovaných osob v období od </w:t>
      </w:r>
      <w:r w:rsidR="0077328C" w:rsidRPr="000B6DDB">
        <w:rPr>
          <w:rFonts w:ascii="Calibri" w:hAnsi="Calibri" w:cs="Calibri"/>
          <w:sz w:val="24"/>
          <w:szCs w:val="24"/>
        </w:rPr>
        <w:t>srpna 2015 do ledna 2016</w:t>
      </w:r>
      <w:r w:rsidRPr="000B6DDB">
        <w:rPr>
          <w:rFonts w:ascii="Calibri" w:hAnsi="Calibri" w:cs="Calibri"/>
          <w:sz w:val="24"/>
          <w:szCs w:val="24"/>
        </w:rPr>
        <w:t>.</w:t>
      </w:r>
    </w:p>
    <w:p w14:paraId="136833E7" w14:textId="77777777" w:rsidR="00665555" w:rsidRPr="000B6DDB" w:rsidRDefault="00665555" w:rsidP="000B6DDB">
      <w:pPr>
        <w:pStyle w:val="Zkladntextodsazen"/>
        <w:spacing w:after="0"/>
        <w:ind w:left="0"/>
        <w:jc w:val="both"/>
        <w:rPr>
          <w:rFonts w:ascii="Calibri" w:hAnsi="Calibri" w:cs="Calibri"/>
        </w:rPr>
      </w:pPr>
    </w:p>
    <w:p w14:paraId="1F9BEDFA" w14:textId="77777777" w:rsidR="00665555" w:rsidRPr="000B6DDB" w:rsidRDefault="00665555" w:rsidP="000B6DDB">
      <w:pPr>
        <w:pStyle w:val="Zkladntextodsazen"/>
        <w:spacing w:after="0"/>
        <w:ind w:left="0"/>
        <w:jc w:val="both"/>
        <w:rPr>
          <w:rFonts w:ascii="Calibri" w:hAnsi="Calibri" w:cs="Calibri"/>
        </w:rPr>
      </w:pPr>
      <w:r w:rsidRPr="000B6DDB">
        <w:rPr>
          <w:rFonts w:ascii="Calibri" w:hAnsi="Calibri" w:cs="Calibri"/>
        </w:rPr>
        <w:t>Kontrolovaným obdobím byly roky 20</w:t>
      </w:r>
      <w:r w:rsidR="006356DF" w:rsidRPr="000B6DDB">
        <w:rPr>
          <w:rFonts w:ascii="Calibri" w:hAnsi="Calibri" w:cs="Calibri"/>
        </w:rPr>
        <w:t>07</w:t>
      </w:r>
      <w:r w:rsidRPr="000B6DDB">
        <w:rPr>
          <w:rFonts w:ascii="Calibri" w:hAnsi="Calibri" w:cs="Calibri"/>
        </w:rPr>
        <w:t xml:space="preserve"> až 201</w:t>
      </w:r>
      <w:r w:rsidR="0077328C" w:rsidRPr="000B6DDB">
        <w:rPr>
          <w:rFonts w:ascii="Calibri" w:hAnsi="Calibri" w:cs="Calibri"/>
        </w:rPr>
        <w:t>4</w:t>
      </w:r>
      <w:r w:rsidRPr="000B6DDB">
        <w:rPr>
          <w:rFonts w:ascii="Calibri" w:hAnsi="Calibri" w:cs="Calibri"/>
        </w:rPr>
        <w:t>, v případě věcných souvislostí i období předcházející a následující.</w:t>
      </w:r>
    </w:p>
    <w:p w14:paraId="3C05471E" w14:textId="77777777" w:rsidR="00665555" w:rsidRPr="000B6DDB" w:rsidRDefault="00665555" w:rsidP="000B6DDB">
      <w:pPr>
        <w:pStyle w:val="Zkladn"/>
        <w:spacing w:before="0"/>
        <w:rPr>
          <w:rFonts w:ascii="Calibri" w:hAnsi="Calibri" w:cs="Calibri"/>
        </w:rPr>
      </w:pPr>
    </w:p>
    <w:p w14:paraId="318625B0" w14:textId="77777777" w:rsidR="00665555" w:rsidRPr="00C340F1" w:rsidRDefault="00665555" w:rsidP="000B6DDB">
      <w:pPr>
        <w:pStyle w:val="Zkladn"/>
        <w:spacing w:before="0"/>
        <w:rPr>
          <w:rFonts w:ascii="Calibri" w:hAnsi="Calibri" w:cs="Calibri"/>
          <w:b/>
        </w:rPr>
      </w:pPr>
      <w:r w:rsidRPr="00C340F1">
        <w:rPr>
          <w:rFonts w:ascii="Calibri" w:hAnsi="Calibri" w:cs="Calibri"/>
          <w:b/>
        </w:rPr>
        <w:t>Kontrolované osoby:</w:t>
      </w:r>
    </w:p>
    <w:p w14:paraId="026097F9" w14:textId="77777777" w:rsidR="00665555" w:rsidRPr="000B6DDB" w:rsidRDefault="00665555" w:rsidP="000B6DDB">
      <w:pPr>
        <w:pStyle w:val="Zkladn"/>
        <w:spacing w:before="0"/>
        <w:rPr>
          <w:rFonts w:ascii="Calibri" w:hAnsi="Calibri" w:cs="Calibri"/>
        </w:rPr>
      </w:pPr>
      <w:r w:rsidRPr="000B6DDB">
        <w:rPr>
          <w:rFonts w:ascii="Calibri" w:hAnsi="Calibri" w:cs="Calibri"/>
        </w:rPr>
        <w:t xml:space="preserve">Ministerstvo </w:t>
      </w:r>
      <w:r w:rsidR="0077328C" w:rsidRPr="000B6DDB">
        <w:rPr>
          <w:rFonts w:ascii="Calibri" w:hAnsi="Calibri" w:cs="Calibri"/>
        </w:rPr>
        <w:t>školství, mládeže a tělovýchovy</w:t>
      </w:r>
      <w:r w:rsidR="003C7A6A" w:rsidRPr="000B6DDB">
        <w:rPr>
          <w:rFonts w:ascii="Calibri" w:hAnsi="Calibri" w:cs="Calibri"/>
        </w:rPr>
        <w:t>;</w:t>
      </w:r>
    </w:p>
    <w:p w14:paraId="4EB2E66D" w14:textId="77777777" w:rsidR="0077328C" w:rsidRPr="000B6DDB" w:rsidRDefault="0077328C" w:rsidP="000B6DDB">
      <w:pPr>
        <w:pStyle w:val="Zkladn"/>
        <w:spacing w:before="0"/>
        <w:rPr>
          <w:rFonts w:ascii="Calibri" w:hAnsi="Calibri" w:cs="Calibri"/>
        </w:rPr>
      </w:pPr>
      <w:r w:rsidRPr="000B6DDB">
        <w:rPr>
          <w:rFonts w:ascii="Calibri" w:hAnsi="Calibri" w:cs="Calibri"/>
        </w:rPr>
        <w:t>Ministerstvo práce a sociálních věcí</w:t>
      </w:r>
      <w:r w:rsidR="003C7A6A" w:rsidRPr="000B6DDB">
        <w:rPr>
          <w:rFonts w:ascii="Calibri" w:hAnsi="Calibri" w:cs="Calibri"/>
        </w:rPr>
        <w:t>;</w:t>
      </w:r>
    </w:p>
    <w:p w14:paraId="403EBB91" w14:textId="77777777" w:rsidR="0077328C" w:rsidRPr="000B6DDB" w:rsidRDefault="0077328C" w:rsidP="000B6DDB">
      <w:pPr>
        <w:pStyle w:val="Zkladn"/>
        <w:spacing w:before="0"/>
        <w:rPr>
          <w:rFonts w:ascii="Calibri" w:hAnsi="Calibri" w:cs="Calibri"/>
        </w:rPr>
      </w:pPr>
      <w:r w:rsidRPr="000B6DDB">
        <w:rPr>
          <w:rFonts w:ascii="Calibri" w:hAnsi="Calibri" w:cs="Calibri"/>
        </w:rPr>
        <w:t>Regionální rada regionu soudržnosti Střední Čechy</w:t>
      </w:r>
      <w:r w:rsidR="003C7A6A" w:rsidRPr="000B6DDB">
        <w:rPr>
          <w:rFonts w:ascii="Calibri" w:hAnsi="Calibri" w:cs="Calibri"/>
        </w:rPr>
        <w:t>.</w:t>
      </w:r>
    </w:p>
    <w:p w14:paraId="41AE7D98" w14:textId="77777777" w:rsidR="00665555" w:rsidRPr="000B6DDB" w:rsidRDefault="00665555" w:rsidP="000B6DDB">
      <w:pPr>
        <w:pStyle w:val="Zkladn"/>
        <w:spacing w:before="0"/>
        <w:rPr>
          <w:rFonts w:ascii="Calibri" w:hAnsi="Calibri" w:cs="Calibri"/>
        </w:rPr>
      </w:pPr>
    </w:p>
    <w:p w14:paraId="5E151AD7" w14:textId="77777777" w:rsidR="00665555" w:rsidRPr="000B6DDB" w:rsidRDefault="00EA41A6" w:rsidP="000B6D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B6DDB">
        <w:rPr>
          <w:rFonts w:ascii="Calibri" w:hAnsi="Calibri" w:cs="Calibri"/>
          <w:sz w:val="24"/>
          <w:szCs w:val="24"/>
        </w:rPr>
        <w:t>Námitky proti kontrolnímu protokolu žádná z kontrolovaných osob nepodala.</w:t>
      </w:r>
    </w:p>
    <w:p w14:paraId="6AB39626" w14:textId="77777777" w:rsidR="00EA41A6" w:rsidRPr="000B6DDB" w:rsidRDefault="00EA41A6" w:rsidP="000B6D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6942D2A" w14:textId="77777777" w:rsidR="00EA41A6" w:rsidRPr="000B6DDB" w:rsidRDefault="00EA41A6" w:rsidP="000B6DD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D95534F" w14:textId="77777777" w:rsidR="00665555" w:rsidRPr="000B6DDB" w:rsidRDefault="00665555" w:rsidP="000B6DDB">
      <w:pPr>
        <w:spacing w:after="0" w:line="240" w:lineRule="auto"/>
        <w:ind w:right="70"/>
        <w:jc w:val="both"/>
        <w:rPr>
          <w:rFonts w:ascii="Calibri" w:hAnsi="Calibri" w:cs="Calibri"/>
          <w:sz w:val="24"/>
          <w:szCs w:val="24"/>
        </w:rPr>
      </w:pPr>
      <w:r w:rsidRPr="000B6DDB">
        <w:rPr>
          <w:rFonts w:ascii="Calibri" w:hAnsi="Calibri" w:cs="Calibri"/>
          <w:b/>
          <w:bCs/>
          <w:i/>
          <w:iCs/>
          <w:sz w:val="24"/>
          <w:szCs w:val="24"/>
        </w:rPr>
        <w:t>K o l e g i u m   N K Ú</w:t>
      </w:r>
      <w:r w:rsidRPr="000B6DDB">
        <w:rPr>
          <w:rFonts w:ascii="Calibri" w:hAnsi="Calibri" w:cs="Calibri"/>
          <w:b/>
          <w:bCs/>
          <w:iCs/>
          <w:sz w:val="24"/>
          <w:szCs w:val="24"/>
        </w:rPr>
        <w:t xml:space="preserve">   </w:t>
      </w:r>
      <w:r w:rsidRPr="000B6DDB">
        <w:rPr>
          <w:rFonts w:ascii="Calibri" w:hAnsi="Calibri" w:cs="Calibri"/>
          <w:sz w:val="24"/>
          <w:szCs w:val="24"/>
        </w:rPr>
        <w:t xml:space="preserve">na svém </w:t>
      </w:r>
      <w:r w:rsidR="00CF2C62" w:rsidRPr="000B6DDB">
        <w:rPr>
          <w:rFonts w:ascii="Calibri" w:hAnsi="Calibri" w:cs="Calibri"/>
          <w:sz w:val="24"/>
          <w:szCs w:val="24"/>
        </w:rPr>
        <w:t>VII</w:t>
      </w:r>
      <w:r w:rsidRPr="000B6DDB">
        <w:rPr>
          <w:rFonts w:ascii="Calibri" w:hAnsi="Calibri" w:cs="Calibri"/>
          <w:sz w:val="24"/>
          <w:szCs w:val="24"/>
        </w:rPr>
        <w:t xml:space="preserve">. jednání, které se konalo dne </w:t>
      </w:r>
      <w:r w:rsidR="00CF2C62" w:rsidRPr="000B6DDB">
        <w:rPr>
          <w:rFonts w:ascii="Calibri" w:hAnsi="Calibri" w:cs="Calibri"/>
          <w:sz w:val="24"/>
          <w:szCs w:val="24"/>
        </w:rPr>
        <w:t>16. května</w:t>
      </w:r>
      <w:r w:rsidRPr="000B6DDB">
        <w:rPr>
          <w:rFonts w:ascii="Calibri" w:hAnsi="Calibri" w:cs="Calibri"/>
          <w:sz w:val="24"/>
          <w:szCs w:val="24"/>
        </w:rPr>
        <w:t xml:space="preserve"> 2016,</w:t>
      </w:r>
    </w:p>
    <w:p w14:paraId="64AA0099" w14:textId="77777777" w:rsidR="00665555" w:rsidRPr="000B6DDB" w:rsidRDefault="00665555" w:rsidP="000B6DDB">
      <w:pPr>
        <w:spacing w:after="0" w:line="240" w:lineRule="auto"/>
        <w:ind w:right="68"/>
        <w:jc w:val="both"/>
        <w:rPr>
          <w:rFonts w:ascii="Calibri" w:hAnsi="Calibri" w:cs="Calibri"/>
          <w:sz w:val="24"/>
          <w:szCs w:val="24"/>
        </w:rPr>
      </w:pPr>
      <w:r w:rsidRPr="000B6DDB">
        <w:rPr>
          <w:rFonts w:ascii="Calibri" w:hAnsi="Calibri" w:cs="Calibri"/>
          <w:b/>
          <w:bCs/>
          <w:i/>
          <w:iCs/>
          <w:sz w:val="24"/>
          <w:szCs w:val="24"/>
        </w:rPr>
        <w:t>s c h v á l i l o</w:t>
      </w:r>
      <w:r w:rsidRPr="000B6DDB">
        <w:rPr>
          <w:rFonts w:ascii="Calibri" w:hAnsi="Calibri" w:cs="Calibri"/>
          <w:b/>
          <w:bCs/>
          <w:iCs/>
          <w:sz w:val="24"/>
          <w:szCs w:val="24"/>
        </w:rPr>
        <w:t xml:space="preserve">   </w:t>
      </w:r>
      <w:r w:rsidR="008C2EC8" w:rsidRPr="000B6DDB">
        <w:rPr>
          <w:rFonts w:ascii="Calibri" w:hAnsi="Calibri" w:cs="Calibri"/>
          <w:sz w:val="24"/>
          <w:szCs w:val="24"/>
        </w:rPr>
        <w:t xml:space="preserve">usnesením č. </w:t>
      </w:r>
      <w:r w:rsidR="00BB1B8B" w:rsidRPr="000B6DDB">
        <w:rPr>
          <w:rFonts w:ascii="Calibri" w:hAnsi="Calibri" w:cs="Calibri"/>
          <w:sz w:val="24"/>
          <w:szCs w:val="24"/>
        </w:rPr>
        <w:t>7</w:t>
      </w:r>
      <w:r w:rsidRPr="000B6DDB">
        <w:rPr>
          <w:rFonts w:ascii="Calibri" w:hAnsi="Calibri" w:cs="Calibri"/>
          <w:sz w:val="24"/>
          <w:szCs w:val="24"/>
        </w:rPr>
        <w:t>/</w:t>
      </w:r>
      <w:r w:rsidR="00CF2C62" w:rsidRPr="000B6DDB">
        <w:rPr>
          <w:rFonts w:ascii="Calibri" w:hAnsi="Calibri" w:cs="Calibri"/>
          <w:sz w:val="24"/>
          <w:szCs w:val="24"/>
        </w:rPr>
        <w:t>VII</w:t>
      </w:r>
      <w:r w:rsidRPr="000B6DDB">
        <w:rPr>
          <w:rFonts w:ascii="Calibri" w:hAnsi="Calibri" w:cs="Calibri"/>
          <w:sz w:val="24"/>
          <w:szCs w:val="24"/>
        </w:rPr>
        <w:t>/2016</w:t>
      </w:r>
    </w:p>
    <w:p w14:paraId="68E5D402" w14:textId="77777777" w:rsidR="00665555" w:rsidRPr="000B6DDB" w:rsidRDefault="00665555" w:rsidP="000B6DDB">
      <w:pPr>
        <w:spacing w:after="0" w:line="240" w:lineRule="auto"/>
        <w:ind w:right="70"/>
        <w:jc w:val="both"/>
        <w:rPr>
          <w:rFonts w:ascii="Calibri" w:hAnsi="Calibri" w:cs="Calibri"/>
          <w:sz w:val="24"/>
          <w:szCs w:val="24"/>
        </w:rPr>
      </w:pPr>
      <w:r w:rsidRPr="000B6DDB">
        <w:rPr>
          <w:rFonts w:ascii="Calibri" w:hAnsi="Calibri" w:cs="Calibri"/>
          <w:b/>
          <w:bCs/>
          <w:i/>
          <w:iCs/>
          <w:sz w:val="24"/>
          <w:szCs w:val="24"/>
        </w:rPr>
        <w:t>k o n t r o l n í   z á v ě r</w:t>
      </w:r>
      <w:r w:rsidRPr="000B6DDB">
        <w:rPr>
          <w:rFonts w:ascii="Calibri" w:hAnsi="Calibri" w:cs="Calibri"/>
          <w:b/>
          <w:sz w:val="24"/>
          <w:szCs w:val="24"/>
        </w:rPr>
        <w:t xml:space="preserve">   </w:t>
      </w:r>
      <w:r w:rsidRPr="000B6DDB">
        <w:rPr>
          <w:rFonts w:ascii="Calibri" w:hAnsi="Calibri" w:cs="Calibri"/>
          <w:sz w:val="24"/>
          <w:szCs w:val="24"/>
        </w:rPr>
        <w:t>v tomto znění:</w:t>
      </w:r>
    </w:p>
    <w:p w14:paraId="5403362E" w14:textId="77777777" w:rsidR="00665555" w:rsidRPr="000B6DDB" w:rsidRDefault="00665555" w:rsidP="000B6DDB">
      <w:pPr>
        <w:spacing w:after="0" w:line="240" w:lineRule="auto"/>
        <w:ind w:right="70"/>
        <w:jc w:val="both"/>
        <w:rPr>
          <w:rFonts w:ascii="Calibri" w:hAnsi="Calibri" w:cs="Calibri"/>
          <w:sz w:val="24"/>
          <w:szCs w:val="24"/>
        </w:rPr>
      </w:pPr>
    </w:p>
    <w:p w14:paraId="1A425A4E" w14:textId="77777777" w:rsidR="00EA41A6" w:rsidRPr="000B6DDB" w:rsidRDefault="00EA41A6" w:rsidP="000B6DDB">
      <w:pPr>
        <w:spacing w:after="0" w:line="240" w:lineRule="auto"/>
        <w:ind w:right="70"/>
        <w:jc w:val="both"/>
        <w:rPr>
          <w:rFonts w:ascii="Calibri" w:hAnsi="Calibri" w:cs="Calibri"/>
          <w:sz w:val="24"/>
          <w:szCs w:val="24"/>
        </w:rPr>
      </w:pPr>
    </w:p>
    <w:p w14:paraId="7E8F22C5" w14:textId="77777777" w:rsidR="000B6DDB" w:rsidRDefault="000B6DD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5435E7DC" w14:textId="77777777" w:rsidR="0077328C" w:rsidRPr="001D2176" w:rsidRDefault="00320C9F" w:rsidP="000B6DDB">
      <w:pPr>
        <w:spacing w:after="0" w:line="240" w:lineRule="auto"/>
        <w:ind w:left="357" w:right="68"/>
        <w:jc w:val="center"/>
        <w:rPr>
          <w:rFonts w:cstheme="minorHAnsi"/>
          <w:b/>
          <w:sz w:val="28"/>
          <w:szCs w:val="28"/>
        </w:rPr>
      </w:pPr>
      <w:r w:rsidRPr="001D2176">
        <w:rPr>
          <w:rFonts w:cstheme="minorHAnsi"/>
          <w:b/>
          <w:sz w:val="28"/>
          <w:szCs w:val="28"/>
        </w:rPr>
        <w:lastRenderedPageBreak/>
        <w:t xml:space="preserve">I. </w:t>
      </w:r>
      <w:r w:rsidR="0077328C" w:rsidRPr="001D2176">
        <w:rPr>
          <w:rFonts w:cstheme="minorHAnsi"/>
          <w:b/>
          <w:sz w:val="28"/>
          <w:szCs w:val="28"/>
        </w:rPr>
        <w:t>Úvod</w:t>
      </w:r>
      <w:r w:rsidR="00DF1508" w:rsidRPr="001D2176">
        <w:rPr>
          <w:rFonts w:cstheme="minorHAnsi"/>
          <w:b/>
          <w:sz w:val="28"/>
          <w:szCs w:val="28"/>
        </w:rPr>
        <w:t xml:space="preserve"> </w:t>
      </w:r>
      <w:r w:rsidR="009407CB" w:rsidRPr="001D2176">
        <w:rPr>
          <w:rFonts w:cstheme="minorHAnsi"/>
          <w:b/>
          <w:sz w:val="28"/>
          <w:szCs w:val="28"/>
        </w:rPr>
        <w:t xml:space="preserve">do kontrolované problematiky </w:t>
      </w:r>
    </w:p>
    <w:p w14:paraId="330CCC59" w14:textId="77777777" w:rsidR="00320C9F" w:rsidRPr="000B6DDB" w:rsidRDefault="00320C9F" w:rsidP="000B6DDB">
      <w:pPr>
        <w:spacing w:after="0" w:line="240" w:lineRule="auto"/>
        <w:ind w:right="7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0D083B9E" w14:textId="349FA88C" w:rsidR="000A2091" w:rsidRPr="000B6DDB" w:rsidRDefault="000A2091" w:rsidP="000B6DDB">
      <w:pPr>
        <w:tabs>
          <w:tab w:val="num" w:pos="284"/>
          <w:tab w:val="num" w:pos="851"/>
        </w:tabs>
        <w:spacing w:after="0" w:line="240" w:lineRule="auto"/>
        <w:ind w:right="7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B6DDB">
        <w:rPr>
          <w:rFonts w:ascii="Calibri" w:hAnsi="Calibri" w:cs="Calibri"/>
          <w:b/>
          <w:color w:val="000000" w:themeColor="text1"/>
          <w:sz w:val="24"/>
          <w:szCs w:val="24"/>
        </w:rPr>
        <w:t xml:space="preserve">Členský stát a řídicí orgány </w:t>
      </w:r>
      <w:r w:rsidR="0081063D" w:rsidRPr="000B6DDB">
        <w:rPr>
          <w:rFonts w:ascii="Calibri" w:hAnsi="Calibri" w:cs="Calibri"/>
          <w:b/>
          <w:color w:val="000000" w:themeColor="text1"/>
          <w:sz w:val="24"/>
          <w:szCs w:val="24"/>
        </w:rPr>
        <w:t xml:space="preserve">operačních programů </w:t>
      </w:r>
      <w:r w:rsidRPr="000B6DDB">
        <w:rPr>
          <w:rFonts w:ascii="Calibri" w:hAnsi="Calibri" w:cs="Calibri"/>
          <w:b/>
          <w:color w:val="000000" w:themeColor="text1"/>
          <w:sz w:val="24"/>
          <w:szCs w:val="24"/>
        </w:rPr>
        <w:t>jsou odpovědné za poskytování informací o spolufinancovaných programech a zajišťují jejich propagaci</w:t>
      </w:r>
      <w:r w:rsidRPr="000B6DDB">
        <w:rPr>
          <w:rFonts w:ascii="Calibri" w:hAnsi="Calibri" w:cs="Calibri"/>
          <w:color w:val="000000" w:themeColor="text1"/>
          <w:sz w:val="24"/>
          <w:szCs w:val="24"/>
        </w:rPr>
        <w:t>.</w:t>
      </w:r>
      <w:bookmarkStart w:id="1" w:name="_Ref447966306"/>
      <w:r w:rsidRPr="000B6DDB">
        <w:rPr>
          <w:rStyle w:val="Znakapoznpodarou"/>
          <w:rFonts w:ascii="Calibri" w:hAnsi="Calibri" w:cs="Calibri"/>
          <w:color w:val="000000" w:themeColor="text1"/>
          <w:sz w:val="24"/>
          <w:szCs w:val="24"/>
        </w:rPr>
        <w:footnoteReference w:id="1"/>
      </w:r>
      <w:bookmarkEnd w:id="1"/>
      <w:r w:rsidRPr="000B6DD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0B6DDB">
        <w:rPr>
          <w:rFonts w:ascii="Calibri" w:hAnsi="Calibri" w:cs="Calibri"/>
          <w:b/>
          <w:color w:val="000000" w:themeColor="text1"/>
          <w:sz w:val="24"/>
          <w:szCs w:val="24"/>
        </w:rPr>
        <w:t>Informace jsou určeny občanům Evropské unie</w:t>
      </w:r>
      <w:r w:rsidR="00DA5A48">
        <w:rPr>
          <w:rFonts w:ascii="Calibri" w:hAnsi="Calibri" w:cs="Calibri"/>
          <w:b/>
          <w:color w:val="000000" w:themeColor="text1"/>
          <w:sz w:val="24"/>
          <w:szCs w:val="24"/>
        </w:rPr>
        <w:t xml:space="preserve"> (dále též „EU“)</w:t>
      </w:r>
      <w:r w:rsidRPr="000B6DDB">
        <w:rPr>
          <w:rFonts w:ascii="Calibri" w:hAnsi="Calibri" w:cs="Calibri"/>
          <w:b/>
          <w:color w:val="000000" w:themeColor="text1"/>
          <w:sz w:val="24"/>
          <w:szCs w:val="24"/>
        </w:rPr>
        <w:t xml:space="preserve"> a příjemcům</w:t>
      </w:r>
      <w:r w:rsidR="00DA5A48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Pr="000B6DD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DA5A48">
        <w:rPr>
          <w:rFonts w:ascii="Calibri" w:hAnsi="Calibri" w:cs="Calibri"/>
          <w:b/>
          <w:color w:val="000000" w:themeColor="text1"/>
          <w:sz w:val="24"/>
          <w:szCs w:val="24"/>
        </w:rPr>
        <w:t>mají cíl</w:t>
      </w:r>
      <w:r w:rsidRPr="000B6DDB">
        <w:rPr>
          <w:rFonts w:ascii="Calibri" w:hAnsi="Calibri" w:cs="Calibri"/>
          <w:b/>
          <w:color w:val="000000" w:themeColor="text1"/>
          <w:sz w:val="24"/>
          <w:szCs w:val="24"/>
        </w:rPr>
        <w:t xml:space="preserve"> zdůraznit roli </w:t>
      </w:r>
      <w:r w:rsidR="00DA5A48">
        <w:rPr>
          <w:rFonts w:ascii="Calibri" w:hAnsi="Calibri" w:cs="Calibri"/>
          <w:b/>
          <w:color w:val="000000" w:themeColor="text1"/>
          <w:sz w:val="24"/>
          <w:szCs w:val="24"/>
        </w:rPr>
        <w:t>EU</w:t>
      </w:r>
      <w:r w:rsidRPr="000B6DDB">
        <w:rPr>
          <w:rFonts w:ascii="Calibri" w:hAnsi="Calibri" w:cs="Calibri"/>
          <w:b/>
          <w:color w:val="000000" w:themeColor="text1"/>
          <w:sz w:val="24"/>
          <w:szCs w:val="24"/>
        </w:rPr>
        <w:t xml:space="preserve"> a</w:t>
      </w:r>
      <w:r w:rsidR="00E01A6F">
        <w:rPr>
          <w:rFonts w:ascii="Calibri" w:hAnsi="Calibri" w:cs="Calibri"/>
          <w:b/>
          <w:color w:val="000000" w:themeColor="text1"/>
          <w:sz w:val="24"/>
          <w:szCs w:val="24"/>
        </w:rPr>
        <w:t> </w:t>
      </w:r>
      <w:r w:rsidRPr="000B6DDB">
        <w:rPr>
          <w:rFonts w:ascii="Calibri" w:hAnsi="Calibri" w:cs="Calibri"/>
          <w:b/>
          <w:color w:val="000000" w:themeColor="text1"/>
          <w:sz w:val="24"/>
          <w:szCs w:val="24"/>
        </w:rPr>
        <w:t>zajistit, aby byla pomoc z fondů průhledná.</w:t>
      </w:r>
      <w:r w:rsidRPr="000B6DDB">
        <w:rPr>
          <w:rFonts w:ascii="Calibri" w:hAnsi="Calibri" w:cs="Calibri"/>
          <w:color w:val="000000" w:themeColor="text1"/>
          <w:sz w:val="24"/>
          <w:szCs w:val="24"/>
        </w:rPr>
        <w:t xml:space="preserve"> Odpovědnost členských </w:t>
      </w:r>
      <w:r w:rsidR="002F7DBC" w:rsidRPr="000B6DDB">
        <w:rPr>
          <w:rFonts w:ascii="Calibri" w:hAnsi="Calibri" w:cs="Calibri"/>
          <w:color w:val="000000" w:themeColor="text1"/>
          <w:sz w:val="24"/>
          <w:szCs w:val="24"/>
        </w:rPr>
        <w:t>států za přijetí informačních a </w:t>
      </w:r>
      <w:r w:rsidRPr="000B6DDB">
        <w:rPr>
          <w:rFonts w:ascii="Calibri" w:hAnsi="Calibri" w:cs="Calibri"/>
          <w:color w:val="000000" w:themeColor="text1"/>
          <w:sz w:val="24"/>
          <w:szCs w:val="24"/>
        </w:rPr>
        <w:t xml:space="preserve">propagačních opatření, která mají být prováděna v souvislosti s pomocí ze strukturálních fondů a </w:t>
      </w:r>
      <w:r w:rsidRPr="00C340F1">
        <w:rPr>
          <w:rFonts w:ascii="Calibri" w:hAnsi="Calibri" w:cs="Calibri"/>
          <w:i/>
          <w:color w:val="000000" w:themeColor="text1"/>
          <w:sz w:val="24"/>
          <w:szCs w:val="24"/>
        </w:rPr>
        <w:t>Fondu soudržnosti</w:t>
      </w:r>
      <w:r w:rsidRPr="000B6DDB">
        <w:rPr>
          <w:rFonts w:ascii="Calibri" w:hAnsi="Calibri" w:cs="Calibri"/>
          <w:color w:val="000000" w:themeColor="text1"/>
          <w:sz w:val="24"/>
          <w:szCs w:val="24"/>
        </w:rPr>
        <w:t xml:space="preserve">, lze označit souhrnným pojmem publicita. </w:t>
      </w:r>
    </w:p>
    <w:p w14:paraId="0FE3C23E" w14:textId="77777777" w:rsidR="000A2091" w:rsidRPr="000B6DDB" w:rsidRDefault="000A2091" w:rsidP="000B6D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</w:p>
    <w:p w14:paraId="2F9F6D96" w14:textId="47BFF01C" w:rsidR="009902BE" w:rsidRPr="000B6DDB" w:rsidRDefault="009902BE" w:rsidP="000B6D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Publicita je prováděna ve spolupráci s Evropskou komisí, která je informována o opatřeních přijatých za tímto účelem. Informační a propagační opatření </w:t>
      </w:r>
      <w:r w:rsidR="002F7DBC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v programovém období</w:t>
      </w:r>
      <w:r w:rsidR="002F7DBC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br/>
        <w:t>2007–</w:t>
      </w:r>
      <w:r w:rsidR="00D463DA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2013 byla 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realizována v souladu s </w:t>
      </w:r>
      <w:r w:rsidR="00DA5A48">
        <w:rPr>
          <w:rFonts w:ascii="Calibri" w:hAnsi="Calibri" w:cs="Calibri"/>
          <w:color w:val="000000" w:themeColor="text1"/>
          <w:sz w:val="24"/>
          <w:szCs w:val="24"/>
          <w:lang w:eastAsia="cs-CZ"/>
        </w:rPr>
        <w:t>n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árodním st</w:t>
      </w:r>
      <w:r w:rsidR="002F7DBC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rategickým referenčním rámcem a 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prostřednictvím komunikačních plánů pro jednotlivé operační programy</w:t>
      </w:r>
      <w:r w:rsidR="00C70701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(dále též „OP“)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.</w:t>
      </w:r>
      <w:r w:rsid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DF191E"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V</w:t>
      </w:r>
      <w:r w:rsid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 </w:t>
      </w:r>
      <w:r w:rsidR="00DF191E"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k</w:t>
      </w:r>
      <w:r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omunikační</w:t>
      </w:r>
      <w:r w:rsidR="00C70701"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ch </w:t>
      </w:r>
      <w:r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plán</w:t>
      </w:r>
      <w:r w:rsidR="00DF191E"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ech</w:t>
      </w:r>
      <w:r w:rsidRPr="000B6DDB">
        <w:rPr>
          <w:rStyle w:val="Znakapoznpodarou"/>
          <w:rFonts w:ascii="Calibri" w:hAnsi="Calibri" w:cs="Calibri"/>
          <w:b/>
          <w:color w:val="000000" w:themeColor="text1"/>
          <w:sz w:val="24"/>
          <w:szCs w:val="24"/>
          <w:lang w:eastAsia="cs-CZ"/>
        </w:rPr>
        <w:footnoteReference w:id="2"/>
      </w:r>
      <w:r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(dále též „KoP“) operační</w:t>
      </w:r>
      <w:r w:rsidR="00DF191E"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ch</w:t>
      </w:r>
      <w:r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program</w:t>
      </w:r>
      <w:r w:rsidR="00DF191E"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ů</w:t>
      </w:r>
      <w:r w:rsidR="00C70701"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</w:t>
      </w:r>
      <w:r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rozpracovaly </w:t>
      </w:r>
      <w:r w:rsidR="00DF191E"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řídicí orgány </w:t>
      </w:r>
      <w:r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komunikační strategii pro pomoc z jednotlivých fondů EU pro období 2007</w:t>
      </w:r>
      <w:r w:rsidR="002F7DBC"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–</w:t>
      </w:r>
      <w:r w:rsidR="00115C1E"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20</w:t>
      </w:r>
      <w:r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13.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Vycházely z komunikační strategie operačního programu </w:t>
      </w:r>
      <w:r w:rsidRPr="00C340F1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>Technická pomoc</w:t>
      </w:r>
      <w:r w:rsidR="000366AF" w:rsidRPr="000B6DDB">
        <w:rPr>
          <w:rStyle w:val="Znakapoznpodarou"/>
          <w:rFonts w:ascii="Calibri" w:hAnsi="Calibri" w:cs="Calibri"/>
          <w:color w:val="000000" w:themeColor="text1"/>
          <w:sz w:val="24"/>
          <w:szCs w:val="24"/>
          <w:lang w:eastAsia="cs-CZ"/>
        </w:rPr>
        <w:footnoteReference w:id="3"/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, je</w:t>
      </w:r>
      <w:r w:rsidR="00922C95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n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ž představoval rámcovou strategii pro Českou republiku na toto programové období. </w:t>
      </w:r>
      <w:r w:rsidR="00D463DA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K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omunikační plány jednotlivých OP byly zpřesněny prostřednictvím ročních plánů komunikačních aktivit, tedy ročních KoP (dále též „RKoP“) obsahujících </w:t>
      </w:r>
      <w:r w:rsidR="00366F39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podrobnější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informace o plánovaných informačních a propagačních opatřeních. </w:t>
      </w:r>
    </w:p>
    <w:p w14:paraId="123BDBA7" w14:textId="77777777" w:rsidR="000E3E6D" w:rsidRPr="000B6DDB" w:rsidRDefault="000E3E6D" w:rsidP="000B6D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</w:p>
    <w:p w14:paraId="1D664613" w14:textId="30CA1F2D" w:rsidR="009902BE" w:rsidRPr="000B6DDB" w:rsidRDefault="007F1D4C" w:rsidP="000B6D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Informační a propagační </w:t>
      </w:r>
      <w:r w:rsidR="00692EFA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opatření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115C1E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byl</w:t>
      </w:r>
      <w:r w:rsidR="00692EFA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a</w:t>
      </w:r>
      <w:r w:rsidR="00115C1E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zajišťován</w:t>
      </w:r>
      <w:r w:rsidR="00692EFA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a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115C1E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formou 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informování</w:t>
      </w:r>
      <w:r w:rsidR="00F73184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, 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vzdělávání</w:t>
      </w:r>
      <w:r w:rsidR="00F73184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, </w:t>
      </w:r>
      <w:r w:rsidRPr="000B6DDB">
        <w:rPr>
          <w:rFonts w:ascii="Calibri" w:hAnsi="Calibri" w:cs="Calibri"/>
          <w:color w:val="000000" w:themeColor="text1"/>
          <w:sz w:val="24"/>
          <w:szCs w:val="24"/>
        </w:rPr>
        <w:t xml:space="preserve">motivování a 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zvýšení povědomí o výsledcích a přínosech pomoci</w:t>
      </w:r>
      <w:r w:rsidR="00D40F57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. Jejich 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cílem </w:t>
      </w:r>
      <w:r w:rsidR="00D40F57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bylo 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mj. </w:t>
      </w:r>
      <w:r w:rsidR="00C70701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na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výš</w:t>
      </w:r>
      <w:r w:rsidR="00692EFA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it 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poč</w:t>
      </w:r>
      <w:r w:rsidR="00692EFA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e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t úspěšně realizovaných projektů</w:t>
      </w:r>
      <w:r w:rsidR="005A66E3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a 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představ</w:t>
      </w:r>
      <w:r w:rsidR="00692EFA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it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jejich konkrétní výsledk</w:t>
      </w:r>
      <w:r w:rsidR="00692EFA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y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v podobě příkladů dobré praxe</w:t>
      </w:r>
      <w:r w:rsidR="005A66E3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hlavním cílovým skupinám</w:t>
      </w:r>
      <w:r w:rsidR="009902BE" w:rsidRPr="000B6DDB">
        <w:rPr>
          <w:rStyle w:val="Znakapoznpodarou"/>
          <w:rFonts w:ascii="Calibri" w:hAnsi="Calibri" w:cs="Calibri"/>
          <w:color w:val="000000" w:themeColor="text1"/>
          <w:sz w:val="24"/>
          <w:szCs w:val="24"/>
        </w:rPr>
        <w:footnoteReference w:id="4"/>
      </w:r>
      <w:r w:rsidR="009902BE" w:rsidRPr="000B6DDB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779B076A" w14:textId="77777777" w:rsidR="00A419FE" w:rsidRPr="000B6DDB" w:rsidRDefault="00A419FE" w:rsidP="000B6DDB">
      <w:pPr>
        <w:tabs>
          <w:tab w:val="num" w:pos="284"/>
          <w:tab w:val="num" w:pos="851"/>
        </w:tabs>
        <w:spacing w:after="0" w:line="240" w:lineRule="auto"/>
        <w:ind w:right="70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</w:p>
    <w:p w14:paraId="11785669" w14:textId="551ABE6A" w:rsidR="004F6EE0" w:rsidRPr="000B6DDB" w:rsidRDefault="00CD3601" w:rsidP="000B6DDB">
      <w:pPr>
        <w:tabs>
          <w:tab w:val="num" w:pos="284"/>
          <w:tab w:val="num" w:pos="851"/>
        </w:tabs>
        <w:spacing w:after="0" w:line="240" w:lineRule="auto"/>
        <w:ind w:right="70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  <w:r w:rsidRPr="000B6DDB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P</w:t>
      </w:r>
      <w:r w:rsidR="007F1D4C" w:rsidRPr="000B6DDB">
        <w:rPr>
          <w:rFonts w:ascii="Calibri" w:hAnsi="Calibri" w:cs="Calibri"/>
          <w:b/>
          <w:color w:val="000000" w:themeColor="text1"/>
          <w:sz w:val="24"/>
          <w:szCs w:val="24"/>
        </w:rPr>
        <w:t xml:space="preserve">ředmětem kontroly </w:t>
      </w:r>
      <w:r w:rsidR="00D463DA" w:rsidRPr="000B6DDB">
        <w:rPr>
          <w:rFonts w:ascii="Calibri" w:hAnsi="Calibri" w:cs="Calibri"/>
          <w:b/>
          <w:color w:val="000000" w:themeColor="text1"/>
          <w:sz w:val="24"/>
          <w:szCs w:val="24"/>
        </w:rPr>
        <w:t xml:space="preserve">Nejvyššího kontrolního úřadu </w:t>
      </w:r>
      <w:r w:rsidR="007F1D4C" w:rsidRPr="000B6DDB">
        <w:rPr>
          <w:rFonts w:ascii="Calibri" w:hAnsi="Calibri" w:cs="Calibri"/>
          <w:b/>
          <w:color w:val="000000" w:themeColor="text1"/>
          <w:sz w:val="24"/>
          <w:szCs w:val="24"/>
        </w:rPr>
        <w:t>byly vybrané projekty, je</w:t>
      </w:r>
      <w:r w:rsidR="004F6EE0" w:rsidRPr="000B6DDB">
        <w:rPr>
          <w:rFonts w:ascii="Calibri" w:hAnsi="Calibri" w:cs="Calibri"/>
          <w:b/>
          <w:color w:val="000000" w:themeColor="text1"/>
          <w:sz w:val="24"/>
          <w:szCs w:val="24"/>
        </w:rPr>
        <w:t xml:space="preserve">ž </w:t>
      </w:r>
      <w:r w:rsidR="007F1D4C" w:rsidRPr="000B6DDB">
        <w:rPr>
          <w:rFonts w:ascii="Calibri" w:hAnsi="Calibri" w:cs="Calibri"/>
          <w:b/>
          <w:color w:val="000000" w:themeColor="text1"/>
          <w:sz w:val="24"/>
          <w:szCs w:val="24"/>
        </w:rPr>
        <w:t>naplňov</w:t>
      </w:r>
      <w:r w:rsidR="004F6EE0" w:rsidRPr="000B6DDB">
        <w:rPr>
          <w:rFonts w:ascii="Calibri" w:hAnsi="Calibri" w:cs="Calibri"/>
          <w:b/>
          <w:color w:val="000000" w:themeColor="text1"/>
          <w:sz w:val="24"/>
          <w:szCs w:val="24"/>
        </w:rPr>
        <w:t xml:space="preserve">aly </w:t>
      </w:r>
      <w:r w:rsidR="007F1D4C" w:rsidRPr="000B6DDB">
        <w:rPr>
          <w:rFonts w:ascii="Calibri" w:hAnsi="Calibri" w:cs="Calibri"/>
          <w:b/>
          <w:color w:val="000000" w:themeColor="text1"/>
          <w:sz w:val="24"/>
          <w:szCs w:val="24"/>
        </w:rPr>
        <w:t xml:space="preserve">komunikační plány </w:t>
      </w:r>
      <w:r w:rsidR="00C70701" w:rsidRPr="000B6DDB">
        <w:rPr>
          <w:rFonts w:ascii="Calibri" w:hAnsi="Calibri" w:cs="Calibri"/>
          <w:b/>
          <w:color w:val="000000" w:themeColor="text1"/>
          <w:sz w:val="24"/>
          <w:szCs w:val="24"/>
        </w:rPr>
        <w:t>řídicích orgánů</w:t>
      </w:r>
      <w:r w:rsidR="00A47799" w:rsidRPr="000B6DDB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7F1D4C" w:rsidRPr="000B6DDB">
        <w:rPr>
          <w:rFonts w:ascii="Calibri" w:hAnsi="Calibri" w:cs="Calibri"/>
          <w:b/>
          <w:color w:val="000000" w:themeColor="text1"/>
          <w:sz w:val="24"/>
          <w:szCs w:val="24"/>
        </w:rPr>
        <w:t>jednotlivých operačních programů.</w:t>
      </w:r>
      <w:r w:rsidR="00D463DA" w:rsidRPr="000B6DD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26C7F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Ke kontrole byly vybrány </w:t>
      </w:r>
      <w:r w:rsidR="004F6EE0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dva </w:t>
      </w:r>
      <w:r w:rsidR="00D26C7F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operační program</w:t>
      </w:r>
      <w:r w:rsidR="004F6EE0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y</w:t>
      </w:r>
      <w:r w:rsidR="00DA5A48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(dále též „OP“)</w:t>
      </w:r>
      <w:r w:rsidR="004F6EE0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D26C7F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spolufinancov</w:t>
      </w:r>
      <w:r w:rsidR="004F6EE0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ané </w:t>
      </w:r>
      <w:r w:rsidR="00D26C7F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z </w:t>
      </w:r>
      <w:r w:rsidR="00D26C7F" w:rsidRPr="00C340F1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>Evropského sociálního fondu</w:t>
      </w:r>
      <w:r w:rsidR="00D26C7F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(dále též „ESF“)</w:t>
      </w:r>
      <w:r w:rsidR="004F6EE0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8C2EC8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–</w:t>
      </w:r>
      <w:r w:rsidR="005A66E3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DA5A48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jednalo se o programy </w:t>
      </w:r>
      <w:r w:rsidR="005A66E3" w:rsidRPr="00C340F1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>V</w:t>
      </w:r>
      <w:r w:rsidR="004F6EE0" w:rsidRPr="00C340F1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>zdělá</w:t>
      </w:r>
      <w:r w:rsidR="00D26C7F" w:rsidRPr="00C340F1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>vání pro konkurenceschopnost</w:t>
      </w:r>
      <w:r w:rsidR="00D26C7F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(dále</w:t>
      </w:r>
      <w:r w:rsidR="002F7DBC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též „OP VK“) a </w:t>
      </w:r>
      <w:r w:rsidR="002F7DBC" w:rsidRPr="00C340F1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>Lidské zdroje a </w:t>
      </w:r>
      <w:r w:rsidR="00D26C7F" w:rsidRPr="00C340F1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>zaměstnanost</w:t>
      </w:r>
      <w:r w:rsidR="00D26C7F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(dále též „OP LZZ“)</w:t>
      </w:r>
      <w:r w:rsidR="00DA5A48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–</w:t>
      </w:r>
      <w:r w:rsidR="005A66E3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4F6EE0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a dále </w:t>
      </w:r>
      <w:r w:rsidR="00DA5A48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byly kontrolovány </w:t>
      </w:r>
      <w:r w:rsidR="004F6EE0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dva </w:t>
      </w:r>
      <w:r w:rsidR="00D26C7F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programy spolufinancované z </w:t>
      </w:r>
      <w:r w:rsidR="00D26C7F" w:rsidRPr="00C340F1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>Evropského fondu pro regionální rozvoj</w:t>
      </w:r>
      <w:r w:rsidR="00D26C7F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(dále též „E</w:t>
      </w:r>
      <w:r w:rsidR="00F93C09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FRR</w:t>
      </w:r>
      <w:r w:rsidR="00D26C7F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“)</w:t>
      </w:r>
      <w:r w:rsidR="00692EFA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E01217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–</w:t>
      </w:r>
      <w:r w:rsidR="00692EFA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DA5A48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byly to </w:t>
      </w:r>
      <w:r w:rsidR="00D26C7F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operační program</w:t>
      </w:r>
      <w:r w:rsidR="00DA5A48">
        <w:rPr>
          <w:rFonts w:ascii="Calibri" w:hAnsi="Calibri" w:cs="Calibri"/>
          <w:color w:val="000000" w:themeColor="text1"/>
          <w:sz w:val="24"/>
          <w:szCs w:val="24"/>
          <w:lang w:eastAsia="cs-CZ"/>
        </w:rPr>
        <w:t>y</w:t>
      </w:r>
      <w:r w:rsidR="00D26C7F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D26C7F" w:rsidRPr="00C340F1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>Výzkum a vývoj pro inovace</w:t>
      </w:r>
      <w:r w:rsidR="00D26C7F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(dále též</w:t>
      </w:r>
      <w:r w:rsidR="004F6EE0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D26C7F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„OP VaVpI“) a </w:t>
      </w:r>
      <w:r w:rsidR="00D26C7F" w:rsidRPr="00C340F1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>Regionální operační program regionu soudržnosti Střední Čechy</w:t>
      </w:r>
      <w:r w:rsidR="00D26C7F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(dále též „ROP SČ“). </w:t>
      </w:r>
    </w:p>
    <w:p w14:paraId="5097B902" w14:textId="77777777" w:rsidR="00F73184" w:rsidRPr="000B6DDB" w:rsidRDefault="00F73184" w:rsidP="000B6DDB">
      <w:pPr>
        <w:spacing w:after="0" w:line="240" w:lineRule="auto"/>
        <w:ind w:right="70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</w:p>
    <w:p w14:paraId="67A16AC6" w14:textId="77777777" w:rsidR="00005C93" w:rsidRPr="000B6DDB" w:rsidRDefault="00D26C7F" w:rsidP="000B6DDB">
      <w:pPr>
        <w:spacing w:after="0" w:line="240" w:lineRule="auto"/>
        <w:ind w:right="70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V</w:t>
      </w:r>
      <w:r w:rsidR="00005C93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ýkonem funkce řídicího orgánu</w:t>
      </w:r>
      <w:r w:rsidR="00F73184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byly </w:t>
      </w:r>
      <w:r w:rsidR="00005C93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pro výše uvedené operační programy pověřeny tyto </w:t>
      </w:r>
      <w:r w:rsidR="007F1D4C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>subjekty</w:t>
      </w:r>
      <w:r w:rsidR="00005C93"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:  </w:t>
      </w:r>
    </w:p>
    <w:p w14:paraId="368A2118" w14:textId="77777777" w:rsidR="001923E5" w:rsidRPr="00C340F1" w:rsidRDefault="001923E5" w:rsidP="00C340F1">
      <w:pPr>
        <w:pStyle w:val="Odstavecseseznamem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C340F1">
        <w:rPr>
          <w:rFonts w:cstheme="minorHAnsi"/>
          <w:color w:val="000000" w:themeColor="text1"/>
          <w:sz w:val="24"/>
          <w:szCs w:val="24"/>
        </w:rPr>
        <w:t>Ministerstvo školství, mládeže a tělovýchovy</w:t>
      </w:r>
      <w:r w:rsidR="003C1CD7" w:rsidRPr="00C340F1">
        <w:rPr>
          <w:rFonts w:cstheme="minorHAnsi"/>
          <w:color w:val="000000" w:themeColor="text1"/>
          <w:sz w:val="24"/>
          <w:szCs w:val="24"/>
        </w:rPr>
        <w:t xml:space="preserve"> (dále též „MŠMT“)</w:t>
      </w:r>
      <w:r w:rsidR="000105E2" w:rsidRPr="00C340F1">
        <w:rPr>
          <w:rFonts w:cstheme="minorHAnsi"/>
          <w:color w:val="000000" w:themeColor="text1"/>
          <w:sz w:val="24"/>
          <w:szCs w:val="24"/>
        </w:rPr>
        <w:t xml:space="preserve"> pro OP VK a OP VaVpI</w:t>
      </w:r>
      <w:r w:rsidR="003C1CD7" w:rsidRPr="00C340F1">
        <w:rPr>
          <w:rFonts w:cstheme="minorHAnsi"/>
          <w:color w:val="000000" w:themeColor="text1"/>
          <w:sz w:val="24"/>
          <w:szCs w:val="24"/>
        </w:rPr>
        <w:t>;</w:t>
      </w:r>
    </w:p>
    <w:p w14:paraId="6C247686" w14:textId="77777777" w:rsidR="001923E5" w:rsidRPr="00C340F1" w:rsidRDefault="001923E5" w:rsidP="00C340F1">
      <w:pPr>
        <w:pStyle w:val="Odstavecseseznamem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C340F1">
        <w:rPr>
          <w:rFonts w:cstheme="minorHAnsi"/>
          <w:color w:val="000000" w:themeColor="text1"/>
          <w:sz w:val="24"/>
          <w:szCs w:val="24"/>
        </w:rPr>
        <w:t>Ministerstvo práce a sociálních věcí</w:t>
      </w:r>
      <w:r w:rsidR="003C1CD7" w:rsidRPr="00C340F1">
        <w:rPr>
          <w:rFonts w:cstheme="minorHAnsi"/>
          <w:color w:val="000000" w:themeColor="text1"/>
          <w:sz w:val="24"/>
          <w:szCs w:val="24"/>
        </w:rPr>
        <w:t xml:space="preserve"> (dále též „MPSV“)</w:t>
      </w:r>
      <w:r w:rsidR="000105E2" w:rsidRPr="00C340F1">
        <w:rPr>
          <w:rFonts w:cstheme="minorHAnsi"/>
          <w:color w:val="000000" w:themeColor="text1"/>
          <w:sz w:val="24"/>
          <w:szCs w:val="24"/>
        </w:rPr>
        <w:t xml:space="preserve"> pro OP LZZ</w:t>
      </w:r>
      <w:r w:rsidR="003C1CD7" w:rsidRPr="00C340F1">
        <w:rPr>
          <w:rFonts w:cstheme="minorHAnsi"/>
          <w:color w:val="000000" w:themeColor="text1"/>
          <w:sz w:val="24"/>
          <w:szCs w:val="24"/>
        </w:rPr>
        <w:t>;</w:t>
      </w:r>
    </w:p>
    <w:p w14:paraId="4DE3E698" w14:textId="77777777" w:rsidR="001923E5" w:rsidRPr="00C340F1" w:rsidRDefault="001923E5" w:rsidP="00C340F1">
      <w:pPr>
        <w:pStyle w:val="Odstavecseseznamem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4"/>
          <w:szCs w:val="24"/>
        </w:rPr>
      </w:pPr>
      <w:r w:rsidRPr="00C340F1">
        <w:rPr>
          <w:rFonts w:cstheme="minorHAnsi"/>
          <w:color w:val="000000" w:themeColor="text1"/>
          <w:sz w:val="24"/>
          <w:szCs w:val="24"/>
        </w:rPr>
        <w:lastRenderedPageBreak/>
        <w:t>Regionální rada regionu soudržnosti Střední Čechy</w:t>
      </w:r>
      <w:r w:rsidR="003C1CD7" w:rsidRPr="00C340F1">
        <w:rPr>
          <w:rFonts w:cstheme="minorHAnsi"/>
          <w:color w:val="000000" w:themeColor="text1"/>
          <w:sz w:val="24"/>
          <w:szCs w:val="24"/>
        </w:rPr>
        <w:t xml:space="preserve"> (dále též „RR SČ“)</w:t>
      </w:r>
      <w:r w:rsidR="000105E2" w:rsidRPr="00C340F1">
        <w:rPr>
          <w:rFonts w:cstheme="minorHAnsi"/>
          <w:color w:val="000000" w:themeColor="text1"/>
          <w:sz w:val="24"/>
          <w:szCs w:val="24"/>
        </w:rPr>
        <w:t xml:space="preserve"> pro ROP SČ.</w:t>
      </w:r>
    </w:p>
    <w:p w14:paraId="3B122F0F" w14:textId="77777777" w:rsidR="00D463DA" w:rsidRPr="000B6DDB" w:rsidRDefault="00D463DA" w:rsidP="000B6DDB">
      <w:pPr>
        <w:spacing w:after="0" w:line="240" w:lineRule="auto"/>
        <w:ind w:right="70"/>
        <w:jc w:val="both"/>
        <w:rPr>
          <w:rFonts w:cstheme="minorHAnsi"/>
          <w:color w:val="000000" w:themeColor="text1"/>
          <w:sz w:val="24"/>
          <w:szCs w:val="24"/>
        </w:rPr>
      </w:pPr>
    </w:p>
    <w:p w14:paraId="43A4241F" w14:textId="4BE3180B" w:rsidR="00653620" w:rsidRPr="000B6DDB" w:rsidRDefault="003C1BB6" w:rsidP="000B6DDB">
      <w:pPr>
        <w:spacing w:after="0" w:line="240" w:lineRule="auto"/>
        <w:jc w:val="both"/>
        <w:rPr>
          <w:rFonts w:cs="Calibri"/>
          <w:color w:val="000000" w:themeColor="text1"/>
          <w:sz w:val="24"/>
          <w:szCs w:val="24"/>
          <w:lang w:eastAsia="cs-CZ"/>
        </w:rPr>
      </w:pPr>
      <w:r w:rsidRPr="000B6DDB">
        <w:rPr>
          <w:rFonts w:cs="Calibri"/>
          <w:color w:val="000000" w:themeColor="text1"/>
          <w:sz w:val="24"/>
          <w:szCs w:val="24"/>
          <w:lang w:eastAsia="cs-CZ"/>
        </w:rPr>
        <w:t>Řídicí orgány dispon</w:t>
      </w:r>
      <w:r w:rsidR="00D560D2"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ovaly </w:t>
      </w:r>
      <w:r w:rsidRPr="000B6DDB">
        <w:rPr>
          <w:rFonts w:cs="Calibri"/>
          <w:color w:val="000000" w:themeColor="text1"/>
          <w:sz w:val="24"/>
          <w:szCs w:val="24"/>
          <w:lang w:eastAsia="cs-CZ"/>
        </w:rPr>
        <w:t>finančními prostředky určenými na technickou pomoc v</w:t>
      </w:r>
      <w:r w:rsidR="00675BC0"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 přibližné </w:t>
      </w:r>
      <w:r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výši </w:t>
      </w:r>
      <w:r w:rsidR="005759AE"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od 3 % do </w:t>
      </w:r>
      <w:r w:rsidRPr="000B6DDB">
        <w:rPr>
          <w:rFonts w:cs="Calibri"/>
          <w:color w:val="000000" w:themeColor="text1"/>
          <w:sz w:val="24"/>
          <w:szCs w:val="24"/>
          <w:lang w:eastAsia="cs-CZ"/>
        </w:rPr>
        <w:t>4 %</w:t>
      </w:r>
      <w:r w:rsidR="00653620"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 </w:t>
      </w:r>
      <w:r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z celkové </w:t>
      </w:r>
      <w:r w:rsidR="00653620" w:rsidRPr="000B6DDB">
        <w:rPr>
          <w:rFonts w:cs="Calibri"/>
          <w:color w:val="000000" w:themeColor="text1"/>
          <w:sz w:val="24"/>
          <w:szCs w:val="24"/>
          <w:lang w:eastAsia="cs-CZ"/>
        </w:rPr>
        <w:t>částky přidělené na každý operační program v rámci cíle „</w:t>
      </w:r>
      <w:r w:rsidR="00FF285F" w:rsidRPr="00C340F1">
        <w:rPr>
          <w:rFonts w:cs="Calibri"/>
          <w:i/>
          <w:color w:val="000000" w:themeColor="text1"/>
          <w:sz w:val="24"/>
          <w:szCs w:val="24"/>
          <w:lang w:eastAsia="cs-CZ"/>
        </w:rPr>
        <w:t>k</w:t>
      </w:r>
      <w:r w:rsidR="00653620" w:rsidRPr="00C340F1">
        <w:rPr>
          <w:rFonts w:cs="Calibri"/>
          <w:i/>
          <w:color w:val="000000" w:themeColor="text1"/>
          <w:sz w:val="24"/>
          <w:szCs w:val="24"/>
          <w:lang w:eastAsia="cs-CZ"/>
        </w:rPr>
        <w:t>onvergence</w:t>
      </w:r>
      <w:r w:rsidR="00653620" w:rsidRPr="000B6DDB">
        <w:rPr>
          <w:rFonts w:cs="Calibri"/>
          <w:color w:val="000000" w:themeColor="text1"/>
          <w:sz w:val="24"/>
          <w:szCs w:val="24"/>
          <w:lang w:eastAsia="cs-CZ"/>
        </w:rPr>
        <w:t>“ a cíle „</w:t>
      </w:r>
      <w:r w:rsidR="00FF285F" w:rsidRPr="00C340F1">
        <w:rPr>
          <w:rFonts w:cs="Calibri"/>
          <w:i/>
          <w:color w:val="000000" w:themeColor="text1"/>
          <w:sz w:val="24"/>
          <w:szCs w:val="24"/>
          <w:lang w:eastAsia="cs-CZ"/>
        </w:rPr>
        <w:t>r</w:t>
      </w:r>
      <w:r w:rsidR="00653620" w:rsidRPr="00C340F1">
        <w:rPr>
          <w:rFonts w:cs="Calibri"/>
          <w:i/>
          <w:color w:val="000000" w:themeColor="text1"/>
          <w:sz w:val="24"/>
          <w:szCs w:val="24"/>
          <w:lang w:eastAsia="cs-CZ"/>
        </w:rPr>
        <w:t>egionální konkurenceschopnost a zaměstnanost</w:t>
      </w:r>
      <w:r w:rsidR="00653620"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“ ve formě limitu výdajů </w:t>
      </w:r>
      <w:r w:rsidR="005A66E3"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na přípravné, správní, </w:t>
      </w:r>
      <w:r w:rsidR="00B17E66" w:rsidRPr="000B6DDB">
        <w:rPr>
          <w:rFonts w:cs="Calibri"/>
          <w:color w:val="000000" w:themeColor="text1"/>
          <w:sz w:val="24"/>
          <w:szCs w:val="24"/>
          <w:lang w:eastAsia="cs-CZ"/>
        </w:rPr>
        <w:t>monitorovací</w:t>
      </w:r>
      <w:r w:rsidR="005A66E3" w:rsidRPr="000B6DDB">
        <w:rPr>
          <w:rFonts w:cs="Calibri"/>
          <w:color w:val="000000" w:themeColor="text1"/>
          <w:sz w:val="24"/>
          <w:szCs w:val="24"/>
          <w:lang w:eastAsia="cs-CZ"/>
        </w:rPr>
        <w:t>, hodnot</w:t>
      </w:r>
      <w:r w:rsidR="00FF285F">
        <w:rPr>
          <w:rFonts w:cs="Calibri"/>
          <w:color w:val="000000" w:themeColor="text1"/>
          <w:sz w:val="24"/>
          <w:szCs w:val="24"/>
          <w:lang w:eastAsia="cs-CZ"/>
        </w:rPr>
        <w:t>i</w:t>
      </w:r>
      <w:r w:rsidR="005A66E3" w:rsidRPr="000B6DDB">
        <w:rPr>
          <w:rFonts w:cs="Calibri"/>
          <w:color w:val="000000" w:themeColor="text1"/>
          <w:sz w:val="24"/>
          <w:szCs w:val="24"/>
          <w:lang w:eastAsia="cs-CZ"/>
        </w:rPr>
        <w:t>cí,</w:t>
      </w:r>
      <w:r w:rsidR="00FC530B"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 kontrolní a </w:t>
      </w:r>
      <w:r w:rsidR="005A66E3" w:rsidRPr="000B6DDB">
        <w:rPr>
          <w:rFonts w:cs="Calibri"/>
          <w:b/>
          <w:color w:val="000000" w:themeColor="text1"/>
          <w:sz w:val="24"/>
          <w:szCs w:val="24"/>
          <w:lang w:eastAsia="cs-CZ"/>
        </w:rPr>
        <w:t>informační činnosti</w:t>
      </w:r>
      <w:r w:rsidR="005A66E3"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 </w:t>
      </w:r>
      <w:r w:rsidR="006A462F"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a </w:t>
      </w:r>
      <w:r w:rsidR="005A66E3"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na posílení správní kapacity pro </w:t>
      </w:r>
      <w:r w:rsidR="00A0207E" w:rsidRPr="000B6DDB">
        <w:rPr>
          <w:rFonts w:cs="Calibri"/>
          <w:color w:val="000000" w:themeColor="text1"/>
          <w:sz w:val="24"/>
          <w:szCs w:val="24"/>
          <w:lang w:eastAsia="cs-CZ"/>
        </w:rPr>
        <w:t>implementaci operačních programů</w:t>
      </w:r>
      <w:r w:rsidR="00653620"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. Přehled alokace pro </w:t>
      </w:r>
      <w:r w:rsidR="00692EFA"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oblast </w:t>
      </w:r>
      <w:r w:rsidR="00653620" w:rsidRPr="000B6DDB">
        <w:rPr>
          <w:rFonts w:cs="Calibri"/>
          <w:color w:val="000000" w:themeColor="text1"/>
          <w:sz w:val="24"/>
          <w:szCs w:val="24"/>
          <w:lang w:eastAsia="cs-CZ"/>
        </w:rPr>
        <w:t>informovanost</w:t>
      </w:r>
      <w:r w:rsidR="00692EFA" w:rsidRPr="000B6DDB">
        <w:rPr>
          <w:rFonts w:cs="Calibri"/>
          <w:color w:val="000000" w:themeColor="text1"/>
          <w:sz w:val="24"/>
          <w:szCs w:val="24"/>
          <w:lang w:eastAsia="cs-CZ"/>
        </w:rPr>
        <w:t>i</w:t>
      </w:r>
      <w:r w:rsidR="00653620"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 a publicit</w:t>
      </w:r>
      <w:r w:rsidR="00A3432F" w:rsidRPr="000B6DDB">
        <w:rPr>
          <w:rFonts w:cs="Calibri"/>
          <w:color w:val="000000" w:themeColor="text1"/>
          <w:sz w:val="24"/>
          <w:szCs w:val="24"/>
          <w:lang w:eastAsia="cs-CZ"/>
        </w:rPr>
        <w:t>y</w:t>
      </w:r>
      <w:r w:rsidR="00653620"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 v rámci technické pomoci </w:t>
      </w:r>
      <w:r w:rsidR="0007588F" w:rsidRPr="000B6DDB">
        <w:rPr>
          <w:rFonts w:cs="Calibri"/>
          <w:color w:val="000000" w:themeColor="text1"/>
          <w:sz w:val="24"/>
          <w:szCs w:val="24"/>
          <w:lang w:eastAsia="cs-CZ"/>
        </w:rPr>
        <w:t xml:space="preserve">vybraných </w:t>
      </w:r>
      <w:r w:rsidR="00653620" w:rsidRPr="000B6DDB">
        <w:rPr>
          <w:rFonts w:cs="Calibri"/>
          <w:color w:val="000000" w:themeColor="text1"/>
          <w:sz w:val="24"/>
          <w:szCs w:val="24"/>
          <w:lang w:eastAsia="cs-CZ"/>
        </w:rPr>
        <w:t>OP uvádí tabulka č. 1</w:t>
      </w:r>
      <w:r w:rsidR="00FF285F">
        <w:rPr>
          <w:rFonts w:cs="Calibri"/>
          <w:color w:val="000000" w:themeColor="text1"/>
          <w:sz w:val="24"/>
          <w:szCs w:val="24"/>
          <w:lang w:eastAsia="cs-CZ"/>
        </w:rPr>
        <w:t>.</w:t>
      </w:r>
    </w:p>
    <w:p w14:paraId="0B0A92A8" w14:textId="77777777" w:rsidR="00653620" w:rsidRPr="000B6DDB" w:rsidRDefault="00653620" w:rsidP="000B6DD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FA8DEE5" w14:textId="3BE0C375" w:rsidR="00A74261" w:rsidRPr="00E01217" w:rsidRDefault="00A74261" w:rsidP="000B6DDB">
      <w:pPr>
        <w:spacing w:after="40" w:line="240" w:lineRule="auto"/>
        <w:jc w:val="both"/>
        <w:rPr>
          <w:rFonts w:cstheme="minorHAnsi"/>
          <w:b/>
          <w:sz w:val="24"/>
          <w:szCs w:val="24"/>
        </w:rPr>
      </w:pPr>
      <w:r w:rsidRPr="00E01217">
        <w:rPr>
          <w:rFonts w:cstheme="minorHAnsi"/>
          <w:b/>
          <w:sz w:val="24"/>
          <w:szCs w:val="24"/>
        </w:rPr>
        <w:t xml:space="preserve">Tabulka č. 1 </w:t>
      </w:r>
      <w:r w:rsidR="00CA31B3">
        <w:rPr>
          <w:rFonts w:cstheme="minorHAnsi"/>
          <w:b/>
          <w:sz w:val="24"/>
          <w:szCs w:val="24"/>
        </w:rPr>
        <w:t xml:space="preserve">– </w:t>
      </w:r>
      <w:r w:rsidR="009A177D" w:rsidRPr="00E01217">
        <w:rPr>
          <w:rFonts w:cstheme="minorHAnsi"/>
          <w:b/>
          <w:sz w:val="24"/>
          <w:szCs w:val="24"/>
        </w:rPr>
        <w:t xml:space="preserve">Alokace </w:t>
      </w:r>
      <w:r w:rsidR="00FF18FC" w:rsidRPr="00E01217">
        <w:rPr>
          <w:rFonts w:cstheme="minorHAnsi"/>
          <w:b/>
          <w:sz w:val="24"/>
          <w:szCs w:val="24"/>
        </w:rPr>
        <w:t>pro oblast publicity</w:t>
      </w:r>
    </w:p>
    <w:tbl>
      <w:tblPr>
        <w:tblW w:w="907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2438"/>
        <w:gridCol w:w="2438"/>
        <w:gridCol w:w="2438"/>
      </w:tblGrid>
      <w:tr w:rsidR="002577DE" w:rsidRPr="000B6DDB" w14:paraId="006DD769" w14:textId="77777777" w:rsidTr="000B6DDB">
        <w:trPr>
          <w:trHeight w:val="227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C7BC2F1" w14:textId="77777777" w:rsidR="002577DE" w:rsidRPr="000B6DDB" w:rsidRDefault="002577DE" w:rsidP="00257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operačního programu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F289E4" w14:textId="77777777" w:rsidR="002577DE" w:rsidRPr="000B6DDB" w:rsidRDefault="002577DE" w:rsidP="007830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Alokace </w:t>
            </w:r>
            <w:r w:rsidR="00A47799"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pro</w:t>
            </w:r>
            <w:r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technick</w:t>
            </w:r>
            <w:r w:rsidR="0078302F"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ou</w:t>
            </w:r>
            <w:r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pomoc vůči alokaci OP 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vAlign w:val="center"/>
            <w:hideMark/>
          </w:tcPr>
          <w:p w14:paraId="1DA0D0DD" w14:textId="77777777" w:rsidR="002577DE" w:rsidRPr="000B6DDB" w:rsidRDefault="002577DE" w:rsidP="000B6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Alokace</w:t>
            </w:r>
            <w:r w:rsidR="00A47799"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pro</w:t>
            </w:r>
            <w:r w:rsid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47799"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i</w:t>
            </w:r>
            <w:r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nformovanost</w:t>
            </w:r>
            <w:r w:rsid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publicit</w:t>
            </w:r>
            <w:r w:rsidR="00A47799"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u</w:t>
            </w:r>
            <w:r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programu</w:t>
            </w:r>
            <w:r w:rsidR="00A47799"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vůči alokaci OP </w:t>
            </w:r>
          </w:p>
        </w:tc>
        <w:tc>
          <w:tcPr>
            <w:tcW w:w="24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3D796A61" w14:textId="77777777" w:rsidR="00570981" w:rsidRPr="000B6DDB" w:rsidRDefault="002577DE" w:rsidP="00257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Komunikační plán (schválené projekty</w:t>
            </w:r>
            <w:r w:rsidR="00366F39"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70981"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</w:p>
          <w:p w14:paraId="75F2D8A3" w14:textId="77777777" w:rsidR="002577DE" w:rsidRPr="000B6DDB" w:rsidRDefault="00366F39" w:rsidP="002577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v Kč</w:t>
            </w:r>
            <w:r w:rsidR="002577DE" w:rsidRPr="000B6D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2577DE" w:rsidRPr="000B6DDB" w14:paraId="4DD3A2BE" w14:textId="77777777" w:rsidTr="000B6DDB">
        <w:trPr>
          <w:trHeight w:val="227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83BB" w14:textId="77777777" w:rsidR="002577DE" w:rsidRPr="000B6DDB" w:rsidRDefault="002577DE" w:rsidP="000B6DD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OP VK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5356" w14:textId="77777777" w:rsidR="002577DE" w:rsidRPr="000B6DDB" w:rsidRDefault="002577DE" w:rsidP="000B6DDB">
            <w:pPr>
              <w:spacing w:after="0" w:line="240" w:lineRule="auto"/>
              <w:ind w:right="145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4,0 %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C446" w14:textId="77777777" w:rsidR="002577DE" w:rsidRPr="000B6DDB" w:rsidRDefault="002577DE" w:rsidP="000B6DDB">
            <w:pPr>
              <w:spacing w:after="0" w:line="240" w:lineRule="auto"/>
              <w:ind w:right="145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0,2 %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69234" w14:textId="77777777" w:rsidR="002577DE" w:rsidRPr="000B6DDB" w:rsidRDefault="002577DE" w:rsidP="000B6DDB">
            <w:pPr>
              <w:spacing w:after="0" w:line="240" w:lineRule="auto"/>
              <w:ind w:right="145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110 752 982,00</w:t>
            </w:r>
          </w:p>
        </w:tc>
      </w:tr>
      <w:tr w:rsidR="002577DE" w:rsidRPr="000B6DDB" w14:paraId="5CD63B2B" w14:textId="77777777" w:rsidTr="000B6DDB">
        <w:trPr>
          <w:trHeight w:val="227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224C" w14:textId="77777777" w:rsidR="002577DE" w:rsidRPr="000B6DDB" w:rsidRDefault="002577DE" w:rsidP="000B6DD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OP VaVpI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9E31" w14:textId="77777777" w:rsidR="002577DE" w:rsidRPr="000B6DDB" w:rsidRDefault="002577DE" w:rsidP="000B6DDB">
            <w:pPr>
              <w:spacing w:after="0" w:line="240" w:lineRule="auto"/>
              <w:ind w:right="145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3,4 %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9CCF" w14:textId="77777777" w:rsidR="002577DE" w:rsidRPr="000B6DDB" w:rsidRDefault="002577DE" w:rsidP="000B6DDB">
            <w:pPr>
              <w:spacing w:after="0" w:line="240" w:lineRule="auto"/>
              <w:ind w:right="145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0,4 %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C9753" w14:textId="77777777" w:rsidR="002577DE" w:rsidRPr="000B6DDB" w:rsidRDefault="002577DE" w:rsidP="000B6DDB">
            <w:pPr>
              <w:spacing w:after="0" w:line="240" w:lineRule="auto"/>
              <w:ind w:right="145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65 501 608,00</w:t>
            </w:r>
          </w:p>
        </w:tc>
      </w:tr>
      <w:tr w:rsidR="002577DE" w:rsidRPr="000B6DDB" w14:paraId="7248EFD3" w14:textId="77777777" w:rsidTr="000B6DDB">
        <w:trPr>
          <w:trHeight w:val="227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CFBE" w14:textId="77777777" w:rsidR="002577DE" w:rsidRPr="000B6DDB" w:rsidRDefault="002577DE" w:rsidP="000B6DD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OP LZZ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6DCF" w14:textId="77777777" w:rsidR="002577DE" w:rsidRPr="000B6DDB" w:rsidRDefault="002577DE" w:rsidP="000B6DDB">
            <w:pPr>
              <w:spacing w:after="0" w:line="240" w:lineRule="auto"/>
              <w:ind w:right="145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3,0 %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8A79" w14:textId="77777777" w:rsidR="002577DE" w:rsidRPr="000B6DDB" w:rsidRDefault="00A3432F" w:rsidP="000B6DDB">
            <w:pPr>
              <w:spacing w:after="0" w:line="240" w:lineRule="auto"/>
              <w:ind w:right="145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0,3 %</w:t>
            </w:r>
            <w:r w:rsidR="002577DE"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0097E" w14:textId="77777777" w:rsidR="002577DE" w:rsidRPr="000B6DDB" w:rsidRDefault="002577DE" w:rsidP="000B6DDB">
            <w:pPr>
              <w:spacing w:after="0" w:line="240" w:lineRule="auto"/>
              <w:ind w:right="145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146 987 600,00</w:t>
            </w:r>
          </w:p>
        </w:tc>
      </w:tr>
      <w:tr w:rsidR="002577DE" w:rsidRPr="000B6DDB" w14:paraId="2A82317A" w14:textId="77777777" w:rsidTr="000B6DDB">
        <w:trPr>
          <w:trHeight w:val="227"/>
        </w:trPr>
        <w:tc>
          <w:tcPr>
            <w:tcW w:w="175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75AC" w14:textId="77777777" w:rsidR="002577DE" w:rsidRPr="000B6DDB" w:rsidRDefault="002577DE" w:rsidP="000B6DD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ROP SČ</w:t>
            </w:r>
          </w:p>
        </w:tc>
        <w:tc>
          <w:tcPr>
            <w:tcW w:w="24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49C8" w14:textId="77777777" w:rsidR="002577DE" w:rsidRPr="000B6DDB" w:rsidRDefault="002577DE" w:rsidP="000B6DDB">
            <w:pPr>
              <w:spacing w:after="0" w:line="240" w:lineRule="auto"/>
              <w:ind w:right="145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3,</w:t>
            </w:r>
            <w:r w:rsidR="00A3432F"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24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7911" w14:textId="77777777" w:rsidR="002577DE" w:rsidRPr="000B6DDB" w:rsidRDefault="002577DE" w:rsidP="000B6DDB">
            <w:pPr>
              <w:spacing w:after="0" w:line="240" w:lineRule="auto"/>
              <w:ind w:right="145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0,1 %</w:t>
            </w:r>
          </w:p>
        </w:tc>
        <w:tc>
          <w:tcPr>
            <w:tcW w:w="243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03AF1" w14:textId="77777777" w:rsidR="002577DE" w:rsidRPr="000B6DDB" w:rsidRDefault="002577DE" w:rsidP="000B6DDB">
            <w:pPr>
              <w:spacing w:after="0" w:line="240" w:lineRule="auto"/>
              <w:ind w:right="145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95 066 615,00</w:t>
            </w:r>
          </w:p>
        </w:tc>
      </w:tr>
      <w:tr w:rsidR="002577DE" w:rsidRPr="000B6DDB" w14:paraId="57939844" w14:textId="77777777" w:rsidTr="000B6DDB">
        <w:trPr>
          <w:trHeight w:val="227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EDF5" w14:textId="77777777" w:rsidR="002577DE" w:rsidRPr="000B6DDB" w:rsidRDefault="002577DE" w:rsidP="000B6DD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CBA3" w14:textId="77777777" w:rsidR="002577DE" w:rsidRPr="000B6DDB" w:rsidRDefault="002577DE" w:rsidP="000B6DDB">
            <w:pPr>
              <w:spacing w:after="0" w:line="240" w:lineRule="auto"/>
              <w:ind w:right="145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FAD0" w14:textId="77777777" w:rsidR="002577DE" w:rsidRPr="000B6DDB" w:rsidRDefault="002577DE" w:rsidP="000B6DDB">
            <w:pPr>
              <w:spacing w:after="0" w:line="240" w:lineRule="auto"/>
              <w:ind w:right="145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FEC28" w14:textId="77777777" w:rsidR="002577DE" w:rsidRPr="000B6DDB" w:rsidRDefault="002577DE" w:rsidP="000B6DDB">
            <w:pPr>
              <w:spacing w:after="0" w:line="240" w:lineRule="auto"/>
              <w:ind w:right="145"/>
              <w:jc w:val="right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0B6DD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cs-CZ"/>
              </w:rPr>
              <w:t>418 308 805,00</w:t>
            </w:r>
          </w:p>
        </w:tc>
      </w:tr>
    </w:tbl>
    <w:p w14:paraId="54454B75" w14:textId="56B62F04" w:rsidR="00F277D9" w:rsidRDefault="00F277D9" w:rsidP="000B6DDB">
      <w:pPr>
        <w:spacing w:before="40" w:after="0" w:line="240" w:lineRule="auto"/>
        <w:ind w:left="567" w:right="68" w:hanging="567"/>
        <w:jc w:val="both"/>
        <w:rPr>
          <w:rFonts w:cstheme="minorHAnsi"/>
          <w:sz w:val="20"/>
          <w:szCs w:val="20"/>
        </w:rPr>
      </w:pPr>
      <w:r w:rsidRPr="00827626">
        <w:rPr>
          <w:rFonts w:cstheme="minorHAnsi"/>
          <w:b/>
          <w:sz w:val="20"/>
          <w:szCs w:val="20"/>
        </w:rPr>
        <w:t>Zdroj:</w:t>
      </w:r>
      <w:r w:rsidR="000B6DDB">
        <w:rPr>
          <w:rFonts w:cstheme="minorHAnsi"/>
          <w:sz w:val="20"/>
          <w:szCs w:val="20"/>
        </w:rPr>
        <w:tab/>
      </w:r>
      <w:r w:rsidR="00FF285F">
        <w:rPr>
          <w:rFonts w:cstheme="minorHAnsi"/>
          <w:sz w:val="20"/>
          <w:szCs w:val="20"/>
        </w:rPr>
        <w:t>m</w:t>
      </w:r>
      <w:r w:rsidR="00870FF7">
        <w:rPr>
          <w:rFonts w:cstheme="minorHAnsi"/>
          <w:sz w:val="20"/>
          <w:szCs w:val="20"/>
        </w:rPr>
        <w:t>ěsíční monitorovací zpráv</w:t>
      </w:r>
      <w:r w:rsidR="00FF285F">
        <w:rPr>
          <w:rFonts w:cstheme="minorHAnsi"/>
          <w:sz w:val="20"/>
          <w:szCs w:val="20"/>
        </w:rPr>
        <w:t>y</w:t>
      </w:r>
      <w:r w:rsidR="00870FF7">
        <w:rPr>
          <w:rFonts w:cstheme="minorHAnsi"/>
          <w:sz w:val="20"/>
          <w:szCs w:val="20"/>
        </w:rPr>
        <w:t xml:space="preserve"> </w:t>
      </w:r>
      <w:r w:rsidR="00236E49" w:rsidRPr="00287F6A">
        <w:rPr>
          <w:rFonts w:cstheme="minorHAnsi"/>
          <w:sz w:val="20"/>
          <w:szCs w:val="20"/>
        </w:rPr>
        <w:t>N</w:t>
      </w:r>
      <w:r w:rsidR="000366AF">
        <w:rPr>
          <w:rFonts w:cstheme="minorHAnsi"/>
          <w:sz w:val="20"/>
          <w:szCs w:val="20"/>
        </w:rPr>
        <w:t xml:space="preserve">árodního </w:t>
      </w:r>
      <w:r w:rsidR="00A0207E">
        <w:rPr>
          <w:rFonts w:cstheme="minorHAnsi"/>
          <w:sz w:val="20"/>
          <w:szCs w:val="20"/>
        </w:rPr>
        <w:t>orgánu pro koordinaci</w:t>
      </w:r>
      <w:r w:rsidR="000366AF">
        <w:rPr>
          <w:rFonts w:cstheme="minorHAnsi"/>
          <w:sz w:val="20"/>
          <w:szCs w:val="20"/>
        </w:rPr>
        <w:t xml:space="preserve"> </w:t>
      </w:r>
      <w:r w:rsidR="00236E49" w:rsidRPr="00287F6A">
        <w:rPr>
          <w:rFonts w:cstheme="minorHAnsi"/>
          <w:sz w:val="20"/>
          <w:szCs w:val="20"/>
        </w:rPr>
        <w:t xml:space="preserve">MMR, </w:t>
      </w:r>
      <w:r w:rsidR="00776751" w:rsidRPr="00287F6A">
        <w:rPr>
          <w:rFonts w:cstheme="minorHAnsi"/>
          <w:sz w:val="20"/>
          <w:szCs w:val="20"/>
        </w:rPr>
        <w:t>podklady řídicích orgánů</w:t>
      </w:r>
      <w:r w:rsidR="00653620" w:rsidRPr="00287F6A">
        <w:rPr>
          <w:rFonts w:cstheme="minorHAnsi"/>
          <w:sz w:val="20"/>
          <w:szCs w:val="20"/>
        </w:rPr>
        <w:t xml:space="preserve">, </w:t>
      </w:r>
      <w:r w:rsidR="000B6DDB">
        <w:rPr>
          <w:rFonts w:cstheme="minorHAnsi"/>
          <w:sz w:val="20"/>
          <w:szCs w:val="20"/>
        </w:rPr>
        <w:t>IS </w:t>
      </w:r>
      <w:r w:rsidR="00776751" w:rsidRPr="00C340F1">
        <w:rPr>
          <w:rFonts w:cstheme="minorHAnsi"/>
          <w:i/>
          <w:sz w:val="20"/>
          <w:szCs w:val="20"/>
        </w:rPr>
        <w:t>Monit</w:t>
      </w:r>
      <w:r w:rsidR="00776751" w:rsidRPr="00287F6A">
        <w:rPr>
          <w:rFonts w:cstheme="minorHAnsi"/>
          <w:sz w:val="20"/>
          <w:szCs w:val="20"/>
        </w:rPr>
        <w:t xml:space="preserve"> na úrovni </w:t>
      </w:r>
      <w:r w:rsidR="000A2091" w:rsidRPr="00287F6A">
        <w:rPr>
          <w:rFonts w:cstheme="minorHAnsi"/>
          <w:sz w:val="20"/>
          <w:szCs w:val="20"/>
        </w:rPr>
        <w:t>řídicích orgánů</w:t>
      </w:r>
      <w:r w:rsidR="00776751" w:rsidRPr="00287F6A">
        <w:rPr>
          <w:rFonts w:cstheme="minorHAnsi"/>
          <w:sz w:val="20"/>
          <w:szCs w:val="20"/>
        </w:rPr>
        <w:t xml:space="preserve"> (</w:t>
      </w:r>
      <w:r w:rsidR="000366AF">
        <w:rPr>
          <w:rFonts w:cstheme="minorHAnsi"/>
          <w:sz w:val="20"/>
          <w:szCs w:val="20"/>
        </w:rPr>
        <w:t xml:space="preserve">přehledy o </w:t>
      </w:r>
      <w:r w:rsidR="00776751" w:rsidRPr="00287F6A">
        <w:rPr>
          <w:rFonts w:cstheme="minorHAnsi"/>
          <w:sz w:val="20"/>
          <w:szCs w:val="20"/>
        </w:rPr>
        <w:t>výš</w:t>
      </w:r>
      <w:r w:rsidR="000366AF">
        <w:rPr>
          <w:rFonts w:cstheme="minorHAnsi"/>
          <w:sz w:val="20"/>
          <w:szCs w:val="20"/>
        </w:rPr>
        <w:t>i</w:t>
      </w:r>
      <w:r w:rsidR="00776751" w:rsidRPr="00287F6A">
        <w:rPr>
          <w:rFonts w:cstheme="minorHAnsi"/>
          <w:sz w:val="20"/>
          <w:szCs w:val="20"/>
        </w:rPr>
        <w:t xml:space="preserve"> dotace </w:t>
      </w:r>
      <w:r w:rsidR="00FF285F">
        <w:rPr>
          <w:rFonts w:cstheme="minorHAnsi"/>
          <w:sz w:val="20"/>
          <w:szCs w:val="20"/>
        </w:rPr>
        <w:t>na schválené projekty</w:t>
      </w:r>
      <w:r w:rsidR="00776751" w:rsidRPr="00287F6A">
        <w:rPr>
          <w:rFonts w:cstheme="minorHAnsi"/>
          <w:sz w:val="20"/>
          <w:szCs w:val="20"/>
        </w:rPr>
        <w:t xml:space="preserve"> publicity)</w:t>
      </w:r>
      <w:r w:rsidR="00653620" w:rsidRPr="00287F6A">
        <w:rPr>
          <w:rFonts w:cstheme="minorHAnsi"/>
          <w:sz w:val="20"/>
          <w:szCs w:val="20"/>
        </w:rPr>
        <w:t xml:space="preserve">. </w:t>
      </w:r>
    </w:p>
    <w:p w14:paraId="016CB0C8" w14:textId="77777777" w:rsidR="00366F39" w:rsidRPr="004A0AA3" w:rsidRDefault="00366F39" w:rsidP="004A0AA3">
      <w:pPr>
        <w:tabs>
          <w:tab w:val="num" w:pos="284"/>
          <w:tab w:val="num" w:pos="851"/>
        </w:tabs>
        <w:spacing w:after="0" w:line="240" w:lineRule="auto"/>
        <w:ind w:right="70"/>
        <w:jc w:val="both"/>
        <w:rPr>
          <w:rFonts w:cstheme="minorHAnsi"/>
          <w:sz w:val="24"/>
          <w:szCs w:val="24"/>
        </w:rPr>
      </w:pPr>
    </w:p>
    <w:p w14:paraId="41C6A400" w14:textId="77777777" w:rsidR="00C527C1" w:rsidRPr="004A0AA3" w:rsidRDefault="00C527C1" w:rsidP="004A0AA3">
      <w:pPr>
        <w:spacing w:after="0" w:line="240" w:lineRule="auto"/>
        <w:ind w:right="70"/>
        <w:jc w:val="both"/>
        <w:rPr>
          <w:sz w:val="24"/>
          <w:szCs w:val="24"/>
          <w:lang w:eastAsia="cs-CZ"/>
        </w:rPr>
      </w:pPr>
      <w:r w:rsidRPr="004A0AA3">
        <w:rPr>
          <w:rFonts w:cstheme="minorHAnsi"/>
          <w:b/>
          <w:bCs/>
          <w:sz w:val="24"/>
          <w:szCs w:val="24"/>
        </w:rPr>
        <w:t>Kontrolní akce č. 15/26 byla zaměřena na činnosti související s</w:t>
      </w:r>
      <w:r w:rsidRPr="004A0AA3">
        <w:rPr>
          <w:sz w:val="24"/>
          <w:szCs w:val="24"/>
          <w:lang w:eastAsia="cs-CZ"/>
        </w:rPr>
        <w:t xml:space="preserve"> </w:t>
      </w:r>
      <w:r w:rsidRPr="004A0AA3">
        <w:rPr>
          <w:b/>
          <w:sz w:val="24"/>
          <w:szCs w:val="24"/>
          <w:lang w:eastAsia="cs-CZ"/>
        </w:rPr>
        <w:t xml:space="preserve">vynakládáním peněžních prostředků na vybrané informační a </w:t>
      </w:r>
      <w:r w:rsidR="00F77D10">
        <w:rPr>
          <w:b/>
          <w:sz w:val="24"/>
          <w:szCs w:val="24"/>
          <w:lang w:eastAsia="cs-CZ"/>
        </w:rPr>
        <w:t>propagační</w:t>
      </w:r>
      <w:r w:rsidRPr="004A0AA3">
        <w:rPr>
          <w:b/>
          <w:sz w:val="24"/>
          <w:szCs w:val="24"/>
          <w:lang w:eastAsia="cs-CZ"/>
        </w:rPr>
        <w:t xml:space="preserve"> aktivity</w:t>
      </w:r>
      <w:r w:rsidRPr="003D5B93">
        <w:rPr>
          <w:b/>
          <w:sz w:val="24"/>
          <w:szCs w:val="24"/>
          <w:lang w:eastAsia="cs-CZ"/>
        </w:rPr>
        <w:t>, jež měly vést ke zlepšení informovanosti cílových skupin</w:t>
      </w:r>
      <w:r w:rsidR="00C637B0" w:rsidRPr="004A0AA3">
        <w:rPr>
          <w:sz w:val="24"/>
          <w:szCs w:val="24"/>
          <w:lang w:eastAsia="cs-CZ"/>
        </w:rPr>
        <w:t>, tj. k</w:t>
      </w:r>
      <w:r w:rsidRPr="004A0AA3">
        <w:rPr>
          <w:sz w:val="24"/>
          <w:szCs w:val="24"/>
          <w:lang w:eastAsia="cs-CZ"/>
        </w:rPr>
        <w:t>e zvýšení povědom</w:t>
      </w:r>
      <w:r w:rsidR="007216CD">
        <w:rPr>
          <w:sz w:val="24"/>
          <w:szCs w:val="24"/>
          <w:lang w:eastAsia="cs-CZ"/>
        </w:rPr>
        <w:t>í laické i odborné veřejnosti o </w:t>
      </w:r>
      <w:r w:rsidR="00C637B0" w:rsidRPr="004A0AA3">
        <w:rPr>
          <w:sz w:val="24"/>
          <w:szCs w:val="24"/>
          <w:lang w:eastAsia="cs-CZ"/>
        </w:rPr>
        <w:t xml:space="preserve">pomoci z EU, o </w:t>
      </w:r>
      <w:r w:rsidRPr="004A0AA3">
        <w:rPr>
          <w:sz w:val="24"/>
          <w:szCs w:val="24"/>
          <w:lang w:eastAsia="cs-CZ"/>
        </w:rPr>
        <w:t xml:space="preserve">podporovaných projektech a jejich dopadech </w:t>
      </w:r>
      <w:r w:rsidR="00675BC0">
        <w:rPr>
          <w:sz w:val="24"/>
          <w:szCs w:val="24"/>
          <w:lang w:eastAsia="cs-CZ"/>
        </w:rPr>
        <w:t xml:space="preserve">a přínosech pro </w:t>
      </w:r>
      <w:r w:rsidRPr="004A0AA3">
        <w:rPr>
          <w:sz w:val="24"/>
          <w:szCs w:val="24"/>
          <w:lang w:eastAsia="cs-CZ"/>
        </w:rPr>
        <w:t xml:space="preserve">uživatele. </w:t>
      </w:r>
    </w:p>
    <w:p w14:paraId="7C8E6871" w14:textId="77777777" w:rsidR="00F73184" w:rsidRDefault="00F73184" w:rsidP="004A0AA3">
      <w:pPr>
        <w:spacing w:after="0" w:line="240" w:lineRule="auto"/>
        <w:ind w:right="70"/>
        <w:jc w:val="both"/>
        <w:rPr>
          <w:rFonts w:cstheme="minorHAnsi"/>
          <w:sz w:val="24"/>
          <w:szCs w:val="24"/>
        </w:rPr>
      </w:pPr>
    </w:p>
    <w:p w14:paraId="7E49B78D" w14:textId="77777777" w:rsidR="00C527C1" w:rsidRPr="004A0AA3" w:rsidRDefault="00C527C1" w:rsidP="004A0AA3">
      <w:pPr>
        <w:spacing w:after="0" w:line="240" w:lineRule="auto"/>
        <w:ind w:right="70"/>
        <w:jc w:val="both"/>
        <w:rPr>
          <w:rFonts w:cstheme="minorHAnsi"/>
          <w:sz w:val="24"/>
          <w:szCs w:val="24"/>
        </w:rPr>
      </w:pPr>
      <w:r w:rsidRPr="004A0AA3">
        <w:rPr>
          <w:rFonts w:cstheme="minorHAnsi"/>
          <w:sz w:val="24"/>
          <w:szCs w:val="24"/>
        </w:rPr>
        <w:t xml:space="preserve">Nejvyšší kontrolní úřad při kontrole </w:t>
      </w:r>
      <w:r w:rsidR="00C637B0" w:rsidRPr="004A0AA3">
        <w:rPr>
          <w:rFonts w:cstheme="minorHAnsi"/>
          <w:sz w:val="24"/>
          <w:szCs w:val="24"/>
        </w:rPr>
        <w:t xml:space="preserve">u řídicích orgánů </w:t>
      </w:r>
      <w:r w:rsidR="00FF285F">
        <w:rPr>
          <w:rFonts w:cstheme="minorHAnsi"/>
          <w:sz w:val="24"/>
          <w:szCs w:val="24"/>
        </w:rPr>
        <w:t>(</w:t>
      </w:r>
      <w:r w:rsidR="00C637B0" w:rsidRPr="004A0AA3">
        <w:rPr>
          <w:rFonts w:cstheme="minorHAnsi"/>
          <w:sz w:val="24"/>
          <w:szCs w:val="24"/>
        </w:rPr>
        <w:t>MŠMT, MPSV a RR SČ</w:t>
      </w:r>
      <w:r w:rsidR="00FF285F">
        <w:rPr>
          <w:rFonts w:cstheme="minorHAnsi"/>
          <w:sz w:val="24"/>
          <w:szCs w:val="24"/>
        </w:rPr>
        <w:t>)</w:t>
      </w:r>
      <w:r w:rsidR="00C637B0" w:rsidRPr="004A0AA3">
        <w:rPr>
          <w:rFonts w:cstheme="minorHAnsi"/>
          <w:sz w:val="24"/>
          <w:szCs w:val="24"/>
        </w:rPr>
        <w:t xml:space="preserve"> </w:t>
      </w:r>
      <w:r w:rsidRPr="004A0AA3">
        <w:rPr>
          <w:rFonts w:cstheme="minorHAnsi"/>
          <w:sz w:val="24"/>
          <w:szCs w:val="24"/>
        </w:rPr>
        <w:t>p</w:t>
      </w:r>
      <w:r w:rsidR="00C637B0" w:rsidRPr="004A0AA3">
        <w:rPr>
          <w:rFonts w:cstheme="minorHAnsi"/>
          <w:sz w:val="24"/>
          <w:szCs w:val="24"/>
        </w:rPr>
        <w:t>rověřil</w:t>
      </w:r>
      <w:r w:rsidRPr="004A0AA3">
        <w:rPr>
          <w:rFonts w:cstheme="minorHAnsi"/>
          <w:sz w:val="24"/>
          <w:szCs w:val="24"/>
        </w:rPr>
        <w:t xml:space="preserve">: </w:t>
      </w:r>
    </w:p>
    <w:p w14:paraId="6D1389D7" w14:textId="26369CC6" w:rsidR="00C527C1" w:rsidRPr="004A0AA3" w:rsidRDefault="00D205EE" w:rsidP="000B6DDB">
      <w:pPr>
        <w:pStyle w:val="Zkladntext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cs="Calibri"/>
          <w:snapToGrid w:val="0"/>
          <w:sz w:val="24"/>
          <w:szCs w:val="24"/>
        </w:rPr>
      </w:pPr>
      <w:r>
        <w:rPr>
          <w:rFonts w:cs="Calibri"/>
          <w:snapToGrid w:val="0"/>
          <w:sz w:val="24"/>
          <w:szCs w:val="24"/>
        </w:rPr>
        <w:t>o</w:t>
      </w:r>
      <w:r w:rsidR="00C527C1" w:rsidRPr="004A0AA3">
        <w:rPr>
          <w:rFonts w:cs="Calibri"/>
          <w:snapToGrid w:val="0"/>
          <w:sz w:val="24"/>
          <w:szCs w:val="24"/>
        </w:rPr>
        <w:t xml:space="preserve">blast plánování informačních a </w:t>
      </w:r>
      <w:r w:rsidR="00F77D10">
        <w:rPr>
          <w:rFonts w:cs="Calibri"/>
          <w:snapToGrid w:val="0"/>
          <w:sz w:val="24"/>
          <w:szCs w:val="24"/>
        </w:rPr>
        <w:t>propagačních</w:t>
      </w:r>
      <w:r w:rsidR="00C527C1" w:rsidRPr="004A0AA3">
        <w:rPr>
          <w:rFonts w:cs="Calibri"/>
          <w:snapToGrid w:val="0"/>
          <w:sz w:val="24"/>
          <w:szCs w:val="24"/>
        </w:rPr>
        <w:t xml:space="preserve"> aktivit</w:t>
      </w:r>
      <w:r>
        <w:rPr>
          <w:rFonts w:cs="Calibri"/>
          <w:snapToGrid w:val="0"/>
          <w:sz w:val="24"/>
          <w:szCs w:val="24"/>
        </w:rPr>
        <w:t>,</w:t>
      </w:r>
    </w:p>
    <w:p w14:paraId="219BF36B" w14:textId="1829161F" w:rsidR="00C527C1" w:rsidRPr="004A0AA3" w:rsidRDefault="00D205EE" w:rsidP="000B6DDB">
      <w:pPr>
        <w:pStyle w:val="Zkladntext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cs="Calibri"/>
          <w:snapToGrid w:val="0"/>
          <w:sz w:val="24"/>
          <w:szCs w:val="24"/>
        </w:rPr>
      </w:pPr>
      <w:r>
        <w:rPr>
          <w:rFonts w:cs="Calibri"/>
          <w:snapToGrid w:val="0"/>
          <w:sz w:val="24"/>
          <w:szCs w:val="24"/>
        </w:rPr>
        <w:t>o</w:t>
      </w:r>
      <w:r w:rsidR="00C527C1" w:rsidRPr="004A0AA3">
        <w:rPr>
          <w:rFonts w:cs="Calibri"/>
          <w:snapToGrid w:val="0"/>
          <w:sz w:val="24"/>
          <w:szCs w:val="24"/>
        </w:rPr>
        <w:t>blast samotného provádění opatření k zajištění i</w:t>
      </w:r>
      <w:r w:rsidR="007216CD">
        <w:rPr>
          <w:rFonts w:cs="Calibri"/>
          <w:snapToGrid w:val="0"/>
          <w:sz w:val="24"/>
          <w:szCs w:val="24"/>
        </w:rPr>
        <w:t>nformovanosti cílových skupin a </w:t>
      </w:r>
      <w:r w:rsidR="00C527C1" w:rsidRPr="004A0AA3">
        <w:rPr>
          <w:rFonts w:cs="Calibri"/>
          <w:snapToGrid w:val="0"/>
          <w:sz w:val="24"/>
          <w:szCs w:val="24"/>
        </w:rPr>
        <w:t>publicity příslušného operačního programu</w:t>
      </w:r>
      <w:r>
        <w:rPr>
          <w:rFonts w:cs="Calibri"/>
          <w:snapToGrid w:val="0"/>
          <w:sz w:val="24"/>
          <w:szCs w:val="24"/>
        </w:rPr>
        <w:t>,</w:t>
      </w:r>
    </w:p>
    <w:p w14:paraId="76D62284" w14:textId="7B4273F5" w:rsidR="00C527C1" w:rsidRPr="004A0AA3" w:rsidRDefault="00D205EE" w:rsidP="000B6DDB">
      <w:pPr>
        <w:pStyle w:val="Zkladntext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cs="Calibri"/>
          <w:snapToGrid w:val="0"/>
          <w:sz w:val="24"/>
          <w:szCs w:val="24"/>
        </w:rPr>
      </w:pPr>
      <w:r>
        <w:rPr>
          <w:rFonts w:cs="Calibri"/>
          <w:snapToGrid w:val="0"/>
          <w:sz w:val="24"/>
          <w:szCs w:val="24"/>
        </w:rPr>
        <w:t>o</w:t>
      </w:r>
      <w:r w:rsidR="00C527C1" w:rsidRPr="004A0AA3">
        <w:rPr>
          <w:rFonts w:cs="Calibri"/>
          <w:snapToGrid w:val="0"/>
          <w:sz w:val="24"/>
          <w:szCs w:val="24"/>
        </w:rPr>
        <w:t>blast řízení a vyhodnocování účinnosti realizovaných opatření</w:t>
      </w:r>
      <w:r>
        <w:rPr>
          <w:rFonts w:cs="Calibri"/>
          <w:snapToGrid w:val="0"/>
          <w:sz w:val="24"/>
          <w:szCs w:val="24"/>
        </w:rPr>
        <w:t>.</w:t>
      </w:r>
    </w:p>
    <w:p w14:paraId="0FF70935" w14:textId="77777777" w:rsidR="001923E5" w:rsidRDefault="001923E5" w:rsidP="004A0AA3">
      <w:pPr>
        <w:tabs>
          <w:tab w:val="num" w:pos="284"/>
          <w:tab w:val="num" w:pos="851"/>
        </w:tabs>
        <w:spacing w:after="0" w:line="240" w:lineRule="auto"/>
        <w:ind w:right="70"/>
        <w:jc w:val="both"/>
        <w:rPr>
          <w:rFonts w:cstheme="minorHAnsi"/>
          <w:sz w:val="24"/>
          <w:szCs w:val="24"/>
        </w:rPr>
      </w:pPr>
    </w:p>
    <w:p w14:paraId="1328F56C" w14:textId="3F676FE5" w:rsidR="00FF6029" w:rsidRPr="004A0AA3" w:rsidRDefault="00FF285F" w:rsidP="00FF602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  <w:r>
        <w:rPr>
          <w:rFonts w:eastAsia="Times New Roman" w:cs="Calibri"/>
          <w:sz w:val="24"/>
          <w:szCs w:val="24"/>
          <w:lang w:eastAsia="cs-CZ"/>
        </w:rPr>
        <w:t>U</w:t>
      </w:r>
      <w:r w:rsidR="000A2091">
        <w:rPr>
          <w:rFonts w:eastAsia="Times New Roman" w:cs="Calibri"/>
          <w:sz w:val="24"/>
          <w:szCs w:val="24"/>
          <w:lang w:eastAsia="cs-CZ"/>
        </w:rPr>
        <w:t xml:space="preserve"> kontrolovaných osob </w:t>
      </w:r>
      <w:r>
        <w:rPr>
          <w:rFonts w:eastAsia="Times New Roman" w:cs="Calibri"/>
          <w:sz w:val="24"/>
          <w:szCs w:val="24"/>
          <w:lang w:eastAsia="cs-CZ"/>
        </w:rPr>
        <w:t xml:space="preserve">byly posouzeny </w:t>
      </w:r>
      <w:r w:rsidR="00FF6029" w:rsidRPr="004A0AA3">
        <w:rPr>
          <w:rFonts w:eastAsia="Times New Roman" w:cs="Calibri"/>
          <w:sz w:val="24"/>
          <w:szCs w:val="24"/>
          <w:lang w:eastAsia="cs-CZ"/>
        </w:rPr>
        <w:t>zejména</w:t>
      </w:r>
      <w:r w:rsidR="000A2091">
        <w:rPr>
          <w:rFonts w:eastAsia="Times New Roman" w:cs="Calibri"/>
          <w:sz w:val="24"/>
          <w:szCs w:val="24"/>
          <w:lang w:eastAsia="cs-CZ"/>
        </w:rPr>
        <w:t xml:space="preserve"> tyto aspekty</w:t>
      </w:r>
      <w:r w:rsidR="00FF6029" w:rsidRPr="004A0AA3">
        <w:rPr>
          <w:rFonts w:eastAsia="Times New Roman" w:cs="Calibri"/>
          <w:sz w:val="24"/>
          <w:szCs w:val="24"/>
          <w:lang w:eastAsia="cs-CZ"/>
        </w:rPr>
        <w:t>:</w:t>
      </w:r>
    </w:p>
    <w:p w14:paraId="255BE86F" w14:textId="7E3C81A0" w:rsidR="00FF6029" w:rsidRDefault="00FF285F" w:rsidP="000B6D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  <w:lang w:eastAsia="cs-CZ"/>
        </w:rPr>
      </w:pPr>
      <w:r>
        <w:rPr>
          <w:rFonts w:cs="Calibri"/>
          <w:sz w:val="24"/>
          <w:szCs w:val="24"/>
          <w:lang w:eastAsia="cs-CZ"/>
        </w:rPr>
        <w:t>s</w:t>
      </w:r>
      <w:r w:rsidR="00FF6029" w:rsidRPr="004A0AA3">
        <w:rPr>
          <w:rFonts w:cs="Calibri"/>
          <w:sz w:val="24"/>
          <w:szCs w:val="24"/>
          <w:lang w:eastAsia="cs-CZ"/>
        </w:rPr>
        <w:t>oulad realizovaných opatření s komunikačními plány př</w:t>
      </w:r>
      <w:r w:rsidR="000B6DDB">
        <w:rPr>
          <w:rFonts w:cs="Calibri"/>
          <w:sz w:val="24"/>
          <w:szCs w:val="24"/>
          <w:lang w:eastAsia="cs-CZ"/>
        </w:rPr>
        <w:t>íslušných operačních programů a </w:t>
      </w:r>
      <w:r w:rsidR="00FF6029" w:rsidRPr="004A0AA3">
        <w:rPr>
          <w:rFonts w:cs="Calibri"/>
          <w:sz w:val="24"/>
          <w:szCs w:val="24"/>
          <w:lang w:eastAsia="cs-CZ"/>
        </w:rPr>
        <w:t>soulad realizovaných aktivit s</w:t>
      </w:r>
      <w:r w:rsidR="00570981">
        <w:rPr>
          <w:rFonts w:cs="Calibri"/>
          <w:sz w:val="24"/>
          <w:szCs w:val="24"/>
          <w:lang w:eastAsia="cs-CZ"/>
        </w:rPr>
        <w:t xml:space="preserve"> právními </w:t>
      </w:r>
      <w:r w:rsidR="00FF6029" w:rsidRPr="004A0AA3">
        <w:rPr>
          <w:rFonts w:cs="Calibri"/>
          <w:sz w:val="24"/>
          <w:szCs w:val="24"/>
          <w:lang w:eastAsia="cs-CZ"/>
        </w:rPr>
        <w:t>předpisy EU</w:t>
      </w:r>
      <w:r w:rsidR="00FF6029">
        <w:rPr>
          <w:rFonts w:cs="Calibri"/>
          <w:sz w:val="24"/>
          <w:szCs w:val="24"/>
          <w:lang w:eastAsia="cs-CZ"/>
        </w:rPr>
        <w:t>;</w:t>
      </w:r>
    </w:p>
    <w:p w14:paraId="51F0A6A4" w14:textId="798B440E" w:rsidR="00FF6029" w:rsidRDefault="00FF285F" w:rsidP="000B6D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  <w:lang w:eastAsia="cs-CZ"/>
        </w:rPr>
      </w:pPr>
      <w:r>
        <w:rPr>
          <w:rFonts w:cs="Calibri"/>
          <w:sz w:val="24"/>
          <w:szCs w:val="24"/>
          <w:lang w:eastAsia="cs-CZ"/>
        </w:rPr>
        <w:t>s</w:t>
      </w:r>
      <w:r w:rsidR="00FF6029" w:rsidRPr="004A0AA3">
        <w:rPr>
          <w:rFonts w:cs="Calibri"/>
          <w:sz w:val="24"/>
          <w:szCs w:val="24"/>
          <w:lang w:eastAsia="cs-CZ"/>
        </w:rPr>
        <w:t xml:space="preserve">tanovení cílů informačních a komunikačních opatření </w:t>
      </w:r>
      <w:r w:rsidR="00671DA3">
        <w:rPr>
          <w:rFonts w:cs="Calibri"/>
          <w:sz w:val="24"/>
          <w:szCs w:val="24"/>
          <w:lang w:eastAsia="cs-CZ"/>
        </w:rPr>
        <w:t>v souladu se zásadou řádného finančního řízení d</w:t>
      </w:r>
      <w:r w:rsidR="00F53263">
        <w:rPr>
          <w:rFonts w:cs="Calibri"/>
          <w:sz w:val="24"/>
          <w:szCs w:val="24"/>
          <w:lang w:eastAsia="cs-CZ"/>
        </w:rPr>
        <w:t xml:space="preserve">le </w:t>
      </w:r>
      <w:r w:rsidR="008F3B4C">
        <w:rPr>
          <w:rFonts w:cs="Calibri"/>
          <w:sz w:val="24"/>
          <w:szCs w:val="24"/>
          <w:lang w:eastAsia="cs-CZ"/>
        </w:rPr>
        <w:t xml:space="preserve">tzv. </w:t>
      </w:r>
      <w:r w:rsidR="00F53263">
        <w:rPr>
          <w:rFonts w:cs="Calibri"/>
          <w:sz w:val="24"/>
          <w:szCs w:val="24"/>
          <w:lang w:eastAsia="cs-CZ"/>
        </w:rPr>
        <w:t>SMART</w:t>
      </w:r>
      <w:r>
        <w:rPr>
          <w:rFonts w:cs="Calibri"/>
          <w:sz w:val="24"/>
          <w:szCs w:val="24"/>
          <w:lang w:eastAsia="cs-CZ"/>
        </w:rPr>
        <w:t xml:space="preserve"> principů</w:t>
      </w:r>
      <w:r>
        <w:rPr>
          <w:rStyle w:val="Znakapoznpodarou"/>
          <w:rFonts w:cs="Calibri"/>
          <w:sz w:val="24"/>
          <w:szCs w:val="24"/>
          <w:lang w:eastAsia="cs-CZ"/>
        </w:rPr>
        <w:footnoteReference w:id="5"/>
      </w:r>
      <w:r w:rsidR="00F53263">
        <w:rPr>
          <w:rFonts w:cs="Calibri"/>
          <w:sz w:val="24"/>
          <w:szCs w:val="24"/>
          <w:lang w:eastAsia="cs-CZ"/>
        </w:rPr>
        <w:t xml:space="preserve"> ve vazbě na </w:t>
      </w:r>
      <w:r w:rsidR="00FF6029" w:rsidRPr="004A0AA3">
        <w:rPr>
          <w:rFonts w:cs="Calibri"/>
          <w:sz w:val="24"/>
          <w:szCs w:val="24"/>
          <w:lang w:eastAsia="cs-CZ"/>
        </w:rPr>
        <w:t>definov</w:t>
      </w:r>
      <w:r w:rsidR="00F53263">
        <w:rPr>
          <w:rFonts w:cs="Calibri"/>
          <w:sz w:val="24"/>
          <w:szCs w:val="24"/>
          <w:lang w:eastAsia="cs-CZ"/>
        </w:rPr>
        <w:t xml:space="preserve">ané cílové </w:t>
      </w:r>
      <w:r w:rsidR="00FF6029" w:rsidRPr="004A0AA3">
        <w:rPr>
          <w:rFonts w:cs="Calibri"/>
          <w:sz w:val="24"/>
          <w:szCs w:val="24"/>
          <w:lang w:eastAsia="cs-CZ"/>
        </w:rPr>
        <w:t>skupin</w:t>
      </w:r>
      <w:r w:rsidR="00F53263">
        <w:rPr>
          <w:rFonts w:cs="Calibri"/>
          <w:sz w:val="24"/>
          <w:szCs w:val="24"/>
          <w:lang w:eastAsia="cs-CZ"/>
        </w:rPr>
        <w:t>y;</w:t>
      </w:r>
    </w:p>
    <w:p w14:paraId="1835C3E3" w14:textId="0A1163A4" w:rsidR="00FF6029" w:rsidRPr="004A0AA3" w:rsidRDefault="00FF285F" w:rsidP="000B6D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24"/>
          <w:szCs w:val="24"/>
          <w:lang w:eastAsia="cs-CZ"/>
        </w:rPr>
      </w:pPr>
      <w:r>
        <w:rPr>
          <w:rFonts w:cs="Calibri"/>
          <w:sz w:val="24"/>
          <w:szCs w:val="24"/>
          <w:lang w:eastAsia="cs-CZ"/>
        </w:rPr>
        <w:t>z</w:t>
      </w:r>
      <w:r w:rsidR="00FF6029" w:rsidRPr="004A0AA3">
        <w:rPr>
          <w:rFonts w:cs="Calibri"/>
          <w:sz w:val="24"/>
          <w:szCs w:val="24"/>
          <w:lang w:eastAsia="cs-CZ"/>
        </w:rPr>
        <w:t>pracování a schvalování projektových záměrů k</w:t>
      </w:r>
      <w:r w:rsidR="003B5D71">
        <w:rPr>
          <w:rFonts w:cs="Calibri"/>
          <w:sz w:val="24"/>
          <w:szCs w:val="24"/>
          <w:lang w:eastAsia="cs-CZ"/>
        </w:rPr>
        <w:t> naplnění cíle informovanosti a </w:t>
      </w:r>
      <w:r w:rsidR="00FF6029" w:rsidRPr="004A0AA3">
        <w:rPr>
          <w:rFonts w:cs="Calibri"/>
          <w:sz w:val="24"/>
          <w:szCs w:val="24"/>
          <w:lang w:eastAsia="cs-CZ"/>
        </w:rPr>
        <w:t>publicity, včetně procesu věcného hodnocení projektových žádostí</w:t>
      </w:r>
      <w:r w:rsidR="00F53263">
        <w:rPr>
          <w:rFonts w:cs="Calibri"/>
          <w:sz w:val="24"/>
          <w:szCs w:val="24"/>
          <w:lang w:eastAsia="cs-CZ"/>
        </w:rPr>
        <w:t>;</w:t>
      </w:r>
    </w:p>
    <w:p w14:paraId="61A89AED" w14:textId="5828325D" w:rsidR="00FF6029" w:rsidRPr="004A0AA3" w:rsidRDefault="00FF285F" w:rsidP="000B6DDB">
      <w:pPr>
        <w:pStyle w:val="Zkladntextodsazen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snapToGrid w:val="0"/>
          <w:lang w:eastAsia="en-US"/>
        </w:rPr>
        <w:t>v</w:t>
      </w:r>
      <w:r w:rsidR="00FF6029" w:rsidRPr="004A0AA3">
        <w:rPr>
          <w:rFonts w:asciiTheme="minorHAnsi" w:hAnsiTheme="minorHAnsi" w:cs="Calibri"/>
          <w:snapToGrid w:val="0"/>
          <w:lang w:eastAsia="en-US"/>
        </w:rPr>
        <w:t>ýdajov</w:t>
      </w:r>
      <w:r w:rsidR="000A2091">
        <w:rPr>
          <w:rFonts w:asciiTheme="minorHAnsi" w:hAnsiTheme="minorHAnsi" w:cs="Calibri"/>
          <w:snapToGrid w:val="0"/>
          <w:lang w:eastAsia="en-US"/>
        </w:rPr>
        <w:t xml:space="preserve">á </w:t>
      </w:r>
      <w:r w:rsidR="00F53263">
        <w:rPr>
          <w:rFonts w:asciiTheme="minorHAnsi" w:hAnsiTheme="minorHAnsi" w:cs="Calibri"/>
          <w:snapToGrid w:val="0"/>
          <w:lang w:eastAsia="en-US"/>
        </w:rPr>
        <w:t xml:space="preserve">nezbytnost a </w:t>
      </w:r>
      <w:r w:rsidR="00FF6029" w:rsidRPr="004A0AA3">
        <w:rPr>
          <w:rFonts w:asciiTheme="minorHAnsi" w:hAnsiTheme="minorHAnsi" w:cs="Calibri"/>
          <w:snapToGrid w:val="0"/>
          <w:lang w:eastAsia="en-US"/>
        </w:rPr>
        <w:t>přiměřenost jednotlivých opatření</w:t>
      </w:r>
      <w:r w:rsidR="000A2091">
        <w:rPr>
          <w:rFonts w:asciiTheme="minorHAnsi" w:hAnsiTheme="minorHAnsi" w:cs="Calibri"/>
          <w:snapToGrid w:val="0"/>
          <w:lang w:eastAsia="en-US"/>
        </w:rPr>
        <w:t xml:space="preserve"> ve smyslu </w:t>
      </w:r>
      <w:r w:rsidR="00DA3970">
        <w:rPr>
          <w:rFonts w:asciiTheme="minorHAnsi" w:hAnsiTheme="minorHAnsi" w:cs="Calibri"/>
          <w:snapToGrid w:val="0"/>
          <w:lang w:eastAsia="en-US"/>
        </w:rPr>
        <w:t xml:space="preserve">respektování </w:t>
      </w:r>
      <w:r w:rsidR="00FF6029" w:rsidRPr="004A0AA3">
        <w:rPr>
          <w:rFonts w:asciiTheme="minorHAnsi" w:hAnsiTheme="minorHAnsi" w:cs="Calibri"/>
        </w:rPr>
        <w:t>principu hospodárnosti při vynakládání prostředků, včetně dodržování rozpočtů</w:t>
      </w:r>
      <w:r w:rsidR="00BF2F2E">
        <w:rPr>
          <w:rFonts w:asciiTheme="minorHAnsi" w:hAnsiTheme="minorHAnsi" w:cs="Calibri"/>
        </w:rPr>
        <w:t xml:space="preserve"> </w:t>
      </w:r>
      <w:r w:rsidR="00FF6029" w:rsidRPr="004A0AA3">
        <w:rPr>
          <w:rFonts w:asciiTheme="minorHAnsi" w:hAnsiTheme="minorHAnsi" w:cs="Calibri"/>
        </w:rPr>
        <w:t>schválených projektů technické pomoci a dodržování pravidel způsobilosti výdajů stanove</w:t>
      </w:r>
      <w:r w:rsidR="003B5D71">
        <w:rPr>
          <w:rFonts w:asciiTheme="minorHAnsi" w:hAnsiTheme="minorHAnsi" w:cs="Calibri"/>
        </w:rPr>
        <w:t>ných pro programové období 2007</w:t>
      </w:r>
      <w:r w:rsidR="00F53263">
        <w:rPr>
          <w:rFonts w:asciiTheme="minorHAnsi" w:hAnsiTheme="minorHAnsi" w:cs="Calibri"/>
        </w:rPr>
        <w:t>–</w:t>
      </w:r>
      <w:r w:rsidR="00FF6029" w:rsidRPr="004A0AA3">
        <w:rPr>
          <w:rFonts w:asciiTheme="minorHAnsi" w:hAnsiTheme="minorHAnsi" w:cs="Calibri"/>
        </w:rPr>
        <w:t>2013</w:t>
      </w:r>
      <w:r w:rsidR="00F53263">
        <w:rPr>
          <w:rFonts w:asciiTheme="minorHAnsi" w:hAnsiTheme="minorHAnsi" w:cs="Calibri"/>
        </w:rPr>
        <w:t>;</w:t>
      </w:r>
    </w:p>
    <w:p w14:paraId="1C4C7088" w14:textId="192104EF" w:rsidR="00DA3970" w:rsidRDefault="00FF285F" w:rsidP="000B6D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70" w:hanging="284"/>
        <w:jc w:val="both"/>
        <w:rPr>
          <w:rFonts w:cs="Calibri"/>
          <w:sz w:val="24"/>
          <w:szCs w:val="24"/>
          <w:lang w:eastAsia="cs-CZ"/>
        </w:rPr>
      </w:pPr>
      <w:r>
        <w:rPr>
          <w:rFonts w:cs="Calibri"/>
          <w:sz w:val="24"/>
          <w:szCs w:val="24"/>
          <w:lang w:eastAsia="cs-CZ"/>
        </w:rPr>
        <w:t>d</w:t>
      </w:r>
      <w:r w:rsidR="00FF6029" w:rsidRPr="00DA3970">
        <w:rPr>
          <w:rFonts w:cs="Calibri"/>
          <w:sz w:val="24"/>
          <w:szCs w:val="24"/>
          <w:lang w:eastAsia="cs-CZ"/>
        </w:rPr>
        <w:t>održování pravidel pro zadávání veřejných zakázek</w:t>
      </w:r>
      <w:r w:rsidR="00DA3970" w:rsidRPr="00DA3970">
        <w:rPr>
          <w:rFonts w:cs="Calibri"/>
          <w:sz w:val="24"/>
          <w:szCs w:val="24"/>
          <w:lang w:eastAsia="cs-CZ"/>
        </w:rPr>
        <w:t xml:space="preserve"> při výběru externích dodavatelů; </w:t>
      </w:r>
    </w:p>
    <w:p w14:paraId="3B85E39A" w14:textId="22C714ED" w:rsidR="00FF6029" w:rsidRPr="00FF6029" w:rsidRDefault="00FF285F" w:rsidP="000B6DD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70" w:hanging="284"/>
        <w:jc w:val="both"/>
        <w:rPr>
          <w:rFonts w:cs="Calibri"/>
          <w:sz w:val="24"/>
          <w:szCs w:val="24"/>
          <w:lang w:eastAsia="cs-CZ"/>
        </w:rPr>
      </w:pPr>
      <w:r>
        <w:rPr>
          <w:rFonts w:cs="Calibri"/>
          <w:sz w:val="24"/>
          <w:szCs w:val="24"/>
          <w:lang w:eastAsia="cs-CZ"/>
        </w:rPr>
        <w:lastRenderedPageBreak/>
        <w:t>e</w:t>
      </w:r>
      <w:r w:rsidR="00FF6029" w:rsidRPr="00FF6029">
        <w:rPr>
          <w:rFonts w:cs="Calibri"/>
          <w:sz w:val="24"/>
          <w:szCs w:val="24"/>
          <w:lang w:eastAsia="cs-CZ"/>
        </w:rPr>
        <w:t>fektivnost řízení a směrování informačních a komunikačních opatření a způsob jejich vyhodnocování ze strany jednotlivých řídicích orgánů.</w:t>
      </w:r>
    </w:p>
    <w:p w14:paraId="1A796EC1" w14:textId="77777777" w:rsidR="00A177EB" w:rsidRDefault="00A177EB" w:rsidP="004A0AA3">
      <w:pPr>
        <w:tabs>
          <w:tab w:val="num" w:pos="284"/>
          <w:tab w:val="num" w:pos="851"/>
        </w:tabs>
        <w:spacing w:after="0" w:line="240" w:lineRule="auto"/>
        <w:ind w:right="70"/>
        <w:jc w:val="both"/>
        <w:rPr>
          <w:rFonts w:cstheme="minorHAnsi"/>
          <w:sz w:val="24"/>
          <w:szCs w:val="24"/>
        </w:rPr>
      </w:pPr>
    </w:p>
    <w:p w14:paraId="3F9A937E" w14:textId="17C6575A" w:rsidR="006A5C2B" w:rsidRDefault="006A5C2B" w:rsidP="00B17E66">
      <w:pPr>
        <w:tabs>
          <w:tab w:val="num" w:pos="284"/>
          <w:tab w:val="num" w:pos="851"/>
        </w:tabs>
        <w:spacing w:after="0" w:line="240" w:lineRule="auto"/>
        <w:ind w:right="70"/>
        <w:jc w:val="both"/>
        <w:rPr>
          <w:rFonts w:cstheme="minorHAnsi"/>
          <w:b/>
          <w:sz w:val="24"/>
          <w:szCs w:val="24"/>
        </w:rPr>
      </w:pPr>
      <w:r w:rsidRPr="004A0AA3">
        <w:rPr>
          <w:rFonts w:cstheme="minorHAnsi"/>
          <w:b/>
          <w:sz w:val="24"/>
          <w:szCs w:val="24"/>
        </w:rPr>
        <w:t xml:space="preserve">NKÚ zkontroloval finanční prostředky </w:t>
      </w:r>
      <w:r w:rsidR="00FF285F" w:rsidRPr="004A0AA3">
        <w:rPr>
          <w:rFonts w:cstheme="minorHAnsi"/>
          <w:b/>
          <w:sz w:val="24"/>
          <w:szCs w:val="24"/>
        </w:rPr>
        <w:t>v celkové výši 249 55</w:t>
      </w:r>
      <w:r w:rsidR="00FF285F">
        <w:rPr>
          <w:rFonts w:cstheme="minorHAnsi"/>
          <w:b/>
          <w:sz w:val="24"/>
          <w:szCs w:val="24"/>
        </w:rPr>
        <w:t>6</w:t>
      </w:r>
      <w:r w:rsidR="00FF285F" w:rsidRPr="004A0AA3">
        <w:rPr>
          <w:rFonts w:cstheme="minorHAnsi"/>
          <w:b/>
          <w:sz w:val="24"/>
          <w:szCs w:val="24"/>
        </w:rPr>
        <w:t xml:space="preserve"> tis. Kč </w:t>
      </w:r>
      <w:r w:rsidRPr="004A0AA3">
        <w:rPr>
          <w:rFonts w:cstheme="minorHAnsi"/>
          <w:b/>
          <w:sz w:val="24"/>
          <w:szCs w:val="24"/>
        </w:rPr>
        <w:t xml:space="preserve">vynaložené </w:t>
      </w:r>
      <w:r w:rsidR="00880B98">
        <w:rPr>
          <w:rFonts w:cstheme="minorHAnsi"/>
          <w:b/>
          <w:sz w:val="24"/>
          <w:szCs w:val="24"/>
        </w:rPr>
        <w:t xml:space="preserve">v období od roku 2008 do roku 2015 </w:t>
      </w:r>
      <w:r w:rsidR="00FF285F">
        <w:rPr>
          <w:rFonts w:cstheme="minorHAnsi"/>
          <w:b/>
          <w:sz w:val="24"/>
          <w:szCs w:val="24"/>
        </w:rPr>
        <w:t xml:space="preserve">na </w:t>
      </w:r>
      <w:r w:rsidR="00AE7B1D" w:rsidRPr="00AE7B1D">
        <w:rPr>
          <w:rFonts w:cstheme="minorHAnsi"/>
          <w:b/>
          <w:sz w:val="24"/>
          <w:szCs w:val="24"/>
        </w:rPr>
        <w:t>vybran</w:t>
      </w:r>
      <w:r w:rsidR="00FF285F">
        <w:rPr>
          <w:rFonts w:cstheme="minorHAnsi"/>
          <w:b/>
          <w:sz w:val="24"/>
          <w:szCs w:val="24"/>
        </w:rPr>
        <w:t>é</w:t>
      </w:r>
      <w:r w:rsidR="00AE7B1D" w:rsidRPr="00AE7B1D">
        <w:rPr>
          <w:rFonts w:cstheme="minorHAnsi"/>
          <w:b/>
          <w:sz w:val="24"/>
          <w:szCs w:val="24"/>
        </w:rPr>
        <w:t xml:space="preserve"> projekt</w:t>
      </w:r>
      <w:r w:rsidR="00FF285F">
        <w:rPr>
          <w:rFonts w:cstheme="minorHAnsi"/>
          <w:b/>
          <w:sz w:val="24"/>
          <w:szCs w:val="24"/>
        </w:rPr>
        <w:t>y</w:t>
      </w:r>
      <w:r w:rsidR="00AE7B1D" w:rsidRPr="00AE7B1D">
        <w:rPr>
          <w:rFonts w:cstheme="minorHAnsi"/>
          <w:b/>
          <w:sz w:val="24"/>
          <w:szCs w:val="24"/>
        </w:rPr>
        <w:t xml:space="preserve"> OP VK, OP VaVpI, OP LZZ a ROP SČ</w:t>
      </w:r>
      <w:r w:rsidR="00922C95">
        <w:rPr>
          <w:rFonts w:cstheme="minorHAnsi"/>
          <w:b/>
          <w:sz w:val="24"/>
          <w:szCs w:val="24"/>
        </w:rPr>
        <w:t xml:space="preserve">, které </w:t>
      </w:r>
      <w:r w:rsidRPr="004A0AA3">
        <w:rPr>
          <w:rFonts w:cstheme="minorHAnsi"/>
          <w:b/>
          <w:sz w:val="24"/>
          <w:szCs w:val="24"/>
        </w:rPr>
        <w:t xml:space="preserve">naplňují </w:t>
      </w:r>
      <w:r w:rsidR="003A5D23" w:rsidRPr="004A0AA3">
        <w:rPr>
          <w:rFonts w:cstheme="minorHAnsi"/>
          <w:b/>
          <w:sz w:val="24"/>
          <w:szCs w:val="24"/>
        </w:rPr>
        <w:t xml:space="preserve">komunikační plány formou informačních a </w:t>
      </w:r>
      <w:r w:rsidR="00F77D10">
        <w:rPr>
          <w:rFonts w:cstheme="minorHAnsi"/>
          <w:b/>
          <w:sz w:val="24"/>
          <w:szCs w:val="24"/>
        </w:rPr>
        <w:t>propagačních</w:t>
      </w:r>
      <w:r w:rsidR="003A5D23" w:rsidRPr="004A0AA3">
        <w:rPr>
          <w:rFonts w:cstheme="minorHAnsi"/>
          <w:b/>
          <w:sz w:val="24"/>
          <w:szCs w:val="24"/>
        </w:rPr>
        <w:t xml:space="preserve"> aktivit</w:t>
      </w:r>
      <w:r w:rsidRPr="004A0AA3">
        <w:rPr>
          <w:rFonts w:cstheme="minorHAnsi"/>
          <w:b/>
          <w:sz w:val="24"/>
          <w:szCs w:val="24"/>
        </w:rPr>
        <w:t xml:space="preserve">. </w:t>
      </w:r>
    </w:p>
    <w:p w14:paraId="28191726" w14:textId="77777777" w:rsidR="00AE7B1D" w:rsidRPr="006A5C2B" w:rsidRDefault="00AE7B1D" w:rsidP="00AE7B1D">
      <w:pPr>
        <w:tabs>
          <w:tab w:val="num" w:pos="284"/>
          <w:tab w:val="num" w:pos="851"/>
        </w:tabs>
        <w:spacing w:after="0" w:line="240" w:lineRule="auto"/>
        <w:ind w:right="70"/>
        <w:rPr>
          <w:rFonts w:cstheme="minorHAnsi"/>
          <w:sz w:val="24"/>
          <w:szCs w:val="24"/>
        </w:rPr>
      </w:pPr>
    </w:p>
    <w:p w14:paraId="6599E67E" w14:textId="77777777" w:rsidR="0077328C" w:rsidRPr="00014A22" w:rsidRDefault="0077328C" w:rsidP="00AE7B1D">
      <w:pPr>
        <w:spacing w:after="0" w:line="240" w:lineRule="auto"/>
        <w:ind w:right="70"/>
        <w:rPr>
          <w:rFonts w:cstheme="minorHAnsi"/>
          <w:sz w:val="24"/>
          <w:szCs w:val="24"/>
        </w:rPr>
      </w:pPr>
    </w:p>
    <w:p w14:paraId="5C2C59DF" w14:textId="77777777" w:rsidR="0077328C" w:rsidRDefault="0077328C" w:rsidP="00014A22">
      <w:pPr>
        <w:spacing w:after="0" w:line="240" w:lineRule="auto"/>
        <w:ind w:left="567" w:right="68" w:hanging="567"/>
        <w:jc w:val="both"/>
        <w:rPr>
          <w:rFonts w:cstheme="minorHAnsi"/>
          <w:sz w:val="20"/>
          <w:szCs w:val="20"/>
        </w:rPr>
      </w:pPr>
      <w:r w:rsidRPr="00014A22">
        <w:rPr>
          <w:rFonts w:cstheme="minorHAnsi"/>
          <w:b/>
          <w:sz w:val="20"/>
          <w:szCs w:val="20"/>
        </w:rPr>
        <w:t>Pozn.:</w:t>
      </w:r>
      <w:r w:rsidRPr="00014A22">
        <w:rPr>
          <w:rFonts w:cstheme="minorHAnsi"/>
          <w:sz w:val="20"/>
          <w:szCs w:val="20"/>
        </w:rPr>
        <w:t xml:space="preserve"> </w:t>
      </w:r>
      <w:r w:rsidRPr="00014A22">
        <w:rPr>
          <w:rFonts w:cstheme="minorHAnsi"/>
          <w:sz w:val="20"/>
          <w:szCs w:val="20"/>
        </w:rPr>
        <w:tab/>
        <w:t>Právní předpisy uvedené v tomto kontrolním závěru jsou aplikovány ve znění účinném pro kontrolované období.</w:t>
      </w:r>
    </w:p>
    <w:p w14:paraId="2C80A1A5" w14:textId="77777777" w:rsidR="00FC530B" w:rsidRPr="000B6DDB" w:rsidRDefault="00FC530B" w:rsidP="00014A22">
      <w:pPr>
        <w:spacing w:after="0" w:line="240" w:lineRule="auto"/>
        <w:ind w:left="567" w:right="68" w:hanging="567"/>
        <w:jc w:val="both"/>
        <w:rPr>
          <w:rFonts w:cstheme="minorHAnsi"/>
          <w:sz w:val="24"/>
          <w:szCs w:val="24"/>
        </w:rPr>
      </w:pPr>
    </w:p>
    <w:p w14:paraId="5DC6046A" w14:textId="77777777" w:rsidR="00CA3206" w:rsidRPr="000B6DDB" w:rsidRDefault="00CA3206" w:rsidP="00014A22">
      <w:pPr>
        <w:spacing w:after="0" w:line="240" w:lineRule="auto"/>
        <w:ind w:left="567" w:right="68" w:hanging="567"/>
        <w:jc w:val="both"/>
        <w:rPr>
          <w:rFonts w:cstheme="minorHAnsi"/>
          <w:sz w:val="24"/>
          <w:szCs w:val="24"/>
        </w:rPr>
      </w:pPr>
    </w:p>
    <w:p w14:paraId="10A44FAC" w14:textId="77777777" w:rsidR="0077328C" w:rsidRPr="001D2176" w:rsidRDefault="0077328C" w:rsidP="00014A22">
      <w:pPr>
        <w:spacing w:after="0" w:line="240" w:lineRule="auto"/>
        <w:ind w:right="70"/>
        <w:jc w:val="center"/>
        <w:rPr>
          <w:rFonts w:cstheme="minorHAnsi"/>
          <w:b/>
          <w:sz w:val="28"/>
          <w:szCs w:val="28"/>
        </w:rPr>
      </w:pPr>
      <w:r w:rsidRPr="001D2176">
        <w:rPr>
          <w:rFonts w:cstheme="minorHAnsi"/>
          <w:b/>
          <w:sz w:val="28"/>
          <w:szCs w:val="28"/>
        </w:rPr>
        <w:t xml:space="preserve">II. </w:t>
      </w:r>
      <w:r w:rsidR="001A42E3" w:rsidRPr="001D2176">
        <w:rPr>
          <w:rFonts w:cstheme="minorHAnsi"/>
          <w:b/>
          <w:sz w:val="28"/>
          <w:szCs w:val="28"/>
        </w:rPr>
        <w:t>Shrnutí a v</w:t>
      </w:r>
      <w:r w:rsidRPr="001D2176">
        <w:rPr>
          <w:rFonts w:cstheme="minorHAnsi"/>
          <w:b/>
          <w:sz w:val="28"/>
          <w:szCs w:val="28"/>
        </w:rPr>
        <w:t>yhodnocení skutečností zjištěných při kontrole</w:t>
      </w:r>
      <w:r w:rsidR="00DF1508" w:rsidRPr="001D2176">
        <w:rPr>
          <w:rFonts w:cstheme="minorHAnsi"/>
          <w:b/>
          <w:sz w:val="28"/>
          <w:szCs w:val="28"/>
        </w:rPr>
        <w:t xml:space="preserve"> </w:t>
      </w:r>
    </w:p>
    <w:p w14:paraId="0A9121F3" w14:textId="77777777" w:rsidR="00047E67" w:rsidRPr="000B6DDB" w:rsidRDefault="00047E67" w:rsidP="000B6DDB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CD01E0C" w14:textId="77777777" w:rsidR="008E64E1" w:rsidRPr="000B6DDB" w:rsidRDefault="00300730" w:rsidP="000B6DDB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0B6DDB">
        <w:rPr>
          <w:rFonts w:cstheme="minorHAnsi"/>
          <w:b/>
          <w:color w:val="000000" w:themeColor="text1"/>
          <w:sz w:val="24"/>
          <w:szCs w:val="24"/>
        </w:rPr>
        <w:t>Ř</w:t>
      </w:r>
      <w:r w:rsidR="003D5B93" w:rsidRPr="000B6DDB">
        <w:rPr>
          <w:rFonts w:cstheme="minorHAnsi"/>
          <w:b/>
          <w:color w:val="000000" w:themeColor="text1"/>
          <w:sz w:val="24"/>
          <w:szCs w:val="24"/>
        </w:rPr>
        <w:t>ídicí orgány</w:t>
      </w:r>
      <w:r w:rsidRPr="000B6DDB">
        <w:rPr>
          <w:rFonts w:cstheme="minorHAnsi"/>
          <w:b/>
          <w:color w:val="000000" w:themeColor="text1"/>
          <w:sz w:val="24"/>
          <w:szCs w:val="24"/>
        </w:rPr>
        <w:t xml:space="preserve"> nezajišťovaly i</w:t>
      </w:r>
      <w:r w:rsidR="00F77F1F" w:rsidRPr="000B6DDB">
        <w:rPr>
          <w:rFonts w:cstheme="minorHAnsi"/>
          <w:b/>
          <w:color w:val="000000" w:themeColor="text1"/>
          <w:sz w:val="24"/>
          <w:szCs w:val="24"/>
        </w:rPr>
        <w:t xml:space="preserve">nformační a propagační aktivity </w:t>
      </w:r>
      <w:r w:rsidR="00922C95" w:rsidRPr="000B6DDB">
        <w:rPr>
          <w:rFonts w:cstheme="minorHAnsi"/>
          <w:b/>
          <w:color w:val="000000" w:themeColor="text1"/>
          <w:sz w:val="24"/>
          <w:szCs w:val="24"/>
        </w:rPr>
        <w:t xml:space="preserve">vždy </w:t>
      </w:r>
      <w:r w:rsidRPr="000B6DDB">
        <w:rPr>
          <w:rFonts w:cstheme="minorHAnsi"/>
          <w:b/>
          <w:color w:val="000000" w:themeColor="text1"/>
          <w:sz w:val="24"/>
          <w:szCs w:val="24"/>
        </w:rPr>
        <w:t>tak, aby</w:t>
      </w:r>
      <w:r w:rsidR="00F77F1F" w:rsidRPr="000B6DDB">
        <w:rPr>
          <w:rFonts w:cstheme="minorHAnsi"/>
          <w:b/>
          <w:color w:val="000000" w:themeColor="text1"/>
          <w:sz w:val="24"/>
          <w:szCs w:val="24"/>
        </w:rPr>
        <w:t xml:space="preserve"> bylo hospodárným způsobem dosaženo jejich cíle.</w:t>
      </w:r>
      <w:r w:rsidR="00C23413" w:rsidRPr="000B6DD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0B6DDB">
        <w:rPr>
          <w:rFonts w:cstheme="minorHAnsi"/>
          <w:b/>
          <w:color w:val="000000" w:themeColor="text1"/>
          <w:sz w:val="24"/>
          <w:szCs w:val="24"/>
        </w:rPr>
        <w:t xml:space="preserve">Rizika možné nehospodárnosti </w:t>
      </w:r>
      <w:r w:rsidR="00D40F57" w:rsidRPr="000B6DDB">
        <w:rPr>
          <w:rFonts w:cstheme="minorHAnsi"/>
          <w:b/>
          <w:color w:val="000000" w:themeColor="text1"/>
          <w:sz w:val="24"/>
          <w:szCs w:val="24"/>
        </w:rPr>
        <w:t>vznikala</w:t>
      </w:r>
      <w:r w:rsidRPr="000B6DD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0267F" w:rsidRPr="000B6DDB">
        <w:rPr>
          <w:rFonts w:cstheme="minorHAnsi"/>
          <w:b/>
          <w:color w:val="000000" w:themeColor="text1"/>
          <w:sz w:val="24"/>
          <w:szCs w:val="24"/>
        </w:rPr>
        <w:t xml:space="preserve">již </w:t>
      </w:r>
      <w:r w:rsidRPr="000B6DDB">
        <w:rPr>
          <w:rFonts w:cstheme="minorHAnsi"/>
          <w:b/>
          <w:color w:val="000000" w:themeColor="text1"/>
          <w:sz w:val="24"/>
          <w:szCs w:val="24"/>
        </w:rPr>
        <w:t>ve fázi plánování</w:t>
      </w:r>
      <w:r w:rsidR="0007588F" w:rsidRPr="000B6DDB">
        <w:rPr>
          <w:rFonts w:cstheme="minorHAnsi"/>
          <w:b/>
          <w:color w:val="000000" w:themeColor="text1"/>
          <w:sz w:val="24"/>
          <w:szCs w:val="24"/>
        </w:rPr>
        <w:t xml:space="preserve"> a přípravy.</w:t>
      </w:r>
      <w:r w:rsidR="00920FA1" w:rsidRPr="000B6DDB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571DAA18" w14:textId="77777777" w:rsidR="00DD7835" w:rsidRPr="000B6DDB" w:rsidRDefault="00DD7835" w:rsidP="000B6DDB">
      <w:pPr>
        <w:pStyle w:val="Odstavecseseznamem"/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14:paraId="28133EC0" w14:textId="42520F15" w:rsidR="00F73184" w:rsidRPr="000B6DDB" w:rsidRDefault="00CA7E4E" w:rsidP="000B6DD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B6DDB">
        <w:rPr>
          <w:rFonts w:cstheme="minorHAnsi"/>
          <w:color w:val="000000" w:themeColor="text1"/>
          <w:sz w:val="24"/>
          <w:szCs w:val="24"/>
        </w:rPr>
        <w:t>Prováděné aktivity byly v souladu s</w:t>
      </w:r>
      <w:r w:rsidR="00570981" w:rsidRPr="000B6DDB">
        <w:rPr>
          <w:rFonts w:cstheme="minorHAnsi"/>
          <w:color w:val="000000" w:themeColor="text1"/>
          <w:sz w:val="24"/>
          <w:szCs w:val="24"/>
        </w:rPr>
        <w:t xml:space="preserve"> právními </w:t>
      </w:r>
      <w:r w:rsidRPr="000B6DDB">
        <w:rPr>
          <w:rFonts w:cstheme="minorHAnsi"/>
          <w:color w:val="000000" w:themeColor="text1"/>
          <w:sz w:val="24"/>
          <w:szCs w:val="24"/>
        </w:rPr>
        <w:t xml:space="preserve">předpisy EU, s výjimkou nastavení cílů. </w:t>
      </w:r>
      <w:r w:rsidR="003D5B93" w:rsidRPr="000B6DDB">
        <w:rPr>
          <w:rFonts w:cstheme="minorHAnsi"/>
          <w:color w:val="000000" w:themeColor="text1"/>
          <w:sz w:val="24"/>
          <w:szCs w:val="24"/>
        </w:rPr>
        <w:t xml:space="preserve">Řídicí orgány nepostupovaly v souladu se zásadou řádného finančního řízení ve smyslu </w:t>
      </w:r>
      <w:r w:rsidR="00675BC0" w:rsidRPr="000B6DDB">
        <w:rPr>
          <w:rFonts w:cstheme="minorHAnsi"/>
          <w:color w:val="000000" w:themeColor="text1"/>
          <w:sz w:val="24"/>
          <w:szCs w:val="24"/>
        </w:rPr>
        <w:t xml:space="preserve">právních </w:t>
      </w:r>
      <w:r w:rsidR="003D5B93" w:rsidRPr="000B6DDB">
        <w:rPr>
          <w:rFonts w:cstheme="minorHAnsi"/>
          <w:color w:val="000000" w:themeColor="text1"/>
          <w:sz w:val="24"/>
          <w:szCs w:val="24"/>
        </w:rPr>
        <w:t>předpisů</w:t>
      </w:r>
      <w:r w:rsidR="00570981" w:rsidRPr="000B6DDB">
        <w:rPr>
          <w:rFonts w:cstheme="minorHAnsi"/>
          <w:color w:val="000000" w:themeColor="text1"/>
          <w:sz w:val="24"/>
          <w:szCs w:val="24"/>
        </w:rPr>
        <w:t xml:space="preserve"> EU</w:t>
      </w:r>
      <w:r w:rsidR="00D7346B" w:rsidRPr="000B6DDB">
        <w:rPr>
          <w:rStyle w:val="Znakapoznpodarou"/>
          <w:rFonts w:cstheme="minorHAnsi"/>
          <w:b/>
          <w:color w:val="000000" w:themeColor="text1"/>
          <w:sz w:val="24"/>
          <w:szCs w:val="24"/>
        </w:rPr>
        <w:footnoteReference w:id="6"/>
      </w:r>
      <w:r w:rsidR="003D5B93" w:rsidRPr="000B6DDB">
        <w:rPr>
          <w:rFonts w:cstheme="minorHAnsi"/>
          <w:color w:val="000000" w:themeColor="text1"/>
          <w:sz w:val="24"/>
          <w:szCs w:val="24"/>
        </w:rPr>
        <w:t>.</w:t>
      </w:r>
      <w:r w:rsidR="003D5B93" w:rsidRPr="000B6DD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9C0404" w:rsidRPr="000B6DDB">
        <w:rPr>
          <w:rFonts w:cstheme="minorHAnsi"/>
          <w:b/>
          <w:color w:val="000000" w:themeColor="text1"/>
          <w:sz w:val="24"/>
          <w:szCs w:val="24"/>
        </w:rPr>
        <w:t xml:space="preserve">Obtížná měřitelnost </w:t>
      </w:r>
      <w:r w:rsidR="00970636" w:rsidRPr="000B6DDB">
        <w:rPr>
          <w:rFonts w:cstheme="minorHAnsi"/>
          <w:b/>
          <w:color w:val="000000" w:themeColor="text1"/>
          <w:sz w:val="24"/>
          <w:szCs w:val="24"/>
        </w:rPr>
        <w:t>cílů neposkyt</w:t>
      </w:r>
      <w:r w:rsidR="005E6DA9" w:rsidRPr="000B6DDB">
        <w:rPr>
          <w:rFonts w:cstheme="minorHAnsi"/>
          <w:b/>
          <w:color w:val="000000" w:themeColor="text1"/>
          <w:sz w:val="24"/>
          <w:szCs w:val="24"/>
        </w:rPr>
        <w:t xml:space="preserve">ovala možnost </w:t>
      </w:r>
      <w:r w:rsidR="00970636" w:rsidRPr="000B6DDB">
        <w:rPr>
          <w:rFonts w:cstheme="minorHAnsi"/>
          <w:b/>
          <w:color w:val="000000" w:themeColor="text1"/>
          <w:sz w:val="24"/>
          <w:szCs w:val="24"/>
        </w:rPr>
        <w:t>ověř</w:t>
      </w:r>
      <w:r w:rsidR="005E6DA9" w:rsidRPr="000B6DDB">
        <w:rPr>
          <w:rFonts w:cstheme="minorHAnsi"/>
          <w:b/>
          <w:color w:val="000000" w:themeColor="text1"/>
          <w:sz w:val="24"/>
          <w:szCs w:val="24"/>
        </w:rPr>
        <w:t xml:space="preserve">it, </w:t>
      </w:r>
      <w:r w:rsidR="00970636" w:rsidRPr="000B6DDB">
        <w:rPr>
          <w:rFonts w:cstheme="minorHAnsi"/>
          <w:b/>
          <w:color w:val="000000" w:themeColor="text1"/>
          <w:sz w:val="24"/>
          <w:szCs w:val="24"/>
        </w:rPr>
        <w:t>zda bylo cílů dosaženo</w:t>
      </w:r>
      <w:r w:rsidR="00FC530B" w:rsidRPr="000B6DDB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D5715A" w:rsidRPr="000B6DDB">
        <w:rPr>
          <w:rFonts w:cstheme="minorHAnsi"/>
          <w:color w:val="000000" w:themeColor="text1"/>
          <w:sz w:val="24"/>
          <w:szCs w:val="24"/>
        </w:rPr>
        <w:t>Obdobné zjištění za</w:t>
      </w:r>
      <w:r w:rsidR="003B5D71" w:rsidRPr="000B6DDB">
        <w:rPr>
          <w:rFonts w:cstheme="minorHAnsi"/>
          <w:color w:val="000000" w:themeColor="text1"/>
          <w:sz w:val="24"/>
          <w:szCs w:val="24"/>
        </w:rPr>
        <w:t>znamenal Evropský účetní dvůr v </w:t>
      </w:r>
      <w:r w:rsidR="00D5715A" w:rsidRPr="000B6DDB">
        <w:rPr>
          <w:rFonts w:cstheme="minorHAnsi"/>
          <w:color w:val="000000" w:themeColor="text1"/>
          <w:sz w:val="24"/>
          <w:szCs w:val="24"/>
        </w:rPr>
        <w:t>oblasti propagace zemědělských produktů ve Španělsku, Francii a Itálii a uvedl je ve zvláštní zprávě č. 10/2009</w:t>
      </w:r>
      <w:r w:rsidR="00E66B83">
        <w:rPr>
          <w:rFonts w:cstheme="minorHAnsi"/>
          <w:color w:val="000000" w:themeColor="text1"/>
          <w:sz w:val="24"/>
          <w:szCs w:val="24"/>
        </w:rPr>
        <w:t> –</w:t>
      </w:r>
      <w:r w:rsidR="00D5715A" w:rsidRPr="000B6DDB">
        <w:rPr>
          <w:rFonts w:cstheme="minorHAnsi"/>
          <w:color w:val="000000" w:themeColor="text1"/>
          <w:sz w:val="24"/>
          <w:szCs w:val="24"/>
        </w:rPr>
        <w:t xml:space="preserve"> </w:t>
      </w:r>
      <w:r w:rsidR="00D5715A" w:rsidRPr="0040016D">
        <w:rPr>
          <w:rFonts w:cstheme="minorHAnsi"/>
          <w:i/>
          <w:color w:val="000000" w:themeColor="text1"/>
          <w:sz w:val="24"/>
          <w:szCs w:val="24"/>
        </w:rPr>
        <w:t>Informační a propagační opatření na podporu zemědělských produktů</w:t>
      </w:r>
      <w:r w:rsidR="00D5715A" w:rsidRPr="000B6DDB">
        <w:rPr>
          <w:rFonts w:cstheme="minorHAnsi"/>
          <w:color w:val="000000" w:themeColor="text1"/>
          <w:sz w:val="24"/>
          <w:szCs w:val="24"/>
        </w:rPr>
        <w:t xml:space="preserve"> s vyhodnocením, že při neexistenci </w:t>
      </w:r>
      <w:r w:rsidR="00D7346B" w:rsidRPr="000B6DDB">
        <w:rPr>
          <w:rFonts w:cstheme="minorHAnsi"/>
          <w:color w:val="000000" w:themeColor="text1"/>
          <w:sz w:val="24"/>
          <w:szCs w:val="24"/>
        </w:rPr>
        <w:t xml:space="preserve">tzv. </w:t>
      </w:r>
      <w:r w:rsidR="00D5715A" w:rsidRPr="000B6DDB">
        <w:rPr>
          <w:rFonts w:cstheme="minorHAnsi"/>
          <w:color w:val="000000" w:themeColor="text1"/>
          <w:sz w:val="24"/>
          <w:szCs w:val="24"/>
        </w:rPr>
        <w:t>SMART</w:t>
      </w:r>
      <w:r w:rsidR="00FF285F" w:rsidRPr="00FF285F">
        <w:rPr>
          <w:rFonts w:cstheme="minorHAnsi"/>
          <w:color w:val="000000" w:themeColor="text1"/>
          <w:sz w:val="24"/>
          <w:szCs w:val="24"/>
        </w:rPr>
        <w:t xml:space="preserve"> </w:t>
      </w:r>
      <w:r w:rsidR="00E66B83" w:rsidRPr="000B6DDB">
        <w:rPr>
          <w:rFonts w:cstheme="minorHAnsi"/>
          <w:color w:val="000000" w:themeColor="text1"/>
          <w:sz w:val="24"/>
          <w:szCs w:val="24"/>
        </w:rPr>
        <w:t xml:space="preserve">cílů </w:t>
      </w:r>
      <w:r w:rsidR="00D5715A" w:rsidRPr="000B6DDB">
        <w:rPr>
          <w:rFonts w:cstheme="minorHAnsi"/>
          <w:color w:val="000000" w:themeColor="text1"/>
          <w:sz w:val="24"/>
          <w:szCs w:val="24"/>
        </w:rPr>
        <w:t>je obtížné měřit dopad prováděné politiky.</w:t>
      </w:r>
    </w:p>
    <w:p w14:paraId="055B1209" w14:textId="77777777" w:rsidR="00FC530B" w:rsidRPr="000B6DDB" w:rsidRDefault="00FC530B" w:rsidP="000B6DDB">
      <w:pPr>
        <w:pStyle w:val="Odstavecseseznamem"/>
        <w:spacing w:after="0"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p w14:paraId="11CFA549" w14:textId="77777777" w:rsidR="00970636" w:rsidRPr="000B6DDB" w:rsidRDefault="003D5B93" w:rsidP="000B6DD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B6DDB">
        <w:rPr>
          <w:rFonts w:cstheme="minorHAnsi"/>
          <w:color w:val="000000" w:themeColor="text1"/>
          <w:sz w:val="24"/>
          <w:szCs w:val="24"/>
        </w:rPr>
        <w:t>Řídicí orgány ne</w:t>
      </w:r>
      <w:r w:rsidR="00CA7E4E" w:rsidRPr="000B6DDB">
        <w:rPr>
          <w:rFonts w:cstheme="minorHAnsi"/>
          <w:color w:val="000000" w:themeColor="text1"/>
          <w:sz w:val="24"/>
          <w:szCs w:val="24"/>
        </w:rPr>
        <w:t>zohledn</w:t>
      </w:r>
      <w:r w:rsidRPr="000B6DDB">
        <w:rPr>
          <w:rFonts w:cstheme="minorHAnsi"/>
          <w:color w:val="000000" w:themeColor="text1"/>
          <w:sz w:val="24"/>
          <w:szCs w:val="24"/>
        </w:rPr>
        <w:t>ily</w:t>
      </w:r>
      <w:r w:rsidR="00CA7E4E" w:rsidRPr="000B6DDB">
        <w:rPr>
          <w:rFonts w:cstheme="minorHAnsi"/>
          <w:color w:val="000000" w:themeColor="text1"/>
          <w:sz w:val="24"/>
          <w:szCs w:val="24"/>
        </w:rPr>
        <w:t xml:space="preserve"> doporučení z</w:t>
      </w:r>
      <w:r w:rsidRPr="000B6DDB">
        <w:rPr>
          <w:rFonts w:cstheme="minorHAnsi"/>
          <w:color w:val="000000" w:themeColor="text1"/>
          <w:sz w:val="24"/>
          <w:szCs w:val="24"/>
        </w:rPr>
        <w:t xml:space="preserve"> průběžných </w:t>
      </w:r>
      <w:r w:rsidR="00CA7E4E" w:rsidRPr="000B6DDB">
        <w:rPr>
          <w:rFonts w:cstheme="minorHAnsi"/>
          <w:color w:val="000000" w:themeColor="text1"/>
          <w:sz w:val="24"/>
          <w:szCs w:val="24"/>
        </w:rPr>
        <w:t xml:space="preserve">evaluací </w:t>
      </w:r>
      <w:r w:rsidRPr="000B6DDB">
        <w:rPr>
          <w:rFonts w:cstheme="minorHAnsi"/>
          <w:color w:val="000000" w:themeColor="text1"/>
          <w:sz w:val="24"/>
          <w:szCs w:val="24"/>
        </w:rPr>
        <w:t xml:space="preserve">komunikačních plánů </w:t>
      </w:r>
      <w:r w:rsidR="00CA7E4E" w:rsidRPr="000B6DDB">
        <w:rPr>
          <w:rFonts w:cstheme="minorHAnsi"/>
          <w:color w:val="000000" w:themeColor="text1"/>
          <w:sz w:val="24"/>
          <w:szCs w:val="24"/>
        </w:rPr>
        <w:t>k optimalizaci indikátorové soustavy k měření naplnění cílů.</w:t>
      </w:r>
    </w:p>
    <w:p w14:paraId="660495F8" w14:textId="77777777" w:rsidR="00992E85" w:rsidRPr="000B6DDB" w:rsidRDefault="00992E85" w:rsidP="000B6DD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8FA2AA0" w14:textId="77777777" w:rsidR="00F378FF" w:rsidRPr="00C726E0" w:rsidRDefault="00C726E0" w:rsidP="00C726E0">
      <w:pPr>
        <w:pStyle w:val="Odstavecseseznamem"/>
        <w:tabs>
          <w:tab w:val="left" w:pos="284"/>
        </w:tabs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2.</w:t>
      </w:r>
      <w:r>
        <w:rPr>
          <w:rFonts w:cstheme="minorHAnsi"/>
          <w:b/>
          <w:sz w:val="24"/>
          <w:szCs w:val="24"/>
        </w:rPr>
        <w:tab/>
      </w:r>
      <w:r w:rsidR="00130C1A" w:rsidRPr="00C726E0">
        <w:rPr>
          <w:rFonts w:cstheme="minorHAnsi"/>
          <w:b/>
          <w:sz w:val="24"/>
          <w:szCs w:val="24"/>
        </w:rPr>
        <w:t>Řídic</w:t>
      </w:r>
      <w:r w:rsidR="00130C1A" w:rsidRPr="00130C1A">
        <w:rPr>
          <w:rFonts w:cstheme="minorHAnsi"/>
          <w:b/>
          <w:sz w:val="24"/>
          <w:szCs w:val="24"/>
        </w:rPr>
        <w:t>í orgány ne</w:t>
      </w:r>
      <w:r w:rsidR="00855DC9" w:rsidRPr="00130C1A">
        <w:rPr>
          <w:rFonts w:cstheme="minorHAnsi"/>
          <w:b/>
          <w:sz w:val="24"/>
          <w:szCs w:val="24"/>
        </w:rPr>
        <w:t>hodn</w:t>
      </w:r>
      <w:r w:rsidR="00130C1A" w:rsidRPr="00130C1A">
        <w:rPr>
          <w:rFonts w:cstheme="minorHAnsi"/>
          <w:b/>
          <w:sz w:val="24"/>
          <w:szCs w:val="24"/>
        </w:rPr>
        <w:t xml:space="preserve">otily </w:t>
      </w:r>
      <w:r w:rsidR="00855DC9" w:rsidRPr="00130C1A">
        <w:rPr>
          <w:rFonts w:cstheme="minorHAnsi"/>
          <w:b/>
          <w:sz w:val="24"/>
          <w:szCs w:val="24"/>
        </w:rPr>
        <w:t xml:space="preserve">přiměřenost rozpočtu </w:t>
      </w:r>
      <w:r w:rsidR="00FC530B">
        <w:rPr>
          <w:rFonts w:cstheme="minorHAnsi"/>
          <w:b/>
          <w:sz w:val="24"/>
          <w:szCs w:val="24"/>
        </w:rPr>
        <w:t xml:space="preserve">při </w:t>
      </w:r>
      <w:r w:rsidR="00080D2B">
        <w:rPr>
          <w:rFonts w:cstheme="minorHAnsi"/>
          <w:b/>
          <w:sz w:val="24"/>
          <w:szCs w:val="24"/>
        </w:rPr>
        <w:t xml:space="preserve">schvalování </w:t>
      </w:r>
      <w:r w:rsidR="00855DC9" w:rsidRPr="00130C1A">
        <w:rPr>
          <w:rFonts w:cstheme="minorHAnsi"/>
          <w:b/>
          <w:sz w:val="24"/>
          <w:szCs w:val="24"/>
        </w:rPr>
        <w:t>projektů</w:t>
      </w:r>
      <w:r w:rsidR="00FC530B">
        <w:rPr>
          <w:rFonts w:cstheme="minorHAnsi"/>
          <w:b/>
          <w:sz w:val="24"/>
          <w:szCs w:val="24"/>
        </w:rPr>
        <w:t xml:space="preserve">, </w:t>
      </w:r>
      <w:r w:rsidR="00FC530B" w:rsidRPr="00CA3206">
        <w:rPr>
          <w:rFonts w:cstheme="minorHAnsi"/>
          <w:sz w:val="24"/>
          <w:szCs w:val="24"/>
        </w:rPr>
        <w:t xml:space="preserve">jimiž </w:t>
      </w:r>
      <w:r w:rsidR="00130C1A" w:rsidRPr="00CA3206">
        <w:rPr>
          <w:rFonts w:cstheme="minorHAnsi"/>
          <w:sz w:val="24"/>
          <w:szCs w:val="24"/>
        </w:rPr>
        <w:t xml:space="preserve">byly </w:t>
      </w:r>
      <w:r w:rsidR="00855DC9" w:rsidRPr="00CA3206">
        <w:rPr>
          <w:rFonts w:cstheme="minorHAnsi"/>
          <w:sz w:val="24"/>
          <w:szCs w:val="24"/>
        </w:rPr>
        <w:t>zajišť</w:t>
      </w:r>
      <w:r w:rsidR="00130C1A" w:rsidRPr="00CA3206">
        <w:rPr>
          <w:rFonts w:cstheme="minorHAnsi"/>
          <w:sz w:val="24"/>
          <w:szCs w:val="24"/>
        </w:rPr>
        <w:t>ovány</w:t>
      </w:r>
      <w:r w:rsidR="00855DC9" w:rsidRPr="00CA3206">
        <w:rPr>
          <w:rFonts w:cstheme="minorHAnsi"/>
          <w:sz w:val="24"/>
          <w:szCs w:val="24"/>
        </w:rPr>
        <w:t xml:space="preserve"> informační a </w:t>
      </w:r>
      <w:r w:rsidR="00F77D10">
        <w:rPr>
          <w:rFonts w:cstheme="minorHAnsi"/>
          <w:sz w:val="24"/>
          <w:szCs w:val="24"/>
        </w:rPr>
        <w:t>propagační</w:t>
      </w:r>
      <w:r w:rsidR="00CD3601" w:rsidRPr="00CA3206">
        <w:rPr>
          <w:rFonts w:cstheme="minorHAnsi"/>
          <w:sz w:val="24"/>
          <w:szCs w:val="24"/>
        </w:rPr>
        <w:t xml:space="preserve"> </w:t>
      </w:r>
      <w:r w:rsidR="00855DC9" w:rsidRPr="00CA3206">
        <w:rPr>
          <w:rFonts w:cstheme="minorHAnsi"/>
          <w:sz w:val="24"/>
          <w:szCs w:val="24"/>
        </w:rPr>
        <w:t>aktivity</w:t>
      </w:r>
      <w:r w:rsidR="005103C2" w:rsidRPr="00CA3206">
        <w:rPr>
          <w:rFonts w:cstheme="minorHAnsi"/>
          <w:sz w:val="24"/>
          <w:szCs w:val="24"/>
        </w:rPr>
        <w:t xml:space="preserve">. U žádného z kontrolovaných projektů </w:t>
      </w:r>
      <w:r w:rsidR="00CF2312" w:rsidRPr="00CA3206">
        <w:rPr>
          <w:rFonts w:cstheme="minorHAnsi"/>
          <w:sz w:val="24"/>
          <w:szCs w:val="24"/>
        </w:rPr>
        <w:t xml:space="preserve">tak </w:t>
      </w:r>
      <w:r w:rsidR="004C41BD" w:rsidRPr="00CA3206">
        <w:rPr>
          <w:rFonts w:cstheme="minorHAnsi"/>
          <w:sz w:val="24"/>
          <w:szCs w:val="24"/>
        </w:rPr>
        <w:t xml:space="preserve">řídicí orgány </w:t>
      </w:r>
      <w:r w:rsidR="00FC530B" w:rsidRPr="00992E85">
        <w:rPr>
          <w:rFonts w:cstheme="minorHAnsi"/>
          <w:b/>
          <w:sz w:val="24"/>
          <w:szCs w:val="24"/>
        </w:rPr>
        <w:t>nepo</w:t>
      </w:r>
      <w:r w:rsidR="00130C1A" w:rsidRPr="00992E85">
        <w:rPr>
          <w:rFonts w:cstheme="minorHAnsi"/>
          <w:b/>
          <w:sz w:val="24"/>
          <w:szCs w:val="24"/>
        </w:rPr>
        <w:t>suzov</w:t>
      </w:r>
      <w:r w:rsidR="00CF2312" w:rsidRPr="00992E85">
        <w:rPr>
          <w:rFonts w:cstheme="minorHAnsi"/>
          <w:b/>
          <w:sz w:val="24"/>
          <w:szCs w:val="24"/>
        </w:rPr>
        <w:t>aly</w:t>
      </w:r>
      <w:r w:rsidR="00130C1A" w:rsidRPr="00992E85">
        <w:rPr>
          <w:rFonts w:cstheme="minorHAnsi"/>
          <w:b/>
          <w:sz w:val="24"/>
          <w:szCs w:val="24"/>
        </w:rPr>
        <w:t xml:space="preserve"> </w:t>
      </w:r>
      <w:r w:rsidR="00E7653F" w:rsidRPr="00992E85">
        <w:rPr>
          <w:rFonts w:cstheme="minorHAnsi"/>
          <w:b/>
          <w:sz w:val="24"/>
          <w:szCs w:val="24"/>
        </w:rPr>
        <w:t xml:space="preserve">dodržení </w:t>
      </w:r>
      <w:r w:rsidR="00130C1A" w:rsidRPr="00992E85">
        <w:rPr>
          <w:rFonts w:cstheme="minorHAnsi"/>
          <w:b/>
          <w:sz w:val="24"/>
          <w:szCs w:val="24"/>
        </w:rPr>
        <w:t>princip</w:t>
      </w:r>
      <w:r w:rsidR="00E7653F" w:rsidRPr="00992E85">
        <w:rPr>
          <w:rFonts w:cstheme="minorHAnsi"/>
          <w:b/>
          <w:sz w:val="24"/>
          <w:szCs w:val="24"/>
        </w:rPr>
        <w:t>u</w:t>
      </w:r>
      <w:r w:rsidR="00130C1A" w:rsidRPr="00992E85">
        <w:rPr>
          <w:rFonts w:cstheme="minorHAnsi"/>
          <w:b/>
          <w:sz w:val="24"/>
          <w:szCs w:val="24"/>
        </w:rPr>
        <w:t xml:space="preserve"> hospodárnosti. </w:t>
      </w:r>
    </w:p>
    <w:p w14:paraId="10422CAC" w14:textId="77777777" w:rsidR="00130C1A" w:rsidRPr="00C726E0" w:rsidRDefault="00130C1A" w:rsidP="00C726E0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5B86F37" w14:textId="61198096" w:rsidR="00FC530B" w:rsidRDefault="005103C2" w:rsidP="00C726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09D9">
        <w:rPr>
          <w:rFonts w:cstheme="minorHAnsi"/>
          <w:b/>
          <w:sz w:val="24"/>
          <w:szCs w:val="24"/>
        </w:rPr>
        <w:t xml:space="preserve">Princip hospodárnosti </w:t>
      </w:r>
      <w:r w:rsidR="00080D2B" w:rsidRPr="00D409D9">
        <w:rPr>
          <w:rFonts w:cstheme="minorHAnsi"/>
          <w:b/>
          <w:sz w:val="24"/>
          <w:szCs w:val="24"/>
        </w:rPr>
        <w:t xml:space="preserve">byl opomíjen též </w:t>
      </w:r>
      <w:r w:rsidR="00E13D5E" w:rsidRPr="00D409D9">
        <w:rPr>
          <w:rFonts w:cstheme="minorHAnsi"/>
          <w:b/>
          <w:sz w:val="24"/>
          <w:szCs w:val="24"/>
        </w:rPr>
        <w:t>při</w:t>
      </w:r>
      <w:r w:rsidRPr="00D409D9">
        <w:rPr>
          <w:rFonts w:cstheme="minorHAnsi"/>
          <w:b/>
          <w:sz w:val="24"/>
          <w:szCs w:val="24"/>
        </w:rPr>
        <w:t xml:space="preserve"> </w:t>
      </w:r>
      <w:r w:rsidR="00080D2B" w:rsidRPr="00D409D9">
        <w:rPr>
          <w:rFonts w:cstheme="minorHAnsi"/>
          <w:b/>
          <w:sz w:val="24"/>
          <w:szCs w:val="24"/>
        </w:rPr>
        <w:t xml:space="preserve">zadávání </w:t>
      </w:r>
      <w:r w:rsidRPr="00D409D9">
        <w:rPr>
          <w:rFonts w:cstheme="minorHAnsi"/>
          <w:b/>
          <w:sz w:val="24"/>
          <w:szCs w:val="24"/>
        </w:rPr>
        <w:t>některých v</w:t>
      </w:r>
      <w:r w:rsidR="00BA399E" w:rsidRPr="00D409D9">
        <w:rPr>
          <w:rFonts w:cstheme="minorHAnsi"/>
          <w:b/>
          <w:sz w:val="24"/>
          <w:szCs w:val="24"/>
        </w:rPr>
        <w:t>eřejn</w:t>
      </w:r>
      <w:r w:rsidRPr="00D409D9">
        <w:rPr>
          <w:rFonts w:cstheme="minorHAnsi"/>
          <w:b/>
          <w:sz w:val="24"/>
          <w:szCs w:val="24"/>
        </w:rPr>
        <w:t>ých</w:t>
      </w:r>
      <w:r w:rsidR="00BA399E" w:rsidRPr="00D409D9">
        <w:rPr>
          <w:rFonts w:cstheme="minorHAnsi"/>
          <w:b/>
          <w:sz w:val="24"/>
          <w:szCs w:val="24"/>
        </w:rPr>
        <w:t xml:space="preserve"> zakáz</w:t>
      </w:r>
      <w:r w:rsidRPr="00D409D9">
        <w:rPr>
          <w:rFonts w:cstheme="minorHAnsi"/>
          <w:b/>
          <w:sz w:val="24"/>
          <w:szCs w:val="24"/>
        </w:rPr>
        <w:t>e</w:t>
      </w:r>
      <w:r w:rsidR="00BA399E" w:rsidRPr="00D409D9">
        <w:rPr>
          <w:rFonts w:cstheme="minorHAnsi"/>
          <w:b/>
          <w:sz w:val="24"/>
          <w:szCs w:val="24"/>
        </w:rPr>
        <w:t>k</w:t>
      </w:r>
      <w:r w:rsidR="00080D2B" w:rsidRPr="00D409D9">
        <w:rPr>
          <w:rFonts w:cstheme="minorHAnsi"/>
          <w:b/>
          <w:sz w:val="24"/>
          <w:szCs w:val="24"/>
        </w:rPr>
        <w:t xml:space="preserve"> k zajištění publicity. </w:t>
      </w:r>
      <w:r w:rsidR="00080D2B" w:rsidRPr="00D409D9">
        <w:rPr>
          <w:rFonts w:cstheme="minorHAnsi"/>
          <w:sz w:val="24"/>
          <w:szCs w:val="24"/>
        </w:rPr>
        <w:t>Ř</w:t>
      </w:r>
      <w:r w:rsidRPr="00D409D9">
        <w:rPr>
          <w:rFonts w:cstheme="minorHAnsi"/>
          <w:sz w:val="24"/>
          <w:szCs w:val="24"/>
        </w:rPr>
        <w:t xml:space="preserve">ídicí orgány </w:t>
      </w:r>
      <w:r w:rsidR="00080D2B" w:rsidRPr="00D409D9">
        <w:rPr>
          <w:rFonts w:cstheme="minorHAnsi"/>
          <w:sz w:val="24"/>
          <w:szCs w:val="24"/>
        </w:rPr>
        <w:t xml:space="preserve">v mnohých případech </w:t>
      </w:r>
      <w:r w:rsidRPr="00D409D9">
        <w:rPr>
          <w:rFonts w:cstheme="minorHAnsi"/>
          <w:sz w:val="24"/>
          <w:szCs w:val="24"/>
        </w:rPr>
        <w:t>nezpracovaly analýzy</w:t>
      </w:r>
      <w:r w:rsidR="00C726E0">
        <w:rPr>
          <w:rFonts w:cstheme="minorHAnsi"/>
          <w:sz w:val="24"/>
          <w:szCs w:val="24"/>
        </w:rPr>
        <w:t xml:space="preserve"> </w:t>
      </w:r>
      <w:r w:rsidRPr="00D409D9">
        <w:rPr>
          <w:rFonts w:cstheme="minorHAnsi"/>
          <w:sz w:val="24"/>
          <w:szCs w:val="24"/>
        </w:rPr>
        <w:t>k</w:t>
      </w:r>
      <w:r w:rsidR="00080D2B" w:rsidRPr="00D409D9">
        <w:rPr>
          <w:rFonts w:cstheme="minorHAnsi"/>
          <w:sz w:val="24"/>
          <w:szCs w:val="24"/>
        </w:rPr>
        <w:t xml:space="preserve">e kalkulaci </w:t>
      </w:r>
      <w:r w:rsidRPr="00D409D9">
        <w:rPr>
          <w:rFonts w:cstheme="minorHAnsi"/>
          <w:sz w:val="24"/>
          <w:szCs w:val="24"/>
        </w:rPr>
        <w:t>předpokládané hodnoty</w:t>
      </w:r>
      <w:r w:rsidR="00E66B83">
        <w:rPr>
          <w:rFonts w:cstheme="minorHAnsi"/>
          <w:sz w:val="24"/>
          <w:szCs w:val="24"/>
        </w:rPr>
        <w:t xml:space="preserve"> zakázek</w:t>
      </w:r>
      <w:r w:rsidR="00080D2B" w:rsidRPr="00D409D9">
        <w:rPr>
          <w:rFonts w:cstheme="minorHAnsi"/>
          <w:sz w:val="24"/>
          <w:szCs w:val="24"/>
        </w:rPr>
        <w:t>,</w:t>
      </w:r>
      <w:r w:rsidRPr="00D409D9">
        <w:rPr>
          <w:rFonts w:cstheme="minorHAnsi"/>
          <w:sz w:val="24"/>
          <w:szCs w:val="24"/>
        </w:rPr>
        <w:t xml:space="preserve"> </w:t>
      </w:r>
      <w:r w:rsidR="00570981">
        <w:rPr>
          <w:rFonts w:cstheme="minorHAnsi"/>
          <w:sz w:val="24"/>
          <w:szCs w:val="24"/>
        </w:rPr>
        <w:t>respektive nedoložily</w:t>
      </w:r>
      <w:r w:rsidR="00BA399E" w:rsidRPr="00D409D9">
        <w:rPr>
          <w:rFonts w:cstheme="minorHAnsi"/>
          <w:sz w:val="24"/>
          <w:szCs w:val="24"/>
        </w:rPr>
        <w:t>, jakým způsobem a</w:t>
      </w:r>
      <w:r w:rsidR="007E70D5">
        <w:rPr>
          <w:rFonts w:cstheme="minorHAnsi"/>
          <w:sz w:val="24"/>
          <w:szCs w:val="24"/>
        </w:rPr>
        <w:t> </w:t>
      </w:r>
      <w:r w:rsidR="00BA399E" w:rsidRPr="00D409D9">
        <w:rPr>
          <w:rFonts w:cstheme="minorHAnsi"/>
          <w:sz w:val="24"/>
          <w:szCs w:val="24"/>
        </w:rPr>
        <w:t xml:space="preserve">na základě jakých podkladů </w:t>
      </w:r>
      <w:r w:rsidRPr="00D409D9">
        <w:rPr>
          <w:rFonts w:cstheme="minorHAnsi"/>
          <w:sz w:val="24"/>
          <w:szCs w:val="24"/>
        </w:rPr>
        <w:t xml:space="preserve">byla </w:t>
      </w:r>
      <w:r w:rsidR="00BA399E" w:rsidRPr="00D409D9">
        <w:rPr>
          <w:rFonts w:cstheme="minorHAnsi"/>
          <w:sz w:val="24"/>
          <w:szCs w:val="24"/>
        </w:rPr>
        <w:t>předpokláda</w:t>
      </w:r>
      <w:r w:rsidRPr="00D409D9">
        <w:rPr>
          <w:rFonts w:cstheme="minorHAnsi"/>
          <w:sz w:val="24"/>
          <w:szCs w:val="24"/>
        </w:rPr>
        <w:t>ná hodnota stanovena.</w:t>
      </w:r>
      <w:r w:rsidR="00C726E0">
        <w:rPr>
          <w:rFonts w:cstheme="minorHAnsi"/>
          <w:sz w:val="24"/>
          <w:szCs w:val="24"/>
        </w:rPr>
        <w:t xml:space="preserve"> </w:t>
      </w:r>
      <w:r w:rsidR="00E66B83">
        <w:rPr>
          <w:rFonts w:cstheme="minorHAnsi"/>
          <w:b/>
          <w:sz w:val="24"/>
          <w:szCs w:val="24"/>
        </w:rPr>
        <w:t>Nadhodnocena tak mohla být i </w:t>
      </w:r>
      <w:r w:rsidR="002577DE" w:rsidRPr="00D409D9">
        <w:rPr>
          <w:rFonts w:cstheme="minorHAnsi"/>
          <w:b/>
          <w:sz w:val="24"/>
          <w:szCs w:val="24"/>
        </w:rPr>
        <w:t>nejnižší nabídka</w:t>
      </w:r>
      <w:r w:rsidR="004B6AF6" w:rsidRPr="00D409D9">
        <w:rPr>
          <w:rFonts w:cstheme="minorHAnsi"/>
          <w:b/>
          <w:sz w:val="24"/>
          <w:szCs w:val="24"/>
        </w:rPr>
        <w:t xml:space="preserve"> uchazečů</w:t>
      </w:r>
      <w:r w:rsidR="002577DE" w:rsidRPr="00D409D9">
        <w:rPr>
          <w:rFonts w:cstheme="minorHAnsi"/>
          <w:b/>
          <w:sz w:val="24"/>
          <w:szCs w:val="24"/>
        </w:rPr>
        <w:t xml:space="preserve">. </w:t>
      </w:r>
    </w:p>
    <w:p w14:paraId="1F8F7BAE" w14:textId="77777777" w:rsidR="00570981" w:rsidRPr="00C726E0" w:rsidRDefault="00570981" w:rsidP="00C726E0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E888EDC" w14:textId="77777777" w:rsidR="00AC3923" w:rsidRPr="00D409D9" w:rsidRDefault="00AC3923" w:rsidP="00C726E0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409D9">
        <w:rPr>
          <w:rFonts w:cstheme="minorHAnsi"/>
          <w:sz w:val="24"/>
          <w:szCs w:val="24"/>
        </w:rPr>
        <w:t xml:space="preserve">Kontrolou </w:t>
      </w:r>
      <w:r w:rsidR="00F73184" w:rsidRPr="00D409D9">
        <w:rPr>
          <w:rFonts w:cstheme="minorHAnsi"/>
          <w:sz w:val="24"/>
          <w:szCs w:val="24"/>
        </w:rPr>
        <w:t xml:space="preserve">postupu zadavatelů </w:t>
      </w:r>
      <w:r w:rsidRPr="00D409D9">
        <w:rPr>
          <w:rFonts w:cstheme="minorHAnsi"/>
          <w:sz w:val="24"/>
          <w:szCs w:val="24"/>
        </w:rPr>
        <w:t>veřejných zakázek byla zjištěna dílčí pochybení</w:t>
      </w:r>
      <w:r w:rsidR="00692EFA" w:rsidRPr="00D409D9">
        <w:rPr>
          <w:rFonts w:cstheme="minorHAnsi"/>
          <w:sz w:val="24"/>
          <w:szCs w:val="24"/>
        </w:rPr>
        <w:t>:</w:t>
      </w:r>
    </w:p>
    <w:p w14:paraId="37DD8728" w14:textId="77777777" w:rsidR="00AC3923" w:rsidRPr="0040016D" w:rsidRDefault="00C45B44" w:rsidP="0040016D">
      <w:pPr>
        <w:pStyle w:val="Odstavecseseznamem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0016D">
        <w:rPr>
          <w:rFonts w:cstheme="minorHAnsi"/>
          <w:sz w:val="24"/>
          <w:szCs w:val="24"/>
        </w:rPr>
        <w:t>porušení zásady transparentnosti</w:t>
      </w:r>
      <w:r w:rsidR="00300730" w:rsidRPr="0040016D">
        <w:rPr>
          <w:rFonts w:cstheme="minorHAnsi"/>
          <w:sz w:val="24"/>
          <w:szCs w:val="24"/>
        </w:rPr>
        <w:t>;</w:t>
      </w:r>
    </w:p>
    <w:p w14:paraId="4896DF53" w14:textId="77777777" w:rsidR="00AC3923" w:rsidRPr="0040016D" w:rsidRDefault="00C45B44" w:rsidP="0040016D">
      <w:pPr>
        <w:pStyle w:val="Odstavecseseznamem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0016D">
        <w:rPr>
          <w:rFonts w:cstheme="minorHAnsi"/>
          <w:sz w:val="24"/>
          <w:szCs w:val="24"/>
        </w:rPr>
        <w:t>neprovedení předběžné řídicí kontroly před uzavřením rámcových smluv</w:t>
      </w:r>
      <w:r w:rsidR="00300730" w:rsidRPr="0040016D">
        <w:rPr>
          <w:rFonts w:cstheme="minorHAnsi"/>
          <w:sz w:val="24"/>
          <w:szCs w:val="24"/>
        </w:rPr>
        <w:t>.</w:t>
      </w:r>
    </w:p>
    <w:p w14:paraId="5F024C2A" w14:textId="77777777" w:rsidR="000366AF" w:rsidRPr="000366AF" w:rsidRDefault="000366AF" w:rsidP="00C726E0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630DF5D" w14:textId="2A66F7EC" w:rsidR="00933DD2" w:rsidRDefault="00933DD2" w:rsidP="00C726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09D9">
        <w:rPr>
          <w:rFonts w:cstheme="minorHAnsi"/>
          <w:sz w:val="24"/>
          <w:szCs w:val="24"/>
        </w:rPr>
        <w:lastRenderedPageBreak/>
        <w:t xml:space="preserve">Kontrolou </w:t>
      </w:r>
      <w:r w:rsidR="00CF2312" w:rsidRPr="00D409D9">
        <w:rPr>
          <w:rFonts w:cstheme="minorHAnsi"/>
          <w:sz w:val="24"/>
          <w:szCs w:val="24"/>
        </w:rPr>
        <w:t xml:space="preserve">NKÚ </w:t>
      </w:r>
      <w:r w:rsidRPr="00D409D9">
        <w:rPr>
          <w:rFonts w:cstheme="minorHAnsi"/>
          <w:sz w:val="24"/>
          <w:szCs w:val="24"/>
        </w:rPr>
        <w:t>byl prověřen též s</w:t>
      </w:r>
      <w:r w:rsidR="00AC3923" w:rsidRPr="00D409D9">
        <w:rPr>
          <w:rFonts w:cstheme="minorHAnsi"/>
          <w:sz w:val="24"/>
          <w:szCs w:val="24"/>
        </w:rPr>
        <w:t xml:space="preserve">ystém evidence </w:t>
      </w:r>
      <w:r w:rsidR="00D53A25" w:rsidRPr="00D409D9">
        <w:rPr>
          <w:rFonts w:cstheme="minorHAnsi"/>
          <w:sz w:val="24"/>
          <w:szCs w:val="24"/>
        </w:rPr>
        <w:t>nakoupených propagační</w:t>
      </w:r>
      <w:r w:rsidR="00C726E0">
        <w:rPr>
          <w:rFonts w:cstheme="minorHAnsi"/>
          <w:sz w:val="24"/>
          <w:szCs w:val="24"/>
        </w:rPr>
        <w:t>ch předmětů a </w:t>
      </w:r>
      <w:r w:rsidR="00D53A25" w:rsidRPr="00D409D9">
        <w:rPr>
          <w:rFonts w:cstheme="minorHAnsi"/>
          <w:sz w:val="24"/>
          <w:szCs w:val="24"/>
        </w:rPr>
        <w:t xml:space="preserve">jejich </w:t>
      </w:r>
      <w:r w:rsidR="00AC3923" w:rsidRPr="00D409D9">
        <w:rPr>
          <w:rFonts w:cstheme="minorHAnsi"/>
          <w:sz w:val="24"/>
          <w:szCs w:val="24"/>
        </w:rPr>
        <w:t>distribuce</w:t>
      </w:r>
      <w:r w:rsidR="00D53A25" w:rsidRPr="00D409D9">
        <w:rPr>
          <w:rFonts w:cstheme="minorHAnsi"/>
          <w:sz w:val="24"/>
          <w:szCs w:val="24"/>
        </w:rPr>
        <w:t xml:space="preserve">. </w:t>
      </w:r>
      <w:r w:rsidR="004C41BD" w:rsidRPr="00D409D9">
        <w:rPr>
          <w:rFonts w:cstheme="minorHAnsi"/>
          <w:sz w:val="24"/>
          <w:szCs w:val="24"/>
        </w:rPr>
        <w:t xml:space="preserve">V některých případech </w:t>
      </w:r>
      <w:r w:rsidR="00D53A25" w:rsidRPr="00D409D9">
        <w:rPr>
          <w:rFonts w:cstheme="minorHAnsi"/>
          <w:sz w:val="24"/>
          <w:szCs w:val="24"/>
        </w:rPr>
        <w:t xml:space="preserve">vydávání předmětů </w:t>
      </w:r>
      <w:r w:rsidR="004C41BD" w:rsidRPr="00D409D9">
        <w:rPr>
          <w:rFonts w:cstheme="minorHAnsi"/>
          <w:sz w:val="24"/>
          <w:szCs w:val="24"/>
        </w:rPr>
        <w:t>nebyl zcela zřejmý</w:t>
      </w:r>
      <w:r w:rsidR="00D53A25" w:rsidRPr="00D409D9">
        <w:rPr>
          <w:rFonts w:cstheme="minorHAnsi"/>
          <w:sz w:val="24"/>
          <w:szCs w:val="24"/>
        </w:rPr>
        <w:t xml:space="preserve"> </w:t>
      </w:r>
      <w:r w:rsidR="004C41BD" w:rsidRPr="00D409D9">
        <w:rPr>
          <w:rFonts w:cstheme="minorHAnsi"/>
          <w:sz w:val="24"/>
          <w:szCs w:val="24"/>
        </w:rPr>
        <w:t>účel</w:t>
      </w:r>
      <w:r w:rsidR="00E66B83">
        <w:rPr>
          <w:rFonts w:cstheme="minorHAnsi"/>
          <w:sz w:val="24"/>
          <w:szCs w:val="24"/>
        </w:rPr>
        <w:t>,</w:t>
      </w:r>
      <w:r w:rsidR="00E13D5E" w:rsidRPr="00D409D9">
        <w:rPr>
          <w:rFonts w:cstheme="minorHAnsi"/>
          <w:sz w:val="24"/>
          <w:szCs w:val="24"/>
        </w:rPr>
        <w:t xml:space="preserve"> </w:t>
      </w:r>
      <w:r w:rsidR="004C41BD" w:rsidRPr="00D409D9">
        <w:rPr>
          <w:rFonts w:cstheme="minorHAnsi"/>
          <w:sz w:val="24"/>
          <w:szCs w:val="24"/>
        </w:rPr>
        <w:t>t</w:t>
      </w:r>
      <w:r w:rsidR="00692EFA" w:rsidRPr="00D409D9">
        <w:rPr>
          <w:rFonts w:cstheme="minorHAnsi"/>
          <w:sz w:val="24"/>
          <w:szCs w:val="24"/>
        </w:rPr>
        <w:t xml:space="preserve">o znamená, že </w:t>
      </w:r>
      <w:r w:rsidR="004C41BD" w:rsidRPr="00D409D9">
        <w:rPr>
          <w:rFonts w:cstheme="minorHAnsi"/>
          <w:sz w:val="24"/>
          <w:szCs w:val="24"/>
        </w:rPr>
        <w:t>chyběla jasn</w:t>
      </w:r>
      <w:r w:rsidR="008E64E1" w:rsidRPr="00D409D9">
        <w:rPr>
          <w:rFonts w:cstheme="minorHAnsi"/>
          <w:sz w:val="24"/>
          <w:szCs w:val="24"/>
        </w:rPr>
        <w:t>á</w:t>
      </w:r>
      <w:r w:rsidR="004C41BD" w:rsidRPr="00D409D9">
        <w:rPr>
          <w:rFonts w:cstheme="minorHAnsi"/>
          <w:sz w:val="24"/>
          <w:szCs w:val="24"/>
        </w:rPr>
        <w:t xml:space="preserve"> vazba na relevantní cílovou skupinu</w:t>
      </w:r>
      <w:r w:rsidR="007E70D5">
        <w:rPr>
          <w:rFonts w:cstheme="minorHAnsi"/>
          <w:sz w:val="24"/>
          <w:szCs w:val="24"/>
        </w:rPr>
        <w:t xml:space="preserve"> a </w:t>
      </w:r>
      <w:r w:rsidR="00641740" w:rsidRPr="00D409D9">
        <w:rPr>
          <w:rFonts w:cstheme="minorHAnsi"/>
          <w:b/>
          <w:sz w:val="24"/>
          <w:szCs w:val="24"/>
        </w:rPr>
        <w:t xml:space="preserve">nebylo zřejmé, komu </w:t>
      </w:r>
      <w:r w:rsidR="00CE4390" w:rsidRPr="00D409D9">
        <w:rPr>
          <w:rFonts w:cstheme="minorHAnsi"/>
          <w:b/>
          <w:sz w:val="24"/>
          <w:szCs w:val="24"/>
        </w:rPr>
        <w:t>a</w:t>
      </w:r>
      <w:r w:rsidR="00C726E0">
        <w:rPr>
          <w:rFonts w:cstheme="minorHAnsi"/>
          <w:b/>
          <w:sz w:val="24"/>
          <w:szCs w:val="24"/>
        </w:rPr>
        <w:t> </w:t>
      </w:r>
      <w:r w:rsidR="00D53A25" w:rsidRPr="00D409D9">
        <w:rPr>
          <w:rFonts w:cstheme="minorHAnsi"/>
          <w:b/>
          <w:sz w:val="24"/>
          <w:szCs w:val="24"/>
        </w:rPr>
        <w:t>za jakým účelem b</w:t>
      </w:r>
      <w:r w:rsidR="00641740" w:rsidRPr="00D409D9">
        <w:rPr>
          <w:rFonts w:cstheme="minorHAnsi"/>
          <w:b/>
          <w:sz w:val="24"/>
          <w:szCs w:val="24"/>
        </w:rPr>
        <w:t xml:space="preserve">yly </w:t>
      </w:r>
      <w:r w:rsidR="00CF2312" w:rsidRPr="00D409D9">
        <w:rPr>
          <w:rFonts w:cstheme="minorHAnsi"/>
          <w:b/>
          <w:sz w:val="24"/>
          <w:szCs w:val="24"/>
        </w:rPr>
        <w:t xml:space="preserve">předměty </w:t>
      </w:r>
      <w:r w:rsidR="00641740" w:rsidRPr="00D409D9">
        <w:rPr>
          <w:rFonts w:cstheme="minorHAnsi"/>
          <w:b/>
          <w:sz w:val="24"/>
          <w:szCs w:val="24"/>
        </w:rPr>
        <w:t>poskytnuty</w:t>
      </w:r>
      <w:r w:rsidR="004C41BD" w:rsidRPr="00D409D9">
        <w:rPr>
          <w:rFonts w:cstheme="minorHAnsi"/>
          <w:b/>
          <w:sz w:val="24"/>
          <w:szCs w:val="24"/>
        </w:rPr>
        <w:t>.</w:t>
      </w:r>
      <w:r w:rsidR="00CD3601" w:rsidRPr="00D409D9">
        <w:rPr>
          <w:rFonts w:cstheme="minorHAnsi"/>
          <w:b/>
          <w:sz w:val="24"/>
          <w:szCs w:val="24"/>
        </w:rPr>
        <w:t xml:space="preserve"> </w:t>
      </w:r>
    </w:p>
    <w:p w14:paraId="4BF5F981" w14:textId="77777777" w:rsidR="00D409D9" w:rsidRPr="00C726E0" w:rsidRDefault="00D409D9" w:rsidP="00C726E0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3671BA7B" w14:textId="4B41F51F" w:rsidR="00D409D9" w:rsidRDefault="00D409D9" w:rsidP="00C726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409D9">
        <w:rPr>
          <w:rFonts w:cstheme="minorHAnsi"/>
          <w:sz w:val="24"/>
          <w:szCs w:val="24"/>
        </w:rPr>
        <w:t>V rámci kontrolní akce byla identifikována skutečnost, že</w:t>
      </w:r>
      <w:r w:rsidRPr="00D409D9">
        <w:rPr>
          <w:rFonts w:cstheme="minorHAnsi"/>
          <w:b/>
          <w:sz w:val="24"/>
          <w:szCs w:val="24"/>
        </w:rPr>
        <w:t xml:space="preserve"> č</w:t>
      </w:r>
      <w:r w:rsidRPr="00D409D9">
        <w:rPr>
          <w:b/>
          <w:sz w:val="24"/>
          <w:szCs w:val="24"/>
        </w:rPr>
        <w:t>ást zpráv z průběžných evaluací komunikačních plánů OP VK a OP LZZ zpracovaných v</w:t>
      </w:r>
      <w:r>
        <w:rPr>
          <w:b/>
          <w:sz w:val="24"/>
          <w:szCs w:val="24"/>
        </w:rPr>
        <w:t xml:space="preserve"> průběhu roku </w:t>
      </w:r>
      <w:r w:rsidRPr="00D409D9">
        <w:rPr>
          <w:b/>
          <w:sz w:val="24"/>
          <w:szCs w:val="24"/>
        </w:rPr>
        <w:t xml:space="preserve">2011 různými společnostmi byla z veřejných prostředků financována duplicitně. </w:t>
      </w:r>
    </w:p>
    <w:p w14:paraId="440BDABF" w14:textId="77777777" w:rsidR="00992E85" w:rsidRPr="00D409D9" w:rsidRDefault="00992E85" w:rsidP="00C726E0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15D3B7F7" w14:textId="77777777" w:rsidR="006A781A" w:rsidRPr="00C726E0" w:rsidRDefault="006A781A" w:rsidP="00C726E0">
      <w:pPr>
        <w:pStyle w:val="Odstavecseseznamem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V oblasti řízení publicitní činnosti se v některých případech ukázala změna plánu </w:t>
      </w:r>
      <w:r w:rsidR="008938C1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dle momentálních potřeb jako účinnější než důsledné dodržování plánovaných činností bez ohledu na skutečný efekt. </w:t>
      </w:r>
      <w:r w:rsidR="008938C1" w:rsidRPr="00C726E0">
        <w:rPr>
          <w:rFonts w:ascii="Calibri" w:hAnsi="Calibri" w:cs="Calibri"/>
          <w:b/>
          <w:color w:val="000000" w:themeColor="text1"/>
          <w:sz w:val="24"/>
          <w:szCs w:val="24"/>
        </w:rPr>
        <w:t>Dobrým příkladem je včasná realokace nadbytečných finančních prostředků na významnější opatřen</w:t>
      </w:r>
      <w:r w:rsidR="00F67F8E" w:rsidRPr="00C726E0">
        <w:rPr>
          <w:rFonts w:ascii="Calibri" w:hAnsi="Calibri" w:cs="Calibri"/>
          <w:b/>
          <w:color w:val="000000" w:themeColor="text1"/>
          <w:sz w:val="24"/>
          <w:szCs w:val="24"/>
        </w:rPr>
        <w:t>í</w:t>
      </w:r>
      <w:r w:rsidR="004870D8" w:rsidRPr="00C726E0">
        <w:rPr>
          <w:rFonts w:ascii="Calibri" w:hAnsi="Calibri" w:cs="Calibri"/>
          <w:b/>
          <w:color w:val="000000" w:themeColor="text1"/>
          <w:sz w:val="24"/>
          <w:szCs w:val="24"/>
        </w:rPr>
        <w:t>,</w:t>
      </w:r>
      <w:r w:rsidR="008938C1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než byla původně plánovaná publicita.  </w:t>
      </w:r>
    </w:p>
    <w:p w14:paraId="76454BC1" w14:textId="77777777" w:rsidR="006A781A" w:rsidRPr="00C726E0" w:rsidRDefault="006A781A" w:rsidP="00C726E0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5B7820D3" w14:textId="1CB99994" w:rsidR="001B7C17" w:rsidRPr="00C726E0" w:rsidRDefault="001B7C17" w:rsidP="00C726E0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Některé z mediálních kampaní určených </w:t>
      </w:r>
      <w:r w:rsidR="00E66B83">
        <w:rPr>
          <w:rFonts w:ascii="Calibri" w:hAnsi="Calibri" w:cs="Calibri"/>
          <w:color w:val="000000" w:themeColor="text1"/>
          <w:sz w:val="24"/>
          <w:szCs w:val="24"/>
        </w:rPr>
        <w:t xml:space="preserve">pro </w:t>
      </w:r>
      <w:r w:rsidRPr="00C726E0">
        <w:rPr>
          <w:rFonts w:ascii="Calibri" w:hAnsi="Calibri" w:cs="Calibri"/>
          <w:color w:val="000000" w:themeColor="text1"/>
          <w:sz w:val="24"/>
          <w:szCs w:val="24"/>
        </w:rPr>
        <w:t>cílov</w:t>
      </w:r>
      <w:r w:rsidR="00E66B83">
        <w:rPr>
          <w:rFonts w:ascii="Calibri" w:hAnsi="Calibri" w:cs="Calibri"/>
          <w:color w:val="000000" w:themeColor="text1"/>
          <w:sz w:val="24"/>
          <w:szCs w:val="24"/>
        </w:rPr>
        <w:t>ou</w:t>
      </w:r>
      <w:r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 skupin</w:t>
      </w:r>
      <w:r w:rsidR="00E66B83">
        <w:rPr>
          <w:rFonts w:ascii="Calibri" w:hAnsi="Calibri" w:cs="Calibri"/>
          <w:color w:val="000000" w:themeColor="text1"/>
          <w:sz w:val="24"/>
          <w:szCs w:val="24"/>
        </w:rPr>
        <w:t>u</w:t>
      </w:r>
      <w:r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726E0">
        <w:rPr>
          <w:rFonts w:ascii="Calibri" w:hAnsi="Calibri" w:cs="Calibri"/>
          <w:i/>
          <w:color w:val="000000" w:themeColor="text1"/>
          <w:sz w:val="24"/>
          <w:szCs w:val="24"/>
        </w:rPr>
        <w:t xml:space="preserve">široká veřejnost </w:t>
      </w:r>
      <w:r w:rsidRPr="00C726E0">
        <w:rPr>
          <w:rFonts w:ascii="Calibri" w:hAnsi="Calibri" w:cs="Calibri"/>
          <w:color w:val="000000" w:themeColor="text1"/>
          <w:sz w:val="24"/>
          <w:szCs w:val="24"/>
        </w:rPr>
        <w:t>nebyly vhodně načasovány</w:t>
      </w:r>
      <w:r w:rsidR="00D40F57" w:rsidRPr="00C726E0">
        <w:rPr>
          <w:rFonts w:ascii="Calibri" w:hAnsi="Calibri" w:cs="Calibri"/>
          <w:color w:val="000000" w:themeColor="text1"/>
          <w:sz w:val="24"/>
          <w:szCs w:val="24"/>
        </w:rPr>
        <w:t>. Markantní bylo využití televizních a rozhlasových spotů především v samém závěru programového období 2007</w:t>
      </w:r>
      <w:r w:rsidR="00E01217" w:rsidRPr="00C726E0">
        <w:rPr>
          <w:rFonts w:ascii="Calibri" w:hAnsi="Calibri" w:cs="Calibri"/>
          <w:color w:val="000000" w:themeColor="text1"/>
          <w:sz w:val="24"/>
          <w:szCs w:val="24"/>
        </w:rPr>
        <w:t>–</w:t>
      </w:r>
      <w:r w:rsidR="00D40F57" w:rsidRPr="00C726E0">
        <w:rPr>
          <w:rFonts w:ascii="Calibri" w:hAnsi="Calibri" w:cs="Calibri"/>
          <w:color w:val="000000" w:themeColor="text1"/>
          <w:sz w:val="24"/>
          <w:szCs w:val="24"/>
        </w:rPr>
        <w:t>2013, a to nejvýrazněji u</w:t>
      </w:r>
      <w:r w:rsidR="00E66B83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D40F57" w:rsidRPr="00C726E0">
        <w:rPr>
          <w:rFonts w:ascii="Calibri" w:hAnsi="Calibri" w:cs="Calibri"/>
          <w:color w:val="000000" w:themeColor="text1"/>
          <w:sz w:val="24"/>
          <w:szCs w:val="24"/>
        </w:rPr>
        <w:t>OP</w:t>
      </w:r>
      <w:r w:rsidR="00E66B83">
        <w:rPr>
          <w:rFonts w:ascii="Calibri" w:hAnsi="Calibri" w:cs="Calibri"/>
          <w:color w:val="000000" w:themeColor="text1"/>
          <w:sz w:val="24"/>
          <w:szCs w:val="24"/>
        </w:rPr>
        <w:t> </w:t>
      </w:r>
      <w:r w:rsidR="00D40F57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VaVpI. Takové </w:t>
      </w:r>
      <w:r w:rsidRPr="00C726E0">
        <w:rPr>
          <w:rFonts w:ascii="Calibri" w:hAnsi="Calibri" w:cs="Calibri"/>
          <w:color w:val="000000" w:themeColor="text1"/>
          <w:sz w:val="24"/>
          <w:szCs w:val="24"/>
        </w:rPr>
        <w:t>časové</w:t>
      </w:r>
      <w:r w:rsidR="00D40F57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nasazení </w:t>
      </w:r>
      <w:r w:rsidR="00D40F57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evokuje, že </w:t>
      </w:r>
      <w:r w:rsidR="00CD3601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jedním z důvodů </w:t>
      </w:r>
      <w:r w:rsidR="00992E85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mohlo být </w:t>
      </w:r>
      <w:r w:rsidR="000E626A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mimo jiné </w:t>
      </w:r>
      <w:r w:rsidR="00D53A25" w:rsidRPr="00C726E0">
        <w:rPr>
          <w:rFonts w:ascii="Calibri" w:hAnsi="Calibri" w:cs="Calibri"/>
          <w:b/>
          <w:color w:val="000000" w:themeColor="text1"/>
          <w:sz w:val="24"/>
          <w:szCs w:val="24"/>
        </w:rPr>
        <w:t>„</w:t>
      </w:r>
      <w:r w:rsidR="00AC3923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dosažení </w:t>
      </w:r>
      <w:r w:rsidRPr="00C726E0">
        <w:rPr>
          <w:rFonts w:ascii="Calibri" w:hAnsi="Calibri" w:cs="Calibri"/>
          <w:b/>
          <w:color w:val="000000" w:themeColor="text1"/>
          <w:sz w:val="24"/>
          <w:szCs w:val="24"/>
        </w:rPr>
        <w:t>uspokojivé</w:t>
      </w:r>
      <w:r w:rsidR="00AC3923" w:rsidRPr="00C726E0">
        <w:rPr>
          <w:rFonts w:ascii="Calibri" w:hAnsi="Calibri" w:cs="Calibri"/>
          <w:b/>
          <w:color w:val="000000" w:themeColor="text1"/>
          <w:sz w:val="24"/>
          <w:szCs w:val="24"/>
        </w:rPr>
        <w:t>ho</w:t>
      </w:r>
      <w:r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čerpání“ peněžních prostředků. </w:t>
      </w:r>
    </w:p>
    <w:p w14:paraId="2A902648" w14:textId="77777777" w:rsidR="00F378FF" w:rsidRPr="00C726E0" w:rsidRDefault="00F378FF" w:rsidP="00C726E0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71953A5" w14:textId="1745775E" w:rsidR="005A65C1" w:rsidRPr="00C726E0" w:rsidRDefault="00C70701" w:rsidP="00C726E0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Jeden </w:t>
      </w:r>
      <w:r w:rsidR="00B13C0A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z </w:t>
      </w:r>
      <w:r w:rsidR="004B6AF6" w:rsidRPr="00C726E0">
        <w:rPr>
          <w:rFonts w:ascii="Calibri" w:hAnsi="Calibri" w:cs="Calibri"/>
          <w:b/>
          <w:color w:val="000000" w:themeColor="text1"/>
          <w:sz w:val="24"/>
          <w:szCs w:val="24"/>
        </w:rPr>
        <w:t>průzkumů veřejného mínění f</w:t>
      </w:r>
      <w:r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inancovaných </w:t>
      </w:r>
      <w:r w:rsidR="004B6AF6" w:rsidRPr="00C726E0">
        <w:rPr>
          <w:rFonts w:ascii="Calibri" w:hAnsi="Calibri" w:cs="Calibri"/>
          <w:b/>
          <w:color w:val="000000" w:themeColor="text1"/>
          <w:sz w:val="24"/>
          <w:szCs w:val="24"/>
        </w:rPr>
        <w:t>v rámci</w:t>
      </w:r>
      <w:r w:rsidR="00E66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4B6AF6" w:rsidRPr="00C726E0">
        <w:rPr>
          <w:rFonts w:ascii="Calibri" w:hAnsi="Calibri" w:cs="Calibri"/>
          <w:b/>
          <w:color w:val="000000" w:themeColor="text1"/>
          <w:sz w:val="24"/>
          <w:szCs w:val="24"/>
        </w:rPr>
        <w:t>OP LZZ, jenž byl zaměřen na</w:t>
      </w:r>
      <w:r w:rsidR="00641740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cílovou skupinu </w:t>
      </w:r>
      <w:r w:rsidR="00641740" w:rsidRPr="00C726E0">
        <w:rPr>
          <w:rFonts w:ascii="Calibri" w:hAnsi="Calibri" w:cs="Calibri"/>
          <w:b/>
          <w:i/>
          <w:color w:val="000000" w:themeColor="text1"/>
          <w:sz w:val="24"/>
          <w:szCs w:val="24"/>
        </w:rPr>
        <w:t>široká veřejnost</w:t>
      </w:r>
      <w:r w:rsidR="004B6AF6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, </w:t>
      </w:r>
      <w:r w:rsidR="00A01DDA" w:rsidRPr="00C726E0">
        <w:rPr>
          <w:rFonts w:ascii="Calibri" w:hAnsi="Calibri" w:cs="Calibri"/>
          <w:b/>
          <w:color w:val="000000" w:themeColor="text1"/>
          <w:sz w:val="24"/>
          <w:szCs w:val="24"/>
        </w:rPr>
        <w:t>se ukázal jako zbytečn</w:t>
      </w:r>
      <w:r w:rsidRPr="00C726E0">
        <w:rPr>
          <w:rFonts w:ascii="Calibri" w:hAnsi="Calibri" w:cs="Calibri"/>
          <w:b/>
          <w:color w:val="000000" w:themeColor="text1"/>
          <w:sz w:val="24"/>
          <w:szCs w:val="24"/>
        </w:rPr>
        <w:t>ý</w:t>
      </w:r>
      <w:r w:rsidR="0066773F" w:rsidRPr="00C726E0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  <w:r w:rsidR="005103C2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4B6AF6" w:rsidRPr="00C726E0">
        <w:rPr>
          <w:rFonts w:ascii="Calibri" w:hAnsi="Calibri" w:cs="Calibri"/>
          <w:color w:val="000000" w:themeColor="text1"/>
          <w:sz w:val="24"/>
          <w:szCs w:val="24"/>
        </w:rPr>
        <w:t>V krátkém časovém úseku byly provedeny</w:t>
      </w:r>
      <w:r w:rsidR="00D409D9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 dva</w:t>
      </w:r>
      <w:r w:rsidR="004B6AF6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 téměř shodné průzkumy.</w:t>
      </w:r>
    </w:p>
    <w:p w14:paraId="21AAE9B0" w14:textId="77777777" w:rsidR="00C70701" w:rsidRPr="00C726E0" w:rsidRDefault="00C70701" w:rsidP="00C726E0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34D3CB72" w14:textId="1D7BADDB" w:rsidR="00CA3206" w:rsidRPr="00C726E0" w:rsidRDefault="0022323D" w:rsidP="00C726E0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Největší objem finančních prostředků byl vynaložen na zvýšení povědomí o EU, podpoře z fondů EU a operačních programech u cílové skupiny </w:t>
      </w:r>
      <w:r w:rsidRPr="00C726E0">
        <w:rPr>
          <w:rFonts w:ascii="Calibri" w:hAnsi="Calibri" w:cs="Calibri"/>
          <w:i/>
          <w:color w:val="000000" w:themeColor="text1"/>
          <w:sz w:val="24"/>
          <w:szCs w:val="24"/>
        </w:rPr>
        <w:t>široká veřejnost.</w:t>
      </w:r>
      <w:r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C726E0">
        <w:rPr>
          <w:rFonts w:ascii="Calibri" w:hAnsi="Calibri" w:cs="Calibri"/>
          <w:b/>
          <w:color w:val="000000" w:themeColor="text1"/>
          <w:sz w:val="24"/>
          <w:szCs w:val="24"/>
        </w:rPr>
        <w:t>Míra povědomí o </w:t>
      </w:r>
      <w:r w:rsidR="00295765" w:rsidRPr="00C726E0">
        <w:rPr>
          <w:rFonts w:ascii="Calibri" w:hAnsi="Calibri" w:cs="Calibri"/>
          <w:b/>
          <w:color w:val="000000" w:themeColor="text1"/>
          <w:sz w:val="24"/>
          <w:szCs w:val="24"/>
        </w:rPr>
        <w:t>pomoci z fondů</w:t>
      </w:r>
      <w:r w:rsidR="00E66B83">
        <w:rPr>
          <w:rFonts w:ascii="Calibri" w:hAnsi="Calibri" w:cs="Calibri"/>
          <w:b/>
          <w:color w:val="000000" w:themeColor="text1"/>
          <w:sz w:val="24"/>
          <w:szCs w:val="24"/>
        </w:rPr>
        <w:t xml:space="preserve"> EU</w:t>
      </w:r>
      <w:r w:rsidR="00295765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E61A76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však dle průzkumů zůstává od roku 2011 neměnná. </w:t>
      </w:r>
      <w:r w:rsidR="00967161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Spontánní znalost OP VK, OP LZZ a ROP SČ se ve srovnání s jinými operačními programy dle průzkumu z roku 2013 nijak nezvýšila, u OP VaVpI dokonce klesla. </w:t>
      </w:r>
      <w:r w:rsidR="00386282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Dobrou informovanost o možnostech získání finanční podpory deklarovalo v průzkumech </w:t>
      </w:r>
      <w:r w:rsidR="00366F39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veřejného mínění </w:t>
      </w:r>
      <w:r w:rsidR="00386282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v roce 2013 jen o 4 % více dotazovaných než v roce 2011. </w:t>
      </w:r>
    </w:p>
    <w:p w14:paraId="3C30AB55" w14:textId="77777777" w:rsidR="00386282" w:rsidRPr="00C726E0" w:rsidRDefault="00386282" w:rsidP="00C726E0">
      <w:pPr>
        <w:pStyle w:val="Odstavecseseznamem"/>
        <w:spacing w:after="0" w:line="240" w:lineRule="auto"/>
        <w:ind w:left="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3229AA54" w14:textId="2CC967DA" w:rsidR="00DA3970" w:rsidRPr="00C726E0" w:rsidRDefault="00880B98" w:rsidP="00C726E0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726E0">
        <w:rPr>
          <w:rFonts w:ascii="Calibri" w:hAnsi="Calibri" w:cs="Calibri"/>
          <w:b/>
          <w:color w:val="000000" w:themeColor="text1"/>
          <w:sz w:val="24"/>
          <w:szCs w:val="24"/>
        </w:rPr>
        <w:t>Široké v</w:t>
      </w:r>
      <w:r w:rsidR="005A65C1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eřejnosti nebyly v rámci </w:t>
      </w:r>
      <w:r w:rsidR="00CF2312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mediálních </w:t>
      </w:r>
      <w:r w:rsidR="005A65C1" w:rsidRPr="00C726E0">
        <w:rPr>
          <w:rFonts w:ascii="Calibri" w:hAnsi="Calibri" w:cs="Calibri"/>
          <w:b/>
          <w:color w:val="000000" w:themeColor="text1"/>
          <w:sz w:val="24"/>
          <w:szCs w:val="24"/>
        </w:rPr>
        <w:t>kampaní</w:t>
      </w:r>
      <w:r w:rsidR="00CF2312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OP VK, OP VaVpI a OP LZZ prostřednictvím TV spotů </w:t>
      </w:r>
      <w:r w:rsidR="00675BC0" w:rsidRPr="00C726E0">
        <w:rPr>
          <w:rFonts w:ascii="Calibri" w:hAnsi="Calibri" w:cs="Calibri"/>
          <w:b/>
          <w:color w:val="000000" w:themeColor="text1"/>
          <w:sz w:val="24"/>
          <w:szCs w:val="24"/>
        </w:rPr>
        <w:t>poskytovány</w:t>
      </w:r>
      <w:r w:rsidR="005A65C1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informace o </w:t>
      </w:r>
      <w:r w:rsidR="00300730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výši </w:t>
      </w:r>
      <w:r w:rsidR="005A65C1" w:rsidRPr="00C726E0">
        <w:rPr>
          <w:rFonts w:ascii="Calibri" w:hAnsi="Calibri" w:cs="Calibri"/>
          <w:b/>
          <w:color w:val="000000" w:themeColor="text1"/>
          <w:sz w:val="24"/>
          <w:szCs w:val="24"/>
        </w:rPr>
        <w:t>finančních prostřed</w:t>
      </w:r>
      <w:r w:rsidR="00300730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ků, </w:t>
      </w:r>
      <w:r w:rsidR="005A65C1" w:rsidRPr="00C726E0">
        <w:rPr>
          <w:rFonts w:ascii="Calibri" w:hAnsi="Calibri" w:cs="Calibri"/>
          <w:b/>
          <w:color w:val="000000" w:themeColor="text1"/>
          <w:sz w:val="24"/>
          <w:szCs w:val="24"/>
        </w:rPr>
        <w:t>jež byly vynaloženy na úspěšně realizované projekty</w:t>
      </w:r>
      <w:r w:rsidR="00D560D2" w:rsidRPr="00C726E0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  <w:r w:rsidR="00D560D2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F2312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Tato skutečnost nepřispívá ke zvýšení transparentnosti </w:t>
      </w:r>
      <w:r w:rsidRPr="00C726E0">
        <w:rPr>
          <w:rFonts w:ascii="Calibri" w:hAnsi="Calibri" w:cs="Calibri"/>
          <w:color w:val="000000" w:themeColor="text1"/>
          <w:sz w:val="24"/>
          <w:szCs w:val="24"/>
        </w:rPr>
        <w:t>poskytované pomoci z prostředků EU a státního rozpočtu ČR.</w:t>
      </w:r>
      <w:r w:rsidR="005A65C1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0378392D" w14:textId="77777777" w:rsidR="00970636" w:rsidRPr="00C726E0" w:rsidRDefault="00970636" w:rsidP="00C726E0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363632F6" w14:textId="77777777" w:rsidR="00E01217" w:rsidRPr="00C726E0" w:rsidRDefault="00E01217" w:rsidP="00C726E0">
      <w:pPr>
        <w:spacing w:after="0" w:line="240" w:lineRule="auto"/>
        <w:ind w:right="7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584DE95F" w14:textId="77777777" w:rsidR="00AB2581" w:rsidRPr="001D2176" w:rsidRDefault="00AB2581" w:rsidP="00C726E0">
      <w:pPr>
        <w:spacing w:after="0" w:line="240" w:lineRule="auto"/>
        <w:ind w:right="68"/>
        <w:jc w:val="center"/>
        <w:rPr>
          <w:rFonts w:cstheme="minorHAnsi"/>
          <w:b/>
          <w:sz w:val="28"/>
          <w:szCs w:val="28"/>
        </w:rPr>
      </w:pPr>
      <w:r w:rsidRPr="001D2176">
        <w:rPr>
          <w:rFonts w:cstheme="minorHAnsi"/>
          <w:b/>
          <w:sz w:val="28"/>
          <w:szCs w:val="28"/>
        </w:rPr>
        <w:t>II</w:t>
      </w:r>
      <w:r>
        <w:rPr>
          <w:rFonts w:cstheme="minorHAnsi"/>
          <w:b/>
          <w:sz w:val="28"/>
          <w:szCs w:val="28"/>
        </w:rPr>
        <w:t>I</w:t>
      </w:r>
      <w:r w:rsidRPr="001D2176">
        <w:rPr>
          <w:rFonts w:cstheme="minorHAnsi"/>
          <w:b/>
          <w:sz w:val="28"/>
          <w:szCs w:val="28"/>
        </w:rPr>
        <w:t xml:space="preserve">. </w:t>
      </w:r>
      <w:r>
        <w:rPr>
          <w:rFonts w:cstheme="minorHAnsi"/>
          <w:b/>
          <w:sz w:val="28"/>
          <w:szCs w:val="28"/>
        </w:rPr>
        <w:t>Doporučení</w:t>
      </w:r>
    </w:p>
    <w:p w14:paraId="3FFED1D4" w14:textId="77777777" w:rsidR="00AB2581" w:rsidRDefault="00AB2581" w:rsidP="00F7318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C49692" w14:textId="377DE876" w:rsidR="004931B0" w:rsidRDefault="00122F28" w:rsidP="00E61A7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1A76">
        <w:rPr>
          <w:rFonts w:cstheme="minorHAnsi"/>
          <w:sz w:val="24"/>
          <w:szCs w:val="24"/>
        </w:rPr>
        <w:t>N</w:t>
      </w:r>
      <w:r w:rsidR="007B797E">
        <w:rPr>
          <w:rFonts w:cstheme="minorHAnsi"/>
          <w:sz w:val="24"/>
          <w:szCs w:val="24"/>
        </w:rPr>
        <w:t xml:space="preserve">KÚ </w:t>
      </w:r>
      <w:r w:rsidRPr="00E61A76">
        <w:rPr>
          <w:rFonts w:cstheme="minorHAnsi"/>
          <w:sz w:val="24"/>
          <w:szCs w:val="24"/>
        </w:rPr>
        <w:t xml:space="preserve">doporučuje </w:t>
      </w:r>
      <w:r w:rsidR="004931B0">
        <w:rPr>
          <w:rFonts w:cstheme="minorHAnsi"/>
          <w:sz w:val="24"/>
          <w:szCs w:val="24"/>
        </w:rPr>
        <w:t>zvážit</w:t>
      </w:r>
      <w:r w:rsidR="001C62C6">
        <w:rPr>
          <w:rFonts w:cstheme="minorHAnsi"/>
          <w:sz w:val="24"/>
          <w:szCs w:val="24"/>
        </w:rPr>
        <w:t xml:space="preserve"> míru vynakládání peněžních prostředků na</w:t>
      </w:r>
      <w:r w:rsidR="00675BC0">
        <w:rPr>
          <w:rFonts w:cstheme="minorHAnsi"/>
          <w:sz w:val="24"/>
          <w:szCs w:val="24"/>
        </w:rPr>
        <w:t xml:space="preserve"> </w:t>
      </w:r>
      <w:r w:rsidR="001C62C6">
        <w:rPr>
          <w:rFonts w:cstheme="minorHAnsi"/>
          <w:sz w:val="24"/>
          <w:szCs w:val="24"/>
        </w:rPr>
        <w:t xml:space="preserve">mediální kampaně </w:t>
      </w:r>
      <w:r w:rsidR="004931B0">
        <w:rPr>
          <w:rFonts w:cstheme="minorHAnsi"/>
          <w:sz w:val="24"/>
          <w:szCs w:val="24"/>
        </w:rPr>
        <w:t>určen</w:t>
      </w:r>
      <w:r w:rsidR="001C62C6">
        <w:rPr>
          <w:rFonts w:cstheme="minorHAnsi"/>
          <w:sz w:val="24"/>
          <w:szCs w:val="24"/>
        </w:rPr>
        <w:t xml:space="preserve">é </w:t>
      </w:r>
      <w:r w:rsidR="004931B0">
        <w:rPr>
          <w:rFonts w:cstheme="minorHAnsi"/>
          <w:sz w:val="24"/>
          <w:szCs w:val="24"/>
        </w:rPr>
        <w:t xml:space="preserve">široké veřejnosti, jež mají z hlediska zvýšení povědomí </w:t>
      </w:r>
      <w:r w:rsidR="0078302F">
        <w:rPr>
          <w:rFonts w:cstheme="minorHAnsi"/>
          <w:sz w:val="24"/>
          <w:szCs w:val="24"/>
        </w:rPr>
        <w:t xml:space="preserve">o </w:t>
      </w:r>
      <w:r w:rsidR="001C62C6">
        <w:rPr>
          <w:rFonts w:cstheme="minorHAnsi"/>
          <w:sz w:val="24"/>
          <w:szCs w:val="24"/>
        </w:rPr>
        <w:t xml:space="preserve">pomoci z fondů EU </w:t>
      </w:r>
      <w:r w:rsidR="00F523FB">
        <w:rPr>
          <w:rFonts w:cstheme="minorHAnsi"/>
          <w:sz w:val="24"/>
          <w:szCs w:val="24"/>
        </w:rPr>
        <w:t>spíše jen</w:t>
      </w:r>
      <w:r w:rsidR="004931B0">
        <w:rPr>
          <w:rFonts w:cstheme="minorHAnsi"/>
          <w:sz w:val="24"/>
          <w:szCs w:val="24"/>
        </w:rPr>
        <w:t xml:space="preserve"> </w:t>
      </w:r>
      <w:r w:rsidR="00E66B83">
        <w:rPr>
          <w:rFonts w:cstheme="minorHAnsi"/>
          <w:sz w:val="24"/>
          <w:szCs w:val="24"/>
        </w:rPr>
        <w:t>okamžitý</w:t>
      </w:r>
      <w:r w:rsidR="004931B0">
        <w:rPr>
          <w:rFonts w:cstheme="minorHAnsi"/>
          <w:sz w:val="24"/>
          <w:szCs w:val="24"/>
        </w:rPr>
        <w:t>, krátkodobý efekt.</w:t>
      </w:r>
      <w:r w:rsidR="001C62C6">
        <w:rPr>
          <w:rFonts w:cstheme="minorHAnsi"/>
          <w:sz w:val="24"/>
          <w:szCs w:val="24"/>
        </w:rPr>
        <w:t xml:space="preserve"> </w:t>
      </w:r>
      <w:r w:rsidR="00D40F57">
        <w:rPr>
          <w:rFonts w:cstheme="minorHAnsi"/>
          <w:sz w:val="24"/>
          <w:szCs w:val="24"/>
        </w:rPr>
        <w:t xml:space="preserve">Případné zprostředkování informací o výši peněžních prostředků vynaložených na </w:t>
      </w:r>
      <w:r w:rsidR="00EF1AA9" w:rsidRPr="00E61A76">
        <w:rPr>
          <w:rFonts w:cstheme="minorHAnsi"/>
          <w:sz w:val="24"/>
          <w:szCs w:val="24"/>
        </w:rPr>
        <w:t>úspěšně realizované pro</w:t>
      </w:r>
      <w:r w:rsidR="00D40F57">
        <w:rPr>
          <w:rFonts w:cstheme="minorHAnsi"/>
          <w:sz w:val="24"/>
          <w:szCs w:val="24"/>
        </w:rPr>
        <w:t xml:space="preserve">jekty </w:t>
      </w:r>
      <w:r w:rsidR="00992E85">
        <w:rPr>
          <w:rFonts w:cstheme="minorHAnsi"/>
          <w:sz w:val="24"/>
          <w:szCs w:val="24"/>
        </w:rPr>
        <w:t xml:space="preserve">a </w:t>
      </w:r>
      <w:r w:rsidR="00E61A76" w:rsidRPr="00E61A76">
        <w:rPr>
          <w:rFonts w:cstheme="minorHAnsi"/>
          <w:sz w:val="24"/>
          <w:szCs w:val="24"/>
        </w:rPr>
        <w:t>důraz</w:t>
      </w:r>
      <w:r w:rsidR="00D40F57">
        <w:rPr>
          <w:rFonts w:cstheme="minorHAnsi"/>
          <w:sz w:val="24"/>
          <w:szCs w:val="24"/>
        </w:rPr>
        <w:t xml:space="preserve"> na možnost</w:t>
      </w:r>
      <w:r w:rsidR="00E66B83">
        <w:rPr>
          <w:rFonts w:cstheme="minorHAnsi"/>
          <w:sz w:val="24"/>
          <w:szCs w:val="24"/>
        </w:rPr>
        <w:t>i</w:t>
      </w:r>
      <w:r w:rsidR="00D40F57">
        <w:rPr>
          <w:rFonts w:cstheme="minorHAnsi"/>
          <w:sz w:val="24"/>
          <w:szCs w:val="24"/>
        </w:rPr>
        <w:t xml:space="preserve"> čerpání podpory by přispěl</w:t>
      </w:r>
      <w:r w:rsidR="00E66B83">
        <w:rPr>
          <w:rFonts w:cstheme="minorHAnsi"/>
          <w:sz w:val="24"/>
          <w:szCs w:val="24"/>
        </w:rPr>
        <w:t>y</w:t>
      </w:r>
      <w:r w:rsidR="00D40F57">
        <w:rPr>
          <w:rFonts w:cstheme="minorHAnsi"/>
          <w:sz w:val="24"/>
          <w:szCs w:val="24"/>
        </w:rPr>
        <w:t xml:space="preserve"> k zprůhlednění pomoci poskytované z fondů EU. </w:t>
      </w:r>
    </w:p>
    <w:p w14:paraId="69D12FBC" w14:textId="77777777" w:rsidR="004931B0" w:rsidRDefault="004931B0" w:rsidP="00E61A7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213131" w14:textId="744BBBF3" w:rsidR="00541A6B" w:rsidRDefault="007B797E" w:rsidP="00E61A7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NKÚ </w:t>
      </w:r>
      <w:r w:rsidR="00C54D46" w:rsidRPr="001C62C6">
        <w:rPr>
          <w:rFonts w:cstheme="minorHAnsi"/>
          <w:sz w:val="24"/>
          <w:szCs w:val="24"/>
        </w:rPr>
        <w:t xml:space="preserve">rovněž </w:t>
      </w:r>
      <w:r>
        <w:rPr>
          <w:rFonts w:cstheme="minorHAnsi"/>
          <w:sz w:val="24"/>
          <w:szCs w:val="24"/>
        </w:rPr>
        <w:t xml:space="preserve">doporučuje </w:t>
      </w:r>
      <w:r w:rsidR="00375A64">
        <w:rPr>
          <w:rFonts w:cstheme="minorHAnsi"/>
          <w:sz w:val="24"/>
          <w:szCs w:val="24"/>
        </w:rPr>
        <w:t xml:space="preserve">vyváženěji </w:t>
      </w:r>
      <w:r w:rsidR="00E61A76" w:rsidRPr="001C62C6">
        <w:rPr>
          <w:rFonts w:cstheme="minorHAnsi"/>
          <w:sz w:val="24"/>
          <w:szCs w:val="24"/>
        </w:rPr>
        <w:t xml:space="preserve">propagovat </w:t>
      </w:r>
      <w:r>
        <w:rPr>
          <w:rFonts w:cstheme="minorHAnsi"/>
          <w:sz w:val="24"/>
          <w:szCs w:val="24"/>
        </w:rPr>
        <w:t>všechny fo</w:t>
      </w:r>
      <w:r w:rsidR="00E61A76" w:rsidRPr="001C62C6">
        <w:rPr>
          <w:rFonts w:cstheme="minorHAnsi"/>
          <w:sz w:val="24"/>
          <w:szCs w:val="24"/>
        </w:rPr>
        <w:t>nd</w:t>
      </w:r>
      <w:r>
        <w:rPr>
          <w:rFonts w:cstheme="minorHAnsi"/>
          <w:sz w:val="24"/>
          <w:szCs w:val="24"/>
        </w:rPr>
        <w:t>y</w:t>
      </w:r>
      <w:r w:rsidR="00E61A76" w:rsidRPr="001C62C6">
        <w:rPr>
          <w:rFonts w:cstheme="minorHAnsi"/>
          <w:sz w:val="24"/>
          <w:szCs w:val="24"/>
        </w:rPr>
        <w:t xml:space="preserve"> EU, </w:t>
      </w:r>
      <w:r w:rsidR="00E66B83">
        <w:rPr>
          <w:rFonts w:cstheme="minorHAnsi"/>
          <w:sz w:val="24"/>
          <w:szCs w:val="24"/>
        </w:rPr>
        <w:t xml:space="preserve">ze </w:t>
      </w:r>
      <w:r w:rsidR="00E61A76" w:rsidRPr="001C62C6">
        <w:rPr>
          <w:rFonts w:cstheme="minorHAnsi"/>
          <w:sz w:val="24"/>
          <w:szCs w:val="24"/>
        </w:rPr>
        <w:t xml:space="preserve">kterých je poskytována </w:t>
      </w:r>
      <w:r w:rsidR="00B818E1" w:rsidRPr="001C62C6">
        <w:rPr>
          <w:rFonts w:cstheme="minorHAnsi"/>
          <w:sz w:val="24"/>
          <w:szCs w:val="24"/>
        </w:rPr>
        <w:t xml:space="preserve">České republice </w:t>
      </w:r>
      <w:r w:rsidR="00E61A76" w:rsidRPr="001C62C6">
        <w:rPr>
          <w:rFonts w:cstheme="minorHAnsi"/>
          <w:sz w:val="24"/>
          <w:szCs w:val="24"/>
        </w:rPr>
        <w:t>pomoc</w:t>
      </w:r>
      <w:r w:rsidR="00164E0A">
        <w:rPr>
          <w:rFonts w:cstheme="minorHAnsi"/>
          <w:sz w:val="24"/>
          <w:szCs w:val="24"/>
        </w:rPr>
        <w:t>, n</w:t>
      </w:r>
      <w:r>
        <w:rPr>
          <w:rFonts w:cstheme="minorHAnsi"/>
          <w:sz w:val="24"/>
          <w:szCs w:val="24"/>
        </w:rPr>
        <w:t xml:space="preserve">ikoli jen význam </w:t>
      </w:r>
      <w:r w:rsidR="00164E0A" w:rsidRPr="0040016D">
        <w:rPr>
          <w:rFonts w:cstheme="minorHAnsi"/>
          <w:i/>
          <w:sz w:val="24"/>
          <w:szCs w:val="24"/>
        </w:rPr>
        <w:t>Evropského sociálního fondu</w:t>
      </w:r>
      <w:r w:rsidR="00E61A76" w:rsidRPr="001C62C6">
        <w:rPr>
          <w:rFonts w:cstheme="minorHAnsi"/>
          <w:sz w:val="24"/>
          <w:szCs w:val="24"/>
        </w:rPr>
        <w:t xml:space="preserve">. </w:t>
      </w:r>
    </w:p>
    <w:p w14:paraId="2968DBE0" w14:textId="77777777" w:rsidR="00D7346B" w:rsidRPr="001C62C6" w:rsidRDefault="00D7346B" w:rsidP="00E61A7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C7E742" w14:textId="77777777" w:rsidR="00CA3206" w:rsidRPr="001C62C6" w:rsidRDefault="00CA3206" w:rsidP="00F7318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FFA260" w14:textId="77777777" w:rsidR="00A0096F" w:rsidRPr="00C726E0" w:rsidRDefault="00A0096F" w:rsidP="00014A22">
      <w:pPr>
        <w:spacing w:after="0" w:line="240" w:lineRule="auto"/>
        <w:ind w:right="70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C726E0">
        <w:rPr>
          <w:rFonts w:cstheme="minorHAnsi"/>
          <w:b/>
          <w:color w:val="000000" w:themeColor="text1"/>
          <w:sz w:val="28"/>
          <w:szCs w:val="28"/>
        </w:rPr>
        <w:t>I</w:t>
      </w:r>
      <w:r w:rsidR="00AB2581" w:rsidRPr="00C726E0">
        <w:rPr>
          <w:rFonts w:cstheme="minorHAnsi"/>
          <w:b/>
          <w:color w:val="000000" w:themeColor="text1"/>
          <w:sz w:val="28"/>
          <w:szCs w:val="28"/>
        </w:rPr>
        <w:t>V</w:t>
      </w:r>
      <w:r w:rsidRPr="00C726E0">
        <w:rPr>
          <w:rFonts w:cstheme="minorHAnsi"/>
          <w:b/>
          <w:color w:val="000000" w:themeColor="text1"/>
          <w:sz w:val="28"/>
          <w:szCs w:val="28"/>
        </w:rPr>
        <w:t>. Bližší informace ke zjištěným skutečnostem</w:t>
      </w:r>
      <w:r w:rsidR="00505FE4" w:rsidRPr="00C726E0"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14:paraId="4304F6B8" w14:textId="77777777" w:rsidR="00C527C1" w:rsidRPr="00C726E0" w:rsidRDefault="00C527C1" w:rsidP="00C527C1">
      <w:pPr>
        <w:spacing w:after="0" w:line="240" w:lineRule="auto"/>
        <w:ind w:right="7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3079D360" w14:textId="77777777" w:rsidR="006A59B7" w:rsidRPr="00C726E0" w:rsidRDefault="006A59B7" w:rsidP="00C726E0">
      <w:pPr>
        <w:spacing w:after="0" w:line="240" w:lineRule="auto"/>
        <w:rPr>
          <w:b/>
          <w:sz w:val="24"/>
          <w:szCs w:val="24"/>
        </w:rPr>
      </w:pPr>
      <w:r w:rsidRPr="00C726E0">
        <w:rPr>
          <w:b/>
          <w:sz w:val="24"/>
          <w:szCs w:val="24"/>
        </w:rPr>
        <w:t xml:space="preserve">1. Plánování informačních a </w:t>
      </w:r>
      <w:r w:rsidR="00F77D10" w:rsidRPr="00C726E0">
        <w:rPr>
          <w:b/>
          <w:sz w:val="24"/>
          <w:szCs w:val="24"/>
        </w:rPr>
        <w:t>propagačních</w:t>
      </w:r>
      <w:r w:rsidRPr="00C726E0">
        <w:rPr>
          <w:b/>
          <w:sz w:val="24"/>
          <w:szCs w:val="24"/>
        </w:rPr>
        <w:t xml:space="preserve"> aktivit</w:t>
      </w:r>
    </w:p>
    <w:p w14:paraId="4CAEDE3E" w14:textId="77777777" w:rsidR="00A177EB" w:rsidRPr="00C726E0" w:rsidRDefault="00A177EB" w:rsidP="00A177EB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6B90DE97" w14:textId="77777777" w:rsidR="001D40C7" w:rsidRPr="00C726E0" w:rsidRDefault="001C3F1E" w:rsidP="00A177EB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Cíle </w:t>
      </w:r>
      <w:r w:rsidR="005C00CC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měly být </w:t>
      </w:r>
      <w:r w:rsidRPr="00C726E0">
        <w:rPr>
          <w:rFonts w:ascii="Calibri" w:hAnsi="Calibri" w:cs="Calibri"/>
          <w:b/>
          <w:color w:val="000000" w:themeColor="text1"/>
          <w:sz w:val="24"/>
          <w:szCs w:val="24"/>
        </w:rPr>
        <w:t>stanoveny konkrétně, aby byl zřejmý účel</w:t>
      </w:r>
      <w:r w:rsidR="00301726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vyna</w:t>
      </w:r>
      <w:r w:rsidR="002279D8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kládání </w:t>
      </w:r>
      <w:r w:rsidRPr="00C726E0">
        <w:rPr>
          <w:rFonts w:ascii="Calibri" w:hAnsi="Calibri" w:cs="Calibri"/>
          <w:b/>
          <w:color w:val="000000" w:themeColor="text1"/>
          <w:sz w:val="24"/>
          <w:szCs w:val="24"/>
        </w:rPr>
        <w:t>peněžní</w:t>
      </w:r>
      <w:r w:rsidR="00301726" w:rsidRPr="00C726E0">
        <w:rPr>
          <w:rFonts w:ascii="Calibri" w:hAnsi="Calibri" w:cs="Calibri"/>
          <w:b/>
          <w:color w:val="000000" w:themeColor="text1"/>
          <w:sz w:val="24"/>
          <w:szCs w:val="24"/>
        </w:rPr>
        <w:t>ch</w:t>
      </w:r>
      <w:r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prostředk</w:t>
      </w:r>
      <w:r w:rsidR="00301726" w:rsidRPr="00C726E0">
        <w:rPr>
          <w:rFonts w:ascii="Calibri" w:hAnsi="Calibri" w:cs="Calibri"/>
          <w:b/>
          <w:color w:val="000000" w:themeColor="text1"/>
          <w:sz w:val="24"/>
          <w:szCs w:val="24"/>
        </w:rPr>
        <w:t>ů.</w:t>
      </w:r>
    </w:p>
    <w:p w14:paraId="2FB8408A" w14:textId="77777777" w:rsidR="00CA3206" w:rsidRPr="00C726E0" w:rsidRDefault="00CA3206" w:rsidP="00A177EB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4A90C75F" w14:textId="4654CED7" w:rsidR="0077414B" w:rsidRPr="00C726E0" w:rsidRDefault="0062709F" w:rsidP="00A177EB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MŠMT, MPSV a RR SČ </w:t>
      </w:r>
      <w:r w:rsidR="00793D9C" w:rsidRPr="00C726E0">
        <w:rPr>
          <w:rFonts w:ascii="Calibri" w:hAnsi="Calibri" w:cs="Calibri"/>
          <w:color w:val="000000" w:themeColor="text1"/>
          <w:sz w:val="24"/>
          <w:szCs w:val="24"/>
        </w:rPr>
        <w:t>v roli ř</w:t>
      </w:r>
      <w:r w:rsidR="00A177EB" w:rsidRPr="00C726E0">
        <w:rPr>
          <w:rFonts w:ascii="Calibri" w:hAnsi="Calibri" w:cs="Calibri"/>
          <w:color w:val="000000" w:themeColor="text1"/>
          <w:sz w:val="24"/>
          <w:szCs w:val="24"/>
        </w:rPr>
        <w:t>ídicí</w:t>
      </w:r>
      <w:r w:rsidR="00793D9C" w:rsidRPr="00C726E0">
        <w:rPr>
          <w:rFonts w:ascii="Calibri" w:hAnsi="Calibri" w:cs="Calibri"/>
          <w:color w:val="000000" w:themeColor="text1"/>
          <w:sz w:val="24"/>
          <w:szCs w:val="24"/>
        </w:rPr>
        <w:t>ch</w:t>
      </w:r>
      <w:r w:rsidR="00A177EB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 orgán</w:t>
      </w:r>
      <w:r w:rsidR="00793D9C" w:rsidRPr="00C726E0">
        <w:rPr>
          <w:rFonts w:ascii="Calibri" w:hAnsi="Calibri" w:cs="Calibri"/>
          <w:color w:val="000000" w:themeColor="text1"/>
          <w:sz w:val="24"/>
          <w:szCs w:val="24"/>
        </w:rPr>
        <w:t>ů</w:t>
      </w:r>
      <w:r w:rsidR="00A177EB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D3764F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naplánovaly </w:t>
      </w:r>
      <w:r w:rsidR="005E6DA9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na základě </w:t>
      </w:r>
      <w:r w:rsidR="00C84617" w:rsidRPr="00C726E0">
        <w:rPr>
          <w:rFonts w:ascii="Calibri" w:hAnsi="Calibri" w:cs="Calibri"/>
          <w:color w:val="000000" w:themeColor="text1"/>
          <w:sz w:val="24"/>
          <w:szCs w:val="24"/>
        </w:rPr>
        <w:t>komunikačn</w:t>
      </w:r>
      <w:r w:rsidR="005E6DA9" w:rsidRPr="00C726E0">
        <w:rPr>
          <w:rFonts w:ascii="Calibri" w:hAnsi="Calibri" w:cs="Calibri"/>
          <w:color w:val="000000" w:themeColor="text1"/>
          <w:sz w:val="24"/>
          <w:szCs w:val="24"/>
        </w:rPr>
        <w:t>ích</w:t>
      </w:r>
      <w:r w:rsidR="00C84617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 plán</w:t>
      </w:r>
      <w:r w:rsidR="005E6DA9" w:rsidRPr="00C726E0">
        <w:rPr>
          <w:rFonts w:ascii="Calibri" w:hAnsi="Calibri" w:cs="Calibri"/>
          <w:color w:val="000000" w:themeColor="text1"/>
          <w:sz w:val="24"/>
          <w:szCs w:val="24"/>
        </w:rPr>
        <w:t>ů</w:t>
      </w:r>
      <w:r w:rsidR="00C84617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04348" w:rsidRPr="00C726E0">
        <w:rPr>
          <w:rFonts w:ascii="Calibri" w:hAnsi="Calibri" w:cs="Calibri"/>
          <w:color w:val="000000" w:themeColor="text1"/>
          <w:sz w:val="24"/>
          <w:szCs w:val="24"/>
        </w:rPr>
        <w:t>v</w:t>
      </w:r>
      <w:r w:rsidR="00481E98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e vazbě </w:t>
      </w:r>
      <w:r w:rsidR="00C84617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na definované </w:t>
      </w:r>
      <w:r w:rsidR="00481E98" w:rsidRPr="00C726E0">
        <w:rPr>
          <w:rFonts w:ascii="Calibri" w:hAnsi="Calibri" w:cs="Calibri"/>
          <w:color w:val="000000" w:themeColor="text1"/>
          <w:sz w:val="24"/>
          <w:szCs w:val="24"/>
        </w:rPr>
        <w:t>cílové skupiny</w:t>
      </w:r>
      <w:r w:rsidR="00904348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 potřebné aktivity</w:t>
      </w:r>
      <w:r w:rsidR="00C84617" w:rsidRPr="00C726E0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904348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75BC0" w:rsidRPr="00C726E0">
        <w:rPr>
          <w:rFonts w:ascii="Calibri" w:hAnsi="Calibri" w:cs="Calibri"/>
          <w:b/>
          <w:color w:val="000000" w:themeColor="text1"/>
          <w:sz w:val="24"/>
          <w:szCs w:val="24"/>
        </w:rPr>
        <w:t>Ř</w:t>
      </w:r>
      <w:r w:rsidR="00A177EB" w:rsidRPr="00C726E0">
        <w:rPr>
          <w:rFonts w:ascii="Calibri" w:hAnsi="Calibri" w:cs="Calibri"/>
          <w:b/>
          <w:color w:val="000000" w:themeColor="text1"/>
          <w:sz w:val="24"/>
          <w:szCs w:val="24"/>
        </w:rPr>
        <w:t>ídicí orgán</w:t>
      </w:r>
      <w:r w:rsidR="00481E98" w:rsidRPr="00C726E0">
        <w:rPr>
          <w:rFonts w:ascii="Calibri" w:hAnsi="Calibri" w:cs="Calibri"/>
          <w:b/>
          <w:color w:val="000000" w:themeColor="text1"/>
          <w:sz w:val="24"/>
          <w:szCs w:val="24"/>
        </w:rPr>
        <w:t>y</w:t>
      </w:r>
      <w:r w:rsidR="00A177EB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BB3B70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OP VK, OP LZZ a RR SČ </w:t>
      </w:r>
      <w:r w:rsidR="00675BC0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však </w:t>
      </w:r>
      <w:r w:rsidR="00EA5BD0" w:rsidRPr="00C726E0">
        <w:rPr>
          <w:rFonts w:ascii="Calibri" w:hAnsi="Calibri" w:cs="Calibri"/>
          <w:b/>
          <w:color w:val="000000" w:themeColor="text1"/>
          <w:sz w:val="24"/>
          <w:szCs w:val="24"/>
        </w:rPr>
        <w:t>v</w:t>
      </w:r>
      <w:r w:rsidR="003F00B8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793D9C" w:rsidRPr="00C726E0">
        <w:rPr>
          <w:rFonts w:ascii="Calibri" w:hAnsi="Calibri" w:cs="Calibri"/>
          <w:b/>
          <w:color w:val="000000" w:themeColor="text1"/>
          <w:sz w:val="24"/>
          <w:szCs w:val="24"/>
        </w:rPr>
        <w:t>komunikačních plán</w:t>
      </w:r>
      <w:r w:rsidR="00EA5BD0" w:rsidRPr="00C726E0">
        <w:rPr>
          <w:rFonts w:ascii="Calibri" w:hAnsi="Calibri" w:cs="Calibri"/>
          <w:b/>
          <w:color w:val="000000" w:themeColor="text1"/>
          <w:sz w:val="24"/>
          <w:szCs w:val="24"/>
        </w:rPr>
        <w:t>ech</w:t>
      </w:r>
      <w:r w:rsidR="00793D9C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481E98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definovaly </w:t>
      </w:r>
      <w:r w:rsidR="00130C1A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příliš obecné a </w:t>
      </w:r>
      <w:r w:rsidR="00793D9C" w:rsidRPr="00C726E0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="00A177EB" w:rsidRPr="00C726E0">
        <w:rPr>
          <w:rFonts w:ascii="Calibri" w:hAnsi="Calibri" w:cs="Calibri"/>
          <w:b/>
          <w:color w:val="000000" w:themeColor="text1"/>
          <w:sz w:val="24"/>
          <w:szCs w:val="24"/>
        </w:rPr>
        <w:t>btížně</w:t>
      </w:r>
      <w:r w:rsidR="00675BC0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A177EB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měřitelné </w:t>
      </w:r>
      <w:r w:rsidR="0058478C" w:rsidRPr="00C726E0">
        <w:rPr>
          <w:rFonts w:ascii="Calibri" w:hAnsi="Calibri" w:cs="Calibri"/>
          <w:b/>
          <w:color w:val="000000" w:themeColor="text1"/>
          <w:sz w:val="24"/>
          <w:szCs w:val="24"/>
        </w:rPr>
        <w:t>cíle</w:t>
      </w:r>
      <w:r w:rsidR="00000D55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, a to nejen cíle </w:t>
      </w:r>
      <w:r w:rsidR="0058478C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globální, </w:t>
      </w:r>
      <w:r w:rsidR="00000D55" w:rsidRPr="00C726E0">
        <w:rPr>
          <w:rFonts w:ascii="Calibri" w:hAnsi="Calibri" w:cs="Calibri"/>
          <w:b/>
          <w:color w:val="000000" w:themeColor="text1"/>
          <w:sz w:val="24"/>
          <w:szCs w:val="24"/>
        </w:rPr>
        <w:t>ale i specifické.</w:t>
      </w:r>
      <w:r w:rsidR="0058478C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N</w:t>
      </w:r>
      <w:r w:rsidR="005C00CC" w:rsidRPr="00C726E0">
        <w:rPr>
          <w:rFonts w:ascii="Calibri" w:hAnsi="Calibri" w:cs="Calibri"/>
          <w:b/>
          <w:color w:val="000000" w:themeColor="text1"/>
          <w:sz w:val="24"/>
          <w:szCs w:val="24"/>
        </w:rPr>
        <w:t>epostupovaly tak v souladu se zásadou řádného finančního řízení</w:t>
      </w:r>
      <w:r w:rsidR="006D4E4C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. </w:t>
      </w:r>
      <w:r w:rsidR="006D4E4C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Stanovené cíle </w:t>
      </w:r>
      <w:r w:rsidR="00B070FA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v některých aspektech </w:t>
      </w:r>
      <w:r w:rsidR="0058478C" w:rsidRPr="00C726E0">
        <w:rPr>
          <w:rFonts w:ascii="Calibri" w:hAnsi="Calibri" w:cs="Calibri"/>
          <w:color w:val="000000" w:themeColor="text1"/>
          <w:sz w:val="24"/>
          <w:szCs w:val="24"/>
        </w:rPr>
        <w:t>nenaplnily</w:t>
      </w:r>
      <w:r w:rsidR="00C92234" w:rsidRPr="00C726E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8478C" w:rsidRPr="00C726E0">
        <w:rPr>
          <w:rFonts w:ascii="Calibri" w:hAnsi="Calibri" w:cs="Calibri"/>
          <w:color w:val="000000" w:themeColor="text1"/>
          <w:sz w:val="24"/>
          <w:szCs w:val="24"/>
        </w:rPr>
        <w:t>tzv. SMART</w:t>
      </w:r>
      <w:r w:rsidR="00E66B83" w:rsidRPr="00E66B8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6B83" w:rsidRPr="00C726E0">
        <w:rPr>
          <w:rFonts w:ascii="Calibri" w:hAnsi="Calibri" w:cs="Calibri"/>
          <w:color w:val="000000" w:themeColor="text1"/>
          <w:sz w:val="24"/>
          <w:szCs w:val="24"/>
        </w:rPr>
        <w:t>principy</w:t>
      </w:r>
      <w:r w:rsidR="0058478C" w:rsidRPr="00C726E0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904348" w:rsidRPr="00C726E0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</w:p>
    <w:p w14:paraId="2F3D6E2A" w14:textId="77777777" w:rsidR="00B070FA" w:rsidRPr="00C726E0" w:rsidRDefault="00B070FA" w:rsidP="00A177EB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tbl>
      <w:tblPr>
        <w:tblStyle w:val="Svtltabulkasmkou1zvraznn1"/>
        <w:tblW w:w="0" w:type="auto"/>
        <w:tblInd w:w="108" w:type="dxa"/>
        <w:tblBorders>
          <w:top w:val="single" w:sz="18" w:space="0" w:color="BDD6EE" w:themeColor="accent1" w:themeTint="66"/>
          <w:left w:val="single" w:sz="18" w:space="0" w:color="BDD6EE" w:themeColor="accent1" w:themeTint="66"/>
          <w:bottom w:val="single" w:sz="18" w:space="0" w:color="BDD6EE" w:themeColor="accent1" w:themeTint="66"/>
          <w:right w:val="single" w:sz="18" w:space="0" w:color="BDD6EE" w:themeColor="accent1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7414B" w:rsidRPr="00A741C4" w14:paraId="5F960508" w14:textId="77777777" w:rsidTr="00C72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62B81540" w14:textId="77777777" w:rsidR="0077414B" w:rsidRPr="00C726E0" w:rsidRDefault="0077414B" w:rsidP="00C726E0">
            <w:pPr>
              <w:spacing w:before="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726E0">
              <w:rPr>
                <w:rFonts w:ascii="Calibri" w:hAnsi="Calibri" w:cs="Calibri"/>
                <w:sz w:val="20"/>
                <w:szCs w:val="20"/>
              </w:rPr>
              <w:t xml:space="preserve">Příklad </w:t>
            </w:r>
            <w:r w:rsidR="003F6CE6" w:rsidRPr="00C726E0">
              <w:rPr>
                <w:rFonts w:ascii="Calibri" w:hAnsi="Calibri" w:cs="Calibri"/>
                <w:sz w:val="20"/>
                <w:szCs w:val="20"/>
              </w:rPr>
              <w:t>nekonkrétn</w:t>
            </w:r>
            <w:r w:rsidR="004B6AF6" w:rsidRPr="00C726E0">
              <w:rPr>
                <w:rFonts w:ascii="Calibri" w:hAnsi="Calibri" w:cs="Calibri"/>
                <w:sz w:val="20"/>
                <w:szCs w:val="20"/>
              </w:rPr>
              <w:t xml:space="preserve">ě </w:t>
            </w:r>
            <w:r w:rsidR="00C92234" w:rsidRPr="00C726E0">
              <w:rPr>
                <w:rFonts w:ascii="Calibri" w:hAnsi="Calibri" w:cs="Calibri"/>
                <w:sz w:val="20"/>
                <w:szCs w:val="20"/>
              </w:rPr>
              <w:t xml:space="preserve">stanoveného </w:t>
            </w:r>
            <w:r w:rsidR="003E7E28" w:rsidRPr="00C726E0">
              <w:rPr>
                <w:rFonts w:ascii="Calibri" w:hAnsi="Calibri" w:cs="Calibri"/>
                <w:sz w:val="20"/>
                <w:szCs w:val="20"/>
              </w:rPr>
              <w:t>specifického c</w:t>
            </w:r>
            <w:r w:rsidR="00AC4104" w:rsidRPr="00C726E0">
              <w:rPr>
                <w:rFonts w:ascii="Calibri" w:hAnsi="Calibri" w:cs="Calibri"/>
                <w:sz w:val="20"/>
                <w:szCs w:val="20"/>
              </w:rPr>
              <w:t>íl</w:t>
            </w:r>
            <w:r w:rsidR="003E7E28" w:rsidRPr="00C726E0">
              <w:rPr>
                <w:rFonts w:ascii="Calibri" w:hAnsi="Calibri" w:cs="Calibri"/>
                <w:sz w:val="20"/>
                <w:szCs w:val="20"/>
              </w:rPr>
              <w:t>e</w:t>
            </w:r>
            <w:r w:rsidR="005A79B1" w:rsidRPr="00C726E0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="005A79B1" w:rsidRPr="00C726E0">
              <w:rPr>
                <w:rFonts w:ascii="Calibri" w:hAnsi="Calibri" w:cs="Calibri"/>
                <w:sz w:val="20"/>
                <w:szCs w:val="20"/>
              </w:rPr>
              <w:t>v</w:t>
            </w:r>
            <w:r w:rsidR="004B6AF6" w:rsidRPr="00C726E0">
              <w:rPr>
                <w:rFonts w:ascii="Calibri" w:hAnsi="Calibri" w:cs="Calibri"/>
                <w:sz w:val="20"/>
                <w:szCs w:val="20"/>
              </w:rPr>
              <w:t xml:space="preserve"> komunikačních plánech </w:t>
            </w:r>
            <w:r w:rsidR="00FE32B9" w:rsidRPr="00C726E0">
              <w:rPr>
                <w:rFonts w:ascii="Calibri" w:hAnsi="Calibri" w:cs="Calibri"/>
                <w:sz w:val="20"/>
                <w:szCs w:val="20"/>
              </w:rPr>
              <w:t>OP LZZ a ROP SČ</w:t>
            </w:r>
            <w:r w:rsidR="00C726E0" w:rsidRPr="00C726E0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B1429D7" w14:textId="77777777" w:rsidR="00A419FE" w:rsidRPr="00A741C4" w:rsidRDefault="00AC4104" w:rsidP="00C726E0">
            <w:pPr>
              <w:pStyle w:val="Odstavecseseznamem"/>
              <w:numPr>
                <w:ilvl w:val="0"/>
                <w:numId w:val="42"/>
              </w:numPr>
              <w:spacing w:after="40"/>
              <w:ind w:left="284" w:hanging="284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C726E0">
              <w:rPr>
                <w:rFonts w:ascii="Calibri" w:hAnsi="Calibri" w:cs="Calibri"/>
                <w:sz w:val="20"/>
                <w:szCs w:val="20"/>
              </w:rPr>
              <w:t>zajistit úspěch realizace nástrojů politiky hospodářské a sociální soudržnosti EU</w:t>
            </w:r>
            <w:r w:rsidRPr="00C726E0">
              <w:rPr>
                <w:rFonts w:ascii="Calibri" w:hAnsi="Calibri" w:cs="Calibri"/>
                <w:b w:val="0"/>
                <w:sz w:val="20"/>
                <w:szCs w:val="20"/>
              </w:rPr>
              <w:t xml:space="preserve"> v rámci OP LZZ</w:t>
            </w:r>
            <w:r w:rsidR="003F6CE6" w:rsidRPr="00C726E0">
              <w:rPr>
                <w:rFonts w:ascii="Calibri" w:hAnsi="Calibri" w:cs="Calibri"/>
                <w:b w:val="0"/>
                <w:sz w:val="20"/>
                <w:szCs w:val="20"/>
              </w:rPr>
              <w:t xml:space="preserve"> / ROP SČ</w:t>
            </w:r>
            <w:r w:rsidRPr="00C726E0">
              <w:rPr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C726E0">
              <w:rPr>
                <w:rFonts w:ascii="Calibri" w:hAnsi="Calibri" w:cs="Calibri"/>
                <w:sz w:val="20"/>
                <w:szCs w:val="20"/>
              </w:rPr>
              <w:t>prostřednictvím široké komunikace</w:t>
            </w:r>
            <w:r w:rsidRPr="00C726E0">
              <w:rPr>
                <w:rFonts w:ascii="Calibri" w:hAnsi="Calibri" w:cs="Calibri"/>
                <w:b w:val="0"/>
                <w:color w:val="000000"/>
                <w:sz w:val="20"/>
                <w:szCs w:val="20"/>
                <w:lang w:eastAsia="cs-CZ"/>
              </w:rPr>
              <w:t xml:space="preserve"> o existenci a možnostech zapojení do OP LZZ / ROP</w:t>
            </w:r>
            <w:r w:rsidR="003E7E28" w:rsidRPr="00C726E0">
              <w:rPr>
                <w:rFonts w:ascii="Calibri" w:hAnsi="Calibri" w:cs="Calibri"/>
                <w:b w:val="0"/>
                <w:color w:val="000000"/>
                <w:sz w:val="20"/>
                <w:szCs w:val="20"/>
                <w:lang w:eastAsia="cs-CZ"/>
              </w:rPr>
              <w:t xml:space="preserve"> SČ</w:t>
            </w:r>
            <w:r w:rsidR="007E70D5" w:rsidRPr="00C726E0">
              <w:rPr>
                <w:rFonts w:ascii="Calibri" w:hAnsi="Calibri" w:cs="Calibri"/>
                <w:b w:val="0"/>
                <w:color w:val="000000"/>
                <w:sz w:val="20"/>
                <w:szCs w:val="20"/>
                <w:lang w:eastAsia="cs-CZ"/>
              </w:rPr>
              <w:t xml:space="preserve"> a </w:t>
            </w:r>
            <w:r w:rsidRPr="00C726E0">
              <w:rPr>
                <w:rFonts w:ascii="Calibri" w:hAnsi="Calibri" w:cs="Calibri"/>
                <w:b w:val="0"/>
                <w:color w:val="000000"/>
                <w:sz w:val="20"/>
                <w:szCs w:val="20"/>
                <w:lang w:eastAsia="cs-CZ"/>
              </w:rPr>
              <w:t xml:space="preserve">o přidané hodnotě programu pro společnost </w:t>
            </w:r>
            <w:r w:rsidR="0077414B" w:rsidRPr="00C726E0">
              <w:rPr>
                <w:rFonts w:ascii="Calibri" w:hAnsi="Calibri" w:cs="Calibri"/>
                <w:b w:val="0"/>
                <w:sz w:val="20"/>
                <w:szCs w:val="20"/>
              </w:rPr>
              <w:t>(</w:t>
            </w:r>
            <w:r w:rsidR="00C45AFE" w:rsidRPr="00C726E0">
              <w:rPr>
                <w:rFonts w:ascii="Calibri" w:hAnsi="Calibri" w:cs="Calibri"/>
                <w:b w:val="0"/>
                <w:sz w:val="20"/>
                <w:szCs w:val="20"/>
              </w:rPr>
              <w:t xml:space="preserve">specifické </w:t>
            </w:r>
            <w:r w:rsidRPr="00C726E0">
              <w:rPr>
                <w:rFonts w:ascii="Calibri" w:hAnsi="Calibri" w:cs="Calibri"/>
                <w:b w:val="0"/>
                <w:sz w:val="20"/>
                <w:szCs w:val="20"/>
              </w:rPr>
              <w:t xml:space="preserve">cíle </w:t>
            </w:r>
            <w:r w:rsidR="00D65EC7" w:rsidRPr="00C726E0">
              <w:rPr>
                <w:rFonts w:ascii="Calibri" w:hAnsi="Calibri" w:cs="Calibri"/>
                <w:b w:val="0"/>
                <w:sz w:val="20"/>
                <w:szCs w:val="20"/>
              </w:rPr>
              <w:t xml:space="preserve">komunikace </w:t>
            </w:r>
            <w:r w:rsidRPr="00C726E0">
              <w:rPr>
                <w:rFonts w:ascii="Calibri" w:hAnsi="Calibri" w:cs="Calibri"/>
                <w:b w:val="0"/>
                <w:sz w:val="20"/>
                <w:szCs w:val="20"/>
              </w:rPr>
              <w:t xml:space="preserve">v </w:t>
            </w:r>
            <w:r w:rsidR="0077414B" w:rsidRPr="00C726E0">
              <w:rPr>
                <w:rFonts w:ascii="Calibri" w:hAnsi="Calibri" w:cs="Calibri"/>
                <w:b w:val="0"/>
                <w:sz w:val="20"/>
                <w:szCs w:val="20"/>
              </w:rPr>
              <w:t>OP LZZ</w:t>
            </w:r>
            <w:r w:rsidRPr="00C726E0">
              <w:rPr>
                <w:rFonts w:ascii="Calibri" w:hAnsi="Calibri" w:cs="Calibri"/>
                <w:b w:val="0"/>
                <w:sz w:val="20"/>
                <w:szCs w:val="20"/>
              </w:rPr>
              <w:t xml:space="preserve"> a ROP SČ)</w:t>
            </w:r>
            <w:r w:rsidR="00EA5BD0" w:rsidRPr="00C726E0">
              <w:rPr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</w:tc>
      </w:tr>
    </w:tbl>
    <w:p w14:paraId="194BDB46" w14:textId="77777777" w:rsidR="0077414B" w:rsidRDefault="0077414B" w:rsidP="00C726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27DE54" w14:textId="77777777" w:rsidR="00CA7E4E" w:rsidRPr="00904348" w:rsidRDefault="00D65EC7" w:rsidP="00C726E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Měřitelnost</w:t>
      </w:r>
      <w:r w:rsidR="003F6CE6">
        <w:rPr>
          <w:rFonts w:cstheme="minorHAnsi"/>
          <w:sz w:val="24"/>
          <w:szCs w:val="24"/>
        </w:rPr>
        <w:t xml:space="preserve"> jednoho z </w:t>
      </w:r>
      <w:r w:rsidR="00A177EB" w:rsidRPr="00527AB2">
        <w:rPr>
          <w:rFonts w:cstheme="minorHAnsi"/>
          <w:sz w:val="24"/>
          <w:szCs w:val="24"/>
        </w:rPr>
        <w:t>cíl</w:t>
      </w:r>
      <w:r w:rsidR="003F6CE6">
        <w:rPr>
          <w:rFonts w:cstheme="minorHAnsi"/>
          <w:sz w:val="24"/>
          <w:szCs w:val="24"/>
        </w:rPr>
        <w:t>ů</w:t>
      </w:r>
      <w:r>
        <w:rPr>
          <w:rFonts w:cstheme="minorHAnsi"/>
          <w:sz w:val="24"/>
          <w:szCs w:val="24"/>
        </w:rPr>
        <w:t xml:space="preserve"> </w:t>
      </w:r>
      <w:r w:rsidR="00000D55">
        <w:rPr>
          <w:rFonts w:cstheme="minorHAnsi"/>
          <w:sz w:val="24"/>
          <w:szCs w:val="24"/>
        </w:rPr>
        <w:t xml:space="preserve">vedoucích ke </w:t>
      </w:r>
      <w:r w:rsidR="00A177EB" w:rsidRPr="00527AB2">
        <w:rPr>
          <w:rFonts w:cstheme="minorHAnsi"/>
          <w:sz w:val="24"/>
          <w:szCs w:val="24"/>
        </w:rPr>
        <w:t xml:space="preserve">zvýšení povědomí </w:t>
      </w:r>
      <w:r w:rsidR="00793D9C" w:rsidRPr="00527AB2">
        <w:rPr>
          <w:rFonts w:cstheme="minorHAnsi"/>
          <w:sz w:val="24"/>
          <w:szCs w:val="24"/>
        </w:rPr>
        <w:t xml:space="preserve">o pomoci poskytované z fondů EU </w:t>
      </w:r>
      <w:r w:rsidR="00A177EB" w:rsidRPr="00527AB2">
        <w:rPr>
          <w:rFonts w:cstheme="minorHAnsi"/>
          <w:sz w:val="24"/>
          <w:szCs w:val="24"/>
        </w:rPr>
        <w:t xml:space="preserve">u cílové skupiny </w:t>
      </w:r>
      <w:r w:rsidR="00A177EB" w:rsidRPr="00527AB2">
        <w:rPr>
          <w:rFonts w:cstheme="minorHAnsi"/>
          <w:i/>
          <w:sz w:val="24"/>
          <w:szCs w:val="24"/>
        </w:rPr>
        <w:t>široká veřejnost</w:t>
      </w:r>
      <w:r w:rsidR="005C4A8E">
        <w:rPr>
          <w:rFonts w:cstheme="minorHAnsi"/>
          <w:sz w:val="24"/>
          <w:szCs w:val="24"/>
        </w:rPr>
        <w:t>, které</w:t>
      </w:r>
      <w:r w:rsidR="006D4E4C">
        <w:rPr>
          <w:rFonts w:cstheme="minorHAnsi"/>
          <w:sz w:val="24"/>
          <w:szCs w:val="24"/>
        </w:rPr>
        <w:t xml:space="preserve"> řídicí orgány </w:t>
      </w:r>
      <w:r w:rsidR="00000D55">
        <w:rPr>
          <w:rFonts w:cstheme="minorHAnsi"/>
          <w:sz w:val="24"/>
          <w:szCs w:val="24"/>
        </w:rPr>
        <w:t xml:space="preserve">OP VK, OP VaVpI, OP LZZ a ROP SČ </w:t>
      </w:r>
      <w:r w:rsidR="006D4E4C">
        <w:rPr>
          <w:rFonts w:cstheme="minorHAnsi"/>
          <w:sz w:val="24"/>
          <w:szCs w:val="24"/>
        </w:rPr>
        <w:t xml:space="preserve">uvedly </w:t>
      </w:r>
      <w:r w:rsidR="00C92234">
        <w:rPr>
          <w:rFonts w:cstheme="minorHAnsi"/>
          <w:sz w:val="24"/>
          <w:szCs w:val="24"/>
        </w:rPr>
        <w:t>v</w:t>
      </w:r>
      <w:r w:rsidR="007A6D2E">
        <w:rPr>
          <w:rFonts w:cstheme="minorHAnsi"/>
          <w:sz w:val="24"/>
          <w:szCs w:val="24"/>
        </w:rPr>
        <w:t> </w:t>
      </w:r>
      <w:r w:rsidR="00C92234">
        <w:rPr>
          <w:rFonts w:cstheme="minorHAnsi"/>
          <w:sz w:val="24"/>
          <w:szCs w:val="24"/>
        </w:rPr>
        <w:t>KoP</w:t>
      </w:r>
      <w:r w:rsidR="007A6D2E">
        <w:rPr>
          <w:rFonts w:cstheme="minorHAnsi"/>
          <w:sz w:val="24"/>
          <w:szCs w:val="24"/>
        </w:rPr>
        <w:t xml:space="preserve">, </w:t>
      </w:r>
      <w:r w:rsidR="00A177EB" w:rsidRPr="00527AB2">
        <w:rPr>
          <w:rFonts w:cstheme="minorHAnsi"/>
          <w:sz w:val="24"/>
          <w:szCs w:val="24"/>
        </w:rPr>
        <w:t>nebyl</w:t>
      </w:r>
      <w:r w:rsidR="00793D9C" w:rsidRPr="00527AB2">
        <w:rPr>
          <w:rFonts w:cstheme="minorHAnsi"/>
          <w:sz w:val="24"/>
          <w:szCs w:val="24"/>
        </w:rPr>
        <w:t xml:space="preserve">a </w:t>
      </w:r>
      <w:r w:rsidR="00C92234">
        <w:rPr>
          <w:rFonts w:cstheme="minorHAnsi"/>
          <w:sz w:val="24"/>
          <w:szCs w:val="24"/>
        </w:rPr>
        <w:t xml:space="preserve">dostatečně </w:t>
      </w:r>
      <w:r w:rsidR="00793D9C" w:rsidRPr="00527AB2">
        <w:rPr>
          <w:rFonts w:cstheme="minorHAnsi"/>
          <w:sz w:val="24"/>
          <w:szCs w:val="24"/>
        </w:rPr>
        <w:t>zajištěna</w:t>
      </w:r>
      <w:r w:rsidR="00D40F57">
        <w:rPr>
          <w:rFonts w:cstheme="minorHAnsi"/>
          <w:sz w:val="24"/>
          <w:szCs w:val="24"/>
        </w:rPr>
        <w:t>. Ř</w:t>
      </w:r>
      <w:r w:rsidR="005C00CC">
        <w:rPr>
          <w:rFonts w:cstheme="minorHAnsi"/>
          <w:sz w:val="24"/>
          <w:szCs w:val="24"/>
        </w:rPr>
        <w:t xml:space="preserve">ídicí orgány buď </w:t>
      </w:r>
      <w:r w:rsidR="005C00CC" w:rsidRPr="00904348">
        <w:rPr>
          <w:rFonts w:cstheme="minorHAnsi"/>
          <w:b/>
          <w:sz w:val="24"/>
          <w:szCs w:val="24"/>
        </w:rPr>
        <w:t xml:space="preserve">nezvolily </w:t>
      </w:r>
      <w:r w:rsidR="00BF50D5" w:rsidRPr="00904348">
        <w:rPr>
          <w:rFonts w:cstheme="minorHAnsi"/>
          <w:b/>
          <w:sz w:val="24"/>
          <w:szCs w:val="24"/>
        </w:rPr>
        <w:t xml:space="preserve">vhodné </w:t>
      </w:r>
      <w:r w:rsidR="003F00B8" w:rsidRPr="00904348">
        <w:rPr>
          <w:rFonts w:cstheme="minorHAnsi"/>
          <w:b/>
          <w:sz w:val="24"/>
          <w:szCs w:val="24"/>
        </w:rPr>
        <w:t>monitorovací indikátor</w:t>
      </w:r>
      <w:r w:rsidR="001C3F1E" w:rsidRPr="00904348">
        <w:rPr>
          <w:rFonts w:cstheme="minorHAnsi"/>
          <w:b/>
          <w:sz w:val="24"/>
          <w:szCs w:val="24"/>
        </w:rPr>
        <w:t>y</w:t>
      </w:r>
      <w:r w:rsidR="003F00B8" w:rsidRPr="00904348">
        <w:rPr>
          <w:rFonts w:cstheme="minorHAnsi"/>
          <w:b/>
          <w:sz w:val="24"/>
          <w:szCs w:val="24"/>
        </w:rPr>
        <w:t xml:space="preserve"> jako </w:t>
      </w:r>
      <w:r w:rsidR="00CF57D6" w:rsidRPr="00904348">
        <w:rPr>
          <w:rFonts w:cstheme="minorHAnsi"/>
          <w:b/>
          <w:sz w:val="24"/>
          <w:szCs w:val="24"/>
        </w:rPr>
        <w:t>ukazatel</w:t>
      </w:r>
      <w:r w:rsidR="001C3F1E" w:rsidRPr="00904348">
        <w:rPr>
          <w:rFonts w:cstheme="minorHAnsi"/>
          <w:b/>
          <w:sz w:val="24"/>
          <w:szCs w:val="24"/>
        </w:rPr>
        <w:t>e</w:t>
      </w:r>
      <w:r w:rsidR="00CF57D6" w:rsidRPr="00904348">
        <w:rPr>
          <w:rFonts w:cstheme="minorHAnsi"/>
          <w:b/>
          <w:sz w:val="24"/>
          <w:szCs w:val="24"/>
        </w:rPr>
        <w:t xml:space="preserve"> výkonnosti</w:t>
      </w:r>
      <w:r w:rsidR="007A6D2E">
        <w:rPr>
          <w:rFonts w:cstheme="minorHAnsi"/>
          <w:b/>
          <w:sz w:val="24"/>
          <w:szCs w:val="24"/>
        </w:rPr>
        <w:t>,</w:t>
      </w:r>
      <w:r w:rsidR="0062709F" w:rsidRPr="00904348">
        <w:rPr>
          <w:rFonts w:cstheme="minorHAnsi"/>
          <w:b/>
          <w:sz w:val="24"/>
          <w:szCs w:val="24"/>
        </w:rPr>
        <w:t xml:space="preserve"> </w:t>
      </w:r>
      <w:r w:rsidR="00EA5BD0" w:rsidRPr="00904348">
        <w:rPr>
          <w:rFonts w:cstheme="minorHAnsi"/>
          <w:b/>
          <w:sz w:val="24"/>
          <w:szCs w:val="24"/>
        </w:rPr>
        <w:t xml:space="preserve">nebo </w:t>
      </w:r>
      <w:r w:rsidR="00B070FA">
        <w:rPr>
          <w:rFonts w:cstheme="minorHAnsi"/>
          <w:b/>
          <w:sz w:val="24"/>
          <w:szCs w:val="24"/>
        </w:rPr>
        <w:t xml:space="preserve">u indikátorů </w:t>
      </w:r>
      <w:r w:rsidR="005C00CC" w:rsidRPr="00904348">
        <w:rPr>
          <w:rFonts w:cstheme="minorHAnsi"/>
          <w:b/>
          <w:sz w:val="24"/>
          <w:szCs w:val="24"/>
        </w:rPr>
        <w:t xml:space="preserve">nestanovily </w:t>
      </w:r>
      <w:r w:rsidR="0062709F" w:rsidRPr="00904348">
        <w:rPr>
          <w:rFonts w:cstheme="minorHAnsi"/>
          <w:b/>
          <w:sz w:val="24"/>
          <w:szCs w:val="24"/>
        </w:rPr>
        <w:t>výchozí a cílov</w:t>
      </w:r>
      <w:r w:rsidR="00BF50D5" w:rsidRPr="00904348">
        <w:rPr>
          <w:rFonts w:cstheme="minorHAnsi"/>
          <w:b/>
          <w:sz w:val="24"/>
          <w:szCs w:val="24"/>
        </w:rPr>
        <w:t>é h</w:t>
      </w:r>
      <w:r w:rsidR="0062709F" w:rsidRPr="00904348">
        <w:rPr>
          <w:rFonts w:cstheme="minorHAnsi"/>
          <w:b/>
          <w:sz w:val="24"/>
          <w:szCs w:val="24"/>
        </w:rPr>
        <w:t>odnot</w:t>
      </w:r>
      <w:r w:rsidR="00BF50D5" w:rsidRPr="00904348">
        <w:rPr>
          <w:rFonts w:cstheme="minorHAnsi"/>
          <w:b/>
          <w:sz w:val="24"/>
          <w:szCs w:val="24"/>
        </w:rPr>
        <w:t>y</w:t>
      </w:r>
      <w:r w:rsidR="00D466CB" w:rsidRPr="00904348">
        <w:rPr>
          <w:rFonts w:cstheme="minorHAnsi"/>
          <w:b/>
          <w:sz w:val="24"/>
          <w:szCs w:val="24"/>
        </w:rPr>
        <w:t xml:space="preserve">. </w:t>
      </w:r>
    </w:p>
    <w:p w14:paraId="2A890473" w14:textId="77777777" w:rsidR="00970636" w:rsidRPr="00C726E0" w:rsidRDefault="00970636" w:rsidP="00C726E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57C71A3" w14:textId="77777777" w:rsidR="00E52DD0" w:rsidRDefault="00066B7D" w:rsidP="00C726E0">
      <w:pPr>
        <w:spacing w:after="0" w:line="240" w:lineRule="auto"/>
        <w:rPr>
          <w:b/>
          <w:sz w:val="24"/>
          <w:szCs w:val="24"/>
        </w:rPr>
      </w:pPr>
      <w:r w:rsidRPr="00C726E0">
        <w:rPr>
          <w:b/>
          <w:sz w:val="24"/>
          <w:szCs w:val="24"/>
        </w:rPr>
        <w:t xml:space="preserve">1.1 </w:t>
      </w:r>
      <w:r w:rsidR="00E52DD0" w:rsidRPr="00C726E0">
        <w:rPr>
          <w:b/>
          <w:sz w:val="24"/>
          <w:szCs w:val="24"/>
        </w:rPr>
        <w:t>M</w:t>
      </w:r>
      <w:r w:rsidR="00D8559A" w:rsidRPr="00C726E0">
        <w:rPr>
          <w:b/>
          <w:sz w:val="24"/>
          <w:szCs w:val="24"/>
        </w:rPr>
        <w:t>inisterstvo školství, mládeže a tělovýchovy</w:t>
      </w:r>
      <w:r w:rsidR="00D93221" w:rsidRPr="00C726E0">
        <w:rPr>
          <w:b/>
          <w:sz w:val="24"/>
          <w:szCs w:val="24"/>
        </w:rPr>
        <w:t xml:space="preserve"> </w:t>
      </w:r>
    </w:p>
    <w:p w14:paraId="72206D74" w14:textId="77777777" w:rsidR="00C726E0" w:rsidRPr="00C726E0" w:rsidRDefault="00C726E0" w:rsidP="00C726E0">
      <w:pPr>
        <w:spacing w:after="0" w:line="240" w:lineRule="auto"/>
        <w:rPr>
          <w:sz w:val="24"/>
          <w:szCs w:val="24"/>
        </w:rPr>
      </w:pPr>
    </w:p>
    <w:p w14:paraId="6113E2EA" w14:textId="77777777" w:rsidR="00D566B2" w:rsidRPr="00CA7E4E" w:rsidRDefault="00A97D20" w:rsidP="00C726E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CA7E4E">
        <w:rPr>
          <w:rFonts w:cstheme="minorHAnsi"/>
          <w:sz w:val="24"/>
          <w:szCs w:val="24"/>
        </w:rPr>
        <w:t>MŠMT při vytváření komunikační</w:t>
      </w:r>
      <w:r w:rsidR="00464391">
        <w:rPr>
          <w:rFonts w:cstheme="minorHAnsi"/>
          <w:sz w:val="24"/>
          <w:szCs w:val="24"/>
        </w:rPr>
        <w:t>ch</w:t>
      </w:r>
      <w:r w:rsidRPr="00CA7E4E">
        <w:rPr>
          <w:rFonts w:cstheme="minorHAnsi"/>
          <w:sz w:val="24"/>
          <w:szCs w:val="24"/>
        </w:rPr>
        <w:t xml:space="preserve"> strategi</w:t>
      </w:r>
      <w:r w:rsidR="00464391">
        <w:rPr>
          <w:rFonts w:cstheme="minorHAnsi"/>
          <w:sz w:val="24"/>
          <w:szCs w:val="24"/>
        </w:rPr>
        <w:t>í</w:t>
      </w:r>
      <w:r w:rsidRPr="00CA7E4E">
        <w:rPr>
          <w:rFonts w:cstheme="minorHAnsi"/>
          <w:sz w:val="24"/>
          <w:szCs w:val="24"/>
        </w:rPr>
        <w:t xml:space="preserve"> </w:t>
      </w:r>
      <w:r w:rsidR="00D566B2" w:rsidRPr="00CA7E4E">
        <w:rPr>
          <w:rFonts w:cstheme="minorHAnsi"/>
          <w:sz w:val="24"/>
          <w:szCs w:val="24"/>
        </w:rPr>
        <w:t xml:space="preserve">OP VK i </w:t>
      </w:r>
      <w:r w:rsidR="00464391">
        <w:rPr>
          <w:rFonts w:cstheme="minorHAnsi"/>
          <w:sz w:val="24"/>
          <w:szCs w:val="24"/>
        </w:rPr>
        <w:t xml:space="preserve">OP </w:t>
      </w:r>
      <w:r w:rsidR="00D566B2" w:rsidRPr="00CA7E4E">
        <w:rPr>
          <w:rFonts w:cstheme="minorHAnsi"/>
          <w:sz w:val="24"/>
          <w:szCs w:val="24"/>
        </w:rPr>
        <w:t xml:space="preserve">VaVpI </w:t>
      </w:r>
      <w:r w:rsidRPr="00CA7E4E">
        <w:rPr>
          <w:rFonts w:cstheme="minorHAnsi"/>
          <w:sz w:val="24"/>
          <w:szCs w:val="24"/>
        </w:rPr>
        <w:t>vycházelo ze vstupní analýzy komunikačních potřeb</w:t>
      </w:r>
      <w:r w:rsidR="00D466CB" w:rsidRPr="00CA7E4E">
        <w:rPr>
          <w:rFonts w:cstheme="minorHAnsi"/>
          <w:sz w:val="24"/>
          <w:szCs w:val="24"/>
        </w:rPr>
        <w:t>.</w:t>
      </w:r>
      <w:r w:rsidRPr="00CA7E4E">
        <w:rPr>
          <w:rFonts w:cstheme="minorHAnsi"/>
          <w:sz w:val="24"/>
          <w:szCs w:val="24"/>
        </w:rPr>
        <w:t xml:space="preserve"> </w:t>
      </w:r>
    </w:p>
    <w:p w14:paraId="52F51AE0" w14:textId="317D03B1" w:rsidR="0076100B" w:rsidRPr="00F523FB" w:rsidRDefault="00BB3B70" w:rsidP="00C726E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F523FB">
        <w:rPr>
          <w:rFonts w:cstheme="minorHAnsi"/>
          <w:sz w:val="24"/>
          <w:szCs w:val="24"/>
        </w:rPr>
        <w:t>U OP VK nestanovilo</w:t>
      </w:r>
      <w:r w:rsidR="00464391" w:rsidRPr="00F523FB">
        <w:rPr>
          <w:rFonts w:cstheme="minorHAnsi"/>
          <w:sz w:val="24"/>
          <w:szCs w:val="24"/>
        </w:rPr>
        <w:t xml:space="preserve"> MŠMT</w:t>
      </w:r>
      <w:r w:rsidRPr="00F523FB">
        <w:rPr>
          <w:rFonts w:cstheme="minorHAnsi"/>
          <w:sz w:val="24"/>
          <w:szCs w:val="24"/>
        </w:rPr>
        <w:t xml:space="preserve"> cílové hodnoty </w:t>
      </w:r>
      <w:r w:rsidR="003F6CE6" w:rsidRPr="00F523FB">
        <w:rPr>
          <w:rFonts w:cstheme="minorHAnsi"/>
          <w:sz w:val="24"/>
          <w:szCs w:val="24"/>
        </w:rPr>
        <w:t xml:space="preserve">u </w:t>
      </w:r>
      <w:r w:rsidRPr="00F523FB">
        <w:rPr>
          <w:rFonts w:cstheme="minorHAnsi"/>
          <w:sz w:val="24"/>
          <w:szCs w:val="24"/>
        </w:rPr>
        <w:t>indikátorů výstup</w:t>
      </w:r>
      <w:r w:rsidR="00E66B83">
        <w:rPr>
          <w:rFonts w:cstheme="minorHAnsi"/>
          <w:sz w:val="24"/>
          <w:szCs w:val="24"/>
        </w:rPr>
        <w:t>u</w:t>
      </w:r>
      <w:r w:rsidRPr="00F523FB">
        <w:rPr>
          <w:rFonts w:cstheme="minorHAnsi"/>
          <w:sz w:val="24"/>
          <w:szCs w:val="24"/>
        </w:rPr>
        <w:t xml:space="preserve"> </w:t>
      </w:r>
      <w:r w:rsidR="00E66B83">
        <w:rPr>
          <w:rFonts w:cstheme="minorHAnsi"/>
          <w:sz w:val="24"/>
          <w:szCs w:val="24"/>
        </w:rPr>
        <w:t xml:space="preserve">a dále nestanovilo </w:t>
      </w:r>
      <w:r w:rsidRPr="00F523FB">
        <w:rPr>
          <w:rFonts w:cstheme="minorHAnsi"/>
          <w:sz w:val="24"/>
          <w:szCs w:val="24"/>
        </w:rPr>
        <w:t>ani žádné indikátory výsledk</w:t>
      </w:r>
      <w:r w:rsidR="00E66B83">
        <w:rPr>
          <w:rFonts w:cstheme="minorHAnsi"/>
          <w:sz w:val="24"/>
          <w:szCs w:val="24"/>
        </w:rPr>
        <w:t>u</w:t>
      </w:r>
      <w:r w:rsidRPr="00F523FB">
        <w:rPr>
          <w:rFonts w:cstheme="minorHAnsi"/>
          <w:sz w:val="24"/>
          <w:szCs w:val="24"/>
        </w:rPr>
        <w:t xml:space="preserve"> na úrovni rámcového KoP OP VK</w:t>
      </w:r>
      <w:r w:rsidR="003F6CE6" w:rsidRPr="00F523FB">
        <w:rPr>
          <w:rFonts w:cstheme="minorHAnsi"/>
          <w:sz w:val="24"/>
          <w:szCs w:val="24"/>
        </w:rPr>
        <w:t xml:space="preserve"> ani v </w:t>
      </w:r>
      <w:r w:rsidRPr="00F523FB">
        <w:rPr>
          <w:rFonts w:cstheme="minorHAnsi"/>
          <w:sz w:val="24"/>
          <w:szCs w:val="24"/>
        </w:rPr>
        <w:t xml:space="preserve">jednotlivých ročních KoP. </w:t>
      </w:r>
    </w:p>
    <w:p w14:paraId="2014E47C" w14:textId="24036682" w:rsidR="004C358E" w:rsidRPr="00F523FB" w:rsidRDefault="00D65EC7" w:rsidP="00C726E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F523FB">
        <w:rPr>
          <w:rFonts w:cstheme="minorHAnsi"/>
          <w:sz w:val="24"/>
          <w:szCs w:val="24"/>
        </w:rPr>
        <w:t xml:space="preserve">MŠMT jako </w:t>
      </w:r>
      <w:r w:rsidR="00E66B83">
        <w:rPr>
          <w:rFonts w:cstheme="minorHAnsi"/>
          <w:sz w:val="24"/>
          <w:szCs w:val="24"/>
        </w:rPr>
        <w:t>ř</w:t>
      </w:r>
      <w:r w:rsidR="007535EF" w:rsidRPr="00F523FB">
        <w:rPr>
          <w:rFonts w:cstheme="minorHAnsi"/>
          <w:sz w:val="24"/>
          <w:szCs w:val="24"/>
        </w:rPr>
        <w:t xml:space="preserve">ídicí orgán OP VK </w:t>
      </w:r>
      <w:r w:rsidR="004C358E" w:rsidRPr="00F523FB">
        <w:rPr>
          <w:rFonts w:cstheme="minorHAnsi"/>
          <w:sz w:val="24"/>
          <w:szCs w:val="24"/>
        </w:rPr>
        <w:t>nezohlednil</w:t>
      </w:r>
      <w:r w:rsidR="003F6CE6" w:rsidRPr="00F523FB">
        <w:rPr>
          <w:rFonts w:cstheme="minorHAnsi"/>
          <w:sz w:val="24"/>
          <w:szCs w:val="24"/>
        </w:rPr>
        <w:t>o</w:t>
      </w:r>
      <w:r w:rsidR="004C358E" w:rsidRPr="00F523FB">
        <w:rPr>
          <w:rFonts w:cstheme="minorHAnsi"/>
          <w:sz w:val="24"/>
          <w:szCs w:val="24"/>
        </w:rPr>
        <w:t xml:space="preserve"> doporučení hodnotitelů z průběžné evaluace KoP</w:t>
      </w:r>
      <w:r w:rsidRPr="00F523FB">
        <w:rPr>
          <w:rFonts w:cstheme="minorHAnsi"/>
          <w:sz w:val="24"/>
          <w:szCs w:val="24"/>
        </w:rPr>
        <w:t xml:space="preserve"> </w:t>
      </w:r>
      <w:r w:rsidR="004C358E" w:rsidRPr="00F523FB">
        <w:rPr>
          <w:rFonts w:cstheme="minorHAnsi"/>
          <w:sz w:val="24"/>
          <w:szCs w:val="24"/>
        </w:rPr>
        <w:t>OP VK</w:t>
      </w:r>
      <w:r w:rsidR="004C358E" w:rsidRPr="00F523FB">
        <w:rPr>
          <w:rStyle w:val="Znakapoznpodarou"/>
          <w:rFonts w:cstheme="minorHAnsi"/>
          <w:sz w:val="24"/>
          <w:szCs w:val="24"/>
        </w:rPr>
        <w:footnoteReference w:id="7"/>
      </w:r>
      <w:r w:rsidR="004C358E" w:rsidRPr="00F523FB">
        <w:rPr>
          <w:rFonts w:cstheme="minorHAnsi"/>
          <w:sz w:val="24"/>
          <w:szCs w:val="24"/>
        </w:rPr>
        <w:t xml:space="preserve"> </w:t>
      </w:r>
      <w:r w:rsidR="007535EF" w:rsidRPr="00F523FB">
        <w:rPr>
          <w:rFonts w:cstheme="minorHAnsi"/>
          <w:sz w:val="24"/>
          <w:szCs w:val="24"/>
        </w:rPr>
        <w:t xml:space="preserve">z roku 2011 </w:t>
      </w:r>
      <w:r w:rsidR="004C358E" w:rsidRPr="00F523FB">
        <w:rPr>
          <w:rFonts w:cstheme="minorHAnsi"/>
          <w:sz w:val="24"/>
          <w:szCs w:val="24"/>
        </w:rPr>
        <w:t>„</w:t>
      </w:r>
      <w:r w:rsidR="004C358E" w:rsidRPr="0040016D">
        <w:rPr>
          <w:rFonts w:cstheme="minorHAnsi"/>
          <w:i/>
          <w:sz w:val="24"/>
          <w:szCs w:val="24"/>
        </w:rPr>
        <w:t>nově uspořádat a optimalizovat monitorovací indikátory</w:t>
      </w:r>
      <w:r w:rsidR="004C358E" w:rsidRPr="00F523FB">
        <w:rPr>
          <w:rFonts w:cstheme="minorHAnsi"/>
          <w:sz w:val="24"/>
          <w:szCs w:val="24"/>
        </w:rPr>
        <w:t>“.</w:t>
      </w:r>
    </w:p>
    <w:p w14:paraId="5C8E2C1B" w14:textId="77777777" w:rsidR="00B070FA" w:rsidRPr="00F523FB" w:rsidRDefault="00904348" w:rsidP="00C726E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F523FB">
        <w:rPr>
          <w:rFonts w:cstheme="minorHAnsi"/>
          <w:sz w:val="24"/>
          <w:szCs w:val="24"/>
        </w:rPr>
        <w:t xml:space="preserve">V </w:t>
      </w:r>
      <w:r w:rsidR="00024E33" w:rsidRPr="00F523FB">
        <w:rPr>
          <w:rFonts w:cstheme="minorHAnsi"/>
          <w:sz w:val="24"/>
          <w:szCs w:val="24"/>
        </w:rPr>
        <w:t xml:space="preserve">KoP </w:t>
      </w:r>
      <w:r w:rsidR="00047B42" w:rsidRPr="00F523FB">
        <w:rPr>
          <w:rFonts w:cstheme="minorHAnsi"/>
          <w:sz w:val="24"/>
          <w:szCs w:val="24"/>
        </w:rPr>
        <w:t xml:space="preserve">OP VaVpI </w:t>
      </w:r>
      <w:r w:rsidRPr="00F523FB">
        <w:rPr>
          <w:rFonts w:cstheme="minorHAnsi"/>
          <w:sz w:val="24"/>
          <w:szCs w:val="24"/>
        </w:rPr>
        <w:t xml:space="preserve">stanovilo MŠMT </w:t>
      </w:r>
      <w:r w:rsidR="00024E33" w:rsidRPr="00F523FB">
        <w:rPr>
          <w:rFonts w:cstheme="minorHAnsi"/>
          <w:sz w:val="24"/>
          <w:szCs w:val="24"/>
        </w:rPr>
        <w:t>k měření naplnění cílů indi</w:t>
      </w:r>
      <w:r w:rsidR="00BF50D5" w:rsidRPr="00F523FB">
        <w:rPr>
          <w:rFonts w:cstheme="minorHAnsi"/>
          <w:sz w:val="24"/>
          <w:szCs w:val="24"/>
        </w:rPr>
        <w:t>kátory</w:t>
      </w:r>
      <w:r w:rsidR="00024E33" w:rsidRPr="00F523FB">
        <w:rPr>
          <w:rFonts w:cstheme="minorHAnsi"/>
          <w:sz w:val="24"/>
          <w:szCs w:val="24"/>
        </w:rPr>
        <w:t>, které označilo za výsledkové</w:t>
      </w:r>
      <w:r w:rsidR="001A66DB" w:rsidRPr="00F523FB">
        <w:rPr>
          <w:rFonts w:cstheme="minorHAnsi"/>
          <w:sz w:val="24"/>
          <w:szCs w:val="24"/>
        </w:rPr>
        <w:t xml:space="preserve">. Zvolené </w:t>
      </w:r>
      <w:r w:rsidR="00024E33" w:rsidRPr="00F523FB">
        <w:rPr>
          <w:rFonts w:cstheme="minorHAnsi"/>
          <w:sz w:val="24"/>
          <w:szCs w:val="24"/>
        </w:rPr>
        <w:t xml:space="preserve">indikátory </w:t>
      </w:r>
      <w:r w:rsidR="001A66DB" w:rsidRPr="00F523FB">
        <w:rPr>
          <w:rFonts w:cstheme="minorHAnsi"/>
          <w:sz w:val="24"/>
          <w:szCs w:val="24"/>
        </w:rPr>
        <w:t xml:space="preserve">však neumožňovaly vyhodnocení </w:t>
      </w:r>
      <w:r w:rsidR="00FE32B9" w:rsidRPr="00F523FB">
        <w:rPr>
          <w:rFonts w:cstheme="minorHAnsi"/>
          <w:sz w:val="24"/>
          <w:szCs w:val="24"/>
        </w:rPr>
        <w:t xml:space="preserve">přímých </w:t>
      </w:r>
      <w:r w:rsidR="001A66DB" w:rsidRPr="00F523FB">
        <w:rPr>
          <w:rFonts w:cstheme="minorHAnsi"/>
          <w:sz w:val="24"/>
          <w:szCs w:val="24"/>
        </w:rPr>
        <w:t xml:space="preserve">účinků na cílové skupiny, neboť </w:t>
      </w:r>
      <w:r w:rsidR="00024E33" w:rsidRPr="00F523FB">
        <w:rPr>
          <w:rFonts w:cstheme="minorHAnsi"/>
          <w:sz w:val="24"/>
          <w:szCs w:val="24"/>
        </w:rPr>
        <w:t>měly</w:t>
      </w:r>
      <w:r w:rsidR="00BB3B70" w:rsidRPr="00F523FB">
        <w:rPr>
          <w:rFonts w:cstheme="minorHAnsi"/>
          <w:sz w:val="24"/>
          <w:szCs w:val="24"/>
        </w:rPr>
        <w:t xml:space="preserve"> </w:t>
      </w:r>
      <w:r w:rsidR="00D566B2" w:rsidRPr="00F523FB">
        <w:rPr>
          <w:rFonts w:cstheme="minorHAnsi"/>
          <w:sz w:val="24"/>
          <w:szCs w:val="24"/>
        </w:rPr>
        <w:t xml:space="preserve">spíše </w:t>
      </w:r>
      <w:r w:rsidR="001A66DB" w:rsidRPr="00F523FB">
        <w:rPr>
          <w:rFonts w:cstheme="minorHAnsi"/>
          <w:sz w:val="24"/>
          <w:szCs w:val="24"/>
        </w:rPr>
        <w:t xml:space="preserve">povahu </w:t>
      </w:r>
      <w:r w:rsidR="00D566B2" w:rsidRPr="00F523FB">
        <w:rPr>
          <w:rFonts w:cstheme="minorHAnsi"/>
          <w:sz w:val="24"/>
          <w:szCs w:val="24"/>
        </w:rPr>
        <w:t>výstup</w:t>
      </w:r>
      <w:r w:rsidR="001A66DB" w:rsidRPr="00F523FB">
        <w:rPr>
          <w:rFonts w:cstheme="minorHAnsi"/>
          <w:sz w:val="24"/>
          <w:szCs w:val="24"/>
        </w:rPr>
        <w:t>ů</w:t>
      </w:r>
      <w:r w:rsidRPr="00F523FB">
        <w:rPr>
          <w:rFonts w:cstheme="minorHAnsi"/>
          <w:sz w:val="24"/>
          <w:szCs w:val="24"/>
        </w:rPr>
        <w:t>:</w:t>
      </w:r>
    </w:p>
    <w:p w14:paraId="553EF773" w14:textId="77777777" w:rsidR="001A66DB" w:rsidRPr="00F523FB" w:rsidRDefault="001A66DB" w:rsidP="00C726E0">
      <w:pPr>
        <w:pStyle w:val="Odstavecseseznamem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cstheme="minorHAnsi"/>
          <w:i/>
          <w:sz w:val="24"/>
          <w:szCs w:val="24"/>
        </w:rPr>
      </w:pPr>
      <w:r w:rsidRPr="00F523FB">
        <w:rPr>
          <w:rFonts w:cstheme="minorHAnsi"/>
          <w:i/>
          <w:sz w:val="24"/>
          <w:szCs w:val="24"/>
        </w:rPr>
        <w:t>počet uskutečněných mediálních kampaní;</w:t>
      </w:r>
    </w:p>
    <w:p w14:paraId="6BA7E957" w14:textId="77777777" w:rsidR="001A66DB" w:rsidRPr="00F523FB" w:rsidRDefault="001A66DB" w:rsidP="00C726E0">
      <w:pPr>
        <w:pStyle w:val="Odstavecseseznamem"/>
        <w:numPr>
          <w:ilvl w:val="0"/>
          <w:numId w:val="41"/>
        </w:numPr>
        <w:spacing w:after="0" w:line="240" w:lineRule="auto"/>
        <w:ind w:left="567" w:hanging="283"/>
        <w:jc w:val="both"/>
        <w:rPr>
          <w:rFonts w:cstheme="minorHAnsi"/>
          <w:i/>
          <w:sz w:val="24"/>
          <w:szCs w:val="24"/>
        </w:rPr>
      </w:pPr>
      <w:r w:rsidRPr="00F523FB">
        <w:rPr>
          <w:rFonts w:cstheme="minorHAnsi"/>
          <w:i/>
          <w:sz w:val="24"/>
          <w:szCs w:val="24"/>
        </w:rPr>
        <w:t>počet provedených inzercí v TV, rozhlase a tištěných médiích.</w:t>
      </w:r>
    </w:p>
    <w:p w14:paraId="23AFA465" w14:textId="77777777" w:rsidR="001A66DB" w:rsidRPr="00C726E0" w:rsidRDefault="001A66DB" w:rsidP="00C726E0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Svtltabulkasmkou1zvraznn1"/>
        <w:tblW w:w="0" w:type="auto"/>
        <w:tblInd w:w="108" w:type="dxa"/>
        <w:tblBorders>
          <w:top w:val="single" w:sz="18" w:space="0" w:color="BDD6EE" w:themeColor="accent1" w:themeTint="66"/>
          <w:left w:val="single" w:sz="18" w:space="0" w:color="BDD6EE" w:themeColor="accent1" w:themeTint="66"/>
          <w:bottom w:val="single" w:sz="18" w:space="0" w:color="BDD6EE" w:themeColor="accent1" w:themeTint="66"/>
          <w:right w:val="single" w:sz="18" w:space="0" w:color="BDD6EE" w:themeColor="accent1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2581" w14:paraId="5749F4FE" w14:textId="77777777" w:rsidTr="00047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24427ED9" w14:textId="77777777" w:rsidR="00353B6E" w:rsidRPr="00C726E0" w:rsidRDefault="00416B05" w:rsidP="00E7430A">
            <w:pPr>
              <w:spacing w:before="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726E0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Příkladem </w:t>
            </w:r>
            <w:r w:rsidR="00024E33" w:rsidRPr="00C726E0">
              <w:rPr>
                <w:rFonts w:ascii="Calibri" w:hAnsi="Calibri" w:cs="Calibri"/>
                <w:sz w:val="20"/>
                <w:szCs w:val="20"/>
              </w:rPr>
              <w:t xml:space="preserve">rozdílů a </w:t>
            </w:r>
            <w:r w:rsidR="00331AD8" w:rsidRPr="00C726E0">
              <w:rPr>
                <w:rFonts w:ascii="Calibri" w:hAnsi="Calibri" w:cs="Calibri"/>
                <w:sz w:val="20"/>
                <w:szCs w:val="20"/>
              </w:rPr>
              <w:t>vztah</w:t>
            </w:r>
            <w:r w:rsidR="00024E33" w:rsidRPr="00C726E0">
              <w:rPr>
                <w:rFonts w:ascii="Calibri" w:hAnsi="Calibri" w:cs="Calibri"/>
                <w:sz w:val="20"/>
                <w:szCs w:val="20"/>
              </w:rPr>
              <w:t>ů</w:t>
            </w:r>
            <w:r w:rsidR="00331AD8" w:rsidRPr="00C726E0">
              <w:rPr>
                <w:rFonts w:ascii="Calibri" w:hAnsi="Calibri" w:cs="Calibri"/>
                <w:sz w:val="20"/>
                <w:szCs w:val="20"/>
              </w:rPr>
              <w:t xml:space="preserve"> mezi indikátory výstupu a výsledku</w:t>
            </w:r>
            <w:r w:rsidR="001A66DB" w:rsidRPr="00C72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24E33" w:rsidRPr="00C726E0">
              <w:rPr>
                <w:rFonts w:ascii="Calibri" w:hAnsi="Calibri" w:cs="Calibri"/>
                <w:sz w:val="20"/>
                <w:szCs w:val="20"/>
              </w:rPr>
              <w:t>u publicity</w:t>
            </w:r>
            <w:r w:rsidR="001A66DB" w:rsidRPr="00C726E0">
              <w:rPr>
                <w:rFonts w:ascii="Calibri" w:hAnsi="Calibri" w:cs="Calibri"/>
                <w:sz w:val="20"/>
                <w:szCs w:val="20"/>
              </w:rPr>
              <w:t xml:space="preserve"> mohou</w:t>
            </w:r>
            <w:r w:rsidR="00024E33" w:rsidRPr="00C72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95765" w:rsidRPr="00C726E0">
              <w:rPr>
                <w:rFonts w:ascii="Calibri" w:hAnsi="Calibri" w:cs="Calibri"/>
                <w:sz w:val="20"/>
                <w:szCs w:val="20"/>
              </w:rPr>
              <w:t xml:space="preserve">obecně </w:t>
            </w:r>
            <w:r w:rsidR="00024E33" w:rsidRPr="00C726E0">
              <w:rPr>
                <w:rFonts w:ascii="Calibri" w:hAnsi="Calibri" w:cs="Calibri"/>
                <w:sz w:val="20"/>
                <w:szCs w:val="20"/>
              </w:rPr>
              <w:t>být:</w:t>
            </w:r>
          </w:p>
          <w:p w14:paraId="2609219A" w14:textId="77777777" w:rsidR="00353B6E" w:rsidRPr="00C726E0" w:rsidRDefault="00331AD8" w:rsidP="00C726E0">
            <w:pPr>
              <w:pStyle w:val="Odstavecseseznamem"/>
              <w:numPr>
                <w:ilvl w:val="0"/>
                <w:numId w:val="40"/>
              </w:numPr>
              <w:ind w:left="318" w:hanging="318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726E0">
              <w:rPr>
                <w:rFonts w:ascii="Calibri" w:hAnsi="Calibri" w:cs="Calibri"/>
                <w:sz w:val="20"/>
                <w:szCs w:val="20"/>
              </w:rPr>
              <w:t>poč</w:t>
            </w:r>
            <w:r w:rsidR="00024E33" w:rsidRPr="00C726E0">
              <w:rPr>
                <w:rFonts w:ascii="Calibri" w:hAnsi="Calibri" w:cs="Calibri"/>
                <w:sz w:val="20"/>
                <w:szCs w:val="20"/>
              </w:rPr>
              <w:t>ty</w:t>
            </w:r>
            <w:r w:rsidRPr="00C72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A4A33" w:rsidRPr="00C726E0">
              <w:rPr>
                <w:rFonts w:ascii="Calibri" w:hAnsi="Calibri" w:cs="Calibri"/>
                <w:sz w:val="20"/>
                <w:szCs w:val="20"/>
              </w:rPr>
              <w:t xml:space="preserve">vyrobených </w:t>
            </w:r>
            <w:r w:rsidR="00047E67" w:rsidRPr="00C726E0">
              <w:rPr>
                <w:rFonts w:ascii="Calibri" w:hAnsi="Calibri" w:cs="Calibri"/>
                <w:sz w:val="20"/>
                <w:szCs w:val="20"/>
              </w:rPr>
              <w:t xml:space="preserve">informačních </w:t>
            </w:r>
            <w:r w:rsidR="00A5622C" w:rsidRPr="00C726E0">
              <w:rPr>
                <w:rFonts w:ascii="Calibri" w:hAnsi="Calibri" w:cs="Calibri"/>
                <w:sz w:val="20"/>
                <w:szCs w:val="20"/>
              </w:rPr>
              <w:t>publikací</w:t>
            </w:r>
            <w:r w:rsidR="001A4A33" w:rsidRPr="00C72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7D04" w:rsidRPr="00C726E0">
              <w:rPr>
                <w:rFonts w:ascii="Calibri" w:hAnsi="Calibri" w:cs="Calibri"/>
                <w:sz w:val="20"/>
                <w:szCs w:val="20"/>
              </w:rPr>
              <w:t>vůči</w:t>
            </w:r>
            <w:r w:rsidRPr="00C726E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3B6E" w:rsidRPr="00C726E0">
              <w:rPr>
                <w:rFonts w:ascii="Calibri" w:hAnsi="Calibri" w:cs="Calibri"/>
                <w:sz w:val="20"/>
                <w:szCs w:val="20"/>
              </w:rPr>
              <w:t xml:space="preserve">publikacím </w:t>
            </w:r>
            <w:r w:rsidRPr="00C726E0">
              <w:rPr>
                <w:rFonts w:ascii="Calibri" w:hAnsi="Calibri" w:cs="Calibri"/>
                <w:sz w:val="20"/>
                <w:szCs w:val="20"/>
              </w:rPr>
              <w:t>distribuovaný</w:t>
            </w:r>
            <w:r w:rsidR="00DC7D04" w:rsidRPr="00C726E0">
              <w:rPr>
                <w:rFonts w:ascii="Calibri" w:hAnsi="Calibri" w:cs="Calibri"/>
                <w:sz w:val="20"/>
                <w:szCs w:val="20"/>
              </w:rPr>
              <w:t>m</w:t>
            </w:r>
            <w:r w:rsidRPr="00C726E0">
              <w:rPr>
                <w:rFonts w:ascii="Calibri" w:hAnsi="Calibri" w:cs="Calibri"/>
                <w:sz w:val="20"/>
                <w:szCs w:val="20"/>
              </w:rPr>
              <w:t xml:space="preserve">, </w:t>
            </w:r>
          </w:p>
          <w:p w14:paraId="475AD175" w14:textId="031D4B2D" w:rsidR="00353B6E" w:rsidRDefault="00331AD8" w:rsidP="00C726E0">
            <w:pPr>
              <w:pStyle w:val="Odstavecseseznamem"/>
              <w:numPr>
                <w:ilvl w:val="0"/>
                <w:numId w:val="40"/>
              </w:numPr>
              <w:ind w:left="318" w:hanging="318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726E0">
              <w:rPr>
                <w:rFonts w:ascii="Calibri" w:hAnsi="Calibri" w:cs="Calibri"/>
                <w:sz w:val="20"/>
                <w:szCs w:val="20"/>
              </w:rPr>
              <w:t>počt</w:t>
            </w:r>
            <w:r w:rsidR="00024E33" w:rsidRPr="00C726E0">
              <w:rPr>
                <w:rFonts w:ascii="Calibri" w:hAnsi="Calibri" w:cs="Calibri"/>
                <w:sz w:val="20"/>
                <w:szCs w:val="20"/>
              </w:rPr>
              <w:t>y</w:t>
            </w:r>
            <w:r w:rsidRPr="00C726E0">
              <w:rPr>
                <w:rFonts w:ascii="Calibri" w:hAnsi="Calibri" w:cs="Calibri"/>
                <w:sz w:val="20"/>
                <w:szCs w:val="20"/>
              </w:rPr>
              <w:t xml:space="preserve"> návštěv webu </w:t>
            </w:r>
            <w:r w:rsidR="00DC7D04" w:rsidRPr="00C726E0">
              <w:rPr>
                <w:rFonts w:ascii="Calibri" w:hAnsi="Calibri" w:cs="Calibri"/>
                <w:sz w:val="20"/>
                <w:szCs w:val="20"/>
              </w:rPr>
              <w:t xml:space="preserve">vůči </w:t>
            </w:r>
            <w:r w:rsidRPr="00C726E0">
              <w:rPr>
                <w:rFonts w:ascii="Calibri" w:hAnsi="Calibri" w:cs="Calibri"/>
                <w:sz w:val="20"/>
                <w:szCs w:val="20"/>
              </w:rPr>
              <w:t>počt</w:t>
            </w:r>
            <w:r w:rsidR="00DC7D04" w:rsidRPr="00C726E0">
              <w:rPr>
                <w:rFonts w:ascii="Calibri" w:hAnsi="Calibri" w:cs="Calibri"/>
                <w:sz w:val="20"/>
                <w:szCs w:val="20"/>
              </w:rPr>
              <w:t>u</w:t>
            </w:r>
            <w:r w:rsidRPr="00C726E0">
              <w:rPr>
                <w:rFonts w:ascii="Calibri" w:hAnsi="Calibri" w:cs="Calibri"/>
                <w:sz w:val="20"/>
                <w:szCs w:val="20"/>
              </w:rPr>
              <w:t xml:space="preserve"> stažených </w:t>
            </w:r>
            <w:r w:rsidR="003B45CF" w:rsidRPr="00C726E0">
              <w:rPr>
                <w:rFonts w:ascii="Calibri" w:hAnsi="Calibri" w:cs="Calibri"/>
                <w:sz w:val="20"/>
                <w:szCs w:val="20"/>
              </w:rPr>
              <w:t>dokumentů</w:t>
            </w:r>
            <w:r w:rsidR="00353B6E" w:rsidRPr="00C726E0">
              <w:rPr>
                <w:rFonts w:ascii="Calibri" w:hAnsi="Calibri" w:cs="Calibri"/>
                <w:sz w:val="20"/>
                <w:szCs w:val="20"/>
              </w:rPr>
              <w:t xml:space="preserve"> nebo počtu tzv. prokliků na upoutávku,</w:t>
            </w:r>
          </w:p>
          <w:p w14:paraId="02225E68" w14:textId="77777777" w:rsidR="00C726E0" w:rsidRPr="00C726E0" w:rsidRDefault="00C726E0" w:rsidP="00C726E0">
            <w:pPr>
              <w:pStyle w:val="Odstavecseseznamem"/>
              <w:numPr>
                <w:ilvl w:val="0"/>
                <w:numId w:val="40"/>
              </w:numPr>
              <w:ind w:left="318" w:hanging="318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726E0">
              <w:rPr>
                <w:rFonts w:ascii="Calibri" w:hAnsi="Calibri" w:cs="Calibri"/>
                <w:sz w:val="20"/>
                <w:szCs w:val="20"/>
              </w:rPr>
              <w:t>počty pořádaných seminářů vůči počtu účastníků,</w:t>
            </w:r>
          </w:p>
          <w:p w14:paraId="7B8C7AA5" w14:textId="77777777" w:rsidR="005759AE" w:rsidRPr="00C726E0" w:rsidRDefault="00C726E0" w:rsidP="00C726E0">
            <w:pPr>
              <w:pStyle w:val="Odstavecseseznamem"/>
              <w:numPr>
                <w:ilvl w:val="0"/>
                <w:numId w:val="40"/>
              </w:numPr>
              <w:ind w:left="318" w:hanging="318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726E0">
              <w:rPr>
                <w:rFonts w:ascii="Calibri" w:hAnsi="Calibri" w:cs="Calibri"/>
                <w:sz w:val="20"/>
                <w:szCs w:val="20"/>
              </w:rPr>
              <w:t>počty odvysílaných reklamních spotů vůči počtu skutečně zhlédnutých spotů nebo vůči průměrnému počtu zhlédnutí spotu jedním zástupcem cílové skupiny.</w:t>
            </w:r>
          </w:p>
        </w:tc>
      </w:tr>
    </w:tbl>
    <w:p w14:paraId="4B489827" w14:textId="77777777" w:rsidR="00301726" w:rsidRDefault="00301726" w:rsidP="00E7430A">
      <w:pPr>
        <w:pStyle w:val="Odstavecseseznamem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3B01EEE1" w14:textId="77777777" w:rsidR="00E52DD0" w:rsidRPr="00D205EE" w:rsidRDefault="00066B7D" w:rsidP="00D205EE">
      <w:p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D205EE">
        <w:rPr>
          <w:rFonts w:ascii="Calibri" w:hAnsi="Calibri" w:cs="Calibri"/>
          <w:b/>
          <w:color w:val="000000" w:themeColor="text1"/>
          <w:sz w:val="24"/>
          <w:szCs w:val="24"/>
        </w:rPr>
        <w:t xml:space="preserve">1.2 </w:t>
      </w:r>
      <w:r w:rsidR="00D8559A" w:rsidRPr="00D205EE">
        <w:rPr>
          <w:rFonts w:ascii="Calibri" w:hAnsi="Calibri" w:cs="Calibri"/>
          <w:b/>
          <w:color w:val="000000" w:themeColor="text1"/>
          <w:sz w:val="24"/>
          <w:szCs w:val="24"/>
        </w:rPr>
        <w:t>Ministerstvo práce a sociálních věcí</w:t>
      </w:r>
    </w:p>
    <w:p w14:paraId="5435F7FE" w14:textId="77777777" w:rsidR="00D205EE" w:rsidRPr="00D205EE" w:rsidRDefault="00D205EE" w:rsidP="00D205EE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3577A557" w14:textId="2B26433F" w:rsidR="00776751" w:rsidRPr="00527AB2" w:rsidRDefault="00776751" w:rsidP="00D205E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27AB2">
        <w:rPr>
          <w:rFonts w:cstheme="minorHAnsi"/>
          <w:sz w:val="24"/>
          <w:szCs w:val="24"/>
        </w:rPr>
        <w:t>MPSV ne</w:t>
      </w:r>
      <w:r w:rsidR="00E66B83">
        <w:rPr>
          <w:rFonts w:cstheme="minorHAnsi"/>
          <w:sz w:val="24"/>
          <w:szCs w:val="24"/>
        </w:rPr>
        <w:t>vy</w:t>
      </w:r>
      <w:r w:rsidRPr="00527AB2">
        <w:rPr>
          <w:rFonts w:cstheme="minorHAnsi"/>
          <w:sz w:val="24"/>
          <w:szCs w:val="24"/>
        </w:rPr>
        <w:t xml:space="preserve">pracovalo </w:t>
      </w:r>
      <w:r w:rsidR="00D8559A" w:rsidRPr="00527AB2">
        <w:rPr>
          <w:rFonts w:cstheme="minorHAnsi"/>
          <w:sz w:val="24"/>
          <w:szCs w:val="24"/>
        </w:rPr>
        <w:t xml:space="preserve">pro OP LZZ </w:t>
      </w:r>
      <w:r w:rsidRPr="00527AB2">
        <w:rPr>
          <w:rFonts w:cstheme="minorHAnsi"/>
          <w:sz w:val="24"/>
          <w:szCs w:val="24"/>
        </w:rPr>
        <w:t>výchozí analýzu komunikačních potřeb</w:t>
      </w:r>
      <w:r w:rsidR="00E66B83">
        <w:rPr>
          <w:rFonts w:cstheme="minorHAnsi"/>
          <w:sz w:val="24"/>
          <w:szCs w:val="24"/>
        </w:rPr>
        <w:t>, která by byla</w:t>
      </w:r>
      <w:r w:rsidR="00193A5A">
        <w:rPr>
          <w:rFonts w:cstheme="minorHAnsi"/>
          <w:sz w:val="24"/>
          <w:szCs w:val="24"/>
        </w:rPr>
        <w:t xml:space="preserve"> relevantní</w:t>
      </w:r>
      <w:r w:rsidR="00E66B83">
        <w:rPr>
          <w:rFonts w:cstheme="minorHAnsi"/>
          <w:sz w:val="24"/>
          <w:szCs w:val="24"/>
        </w:rPr>
        <w:t>m</w:t>
      </w:r>
      <w:r w:rsidR="00193A5A">
        <w:rPr>
          <w:rFonts w:cstheme="minorHAnsi"/>
          <w:sz w:val="24"/>
          <w:szCs w:val="24"/>
        </w:rPr>
        <w:t xml:space="preserve"> podklad</w:t>
      </w:r>
      <w:r w:rsidR="00E66B83">
        <w:rPr>
          <w:rFonts w:cstheme="minorHAnsi"/>
          <w:sz w:val="24"/>
          <w:szCs w:val="24"/>
        </w:rPr>
        <w:t>em</w:t>
      </w:r>
      <w:r w:rsidR="00193A5A">
        <w:rPr>
          <w:rFonts w:cstheme="minorHAnsi"/>
          <w:sz w:val="24"/>
          <w:szCs w:val="24"/>
        </w:rPr>
        <w:t xml:space="preserve"> </w:t>
      </w:r>
      <w:r w:rsidRPr="00527AB2">
        <w:rPr>
          <w:rFonts w:cstheme="minorHAnsi"/>
          <w:sz w:val="24"/>
          <w:szCs w:val="24"/>
        </w:rPr>
        <w:t>pro vytvoření komunikační strategie a komunikačního plánu</w:t>
      </w:r>
      <w:r w:rsidR="000B6DDB">
        <w:rPr>
          <w:rFonts w:cstheme="minorHAnsi"/>
          <w:sz w:val="24"/>
          <w:szCs w:val="24"/>
        </w:rPr>
        <w:t xml:space="preserve"> </w:t>
      </w:r>
      <w:r w:rsidR="00D7778B">
        <w:rPr>
          <w:rFonts w:cstheme="minorHAnsi"/>
          <w:sz w:val="24"/>
          <w:szCs w:val="24"/>
        </w:rPr>
        <w:t>na období 2007–</w:t>
      </w:r>
      <w:r w:rsidRPr="00527AB2">
        <w:rPr>
          <w:rFonts w:cstheme="minorHAnsi"/>
          <w:sz w:val="24"/>
          <w:szCs w:val="24"/>
        </w:rPr>
        <w:t>2013</w:t>
      </w:r>
      <w:r w:rsidR="00EE5F76" w:rsidRPr="00527AB2">
        <w:rPr>
          <w:rFonts w:cstheme="minorHAnsi"/>
          <w:sz w:val="24"/>
          <w:szCs w:val="24"/>
        </w:rPr>
        <w:t>; MPSV vycházelo z evaluace komunikačních plánů předchozího programového období 2004</w:t>
      </w:r>
      <w:r w:rsidR="00E01217">
        <w:rPr>
          <w:rFonts w:cstheme="minorHAnsi"/>
          <w:sz w:val="24"/>
          <w:szCs w:val="24"/>
        </w:rPr>
        <w:t>–</w:t>
      </w:r>
      <w:r w:rsidR="00EE5F76" w:rsidRPr="00527AB2">
        <w:rPr>
          <w:rFonts w:cstheme="minorHAnsi"/>
          <w:sz w:val="24"/>
          <w:szCs w:val="24"/>
        </w:rPr>
        <w:t>2006.</w:t>
      </w:r>
    </w:p>
    <w:p w14:paraId="4A0EBAD2" w14:textId="5B83537D" w:rsidR="00D93221" w:rsidRPr="00527AB2" w:rsidRDefault="00DA1C7E" w:rsidP="00D205E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A781A">
        <w:rPr>
          <w:rFonts w:cstheme="minorHAnsi"/>
          <w:sz w:val="24"/>
          <w:szCs w:val="24"/>
        </w:rPr>
        <w:t xml:space="preserve">Cíle, které stanovil </w:t>
      </w:r>
      <w:r w:rsidR="00E66B83">
        <w:rPr>
          <w:rFonts w:cstheme="minorHAnsi"/>
          <w:sz w:val="24"/>
          <w:szCs w:val="24"/>
        </w:rPr>
        <w:t>ř</w:t>
      </w:r>
      <w:r w:rsidRPr="006A781A">
        <w:rPr>
          <w:rFonts w:cstheme="minorHAnsi"/>
          <w:sz w:val="24"/>
          <w:szCs w:val="24"/>
        </w:rPr>
        <w:t>ídicí orgán v KoP OP LZZ</w:t>
      </w:r>
      <w:r w:rsidR="00000D55" w:rsidRPr="006A781A">
        <w:rPr>
          <w:rFonts w:cstheme="minorHAnsi"/>
          <w:sz w:val="24"/>
          <w:szCs w:val="24"/>
        </w:rPr>
        <w:t xml:space="preserve"> a též v </w:t>
      </w:r>
      <w:r w:rsidRPr="006A781A">
        <w:rPr>
          <w:rFonts w:cstheme="minorHAnsi"/>
          <w:sz w:val="24"/>
          <w:szCs w:val="24"/>
        </w:rPr>
        <w:t xml:space="preserve">RKoP </w:t>
      </w:r>
      <w:r w:rsidR="00000D55" w:rsidRPr="006A781A">
        <w:rPr>
          <w:rFonts w:cstheme="minorHAnsi"/>
          <w:sz w:val="24"/>
          <w:szCs w:val="24"/>
        </w:rPr>
        <w:t xml:space="preserve">až </w:t>
      </w:r>
      <w:r w:rsidRPr="006A781A">
        <w:rPr>
          <w:rFonts w:cstheme="minorHAnsi"/>
          <w:sz w:val="24"/>
          <w:szCs w:val="24"/>
        </w:rPr>
        <w:t>do roku 2012</w:t>
      </w:r>
      <w:r w:rsidR="00000D55" w:rsidRPr="006A781A">
        <w:rPr>
          <w:rFonts w:cstheme="minorHAnsi"/>
          <w:sz w:val="24"/>
          <w:szCs w:val="24"/>
        </w:rPr>
        <w:t xml:space="preserve">, </w:t>
      </w:r>
      <w:r w:rsidR="00D3764F" w:rsidRPr="006A781A">
        <w:rPr>
          <w:rFonts w:cstheme="minorHAnsi"/>
          <w:sz w:val="24"/>
          <w:szCs w:val="24"/>
        </w:rPr>
        <w:t xml:space="preserve">byly </w:t>
      </w:r>
      <w:r w:rsidRPr="006A781A">
        <w:rPr>
          <w:rFonts w:cstheme="minorHAnsi"/>
          <w:sz w:val="24"/>
          <w:szCs w:val="24"/>
        </w:rPr>
        <w:t>obtížně měřitelné z důvodu absence výchozích i cílových hodnot indikátorů</w:t>
      </w:r>
      <w:r w:rsidR="00000D55" w:rsidRPr="006A781A">
        <w:rPr>
          <w:rFonts w:cstheme="minorHAnsi"/>
          <w:sz w:val="24"/>
          <w:szCs w:val="24"/>
        </w:rPr>
        <w:t xml:space="preserve">. </w:t>
      </w:r>
      <w:r w:rsidR="00FC67EF" w:rsidRPr="006A781A">
        <w:rPr>
          <w:rFonts w:cstheme="minorHAnsi"/>
          <w:sz w:val="24"/>
          <w:szCs w:val="24"/>
        </w:rPr>
        <w:t xml:space="preserve">Týkalo se to například indikátorů </w:t>
      </w:r>
      <w:r w:rsidR="00E66B83">
        <w:rPr>
          <w:rFonts w:cstheme="minorHAnsi"/>
          <w:sz w:val="24"/>
          <w:szCs w:val="24"/>
        </w:rPr>
        <w:t>„</w:t>
      </w:r>
      <w:r w:rsidR="00FC67EF" w:rsidRPr="006A781A">
        <w:rPr>
          <w:rFonts w:cstheme="minorHAnsi"/>
          <w:i/>
          <w:sz w:val="24"/>
          <w:szCs w:val="24"/>
        </w:rPr>
        <w:t>zvýšení míry povědomí cílových skupin o ESF, resp. OP</w:t>
      </w:r>
      <w:r w:rsidR="00FC67EF" w:rsidRPr="00527AB2">
        <w:rPr>
          <w:rFonts w:cstheme="minorHAnsi"/>
          <w:i/>
          <w:sz w:val="24"/>
          <w:szCs w:val="24"/>
        </w:rPr>
        <w:t xml:space="preserve"> LZZ</w:t>
      </w:r>
      <w:r w:rsidR="00E66B83">
        <w:rPr>
          <w:rFonts w:cstheme="minorHAnsi"/>
          <w:sz w:val="24"/>
          <w:szCs w:val="24"/>
        </w:rPr>
        <w:t>“</w:t>
      </w:r>
      <w:r w:rsidR="00FC67EF" w:rsidRPr="00527AB2">
        <w:rPr>
          <w:rFonts w:cstheme="minorHAnsi"/>
          <w:i/>
          <w:sz w:val="24"/>
          <w:szCs w:val="24"/>
        </w:rPr>
        <w:t xml:space="preserve"> </w:t>
      </w:r>
      <w:r w:rsidR="00D7778B">
        <w:rPr>
          <w:rFonts w:cstheme="minorHAnsi"/>
          <w:sz w:val="24"/>
          <w:szCs w:val="24"/>
        </w:rPr>
        <w:t>a </w:t>
      </w:r>
      <w:r w:rsidR="00E66B83">
        <w:rPr>
          <w:rFonts w:cstheme="minorHAnsi"/>
          <w:sz w:val="24"/>
          <w:szCs w:val="24"/>
        </w:rPr>
        <w:t>„</w:t>
      </w:r>
      <w:r w:rsidR="00FC67EF" w:rsidRPr="00527AB2">
        <w:rPr>
          <w:rFonts w:cstheme="minorHAnsi"/>
          <w:i/>
          <w:sz w:val="24"/>
          <w:szCs w:val="24"/>
        </w:rPr>
        <w:t>zvýšení počtu předložených projektů</w:t>
      </w:r>
      <w:r w:rsidR="00E66B83">
        <w:rPr>
          <w:rFonts w:cstheme="minorHAnsi"/>
          <w:sz w:val="24"/>
          <w:szCs w:val="24"/>
        </w:rPr>
        <w:t>“</w:t>
      </w:r>
      <w:r w:rsidR="00FC67EF">
        <w:rPr>
          <w:rFonts w:cstheme="minorHAnsi"/>
          <w:sz w:val="24"/>
          <w:szCs w:val="24"/>
        </w:rPr>
        <w:t xml:space="preserve">. </w:t>
      </w:r>
      <w:r w:rsidR="00000D55">
        <w:rPr>
          <w:rFonts w:cstheme="minorHAnsi"/>
          <w:sz w:val="24"/>
          <w:szCs w:val="24"/>
        </w:rPr>
        <w:t>O</w:t>
      </w:r>
      <w:r w:rsidRPr="00527AB2">
        <w:rPr>
          <w:rFonts w:cstheme="minorHAnsi"/>
          <w:sz w:val="24"/>
          <w:szCs w:val="24"/>
        </w:rPr>
        <w:t>čekávané naplnění cílů ne</w:t>
      </w:r>
      <w:r w:rsidR="00D8559A" w:rsidRPr="00527AB2">
        <w:rPr>
          <w:rFonts w:cstheme="minorHAnsi"/>
          <w:sz w:val="24"/>
          <w:szCs w:val="24"/>
        </w:rPr>
        <w:t xml:space="preserve">bylo </w:t>
      </w:r>
      <w:r w:rsidRPr="00527AB2">
        <w:rPr>
          <w:rFonts w:cstheme="minorHAnsi"/>
          <w:sz w:val="24"/>
          <w:szCs w:val="24"/>
        </w:rPr>
        <w:t>časově vymezeno</w:t>
      </w:r>
      <w:r w:rsidR="00000D55">
        <w:rPr>
          <w:rFonts w:cstheme="minorHAnsi"/>
          <w:sz w:val="24"/>
          <w:szCs w:val="24"/>
        </w:rPr>
        <w:t>, nebyl stanoven žádný časový rámec</w:t>
      </w:r>
      <w:r w:rsidRPr="00527AB2">
        <w:rPr>
          <w:rFonts w:cstheme="minorHAnsi"/>
          <w:sz w:val="24"/>
          <w:szCs w:val="24"/>
        </w:rPr>
        <w:t xml:space="preserve">. </w:t>
      </w:r>
      <w:r w:rsidR="00FC67EF">
        <w:rPr>
          <w:rFonts w:cstheme="minorHAnsi"/>
          <w:sz w:val="24"/>
          <w:szCs w:val="24"/>
        </w:rPr>
        <w:t>V</w:t>
      </w:r>
      <w:r w:rsidR="00D93221" w:rsidRPr="00527AB2">
        <w:rPr>
          <w:rFonts w:cstheme="minorHAnsi"/>
          <w:sz w:val="24"/>
          <w:szCs w:val="24"/>
        </w:rPr>
        <w:t> projektech publicity</w:t>
      </w:r>
      <w:r w:rsidR="00000D55">
        <w:rPr>
          <w:rFonts w:cstheme="minorHAnsi"/>
          <w:sz w:val="24"/>
          <w:szCs w:val="24"/>
        </w:rPr>
        <w:t>, kterými byl naplňován komunikační plán</w:t>
      </w:r>
      <w:r w:rsidR="00FC67EF">
        <w:rPr>
          <w:rFonts w:cstheme="minorHAnsi"/>
          <w:sz w:val="24"/>
          <w:szCs w:val="24"/>
        </w:rPr>
        <w:t>, nebyly stanoveny žádné m</w:t>
      </w:r>
      <w:r w:rsidR="00FC67EF" w:rsidRPr="00527AB2">
        <w:rPr>
          <w:rFonts w:cstheme="minorHAnsi"/>
          <w:sz w:val="24"/>
          <w:szCs w:val="24"/>
        </w:rPr>
        <w:t>onitorovací indikátory</w:t>
      </w:r>
      <w:r w:rsidR="00FC67EF">
        <w:rPr>
          <w:rFonts w:cstheme="minorHAnsi"/>
          <w:sz w:val="24"/>
          <w:szCs w:val="24"/>
        </w:rPr>
        <w:t>.</w:t>
      </w:r>
    </w:p>
    <w:p w14:paraId="3221D751" w14:textId="77777777" w:rsidR="00DA1C7E" w:rsidRPr="00527AB2" w:rsidRDefault="00DA1C7E" w:rsidP="00D205EE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27AB2">
        <w:rPr>
          <w:rFonts w:cstheme="minorHAnsi"/>
          <w:sz w:val="24"/>
          <w:szCs w:val="24"/>
        </w:rPr>
        <w:t>Řídicí orgán nereagoval na doporučení uvedená v evaluační zprávě</w:t>
      </w:r>
      <w:r w:rsidR="0055007A" w:rsidRPr="00527AB2">
        <w:rPr>
          <w:rStyle w:val="Znakapoznpodarou"/>
          <w:rFonts w:cstheme="minorHAnsi"/>
          <w:sz w:val="24"/>
          <w:szCs w:val="24"/>
        </w:rPr>
        <w:footnoteReference w:id="8"/>
      </w:r>
      <w:r w:rsidRPr="00527AB2">
        <w:rPr>
          <w:rFonts w:cstheme="minorHAnsi"/>
          <w:sz w:val="24"/>
          <w:szCs w:val="24"/>
        </w:rPr>
        <w:t xml:space="preserve"> </w:t>
      </w:r>
      <w:r w:rsidR="003B60D9" w:rsidRPr="00527AB2">
        <w:rPr>
          <w:rFonts w:cstheme="minorHAnsi"/>
          <w:sz w:val="24"/>
          <w:szCs w:val="24"/>
        </w:rPr>
        <w:t>z roku 2011</w:t>
      </w:r>
      <w:r w:rsidR="00E7430A">
        <w:rPr>
          <w:rFonts w:cstheme="minorHAnsi"/>
          <w:sz w:val="24"/>
          <w:szCs w:val="24"/>
        </w:rPr>
        <w:t xml:space="preserve"> </w:t>
      </w:r>
      <w:r w:rsidRPr="00527AB2">
        <w:rPr>
          <w:rFonts w:cstheme="minorHAnsi"/>
          <w:sz w:val="24"/>
          <w:szCs w:val="24"/>
        </w:rPr>
        <w:t xml:space="preserve">ve smyslu doporučované revize </w:t>
      </w:r>
      <w:r w:rsidR="00CF57D6" w:rsidRPr="00527AB2">
        <w:rPr>
          <w:rFonts w:cstheme="minorHAnsi"/>
          <w:sz w:val="24"/>
          <w:szCs w:val="24"/>
        </w:rPr>
        <w:t xml:space="preserve">obecných </w:t>
      </w:r>
      <w:r w:rsidRPr="00527AB2">
        <w:rPr>
          <w:rFonts w:cstheme="minorHAnsi"/>
          <w:sz w:val="24"/>
          <w:szCs w:val="24"/>
        </w:rPr>
        <w:t>cílů KoP OP LZZ a optimalizace indikátorové soustavy; K</w:t>
      </w:r>
      <w:r w:rsidR="00CF57D6" w:rsidRPr="00527AB2">
        <w:rPr>
          <w:rFonts w:cstheme="minorHAnsi"/>
          <w:sz w:val="24"/>
          <w:szCs w:val="24"/>
        </w:rPr>
        <w:t xml:space="preserve">oP </w:t>
      </w:r>
      <w:r w:rsidRPr="00527AB2">
        <w:rPr>
          <w:rFonts w:cstheme="minorHAnsi"/>
          <w:sz w:val="24"/>
          <w:szCs w:val="24"/>
        </w:rPr>
        <w:t>OP LZZ nebyl v průběhu implementace žádným způsobem revidován.</w:t>
      </w:r>
    </w:p>
    <w:p w14:paraId="574E0DC6" w14:textId="77777777" w:rsidR="00DA1C7E" w:rsidRPr="004A0AA3" w:rsidRDefault="00DA1C7E" w:rsidP="009043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734C7A" w14:textId="77777777" w:rsidR="00E52DD0" w:rsidRDefault="00131CB0" w:rsidP="00E7430A">
      <w:pPr>
        <w:spacing w:after="0" w:line="240" w:lineRule="auto"/>
        <w:rPr>
          <w:b/>
          <w:sz w:val="24"/>
          <w:szCs w:val="24"/>
        </w:rPr>
      </w:pPr>
      <w:r w:rsidRPr="00E7430A">
        <w:rPr>
          <w:b/>
          <w:sz w:val="24"/>
          <w:szCs w:val="24"/>
        </w:rPr>
        <w:t xml:space="preserve">1.3 </w:t>
      </w:r>
      <w:r w:rsidR="00E52DD0" w:rsidRPr="00E7430A">
        <w:rPr>
          <w:b/>
          <w:sz w:val="24"/>
          <w:szCs w:val="24"/>
        </w:rPr>
        <w:t>R</w:t>
      </w:r>
      <w:r w:rsidR="00D8559A" w:rsidRPr="00E7430A">
        <w:rPr>
          <w:b/>
          <w:sz w:val="24"/>
          <w:szCs w:val="24"/>
        </w:rPr>
        <w:t xml:space="preserve">egionální rada regionu soudržnosti </w:t>
      </w:r>
      <w:r w:rsidR="00E52DD0" w:rsidRPr="00E7430A">
        <w:rPr>
          <w:b/>
          <w:sz w:val="24"/>
          <w:szCs w:val="24"/>
        </w:rPr>
        <w:t>S</w:t>
      </w:r>
      <w:r w:rsidR="00D8559A" w:rsidRPr="00E7430A">
        <w:rPr>
          <w:b/>
          <w:sz w:val="24"/>
          <w:szCs w:val="24"/>
        </w:rPr>
        <w:t xml:space="preserve">třední </w:t>
      </w:r>
      <w:r w:rsidR="00E52DD0" w:rsidRPr="00E7430A">
        <w:rPr>
          <w:b/>
          <w:sz w:val="24"/>
          <w:szCs w:val="24"/>
        </w:rPr>
        <w:t>Č</w:t>
      </w:r>
      <w:r w:rsidR="00D8559A" w:rsidRPr="00E7430A">
        <w:rPr>
          <w:b/>
          <w:sz w:val="24"/>
          <w:szCs w:val="24"/>
        </w:rPr>
        <w:t>echy</w:t>
      </w:r>
    </w:p>
    <w:p w14:paraId="2A49E593" w14:textId="77777777" w:rsidR="00E7430A" w:rsidRPr="00E7430A" w:rsidRDefault="00E7430A" w:rsidP="00E7430A">
      <w:pPr>
        <w:spacing w:after="0" w:line="240" w:lineRule="auto"/>
        <w:rPr>
          <w:sz w:val="24"/>
          <w:szCs w:val="24"/>
        </w:rPr>
      </w:pPr>
    </w:p>
    <w:p w14:paraId="6FF8F88A" w14:textId="5826B98D" w:rsidR="00EE5F76" w:rsidRPr="00527AB2" w:rsidRDefault="00EE5F76" w:rsidP="00E7430A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27AB2">
        <w:rPr>
          <w:rFonts w:cstheme="minorHAnsi"/>
          <w:sz w:val="24"/>
          <w:szCs w:val="24"/>
        </w:rPr>
        <w:t>RR SČ využila při stanovení komunikačních cílů analýzy hodnocení slabých míst implementace předchozího programového období</w:t>
      </w:r>
      <w:r w:rsidR="00E627CA" w:rsidRPr="00527AB2">
        <w:rPr>
          <w:rFonts w:cstheme="minorHAnsi"/>
          <w:sz w:val="24"/>
          <w:szCs w:val="24"/>
        </w:rPr>
        <w:t>; samostatnou analýzu komunikačních potřeb ne</w:t>
      </w:r>
      <w:r w:rsidR="00E66B83">
        <w:rPr>
          <w:rFonts w:cstheme="minorHAnsi"/>
          <w:sz w:val="24"/>
          <w:szCs w:val="24"/>
        </w:rPr>
        <w:t>vy</w:t>
      </w:r>
      <w:r w:rsidR="00E627CA" w:rsidRPr="00527AB2">
        <w:rPr>
          <w:rFonts w:cstheme="minorHAnsi"/>
          <w:sz w:val="24"/>
          <w:szCs w:val="24"/>
        </w:rPr>
        <w:t>pracoval</w:t>
      </w:r>
      <w:r w:rsidR="00692EFA" w:rsidRPr="00527AB2">
        <w:rPr>
          <w:rFonts w:cstheme="minorHAnsi"/>
          <w:sz w:val="24"/>
          <w:szCs w:val="24"/>
        </w:rPr>
        <w:t>a</w:t>
      </w:r>
      <w:r w:rsidR="00E627CA" w:rsidRPr="00527AB2">
        <w:rPr>
          <w:rFonts w:cstheme="minorHAnsi"/>
          <w:sz w:val="24"/>
          <w:szCs w:val="24"/>
        </w:rPr>
        <w:t>.</w:t>
      </w:r>
    </w:p>
    <w:p w14:paraId="3D63B28E" w14:textId="25FF531F" w:rsidR="008808F4" w:rsidRDefault="008808F4" w:rsidP="00E7430A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A0F36">
        <w:rPr>
          <w:rFonts w:cstheme="minorHAnsi"/>
          <w:sz w:val="24"/>
          <w:szCs w:val="24"/>
        </w:rPr>
        <w:t xml:space="preserve">Na úrovni </w:t>
      </w:r>
      <w:r w:rsidR="00DA0F36" w:rsidRPr="00DA0F36">
        <w:rPr>
          <w:rFonts w:cstheme="minorHAnsi"/>
          <w:sz w:val="24"/>
          <w:szCs w:val="24"/>
        </w:rPr>
        <w:t xml:space="preserve">KoP a </w:t>
      </w:r>
      <w:r w:rsidRPr="00DA0F36">
        <w:rPr>
          <w:rFonts w:cstheme="minorHAnsi"/>
          <w:sz w:val="24"/>
          <w:szCs w:val="24"/>
        </w:rPr>
        <w:t xml:space="preserve">RKoP </w:t>
      </w:r>
      <w:r w:rsidR="00DA0F36" w:rsidRPr="00DA0F36">
        <w:rPr>
          <w:rFonts w:cstheme="minorHAnsi"/>
          <w:sz w:val="24"/>
          <w:szCs w:val="24"/>
        </w:rPr>
        <w:t xml:space="preserve">nebyly u výstupových a výsledkových indikátorů stanoveny žádné </w:t>
      </w:r>
      <w:r w:rsidRPr="00DA0F36">
        <w:rPr>
          <w:rFonts w:cstheme="minorHAnsi"/>
          <w:sz w:val="24"/>
          <w:szCs w:val="24"/>
        </w:rPr>
        <w:t xml:space="preserve">výchozí </w:t>
      </w:r>
      <w:r w:rsidR="00DA0F36" w:rsidRPr="00DA0F36">
        <w:rPr>
          <w:rFonts w:cstheme="minorHAnsi"/>
          <w:sz w:val="24"/>
          <w:szCs w:val="24"/>
        </w:rPr>
        <w:t xml:space="preserve">ani </w:t>
      </w:r>
      <w:r w:rsidRPr="00DA0F36">
        <w:rPr>
          <w:rFonts w:cstheme="minorHAnsi"/>
          <w:sz w:val="24"/>
          <w:szCs w:val="24"/>
        </w:rPr>
        <w:t xml:space="preserve">cílové hodnoty </w:t>
      </w:r>
      <w:r w:rsidR="00DA0F36" w:rsidRPr="00DA0F36">
        <w:rPr>
          <w:rFonts w:cstheme="minorHAnsi"/>
          <w:sz w:val="24"/>
          <w:szCs w:val="24"/>
        </w:rPr>
        <w:t xml:space="preserve">k měření </w:t>
      </w:r>
      <w:r w:rsidR="00F9648E" w:rsidRPr="00DA0F36">
        <w:rPr>
          <w:rFonts w:cstheme="minorHAnsi"/>
          <w:sz w:val="24"/>
          <w:szCs w:val="24"/>
        </w:rPr>
        <w:t>na</w:t>
      </w:r>
      <w:r w:rsidRPr="00DA0F36">
        <w:rPr>
          <w:rFonts w:cstheme="minorHAnsi"/>
          <w:sz w:val="24"/>
          <w:szCs w:val="24"/>
        </w:rPr>
        <w:t>plnění</w:t>
      </w:r>
      <w:r w:rsidR="0025164A" w:rsidRPr="00DA0F36">
        <w:rPr>
          <w:rFonts w:cstheme="minorHAnsi"/>
          <w:sz w:val="24"/>
          <w:szCs w:val="24"/>
        </w:rPr>
        <w:t xml:space="preserve"> cílů</w:t>
      </w:r>
      <w:r w:rsidR="006A781A">
        <w:rPr>
          <w:rFonts w:cstheme="minorHAnsi"/>
          <w:sz w:val="24"/>
          <w:szCs w:val="24"/>
        </w:rPr>
        <w:t>.</w:t>
      </w:r>
      <w:r w:rsidR="00E7430A">
        <w:rPr>
          <w:rFonts w:cstheme="minorHAnsi"/>
          <w:sz w:val="24"/>
          <w:szCs w:val="24"/>
        </w:rPr>
        <w:t xml:space="preserve"> Hodnoty nebyly stanoveny ani u </w:t>
      </w:r>
      <w:r w:rsidR="006A781A">
        <w:rPr>
          <w:rFonts w:cstheme="minorHAnsi"/>
          <w:sz w:val="24"/>
          <w:szCs w:val="24"/>
        </w:rPr>
        <w:t xml:space="preserve">plánovaných činností. </w:t>
      </w:r>
      <w:r w:rsidRPr="00527AB2">
        <w:rPr>
          <w:rFonts w:cstheme="minorHAnsi"/>
          <w:sz w:val="24"/>
          <w:szCs w:val="24"/>
        </w:rPr>
        <w:t xml:space="preserve">Z tohoto důvodu také nelze jednoznačně vyhodnotit, zda byly </w:t>
      </w:r>
      <w:r w:rsidR="00F9648E" w:rsidRPr="00527AB2">
        <w:rPr>
          <w:rFonts w:cstheme="minorHAnsi"/>
          <w:sz w:val="24"/>
          <w:szCs w:val="24"/>
        </w:rPr>
        <w:t>cíle n</w:t>
      </w:r>
      <w:r w:rsidRPr="00527AB2">
        <w:rPr>
          <w:rFonts w:cstheme="minorHAnsi"/>
          <w:sz w:val="24"/>
          <w:szCs w:val="24"/>
        </w:rPr>
        <w:t xml:space="preserve">astaveny přiměřeně a zda jsou dosažitelné. Časový rámec </w:t>
      </w:r>
      <w:r w:rsidR="00D466CB" w:rsidRPr="00527AB2">
        <w:rPr>
          <w:rFonts w:cstheme="minorHAnsi"/>
          <w:sz w:val="24"/>
          <w:szCs w:val="24"/>
        </w:rPr>
        <w:t>pro dosažení cílů</w:t>
      </w:r>
      <w:r w:rsidR="00DA0F36">
        <w:rPr>
          <w:rFonts w:cstheme="minorHAnsi"/>
          <w:sz w:val="24"/>
          <w:szCs w:val="24"/>
        </w:rPr>
        <w:t>, tj. pro splnění opatření</w:t>
      </w:r>
      <w:r w:rsidR="00E66B83">
        <w:rPr>
          <w:rFonts w:cstheme="minorHAnsi"/>
          <w:sz w:val="24"/>
          <w:szCs w:val="24"/>
        </w:rPr>
        <w:t>,</w:t>
      </w:r>
      <w:r w:rsidR="00DA0F36">
        <w:rPr>
          <w:rFonts w:cstheme="minorHAnsi"/>
          <w:sz w:val="24"/>
          <w:szCs w:val="24"/>
        </w:rPr>
        <w:t xml:space="preserve"> </w:t>
      </w:r>
      <w:r w:rsidRPr="00527AB2">
        <w:rPr>
          <w:rFonts w:cstheme="minorHAnsi"/>
          <w:sz w:val="24"/>
          <w:szCs w:val="24"/>
        </w:rPr>
        <w:t xml:space="preserve">byl </w:t>
      </w:r>
      <w:r w:rsidR="006A781A">
        <w:rPr>
          <w:rFonts w:cstheme="minorHAnsi"/>
          <w:sz w:val="24"/>
          <w:szCs w:val="24"/>
        </w:rPr>
        <w:t xml:space="preserve">vymezen jako celoroční nebo dle potřeby; byl tedy </w:t>
      </w:r>
      <w:r w:rsidR="00D466CB" w:rsidRPr="00527AB2">
        <w:rPr>
          <w:rFonts w:cstheme="minorHAnsi"/>
          <w:sz w:val="24"/>
          <w:szCs w:val="24"/>
        </w:rPr>
        <w:t xml:space="preserve">stanoven </w:t>
      </w:r>
      <w:r w:rsidR="006A781A">
        <w:rPr>
          <w:rFonts w:cstheme="minorHAnsi"/>
          <w:sz w:val="24"/>
          <w:szCs w:val="24"/>
        </w:rPr>
        <w:t xml:space="preserve">jen </w:t>
      </w:r>
      <w:r w:rsidRPr="00527AB2">
        <w:rPr>
          <w:rFonts w:cstheme="minorHAnsi"/>
          <w:sz w:val="24"/>
          <w:szCs w:val="24"/>
        </w:rPr>
        <w:t>obecně</w:t>
      </w:r>
      <w:r w:rsidR="006A781A">
        <w:rPr>
          <w:rFonts w:cstheme="minorHAnsi"/>
          <w:sz w:val="24"/>
          <w:szCs w:val="24"/>
        </w:rPr>
        <w:t xml:space="preserve">. </w:t>
      </w:r>
    </w:p>
    <w:p w14:paraId="34C5C522" w14:textId="77777777" w:rsidR="008808F4" w:rsidRDefault="00961008" w:rsidP="00E7430A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D14AE">
        <w:rPr>
          <w:rFonts w:cstheme="minorHAnsi"/>
          <w:sz w:val="24"/>
          <w:szCs w:val="24"/>
        </w:rPr>
        <w:t xml:space="preserve">Řídicí orgán </w:t>
      </w:r>
      <w:r w:rsidR="00265719">
        <w:rPr>
          <w:rFonts w:cstheme="minorHAnsi"/>
          <w:sz w:val="24"/>
          <w:szCs w:val="24"/>
        </w:rPr>
        <w:t xml:space="preserve">ROP SČ </w:t>
      </w:r>
      <w:r w:rsidRPr="008D14AE">
        <w:rPr>
          <w:rFonts w:cstheme="minorHAnsi"/>
          <w:sz w:val="24"/>
          <w:szCs w:val="24"/>
        </w:rPr>
        <w:t>zapracoval do komunikačních plánů většinu doporučení z evaluací provedených v letech 2007, 2011 a 2014</w:t>
      </w:r>
      <w:r w:rsidR="008D14AE" w:rsidRPr="008D14AE">
        <w:rPr>
          <w:rFonts w:cstheme="minorHAnsi"/>
          <w:sz w:val="24"/>
          <w:szCs w:val="24"/>
        </w:rPr>
        <w:t xml:space="preserve">. </w:t>
      </w:r>
    </w:p>
    <w:p w14:paraId="22287123" w14:textId="77777777" w:rsidR="00A419FE" w:rsidRPr="00A419FE" w:rsidRDefault="00A419FE" w:rsidP="00E7430A">
      <w:pPr>
        <w:spacing w:after="0" w:line="240" w:lineRule="auto"/>
      </w:pPr>
    </w:p>
    <w:p w14:paraId="0488FFA5" w14:textId="77777777" w:rsidR="006A59B7" w:rsidRPr="00E7430A" w:rsidRDefault="006A59B7" w:rsidP="00E7430A">
      <w:pPr>
        <w:spacing w:after="0" w:line="240" w:lineRule="auto"/>
        <w:rPr>
          <w:b/>
          <w:sz w:val="24"/>
          <w:szCs w:val="24"/>
        </w:rPr>
      </w:pPr>
      <w:r w:rsidRPr="00E7430A">
        <w:rPr>
          <w:b/>
          <w:sz w:val="24"/>
          <w:szCs w:val="24"/>
        </w:rPr>
        <w:t xml:space="preserve">2. Provádění informačních a </w:t>
      </w:r>
      <w:r w:rsidR="00F77D10" w:rsidRPr="00E7430A">
        <w:rPr>
          <w:b/>
          <w:sz w:val="24"/>
          <w:szCs w:val="24"/>
        </w:rPr>
        <w:t>propagačních</w:t>
      </w:r>
      <w:r w:rsidRPr="00E7430A">
        <w:rPr>
          <w:b/>
          <w:sz w:val="24"/>
          <w:szCs w:val="24"/>
        </w:rPr>
        <w:t xml:space="preserve"> aktivit</w:t>
      </w:r>
    </w:p>
    <w:p w14:paraId="16C40BB3" w14:textId="77777777" w:rsidR="00130C1A" w:rsidRPr="00E7430A" w:rsidRDefault="00130C1A" w:rsidP="00E743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0192B0" w14:textId="5712B70F" w:rsidR="009D5C33" w:rsidRDefault="00AE1678" w:rsidP="00E7430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Kontrolované osoby </w:t>
      </w:r>
      <w:r w:rsidR="008F3B4C">
        <w:rPr>
          <w:rFonts w:cstheme="minorHAnsi"/>
          <w:b/>
          <w:sz w:val="24"/>
          <w:szCs w:val="24"/>
        </w:rPr>
        <w:t xml:space="preserve">nehodnotily přiměřenost rozpočtu </w:t>
      </w:r>
      <w:r>
        <w:rPr>
          <w:rFonts w:cstheme="minorHAnsi"/>
          <w:b/>
          <w:sz w:val="24"/>
          <w:szCs w:val="24"/>
        </w:rPr>
        <w:t xml:space="preserve">při </w:t>
      </w:r>
      <w:r w:rsidR="0022323D" w:rsidRPr="00AE1678">
        <w:rPr>
          <w:rFonts w:cstheme="minorHAnsi"/>
          <w:b/>
          <w:sz w:val="24"/>
          <w:szCs w:val="24"/>
        </w:rPr>
        <w:t xml:space="preserve">hodnocení a </w:t>
      </w:r>
      <w:r w:rsidR="003D0EF7" w:rsidRPr="00AE1678">
        <w:rPr>
          <w:rFonts w:cstheme="minorHAnsi"/>
          <w:b/>
          <w:sz w:val="24"/>
          <w:szCs w:val="24"/>
        </w:rPr>
        <w:t>schvalování projektů</w:t>
      </w:r>
      <w:r>
        <w:rPr>
          <w:rFonts w:cstheme="minorHAnsi"/>
          <w:b/>
          <w:sz w:val="24"/>
          <w:szCs w:val="24"/>
        </w:rPr>
        <w:t xml:space="preserve"> publicity</w:t>
      </w:r>
      <w:r w:rsidR="008F3B4C">
        <w:rPr>
          <w:rFonts w:cstheme="minorHAnsi"/>
          <w:b/>
          <w:sz w:val="24"/>
          <w:szCs w:val="24"/>
        </w:rPr>
        <w:t xml:space="preserve"> </w:t>
      </w:r>
      <w:r w:rsidR="00E66B83">
        <w:rPr>
          <w:rFonts w:cstheme="minorHAnsi"/>
          <w:b/>
          <w:sz w:val="24"/>
          <w:szCs w:val="24"/>
        </w:rPr>
        <w:t>a </w:t>
      </w:r>
      <w:r w:rsidR="008F3B4C">
        <w:rPr>
          <w:rFonts w:cstheme="minorHAnsi"/>
          <w:b/>
          <w:sz w:val="24"/>
          <w:szCs w:val="24"/>
        </w:rPr>
        <w:t>neuplatnily hledisko hospodárnosti</w:t>
      </w:r>
      <w:r>
        <w:rPr>
          <w:rFonts w:cstheme="minorHAnsi"/>
          <w:b/>
          <w:sz w:val="24"/>
          <w:szCs w:val="24"/>
        </w:rPr>
        <w:t xml:space="preserve"> při stanovení předpokládané hodnoty zadávaných veřejných zakázek</w:t>
      </w:r>
      <w:r w:rsidR="008F3B4C">
        <w:rPr>
          <w:rFonts w:cstheme="minorHAnsi"/>
          <w:b/>
          <w:sz w:val="24"/>
          <w:szCs w:val="24"/>
        </w:rPr>
        <w:t xml:space="preserve">. </w:t>
      </w:r>
      <w:r w:rsidR="001D2AB2">
        <w:rPr>
          <w:rFonts w:cstheme="minorHAnsi"/>
          <w:b/>
          <w:sz w:val="24"/>
          <w:szCs w:val="24"/>
        </w:rPr>
        <w:t>Účelnost</w:t>
      </w:r>
      <w:r w:rsidR="00040E5C">
        <w:rPr>
          <w:rFonts w:cstheme="minorHAnsi"/>
          <w:b/>
          <w:sz w:val="24"/>
          <w:szCs w:val="24"/>
        </w:rPr>
        <w:t xml:space="preserve"> nebyla vždy zřejmá</w:t>
      </w:r>
      <w:r w:rsidR="00E66B83">
        <w:rPr>
          <w:rFonts w:cstheme="minorHAnsi"/>
          <w:b/>
          <w:sz w:val="24"/>
          <w:szCs w:val="24"/>
        </w:rPr>
        <w:t>,</w:t>
      </w:r>
      <w:r w:rsidR="00040E5C">
        <w:rPr>
          <w:rFonts w:cstheme="minorHAnsi"/>
          <w:b/>
          <w:sz w:val="24"/>
          <w:szCs w:val="24"/>
        </w:rPr>
        <w:t xml:space="preserve"> například u </w:t>
      </w:r>
      <w:r w:rsidR="001D2AB2">
        <w:rPr>
          <w:rFonts w:cstheme="minorHAnsi"/>
          <w:b/>
          <w:sz w:val="24"/>
          <w:szCs w:val="24"/>
        </w:rPr>
        <w:t xml:space="preserve">distribuce propagačních předmětů. </w:t>
      </w:r>
    </w:p>
    <w:p w14:paraId="296560C7" w14:textId="77777777" w:rsidR="00AE1678" w:rsidRPr="00E7430A" w:rsidRDefault="00AE1678" w:rsidP="00E743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76AE75" w14:textId="77777777" w:rsidR="00382EDE" w:rsidRDefault="00382EDE" w:rsidP="00E7430A">
      <w:pPr>
        <w:spacing w:after="0" w:line="240" w:lineRule="auto"/>
        <w:rPr>
          <w:b/>
          <w:sz w:val="24"/>
          <w:szCs w:val="24"/>
        </w:rPr>
      </w:pPr>
    </w:p>
    <w:p w14:paraId="313E6911" w14:textId="77777777" w:rsidR="001B7C17" w:rsidRDefault="00B35322" w:rsidP="00E7430A">
      <w:pPr>
        <w:spacing w:after="0" w:line="240" w:lineRule="auto"/>
        <w:rPr>
          <w:b/>
          <w:sz w:val="24"/>
          <w:szCs w:val="24"/>
        </w:rPr>
      </w:pPr>
      <w:r w:rsidRPr="00E7430A">
        <w:rPr>
          <w:b/>
          <w:sz w:val="24"/>
          <w:szCs w:val="24"/>
        </w:rPr>
        <w:lastRenderedPageBreak/>
        <w:t xml:space="preserve">2.1 </w:t>
      </w:r>
      <w:r w:rsidR="001B7C17" w:rsidRPr="00E7430A">
        <w:rPr>
          <w:b/>
          <w:sz w:val="24"/>
          <w:szCs w:val="24"/>
        </w:rPr>
        <w:t>M</w:t>
      </w:r>
      <w:r w:rsidR="00D8559A" w:rsidRPr="00E7430A">
        <w:rPr>
          <w:b/>
          <w:sz w:val="24"/>
          <w:szCs w:val="24"/>
        </w:rPr>
        <w:t>inisterstvo školství, mládeže a tělovýchovy</w:t>
      </w:r>
    </w:p>
    <w:p w14:paraId="4251828C" w14:textId="77777777" w:rsidR="00E7430A" w:rsidRPr="00E7430A" w:rsidRDefault="00E7430A" w:rsidP="000B6DDB">
      <w:pPr>
        <w:spacing w:after="0" w:line="240" w:lineRule="auto"/>
        <w:ind w:left="284" w:hanging="284"/>
        <w:rPr>
          <w:sz w:val="24"/>
          <w:szCs w:val="24"/>
        </w:rPr>
      </w:pPr>
    </w:p>
    <w:p w14:paraId="4C0A18BD" w14:textId="5634A56E" w:rsidR="00E97DBA" w:rsidRPr="001F3B83" w:rsidRDefault="007E42FA" w:rsidP="000B6DDB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7602A6" w:rsidRPr="001F3B83">
        <w:rPr>
          <w:rFonts w:cstheme="minorHAnsi"/>
          <w:sz w:val="24"/>
          <w:szCs w:val="24"/>
        </w:rPr>
        <w:t xml:space="preserve"> </w:t>
      </w:r>
      <w:r w:rsidR="002E06C9" w:rsidRPr="001F3B83">
        <w:rPr>
          <w:rFonts w:cstheme="minorHAnsi"/>
          <w:sz w:val="24"/>
          <w:szCs w:val="24"/>
        </w:rPr>
        <w:t>OP VK</w:t>
      </w:r>
      <w:r w:rsidR="007602A6" w:rsidRPr="001F3B83">
        <w:rPr>
          <w:rFonts w:cstheme="minorHAnsi"/>
          <w:sz w:val="24"/>
          <w:szCs w:val="24"/>
        </w:rPr>
        <w:t xml:space="preserve"> ani u OP VaVpI </w:t>
      </w:r>
      <w:r>
        <w:rPr>
          <w:rFonts w:cstheme="minorHAnsi"/>
          <w:sz w:val="24"/>
          <w:szCs w:val="24"/>
        </w:rPr>
        <w:t xml:space="preserve">MŠMT neprověřovalo </w:t>
      </w:r>
      <w:r w:rsidR="007602A6" w:rsidRPr="001F3B83">
        <w:rPr>
          <w:rFonts w:cstheme="minorHAnsi"/>
          <w:sz w:val="24"/>
          <w:szCs w:val="24"/>
        </w:rPr>
        <w:t>p</w:t>
      </w:r>
      <w:r w:rsidR="00E97DBA" w:rsidRPr="001F3B83">
        <w:rPr>
          <w:rFonts w:cstheme="minorHAnsi"/>
          <w:sz w:val="24"/>
          <w:szCs w:val="24"/>
        </w:rPr>
        <w:t xml:space="preserve">řed schválením projektů </w:t>
      </w:r>
      <w:r w:rsidR="00E7430A">
        <w:rPr>
          <w:rFonts w:cstheme="minorHAnsi"/>
          <w:sz w:val="24"/>
          <w:szCs w:val="24"/>
        </w:rPr>
        <w:t>publicity k </w:t>
      </w:r>
      <w:r w:rsidR="007602A6" w:rsidRPr="001F3B83">
        <w:rPr>
          <w:rFonts w:cstheme="minorHAnsi"/>
          <w:sz w:val="24"/>
          <w:szCs w:val="24"/>
        </w:rPr>
        <w:t>fin</w:t>
      </w:r>
      <w:r w:rsidR="00E97DBA" w:rsidRPr="001F3B83">
        <w:rPr>
          <w:rFonts w:cstheme="minorHAnsi"/>
          <w:sz w:val="24"/>
          <w:szCs w:val="24"/>
        </w:rPr>
        <w:t xml:space="preserve">ancování </w:t>
      </w:r>
      <w:r w:rsidR="00265719" w:rsidRPr="001F3B83">
        <w:rPr>
          <w:rFonts w:cstheme="minorHAnsi"/>
          <w:sz w:val="24"/>
          <w:szCs w:val="24"/>
        </w:rPr>
        <w:t xml:space="preserve">jejich </w:t>
      </w:r>
      <w:r w:rsidR="00E97DBA" w:rsidRPr="001F3B83">
        <w:rPr>
          <w:rFonts w:cstheme="minorHAnsi"/>
          <w:sz w:val="24"/>
          <w:szCs w:val="24"/>
        </w:rPr>
        <w:t>rozpočt</w:t>
      </w:r>
      <w:r>
        <w:rPr>
          <w:rFonts w:cstheme="minorHAnsi"/>
          <w:sz w:val="24"/>
          <w:szCs w:val="24"/>
        </w:rPr>
        <w:t>y</w:t>
      </w:r>
      <w:r w:rsidR="00E97DBA" w:rsidRPr="001F3B83">
        <w:rPr>
          <w:rFonts w:cstheme="minorHAnsi"/>
          <w:sz w:val="24"/>
          <w:szCs w:val="24"/>
        </w:rPr>
        <w:t xml:space="preserve"> z</w:t>
      </w:r>
      <w:r w:rsidR="00B35322" w:rsidRPr="001F3B83">
        <w:rPr>
          <w:rFonts w:cstheme="minorHAnsi"/>
          <w:sz w:val="24"/>
          <w:szCs w:val="24"/>
        </w:rPr>
        <w:t> </w:t>
      </w:r>
      <w:r w:rsidR="00E97DBA" w:rsidRPr="001F3B83">
        <w:rPr>
          <w:rFonts w:cstheme="minorHAnsi"/>
          <w:sz w:val="24"/>
          <w:szCs w:val="24"/>
        </w:rPr>
        <w:t xml:space="preserve">hlediska </w:t>
      </w:r>
      <w:r w:rsidR="007602A6" w:rsidRPr="001F3B83">
        <w:rPr>
          <w:rFonts w:cstheme="minorHAnsi"/>
          <w:sz w:val="24"/>
          <w:szCs w:val="24"/>
        </w:rPr>
        <w:t xml:space="preserve">hospodárnosti; </w:t>
      </w:r>
      <w:r w:rsidRPr="001F3B83">
        <w:rPr>
          <w:rFonts w:cstheme="minorHAnsi"/>
          <w:sz w:val="24"/>
          <w:szCs w:val="24"/>
        </w:rPr>
        <w:t xml:space="preserve">ani před schválením projektů </w:t>
      </w:r>
      <w:r w:rsidR="00286E04" w:rsidRPr="001F3B83">
        <w:rPr>
          <w:rFonts w:cstheme="minorHAnsi"/>
          <w:sz w:val="24"/>
          <w:szCs w:val="24"/>
        </w:rPr>
        <w:t>neposoudilo</w:t>
      </w:r>
      <w:r w:rsidR="00265719" w:rsidRPr="001F3B83">
        <w:rPr>
          <w:rFonts w:cstheme="minorHAnsi"/>
          <w:sz w:val="24"/>
          <w:szCs w:val="24"/>
        </w:rPr>
        <w:t xml:space="preserve">, zda jsou </w:t>
      </w:r>
      <w:r w:rsidR="007602A6" w:rsidRPr="001F3B83">
        <w:rPr>
          <w:rFonts w:cstheme="minorHAnsi"/>
          <w:sz w:val="24"/>
          <w:szCs w:val="24"/>
        </w:rPr>
        <w:t>plánované výdaje přiměřen</w:t>
      </w:r>
      <w:r w:rsidR="00265719" w:rsidRPr="001F3B83">
        <w:rPr>
          <w:rFonts w:cstheme="minorHAnsi"/>
          <w:sz w:val="24"/>
          <w:szCs w:val="24"/>
        </w:rPr>
        <w:t>é</w:t>
      </w:r>
      <w:r w:rsidR="00191447">
        <w:rPr>
          <w:rFonts w:cstheme="minorHAnsi"/>
          <w:sz w:val="24"/>
          <w:szCs w:val="24"/>
        </w:rPr>
        <w:t>, a</w:t>
      </w:r>
      <w:r w:rsidR="00265719" w:rsidRPr="001F3B83">
        <w:rPr>
          <w:rFonts w:cstheme="minorHAnsi"/>
          <w:sz w:val="24"/>
          <w:szCs w:val="24"/>
        </w:rPr>
        <w:t xml:space="preserve"> </w:t>
      </w:r>
      <w:r w:rsidR="00E97DBA" w:rsidRPr="001F3B83">
        <w:rPr>
          <w:rFonts w:cstheme="minorHAnsi"/>
          <w:sz w:val="24"/>
          <w:szCs w:val="24"/>
        </w:rPr>
        <w:t>neprovedlo předběžnou řídicí kontrolu</w:t>
      </w:r>
      <w:r w:rsidR="00265719" w:rsidRPr="001F3B83">
        <w:rPr>
          <w:rFonts w:cstheme="minorHAnsi"/>
          <w:sz w:val="24"/>
          <w:szCs w:val="24"/>
        </w:rPr>
        <w:t>.</w:t>
      </w:r>
    </w:p>
    <w:p w14:paraId="3A63E95F" w14:textId="77777777" w:rsidR="005D11E2" w:rsidRPr="001F3B83" w:rsidRDefault="00C45B44" w:rsidP="000B6DDB">
      <w:pPr>
        <w:pStyle w:val="Protokol-normln"/>
        <w:numPr>
          <w:ilvl w:val="0"/>
          <w:numId w:val="3"/>
        </w:numPr>
        <w:ind w:left="284" w:hanging="284"/>
        <w:rPr>
          <w:lang w:eastAsia="cs-CZ"/>
        </w:rPr>
      </w:pPr>
      <w:r w:rsidRPr="001F3B83">
        <w:rPr>
          <w:rFonts w:cstheme="minorHAnsi"/>
        </w:rPr>
        <w:t xml:space="preserve">Kontrolou </w:t>
      </w:r>
      <w:r w:rsidR="00265719" w:rsidRPr="001F3B83">
        <w:rPr>
          <w:rFonts w:cstheme="minorHAnsi"/>
        </w:rPr>
        <w:t xml:space="preserve">NKÚ </w:t>
      </w:r>
      <w:r w:rsidRPr="001F3B83">
        <w:rPr>
          <w:rFonts w:cstheme="minorHAnsi"/>
        </w:rPr>
        <w:t>byly prověřeny v</w:t>
      </w:r>
      <w:r w:rsidR="005D11E2" w:rsidRPr="001F3B83">
        <w:rPr>
          <w:rFonts w:cstheme="minorHAnsi"/>
        </w:rPr>
        <w:t xml:space="preserve">eřejné zakázky </w:t>
      </w:r>
      <w:r w:rsidRPr="001F3B83">
        <w:rPr>
          <w:rFonts w:cstheme="minorHAnsi"/>
        </w:rPr>
        <w:t xml:space="preserve">zadávané </w:t>
      </w:r>
      <w:r w:rsidR="000D1FED" w:rsidRPr="001F3B83">
        <w:rPr>
          <w:rFonts w:cstheme="minorHAnsi"/>
        </w:rPr>
        <w:t>společn</w:t>
      </w:r>
      <w:r w:rsidR="00265719" w:rsidRPr="001F3B83">
        <w:rPr>
          <w:rFonts w:cstheme="minorHAnsi"/>
        </w:rPr>
        <w:t>ě</w:t>
      </w:r>
      <w:r w:rsidR="000D1FED" w:rsidRPr="001F3B83">
        <w:rPr>
          <w:rFonts w:cstheme="minorHAnsi"/>
        </w:rPr>
        <w:t xml:space="preserve"> pro oba operační programy</w:t>
      </w:r>
      <w:r w:rsidR="00265719" w:rsidRPr="001F3B83">
        <w:rPr>
          <w:rFonts w:cstheme="minorHAnsi"/>
        </w:rPr>
        <w:t xml:space="preserve"> OP VK a OP VaVpI</w:t>
      </w:r>
      <w:r w:rsidR="00164E0A">
        <w:rPr>
          <w:rFonts w:cstheme="minorHAnsi"/>
        </w:rPr>
        <w:t xml:space="preserve">. </w:t>
      </w:r>
      <w:r w:rsidR="0067795E" w:rsidRPr="001F3B83">
        <w:rPr>
          <w:rFonts w:cstheme="minorHAnsi"/>
        </w:rPr>
        <w:t>MŠMT nepostupovalo vždy v souladu s pravidly pro jejich zadávání</w:t>
      </w:r>
      <w:r w:rsidR="000D1FED" w:rsidRPr="001F3B83">
        <w:rPr>
          <w:rFonts w:cstheme="minorHAnsi"/>
        </w:rPr>
        <w:t xml:space="preserve">: </w:t>
      </w:r>
    </w:p>
    <w:p w14:paraId="25FCABC4" w14:textId="3F78B2A2" w:rsidR="000D1FED" w:rsidRPr="001F3B83" w:rsidRDefault="001F3B83" w:rsidP="00E7430A">
      <w:pPr>
        <w:pStyle w:val="Odstavecseseznamem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1F3B83">
        <w:rPr>
          <w:rFonts w:cstheme="minorHAnsi"/>
          <w:sz w:val="24"/>
          <w:szCs w:val="24"/>
        </w:rPr>
        <w:t>U</w:t>
      </w:r>
      <w:r w:rsidR="00BD7BE6" w:rsidRPr="001F3B83">
        <w:rPr>
          <w:rFonts w:cstheme="minorHAnsi"/>
          <w:sz w:val="24"/>
          <w:szCs w:val="24"/>
        </w:rPr>
        <w:t xml:space="preserve"> zakázky </w:t>
      </w:r>
      <w:r w:rsidR="00892BEC" w:rsidRPr="0000526F">
        <w:rPr>
          <w:rFonts w:cstheme="minorHAnsi"/>
          <w:i/>
          <w:sz w:val="24"/>
          <w:szCs w:val="24"/>
        </w:rPr>
        <w:t>Propagační předměty a propagační tiskoviny OP VK a OP VaVpI</w:t>
      </w:r>
      <w:r w:rsidR="00D65E6F">
        <w:rPr>
          <w:rStyle w:val="Znakapoznpodarou"/>
          <w:rFonts w:cstheme="minorHAnsi"/>
          <w:sz w:val="24"/>
          <w:szCs w:val="24"/>
        </w:rPr>
        <w:footnoteReference w:id="9"/>
      </w:r>
      <w:r w:rsidR="00AF7B6F">
        <w:rPr>
          <w:rFonts w:cstheme="minorHAnsi"/>
          <w:sz w:val="24"/>
          <w:szCs w:val="24"/>
        </w:rPr>
        <w:t xml:space="preserve"> </w:t>
      </w:r>
      <w:r w:rsidR="005D11E2" w:rsidRPr="001F3B83">
        <w:rPr>
          <w:rFonts w:cstheme="minorHAnsi"/>
          <w:sz w:val="24"/>
          <w:szCs w:val="24"/>
        </w:rPr>
        <w:t xml:space="preserve">neuchovalo </w:t>
      </w:r>
      <w:r w:rsidR="007E42FA" w:rsidRPr="001F3B83">
        <w:rPr>
          <w:rFonts w:cstheme="minorHAnsi"/>
          <w:sz w:val="24"/>
          <w:szCs w:val="24"/>
        </w:rPr>
        <w:t xml:space="preserve">po stanovenou dobu </w:t>
      </w:r>
      <w:r w:rsidR="00450EB3" w:rsidRPr="001F3B83">
        <w:rPr>
          <w:rFonts w:cstheme="minorHAnsi"/>
          <w:sz w:val="24"/>
          <w:szCs w:val="24"/>
        </w:rPr>
        <w:t>dokumentaci o stanovení předpokládané hodnoty veřejné zakázky</w:t>
      </w:r>
      <w:r w:rsidR="00BE39CB" w:rsidRPr="001F3B83">
        <w:rPr>
          <w:rFonts w:cstheme="minorHAnsi"/>
          <w:sz w:val="24"/>
          <w:szCs w:val="24"/>
        </w:rPr>
        <w:t xml:space="preserve">, postupovalo </w:t>
      </w:r>
      <w:r w:rsidR="007E42FA">
        <w:rPr>
          <w:rFonts w:cstheme="minorHAnsi"/>
          <w:sz w:val="24"/>
          <w:szCs w:val="24"/>
        </w:rPr>
        <w:t xml:space="preserve">tak </w:t>
      </w:r>
      <w:r w:rsidR="00BE39CB" w:rsidRPr="001F3B83">
        <w:rPr>
          <w:rFonts w:cstheme="minorHAnsi"/>
          <w:sz w:val="24"/>
          <w:szCs w:val="24"/>
        </w:rPr>
        <w:t>v rozporu se zákonem.</w:t>
      </w:r>
      <w:r w:rsidR="000D1FED" w:rsidRPr="001F3B83">
        <w:rPr>
          <w:rStyle w:val="Znakapoznpodarou"/>
          <w:rFonts w:cstheme="minorHAnsi"/>
          <w:sz w:val="24"/>
          <w:szCs w:val="24"/>
        </w:rPr>
        <w:footnoteReference w:id="10"/>
      </w:r>
      <w:r w:rsidR="000D1FED" w:rsidRPr="001F3B83">
        <w:rPr>
          <w:rFonts w:cstheme="minorHAnsi"/>
          <w:sz w:val="24"/>
          <w:szCs w:val="24"/>
        </w:rPr>
        <w:t xml:space="preserve"> </w:t>
      </w:r>
      <w:r w:rsidR="00BE39CB" w:rsidRPr="001F3B83">
        <w:rPr>
          <w:rFonts w:cstheme="minorHAnsi"/>
          <w:sz w:val="24"/>
          <w:szCs w:val="24"/>
        </w:rPr>
        <w:t xml:space="preserve"> </w:t>
      </w:r>
    </w:p>
    <w:p w14:paraId="69565844" w14:textId="1469C0E1" w:rsidR="00B932EE" w:rsidRPr="001F3B83" w:rsidRDefault="0064031F" w:rsidP="00E7430A">
      <w:pPr>
        <w:pStyle w:val="Odstavecseseznamem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1F3B83">
        <w:rPr>
          <w:rFonts w:cstheme="minorHAnsi"/>
          <w:sz w:val="24"/>
          <w:szCs w:val="24"/>
        </w:rPr>
        <w:t xml:space="preserve">U </w:t>
      </w:r>
      <w:r w:rsidR="007E42FA">
        <w:rPr>
          <w:rFonts w:cstheme="minorHAnsi"/>
          <w:sz w:val="24"/>
          <w:szCs w:val="24"/>
        </w:rPr>
        <w:t>stejné</w:t>
      </w:r>
      <w:r w:rsidRPr="001F3B83">
        <w:rPr>
          <w:rFonts w:cstheme="minorHAnsi"/>
          <w:sz w:val="24"/>
          <w:szCs w:val="24"/>
        </w:rPr>
        <w:t xml:space="preserve"> zakázky MŠ</w:t>
      </w:r>
      <w:r w:rsidR="000D1FED" w:rsidRPr="001F3B83">
        <w:rPr>
          <w:rFonts w:cstheme="minorHAnsi"/>
          <w:sz w:val="24"/>
          <w:szCs w:val="24"/>
        </w:rPr>
        <w:t>MT</w:t>
      </w:r>
      <w:r w:rsidRPr="001F3B83">
        <w:rPr>
          <w:rFonts w:cstheme="minorHAnsi"/>
          <w:sz w:val="24"/>
          <w:szCs w:val="24"/>
        </w:rPr>
        <w:t xml:space="preserve"> dále nepostupovalo v souladu se zákonem</w:t>
      </w:r>
      <w:r w:rsidRPr="001F3B83">
        <w:rPr>
          <w:rStyle w:val="Znakapoznpodarou"/>
          <w:rFonts w:cstheme="minorHAnsi"/>
          <w:sz w:val="24"/>
          <w:szCs w:val="24"/>
        </w:rPr>
        <w:footnoteReference w:id="11"/>
      </w:r>
      <w:r w:rsidRPr="001F3B83">
        <w:rPr>
          <w:rFonts w:cstheme="minorHAnsi"/>
          <w:sz w:val="24"/>
          <w:szCs w:val="24"/>
        </w:rPr>
        <w:t xml:space="preserve"> tím, že ve stanovené lhůtě </w:t>
      </w:r>
      <w:r w:rsidR="00BD7BE6" w:rsidRPr="001F3B83">
        <w:rPr>
          <w:rFonts w:cstheme="minorHAnsi"/>
          <w:sz w:val="24"/>
          <w:szCs w:val="24"/>
        </w:rPr>
        <w:t xml:space="preserve">neoznámilo zadání druhé části zakázky ve </w:t>
      </w:r>
      <w:r w:rsidR="00BD7BE6" w:rsidRPr="0000526F">
        <w:rPr>
          <w:rFonts w:cstheme="minorHAnsi"/>
          <w:i/>
          <w:sz w:val="24"/>
          <w:szCs w:val="24"/>
        </w:rPr>
        <w:t>Věstníku veřejných zakázek</w:t>
      </w:r>
      <w:r w:rsidR="00BD7BE6" w:rsidRPr="001F3B83">
        <w:rPr>
          <w:rFonts w:cstheme="minorHAnsi"/>
          <w:sz w:val="24"/>
          <w:szCs w:val="24"/>
        </w:rPr>
        <w:t xml:space="preserve"> v</w:t>
      </w:r>
      <w:r w:rsidR="00B35322" w:rsidRPr="001F3B83">
        <w:rPr>
          <w:rFonts w:cstheme="minorHAnsi"/>
          <w:sz w:val="24"/>
          <w:szCs w:val="24"/>
        </w:rPr>
        <w:t> </w:t>
      </w:r>
      <w:r w:rsidR="00BD7BE6" w:rsidRPr="001F3B83">
        <w:rPr>
          <w:rFonts w:cstheme="minorHAnsi"/>
          <w:sz w:val="24"/>
          <w:szCs w:val="24"/>
        </w:rPr>
        <w:t>rámci ISVZ</w:t>
      </w:r>
      <w:r w:rsidR="00B932EE" w:rsidRPr="001F3B83">
        <w:rPr>
          <w:rStyle w:val="Znakapoznpodarou"/>
          <w:rFonts w:cstheme="minorHAnsi"/>
          <w:sz w:val="24"/>
          <w:szCs w:val="24"/>
        </w:rPr>
        <w:footnoteReference w:id="12"/>
      </w:r>
      <w:r w:rsidR="00BD7BE6" w:rsidRPr="001F3B83">
        <w:rPr>
          <w:rFonts w:cstheme="minorHAnsi"/>
          <w:sz w:val="24"/>
          <w:szCs w:val="24"/>
        </w:rPr>
        <w:t xml:space="preserve"> a v</w:t>
      </w:r>
      <w:r w:rsidR="00B35322" w:rsidRPr="001F3B83">
        <w:rPr>
          <w:rFonts w:cstheme="minorHAnsi"/>
          <w:sz w:val="24"/>
          <w:szCs w:val="24"/>
        </w:rPr>
        <w:t> </w:t>
      </w:r>
      <w:r w:rsidR="00BD7BE6" w:rsidRPr="0000526F">
        <w:rPr>
          <w:rFonts w:cstheme="minorHAnsi"/>
          <w:i/>
          <w:sz w:val="24"/>
          <w:szCs w:val="24"/>
        </w:rPr>
        <w:t>Úředním věstníku EU</w:t>
      </w:r>
      <w:r w:rsidRPr="001F3B83">
        <w:rPr>
          <w:rFonts w:cstheme="minorHAnsi"/>
          <w:sz w:val="24"/>
          <w:szCs w:val="24"/>
        </w:rPr>
        <w:t xml:space="preserve">. </w:t>
      </w:r>
      <w:r w:rsidR="00BD7BE6" w:rsidRPr="001F3B83">
        <w:rPr>
          <w:rFonts w:cstheme="minorHAnsi"/>
          <w:sz w:val="24"/>
          <w:szCs w:val="24"/>
        </w:rPr>
        <w:t xml:space="preserve">MŠMT </w:t>
      </w:r>
      <w:r w:rsidRPr="001F3B83">
        <w:rPr>
          <w:rFonts w:cstheme="minorHAnsi"/>
          <w:sz w:val="24"/>
          <w:szCs w:val="24"/>
        </w:rPr>
        <w:t xml:space="preserve">tak porušilo </w:t>
      </w:r>
      <w:r w:rsidR="00BD7BE6" w:rsidRPr="001F3B83">
        <w:rPr>
          <w:rFonts w:cstheme="minorHAnsi"/>
          <w:sz w:val="24"/>
          <w:szCs w:val="24"/>
        </w:rPr>
        <w:t>zásadu transparentnosti</w:t>
      </w:r>
      <w:r w:rsidRPr="001F3B83">
        <w:rPr>
          <w:rFonts w:cstheme="minorHAnsi"/>
          <w:sz w:val="24"/>
          <w:szCs w:val="24"/>
        </w:rPr>
        <w:t>.</w:t>
      </w:r>
      <w:r w:rsidR="00B932EE" w:rsidRPr="001F3B83">
        <w:rPr>
          <w:rStyle w:val="Znakapoznpodarou"/>
          <w:rFonts w:cstheme="minorHAnsi"/>
          <w:sz w:val="24"/>
          <w:szCs w:val="24"/>
        </w:rPr>
        <w:footnoteReference w:id="13"/>
      </w:r>
      <w:r w:rsidRPr="001F3B83">
        <w:rPr>
          <w:rFonts w:cstheme="minorHAnsi"/>
          <w:sz w:val="24"/>
          <w:szCs w:val="24"/>
        </w:rPr>
        <w:t xml:space="preserve"> </w:t>
      </w:r>
    </w:p>
    <w:p w14:paraId="30850F48" w14:textId="38902F2C" w:rsidR="005D11E2" w:rsidRPr="001F3B83" w:rsidRDefault="00BD7BE6" w:rsidP="00E7430A">
      <w:pPr>
        <w:pStyle w:val="Odstavecseseznamem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1F3B83">
        <w:rPr>
          <w:rFonts w:cstheme="minorHAnsi"/>
          <w:sz w:val="24"/>
          <w:szCs w:val="24"/>
        </w:rPr>
        <w:t xml:space="preserve">MŠMT neprovedlo předběžnou řídicí kontrolu před uzavřením dvou rámcových smluv u veřejné zakázky </w:t>
      </w:r>
      <w:r w:rsidRPr="0000526F">
        <w:rPr>
          <w:rFonts w:cstheme="minorHAnsi"/>
          <w:i/>
          <w:sz w:val="24"/>
          <w:szCs w:val="24"/>
        </w:rPr>
        <w:t>Propagační předměty a propagační tiskoviny OP</w:t>
      </w:r>
      <w:r w:rsidR="007E42FA" w:rsidRPr="0000526F">
        <w:rPr>
          <w:rFonts w:cstheme="minorHAnsi"/>
          <w:i/>
          <w:sz w:val="24"/>
          <w:szCs w:val="24"/>
        </w:rPr>
        <w:t> </w:t>
      </w:r>
      <w:r w:rsidRPr="0000526F">
        <w:rPr>
          <w:rFonts w:cstheme="minorHAnsi"/>
          <w:i/>
          <w:sz w:val="24"/>
          <w:szCs w:val="24"/>
        </w:rPr>
        <w:t>VK a OP VaVpI</w:t>
      </w:r>
      <w:r w:rsidR="00B932EE" w:rsidRPr="001F3B83">
        <w:rPr>
          <w:rStyle w:val="Znakapoznpodarou"/>
          <w:rFonts w:cstheme="minorHAnsi"/>
          <w:sz w:val="24"/>
          <w:szCs w:val="24"/>
        </w:rPr>
        <w:footnoteReference w:id="14"/>
      </w:r>
      <w:r w:rsidRPr="001F3B83">
        <w:rPr>
          <w:rFonts w:cstheme="minorHAnsi"/>
          <w:sz w:val="24"/>
          <w:szCs w:val="24"/>
        </w:rPr>
        <w:t>.</w:t>
      </w:r>
    </w:p>
    <w:p w14:paraId="7BA80A2E" w14:textId="77777777" w:rsidR="00C45B44" w:rsidRPr="00921E73" w:rsidRDefault="00C45B44" w:rsidP="00E7430A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21E73">
        <w:rPr>
          <w:rFonts w:cstheme="minorHAnsi"/>
          <w:sz w:val="24"/>
          <w:szCs w:val="24"/>
        </w:rPr>
        <w:t xml:space="preserve">V některých případech byly </w:t>
      </w:r>
      <w:r w:rsidR="00921E73" w:rsidRPr="00921E73">
        <w:rPr>
          <w:rFonts w:cstheme="minorHAnsi"/>
          <w:sz w:val="24"/>
          <w:szCs w:val="24"/>
        </w:rPr>
        <w:t xml:space="preserve">propagační </w:t>
      </w:r>
      <w:r w:rsidRPr="00921E73">
        <w:rPr>
          <w:rFonts w:cstheme="minorHAnsi"/>
          <w:sz w:val="24"/>
          <w:szCs w:val="24"/>
        </w:rPr>
        <w:t xml:space="preserve">předměty </w:t>
      </w:r>
      <w:r w:rsidR="00921E73" w:rsidRPr="00921E73">
        <w:rPr>
          <w:rFonts w:cstheme="minorHAnsi"/>
          <w:sz w:val="24"/>
          <w:szCs w:val="24"/>
        </w:rPr>
        <w:t xml:space="preserve">OP VK </w:t>
      </w:r>
      <w:r w:rsidRPr="00921E73">
        <w:rPr>
          <w:rFonts w:cstheme="minorHAnsi"/>
          <w:sz w:val="24"/>
          <w:szCs w:val="24"/>
        </w:rPr>
        <w:t xml:space="preserve">vydávány bez jasné vazby na konečného </w:t>
      </w:r>
      <w:r w:rsidR="008F3B4C" w:rsidRPr="00921E73">
        <w:rPr>
          <w:rFonts w:cstheme="minorHAnsi"/>
          <w:sz w:val="24"/>
          <w:szCs w:val="24"/>
        </w:rPr>
        <w:t>uživatele</w:t>
      </w:r>
      <w:r w:rsidR="00D65E6F">
        <w:rPr>
          <w:rFonts w:cstheme="minorHAnsi"/>
          <w:sz w:val="24"/>
          <w:szCs w:val="24"/>
        </w:rPr>
        <w:t xml:space="preserve"> a bez </w:t>
      </w:r>
      <w:r w:rsidRPr="00921E73">
        <w:rPr>
          <w:rFonts w:cstheme="minorHAnsi"/>
          <w:sz w:val="24"/>
          <w:szCs w:val="24"/>
        </w:rPr>
        <w:t>schv</w:t>
      </w:r>
      <w:r w:rsidR="00D65E6F">
        <w:rPr>
          <w:rFonts w:cstheme="minorHAnsi"/>
          <w:sz w:val="24"/>
          <w:szCs w:val="24"/>
        </w:rPr>
        <w:t xml:space="preserve">álení </w:t>
      </w:r>
      <w:r w:rsidRPr="00921E73">
        <w:rPr>
          <w:rFonts w:cstheme="minorHAnsi"/>
          <w:sz w:val="24"/>
          <w:szCs w:val="24"/>
        </w:rPr>
        <w:t>účel</w:t>
      </w:r>
      <w:r w:rsidR="00D65E6F">
        <w:rPr>
          <w:rFonts w:cstheme="minorHAnsi"/>
          <w:sz w:val="24"/>
          <w:szCs w:val="24"/>
        </w:rPr>
        <w:t>u</w:t>
      </w:r>
      <w:r w:rsidRPr="00921E73">
        <w:rPr>
          <w:rFonts w:cstheme="minorHAnsi"/>
          <w:sz w:val="24"/>
          <w:szCs w:val="24"/>
        </w:rPr>
        <w:t xml:space="preserve"> výdeje</w:t>
      </w:r>
      <w:r w:rsidR="00920FA1" w:rsidRPr="00921E73">
        <w:rPr>
          <w:rFonts w:cstheme="minorHAnsi"/>
          <w:sz w:val="24"/>
          <w:szCs w:val="24"/>
        </w:rPr>
        <w:t xml:space="preserve">. </w:t>
      </w:r>
      <w:r w:rsidRPr="00921E73">
        <w:rPr>
          <w:rFonts w:cstheme="minorHAnsi"/>
          <w:sz w:val="24"/>
          <w:szCs w:val="24"/>
        </w:rPr>
        <w:t>Pro OP VaVpI vedlo MŠMT evidenci přijatých a vydaných propagačních předmětů transparentním způsobem.</w:t>
      </w:r>
    </w:p>
    <w:p w14:paraId="789B7C6C" w14:textId="77777777" w:rsidR="001B7C17" w:rsidRPr="00131CB0" w:rsidRDefault="001B7C17" w:rsidP="00131C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0122DD" w14:textId="77777777" w:rsidR="001B7C17" w:rsidRDefault="00B35322" w:rsidP="005A22E2">
      <w:pPr>
        <w:spacing w:after="0" w:line="240" w:lineRule="auto"/>
        <w:rPr>
          <w:b/>
          <w:sz w:val="24"/>
          <w:szCs w:val="24"/>
        </w:rPr>
      </w:pPr>
      <w:r w:rsidRPr="005A22E2">
        <w:rPr>
          <w:b/>
          <w:sz w:val="24"/>
          <w:szCs w:val="24"/>
        </w:rPr>
        <w:t xml:space="preserve">2.2 </w:t>
      </w:r>
      <w:r w:rsidR="001B7C17" w:rsidRPr="005A22E2">
        <w:rPr>
          <w:b/>
          <w:sz w:val="24"/>
          <w:szCs w:val="24"/>
        </w:rPr>
        <w:t>M</w:t>
      </w:r>
      <w:r w:rsidR="00D8559A" w:rsidRPr="005A22E2">
        <w:rPr>
          <w:b/>
          <w:sz w:val="24"/>
          <w:szCs w:val="24"/>
        </w:rPr>
        <w:t>inisterstvo práce a sociálních věcí</w:t>
      </w:r>
    </w:p>
    <w:p w14:paraId="46A333DA" w14:textId="77777777" w:rsidR="005A22E2" w:rsidRPr="005A22E2" w:rsidRDefault="005A22E2" w:rsidP="005A22E2">
      <w:pPr>
        <w:spacing w:after="0" w:line="240" w:lineRule="auto"/>
        <w:rPr>
          <w:sz w:val="24"/>
          <w:szCs w:val="24"/>
        </w:rPr>
      </w:pPr>
    </w:p>
    <w:p w14:paraId="7E091B8B" w14:textId="59E35C3D" w:rsidR="00587346" w:rsidRPr="001F3B83" w:rsidRDefault="001F3B83" w:rsidP="005A22E2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87346" w:rsidRPr="000E4E19">
        <w:rPr>
          <w:rFonts w:cstheme="minorHAnsi"/>
          <w:sz w:val="24"/>
          <w:szCs w:val="24"/>
        </w:rPr>
        <w:t>otřebné finanční zdroje k realizaci informačních a prop</w:t>
      </w:r>
      <w:r w:rsidR="005A22E2">
        <w:rPr>
          <w:rFonts w:cstheme="minorHAnsi"/>
          <w:sz w:val="24"/>
          <w:szCs w:val="24"/>
        </w:rPr>
        <w:t>agačních opatření stanovených v </w:t>
      </w:r>
      <w:r w:rsidR="00587346" w:rsidRPr="000E4E19">
        <w:rPr>
          <w:rFonts w:cstheme="minorHAnsi"/>
          <w:sz w:val="24"/>
          <w:szCs w:val="24"/>
        </w:rPr>
        <w:t xml:space="preserve">RKoP, jehož cíle jsou naplňovány prostřednictvím projektu </w:t>
      </w:r>
      <w:r w:rsidR="00587346" w:rsidRPr="0000526F">
        <w:rPr>
          <w:rFonts w:cstheme="minorHAnsi"/>
          <w:i/>
          <w:sz w:val="24"/>
          <w:szCs w:val="24"/>
        </w:rPr>
        <w:t>Informační a propagační aktivity ESF v ČR</w:t>
      </w:r>
      <w:r w:rsidR="00587346" w:rsidRPr="000E4E1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ne</w:t>
      </w:r>
      <w:r w:rsidR="00587346" w:rsidRPr="000E4E19">
        <w:rPr>
          <w:rFonts w:cstheme="minorHAnsi"/>
          <w:sz w:val="24"/>
          <w:szCs w:val="24"/>
        </w:rPr>
        <w:t xml:space="preserve">byly transparentním způsobem zdůvodněny. </w:t>
      </w:r>
      <w:r w:rsidR="00587346" w:rsidRPr="001F3B83">
        <w:rPr>
          <w:rFonts w:cstheme="minorHAnsi"/>
          <w:sz w:val="24"/>
          <w:szCs w:val="24"/>
        </w:rPr>
        <w:t>K</w:t>
      </w:r>
      <w:r w:rsidR="00E7653F">
        <w:rPr>
          <w:rFonts w:cstheme="minorHAnsi"/>
          <w:sz w:val="24"/>
          <w:szCs w:val="24"/>
        </w:rPr>
        <w:t xml:space="preserve"> ověření</w:t>
      </w:r>
      <w:r w:rsidR="00587346" w:rsidRPr="001F3B83">
        <w:rPr>
          <w:rFonts w:cstheme="minorHAnsi"/>
          <w:sz w:val="24"/>
          <w:szCs w:val="24"/>
        </w:rPr>
        <w:t xml:space="preserve"> způsobu stanovení rozpočtu projektu, resp. rozpočtu RKoP</w:t>
      </w:r>
      <w:r w:rsidR="007E42FA">
        <w:rPr>
          <w:rFonts w:cstheme="minorHAnsi"/>
          <w:sz w:val="24"/>
          <w:szCs w:val="24"/>
        </w:rPr>
        <w:t>,</w:t>
      </w:r>
      <w:r w:rsidR="00587346" w:rsidRPr="001F3B83">
        <w:rPr>
          <w:rFonts w:cstheme="minorHAnsi"/>
          <w:sz w:val="24"/>
          <w:szCs w:val="24"/>
        </w:rPr>
        <w:t xml:space="preserve"> neexist</w:t>
      </w:r>
      <w:r w:rsidR="00E7653F">
        <w:rPr>
          <w:rFonts w:cstheme="minorHAnsi"/>
          <w:sz w:val="24"/>
          <w:szCs w:val="24"/>
        </w:rPr>
        <w:t xml:space="preserve">ují </w:t>
      </w:r>
      <w:r w:rsidR="000E4E19" w:rsidRPr="001F3B83">
        <w:rPr>
          <w:rFonts w:cstheme="minorHAnsi"/>
          <w:sz w:val="24"/>
          <w:szCs w:val="24"/>
        </w:rPr>
        <w:t>žádn</w:t>
      </w:r>
      <w:r w:rsidR="00E7653F">
        <w:rPr>
          <w:rFonts w:cstheme="minorHAnsi"/>
          <w:sz w:val="24"/>
          <w:szCs w:val="24"/>
        </w:rPr>
        <w:t>é</w:t>
      </w:r>
      <w:r w:rsidR="000E4E19" w:rsidRPr="001F3B83">
        <w:rPr>
          <w:rFonts w:cstheme="minorHAnsi"/>
          <w:sz w:val="24"/>
          <w:szCs w:val="24"/>
        </w:rPr>
        <w:t xml:space="preserve"> </w:t>
      </w:r>
      <w:r w:rsidR="00E7653F">
        <w:rPr>
          <w:rFonts w:cstheme="minorHAnsi"/>
          <w:sz w:val="24"/>
          <w:szCs w:val="24"/>
        </w:rPr>
        <w:t>doklady</w:t>
      </w:r>
      <w:r w:rsidR="00921E73">
        <w:rPr>
          <w:rFonts w:cstheme="minorHAnsi"/>
          <w:sz w:val="24"/>
          <w:szCs w:val="24"/>
        </w:rPr>
        <w:t>;</w:t>
      </w:r>
      <w:r w:rsidR="00921E73" w:rsidRPr="00921E73">
        <w:t xml:space="preserve"> </w:t>
      </w:r>
      <w:r w:rsidR="0000526F">
        <w:t xml:space="preserve">při </w:t>
      </w:r>
      <w:r w:rsidR="00921E73" w:rsidRPr="00921E73">
        <w:rPr>
          <w:rFonts w:cstheme="minorHAnsi"/>
          <w:sz w:val="24"/>
          <w:szCs w:val="24"/>
        </w:rPr>
        <w:t>provedené kontrole však ne</w:t>
      </w:r>
      <w:r w:rsidR="0000526F">
        <w:rPr>
          <w:rFonts w:cstheme="minorHAnsi"/>
          <w:sz w:val="24"/>
          <w:szCs w:val="24"/>
        </w:rPr>
        <w:t>bylo</w:t>
      </w:r>
      <w:r w:rsidR="00921E73" w:rsidRPr="00921E73">
        <w:rPr>
          <w:rFonts w:cstheme="minorHAnsi"/>
          <w:sz w:val="24"/>
          <w:szCs w:val="24"/>
        </w:rPr>
        <w:t xml:space="preserve"> zřejmé, z jakých podkladů příkazce operace vycházel při ověřování.</w:t>
      </w:r>
      <w:r w:rsidR="00AC5E2A">
        <w:rPr>
          <w:rStyle w:val="Znakapoznpodarou"/>
          <w:rFonts w:cstheme="minorHAnsi"/>
          <w:sz w:val="24"/>
          <w:szCs w:val="24"/>
        </w:rPr>
        <w:footnoteReference w:id="15"/>
      </w:r>
      <w:r w:rsidR="00AC5E2A">
        <w:rPr>
          <w:rFonts w:cstheme="minorHAnsi"/>
          <w:sz w:val="24"/>
          <w:szCs w:val="24"/>
        </w:rPr>
        <w:t xml:space="preserve"> </w:t>
      </w:r>
    </w:p>
    <w:p w14:paraId="3E729A08" w14:textId="77777777" w:rsidR="00CB36FA" w:rsidRPr="001F3B83" w:rsidRDefault="00286E04" w:rsidP="005A22E2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MPSV nepostupovalo </w:t>
      </w:r>
      <w:r w:rsidR="0067795E">
        <w:rPr>
          <w:rFonts w:cstheme="minorHAnsi"/>
          <w:sz w:val="24"/>
          <w:szCs w:val="24"/>
        </w:rPr>
        <w:t xml:space="preserve">vždy </w:t>
      </w:r>
      <w:r w:rsidR="00CB36FA" w:rsidRPr="00286E04">
        <w:rPr>
          <w:rFonts w:cstheme="minorHAnsi"/>
          <w:sz w:val="24"/>
          <w:szCs w:val="24"/>
        </w:rPr>
        <w:t>v souladu s pravidly pro zadávání veřejných zakázek</w:t>
      </w:r>
      <w:r w:rsidR="0080074B">
        <w:rPr>
          <w:rStyle w:val="Znakapoznpodarou"/>
          <w:rFonts w:cstheme="minorHAnsi"/>
          <w:sz w:val="24"/>
          <w:szCs w:val="24"/>
        </w:rPr>
        <w:footnoteReference w:id="16"/>
      </w:r>
      <w:r w:rsidR="00CB36FA" w:rsidRPr="00286E04">
        <w:rPr>
          <w:rFonts w:cstheme="minorHAnsi"/>
          <w:sz w:val="24"/>
          <w:szCs w:val="24"/>
        </w:rPr>
        <w:t xml:space="preserve">. </w:t>
      </w:r>
      <w:r w:rsidR="005A22E2">
        <w:rPr>
          <w:rFonts w:cstheme="minorHAnsi"/>
          <w:sz w:val="24"/>
          <w:szCs w:val="24"/>
        </w:rPr>
        <w:t>U </w:t>
      </w:r>
      <w:r>
        <w:rPr>
          <w:rFonts w:cstheme="minorHAnsi"/>
          <w:sz w:val="24"/>
          <w:szCs w:val="24"/>
        </w:rPr>
        <w:t>některých zakázek</w:t>
      </w:r>
      <w:r w:rsidR="00AF7B6F">
        <w:rPr>
          <w:rFonts w:cstheme="minorHAnsi"/>
          <w:sz w:val="24"/>
          <w:szCs w:val="24"/>
        </w:rPr>
        <w:t xml:space="preserve"> malého rozsahu </w:t>
      </w:r>
      <w:r w:rsidR="00CB36FA" w:rsidRPr="001F3B83">
        <w:rPr>
          <w:rFonts w:cstheme="minorHAnsi"/>
          <w:sz w:val="24"/>
          <w:szCs w:val="24"/>
        </w:rPr>
        <w:t>nebyly zpracovány podklady pro stanovení předpokládané hodnoty zakázky, nedostatečným způsobem byla definována kritéria pro hodnocení zakázek</w:t>
      </w:r>
      <w:r w:rsidR="001F3B83">
        <w:rPr>
          <w:rFonts w:cstheme="minorHAnsi"/>
          <w:sz w:val="24"/>
          <w:szCs w:val="24"/>
        </w:rPr>
        <w:t xml:space="preserve"> </w:t>
      </w:r>
      <w:r w:rsidR="00B13C0A">
        <w:rPr>
          <w:rFonts w:cstheme="minorHAnsi"/>
          <w:sz w:val="24"/>
          <w:szCs w:val="24"/>
        </w:rPr>
        <w:t>a tím</w:t>
      </w:r>
      <w:r w:rsidR="001F3B83">
        <w:rPr>
          <w:rFonts w:cstheme="minorHAnsi"/>
          <w:sz w:val="24"/>
          <w:szCs w:val="24"/>
        </w:rPr>
        <w:t xml:space="preserve"> </w:t>
      </w:r>
      <w:r w:rsidR="001F3B83" w:rsidRPr="001F3B83">
        <w:rPr>
          <w:rFonts w:cstheme="minorHAnsi"/>
          <w:sz w:val="24"/>
          <w:szCs w:val="24"/>
        </w:rPr>
        <w:t>byl porušen princip transparentnosti</w:t>
      </w:r>
      <w:r w:rsidRPr="001F3B83">
        <w:rPr>
          <w:rFonts w:cstheme="minorHAnsi"/>
          <w:sz w:val="24"/>
          <w:szCs w:val="24"/>
        </w:rPr>
        <w:t>:</w:t>
      </w:r>
      <w:r w:rsidR="00CB36FA" w:rsidRPr="001F3B83">
        <w:rPr>
          <w:rFonts w:cstheme="minorHAnsi"/>
          <w:sz w:val="24"/>
          <w:szCs w:val="24"/>
        </w:rPr>
        <w:t xml:space="preserve"> </w:t>
      </w:r>
    </w:p>
    <w:p w14:paraId="4D8C0C88" w14:textId="29FB22B3" w:rsidR="00C726BB" w:rsidRPr="00D873A7" w:rsidRDefault="00286E04" w:rsidP="005A22E2">
      <w:pPr>
        <w:pStyle w:val="Odstavecseseznamem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C726BB" w:rsidRPr="00131CB0">
        <w:rPr>
          <w:rFonts w:cstheme="minorHAnsi"/>
          <w:sz w:val="24"/>
          <w:szCs w:val="24"/>
        </w:rPr>
        <w:t xml:space="preserve"> veřejn</w:t>
      </w:r>
      <w:r w:rsidR="00D37965" w:rsidRPr="00131CB0">
        <w:rPr>
          <w:rFonts w:cstheme="minorHAnsi"/>
          <w:sz w:val="24"/>
          <w:szCs w:val="24"/>
        </w:rPr>
        <w:t>ých</w:t>
      </w:r>
      <w:r w:rsidR="00C726BB" w:rsidRPr="00131CB0">
        <w:rPr>
          <w:rFonts w:cstheme="minorHAnsi"/>
          <w:sz w:val="24"/>
          <w:szCs w:val="24"/>
        </w:rPr>
        <w:t xml:space="preserve"> zakáz</w:t>
      </w:r>
      <w:r w:rsidR="00D37965" w:rsidRPr="00131CB0">
        <w:rPr>
          <w:rFonts w:cstheme="minorHAnsi"/>
          <w:sz w:val="24"/>
          <w:szCs w:val="24"/>
        </w:rPr>
        <w:t>e</w:t>
      </w:r>
      <w:r w:rsidR="00C726BB" w:rsidRPr="00131CB0">
        <w:rPr>
          <w:rFonts w:cstheme="minorHAnsi"/>
          <w:sz w:val="24"/>
          <w:szCs w:val="24"/>
        </w:rPr>
        <w:t>k</w:t>
      </w:r>
      <w:r w:rsidR="00D65E6F">
        <w:rPr>
          <w:rStyle w:val="Znakapoznpodarou"/>
          <w:rFonts w:cstheme="minorHAnsi"/>
          <w:sz w:val="24"/>
          <w:szCs w:val="24"/>
        </w:rPr>
        <w:footnoteReference w:id="17"/>
      </w:r>
      <w:r w:rsidR="00C726BB" w:rsidRPr="00131CB0">
        <w:rPr>
          <w:rFonts w:cstheme="minorHAnsi"/>
          <w:sz w:val="24"/>
          <w:szCs w:val="24"/>
        </w:rPr>
        <w:t xml:space="preserve"> </w:t>
      </w:r>
      <w:r w:rsidR="00C726BB" w:rsidRPr="00C3546A">
        <w:rPr>
          <w:rFonts w:cstheme="minorHAnsi"/>
          <w:i/>
          <w:sz w:val="24"/>
          <w:szCs w:val="24"/>
        </w:rPr>
        <w:t>Grafické služby pro zajištění publicity ESF</w:t>
      </w:r>
      <w:r w:rsidR="00D37965" w:rsidRPr="00131CB0">
        <w:rPr>
          <w:rFonts w:cstheme="minorHAnsi"/>
          <w:sz w:val="24"/>
          <w:szCs w:val="24"/>
        </w:rPr>
        <w:t xml:space="preserve">, </w:t>
      </w:r>
      <w:r w:rsidR="00D37965" w:rsidRPr="00C3546A">
        <w:rPr>
          <w:rFonts w:cstheme="minorHAnsi"/>
          <w:i/>
          <w:sz w:val="24"/>
          <w:szCs w:val="24"/>
        </w:rPr>
        <w:t>Tisková inzerce ESF</w:t>
      </w:r>
      <w:r w:rsidR="00425B04">
        <w:rPr>
          <w:rFonts w:cstheme="minorHAnsi"/>
          <w:sz w:val="24"/>
          <w:szCs w:val="24"/>
        </w:rPr>
        <w:t xml:space="preserve"> a </w:t>
      </w:r>
      <w:r w:rsidR="00D37965" w:rsidRPr="00C3546A">
        <w:rPr>
          <w:rFonts w:cstheme="minorHAnsi"/>
          <w:i/>
          <w:sz w:val="24"/>
          <w:szCs w:val="24"/>
        </w:rPr>
        <w:t>Nákup propagačních předmětů a tištěných materiálů</w:t>
      </w:r>
      <w:r w:rsidR="00D37965" w:rsidRPr="00131CB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nerespektovalo MPSV princip transparentnosti</w:t>
      </w:r>
      <w:r w:rsidR="007E42FA">
        <w:rPr>
          <w:rFonts w:cstheme="minorHAnsi"/>
          <w:sz w:val="24"/>
          <w:szCs w:val="24"/>
        </w:rPr>
        <w:t>, neboť</w:t>
      </w:r>
      <w:r>
        <w:rPr>
          <w:rFonts w:cstheme="minorHAnsi"/>
          <w:sz w:val="24"/>
          <w:szCs w:val="24"/>
        </w:rPr>
        <w:t xml:space="preserve"> </w:t>
      </w:r>
      <w:r w:rsidRPr="00D873A7">
        <w:rPr>
          <w:rFonts w:cstheme="minorHAnsi"/>
          <w:sz w:val="24"/>
          <w:szCs w:val="24"/>
        </w:rPr>
        <w:t>ne</w:t>
      </w:r>
      <w:r w:rsidR="00C726BB" w:rsidRPr="00D873A7">
        <w:rPr>
          <w:rFonts w:cstheme="minorHAnsi"/>
          <w:sz w:val="24"/>
          <w:szCs w:val="24"/>
        </w:rPr>
        <w:t>odůvodn</w:t>
      </w:r>
      <w:r w:rsidRPr="00D873A7">
        <w:rPr>
          <w:rFonts w:cstheme="minorHAnsi"/>
          <w:sz w:val="24"/>
          <w:szCs w:val="24"/>
        </w:rPr>
        <w:t xml:space="preserve">ilo </w:t>
      </w:r>
      <w:r w:rsidR="00C726BB" w:rsidRPr="00D873A7">
        <w:rPr>
          <w:rFonts w:cstheme="minorHAnsi"/>
          <w:sz w:val="24"/>
          <w:szCs w:val="24"/>
        </w:rPr>
        <w:t>rozhodnutí zadavatele při stanovení předpokládané hodnoty zakázky</w:t>
      </w:r>
      <w:r w:rsidRPr="00D873A7">
        <w:rPr>
          <w:rFonts w:cstheme="minorHAnsi"/>
          <w:sz w:val="24"/>
          <w:szCs w:val="24"/>
        </w:rPr>
        <w:t xml:space="preserve">, </w:t>
      </w:r>
      <w:r w:rsidR="00D37965" w:rsidRPr="00D873A7">
        <w:rPr>
          <w:rFonts w:cstheme="minorHAnsi"/>
          <w:sz w:val="24"/>
          <w:szCs w:val="24"/>
        </w:rPr>
        <w:t xml:space="preserve">nebylo </w:t>
      </w:r>
      <w:r w:rsidRPr="00D873A7">
        <w:rPr>
          <w:rFonts w:cstheme="minorHAnsi"/>
          <w:sz w:val="24"/>
          <w:szCs w:val="24"/>
        </w:rPr>
        <w:t xml:space="preserve">tedy </w:t>
      </w:r>
      <w:r w:rsidR="00D37965" w:rsidRPr="00D873A7">
        <w:rPr>
          <w:rFonts w:cstheme="minorHAnsi"/>
          <w:sz w:val="24"/>
          <w:szCs w:val="24"/>
        </w:rPr>
        <w:t>možné zpětně přezkoumat způsob jejího stanovení</w:t>
      </w:r>
      <w:r w:rsidR="00712492" w:rsidRPr="00D873A7">
        <w:rPr>
          <w:rFonts w:cstheme="minorHAnsi"/>
          <w:sz w:val="24"/>
          <w:szCs w:val="24"/>
        </w:rPr>
        <w:t xml:space="preserve">; </w:t>
      </w:r>
    </w:p>
    <w:p w14:paraId="10C99F44" w14:textId="5692DED7" w:rsidR="00D37965" w:rsidRPr="00D873A7" w:rsidRDefault="00286E04" w:rsidP="005A22E2">
      <w:pPr>
        <w:pStyle w:val="Odstavecseseznamem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</w:t>
      </w:r>
      <w:r w:rsidR="00D37965" w:rsidRPr="00131CB0">
        <w:rPr>
          <w:rFonts w:cstheme="minorHAnsi"/>
          <w:sz w:val="24"/>
          <w:szCs w:val="24"/>
        </w:rPr>
        <w:t xml:space="preserve"> zakázky </w:t>
      </w:r>
      <w:r w:rsidR="00D37965" w:rsidRPr="00C3546A">
        <w:rPr>
          <w:rFonts w:cstheme="minorHAnsi"/>
          <w:i/>
          <w:sz w:val="24"/>
          <w:szCs w:val="24"/>
        </w:rPr>
        <w:t>Grafické služby pro zajištění publicity ESF</w:t>
      </w:r>
      <w:r w:rsidR="00D37965" w:rsidRPr="00131CB0">
        <w:rPr>
          <w:sz w:val="24"/>
          <w:szCs w:val="24"/>
        </w:rPr>
        <w:t xml:space="preserve"> </w:t>
      </w:r>
      <w:r w:rsidR="00712492" w:rsidRPr="00D873A7">
        <w:rPr>
          <w:sz w:val="24"/>
          <w:szCs w:val="24"/>
        </w:rPr>
        <w:t xml:space="preserve">porušilo </w:t>
      </w:r>
      <w:r w:rsidR="0078302F">
        <w:rPr>
          <w:sz w:val="24"/>
          <w:szCs w:val="24"/>
        </w:rPr>
        <w:t xml:space="preserve">MPSV princip </w:t>
      </w:r>
      <w:r w:rsidR="00712492" w:rsidRPr="00D873A7">
        <w:rPr>
          <w:sz w:val="24"/>
          <w:szCs w:val="24"/>
        </w:rPr>
        <w:t>transparentnosti</w:t>
      </w:r>
      <w:r w:rsidR="007E42FA">
        <w:rPr>
          <w:sz w:val="24"/>
          <w:szCs w:val="24"/>
        </w:rPr>
        <w:t>, neboť</w:t>
      </w:r>
      <w:r w:rsidR="00712492" w:rsidRPr="00D873A7">
        <w:rPr>
          <w:sz w:val="24"/>
          <w:szCs w:val="24"/>
        </w:rPr>
        <w:t xml:space="preserve"> nevymezilo </w:t>
      </w:r>
      <w:r w:rsidR="00D37965" w:rsidRPr="00D873A7">
        <w:rPr>
          <w:rFonts w:cstheme="minorHAnsi"/>
          <w:sz w:val="24"/>
          <w:szCs w:val="24"/>
        </w:rPr>
        <w:t xml:space="preserve">podrobněji </w:t>
      </w:r>
      <w:r w:rsidR="00712492" w:rsidRPr="00D873A7">
        <w:rPr>
          <w:rFonts w:cstheme="minorHAnsi"/>
          <w:sz w:val="24"/>
          <w:szCs w:val="24"/>
        </w:rPr>
        <w:t>v</w:t>
      </w:r>
      <w:r w:rsidR="00D37965" w:rsidRPr="00D873A7">
        <w:rPr>
          <w:rFonts w:cstheme="minorHAnsi"/>
          <w:sz w:val="24"/>
          <w:szCs w:val="24"/>
        </w:rPr>
        <w:t xml:space="preserve"> zadávací dokumentaci hodnot</w:t>
      </w:r>
      <w:r w:rsidR="007E42FA">
        <w:rPr>
          <w:rFonts w:cstheme="minorHAnsi"/>
          <w:sz w:val="24"/>
          <w:szCs w:val="24"/>
        </w:rPr>
        <w:t>i</w:t>
      </w:r>
      <w:r w:rsidR="00D37965" w:rsidRPr="00D873A7">
        <w:rPr>
          <w:rFonts w:cstheme="minorHAnsi"/>
          <w:sz w:val="24"/>
          <w:szCs w:val="24"/>
        </w:rPr>
        <w:t>cí kritéria</w:t>
      </w:r>
      <w:r w:rsidR="007E42FA">
        <w:rPr>
          <w:rFonts w:cstheme="minorHAnsi"/>
          <w:sz w:val="24"/>
          <w:szCs w:val="24"/>
        </w:rPr>
        <w:t>,</w:t>
      </w:r>
      <w:r w:rsidR="00712492" w:rsidRPr="00D873A7">
        <w:rPr>
          <w:rFonts w:cstheme="minorHAnsi"/>
          <w:sz w:val="24"/>
          <w:szCs w:val="24"/>
        </w:rPr>
        <w:t xml:space="preserve"> n</w:t>
      </w:r>
      <w:r w:rsidR="00D37965" w:rsidRPr="00D873A7">
        <w:rPr>
          <w:rFonts w:cstheme="minorHAnsi"/>
          <w:sz w:val="24"/>
          <w:szCs w:val="24"/>
        </w:rPr>
        <w:t>ebylo</w:t>
      </w:r>
      <w:r w:rsidR="007E42FA">
        <w:rPr>
          <w:rFonts w:cstheme="minorHAnsi"/>
          <w:sz w:val="24"/>
          <w:szCs w:val="24"/>
        </w:rPr>
        <w:t xml:space="preserve"> tedy</w:t>
      </w:r>
      <w:r w:rsidR="00D37965" w:rsidRPr="00D873A7">
        <w:rPr>
          <w:rFonts w:cstheme="minorHAnsi"/>
          <w:sz w:val="24"/>
          <w:szCs w:val="24"/>
        </w:rPr>
        <w:t xml:space="preserve"> možné zpětně přezkoumat postup zadavatele. </w:t>
      </w:r>
    </w:p>
    <w:p w14:paraId="21EFAFB9" w14:textId="4E0A1CD7" w:rsidR="00C45B44" w:rsidRPr="005A22E2" w:rsidRDefault="00C45B44" w:rsidP="005A22E2">
      <w:pPr>
        <w:pStyle w:val="Odstavecseseznamem"/>
        <w:numPr>
          <w:ilvl w:val="0"/>
          <w:numId w:val="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873A7">
        <w:rPr>
          <w:rFonts w:cstheme="minorHAnsi"/>
          <w:sz w:val="24"/>
          <w:szCs w:val="24"/>
        </w:rPr>
        <w:t>MPSV nemělo stanovena pravidla pro vedení evidence skladu materiálu</w:t>
      </w:r>
      <w:r w:rsidR="007E42FA">
        <w:rPr>
          <w:rFonts w:cstheme="minorHAnsi"/>
          <w:sz w:val="24"/>
          <w:szCs w:val="24"/>
        </w:rPr>
        <w:t xml:space="preserve"> </w:t>
      </w:r>
      <w:r w:rsidRPr="00D873A7">
        <w:rPr>
          <w:rFonts w:cstheme="minorHAnsi"/>
          <w:sz w:val="24"/>
          <w:szCs w:val="24"/>
        </w:rPr>
        <w:t>/</w:t>
      </w:r>
      <w:r w:rsidR="007E42FA">
        <w:rPr>
          <w:rFonts w:cstheme="minorHAnsi"/>
          <w:sz w:val="24"/>
          <w:szCs w:val="24"/>
        </w:rPr>
        <w:t xml:space="preserve"> </w:t>
      </w:r>
      <w:r w:rsidRPr="00D873A7">
        <w:rPr>
          <w:rFonts w:cstheme="minorHAnsi"/>
          <w:sz w:val="24"/>
          <w:szCs w:val="24"/>
        </w:rPr>
        <w:t xml:space="preserve">propagačních předmětů. Některé z distribucí </w:t>
      </w:r>
      <w:r w:rsidR="0067795E" w:rsidRPr="00D873A7">
        <w:rPr>
          <w:rFonts w:cstheme="minorHAnsi"/>
          <w:sz w:val="24"/>
          <w:szCs w:val="24"/>
        </w:rPr>
        <w:t xml:space="preserve">předmětů </w:t>
      </w:r>
      <w:r w:rsidRPr="00D873A7">
        <w:rPr>
          <w:rFonts w:cstheme="minorHAnsi"/>
          <w:sz w:val="24"/>
          <w:szCs w:val="24"/>
        </w:rPr>
        <w:t>postráda</w:t>
      </w:r>
      <w:r w:rsidR="0067795E" w:rsidRPr="00D873A7">
        <w:rPr>
          <w:rFonts w:cstheme="minorHAnsi"/>
          <w:sz w:val="24"/>
          <w:szCs w:val="24"/>
        </w:rPr>
        <w:t xml:space="preserve">ly </w:t>
      </w:r>
      <w:r w:rsidR="00D873A7">
        <w:rPr>
          <w:rFonts w:cstheme="minorHAnsi"/>
          <w:sz w:val="24"/>
          <w:szCs w:val="24"/>
        </w:rPr>
        <w:t>záznam o konečných uživatelích.</w:t>
      </w:r>
    </w:p>
    <w:p w14:paraId="033512A5" w14:textId="77777777" w:rsidR="00D873A7" w:rsidRPr="005A22E2" w:rsidRDefault="00D873A7" w:rsidP="005A22E2">
      <w:pPr>
        <w:pStyle w:val="Odstavecseseznamem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618ED87" w14:textId="77777777" w:rsidR="001B7C17" w:rsidRDefault="00B35322" w:rsidP="005A22E2">
      <w:pPr>
        <w:spacing w:after="0" w:line="240" w:lineRule="auto"/>
        <w:rPr>
          <w:b/>
          <w:sz w:val="24"/>
          <w:szCs w:val="24"/>
        </w:rPr>
      </w:pPr>
      <w:r w:rsidRPr="005A22E2">
        <w:rPr>
          <w:b/>
          <w:sz w:val="24"/>
          <w:szCs w:val="24"/>
        </w:rPr>
        <w:t xml:space="preserve">2.3 </w:t>
      </w:r>
      <w:r w:rsidR="001B7C17" w:rsidRPr="005A22E2">
        <w:rPr>
          <w:b/>
          <w:sz w:val="24"/>
          <w:szCs w:val="24"/>
        </w:rPr>
        <w:t>R</w:t>
      </w:r>
      <w:r w:rsidR="00D8559A" w:rsidRPr="005A22E2">
        <w:rPr>
          <w:b/>
          <w:sz w:val="24"/>
          <w:szCs w:val="24"/>
        </w:rPr>
        <w:t xml:space="preserve">egionální rada regionu soudržnosti </w:t>
      </w:r>
      <w:r w:rsidR="001B7C17" w:rsidRPr="005A22E2">
        <w:rPr>
          <w:b/>
          <w:sz w:val="24"/>
          <w:szCs w:val="24"/>
        </w:rPr>
        <w:t>S</w:t>
      </w:r>
      <w:r w:rsidR="00D8559A" w:rsidRPr="005A22E2">
        <w:rPr>
          <w:b/>
          <w:sz w:val="24"/>
          <w:szCs w:val="24"/>
        </w:rPr>
        <w:t xml:space="preserve">třední </w:t>
      </w:r>
      <w:r w:rsidR="001B7C17" w:rsidRPr="005A22E2">
        <w:rPr>
          <w:b/>
          <w:sz w:val="24"/>
          <w:szCs w:val="24"/>
        </w:rPr>
        <w:t>Č</w:t>
      </w:r>
      <w:r w:rsidR="00D8559A" w:rsidRPr="005A22E2">
        <w:rPr>
          <w:b/>
          <w:sz w:val="24"/>
          <w:szCs w:val="24"/>
        </w:rPr>
        <w:t>echy</w:t>
      </w:r>
    </w:p>
    <w:p w14:paraId="255D269E" w14:textId="77777777" w:rsidR="005A22E2" w:rsidRPr="005A22E2" w:rsidRDefault="005A22E2" w:rsidP="005A22E2">
      <w:pPr>
        <w:spacing w:after="0" w:line="240" w:lineRule="auto"/>
        <w:rPr>
          <w:sz w:val="24"/>
          <w:szCs w:val="24"/>
        </w:rPr>
      </w:pPr>
    </w:p>
    <w:p w14:paraId="019F4C53" w14:textId="5B7BBDCA" w:rsidR="00223516" w:rsidRPr="00D873A7" w:rsidRDefault="00587346" w:rsidP="005A22E2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131CB0">
        <w:rPr>
          <w:rFonts w:cstheme="minorHAnsi"/>
          <w:sz w:val="24"/>
          <w:szCs w:val="24"/>
        </w:rPr>
        <w:t xml:space="preserve">U </w:t>
      </w:r>
      <w:r w:rsidR="001B7C17" w:rsidRPr="00131CB0">
        <w:rPr>
          <w:rFonts w:cstheme="minorHAnsi"/>
          <w:sz w:val="24"/>
          <w:szCs w:val="24"/>
        </w:rPr>
        <w:t>ROP SČ</w:t>
      </w:r>
      <w:r w:rsidR="00D8559A" w:rsidRPr="00131CB0">
        <w:rPr>
          <w:rFonts w:cstheme="minorHAnsi"/>
          <w:sz w:val="24"/>
          <w:szCs w:val="24"/>
        </w:rPr>
        <w:t xml:space="preserve"> neprobíhalo </w:t>
      </w:r>
      <w:r w:rsidR="00B02258" w:rsidRPr="00131CB0">
        <w:rPr>
          <w:rFonts w:cstheme="minorHAnsi"/>
          <w:sz w:val="24"/>
          <w:szCs w:val="24"/>
        </w:rPr>
        <w:t>při podání žádosti o podporu</w:t>
      </w:r>
      <w:r w:rsidR="0067795E">
        <w:rPr>
          <w:rFonts w:cstheme="minorHAnsi"/>
          <w:sz w:val="24"/>
          <w:szCs w:val="24"/>
        </w:rPr>
        <w:t xml:space="preserve"> </w:t>
      </w:r>
      <w:r w:rsidR="0067795E" w:rsidRPr="00131CB0">
        <w:rPr>
          <w:rFonts w:cstheme="minorHAnsi"/>
          <w:sz w:val="24"/>
          <w:szCs w:val="24"/>
        </w:rPr>
        <w:t>věcné hodnocení projektů technické pomoci</w:t>
      </w:r>
      <w:r w:rsidR="00223516" w:rsidRPr="00131CB0">
        <w:rPr>
          <w:rFonts w:cstheme="minorHAnsi"/>
          <w:sz w:val="24"/>
          <w:szCs w:val="24"/>
        </w:rPr>
        <w:t xml:space="preserve">; </w:t>
      </w:r>
      <w:r w:rsidR="00223516" w:rsidRPr="00D873A7">
        <w:rPr>
          <w:rFonts w:cstheme="minorHAnsi"/>
          <w:sz w:val="24"/>
          <w:szCs w:val="24"/>
        </w:rPr>
        <w:t>nebyl kladen důraz na podrobné odůvodnění rozpočtu. RR</w:t>
      </w:r>
      <w:r w:rsidR="003D0EF7" w:rsidRPr="00D873A7">
        <w:rPr>
          <w:rFonts w:cstheme="minorHAnsi"/>
          <w:sz w:val="24"/>
          <w:szCs w:val="24"/>
        </w:rPr>
        <w:t xml:space="preserve"> </w:t>
      </w:r>
      <w:r w:rsidR="00F80516">
        <w:rPr>
          <w:rFonts w:cstheme="minorHAnsi"/>
          <w:sz w:val="24"/>
          <w:szCs w:val="24"/>
        </w:rPr>
        <w:t>SČ v </w:t>
      </w:r>
      <w:r w:rsidR="00223516" w:rsidRPr="00D873A7">
        <w:rPr>
          <w:rFonts w:cstheme="minorHAnsi"/>
          <w:sz w:val="24"/>
          <w:szCs w:val="24"/>
        </w:rPr>
        <w:t>projektových žádostech neodůvodnila transparentním způsobem požadavky</w:t>
      </w:r>
      <w:r w:rsidR="00D67015">
        <w:rPr>
          <w:rFonts w:cstheme="minorHAnsi"/>
          <w:sz w:val="24"/>
          <w:szCs w:val="24"/>
        </w:rPr>
        <w:t xml:space="preserve"> </w:t>
      </w:r>
      <w:r w:rsidR="00223516" w:rsidRPr="00D873A7">
        <w:rPr>
          <w:rFonts w:cstheme="minorHAnsi"/>
          <w:sz w:val="24"/>
          <w:szCs w:val="24"/>
        </w:rPr>
        <w:t xml:space="preserve">na finanční zdroje. Výdajové potřeby a provedená opatření </w:t>
      </w:r>
      <w:r w:rsidR="003F3920">
        <w:rPr>
          <w:rFonts w:cstheme="minorHAnsi"/>
          <w:sz w:val="24"/>
          <w:szCs w:val="24"/>
        </w:rPr>
        <w:t>odůvodnila</w:t>
      </w:r>
      <w:r w:rsidR="00223516" w:rsidRPr="00D873A7">
        <w:rPr>
          <w:rFonts w:cstheme="minorHAnsi"/>
          <w:sz w:val="24"/>
          <w:szCs w:val="24"/>
        </w:rPr>
        <w:t xml:space="preserve"> momentální potřebou.</w:t>
      </w:r>
    </w:p>
    <w:p w14:paraId="573FC638" w14:textId="4E3B8B37" w:rsidR="00D873A7" w:rsidRPr="00B83F2B" w:rsidRDefault="00926502" w:rsidP="00D67015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873A7">
        <w:rPr>
          <w:rFonts w:cstheme="minorHAnsi"/>
          <w:sz w:val="24"/>
          <w:szCs w:val="24"/>
        </w:rPr>
        <w:t xml:space="preserve">RR SČ nedisponovala všemi podklady, na jejichž základě byla stanovena předpokládaná hodnota realizovaných veřejných zakázek, a to u většiny </w:t>
      </w:r>
      <w:r w:rsidR="00442134">
        <w:rPr>
          <w:rFonts w:cstheme="minorHAnsi"/>
          <w:sz w:val="24"/>
          <w:szCs w:val="24"/>
        </w:rPr>
        <w:t xml:space="preserve">zadaných </w:t>
      </w:r>
      <w:r w:rsidRPr="00D873A7">
        <w:rPr>
          <w:rFonts w:cstheme="minorHAnsi"/>
          <w:sz w:val="24"/>
          <w:szCs w:val="24"/>
        </w:rPr>
        <w:t>zakázek s výjimkou dvou.</w:t>
      </w:r>
      <w:r w:rsidRPr="00CA31B3">
        <w:rPr>
          <w:rFonts w:cstheme="minorHAnsi"/>
          <w:sz w:val="24"/>
          <w:szCs w:val="24"/>
        </w:rPr>
        <w:t xml:space="preserve"> </w:t>
      </w:r>
      <w:r w:rsidR="00D873A7" w:rsidRPr="00C45AFE">
        <w:rPr>
          <w:rFonts w:cstheme="minorHAnsi"/>
          <w:sz w:val="24"/>
          <w:szCs w:val="24"/>
        </w:rPr>
        <w:t xml:space="preserve">RR SČ </w:t>
      </w:r>
      <w:r w:rsidR="003F3920">
        <w:rPr>
          <w:rFonts w:cstheme="minorHAnsi"/>
          <w:sz w:val="24"/>
          <w:szCs w:val="24"/>
        </w:rPr>
        <w:t xml:space="preserve">nepostupovala </w:t>
      </w:r>
      <w:r w:rsidR="00D873A7" w:rsidRPr="00C45AFE">
        <w:rPr>
          <w:rFonts w:cstheme="minorHAnsi"/>
          <w:sz w:val="24"/>
          <w:szCs w:val="24"/>
        </w:rPr>
        <w:t>vž</w:t>
      </w:r>
      <w:r w:rsidR="00F80516">
        <w:rPr>
          <w:rFonts w:cstheme="minorHAnsi"/>
          <w:sz w:val="24"/>
          <w:szCs w:val="24"/>
        </w:rPr>
        <w:t xml:space="preserve">dy </w:t>
      </w:r>
      <w:r w:rsidR="003F3920">
        <w:rPr>
          <w:rFonts w:cstheme="minorHAnsi"/>
          <w:sz w:val="24"/>
          <w:szCs w:val="24"/>
        </w:rPr>
        <w:t xml:space="preserve">při </w:t>
      </w:r>
      <w:r w:rsidR="00F80516">
        <w:rPr>
          <w:rFonts w:cstheme="minorHAnsi"/>
          <w:sz w:val="24"/>
          <w:szCs w:val="24"/>
        </w:rPr>
        <w:t>výběr</w:t>
      </w:r>
      <w:r w:rsidR="003F3920">
        <w:rPr>
          <w:rFonts w:cstheme="minorHAnsi"/>
          <w:sz w:val="24"/>
          <w:szCs w:val="24"/>
        </w:rPr>
        <w:t>u</w:t>
      </w:r>
      <w:r w:rsidR="00F80516">
        <w:rPr>
          <w:rFonts w:cstheme="minorHAnsi"/>
          <w:sz w:val="24"/>
          <w:szCs w:val="24"/>
        </w:rPr>
        <w:t xml:space="preserve"> externích dodavatelů v </w:t>
      </w:r>
      <w:r w:rsidR="003F3920">
        <w:rPr>
          <w:rFonts w:cstheme="minorHAnsi"/>
          <w:sz w:val="24"/>
          <w:szCs w:val="24"/>
        </w:rPr>
        <w:t>souladu s </w:t>
      </w:r>
      <w:r w:rsidR="00D873A7" w:rsidRPr="00C45AFE">
        <w:rPr>
          <w:rFonts w:cstheme="minorHAnsi"/>
          <w:sz w:val="24"/>
          <w:szCs w:val="24"/>
        </w:rPr>
        <w:t xml:space="preserve">pravidly pro zadávání veřejných zakázek. </w:t>
      </w:r>
      <w:r w:rsidR="003F3920">
        <w:rPr>
          <w:rFonts w:cstheme="minorHAnsi"/>
          <w:sz w:val="24"/>
          <w:szCs w:val="24"/>
        </w:rPr>
        <w:t>U </w:t>
      </w:r>
      <w:r w:rsidR="00D873A7" w:rsidRPr="00B83F2B">
        <w:rPr>
          <w:rFonts w:cstheme="minorHAnsi"/>
          <w:sz w:val="24"/>
          <w:szCs w:val="24"/>
        </w:rPr>
        <w:t>vybrané</w:t>
      </w:r>
      <w:r w:rsidR="003F3920">
        <w:rPr>
          <w:rFonts w:cstheme="minorHAnsi"/>
          <w:sz w:val="24"/>
          <w:szCs w:val="24"/>
        </w:rPr>
        <w:t>ho</w:t>
      </w:r>
      <w:r w:rsidR="00D873A7" w:rsidRPr="00B83F2B">
        <w:rPr>
          <w:rFonts w:cstheme="minorHAnsi"/>
          <w:sz w:val="24"/>
          <w:szCs w:val="24"/>
        </w:rPr>
        <w:t xml:space="preserve"> vzorku veřejných zakázek</w:t>
      </w:r>
      <w:r w:rsidR="008F69C6">
        <w:rPr>
          <w:rFonts w:cstheme="minorHAnsi"/>
          <w:sz w:val="24"/>
          <w:szCs w:val="24"/>
        </w:rPr>
        <w:t xml:space="preserve"> </w:t>
      </w:r>
      <w:r w:rsidR="003F3920">
        <w:rPr>
          <w:rFonts w:cstheme="minorHAnsi"/>
          <w:sz w:val="24"/>
          <w:szCs w:val="24"/>
        </w:rPr>
        <w:t xml:space="preserve">nebyly </w:t>
      </w:r>
      <w:r w:rsidR="00D873A7" w:rsidRPr="00B83F2B">
        <w:rPr>
          <w:rFonts w:cstheme="minorHAnsi"/>
          <w:sz w:val="24"/>
          <w:szCs w:val="24"/>
        </w:rPr>
        <w:t>ve většině případů dodržen</w:t>
      </w:r>
      <w:r w:rsidR="003F3920">
        <w:rPr>
          <w:rFonts w:cstheme="minorHAnsi"/>
          <w:sz w:val="24"/>
          <w:szCs w:val="24"/>
        </w:rPr>
        <w:t>y</w:t>
      </w:r>
      <w:r w:rsidR="00D873A7" w:rsidRPr="00B83F2B">
        <w:rPr>
          <w:rFonts w:cstheme="minorHAnsi"/>
          <w:sz w:val="24"/>
          <w:szCs w:val="24"/>
        </w:rPr>
        <w:t xml:space="preserve"> zásady transparentnosti</w:t>
      </w:r>
      <w:r w:rsidR="00D873A7" w:rsidRPr="00B83F2B">
        <w:rPr>
          <w:rStyle w:val="Znakapoznpodarou"/>
          <w:rFonts w:cstheme="minorHAnsi"/>
          <w:sz w:val="24"/>
          <w:szCs w:val="24"/>
        </w:rPr>
        <w:footnoteReference w:id="18"/>
      </w:r>
      <w:r w:rsidR="009A4596">
        <w:rPr>
          <w:rFonts w:cstheme="minorHAnsi"/>
          <w:sz w:val="24"/>
          <w:szCs w:val="24"/>
        </w:rPr>
        <w:t xml:space="preserve">, např.: </w:t>
      </w:r>
    </w:p>
    <w:p w14:paraId="44A449C8" w14:textId="4CF579AF" w:rsidR="009A4596" w:rsidRDefault="00D873A7" w:rsidP="00D67015">
      <w:pPr>
        <w:pStyle w:val="Odstavecseseznamem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theme="minorHAnsi"/>
          <w:sz w:val="24"/>
          <w:szCs w:val="24"/>
        </w:rPr>
      </w:pPr>
      <w:r w:rsidRPr="00692EFA">
        <w:rPr>
          <w:rFonts w:cstheme="minorHAnsi"/>
          <w:sz w:val="24"/>
          <w:szCs w:val="24"/>
        </w:rPr>
        <w:t xml:space="preserve">u veřejné zakázky </w:t>
      </w:r>
      <w:r w:rsidRPr="00EA136C">
        <w:rPr>
          <w:rFonts w:cstheme="minorHAnsi"/>
          <w:i/>
          <w:sz w:val="24"/>
          <w:szCs w:val="24"/>
        </w:rPr>
        <w:t>Realizace public relations pro Regionální operační program Střední Čechy</w:t>
      </w:r>
      <w:r w:rsidR="008F69C6">
        <w:rPr>
          <w:rStyle w:val="Znakapoznpodarou"/>
          <w:rFonts w:cstheme="minorHAnsi"/>
          <w:sz w:val="24"/>
          <w:szCs w:val="24"/>
        </w:rPr>
        <w:footnoteReference w:id="19"/>
      </w:r>
      <w:r w:rsidR="008F69C6" w:rsidRPr="00B83F2B">
        <w:rPr>
          <w:rFonts w:cstheme="minorHAnsi"/>
          <w:sz w:val="24"/>
          <w:szCs w:val="24"/>
        </w:rPr>
        <w:t xml:space="preserve"> </w:t>
      </w:r>
      <w:r w:rsidR="008F69C6">
        <w:rPr>
          <w:rFonts w:cstheme="minorHAnsi"/>
          <w:sz w:val="24"/>
          <w:szCs w:val="24"/>
        </w:rPr>
        <w:t xml:space="preserve">nestanovila </w:t>
      </w:r>
      <w:r w:rsidRPr="00926502">
        <w:rPr>
          <w:rFonts w:cstheme="minorHAnsi"/>
          <w:sz w:val="24"/>
          <w:szCs w:val="24"/>
        </w:rPr>
        <w:t>RR SČ v zadávací dokumentaci způsob hodnocení dle dílčího kritéria „</w:t>
      </w:r>
      <w:r w:rsidR="003F3920" w:rsidRPr="00EA136C">
        <w:rPr>
          <w:rFonts w:cstheme="minorHAnsi"/>
          <w:i/>
          <w:sz w:val="24"/>
          <w:szCs w:val="24"/>
        </w:rPr>
        <w:t>k</w:t>
      </w:r>
      <w:r w:rsidRPr="00EA136C">
        <w:rPr>
          <w:rFonts w:cstheme="minorHAnsi"/>
          <w:i/>
          <w:sz w:val="24"/>
          <w:szCs w:val="24"/>
        </w:rPr>
        <w:t>valita zpracování referenční ukázky</w:t>
      </w:r>
      <w:r w:rsidRPr="00926502">
        <w:rPr>
          <w:rFonts w:cstheme="minorHAnsi"/>
          <w:sz w:val="24"/>
          <w:szCs w:val="24"/>
        </w:rPr>
        <w:t>“</w:t>
      </w:r>
      <w:r w:rsidR="008F69C6">
        <w:rPr>
          <w:rFonts w:cstheme="minorHAnsi"/>
          <w:sz w:val="24"/>
          <w:szCs w:val="24"/>
        </w:rPr>
        <w:t>;</w:t>
      </w:r>
      <w:r w:rsidRPr="00926502">
        <w:rPr>
          <w:rFonts w:cstheme="minorHAnsi"/>
          <w:sz w:val="24"/>
          <w:szCs w:val="24"/>
        </w:rPr>
        <w:t xml:space="preserve"> </w:t>
      </w:r>
      <w:r w:rsidR="008F69C6">
        <w:rPr>
          <w:rFonts w:cstheme="minorHAnsi"/>
          <w:sz w:val="24"/>
          <w:szCs w:val="24"/>
        </w:rPr>
        <w:t>z</w:t>
      </w:r>
      <w:r w:rsidRPr="00926502">
        <w:rPr>
          <w:rFonts w:cstheme="minorHAnsi"/>
          <w:sz w:val="24"/>
          <w:szCs w:val="24"/>
        </w:rPr>
        <w:t>práva hodnot</w:t>
      </w:r>
      <w:r w:rsidR="003F3920">
        <w:rPr>
          <w:rFonts w:cstheme="minorHAnsi"/>
          <w:sz w:val="24"/>
          <w:szCs w:val="24"/>
        </w:rPr>
        <w:t>i</w:t>
      </w:r>
      <w:r w:rsidRPr="00926502">
        <w:rPr>
          <w:rFonts w:cstheme="minorHAnsi"/>
          <w:sz w:val="24"/>
          <w:szCs w:val="24"/>
        </w:rPr>
        <w:t>cí komise neobsah</w:t>
      </w:r>
      <w:r w:rsidR="00926502">
        <w:rPr>
          <w:rFonts w:cstheme="minorHAnsi"/>
          <w:sz w:val="24"/>
          <w:szCs w:val="24"/>
        </w:rPr>
        <w:t xml:space="preserve">ovala </w:t>
      </w:r>
      <w:r w:rsidRPr="00926502">
        <w:rPr>
          <w:rFonts w:cstheme="minorHAnsi"/>
          <w:sz w:val="24"/>
          <w:szCs w:val="24"/>
        </w:rPr>
        <w:t>odůvodněný popis přidělení bodů</w:t>
      </w:r>
      <w:r w:rsidR="009A4596">
        <w:rPr>
          <w:rFonts w:cstheme="minorHAnsi"/>
          <w:sz w:val="24"/>
          <w:szCs w:val="24"/>
        </w:rPr>
        <w:t xml:space="preserve">. </w:t>
      </w:r>
    </w:p>
    <w:p w14:paraId="6DAF5120" w14:textId="5A32A068" w:rsidR="007D1B16" w:rsidRPr="00D873A7" w:rsidRDefault="009A4596" w:rsidP="00D67015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F07E04" w:rsidRPr="00D873A7">
        <w:rPr>
          <w:rFonts w:cstheme="minorHAnsi"/>
          <w:sz w:val="24"/>
          <w:szCs w:val="24"/>
        </w:rPr>
        <w:t xml:space="preserve"> veřejné zakázky </w:t>
      </w:r>
      <w:r w:rsidR="00F07E04" w:rsidRPr="00EA136C">
        <w:rPr>
          <w:rFonts w:cstheme="minorHAnsi"/>
          <w:i/>
          <w:sz w:val="24"/>
          <w:szCs w:val="24"/>
        </w:rPr>
        <w:t>Inzertní služby – propagace úspěšných projektů podpořených za dotace ROP Střední Čechy</w:t>
      </w:r>
      <w:r w:rsidR="008F69C6">
        <w:rPr>
          <w:rStyle w:val="Znakapoznpodarou"/>
          <w:rFonts w:cstheme="minorHAnsi"/>
          <w:sz w:val="24"/>
          <w:szCs w:val="24"/>
        </w:rPr>
        <w:footnoteReference w:id="20"/>
      </w:r>
      <w:r w:rsidR="00F07E04" w:rsidRPr="00D873A7">
        <w:rPr>
          <w:rFonts w:cstheme="minorHAnsi"/>
          <w:sz w:val="24"/>
          <w:szCs w:val="24"/>
        </w:rPr>
        <w:t xml:space="preserve"> </w:t>
      </w:r>
      <w:r w:rsidR="00F07E04" w:rsidRPr="00926502">
        <w:rPr>
          <w:rFonts w:cstheme="minorHAnsi"/>
          <w:sz w:val="24"/>
          <w:szCs w:val="24"/>
        </w:rPr>
        <w:t>neuzavřela</w:t>
      </w:r>
      <w:r w:rsidR="003F3920" w:rsidRPr="003F3920">
        <w:rPr>
          <w:rFonts w:cstheme="minorHAnsi"/>
          <w:sz w:val="24"/>
          <w:szCs w:val="24"/>
        </w:rPr>
        <w:t xml:space="preserve"> </w:t>
      </w:r>
      <w:r w:rsidR="003F3920" w:rsidRPr="00D873A7">
        <w:rPr>
          <w:rFonts w:cstheme="minorHAnsi"/>
          <w:sz w:val="24"/>
          <w:szCs w:val="24"/>
        </w:rPr>
        <w:t>RR SČ</w:t>
      </w:r>
      <w:r w:rsidR="00F07E04" w:rsidRPr="00926502">
        <w:rPr>
          <w:rFonts w:cstheme="minorHAnsi"/>
          <w:sz w:val="24"/>
          <w:szCs w:val="24"/>
        </w:rPr>
        <w:t xml:space="preserve"> smlouvu </w:t>
      </w:r>
      <w:r w:rsidR="00D34FF7" w:rsidRPr="00926502">
        <w:rPr>
          <w:rFonts w:cstheme="minorHAnsi"/>
          <w:sz w:val="24"/>
          <w:szCs w:val="24"/>
        </w:rPr>
        <w:t>s vítězným uchazečem</w:t>
      </w:r>
      <w:r w:rsidR="00641740" w:rsidRPr="00926502">
        <w:rPr>
          <w:rFonts w:cstheme="minorHAnsi"/>
          <w:sz w:val="24"/>
          <w:szCs w:val="24"/>
        </w:rPr>
        <w:t xml:space="preserve">, </w:t>
      </w:r>
      <w:r w:rsidR="00D34FF7" w:rsidRPr="00926502">
        <w:rPr>
          <w:rFonts w:cstheme="minorHAnsi"/>
          <w:sz w:val="24"/>
          <w:szCs w:val="24"/>
        </w:rPr>
        <w:t>nýbrž využívala k zadání plnění jen o</w:t>
      </w:r>
      <w:r w:rsidR="00F07E04" w:rsidRPr="00926502">
        <w:rPr>
          <w:rFonts w:cstheme="minorHAnsi"/>
          <w:sz w:val="24"/>
          <w:szCs w:val="24"/>
        </w:rPr>
        <w:t>bjednávek</w:t>
      </w:r>
      <w:r>
        <w:rPr>
          <w:rStyle w:val="Znakapoznpodarou"/>
          <w:rFonts w:cstheme="minorHAnsi"/>
          <w:sz w:val="24"/>
          <w:szCs w:val="24"/>
        </w:rPr>
        <w:footnoteReference w:id="21"/>
      </w:r>
      <w:r w:rsidR="00F07E04" w:rsidRPr="00926502">
        <w:rPr>
          <w:rFonts w:cstheme="minorHAnsi"/>
          <w:sz w:val="24"/>
          <w:szCs w:val="24"/>
        </w:rPr>
        <w:t xml:space="preserve">. </w:t>
      </w:r>
      <w:r w:rsidR="00D873A7" w:rsidRPr="00926502">
        <w:rPr>
          <w:rFonts w:cstheme="minorHAnsi"/>
          <w:sz w:val="24"/>
          <w:szCs w:val="24"/>
        </w:rPr>
        <w:t>U</w:t>
      </w:r>
      <w:r w:rsidR="00D34FF7" w:rsidRPr="00926502">
        <w:rPr>
          <w:rFonts w:cstheme="minorHAnsi"/>
          <w:sz w:val="24"/>
          <w:szCs w:val="24"/>
        </w:rPr>
        <w:t xml:space="preserve"> </w:t>
      </w:r>
      <w:r w:rsidR="003F3920">
        <w:rPr>
          <w:rFonts w:cstheme="minorHAnsi"/>
          <w:sz w:val="24"/>
          <w:szCs w:val="24"/>
        </w:rPr>
        <w:t>stejné</w:t>
      </w:r>
      <w:r w:rsidR="00D34FF7" w:rsidRPr="00926502">
        <w:rPr>
          <w:rFonts w:cstheme="minorHAnsi"/>
          <w:sz w:val="24"/>
          <w:szCs w:val="24"/>
        </w:rPr>
        <w:t xml:space="preserve"> zakázky RR SČ neprovedla </w:t>
      </w:r>
      <w:r w:rsidR="00F07E04" w:rsidRPr="00926502">
        <w:rPr>
          <w:rFonts w:cstheme="minorHAnsi"/>
          <w:sz w:val="24"/>
          <w:szCs w:val="24"/>
        </w:rPr>
        <w:t>předběžn</w:t>
      </w:r>
      <w:r w:rsidR="00D34FF7" w:rsidRPr="00926502">
        <w:rPr>
          <w:rFonts w:cstheme="minorHAnsi"/>
          <w:sz w:val="24"/>
          <w:szCs w:val="24"/>
        </w:rPr>
        <w:t>ou</w:t>
      </w:r>
      <w:r w:rsidR="00F07E04" w:rsidRPr="00926502">
        <w:rPr>
          <w:rFonts w:cstheme="minorHAnsi"/>
          <w:sz w:val="24"/>
          <w:szCs w:val="24"/>
        </w:rPr>
        <w:t xml:space="preserve"> </w:t>
      </w:r>
      <w:r w:rsidR="00D34FF7" w:rsidRPr="00926502">
        <w:rPr>
          <w:rFonts w:cstheme="minorHAnsi"/>
          <w:sz w:val="24"/>
          <w:szCs w:val="24"/>
        </w:rPr>
        <w:t xml:space="preserve">řídicí </w:t>
      </w:r>
      <w:r w:rsidR="00F07E04" w:rsidRPr="00926502">
        <w:rPr>
          <w:rFonts w:cstheme="minorHAnsi"/>
          <w:sz w:val="24"/>
          <w:szCs w:val="24"/>
        </w:rPr>
        <w:t>kontrol</w:t>
      </w:r>
      <w:r w:rsidR="00D34FF7" w:rsidRPr="00926502">
        <w:rPr>
          <w:rFonts w:cstheme="minorHAnsi"/>
          <w:sz w:val="24"/>
          <w:szCs w:val="24"/>
        </w:rPr>
        <w:t>u</w:t>
      </w:r>
      <w:r w:rsidR="007D1B16" w:rsidRPr="009A4596">
        <w:rPr>
          <w:rStyle w:val="Znakapoznpodarou"/>
          <w:rFonts w:cstheme="minorHAnsi"/>
          <w:sz w:val="24"/>
          <w:szCs w:val="24"/>
        </w:rPr>
        <w:footnoteReference w:id="22"/>
      </w:r>
      <w:r>
        <w:rPr>
          <w:rFonts w:cstheme="minorHAnsi"/>
          <w:sz w:val="24"/>
          <w:szCs w:val="24"/>
        </w:rPr>
        <w:t xml:space="preserve">, </w:t>
      </w:r>
      <w:r w:rsidR="00D34FF7" w:rsidRPr="00D873A7">
        <w:rPr>
          <w:rFonts w:cstheme="minorHAnsi"/>
          <w:sz w:val="24"/>
          <w:szCs w:val="24"/>
        </w:rPr>
        <w:t>což v</w:t>
      </w:r>
      <w:r w:rsidR="007D1B16" w:rsidRPr="00D873A7">
        <w:rPr>
          <w:rFonts w:cstheme="minorHAnsi"/>
          <w:sz w:val="24"/>
          <w:szCs w:val="24"/>
        </w:rPr>
        <w:t> </w:t>
      </w:r>
      <w:r w:rsidR="00D34FF7" w:rsidRPr="00D873A7">
        <w:rPr>
          <w:rFonts w:cstheme="minorHAnsi"/>
          <w:sz w:val="24"/>
          <w:szCs w:val="24"/>
        </w:rPr>
        <w:t>důsledku</w:t>
      </w:r>
      <w:r w:rsidR="007D1B16" w:rsidRPr="00D873A7">
        <w:rPr>
          <w:rFonts w:cstheme="minorHAnsi"/>
          <w:sz w:val="24"/>
          <w:szCs w:val="24"/>
        </w:rPr>
        <w:t xml:space="preserve"> vedlo k neodhalení výše uvedeného pochybení.</w:t>
      </w:r>
      <w:r w:rsidR="00D34FF7" w:rsidRPr="00D873A7">
        <w:rPr>
          <w:rFonts w:cstheme="minorHAnsi"/>
          <w:sz w:val="24"/>
          <w:szCs w:val="24"/>
        </w:rPr>
        <w:t xml:space="preserve"> </w:t>
      </w:r>
      <w:r w:rsidR="00F07E04" w:rsidRPr="00D873A7">
        <w:rPr>
          <w:rFonts w:cstheme="minorHAnsi"/>
          <w:sz w:val="24"/>
          <w:szCs w:val="24"/>
        </w:rPr>
        <w:t xml:space="preserve"> </w:t>
      </w:r>
    </w:p>
    <w:p w14:paraId="79C81FCC" w14:textId="77777777" w:rsidR="00C45B44" w:rsidRPr="00D873A7" w:rsidRDefault="00C45B44" w:rsidP="00D67015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7795E">
        <w:rPr>
          <w:rFonts w:cstheme="minorHAnsi"/>
          <w:sz w:val="24"/>
          <w:szCs w:val="24"/>
        </w:rPr>
        <w:t xml:space="preserve">Vazba mezi pořizovanými </w:t>
      </w:r>
      <w:r w:rsidR="00B846A8">
        <w:rPr>
          <w:rFonts w:cstheme="minorHAnsi"/>
          <w:sz w:val="24"/>
          <w:szCs w:val="24"/>
        </w:rPr>
        <w:t xml:space="preserve">propagačními </w:t>
      </w:r>
      <w:r w:rsidRPr="0067795E">
        <w:rPr>
          <w:rFonts w:cstheme="minorHAnsi"/>
          <w:sz w:val="24"/>
          <w:szCs w:val="24"/>
        </w:rPr>
        <w:t>předměty a cílovými skupinami definovanými v</w:t>
      </w:r>
      <w:r w:rsidR="00B846A8">
        <w:rPr>
          <w:rFonts w:cstheme="minorHAnsi"/>
          <w:sz w:val="24"/>
          <w:szCs w:val="24"/>
        </w:rPr>
        <w:t> </w:t>
      </w:r>
      <w:r w:rsidRPr="0067795E">
        <w:rPr>
          <w:rFonts w:cstheme="minorHAnsi"/>
          <w:sz w:val="24"/>
          <w:szCs w:val="24"/>
        </w:rPr>
        <w:t>KoP</w:t>
      </w:r>
      <w:r w:rsidR="00B846A8">
        <w:rPr>
          <w:rFonts w:cstheme="minorHAnsi"/>
          <w:sz w:val="24"/>
          <w:szCs w:val="24"/>
        </w:rPr>
        <w:t xml:space="preserve"> a </w:t>
      </w:r>
      <w:r w:rsidRPr="0067795E">
        <w:rPr>
          <w:rFonts w:cstheme="minorHAnsi"/>
          <w:sz w:val="24"/>
          <w:szCs w:val="24"/>
        </w:rPr>
        <w:t>RKoP ne</w:t>
      </w:r>
      <w:r w:rsidR="001D2AB2">
        <w:rPr>
          <w:rFonts w:cstheme="minorHAnsi"/>
          <w:sz w:val="24"/>
          <w:szCs w:val="24"/>
        </w:rPr>
        <w:t>byla d</w:t>
      </w:r>
      <w:r w:rsidRPr="0067795E">
        <w:rPr>
          <w:rFonts w:cstheme="minorHAnsi"/>
          <w:sz w:val="24"/>
          <w:szCs w:val="24"/>
        </w:rPr>
        <w:t>ostatečně prokázána.</w:t>
      </w:r>
      <w:r w:rsidRPr="0067795E">
        <w:rPr>
          <w:rFonts w:cstheme="minorHAnsi"/>
          <w:b/>
          <w:sz w:val="24"/>
          <w:szCs w:val="24"/>
        </w:rPr>
        <w:t xml:space="preserve"> </w:t>
      </w:r>
      <w:r w:rsidRPr="00D873A7">
        <w:rPr>
          <w:rFonts w:cstheme="minorHAnsi"/>
          <w:sz w:val="24"/>
          <w:szCs w:val="24"/>
        </w:rPr>
        <w:t xml:space="preserve">Předměty </w:t>
      </w:r>
      <w:r w:rsidR="001D2AB2" w:rsidRPr="00D873A7">
        <w:rPr>
          <w:rFonts w:cstheme="minorHAnsi"/>
          <w:sz w:val="24"/>
          <w:szCs w:val="24"/>
        </w:rPr>
        <w:t xml:space="preserve">byly </w:t>
      </w:r>
      <w:r w:rsidRPr="00D873A7">
        <w:rPr>
          <w:rFonts w:cstheme="minorHAnsi"/>
          <w:sz w:val="24"/>
          <w:szCs w:val="24"/>
        </w:rPr>
        <w:t xml:space="preserve">často vydávány bez jasné vazby na konečného </w:t>
      </w:r>
      <w:r w:rsidR="008F3B4C">
        <w:rPr>
          <w:rFonts w:cstheme="minorHAnsi"/>
          <w:sz w:val="24"/>
          <w:szCs w:val="24"/>
        </w:rPr>
        <w:t>uživatele</w:t>
      </w:r>
      <w:r w:rsidRPr="00D873A7">
        <w:rPr>
          <w:rFonts w:cstheme="minorHAnsi"/>
          <w:sz w:val="24"/>
          <w:szCs w:val="24"/>
        </w:rPr>
        <w:t xml:space="preserve">. </w:t>
      </w:r>
    </w:p>
    <w:p w14:paraId="0D78D9F6" w14:textId="77777777" w:rsidR="00C860D5" w:rsidRDefault="00C860D5" w:rsidP="00C860D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4E67CA" w14:textId="02BC9EC1" w:rsidR="00265719" w:rsidRPr="009023C9" w:rsidRDefault="00C45AFE" w:rsidP="007379C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860D5" w:rsidRPr="009023C9">
        <w:rPr>
          <w:rFonts w:cstheme="minorHAnsi"/>
          <w:sz w:val="24"/>
          <w:szCs w:val="24"/>
        </w:rPr>
        <w:t xml:space="preserve">ořizování propagačních předmětů </w:t>
      </w:r>
      <w:r w:rsidR="00164E0A">
        <w:rPr>
          <w:rFonts w:cstheme="minorHAnsi"/>
          <w:sz w:val="24"/>
          <w:szCs w:val="24"/>
        </w:rPr>
        <w:t xml:space="preserve">v rámci kontrolovaných OP </w:t>
      </w:r>
      <w:r w:rsidR="00E10A72">
        <w:rPr>
          <w:rFonts w:cstheme="minorHAnsi"/>
          <w:sz w:val="24"/>
          <w:szCs w:val="24"/>
        </w:rPr>
        <w:t xml:space="preserve">bylo z hlediska objemu vynaložených prostředků spíše </w:t>
      </w:r>
      <w:r w:rsidR="003F3920">
        <w:rPr>
          <w:rFonts w:cstheme="minorHAnsi"/>
          <w:sz w:val="24"/>
          <w:szCs w:val="24"/>
        </w:rPr>
        <w:t>marginální</w:t>
      </w:r>
      <w:r w:rsidR="00E10A72">
        <w:rPr>
          <w:rFonts w:cstheme="minorHAnsi"/>
          <w:sz w:val="24"/>
          <w:szCs w:val="24"/>
        </w:rPr>
        <w:t xml:space="preserve"> </w:t>
      </w:r>
      <w:r w:rsidR="00C860D5" w:rsidRPr="009023C9">
        <w:rPr>
          <w:rFonts w:cstheme="minorHAnsi"/>
          <w:sz w:val="24"/>
          <w:szCs w:val="24"/>
        </w:rPr>
        <w:t>záležitostí</w:t>
      </w:r>
      <w:r w:rsidR="00926502">
        <w:rPr>
          <w:rFonts w:cstheme="minorHAnsi"/>
          <w:sz w:val="24"/>
          <w:szCs w:val="24"/>
        </w:rPr>
        <w:t xml:space="preserve">. </w:t>
      </w:r>
      <w:r w:rsidR="00E10A72">
        <w:rPr>
          <w:rFonts w:cstheme="minorHAnsi"/>
          <w:sz w:val="24"/>
          <w:szCs w:val="24"/>
        </w:rPr>
        <w:t xml:space="preserve">Nejvyšší podíl na celkových výdajích byl zaznamenán u ROP SČ. </w:t>
      </w:r>
      <w:r>
        <w:rPr>
          <w:rFonts w:cstheme="minorHAnsi"/>
          <w:sz w:val="24"/>
          <w:szCs w:val="24"/>
        </w:rPr>
        <w:t xml:space="preserve">Distribuce byla </w:t>
      </w:r>
      <w:r w:rsidR="00047E67">
        <w:rPr>
          <w:rFonts w:cstheme="minorHAnsi"/>
          <w:sz w:val="24"/>
          <w:szCs w:val="24"/>
        </w:rPr>
        <w:t xml:space="preserve">u všech operačních programů </w:t>
      </w:r>
      <w:r>
        <w:rPr>
          <w:rFonts w:cstheme="minorHAnsi"/>
          <w:sz w:val="24"/>
          <w:szCs w:val="24"/>
        </w:rPr>
        <w:t>zaměřena</w:t>
      </w:r>
      <w:r w:rsidR="00047E67">
        <w:rPr>
          <w:rFonts w:cstheme="minorHAnsi"/>
          <w:sz w:val="24"/>
          <w:szCs w:val="24"/>
        </w:rPr>
        <w:t xml:space="preserve"> na cílov</w:t>
      </w:r>
      <w:r w:rsidR="003F3920">
        <w:rPr>
          <w:rFonts w:cstheme="minorHAnsi"/>
          <w:sz w:val="24"/>
          <w:szCs w:val="24"/>
        </w:rPr>
        <w:t>é</w:t>
      </w:r>
      <w:r w:rsidR="00047E67">
        <w:rPr>
          <w:rFonts w:cstheme="minorHAnsi"/>
          <w:sz w:val="24"/>
          <w:szCs w:val="24"/>
        </w:rPr>
        <w:t xml:space="preserve"> </w:t>
      </w:r>
      <w:r w:rsidRPr="00955801">
        <w:rPr>
          <w:rFonts w:cstheme="minorHAnsi"/>
          <w:sz w:val="24"/>
          <w:szCs w:val="24"/>
        </w:rPr>
        <w:t>skupin</w:t>
      </w:r>
      <w:r w:rsidR="003F3920">
        <w:rPr>
          <w:rFonts w:cstheme="minorHAnsi"/>
          <w:sz w:val="24"/>
          <w:szCs w:val="24"/>
        </w:rPr>
        <w:t>y</w:t>
      </w:r>
      <w:r w:rsidRPr="00955801">
        <w:rPr>
          <w:rFonts w:cstheme="minorHAnsi"/>
          <w:sz w:val="24"/>
          <w:szCs w:val="24"/>
        </w:rPr>
        <w:t xml:space="preserve"> </w:t>
      </w:r>
      <w:r w:rsidRPr="00955801">
        <w:rPr>
          <w:rFonts w:cstheme="minorHAnsi"/>
          <w:i/>
          <w:sz w:val="24"/>
          <w:szCs w:val="24"/>
        </w:rPr>
        <w:t xml:space="preserve">žadatelé </w:t>
      </w:r>
      <w:r w:rsidRPr="00955801">
        <w:rPr>
          <w:rFonts w:cstheme="minorHAnsi"/>
          <w:sz w:val="24"/>
          <w:szCs w:val="24"/>
        </w:rPr>
        <w:t xml:space="preserve">a </w:t>
      </w:r>
      <w:r w:rsidRPr="00955801">
        <w:rPr>
          <w:rFonts w:cstheme="minorHAnsi"/>
          <w:i/>
          <w:sz w:val="24"/>
          <w:szCs w:val="24"/>
        </w:rPr>
        <w:t>příjemci</w:t>
      </w:r>
      <w:r w:rsidR="00047E67">
        <w:rPr>
          <w:rFonts w:cstheme="minorHAnsi"/>
          <w:sz w:val="24"/>
          <w:szCs w:val="24"/>
        </w:rPr>
        <w:t xml:space="preserve"> a na </w:t>
      </w:r>
      <w:r w:rsidRPr="00955801">
        <w:rPr>
          <w:rFonts w:cstheme="minorHAnsi"/>
          <w:i/>
          <w:sz w:val="24"/>
          <w:szCs w:val="24"/>
        </w:rPr>
        <w:t>útvary implementační struktury</w:t>
      </w:r>
      <w:r w:rsidRPr="00955801">
        <w:rPr>
          <w:rFonts w:cstheme="minorHAnsi"/>
          <w:sz w:val="24"/>
          <w:szCs w:val="24"/>
        </w:rPr>
        <w:t xml:space="preserve">; výjimku tvořily distribuce </w:t>
      </w:r>
      <w:r w:rsidR="00047E67">
        <w:rPr>
          <w:rFonts w:cstheme="minorHAnsi"/>
          <w:sz w:val="24"/>
          <w:szCs w:val="24"/>
        </w:rPr>
        <w:t xml:space="preserve">v rámci prezentací ESF </w:t>
      </w:r>
      <w:r w:rsidRPr="00955801">
        <w:rPr>
          <w:rFonts w:cstheme="minorHAnsi"/>
          <w:sz w:val="24"/>
          <w:szCs w:val="24"/>
        </w:rPr>
        <w:t>na veletrzích a konferencích</w:t>
      </w:r>
      <w:r w:rsidR="00A43E17" w:rsidRPr="00955801">
        <w:rPr>
          <w:rFonts w:cstheme="minorHAnsi"/>
          <w:sz w:val="24"/>
          <w:szCs w:val="24"/>
        </w:rPr>
        <w:t xml:space="preserve"> </w:t>
      </w:r>
      <w:r w:rsidRPr="00955801">
        <w:rPr>
          <w:rFonts w:cstheme="minorHAnsi"/>
          <w:sz w:val="24"/>
          <w:szCs w:val="24"/>
        </w:rPr>
        <w:t xml:space="preserve">cílovým skupinám </w:t>
      </w:r>
      <w:r w:rsidRPr="00955801">
        <w:rPr>
          <w:rFonts w:cstheme="minorHAnsi"/>
          <w:i/>
          <w:sz w:val="24"/>
          <w:szCs w:val="24"/>
        </w:rPr>
        <w:t>odborná</w:t>
      </w:r>
      <w:r w:rsidR="003F3920">
        <w:rPr>
          <w:rFonts w:cstheme="minorHAnsi"/>
          <w:i/>
          <w:sz w:val="24"/>
          <w:szCs w:val="24"/>
        </w:rPr>
        <w:t xml:space="preserve"> veřejnost</w:t>
      </w:r>
      <w:r w:rsidRPr="00955801">
        <w:rPr>
          <w:rFonts w:cstheme="minorHAnsi"/>
          <w:i/>
          <w:sz w:val="24"/>
          <w:szCs w:val="24"/>
        </w:rPr>
        <w:t xml:space="preserve"> </w:t>
      </w:r>
      <w:r w:rsidR="003A14EE">
        <w:rPr>
          <w:rFonts w:cstheme="minorHAnsi"/>
          <w:sz w:val="24"/>
          <w:szCs w:val="24"/>
        </w:rPr>
        <w:t>a </w:t>
      </w:r>
      <w:r w:rsidRPr="00955801">
        <w:rPr>
          <w:rFonts w:cstheme="minorHAnsi"/>
          <w:i/>
          <w:sz w:val="24"/>
          <w:szCs w:val="24"/>
        </w:rPr>
        <w:t>široká veřejnost</w:t>
      </w:r>
      <w:r w:rsidRPr="00955801">
        <w:rPr>
          <w:rFonts w:cstheme="minorHAnsi"/>
          <w:sz w:val="24"/>
          <w:szCs w:val="24"/>
        </w:rPr>
        <w:t>.</w:t>
      </w:r>
      <w:r w:rsidRPr="00955801">
        <w:rPr>
          <w:rStyle w:val="Znakapoznpodarou"/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 propagačních</w:t>
      </w:r>
      <w:r w:rsidR="00C860D5" w:rsidRPr="009023C9">
        <w:rPr>
          <w:rFonts w:cstheme="minorHAnsi"/>
          <w:sz w:val="24"/>
          <w:szCs w:val="24"/>
        </w:rPr>
        <w:t xml:space="preserve"> předmět</w:t>
      </w:r>
      <w:r>
        <w:rPr>
          <w:rFonts w:cstheme="minorHAnsi"/>
          <w:sz w:val="24"/>
          <w:szCs w:val="24"/>
        </w:rPr>
        <w:t xml:space="preserve">ů vyšší hodnoty nebo atraktivnějšího </w:t>
      </w:r>
      <w:r w:rsidR="003A2536">
        <w:rPr>
          <w:rFonts w:cstheme="minorHAnsi"/>
          <w:sz w:val="24"/>
          <w:szCs w:val="24"/>
        </w:rPr>
        <w:t xml:space="preserve">vzhledu </w:t>
      </w:r>
      <w:r w:rsidR="00C860D5" w:rsidRPr="009023C9">
        <w:rPr>
          <w:rFonts w:cstheme="minorHAnsi"/>
          <w:sz w:val="24"/>
          <w:szCs w:val="24"/>
        </w:rPr>
        <w:t xml:space="preserve">byla distribuce orientována </w:t>
      </w:r>
      <w:r w:rsidR="002D53F2">
        <w:rPr>
          <w:rFonts w:cstheme="minorHAnsi"/>
          <w:sz w:val="24"/>
          <w:szCs w:val="24"/>
        </w:rPr>
        <w:t>spíše</w:t>
      </w:r>
      <w:r w:rsidR="00C860D5" w:rsidRPr="009023C9">
        <w:rPr>
          <w:rFonts w:cstheme="minorHAnsi"/>
          <w:sz w:val="24"/>
          <w:szCs w:val="24"/>
        </w:rPr>
        <w:t xml:space="preserve"> </w:t>
      </w:r>
      <w:r w:rsidR="00265719">
        <w:rPr>
          <w:rFonts w:cstheme="minorHAnsi"/>
          <w:sz w:val="24"/>
          <w:szCs w:val="24"/>
        </w:rPr>
        <w:t xml:space="preserve">na </w:t>
      </w:r>
      <w:r w:rsidR="00E10A72">
        <w:rPr>
          <w:rFonts w:cstheme="minorHAnsi"/>
          <w:sz w:val="24"/>
          <w:szCs w:val="24"/>
        </w:rPr>
        <w:t xml:space="preserve">útvary </w:t>
      </w:r>
      <w:r w:rsidR="00265719">
        <w:rPr>
          <w:rFonts w:cstheme="minorHAnsi"/>
          <w:sz w:val="24"/>
          <w:szCs w:val="24"/>
        </w:rPr>
        <w:t>implementační struktur</w:t>
      </w:r>
      <w:r w:rsidR="00E10A72">
        <w:rPr>
          <w:rFonts w:cstheme="minorHAnsi"/>
          <w:sz w:val="24"/>
          <w:szCs w:val="24"/>
        </w:rPr>
        <w:t>y</w:t>
      </w:r>
      <w:r w:rsidR="00265719">
        <w:rPr>
          <w:rFonts w:cstheme="minorHAnsi"/>
          <w:sz w:val="24"/>
          <w:szCs w:val="24"/>
        </w:rPr>
        <w:t xml:space="preserve"> příslušn</w:t>
      </w:r>
      <w:r w:rsidR="00E10A72">
        <w:rPr>
          <w:rFonts w:cstheme="minorHAnsi"/>
          <w:sz w:val="24"/>
          <w:szCs w:val="24"/>
        </w:rPr>
        <w:t xml:space="preserve">ých </w:t>
      </w:r>
      <w:r w:rsidR="00265719">
        <w:rPr>
          <w:rFonts w:cstheme="minorHAnsi"/>
          <w:sz w:val="24"/>
          <w:szCs w:val="24"/>
        </w:rPr>
        <w:t>operační</w:t>
      </w:r>
      <w:r w:rsidR="00E10A72">
        <w:rPr>
          <w:rFonts w:cstheme="minorHAnsi"/>
          <w:sz w:val="24"/>
          <w:szCs w:val="24"/>
        </w:rPr>
        <w:t xml:space="preserve">ch </w:t>
      </w:r>
      <w:r w:rsidR="00265719">
        <w:rPr>
          <w:rFonts w:cstheme="minorHAnsi"/>
          <w:sz w:val="24"/>
          <w:szCs w:val="24"/>
        </w:rPr>
        <w:t>program</w:t>
      </w:r>
      <w:r w:rsidR="00E10A72">
        <w:rPr>
          <w:rFonts w:cstheme="minorHAnsi"/>
          <w:sz w:val="24"/>
          <w:szCs w:val="24"/>
        </w:rPr>
        <w:t>ů</w:t>
      </w:r>
      <w:r w:rsidR="00883E34">
        <w:rPr>
          <w:rFonts w:cstheme="minorHAnsi"/>
          <w:sz w:val="24"/>
          <w:szCs w:val="24"/>
        </w:rPr>
        <w:t xml:space="preserve">. </w:t>
      </w:r>
      <w:r w:rsidR="00955801">
        <w:rPr>
          <w:rFonts w:cstheme="minorHAnsi"/>
          <w:sz w:val="24"/>
          <w:szCs w:val="24"/>
        </w:rPr>
        <w:t xml:space="preserve"> </w:t>
      </w:r>
    </w:p>
    <w:p w14:paraId="0AF09DC8" w14:textId="77777777" w:rsidR="0090190D" w:rsidRDefault="0090190D" w:rsidP="007379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E1BCA0" w14:textId="77777777" w:rsidR="00EE7656" w:rsidRPr="00D67015" w:rsidRDefault="00EE7656" w:rsidP="00D67015">
      <w:pPr>
        <w:spacing w:after="0" w:line="240" w:lineRule="auto"/>
        <w:rPr>
          <w:b/>
          <w:sz w:val="24"/>
          <w:szCs w:val="24"/>
        </w:rPr>
      </w:pPr>
      <w:r w:rsidRPr="00D67015">
        <w:rPr>
          <w:b/>
          <w:sz w:val="24"/>
          <w:szCs w:val="24"/>
        </w:rPr>
        <w:t xml:space="preserve">2.4 Výdajové </w:t>
      </w:r>
      <w:r w:rsidR="00047E67" w:rsidRPr="00D67015">
        <w:rPr>
          <w:b/>
          <w:sz w:val="24"/>
          <w:szCs w:val="24"/>
        </w:rPr>
        <w:t xml:space="preserve">okruhy </w:t>
      </w:r>
      <w:r w:rsidR="003A2536" w:rsidRPr="00D67015">
        <w:rPr>
          <w:b/>
          <w:sz w:val="24"/>
          <w:szCs w:val="24"/>
        </w:rPr>
        <w:t>v</w:t>
      </w:r>
      <w:r w:rsidR="00AF7B6F" w:rsidRPr="00D67015">
        <w:rPr>
          <w:b/>
          <w:sz w:val="24"/>
          <w:szCs w:val="24"/>
        </w:rPr>
        <w:t xml:space="preserve"> oblasti </w:t>
      </w:r>
      <w:r w:rsidR="003A2536" w:rsidRPr="00D67015">
        <w:rPr>
          <w:b/>
          <w:sz w:val="24"/>
          <w:szCs w:val="24"/>
        </w:rPr>
        <w:t xml:space="preserve">publicity u jednotlivých </w:t>
      </w:r>
      <w:r w:rsidRPr="00D67015">
        <w:rPr>
          <w:b/>
          <w:sz w:val="24"/>
          <w:szCs w:val="24"/>
        </w:rPr>
        <w:t>operačních programů</w:t>
      </w:r>
    </w:p>
    <w:p w14:paraId="2E0E1E18" w14:textId="77777777" w:rsidR="00D67015" w:rsidRDefault="00D67015" w:rsidP="003F6CE6">
      <w:pPr>
        <w:spacing w:after="0" w:line="240" w:lineRule="auto"/>
        <w:jc w:val="both"/>
        <w:rPr>
          <w:sz w:val="24"/>
          <w:szCs w:val="24"/>
        </w:rPr>
      </w:pPr>
    </w:p>
    <w:p w14:paraId="6EA53BA2" w14:textId="138543D0" w:rsidR="00A06D31" w:rsidRPr="00A5622C" w:rsidRDefault="007A7D43" w:rsidP="003F6CE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5622C">
        <w:rPr>
          <w:sz w:val="24"/>
          <w:szCs w:val="24"/>
        </w:rPr>
        <w:t>V</w:t>
      </w:r>
      <w:r w:rsidR="00164E0A">
        <w:rPr>
          <w:sz w:val="24"/>
          <w:szCs w:val="24"/>
        </w:rPr>
        <w:t> </w:t>
      </w:r>
      <w:r w:rsidR="003A14EE">
        <w:rPr>
          <w:sz w:val="24"/>
          <w:szCs w:val="24"/>
        </w:rPr>
        <w:t>období 2007–</w:t>
      </w:r>
      <w:r w:rsidRPr="00A5622C">
        <w:rPr>
          <w:sz w:val="24"/>
          <w:szCs w:val="24"/>
        </w:rPr>
        <w:t>2015 byly v</w:t>
      </w:r>
      <w:r w:rsidR="00B846A8" w:rsidRPr="00A5622C">
        <w:rPr>
          <w:sz w:val="24"/>
          <w:szCs w:val="24"/>
        </w:rPr>
        <w:t xml:space="preserve"> rámci projektů </w:t>
      </w:r>
      <w:r w:rsidR="00047E67">
        <w:rPr>
          <w:sz w:val="24"/>
          <w:szCs w:val="24"/>
        </w:rPr>
        <w:t xml:space="preserve">publicity </w:t>
      </w:r>
      <w:r w:rsidR="00B846A8" w:rsidRPr="00A5622C">
        <w:rPr>
          <w:sz w:val="24"/>
          <w:szCs w:val="24"/>
        </w:rPr>
        <w:t>OP VK, OP</w:t>
      </w:r>
      <w:r w:rsidR="00D67015">
        <w:rPr>
          <w:rFonts w:cstheme="minorHAnsi"/>
          <w:sz w:val="24"/>
          <w:szCs w:val="24"/>
        </w:rPr>
        <w:t xml:space="preserve"> VaVpI, OP LZZ a ROP </w:t>
      </w:r>
      <w:r w:rsidR="00B846A8" w:rsidRPr="00A5622C">
        <w:rPr>
          <w:rFonts w:cstheme="minorHAnsi"/>
          <w:sz w:val="24"/>
          <w:szCs w:val="24"/>
        </w:rPr>
        <w:t xml:space="preserve">SČ nakoupeny služby </w:t>
      </w:r>
      <w:r w:rsidR="003F6CE6">
        <w:rPr>
          <w:rFonts w:cstheme="minorHAnsi"/>
          <w:sz w:val="24"/>
          <w:szCs w:val="24"/>
        </w:rPr>
        <w:t xml:space="preserve">a produkty, </w:t>
      </w:r>
      <w:r w:rsidR="00B846A8" w:rsidRPr="00A5622C">
        <w:rPr>
          <w:rFonts w:cstheme="minorHAnsi"/>
          <w:sz w:val="24"/>
          <w:szCs w:val="24"/>
        </w:rPr>
        <w:t xml:space="preserve">které lze rozdělit do několika výdajových okruhů. </w:t>
      </w:r>
      <w:r w:rsidR="00E562CA" w:rsidRPr="003A2536">
        <w:rPr>
          <w:rFonts w:cstheme="minorHAnsi"/>
          <w:b/>
          <w:sz w:val="24"/>
          <w:szCs w:val="24"/>
        </w:rPr>
        <w:lastRenderedPageBreak/>
        <w:t>Nejvýznam</w:t>
      </w:r>
      <w:r w:rsidR="00A76D66">
        <w:rPr>
          <w:rFonts w:cstheme="minorHAnsi"/>
          <w:b/>
          <w:sz w:val="24"/>
          <w:szCs w:val="24"/>
        </w:rPr>
        <w:t>nějším výdajovým okruhem u OP VK</w:t>
      </w:r>
      <w:r w:rsidR="00E562CA" w:rsidRPr="003A2536">
        <w:rPr>
          <w:rFonts w:cstheme="minorHAnsi"/>
          <w:b/>
          <w:sz w:val="24"/>
          <w:szCs w:val="24"/>
        </w:rPr>
        <w:t xml:space="preserve">, </w:t>
      </w:r>
      <w:r w:rsidR="00A76D66">
        <w:rPr>
          <w:rFonts w:cstheme="minorHAnsi"/>
          <w:b/>
          <w:sz w:val="24"/>
          <w:szCs w:val="24"/>
        </w:rPr>
        <w:t>OP LZZ a zejména u OP VaVpI byl</w:t>
      </w:r>
      <w:r w:rsidR="00E562CA" w:rsidRPr="003A2536">
        <w:rPr>
          <w:rFonts w:cstheme="minorHAnsi"/>
          <w:b/>
          <w:sz w:val="24"/>
          <w:szCs w:val="24"/>
        </w:rPr>
        <w:t xml:space="preserve"> nákup mediálního </w:t>
      </w:r>
      <w:r w:rsidR="00E562CA" w:rsidRPr="00883E34">
        <w:rPr>
          <w:rFonts w:cstheme="minorHAnsi"/>
          <w:b/>
          <w:sz w:val="24"/>
          <w:szCs w:val="24"/>
        </w:rPr>
        <w:t>prostoru</w:t>
      </w:r>
      <w:r w:rsidR="007441EC" w:rsidRPr="00883E34">
        <w:rPr>
          <w:rFonts w:cstheme="minorHAnsi"/>
          <w:b/>
          <w:sz w:val="24"/>
          <w:szCs w:val="24"/>
        </w:rPr>
        <w:t xml:space="preserve"> </w:t>
      </w:r>
      <w:r w:rsidR="00B83F2B">
        <w:rPr>
          <w:rFonts w:cstheme="minorHAnsi"/>
          <w:b/>
          <w:sz w:val="24"/>
          <w:szCs w:val="24"/>
        </w:rPr>
        <w:t xml:space="preserve">v </w:t>
      </w:r>
      <w:r w:rsidR="007441EC" w:rsidRPr="00883E34">
        <w:rPr>
          <w:rFonts w:cstheme="minorHAnsi"/>
          <w:b/>
          <w:sz w:val="24"/>
          <w:szCs w:val="24"/>
        </w:rPr>
        <w:t>televiz</w:t>
      </w:r>
      <w:r w:rsidR="00B83F2B">
        <w:rPr>
          <w:rFonts w:cstheme="minorHAnsi"/>
          <w:b/>
          <w:sz w:val="24"/>
          <w:szCs w:val="24"/>
        </w:rPr>
        <w:t>i</w:t>
      </w:r>
      <w:r w:rsidR="007441EC" w:rsidRPr="00883E34">
        <w:rPr>
          <w:rFonts w:cstheme="minorHAnsi"/>
          <w:b/>
          <w:sz w:val="24"/>
          <w:szCs w:val="24"/>
        </w:rPr>
        <w:t xml:space="preserve"> a rozhlas</w:t>
      </w:r>
      <w:r w:rsidR="00B83F2B">
        <w:rPr>
          <w:rFonts w:cstheme="minorHAnsi"/>
          <w:b/>
          <w:sz w:val="24"/>
          <w:szCs w:val="24"/>
        </w:rPr>
        <w:t>e</w:t>
      </w:r>
      <w:r w:rsidR="00D7346B">
        <w:rPr>
          <w:rFonts w:cstheme="minorHAnsi"/>
          <w:b/>
          <w:sz w:val="24"/>
          <w:szCs w:val="24"/>
        </w:rPr>
        <w:t xml:space="preserve">. </w:t>
      </w:r>
      <w:r w:rsidR="00BD7928">
        <w:rPr>
          <w:rFonts w:cstheme="minorHAnsi"/>
          <w:sz w:val="24"/>
          <w:szCs w:val="24"/>
        </w:rPr>
        <w:t>U</w:t>
      </w:r>
      <w:r w:rsidR="00E562CA" w:rsidRPr="00A76D66">
        <w:rPr>
          <w:rFonts w:cstheme="minorHAnsi"/>
          <w:sz w:val="24"/>
          <w:szCs w:val="24"/>
        </w:rPr>
        <w:t xml:space="preserve"> všech </w:t>
      </w:r>
      <w:r w:rsidR="007441EC" w:rsidRPr="00A76D66">
        <w:rPr>
          <w:rFonts w:cstheme="minorHAnsi"/>
          <w:sz w:val="24"/>
          <w:szCs w:val="24"/>
        </w:rPr>
        <w:t xml:space="preserve">programů </w:t>
      </w:r>
      <w:r w:rsidR="002A1CC3" w:rsidRPr="00A76D66">
        <w:rPr>
          <w:rFonts w:cstheme="minorHAnsi"/>
          <w:sz w:val="24"/>
          <w:szCs w:val="24"/>
        </w:rPr>
        <w:t xml:space="preserve">bylo </w:t>
      </w:r>
      <w:r w:rsidR="00E562CA" w:rsidRPr="00A76D66">
        <w:rPr>
          <w:rFonts w:cstheme="minorHAnsi"/>
          <w:sz w:val="24"/>
          <w:szCs w:val="24"/>
        </w:rPr>
        <w:t xml:space="preserve">významným segmentem </w:t>
      </w:r>
      <w:r w:rsidR="003F3920">
        <w:rPr>
          <w:rFonts w:cstheme="minorHAnsi"/>
          <w:sz w:val="24"/>
          <w:szCs w:val="24"/>
        </w:rPr>
        <w:t>také</w:t>
      </w:r>
      <w:r w:rsidR="0007588F" w:rsidRPr="00A76D66">
        <w:rPr>
          <w:rFonts w:cstheme="minorHAnsi"/>
          <w:sz w:val="24"/>
          <w:szCs w:val="24"/>
        </w:rPr>
        <w:t xml:space="preserve"> </w:t>
      </w:r>
      <w:r w:rsidR="00E562CA" w:rsidRPr="00A76D66">
        <w:rPr>
          <w:rFonts w:cstheme="minorHAnsi"/>
          <w:sz w:val="24"/>
          <w:szCs w:val="24"/>
        </w:rPr>
        <w:t xml:space="preserve">využití tiskové </w:t>
      </w:r>
      <w:r w:rsidR="003D7990" w:rsidRPr="00A76D66">
        <w:rPr>
          <w:rFonts w:cstheme="minorHAnsi"/>
          <w:sz w:val="24"/>
          <w:szCs w:val="24"/>
        </w:rPr>
        <w:t xml:space="preserve">a elektronické </w:t>
      </w:r>
      <w:r w:rsidR="00E562CA" w:rsidRPr="00A76D66">
        <w:rPr>
          <w:rFonts w:cstheme="minorHAnsi"/>
          <w:sz w:val="24"/>
          <w:szCs w:val="24"/>
        </w:rPr>
        <w:t>inzerce</w:t>
      </w:r>
      <w:r w:rsidR="003D7990" w:rsidRPr="00A76D66">
        <w:rPr>
          <w:rFonts w:cstheme="minorHAnsi"/>
          <w:sz w:val="24"/>
          <w:szCs w:val="24"/>
        </w:rPr>
        <w:t xml:space="preserve">. </w:t>
      </w:r>
      <w:r w:rsidR="00A06D31" w:rsidRPr="00A5622C">
        <w:rPr>
          <w:rFonts w:cstheme="minorHAnsi"/>
          <w:sz w:val="24"/>
          <w:szCs w:val="24"/>
        </w:rPr>
        <w:t xml:space="preserve">Porovnání výdajů </w:t>
      </w:r>
      <w:r w:rsidR="00A06D31">
        <w:rPr>
          <w:rFonts w:cstheme="minorHAnsi"/>
          <w:sz w:val="24"/>
          <w:szCs w:val="24"/>
        </w:rPr>
        <w:t>je uvedeno v</w:t>
      </w:r>
      <w:r w:rsidR="003F3920">
        <w:rPr>
          <w:rFonts w:cstheme="minorHAnsi"/>
          <w:sz w:val="24"/>
          <w:szCs w:val="24"/>
        </w:rPr>
        <w:t> </w:t>
      </w:r>
      <w:r w:rsidR="00A06D31">
        <w:rPr>
          <w:rFonts w:cstheme="minorHAnsi"/>
          <w:sz w:val="24"/>
          <w:szCs w:val="24"/>
        </w:rPr>
        <w:t>grafu</w:t>
      </w:r>
      <w:r w:rsidR="003F3920">
        <w:rPr>
          <w:rFonts w:cstheme="minorHAnsi"/>
          <w:sz w:val="24"/>
          <w:szCs w:val="24"/>
        </w:rPr>
        <w:t xml:space="preserve"> č. 1</w:t>
      </w:r>
      <w:r w:rsidR="00A06D31">
        <w:rPr>
          <w:rFonts w:cstheme="minorHAnsi"/>
          <w:sz w:val="24"/>
          <w:szCs w:val="24"/>
        </w:rPr>
        <w:t xml:space="preserve">. </w:t>
      </w:r>
    </w:p>
    <w:p w14:paraId="53EDA98A" w14:textId="77777777" w:rsidR="00E10A72" w:rsidRDefault="00E10A72" w:rsidP="00EE76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8DFE5B" w14:textId="32A672FC" w:rsidR="003D7EE1" w:rsidRPr="00E01217" w:rsidRDefault="00D67015" w:rsidP="00EE765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C257E5E" wp14:editId="6C053990">
            <wp:simplePos x="0" y="0"/>
            <wp:positionH relativeFrom="column">
              <wp:posOffset>-1270</wp:posOffset>
            </wp:positionH>
            <wp:positionV relativeFrom="paragraph">
              <wp:posOffset>200025</wp:posOffset>
            </wp:positionV>
            <wp:extent cx="5760720" cy="2453005"/>
            <wp:effectExtent l="0" t="0" r="0" b="4445"/>
            <wp:wrapTopAndBottom/>
            <wp:docPr id="3" name="Obrázek 3" descr="cid:image001.png@01D193DC.20C22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193DC.20C22E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EE1" w:rsidRPr="00E01217">
        <w:rPr>
          <w:rFonts w:cstheme="minorHAnsi"/>
          <w:b/>
          <w:sz w:val="24"/>
          <w:szCs w:val="24"/>
        </w:rPr>
        <w:t xml:space="preserve">Graf č. 1 </w:t>
      </w:r>
      <w:r w:rsidR="00CA31B3">
        <w:rPr>
          <w:rFonts w:cstheme="minorHAnsi"/>
          <w:b/>
          <w:sz w:val="24"/>
          <w:szCs w:val="24"/>
        </w:rPr>
        <w:t>–</w:t>
      </w:r>
      <w:r w:rsidR="003F3920">
        <w:rPr>
          <w:rFonts w:cstheme="minorHAnsi"/>
          <w:b/>
          <w:sz w:val="24"/>
          <w:szCs w:val="24"/>
        </w:rPr>
        <w:t xml:space="preserve"> </w:t>
      </w:r>
      <w:r w:rsidR="003D7EE1" w:rsidRPr="00E01217">
        <w:rPr>
          <w:rFonts w:cstheme="minorHAnsi"/>
          <w:b/>
          <w:sz w:val="24"/>
          <w:szCs w:val="24"/>
        </w:rPr>
        <w:t xml:space="preserve">Porovnání </w:t>
      </w:r>
      <w:r w:rsidR="00047E67" w:rsidRPr="00E01217">
        <w:rPr>
          <w:rFonts w:cstheme="minorHAnsi"/>
          <w:b/>
          <w:sz w:val="24"/>
          <w:szCs w:val="24"/>
        </w:rPr>
        <w:t xml:space="preserve">hlavních </w:t>
      </w:r>
      <w:r w:rsidR="003D7EE1" w:rsidRPr="00E01217">
        <w:rPr>
          <w:rFonts w:cstheme="minorHAnsi"/>
          <w:b/>
          <w:sz w:val="24"/>
          <w:szCs w:val="24"/>
        </w:rPr>
        <w:t xml:space="preserve">výdajových okruhů mezi operačními programy </w:t>
      </w:r>
    </w:p>
    <w:p w14:paraId="6563C020" w14:textId="5EC7D105" w:rsidR="003A2536" w:rsidRDefault="003A2536" w:rsidP="003A14EE">
      <w:pPr>
        <w:spacing w:after="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3A14EE">
        <w:rPr>
          <w:rFonts w:cstheme="minorHAnsi"/>
          <w:b/>
          <w:sz w:val="20"/>
          <w:szCs w:val="20"/>
        </w:rPr>
        <w:t>Zdroj:</w:t>
      </w:r>
      <w:r w:rsidR="00B3752F">
        <w:rPr>
          <w:rFonts w:cstheme="minorHAnsi"/>
          <w:b/>
          <w:sz w:val="20"/>
          <w:szCs w:val="20"/>
        </w:rPr>
        <w:t xml:space="preserve"> </w:t>
      </w:r>
      <w:r w:rsidR="00B3752F" w:rsidRPr="00B3752F">
        <w:rPr>
          <w:rFonts w:cstheme="minorHAnsi"/>
          <w:sz w:val="20"/>
          <w:szCs w:val="20"/>
        </w:rPr>
        <w:t>p</w:t>
      </w:r>
      <w:r w:rsidR="003D7990">
        <w:rPr>
          <w:rFonts w:cstheme="minorHAnsi"/>
          <w:sz w:val="20"/>
          <w:szCs w:val="20"/>
        </w:rPr>
        <w:t>odklad</w:t>
      </w:r>
      <w:r w:rsidR="003F3920">
        <w:rPr>
          <w:rFonts w:cstheme="minorHAnsi"/>
          <w:sz w:val="20"/>
          <w:szCs w:val="20"/>
        </w:rPr>
        <w:t>y</w:t>
      </w:r>
      <w:r w:rsidR="003D7990">
        <w:rPr>
          <w:rFonts w:cstheme="minorHAnsi"/>
          <w:sz w:val="20"/>
          <w:szCs w:val="20"/>
        </w:rPr>
        <w:t xml:space="preserve"> </w:t>
      </w:r>
      <w:r w:rsidR="003F3920">
        <w:rPr>
          <w:rFonts w:cstheme="minorHAnsi"/>
          <w:sz w:val="20"/>
          <w:szCs w:val="20"/>
        </w:rPr>
        <w:t xml:space="preserve">předané od </w:t>
      </w:r>
      <w:r w:rsidR="003D7990">
        <w:rPr>
          <w:rFonts w:cstheme="minorHAnsi"/>
          <w:sz w:val="20"/>
          <w:szCs w:val="20"/>
        </w:rPr>
        <w:t>řídicích orgánů</w:t>
      </w:r>
      <w:r w:rsidR="00FA7032">
        <w:rPr>
          <w:rFonts w:cstheme="minorHAnsi"/>
          <w:sz w:val="20"/>
          <w:szCs w:val="20"/>
        </w:rPr>
        <w:t xml:space="preserve"> OP VK, OP VaVpI, OP LZZ a ROP SČ</w:t>
      </w:r>
      <w:r w:rsidR="00851C17">
        <w:rPr>
          <w:rFonts w:cstheme="minorHAnsi"/>
          <w:sz w:val="20"/>
          <w:szCs w:val="20"/>
        </w:rPr>
        <w:t xml:space="preserve"> (výdaje ze schválených žádostí o platbu)</w:t>
      </w:r>
      <w:r w:rsidR="0088093E">
        <w:rPr>
          <w:rFonts w:cstheme="minorHAnsi"/>
          <w:sz w:val="20"/>
          <w:szCs w:val="20"/>
        </w:rPr>
        <w:t>.</w:t>
      </w:r>
    </w:p>
    <w:p w14:paraId="3ECE6803" w14:textId="3E83E34B" w:rsidR="0088093E" w:rsidRPr="003A2536" w:rsidRDefault="0088093E" w:rsidP="00D67015">
      <w:pPr>
        <w:spacing w:after="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3A14EE">
        <w:rPr>
          <w:rFonts w:cstheme="minorHAnsi"/>
          <w:b/>
          <w:sz w:val="20"/>
          <w:szCs w:val="20"/>
        </w:rPr>
        <w:t>Pozn</w:t>
      </w:r>
      <w:r w:rsidR="00D205EE">
        <w:rPr>
          <w:rFonts w:cstheme="minorHAnsi"/>
          <w:b/>
          <w:sz w:val="20"/>
          <w:szCs w:val="20"/>
        </w:rPr>
        <w:t>.</w:t>
      </w:r>
      <w:r w:rsidRPr="003A14EE">
        <w:rPr>
          <w:rFonts w:cstheme="minorHAnsi"/>
          <w:b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Do výdajového okruhu „</w:t>
      </w:r>
      <w:r w:rsidR="003F3920" w:rsidRPr="00EA136C">
        <w:rPr>
          <w:rFonts w:cstheme="minorHAnsi"/>
          <w:i/>
          <w:sz w:val="20"/>
          <w:szCs w:val="20"/>
        </w:rPr>
        <w:t>o</w:t>
      </w:r>
      <w:r w:rsidRPr="00EA136C">
        <w:rPr>
          <w:rFonts w:cstheme="minorHAnsi"/>
          <w:i/>
          <w:sz w:val="20"/>
          <w:szCs w:val="20"/>
        </w:rPr>
        <w:t>statní</w:t>
      </w:r>
      <w:r>
        <w:rPr>
          <w:rFonts w:cstheme="minorHAnsi"/>
          <w:sz w:val="20"/>
          <w:szCs w:val="20"/>
        </w:rPr>
        <w:t>“ je u OP LZZ, OP VK a OP VaVpI zahrnut výdajový segment „</w:t>
      </w:r>
      <w:r w:rsidR="003F3920" w:rsidRPr="00EA136C">
        <w:rPr>
          <w:rFonts w:cstheme="minorHAnsi"/>
          <w:i/>
          <w:sz w:val="20"/>
          <w:szCs w:val="20"/>
        </w:rPr>
        <w:t>b</w:t>
      </w:r>
      <w:r w:rsidRPr="00EA136C">
        <w:rPr>
          <w:rFonts w:cstheme="minorHAnsi"/>
          <w:i/>
          <w:sz w:val="20"/>
          <w:szCs w:val="20"/>
        </w:rPr>
        <w:t>rožury, letáky a vizitky</w:t>
      </w:r>
      <w:r>
        <w:rPr>
          <w:rFonts w:cstheme="minorHAnsi"/>
          <w:sz w:val="20"/>
          <w:szCs w:val="20"/>
        </w:rPr>
        <w:t>“ a u ROP SČ výdajový segment „</w:t>
      </w:r>
      <w:r w:rsidR="003F3920" w:rsidRPr="00EA136C">
        <w:rPr>
          <w:rFonts w:cstheme="minorHAnsi"/>
          <w:i/>
          <w:sz w:val="20"/>
          <w:szCs w:val="20"/>
        </w:rPr>
        <w:t>n</w:t>
      </w:r>
      <w:r w:rsidRPr="00EA136C">
        <w:rPr>
          <w:rFonts w:cstheme="minorHAnsi"/>
          <w:i/>
          <w:sz w:val="20"/>
          <w:szCs w:val="20"/>
        </w:rPr>
        <w:t>ákup multimediálního prostoru</w:t>
      </w:r>
      <w:r>
        <w:rPr>
          <w:rFonts w:cstheme="minorHAnsi"/>
          <w:sz w:val="20"/>
          <w:szCs w:val="20"/>
        </w:rPr>
        <w:t>“.</w:t>
      </w:r>
    </w:p>
    <w:p w14:paraId="0F791382" w14:textId="77777777" w:rsidR="00A06D31" w:rsidRPr="00D67015" w:rsidRDefault="00A06D31" w:rsidP="0095580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EE2297" w14:textId="77777777" w:rsidR="00342D50" w:rsidRDefault="00941810" w:rsidP="0095580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Výdaje za publicitu </w:t>
      </w:r>
      <w:r w:rsidR="00E94458">
        <w:rPr>
          <w:rFonts w:cstheme="minorHAnsi"/>
          <w:sz w:val="24"/>
          <w:szCs w:val="24"/>
        </w:rPr>
        <w:t xml:space="preserve">u kontrolovaných programů </w:t>
      </w:r>
      <w:r w:rsidR="00C078AD">
        <w:rPr>
          <w:rFonts w:cstheme="minorHAnsi"/>
          <w:sz w:val="24"/>
          <w:szCs w:val="24"/>
        </w:rPr>
        <w:t xml:space="preserve">dosáhly </w:t>
      </w:r>
      <w:r>
        <w:rPr>
          <w:rFonts w:cstheme="minorHAnsi"/>
          <w:sz w:val="24"/>
          <w:szCs w:val="24"/>
        </w:rPr>
        <w:t xml:space="preserve">k datu ukončení kontroly NKÚ </w:t>
      </w:r>
      <w:r w:rsidR="00C078AD">
        <w:rPr>
          <w:rFonts w:cstheme="minorHAnsi"/>
          <w:sz w:val="24"/>
          <w:szCs w:val="24"/>
        </w:rPr>
        <w:t>celkové částky 247,84 mil. Kč. Z toho na nákup mediálního prostoru v televizi a rozhlas</w:t>
      </w:r>
      <w:r w:rsidR="00E94458">
        <w:rPr>
          <w:rFonts w:cstheme="minorHAnsi"/>
          <w:sz w:val="24"/>
          <w:szCs w:val="24"/>
        </w:rPr>
        <w:t>e</w:t>
      </w:r>
      <w:r w:rsidR="00C078AD">
        <w:rPr>
          <w:rFonts w:cstheme="minorHAnsi"/>
          <w:sz w:val="24"/>
          <w:szCs w:val="24"/>
        </w:rPr>
        <w:t xml:space="preserve"> bylo vynaloženo 138,76 mil. Kč (včetně nákladů na výrobu televizních a rozhlasových pořadů</w:t>
      </w:r>
      <w:r w:rsidR="00AF7B6F">
        <w:rPr>
          <w:rFonts w:cstheme="minorHAnsi"/>
          <w:sz w:val="24"/>
          <w:szCs w:val="24"/>
        </w:rPr>
        <w:t xml:space="preserve">). </w:t>
      </w:r>
    </w:p>
    <w:p w14:paraId="74B1D5D1" w14:textId="77777777" w:rsidR="00342D50" w:rsidRDefault="00342D50" w:rsidP="0095580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64A065" w14:textId="77777777" w:rsidR="00E10A72" w:rsidRPr="00BD3928" w:rsidRDefault="00940B69" w:rsidP="0095580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D3928">
        <w:rPr>
          <w:rFonts w:cstheme="minorHAnsi"/>
          <w:sz w:val="24"/>
          <w:szCs w:val="24"/>
        </w:rPr>
        <w:t>Řídicí orgány využívaly zejména tyto nástroje publicity:</w:t>
      </w:r>
      <w:r w:rsidR="00955801" w:rsidRPr="00BD3928">
        <w:rPr>
          <w:rFonts w:cstheme="minorHAnsi"/>
          <w:sz w:val="24"/>
          <w:szCs w:val="24"/>
        </w:rPr>
        <w:t xml:space="preserve"> </w:t>
      </w:r>
    </w:p>
    <w:p w14:paraId="606A2B11" w14:textId="77777777" w:rsidR="00940B69" w:rsidRPr="007742DA" w:rsidRDefault="00193A5A" w:rsidP="00D67015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</w:t>
      </w:r>
      <w:r w:rsidR="007742DA" w:rsidRPr="007742DA">
        <w:rPr>
          <w:sz w:val="24"/>
          <w:szCs w:val="24"/>
          <w:lang w:eastAsia="cs-CZ"/>
        </w:rPr>
        <w:t xml:space="preserve">edení </w:t>
      </w:r>
      <w:r w:rsidR="00BD7928">
        <w:rPr>
          <w:sz w:val="24"/>
          <w:szCs w:val="24"/>
          <w:lang w:eastAsia="cs-CZ"/>
        </w:rPr>
        <w:t>internetových a „outdoorových“</w:t>
      </w:r>
      <w:r w:rsidR="00BD7928">
        <w:rPr>
          <w:rStyle w:val="Znakapoznpodarou"/>
          <w:sz w:val="24"/>
          <w:szCs w:val="24"/>
          <w:lang w:eastAsia="cs-CZ"/>
        </w:rPr>
        <w:footnoteReference w:id="23"/>
      </w:r>
      <w:r w:rsidR="00BD7928">
        <w:rPr>
          <w:sz w:val="24"/>
          <w:szCs w:val="24"/>
          <w:lang w:eastAsia="cs-CZ"/>
        </w:rPr>
        <w:t xml:space="preserve"> kampaní</w:t>
      </w:r>
      <w:r w:rsidR="00940B69" w:rsidRPr="007742DA">
        <w:rPr>
          <w:sz w:val="24"/>
          <w:szCs w:val="24"/>
          <w:lang w:eastAsia="cs-CZ"/>
        </w:rPr>
        <w:t xml:space="preserve">, </w:t>
      </w:r>
      <w:r w:rsidR="007742DA" w:rsidRPr="007742DA">
        <w:rPr>
          <w:sz w:val="24"/>
          <w:szCs w:val="24"/>
          <w:lang w:eastAsia="cs-CZ"/>
        </w:rPr>
        <w:t xml:space="preserve">nasazení </w:t>
      </w:r>
      <w:r w:rsidR="00940B69" w:rsidRPr="007742DA">
        <w:rPr>
          <w:sz w:val="24"/>
          <w:szCs w:val="24"/>
          <w:lang w:eastAsia="cs-CZ"/>
        </w:rPr>
        <w:t>rozhlasov</w:t>
      </w:r>
      <w:r w:rsidR="007742DA" w:rsidRPr="007742DA">
        <w:rPr>
          <w:sz w:val="24"/>
          <w:szCs w:val="24"/>
          <w:lang w:eastAsia="cs-CZ"/>
        </w:rPr>
        <w:t>ých a TV</w:t>
      </w:r>
      <w:r w:rsidR="007742DA">
        <w:rPr>
          <w:sz w:val="24"/>
          <w:szCs w:val="24"/>
          <w:lang w:eastAsia="cs-CZ"/>
        </w:rPr>
        <w:t xml:space="preserve"> </w:t>
      </w:r>
      <w:r w:rsidR="00940B69" w:rsidRPr="007742DA">
        <w:rPr>
          <w:sz w:val="24"/>
          <w:szCs w:val="24"/>
          <w:lang w:eastAsia="cs-CZ"/>
        </w:rPr>
        <w:t>spot</w:t>
      </w:r>
      <w:r w:rsidR="007742DA" w:rsidRPr="007742DA">
        <w:rPr>
          <w:sz w:val="24"/>
          <w:szCs w:val="24"/>
          <w:lang w:eastAsia="cs-CZ"/>
        </w:rPr>
        <w:t>ů</w:t>
      </w:r>
      <w:r w:rsidR="004E6387">
        <w:rPr>
          <w:sz w:val="24"/>
          <w:szCs w:val="24"/>
          <w:lang w:eastAsia="cs-CZ"/>
        </w:rPr>
        <w:t>;</w:t>
      </w:r>
    </w:p>
    <w:p w14:paraId="640305FD" w14:textId="77777777" w:rsidR="00E94458" w:rsidRDefault="00193A5A" w:rsidP="00D67015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o</w:t>
      </w:r>
      <w:r w:rsidR="00B818E1" w:rsidRPr="00E94458">
        <w:rPr>
          <w:sz w:val="24"/>
          <w:szCs w:val="24"/>
          <w:lang w:eastAsia="cs-CZ"/>
        </w:rPr>
        <w:t>rganizace s</w:t>
      </w:r>
      <w:r w:rsidR="007742DA" w:rsidRPr="00E94458">
        <w:rPr>
          <w:sz w:val="24"/>
          <w:szCs w:val="24"/>
          <w:lang w:eastAsia="cs-CZ"/>
        </w:rPr>
        <w:t>eminář</w:t>
      </w:r>
      <w:r w:rsidR="00B818E1" w:rsidRPr="00E94458">
        <w:rPr>
          <w:sz w:val="24"/>
          <w:szCs w:val="24"/>
          <w:lang w:eastAsia="cs-CZ"/>
        </w:rPr>
        <w:t>ů</w:t>
      </w:r>
      <w:r w:rsidR="007742DA" w:rsidRPr="00E94458">
        <w:rPr>
          <w:sz w:val="24"/>
          <w:szCs w:val="24"/>
          <w:lang w:eastAsia="cs-CZ"/>
        </w:rPr>
        <w:t xml:space="preserve"> a konferenc</w:t>
      </w:r>
      <w:r w:rsidR="00B818E1" w:rsidRPr="00E94458">
        <w:rPr>
          <w:sz w:val="24"/>
          <w:szCs w:val="24"/>
          <w:lang w:eastAsia="cs-CZ"/>
        </w:rPr>
        <w:t>í</w:t>
      </w:r>
      <w:r w:rsidR="007742DA" w:rsidRPr="00E94458">
        <w:rPr>
          <w:sz w:val="24"/>
          <w:szCs w:val="24"/>
          <w:lang w:eastAsia="cs-CZ"/>
        </w:rPr>
        <w:t xml:space="preserve"> pro potenciální žadatele, žadatele a příjemce</w:t>
      </w:r>
      <w:r w:rsidR="00E94458">
        <w:rPr>
          <w:sz w:val="24"/>
          <w:szCs w:val="24"/>
          <w:lang w:eastAsia="cs-CZ"/>
        </w:rPr>
        <w:t>;</w:t>
      </w:r>
    </w:p>
    <w:p w14:paraId="63099A71" w14:textId="77777777" w:rsidR="00940B69" w:rsidRPr="00E94458" w:rsidRDefault="00193A5A" w:rsidP="00D67015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</w:t>
      </w:r>
      <w:r w:rsidR="007742DA" w:rsidRPr="00E94458">
        <w:rPr>
          <w:sz w:val="24"/>
          <w:szCs w:val="24"/>
          <w:lang w:eastAsia="cs-CZ"/>
        </w:rPr>
        <w:t>ořádání k</w:t>
      </w:r>
      <w:r w:rsidR="00940B69" w:rsidRPr="00E94458">
        <w:rPr>
          <w:sz w:val="24"/>
          <w:szCs w:val="24"/>
          <w:lang w:eastAsia="cs-CZ"/>
        </w:rPr>
        <w:t>onferenc</w:t>
      </w:r>
      <w:r w:rsidR="007742DA" w:rsidRPr="00E94458">
        <w:rPr>
          <w:sz w:val="24"/>
          <w:szCs w:val="24"/>
          <w:lang w:eastAsia="cs-CZ"/>
        </w:rPr>
        <w:t>í a účast na veletrzích</w:t>
      </w:r>
      <w:r w:rsidR="004E6387" w:rsidRPr="00E94458">
        <w:rPr>
          <w:sz w:val="24"/>
          <w:szCs w:val="24"/>
          <w:lang w:eastAsia="cs-CZ"/>
        </w:rPr>
        <w:t>;</w:t>
      </w:r>
      <w:r w:rsidR="007742DA" w:rsidRPr="00E94458">
        <w:rPr>
          <w:sz w:val="24"/>
          <w:szCs w:val="24"/>
          <w:lang w:eastAsia="cs-CZ"/>
        </w:rPr>
        <w:t xml:space="preserve"> </w:t>
      </w:r>
    </w:p>
    <w:p w14:paraId="0276D199" w14:textId="77777777" w:rsidR="00E94458" w:rsidRDefault="00193A5A" w:rsidP="00D67015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z</w:t>
      </w:r>
      <w:r w:rsidR="00E94458" w:rsidRPr="00E94458">
        <w:rPr>
          <w:sz w:val="24"/>
          <w:szCs w:val="24"/>
          <w:lang w:eastAsia="cs-CZ"/>
        </w:rPr>
        <w:t>adávání tištěné i on-line</w:t>
      </w:r>
      <w:r w:rsidR="00BD7928">
        <w:rPr>
          <w:sz w:val="24"/>
          <w:szCs w:val="24"/>
          <w:lang w:eastAsia="cs-CZ"/>
        </w:rPr>
        <w:t xml:space="preserve"> inzerce</w:t>
      </w:r>
      <w:r w:rsidR="00E94458">
        <w:rPr>
          <w:sz w:val="24"/>
          <w:szCs w:val="24"/>
          <w:lang w:eastAsia="cs-CZ"/>
        </w:rPr>
        <w:t>;</w:t>
      </w:r>
    </w:p>
    <w:p w14:paraId="23538751" w14:textId="563F4098" w:rsidR="007742DA" w:rsidRPr="00E94458" w:rsidRDefault="00193A5A" w:rsidP="00D67015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</w:t>
      </w:r>
      <w:r w:rsidR="007742DA" w:rsidRPr="00E94458">
        <w:rPr>
          <w:sz w:val="24"/>
          <w:szCs w:val="24"/>
          <w:lang w:eastAsia="cs-CZ"/>
        </w:rPr>
        <w:t xml:space="preserve">ydávání tiskovin </w:t>
      </w:r>
      <w:r w:rsidR="003F3920">
        <w:rPr>
          <w:sz w:val="24"/>
          <w:szCs w:val="24"/>
          <w:lang w:eastAsia="cs-CZ"/>
        </w:rPr>
        <w:t>(</w:t>
      </w:r>
      <w:r w:rsidR="007742DA" w:rsidRPr="00E94458">
        <w:rPr>
          <w:sz w:val="24"/>
          <w:szCs w:val="24"/>
          <w:lang w:eastAsia="cs-CZ"/>
        </w:rPr>
        <w:t>brožury, letáky, plakáty</w:t>
      </w:r>
      <w:r w:rsidR="003F3920">
        <w:rPr>
          <w:sz w:val="24"/>
          <w:szCs w:val="24"/>
          <w:lang w:eastAsia="cs-CZ"/>
        </w:rPr>
        <w:t xml:space="preserve"> apod.)</w:t>
      </w:r>
      <w:r w:rsidR="004E6387" w:rsidRPr="00E94458">
        <w:rPr>
          <w:sz w:val="24"/>
          <w:szCs w:val="24"/>
          <w:lang w:eastAsia="cs-CZ"/>
        </w:rPr>
        <w:t>;</w:t>
      </w:r>
    </w:p>
    <w:p w14:paraId="567AF2C3" w14:textId="77777777" w:rsidR="00A43E17" w:rsidRPr="007742DA" w:rsidRDefault="00193A5A" w:rsidP="00D67015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</w:t>
      </w:r>
      <w:r w:rsidR="007742DA">
        <w:rPr>
          <w:sz w:val="24"/>
          <w:szCs w:val="24"/>
          <w:lang w:eastAsia="cs-CZ"/>
        </w:rPr>
        <w:t>ořízení a distribuce p</w:t>
      </w:r>
      <w:r w:rsidR="00940B69" w:rsidRPr="007742DA">
        <w:rPr>
          <w:sz w:val="24"/>
          <w:szCs w:val="24"/>
          <w:lang w:eastAsia="cs-CZ"/>
        </w:rPr>
        <w:t>ropagační</w:t>
      </w:r>
      <w:r w:rsidR="007742DA">
        <w:rPr>
          <w:sz w:val="24"/>
          <w:szCs w:val="24"/>
          <w:lang w:eastAsia="cs-CZ"/>
        </w:rPr>
        <w:t>ch</w:t>
      </w:r>
      <w:r w:rsidR="00940B69" w:rsidRPr="007742DA">
        <w:rPr>
          <w:sz w:val="24"/>
          <w:szCs w:val="24"/>
          <w:lang w:eastAsia="cs-CZ"/>
        </w:rPr>
        <w:t xml:space="preserve"> předmět</w:t>
      </w:r>
      <w:r w:rsidR="007742DA">
        <w:rPr>
          <w:sz w:val="24"/>
          <w:szCs w:val="24"/>
          <w:lang w:eastAsia="cs-CZ"/>
        </w:rPr>
        <w:t>ů</w:t>
      </w:r>
      <w:r w:rsidR="004E6387">
        <w:rPr>
          <w:sz w:val="24"/>
          <w:szCs w:val="24"/>
          <w:lang w:eastAsia="cs-CZ"/>
        </w:rPr>
        <w:t>;</w:t>
      </w:r>
    </w:p>
    <w:p w14:paraId="45C0067F" w14:textId="77777777" w:rsidR="00940B69" w:rsidRPr="00E10A72" w:rsidRDefault="00193A5A" w:rsidP="00D67015">
      <w:pPr>
        <w:pStyle w:val="Odstavecseseznamem"/>
        <w:numPr>
          <w:ilvl w:val="0"/>
          <w:numId w:val="39"/>
        </w:numPr>
        <w:spacing w:after="0" w:line="240" w:lineRule="auto"/>
        <w:ind w:left="284" w:hanging="284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w</w:t>
      </w:r>
      <w:r w:rsidR="00940B69">
        <w:rPr>
          <w:sz w:val="24"/>
          <w:szCs w:val="24"/>
          <w:lang w:eastAsia="cs-CZ"/>
        </w:rPr>
        <w:t>ebové stránky</w:t>
      </w:r>
      <w:r w:rsidR="004E6387">
        <w:rPr>
          <w:sz w:val="24"/>
          <w:szCs w:val="24"/>
          <w:lang w:eastAsia="cs-CZ"/>
        </w:rPr>
        <w:t>.</w:t>
      </w:r>
    </w:p>
    <w:p w14:paraId="72C5FFF0" w14:textId="77777777" w:rsidR="00A47799" w:rsidRDefault="00A47799" w:rsidP="0095580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F8972B" w14:textId="6F02DDC0" w:rsidR="00955801" w:rsidRPr="00836F5B" w:rsidRDefault="00FF18FC" w:rsidP="0095580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Webové stránky jednotlivých operačních programů </w:t>
      </w:r>
      <w:r w:rsidR="00A76D66">
        <w:rPr>
          <w:rFonts w:cstheme="minorHAnsi"/>
          <w:sz w:val="24"/>
          <w:szCs w:val="24"/>
        </w:rPr>
        <w:t xml:space="preserve">nebyly </w:t>
      </w:r>
      <w:r>
        <w:rPr>
          <w:rFonts w:cstheme="minorHAnsi"/>
          <w:sz w:val="24"/>
          <w:szCs w:val="24"/>
        </w:rPr>
        <w:t xml:space="preserve">vedeny </w:t>
      </w:r>
      <w:r w:rsidR="00A43E17" w:rsidRPr="00BD3928">
        <w:rPr>
          <w:rFonts w:cstheme="minorHAnsi"/>
          <w:sz w:val="24"/>
          <w:szCs w:val="24"/>
        </w:rPr>
        <w:t>jednotn</w:t>
      </w:r>
      <w:r w:rsidR="00836F5B">
        <w:rPr>
          <w:rFonts w:cstheme="minorHAnsi"/>
          <w:sz w:val="24"/>
          <w:szCs w:val="24"/>
        </w:rPr>
        <w:t>ým způsobem</w:t>
      </w:r>
      <w:r w:rsidR="00BD3928">
        <w:rPr>
          <w:rFonts w:cstheme="minorHAnsi"/>
          <w:sz w:val="24"/>
          <w:szCs w:val="24"/>
        </w:rPr>
        <w:t>. Samostatn</w:t>
      </w:r>
      <w:r w:rsidR="00A76D66">
        <w:rPr>
          <w:rFonts w:cstheme="minorHAnsi"/>
          <w:sz w:val="24"/>
          <w:szCs w:val="24"/>
        </w:rPr>
        <w:t xml:space="preserve">ý web zřídil řídicí orgán pro ROP SČ </w:t>
      </w:r>
      <w:r w:rsidR="00BD7928">
        <w:rPr>
          <w:rFonts w:cstheme="minorHAnsi"/>
          <w:sz w:val="24"/>
          <w:szCs w:val="24"/>
        </w:rPr>
        <w:t xml:space="preserve">na </w:t>
      </w:r>
      <w:r w:rsidR="00BD3928">
        <w:rPr>
          <w:rFonts w:cstheme="minorHAnsi"/>
          <w:sz w:val="24"/>
          <w:szCs w:val="24"/>
        </w:rPr>
        <w:t xml:space="preserve">počátku </w:t>
      </w:r>
      <w:r w:rsidR="003F3920">
        <w:rPr>
          <w:rFonts w:cstheme="minorHAnsi"/>
          <w:sz w:val="24"/>
          <w:szCs w:val="24"/>
        </w:rPr>
        <w:t>realizace</w:t>
      </w:r>
      <w:r w:rsidR="00BD3928">
        <w:rPr>
          <w:rFonts w:cstheme="minorHAnsi"/>
          <w:sz w:val="24"/>
          <w:szCs w:val="24"/>
        </w:rPr>
        <w:t xml:space="preserve"> programu; </w:t>
      </w:r>
      <w:r w:rsidR="00BD3928" w:rsidRPr="00BD3928">
        <w:rPr>
          <w:rFonts w:cstheme="minorHAnsi"/>
          <w:sz w:val="24"/>
          <w:szCs w:val="24"/>
        </w:rPr>
        <w:t xml:space="preserve">samostatné </w:t>
      </w:r>
      <w:r w:rsidR="00BD3928">
        <w:rPr>
          <w:rFonts w:cstheme="minorHAnsi"/>
          <w:sz w:val="24"/>
          <w:szCs w:val="24"/>
        </w:rPr>
        <w:t>„</w:t>
      </w:r>
      <w:r w:rsidR="00BD3928" w:rsidRPr="00BD3928">
        <w:rPr>
          <w:rFonts w:cstheme="minorHAnsi"/>
          <w:sz w:val="24"/>
          <w:szCs w:val="24"/>
        </w:rPr>
        <w:t>mi</w:t>
      </w:r>
      <w:r w:rsidR="00046168">
        <w:rPr>
          <w:rFonts w:cstheme="minorHAnsi"/>
          <w:sz w:val="24"/>
          <w:szCs w:val="24"/>
        </w:rPr>
        <w:t>k</w:t>
      </w:r>
      <w:r w:rsidR="00BD3928" w:rsidRPr="00BD3928">
        <w:rPr>
          <w:rFonts w:cstheme="minorHAnsi"/>
          <w:sz w:val="24"/>
          <w:szCs w:val="24"/>
        </w:rPr>
        <w:t>rostránky</w:t>
      </w:r>
      <w:r w:rsidR="00BD3928">
        <w:rPr>
          <w:rFonts w:cstheme="minorHAnsi"/>
          <w:sz w:val="24"/>
          <w:szCs w:val="24"/>
        </w:rPr>
        <w:t>“</w:t>
      </w:r>
      <w:r w:rsidR="00BD3928" w:rsidRPr="00BD3928">
        <w:rPr>
          <w:rFonts w:cstheme="minorHAnsi"/>
          <w:sz w:val="24"/>
          <w:szCs w:val="24"/>
        </w:rPr>
        <w:t xml:space="preserve"> pro OP VK i OP VaVpI </w:t>
      </w:r>
      <w:r w:rsidR="00A76D66">
        <w:rPr>
          <w:rFonts w:cstheme="minorHAnsi"/>
          <w:sz w:val="24"/>
          <w:szCs w:val="24"/>
        </w:rPr>
        <w:t>oddělilo MŠMT ze svého webu a</w:t>
      </w:r>
      <w:r w:rsidR="00BD3928" w:rsidRPr="00BD3928">
        <w:rPr>
          <w:rFonts w:cstheme="minorHAnsi"/>
          <w:sz w:val="24"/>
          <w:szCs w:val="24"/>
        </w:rPr>
        <w:t xml:space="preserve">ž </w:t>
      </w:r>
      <w:r w:rsidR="00BD3928">
        <w:rPr>
          <w:rFonts w:cstheme="minorHAnsi"/>
          <w:sz w:val="24"/>
          <w:szCs w:val="24"/>
        </w:rPr>
        <w:t xml:space="preserve">v roce </w:t>
      </w:r>
      <w:r w:rsidR="00BD3928" w:rsidRPr="00BD3928">
        <w:rPr>
          <w:rFonts w:cstheme="minorHAnsi"/>
          <w:sz w:val="24"/>
          <w:szCs w:val="24"/>
        </w:rPr>
        <w:t>2013</w:t>
      </w:r>
      <w:r w:rsidR="00BD3928">
        <w:rPr>
          <w:rFonts w:cstheme="minorHAnsi"/>
          <w:sz w:val="24"/>
          <w:szCs w:val="24"/>
        </w:rPr>
        <w:t>. OP LZZ ne</w:t>
      </w:r>
      <w:r w:rsidR="00A76D66">
        <w:rPr>
          <w:rFonts w:cstheme="minorHAnsi"/>
          <w:sz w:val="24"/>
          <w:szCs w:val="24"/>
        </w:rPr>
        <w:t xml:space="preserve">byl </w:t>
      </w:r>
      <w:r w:rsidR="00BD3928">
        <w:rPr>
          <w:rFonts w:cstheme="minorHAnsi"/>
          <w:sz w:val="24"/>
          <w:szCs w:val="24"/>
        </w:rPr>
        <w:t>prezentován na webu samostatně, nýbrž jako součást</w:t>
      </w:r>
      <w:r w:rsidR="00A76D66">
        <w:rPr>
          <w:rFonts w:cstheme="minorHAnsi"/>
          <w:sz w:val="24"/>
          <w:szCs w:val="24"/>
        </w:rPr>
        <w:t xml:space="preserve"> stránek </w:t>
      </w:r>
      <w:hyperlink r:id="rId14" w:history="1">
        <w:r w:rsidR="00BD3928" w:rsidRPr="00AC3A5F">
          <w:rPr>
            <w:rStyle w:val="Hypertextovodkaz"/>
            <w:rFonts w:cstheme="minorHAnsi"/>
            <w:sz w:val="24"/>
            <w:szCs w:val="24"/>
          </w:rPr>
          <w:t>www.esfcr.cz</w:t>
        </w:r>
      </w:hyperlink>
      <w:r w:rsidR="00BD3928">
        <w:rPr>
          <w:rFonts w:cstheme="minorHAnsi"/>
          <w:sz w:val="24"/>
          <w:szCs w:val="24"/>
        </w:rPr>
        <w:t xml:space="preserve">. </w:t>
      </w:r>
      <w:r w:rsidR="00836F5B" w:rsidRPr="00836F5B">
        <w:rPr>
          <w:rFonts w:cstheme="minorHAnsi"/>
          <w:b/>
          <w:sz w:val="24"/>
          <w:szCs w:val="24"/>
        </w:rPr>
        <w:t xml:space="preserve">Hodinové sazby za </w:t>
      </w:r>
      <w:r w:rsidR="00BD3928" w:rsidRPr="00836F5B">
        <w:rPr>
          <w:rFonts w:cstheme="minorHAnsi"/>
          <w:b/>
          <w:sz w:val="24"/>
          <w:szCs w:val="24"/>
        </w:rPr>
        <w:t xml:space="preserve">vedení a správu webu se </w:t>
      </w:r>
      <w:r w:rsidR="00836F5B" w:rsidRPr="00836F5B">
        <w:rPr>
          <w:rFonts w:cstheme="minorHAnsi"/>
          <w:b/>
          <w:sz w:val="24"/>
          <w:szCs w:val="24"/>
        </w:rPr>
        <w:t>u webových administrátorů o</w:t>
      </w:r>
      <w:r w:rsidR="00BD3928" w:rsidRPr="00836F5B">
        <w:rPr>
          <w:rFonts w:cstheme="minorHAnsi"/>
          <w:b/>
          <w:sz w:val="24"/>
          <w:szCs w:val="24"/>
        </w:rPr>
        <w:t>dví</w:t>
      </w:r>
      <w:r>
        <w:rPr>
          <w:rFonts w:cstheme="minorHAnsi"/>
          <w:b/>
          <w:sz w:val="24"/>
          <w:szCs w:val="24"/>
        </w:rPr>
        <w:t xml:space="preserve">jely </w:t>
      </w:r>
      <w:r w:rsidR="00BD3928" w:rsidRPr="00836F5B">
        <w:rPr>
          <w:rFonts w:cstheme="minorHAnsi"/>
          <w:b/>
          <w:sz w:val="24"/>
          <w:szCs w:val="24"/>
        </w:rPr>
        <w:t xml:space="preserve">od </w:t>
      </w:r>
      <w:r>
        <w:rPr>
          <w:rFonts w:cstheme="minorHAnsi"/>
          <w:b/>
          <w:sz w:val="24"/>
          <w:szCs w:val="24"/>
        </w:rPr>
        <w:t xml:space="preserve">typu a </w:t>
      </w:r>
      <w:r w:rsidR="00A76D66">
        <w:rPr>
          <w:rFonts w:cstheme="minorHAnsi"/>
          <w:b/>
          <w:sz w:val="24"/>
          <w:szCs w:val="24"/>
        </w:rPr>
        <w:t xml:space="preserve">různé </w:t>
      </w:r>
      <w:r w:rsidR="00BD3928" w:rsidRPr="00836F5B">
        <w:rPr>
          <w:rFonts w:cstheme="minorHAnsi"/>
          <w:b/>
          <w:sz w:val="24"/>
          <w:szCs w:val="24"/>
        </w:rPr>
        <w:t>míry poskytovaných služeb</w:t>
      </w:r>
      <w:r w:rsidR="00836F5B" w:rsidRPr="00836F5B">
        <w:rPr>
          <w:rFonts w:cstheme="minorHAnsi"/>
          <w:b/>
          <w:sz w:val="24"/>
          <w:szCs w:val="24"/>
        </w:rPr>
        <w:t>, a to v cenové škále od 350 Kč do 750</w:t>
      </w:r>
      <w:r w:rsidR="00046168">
        <w:rPr>
          <w:rFonts w:cstheme="minorHAnsi"/>
          <w:b/>
          <w:sz w:val="24"/>
          <w:szCs w:val="24"/>
        </w:rPr>
        <w:t> </w:t>
      </w:r>
      <w:r w:rsidR="00836F5B" w:rsidRPr="00836F5B">
        <w:rPr>
          <w:rFonts w:cstheme="minorHAnsi"/>
          <w:b/>
          <w:sz w:val="24"/>
          <w:szCs w:val="24"/>
        </w:rPr>
        <w:t xml:space="preserve">Kč za rutinní práce, resp. až do 1 500 Kč za práce odborného charakteru. </w:t>
      </w:r>
    </w:p>
    <w:p w14:paraId="4BCC2590" w14:textId="77777777" w:rsidR="00D65E6F" w:rsidRPr="00D67015" w:rsidRDefault="00D65E6F" w:rsidP="00C72B52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71C9D017" w14:textId="660CC8FD" w:rsidR="00C72B52" w:rsidRPr="00D67015" w:rsidRDefault="007D1FB5" w:rsidP="00C72B52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67015">
        <w:rPr>
          <w:rFonts w:cstheme="minorHAnsi"/>
          <w:color w:val="000000" w:themeColor="text1"/>
          <w:sz w:val="24"/>
          <w:szCs w:val="24"/>
        </w:rPr>
        <w:lastRenderedPageBreak/>
        <w:t xml:space="preserve">Jedním z viditelných nástrojů publicity jsou propagační předměty, jež řídicí orgány distribuovaly různým cílovým skupinám. Řídicí orgán OP LZZ </w:t>
      </w:r>
      <w:r w:rsidR="00335AAE" w:rsidRPr="00D67015">
        <w:rPr>
          <w:rFonts w:cstheme="minorHAnsi"/>
          <w:color w:val="000000" w:themeColor="text1"/>
          <w:sz w:val="24"/>
          <w:szCs w:val="24"/>
        </w:rPr>
        <w:t xml:space="preserve">například </w:t>
      </w:r>
      <w:r w:rsidRPr="00D67015">
        <w:rPr>
          <w:rFonts w:cstheme="minorHAnsi"/>
          <w:color w:val="000000" w:themeColor="text1"/>
          <w:sz w:val="24"/>
          <w:szCs w:val="24"/>
        </w:rPr>
        <w:t xml:space="preserve">pořizoval i produkty z chráněných dílen a výrobky </w:t>
      </w:r>
      <w:r w:rsidR="00046168">
        <w:rPr>
          <w:rFonts w:cstheme="minorHAnsi"/>
          <w:color w:val="000000" w:themeColor="text1"/>
          <w:sz w:val="24"/>
          <w:szCs w:val="24"/>
        </w:rPr>
        <w:t>označované</w:t>
      </w:r>
      <w:r w:rsidRPr="00D67015">
        <w:rPr>
          <w:rFonts w:cstheme="minorHAnsi"/>
          <w:color w:val="000000" w:themeColor="text1"/>
          <w:sz w:val="24"/>
          <w:szCs w:val="24"/>
        </w:rPr>
        <w:t xml:space="preserve"> „fair trade“, jako jsou čaje a malé čokolády. </w:t>
      </w:r>
    </w:p>
    <w:p w14:paraId="6640E6D5" w14:textId="77777777" w:rsidR="006A781A" w:rsidRPr="00D67015" w:rsidRDefault="006A781A" w:rsidP="00C72B52">
      <w:pPr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Svtltabulkasmkou1zvraznn5"/>
        <w:tblW w:w="0" w:type="auto"/>
        <w:tblInd w:w="108" w:type="dxa"/>
        <w:tblBorders>
          <w:top w:val="single" w:sz="18" w:space="0" w:color="B4C6E7" w:themeColor="accent5" w:themeTint="66"/>
          <w:left w:val="single" w:sz="18" w:space="0" w:color="B4C6E7" w:themeColor="accent5" w:themeTint="66"/>
          <w:bottom w:val="single" w:sz="18" w:space="0" w:color="B4C6E7" w:themeColor="accent5" w:themeTint="66"/>
          <w:right w:val="single" w:sz="18" w:space="0" w:color="B4C6E7" w:themeColor="accent5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67015" w:rsidRPr="00D67015" w14:paraId="223C9FB4" w14:textId="77777777" w:rsidTr="00287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shd w:val="clear" w:color="auto" w:fill="DEEAF6" w:themeFill="accent1" w:themeFillTint="33"/>
          </w:tcPr>
          <w:p w14:paraId="62E4698B" w14:textId="77777777" w:rsidR="00FD3C78" w:rsidRPr="00D67015" w:rsidRDefault="00955801" w:rsidP="00D67015">
            <w:pPr>
              <w:spacing w:before="4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7015">
              <w:rPr>
                <w:rFonts w:cstheme="minorHAnsi"/>
                <w:color w:val="000000" w:themeColor="text1"/>
                <w:sz w:val="20"/>
                <w:szCs w:val="20"/>
              </w:rPr>
              <w:t>Příklady nejčastěji pořizovaných propagačních předmětů (nákup, výroba</w:t>
            </w:r>
            <w:r w:rsidR="00FC67EF" w:rsidRPr="00D67015">
              <w:rPr>
                <w:rFonts w:cstheme="minorHAnsi"/>
                <w:color w:val="000000" w:themeColor="text1"/>
                <w:sz w:val="20"/>
                <w:szCs w:val="20"/>
              </w:rPr>
              <w:t xml:space="preserve"> – včetně potisků dle pravidel publicity)</w:t>
            </w:r>
            <w:r w:rsidR="00FD3C78" w:rsidRPr="00D67015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6FB1F679" w14:textId="77777777" w:rsidR="00FD3C78" w:rsidRPr="00D67015" w:rsidRDefault="00955801" w:rsidP="00D67015">
            <w:pPr>
              <w:pStyle w:val="Odstavecseseznamem"/>
              <w:numPr>
                <w:ilvl w:val="0"/>
                <w:numId w:val="21"/>
              </w:numPr>
              <w:ind w:left="284" w:hanging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7015">
              <w:rPr>
                <w:rFonts w:cstheme="minorHAnsi"/>
                <w:color w:val="000000" w:themeColor="text1"/>
                <w:sz w:val="20"/>
                <w:szCs w:val="20"/>
              </w:rPr>
              <w:t>předmět</w:t>
            </w:r>
            <w:r w:rsidR="00FD3C78" w:rsidRPr="00D67015">
              <w:rPr>
                <w:rFonts w:cstheme="minorHAnsi"/>
                <w:color w:val="000000" w:themeColor="text1"/>
                <w:sz w:val="20"/>
                <w:szCs w:val="20"/>
              </w:rPr>
              <w:t>y</w:t>
            </w:r>
            <w:r w:rsidRPr="00D67015">
              <w:rPr>
                <w:rFonts w:cstheme="minorHAnsi"/>
                <w:color w:val="000000" w:themeColor="text1"/>
                <w:sz w:val="20"/>
                <w:szCs w:val="20"/>
              </w:rPr>
              <w:t xml:space="preserve"> ze sortimentu kancelářských potřeb</w:t>
            </w:r>
            <w:r w:rsidR="00FD3C78" w:rsidRPr="00D67015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19497F43" w14:textId="77777777" w:rsidR="002475F5" w:rsidRPr="00D67015" w:rsidRDefault="00FD3C78" w:rsidP="00D67015">
            <w:pPr>
              <w:pStyle w:val="Odstavecseseznamem"/>
              <w:numPr>
                <w:ilvl w:val="0"/>
                <w:numId w:val="21"/>
              </w:numPr>
              <w:ind w:left="284" w:hanging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7015">
              <w:rPr>
                <w:rFonts w:cstheme="minorHAnsi"/>
                <w:color w:val="000000" w:themeColor="text1"/>
                <w:sz w:val="20"/>
                <w:szCs w:val="20"/>
              </w:rPr>
              <w:t xml:space="preserve">produkty ze sortimentu </w:t>
            </w:r>
            <w:r w:rsidR="00955801" w:rsidRPr="00D67015">
              <w:rPr>
                <w:rFonts w:cstheme="minorHAnsi"/>
                <w:color w:val="000000" w:themeColor="text1"/>
                <w:sz w:val="20"/>
                <w:szCs w:val="20"/>
              </w:rPr>
              <w:t>oděvních doplňků</w:t>
            </w:r>
            <w:r w:rsidRPr="00D67015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33A3F832" w14:textId="77777777" w:rsidR="002475F5" w:rsidRPr="00D67015" w:rsidRDefault="00955801" w:rsidP="00D67015">
            <w:pPr>
              <w:pStyle w:val="Odstavecseseznamem"/>
              <w:numPr>
                <w:ilvl w:val="0"/>
                <w:numId w:val="21"/>
              </w:numPr>
              <w:ind w:left="284" w:hanging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7015">
              <w:rPr>
                <w:rFonts w:cstheme="minorHAnsi"/>
                <w:color w:val="000000" w:themeColor="text1"/>
                <w:sz w:val="20"/>
                <w:szCs w:val="20"/>
              </w:rPr>
              <w:t>dárkové předměty</w:t>
            </w:r>
            <w:r w:rsidR="002C2249" w:rsidRPr="00D67015">
              <w:rPr>
                <w:rFonts w:cstheme="minorHAnsi"/>
                <w:color w:val="000000" w:themeColor="text1"/>
                <w:sz w:val="20"/>
                <w:szCs w:val="20"/>
              </w:rPr>
              <w:t xml:space="preserve"> a </w:t>
            </w:r>
            <w:r w:rsidRPr="00D67015">
              <w:rPr>
                <w:rFonts w:cstheme="minorHAnsi"/>
                <w:color w:val="000000" w:themeColor="text1"/>
                <w:sz w:val="20"/>
                <w:szCs w:val="20"/>
              </w:rPr>
              <w:t xml:space="preserve">suvenýry, </w:t>
            </w:r>
          </w:p>
          <w:p w14:paraId="34755B40" w14:textId="77777777" w:rsidR="002475F5" w:rsidRPr="00D67015" w:rsidRDefault="00955801" w:rsidP="00D67015">
            <w:pPr>
              <w:pStyle w:val="Odstavecseseznamem"/>
              <w:numPr>
                <w:ilvl w:val="0"/>
                <w:numId w:val="21"/>
              </w:numPr>
              <w:ind w:left="284" w:hanging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7015">
              <w:rPr>
                <w:rFonts w:cstheme="minorHAnsi"/>
                <w:color w:val="000000" w:themeColor="text1"/>
                <w:sz w:val="20"/>
                <w:szCs w:val="20"/>
              </w:rPr>
              <w:t>sportovní a herní pomůcky.</w:t>
            </w:r>
          </w:p>
          <w:p w14:paraId="153A6BDC" w14:textId="77777777" w:rsidR="002475F5" w:rsidRPr="00D67015" w:rsidRDefault="00C72B52" w:rsidP="00FF18FC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67015">
              <w:rPr>
                <w:rFonts w:cstheme="minorHAnsi"/>
                <w:color w:val="000000" w:themeColor="text1"/>
                <w:sz w:val="20"/>
                <w:szCs w:val="20"/>
              </w:rPr>
              <w:t>Cenové hladiny u vybraných produktů (v jednotkových cenách bez DPH):</w:t>
            </w:r>
          </w:p>
          <w:p w14:paraId="7D48A6F1" w14:textId="0C5EBD40" w:rsidR="00C72B52" w:rsidRPr="00D67015" w:rsidRDefault="00046168" w:rsidP="00D67015">
            <w:pPr>
              <w:pStyle w:val="Odstavecseseznamem"/>
              <w:numPr>
                <w:ilvl w:val="0"/>
                <w:numId w:val="21"/>
              </w:numPr>
              <w:ind w:left="284" w:hanging="284"/>
              <w:jc w:val="both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FD3C78" w:rsidRPr="00D67015">
              <w:rPr>
                <w:rFonts w:cstheme="minorHAnsi"/>
                <w:color w:val="000000" w:themeColor="text1"/>
                <w:sz w:val="20"/>
                <w:szCs w:val="20"/>
              </w:rPr>
              <w:t xml:space="preserve">ámská a pánská trička s potisky v cenové škále od </w:t>
            </w:r>
            <w:r w:rsidR="00C72B52" w:rsidRPr="00D67015">
              <w:rPr>
                <w:rFonts w:cstheme="minorHAnsi"/>
                <w:color w:val="000000" w:themeColor="text1"/>
                <w:sz w:val="20"/>
                <w:szCs w:val="20"/>
              </w:rPr>
              <w:t xml:space="preserve">75 </w:t>
            </w:r>
            <w:r w:rsidR="003621B4" w:rsidRPr="00D67015">
              <w:rPr>
                <w:rFonts w:cstheme="minorHAnsi"/>
                <w:color w:val="000000" w:themeColor="text1"/>
                <w:sz w:val="20"/>
                <w:szCs w:val="20"/>
              </w:rPr>
              <w:t>do 255 Kč</w:t>
            </w:r>
            <w:r w:rsidR="00C72B52" w:rsidRPr="00D67015">
              <w:rPr>
                <w:rFonts w:cstheme="minorHAnsi"/>
                <w:color w:val="000000" w:themeColor="text1"/>
                <w:sz w:val="20"/>
                <w:szCs w:val="20"/>
              </w:rPr>
              <w:t>/ks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67396B74" w14:textId="6BEC9AF5" w:rsidR="00FD3C78" w:rsidRPr="00D67015" w:rsidRDefault="00046168" w:rsidP="00D67015">
            <w:pPr>
              <w:pStyle w:val="Odstavecseseznamem"/>
              <w:numPr>
                <w:ilvl w:val="0"/>
                <w:numId w:val="21"/>
              </w:numPr>
              <w:ind w:left="284" w:hanging="284"/>
              <w:jc w:val="both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FD3C78" w:rsidRPr="00D67015">
              <w:rPr>
                <w:rFonts w:cstheme="minorHAnsi"/>
                <w:color w:val="000000" w:themeColor="text1"/>
                <w:sz w:val="20"/>
                <w:szCs w:val="20"/>
              </w:rPr>
              <w:t>eštníky v cenové škále od 63 do 255 Kč/ks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="003621B4" w:rsidRPr="00D67015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0DC1D61" w14:textId="6F018C35" w:rsidR="00C72B52" w:rsidRPr="00D67015" w:rsidRDefault="00C72B52" w:rsidP="00D67015">
            <w:pPr>
              <w:pStyle w:val="Odstavecseseznamem"/>
              <w:numPr>
                <w:ilvl w:val="0"/>
                <w:numId w:val="21"/>
              </w:numPr>
              <w:ind w:left="284" w:hanging="284"/>
              <w:jc w:val="both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 w:rsidRPr="00D67015">
              <w:rPr>
                <w:rFonts w:cstheme="minorHAnsi"/>
                <w:color w:val="000000" w:themeColor="text1"/>
                <w:sz w:val="20"/>
                <w:szCs w:val="20"/>
              </w:rPr>
              <w:t>VIP psací sady v cenové škále od 322 do 553 Kč/ks</w:t>
            </w:r>
            <w:r w:rsidR="00046168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375FDCB8" w14:textId="4B2774E0" w:rsidR="003621B4" w:rsidRPr="00D67015" w:rsidRDefault="00046168" w:rsidP="00D67015">
            <w:pPr>
              <w:pStyle w:val="Odstavecseseznamem"/>
              <w:numPr>
                <w:ilvl w:val="0"/>
                <w:numId w:val="21"/>
              </w:numPr>
              <w:ind w:left="284" w:hanging="284"/>
              <w:jc w:val="both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</w:t>
            </w:r>
            <w:r w:rsidR="003621B4" w:rsidRPr="00D67015">
              <w:rPr>
                <w:rFonts w:cstheme="minorHAnsi"/>
                <w:color w:val="000000" w:themeColor="text1"/>
                <w:sz w:val="20"/>
                <w:szCs w:val="20"/>
              </w:rPr>
              <w:t xml:space="preserve">ožené peněženky </w:t>
            </w:r>
            <w:r w:rsidR="00C72B52" w:rsidRPr="00D67015">
              <w:rPr>
                <w:rFonts w:cstheme="minorHAnsi"/>
                <w:color w:val="000000" w:themeColor="text1"/>
                <w:sz w:val="20"/>
                <w:szCs w:val="20"/>
              </w:rPr>
              <w:t xml:space="preserve">v ceně </w:t>
            </w:r>
            <w:r w:rsidR="003621B4" w:rsidRPr="00D67015">
              <w:rPr>
                <w:rFonts w:cstheme="minorHAnsi"/>
                <w:color w:val="000000" w:themeColor="text1"/>
                <w:sz w:val="20"/>
                <w:szCs w:val="20"/>
              </w:rPr>
              <w:t>290 Kč/ks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73A34772" w14:textId="0E049C0F" w:rsidR="00C72B52" w:rsidRPr="00D67015" w:rsidRDefault="00046168" w:rsidP="00D67015">
            <w:pPr>
              <w:pStyle w:val="Odstavecseseznamem"/>
              <w:numPr>
                <w:ilvl w:val="0"/>
                <w:numId w:val="21"/>
              </w:numPr>
              <w:ind w:left="284" w:hanging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="00C72B52" w:rsidRPr="00D67015">
              <w:rPr>
                <w:rFonts w:cstheme="minorHAnsi"/>
                <w:color w:val="000000" w:themeColor="text1"/>
                <w:sz w:val="20"/>
                <w:szCs w:val="20"/>
              </w:rPr>
              <w:t>riginální švýcarské nože v ceně 406 Kč/ks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59F8E0FD" w14:textId="7742FA03" w:rsidR="00FD3C78" w:rsidRPr="00D67015" w:rsidRDefault="00046168" w:rsidP="00D67015">
            <w:pPr>
              <w:pStyle w:val="Odstavecseseznamem"/>
              <w:numPr>
                <w:ilvl w:val="0"/>
                <w:numId w:val="21"/>
              </w:numPr>
              <w:ind w:left="284" w:hanging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</w:t>
            </w:r>
            <w:r w:rsidR="007D1FB5" w:rsidRPr="00D67015">
              <w:rPr>
                <w:rFonts w:cstheme="minorHAnsi"/>
                <w:color w:val="000000" w:themeColor="text1"/>
                <w:sz w:val="20"/>
                <w:szCs w:val="20"/>
              </w:rPr>
              <w:t>ra p</w:t>
            </w:r>
            <w:r w:rsidR="00BD7928" w:rsidRPr="00D67015">
              <w:rPr>
                <w:rFonts w:cstheme="minorHAnsi"/>
                <w:color w:val="000000" w:themeColor="text1"/>
                <w:sz w:val="20"/>
                <w:szCs w:val="20"/>
              </w:rPr>
              <w:t>é</w:t>
            </w:r>
            <w:r w:rsidR="007D1FB5" w:rsidRPr="00D67015">
              <w:rPr>
                <w:rFonts w:cstheme="minorHAnsi"/>
                <w:color w:val="000000" w:themeColor="text1"/>
                <w:sz w:val="20"/>
                <w:szCs w:val="20"/>
              </w:rPr>
              <w:t>tan</w:t>
            </w:r>
            <w:r w:rsidR="00BD7928" w:rsidRPr="00D67015">
              <w:rPr>
                <w:rFonts w:cstheme="minorHAnsi"/>
                <w:color w:val="000000" w:themeColor="text1"/>
                <w:sz w:val="20"/>
                <w:szCs w:val="20"/>
              </w:rPr>
              <w:t>que</w:t>
            </w:r>
            <w:r w:rsidR="007D1FB5" w:rsidRPr="00D67015">
              <w:rPr>
                <w:rFonts w:cstheme="minorHAnsi"/>
                <w:color w:val="000000" w:themeColor="text1"/>
                <w:sz w:val="20"/>
                <w:szCs w:val="20"/>
              </w:rPr>
              <w:t xml:space="preserve"> v ceně 504 Kč/ks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3BDC3E6D" w14:textId="09ED434E" w:rsidR="003621B4" w:rsidRPr="00D67015" w:rsidRDefault="00046168" w:rsidP="00D67015">
            <w:pPr>
              <w:pStyle w:val="Odstavecseseznamem"/>
              <w:numPr>
                <w:ilvl w:val="0"/>
                <w:numId w:val="21"/>
              </w:numPr>
              <w:ind w:left="284" w:hanging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</w:t>
            </w:r>
            <w:r w:rsidR="003621B4" w:rsidRPr="00D67015">
              <w:rPr>
                <w:rFonts w:cstheme="minorHAnsi"/>
                <w:color w:val="000000" w:themeColor="text1"/>
                <w:sz w:val="20"/>
                <w:szCs w:val="20"/>
              </w:rPr>
              <w:t>alekohledy</w:t>
            </w:r>
            <w:r w:rsidR="00C72B52" w:rsidRPr="00D67015">
              <w:rPr>
                <w:rFonts w:cstheme="minorHAnsi"/>
                <w:color w:val="000000" w:themeColor="text1"/>
                <w:sz w:val="20"/>
                <w:szCs w:val="20"/>
              </w:rPr>
              <w:t xml:space="preserve"> v ceně 288 Kč/ks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</w:p>
          <w:p w14:paraId="0B53A063" w14:textId="6E3BBC3C" w:rsidR="00301726" w:rsidRPr="00D67015" w:rsidRDefault="00046168" w:rsidP="00D67015">
            <w:pPr>
              <w:pStyle w:val="Odstavecseseznamem"/>
              <w:numPr>
                <w:ilvl w:val="0"/>
                <w:numId w:val="21"/>
              </w:numPr>
              <w:spacing w:after="40"/>
              <w:ind w:left="284" w:hanging="284"/>
              <w:contextualSpacing w:val="0"/>
              <w:jc w:val="both"/>
              <w:rPr>
                <w:rFonts w:cstheme="min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</w:t>
            </w:r>
            <w:r w:rsidR="00C72B52" w:rsidRPr="00D67015">
              <w:rPr>
                <w:rFonts w:cstheme="minorHAnsi"/>
                <w:color w:val="000000" w:themeColor="text1"/>
                <w:sz w:val="20"/>
                <w:szCs w:val="20"/>
              </w:rPr>
              <w:t xml:space="preserve">inné sady </w:t>
            </w:r>
            <w:r w:rsidR="007D1FB5" w:rsidRPr="00D67015">
              <w:rPr>
                <w:rFonts w:cstheme="minorHAnsi"/>
                <w:color w:val="000000" w:themeColor="text1"/>
                <w:sz w:val="20"/>
                <w:szCs w:val="20"/>
              </w:rPr>
              <w:t xml:space="preserve">a soupravy na víno </w:t>
            </w:r>
            <w:r w:rsidR="00C72B52" w:rsidRPr="00D67015">
              <w:rPr>
                <w:rFonts w:cstheme="minorHAnsi"/>
                <w:color w:val="000000" w:themeColor="text1"/>
                <w:sz w:val="20"/>
                <w:szCs w:val="20"/>
              </w:rPr>
              <w:t>v ceně 539 Kč/ks</w:t>
            </w:r>
            <w:r w:rsidR="00FC67EF" w:rsidRPr="00D67015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0AC7768A" w14:textId="77777777" w:rsidR="00C72B52" w:rsidRDefault="00C72B52" w:rsidP="00FD3C78">
      <w:pPr>
        <w:spacing w:after="0" w:line="240" w:lineRule="auto"/>
        <w:jc w:val="both"/>
      </w:pPr>
    </w:p>
    <w:p w14:paraId="211B3DD0" w14:textId="77777777" w:rsidR="006A59B7" w:rsidRPr="00D67015" w:rsidRDefault="006A59B7" w:rsidP="00D67015">
      <w:pPr>
        <w:spacing w:after="0" w:line="240" w:lineRule="auto"/>
        <w:rPr>
          <w:b/>
          <w:sz w:val="24"/>
          <w:szCs w:val="24"/>
        </w:rPr>
      </w:pPr>
      <w:r w:rsidRPr="00D67015">
        <w:rPr>
          <w:b/>
          <w:sz w:val="24"/>
          <w:szCs w:val="24"/>
        </w:rPr>
        <w:t xml:space="preserve">3. Řízení informačních a </w:t>
      </w:r>
      <w:r w:rsidR="00F77D10" w:rsidRPr="00D67015">
        <w:rPr>
          <w:b/>
          <w:sz w:val="24"/>
          <w:szCs w:val="24"/>
        </w:rPr>
        <w:t xml:space="preserve">propagačních </w:t>
      </w:r>
      <w:r w:rsidRPr="00D67015">
        <w:rPr>
          <w:b/>
          <w:sz w:val="24"/>
          <w:szCs w:val="24"/>
        </w:rPr>
        <w:t>aktivit</w:t>
      </w:r>
    </w:p>
    <w:p w14:paraId="2D1F1873" w14:textId="77777777" w:rsidR="00131CB0" w:rsidRPr="00D67015" w:rsidRDefault="00131CB0" w:rsidP="002577D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cs-CZ"/>
        </w:rPr>
      </w:pPr>
    </w:p>
    <w:p w14:paraId="1CF9BCFC" w14:textId="6EAC60DC" w:rsidR="007D1B16" w:rsidRDefault="00646E82" w:rsidP="002577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31CB0">
        <w:rPr>
          <w:rFonts w:cstheme="minorHAnsi"/>
          <w:b/>
          <w:sz w:val="24"/>
          <w:szCs w:val="24"/>
        </w:rPr>
        <w:t xml:space="preserve">Řídicí orgány </w:t>
      </w:r>
      <w:r w:rsidR="00046168">
        <w:rPr>
          <w:rFonts w:cstheme="minorHAnsi"/>
          <w:b/>
          <w:sz w:val="24"/>
          <w:szCs w:val="24"/>
        </w:rPr>
        <w:t>nastavily</w:t>
      </w:r>
      <w:r w:rsidRPr="00131CB0">
        <w:rPr>
          <w:rFonts w:cstheme="minorHAnsi"/>
          <w:b/>
          <w:sz w:val="24"/>
          <w:szCs w:val="24"/>
        </w:rPr>
        <w:t xml:space="preserve"> systém k vyhodnocování efektivnosti</w:t>
      </w:r>
      <w:r w:rsidR="007D1B16">
        <w:rPr>
          <w:rFonts w:cstheme="minorHAnsi"/>
          <w:b/>
          <w:sz w:val="24"/>
          <w:szCs w:val="24"/>
        </w:rPr>
        <w:t xml:space="preserve"> realizovaných opatření</w:t>
      </w:r>
      <w:r w:rsidR="00046168">
        <w:rPr>
          <w:rFonts w:cstheme="minorHAnsi"/>
          <w:b/>
          <w:sz w:val="24"/>
          <w:szCs w:val="24"/>
        </w:rPr>
        <w:t>,</w:t>
      </w:r>
      <w:r w:rsidR="007D1B16">
        <w:rPr>
          <w:rFonts w:cstheme="minorHAnsi"/>
          <w:b/>
          <w:sz w:val="24"/>
          <w:szCs w:val="24"/>
        </w:rPr>
        <w:t xml:space="preserve"> </w:t>
      </w:r>
      <w:r w:rsidR="00046168">
        <w:rPr>
          <w:rFonts w:cstheme="minorHAnsi"/>
          <w:b/>
          <w:sz w:val="24"/>
          <w:szCs w:val="24"/>
        </w:rPr>
        <w:t>kdy k</w:t>
      </w:r>
      <w:r w:rsidR="0072242D">
        <w:rPr>
          <w:rFonts w:cstheme="minorHAnsi"/>
          <w:b/>
          <w:sz w:val="24"/>
          <w:szCs w:val="24"/>
        </w:rPr>
        <w:t>ontrolované osoby prováděly pravidelná v</w:t>
      </w:r>
      <w:r w:rsidR="0072242D" w:rsidRPr="007D1B16">
        <w:rPr>
          <w:rFonts w:cstheme="minorHAnsi"/>
          <w:b/>
          <w:sz w:val="24"/>
          <w:szCs w:val="24"/>
        </w:rPr>
        <w:t>yhodnocování dosažení zlepšení informovanosti cílových skupin.</w:t>
      </w:r>
      <w:r w:rsidR="0072242D">
        <w:rPr>
          <w:rFonts w:cstheme="minorHAnsi"/>
          <w:b/>
          <w:sz w:val="24"/>
          <w:szCs w:val="24"/>
        </w:rPr>
        <w:t xml:space="preserve"> </w:t>
      </w:r>
      <w:r w:rsidR="007D1B16">
        <w:rPr>
          <w:rFonts w:cstheme="minorHAnsi"/>
          <w:b/>
          <w:sz w:val="24"/>
          <w:szCs w:val="24"/>
        </w:rPr>
        <w:t xml:space="preserve">Vyhodnocování efektivnosti </w:t>
      </w:r>
      <w:r w:rsidR="0072242D">
        <w:rPr>
          <w:rFonts w:cstheme="minorHAnsi"/>
          <w:b/>
          <w:sz w:val="24"/>
          <w:szCs w:val="24"/>
        </w:rPr>
        <w:t xml:space="preserve">však neprobíhalo vždy </w:t>
      </w:r>
      <w:r w:rsidR="00046168">
        <w:rPr>
          <w:rFonts w:cstheme="minorHAnsi"/>
          <w:b/>
          <w:sz w:val="24"/>
          <w:szCs w:val="24"/>
        </w:rPr>
        <w:t>s ohledem na dopad</w:t>
      </w:r>
      <w:r w:rsidR="00A642C0">
        <w:rPr>
          <w:rFonts w:cstheme="minorHAnsi"/>
          <w:b/>
          <w:sz w:val="24"/>
          <w:szCs w:val="24"/>
        </w:rPr>
        <w:t xml:space="preserve"> jednotlivých </w:t>
      </w:r>
      <w:r w:rsidR="00046168">
        <w:rPr>
          <w:rFonts w:cstheme="minorHAnsi"/>
          <w:b/>
          <w:sz w:val="24"/>
          <w:szCs w:val="24"/>
        </w:rPr>
        <w:t>realizovaných informačních a </w:t>
      </w:r>
      <w:r w:rsidR="0072242D">
        <w:rPr>
          <w:rFonts w:cstheme="minorHAnsi"/>
          <w:b/>
          <w:sz w:val="24"/>
          <w:szCs w:val="24"/>
        </w:rPr>
        <w:t>komunikačních opatření</w:t>
      </w:r>
      <w:r w:rsidR="00A642C0">
        <w:rPr>
          <w:rFonts w:cstheme="minorHAnsi"/>
          <w:b/>
          <w:sz w:val="24"/>
          <w:szCs w:val="24"/>
        </w:rPr>
        <w:t xml:space="preserve">. </w:t>
      </w:r>
    </w:p>
    <w:p w14:paraId="33D3D4C8" w14:textId="77777777" w:rsidR="00A4686C" w:rsidRPr="00D67015" w:rsidRDefault="00A4686C" w:rsidP="002577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96D033" w14:textId="77777777" w:rsidR="001B7C17" w:rsidRDefault="00A66684" w:rsidP="00D67015">
      <w:pPr>
        <w:spacing w:after="0" w:line="240" w:lineRule="auto"/>
        <w:rPr>
          <w:b/>
          <w:sz w:val="24"/>
          <w:szCs w:val="24"/>
        </w:rPr>
      </w:pPr>
      <w:r w:rsidRPr="00D67015">
        <w:rPr>
          <w:b/>
          <w:sz w:val="24"/>
          <w:szCs w:val="24"/>
        </w:rPr>
        <w:t xml:space="preserve">3.1 </w:t>
      </w:r>
      <w:r w:rsidR="00D8559A" w:rsidRPr="00D67015">
        <w:rPr>
          <w:b/>
          <w:sz w:val="24"/>
          <w:szCs w:val="24"/>
        </w:rPr>
        <w:t>Ministerstvo školství, mládeže a tělovýchovy</w:t>
      </w:r>
    </w:p>
    <w:p w14:paraId="14BE22AD" w14:textId="77777777" w:rsidR="00D67015" w:rsidRPr="00D67015" w:rsidRDefault="00D67015" w:rsidP="00D67015">
      <w:pPr>
        <w:spacing w:after="0" w:line="240" w:lineRule="auto"/>
        <w:rPr>
          <w:sz w:val="24"/>
          <w:szCs w:val="24"/>
        </w:rPr>
      </w:pPr>
    </w:p>
    <w:p w14:paraId="5D44FAC6" w14:textId="13876F80" w:rsidR="009440BB" w:rsidRPr="006F6C0A" w:rsidRDefault="009440BB" w:rsidP="00D67015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F6C0A">
        <w:rPr>
          <w:rFonts w:cstheme="minorHAnsi"/>
          <w:sz w:val="24"/>
          <w:szCs w:val="24"/>
        </w:rPr>
        <w:t xml:space="preserve">MŠMT </w:t>
      </w:r>
      <w:r w:rsidR="0054558B">
        <w:rPr>
          <w:rFonts w:cstheme="minorHAnsi"/>
          <w:sz w:val="24"/>
          <w:szCs w:val="24"/>
        </w:rPr>
        <w:t xml:space="preserve">řídilo </w:t>
      </w:r>
      <w:r w:rsidR="0088093E">
        <w:rPr>
          <w:rFonts w:cstheme="minorHAnsi"/>
          <w:sz w:val="24"/>
          <w:szCs w:val="24"/>
        </w:rPr>
        <w:t xml:space="preserve">u OP VK i u OP VaVpI </w:t>
      </w:r>
      <w:r w:rsidR="0054558B">
        <w:rPr>
          <w:rFonts w:cstheme="minorHAnsi"/>
          <w:sz w:val="24"/>
          <w:szCs w:val="24"/>
        </w:rPr>
        <w:t xml:space="preserve">některé z aktivit </w:t>
      </w:r>
      <w:r w:rsidR="00046168">
        <w:rPr>
          <w:rFonts w:cstheme="minorHAnsi"/>
          <w:sz w:val="24"/>
          <w:szCs w:val="24"/>
        </w:rPr>
        <w:t xml:space="preserve">spíše </w:t>
      </w:r>
      <w:r w:rsidR="0054558B">
        <w:rPr>
          <w:rFonts w:cstheme="minorHAnsi"/>
          <w:sz w:val="24"/>
          <w:szCs w:val="24"/>
        </w:rPr>
        <w:t>způsobem „ad hoc“</w:t>
      </w:r>
      <w:r w:rsidR="00BD7928">
        <w:rPr>
          <w:rFonts w:cstheme="minorHAnsi"/>
          <w:sz w:val="24"/>
          <w:szCs w:val="24"/>
        </w:rPr>
        <w:t xml:space="preserve"> než systémově</w:t>
      </w:r>
      <w:r w:rsidR="0054558B">
        <w:rPr>
          <w:rFonts w:cstheme="minorHAnsi"/>
          <w:sz w:val="24"/>
          <w:szCs w:val="24"/>
        </w:rPr>
        <w:t xml:space="preserve">. </w:t>
      </w:r>
    </w:p>
    <w:p w14:paraId="3A55530D" w14:textId="7828007C" w:rsidR="00BE39CB" w:rsidRDefault="00BE39CB" w:rsidP="00D67015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F6C0A">
        <w:rPr>
          <w:rFonts w:cstheme="minorHAnsi"/>
          <w:sz w:val="24"/>
          <w:szCs w:val="24"/>
        </w:rPr>
        <w:t xml:space="preserve">U OP VaVpI </w:t>
      </w:r>
      <w:r w:rsidR="00922C95">
        <w:rPr>
          <w:rFonts w:cstheme="minorHAnsi"/>
          <w:sz w:val="24"/>
          <w:szCs w:val="24"/>
        </w:rPr>
        <w:t xml:space="preserve">bylo </w:t>
      </w:r>
      <w:r w:rsidRPr="006F6C0A">
        <w:rPr>
          <w:rFonts w:cstheme="minorHAnsi"/>
          <w:sz w:val="24"/>
          <w:szCs w:val="24"/>
        </w:rPr>
        <w:t>čerpání rozpočt</w:t>
      </w:r>
      <w:r w:rsidR="00046168">
        <w:rPr>
          <w:rFonts w:cstheme="minorHAnsi"/>
          <w:sz w:val="24"/>
          <w:szCs w:val="24"/>
        </w:rPr>
        <w:t>ů</w:t>
      </w:r>
      <w:r w:rsidRPr="006F6C0A">
        <w:rPr>
          <w:rFonts w:cstheme="minorHAnsi"/>
          <w:sz w:val="24"/>
          <w:szCs w:val="24"/>
        </w:rPr>
        <w:t xml:space="preserve"> R</w:t>
      </w:r>
      <w:r w:rsidR="00FC67EF">
        <w:rPr>
          <w:rFonts w:cstheme="minorHAnsi"/>
          <w:sz w:val="24"/>
          <w:szCs w:val="24"/>
        </w:rPr>
        <w:t>K</w:t>
      </w:r>
      <w:r w:rsidRPr="006F6C0A">
        <w:rPr>
          <w:rFonts w:cstheme="minorHAnsi"/>
          <w:sz w:val="24"/>
          <w:szCs w:val="24"/>
        </w:rPr>
        <w:t>oP bylo v</w:t>
      </w:r>
      <w:r w:rsidR="00A66684">
        <w:rPr>
          <w:rFonts w:cstheme="minorHAnsi"/>
          <w:sz w:val="24"/>
          <w:szCs w:val="24"/>
        </w:rPr>
        <w:t> </w:t>
      </w:r>
      <w:r w:rsidRPr="006F6C0A">
        <w:rPr>
          <w:rFonts w:cstheme="minorHAnsi"/>
          <w:sz w:val="24"/>
          <w:szCs w:val="24"/>
        </w:rPr>
        <w:t>letech 2009</w:t>
      </w:r>
      <w:r w:rsidR="003A14EE">
        <w:rPr>
          <w:rFonts w:cstheme="minorHAnsi"/>
          <w:sz w:val="24"/>
          <w:szCs w:val="24"/>
        </w:rPr>
        <w:t>–</w:t>
      </w:r>
      <w:r w:rsidRPr="006F6C0A">
        <w:rPr>
          <w:rFonts w:cstheme="minorHAnsi"/>
          <w:sz w:val="24"/>
          <w:szCs w:val="24"/>
        </w:rPr>
        <w:t>2014 nižší</w:t>
      </w:r>
      <w:r w:rsidR="00046168">
        <w:rPr>
          <w:rFonts w:cstheme="minorHAnsi"/>
          <w:sz w:val="24"/>
          <w:szCs w:val="24"/>
        </w:rPr>
        <w:t>,</w:t>
      </w:r>
      <w:r w:rsidRPr="006F6C0A">
        <w:rPr>
          <w:rFonts w:cstheme="minorHAnsi"/>
          <w:sz w:val="24"/>
          <w:szCs w:val="24"/>
        </w:rPr>
        <w:t xml:space="preserve"> než MŠMT plánovalo</w:t>
      </w:r>
      <w:r w:rsidR="00A642C0" w:rsidRPr="006F6C0A">
        <w:rPr>
          <w:rFonts w:cstheme="minorHAnsi"/>
          <w:sz w:val="24"/>
          <w:szCs w:val="24"/>
        </w:rPr>
        <w:t>,</w:t>
      </w:r>
      <w:r w:rsidR="00A642C0" w:rsidRPr="006F6C0A">
        <w:rPr>
          <w:rStyle w:val="Znakapoznpodarou"/>
          <w:rFonts w:cstheme="minorHAnsi"/>
          <w:sz w:val="24"/>
          <w:szCs w:val="24"/>
        </w:rPr>
        <w:footnoteReference w:id="24"/>
      </w:r>
      <w:r w:rsidR="00A642C0" w:rsidRPr="006F6C0A">
        <w:rPr>
          <w:rFonts w:cstheme="minorHAnsi"/>
          <w:sz w:val="24"/>
          <w:szCs w:val="24"/>
        </w:rPr>
        <w:t xml:space="preserve"> a </w:t>
      </w:r>
      <w:r w:rsidR="0078302F">
        <w:rPr>
          <w:rFonts w:cstheme="minorHAnsi"/>
          <w:sz w:val="24"/>
          <w:szCs w:val="24"/>
        </w:rPr>
        <w:t>t</w:t>
      </w:r>
      <w:r w:rsidR="00A642C0" w:rsidRPr="006F6C0A">
        <w:rPr>
          <w:rFonts w:cstheme="minorHAnsi"/>
          <w:sz w:val="24"/>
          <w:szCs w:val="24"/>
        </w:rPr>
        <w:t>o z</w:t>
      </w:r>
      <w:r w:rsidR="00A66684">
        <w:rPr>
          <w:rFonts w:cstheme="minorHAnsi"/>
          <w:sz w:val="24"/>
          <w:szCs w:val="24"/>
        </w:rPr>
        <w:t> </w:t>
      </w:r>
      <w:r w:rsidR="00A642C0" w:rsidRPr="006F6C0A">
        <w:rPr>
          <w:rFonts w:cstheme="minorHAnsi"/>
          <w:sz w:val="24"/>
          <w:szCs w:val="24"/>
        </w:rPr>
        <w:t xml:space="preserve">důvodu </w:t>
      </w:r>
      <w:r w:rsidRPr="006F6C0A">
        <w:rPr>
          <w:rFonts w:cstheme="minorHAnsi"/>
          <w:sz w:val="24"/>
          <w:szCs w:val="24"/>
        </w:rPr>
        <w:t>nižší</w:t>
      </w:r>
      <w:r w:rsidR="00A642C0" w:rsidRPr="006F6C0A">
        <w:rPr>
          <w:rFonts w:cstheme="minorHAnsi"/>
          <w:sz w:val="24"/>
          <w:szCs w:val="24"/>
        </w:rPr>
        <w:t>ho</w:t>
      </w:r>
      <w:r w:rsidRPr="006F6C0A">
        <w:rPr>
          <w:rFonts w:cstheme="minorHAnsi"/>
          <w:sz w:val="24"/>
          <w:szCs w:val="24"/>
        </w:rPr>
        <w:t xml:space="preserve"> počt</w:t>
      </w:r>
      <w:r w:rsidR="00A642C0" w:rsidRPr="006F6C0A">
        <w:rPr>
          <w:rFonts w:cstheme="minorHAnsi"/>
          <w:sz w:val="24"/>
          <w:szCs w:val="24"/>
        </w:rPr>
        <w:t xml:space="preserve">u </w:t>
      </w:r>
      <w:r w:rsidRPr="006F6C0A">
        <w:rPr>
          <w:rFonts w:cstheme="minorHAnsi"/>
          <w:sz w:val="24"/>
          <w:szCs w:val="24"/>
        </w:rPr>
        <w:t xml:space="preserve">seminářů </w:t>
      </w:r>
      <w:r w:rsidR="00A642C0" w:rsidRPr="006F6C0A">
        <w:rPr>
          <w:rFonts w:cstheme="minorHAnsi"/>
          <w:sz w:val="24"/>
          <w:szCs w:val="24"/>
        </w:rPr>
        <w:t xml:space="preserve">pořádaných </w:t>
      </w:r>
      <w:r w:rsidR="006D433E">
        <w:rPr>
          <w:rFonts w:cstheme="minorHAnsi"/>
          <w:sz w:val="24"/>
          <w:szCs w:val="24"/>
        </w:rPr>
        <w:t>pro žadatele a </w:t>
      </w:r>
      <w:r w:rsidRPr="006F6C0A">
        <w:rPr>
          <w:rFonts w:cstheme="minorHAnsi"/>
          <w:sz w:val="24"/>
          <w:szCs w:val="24"/>
        </w:rPr>
        <w:t>příjemce</w:t>
      </w:r>
      <w:r w:rsidR="00A642C0" w:rsidRPr="006F6C0A">
        <w:rPr>
          <w:rFonts w:cstheme="minorHAnsi"/>
          <w:sz w:val="24"/>
          <w:szCs w:val="24"/>
        </w:rPr>
        <w:t xml:space="preserve">, </w:t>
      </w:r>
      <w:r w:rsidRPr="006F6C0A">
        <w:rPr>
          <w:rFonts w:cstheme="minorHAnsi"/>
          <w:sz w:val="24"/>
          <w:szCs w:val="24"/>
        </w:rPr>
        <w:t>zrušení plánovaných workshopů s</w:t>
      </w:r>
      <w:r w:rsidR="00A66684">
        <w:rPr>
          <w:rFonts w:cstheme="minorHAnsi"/>
          <w:sz w:val="24"/>
          <w:szCs w:val="24"/>
        </w:rPr>
        <w:t> </w:t>
      </w:r>
      <w:r w:rsidRPr="006F6C0A">
        <w:rPr>
          <w:rFonts w:cstheme="minorHAnsi"/>
          <w:sz w:val="24"/>
          <w:szCs w:val="24"/>
        </w:rPr>
        <w:t>mezinárodní účastí</w:t>
      </w:r>
      <w:r w:rsidR="00A642C0" w:rsidRPr="006F6C0A">
        <w:rPr>
          <w:rFonts w:cstheme="minorHAnsi"/>
          <w:sz w:val="24"/>
          <w:szCs w:val="24"/>
        </w:rPr>
        <w:t xml:space="preserve"> nebo n</w:t>
      </w:r>
      <w:r w:rsidRPr="006F6C0A">
        <w:rPr>
          <w:rFonts w:cstheme="minorHAnsi"/>
          <w:sz w:val="24"/>
          <w:szCs w:val="24"/>
        </w:rPr>
        <w:t xml:space="preserve">erealizování některých veřejných zakázek. </w:t>
      </w:r>
      <w:r w:rsidR="00A642C0" w:rsidRPr="006F6C0A">
        <w:rPr>
          <w:rFonts w:cstheme="minorHAnsi"/>
          <w:sz w:val="24"/>
          <w:szCs w:val="24"/>
        </w:rPr>
        <w:t>Naopak v</w:t>
      </w:r>
      <w:r w:rsidR="00A66684">
        <w:rPr>
          <w:rFonts w:cstheme="minorHAnsi"/>
          <w:sz w:val="24"/>
          <w:szCs w:val="24"/>
        </w:rPr>
        <w:t> </w:t>
      </w:r>
      <w:r w:rsidR="00A642C0" w:rsidRPr="006F6C0A">
        <w:rPr>
          <w:rFonts w:cstheme="minorHAnsi"/>
          <w:sz w:val="24"/>
          <w:szCs w:val="24"/>
        </w:rPr>
        <w:t xml:space="preserve">roce </w:t>
      </w:r>
      <w:r w:rsidRPr="006F6C0A">
        <w:rPr>
          <w:rFonts w:cstheme="minorHAnsi"/>
          <w:sz w:val="24"/>
          <w:szCs w:val="24"/>
        </w:rPr>
        <w:t>2015</w:t>
      </w:r>
      <w:r w:rsidR="00A642C0" w:rsidRPr="006F6C0A">
        <w:rPr>
          <w:rFonts w:cstheme="minorHAnsi"/>
          <w:sz w:val="24"/>
          <w:szCs w:val="24"/>
        </w:rPr>
        <w:t xml:space="preserve"> </w:t>
      </w:r>
      <w:r w:rsidRPr="006F6C0A">
        <w:rPr>
          <w:rFonts w:cstheme="minorHAnsi"/>
          <w:sz w:val="24"/>
          <w:szCs w:val="24"/>
        </w:rPr>
        <w:t>byl rozpočet překročen o téměř</w:t>
      </w:r>
      <w:r w:rsidR="00D67015">
        <w:rPr>
          <w:rFonts w:cstheme="minorHAnsi"/>
          <w:sz w:val="24"/>
          <w:szCs w:val="24"/>
        </w:rPr>
        <w:t xml:space="preserve"> </w:t>
      </w:r>
      <w:r w:rsidRPr="006F6C0A">
        <w:rPr>
          <w:rFonts w:cstheme="minorHAnsi"/>
          <w:sz w:val="24"/>
          <w:szCs w:val="24"/>
        </w:rPr>
        <w:t>40</w:t>
      </w:r>
      <w:r w:rsidR="00D67015">
        <w:rPr>
          <w:rFonts w:cstheme="minorHAnsi"/>
          <w:sz w:val="24"/>
          <w:szCs w:val="24"/>
        </w:rPr>
        <w:t> </w:t>
      </w:r>
      <w:r w:rsidRPr="006F6C0A">
        <w:rPr>
          <w:rFonts w:cstheme="minorHAnsi"/>
          <w:sz w:val="24"/>
          <w:szCs w:val="24"/>
        </w:rPr>
        <w:t>%</w:t>
      </w:r>
      <w:r w:rsidR="00A642C0" w:rsidRPr="006F6C0A">
        <w:rPr>
          <w:rFonts w:cstheme="minorHAnsi"/>
          <w:sz w:val="24"/>
          <w:szCs w:val="24"/>
        </w:rPr>
        <w:t xml:space="preserve"> díky nasazení </w:t>
      </w:r>
      <w:r w:rsidRPr="006F6C0A">
        <w:rPr>
          <w:rFonts w:cstheme="minorHAnsi"/>
          <w:sz w:val="24"/>
          <w:szCs w:val="24"/>
        </w:rPr>
        <w:t>komplexní mediální kampaně.</w:t>
      </w:r>
    </w:p>
    <w:p w14:paraId="765FDA62" w14:textId="4EBB7BC5" w:rsidR="001B7C17" w:rsidRDefault="00387D80" w:rsidP="00D67015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F6C0A">
        <w:rPr>
          <w:rFonts w:cstheme="minorHAnsi"/>
          <w:sz w:val="24"/>
          <w:szCs w:val="24"/>
        </w:rPr>
        <w:t xml:space="preserve">MŠMT provádělo </w:t>
      </w:r>
      <w:r w:rsidR="004E6387">
        <w:rPr>
          <w:rFonts w:cstheme="minorHAnsi"/>
          <w:sz w:val="24"/>
          <w:szCs w:val="24"/>
        </w:rPr>
        <w:t xml:space="preserve">u OP VaVpI </w:t>
      </w:r>
      <w:r w:rsidRPr="006F6C0A">
        <w:rPr>
          <w:rFonts w:cstheme="minorHAnsi"/>
          <w:sz w:val="24"/>
          <w:szCs w:val="24"/>
        </w:rPr>
        <w:t>informační a propagační činnosti v</w:t>
      </w:r>
      <w:r w:rsidR="00A66684">
        <w:rPr>
          <w:rFonts w:cstheme="minorHAnsi"/>
          <w:sz w:val="24"/>
          <w:szCs w:val="24"/>
        </w:rPr>
        <w:t> </w:t>
      </w:r>
      <w:r w:rsidRPr="006F6C0A">
        <w:rPr>
          <w:rFonts w:cstheme="minorHAnsi"/>
          <w:sz w:val="24"/>
          <w:szCs w:val="24"/>
        </w:rPr>
        <w:t>souladu s</w:t>
      </w:r>
      <w:r w:rsidR="00A66684">
        <w:rPr>
          <w:rFonts w:cstheme="minorHAnsi"/>
          <w:sz w:val="24"/>
          <w:szCs w:val="24"/>
        </w:rPr>
        <w:t> </w:t>
      </w:r>
      <w:r w:rsidRPr="006F6C0A">
        <w:rPr>
          <w:rFonts w:cstheme="minorHAnsi"/>
          <w:sz w:val="24"/>
          <w:szCs w:val="24"/>
        </w:rPr>
        <w:t>nastaveným harmonogramem komunikace v</w:t>
      </w:r>
      <w:r w:rsidR="00A66684">
        <w:rPr>
          <w:rFonts w:cstheme="minorHAnsi"/>
          <w:sz w:val="24"/>
          <w:szCs w:val="24"/>
        </w:rPr>
        <w:t> </w:t>
      </w:r>
      <w:r w:rsidRPr="006F6C0A">
        <w:rPr>
          <w:rFonts w:cstheme="minorHAnsi"/>
          <w:sz w:val="24"/>
          <w:szCs w:val="24"/>
        </w:rPr>
        <w:t>KoP</w:t>
      </w:r>
      <w:r w:rsidR="00A642C0" w:rsidRPr="006F6C0A">
        <w:rPr>
          <w:rFonts w:cstheme="minorHAnsi"/>
          <w:sz w:val="24"/>
          <w:szCs w:val="24"/>
        </w:rPr>
        <w:t>, respektive R</w:t>
      </w:r>
      <w:r w:rsidR="00FC67EF">
        <w:rPr>
          <w:rFonts w:cstheme="minorHAnsi"/>
          <w:sz w:val="24"/>
          <w:szCs w:val="24"/>
        </w:rPr>
        <w:t>K</w:t>
      </w:r>
      <w:r w:rsidR="00A642C0" w:rsidRPr="006F6C0A">
        <w:rPr>
          <w:rFonts w:cstheme="minorHAnsi"/>
          <w:sz w:val="24"/>
          <w:szCs w:val="24"/>
        </w:rPr>
        <w:t>oP</w:t>
      </w:r>
      <w:r w:rsidR="004E6387">
        <w:rPr>
          <w:rFonts w:cstheme="minorHAnsi"/>
          <w:sz w:val="24"/>
          <w:szCs w:val="24"/>
        </w:rPr>
        <w:t>, s</w:t>
      </w:r>
      <w:r w:rsidR="00A66684">
        <w:rPr>
          <w:rFonts w:cstheme="minorHAnsi"/>
          <w:sz w:val="24"/>
          <w:szCs w:val="24"/>
        </w:rPr>
        <w:t> </w:t>
      </w:r>
      <w:r w:rsidRPr="006F6C0A">
        <w:rPr>
          <w:rFonts w:cstheme="minorHAnsi"/>
          <w:sz w:val="24"/>
          <w:szCs w:val="24"/>
        </w:rPr>
        <w:t>výjimkou roku 2013, kdy se nepodařilo uskutečnit původně plánovanou televizní kampaň</w:t>
      </w:r>
      <w:r w:rsidR="00A642C0" w:rsidRPr="006F6C0A">
        <w:rPr>
          <w:rStyle w:val="Znakapoznpodarou"/>
          <w:rFonts w:cstheme="minorHAnsi"/>
          <w:sz w:val="24"/>
          <w:szCs w:val="24"/>
        </w:rPr>
        <w:footnoteReference w:id="25"/>
      </w:r>
      <w:r w:rsidR="00046168">
        <w:rPr>
          <w:rFonts w:cstheme="minorHAnsi"/>
          <w:sz w:val="24"/>
          <w:szCs w:val="24"/>
        </w:rPr>
        <w:t>.</w:t>
      </w:r>
      <w:r w:rsidRPr="006F6C0A">
        <w:rPr>
          <w:rFonts w:cstheme="minorHAnsi"/>
          <w:sz w:val="24"/>
          <w:szCs w:val="24"/>
        </w:rPr>
        <w:t xml:space="preserve"> MŠMT zrealizovalo rozsáhlou mediální kampaň</w:t>
      </w:r>
      <w:r w:rsidR="00A642C0" w:rsidRPr="006F6C0A">
        <w:rPr>
          <w:rFonts w:cstheme="minorHAnsi"/>
          <w:sz w:val="24"/>
          <w:szCs w:val="24"/>
        </w:rPr>
        <w:t xml:space="preserve"> až v</w:t>
      </w:r>
      <w:r w:rsidR="00A66684">
        <w:rPr>
          <w:rFonts w:cstheme="minorHAnsi"/>
          <w:sz w:val="24"/>
          <w:szCs w:val="24"/>
        </w:rPr>
        <w:t> </w:t>
      </w:r>
      <w:r w:rsidR="00A642C0" w:rsidRPr="006F6C0A">
        <w:rPr>
          <w:rFonts w:cstheme="minorHAnsi"/>
          <w:sz w:val="24"/>
          <w:szCs w:val="24"/>
        </w:rPr>
        <w:t xml:space="preserve">roce 2014, resp. 2015. </w:t>
      </w:r>
    </w:p>
    <w:p w14:paraId="5649D870" w14:textId="77777777" w:rsidR="00BC72FF" w:rsidRPr="00BC72FF" w:rsidRDefault="00BC72FF" w:rsidP="00D67015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06A9E34" w14:textId="77777777" w:rsidR="00ED2AC1" w:rsidRDefault="00ED2AC1" w:rsidP="00D67015">
      <w:pPr>
        <w:spacing w:after="0" w:line="240" w:lineRule="auto"/>
        <w:rPr>
          <w:b/>
          <w:sz w:val="24"/>
          <w:szCs w:val="24"/>
        </w:rPr>
      </w:pPr>
    </w:p>
    <w:p w14:paraId="45441ECF" w14:textId="77777777" w:rsidR="00ED2AC1" w:rsidRDefault="00ED2AC1" w:rsidP="00D67015">
      <w:pPr>
        <w:spacing w:after="0" w:line="240" w:lineRule="auto"/>
        <w:rPr>
          <w:b/>
          <w:sz w:val="24"/>
          <w:szCs w:val="24"/>
        </w:rPr>
      </w:pPr>
    </w:p>
    <w:p w14:paraId="615ED705" w14:textId="77777777" w:rsidR="00ED2AC1" w:rsidRDefault="00ED2AC1" w:rsidP="00D67015">
      <w:pPr>
        <w:spacing w:after="0" w:line="240" w:lineRule="auto"/>
        <w:rPr>
          <w:b/>
          <w:sz w:val="24"/>
          <w:szCs w:val="24"/>
        </w:rPr>
      </w:pPr>
    </w:p>
    <w:p w14:paraId="3DC01576" w14:textId="77777777" w:rsidR="00ED2AC1" w:rsidRDefault="00ED2AC1" w:rsidP="00D67015">
      <w:pPr>
        <w:spacing w:after="0" w:line="240" w:lineRule="auto"/>
        <w:rPr>
          <w:b/>
          <w:sz w:val="24"/>
          <w:szCs w:val="24"/>
        </w:rPr>
      </w:pPr>
    </w:p>
    <w:p w14:paraId="6A011DD2" w14:textId="572EE97C" w:rsidR="001B7C17" w:rsidRDefault="00A66684" w:rsidP="00D67015">
      <w:pPr>
        <w:spacing w:after="0" w:line="240" w:lineRule="auto"/>
        <w:rPr>
          <w:b/>
          <w:sz w:val="24"/>
          <w:szCs w:val="24"/>
        </w:rPr>
      </w:pPr>
      <w:r w:rsidRPr="00D67015">
        <w:rPr>
          <w:b/>
          <w:sz w:val="24"/>
          <w:szCs w:val="24"/>
        </w:rPr>
        <w:lastRenderedPageBreak/>
        <w:t xml:space="preserve">3.2 </w:t>
      </w:r>
      <w:r w:rsidR="001B7C17" w:rsidRPr="00D67015">
        <w:rPr>
          <w:b/>
          <w:sz w:val="24"/>
          <w:szCs w:val="24"/>
        </w:rPr>
        <w:t>M</w:t>
      </w:r>
      <w:r w:rsidR="00131CB0" w:rsidRPr="00D67015">
        <w:rPr>
          <w:b/>
          <w:sz w:val="24"/>
          <w:szCs w:val="24"/>
        </w:rPr>
        <w:t>inisterstvo práce a sociálních věcí</w:t>
      </w:r>
    </w:p>
    <w:p w14:paraId="47E1F906" w14:textId="77777777" w:rsidR="00D67015" w:rsidRPr="00D67015" w:rsidRDefault="00D67015" w:rsidP="00D67015">
      <w:pPr>
        <w:spacing w:after="0" w:line="240" w:lineRule="auto"/>
        <w:rPr>
          <w:sz w:val="24"/>
          <w:szCs w:val="24"/>
        </w:rPr>
      </w:pPr>
    </w:p>
    <w:p w14:paraId="431B3F0F" w14:textId="09881873" w:rsidR="007A0B62" w:rsidRPr="006F6C0A" w:rsidRDefault="00A6646A" w:rsidP="00D67015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F6C0A">
        <w:rPr>
          <w:rFonts w:cstheme="minorHAnsi"/>
          <w:sz w:val="24"/>
          <w:szCs w:val="24"/>
        </w:rPr>
        <w:t>Výše vynaložených peněžních prostředků určených na publicitu není dle sdělení MPSV samostatně monitorována ani vyhodnocována ve vztahu k</w:t>
      </w:r>
      <w:r w:rsidR="00131CB0" w:rsidRPr="006F6C0A">
        <w:rPr>
          <w:rFonts w:cstheme="minorHAnsi"/>
          <w:sz w:val="24"/>
          <w:szCs w:val="24"/>
        </w:rPr>
        <w:t> </w:t>
      </w:r>
      <w:r w:rsidRPr="006F6C0A">
        <w:rPr>
          <w:rFonts w:cstheme="minorHAnsi"/>
          <w:sz w:val="24"/>
          <w:szCs w:val="24"/>
        </w:rPr>
        <w:t xml:space="preserve">alokaci rámcového </w:t>
      </w:r>
      <w:r w:rsidR="00046168">
        <w:rPr>
          <w:rFonts w:cstheme="minorHAnsi"/>
          <w:sz w:val="24"/>
          <w:szCs w:val="24"/>
        </w:rPr>
        <w:t>k</w:t>
      </w:r>
      <w:r w:rsidRPr="006F6C0A">
        <w:rPr>
          <w:rFonts w:cstheme="minorHAnsi"/>
          <w:sz w:val="24"/>
          <w:szCs w:val="24"/>
        </w:rPr>
        <w:t>omunikačního plánu OP LZZ.</w:t>
      </w:r>
    </w:p>
    <w:p w14:paraId="074F012A" w14:textId="77777777" w:rsidR="00A00FCE" w:rsidRPr="006F6C0A" w:rsidRDefault="00A00FCE" w:rsidP="00D67015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F6C0A">
        <w:rPr>
          <w:rFonts w:cstheme="minorHAnsi"/>
          <w:sz w:val="24"/>
          <w:szCs w:val="24"/>
        </w:rPr>
        <w:t xml:space="preserve">MPSV </w:t>
      </w:r>
      <w:r w:rsidR="00450EB3" w:rsidRPr="006F6C0A">
        <w:rPr>
          <w:rFonts w:cstheme="minorHAnsi"/>
          <w:sz w:val="24"/>
          <w:szCs w:val="24"/>
        </w:rPr>
        <w:t>vyhodnoc</w:t>
      </w:r>
      <w:r w:rsidR="001965F1" w:rsidRPr="006F6C0A">
        <w:rPr>
          <w:rFonts w:cstheme="minorHAnsi"/>
          <w:sz w:val="24"/>
          <w:szCs w:val="24"/>
        </w:rPr>
        <w:t xml:space="preserve">ovalo </w:t>
      </w:r>
      <w:r w:rsidRPr="006F6C0A">
        <w:rPr>
          <w:rFonts w:cstheme="minorHAnsi"/>
          <w:sz w:val="24"/>
          <w:szCs w:val="24"/>
        </w:rPr>
        <w:t>plnění specifických cílů</w:t>
      </w:r>
      <w:r w:rsidR="00450EB3" w:rsidRPr="006F6C0A">
        <w:rPr>
          <w:rFonts w:cstheme="minorHAnsi"/>
          <w:sz w:val="24"/>
          <w:szCs w:val="24"/>
        </w:rPr>
        <w:t xml:space="preserve">, </w:t>
      </w:r>
      <w:r w:rsidR="00BE39CB" w:rsidRPr="006F6C0A">
        <w:rPr>
          <w:rFonts w:cstheme="minorHAnsi"/>
          <w:sz w:val="24"/>
          <w:szCs w:val="24"/>
        </w:rPr>
        <w:t xml:space="preserve">ne vždy </w:t>
      </w:r>
      <w:r w:rsidR="00450EB3" w:rsidRPr="006F6C0A">
        <w:rPr>
          <w:rFonts w:cstheme="minorHAnsi"/>
          <w:sz w:val="24"/>
          <w:szCs w:val="24"/>
        </w:rPr>
        <w:t xml:space="preserve">však </w:t>
      </w:r>
      <w:r w:rsidRPr="006F6C0A">
        <w:rPr>
          <w:rFonts w:cstheme="minorHAnsi"/>
          <w:sz w:val="24"/>
          <w:szCs w:val="24"/>
        </w:rPr>
        <w:t>v</w:t>
      </w:r>
      <w:r w:rsidR="00131CB0" w:rsidRPr="006F6C0A">
        <w:rPr>
          <w:rFonts w:cstheme="minorHAnsi"/>
          <w:sz w:val="24"/>
          <w:szCs w:val="24"/>
        </w:rPr>
        <w:t> </w:t>
      </w:r>
      <w:r w:rsidRPr="006F6C0A">
        <w:rPr>
          <w:rFonts w:cstheme="minorHAnsi"/>
          <w:sz w:val="24"/>
          <w:szCs w:val="24"/>
        </w:rPr>
        <w:t>kontextu realizovaných informačních a propagačních opatření.</w:t>
      </w:r>
    </w:p>
    <w:p w14:paraId="7CEC4C25" w14:textId="451EAC20" w:rsidR="00A00FCE" w:rsidRPr="00430999" w:rsidRDefault="002326B0" w:rsidP="00D67015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30999">
        <w:rPr>
          <w:rFonts w:cstheme="minorHAnsi"/>
          <w:sz w:val="24"/>
          <w:szCs w:val="24"/>
        </w:rPr>
        <w:t xml:space="preserve">Struktura internetových stránek MPSV neposkytuje </w:t>
      </w:r>
      <w:r w:rsidR="00430999" w:rsidRPr="00430999">
        <w:rPr>
          <w:rFonts w:cstheme="minorHAnsi"/>
          <w:sz w:val="24"/>
          <w:szCs w:val="24"/>
        </w:rPr>
        <w:t xml:space="preserve">zřetelnou provázanost s informacemi o </w:t>
      </w:r>
      <w:r w:rsidR="00A00FCE" w:rsidRPr="00430999">
        <w:rPr>
          <w:rFonts w:cstheme="minorHAnsi"/>
          <w:sz w:val="24"/>
          <w:szCs w:val="24"/>
        </w:rPr>
        <w:t>poskytované podpoře a pomoci z</w:t>
      </w:r>
      <w:r w:rsidR="00131CB0" w:rsidRPr="00430999">
        <w:rPr>
          <w:rFonts w:cstheme="minorHAnsi"/>
          <w:sz w:val="24"/>
          <w:szCs w:val="24"/>
        </w:rPr>
        <w:t> </w:t>
      </w:r>
      <w:r w:rsidR="00A00FCE" w:rsidRPr="00430999">
        <w:rPr>
          <w:rFonts w:cstheme="minorHAnsi"/>
          <w:sz w:val="24"/>
          <w:szCs w:val="24"/>
        </w:rPr>
        <w:t>ESF, resp. OP LZZ</w:t>
      </w:r>
      <w:r w:rsidR="009B2844">
        <w:rPr>
          <w:rFonts w:cstheme="minorHAnsi"/>
          <w:sz w:val="24"/>
          <w:szCs w:val="24"/>
        </w:rPr>
        <w:t>,</w:t>
      </w:r>
      <w:r w:rsidR="00A00FCE" w:rsidRPr="00430999">
        <w:rPr>
          <w:rFonts w:cstheme="minorHAnsi"/>
          <w:sz w:val="24"/>
          <w:szCs w:val="24"/>
        </w:rPr>
        <w:t xml:space="preserve"> na </w:t>
      </w:r>
      <w:r w:rsidR="00430999" w:rsidRPr="00430999">
        <w:rPr>
          <w:rFonts w:cstheme="minorHAnsi"/>
          <w:sz w:val="24"/>
          <w:szCs w:val="24"/>
        </w:rPr>
        <w:t xml:space="preserve">dalších </w:t>
      </w:r>
      <w:r w:rsidR="00A00FCE" w:rsidRPr="00430999">
        <w:rPr>
          <w:rFonts w:cstheme="minorHAnsi"/>
          <w:sz w:val="24"/>
          <w:szCs w:val="24"/>
        </w:rPr>
        <w:t>dostupných web</w:t>
      </w:r>
      <w:r w:rsidR="00430999" w:rsidRPr="00430999">
        <w:rPr>
          <w:rFonts w:cstheme="minorHAnsi"/>
          <w:sz w:val="24"/>
          <w:szCs w:val="24"/>
        </w:rPr>
        <w:t xml:space="preserve">ech, jež se vztahují k opatřením </w:t>
      </w:r>
      <w:r w:rsidR="009B2844">
        <w:rPr>
          <w:rFonts w:cstheme="minorHAnsi"/>
          <w:sz w:val="24"/>
          <w:szCs w:val="24"/>
        </w:rPr>
        <w:t>a</w:t>
      </w:r>
      <w:r w:rsidR="00430999" w:rsidRPr="00430999">
        <w:rPr>
          <w:rFonts w:cstheme="minorHAnsi"/>
          <w:sz w:val="24"/>
          <w:szCs w:val="24"/>
        </w:rPr>
        <w:t>ktivní politiky zaměstnanosti</w:t>
      </w:r>
      <w:r w:rsidR="0054759F">
        <w:rPr>
          <w:rFonts w:cstheme="minorHAnsi"/>
          <w:sz w:val="24"/>
          <w:szCs w:val="24"/>
        </w:rPr>
        <w:t xml:space="preserve"> spolufinancovaným z ESF a </w:t>
      </w:r>
      <w:r w:rsidR="00725FA3">
        <w:rPr>
          <w:rFonts w:cstheme="minorHAnsi"/>
          <w:sz w:val="24"/>
          <w:szCs w:val="24"/>
        </w:rPr>
        <w:t>státního rozpočtu ČR</w:t>
      </w:r>
      <w:r w:rsidR="00430999" w:rsidRPr="00430999">
        <w:rPr>
          <w:rFonts w:cstheme="minorHAnsi"/>
          <w:sz w:val="24"/>
          <w:szCs w:val="24"/>
        </w:rPr>
        <w:t xml:space="preserve">. </w:t>
      </w:r>
    </w:p>
    <w:p w14:paraId="103227DF" w14:textId="77777777" w:rsidR="00A00FCE" w:rsidRPr="006F6C0A" w:rsidRDefault="00A00FCE" w:rsidP="00D67015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F6C0A">
        <w:rPr>
          <w:rFonts w:cstheme="minorHAnsi"/>
          <w:sz w:val="24"/>
          <w:szCs w:val="24"/>
        </w:rPr>
        <w:t>Poslední průzkum</w:t>
      </w:r>
      <w:r w:rsidR="004E6387">
        <w:rPr>
          <w:rFonts w:cstheme="minorHAnsi"/>
          <w:sz w:val="24"/>
          <w:szCs w:val="24"/>
        </w:rPr>
        <w:t xml:space="preserve"> zadaný MPSV</w:t>
      </w:r>
      <w:r w:rsidRPr="006F6C0A">
        <w:rPr>
          <w:rFonts w:cstheme="minorHAnsi"/>
          <w:sz w:val="24"/>
          <w:szCs w:val="24"/>
        </w:rPr>
        <w:t xml:space="preserve"> proběhl v</w:t>
      </w:r>
      <w:r w:rsidR="00131CB0" w:rsidRPr="006F6C0A">
        <w:rPr>
          <w:rFonts w:cstheme="minorHAnsi"/>
          <w:sz w:val="24"/>
          <w:szCs w:val="24"/>
        </w:rPr>
        <w:t> </w:t>
      </w:r>
      <w:r w:rsidRPr="006F6C0A">
        <w:rPr>
          <w:rFonts w:cstheme="minorHAnsi"/>
          <w:sz w:val="24"/>
          <w:szCs w:val="24"/>
        </w:rPr>
        <w:t>roce 2013</w:t>
      </w:r>
      <w:r w:rsidR="001965F1" w:rsidRPr="006F6C0A">
        <w:rPr>
          <w:rFonts w:cstheme="minorHAnsi"/>
          <w:sz w:val="24"/>
          <w:szCs w:val="24"/>
        </w:rPr>
        <w:t xml:space="preserve"> jen na cílové skupině </w:t>
      </w:r>
      <w:r w:rsidRPr="006F6C0A">
        <w:rPr>
          <w:rFonts w:cstheme="minorHAnsi"/>
          <w:i/>
          <w:sz w:val="24"/>
          <w:szCs w:val="24"/>
        </w:rPr>
        <w:t>široká veřejnost</w:t>
      </w:r>
      <w:r w:rsidRPr="006F6C0A">
        <w:rPr>
          <w:rFonts w:cstheme="minorHAnsi"/>
          <w:sz w:val="24"/>
          <w:szCs w:val="24"/>
        </w:rPr>
        <w:t>. Dopad dalších aktivit realizovaných v</w:t>
      </w:r>
      <w:r w:rsidR="00131CB0" w:rsidRPr="006F6C0A">
        <w:rPr>
          <w:rFonts w:cstheme="minorHAnsi"/>
          <w:sz w:val="24"/>
          <w:szCs w:val="24"/>
        </w:rPr>
        <w:t> </w:t>
      </w:r>
      <w:r w:rsidRPr="006F6C0A">
        <w:rPr>
          <w:rFonts w:cstheme="minorHAnsi"/>
          <w:sz w:val="24"/>
          <w:szCs w:val="24"/>
        </w:rPr>
        <w:t>roce 2015 na cílové skupiny již nebyl průzkumy ověřován.</w:t>
      </w:r>
    </w:p>
    <w:p w14:paraId="6F30565F" w14:textId="77A5E4E6" w:rsidR="001C57A6" w:rsidRPr="00725FA3" w:rsidRDefault="00725FA3" w:rsidP="00D67015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25FA3">
        <w:rPr>
          <w:rFonts w:cstheme="minorHAnsi"/>
          <w:sz w:val="24"/>
          <w:szCs w:val="24"/>
        </w:rPr>
        <w:t xml:space="preserve">MPSV provedlo v lednu a v březnu roku 2011 dvě téměř identická kvantitativní šetření na cílové skupině </w:t>
      </w:r>
      <w:r w:rsidRPr="00725FA3">
        <w:rPr>
          <w:rFonts w:cstheme="minorHAnsi"/>
          <w:i/>
          <w:sz w:val="24"/>
          <w:szCs w:val="24"/>
        </w:rPr>
        <w:t xml:space="preserve">široká veřejnost. </w:t>
      </w:r>
      <w:r w:rsidR="00BE39CB" w:rsidRPr="00725FA3">
        <w:rPr>
          <w:rFonts w:cstheme="minorHAnsi"/>
          <w:sz w:val="24"/>
          <w:szCs w:val="24"/>
        </w:rPr>
        <w:t>P</w:t>
      </w:r>
      <w:r w:rsidR="00A00FCE" w:rsidRPr="00725FA3">
        <w:rPr>
          <w:rFonts w:cstheme="minorHAnsi"/>
          <w:sz w:val="24"/>
          <w:szCs w:val="24"/>
        </w:rPr>
        <w:t xml:space="preserve">odstatná část dotazů </w:t>
      </w:r>
      <w:r w:rsidR="00413CC4" w:rsidRPr="00725FA3">
        <w:rPr>
          <w:rFonts w:cstheme="minorHAnsi"/>
          <w:sz w:val="24"/>
          <w:szCs w:val="24"/>
        </w:rPr>
        <w:t>zařazených</w:t>
      </w:r>
      <w:r w:rsidR="00D67015">
        <w:rPr>
          <w:rFonts w:cstheme="minorHAnsi"/>
          <w:sz w:val="24"/>
          <w:szCs w:val="24"/>
        </w:rPr>
        <w:t xml:space="preserve"> </w:t>
      </w:r>
      <w:r w:rsidR="003C749E" w:rsidRPr="00725FA3">
        <w:rPr>
          <w:rFonts w:cstheme="minorHAnsi"/>
          <w:sz w:val="24"/>
          <w:szCs w:val="24"/>
        </w:rPr>
        <w:t xml:space="preserve">do </w:t>
      </w:r>
      <w:r w:rsidR="009B2844">
        <w:rPr>
          <w:rFonts w:cstheme="minorHAnsi"/>
          <w:sz w:val="24"/>
          <w:szCs w:val="24"/>
        </w:rPr>
        <w:t>těchto</w:t>
      </w:r>
      <w:r w:rsidRPr="00725FA3">
        <w:rPr>
          <w:rFonts w:cstheme="minorHAnsi"/>
          <w:sz w:val="24"/>
          <w:szCs w:val="24"/>
        </w:rPr>
        <w:t xml:space="preserve"> </w:t>
      </w:r>
      <w:r w:rsidR="003C749E" w:rsidRPr="00725FA3">
        <w:rPr>
          <w:rFonts w:cstheme="minorHAnsi"/>
          <w:sz w:val="24"/>
          <w:szCs w:val="24"/>
        </w:rPr>
        <w:t>průzkum</w:t>
      </w:r>
      <w:r w:rsidR="009B2844">
        <w:rPr>
          <w:rFonts w:cstheme="minorHAnsi"/>
          <w:sz w:val="24"/>
          <w:szCs w:val="24"/>
        </w:rPr>
        <w:t>ů</w:t>
      </w:r>
      <w:r w:rsidR="003C749E" w:rsidRPr="00725FA3">
        <w:rPr>
          <w:rFonts w:cstheme="minorHAnsi"/>
          <w:sz w:val="24"/>
          <w:szCs w:val="24"/>
        </w:rPr>
        <w:t xml:space="preserve"> </w:t>
      </w:r>
      <w:r w:rsidRPr="00725FA3">
        <w:rPr>
          <w:rFonts w:cstheme="minorHAnsi"/>
          <w:sz w:val="24"/>
          <w:szCs w:val="24"/>
        </w:rPr>
        <w:t>byla</w:t>
      </w:r>
      <w:r w:rsidR="00A00FCE" w:rsidRPr="00725FA3">
        <w:rPr>
          <w:rFonts w:cstheme="minorHAnsi"/>
          <w:sz w:val="24"/>
          <w:szCs w:val="24"/>
        </w:rPr>
        <w:t xml:space="preserve"> zcela </w:t>
      </w:r>
      <w:r w:rsidRPr="00725FA3">
        <w:rPr>
          <w:rFonts w:cstheme="minorHAnsi"/>
          <w:sz w:val="24"/>
          <w:szCs w:val="24"/>
        </w:rPr>
        <w:t>shodná</w:t>
      </w:r>
      <w:r w:rsidR="00A00FCE" w:rsidRPr="00725FA3">
        <w:rPr>
          <w:rFonts w:cstheme="minorHAnsi"/>
          <w:sz w:val="24"/>
          <w:szCs w:val="24"/>
        </w:rPr>
        <w:t xml:space="preserve">; odlišně byla využita především metoda </w:t>
      </w:r>
      <w:r w:rsidRPr="00725FA3">
        <w:rPr>
          <w:rFonts w:cstheme="minorHAnsi"/>
          <w:sz w:val="24"/>
          <w:szCs w:val="24"/>
        </w:rPr>
        <w:t>telefonického nebo on-line dotazování. P</w:t>
      </w:r>
      <w:r w:rsidR="003C749E" w:rsidRPr="00725FA3">
        <w:rPr>
          <w:rFonts w:cstheme="minorHAnsi"/>
          <w:sz w:val="24"/>
          <w:szCs w:val="24"/>
        </w:rPr>
        <w:t>růzkum z </w:t>
      </w:r>
      <w:r w:rsidR="00A00FCE" w:rsidRPr="00725FA3">
        <w:rPr>
          <w:rFonts w:cstheme="minorHAnsi"/>
          <w:sz w:val="24"/>
          <w:szCs w:val="24"/>
        </w:rPr>
        <w:t>březn</w:t>
      </w:r>
      <w:r w:rsidR="003C749E" w:rsidRPr="00725FA3">
        <w:rPr>
          <w:rFonts w:cstheme="minorHAnsi"/>
          <w:sz w:val="24"/>
          <w:szCs w:val="24"/>
        </w:rPr>
        <w:t xml:space="preserve">a 2011 </w:t>
      </w:r>
      <w:r w:rsidR="00D67015">
        <w:rPr>
          <w:rFonts w:cstheme="minorHAnsi"/>
          <w:sz w:val="24"/>
          <w:szCs w:val="24"/>
        </w:rPr>
        <w:t>byl posléze doplněn o </w:t>
      </w:r>
      <w:r w:rsidR="00A00FCE" w:rsidRPr="00725FA3">
        <w:rPr>
          <w:rFonts w:cstheme="minorHAnsi"/>
          <w:sz w:val="24"/>
          <w:szCs w:val="24"/>
        </w:rPr>
        <w:t xml:space="preserve">dotazy ohledně vnímání nasazené </w:t>
      </w:r>
      <w:r w:rsidR="00392D38">
        <w:rPr>
          <w:rFonts w:cstheme="minorHAnsi"/>
          <w:sz w:val="24"/>
          <w:szCs w:val="24"/>
        </w:rPr>
        <w:t>televizní (dále též „</w:t>
      </w:r>
      <w:r w:rsidR="00A00FCE" w:rsidRPr="00725FA3">
        <w:rPr>
          <w:rFonts w:cstheme="minorHAnsi"/>
          <w:sz w:val="24"/>
          <w:szCs w:val="24"/>
        </w:rPr>
        <w:t>TV</w:t>
      </w:r>
      <w:r w:rsidR="00392D38">
        <w:rPr>
          <w:rFonts w:cstheme="minorHAnsi"/>
          <w:sz w:val="24"/>
          <w:szCs w:val="24"/>
        </w:rPr>
        <w:t>“)</w:t>
      </w:r>
      <w:r w:rsidR="00A00FCE" w:rsidRPr="00725FA3">
        <w:rPr>
          <w:rFonts w:cstheme="minorHAnsi"/>
          <w:sz w:val="24"/>
          <w:szCs w:val="24"/>
        </w:rPr>
        <w:t xml:space="preserve"> kampaně </w:t>
      </w:r>
      <w:r w:rsidR="00A00FCE" w:rsidRPr="000614E8">
        <w:rPr>
          <w:rFonts w:cstheme="minorHAnsi"/>
          <w:i/>
          <w:sz w:val="24"/>
          <w:szCs w:val="24"/>
        </w:rPr>
        <w:t>Cesta ze začarovaného kruhu</w:t>
      </w:r>
      <w:r w:rsidR="00A00FCE" w:rsidRPr="00725FA3">
        <w:rPr>
          <w:rFonts w:cstheme="minorHAnsi"/>
          <w:sz w:val="24"/>
          <w:szCs w:val="24"/>
        </w:rPr>
        <w:t>. Z</w:t>
      </w:r>
      <w:r w:rsidR="00131CB0" w:rsidRPr="00725FA3">
        <w:rPr>
          <w:rFonts w:cstheme="minorHAnsi"/>
          <w:sz w:val="24"/>
          <w:szCs w:val="24"/>
        </w:rPr>
        <w:t> </w:t>
      </w:r>
      <w:r w:rsidR="00A00FCE" w:rsidRPr="00725FA3">
        <w:rPr>
          <w:rFonts w:cstheme="minorHAnsi"/>
          <w:sz w:val="24"/>
          <w:szCs w:val="24"/>
        </w:rPr>
        <w:t>uvedených skutečností vyplývá, že šetření provedené v</w:t>
      </w:r>
      <w:r w:rsidR="00131CB0" w:rsidRPr="00725FA3">
        <w:rPr>
          <w:rFonts w:cstheme="minorHAnsi"/>
          <w:sz w:val="24"/>
          <w:szCs w:val="24"/>
        </w:rPr>
        <w:t> </w:t>
      </w:r>
      <w:r w:rsidR="00A00FCE" w:rsidRPr="00725FA3">
        <w:rPr>
          <w:rFonts w:cstheme="minorHAnsi"/>
          <w:sz w:val="24"/>
          <w:szCs w:val="24"/>
        </w:rPr>
        <w:t xml:space="preserve">lednu 2011 nebylo zcela nezbytné. Důslednější plánování aktivit ze strany </w:t>
      </w:r>
      <w:r w:rsidR="0054759F">
        <w:rPr>
          <w:rFonts w:cstheme="minorHAnsi"/>
          <w:sz w:val="24"/>
          <w:szCs w:val="24"/>
        </w:rPr>
        <w:t>řídicího orgánu OP </w:t>
      </w:r>
      <w:r w:rsidR="00A00FCE" w:rsidRPr="00725FA3">
        <w:rPr>
          <w:rFonts w:cstheme="minorHAnsi"/>
          <w:sz w:val="24"/>
          <w:szCs w:val="24"/>
        </w:rPr>
        <w:t xml:space="preserve">LZZ </w:t>
      </w:r>
      <w:r w:rsidR="004E75DB" w:rsidRPr="00725FA3">
        <w:rPr>
          <w:rFonts w:cstheme="minorHAnsi"/>
          <w:sz w:val="24"/>
          <w:szCs w:val="24"/>
        </w:rPr>
        <w:t xml:space="preserve">by </w:t>
      </w:r>
      <w:r w:rsidR="001D2BAE">
        <w:rPr>
          <w:rFonts w:cstheme="minorHAnsi"/>
          <w:sz w:val="24"/>
          <w:szCs w:val="24"/>
        </w:rPr>
        <w:t xml:space="preserve">zbytečnému </w:t>
      </w:r>
      <w:r w:rsidR="00A00FCE" w:rsidRPr="00725FA3">
        <w:rPr>
          <w:rFonts w:cstheme="minorHAnsi"/>
          <w:sz w:val="24"/>
          <w:szCs w:val="24"/>
        </w:rPr>
        <w:t xml:space="preserve">výdaji zabránilo. </w:t>
      </w:r>
    </w:p>
    <w:p w14:paraId="2C6E7BD7" w14:textId="77777777" w:rsidR="00725FA3" w:rsidRPr="00725FA3" w:rsidRDefault="00725FA3" w:rsidP="00D67015">
      <w:pPr>
        <w:pStyle w:val="Odstavecseseznamem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591AE5D" w14:textId="6324EC43" w:rsidR="00A47799" w:rsidRDefault="0072242D" w:rsidP="007224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2242D">
        <w:rPr>
          <w:rFonts w:cstheme="minorHAnsi"/>
          <w:sz w:val="24"/>
          <w:szCs w:val="24"/>
        </w:rPr>
        <w:t xml:space="preserve">Na webové stránce </w:t>
      </w:r>
      <w:r w:rsidRPr="000614E8">
        <w:rPr>
          <w:rFonts w:cstheme="minorHAnsi"/>
          <w:i/>
          <w:sz w:val="24"/>
          <w:szCs w:val="24"/>
        </w:rPr>
        <w:t>Evropského sociálního fondu</w:t>
      </w:r>
      <w:r w:rsidRPr="0072242D">
        <w:rPr>
          <w:rFonts w:cstheme="minorHAnsi"/>
          <w:sz w:val="24"/>
          <w:szCs w:val="24"/>
        </w:rPr>
        <w:t xml:space="preserve"> jsou uveřejněny mimo jiné evaluační zprávy komunikačních plánů OP LZZ a OP VK</w:t>
      </w:r>
      <w:r w:rsidRPr="00B83F2B">
        <w:rPr>
          <w:rStyle w:val="Znakapoznpodarou"/>
          <w:sz w:val="24"/>
          <w:szCs w:val="24"/>
        </w:rPr>
        <w:footnoteReference w:id="26"/>
      </w:r>
      <w:r w:rsidR="00B83F2B">
        <w:rPr>
          <w:rFonts w:cstheme="minorHAnsi"/>
          <w:sz w:val="24"/>
          <w:szCs w:val="24"/>
        </w:rPr>
        <w:t>.</w:t>
      </w:r>
      <w:r w:rsidRPr="0072242D">
        <w:rPr>
          <w:rFonts w:cstheme="minorHAnsi"/>
          <w:sz w:val="24"/>
          <w:szCs w:val="24"/>
        </w:rPr>
        <w:t xml:space="preserve"> Porovnáním </w:t>
      </w:r>
      <w:r w:rsidRPr="000614E8">
        <w:rPr>
          <w:rFonts w:cstheme="minorHAnsi"/>
          <w:i/>
          <w:sz w:val="24"/>
          <w:szCs w:val="24"/>
        </w:rPr>
        <w:t>Závěrečné zprávy Evaluace komunikačních a propagačních aktivit OP LZZ a realizace komunikačního plánu</w:t>
      </w:r>
      <w:r w:rsidRPr="0072242D">
        <w:rPr>
          <w:rFonts w:cstheme="minorHAnsi"/>
        </w:rPr>
        <w:t xml:space="preserve"> </w:t>
      </w:r>
      <w:r w:rsidRPr="0072242D">
        <w:rPr>
          <w:rFonts w:cstheme="minorHAnsi"/>
          <w:sz w:val="24"/>
          <w:szCs w:val="24"/>
        </w:rPr>
        <w:t xml:space="preserve">a přílohy </w:t>
      </w:r>
      <w:r w:rsidRPr="000614E8">
        <w:rPr>
          <w:rFonts w:cstheme="minorHAnsi"/>
          <w:i/>
          <w:sz w:val="24"/>
          <w:szCs w:val="24"/>
        </w:rPr>
        <w:t>Doporučení a návrhy pro realizaci komunikačních aktivit OP</w:t>
      </w:r>
      <w:r w:rsidR="00193A5A" w:rsidRPr="000614E8">
        <w:rPr>
          <w:rFonts w:cstheme="minorHAnsi"/>
          <w:i/>
          <w:sz w:val="24"/>
          <w:szCs w:val="24"/>
        </w:rPr>
        <w:t xml:space="preserve"> </w:t>
      </w:r>
      <w:r w:rsidRPr="000614E8">
        <w:rPr>
          <w:rFonts w:cstheme="minorHAnsi"/>
          <w:i/>
          <w:sz w:val="24"/>
          <w:szCs w:val="24"/>
        </w:rPr>
        <w:t>VK 2011–2015 k Závěrečné zprávě Evaluace komunikačního plánu OP</w:t>
      </w:r>
      <w:r w:rsidR="00193A5A" w:rsidRPr="000614E8">
        <w:rPr>
          <w:rFonts w:cstheme="minorHAnsi"/>
          <w:i/>
          <w:sz w:val="24"/>
          <w:szCs w:val="24"/>
        </w:rPr>
        <w:t xml:space="preserve"> </w:t>
      </w:r>
      <w:r w:rsidRPr="000614E8">
        <w:rPr>
          <w:rFonts w:cstheme="minorHAnsi"/>
          <w:i/>
          <w:sz w:val="24"/>
          <w:szCs w:val="24"/>
        </w:rPr>
        <w:t>VK</w:t>
      </w:r>
      <w:r w:rsidRPr="0072242D">
        <w:rPr>
          <w:rFonts w:cstheme="minorHAnsi"/>
          <w:sz w:val="24"/>
          <w:szCs w:val="24"/>
        </w:rPr>
        <w:t xml:space="preserve"> skupina kontrolujících NKÚ zjistila, že </w:t>
      </w:r>
      <w:r w:rsidRPr="00131AB7">
        <w:rPr>
          <w:rFonts w:cstheme="minorHAnsi"/>
          <w:sz w:val="24"/>
          <w:szCs w:val="24"/>
        </w:rPr>
        <w:t xml:space="preserve">oba </w:t>
      </w:r>
      <w:r w:rsidRPr="0072242D">
        <w:rPr>
          <w:rFonts w:cstheme="minorHAnsi"/>
          <w:b/>
          <w:sz w:val="24"/>
          <w:szCs w:val="24"/>
        </w:rPr>
        <w:t xml:space="preserve">dokumenty </w:t>
      </w:r>
      <w:r w:rsidR="00193A5A">
        <w:rPr>
          <w:rFonts w:cstheme="minorHAnsi"/>
          <w:b/>
          <w:sz w:val="24"/>
          <w:szCs w:val="24"/>
        </w:rPr>
        <w:t xml:space="preserve">zpracované různými evaluačními společnostmi </w:t>
      </w:r>
      <w:r w:rsidRPr="0072242D">
        <w:rPr>
          <w:rFonts w:cstheme="minorHAnsi"/>
          <w:b/>
          <w:sz w:val="24"/>
          <w:szCs w:val="24"/>
        </w:rPr>
        <w:t xml:space="preserve">obsahují některé identické texty, včetně shodné grafické </w:t>
      </w:r>
      <w:r w:rsidR="00B83F2B">
        <w:rPr>
          <w:rFonts w:cstheme="minorHAnsi"/>
          <w:b/>
          <w:sz w:val="24"/>
          <w:szCs w:val="24"/>
        </w:rPr>
        <w:t>podoby</w:t>
      </w:r>
      <w:r w:rsidRPr="0072242D">
        <w:rPr>
          <w:rFonts w:cstheme="minorHAnsi"/>
          <w:b/>
          <w:sz w:val="24"/>
          <w:szCs w:val="24"/>
        </w:rPr>
        <w:t xml:space="preserve"> </w:t>
      </w:r>
      <w:r w:rsidR="00A47799">
        <w:rPr>
          <w:rFonts w:cstheme="minorHAnsi"/>
          <w:b/>
          <w:sz w:val="24"/>
          <w:szCs w:val="24"/>
        </w:rPr>
        <w:t xml:space="preserve">obrázků a diagramů </w:t>
      </w:r>
      <w:r w:rsidRPr="0072242D">
        <w:rPr>
          <w:rFonts w:cstheme="minorHAnsi"/>
          <w:b/>
          <w:sz w:val="24"/>
          <w:szCs w:val="24"/>
        </w:rPr>
        <w:t xml:space="preserve">a formální </w:t>
      </w:r>
      <w:r w:rsidR="00B83F2B">
        <w:rPr>
          <w:rFonts w:cstheme="minorHAnsi"/>
          <w:b/>
          <w:sz w:val="24"/>
          <w:szCs w:val="24"/>
        </w:rPr>
        <w:t>úprav</w:t>
      </w:r>
      <w:r w:rsidR="00A47799">
        <w:rPr>
          <w:rFonts w:cstheme="minorHAnsi"/>
          <w:b/>
          <w:sz w:val="24"/>
          <w:szCs w:val="24"/>
        </w:rPr>
        <w:t>y textu</w:t>
      </w:r>
      <w:r w:rsidR="00B83F2B">
        <w:rPr>
          <w:rFonts w:cstheme="minorHAnsi"/>
          <w:b/>
          <w:sz w:val="24"/>
          <w:szCs w:val="24"/>
        </w:rPr>
        <w:t>.</w:t>
      </w:r>
      <w:r w:rsidRPr="0072242D">
        <w:rPr>
          <w:rFonts w:cstheme="minorHAnsi"/>
          <w:b/>
          <w:sz w:val="24"/>
          <w:szCs w:val="24"/>
        </w:rPr>
        <w:t xml:space="preserve"> </w:t>
      </w:r>
      <w:r w:rsidR="00131AB7">
        <w:rPr>
          <w:rFonts w:cstheme="minorHAnsi"/>
          <w:b/>
          <w:sz w:val="24"/>
          <w:szCs w:val="24"/>
        </w:rPr>
        <w:t xml:space="preserve">Z výše uvedeného vyplývá, že </w:t>
      </w:r>
      <w:r w:rsidRPr="0072242D">
        <w:rPr>
          <w:rFonts w:cstheme="minorHAnsi"/>
          <w:b/>
          <w:sz w:val="24"/>
          <w:szCs w:val="24"/>
        </w:rPr>
        <w:t xml:space="preserve">u části výstupů průběžných evaluací OP </w:t>
      </w:r>
      <w:r w:rsidR="00A348EF">
        <w:rPr>
          <w:rFonts w:cstheme="minorHAnsi"/>
          <w:b/>
          <w:sz w:val="24"/>
          <w:szCs w:val="24"/>
        </w:rPr>
        <w:t>LZZ</w:t>
      </w:r>
      <w:r w:rsidRPr="0072242D">
        <w:rPr>
          <w:rFonts w:cstheme="minorHAnsi"/>
          <w:b/>
          <w:sz w:val="24"/>
          <w:szCs w:val="24"/>
        </w:rPr>
        <w:t xml:space="preserve"> a OP </w:t>
      </w:r>
      <w:r w:rsidR="00A348EF">
        <w:rPr>
          <w:rFonts w:cstheme="minorHAnsi"/>
          <w:b/>
          <w:sz w:val="24"/>
          <w:szCs w:val="24"/>
        </w:rPr>
        <w:t>VK</w:t>
      </w:r>
      <w:r w:rsidRPr="0072242D">
        <w:rPr>
          <w:rFonts w:cstheme="minorHAnsi"/>
          <w:b/>
          <w:sz w:val="24"/>
          <w:szCs w:val="24"/>
        </w:rPr>
        <w:t xml:space="preserve"> došlo k dvojímu financování z veřejných prostředků. </w:t>
      </w:r>
    </w:p>
    <w:p w14:paraId="60DAF5A8" w14:textId="77777777" w:rsidR="00926502" w:rsidRDefault="00926502" w:rsidP="007224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B0F1FFF" w14:textId="77777777" w:rsidR="001B7C17" w:rsidRDefault="00131CB0" w:rsidP="00D67015">
      <w:p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D67015">
        <w:rPr>
          <w:rFonts w:ascii="Calibri" w:hAnsi="Calibri" w:cs="Calibri"/>
          <w:b/>
          <w:color w:val="000000" w:themeColor="text1"/>
          <w:sz w:val="24"/>
          <w:szCs w:val="24"/>
        </w:rPr>
        <w:t>3.</w:t>
      </w:r>
      <w:r w:rsidR="00A66684" w:rsidRPr="00D67015">
        <w:rPr>
          <w:rFonts w:ascii="Calibri" w:hAnsi="Calibri" w:cs="Calibri"/>
          <w:b/>
          <w:color w:val="000000" w:themeColor="text1"/>
          <w:sz w:val="24"/>
          <w:szCs w:val="24"/>
        </w:rPr>
        <w:t>3</w:t>
      </w:r>
      <w:r w:rsidRPr="00D67015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r w:rsidR="001B7C17" w:rsidRPr="00D67015">
        <w:rPr>
          <w:rFonts w:ascii="Calibri" w:hAnsi="Calibri" w:cs="Calibri"/>
          <w:b/>
          <w:color w:val="000000" w:themeColor="text1"/>
          <w:sz w:val="24"/>
          <w:szCs w:val="24"/>
        </w:rPr>
        <w:t>R</w:t>
      </w:r>
      <w:r w:rsidR="00B35322" w:rsidRPr="00D67015">
        <w:rPr>
          <w:rFonts w:ascii="Calibri" w:hAnsi="Calibri" w:cs="Calibri"/>
          <w:b/>
          <w:color w:val="000000" w:themeColor="text1"/>
          <w:sz w:val="24"/>
          <w:szCs w:val="24"/>
        </w:rPr>
        <w:t xml:space="preserve">egionální rada regionu soudržnosti </w:t>
      </w:r>
      <w:r w:rsidR="001B7C17" w:rsidRPr="00D67015">
        <w:rPr>
          <w:rFonts w:ascii="Calibri" w:hAnsi="Calibri" w:cs="Calibri"/>
          <w:b/>
          <w:color w:val="000000" w:themeColor="text1"/>
          <w:sz w:val="24"/>
          <w:szCs w:val="24"/>
        </w:rPr>
        <w:t>S</w:t>
      </w:r>
      <w:r w:rsidR="00B35322" w:rsidRPr="00D67015">
        <w:rPr>
          <w:rFonts w:ascii="Calibri" w:hAnsi="Calibri" w:cs="Calibri"/>
          <w:b/>
          <w:color w:val="000000" w:themeColor="text1"/>
          <w:sz w:val="24"/>
          <w:szCs w:val="24"/>
        </w:rPr>
        <w:t>třední Čechy</w:t>
      </w:r>
    </w:p>
    <w:p w14:paraId="1E4B5E0B" w14:textId="77777777" w:rsidR="00D67015" w:rsidRPr="00D67015" w:rsidRDefault="00D67015" w:rsidP="00D67015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4C638EC2" w14:textId="06507811" w:rsidR="00A408B2" w:rsidRPr="00F00FC1" w:rsidRDefault="00F00FC1" w:rsidP="00D67015">
      <w:pPr>
        <w:pStyle w:val="Odstavecseseznamem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RR SČ prováděla z</w:t>
      </w:r>
      <w:r w:rsidR="00A408B2" w:rsidRPr="00F00FC1">
        <w:rPr>
          <w:rFonts w:cstheme="minorHAnsi"/>
          <w:sz w:val="24"/>
          <w:szCs w:val="24"/>
        </w:rPr>
        <w:t xml:space="preserve"> pohledu nákladů na inzerci nejintenzivnější kampaň a propagaci úspěšných projektů v období únor </w:t>
      </w:r>
      <w:r w:rsidR="0054759F">
        <w:rPr>
          <w:rFonts w:cstheme="minorHAnsi"/>
          <w:sz w:val="24"/>
          <w:szCs w:val="24"/>
        </w:rPr>
        <w:t>až</w:t>
      </w:r>
      <w:r w:rsidR="00A408B2" w:rsidRPr="00F00FC1">
        <w:rPr>
          <w:rFonts w:cstheme="minorHAnsi"/>
          <w:sz w:val="24"/>
          <w:szCs w:val="24"/>
        </w:rPr>
        <w:t xml:space="preserve"> duben 2010</w:t>
      </w:r>
      <w:r w:rsidR="006B5726" w:rsidRPr="00F00FC1">
        <w:rPr>
          <w:rFonts w:cstheme="minorHAnsi"/>
          <w:sz w:val="24"/>
          <w:szCs w:val="24"/>
        </w:rPr>
        <w:t xml:space="preserve"> a prosinec 2010 </w:t>
      </w:r>
      <w:r w:rsidR="0054759F">
        <w:rPr>
          <w:rFonts w:cstheme="minorHAnsi"/>
          <w:sz w:val="24"/>
          <w:szCs w:val="24"/>
        </w:rPr>
        <w:t>až</w:t>
      </w:r>
      <w:r w:rsidR="006B5726" w:rsidRPr="00F00FC1">
        <w:rPr>
          <w:rFonts w:cstheme="minorHAnsi"/>
          <w:sz w:val="24"/>
          <w:szCs w:val="24"/>
        </w:rPr>
        <w:t xml:space="preserve"> březen 2011</w:t>
      </w:r>
      <w:r w:rsidR="00FA7032" w:rsidRPr="00F00FC1">
        <w:rPr>
          <w:rFonts w:cstheme="minorHAnsi"/>
          <w:sz w:val="24"/>
          <w:szCs w:val="24"/>
        </w:rPr>
        <w:t>.</w:t>
      </w:r>
      <w:r w:rsidR="006B5726" w:rsidRPr="00F00F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 w:rsidR="00A408B2" w:rsidRPr="00F00FC1">
        <w:rPr>
          <w:rFonts w:cstheme="minorHAnsi"/>
          <w:sz w:val="24"/>
          <w:szCs w:val="24"/>
        </w:rPr>
        <w:t>ej</w:t>
      </w:r>
      <w:r w:rsidR="006364D7" w:rsidRPr="00F00FC1">
        <w:rPr>
          <w:rFonts w:cstheme="minorHAnsi"/>
          <w:sz w:val="24"/>
          <w:szCs w:val="24"/>
        </w:rPr>
        <w:t xml:space="preserve">masivnější </w:t>
      </w:r>
      <w:r w:rsidR="00FA7032" w:rsidRPr="00F00FC1">
        <w:rPr>
          <w:rFonts w:cstheme="minorHAnsi"/>
          <w:sz w:val="24"/>
          <w:szCs w:val="24"/>
        </w:rPr>
        <w:t xml:space="preserve">mediální </w:t>
      </w:r>
      <w:r w:rsidR="00A408B2" w:rsidRPr="00F00FC1">
        <w:rPr>
          <w:rFonts w:cstheme="minorHAnsi"/>
          <w:sz w:val="24"/>
          <w:szCs w:val="24"/>
        </w:rPr>
        <w:t xml:space="preserve">kampaň </w:t>
      </w:r>
      <w:r w:rsidR="00FA7032" w:rsidRPr="00F00FC1">
        <w:rPr>
          <w:rFonts w:cstheme="minorHAnsi"/>
          <w:sz w:val="24"/>
          <w:szCs w:val="24"/>
        </w:rPr>
        <w:t xml:space="preserve">plánovaná </w:t>
      </w:r>
      <w:r w:rsidR="00A408B2" w:rsidRPr="00F00FC1">
        <w:rPr>
          <w:rFonts w:cstheme="minorHAnsi"/>
          <w:sz w:val="24"/>
          <w:szCs w:val="24"/>
        </w:rPr>
        <w:t>na druhou polovinu roku 2012</w:t>
      </w:r>
      <w:r w:rsidR="00FA7032" w:rsidRPr="00F00FC1">
        <w:rPr>
          <w:rFonts w:cstheme="minorHAnsi"/>
          <w:sz w:val="24"/>
          <w:szCs w:val="24"/>
        </w:rPr>
        <w:t xml:space="preserve"> </w:t>
      </w:r>
      <w:r w:rsidR="006364D7" w:rsidRPr="00F00FC1">
        <w:rPr>
          <w:rFonts w:cstheme="minorHAnsi"/>
          <w:sz w:val="24"/>
          <w:szCs w:val="24"/>
        </w:rPr>
        <w:t xml:space="preserve">byla </w:t>
      </w:r>
      <w:r w:rsidR="00A408B2" w:rsidRPr="00F00FC1">
        <w:rPr>
          <w:rFonts w:cstheme="minorHAnsi"/>
          <w:sz w:val="24"/>
          <w:szCs w:val="24"/>
        </w:rPr>
        <w:t xml:space="preserve">zrušena </w:t>
      </w:r>
      <w:r w:rsidR="006B5726" w:rsidRPr="00F00FC1">
        <w:rPr>
          <w:rFonts w:cstheme="minorHAnsi"/>
          <w:sz w:val="24"/>
          <w:szCs w:val="24"/>
        </w:rPr>
        <w:t>v důsledku medi</w:t>
      </w:r>
      <w:r w:rsidR="00B062F1" w:rsidRPr="00F00FC1">
        <w:rPr>
          <w:rFonts w:cstheme="minorHAnsi"/>
          <w:sz w:val="24"/>
          <w:szCs w:val="24"/>
        </w:rPr>
        <w:t xml:space="preserve">alizované </w:t>
      </w:r>
      <w:r w:rsidR="006B5726" w:rsidRPr="00F00FC1">
        <w:rPr>
          <w:rFonts w:cstheme="minorHAnsi"/>
          <w:sz w:val="24"/>
          <w:szCs w:val="24"/>
        </w:rPr>
        <w:t xml:space="preserve">kauzy </w:t>
      </w:r>
      <w:r w:rsidR="00B062F1" w:rsidRPr="00F00FC1">
        <w:rPr>
          <w:rFonts w:cstheme="minorHAnsi"/>
          <w:sz w:val="24"/>
          <w:szCs w:val="24"/>
        </w:rPr>
        <w:t xml:space="preserve">bývalého </w:t>
      </w:r>
      <w:r w:rsidR="006B5726" w:rsidRPr="00F00FC1">
        <w:rPr>
          <w:rFonts w:cstheme="minorHAnsi"/>
          <w:sz w:val="24"/>
          <w:szCs w:val="24"/>
        </w:rPr>
        <w:t>předsedy RR SČ.</w:t>
      </w:r>
      <w:r w:rsidR="00A408B2" w:rsidRPr="00F00FC1">
        <w:rPr>
          <w:rFonts w:cstheme="minorHAnsi"/>
          <w:sz w:val="24"/>
          <w:szCs w:val="24"/>
        </w:rPr>
        <w:t xml:space="preserve"> </w:t>
      </w:r>
    </w:p>
    <w:p w14:paraId="22687C40" w14:textId="77777777" w:rsidR="00A408B2" w:rsidRPr="00131CB0" w:rsidRDefault="00A408B2" w:rsidP="00D67015">
      <w:pPr>
        <w:pStyle w:val="Odstavecseseznamem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131CB0">
        <w:rPr>
          <w:rFonts w:cstheme="minorHAnsi"/>
          <w:sz w:val="24"/>
          <w:szCs w:val="24"/>
        </w:rPr>
        <w:t>RR</w:t>
      </w:r>
      <w:r w:rsidR="006B5726">
        <w:rPr>
          <w:rFonts w:cstheme="minorHAnsi"/>
          <w:sz w:val="24"/>
          <w:szCs w:val="24"/>
        </w:rPr>
        <w:t xml:space="preserve"> </w:t>
      </w:r>
      <w:r w:rsidRPr="00131CB0">
        <w:rPr>
          <w:rFonts w:cstheme="minorHAnsi"/>
          <w:sz w:val="24"/>
          <w:szCs w:val="24"/>
        </w:rPr>
        <w:t>SČ dosáhla cílových hodnot tří informačních priorit</w:t>
      </w:r>
      <w:r w:rsidR="006B5726">
        <w:rPr>
          <w:rFonts w:cstheme="minorHAnsi"/>
          <w:sz w:val="24"/>
          <w:szCs w:val="24"/>
        </w:rPr>
        <w:t xml:space="preserve"> </w:t>
      </w:r>
      <w:r w:rsidRPr="00131CB0">
        <w:rPr>
          <w:rFonts w:cstheme="minorHAnsi"/>
          <w:sz w:val="24"/>
          <w:szCs w:val="24"/>
        </w:rPr>
        <w:t>úsporným režimem</w:t>
      </w:r>
      <w:r w:rsidR="006B5726">
        <w:rPr>
          <w:rFonts w:cstheme="minorHAnsi"/>
          <w:sz w:val="24"/>
          <w:szCs w:val="24"/>
        </w:rPr>
        <w:t xml:space="preserve"> a j</w:t>
      </w:r>
      <w:r w:rsidRPr="00131CB0">
        <w:rPr>
          <w:rFonts w:cstheme="minorHAnsi"/>
          <w:sz w:val="24"/>
          <w:szCs w:val="24"/>
        </w:rPr>
        <w:t xml:space="preserve">iž v roce 2009 </w:t>
      </w:r>
      <w:r w:rsidR="0088093E">
        <w:rPr>
          <w:rFonts w:cstheme="minorHAnsi"/>
          <w:sz w:val="24"/>
          <w:szCs w:val="24"/>
        </w:rPr>
        <w:t xml:space="preserve">posoudila a označila </w:t>
      </w:r>
      <w:r w:rsidR="006B5726">
        <w:rPr>
          <w:rFonts w:cstheme="minorHAnsi"/>
          <w:sz w:val="24"/>
          <w:szCs w:val="24"/>
        </w:rPr>
        <w:t xml:space="preserve">původní </w:t>
      </w:r>
      <w:r w:rsidRPr="00131CB0">
        <w:rPr>
          <w:rFonts w:cstheme="minorHAnsi"/>
          <w:sz w:val="24"/>
          <w:szCs w:val="24"/>
        </w:rPr>
        <w:t>alokac</w:t>
      </w:r>
      <w:r w:rsidR="006B5726">
        <w:rPr>
          <w:rFonts w:cstheme="minorHAnsi"/>
          <w:sz w:val="24"/>
          <w:szCs w:val="24"/>
        </w:rPr>
        <w:t xml:space="preserve">i oblasti podpory </w:t>
      </w:r>
      <w:r w:rsidRPr="00131CB0">
        <w:rPr>
          <w:rFonts w:cstheme="minorHAnsi"/>
          <w:sz w:val="24"/>
          <w:szCs w:val="24"/>
        </w:rPr>
        <w:t>4.2 j</w:t>
      </w:r>
      <w:r w:rsidR="006B5726">
        <w:rPr>
          <w:rFonts w:cstheme="minorHAnsi"/>
          <w:sz w:val="24"/>
          <w:szCs w:val="24"/>
        </w:rPr>
        <w:t>ako</w:t>
      </w:r>
      <w:r w:rsidRPr="00131CB0">
        <w:rPr>
          <w:rFonts w:cstheme="minorHAnsi"/>
          <w:sz w:val="24"/>
          <w:szCs w:val="24"/>
        </w:rPr>
        <w:t xml:space="preserve"> </w:t>
      </w:r>
      <w:r w:rsidR="006B5726">
        <w:rPr>
          <w:rFonts w:cstheme="minorHAnsi"/>
          <w:sz w:val="24"/>
          <w:szCs w:val="24"/>
        </w:rPr>
        <w:t>„</w:t>
      </w:r>
      <w:r w:rsidRPr="00131CB0">
        <w:rPr>
          <w:rFonts w:cstheme="minorHAnsi"/>
          <w:sz w:val="24"/>
          <w:szCs w:val="24"/>
        </w:rPr>
        <w:t>předimenzovan</w:t>
      </w:r>
      <w:r w:rsidR="006B5726">
        <w:rPr>
          <w:rFonts w:cstheme="minorHAnsi"/>
          <w:sz w:val="24"/>
          <w:szCs w:val="24"/>
        </w:rPr>
        <w:t xml:space="preserve">ou“. </w:t>
      </w:r>
      <w:r w:rsidR="006B5726">
        <w:rPr>
          <w:rFonts w:cstheme="minorHAnsi"/>
          <w:sz w:val="24"/>
          <w:szCs w:val="24"/>
        </w:rPr>
        <w:lastRenderedPageBreak/>
        <w:t xml:space="preserve">Rozhodnutí RR SČ </w:t>
      </w:r>
      <w:r w:rsidR="0088093E">
        <w:rPr>
          <w:rFonts w:cstheme="minorHAnsi"/>
          <w:sz w:val="24"/>
          <w:szCs w:val="24"/>
        </w:rPr>
        <w:t xml:space="preserve">přesunout volné finanční zdroje do </w:t>
      </w:r>
      <w:r w:rsidR="008634E3">
        <w:rPr>
          <w:rFonts w:cstheme="minorHAnsi"/>
          <w:sz w:val="24"/>
          <w:szCs w:val="24"/>
        </w:rPr>
        <w:t xml:space="preserve">jiných aktivit technické pomoci </w:t>
      </w:r>
      <w:r w:rsidRPr="00131CB0">
        <w:rPr>
          <w:rFonts w:cstheme="minorHAnsi"/>
          <w:sz w:val="24"/>
          <w:szCs w:val="24"/>
        </w:rPr>
        <w:t>vyhodnotil</w:t>
      </w:r>
      <w:r w:rsidR="00FA7032">
        <w:rPr>
          <w:rFonts w:cstheme="minorHAnsi"/>
          <w:sz w:val="24"/>
          <w:szCs w:val="24"/>
        </w:rPr>
        <w:t xml:space="preserve"> NKÚ </w:t>
      </w:r>
      <w:r w:rsidR="008634E3">
        <w:rPr>
          <w:rFonts w:cstheme="minorHAnsi"/>
          <w:sz w:val="24"/>
          <w:szCs w:val="24"/>
        </w:rPr>
        <w:t>jako</w:t>
      </w:r>
      <w:r w:rsidRPr="00131CB0">
        <w:rPr>
          <w:rFonts w:cstheme="minorHAnsi"/>
          <w:sz w:val="24"/>
          <w:szCs w:val="24"/>
        </w:rPr>
        <w:t xml:space="preserve"> hospodárné a efektivní. </w:t>
      </w:r>
    </w:p>
    <w:p w14:paraId="1D735993" w14:textId="238CA1CF" w:rsidR="00A408B2" w:rsidRDefault="002F52F7" w:rsidP="00D67015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131CB0">
        <w:rPr>
          <w:rFonts w:cstheme="minorHAnsi"/>
          <w:sz w:val="24"/>
          <w:szCs w:val="24"/>
        </w:rPr>
        <w:t>RR</w:t>
      </w:r>
      <w:r w:rsidR="00745133">
        <w:rPr>
          <w:rFonts w:cstheme="minorHAnsi"/>
          <w:sz w:val="24"/>
          <w:szCs w:val="24"/>
        </w:rPr>
        <w:t xml:space="preserve"> </w:t>
      </w:r>
      <w:r w:rsidRPr="00131CB0">
        <w:rPr>
          <w:rFonts w:cstheme="minorHAnsi"/>
          <w:sz w:val="24"/>
          <w:szCs w:val="24"/>
        </w:rPr>
        <w:t xml:space="preserve">SČ neprovedla analýzu dopadu </w:t>
      </w:r>
      <w:r w:rsidR="00392D38" w:rsidRPr="00131CB0">
        <w:rPr>
          <w:rFonts w:cstheme="minorHAnsi"/>
          <w:sz w:val="24"/>
          <w:szCs w:val="24"/>
        </w:rPr>
        <w:t>vytvořených inzercí</w:t>
      </w:r>
      <w:r w:rsidR="00392D38">
        <w:rPr>
          <w:rFonts w:cstheme="minorHAnsi"/>
          <w:sz w:val="24"/>
          <w:szCs w:val="24"/>
        </w:rPr>
        <w:t xml:space="preserve"> na </w:t>
      </w:r>
      <w:r w:rsidR="00745133">
        <w:rPr>
          <w:rFonts w:cstheme="minorHAnsi"/>
          <w:sz w:val="24"/>
          <w:szCs w:val="24"/>
        </w:rPr>
        <w:t>„</w:t>
      </w:r>
      <w:r w:rsidRPr="00131CB0">
        <w:rPr>
          <w:rFonts w:cstheme="minorHAnsi"/>
          <w:sz w:val="24"/>
          <w:szCs w:val="24"/>
        </w:rPr>
        <w:t>zlepšení informovanosti cílových skupin</w:t>
      </w:r>
      <w:r w:rsidR="00745133">
        <w:rPr>
          <w:rFonts w:cstheme="minorHAnsi"/>
          <w:sz w:val="24"/>
          <w:szCs w:val="24"/>
        </w:rPr>
        <w:t>“</w:t>
      </w:r>
      <w:r w:rsidRPr="00131CB0">
        <w:rPr>
          <w:rFonts w:cstheme="minorHAnsi"/>
          <w:sz w:val="24"/>
          <w:szCs w:val="24"/>
        </w:rPr>
        <w:t>, přestože tvoř</w:t>
      </w:r>
      <w:r w:rsidR="00745133">
        <w:rPr>
          <w:rFonts w:cstheme="minorHAnsi"/>
          <w:sz w:val="24"/>
          <w:szCs w:val="24"/>
        </w:rPr>
        <w:t>ily</w:t>
      </w:r>
      <w:r w:rsidRPr="00131CB0">
        <w:rPr>
          <w:rFonts w:cstheme="minorHAnsi"/>
          <w:sz w:val="24"/>
          <w:szCs w:val="24"/>
        </w:rPr>
        <w:t xml:space="preserve"> téměř 50</w:t>
      </w:r>
      <w:r w:rsidR="00745133">
        <w:rPr>
          <w:rFonts w:cstheme="minorHAnsi"/>
          <w:sz w:val="24"/>
          <w:szCs w:val="24"/>
        </w:rPr>
        <w:t xml:space="preserve"> </w:t>
      </w:r>
      <w:r w:rsidRPr="00131CB0">
        <w:rPr>
          <w:rFonts w:cstheme="minorHAnsi"/>
          <w:sz w:val="24"/>
          <w:szCs w:val="24"/>
        </w:rPr>
        <w:t>% výdaj</w:t>
      </w:r>
      <w:r w:rsidR="00745133">
        <w:rPr>
          <w:rFonts w:cstheme="minorHAnsi"/>
          <w:sz w:val="24"/>
          <w:szCs w:val="24"/>
        </w:rPr>
        <w:t>ů na</w:t>
      </w:r>
      <w:r w:rsidRPr="00131CB0">
        <w:rPr>
          <w:rFonts w:cstheme="minorHAnsi"/>
          <w:sz w:val="24"/>
          <w:szCs w:val="24"/>
        </w:rPr>
        <w:t xml:space="preserve"> komunikačn</w:t>
      </w:r>
      <w:r w:rsidR="00745133">
        <w:rPr>
          <w:rFonts w:cstheme="minorHAnsi"/>
          <w:sz w:val="24"/>
          <w:szCs w:val="24"/>
        </w:rPr>
        <w:t>í</w:t>
      </w:r>
      <w:r w:rsidRPr="00131CB0">
        <w:rPr>
          <w:rFonts w:cstheme="minorHAnsi"/>
          <w:sz w:val="24"/>
          <w:szCs w:val="24"/>
        </w:rPr>
        <w:t xml:space="preserve"> aktivit</w:t>
      </w:r>
      <w:r w:rsidR="00745133">
        <w:rPr>
          <w:rFonts w:cstheme="minorHAnsi"/>
          <w:sz w:val="24"/>
          <w:szCs w:val="24"/>
        </w:rPr>
        <w:t xml:space="preserve">y. </w:t>
      </w:r>
      <w:r w:rsidRPr="00131CB0">
        <w:rPr>
          <w:rFonts w:cstheme="minorHAnsi"/>
          <w:sz w:val="24"/>
          <w:szCs w:val="24"/>
        </w:rPr>
        <w:t>RR</w:t>
      </w:r>
      <w:r w:rsidR="00745133">
        <w:rPr>
          <w:rFonts w:cstheme="minorHAnsi"/>
          <w:sz w:val="24"/>
          <w:szCs w:val="24"/>
        </w:rPr>
        <w:t xml:space="preserve"> </w:t>
      </w:r>
      <w:r w:rsidRPr="00131CB0">
        <w:rPr>
          <w:rFonts w:cstheme="minorHAnsi"/>
          <w:sz w:val="24"/>
          <w:szCs w:val="24"/>
        </w:rPr>
        <w:t xml:space="preserve">SČ </w:t>
      </w:r>
      <w:r w:rsidR="00825060">
        <w:rPr>
          <w:rFonts w:cstheme="minorHAnsi"/>
          <w:sz w:val="24"/>
          <w:szCs w:val="24"/>
        </w:rPr>
        <w:t xml:space="preserve">zdůvodnila své rozhodnutí existencí </w:t>
      </w:r>
      <w:r w:rsidRPr="00131CB0">
        <w:rPr>
          <w:rFonts w:cstheme="minorHAnsi"/>
          <w:sz w:val="24"/>
          <w:szCs w:val="24"/>
        </w:rPr>
        <w:t>dalších externích informačních m</w:t>
      </w:r>
      <w:r w:rsidR="00392D38">
        <w:rPr>
          <w:rFonts w:cstheme="minorHAnsi"/>
          <w:sz w:val="24"/>
          <w:szCs w:val="24"/>
        </w:rPr>
        <w:t>é</w:t>
      </w:r>
      <w:r w:rsidRPr="00131CB0">
        <w:rPr>
          <w:rFonts w:cstheme="minorHAnsi"/>
          <w:sz w:val="24"/>
          <w:szCs w:val="24"/>
        </w:rPr>
        <w:t>dií</w:t>
      </w:r>
      <w:r w:rsidR="00825060">
        <w:rPr>
          <w:rFonts w:cstheme="minorHAnsi"/>
          <w:sz w:val="24"/>
          <w:szCs w:val="24"/>
        </w:rPr>
        <w:t xml:space="preserve">, </w:t>
      </w:r>
      <w:r w:rsidR="00392D38">
        <w:rPr>
          <w:rFonts w:cstheme="minorHAnsi"/>
          <w:sz w:val="24"/>
          <w:szCs w:val="24"/>
        </w:rPr>
        <w:t>která mohla</w:t>
      </w:r>
      <w:r w:rsidR="00825060">
        <w:rPr>
          <w:rFonts w:cstheme="minorHAnsi"/>
          <w:sz w:val="24"/>
          <w:szCs w:val="24"/>
        </w:rPr>
        <w:t xml:space="preserve"> výsledky zkreslit</w:t>
      </w:r>
      <w:r w:rsidRPr="00131CB0">
        <w:rPr>
          <w:rFonts w:cstheme="minorHAnsi"/>
          <w:sz w:val="24"/>
          <w:szCs w:val="24"/>
        </w:rPr>
        <w:t>.</w:t>
      </w:r>
    </w:p>
    <w:p w14:paraId="6D402A53" w14:textId="65284ABA" w:rsidR="007E135C" w:rsidRDefault="002475F5" w:rsidP="00D67015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26502">
        <w:rPr>
          <w:rFonts w:cstheme="minorHAnsi"/>
          <w:sz w:val="24"/>
          <w:szCs w:val="24"/>
        </w:rPr>
        <w:t>RR SČ</w:t>
      </w:r>
      <w:r w:rsidR="007E135C" w:rsidRPr="00926502">
        <w:rPr>
          <w:rFonts w:cstheme="minorHAnsi"/>
          <w:sz w:val="24"/>
          <w:szCs w:val="24"/>
        </w:rPr>
        <w:t xml:space="preserve"> se nedržela striktně harmonogramu a rozpoč</w:t>
      </w:r>
      <w:r w:rsidR="006D433E">
        <w:rPr>
          <w:rFonts w:cstheme="minorHAnsi"/>
          <w:sz w:val="24"/>
          <w:szCs w:val="24"/>
        </w:rPr>
        <w:t>tu, které byly nastaveny v </w:t>
      </w:r>
      <w:r w:rsidR="007E135C" w:rsidRPr="00926502">
        <w:rPr>
          <w:rFonts w:cstheme="minorHAnsi"/>
          <w:sz w:val="24"/>
          <w:szCs w:val="24"/>
        </w:rPr>
        <w:t xml:space="preserve">jednotlivých RKoP, ale řídila své aktivity </w:t>
      </w:r>
      <w:r w:rsidR="00392D38">
        <w:rPr>
          <w:rFonts w:cstheme="minorHAnsi"/>
          <w:sz w:val="24"/>
          <w:szCs w:val="24"/>
        </w:rPr>
        <w:t>podle aktuálních potřeb</w:t>
      </w:r>
      <w:r w:rsidR="007E135C" w:rsidRPr="00926502">
        <w:rPr>
          <w:rFonts w:cstheme="minorHAnsi"/>
          <w:sz w:val="24"/>
          <w:szCs w:val="24"/>
        </w:rPr>
        <w:t>. Přes nedostatky v oblasti plánování vyhodn</w:t>
      </w:r>
      <w:r w:rsidR="004E75DB" w:rsidRPr="00926502">
        <w:rPr>
          <w:rFonts w:cstheme="minorHAnsi"/>
          <w:sz w:val="24"/>
          <w:szCs w:val="24"/>
        </w:rPr>
        <w:t xml:space="preserve">otil </w:t>
      </w:r>
      <w:r w:rsidR="007E135C" w:rsidRPr="00926502">
        <w:rPr>
          <w:rFonts w:cstheme="minorHAnsi"/>
          <w:sz w:val="24"/>
          <w:szCs w:val="24"/>
        </w:rPr>
        <w:t>NKÚ řízení informačních aktivit RR SČ jako efektivní, neboť</w:t>
      </w:r>
      <w:r w:rsidR="00D67015">
        <w:rPr>
          <w:rFonts w:cstheme="minorHAnsi"/>
          <w:sz w:val="24"/>
          <w:szCs w:val="24"/>
        </w:rPr>
        <w:t xml:space="preserve"> RR </w:t>
      </w:r>
      <w:r w:rsidR="007E135C" w:rsidRPr="00926502">
        <w:rPr>
          <w:rFonts w:cstheme="minorHAnsi"/>
          <w:sz w:val="24"/>
          <w:szCs w:val="24"/>
        </w:rPr>
        <w:t>SČ řešila v průběhu realizace publicity konkrétní potřeby zařa</w:t>
      </w:r>
      <w:r w:rsidR="00922C95">
        <w:rPr>
          <w:rFonts w:cstheme="minorHAnsi"/>
          <w:sz w:val="24"/>
          <w:szCs w:val="24"/>
        </w:rPr>
        <w:t xml:space="preserve">dit </w:t>
      </w:r>
      <w:r w:rsidR="007E135C" w:rsidRPr="00926502">
        <w:rPr>
          <w:rFonts w:cstheme="minorHAnsi"/>
          <w:sz w:val="24"/>
          <w:szCs w:val="24"/>
        </w:rPr>
        <w:t>informačn</w:t>
      </w:r>
      <w:r w:rsidR="00922C95">
        <w:rPr>
          <w:rFonts w:cstheme="minorHAnsi"/>
          <w:sz w:val="24"/>
          <w:szCs w:val="24"/>
        </w:rPr>
        <w:t xml:space="preserve">í </w:t>
      </w:r>
      <w:r w:rsidR="007E135C" w:rsidRPr="00926502">
        <w:rPr>
          <w:rFonts w:cstheme="minorHAnsi"/>
          <w:sz w:val="24"/>
          <w:szCs w:val="24"/>
        </w:rPr>
        <w:t>nebo propagační aktivit</w:t>
      </w:r>
      <w:r w:rsidR="00922C95">
        <w:rPr>
          <w:rFonts w:cstheme="minorHAnsi"/>
          <w:sz w:val="24"/>
          <w:szCs w:val="24"/>
        </w:rPr>
        <w:t>y</w:t>
      </w:r>
      <w:r w:rsidR="007E135C" w:rsidRPr="00926502">
        <w:rPr>
          <w:rFonts w:cstheme="minorHAnsi"/>
          <w:sz w:val="24"/>
          <w:szCs w:val="24"/>
        </w:rPr>
        <w:t xml:space="preserve"> </w:t>
      </w:r>
      <w:r w:rsidR="00922C95">
        <w:rPr>
          <w:rFonts w:cstheme="minorHAnsi"/>
          <w:sz w:val="24"/>
          <w:szCs w:val="24"/>
        </w:rPr>
        <w:t xml:space="preserve">například v návaznosti na </w:t>
      </w:r>
      <w:r w:rsidR="007E135C" w:rsidRPr="00926502">
        <w:rPr>
          <w:rFonts w:cstheme="minorHAnsi"/>
          <w:sz w:val="24"/>
          <w:szCs w:val="24"/>
        </w:rPr>
        <w:t>vypsan</w:t>
      </w:r>
      <w:r w:rsidR="00922C95">
        <w:rPr>
          <w:rFonts w:cstheme="minorHAnsi"/>
          <w:sz w:val="24"/>
          <w:szCs w:val="24"/>
        </w:rPr>
        <w:t xml:space="preserve">é </w:t>
      </w:r>
      <w:r w:rsidR="007E135C" w:rsidRPr="00926502">
        <w:rPr>
          <w:rFonts w:cstheme="minorHAnsi"/>
          <w:sz w:val="24"/>
          <w:szCs w:val="24"/>
        </w:rPr>
        <w:t>výzv</w:t>
      </w:r>
      <w:r w:rsidR="00922C95">
        <w:rPr>
          <w:rFonts w:cstheme="minorHAnsi"/>
          <w:sz w:val="24"/>
          <w:szCs w:val="24"/>
        </w:rPr>
        <w:t>y</w:t>
      </w:r>
      <w:r w:rsidR="007E135C" w:rsidRPr="00926502">
        <w:rPr>
          <w:rFonts w:cstheme="minorHAnsi"/>
          <w:sz w:val="24"/>
          <w:szCs w:val="24"/>
        </w:rPr>
        <w:t xml:space="preserve">. RR SČ </w:t>
      </w:r>
      <w:r w:rsidRPr="00926502">
        <w:rPr>
          <w:rFonts w:cstheme="minorHAnsi"/>
          <w:sz w:val="24"/>
          <w:szCs w:val="24"/>
        </w:rPr>
        <w:t>v reakci na aktuální s</w:t>
      </w:r>
      <w:r w:rsidR="0088093E">
        <w:rPr>
          <w:rFonts w:cstheme="minorHAnsi"/>
          <w:sz w:val="24"/>
          <w:szCs w:val="24"/>
        </w:rPr>
        <w:t xml:space="preserve">tav </w:t>
      </w:r>
      <w:r w:rsidR="007E135C" w:rsidRPr="00926502">
        <w:rPr>
          <w:rFonts w:cstheme="minorHAnsi"/>
          <w:sz w:val="24"/>
          <w:szCs w:val="24"/>
        </w:rPr>
        <w:t xml:space="preserve">provedla některá </w:t>
      </w:r>
      <w:r w:rsidR="00BD7928">
        <w:rPr>
          <w:rFonts w:cstheme="minorHAnsi"/>
          <w:sz w:val="24"/>
          <w:szCs w:val="24"/>
        </w:rPr>
        <w:t xml:space="preserve">přiměřená </w:t>
      </w:r>
      <w:r w:rsidR="007E135C" w:rsidRPr="00926502">
        <w:rPr>
          <w:rFonts w:cstheme="minorHAnsi"/>
          <w:sz w:val="24"/>
          <w:szCs w:val="24"/>
        </w:rPr>
        <w:t xml:space="preserve">opatření. </w:t>
      </w:r>
    </w:p>
    <w:p w14:paraId="51A4AEC2" w14:textId="77777777" w:rsidR="00926502" w:rsidRPr="00926502" w:rsidRDefault="00926502" w:rsidP="00D67015">
      <w:pPr>
        <w:pStyle w:val="Odstavecseseznamem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tbl>
      <w:tblPr>
        <w:tblStyle w:val="Svtltabulkasmkou1zvraznn1"/>
        <w:tblW w:w="0" w:type="auto"/>
        <w:tblInd w:w="108" w:type="dxa"/>
        <w:tblBorders>
          <w:top w:val="single" w:sz="18" w:space="0" w:color="BDD6EE" w:themeColor="accent1" w:themeTint="66"/>
          <w:left w:val="single" w:sz="18" w:space="0" w:color="BDD6EE" w:themeColor="accent1" w:themeTint="66"/>
          <w:bottom w:val="single" w:sz="12" w:space="0" w:color="9CC2E5" w:themeColor="accent1" w:themeTint="99"/>
          <w:right w:val="single" w:sz="18" w:space="0" w:color="BDD6EE" w:themeColor="accent1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E135C" w:rsidRPr="007E135C" w14:paraId="3385CA71" w14:textId="77777777" w:rsidTr="008B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35D12504" w14:textId="71FE0C90" w:rsidR="00A419FE" w:rsidRPr="007E135C" w:rsidRDefault="007E135C" w:rsidP="00392D38">
            <w:p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  <w:r w:rsidRPr="007E135C">
              <w:rPr>
                <w:rFonts w:cstheme="minorHAnsi"/>
                <w:sz w:val="20"/>
                <w:szCs w:val="20"/>
              </w:rPr>
              <w:t xml:space="preserve">Jako příklad dobré praxe lze uvést aktivitu řídicího orgánu </w:t>
            </w:r>
            <w:r w:rsidR="00127B68">
              <w:rPr>
                <w:rFonts w:cstheme="minorHAnsi"/>
                <w:sz w:val="20"/>
                <w:szCs w:val="20"/>
              </w:rPr>
              <w:t xml:space="preserve">na podporu </w:t>
            </w:r>
            <w:r w:rsidR="00FA4104">
              <w:rPr>
                <w:rFonts w:cstheme="minorHAnsi"/>
                <w:sz w:val="20"/>
                <w:szCs w:val="20"/>
              </w:rPr>
              <w:t xml:space="preserve">čerpání ROP SČ, </w:t>
            </w:r>
            <w:r w:rsidR="00127B68">
              <w:rPr>
                <w:rFonts w:cstheme="minorHAnsi"/>
                <w:sz w:val="20"/>
                <w:szCs w:val="20"/>
              </w:rPr>
              <w:t>který f</w:t>
            </w:r>
            <w:r w:rsidRPr="007E135C">
              <w:rPr>
                <w:rFonts w:cstheme="minorHAnsi"/>
                <w:sz w:val="20"/>
                <w:szCs w:val="20"/>
              </w:rPr>
              <w:t xml:space="preserve">lexibilně reagoval na </w:t>
            </w:r>
            <w:r w:rsidR="00FA4104">
              <w:rPr>
                <w:rFonts w:cstheme="minorHAnsi"/>
                <w:sz w:val="20"/>
                <w:szCs w:val="20"/>
              </w:rPr>
              <w:t xml:space="preserve">nízkou míru čerpání dotací u malých obcí. Řídicí orgán </w:t>
            </w:r>
            <w:r w:rsidR="00F9361E">
              <w:rPr>
                <w:rFonts w:cstheme="minorHAnsi"/>
                <w:sz w:val="20"/>
                <w:szCs w:val="20"/>
              </w:rPr>
              <w:t xml:space="preserve">ROP SČ </w:t>
            </w:r>
            <w:r w:rsidRPr="007E135C">
              <w:rPr>
                <w:rFonts w:cstheme="minorHAnsi"/>
                <w:sz w:val="20"/>
                <w:szCs w:val="20"/>
              </w:rPr>
              <w:t xml:space="preserve">provedl vlastní analýzu tzv. </w:t>
            </w:r>
            <w:r w:rsidR="00D205EE">
              <w:rPr>
                <w:rFonts w:cstheme="minorHAnsi"/>
                <w:sz w:val="20"/>
                <w:szCs w:val="20"/>
              </w:rPr>
              <w:t>b</w:t>
            </w:r>
            <w:r w:rsidRPr="007E135C">
              <w:rPr>
                <w:rFonts w:cstheme="minorHAnsi"/>
                <w:sz w:val="20"/>
                <w:szCs w:val="20"/>
              </w:rPr>
              <w:t>ílých míst, tj. oblastí regionu Střední Čech</w:t>
            </w:r>
            <w:r w:rsidR="00A348EF">
              <w:rPr>
                <w:rFonts w:cstheme="minorHAnsi"/>
                <w:sz w:val="20"/>
                <w:szCs w:val="20"/>
              </w:rPr>
              <w:t>y</w:t>
            </w:r>
            <w:r w:rsidRPr="007E135C">
              <w:rPr>
                <w:rFonts w:cstheme="minorHAnsi"/>
                <w:sz w:val="20"/>
                <w:szCs w:val="20"/>
              </w:rPr>
              <w:t>, které vykazovaly nejnižší aktivitu v žádostech o dotaci</w:t>
            </w:r>
            <w:r w:rsidR="0003623E">
              <w:rPr>
                <w:rFonts w:cstheme="minorHAnsi"/>
                <w:sz w:val="20"/>
                <w:szCs w:val="20"/>
              </w:rPr>
              <w:t>. O</w:t>
            </w:r>
            <w:r w:rsidR="004262B3">
              <w:rPr>
                <w:rFonts w:cstheme="minorHAnsi"/>
                <w:sz w:val="20"/>
                <w:szCs w:val="20"/>
              </w:rPr>
              <w:t xml:space="preserve">slovil </w:t>
            </w:r>
            <w:r w:rsidR="00FA4104">
              <w:rPr>
                <w:rFonts w:cstheme="minorHAnsi"/>
                <w:sz w:val="20"/>
                <w:szCs w:val="20"/>
              </w:rPr>
              <w:t xml:space="preserve">280 vytipovaných obcí z kategorie 500 </w:t>
            </w:r>
            <w:r w:rsidR="00392D38">
              <w:rPr>
                <w:rFonts w:cstheme="minorHAnsi"/>
                <w:sz w:val="20"/>
                <w:szCs w:val="20"/>
              </w:rPr>
              <w:t>až</w:t>
            </w:r>
            <w:r w:rsidR="00FA4104">
              <w:rPr>
                <w:rFonts w:cstheme="minorHAnsi"/>
                <w:sz w:val="20"/>
                <w:szCs w:val="20"/>
              </w:rPr>
              <w:t xml:space="preserve"> 5 000 obyvatel jako potenciální</w:t>
            </w:r>
            <w:r w:rsidR="004262B3">
              <w:rPr>
                <w:rFonts w:cstheme="minorHAnsi"/>
                <w:sz w:val="20"/>
                <w:szCs w:val="20"/>
              </w:rPr>
              <w:t xml:space="preserve"> </w:t>
            </w:r>
            <w:r w:rsidR="00FA4104">
              <w:rPr>
                <w:rFonts w:cstheme="minorHAnsi"/>
                <w:sz w:val="20"/>
                <w:szCs w:val="20"/>
              </w:rPr>
              <w:t>příjemc</w:t>
            </w:r>
            <w:r w:rsidR="00A348EF">
              <w:rPr>
                <w:rFonts w:cstheme="minorHAnsi"/>
                <w:sz w:val="20"/>
                <w:szCs w:val="20"/>
              </w:rPr>
              <w:t>e</w:t>
            </w:r>
            <w:r w:rsidR="00FA4104">
              <w:rPr>
                <w:rFonts w:cstheme="minorHAnsi"/>
                <w:sz w:val="20"/>
                <w:szCs w:val="20"/>
              </w:rPr>
              <w:t xml:space="preserve"> dotace</w:t>
            </w:r>
            <w:r w:rsidR="00392D38">
              <w:rPr>
                <w:rFonts w:cstheme="minorHAnsi"/>
                <w:sz w:val="20"/>
                <w:szCs w:val="20"/>
              </w:rPr>
              <w:t>, aby zvýšil</w:t>
            </w:r>
            <w:r w:rsidR="001637FD">
              <w:rPr>
                <w:rFonts w:cstheme="minorHAnsi"/>
                <w:sz w:val="20"/>
                <w:szCs w:val="20"/>
              </w:rPr>
              <w:t xml:space="preserve"> jejich informovanost o možnostech čerpání dotace z ROP SČ</w:t>
            </w:r>
            <w:r w:rsidR="004262B3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</w:tbl>
    <w:p w14:paraId="2EB42F89" w14:textId="77777777" w:rsidR="007E135C" w:rsidRDefault="007E135C" w:rsidP="007E135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190767B" w14:textId="18165681" w:rsidR="00825060" w:rsidRPr="006F6C0A" w:rsidRDefault="002F52F7" w:rsidP="000B6DDB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F6C0A">
        <w:rPr>
          <w:rFonts w:cstheme="minorHAnsi"/>
          <w:sz w:val="24"/>
          <w:szCs w:val="24"/>
        </w:rPr>
        <w:t>Ř</w:t>
      </w:r>
      <w:r w:rsidR="00392D38">
        <w:rPr>
          <w:rFonts w:cstheme="minorHAnsi"/>
          <w:sz w:val="24"/>
          <w:szCs w:val="24"/>
        </w:rPr>
        <w:t>ídicí orgán</w:t>
      </w:r>
      <w:r w:rsidRPr="006F6C0A">
        <w:rPr>
          <w:rFonts w:cstheme="minorHAnsi"/>
          <w:sz w:val="24"/>
          <w:szCs w:val="24"/>
        </w:rPr>
        <w:t xml:space="preserve"> </w:t>
      </w:r>
      <w:r w:rsidR="002475F5" w:rsidRPr="006F6C0A">
        <w:rPr>
          <w:rFonts w:cstheme="minorHAnsi"/>
          <w:sz w:val="24"/>
          <w:szCs w:val="24"/>
        </w:rPr>
        <w:t xml:space="preserve">ROP SČ </w:t>
      </w:r>
      <w:r w:rsidRPr="006F6C0A">
        <w:rPr>
          <w:rFonts w:cstheme="minorHAnsi"/>
          <w:sz w:val="24"/>
          <w:szCs w:val="24"/>
        </w:rPr>
        <w:t>průběžně vyhodnocoval dopad a účin</w:t>
      </w:r>
      <w:r w:rsidR="006D433E">
        <w:rPr>
          <w:rFonts w:cstheme="minorHAnsi"/>
          <w:sz w:val="24"/>
          <w:szCs w:val="24"/>
        </w:rPr>
        <w:t>nost provedených informačních a </w:t>
      </w:r>
      <w:r w:rsidR="0080074B">
        <w:rPr>
          <w:rFonts w:cstheme="minorHAnsi"/>
          <w:sz w:val="24"/>
          <w:szCs w:val="24"/>
        </w:rPr>
        <w:t xml:space="preserve">propagačních </w:t>
      </w:r>
      <w:r w:rsidRPr="006F6C0A">
        <w:rPr>
          <w:rFonts w:cstheme="minorHAnsi"/>
          <w:sz w:val="24"/>
          <w:szCs w:val="24"/>
        </w:rPr>
        <w:t xml:space="preserve">aktivit ve vztahu </w:t>
      </w:r>
      <w:r w:rsidR="00392D38">
        <w:rPr>
          <w:rFonts w:cstheme="minorHAnsi"/>
          <w:sz w:val="24"/>
          <w:szCs w:val="24"/>
        </w:rPr>
        <w:t>ke zlepšení</w:t>
      </w:r>
      <w:r w:rsidRPr="006F6C0A">
        <w:rPr>
          <w:rFonts w:cstheme="minorHAnsi"/>
          <w:sz w:val="24"/>
          <w:szCs w:val="24"/>
        </w:rPr>
        <w:t xml:space="preserve"> informovanosti cílových skupin. Toto vyhodnocení </w:t>
      </w:r>
      <w:r w:rsidR="00745133" w:rsidRPr="006F6C0A">
        <w:rPr>
          <w:rFonts w:cstheme="minorHAnsi"/>
          <w:sz w:val="24"/>
          <w:szCs w:val="24"/>
        </w:rPr>
        <w:t xml:space="preserve">však </w:t>
      </w:r>
      <w:r w:rsidRPr="006F6C0A">
        <w:rPr>
          <w:rFonts w:cstheme="minorHAnsi"/>
          <w:sz w:val="24"/>
          <w:szCs w:val="24"/>
        </w:rPr>
        <w:t>bylo prováděno pouze u aktivit, k</w:t>
      </w:r>
      <w:r w:rsidR="006D433E">
        <w:rPr>
          <w:rFonts w:cstheme="minorHAnsi"/>
          <w:sz w:val="24"/>
          <w:szCs w:val="24"/>
        </w:rPr>
        <w:t>teré lze jednoduše analyzovat a </w:t>
      </w:r>
      <w:r w:rsidRPr="006F6C0A">
        <w:rPr>
          <w:rFonts w:cstheme="minorHAnsi"/>
          <w:sz w:val="24"/>
          <w:szCs w:val="24"/>
        </w:rPr>
        <w:t>vyhodnotit</w:t>
      </w:r>
      <w:r w:rsidR="0088093E">
        <w:rPr>
          <w:rFonts w:cstheme="minorHAnsi"/>
          <w:sz w:val="24"/>
          <w:szCs w:val="24"/>
        </w:rPr>
        <w:t xml:space="preserve">. Jako </w:t>
      </w:r>
      <w:r w:rsidRPr="006F6C0A">
        <w:rPr>
          <w:rFonts w:cstheme="minorHAnsi"/>
          <w:sz w:val="24"/>
          <w:szCs w:val="24"/>
        </w:rPr>
        <w:t xml:space="preserve">příklad </w:t>
      </w:r>
      <w:r w:rsidR="0088093E">
        <w:rPr>
          <w:rFonts w:cstheme="minorHAnsi"/>
          <w:sz w:val="24"/>
          <w:szCs w:val="24"/>
        </w:rPr>
        <w:t xml:space="preserve">lze uvést vyhodnocení </w:t>
      </w:r>
      <w:r w:rsidRPr="006F6C0A">
        <w:rPr>
          <w:rFonts w:cstheme="minorHAnsi"/>
          <w:sz w:val="24"/>
          <w:szCs w:val="24"/>
        </w:rPr>
        <w:t>dopad</w:t>
      </w:r>
      <w:r w:rsidR="0088093E">
        <w:rPr>
          <w:rFonts w:cstheme="minorHAnsi"/>
          <w:sz w:val="24"/>
          <w:szCs w:val="24"/>
        </w:rPr>
        <w:t>ů</w:t>
      </w:r>
      <w:r w:rsidRPr="006F6C0A">
        <w:rPr>
          <w:rFonts w:cstheme="minorHAnsi"/>
          <w:sz w:val="24"/>
          <w:szCs w:val="24"/>
        </w:rPr>
        <w:t xml:space="preserve"> realizovaných seminářů,</w:t>
      </w:r>
      <w:r w:rsidR="00745133" w:rsidRPr="006F6C0A">
        <w:rPr>
          <w:rFonts w:cstheme="minorHAnsi"/>
          <w:sz w:val="24"/>
          <w:szCs w:val="24"/>
        </w:rPr>
        <w:t xml:space="preserve"> jež </w:t>
      </w:r>
      <w:r w:rsidRPr="006F6C0A">
        <w:rPr>
          <w:rFonts w:cstheme="minorHAnsi"/>
          <w:sz w:val="24"/>
          <w:szCs w:val="24"/>
        </w:rPr>
        <w:t>se ukázaly v porovnání nákladovosti a dopadu na cílovo</w:t>
      </w:r>
      <w:r w:rsidR="00D67015">
        <w:rPr>
          <w:rFonts w:cstheme="minorHAnsi"/>
          <w:sz w:val="24"/>
          <w:szCs w:val="24"/>
        </w:rPr>
        <w:t>u skupinu jako nejefektivnější.</w:t>
      </w:r>
    </w:p>
    <w:p w14:paraId="2E1E331D" w14:textId="2C015075" w:rsidR="002F52F7" w:rsidRPr="006F6C0A" w:rsidRDefault="002F52F7" w:rsidP="000B6DDB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F6C0A">
        <w:rPr>
          <w:rFonts w:cstheme="minorHAnsi"/>
          <w:sz w:val="24"/>
          <w:szCs w:val="24"/>
        </w:rPr>
        <w:t>RR</w:t>
      </w:r>
      <w:r w:rsidR="00745133" w:rsidRPr="006F6C0A">
        <w:rPr>
          <w:rFonts w:cstheme="minorHAnsi"/>
          <w:sz w:val="24"/>
          <w:szCs w:val="24"/>
        </w:rPr>
        <w:t xml:space="preserve"> </w:t>
      </w:r>
      <w:r w:rsidRPr="006F6C0A">
        <w:rPr>
          <w:rFonts w:cstheme="minorHAnsi"/>
          <w:sz w:val="24"/>
          <w:szCs w:val="24"/>
        </w:rPr>
        <w:t>SČ porovnávala své aktivity s </w:t>
      </w:r>
      <w:r w:rsidR="00392D38">
        <w:rPr>
          <w:rFonts w:cstheme="minorHAnsi"/>
          <w:sz w:val="24"/>
          <w:szCs w:val="24"/>
        </w:rPr>
        <w:t xml:space="preserve">aktivitami </w:t>
      </w:r>
      <w:r w:rsidRPr="006F6C0A">
        <w:rPr>
          <w:rFonts w:cstheme="minorHAnsi"/>
          <w:sz w:val="24"/>
          <w:szCs w:val="24"/>
        </w:rPr>
        <w:t>ostatní</w:t>
      </w:r>
      <w:r w:rsidR="00392D38">
        <w:rPr>
          <w:rFonts w:cstheme="minorHAnsi"/>
          <w:sz w:val="24"/>
          <w:szCs w:val="24"/>
        </w:rPr>
        <w:t>ch</w:t>
      </w:r>
      <w:r w:rsidRPr="006F6C0A">
        <w:rPr>
          <w:rFonts w:cstheme="minorHAnsi"/>
          <w:sz w:val="24"/>
          <w:szCs w:val="24"/>
        </w:rPr>
        <w:t xml:space="preserve"> ROP </w:t>
      </w:r>
      <w:r w:rsidR="006D433E">
        <w:rPr>
          <w:rFonts w:cstheme="minorHAnsi"/>
          <w:sz w:val="24"/>
          <w:szCs w:val="24"/>
        </w:rPr>
        <w:t>a na základě těchto porovnání a </w:t>
      </w:r>
      <w:r w:rsidRPr="006F6C0A">
        <w:rPr>
          <w:rFonts w:cstheme="minorHAnsi"/>
          <w:sz w:val="24"/>
          <w:szCs w:val="24"/>
        </w:rPr>
        <w:t>výsledků evaluací přizpůsobovala svo</w:t>
      </w:r>
      <w:r w:rsidR="00745133" w:rsidRPr="006F6C0A">
        <w:rPr>
          <w:rFonts w:cstheme="minorHAnsi"/>
          <w:sz w:val="24"/>
          <w:szCs w:val="24"/>
        </w:rPr>
        <w:t xml:space="preserve">ji </w:t>
      </w:r>
      <w:r w:rsidRPr="006F6C0A">
        <w:rPr>
          <w:rFonts w:cstheme="minorHAnsi"/>
          <w:sz w:val="24"/>
          <w:szCs w:val="24"/>
        </w:rPr>
        <w:t xml:space="preserve">strategii komunikace. </w:t>
      </w:r>
    </w:p>
    <w:p w14:paraId="579B9EA0" w14:textId="77777777" w:rsidR="001F3CC1" w:rsidRPr="00D67015" w:rsidRDefault="001F3CC1" w:rsidP="00A06D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2137B8" w14:textId="77777777" w:rsidR="00A66684" w:rsidRPr="00D67015" w:rsidRDefault="00D67015" w:rsidP="00D67015">
      <w:pPr>
        <w:pStyle w:val="Nadpis2"/>
        <w:numPr>
          <w:ilvl w:val="0"/>
          <w:numId w:val="0"/>
        </w:numPr>
        <w:spacing w:before="0" w:line="240" w:lineRule="auto"/>
        <w:jc w:val="both"/>
        <w:rPr>
          <w:rFonts w:ascii="Calibri" w:hAnsi="Calibri"/>
          <w:b/>
          <w:color w:val="000000" w:themeColor="text1"/>
          <w:sz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>3.4</w:t>
      </w:r>
      <w:r w:rsidR="00A66684" w:rsidRPr="00131CB0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 w:rsidR="001F3CC1" w:rsidRPr="00D67015">
        <w:rPr>
          <w:rFonts w:ascii="Calibri" w:hAnsi="Calibri"/>
          <w:b/>
          <w:color w:val="000000" w:themeColor="text1"/>
          <w:sz w:val="24"/>
        </w:rPr>
        <w:t>Z</w:t>
      </w:r>
      <w:r w:rsidR="00A66684" w:rsidRPr="00D67015">
        <w:rPr>
          <w:rFonts w:ascii="Calibri" w:hAnsi="Calibri"/>
          <w:b/>
          <w:color w:val="000000" w:themeColor="text1"/>
          <w:sz w:val="24"/>
        </w:rPr>
        <w:t xml:space="preserve">hodnocení </w:t>
      </w:r>
      <w:r w:rsidR="001F3CC1" w:rsidRPr="00D67015">
        <w:rPr>
          <w:rFonts w:ascii="Calibri" w:hAnsi="Calibri"/>
          <w:b/>
          <w:color w:val="000000" w:themeColor="text1"/>
          <w:sz w:val="24"/>
        </w:rPr>
        <w:t xml:space="preserve">vybraných </w:t>
      </w:r>
      <w:r w:rsidR="00A66684" w:rsidRPr="00D67015">
        <w:rPr>
          <w:rFonts w:ascii="Calibri" w:hAnsi="Calibri"/>
          <w:b/>
          <w:color w:val="000000" w:themeColor="text1"/>
          <w:sz w:val="24"/>
        </w:rPr>
        <w:t xml:space="preserve">informačních a </w:t>
      </w:r>
      <w:r w:rsidR="00F77D10" w:rsidRPr="00D67015">
        <w:rPr>
          <w:rFonts w:ascii="Calibri" w:hAnsi="Calibri"/>
          <w:b/>
          <w:color w:val="000000" w:themeColor="text1"/>
          <w:sz w:val="24"/>
        </w:rPr>
        <w:t>propagačních</w:t>
      </w:r>
      <w:r w:rsidR="00A66684" w:rsidRPr="00D67015">
        <w:rPr>
          <w:rFonts w:ascii="Calibri" w:hAnsi="Calibri"/>
          <w:b/>
          <w:color w:val="000000" w:themeColor="text1"/>
          <w:sz w:val="24"/>
        </w:rPr>
        <w:t xml:space="preserve"> aktivit</w:t>
      </w:r>
    </w:p>
    <w:p w14:paraId="7D634E47" w14:textId="77777777" w:rsidR="00D67015" w:rsidRDefault="00D67015" w:rsidP="00A06D3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5BF0216" w14:textId="77777777" w:rsidR="00A06D31" w:rsidRDefault="00BE27D3" w:rsidP="00A06D31">
      <w:pPr>
        <w:spacing w:after="0" w:line="240" w:lineRule="auto"/>
        <w:jc w:val="both"/>
        <w:rPr>
          <w:sz w:val="24"/>
          <w:szCs w:val="24"/>
          <w:lang w:eastAsia="cs-CZ"/>
        </w:rPr>
      </w:pPr>
      <w:r>
        <w:rPr>
          <w:rFonts w:cstheme="minorHAnsi"/>
          <w:b/>
          <w:sz w:val="24"/>
          <w:szCs w:val="24"/>
        </w:rPr>
        <w:t>Většina i</w:t>
      </w:r>
      <w:r w:rsidR="00A06D31" w:rsidRPr="008305B1">
        <w:rPr>
          <w:rFonts w:cstheme="minorHAnsi"/>
          <w:b/>
          <w:sz w:val="24"/>
          <w:szCs w:val="24"/>
        </w:rPr>
        <w:t>nformační</w:t>
      </w:r>
      <w:r>
        <w:rPr>
          <w:rFonts w:cstheme="minorHAnsi"/>
          <w:b/>
          <w:sz w:val="24"/>
          <w:szCs w:val="24"/>
        </w:rPr>
        <w:t>ch</w:t>
      </w:r>
      <w:r w:rsidR="00A06D31" w:rsidRPr="008305B1">
        <w:rPr>
          <w:rFonts w:cstheme="minorHAnsi"/>
          <w:b/>
          <w:sz w:val="24"/>
          <w:szCs w:val="24"/>
        </w:rPr>
        <w:t xml:space="preserve"> a </w:t>
      </w:r>
      <w:r w:rsidR="00F77D10">
        <w:rPr>
          <w:rFonts w:cstheme="minorHAnsi"/>
          <w:b/>
          <w:sz w:val="24"/>
          <w:szCs w:val="24"/>
        </w:rPr>
        <w:t xml:space="preserve">propagačních </w:t>
      </w:r>
      <w:r w:rsidR="00A06D31" w:rsidRPr="008305B1">
        <w:rPr>
          <w:rFonts w:cstheme="minorHAnsi"/>
          <w:b/>
          <w:sz w:val="24"/>
          <w:szCs w:val="24"/>
        </w:rPr>
        <w:t xml:space="preserve">aktivit </w:t>
      </w:r>
      <w:r w:rsidR="00A06D31">
        <w:rPr>
          <w:rFonts w:cstheme="minorHAnsi"/>
          <w:b/>
          <w:sz w:val="24"/>
          <w:szCs w:val="24"/>
        </w:rPr>
        <w:t xml:space="preserve">všech operačních programů </w:t>
      </w:r>
      <w:r w:rsidR="00A06D31" w:rsidRPr="008305B1">
        <w:rPr>
          <w:rFonts w:cstheme="minorHAnsi"/>
          <w:b/>
          <w:sz w:val="24"/>
          <w:szCs w:val="24"/>
        </w:rPr>
        <w:t>včetně souvisejících výdajů kulminoval</w:t>
      </w:r>
      <w:r>
        <w:rPr>
          <w:rFonts w:cstheme="minorHAnsi"/>
          <w:b/>
          <w:sz w:val="24"/>
          <w:szCs w:val="24"/>
        </w:rPr>
        <w:t>a</w:t>
      </w:r>
      <w:r w:rsidR="00A06D31" w:rsidRPr="008305B1">
        <w:rPr>
          <w:rFonts w:cstheme="minorHAnsi"/>
          <w:b/>
          <w:sz w:val="24"/>
          <w:szCs w:val="24"/>
        </w:rPr>
        <w:t xml:space="preserve"> v letech 2011 a 2013</w:t>
      </w:r>
      <w:r w:rsidR="00A06D31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Výjimkou jsou mediální kampaně, jejichž </w:t>
      </w:r>
      <w:r w:rsidR="00AF7B6F">
        <w:rPr>
          <w:rFonts w:cstheme="minorHAnsi"/>
          <w:sz w:val="24"/>
          <w:szCs w:val="24"/>
        </w:rPr>
        <w:t>nasazení</w:t>
      </w:r>
      <w:r w:rsidR="003E16DD">
        <w:rPr>
          <w:rFonts w:cstheme="minorHAnsi"/>
          <w:sz w:val="24"/>
          <w:szCs w:val="24"/>
        </w:rPr>
        <w:t xml:space="preserve"> </w:t>
      </w:r>
      <w:r w:rsidR="00BD7928">
        <w:rPr>
          <w:rFonts w:cstheme="minorHAnsi"/>
          <w:sz w:val="24"/>
          <w:szCs w:val="24"/>
        </w:rPr>
        <w:t xml:space="preserve">se </w:t>
      </w:r>
      <w:r w:rsidR="00922C95">
        <w:rPr>
          <w:rFonts w:cstheme="minorHAnsi"/>
          <w:sz w:val="24"/>
          <w:szCs w:val="24"/>
        </w:rPr>
        <w:t>u jednotlivých o</w:t>
      </w:r>
      <w:r w:rsidR="003D5905">
        <w:rPr>
          <w:rFonts w:cstheme="minorHAnsi"/>
          <w:sz w:val="24"/>
          <w:szCs w:val="24"/>
        </w:rPr>
        <w:t xml:space="preserve">peračních programů významně liší. </w:t>
      </w:r>
      <w:r w:rsidR="00A06D31">
        <w:rPr>
          <w:sz w:val="24"/>
          <w:szCs w:val="24"/>
          <w:lang w:eastAsia="cs-CZ"/>
        </w:rPr>
        <w:t xml:space="preserve">Celkově </w:t>
      </w:r>
      <w:r w:rsidR="00BD7928">
        <w:rPr>
          <w:sz w:val="24"/>
          <w:szCs w:val="24"/>
          <w:lang w:eastAsia="cs-CZ"/>
        </w:rPr>
        <w:t xml:space="preserve">dosáhla </w:t>
      </w:r>
      <w:r w:rsidR="00A06D31">
        <w:rPr>
          <w:sz w:val="24"/>
          <w:szCs w:val="24"/>
          <w:lang w:eastAsia="cs-CZ"/>
        </w:rPr>
        <w:t xml:space="preserve">částka vynaložená na mediální kampaně u </w:t>
      </w:r>
      <w:r w:rsidR="00342D50">
        <w:rPr>
          <w:sz w:val="24"/>
          <w:szCs w:val="24"/>
          <w:lang w:eastAsia="cs-CZ"/>
        </w:rPr>
        <w:t xml:space="preserve">všech kontrolovaných operačních programů </w:t>
      </w:r>
      <w:r w:rsidR="00A06D31">
        <w:rPr>
          <w:sz w:val="24"/>
          <w:szCs w:val="24"/>
          <w:lang w:eastAsia="cs-CZ"/>
        </w:rPr>
        <w:t>výše</w:t>
      </w:r>
      <w:r w:rsidR="00D67015">
        <w:rPr>
          <w:sz w:val="24"/>
          <w:szCs w:val="24"/>
          <w:lang w:eastAsia="cs-CZ"/>
        </w:rPr>
        <w:t xml:space="preserve"> </w:t>
      </w:r>
      <w:r w:rsidR="00A06D31">
        <w:rPr>
          <w:sz w:val="24"/>
          <w:szCs w:val="24"/>
          <w:lang w:eastAsia="cs-CZ"/>
        </w:rPr>
        <w:t>138</w:t>
      </w:r>
      <w:r w:rsidR="00342D50">
        <w:rPr>
          <w:sz w:val="24"/>
          <w:szCs w:val="24"/>
          <w:lang w:eastAsia="cs-CZ"/>
        </w:rPr>
        <w:t> 758,56</w:t>
      </w:r>
      <w:r w:rsidR="00D67015">
        <w:rPr>
          <w:sz w:val="24"/>
          <w:szCs w:val="24"/>
          <w:lang w:eastAsia="cs-CZ"/>
        </w:rPr>
        <w:t> tis. Kč.</w:t>
      </w:r>
    </w:p>
    <w:p w14:paraId="6BBFEF6A" w14:textId="77777777" w:rsidR="00D67015" w:rsidRDefault="00D67015" w:rsidP="00A06D31">
      <w:pPr>
        <w:spacing w:after="0" w:line="240" w:lineRule="auto"/>
        <w:jc w:val="both"/>
        <w:rPr>
          <w:sz w:val="24"/>
          <w:szCs w:val="24"/>
          <w:lang w:eastAsia="cs-CZ"/>
        </w:rPr>
      </w:pPr>
    </w:p>
    <w:tbl>
      <w:tblPr>
        <w:tblStyle w:val="Svtltabulkasmkou1zvraznn1"/>
        <w:tblW w:w="0" w:type="auto"/>
        <w:tblInd w:w="108" w:type="dxa"/>
        <w:tblBorders>
          <w:top w:val="single" w:sz="18" w:space="0" w:color="BDD6EE" w:themeColor="accent1" w:themeTint="66"/>
          <w:left w:val="single" w:sz="18" w:space="0" w:color="BDD6EE" w:themeColor="accent1" w:themeTint="66"/>
          <w:bottom w:val="single" w:sz="18" w:space="0" w:color="BDD6EE" w:themeColor="accent1" w:themeTint="66"/>
          <w:right w:val="single" w:sz="18" w:space="0" w:color="BDD6EE" w:themeColor="accent1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10A72" w:rsidRPr="009C3404" w14:paraId="07488E5E" w14:textId="77777777" w:rsidTr="008B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3D50A527" w14:textId="66B83D56" w:rsidR="00E10A72" w:rsidRDefault="00E10A72" w:rsidP="00C14B99">
            <w:pPr>
              <w:spacing w:after="40"/>
              <w:jc w:val="both"/>
              <w:rPr>
                <w:rFonts w:cstheme="minorHAnsi"/>
                <w:sz w:val="20"/>
                <w:szCs w:val="20"/>
              </w:rPr>
            </w:pPr>
            <w:r w:rsidRPr="00BC0B76">
              <w:rPr>
                <w:rFonts w:cstheme="minorHAnsi"/>
                <w:sz w:val="20"/>
                <w:szCs w:val="20"/>
              </w:rPr>
              <w:t>Příklady</w:t>
            </w:r>
            <w:r w:rsidR="009C01BC">
              <w:rPr>
                <w:rFonts w:cstheme="minorHAnsi"/>
                <w:sz w:val="20"/>
                <w:szCs w:val="20"/>
              </w:rPr>
              <w:t xml:space="preserve"> od</w:t>
            </w:r>
            <w:r w:rsidR="008B1BDA">
              <w:rPr>
                <w:rFonts w:cstheme="minorHAnsi"/>
                <w:sz w:val="20"/>
                <w:szCs w:val="20"/>
              </w:rPr>
              <w:t xml:space="preserve">vysílaných </w:t>
            </w:r>
            <w:r w:rsidR="009C01BC">
              <w:rPr>
                <w:rFonts w:cstheme="minorHAnsi"/>
                <w:sz w:val="20"/>
                <w:szCs w:val="20"/>
              </w:rPr>
              <w:t>TV spotů</w:t>
            </w:r>
            <w:r w:rsidR="0078302F">
              <w:rPr>
                <w:rFonts w:cstheme="minorHAnsi"/>
                <w:sz w:val="20"/>
                <w:szCs w:val="20"/>
              </w:rPr>
              <w:t xml:space="preserve"> – příklady dobré praxe formou uvedení informací o úspěšných projektech:</w:t>
            </w:r>
          </w:p>
          <w:p w14:paraId="59DC9585" w14:textId="77777777" w:rsidR="008B1BDA" w:rsidRDefault="008B1BDA" w:rsidP="00C14B9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 VK</w:t>
            </w:r>
          </w:p>
          <w:p w14:paraId="7E60ECAC" w14:textId="77777777" w:rsidR="000853B6" w:rsidRDefault="001A2BDC" w:rsidP="00D67015">
            <w:pPr>
              <w:pStyle w:val="Odstavecseseznamem"/>
              <w:numPr>
                <w:ilvl w:val="0"/>
                <w:numId w:val="21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1A2BDC">
              <w:rPr>
                <w:rFonts w:cstheme="minorHAnsi"/>
                <w:b w:val="0"/>
                <w:sz w:val="20"/>
                <w:szCs w:val="20"/>
              </w:rPr>
              <w:t>TV spoty</w:t>
            </w:r>
            <w:r>
              <w:rPr>
                <w:rStyle w:val="Znakapoznpodarou"/>
                <w:rFonts w:cstheme="minorHAnsi"/>
                <w:sz w:val="20"/>
                <w:szCs w:val="20"/>
              </w:rPr>
              <w:footnoteReference w:id="27"/>
            </w:r>
            <w:r w:rsidR="003E16DD">
              <w:rPr>
                <w:rFonts w:cstheme="minorHAnsi"/>
                <w:b w:val="0"/>
                <w:sz w:val="20"/>
                <w:szCs w:val="20"/>
              </w:rPr>
              <w:t xml:space="preserve"> k propagaci operačního programu</w:t>
            </w:r>
            <w:r w:rsidR="00967AB7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967AB7" w:rsidRPr="000614E8">
              <w:rPr>
                <w:rFonts w:cstheme="minorHAnsi"/>
                <w:i/>
                <w:sz w:val="20"/>
                <w:szCs w:val="20"/>
              </w:rPr>
              <w:t>Vzdělávání pro konkurenceschopnost</w:t>
            </w:r>
            <w:r w:rsidR="00D205EE" w:rsidRPr="00392D38">
              <w:rPr>
                <w:rFonts w:cstheme="minorHAnsi"/>
                <w:sz w:val="20"/>
                <w:szCs w:val="20"/>
              </w:rPr>
              <w:t>.</w:t>
            </w:r>
          </w:p>
          <w:p w14:paraId="67648F1F" w14:textId="77777777" w:rsidR="008B1BDA" w:rsidRDefault="008B1BDA" w:rsidP="00C14B99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 VaVpI</w:t>
            </w:r>
          </w:p>
          <w:p w14:paraId="17D39638" w14:textId="77777777" w:rsidR="006E6F6B" w:rsidRDefault="001A2BDC" w:rsidP="00D67015">
            <w:pPr>
              <w:pStyle w:val="Odstavecseseznamem"/>
              <w:numPr>
                <w:ilvl w:val="0"/>
                <w:numId w:val="21"/>
              </w:numPr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1A2BDC">
              <w:rPr>
                <w:rFonts w:cstheme="minorHAnsi"/>
                <w:b w:val="0"/>
                <w:sz w:val="20"/>
                <w:szCs w:val="20"/>
              </w:rPr>
              <w:t>TV spoty</w:t>
            </w:r>
            <w:r>
              <w:rPr>
                <w:rStyle w:val="Znakapoznpodarou"/>
                <w:rFonts w:cstheme="minorHAnsi"/>
                <w:sz w:val="20"/>
                <w:szCs w:val="20"/>
              </w:rPr>
              <w:footnoteReference w:id="28"/>
            </w:r>
            <w:r w:rsidR="003E16DD">
              <w:rPr>
                <w:rFonts w:cstheme="minorHAnsi"/>
                <w:b w:val="0"/>
                <w:sz w:val="20"/>
                <w:szCs w:val="20"/>
              </w:rPr>
              <w:t xml:space="preserve"> k propagaci operačního programu </w:t>
            </w:r>
            <w:r w:rsidR="00967AB7">
              <w:rPr>
                <w:rFonts w:cstheme="minorHAnsi"/>
                <w:b w:val="0"/>
                <w:sz w:val="20"/>
                <w:szCs w:val="20"/>
              </w:rPr>
              <w:t xml:space="preserve">VaVpI </w:t>
            </w:r>
            <w:r w:rsidR="003E16DD">
              <w:rPr>
                <w:rFonts w:cstheme="minorHAnsi"/>
                <w:b w:val="0"/>
                <w:sz w:val="20"/>
                <w:szCs w:val="20"/>
              </w:rPr>
              <w:t>a vybraných projektů center excellence</w:t>
            </w:r>
            <w:r w:rsidR="00D205EE">
              <w:rPr>
                <w:rFonts w:cstheme="minorHAnsi"/>
                <w:b w:val="0"/>
                <w:sz w:val="20"/>
                <w:szCs w:val="20"/>
              </w:rPr>
              <w:t>.</w:t>
            </w:r>
          </w:p>
          <w:p w14:paraId="2B36A2C9" w14:textId="77777777" w:rsidR="008B1BDA" w:rsidRDefault="008B1BDA" w:rsidP="00C14B9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 LZZ</w:t>
            </w:r>
            <w:r w:rsidR="00BE27D3">
              <w:rPr>
                <w:rFonts w:cstheme="minorHAnsi"/>
                <w:sz w:val="20"/>
                <w:szCs w:val="20"/>
              </w:rPr>
              <w:t>:</w:t>
            </w:r>
          </w:p>
          <w:p w14:paraId="6A0FB496" w14:textId="497857D1" w:rsidR="00BE27D3" w:rsidRDefault="00D205EE" w:rsidP="00C14B99">
            <w:pPr>
              <w:numPr>
                <w:ilvl w:val="0"/>
                <w:numId w:val="34"/>
              </w:numPr>
              <w:ind w:left="284" w:hanging="284"/>
              <w:jc w:val="both"/>
              <w:rPr>
                <w:b w:val="0"/>
                <w:sz w:val="20"/>
                <w:szCs w:val="20"/>
                <w:lang w:eastAsia="cs-CZ"/>
              </w:rPr>
            </w:pPr>
            <w:r>
              <w:rPr>
                <w:b w:val="0"/>
                <w:sz w:val="20"/>
                <w:szCs w:val="20"/>
                <w:lang w:eastAsia="cs-CZ"/>
              </w:rPr>
              <w:t>v</w:t>
            </w:r>
            <w:r w:rsidR="00BE27D3" w:rsidRPr="008B1BDA">
              <w:rPr>
                <w:b w:val="0"/>
                <w:sz w:val="20"/>
                <w:szCs w:val="20"/>
                <w:lang w:eastAsia="cs-CZ"/>
              </w:rPr>
              <w:t xml:space="preserve">ideo </w:t>
            </w:r>
            <w:hyperlink r:id="rId15" w:history="1">
              <w:r w:rsidR="00BE27D3" w:rsidRPr="008B1BDA">
                <w:rPr>
                  <w:rStyle w:val="Hypertextovodkaz"/>
                  <w:b w:val="0"/>
                  <w:sz w:val="20"/>
                  <w:szCs w:val="20"/>
                  <w:lang w:eastAsia="cs-CZ"/>
                </w:rPr>
                <w:t>ESF – Investice do lidí</w:t>
              </w:r>
            </w:hyperlink>
            <w:r w:rsidR="00BE27D3" w:rsidRPr="008B1BDA">
              <w:rPr>
                <w:rStyle w:val="Hypertextovodkaz"/>
                <w:b w:val="0"/>
                <w:sz w:val="20"/>
                <w:szCs w:val="20"/>
                <w:lang w:eastAsia="cs-CZ"/>
              </w:rPr>
              <w:t xml:space="preserve"> </w:t>
            </w:r>
            <w:r w:rsidR="00BE27D3">
              <w:rPr>
                <w:b w:val="0"/>
                <w:sz w:val="20"/>
                <w:szCs w:val="20"/>
                <w:lang w:eastAsia="cs-CZ"/>
              </w:rPr>
              <w:t>(</w:t>
            </w:r>
            <w:r w:rsidR="00BE27D3" w:rsidRPr="008B1BDA">
              <w:rPr>
                <w:b w:val="0"/>
                <w:sz w:val="20"/>
                <w:szCs w:val="20"/>
                <w:lang w:eastAsia="cs-CZ"/>
              </w:rPr>
              <w:t>2009)</w:t>
            </w:r>
            <w:r>
              <w:rPr>
                <w:b w:val="0"/>
                <w:sz w:val="20"/>
                <w:szCs w:val="20"/>
                <w:lang w:eastAsia="cs-CZ"/>
              </w:rPr>
              <w:t>,</w:t>
            </w:r>
          </w:p>
          <w:p w14:paraId="778FC7D7" w14:textId="7C1ADEAB" w:rsidR="00BE27D3" w:rsidRPr="008B1BDA" w:rsidRDefault="00D205EE" w:rsidP="00C14B99">
            <w:pPr>
              <w:numPr>
                <w:ilvl w:val="0"/>
                <w:numId w:val="34"/>
              </w:numPr>
              <w:ind w:left="284" w:hanging="284"/>
              <w:jc w:val="both"/>
              <w:rPr>
                <w:b w:val="0"/>
                <w:sz w:val="20"/>
                <w:szCs w:val="20"/>
                <w:lang w:eastAsia="cs-CZ"/>
              </w:rPr>
            </w:pPr>
            <w:r>
              <w:rPr>
                <w:b w:val="0"/>
                <w:sz w:val="20"/>
                <w:szCs w:val="20"/>
              </w:rPr>
              <w:t>r</w:t>
            </w:r>
            <w:r w:rsidR="000853B6">
              <w:rPr>
                <w:b w:val="0"/>
                <w:sz w:val="20"/>
                <w:szCs w:val="20"/>
              </w:rPr>
              <w:t xml:space="preserve">eportáže o projektech </w:t>
            </w:r>
            <w:hyperlink r:id="rId16" w:history="1">
              <w:r w:rsidR="000853B6" w:rsidRPr="000853B6">
                <w:rPr>
                  <w:rStyle w:val="Hypertextovodkaz"/>
                  <w:b w:val="0"/>
                  <w:sz w:val="20"/>
                  <w:szCs w:val="20"/>
                  <w:lang w:eastAsia="cs-CZ"/>
                </w:rPr>
                <w:t>www.esfcr.cz/reportaze-o-projektech-2010</w:t>
              </w:r>
            </w:hyperlink>
            <w:r w:rsidR="00BE27D3" w:rsidRPr="008B1BDA">
              <w:rPr>
                <w:b w:val="0"/>
                <w:sz w:val="20"/>
                <w:szCs w:val="20"/>
                <w:lang w:eastAsia="cs-CZ"/>
              </w:rPr>
              <w:t xml:space="preserve"> (</w:t>
            </w:r>
            <w:r>
              <w:rPr>
                <w:b w:val="0"/>
                <w:sz w:val="20"/>
                <w:szCs w:val="20"/>
                <w:lang w:eastAsia="cs-CZ"/>
              </w:rPr>
              <w:t xml:space="preserve">reportáž </w:t>
            </w:r>
            <w:r w:rsidR="00BE27D3">
              <w:rPr>
                <w:b w:val="0"/>
                <w:sz w:val="20"/>
                <w:szCs w:val="20"/>
                <w:lang w:eastAsia="cs-CZ"/>
              </w:rPr>
              <w:t>v</w:t>
            </w:r>
            <w:r w:rsidR="00BE27D3" w:rsidRPr="008B1BDA">
              <w:rPr>
                <w:b w:val="0"/>
                <w:sz w:val="20"/>
                <w:szCs w:val="20"/>
                <w:lang w:eastAsia="cs-CZ"/>
              </w:rPr>
              <w:t>znik</w:t>
            </w:r>
            <w:r>
              <w:rPr>
                <w:b w:val="0"/>
                <w:sz w:val="20"/>
                <w:szCs w:val="20"/>
                <w:lang w:eastAsia="cs-CZ"/>
              </w:rPr>
              <w:t>la</w:t>
            </w:r>
            <w:r w:rsidR="00BE27D3" w:rsidRPr="008B1BDA">
              <w:rPr>
                <w:b w:val="0"/>
                <w:sz w:val="20"/>
                <w:szCs w:val="20"/>
                <w:lang w:eastAsia="cs-CZ"/>
              </w:rPr>
              <w:t xml:space="preserve"> pro pořad ČT </w:t>
            </w:r>
            <w:r w:rsidR="00BE27D3" w:rsidRPr="000614E8">
              <w:rPr>
                <w:i/>
                <w:sz w:val="20"/>
                <w:szCs w:val="20"/>
                <w:lang w:eastAsia="cs-CZ"/>
              </w:rPr>
              <w:t>Sama doma</w:t>
            </w:r>
            <w:r w:rsidR="00BE27D3" w:rsidRPr="008B1BDA">
              <w:rPr>
                <w:b w:val="0"/>
                <w:sz w:val="20"/>
                <w:szCs w:val="20"/>
                <w:lang w:eastAsia="cs-CZ"/>
              </w:rPr>
              <w:t>)</w:t>
            </w:r>
            <w:r>
              <w:rPr>
                <w:b w:val="0"/>
                <w:sz w:val="20"/>
                <w:szCs w:val="20"/>
                <w:lang w:eastAsia="cs-CZ"/>
              </w:rPr>
              <w:t>,</w:t>
            </w:r>
          </w:p>
          <w:p w14:paraId="61F26BC7" w14:textId="77777777" w:rsidR="008B1BDA" w:rsidRPr="008B1BDA" w:rsidRDefault="008B1BDA" w:rsidP="00C14B99">
            <w:pPr>
              <w:numPr>
                <w:ilvl w:val="0"/>
                <w:numId w:val="34"/>
              </w:numPr>
              <w:ind w:left="284" w:hanging="284"/>
              <w:jc w:val="both"/>
              <w:rPr>
                <w:b w:val="0"/>
                <w:sz w:val="20"/>
                <w:szCs w:val="20"/>
                <w:lang w:eastAsia="cs-CZ"/>
              </w:rPr>
            </w:pPr>
            <w:r w:rsidRPr="008B1BDA">
              <w:rPr>
                <w:b w:val="0"/>
                <w:sz w:val="20"/>
                <w:szCs w:val="20"/>
                <w:lang w:eastAsia="cs-CZ"/>
              </w:rPr>
              <w:lastRenderedPageBreak/>
              <w:t xml:space="preserve">TV spoty </w:t>
            </w:r>
            <w:hyperlink r:id="rId17" w:history="1">
              <w:r w:rsidRPr="008B1BDA">
                <w:rPr>
                  <w:rStyle w:val="Hypertextovodkaz"/>
                  <w:b w:val="0"/>
                  <w:sz w:val="20"/>
                  <w:szCs w:val="20"/>
                  <w:lang w:eastAsia="cs-CZ"/>
                </w:rPr>
                <w:t>Cest</w:t>
              </w:r>
              <w:r w:rsidR="00BE27D3">
                <w:rPr>
                  <w:rStyle w:val="Hypertextovodkaz"/>
                  <w:b w:val="0"/>
                  <w:sz w:val="20"/>
                  <w:szCs w:val="20"/>
                  <w:lang w:eastAsia="cs-CZ"/>
                </w:rPr>
                <w:t>a</w:t>
              </w:r>
              <w:r w:rsidRPr="008B1BDA">
                <w:rPr>
                  <w:rStyle w:val="Hypertextovodkaz"/>
                  <w:b w:val="0"/>
                  <w:sz w:val="20"/>
                  <w:szCs w:val="20"/>
                  <w:lang w:eastAsia="cs-CZ"/>
                </w:rPr>
                <w:t xml:space="preserve"> ze začarovaného kruhu </w:t>
              </w:r>
            </w:hyperlink>
            <w:r w:rsidRPr="008B1BDA">
              <w:rPr>
                <w:b w:val="0"/>
                <w:sz w:val="20"/>
                <w:szCs w:val="20"/>
                <w:lang w:eastAsia="cs-CZ"/>
              </w:rPr>
              <w:t>(2011)</w:t>
            </w:r>
            <w:r w:rsidR="00D205EE">
              <w:rPr>
                <w:b w:val="0"/>
                <w:sz w:val="20"/>
                <w:szCs w:val="20"/>
                <w:lang w:eastAsia="cs-CZ"/>
              </w:rPr>
              <w:t>,</w:t>
            </w:r>
            <w:r w:rsidRPr="008B1BDA">
              <w:rPr>
                <w:b w:val="0"/>
                <w:sz w:val="20"/>
                <w:szCs w:val="20"/>
                <w:lang w:eastAsia="cs-CZ"/>
              </w:rPr>
              <w:t xml:space="preserve"> </w:t>
            </w:r>
          </w:p>
          <w:p w14:paraId="2C1DA80E" w14:textId="2DDD4F8B" w:rsidR="008B1BDA" w:rsidRDefault="00D205EE" w:rsidP="00C14B99">
            <w:pPr>
              <w:numPr>
                <w:ilvl w:val="0"/>
                <w:numId w:val="34"/>
              </w:numPr>
              <w:ind w:left="284" w:hanging="284"/>
              <w:jc w:val="both"/>
              <w:rPr>
                <w:b w:val="0"/>
                <w:sz w:val="20"/>
                <w:szCs w:val="20"/>
                <w:lang w:eastAsia="cs-CZ"/>
              </w:rPr>
            </w:pPr>
            <w:r>
              <w:rPr>
                <w:b w:val="0"/>
                <w:sz w:val="20"/>
                <w:szCs w:val="20"/>
                <w:lang w:eastAsia="cs-CZ"/>
              </w:rPr>
              <w:t>d</w:t>
            </w:r>
            <w:r w:rsidR="008B1BDA" w:rsidRPr="008B1BDA">
              <w:rPr>
                <w:b w:val="0"/>
                <w:sz w:val="20"/>
                <w:szCs w:val="20"/>
                <w:lang w:eastAsia="cs-CZ"/>
              </w:rPr>
              <w:t xml:space="preserve">ílčí spoty ESF ČR – </w:t>
            </w:r>
            <w:hyperlink r:id="rId18" w:history="1">
              <w:r w:rsidR="008B1BDA" w:rsidRPr="008B1BDA">
                <w:rPr>
                  <w:rStyle w:val="Hypertextovodkaz"/>
                  <w:b w:val="0"/>
                  <w:sz w:val="20"/>
                  <w:szCs w:val="20"/>
                  <w:lang w:eastAsia="cs-CZ"/>
                </w:rPr>
                <w:t>Podporujeme Vaši budoucnost</w:t>
              </w:r>
            </w:hyperlink>
            <w:r w:rsidR="008B1BDA" w:rsidRPr="008B1BDA">
              <w:rPr>
                <w:b w:val="0"/>
                <w:sz w:val="20"/>
                <w:szCs w:val="20"/>
                <w:lang w:eastAsia="cs-CZ"/>
              </w:rPr>
              <w:t xml:space="preserve"> (</w:t>
            </w:r>
            <w:r w:rsidR="00BE27D3">
              <w:rPr>
                <w:b w:val="0"/>
                <w:sz w:val="20"/>
                <w:szCs w:val="20"/>
                <w:lang w:eastAsia="cs-CZ"/>
              </w:rPr>
              <w:t>2</w:t>
            </w:r>
            <w:r w:rsidR="008B1BDA" w:rsidRPr="008B1BDA">
              <w:rPr>
                <w:b w:val="0"/>
                <w:sz w:val="20"/>
                <w:szCs w:val="20"/>
                <w:lang w:eastAsia="cs-CZ"/>
              </w:rPr>
              <w:t>014)</w:t>
            </w:r>
            <w:r>
              <w:rPr>
                <w:b w:val="0"/>
                <w:sz w:val="20"/>
                <w:szCs w:val="20"/>
                <w:lang w:eastAsia="cs-CZ"/>
              </w:rPr>
              <w:t>,</w:t>
            </w:r>
          </w:p>
          <w:p w14:paraId="08C4F71B" w14:textId="4843AB56" w:rsidR="00E10A72" w:rsidRPr="009C3404" w:rsidRDefault="00BE27D3" w:rsidP="000614E8">
            <w:pPr>
              <w:numPr>
                <w:ilvl w:val="0"/>
                <w:numId w:val="34"/>
              </w:numPr>
              <w:spacing w:after="40"/>
              <w:ind w:left="284" w:hanging="284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BE27D3">
              <w:rPr>
                <w:b w:val="0"/>
                <w:sz w:val="20"/>
                <w:szCs w:val="20"/>
                <w:lang w:eastAsia="cs-CZ"/>
              </w:rPr>
              <w:t xml:space="preserve">TV spoty projektu </w:t>
            </w:r>
            <w:hyperlink r:id="rId19" w:history="1">
              <w:r w:rsidRPr="00BE27D3">
                <w:rPr>
                  <w:rStyle w:val="Hypertextovodkaz"/>
                  <w:b w:val="0"/>
                  <w:sz w:val="20"/>
                  <w:szCs w:val="20"/>
                  <w:lang w:eastAsia="cs-CZ"/>
                </w:rPr>
                <w:t>Větší šance</w:t>
              </w:r>
            </w:hyperlink>
            <w:r w:rsidRPr="00BE27D3">
              <w:rPr>
                <w:b w:val="0"/>
                <w:sz w:val="20"/>
                <w:szCs w:val="20"/>
                <w:lang w:eastAsia="cs-CZ"/>
              </w:rPr>
              <w:t xml:space="preserve"> (2013</w:t>
            </w:r>
            <w:r w:rsidR="00D205EE">
              <w:rPr>
                <w:b w:val="0"/>
                <w:sz w:val="20"/>
                <w:szCs w:val="20"/>
                <w:lang w:eastAsia="cs-CZ"/>
              </w:rPr>
              <w:t>–</w:t>
            </w:r>
            <w:r w:rsidRPr="00BE27D3">
              <w:rPr>
                <w:b w:val="0"/>
                <w:sz w:val="20"/>
                <w:szCs w:val="20"/>
                <w:lang w:eastAsia="cs-CZ"/>
              </w:rPr>
              <w:t>2015)</w:t>
            </w:r>
            <w:r w:rsidR="00D205EE">
              <w:rPr>
                <w:b w:val="0"/>
                <w:sz w:val="20"/>
                <w:szCs w:val="20"/>
                <w:lang w:eastAsia="cs-CZ"/>
              </w:rPr>
              <w:t>.</w:t>
            </w:r>
          </w:p>
        </w:tc>
      </w:tr>
    </w:tbl>
    <w:p w14:paraId="058A7189" w14:textId="77777777" w:rsidR="00A437E6" w:rsidRPr="00C14B99" w:rsidRDefault="00A437E6" w:rsidP="00AE7B1D">
      <w:pPr>
        <w:spacing w:after="0" w:line="240" w:lineRule="auto"/>
        <w:jc w:val="both"/>
        <w:rPr>
          <w:sz w:val="24"/>
          <w:szCs w:val="24"/>
          <w:lang w:eastAsia="cs-CZ"/>
        </w:rPr>
      </w:pPr>
    </w:p>
    <w:p w14:paraId="2B324FE4" w14:textId="37E2EBFD" w:rsidR="00AE7B1D" w:rsidRDefault="00AE7B1D" w:rsidP="00C14B99">
      <w:pPr>
        <w:spacing w:after="0" w:line="240" w:lineRule="auto"/>
        <w:jc w:val="both"/>
        <w:rPr>
          <w:sz w:val="24"/>
          <w:szCs w:val="24"/>
          <w:lang w:eastAsia="cs-CZ"/>
        </w:rPr>
      </w:pPr>
      <w:r w:rsidRPr="006F6C0A">
        <w:rPr>
          <w:i/>
          <w:sz w:val="24"/>
          <w:szCs w:val="24"/>
          <w:lang w:eastAsia="cs-CZ"/>
        </w:rPr>
        <w:t>„Důležitým znakem komunikace za účelem budování značky či posílení povědomí o značce je dlouhodobá konzistence</w:t>
      </w:r>
      <w:r w:rsidRPr="006F6C0A">
        <w:rPr>
          <w:sz w:val="24"/>
          <w:szCs w:val="24"/>
          <w:lang w:eastAsia="cs-CZ"/>
        </w:rPr>
        <w:t>“</w:t>
      </w:r>
      <w:r w:rsidRPr="006F6C0A">
        <w:rPr>
          <w:rStyle w:val="Znakapoznpodarou"/>
          <w:sz w:val="24"/>
          <w:szCs w:val="24"/>
          <w:lang w:eastAsia="cs-CZ"/>
        </w:rPr>
        <w:footnoteReference w:id="29"/>
      </w:r>
      <w:r w:rsidR="00BD7928">
        <w:rPr>
          <w:sz w:val="24"/>
          <w:szCs w:val="24"/>
          <w:lang w:eastAsia="cs-CZ"/>
        </w:rPr>
        <w:t>.</w:t>
      </w:r>
      <w:r w:rsidRPr="006F6C0A">
        <w:rPr>
          <w:sz w:val="24"/>
          <w:szCs w:val="24"/>
          <w:lang w:eastAsia="cs-CZ"/>
        </w:rPr>
        <w:t xml:space="preserve"> </w:t>
      </w:r>
      <w:r w:rsidR="00BD7928">
        <w:rPr>
          <w:sz w:val="24"/>
          <w:szCs w:val="24"/>
          <w:lang w:eastAsia="cs-CZ"/>
        </w:rPr>
        <w:t>K</w:t>
      </w:r>
      <w:r w:rsidRPr="006F6C0A">
        <w:rPr>
          <w:sz w:val="24"/>
          <w:szCs w:val="24"/>
          <w:lang w:eastAsia="cs-CZ"/>
        </w:rPr>
        <w:t>e zvýšení povědomí o pomoci z fondů EU, respektive z</w:t>
      </w:r>
      <w:r w:rsidR="00A51134">
        <w:rPr>
          <w:sz w:val="24"/>
          <w:szCs w:val="24"/>
          <w:lang w:eastAsia="cs-CZ"/>
        </w:rPr>
        <w:t xml:space="preserve"> jednotlivých </w:t>
      </w:r>
      <w:r w:rsidRPr="006F6C0A">
        <w:rPr>
          <w:sz w:val="24"/>
          <w:szCs w:val="24"/>
          <w:lang w:eastAsia="cs-CZ"/>
        </w:rPr>
        <w:t>OP</w:t>
      </w:r>
      <w:r w:rsidR="00B933A1">
        <w:rPr>
          <w:sz w:val="24"/>
          <w:szCs w:val="24"/>
          <w:lang w:eastAsia="cs-CZ"/>
        </w:rPr>
        <w:t>,</w:t>
      </w:r>
      <w:r w:rsidRPr="006F6C0A">
        <w:rPr>
          <w:sz w:val="24"/>
          <w:szCs w:val="24"/>
          <w:lang w:eastAsia="cs-CZ"/>
        </w:rPr>
        <w:t xml:space="preserve"> </w:t>
      </w:r>
      <w:r w:rsidR="00BD7928">
        <w:rPr>
          <w:sz w:val="24"/>
          <w:szCs w:val="24"/>
          <w:lang w:eastAsia="cs-CZ"/>
        </w:rPr>
        <w:t xml:space="preserve">je </w:t>
      </w:r>
      <w:r w:rsidR="00D26401">
        <w:rPr>
          <w:sz w:val="24"/>
          <w:szCs w:val="24"/>
          <w:lang w:eastAsia="cs-CZ"/>
        </w:rPr>
        <w:t xml:space="preserve">nutné </w:t>
      </w:r>
      <w:r w:rsidR="00BD7928">
        <w:rPr>
          <w:sz w:val="24"/>
          <w:szCs w:val="24"/>
          <w:lang w:eastAsia="cs-CZ"/>
        </w:rPr>
        <w:t xml:space="preserve">budovat </w:t>
      </w:r>
      <w:r w:rsidR="00D26401">
        <w:rPr>
          <w:sz w:val="24"/>
          <w:szCs w:val="24"/>
          <w:lang w:eastAsia="cs-CZ"/>
        </w:rPr>
        <w:t xml:space="preserve">povědomí </w:t>
      </w:r>
      <w:r w:rsidR="00C61E53">
        <w:rPr>
          <w:sz w:val="24"/>
          <w:szCs w:val="24"/>
          <w:lang w:eastAsia="cs-CZ"/>
        </w:rPr>
        <w:t xml:space="preserve">dlouhodobě a </w:t>
      </w:r>
      <w:r w:rsidRPr="006F6C0A">
        <w:rPr>
          <w:sz w:val="24"/>
          <w:szCs w:val="24"/>
          <w:lang w:eastAsia="cs-CZ"/>
        </w:rPr>
        <w:t>kontinuáln</w:t>
      </w:r>
      <w:r w:rsidR="00C61E53">
        <w:rPr>
          <w:sz w:val="24"/>
          <w:szCs w:val="24"/>
          <w:lang w:eastAsia="cs-CZ"/>
        </w:rPr>
        <w:t xml:space="preserve">ě. </w:t>
      </w:r>
      <w:r w:rsidR="00A61517">
        <w:rPr>
          <w:sz w:val="24"/>
          <w:szCs w:val="24"/>
          <w:lang w:eastAsia="cs-CZ"/>
        </w:rPr>
        <w:t xml:space="preserve">Tímto pravidlem se však neřídily všechny řídicí orgány. </w:t>
      </w:r>
      <w:r w:rsidRPr="00C61E53">
        <w:rPr>
          <w:b/>
          <w:sz w:val="24"/>
          <w:szCs w:val="24"/>
          <w:lang w:eastAsia="cs-CZ"/>
        </w:rPr>
        <w:t xml:space="preserve">Načasování mediálních kampaní </w:t>
      </w:r>
      <w:r w:rsidR="00A61517">
        <w:rPr>
          <w:b/>
          <w:sz w:val="24"/>
          <w:szCs w:val="24"/>
          <w:lang w:eastAsia="cs-CZ"/>
        </w:rPr>
        <w:t xml:space="preserve">bylo méně efektivní především </w:t>
      </w:r>
      <w:r w:rsidRPr="00C61E53">
        <w:rPr>
          <w:b/>
          <w:sz w:val="24"/>
          <w:szCs w:val="24"/>
          <w:lang w:eastAsia="cs-CZ"/>
        </w:rPr>
        <w:t>u OP VaVpI</w:t>
      </w:r>
      <w:r w:rsidR="00A61517">
        <w:rPr>
          <w:b/>
          <w:sz w:val="24"/>
          <w:szCs w:val="24"/>
          <w:lang w:eastAsia="cs-CZ"/>
        </w:rPr>
        <w:t xml:space="preserve">, kde </w:t>
      </w:r>
      <w:r w:rsidR="00392D38">
        <w:rPr>
          <w:b/>
          <w:sz w:val="24"/>
          <w:szCs w:val="24"/>
          <w:lang w:eastAsia="cs-CZ"/>
        </w:rPr>
        <w:t xml:space="preserve">byla </w:t>
      </w:r>
      <w:r w:rsidR="00A61517">
        <w:rPr>
          <w:b/>
          <w:sz w:val="24"/>
          <w:szCs w:val="24"/>
          <w:lang w:eastAsia="cs-CZ"/>
        </w:rPr>
        <w:t xml:space="preserve">většina spotů vysílána na </w:t>
      </w:r>
      <w:r w:rsidRPr="00C61E53">
        <w:rPr>
          <w:b/>
          <w:sz w:val="24"/>
          <w:szCs w:val="24"/>
          <w:lang w:eastAsia="cs-CZ"/>
        </w:rPr>
        <w:t xml:space="preserve">samém konci </w:t>
      </w:r>
      <w:r w:rsidR="00A61517">
        <w:rPr>
          <w:b/>
          <w:sz w:val="24"/>
          <w:szCs w:val="24"/>
          <w:lang w:eastAsia="cs-CZ"/>
        </w:rPr>
        <w:t xml:space="preserve">realizace operačního programu. </w:t>
      </w:r>
      <w:r w:rsidR="00C61E53">
        <w:rPr>
          <w:sz w:val="24"/>
          <w:szCs w:val="24"/>
          <w:lang w:eastAsia="cs-CZ"/>
        </w:rPr>
        <w:t xml:space="preserve">Přístup řídicího orgánu OP VaVpI </w:t>
      </w:r>
      <w:r w:rsidR="0072216E">
        <w:rPr>
          <w:sz w:val="24"/>
          <w:szCs w:val="24"/>
          <w:lang w:eastAsia="cs-CZ"/>
        </w:rPr>
        <w:t xml:space="preserve">k </w:t>
      </w:r>
      <w:r w:rsidR="0072216E" w:rsidRPr="0072216E">
        <w:rPr>
          <w:sz w:val="24"/>
          <w:szCs w:val="24"/>
          <w:lang w:eastAsia="cs-CZ"/>
        </w:rPr>
        <w:t>časové</w:t>
      </w:r>
      <w:r w:rsidR="0072216E">
        <w:rPr>
          <w:sz w:val="24"/>
          <w:szCs w:val="24"/>
          <w:lang w:eastAsia="cs-CZ"/>
        </w:rPr>
        <w:t>mu</w:t>
      </w:r>
      <w:r w:rsidR="0072216E" w:rsidRPr="0072216E">
        <w:rPr>
          <w:sz w:val="24"/>
          <w:szCs w:val="24"/>
          <w:lang w:eastAsia="cs-CZ"/>
        </w:rPr>
        <w:t xml:space="preserve"> nasazení </w:t>
      </w:r>
      <w:r w:rsidR="0072216E">
        <w:rPr>
          <w:sz w:val="24"/>
          <w:szCs w:val="24"/>
          <w:lang w:eastAsia="cs-CZ"/>
        </w:rPr>
        <w:t xml:space="preserve">kampaní </w:t>
      </w:r>
      <w:r w:rsidR="0072216E" w:rsidRPr="0072216E">
        <w:rPr>
          <w:sz w:val="24"/>
          <w:szCs w:val="24"/>
          <w:lang w:eastAsia="cs-CZ"/>
        </w:rPr>
        <w:t>evokuje, že jedním z důvodů mohlo být mimo jiné „dosažení uspokojivého čerpání“ peněžních prostředků.</w:t>
      </w:r>
      <w:r>
        <w:rPr>
          <w:sz w:val="24"/>
          <w:szCs w:val="24"/>
          <w:lang w:eastAsia="cs-CZ"/>
        </w:rPr>
        <w:t xml:space="preserve"> </w:t>
      </w:r>
      <w:r w:rsidR="00A61517" w:rsidRPr="006F4228">
        <w:rPr>
          <w:b/>
          <w:sz w:val="24"/>
          <w:szCs w:val="24"/>
          <w:lang w:eastAsia="cs-CZ"/>
        </w:rPr>
        <w:t xml:space="preserve">Skutečně kontinuální přístup k načasování TV kampaní </w:t>
      </w:r>
      <w:r w:rsidR="003E16DD" w:rsidRPr="006F4228">
        <w:rPr>
          <w:b/>
          <w:sz w:val="24"/>
          <w:szCs w:val="24"/>
          <w:lang w:eastAsia="cs-CZ"/>
        </w:rPr>
        <w:t xml:space="preserve">byl </w:t>
      </w:r>
      <w:r w:rsidR="00A61517" w:rsidRPr="006F4228">
        <w:rPr>
          <w:b/>
          <w:sz w:val="24"/>
          <w:szCs w:val="24"/>
          <w:lang w:eastAsia="cs-CZ"/>
        </w:rPr>
        <w:t>patrný pouze u OP LZZ.</w:t>
      </w:r>
      <w:r w:rsidR="00A61517">
        <w:rPr>
          <w:sz w:val="24"/>
          <w:szCs w:val="24"/>
          <w:lang w:eastAsia="cs-CZ"/>
        </w:rPr>
        <w:t xml:space="preserve"> Odlišné </w:t>
      </w:r>
      <w:r w:rsidR="003D5905">
        <w:rPr>
          <w:sz w:val="24"/>
          <w:szCs w:val="24"/>
          <w:lang w:eastAsia="cs-CZ"/>
        </w:rPr>
        <w:t>rozlož</w:t>
      </w:r>
      <w:r w:rsidR="00A61517">
        <w:rPr>
          <w:sz w:val="24"/>
          <w:szCs w:val="24"/>
          <w:lang w:eastAsia="cs-CZ"/>
        </w:rPr>
        <w:t xml:space="preserve">ení </w:t>
      </w:r>
      <w:r w:rsidR="003D5905">
        <w:rPr>
          <w:sz w:val="24"/>
          <w:szCs w:val="24"/>
          <w:lang w:eastAsia="cs-CZ"/>
        </w:rPr>
        <w:t xml:space="preserve">mediálních kampaní je </w:t>
      </w:r>
      <w:r w:rsidR="00A61517">
        <w:rPr>
          <w:sz w:val="24"/>
          <w:szCs w:val="24"/>
          <w:lang w:eastAsia="cs-CZ"/>
        </w:rPr>
        <w:t xml:space="preserve">zřejmé z časové </w:t>
      </w:r>
      <w:r w:rsidR="00843ED9">
        <w:rPr>
          <w:sz w:val="24"/>
          <w:szCs w:val="24"/>
          <w:lang w:eastAsia="cs-CZ"/>
        </w:rPr>
        <w:t>osy</w:t>
      </w:r>
      <w:r w:rsidR="003D5905">
        <w:rPr>
          <w:sz w:val="24"/>
          <w:szCs w:val="24"/>
          <w:lang w:eastAsia="cs-CZ"/>
        </w:rPr>
        <w:t xml:space="preserve"> uvedené v gra</w:t>
      </w:r>
      <w:r w:rsidR="00A61517">
        <w:rPr>
          <w:sz w:val="24"/>
          <w:szCs w:val="24"/>
          <w:lang w:eastAsia="cs-CZ"/>
        </w:rPr>
        <w:t>f</w:t>
      </w:r>
      <w:r w:rsidR="003D5905">
        <w:rPr>
          <w:sz w:val="24"/>
          <w:szCs w:val="24"/>
          <w:lang w:eastAsia="cs-CZ"/>
        </w:rPr>
        <w:t>u časování te</w:t>
      </w:r>
      <w:r>
        <w:rPr>
          <w:sz w:val="24"/>
          <w:szCs w:val="24"/>
          <w:lang w:eastAsia="cs-CZ"/>
        </w:rPr>
        <w:t>levizních a rozhlasových kampaní.</w:t>
      </w:r>
    </w:p>
    <w:p w14:paraId="442F9D5E" w14:textId="77777777" w:rsidR="004E6387" w:rsidRDefault="004E6387" w:rsidP="00C14B99">
      <w:pPr>
        <w:spacing w:after="0" w:line="240" w:lineRule="auto"/>
        <w:jc w:val="both"/>
        <w:rPr>
          <w:sz w:val="24"/>
          <w:szCs w:val="24"/>
          <w:lang w:eastAsia="cs-CZ"/>
        </w:rPr>
      </w:pPr>
    </w:p>
    <w:p w14:paraId="71B4FA2F" w14:textId="4C230B61" w:rsidR="007E135C" w:rsidRPr="00FB7EBF" w:rsidRDefault="00B43772" w:rsidP="00C14B99">
      <w:pPr>
        <w:spacing w:after="40" w:line="240" w:lineRule="auto"/>
        <w:jc w:val="both"/>
        <w:rPr>
          <w:b/>
          <w:sz w:val="24"/>
          <w:szCs w:val="24"/>
          <w:lang w:eastAsia="cs-CZ"/>
        </w:rPr>
      </w:pPr>
      <w:r w:rsidRPr="00FB7EBF">
        <w:rPr>
          <w:b/>
          <w:sz w:val="24"/>
          <w:szCs w:val="24"/>
          <w:lang w:eastAsia="cs-CZ"/>
        </w:rPr>
        <w:t xml:space="preserve">Graf č. </w:t>
      </w:r>
      <w:r w:rsidR="0018379A" w:rsidRPr="00FB7EBF">
        <w:rPr>
          <w:b/>
          <w:sz w:val="24"/>
          <w:szCs w:val="24"/>
          <w:lang w:eastAsia="cs-CZ"/>
        </w:rPr>
        <w:t>2</w:t>
      </w:r>
      <w:r w:rsidR="00A43E17" w:rsidRPr="00FB7EBF">
        <w:rPr>
          <w:b/>
          <w:sz w:val="24"/>
          <w:szCs w:val="24"/>
          <w:lang w:eastAsia="cs-CZ"/>
        </w:rPr>
        <w:t xml:space="preserve"> </w:t>
      </w:r>
      <w:r w:rsidR="00CA31B3">
        <w:rPr>
          <w:b/>
          <w:sz w:val="24"/>
          <w:szCs w:val="24"/>
          <w:lang w:eastAsia="cs-CZ"/>
        </w:rPr>
        <w:t xml:space="preserve">– </w:t>
      </w:r>
      <w:r w:rsidR="00A43E17" w:rsidRPr="00FB7EBF">
        <w:rPr>
          <w:b/>
          <w:sz w:val="24"/>
          <w:szCs w:val="24"/>
          <w:lang w:eastAsia="cs-CZ"/>
        </w:rPr>
        <w:t xml:space="preserve">Časový přehled </w:t>
      </w:r>
      <w:r w:rsidR="001C57A6" w:rsidRPr="00FB7EBF">
        <w:rPr>
          <w:b/>
          <w:sz w:val="24"/>
          <w:szCs w:val="24"/>
          <w:lang w:eastAsia="cs-CZ"/>
        </w:rPr>
        <w:t>realizac</w:t>
      </w:r>
      <w:r w:rsidR="008F4342">
        <w:rPr>
          <w:b/>
          <w:sz w:val="24"/>
          <w:szCs w:val="24"/>
          <w:lang w:eastAsia="cs-CZ"/>
        </w:rPr>
        <w:t>e</w:t>
      </w:r>
      <w:r w:rsidR="001C57A6" w:rsidRPr="00FB7EBF">
        <w:rPr>
          <w:b/>
          <w:sz w:val="24"/>
          <w:szCs w:val="24"/>
          <w:lang w:eastAsia="cs-CZ"/>
        </w:rPr>
        <w:t xml:space="preserve"> </w:t>
      </w:r>
      <w:r w:rsidR="00A43E17" w:rsidRPr="00FB7EBF">
        <w:rPr>
          <w:b/>
          <w:sz w:val="24"/>
          <w:szCs w:val="24"/>
          <w:lang w:eastAsia="cs-CZ"/>
        </w:rPr>
        <w:t>televizních a rozhlasových kampaní</w:t>
      </w:r>
    </w:p>
    <w:p w14:paraId="46EED183" w14:textId="77777777" w:rsidR="00B843D4" w:rsidRDefault="00B843D4" w:rsidP="00C14B99">
      <w:pPr>
        <w:spacing w:after="0" w:line="240" w:lineRule="auto"/>
        <w:jc w:val="center"/>
        <w:rPr>
          <w:i/>
          <w:sz w:val="24"/>
          <w:szCs w:val="24"/>
          <w:lang w:eastAsia="cs-CZ"/>
        </w:rPr>
      </w:pPr>
      <w:r w:rsidRPr="00B843D4">
        <w:rPr>
          <w:noProof/>
          <w:lang w:eastAsia="cs-CZ"/>
        </w:rPr>
        <w:drawing>
          <wp:inline distT="0" distB="0" distL="0" distR="0" wp14:anchorId="6B1F9146" wp14:editId="35150B03">
            <wp:extent cx="5722839" cy="1728000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839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872EB" w14:textId="1D1D0864" w:rsidR="00B843D4" w:rsidRPr="00746A6D" w:rsidRDefault="00B843D4" w:rsidP="00C14B99">
      <w:pPr>
        <w:spacing w:before="40" w:after="0" w:line="240" w:lineRule="auto"/>
        <w:jc w:val="both"/>
        <w:rPr>
          <w:sz w:val="20"/>
          <w:szCs w:val="20"/>
          <w:lang w:eastAsia="cs-CZ"/>
        </w:rPr>
      </w:pPr>
      <w:r w:rsidRPr="00F94DC8">
        <w:rPr>
          <w:b/>
          <w:sz w:val="20"/>
          <w:szCs w:val="20"/>
          <w:lang w:eastAsia="cs-CZ"/>
        </w:rPr>
        <w:t>Zdroj:</w:t>
      </w:r>
      <w:r w:rsidRPr="00746A6D">
        <w:rPr>
          <w:sz w:val="20"/>
          <w:szCs w:val="20"/>
          <w:lang w:eastAsia="cs-CZ"/>
        </w:rPr>
        <w:t xml:space="preserve"> </w:t>
      </w:r>
      <w:r w:rsidR="0039020E">
        <w:rPr>
          <w:sz w:val="20"/>
          <w:szCs w:val="20"/>
          <w:lang w:eastAsia="cs-CZ"/>
        </w:rPr>
        <w:t>podklady předané</w:t>
      </w:r>
      <w:r w:rsidR="004262B3" w:rsidRPr="00746A6D">
        <w:rPr>
          <w:sz w:val="20"/>
          <w:szCs w:val="20"/>
          <w:lang w:eastAsia="cs-CZ"/>
        </w:rPr>
        <w:t xml:space="preserve"> </w:t>
      </w:r>
      <w:r w:rsidRPr="00746A6D">
        <w:rPr>
          <w:sz w:val="20"/>
          <w:szCs w:val="20"/>
          <w:lang w:eastAsia="cs-CZ"/>
        </w:rPr>
        <w:t xml:space="preserve">NKÚ </w:t>
      </w:r>
      <w:r w:rsidR="0039020E">
        <w:rPr>
          <w:sz w:val="20"/>
          <w:szCs w:val="20"/>
          <w:lang w:eastAsia="cs-CZ"/>
        </w:rPr>
        <w:t>od</w:t>
      </w:r>
      <w:r w:rsidR="004262B3" w:rsidRPr="00746A6D">
        <w:rPr>
          <w:sz w:val="20"/>
          <w:szCs w:val="20"/>
          <w:lang w:eastAsia="cs-CZ"/>
        </w:rPr>
        <w:t xml:space="preserve"> řídicích orgánů</w:t>
      </w:r>
      <w:r w:rsidR="00F94DC8">
        <w:rPr>
          <w:sz w:val="20"/>
          <w:szCs w:val="20"/>
          <w:lang w:eastAsia="cs-CZ"/>
        </w:rPr>
        <w:t>.</w:t>
      </w:r>
    </w:p>
    <w:p w14:paraId="3A8D8387" w14:textId="77777777" w:rsidR="006A6D0A" w:rsidRPr="00C14B99" w:rsidRDefault="006A6D0A" w:rsidP="00C14B99">
      <w:pPr>
        <w:spacing w:after="0" w:line="240" w:lineRule="auto"/>
        <w:jc w:val="both"/>
        <w:rPr>
          <w:color w:val="000000" w:themeColor="text1"/>
          <w:sz w:val="24"/>
          <w:szCs w:val="24"/>
          <w:lang w:eastAsia="cs-CZ"/>
        </w:rPr>
      </w:pPr>
    </w:p>
    <w:p w14:paraId="61FBA9EF" w14:textId="58D345A6" w:rsidR="00DF120A" w:rsidRPr="00C14B99" w:rsidRDefault="00DF120A" w:rsidP="00C14B99">
      <w:pPr>
        <w:spacing w:after="0" w:line="240" w:lineRule="auto"/>
        <w:jc w:val="both"/>
        <w:rPr>
          <w:color w:val="000000" w:themeColor="text1"/>
          <w:sz w:val="24"/>
          <w:szCs w:val="24"/>
          <w:lang w:eastAsia="cs-CZ"/>
        </w:rPr>
      </w:pPr>
      <w:r w:rsidRPr="00C14B99">
        <w:rPr>
          <w:b/>
          <w:color w:val="000000" w:themeColor="text1"/>
          <w:sz w:val="24"/>
          <w:szCs w:val="24"/>
          <w:lang w:eastAsia="cs-CZ"/>
        </w:rPr>
        <w:t>MPSV nepředložilo v mediálních kampaních určených veřejnosti žádné informace o tom, že projekty ESF, respektive OP LZZ</w:t>
      </w:r>
      <w:r w:rsidR="0039020E">
        <w:rPr>
          <w:b/>
          <w:color w:val="000000" w:themeColor="text1"/>
          <w:sz w:val="24"/>
          <w:szCs w:val="24"/>
          <w:lang w:eastAsia="cs-CZ"/>
        </w:rPr>
        <w:t xml:space="preserve">, </w:t>
      </w:r>
      <w:r w:rsidR="0039020E" w:rsidRPr="00C14B99">
        <w:rPr>
          <w:b/>
          <w:color w:val="000000" w:themeColor="text1"/>
          <w:sz w:val="24"/>
          <w:szCs w:val="24"/>
          <w:lang w:eastAsia="cs-CZ"/>
        </w:rPr>
        <w:t>byly</w:t>
      </w:r>
      <w:r w:rsidRPr="00C14B99">
        <w:rPr>
          <w:b/>
          <w:color w:val="000000" w:themeColor="text1"/>
          <w:sz w:val="24"/>
          <w:szCs w:val="24"/>
          <w:lang w:eastAsia="cs-CZ"/>
        </w:rPr>
        <w:t xml:space="preserve"> spolufinancovány též ze státního rozpočtu České republiky</w:t>
      </w:r>
      <w:r w:rsidRPr="00C14B99">
        <w:rPr>
          <w:rStyle w:val="Znakapoznpodarou"/>
          <w:b/>
          <w:color w:val="000000" w:themeColor="text1"/>
          <w:sz w:val="24"/>
          <w:szCs w:val="24"/>
          <w:lang w:eastAsia="cs-CZ"/>
        </w:rPr>
        <w:footnoteReference w:id="30"/>
      </w:r>
      <w:r w:rsidRPr="00C14B99">
        <w:rPr>
          <w:b/>
          <w:color w:val="000000" w:themeColor="text1"/>
          <w:sz w:val="24"/>
          <w:szCs w:val="24"/>
          <w:lang w:eastAsia="cs-CZ"/>
        </w:rPr>
        <w:t xml:space="preserve">. </w:t>
      </w:r>
      <w:r w:rsidRPr="00C14B99">
        <w:rPr>
          <w:color w:val="000000" w:themeColor="text1"/>
          <w:sz w:val="24"/>
          <w:szCs w:val="24"/>
          <w:lang w:eastAsia="cs-CZ"/>
        </w:rPr>
        <w:t>ESF byl prezentován samostatně jako „značka“</w:t>
      </w:r>
      <w:r w:rsidR="00F94DC8" w:rsidRPr="00C14B99">
        <w:rPr>
          <w:color w:val="000000" w:themeColor="text1"/>
          <w:sz w:val="24"/>
          <w:szCs w:val="24"/>
          <w:lang w:eastAsia="cs-CZ"/>
        </w:rPr>
        <w:t xml:space="preserve"> a snaha o zvyšování povědomí o </w:t>
      </w:r>
      <w:r w:rsidRPr="00C14B99">
        <w:rPr>
          <w:color w:val="000000" w:themeColor="text1"/>
          <w:sz w:val="24"/>
          <w:szCs w:val="24"/>
          <w:lang w:eastAsia="cs-CZ"/>
        </w:rPr>
        <w:t>„znač</w:t>
      </w:r>
      <w:r w:rsidR="00F94DC8" w:rsidRPr="00C14B99">
        <w:rPr>
          <w:color w:val="000000" w:themeColor="text1"/>
          <w:sz w:val="24"/>
          <w:szCs w:val="24"/>
          <w:lang w:eastAsia="cs-CZ"/>
        </w:rPr>
        <w:t>ce ESF“ byla v ČR v letech 2007–</w:t>
      </w:r>
      <w:r w:rsidRPr="00C14B99">
        <w:rPr>
          <w:color w:val="000000" w:themeColor="text1"/>
          <w:sz w:val="24"/>
          <w:szCs w:val="24"/>
          <w:lang w:eastAsia="cs-CZ"/>
        </w:rPr>
        <w:t xml:space="preserve">2015 ve srovnání s propagací ostatních fondů </w:t>
      </w:r>
      <w:r w:rsidR="001C57A6" w:rsidRPr="00C14B99">
        <w:rPr>
          <w:color w:val="000000" w:themeColor="text1"/>
          <w:sz w:val="24"/>
          <w:szCs w:val="24"/>
          <w:lang w:eastAsia="cs-CZ"/>
        </w:rPr>
        <w:t xml:space="preserve">EU </w:t>
      </w:r>
      <w:r w:rsidRPr="00C14B99">
        <w:rPr>
          <w:color w:val="000000" w:themeColor="text1"/>
          <w:sz w:val="24"/>
          <w:szCs w:val="24"/>
          <w:lang w:eastAsia="cs-CZ"/>
        </w:rPr>
        <w:t>mnohem viditelnější.</w:t>
      </w:r>
      <w:r w:rsidRPr="00C14B99">
        <w:rPr>
          <w:rStyle w:val="Znakapoznpodarou"/>
          <w:color w:val="000000" w:themeColor="text1"/>
          <w:sz w:val="24"/>
          <w:szCs w:val="24"/>
          <w:lang w:eastAsia="cs-CZ"/>
        </w:rPr>
        <w:footnoteReference w:id="31"/>
      </w:r>
      <w:r w:rsidRPr="00C14B99">
        <w:rPr>
          <w:color w:val="000000" w:themeColor="text1"/>
          <w:sz w:val="24"/>
          <w:szCs w:val="24"/>
          <w:lang w:eastAsia="cs-CZ"/>
        </w:rPr>
        <w:t xml:space="preserve"> Například </w:t>
      </w:r>
      <w:r w:rsidRPr="00C14B99">
        <w:rPr>
          <w:b/>
          <w:color w:val="000000" w:themeColor="text1"/>
          <w:sz w:val="24"/>
          <w:szCs w:val="24"/>
          <w:lang w:eastAsia="cs-CZ"/>
        </w:rPr>
        <w:t xml:space="preserve">EFRR jako fond EU nebyl v ČR samostatně propagován vůbec, ačkoliv pomoc poskytnutá České republice z tohoto </w:t>
      </w:r>
      <w:r w:rsidR="005B4A95" w:rsidRPr="00C14B99">
        <w:rPr>
          <w:b/>
          <w:color w:val="000000" w:themeColor="text1"/>
          <w:sz w:val="24"/>
          <w:szCs w:val="24"/>
          <w:lang w:eastAsia="cs-CZ"/>
        </w:rPr>
        <w:t>fondu v programovém období 2007–</w:t>
      </w:r>
      <w:r w:rsidRPr="00C14B99">
        <w:rPr>
          <w:b/>
          <w:color w:val="000000" w:themeColor="text1"/>
          <w:sz w:val="24"/>
          <w:szCs w:val="24"/>
          <w:lang w:eastAsia="cs-CZ"/>
        </w:rPr>
        <w:t>2013 představ</w:t>
      </w:r>
      <w:r w:rsidR="004E455B" w:rsidRPr="00C14B99">
        <w:rPr>
          <w:b/>
          <w:color w:val="000000" w:themeColor="text1"/>
          <w:sz w:val="24"/>
          <w:szCs w:val="24"/>
          <w:lang w:eastAsia="cs-CZ"/>
        </w:rPr>
        <w:t xml:space="preserve">ovala </w:t>
      </w:r>
      <w:r w:rsidRPr="00C14B99">
        <w:rPr>
          <w:b/>
          <w:color w:val="000000" w:themeColor="text1"/>
          <w:sz w:val="24"/>
          <w:szCs w:val="24"/>
          <w:lang w:eastAsia="cs-CZ"/>
        </w:rPr>
        <w:t>52 %,</w:t>
      </w:r>
      <w:r w:rsidRPr="00C14B99">
        <w:rPr>
          <w:color w:val="000000" w:themeColor="text1"/>
          <w:sz w:val="24"/>
          <w:szCs w:val="24"/>
          <w:lang w:eastAsia="cs-CZ"/>
        </w:rPr>
        <w:t xml:space="preserve"> tj. třiapůlkrát více než pomoc z ESF. Porovnání podíl</w:t>
      </w:r>
      <w:r w:rsidR="0039020E">
        <w:rPr>
          <w:color w:val="000000" w:themeColor="text1"/>
          <w:sz w:val="24"/>
          <w:szCs w:val="24"/>
          <w:lang w:eastAsia="cs-CZ"/>
        </w:rPr>
        <w:t>ů</w:t>
      </w:r>
      <w:r w:rsidRPr="00C14B99">
        <w:rPr>
          <w:color w:val="000000" w:themeColor="text1"/>
          <w:sz w:val="24"/>
          <w:szCs w:val="24"/>
          <w:lang w:eastAsia="cs-CZ"/>
        </w:rPr>
        <w:t xml:space="preserve"> </w:t>
      </w:r>
      <w:r w:rsidR="004B6AF6" w:rsidRPr="00C14B99">
        <w:rPr>
          <w:color w:val="000000" w:themeColor="text1"/>
          <w:sz w:val="24"/>
          <w:szCs w:val="24"/>
          <w:lang w:eastAsia="cs-CZ"/>
        </w:rPr>
        <w:t xml:space="preserve">jednotlivých </w:t>
      </w:r>
      <w:r w:rsidRPr="00C14B99">
        <w:rPr>
          <w:color w:val="000000" w:themeColor="text1"/>
          <w:sz w:val="24"/>
          <w:szCs w:val="24"/>
          <w:lang w:eastAsia="cs-CZ"/>
        </w:rPr>
        <w:t>fondů EU na celkovém čerpání v ČR uvádí tabulka</w:t>
      </w:r>
      <w:r w:rsidR="0039020E">
        <w:rPr>
          <w:color w:val="000000" w:themeColor="text1"/>
          <w:sz w:val="24"/>
          <w:szCs w:val="24"/>
          <w:lang w:eastAsia="cs-CZ"/>
        </w:rPr>
        <w:t xml:space="preserve"> č. 2.</w:t>
      </w:r>
      <w:r w:rsidRPr="00C14B99">
        <w:rPr>
          <w:color w:val="000000" w:themeColor="text1"/>
          <w:sz w:val="24"/>
          <w:szCs w:val="24"/>
          <w:lang w:eastAsia="cs-CZ"/>
        </w:rPr>
        <w:t xml:space="preserve"> </w:t>
      </w:r>
    </w:p>
    <w:p w14:paraId="0EB31224" w14:textId="77777777" w:rsidR="0054558B" w:rsidRPr="00C14B99" w:rsidRDefault="0054558B" w:rsidP="00C14B99">
      <w:pPr>
        <w:spacing w:after="0" w:line="240" w:lineRule="auto"/>
        <w:jc w:val="both"/>
        <w:rPr>
          <w:color w:val="000000" w:themeColor="text1"/>
          <w:sz w:val="24"/>
          <w:szCs w:val="24"/>
          <w:lang w:eastAsia="cs-CZ"/>
        </w:rPr>
      </w:pPr>
    </w:p>
    <w:p w14:paraId="63C00ACD" w14:textId="77777777" w:rsidR="008A6D76" w:rsidRDefault="008A6D76">
      <w:pPr>
        <w:rPr>
          <w:b/>
          <w:color w:val="000000" w:themeColor="text1"/>
          <w:sz w:val="24"/>
          <w:szCs w:val="24"/>
          <w:lang w:eastAsia="cs-CZ"/>
        </w:rPr>
      </w:pPr>
      <w:r>
        <w:rPr>
          <w:b/>
          <w:color w:val="000000" w:themeColor="text1"/>
          <w:sz w:val="24"/>
          <w:szCs w:val="24"/>
          <w:lang w:eastAsia="cs-CZ"/>
        </w:rPr>
        <w:br w:type="page"/>
      </w:r>
    </w:p>
    <w:p w14:paraId="06CB9A2A" w14:textId="1F99A0F1" w:rsidR="00DF120A" w:rsidRPr="0095046F" w:rsidRDefault="00DF120A" w:rsidP="000B6DDB">
      <w:pPr>
        <w:spacing w:after="40" w:line="240" w:lineRule="auto"/>
        <w:jc w:val="both"/>
        <w:rPr>
          <w:b/>
          <w:color w:val="000000" w:themeColor="text1"/>
          <w:sz w:val="24"/>
          <w:szCs w:val="24"/>
          <w:lang w:eastAsia="cs-CZ"/>
        </w:rPr>
      </w:pPr>
      <w:r w:rsidRPr="0095046F">
        <w:rPr>
          <w:b/>
          <w:color w:val="000000" w:themeColor="text1"/>
          <w:sz w:val="24"/>
          <w:szCs w:val="24"/>
          <w:lang w:eastAsia="cs-CZ"/>
        </w:rPr>
        <w:lastRenderedPageBreak/>
        <w:t xml:space="preserve">Tabulka č. </w:t>
      </w:r>
      <w:r w:rsidR="0039020E">
        <w:rPr>
          <w:b/>
          <w:color w:val="000000" w:themeColor="text1"/>
          <w:sz w:val="24"/>
          <w:szCs w:val="24"/>
          <w:lang w:eastAsia="cs-CZ"/>
        </w:rPr>
        <w:t>2</w:t>
      </w:r>
      <w:r w:rsidRPr="0095046F">
        <w:rPr>
          <w:b/>
          <w:color w:val="000000" w:themeColor="text1"/>
          <w:sz w:val="24"/>
          <w:szCs w:val="24"/>
          <w:lang w:eastAsia="cs-CZ"/>
        </w:rPr>
        <w:t xml:space="preserve"> </w:t>
      </w:r>
      <w:r w:rsidR="00D205EE">
        <w:rPr>
          <w:b/>
          <w:color w:val="000000" w:themeColor="text1"/>
          <w:sz w:val="24"/>
          <w:szCs w:val="24"/>
          <w:lang w:eastAsia="cs-CZ"/>
        </w:rPr>
        <w:t xml:space="preserve">– </w:t>
      </w:r>
      <w:r w:rsidRPr="0095046F">
        <w:rPr>
          <w:b/>
          <w:color w:val="000000" w:themeColor="text1"/>
          <w:sz w:val="24"/>
          <w:szCs w:val="24"/>
          <w:lang w:eastAsia="cs-CZ"/>
        </w:rPr>
        <w:t>Podíl</w:t>
      </w:r>
      <w:r w:rsidR="0039020E">
        <w:rPr>
          <w:b/>
          <w:color w:val="000000" w:themeColor="text1"/>
          <w:sz w:val="24"/>
          <w:szCs w:val="24"/>
          <w:lang w:eastAsia="cs-CZ"/>
        </w:rPr>
        <w:t>y</w:t>
      </w:r>
      <w:r w:rsidRPr="0095046F">
        <w:rPr>
          <w:b/>
          <w:color w:val="000000" w:themeColor="text1"/>
          <w:sz w:val="24"/>
          <w:szCs w:val="24"/>
          <w:lang w:eastAsia="cs-CZ"/>
        </w:rPr>
        <w:t xml:space="preserve"> jednotlivých fondů EU na čerpání pomoci v ČR</w:t>
      </w:r>
    </w:p>
    <w:tbl>
      <w:tblPr>
        <w:tblW w:w="88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3120"/>
        <w:gridCol w:w="1680"/>
      </w:tblGrid>
      <w:tr w:rsidR="00DF120A" w:rsidRPr="00C14B99" w14:paraId="1D5CED4D" w14:textId="77777777" w:rsidTr="00C14B99">
        <w:trPr>
          <w:cantSplit/>
          <w:trHeight w:val="227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E601BE" w14:textId="77777777" w:rsidR="00DF120A" w:rsidRPr="00C14B99" w:rsidRDefault="00DF120A" w:rsidP="00C14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4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fondu EU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DDB09C" w14:textId="77777777" w:rsidR="00DF120A" w:rsidRPr="00C14B99" w:rsidRDefault="00DF120A" w:rsidP="00C14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4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Čerpání - prostředky proplacené příjemcům k 31. 12. 2015 </w:t>
            </w:r>
            <w:r w:rsidR="00C14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C14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(v mil. Kč)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0CD41AA" w14:textId="77777777" w:rsidR="00DF120A" w:rsidRPr="00C14B99" w:rsidRDefault="00DF120A" w:rsidP="00C14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4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Podíl</w:t>
            </w:r>
            <w:r w:rsidR="00C14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14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 celkovém čerpání NSRR</w:t>
            </w:r>
          </w:p>
        </w:tc>
      </w:tr>
      <w:tr w:rsidR="00DF120A" w:rsidRPr="00C14B99" w14:paraId="11FD4660" w14:textId="77777777" w:rsidTr="00C14B99">
        <w:trPr>
          <w:cantSplit/>
          <w:trHeight w:val="227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74F3" w14:textId="77777777" w:rsidR="00DF120A" w:rsidRPr="00C14B99" w:rsidRDefault="00DF120A" w:rsidP="00C14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4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Evropský sociální fond (ESF)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36D1" w14:textId="77777777" w:rsidR="00DF120A" w:rsidRPr="00C14B99" w:rsidRDefault="00DF120A" w:rsidP="00C14B99">
            <w:pPr>
              <w:spacing w:after="0" w:line="240" w:lineRule="auto"/>
              <w:ind w:right="316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4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89 527,2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2ADAA" w14:textId="77777777" w:rsidR="00DF120A" w:rsidRPr="00C14B99" w:rsidRDefault="00DF120A" w:rsidP="00C14B99">
            <w:pPr>
              <w:spacing w:after="0" w:line="240" w:lineRule="auto"/>
              <w:ind w:right="29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4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  <w:r w:rsidR="006D043F" w:rsidRPr="00C14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14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DF120A" w:rsidRPr="00C14B99" w14:paraId="5004FDBF" w14:textId="77777777" w:rsidTr="00C14B99">
        <w:trPr>
          <w:cantSplit/>
          <w:trHeight w:val="227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8ED7" w14:textId="77777777" w:rsidR="00DF120A" w:rsidRPr="00C14B99" w:rsidRDefault="00DF120A" w:rsidP="00C14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4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Evropský fond pro regionální rozvoj (EFRR)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B043" w14:textId="77777777" w:rsidR="00DF120A" w:rsidRPr="00C14B99" w:rsidRDefault="00DF120A" w:rsidP="00C14B99">
            <w:pPr>
              <w:spacing w:after="0" w:line="240" w:lineRule="auto"/>
              <w:ind w:right="316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4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330 923,1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3D23B" w14:textId="77777777" w:rsidR="00DF120A" w:rsidRPr="00C14B99" w:rsidRDefault="00DF120A" w:rsidP="00C14B99">
            <w:pPr>
              <w:spacing w:after="0" w:line="240" w:lineRule="auto"/>
              <w:ind w:right="29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4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52</w:t>
            </w:r>
            <w:r w:rsidR="006D043F" w:rsidRPr="00C14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14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DF120A" w:rsidRPr="00C14B99" w14:paraId="6BFA6005" w14:textId="77777777" w:rsidTr="00C14B99">
        <w:trPr>
          <w:cantSplit/>
          <w:trHeight w:val="227"/>
        </w:trPr>
        <w:tc>
          <w:tcPr>
            <w:tcW w:w="406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59D5" w14:textId="77777777" w:rsidR="00DF120A" w:rsidRPr="00C14B99" w:rsidRDefault="00DF120A" w:rsidP="00C14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4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Fond soudržnosti (FS)</w:t>
            </w:r>
          </w:p>
        </w:tc>
        <w:tc>
          <w:tcPr>
            <w:tcW w:w="3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2B3A" w14:textId="77777777" w:rsidR="00DF120A" w:rsidRPr="00C14B99" w:rsidRDefault="00DF120A" w:rsidP="00C14B99">
            <w:pPr>
              <w:spacing w:after="0" w:line="240" w:lineRule="auto"/>
              <w:ind w:right="316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4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216 272,8</w:t>
            </w:r>
          </w:p>
        </w:tc>
        <w:tc>
          <w:tcPr>
            <w:tcW w:w="16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D2AA9" w14:textId="77777777" w:rsidR="00DF120A" w:rsidRPr="00C14B99" w:rsidRDefault="00DF120A" w:rsidP="00C14B99">
            <w:pPr>
              <w:spacing w:after="0" w:line="240" w:lineRule="auto"/>
              <w:ind w:right="295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14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</w:t>
            </w:r>
            <w:r w:rsidR="006D043F" w:rsidRPr="00C14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14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  <w:tr w:rsidR="00DF120A" w:rsidRPr="00C14B99" w14:paraId="5CC8C489" w14:textId="77777777" w:rsidTr="00C14B99">
        <w:trPr>
          <w:cantSplit/>
          <w:trHeight w:val="227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9CB8" w14:textId="77777777" w:rsidR="00DF120A" w:rsidRPr="00C14B99" w:rsidRDefault="00DF120A" w:rsidP="00C14B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4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Národní strategický referenční rámec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3741" w14:textId="77777777" w:rsidR="00DF120A" w:rsidRPr="00C14B99" w:rsidRDefault="00DF120A" w:rsidP="00C14B99">
            <w:pPr>
              <w:spacing w:after="0" w:line="240" w:lineRule="auto"/>
              <w:ind w:right="316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4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636 723,1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B8E8E" w14:textId="77777777" w:rsidR="00DF120A" w:rsidRPr="00C14B99" w:rsidRDefault="00DF120A" w:rsidP="00C14B99">
            <w:pPr>
              <w:spacing w:after="0" w:line="240" w:lineRule="auto"/>
              <w:ind w:right="295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14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100</w:t>
            </w:r>
            <w:r w:rsidR="006D043F" w:rsidRPr="00C14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14B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%</w:t>
            </w:r>
          </w:p>
        </w:tc>
      </w:tr>
    </w:tbl>
    <w:p w14:paraId="1D28ABCA" w14:textId="4EB3BE24" w:rsidR="00DF120A" w:rsidRPr="00BD5EE6" w:rsidRDefault="00DF120A" w:rsidP="000B6DDB">
      <w:pPr>
        <w:spacing w:before="40" w:after="0" w:line="240" w:lineRule="auto"/>
        <w:jc w:val="both"/>
        <w:rPr>
          <w:sz w:val="20"/>
          <w:szCs w:val="20"/>
          <w:lang w:eastAsia="cs-CZ"/>
        </w:rPr>
      </w:pPr>
      <w:r w:rsidRPr="005B4A95">
        <w:rPr>
          <w:b/>
          <w:sz w:val="20"/>
          <w:szCs w:val="20"/>
          <w:lang w:eastAsia="cs-CZ"/>
        </w:rPr>
        <w:t>Zdroj:</w:t>
      </w:r>
      <w:r w:rsidRPr="00BD5EE6">
        <w:rPr>
          <w:sz w:val="20"/>
          <w:szCs w:val="20"/>
          <w:lang w:eastAsia="cs-CZ"/>
        </w:rPr>
        <w:t xml:space="preserve"> </w:t>
      </w:r>
      <w:r w:rsidR="0039020E">
        <w:rPr>
          <w:sz w:val="20"/>
          <w:szCs w:val="20"/>
          <w:lang w:eastAsia="cs-CZ"/>
        </w:rPr>
        <w:t>m</w:t>
      </w:r>
      <w:r w:rsidRPr="00BD5EE6">
        <w:rPr>
          <w:sz w:val="20"/>
          <w:szCs w:val="20"/>
          <w:lang w:eastAsia="cs-CZ"/>
        </w:rPr>
        <w:t>ěsíční monitorovací zpráva NOK MMR za 4. čtvrtletí 2015</w:t>
      </w:r>
      <w:r w:rsidR="005B4A95">
        <w:rPr>
          <w:sz w:val="20"/>
          <w:szCs w:val="20"/>
          <w:lang w:eastAsia="cs-CZ"/>
        </w:rPr>
        <w:t>.</w:t>
      </w:r>
    </w:p>
    <w:p w14:paraId="3C532D10" w14:textId="77777777" w:rsidR="00DF120A" w:rsidRPr="00C14B99" w:rsidRDefault="00DF120A" w:rsidP="00C14B99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</w:p>
    <w:p w14:paraId="5DF49FFE" w14:textId="1688CEB8" w:rsidR="00DF120A" w:rsidRPr="000B6DDB" w:rsidRDefault="00DF120A" w:rsidP="00C14B99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Ke srovnání se v souvislosti s mírou propagace konkrétních </w:t>
      </w:r>
      <w:r w:rsidR="00FE32B9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fondů EU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v ČR nabízí odlišné výsledky z analýzy mediálního pokrytí strukturálních fondů na území Velké Británie, jež byly prezentovány v </w:t>
      </w:r>
      <w:r w:rsidR="0039020E">
        <w:rPr>
          <w:rFonts w:ascii="Calibri" w:hAnsi="Calibri" w:cs="Calibri"/>
          <w:color w:val="000000" w:themeColor="text1"/>
          <w:sz w:val="24"/>
          <w:szCs w:val="24"/>
          <w:lang w:eastAsia="cs-CZ"/>
        </w:rPr>
        <w:t>p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řípadové studii </w:t>
      </w:r>
      <w:r w:rsidRPr="00130580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>Zkušenosti z dalších evr</w:t>
      </w:r>
      <w:r w:rsidR="000B6DDB" w:rsidRPr="00130580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>opských programů s hodnocením a </w:t>
      </w:r>
      <w:r w:rsidRPr="00130580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>realizací komunikačních a propagačních aktivit</w:t>
      </w:r>
      <w:r w:rsidRPr="00C14B99">
        <w:rPr>
          <w:rStyle w:val="Znakapoznpodarou"/>
          <w:rFonts w:ascii="Calibri" w:hAnsi="Calibri" w:cs="Calibri"/>
          <w:color w:val="000000" w:themeColor="text1"/>
          <w:sz w:val="24"/>
          <w:szCs w:val="24"/>
          <w:lang w:eastAsia="cs-CZ"/>
        </w:rPr>
        <w:footnoteReference w:id="32"/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. Zde bylo mimo jiné publikováno vyhodnocení, že média upřednostňovala informování o projektech financovaných z E</w:t>
      </w:r>
      <w:r w:rsidR="007D693D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F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R</w:t>
      </w:r>
      <w:r w:rsidR="007D693D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R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oproti </w:t>
      </w:r>
      <w:r w:rsidR="0039020E">
        <w:rPr>
          <w:rFonts w:ascii="Calibri" w:hAnsi="Calibri" w:cs="Calibri"/>
          <w:color w:val="000000" w:themeColor="text1"/>
          <w:sz w:val="24"/>
          <w:szCs w:val="24"/>
          <w:lang w:eastAsia="cs-CZ"/>
        </w:rPr>
        <w:t>projektům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financovaným z ESF</w:t>
      </w:r>
      <w:r w:rsidRPr="000B6DDB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. </w:t>
      </w:r>
    </w:p>
    <w:p w14:paraId="0CAAC3AB" w14:textId="77777777" w:rsidR="00A47799" w:rsidRPr="000B6DDB" w:rsidRDefault="00A47799" w:rsidP="00C14B99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0E213C49" w14:textId="196F30A1" w:rsidR="00F0317D" w:rsidRPr="00C14B99" w:rsidRDefault="003E16DD" w:rsidP="00C14B99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  <w:r w:rsidRPr="00C14B99">
        <w:rPr>
          <w:rFonts w:ascii="Calibri" w:hAnsi="Calibri" w:cs="Calibri"/>
          <w:color w:val="000000" w:themeColor="text1"/>
          <w:sz w:val="24"/>
          <w:szCs w:val="24"/>
        </w:rPr>
        <w:t>Většina kampaní</w:t>
      </w:r>
      <w:r w:rsidR="00D46132" w:rsidRPr="00C14B99">
        <w:rPr>
          <w:rFonts w:ascii="Calibri" w:hAnsi="Calibri" w:cs="Calibri"/>
          <w:color w:val="000000" w:themeColor="text1"/>
          <w:sz w:val="24"/>
          <w:szCs w:val="24"/>
        </w:rPr>
        <w:t xml:space="preserve"> u kontrolovaných</w:t>
      </w:r>
      <w:r w:rsidRPr="00C14B9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E455B" w:rsidRPr="00C14B99">
        <w:rPr>
          <w:rFonts w:ascii="Calibri" w:hAnsi="Calibri" w:cs="Calibri"/>
          <w:color w:val="000000" w:themeColor="text1"/>
          <w:sz w:val="24"/>
          <w:szCs w:val="24"/>
        </w:rPr>
        <w:t xml:space="preserve">operačních programů </w:t>
      </w:r>
      <w:r w:rsidRPr="00C14B99">
        <w:rPr>
          <w:rFonts w:ascii="Calibri" w:hAnsi="Calibri" w:cs="Calibri"/>
          <w:color w:val="000000" w:themeColor="text1"/>
          <w:sz w:val="24"/>
          <w:szCs w:val="24"/>
        </w:rPr>
        <w:t>byla zaměřena na c</w:t>
      </w:r>
      <w:r w:rsidR="00A43E17" w:rsidRPr="00C14B99">
        <w:rPr>
          <w:rFonts w:ascii="Calibri" w:hAnsi="Calibri" w:cs="Calibri"/>
          <w:color w:val="000000" w:themeColor="text1"/>
          <w:sz w:val="24"/>
          <w:szCs w:val="24"/>
        </w:rPr>
        <w:t>ílov</w:t>
      </w:r>
      <w:r w:rsidRPr="00C14B99">
        <w:rPr>
          <w:rFonts w:ascii="Calibri" w:hAnsi="Calibri" w:cs="Calibri"/>
          <w:color w:val="000000" w:themeColor="text1"/>
          <w:sz w:val="24"/>
          <w:szCs w:val="24"/>
        </w:rPr>
        <w:t xml:space="preserve">ou skupinu </w:t>
      </w:r>
      <w:r w:rsidR="00A43E17" w:rsidRPr="00C14B99">
        <w:rPr>
          <w:rFonts w:ascii="Calibri" w:hAnsi="Calibri" w:cs="Calibri"/>
          <w:i/>
          <w:color w:val="000000" w:themeColor="text1"/>
          <w:sz w:val="24"/>
          <w:szCs w:val="24"/>
        </w:rPr>
        <w:t>š</w:t>
      </w:r>
      <w:r w:rsidRPr="00C14B99">
        <w:rPr>
          <w:rFonts w:ascii="Calibri" w:hAnsi="Calibri" w:cs="Calibri"/>
          <w:i/>
          <w:color w:val="000000" w:themeColor="text1"/>
          <w:sz w:val="24"/>
          <w:szCs w:val="24"/>
        </w:rPr>
        <w:t>iroká veřejnost</w:t>
      </w:r>
      <w:r w:rsidR="00A43E17" w:rsidRPr="00C14B9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14B99">
        <w:rPr>
          <w:rFonts w:ascii="Calibri" w:hAnsi="Calibri" w:cs="Calibri"/>
          <w:color w:val="000000" w:themeColor="text1"/>
          <w:sz w:val="24"/>
          <w:szCs w:val="24"/>
        </w:rPr>
        <w:t xml:space="preserve">s hlavním cílem </w:t>
      </w:r>
      <w:r w:rsidR="00A43E17" w:rsidRPr="00C14B99">
        <w:rPr>
          <w:rFonts w:ascii="Calibri" w:hAnsi="Calibri" w:cs="Calibri"/>
          <w:color w:val="000000" w:themeColor="text1"/>
          <w:sz w:val="24"/>
          <w:szCs w:val="24"/>
        </w:rPr>
        <w:t>„</w:t>
      </w:r>
      <w:r w:rsidR="00A43E17" w:rsidRPr="00130580">
        <w:rPr>
          <w:rFonts w:ascii="Calibri" w:hAnsi="Calibri" w:cs="Calibri"/>
          <w:i/>
          <w:color w:val="000000" w:themeColor="text1"/>
          <w:sz w:val="24"/>
          <w:szCs w:val="24"/>
        </w:rPr>
        <w:t xml:space="preserve">zvýšení povědomí o pomoci z EU, jednotlivých fondech, operačních </w:t>
      </w:r>
      <w:r w:rsidR="00AA041A" w:rsidRPr="00130580">
        <w:rPr>
          <w:rFonts w:ascii="Calibri" w:hAnsi="Calibri" w:cs="Calibri"/>
          <w:i/>
          <w:color w:val="000000" w:themeColor="text1"/>
          <w:sz w:val="24"/>
          <w:szCs w:val="24"/>
        </w:rPr>
        <w:t>p</w:t>
      </w:r>
      <w:r w:rsidR="00A43E17" w:rsidRPr="00130580">
        <w:rPr>
          <w:rFonts w:ascii="Calibri" w:hAnsi="Calibri" w:cs="Calibri"/>
          <w:i/>
          <w:color w:val="000000" w:themeColor="text1"/>
          <w:sz w:val="24"/>
          <w:szCs w:val="24"/>
        </w:rPr>
        <w:t>rogramech nebo úspěšných projektech</w:t>
      </w:r>
      <w:r w:rsidR="00A43E17" w:rsidRPr="00C14B99">
        <w:rPr>
          <w:rFonts w:ascii="Calibri" w:hAnsi="Calibri" w:cs="Calibri"/>
          <w:color w:val="000000" w:themeColor="text1"/>
          <w:sz w:val="24"/>
          <w:szCs w:val="24"/>
        </w:rPr>
        <w:t>“</w:t>
      </w:r>
      <w:r w:rsidR="004E6387" w:rsidRPr="00C14B99">
        <w:rPr>
          <w:rFonts w:ascii="Calibri" w:hAnsi="Calibri" w:cs="Calibri"/>
          <w:color w:val="000000" w:themeColor="text1"/>
          <w:sz w:val="24"/>
          <w:szCs w:val="24"/>
        </w:rPr>
        <w:t xml:space="preserve">. V nasazených TV </w:t>
      </w:r>
      <w:r w:rsidRPr="00C14B99">
        <w:rPr>
          <w:rFonts w:ascii="Calibri" w:hAnsi="Calibri" w:cs="Calibri"/>
          <w:color w:val="000000" w:themeColor="text1"/>
          <w:sz w:val="24"/>
          <w:szCs w:val="24"/>
        </w:rPr>
        <w:t>spotech p</w:t>
      </w:r>
      <w:r w:rsidR="00A43E17" w:rsidRPr="00C14B99">
        <w:rPr>
          <w:rFonts w:ascii="Calibri" w:hAnsi="Calibri" w:cs="Calibri"/>
          <w:color w:val="000000" w:themeColor="text1"/>
          <w:sz w:val="24"/>
          <w:szCs w:val="24"/>
        </w:rPr>
        <w:t>řevaž</w:t>
      </w:r>
      <w:r w:rsidR="00DF120A" w:rsidRPr="00C14B99">
        <w:rPr>
          <w:rFonts w:ascii="Calibri" w:hAnsi="Calibri" w:cs="Calibri"/>
          <w:color w:val="000000" w:themeColor="text1"/>
          <w:sz w:val="24"/>
          <w:szCs w:val="24"/>
        </w:rPr>
        <w:t>oval</w:t>
      </w:r>
      <w:r w:rsidR="004E455B" w:rsidRPr="00C14B99">
        <w:rPr>
          <w:rFonts w:ascii="Calibri" w:hAnsi="Calibri" w:cs="Calibri"/>
          <w:color w:val="000000" w:themeColor="text1"/>
          <w:sz w:val="24"/>
          <w:szCs w:val="24"/>
        </w:rPr>
        <w:t>a</w:t>
      </w:r>
      <w:r w:rsidR="00DF120A" w:rsidRPr="00C14B9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E455B" w:rsidRPr="00C14B99">
        <w:rPr>
          <w:rFonts w:ascii="Calibri" w:hAnsi="Calibri" w:cs="Calibri"/>
          <w:color w:val="000000" w:themeColor="text1"/>
          <w:sz w:val="24"/>
          <w:szCs w:val="24"/>
        </w:rPr>
        <w:t xml:space="preserve">prezentace </w:t>
      </w:r>
      <w:r w:rsidR="00A43E17" w:rsidRPr="00C14B99">
        <w:rPr>
          <w:rFonts w:ascii="Calibri" w:hAnsi="Calibri" w:cs="Calibri"/>
          <w:color w:val="000000" w:themeColor="text1"/>
          <w:sz w:val="24"/>
          <w:szCs w:val="24"/>
        </w:rPr>
        <w:t>příklad</w:t>
      </w:r>
      <w:r w:rsidR="004E455B" w:rsidRPr="00C14B99">
        <w:rPr>
          <w:rFonts w:ascii="Calibri" w:hAnsi="Calibri" w:cs="Calibri"/>
          <w:color w:val="000000" w:themeColor="text1"/>
          <w:sz w:val="24"/>
          <w:szCs w:val="24"/>
        </w:rPr>
        <w:t>ů</w:t>
      </w:r>
      <w:r w:rsidR="00A43E17" w:rsidRPr="00C14B99">
        <w:rPr>
          <w:rFonts w:ascii="Calibri" w:hAnsi="Calibri" w:cs="Calibri"/>
          <w:color w:val="000000" w:themeColor="text1"/>
          <w:sz w:val="24"/>
          <w:szCs w:val="24"/>
        </w:rPr>
        <w:t xml:space="preserve"> dobré praxe. </w:t>
      </w:r>
      <w:r w:rsidR="004E6387" w:rsidRPr="00C14B99">
        <w:rPr>
          <w:rFonts w:ascii="Calibri" w:hAnsi="Calibri" w:cs="Calibri"/>
          <w:color w:val="000000" w:themeColor="text1"/>
          <w:sz w:val="24"/>
          <w:szCs w:val="24"/>
        </w:rPr>
        <w:t xml:space="preserve">Průzkumy </w:t>
      </w:r>
      <w:r w:rsidR="00AA041A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z prosince 2013 </w:t>
      </w:r>
      <w:r w:rsidR="00F00FC1" w:rsidRPr="00C14B99">
        <w:rPr>
          <w:rFonts w:ascii="Calibri" w:hAnsi="Calibri" w:cs="Calibri"/>
          <w:color w:val="000000" w:themeColor="text1"/>
          <w:sz w:val="24"/>
          <w:szCs w:val="24"/>
        </w:rPr>
        <w:t xml:space="preserve">zpracované </w:t>
      </w:r>
      <w:r w:rsidR="004E6387" w:rsidRPr="00C14B99">
        <w:rPr>
          <w:rFonts w:ascii="Calibri" w:hAnsi="Calibri" w:cs="Calibri"/>
          <w:color w:val="000000" w:themeColor="text1"/>
          <w:sz w:val="24"/>
          <w:szCs w:val="24"/>
        </w:rPr>
        <w:t xml:space="preserve">v roce 2014 </w:t>
      </w:r>
      <w:r w:rsidR="00F00FC1" w:rsidRPr="00C14B99">
        <w:rPr>
          <w:rFonts w:ascii="Calibri" w:hAnsi="Calibri" w:cs="Calibri"/>
          <w:color w:val="000000" w:themeColor="text1"/>
          <w:sz w:val="24"/>
          <w:szCs w:val="24"/>
        </w:rPr>
        <w:t xml:space="preserve">agenturou </w:t>
      </w:r>
      <w:r w:rsidR="00F00FC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STEM/MARK pro OP LZZ</w:t>
      </w:r>
      <w:r w:rsidR="00AA041A" w:rsidRPr="00C14B99">
        <w:rPr>
          <w:rStyle w:val="Znakapoznpodarou"/>
          <w:rFonts w:ascii="Calibri" w:hAnsi="Calibri" w:cs="Calibri"/>
          <w:color w:val="000000" w:themeColor="text1"/>
          <w:sz w:val="24"/>
          <w:szCs w:val="24"/>
          <w:lang w:eastAsia="cs-CZ"/>
        </w:rPr>
        <w:footnoteReference w:id="33"/>
      </w:r>
      <w:r w:rsidR="00F00FC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4E6387" w:rsidRPr="00C14B99">
        <w:rPr>
          <w:rFonts w:ascii="Calibri" w:hAnsi="Calibri" w:cs="Calibri"/>
          <w:color w:val="000000" w:themeColor="text1"/>
          <w:sz w:val="24"/>
          <w:szCs w:val="24"/>
        </w:rPr>
        <w:t>uvádě</w:t>
      </w:r>
      <w:r w:rsidR="004E455B" w:rsidRPr="00C14B99">
        <w:rPr>
          <w:rFonts w:ascii="Calibri" w:hAnsi="Calibri" w:cs="Calibri"/>
          <w:color w:val="000000" w:themeColor="text1"/>
          <w:sz w:val="24"/>
          <w:szCs w:val="24"/>
        </w:rPr>
        <w:t>ly</w:t>
      </w:r>
      <w:r w:rsidR="004E6387" w:rsidRPr="00C14B99">
        <w:rPr>
          <w:rFonts w:ascii="Calibri" w:hAnsi="Calibri" w:cs="Calibri"/>
          <w:color w:val="000000" w:themeColor="text1"/>
          <w:sz w:val="24"/>
          <w:szCs w:val="24"/>
        </w:rPr>
        <w:t xml:space="preserve">, že </w:t>
      </w:r>
      <w:r w:rsidR="00A177C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p</w:t>
      </w:r>
      <w:r w:rsidR="00A93700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ovědomí o existenci fondů EU je </w:t>
      </w:r>
      <w:r w:rsidR="004E6387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sice </w:t>
      </w:r>
      <w:r w:rsidR="00A93700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poměrně vysoké</w:t>
      </w:r>
      <w:r w:rsidR="004E6387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, avšak </w:t>
      </w:r>
      <w:r w:rsidR="00A93700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od roku 2011 zůstává na stejné úrovni</w:t>
      </w:r>
      <w:r w:rsidR="000A5E4D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</w:t>
      </w:r>
      <w:r w:rsidR="00F00FC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(</w:t>
      </w:r>
      <w:r w:rsidR="004E6387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v letech </w:t>
      </w:r>
      <w:r w:rsidR="00F00FC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2</w:t>
      </w:r>
      <w:r w:rsidR="00A93700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011</w:t>
      </w:r>
      <w:r w:rsidR="004E6387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–2013 </w:t>
      </w:r>
      <w:r w:rsidR="00F00FC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se jedn</w:t>
      </w:r>
      <w:r w:rsidR="006F4228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alo</w:t>
      </w:r>
      <w:r w:rsidR="00F00FC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o hodnoty </w:t>
      </w:r>
      <w:r w:rsidR="00A93700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73</w:t>
      </w:r>
      <w:r w:rsidR="00F00FC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A93700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%,</w:t>
      </w:r>
      <w:r w:rsidR="00AA041A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F00FC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7</w:t>
      </w:r>
      <w:r w:rsidR="00A93700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5 %</w:t>
      </w:r>
      <w:r w:rsidR="00F00FC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6B6436">
        <w:rPr>
          <w:rFonts w:ascii="Calibri" w:hAnsi="Calibri" w:cs="Calibri"/>
          <w:color w:val="000000" w:themeColor="text1"/>
          <w:sz w:val="24"/>
          <w:szCs w:val="24"/>
          <w:lang w:eastAsia="cs-CZ"/>
        </w:rPr>
        <w:t>a </w:t>
      </w:r>
      <w:r w:rsidR="00F00FC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73 %).</w:t>
      </w:r>
      <w:r w:rsidR="00A93700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</w:p>
    <w:p w14:paraId="2C1262BC" w14:textId="77777777" w:rsidR="00C66F61" w:rsidRPr="00C14B99" w:rsidRDefault="00C66F61" w:rsidP="00C14B99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</w:p>
    <w:p w14:paraId="58629233" w14:textId="77777777" w:rsidR="00A348EF" w:rsidRPr="00C14B99" w:rsidRDefault="00F0317D" w:rsidP="00C14B99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Míru spontánní znalosti </w:t>
      </w:r>
      <w:r w:rsidR="00C66F6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konkrétních 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operačních programů </w:t>
      </w:r>
      <w:r w:rsidR="00C66F6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u široké veřejnosti 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na základě otázky </w:t>
      </w:r>
      <w:r w:rsidRPr="00C14B99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>„Jaký operační program znáte?“</w:t>
      </w:r>
      <w:r w:rsidR="00AB4F01" w:rsidRPr="00C14B99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 xml:space="preserve"> </w:t>
      </w:r>
      <w:r w:rsidR="00AB4F0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zjišťovalo ve 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srovnání s výsledky průzkumu </w:t>
      </w:r>
      <w:r w:rsidR="00AB4F0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z</w:t>
      </w:r>
      <w:r w:rsidR="001472A9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 roku </w:t>
      </w:r>
      <w:r w:rsidR="00AB4F0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2011 šetření z prosince 2013. </w:t>
      </w:r>
      <w:r w:rsidR="00AB4F0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Pořadí prvních šesti </w:t>
      </w:r>
      <w:r w:rsidR="0096716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operačních programů, jež si respondenti vybavili, zůstalo beze změn, </w:t>
      </w:r>
      <w:r w:rsidR="00AB4F0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s výjimkou </w:t>
      </w:r>
      <w:r w:rsidR="0096716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OP VaVpI, jehož spontánní znalost v roce 2013 dokonce poklesla.</w:t>
      </w:r>
      <w:r w:rsidR="00AB4F0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</w:t>
      </w:r>
    </w:p>
    <w:p w14:paraId="588F8871" w14:textId="77777777" w:rsidR="00C66F61" w:rsidRPr="00C14B99" w:rsidRDefault="00C66F61" w:rsidP="00C14B99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</w:p>
    <w:p w14:paraId="15722FB2" w14:textId="4DB26BA0" w:rsidR="00453C17" w:rsidRPr="00C14B99" w:rsidRDefault="005C603C" w:rsidP="00C14B99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Řídicí orgány nestanovily v</w:t>
      </w:r>
      <w:r w:rsidR="00652808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 komunikačních plánech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335AAE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přímá 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konkrétní opatření k naplnění cíle zajistit, aby byla</w:t>
      </w:r>
      <w:r w:rsidR="00FF2F09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pomoc z EU </w:t>
      </w:r>
      <w:r w:rsidR="00ED6B0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pro veřejnost </w:t>
      </w:r>
      <w:r w:rsidR="002A1CC3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průhledná</w:t>
      </w:r>
      <w:r w:rsidR="00ED6B0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. </w:t>
      </w:r>
      <w:r w:rsidR="00CC488E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V</w:t>
      </w:r>
      <w:r w:rsidR="00FA7032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nímání </w:t>
      </w:r>
      <w:r w:rsidR="00287F6A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průhlednosti využití peněz z fondů EU</w:t>
      </w:r>
      <w:r w:rsidR="00A76B6D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, včetně dobré informovanosti o možnostech podpory, </w:t>
      </w:r>
      <w:r w:rsidR="00287F6A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byl</w:t>
      </w:r>
      <w:r w:rsidR="00CC488E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o </w:t>
      </w:r>
      <w:r w:rsidR="0096716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rovněž </w:t>
      </w:r>
      <w:r w:rsidR="001C57A6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průběžně </w:t>
      </w:r>
      <w:r w:rsidR="006B6436">
        <w:rPr>
          <w:rFonts w:ascii="Calibri" w:hAnsi="Calibri" w:cs="Calibri"/>
          <w:color w:val="000000" w:themeColor="text1"/>
          <w:sz w:val="24"/>
          <w:szCs w:val="24"/>
          <w:lang w:eastAsia="cs-CZ"/>
        </w:rPr>
        <w:t>zjišťováno</w:t>
      </w:r>
      <w:r w:rsidR="00CC488E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287F6A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v rámci 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průzkumů zaměřených na povědomí veřejnosti o problematice fondů EU</w:t>
      </w:r>
      <w:r w:rsidR="00ED6B0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. </w:t>
      </w:r>
      <w:r w:rsidR="00ED6B0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Výsledky průzkum</w:t>
      </w:r>
      <w:r w:rsidR="007045AB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ných šetření</w:t>
      </w:r>
      <w:r w:rsidR="00ED6B0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z roku 2011</w:t>
      </w:r>
      <w:r w:rsidR="00ED6B01" w:rsidRPr="00C14B99">
        <w:rPr>
          <w:rStyle w:val="Znakapoznpodarou"/>
          <w:rFonts w:ascii="Calibri" w:hAnsi="Calibri" w:cs="Calibri"/>
          <w:b/>
          <w:color w:val="000000" w:themeColor="text1"/>
          <w:sz w:val="24"/>
          <w:szCs w:val="24"/>
          <w:lang w:eastAsia="cs-CZ"/>
        </w:rPr>
        <w:footnoteReference w:id="34"/>
      </w:r>
      <w:r w:rsidR="006E3FEA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u</w:t>
      </w:r>
      <w:r w:rsidR="00ED6B0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vádějí, že až 70 % široké veřejnosti nepovažuje využívání prostředků ze </w:t>
      </w:r>
      <w:r w:rsidR="007045AB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strukturálních fondů</w:t>
      </w:r>
      <w:r w:rsidR="00ED6B0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za dostatečně transparentní. </w:t>
      </w:r>
    </w:p>
    <w:p w14:paraId="589C6E91" w14:textId="77777777" w:rsidR="001F3CC1" w:rsidRPr="00C14B99" w:rsidRDefault="001F3CC1" w:rsidP="00C14B99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</w:p>
    <w:tbl>
      <w:tblPr>
        <w:tblStyle w:val="Svtltabulkasmkou1zvraznn1"/>
        <w:tblW w:w="0" w:type="auto"/>
        <w:tblInd w:w="108" w:type="dxa"/>
        <w:tblBorders>
          <w:top w:val="single" w:sz="18" w:space="0" w:color="BDD6EE" w:themeColor="accent1" w:themeTint="66"/>
          <w:left w:val="single" w:sz="18" w:space="0" w:color="BDD6EE" w:themeColor="accent1" w:themeTint="66"/>
          <w:bottom w:val="single" w:sz="18" w:space="0" w:color="BDD6EE" w:themeColor="accent1" w:themeTint="66"/>
          <w:right w:val="single" w:sz="18" w:space="0" w:color="BDD6EE" w:themeColor="accent1" w:themeTint="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2B2D" w:rsidRPr="007E135C" w14:paraId="1D0C3442" w14:textId="77777777" w:rsidTr="008B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044AA5A5" w14:textId="77777777" w:rsidR="00B22476" w:rsidRPr="00C14B99" w:rsidRDefault="006E3FEA" w:rsidP="00C14B99">
            <w:pPr>
              <w:spacing w:before="40"/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 w:rsidRPr="00C14B99">
              <w:rPr>
                <w:color w:val="000000" w:themeColor="text1"/>
                <w:sz w:val="20"/>
                <w:szCs w:val="20"/>
                <w:lang w:eastAsia="cs-CZ"/>
              </w:rPr>
              <w:lastRenderedPageBreak/>
              <w:t>P</w:t>
            </w:r>
            <w:r w:rsidR="00712B2D" w:rsidRPr="00C14B99">
              <w:rPr>
                <w:color w:val="000000" w:themeColor="text1"/>
                <w:sz w:val="20"/>
                <w:szCs w:val="20"/>
                <w:lang w:eastAsia="cs-CZ"/>
              </w:rPr>
              <w:t>říklad</w:t>
            </w:r>
            <w:r w:rsidR="004C2C69" w:rsidRPr="00C14B99">
              <w:rPr>
                <w:color w:val="000000" w:themeColor="text1"/>
                <w:sz w:val="20"/>
                <w:szCs w:val="20"/>
                <w:lang w:eastAsia="cs-CZ"/>
              </w:rPr>
              <w:t>y</w:t>
            </w:r>
            <w:r w:rsidR="00913813" w:rsidRPr="00C14B99">
              <w:rPr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522C10" w:rsidRPr="00C14B99">
              <w:rPr>
                <w:color w:val="000000" w:themeColor="text1"/>
                <w:sz w:val="20"/>
                <w:szCs w:val="20"/>
                <w:lang w:eastAsia="cs-CZ"/>
              </w:rPr>
              <w:t>názor</w:t>
            </w:r>
            <w:r w:rsidR="00AE4F3C" w:rsidRPr="00C14B99">
              <w:rPr>
                <w:color w:val="000000" w:themeColor="text1"/>
                <w:sz w:val="20"/>
                <w:szCs w:val="20"/>
                <w:lang w:eastAsia="cs-CZ"/>
              </w:rPr>
              <w:t>ů</w:t>
            </w:r>
            <w:r w:rsidR="00522C10" w:rsidRPr="00C14B99">
              <w:rPr>
                <w:color w:val="000000" w:themeColor="text1"/>
                <w:sz w:val="20"/>
                <w:szCs w:val="20"/>
                <w:lang w:eastAsia="cs-CZ"/>
              </w:rPr>
              <w:t xml:space="preserve"> na čerpání podpory z fondů EU</w:t>
            </w:r>
            <w:r w:rsidR="00BF4B21" w:rsidRPr="00C14B99">
              <w:rPr>
                <w:color w:val="000000" w:themeColor="text1"/>
                <w:sz w:val="20"/>
                <w:szCs w:val="20"/>
                <w:lang w:eastAsia="cs-CZ"/>
              </w:rPr>
              <w:t xml:space="preserve"> z</w:t>
            </w:r>
            <w:r w:rsidR="00FF2F09" w:rsidRPr="00C14B99">
              <w:rPr>
                <w:color w:val="000000" w:themeColor="text1"/>
                <w:sz w:val="20"/>
                <w:szCs w:val="20"/>
                <w:lang w:eastAsia="cs-CZ"/>
              </w:rPr>
              <w:t> šetření p</w:t>
            </w:r>
            <w:r w:rsidR="00BF4B21" w:rsidRPr="00C14B99">
              <w:rPr>
                <w:color w:val="000000" w:themeColor="text1"/>
                <w:sz w:val="20"/>
                <w:szCs w:val="20"/>
                <w:lang w:eastAsia="cs-CZ"/>
              </w:rPr>
              <w:t xml:space="preserve">ovědomí široké veřejnosti o problematice fondů EU </w:t>
            </w:r>
            <w:r w:rsidR="00FF2F09" w:rsidRPr="00C14B99">
              <w:rPr>
                <w:color w:val="000000" w:themeColor="text1"/>
                <w:sz w:val="20"/>
                <w:szCs w:val="20"/>
                <w:lang w:eastAsia="cs-CZ"/>
              </w:rPr>
              <w:t>uvádějí odpovědi z</w:t>
            </w:r>
            <w:r w:rsidR="00F35465" w:rsidRPr="00C14B99">
              <w:rPr>
                <w:color w:val="000000" w:themeColor="text1"/>
                <w:sz w:val="20"/>
                <w:szCs w:val="20"/>
                <w:lang w:eastAsia="cs-CZ"/>
              </w:rPr>
              <w:t xml:space="preserve"> jiných </w:t>
            </w:r>
            <w:r w:rsidR="00FF2F09" w:rsidRPr="00C14B99">
              <w:rPr>
                <w:color w:val="000000" w:themeColor="text1"/>
                <w:sz w:val="20"/>
                <w:szCs w:val="20"/>
                <w:lang w:eastAsia="cs-CZ"/>
              </w:rPr>
              <w:t>průzkumů</w:t>
            </w:r>
            <w:r w:rsidR="00F46A92" w:rsidRPr="00C14B99">
              <w:rPr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C14B99">
              <w:rPr>
                <w:color w:val="000000" w:themeColor="text1"/>
                <w:sz w:val="20"/>
                <w:szCs w:val="20"/>
                <w:lang w:eastAsia="cs-CZ"/>
              </w:rPr>
              <w:t xml:space="preserve">provedených v </w:t>
            </w:r>
            <w:r w:rsidR="00F46A92" w:rsidRPr="00C14B99">
              <w:rPr>
                <w:color w:val="000000" w:themeColor="text1"/>
                <w:sz w:val="20"/>
                <w:szCs w:val="20"/>
                <w:lang w:eastAsia="cs-CZ"/>
              </w:rPr>
              <w:t>let</w:t>
            </w:r>
            <w:r w:rsidRPr="00C14B99">
              <w:rPr>
                <w:color w:val="000000" w:themeColor="text1"/>
                <w:sz w:val="20"/>
                <w:szCs w:val="20"/>
                <w:lang w:eastAsia="cs-CZ"/>
              </w:rPr>
              <w:t>ech</w:t>
            </w:r>
            <w:r w:rsidR="00F46A92" w:rsidRPr="00C14B99">
              <w:rPr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BF4B21" w:rsidRPr="00C14B99">
              <w:rPr>
                <w:color w:val="000000" w:themeColor="text1"/>
                <w:sz w:val="20"/>
                <w:szCs w:val="20"/>
                <w:lang w:eastAsia="cs-CZ"/>
              </w:rPr>
              <w:t>2011 a 2013</w:t>
            </w:r>
            <w:r w:rsidR="00FF2F09" w:rsidRPr="00C14B99">
              <w:rPr>
                <w:color w:val="000000" w:themeColor="text1"/>
                <w:sz w:val="20"/>
                <w:szCs w:val="20"/>
                <w:lang w:eastAsia="cs-CZ"/>
              </w:rPr>
              <w:t>. N</w:t>
            </w:r>
            <w:r w:rsidR="00712B2D" w:rsidRPr="00C14B99">
              <w:rPr>
                <w:color w:val="000000" w:themeColor="text1"/>
                <w:sz w:val="20"/>
                <w:szCs w:val="20"/>
                <w:lang w:eastAsia="cs-CZ"/>
              </w:rPr>
              <w:t>a otázku: „</w:t>
            </w:r>
            <w:r w:rsidR="00712B2D" w:rsidRPr="00C14B99">
              <w:rPr>
                <w:i/>
                <w:color w:val="000000" w:themeColor="text1"/>
                <w:sz w:val="20"/>
                <w:szCs w:val="20"/>
                <w:lang w:eastAsia="cs-CZ"/>
              </w:rPr>
              <w:t>Řekl</w:t>
            </w:r>
            <w:r w:rsidR="00BF4B21" w:rsidRPr="00C14B99">
              <w:rPr>
                <w:i/>
                <w:color w:val="000000" w:themeColor="text1"/>
                <w:sz w:val="20"/>
                <w:szCs w:val="20"/>
                <w:lang w:eastAsia="cs-CZ"/>
              </w:rPr>
              <w:t>/řekla byste</w:t>
            </w:r>
            <w:r w:rsidR="00712B2D" w:rsidRPr="00C14B99">
              <w:rPr>
                <w:i/>
                <w:color w:val="000000" w:themeColor="text1"/>
                <w:sz w:val="20"/>
                <w:szCs w:val="20"/>
                <w:lang w:eastAsia="cs-CZ"/>
              </w:rPr>
              <w:t xml:space="preserve">, že </w:t>
            </w:r>
            <w:r w:rsidR="00522C10" w:rsidRPr="00C14B99">
              <w:rPr>
                <w:i/>
                <w:color w:val="000000" w:themeColor="text1"/>
                <w:sz w:val="20"/>
                <w:szCs w:val="20"/>
                <w:lang w:eastAsia="cs-CZ"/>
              </w:rPr>
              <w:t xml:space="preserve">využití </w:t>
            </w:r>
            <w:r w:rsidR="00712B2D" w:rsidRPr="00C14B99">
              <w:rPr>
                <w:i/>
                <w:color w:val="000000" w:themeColor="text1"/>
                <w:sz w:val="20"/>
                <w:szCs w:val="20"/>
                <w:lang w:eastAsia="cs-CZ"/>
              </w:rPr>
              <w:t>pen</w:t>
            </w:r>
            <w:r w:rsidR="00522C10" w:rsidRPr="00C14B99">
              <w:rPr>
                <w:i/>
                <w:color w:val="000000" w:themeColor="text1"/>
                <w:sz w:val="20"/>
                <w:szCs w:val="20"/>
                <w:lang w:eastAsia="cs-CZ"/>
              </w:rPr>
              <w:t xml:space="preserve">ěz </w:t>
            </w:r>
            <w:r w:rsidR="00712B2D" w:rsidRPr="00C14B99">
              <w:rPr>
                <w:i/>
                <w:color w:val="000000" w:themeColor="text1"/>
                <w:sz w:val="20"/>
                <w:szCs w:val="20"/>
                <w:lang w:eastAsia="cs-CZ"/>
              </w:rPr>
              <w:t>z evropských fondů</w:t>
            </w:r>
            <w:r w:rsidR="00522C10" w:rsidRPr="00C14B99">
              <w:rPr>
                <w:i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712B2D" w:rsidRPr="00C14B99">
              <w:rPr>
                <w:i/>
                <w:color w:val="000000" w:themeColor="text1"/>
                <w:sz w:val="20"/>
                <w:szCs w:val="20"/>
                <w:lang w:eastAsia="cs-CZ"/>
              </w:rPr>
              <w:t>je průhledné/transparentní?“</w:t>
            </w:r>
            <w:r w:rsidR="00522C10" w:rsidRPr="00C14B99">
              <w:rPr>
                <w:i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522C10" w:rsidRPr="00C14B99">
              <w:rPr>
                <w:color w:val="000000" w:themeColor="text1"/>
                <w:sz w:val="20"/>
                <w:szCs w:val="20"/>
                <w:lang w:eastAsia="cs-CZ"/>
              </w:rPr>
              <w:t>odpovídali respondenti následovně:</w:t>
            </w:r>
          </w:p>
          <w:p w14:paraId="3EC14CCF" w14:textId="77777777" w:rsidR="00712B2D" w:rsidRPr="00C14B99" w:rsidRDefault="00712B2D" w:rsidP="00712B2D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 w:rsidRPr="00130580">
              <w:rPr>
                <w:color w:val="000000" w:themeColor="text1"/>
                <w:sz w:val="20"/>
                <w:szCs w:val="20"/>
                <w:lang w:eastAsia="cs-CZ"/>
              </w:rPr>
              <w:t>Průzkum z roku 2011</w:t>
            </w:r>
            <w:r w:rsidR="00A966F4" w:rsidRPr="00C14B99">
              <w:rPr>
                <w:rStyle w:val="Znakapoznpodarou"/>
                <w:color w:val="000000" w:themeColor="text1"/>
                <w:sz w:val="20"/>
                <w:szCs w:val="20"/>
                <w:lang w:eastAsia="cs-CZ"/>
              </w:rPr>
              <w:footnoteReference w:id="35"/>
            </w:r>
            <w:r w:rsidR="00D205EE">
              <w:rPr>
                <w:color w:val="000000" w:themeColor="text1"/>
                <w:sz w:val="20"/>
                <w:szCs w:val="20"/>
                <w:lang w:eastAsia="cs-CZ"/>
              </w:rPr>
              <w:t>:</w:t>
            </w:r>
          </w:p>
          <w:p w14:paraId="18AC7EF0" w14:textId="77777777" w:rsidR="00712B2D" w:rsidRPr="00C14B99" w:rsidRDefault="00712B2D" w:rsidP="00D205EE">
            <w:pPr>
              <w:numPr>
                <w:ilvl w:val="0"/>
                <w:numId w:val="1"/>
              </w:numPr>
              <w:ind w:left="284" w:hanging="284"/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 w:rsidRPr="00C14B99">
              <w:rPr>
                <w:color w:val="000000" w:themeColor="text1"/>
                <w:sz w:val="20"/>
                <w:szCs w:val="20"/>
                <w:lang w:eastAsia="cs-CZ"/>
              </w:rPr>
              <w:t>31 % respondentů odpov</w:t>
            </w:r>
            <w:r w:rsidR="008B6FCB" w:rsidRPr="00C14B99">
              <w:rPr>
                <w:color w:val="000000" w:themeColor="text1"/>
                <w:sz w:val="20"/>
                <w:szCs w:val="20"/>
                <w:lang w:eastAsia="cs-CZ"/>
              </w:rPr>
              <w:t xml:space="preserve">ědělo </w:t>
            </w:r>
            <w:r w:rsidR="00A966F4" w:rsidRPr="00C14B99">
              <w:rPr>
                <w:color w:val="000000" w:themeColor="text1"/>
                <w:sz w:val="20"/>
                <w:szCs w:val="20"/>
                <w:lang w:eastAsia="cs-CZ"/>
              </w:rPr>
              <w:t xml:space="preserve">na výše uvedený dotaz </w:t>
            </w:r>
            <w:r w:rsidRPr="00C14B99">
              <w:rPr>
                <w:color w:val="000000" w:themeColor="text1"/>
                <w:sz w:val="20"/>
                <w:szCs w:val="20"/>
                <w:lang w:eastAsia="cs-CZ"/>
              </w:rPr>
              <w:t>kladně.</w:t>
            </w:r>
          </w:p>
          <w:p w14:paraId="2C8E7995" w14:textId="77777777" w:rsidR="00712B2D" w:rsidRPr="00C14B99" w:rsidRDefault="00712B2D" w:rsidP="00712B2D">
            <w:pPr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 w:rsidRPr="00130580">
              <w:rPr>
                <w:color w:val="000000" w:themeColor="text1"/>
                <w:sz w:val="20"/>
                <w:szCs w:val="20"/>
                <w:lang w:eastAsia="cs-CZ"/>
              </w:rPr>
              <w:t>Průzkum z roku 2013</w:t>
            </w:r>
            <w:r w:rsidR="00A966F4" w:rsidRPr="00C14B99">
              <w:rPr>
                <w:rStyle w:val="Znakapoznpodarou"/>
                <w:color w:val="000000" w:themeColor="text1"/>
                <w:sz w:val="20"/>
                <w:szCs w:val="20"/>
                <w:lang w:eastAsia="cs-CZ"/>
              </w:rPr>
              <w:footnoteReference w:id="36"/>
            </w:r>
            <w:r w:rsidR="00D205EE">
              <w:rPr>
                <w:color w:val="000000" w:themeColor="text1"/>
                <w:sz w:val="20"/>
                <w:szCs w:val="20"/>
                <w:lang w:eastAsia="cs-CZ"/>
              </w:rPr>
              <w:t>:</w:t>
            </w:r>
          </w:p>
          <w:p w14:paraId="70DB0C0A" w14:textId="002F66BE" w:rsidR="00712B2D" w:rsidRPr="00C14B99" w:rsidRDefault="00522C10" w:rsidP="00C14B99">
            <w:pPr>
              <w:pStyle w:val="Odstavecseseznamem"/>
              <w:numPr>
                <w:ilvl w:val="0"/>
                <w:numId w:val="38"/>
              </w:numPr>
              <w:ind w:left="284" w:hanging="284"/>
              <w:jc w:val="both"/>
              <w:rPr>
                <w:color w:val="000000" w:themeColor="text1"/>
                <w:sz w:val="20"/>
                <w:szCs w:val="20"/>
                <w:lang w:eastAsia="cs-CZ"/>
              </w:rPr>
            </w:pPr>
            <w:r w:rsidRPr="00C14B99">
              <w:rPr>
                <w:color w:val="000000" w:themeColor="text1"/>
                <w:sz w:val="20"/>
                <w:szCs w:val="20"/>
                <w:lang w:eastAsia="cs-CZ"/>
              </w:rPr>
              <w:t xml:space="preserve">JEN </w:t>
            </w:r>
            <w:r w:rsidR="00712B2D" w:rsidRPr="00C14B99">
              <w:rPr>
                <w:color w:val="000000" w:themeColor="text1"/>
                <w:sz w:val="20"/>
                <w:szCs w:val="20"/>
                <w:lang w:eastAsia="cs-CZ"/>
              </w:rPr>
              <w:t>22</w:t>
            </w:r>
            <w:r w:rsidR="006B6436">
              <w:rPr>
                <w:color w:val="000000" w:themeColor="text1"/>
                <w:sz w:val="20"/>
                <w:szCs w:val="20"/>
                <w:lang w:eastAsia="cs-CZ"/>
              </w:rPr>
              <w:t> </w:t>
            </w:r>
            <w:r w:rsidR="00712B2D" w:rsidRPr="00C14B99">
              <w:rPr>
                <w:color w:val="000000" w:themeColor="text1"/>
                <w:sz w:val="20"/>
                <w:szCs w:val="20"/>
                <w:lang w:eastAsia="cs-CZ"/>
              </w:rPr>
              <w:t xml:space="preserve">% </w:t>
            </w:r>
            <w:r w:rsidR="00A966F4" w:rsidRPr="00C14B99">
              <w:rPr>
                <w:color w:val="000000" w:themeColor="text1"/>
                <w:sz w:val="20"/>
                <w:szCs w:val="20"/>
                <w:lang w:eastAsia="cs-CZ"/>
              </w:rPr>
              <w:t>respondentů odpov</w:t>
            </w:r>
            <w:r w:rsidR="008B6FCB" w:rsidRPr="00C14B99">
              <w:rPr>
                <w:color w:val="000000" w:themeColor="text1"/>
                <w:sz w:val="20"/>
                <w:szCs w:val="20"/>
                <w:lang w:eastAsia="cs-CZ"/>
              </w:rPr>
              <w:t>ědělo</w:t>
            </w:r>
            <w:r w:rsidR="00A966F4" w:rsidRPr="00C14B99">
              <w:rPr>
                <w:color w:val="000000" w:themeColor="text1"/>
                <w:sz w:val="20"/>
                <w:szCs w:val="20"/>
                <w:lang w:eastAsia="cs-CZ"/>
              </w:rPr>
              <w:t xml:space="preserve"> na výše uvedený dotaz kladně.</w:t>
            </w:r>
          </w:p>
          <w:p w14:paraId="1E69BD57" w14:textId="35853B19" w:rsidR="00712B2D" w:rsidRPr="00C14B99" w:rsidRDefault="00A966F4" w:rsidP="00C14B99">
            <w:pPr>
              <w:pStyle w:val="Odstavecseseznamem"/>
              <w:numPr>
                <w:ilvl w:val="0"/>
                <w:numId w:val="38"/>
              </w:numPr>
              <w:ind w:left="284" w:hanging="284"/>
              <w:jc w:val="both"/>
              <w:rPr>
                <w:b w:val="0"/>
                <w:color w:val="000000" w:themeColor="text1"/>
                <w:sz w:val="20"/>
                <w:szCs w:val="20"/>
                <w:lang w:eastAsia="cs-CZ"/>
              </w:rPr>
            </w:pPr>
            <w:r w:rsidRPr="00C14B99">
              <w:rPr>
                <w:b w:val="0"/>
                <w:color w:val="000000" w:themeColor="text1"/>
                <w:sz w:val="20"/>
                <w:szCs w:val="20"/>
                <w:lang w:eastAsia="cs-CZ"/>
              </w:rPr>
              <w:t>4</w:t>
            </w:r>
            <w:r w:rsidR="00712B2D" w:rsidRPr="00C14B99">
              <w:rPr>
                <w:b w:val="0"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6B6436">
              <w:rPr>
                <w:b w:val="0"/>
                <w:color w:val="000000" w:themeColor="text1"/>
                <w:sz w:val="20"/>
                <w:szCs w:val="20"/>
                <w:lang w:eastAsia="cs-CZ"/>
              </w:rPr>
              <w:t> </w:t>
            </w:r>
            <w:r w:rsidR="00712B2D" w:rsidRPr="00C14B99">
              <w:rPr>
                <w:b w:val="0"/>
                <w:color w:val="000000" w:themeColor="text1"/>
                <w:sz w:val="20"/>
                <w:szCs w:val="20"/>
                <w:lang w:eastAsia="cs-CZ"/>
              </w:rPr>
              <w:t>% respondentů si myslí, že peníze z evropských fondů jsou v ČR vy</w:t>
            </w:r>
            <w:r w:rsidRPr="00C14B99">
              <w:rPr>
                <w:b w:val="0"/>
                <w:color w:val="000000" w:themeColor="text1"/>
                <w:sz w:val="20"/>
                <w:szCs w:val="20"/>
                <w:lang w:eastAsia="cs-CZ"/>
              </w:rPr>
              <w:t>užívány podle jasných pravidel.</w:t>
            </w:r>
          </w:p>
          <w:p w14:paraId="5991870C" w14:textId="53391123" w:rsidR="00712B2D" w:rsidRPr="00C14B99" w:rsidRDefault="00A966F4" w:rsidP="00C14B99">
            <w:pPr>
              <w:pStyle w:val="Odstavecseseznamem"/>
              <w:numPr>
                <w:ilvl w:val="0"/>
                <w:numId w:val="38"/>
              </w:numPr>
              <w:ind w:left="284" w:hanging="284"/>
              <w:jc w:val="both"/>
              <w:rPr>
                <w:b w:val="0"/>
                <w:color w:val="000000" w:themeColor="text1"/>
                <w:sz w:val="20"/>
                <w:szCs w:val="20"/>
                <w:lang w:eastAsia="cs-CZ"/>
              </w:rPr>
            </w:pPr>
            <w:r w:rsidRPr="00C14B99">
              <w:rPr>
                <w:b w:val="0"/>
                <w:color w:val="000000" w:themeColor="text1"/>
                <w:sz w:val="20"/>
                <w:szCs w:val="20"/>
                <w:lang w:eastAsia="cs-CZ"/>
              </w:rPr>
              <w:t>3</w:t>
            </w:r>
            <w:r w:rsidR="00712B2D" w:rsidRPr="00C14B99">
              <w:rPr>
                <w:b w:val="0"/>
                <w:color w:val="000000" w:themeColor="text1"/>
                <w:sz w:val="20"/>
                <w:szCs w:val="20"/>
                <w:lang w:eastAsia="cs-CZ"/>
              </w:rPr>
              <w:t>7</w:t>
            </w:r>
            <w:r w:rsidR="006B6436">
              <w:rPr>
                <w:b w:val="0"/>
                <w:color w:val="000000" w:themeColor="text1"/>
                <w:sz w:val="20"/>
                <w:szCs w:val="20"/>
                <w:lang w:eastAsia="cs-CZ"/>
              </w:rPr>
              <w:t> </w:t>
            </w:r>
            <w:r w:rsidR="00712B2D" w:rsidRPr="00C14B99">
              <w:rPr>
                <w:b w:val="0"/>
                <w:color w:val="000000" w:themeColor="text1"/>
                <w:sz w:val="20"/>
                <w:szCs w:val="20"/>
                <w:lang w:eastAsia="cs-CZ"/>
              </w:rPr>
              <w:t xml:space="preserve">% </w:t>
            </w:r>
            <w:r w:rsidRPr="00C14B99">
              <w:rPr>
                <w:b w:val="0"/>
                <w:color w:val="000000" w:themeColor="text1"/>
                <w:sz w:val="20"/>
                <w:szCs w:val="20"/>
                <w:lang w:eastAsia="cs-CZ"/>
              </w:rPr>
              <w:t xml:space="preserve">respondentů si myslí, </w:t>
            </w:r>
            <w:r w:rsidR="00712B2D" w:rsidRPr="00C14B99">
              <w:rPr>
                <w:b w:val="0"/>
                <w:color w:val="000000" w:themeColor="text1"/>
                <w:sz w:val="20"/>
                <w:szCs w:val="20"/>
                <w:lang w:eastAsia="cs-CZ"/>
              </w:rPr>
              <w:t>že jejich využití je důsledně kontrolováno</w:t>
            </w:r>
            <w:r w:rsidRPr="00C14B99">
              <w:rPr>
                <w:b w:val="0"/>
                <w:color w:val="000000" w:themeColor="text1"/>
                <w:sz w:val="20"/>
                <w:szCs w:val="20"/>
                <w:lang w:eastAsia="cs-CZ"/>
              </w:rPr>
              <w:t xml:space="preserve">. </w:t>
            </w:r>
          </w:p>
          <w:p w14:paraId="3EF6CC66" w14:textId="77777777" w:rsidR="004B304E" w:rsidRPr="007E135C" w:rsidRDefault="00A966F4" w:rsidP="00C14B99">
            <w:pPr>
              <w:pStyle w:val="Odstavecseseznamem"/>
              <w:numPr>
                <w:ilvl w:val="0"/>
                <w:numId w:val="38"/>
              </w:numPr>
              <w:spacing w:after="40"/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C14B99">
              <w:rPr>
                <w:color w:val="000000" w:themeColor="text1"/>
                <w:sz w:val="20"/>
                <w:szCs w:val="20"/>
                <w:lang w:eastAsia="cs-CZ"/>
              </w:rPr>
              <w:t>61 % dotázaných věří negativním článkům či zprávám o čerpání evropských fondů v ČR.</w:t>
            </w:r>
          </w:p>
        </w:tc>
      </w:tr>
    </w:tbl>
    <w:p w14:paraId="783D7B39" w14:textId="77777777" w:rsidR="001472A9" w:rsidRPr="00C14B99" w:rsidRDefault="001472A9" w:rsidP="006528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</w:p>
    <w:p w14:paraId="69AD4333" w14:textId="50D7C027" w:rsidR="00652808" w:rsidRPr="00C14B99" w:rsidRDefault="00BD7928" w:rsidP="0065280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Na základě z</w:t>
      </w:r>
      <w:r w:rsidR="00E62B5F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miňovan</w:t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ého</w:t>
      </w:r>
      <w:r w:rsidR="00E62B5F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</w:t>
      </w:r>
      <w:r w:rsidR="00583CEA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průzkum</w:t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u</w:t>
      </w:r>
      <w:r w:rsidR="00583CEA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z roku 2013</w:t>
      </w:r>
      <w:r w:rsidR="00ED6B0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</w:t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bylo </w:t>
      </w:r>
      <w:r w:rsidR="00583CEA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dále </w:t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zjištěno, že </w:t>
      </w:r>
      <w:r w:rsidR="00BF4B2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celých 61 % dotázaných</w:t>
      </w:r>
      <w:r w:rsidR="00583CEA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vůbec nevědělo o veřejně dostupném </w:t>
      </w:r>
      <w:r w:rsidR="00CA31B3">
        <w:rPr>
          <w:rFonts w:ascii="Calibri" w:hAnsi="Calibri" w:cs="Calibri"/>
          <w:b/>
          <w:i/>
          <w:color w:val="000000" w:themeColor="text1"/>
          <w:sz w:val="24"/>
          <w:szCs w:val="24"/>
          <w:lang w:eastAsia="cs-CZ"/>
        </w:rPr>
        <w:t>s</w:t>
      </w:r>
      <w:r w:rsidR="00583CEA" w:rsidRPr="00C14B99">
        <w:rPr>
          <w:rFonts w:ascii="Calibri" w:hAnsi="Calibri" w:cs="Calibri"/>
          <w:b/>
          <w:i/>
          <w:color w:val="000000" w:themeColor="text1"/>
          <w:sz w:val="24"/>
          <w:szCs w:val="24"/>
          <w:lang w:eastAsia="cs-CZ"/>
        </w:rPr>
        <w:t>eznamu příjemců</w:t>
      </w:r>
      <w:r w:rsidR="00583CEA" w:rsidRPr="00CA2432">
        <w:rPr>
          <w:rStyle w:val="Znakapoznpodarou"/>
          <w:rFonts w:ascii="Calibri" w:hAnsi="Calibri" w:cs="Calibri"/>
          <w:b/>
          <w:color w:val="000000" w:themeColor="text1"/>
          <w:sz w:val="24"/>
          <w:szCs w:val="24"/>
          <w:lang w:eastAsia="cs-CZ"/>
        </w:rPr>
        <w:footnoteReference w:id="37"/>
      </w:r>
      <w:r w:rsidR="00583CEA" w:rsidRPr="006B6436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.</w:t>
      </w:r>
      <w:r w:rsidR="00BF4B21" w:rsidRPr="006B6436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</w:t>
      </w:r>
      <w:r w:rsidR="00652808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Tento průzkum </w:t>
      </w:r>
      <w:r w:rsidR="001472A9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z </w:t>
      </w:r>
      <w:r w:rsidR="00652808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roku 2013 byl posledním průzkumem povědomí české veřejnosti o </w:t>
      </w:r>
      <w:r w:rsidR="001F3CC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fondech EU.</w:t>
      </w:r>
    </w:p>
    <w:p w14:paraId="36F7E15B" w14:textId="77777777" w:rsidR="001F3CC1" w:rsidRPr="00C14B99" w:rsidRDefault="001F3CC1" w:rsidP="0065280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highlight w:val="yellow"/>
          <w:lang w:eastAsia="cs-CZ"/>
        </w:rPr>
      </w:pPr>
    </w:p>
    <w:p w14:paraId="5E8D3420" w14:textId="77777777" w:rsidR="001F3CC1" w:rsidRPr="00C14B99" w:rsidRDefault="00E246B0" w:rsidP="00883E34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Ze srovnání výsledků </w:t>
      </w:r>
      <w:r w:rsidR="00A15F2E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výše uvedených </w:t>
      </w:r>
      <w:r w:rsidR="00386282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šetření </w:t>
      </w:r>
      <w:r w:rsidR="002E6344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z let 2011 a 2013 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vyplývá </w:t>
      </w:r>
      <w:r w:rsidR="006002EE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rovněž </w:t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p</w:t>
      </w:r>
      <w:r w:rsidR="00BE2029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okles </w:t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pozitivních odpovědí na </w:t>
      </w:r>
      <w:r w:rsidR="00BE2029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dotaz</w:t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y</w:t>
      </w:r>
      <w:r w:rsidR="00BE2029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</w:t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týkající se p</w:t>
      </w:r>
      <w:r w:rsidR="00BE2029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oskytovan</w:t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ých</w:t>
      </w:r>
      <w:r w:rsidR="00BE2029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informac</w:t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í</w:t>
      </w:r>
      <w:r w:rsidR="00BE2029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o fondech EU</w:t>
      </w:r>
      <w:r w:rsidR="00BE2029" w:rsidRPr="00C14B99">
        <w:rPr>
          <w:rStyle w:val="Znakapoznpodarou"/>
          <w:rFonts w:ascii="Calibri" w:hAnsi="Calibri" w:cs="Calibri"/>
          <w:color w:val="000000" w:themeColor="text1"/>
          <w:sz w:val="24"/>
          <w:szCs w:val="24"/>
          <w:lang w:eastAsia="cs-CZ"/>
        </w:rPr>
        <w:footnoteReference w:id="38"/>
      </w:r>
      <w:r w:rsidR="00E62B5F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; zejména 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u dílčích aspektů, jakými </w:t>
      </w:r>
      <w:r w:rsidR="00A76B6D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byly kupříkladu</w:t>
      </w:r>
      <w:r w:rsidR="001F3CC1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:</w:t>
      </w:r>
    </w:p>
    <w:p w14:paraId="6A15A82F" w14:textId="77777777" w:rsidR="001F3CC1" w:rsidRPr="00C14B99" w:rsidRDefault="00E246B0" w:rsidP="00C14B99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dobrá dostupnost informací, </w:t>
      </w:r>
    </w:p>
    <w:p w14:paraId="5BE1F6E1" w14:textId="77777777" w:rsidR="001F3CC1" w:rsidRPr="00C14B99" w:rsidRDefault="00E246B0" w:rsidP="00C14B99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jasnost a srozumitelnost</w:t>
      </w:r>
      <w:r w:rsidR="006002EE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,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</w:p>
    <w:p w14:paraId="06C8ED7C" w14:textId="77777777" w:rsidR="001F3CC1" w:rsidRPr="00C14B99" w:rsidRDefault="00E246B0" w:rsidP="00C14B99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přesnost, </w:t>
      </w:r>
    </w:p>
    <w:p w14:paraId="654B560E" w14:textId="77777777" w:rsidR="001F3CC1" w:rsidRPr="00C14B99" w:rsidRDefault="00E246B0" w:rsidP="00C14B99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konkrétnost a věcnost. </w:t>
      </w:r>
    </w:p>
    <w:p w14:paraId="16315724" w14:textId="77777777" w:rsidR="001F3CC1" w:rsidRPr="00C14B99" w:rsidRDefault="001F3CC1" w:rsidP="00C14B99">
      <w:pPr>
        <w:pStyle w:val="Odstavecseseznamem"/>
        <w:spacing w:after="0" w:line="240" w:lineRule="auto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</w:p>
    <w:p w14:paraId="7DE8C3CF" w14:textId="57EE4432" w:rsidR="00BE2029" w:rsidRPr="00C14B99" w:rsidRDefault="00A76B6D" w:rsidP="001F3C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Dobrou informovanost o možnostech získání finanční podpory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="006002EE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deklarovalo </w:t>
      </w:r>
      <w:r w:rsidR="001F3CC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v průzkumu z roku </w:t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2013 ze všech </w:t>
      </w:r>
      <w:r w:rsidR="00E62B5F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respondentů j</w:t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en 14 %, což představuje ve srovnání s rokem 2011 nárůst kladných odpovědí o pouhá 4 %. </w:t>
      </w:r>
    </w:p>
    <w:p w14:paraId="65ACE431" w14:textId="77777777" w:rsidR="00BE2029" w:rsidRPr="00C14B99" w:rsidRDefault="00BE2029" w:rsidP="001F3CC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</w:p>
    <w:p w14:paraId="34BB1FB7" w14:textId="6ABB099A" w:rsidR="001F3CC1" w:rsidRDefault="006E3FEA" w:rsidP="001F3CC1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Celkem 96 % široké veřejnosti</w:t>
      </w:r>
      <w:r w:rsidR="00386282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 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se domnívá, že by veřejnost měla být informována o čerpání pomoci z</w:t>
      </w:r>
      <w:r w:rsidR="006002EE"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 fondů EU 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prostřednictvím informačních kampaní. </w:t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Kampaně by veřejnosti měly ukázat 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>především možnosti a výhody čerpání dotací</w:t>
      </w:r>
      <w:r w:rsidR="001F3CC1" w:rsidRPr="00C14B99">
        <w:rPr>
          <w:rStyle w:val="Znakapoznpodarou"/>
          <w:rFonts w:ascii="Calibri" w:hAnsi="Calibri" w:cs="Calibri"/>
          <w:color w:val="000000" w:themeColor="text1"/>
          <w:sz w:val="24"/>
          <w:szCs w:val="24"/>
          <w:lang w:eastAsia="cs-CZ"/>
        </w:rPr>
        <w:footnoteReference w:id="39"/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</w:t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a </w:t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průhlednost toku financí a jejich</w:t>
      </w:r>
      <w:r w:rsidR="00AE7B1D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</w:t>
      </w:r>
      <w:r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přidělování</w:t>
      </w:r>
      <w:r w:rsidR="001F3CC1" w:rsidRPr="00C14B99">
        <w:rPr>
          <w:rStyle w:val="Znakapoznpodarou"/>
          <w:rFonts w:ascii="Calibri" w:hAnsi="Calibri" w:cs="Calibri"/>
          <w:b/>
          <w:color w:val="000000" w:themeColor="text1"/>
          <w:sz w:val="24"/>
          <w:szCs w:val="24"/>
          <w:lang w:eastAsia="cs-CZ"/>
        </w:rPr>
        <w:footnoteReference w:id="40"/>
      </w:r>
      <w:r w:rsidRPr="00C14B99">
        <w:rPr>
          <w:rFonts w:ascii="Calibri" w:hAnsi="Calibri" w:cs="Calibri"/>
          <w:color w:val="000000" w:themeColor="text1"/>
          <w:sz w:val="24"/>
          <w:szCs w:val="24"/>
          <w:lang w:eastAsia="cs-CZ"/>
        </w:rPr>
        <w:t xml:space="preserve">. </w:t>
      </w:r>
      <w:r w:rsidR="00ED6B0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Televizní a rozhlasové kampaně zaměřené na cílovou skupinu </w:t>
      </w:r>
      <w:r w:rsidR="00ED6B01" w:rsidRPr="00C14B99">
        <w:rPr>
          <w:rFonts w:ascii="Calibri" w:hAnsi="Calibri" w:cs="Calibri"/>
          <w:b/>
          <w:i/>
          <w:color w:val="000000" w:themeColor="text1"/>
          <w:sz w:val="24"/>
          <w:szCs w:val="24"/>
          <w:lang w:eastAsia="cs-CZ"/>
        </w:rPr>
        <w:t>široká veřejnost</w:t>
      </w:r>
      <w:r w:rsidR="00ED6B0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neposkytly veřejnosti v jednotlivých spotech </w:t>
      </w:r>
      <w:r w:rsidR="006002EE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například</w:t>
      </w:r>
      <w:r w:rsidR="00A226E8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žádné </w:t>
      </w:r>
      <w:r w:rsidR="00ED6B0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informace o výši peněžních prostředků vynaložených na realizaci propagovaných úspěšných projektů</w:t>
      </w:r>
      <w:r w:rsidR="0001182F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, a to u </w:t>
      </w:r>
      <w:r w:rsidR="00FD3120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žádného z kontrolovaných operačních programů</w:t>
      </w:r>
      <w:r w:rsidR="00ED6B0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. Tato skutečnost nepřispívá k</w:t>
      </w:r>
      <w:r w:rsidR="00A51134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e zvýšení</w:t>
      </w:r>
      <w:r w:rsidR="006B6436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</w:t>
      </w:r>
      <w:r w:rsidR="00ED6B0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transparentnosti pomoci poskytované z jednotlivých fondů EU</w:t>
      </w:r>
      <w:r w:rsidR="00DB5C9B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, respektive veřejných prostředků České republiky</w:t>
      </w:r>
      <w:r w:rsidR="00ED6B01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>.</w:t>
      </w:r>
      <w:r w:rsidR="00A51134" w:rsidRPr="00C14B99"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t xml:space="preserve"> </w:t>
      </w:r>
    </w:p>
    <w:p w14:paraId="0E1E4615" w14:textId="77777777" w:rsidR="006B6436" w:rsidRDefault="006B6436" w:rsidP="001F3CC1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</w:p>
    <w:p w14:paraId="3A7347C8" w14:textId="77777777" w:rsidR="006B6436" w:rsidRDefault="006B6436" w:rsidP="001F3CC1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</w:p>
    <w:p w14:paraId="245E064B" w14:textId="77777777" w:rsidR="005F16D6" w:rsidRDefault="005F16D6">
      <w:pPr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  <w:r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br w:type="page"/>
      </w:r>
    </w:p>
    <w:p w14:paraId="73958750" w14:textId="37ADDF58" w:rsidR="006B6436" w:rsidRDefault="006B6436" w:rsidP="001F3CC1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</w:pPr>
      <w:r>
        <w:rPr>
          <w:rFonts w:ascii="Calibri" w:hAnsi="Calibri" w:cs="Calibri"/>
          <w:b/>
          <w:color w:val="000000" w:themeColor="text1"/>
          <w:sz w:val="24"/>
          <w:szCs w:val="24"/>
          <w:lang w:eastAsia="cs-CZ"/>
        </w:rPr>
        <w:lastRenderedPageBreak/>
        <w:t>Seznam zkratek</w:t>
      </w:r>
    </w:p>
    <w:p w14:paraId="4A750917" w14:textId="77777777" w:rsidR="006B6436" w:rsidRPr="00F81D76" w:rsidRDefault="006B6436" w:rsidP="001F3CC1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</w:p>
    <w:p w14:paraId="6E624816" w14:textId="4A6A18A4" w:rsidR="00F81D76" w:rsidRDefault="00F81D7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ČT</w:t>
      </w:r>
      <w:r>
        <w:rPr>
          <w:rFonts w:ascii="Calibri" w:hAnsi="Calibri" w:cs="Calibri"/>
          <w:color w:val="000000" w:themeColor="text1"/>
          <w:sz w:val="24"/>
          <w:szCs w:val="24"/>
        </w:rPr>
        <w:tab/>
        <w:t>Česká televize</w:t>
      </w:r>
    </w:p>
    <w:p w14:paraId="4D20D493" w14:textId="4B745EEA" w:rsidR="00F81D76" w:rsidRPr="00F81D76" w:rsidRDefault="00F81D7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F81D76">
        <w:rPr>
          <w:rFonts w:ascii="Calibri" w:hAnsi="Calibri" w:cs="Calibri"/>
          <w:color w:val="000000" w:themeColor="text1"/>
          <w:sz w:val="24"/>
          <w:szCs w:val="24"/>
        </w:rPr>
        <w:t>EFRR</w:t>
      </w:r>
      <w:r w:rsidRPr="00F81D76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81D76">
        <w:rPr>
          <w:rFonts w:ascii="Calibri" w:hAnsi="Calibri" w:cs="Calibri"/>
          <w:i/>
          <w:color w:val="000000" w:themeColor="text1"/>
          <w:sz w:val="24"/>
          <w:szCs w:val="24"/>
        </w:rPr>
        <w:t>Evropský fond pro regionální rozvoj</w:t>
      </w:r>
    </w:p>
    <w:p w14:paraId="25D9BB67" w14:textId="7F87F74C" w:rsidR="006B6436" w:rsidRPr="00F81D76" w:rsidRDefault="006B643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F81D76">
        <w:rPr>
          <w:rFonts w:ascii="Calibri" w:hAnsi="Calibri" w:cs="Calibri"/>
          <w:color w:val="000000" w:themeColor="text1"/>
          <w:sz w:val="24"/>
          <w:szCs w:val="24"/>
        </w:rPr>
        <w:t>ESF</w:t>
      </w:r>
      <w:r w:rsidRPr="00F81D76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81D76">
        <w:rPr>
          <w:rFonts w:ascii="Calibri" w:hAnsi="Calibri" w:cs="Calibri"/>
          <w:i/>
          <w:color w:val="000000" w:themeColor="text1"/>
          <w:sz w:val="24"/>
          <w:szCs w:val="24"/>
        </w:rPr>
        <w:t>Evropský sociální fond</w:t>
      </w:r>
    </w:p>
    <w:p w14:paraId="6340190D" w14:textId="0D44ACEE" w:rsidR="00F81D76" w:rsidRPr="00F81D76" w:rsidRDefault="00F81D7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FS</w:t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F81D76">
        <w:rPr>
          <w:rFonts w:ascii="Calibri" w:hAnsi="Calibri" w:cs="Calibri"/>
          <w:i/>
          <w:color w:val="000000" w:themeColor="text1"/>
          <w:sz w:val="24"/>
          <w:szCs w:val="24"/>
        </w:rPr>
        <w:t>Fond soudržnosti</w:t>
      </w:r>
    </w:p>
    <w:p w14:paraId="6E9A8ACD" w14:textId="2D0E00E2" w:rsidR="006B6436" w:rsidRPr="00F81D76" w:rsidRDefault="006B643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81D76">
        <w:rPr>
          <w:rFonts w:ascii="Calibri" w:hAnsi="Calibri" w:cs="Calibri"/>
          <w:color w:val="000000" w:themeColor="text1"/>
          <w:sz w:val="24"/>
          <w:szCs w:val="24"/>
        </w:rPr>
        <w:t>IS</w:t>
      </w:r>
      <w:r w:rsidRPr="00F81D76">
        <w:rPr>
          <w:rFonts w:ascii="Calibri" w:hAnsi="Calibri" w:cs="Calibri"/>
          <w:color w:val="000000" w:themeColor="text1"/>
          <w:sz w:val="24"/>
          <w:szCs w:val="24"/>
        </w:rPr>
        <w:tab/>
        <w:t>informační systém</w:t>
      </w:r>
    </w:p>
    <w:p w14:paraId="249A1FEB" w14:textId="40D77CC0" w:rsidR="006B6436" w:rsidRPr="00F81D76" w:rsidRDefault="006B643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81D76">
        <w:rPr>
          <w:rFonts w:ascii="Calibri" w:hAnsi="Calibri" w:cs="Calibri"/>
          <w:color w:val="000000" w:themeColor="text1"/>
          <w:sz w:val="24"/>
          <w:szCs w:val="24"/>
        </w:rPr>
        <w:t>KoP</w:t>
      </w:r>
      <w:r w:rsidRPr="00F81D76">
        <w:rPr>
          <w:rFonts w:ascii="Calibri" w:hAnsi="Calibri" w:cs="Calibri"/>
          <w:color w:val="000000" w:themeColor="text1"/>
          <w:sz w:val="24"/>
          <w:szCs w:val="24"/>
        </w:rPr>
        <w:tab/>
        <w:t>komunikační plán</w:t>
      </w:r>
    </w:p>
    <w:p w14:paraId="51EFF284" w14:textId="57C9B31B" w:rsidR="00F81D76" w:rsidRDefault="00F81D7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MMR</w:t>
      </w:r>
      <w:r>
        <w:rPr>
          <w:rFonts w:ascii="Calibri" w:hAnsi="Calibri" w:cs="Calibri"/>
          <w:color w:val="000000" w:themeColor="text1"/>
          <w:sz w:val="24"/>
          <w:szCs w:val="24"/>
        </w:rPr>
        <w:tab/>
        <w:t>Ministerstvo pro místní rozvoj</w:t>
      </w:r>
    </w:p>
    <w:p w14:paraId="5C2A4B0A" w14:textId="7D37912F" w:rsidR="00F81D76" w:rsidRDefault="00F81D7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MPSV</w:t>
      </w:r>
      <w:r>
        <w:rPr>
          <w:rFonts w:ascii="Calibri" w:hAnsi="Calibri" w:cs="Calibri"/>
          <w:color w:val="000000" w:themeColor="text1"/>
          <w:sz w:val="24"/>
          <w:szCs w:val="24"/>
        </w:rPr>
        <w:tab/>
        <w:t>Ministerstvo práce a sociálních věcí</w:t>
      </w:r>
    </w:p>
    <w:p w14:paraId="74CAC11F" w14:textId="5D8DA775" w:rsidR="00F81D76" w:rsidRDefault="00F81D7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MŠMT</w:t>
      </w:r>
      <w:r>
        <w:rPr>
          <w:rFonts w:ascii="Calibri" w:hAnsi="Calibri" w:cs="Calibri"/>
          <w:color w:val="000000" w:themeColor="text1"/>
          <w:sz w:val="24"/>
          <w:szCs w:val="24"/>
        </w:rPr>
        <w:tab/>
        <w:t>Ministerstvo školství, mládeže a tělovýchovy</w:t>
      </w:r>
    </w:p>
    <w:p w14:paraId="5A354BC0" w14:textId="215FA9E4" w:rsidR="006B6436" w:rsidRPr="00F81D76" w:rsidRDefault="006B643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81D76">
        <w:rPr>
          <w:rFonts w:ascii="Calibri" w:hAnsi="Calibri" w:cs="Calibri"/>
          <w:color w:val="000000" w:themeColor="text1"/>
          <w:sz w:val="24"/>
          <w:szCs w:val="24"/>
        </w:rPr>
        <w:t>NKÚ</w:t>
      </w:r>
      <w:r w:rsidRPr="00F81D76">
        <w:rPr>
          <w:rFonts w:ascii="Calibri" w:hAnsi="Calibri" w:cs="Calibri"/>
          <w:color w:val="000000" w:themeColor="text1"/>
          <w:sz w:val="24"/>
          <w:szCs w:val="24"/>
        </w:rPr>
        <w:tab/>
        <w:t>Nejvyšší kontrolní úřad</w:t>
      </w:r>
    </w:p>
    <w:p w14:paraId="5BB4C635" w14:textId="37584F88" w:rsidR="00F81D76" w:rsidRDefault="00F81D7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NOK</w:t>
      </w:r>
      <w:r>
        <w:rPr>
          <w:rFonts w:ascii="Calibri" w:hAnsi="Calibri" w:cs="Calibri"/>
          <w:color w:val="000000" w:themeColor="text1"/>
          <w:sz w:val="24"/>
          <w:szCs w:val="24"/>
        </w:rPr>
        <w:tab/>
        <w:t>Národní orgán pro koordinaci (odbor MMR)</w:t>
      </w:r>
    </w:p>
    <w:p w14:paraId="1EAADD3C" w14:textId="4124CFDF" w:rsidR="00F81D76" w:rsidRDefault="00F81D7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NSRR</w:t>
      </w:r>
      <w:r>
        <w:rPr>
          <w:rFonts w:ascii="Calibri" w:hAnsi="Calibri" w:cs="Calibri"/>
          <w:color w:val="000000" w:themeColor="text1"/>
          <w:sz w:val="24"/>
          <w:szCs w:val="24"/>
        </w:rPr>
        <w:tab/>
        <w:t>národní strategický referenční rámec</w:t>
      </w:r>
    </w:p>
    <w:p w14:paraId="4C43484A" w14:textId="1BF6182C" w:rsidR="006B6436" w:rsidRPr="00F81D76" w:rsidRDefault="006B643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81D76">
        <w:rPr>
          <w:rFonts w:ascii="Calibri" w:hAnsi="Calibri" w:cs="Calibri"/>
          <w:color w:val="000000" w:themeColor="text1"/>
          <w:sz w:val="24"/>
          <w:szCs w:val="24"/>
        </w:rPr>
        <w:t>OP</w:t>
      </w:r>
      <w:r w:rsidRPr="00F81D76">
        <w:rPr>
          <w:rFonts w:ascii="Calibri" w:hAnsi="Calibri" w:cs="Calibri"/>
          <w:color w:val="000000" w:themeColor="text1"/>
          <w:sz w:val="24"/>
          <w:szCs w:val="24"/>
        </w:rPr>
        <w:tab/>
        <w:t>operační program</w:t>
      </w:r>
    </w:p>
    <w:p w14:paraId="5AD6A855" w14:textId="3D4C4E93" w:rsidR="006B6436" w:rsidRPr="00F81D76" w:rsidRDefault="006B643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F81D76">
        <w:rPr>
          <w:rFonts w:ascii="Calibri" w:hAnsi="Calibri" w:cs="Calibri"/>
          <w:color w:val="000000" w:themeColor="text1"/>
          <w:sz w:val="24"/>
          <w:szCs w:val="24"/>
        </w:rPr>
        <w:t>OP LZZ</w:t>
      </w:r>
      <w:r w:rsidRPr="00F81D76">
        <w:rPr>
          <w:rFonts w:ascii="Calibri" w:hAnsi="Calibri" w:cs="Calibri"/>
          <w:color w:val="000000" w:themeColor="text1"/>
          <w:sz w:val="24"/>
          <w:szCs w:val="24"/>
        </w:rPr>
        <w:tab/>
        <w:t xml:space="preserve">operační program </w:t>
      </w:r>
      <w:r w:rsidRPr="00F81D76">
        <w:rPr>
          <w:rFonts w:ascii="Calibri" w:hAnsi="Calibri" w:cs="Calibri"/>
          <w:i/>
          <w:color w:val="000000" w:themeColor="text1"/>
          <w:sz w:val="24"/>
          <w:szCs w:val="24"/>
        </w:rPr>
        <w:t>Lidské zdroje a zaměstnanost</w:t>
      </w:r>
    </w:p>
    <w:p w14:paraId="4B4824D7" w14:textId="1326A8A7" w:rsidR="006B6436" w:rsidRPr="00F81D76" w:rsidRDefault="006B643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 w:rsidRPr="00F81D76">
        <w:rPr>
          <w:rFonts w:ascii="Calibri" w:hAnsi="Calibri" w:cs="Calibri"/>
          <w:color w:val="000000" w:themeColor="text1"/>
          <w:sz w:val="24"/>
          <w:szCs w:val="24"/>
        </w:rPr>
        <w:t>OP VaVpI</w:t>
      </w:r>
      <w:r w:rsidRPr="00F81D76">
        <w:rPr>
          <w:rFonts w:ascii="Calibri" w:hAnsi="Calibri" w:cs="Calibri"/>
          <w:color w:val="000000" w:themeColor="text1"/>
          <w:sz w:val="24"/>
          <w:szCs w:val="24"/>
        </w:rPr>
        <w:tab/>
        <w:t xml:space="preserve">operační program </w:t>
      </w:r>
      <w:r w:rsidR="00F81D76" w:rsidRPr="00F81D76">
        <w:rPr>
          <w:rFonts w:ascii="Calibri" w:hAnsi="Calibri" w:cs="Calibri"/>
          <w:i/>
          <w:color w:val="000000" w:themeColor="text1"/>
          <w:sz w:val="24"/>
          <w:szCs w:val="24"/>
        </w:rPr>
        <w:t>Výzkum a vývoj pro inovace</w:t>
      </w:r>
    </w:p>
    <w:p w14:paraId="7804A8D5" w14:textId="5C53BA80" w:rsidR="006B6436" w:rsidRPr="00F81D76" w:rsidRDefault="006B643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81D76">
        <w:rPr>
          <w:rFonts w:ascii="Calibri" w:hAnsi="Calibri" w:cs="Calibri"/>
          <w:color w:val="000000" w:themeColor="text1"/>
          <w:sz w:val="24"/>
          <w:szCs w:val="24"/>
        </w:rPr>
        <w:t>OP VK</w:t>
      </w:r>
      <w:r w:rsidRPr="00F81D76">
        <w:rPr>
          <w:rFonts w:ascii="Calibri" w:hAnsi="Calibri" w:cs="Calibri"/>
          <w:color w:val="000000" w:themeColor="text1"/>
          <w:sz w:val="24"/>
          <w:szCs w:val="24"/>
        </w:rPr>
        <w:tab/>
        <w:t xml:space="preserve">operační program </w:t>
      </w:r>
      <w:r w:rsidR="00F81D76" w:rsidRPr="00F81D76">
        <w:rPr>
          <w:rFonts w:ascii="Calibri" w:hAnsi="Calibri" w:cs="Calibri"/>
          <w:i/>
          <w:color w:val="000000" w:themeColor="text1"/>
          <w:sz w:val="24"/>
          <w:szCs w:val="24"/>
          <w:lang w:eastAsia="cs-CZ"/>
        </w:rPr>
        <w:t>Vzdělávání pro konkurenceschopnost</w:t>
      </w:r>
    </w:p>
    <w:p w14:paraId="4500682E" w14:textId="3D02844C" w:rsidR="006B6436" w:rsidRDefault="006B643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F81D76">
        <w:rPr>
          <w:rFonts w:ascii="Calibri" w:hAnsi="Calibri" w:cs="Calibri"/>
          <w:color w:val="000000" w:themeColor="text1"/>
          <w:sz w:val="24"/>
          <w:szCs w:val="24"/>
        </w:rPr>
        <w:t>RKoP</w:t>
      </w:r>
      <w:r w:rsidRPr="00F81D76">
        <w:rPr>
          <w:rFonts w:ascii="Calibri" w:hAnsi="Calibri" w:cs="Calibri"/>
          <w:color w:val="000000" w:themeColor="text1"/>
          <w:sz w:val="24"/>
          <w:szCs w:val="24"/>
        </w:rPr>
        <w:tab/>
        <w:t>roční komunikační plán</w:t>
      </w:r>
    </w:p>
    <w:p w14:paraId="2DF39223" w14:textId="2DC31959" w:rsidR="00F81D76" w:rsidRDefault="00F81D7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i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ROP SČ</w:t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>
        <w:rPr>
          <w:rFonts w:ascii="Calibri" w:hAnsi="Calibri" w:cs="Calibri"/>
          <w:i/>
          <w:color w:val="000000" w:themeColor="text1"/>
          <w:sz w:val="24"/>
          <w:szCs w:val="24"/>
        </w:rPr>
        <w:t>Regionální operační program regionu soudržnosti Střední Čechy</w:t>
      </w:r>
    </w:p>
    <w:p w14:paraId="19DC5303" w14:textId="69D14895" w:rsidR="00F81D76" w:rsidRPr="00F81D76" w:rsidRDefault="00F81D76" w:rsidP="006B6436">
      <w:pPr>
        <w:tabs>
          <w:tab w:val="left" w:pos="2835"/>
        </w:tabs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RR SČ</w:t>
      </w:r>
      <w:r>
        <w:rPr>
          <w:rFonts w:ascii="Calibri" w:hAnsi="Calibri" w:cs="Calibri"/>
          <w:color w:val="000000" w:themeColor="text1"/>
          <w:sz w:val="24"/>
          <w:szCs w:val="24"/>
        </w:rPr>
        <w:tab/>
        <w:t>Regionální rada regionu soudržnosti Střední Čechy</w:t>
      </w:r>
    </w:p>
    <w:sectPr w:rsidR="00F81D76" w:rsidRPr="00F81D76" w:rsidSect="00C14B99">
      <w:footerReference w:type="default" r:id="rId21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4D098" w14:textId="77777777" w:rsidR="000614E8" w:rsidRDefault="000614E8" w:rsidP="0077328C">
      <w:pPr>
        <w:spacing w:after="0" w:line="240" w:lineRule="auto"/>
      </w:pPr>
      <w:r>
        <w:separator/>
      </w:r>
    </w:p>
  </w:endnote>
  <w:endnote w:type="continuationSeparator" w:id="0">
    <w:p w14:paraId="7C1C5E94" w14:textId="77777777" w:rsidR="000614E8" w:rsidRDefault="000614E8" w:rsidP="0077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184015"/>
      <w:docPartObj>
        <w:docPartGallery w:val="Page Numbers (Bottom of Page)"/>
        <w:docPartUnique/>
      </w:docPartObj>
    </w:sdtPr>
    <w:sdtEndPr/>
    <w:sdtContent>
      <w:p w14:paraId="350B4626" w14:textId="77777777" w:rsidR="000614E8" w:rsidRDefault="000614E8" w:rsidP="00C14B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1F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FE45D" w14:textId="77777777" w:rsidR="000614E8" w:rsidRDefault="000614E8" w:rsidP="0077328C">
      <w:pPr>
        <w:spacing w:after="0" w:line="240" w:lineRule="auto"/>
      </w:pPr>
      <w:r>
        <w:separator/>
      </w:r>
    </w:p>
  </w:footnote>
  <w:footnote w:type="continuationSeparator" w:id="0">
    <w:p w14:paraId="404895A1" w14:textId="77777777" w:rsidR="000614E8" w:rsidRDefault="000614E8" w:rsidP="0077328C">
      <w:pPr>
        <w:spacing w:after="0" w:line="240" w:lineRule="auto"/>
      </w:pPr>
      <w:r>
        <w:continuationSeparator/>
      </w:r>
    </w:p>
  </w:footnote>
  <w:footnote w:id="1">
    <w:p w14:paraId="6ABA3C58" w14:textId="77777777" w:rsidR="000614E8" w:rsidRPr="000B6DDB" w:rsidRDefault="000614E8" w:rsidP="000B6DDB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0B6DDB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0B6DDB">
        <w:rPr>
          <w:rFonts w:ascii="Calibri" w:hAnsi="Calibri" w:cs="Calibri"/>
        </w:rPr>
        <w:t>Článek 69 odst. 1 nařízení</w:t>
      </w:r>
      <w:r>
        <w:rPr>
          <w:rFonts w:ascii="Calibri" w:hAnsi="Calibri" w:cs="Calibri"/>
        </w:rPr>
        <w:t xml:space="preserve"> Rady</w:t>
      </w:r>
      <w:r w:rsidRPr="000B6DDB">
        <w:rPr>
          <w:rFonts w:ascii="Calibri" w:hAnsi="Calibri" w:cs="Calibri"/>
        </w:rPr>
        <w:t xml:space="preserve"> (ES) č. 1083/2006</w:t>
      </w:r>
      <w:r>
        <w:rPr>
          <w:rFonts w:ascii="Calibri" w:hAnsi="Calibri" w:cs="Calibri"/>
        </w:rPr>
        <w:t>,</w:t>
      </w:r>
      <w:r w:rsidRPr="000B6DDB">
        <w:rPr>
          <w:rFonts w:ascii="Calibri" w:hAnsi="Calibri" w:cs="Calibri"/>
        </w:rPr>
        <w:t xml:space="preserve"> o obecných ustanoveních o Evropském fondu pro regionální rozvoj, Evropském sociálním fondu a Fondu soudržnosti a o zrušení nařízení (ES) č. 1260/1999.</w:t>
      </w:r>
    </w:p>
  </w:footnote>
  <w:footnote w:id="2">
    <w:p w14:paraId="05A9F7AE" w14:textId="77777777" w:rsidR="000614E8" w:rsidRPr="000B6DDB" w:rsidRDefault="000614E8" w:rsidP="000B6DDB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0B6DDB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0B6DDB">
        <w:rPr>
          <w:rFonts w:ascii="Calibri" w:hAnsi="Calibri" w:cs="Calibri"/>
        </w:rPr>
        <w:t>Komunikační plán obsahuje údaje o cílech, cílových skupinách, obsahu, o strategii a nástrojích informačních a propagačních aktivit, o jejich financování a způsobu řízení.</w:t>
      </w:r>
    </w:p>
  </w:footnote>
  <w:footnote w:id="3">
    <w:p w14:paraId="648F7D6A" w14:textId="7631630F" w:rsidR="000614E8" w:rsidRPr="000B6DDB" w:rsidRDefault="000614E8" w:rsidP="000B6DDB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0B6DDB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0B6DDB">
        <w:rPr>
          <w:rFonts w:ascii="Calibri" w:hAnsi="Calibri" w:cs="Calibri"/>
        </w:rPr>
        <w:t xml:space="preserve">Komunikační strategie </w:t>
      </w:r>
      <w:r>
        <w:rPr>
          <w:rFonts w:ascii="Calibri" w:hAnsi="Calibri" w:cs="Calibri"/>
        </w:rPr>
        <w:t>vy</w:t>
      </w:r>
      <w:r w:rsidRPr="000B6DDB">
        <w:rPr>
          <w:rFonts w:ascii="Calibri" w:hAnsi="Calibri" w:cs="Calibri"/>
        </w:rPr>
        <w:t xml:space="preserve">pracovaná Národním orgánem </w:t>
      </w:r>
      <w:r>
        <w:rPr>
          <w:rFonts w:ascii="Calibri" w:hAnsi="Calibri" w:cs="Calibri"/>
        </w:rPr>
        <w:t xml:space="preserve">pro </w:t>
      </w:r>
      <w:r w:rsidRPr="000B6DDB">
        <w:rPr>
          <w:rFonts w:ascii="Calibri" w:hAnsi="Calibri" w:cs="Calibri"/>
        </w:rPr>
        <w:t>koordinac</w:t>
      </w:r>
      <w:r>
        <w:rPr>
          <w:rFonts w:ascii="Calibri" w:hAnsi="Calibri" w:cs="Calibri"/>
        </w:rPr>
        <w:t>i</w:t>
      </w:r>
      <w:r w:rsidRPr="000B6D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</w:t>
      </w:r>
      <w:r w:rsidRPr="000B6DDB">
        <w:rPr>
          <w:rFonts w:ascii="Calibri" w:hAnsi="Calibri" w:cs="Calibri"/>
        </w:rPr>
        <w:t>Ministerstv</w:t>
      </w:r>
      <w:r>
        <w:rPr>
          <w:rFonts w:ascii="Calibri" w:hAnsi="Calibri" w:cs="Calibri"/>
        </w:rPr>
        <w:t>em</w:t>
      </w:r>
      <w:r w:rsidRPr="000B6DDB">
        <w:rPr>
          <w:rFonts w:ascii="Calibri" w:hAnsi="Calibri" w:cs="Calibri"/>
        </w:rPr>
        <w:t xml:space="preserve"> pro místní rozvoj</w:t>
      </w:r>
      <w:r>
        <w:rPr>
          <w:rFonts w:ascii="Calibri" w:hAnsi="Calibri" w:cs="Calibri"/>
        </w:rPr>
        <w:t xml:space="preserve"> (NOK </w:t>
      </w:r>
      <w:r w:rsidRPr="000B6DDB">
        <w:rPr>
          <w:rFonts w:ascii="Calibri" w:hAnsi="Calibri" w:cs="Calibri"/>
        </w:rPr>
        <w:t xml:space="preserve">MMR).  </w:t>
      </w:r>
    </w:p>
  </w:footnote>
  <w:footnote w:id="4">
    <w:p w14:paraId="6FCB35FA" w14:textId="5FB22E42" w:rsidR="000614E8" w:rsidRPr="000B6DDB" w:rsidRDefault="000614E8" w:rsidP="000B6DDB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0B6DDB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0B6DDB">
        <w:rPr>
          <w:rFonts w:ascii="Calibri" w:hAnsi="Calibri" w:cs="Calibri"/>
        </w:rPr>
        <w:t xml:space="preserve">Cílovými skupinami jsou zejména </w:t>
      </w:r>
      <w:r w:rsidRPr="00C340F1">
        <w:rPr>
          <w:rFonts w:ascii="Calibri" w:hAnsi="Calibri" w:cs="Calibri"/>
        </w:rPr>
        <w:t>široká veřejnost, odborná veřejnost</w:t>
      </w:r>
      <w:r w:rsidRPr="00DA5A48">
        <w:rPr>
          <w:rFonts w:ascii="Calibri" w:hAnsi="Calibri" w:cs="Calibri"/>
        </w:rPr>
        <w:t xml:space="preserve">, </w:t>
      </w:r>
      <w:r w:rsidRPr="00C340F1">
        <w:rPr>
          <w:rFonts w:ascii="Calibri" w:hAnsi="Calibri" w:cs="Calibri"/>
        </w:rPr>
        <w:t>včetně žadatelů a příjemců,</w:t>
      </w:r>
      <w:r w:rsidRPr="00DA5A48">
        <w:rPr>
          <w:rFonts w:ascii="Calibri" w:hAnsi="Calibri" w:cs="Calibri"/>
        </w:rPr>
        <w:t xml:space="preserve"> </w:t>
      </w:r>
      <w:r w:rsidRPr="00C340F1">
        <w:rPr>
          <w:rFonts w:ascii="Calibri" w:hAnsi="Calibri" w:cs="Calibri"/>
        </w:rPr>
        <w:t>implementační subjekty</w:t>
      </w:r>
      <w:r w:rsidRPr="00DA5A48">
        <w:rPr>
          <w:rFonts w:ascii="Calibri" w:hAnsi="Calibri" w:cs="Calibri"/>
        </w:rPr>
        <w:t xml:space="preserve"> </w:t>
      </w:r>
      <w:r w:rsidRPr="000B6DDB">
        <w:rPr>
          <w:rFonts w:ascii="Calibri" w:hAnsi="Calibri" w:cs="Calibri"/>
        </w:rPr>
        <w:t xml:space="preserve">příslušného operačního programu, respektive </w:t>
      </w:r>
      <w:r>
        <w:rPr>
          <w:rFonts w:ascii="Calibri" w:hAnsi="Calibri" w:cs="Calibri"/>
        </w:rPr>
        <w:t>n</w:t>
      </w:r>
      <w:r w:rsidRPr="000B6DDB">
        <w:rPr>
          <w:rFonts w:ascii="Calibri" w:hAnsi="Calibri" w:cs="Calibri"/>
        </w:rPr>
        <w:t>árodního strategického referenčního rámce</w:t>
      </w:r>
      <w:r w:rsidRPr="00DA5A48">
        <w:rPr>
          <w:rFonts w:ascii="Calibri" w:hAnsi="Calibri" w:cs="Calibri"/>
        </w:rPr>
        <w:t xml:space="preserve">, </w:t>
      </w:r>
      <w:r w:rsidRPr="00C340F1">
        <w:rPr>
          <w:rFonts w:ascii="Calibri" w:hAnsi="Calibri" w:cs="Calibri"/>
        </w:rPr>
        <w:t>zástupci médií apod</w:t>
      </w:r>
      <w:r w:rsidRPr="00DA5A48">
        <w:rPr>
          <w:rFonts w:ascii="Calibri" w:hAnsi="Calibri" w:cs="Calibri"/>
        </w:rPr>
        <w:t>.</w:t>
      </w:r>
    </w:p>
  </w:footnote>
  <w:footnote w:id="5">
    <w:p w14:paraId="61E2BC4B" w14:textId="77777777" w:rsidR="000614E8" w:rsidRPr="00FF285F" w:rsidRDefault="000614E8" w:rsidP="00FF285F">
      <w:pPr>
        <w:pStyle w:val="Textpoznpodarou"/>
        <w:ind w:left="284" w:hanging="284"/>
        <w:rPr>
          <w:rFonts w:ascii="Calibri" w:hAnsi="Calibri" w:cs="Calibri"/>
        </w:rPr>
      </w:pPr>
      <w:r w:rsidRPr="00FF285F">
        <w:rPr>
          <w:rStyle w:val="Znakapoznpodarou"/>
          <w:rFonts w:ascii="Calibri" w:hAnsi="Calibri" w:cs="Calibri"/>
        </w:rPr>
        <w:footnoteRef/>
      </w:r>
      <w:r w:rsidRPr="00FF285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C726E0">
        <w:rPr>
          <w:rFonts w:ascii="Calibri" w:hAnsi="Calibri" w:cs="Calibri"/>
        </w:rPr>
        <w:t>SMART principy jsou využívány v oblasti projektového řízení především k hodnocení kvality stanovených cílů. Kritéria SMART vyžadují, aby cíle byly konkrétní, měřitelné, dosažitelné, odpovídající a časově vymezené.</w:t>
      </w:r>
    </w:p>
  </w:footnote>
  <w:footnote w:id="6">
    <w:p w14:paraId="525E687B" w14:textId="77777777" w:rsidR="000614E8" w:rsidRPr="00C726E0" w:rsidRDefault="000614E8" w:rsidP="00C726E0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C726E0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C726E0">
        <w:rPr>
          <w:rFonts w:ascii="Calibri" w:hAnsi="Calibri" w:cs="Calibri"/>
        </w:rPr>
        <w:t xml:space="preserve">Ustanovení článku 27 odst. 3 nařízení Rady (ES, EURATOM) č. 1605/2002, resp. článku 30 odst. 3 nařízení Evropského parlamentu a Rady (EU, EURATOM) č. 966/2012, kterým </w:t>
      </w:r>
      <w:r>
        <w:rPr>
          <w:rFonts w:ascii="Calibri" w:hAnsi="Calibri" w:cs="Calibri"/>
        </w:rPr>
        <w:t>se stanoví finanční pravidla o </w:t>
      </w:r>
      <w:r w:rsidRPr="00C726E0">
        <w:rPr>
          <w:rFonts w:ascii="Calibri" w:hAnsi="Calibri" w:cs="Calibri"/>
        </w:rPr>
        <w:t>souhrnném rozpočtu Unie.</w:t>
      </w:r>
    </w:p>
  </w:footnote>
  <w:footnote w:id="7">
    <w:p w14:paraId="104F5F47" w14:textId="224ED86A" w:rsidR="000614E8" w:rsidRPr="00C726E0" w:rsidRDefault="000614E8" w:rsidP="00E01A6F">
      <w:pPr>
        <w:pStyle w:val="Textpoznpodarou"/>
        <w:ind w:left="284" w:hanging="284"/>
        <w:rPr>
          <w:rFonts w:ascii="Calibri" w:hAnsi="Calibri" w:cs="Calibri"/>
        </w:rPr>
      </w:pPr>
      <w:r w:rsidRPr="00C726E0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40016D">
        <w:rPr>
          <w:rFonts w:ascii="Calibri" w:hAnsi="Calibri" w:cs="Calibri"/>
          <w:i/>
        </w:rPr>
        <w:t>Doporučení a návrhy pro realizaci komunikačních aktivit OP VK 2011–2015</w:t>
      </w:r>
      <w:r w:rsidRPr="00C726E0">
        <w:rPr>
          <w:rFonts w:ascii="Calibri" w:hAnsi="Calibri" w:cs="Calibri"/>
        </w:rPr>
        <w:t xml:space="preserve">, příloha k závěrečné zprávě </w:t>
      </w:r>
      <w:r w:rsidRPr="0040016D">
        <w:rPr>
          <w:rFonts w:ascii="Calibri" w:hAnsi="Calibri" w:cs="Calibri"/>
          <w:i/>
        </w:rPr>
        <w:t>Evaluace komunikačního plánu OP VK</w:t>
      </w:r>
      <w:r w:rsidRPr="00C726E0">
        <w:rPr>
          <w:rFonts w:ascii="Calibri" w:hAnsi="Calibri" w:cs="Calibri"/>
        </w:rPr>
        <w:t xml:space="preserve"> zpracované v roce 2011.</w:t>
      </w:r>
    </w:p>
  </w:footnote>
  <w:footnote w:id="8">
    <w:p w14:paraId="5006E9A1" w14:textId="671375A9" w:rsidR="000614E8" w:rsidRPr="00E7430A" w:rsidRDefault="000614E8" w:rsidP="00E7430A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E7430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E7430A">
        <w:rPr>
          <w:rFonts w:ascii="Calibri" w:hAnsi="Calibri" w:cs="Calibri"/>
        </w:rPr>
        <w:t>Průběžná</w:t>
      </w:r>
      <w:r>
        <w:rPr>
          <w:rFonts w:ascii="Calibri" w:hAnsi="Calibri" w:cs="Calibri"/>
        </w:rPr>
        <w:t xml:space="preserve"> hodnoticí zpráva</w:t>
      </w:r>
      <w:r w:rsidRPr="00E7430A">
        <w:rPr>
          <w:rFonts w:ascii="Calibri" w:hAnsi="Calibri" w:cs="Calibri"/>
        </w:rPr>
        <w:t xml:space="preserve"> </w:t>
      </w:r>
      <w:r w:rsidRPr="0040016D">
        <w:rPr>
          <w:rFonts w:ascii="Calibri" w:hAnsi="Calibri" w:cs="Calibri"/>
          <w:i/>
        </w:rPr>
        <w:t>Evaluace komunikačních a propagačních aktivit OP LZZ a realizace komunikačního plánu</w:t>
      </w:r>
      <w:r w:rsidRPr="00E7430A">
        <w:rPr>
          <w:rFonts w:ascii="Calibri" w:hAnsi="Calibri" w:cs="Calibri"/>
        </w:rPr>
        <w:t xml:space="preserve"> zpracovaná v roce 2011.</w:t>
      </w:r>
    </w:p>
  </w:footnote>
  <w:footnote w:id="9">
    <w:p w14:paraId="343DA03A" w14:textId="77777777" w:rsidR="000614E8" w:rsidRPr="005A22E2" w:rsidRDefault="000614E8" w:rsidP="00425B04">
      <w:pPr>
        <w:pStyle w:val="Textpoznpodarou"/>
        <w:ind w:left="284" w:hanging="284"/>
        <w:rPr>
          <w:rFonts w:ascii="Calibri" w:hAnsi="Calibri" w:cs="Calibri"/>
        </w:rPr>
      </w:pPr>
      <w:r w:rsidRPr="005A22E2">
        <w:rPr>
          <w:rStyle w:val="Znakapoznpodarou"/>
          <w:rFonts w:ascii="Calibri" w:hAnsi="Calibri" w:cs="Calibri"/>
        </w:rPr>
        <w:footnoteRef/>
      </w:r>
      <w:r w:rsidRPr="005A22E2">
        <w:rPr>
          <w:rFonts w:ascii="Calibri" w:hAnsi="Calibri" w:cs="Calibri"/>
        </w:rPr>
        <w:tab/>
        <w:t>Smluvní cena zakázky ve výši 3 889 205 Kč.</w:t>
      </w:r>
    </w:p>
  </w:footnote>
  <w:footnote w:id="10">
    <w:p w14:paraId="3B38A9A3" w14:textId="77777777" w:rsidR="000614E8" w:rsidRPr="005A22E2" w:rsidRDefault="000614E8" w:rsidP="00425B04">
      <w:pPr>
        <w:pStyle w:val="Textpoznpodarou"/>
        <w:ind w:left="284" w:hanging="284"/>
        <w:rPr>
          <w:rFonts w:ascii="Calibri" w:hAnsi="Calibri" w:cs="Calibri"/>
        </w:rPr>
      </w:pPr>
      <w:r w:rsidRPr="005A22E2">
        <w:rPr>
          <w:rStyle w:val="Znakapoznpodarou"/>
          <w:rFonts w:ascii="Calibri" w:hAnsi="Calibri" w:cs="Calibri"/>
        </w:rPr>
        <w:footnoteRef/>
      </w:r>
      <w:r w:rsidRPr="005A22E2">
        <w:rPr>
          <w:rFonts w:ascii="Calibri" w:hAnsi="Calibri" w:cs="Calibri"/>
        </w:rPr>
        <w:tab/>
        <w:t>Ustanovení § 155 odst. 1 zákona č. 137/2006 Sb., o veřejných zakázkách.</w:t>
      </w:r>
    </w:p>
  </w:footnote>
  <w:footnote w:id="11">
    <w:p w14:paraId="07D0A085" w14:textId="77777777" w:rsidR="000614E8" w:rsidRPr="005A22E2" w:rsidRDefault="000614E8" w:rsidP="00425B04">
      <w:pPr>
        <w:pStyle w:val="Textpoznpodarou"/>
        <w:ind w:left="284" w:hanging="284"/>
        <w:rPr>
          <w:rFonts w:ascii="Calibri" w:hAnsi="Calibri" w:cs="Calibri"/>
        </w:rPr>
      </w:pPr>
      <w:r w:rsidRPr="005A22E2">
        <w:rPr>
          <w:rStyle w:val="Znakapoznpodarou"/>
          <w:rFonts w:ascii="Calibri" w:hAnsi="Calibri" w:cs="Calibri"/>
        </w:rPr>
        <w:footnoteRef/>
      </w:r>
      <w:r w:rsidRPr="005A22E2">
        <w:rPr>
          <w:rFonts w:ascii="Calibri" w:hAnsi="Calibri" w:cs="Calibri"/>
        </w:rPr>
        <w:tab/>
        <w:t>Ustanovení § 83 odst. 1 a § 146 odst. 1 písm. b) zákona č. 137/2006 Sb., o veřejných zakázkách.</w:t>
      </w:r>
    </w:p>
  </w:footnote>
  <w:footnote w:id="12">
    <w:p w14:paraId="69AABAAC" w14:textId="77777777" w:rsidR="000614E8" w:rsidRPr="005A22E2" w:rsidRDefault="000614E8" w:rsidP="00425B04">
      <w:pPr>
        <w:pStyle w:val="Textpoznpodarou"/>
        <w:ind w:left="284" w:hanging="284"/>
        <w:rPr>
          <w:rFonts w:ascii="Calibri" w:hAnsi="Calibri" w:cs="Calibri"/>
        </w:rPr>
      </w:pPr>
      <w:r w:rsidRPr="005A22E2">
        <w:rPr>
          <w:rStyle w:val="Znakapoznpodarou"/>
          <w:rFonts w:ascii="Calibri" w:hAnsi="Calibri" w:cs="Calibri"/>
        </w:rPr>
        <w:footnoteRef/>
      </w:r>
      <w:r w:rsidRPr="005A22E2">
        <w:rPr>
          <w:rFonts w:ascii="Calibri" w:hAnsi="Calibri" w:cs="Calibri"/>
        </w:rPr>
        <w:tab/>
        <w:t>Informační systém o veřejných zakázkách.</w:t>
      </w:r>
    </w:p>
  </w:footnote>
  <w:footnote w:id="13">
    <w:p w14:paraId="55C846B4" w14:textId="77777777" w:rsidR="000614E8" w:rsidRPr="005A22E2" w:rsidRDefault="000614E8" w:rsidP="00425B04">
      <w:pPr>
        <w:pStyle w:val="Textpoznpodarou"/>
        <w:ind w:left="284" w:hanging="284"/>
        <w:rPr>
          <w:rFonts w:ascii="Calibri" w:hAnsi="Calibri" w:cs="Calibri"/>
        </w:rPr>
      </w:pPr>
      <w:r w:rsidRPr="005A22E2">
        <w:rPr>
          <w:rStyle w:val="Znakapoznpodarou"/>
          <w:rFonts w:ascii="Calibri" w:hAnsi="Calibri" w:cs="Calibri"/>
        </w:rPr>
        <w:footnoteRef/>
      </w:r>
      <w:r w:rsidRPr="005A22E2">
        <w:rPr>
          <w:rFonts w:ascii="Calibri" w:hAnsi="Calibri" w:cs="Calibri"/>
        </w:rPr>
        <w:tab/>
        <w:t>Ustanovení § 6 zákona č. 137/2006 Sb., o veřejných zakázkách.</w:t>
      </w:r>
    </w:p>
  </w:footnote>
  <w:footnote w:id="14">
    <w:p w14:paraId="7F4D48A5" w14:textId="352CC680" w:rsidR="000614E8" w:rsidRPr="005A22E2" w:rsidRDefault="000614E8" w:rsidP="00425B04">
      <w:pPr>
        <w:pStyle w:val="Textpoznpodarou"/>
        <w:ind w:left="284" w:hanging="284"/>
        <w:rPr>
          <w:rFonts w:ascii="Calibri" w:hAnsi="Calibri" w:cs="Calibri"/>
        </w:rPr>
      </w:pPr>
      <w:r w:rsidRPr="005A22E2">
        <w:rPr>
          <w:rStyle w:val="Znakapoznpodarou"/>
          <w:rFonts w:ascii="Calibri" w:hAnsi="Calibri" w:cs="Calibri"/>
        </w:rPr>
        <w:footnoteRef/>
      </w:r>
      <w:r w:rsidRPr="005A22E2">
        <w:rPr>
          <w:rFonts w:ascii="Calibri" w:hAnsi="Calibri" w:cs="Calibri"/>
        </w:rPr>
        <w:tab/>
        <w:t>Postup dle zákona č. 320/2001 Sb., respektive dle ustanovení § 13 vyhlášky č. 416/2004 Sb.</w:t>
      </w:r>
    </w:p>
  </w:footnote>
  <w:footnote w:id="15">
    <w:p w14:paraId="52E8D94D" w14:textId="11C7E75B" w:rsidR="000614E8" w:rsidRPr="005A22E2" w:rsidRDefault="000614E8" w:rsidP="00425B04">
      <w:pPr>
        <w:pStyle w:val="Textpoznpodarou"/>
        <w:ind w:left="284" w:hanging="284"/>
        <w:rPr>
          <w:rFonts w:ascii="Calibri" w:hAnsi="Calibri" w:cs="Calibri"/>
        </w:rPr>
      </w:pPr>
      <w:r w:rsidRPr="005A22E2">
        <w:rPr>
          <w:rStyle w:val="Znakapoznpodarou"/>
          <w:rFonts w:ascii="Calibri" w:hAnsi="Calibri" w:cs="Calibri"/>
        </w:rPr>
        <w:footnoteRef/>
      </w:r>
      <w:r w:rsidRPr="005A22E2">
        <w:rPr>
          <w:rFonts w:ascii="Calibri" w:hAnsi="Calibri" w:cs="Calibri"/>
        </w:rPr>
        <w:tab/>
        <w:t>Postup dle zákona č. 320/2001 Sb., respektive dle § 17, resp. ustanovení § 13 vyhlášky</w:t>
      </w:r>
      <w:r>
        <w:rPr>
          <w:rFonts w:ascii="Calibri" w:hAnsi="Calibri" w:cs="Calibri"/>
        </w:rPr>
        <w:t xml:space="preserve"> č. </w:t>
      </w:r>
      <w:r w:rsidRPr="005A22E2">
        <w:rPr>
          <w:rFonts w:ascii="Calibri" w:hAnsi="Calibri" w:cs="Calibri"/>
        </w:rPr>
        <w:t xml:space="preserve">416/2004 Sb. </w:t>
      </w:r>
    </w:p>
  </w:footnote>
  <w:footnote w:id="16">
    <w:p w14:paraId="49E54673" w14:textId="078087BA" w:rsidR="000614E8" w:rsidRPr="005A22E2" w:rsidRDefault="000614E8" w:rsidP="00425B04">
      <w:pPr>
        <w:pStyle w:val="Textpoznpodarou"/>
        <w:ind w:left="284" w:hanging="284"/>
        <w:rPr>
          <w:rFonts w:ascii="Calibri" w:hAnsi="Calibri" w:cs="Calibri"/>
        </w:rPr>
      </w:pPr>
      <w:r w:rsidRPr="005A22E2">
        <w:rPr>
          <w:rStyle w:val="Znakapoznpodarou"/>
          <w:rFonts w:ascii="Calibri" w:hAnsi="Calibri" w:cs="Calibri"/>
        </w:rPr>
        <w:footnoteRef/>
      </w:r>
      <w:r w:rsidRPr="005A22E2">
        <w:rPr>
          <w:rStyle w:val="Znakapoznpodarou"/>
          <w:rFonts w:ascii="Calibri" w:hAnsi="Calibri" w:cs="Calibri"/>
        </w:rPr>
        <w:tab/>
      </w:r>
      <w:r w:rsidRPr="005A22E2">
        <w:rPr>
          <w:rFonts w:ascii="Calibri" w:hAnsi="Calibri" w:cs="Calibri"/>
        </w:rPr>
        <w:t>Závazné postupy</w:t>
      </w:r>
      <w:r>
        <w:rPr>
          <w:rFonts w:ascii="Calibri" w:hAnsi="Calibri" w:cs="Calibri"/>
        </w:rPr>
        <w:t xml:space="preserve"> pro programové období 2007–2013 stanovené</w:t>
      </w:r>
      <w:r w:rsidRPr="005A22E2">
        <w:rPr>
          <w:rFonts w:ascii="Calibri" w:hAnsi="Calibri" w:cs="Calibri"/>
        </w:rPr>
        <w:t xml:space="preserve"> pro zadávání zakázek</w:t>
      </w:r>
      <w:r>
        <w:rPr>
          <w:rFonts w:ascii="Calibri" w:hAnsi="Calibri" w:cs="Calibri"/>
        </w:rPr>
        <w:t>,</w:t>
      </w:r>
      <w:r w:rsidRPr="005A22E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které jsou spolufinancované</w:t>
      </w:r>
      <w:r w:rsidRPr="005A22E2">
        <w:rPr>
          <w:rFonts w:ascii="Calibri" w:hAnsi="Calibri" w:cs="Calibri"/>
        </w:rPr>
        <w:t xml:space="preserve"> ze zdrojů EU </w:t>
      </w:r>
      <w:r>
        <w:rPr>
          <w:rFonts w:ascii="Calibri" w:hAnsi="Calibri" w:cs="Calibri"/>
        </w:rPr>
        <w:t>a </w:t>
      </w:r>
      <w:r w:rsidRPr="005A22E2">
        <w:rPr>
          <w:rFonts w:ascii="Calibri" w:hAnsi="Calibri" w:cs="Calibri"/>
        </w:rPr>
        <w:t>nespadají pod zákon</w:t>
      </w:r>
      <w:r>
        <w:rPr>
          <w:rFonts w:ascii="Calibri" w:hAnsi="Calibri" w:cs="Calibri"/>
        </w:rPr>
        <w:t xml:space="preserve"> </w:t>
      </w:r>
      <w:r w:rsidRPr="005A22E2">
        <w:rPr>
          <w:rFonts w:ascii="Calibri" w:hAnsi="Calibri" w:cs="Calibri"/>
        </w:rPr>
        <w:t>č.</w:t>
      </w:r>
      <w:r>
        <w:rPr>
          <w:rFonts w:ascii="Calibri" w:hAnsi="Calibri" w:cs="Calibri"/>
        </w:rPr>
        <w:t> </w:t>
      </w:r>
      <w:r w:rsidRPr="005A22E2">
        <w:rPr>
          <w:rFonts w:ascii="Calibri" w:hAnsi="Calibri" w:cs="Calibri"/>
        </w:rPr>
        <w:t>137/2006 Sb., o veřejných zakázkách.</w:t>
      </w:r>
    </w:p>
  </w:footnote>
  <w:footnote w:id="17">
    <w:p w14:paraId="7BCC7DB2" w14:textId="77777777" w:rsidR="000614E8" w:rsidRPr="00D67015" w:rsidRDefault="000614E8" w:rsidP="00425B04">
      <w:pPr>
        <w:pStyle w:val="Textpoznpodarou"/>
        <w:ind w:left="284" w:hanging="284"/>
        <w:rPr>
          <w:rFonts w:ascii="Calibri" w:hAnsi="Calibri" w:cs="Calibri"/>
        </w:rPr>
      </w:pPr>
      <w:r w:rsidRPr="00D67015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D67015">
        <w:rPr>
          <w:rFonts w:ascii="Calibri" w:hAnsi="Calibri" w:cs="Calibri"/>
        </w:rPr>
        <w:t>Smluvní ceny ve výši 300 000 Kč, 1 980 000 Kč a 1 978 685 Kč.</w:t>
      </w:r>
    </w:p>
  </w:footnote>
  <w:footnote w:id="18">
    <w:p w14:paraId="6EFF0049" w14:textId="77777777" w:rsidR="000614E8" w:rsidRPr="00D67015" w:rsidRDefault="000614E8" w:rsidP="00D6701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D67015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D67015">
        <w:rPr>
          <w:rFonts w:ascii="Calibri" w:hAnsi="Calibri" w:cs="Calibri"/>
        </w:rPr>
        <w:t>Ustanovení § 6 zákona č. 137/2006 Sb., o veřejných zakázkách.</w:t>
      </w:r>
    </w:p>
  </w:footnote>
  <w:footnote w:id="19">
    <w:p w14:paraId="47BADCA4" w14:textId="77777777" w:rsidR="000614E8" w:rsidRPr="00D67015" w:rsidRDefault="000614E8" w:rsidP="00D67015">
      <w:pPr>
        <w:pStyle w:val="Textpoznpodarou"/>
        <w:ind w:left="284" w:hanging="284"/>
        <w:rPr>
          <w:rFonts w:ascii="Calibri" w:hAnsi="Calibri" w:cs="Calibri"/>
        </w:rPr>
      </w:pPr>
      <w:r w:rsidRPr="00D67015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D67015">
        <w:rPr>
          <w:rFonts w:ascii="Calibri" w:hAnsi="Calibri" w:cs="Calibri"/>
        </w:rPr>
        <w:t xml:space="preserve">Smluvní cena ve výši 1 999 000 Kč. </w:t>
      </w:r>
    </w:p>
  </w:footnote>
  <w:footnote w:id="20">
    <w:p w14:paraId="66AF5D9C" w14:textId="77777777" w:rsidR="000614E8" w:rsidRPr="00D67015" w:rsidRDefault="000614E8" w:rsidP="00D67015">
      <w:pPr>
        <w:pStyle w:val="Textpoznpodarou"/>
        <w:ind w:left="284" w:hanging="284"/>
        <w:rPr>
          <w:rFonts w:ascii="Calibri" w:hAnsi="Calibri" w:cs="Calibri"/>
        </w:rPr>
      </w:pPr>
      <w:r w:rsidRPr="00D67015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D67015">
        <w:rPr>
          <w:rFonts w:ascii="Calibri" w:hAnsi="Calibri" w:cs="Calibri"/>
        </w:rPr>
        <w:t>Smluvní cena ve výši 2 000 000 Kč.</w:t>
      </w:r>
    </w:p>
  </w:footnote>
  <w:footnote w:id="21">
    <w:p w14:paraId="70A7284C" w14:textId="77777777" w:rsidR="000614E8" w:rsidRPr="00D67015" w:rsidRDefault="000614E8" w:rsidP="00D67015">
      <w:pPr>
        <w:pStyle w:val="Textpoznpodarou"/>
        <w:ind w:left="284" w:hanging="284"/>
        <w:rPr>
          <w:rFonts w:ascii="Calibri" w:hAnsi="Calibri" w:cs="Calibri"/>
        </w:rPr>
      </w:pPr>
      <w:r w:rsidRPr="00D67015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D67015">
        <w:rPr>
          <w:rFonts w:ascii="Calibri" w:hAnsi="Calibri" w:cs="Calibri"/>
        </w:rPr>
        <w:t>Postup v rozporu s ustanovením § 7 odst. 1 zákona č. 137/2006 Sb., o veřejných zakázkách.</w:t>
      </w:r>
    </w:p>
  </w:footnote>
  <w:footnote w:id="22">
    <w:p w14:paraId="57C1EAC3" w14:textId="1922F256" w:rsidR="000614E8" w:rsidRPr="00D67015" w:rsidRDefault="000614E8" w:rsidP="00D6701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D67015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D67015">
        <w:rPr>
          <w:rFonts w:ascii="Calibri" w:hAnsi="Calibri" w:cs="Calibri"/>
        </w:rPr>
        <w:t>Postup dle zákona č. 320/2001 Sb. respektive dle § 14 o</w:t>
      </w:r>
      <w:r>
        <w:rPr>
          <w:rFonts w:ascii="Calibri" w:hAnsi="Calibri" w:cs="Calibri"/>
        </w:rPr>
        <w:t>dst. 1 a 5 vyhlášky č. 416/2004 </w:t>
      </w:r>
      <w:r w:rsidRPr="00D67015">
        <w:rPr>
          <w:rFonts w:ascii="Calibri" w:hAnsi="Calibri" w:cs="Calibri"/>
        </w:rPr>
        <w:t>Sb.</w:t>
      </w:r>
    </w:p>
  </w:footnote>
  <w:footnote w:id="23">
    <w:p w14:paraId="45581E1F" w14:textId="77777777" w:rsidR="000614E8" w:rsidRPr="00BD7928" w:rsidRDefault="000614E8" w:rsidP="00D67015">
      <w:pPr>
        <w:pStyle w:val="Textpoznpodarou"/>
        <w:ind w:left="284" w:hanging="284"/>
        <w:rPr>
          <w:rFonts w:asciiTheme="minorHAnsi" w:hAnsiTheme="minorHAnsi"/>
        </w:rPr>
      </w:pPr>
      <w:r w:rsidRPr="00BD7928">
        <w:rPr>
          <w:rStyle w:val="Znakapoznpodarou"/>
          <w:rFonts w:asciiTheme="minorHAnsi" w:hAnsiTheme="minorHAnsi"/>
        </w:rPr>
        <w:footnoteRef/>
      </w:r>
      <w:r>
        <w:rPr>
          <w:rFonts w:asciiTheme="minorHAnsi" w:hAnsiTheme="minorHAnsi"/>
        </w:rPr>
        <w:tab/>
      </w:r>
      <w:r w:rsidRPr="00BD7928">
        <w:rPr>
          <w:rFonts w:asciiTheme="minorHAnsi" w:hAnsiTheme="minorHAnsi"/>
        </w:rPr>
        <w:t>Využití venkovních billboardů.</w:t>
      </w:r>
    </w:p>
  </w:footnote>
  <w:footnote w:id="24">
    <w:p w14:paraId="60885896" w14:textId="0554C728" w:rsidR="000614E8" w:rsidRPr="00D67015" w:rsidRDefault="000614E8" w:rsidP="00ED2AC1">
      <w:pPr>
        <w:pStyle w:val="Textpoznpodarou"/>
        <w:ind w:left="284" w:hanging="284"/>
        <w:rPr>
          <w:rFonts w:ascii="Calibri" w:hAnsi="Calibri" w:cs="Calibri"/>
        </w:rPr>
      </w:pPr>
      <w:r w:rsidRPr="00D67015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D67015">
        <w:rPr>
          <w:rFonts w:ascii="Calibri" w:hAnsi="Calibri" w:cs="Calibri"/>
        </w:rPr>
        <w:t>V letech 2010, 2011 a 2012 se jednalo o výrazně nižší čerpání</w:t>
      </w:r>
      <w:r>
        <w:rPr>
          <w:rFonts w:ascii="Calibri" w:hAnsi="Calibri" w:cs="Calibri"/>
        </w:rPr>
        <w:t xml:space="preserve"> rozpočtu oproti plánovanému (v </w:t>
      </w:r>
      <w:r w:rsidRPr="00D67015">
        <w:rPr>
          <w:rFonts w:ascii="Calibri" w:hAnsi="Calibri" w:cs="Calibri"/>
        </w:rPr>
        <w:t xml:space="preserve">procentuálním vyjádření </w:t>
      </w:r>
      <w:r>
        <w:rPr>
          <w:rFonts w:ascii="Calibri" w:hAnsi="Calibri" w:cs="Calibri"/>
        </w:rPr>
        <w:t>bylo čerpání rozpočtu nižší v</w:t>
      </w:r>
      <w:r w:rsidRPr="00D67015">
        <w:rPr>
          <w:rFonts w:ascii="Calibri" w:hAnsi="Calibri" w:cs="Calibri"/>
        </w:rPr>
        <w:t xml:space="preserve"> rozmezí </w:t>
      </w:r>
      <w:r>
        <w:rPr>
          <w:rFonts w:ascii="Calibri" w:hAnsi="Calibri" w:cs="Calibri"/>
        </w:rPr>
        <w:t xml:space="preserve">od </w:t>
      </w:r>
      <w:r w:rsidRPr="00D67015">
        <w:rPr>
          <w:rFonts w:ascii="Calibri" w:hAnsi="Calibri" w:cs="Calibri"/>
        </w:rPr>
        <w:t xml:space="preserve">18,4 </w:t>
      </w:r>
      <w:r>
        <w:rPr>
          <w:rFonts w:ascii="Calibri" w:hAnsi="Calibri" w:cs="Calibri"/>
        </w:rPr>
        <w:t>do</w:t>
      </w:r>
      <w:r w:rsidRPr="00D67015">
        <w:rPr>
          <w:rFonts w:ascii="Calibri" w:hAnsi="Calibri" w:cs="Calibri"/>
        </w:rPr>
        <w:t xml:space="preserve"> 28,1 %).</w:t>
      </w:r>
    </w:p>
  </w:footnote>
  <w:footnote w:id="25">
    <w:p w14:paraId="69BB5DB6" w14:textId="2068F597" w:rsidR="000614E8" w:rsidRPr="00D67015" w:rsidRDefault="000614E8" w:rsidP="00D6701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D67015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D67015">
        <w:rPr>
          <w:rFonts w:ascii="Calibri" w:hAnsi="Calibri" w:cs="Calibri"/>
        </w:rPr>
        <w:t>Zrušení veřejné zakázky.</w:t>
      </w:r>
    </w:p>
  </w:footnote>
  <w:footnote w:id="26">
    <w:p w14:paraId="54070C8C" w14:textId="77777777" w:rsidR="000614E8" w:rsidRPr="00D67015" w:rsidRDefault="000614E8" w:rsidP="007903A6">
      <w:pPr>
        <w:pStyle w:val="Textpoznpodarou"/>
        <w:ind w:left="284" w:hanging="284"/>
        <w:rPr>
          <w:rFonts w:ascii="Calibri" w:hAnsi="Calibri" w:cs="Calibri"/>
        </w:rPr>
      </w:pPr>
      <w:r w:rsidRPr="00D67015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D67015">
        <w:rPr>
          <w:rFonts w:ascii="Calibri" w:hAnsi="Calibri" w:cs="Calibri"/>
        </w:rPr>
        <w:t xml:space="preserve">Viz zprávy z průběžných evaluací: </w:t>
      </w:r>
    </w:p>
    <w:p w14:paraId="2D79333F" w14:textId="55C7BB2E" w:rsidR="000614E8" w:rsidRPr="00D67015" w:rsidRDefault="000614E8" w:rsidP="007903A6">
      <w:pPr>
        <w:pStyle w:val="Textpoznpodarou"/>
        <w:numPr>
          <w:ilvl w:val="0"/>
          <w:numId w:val="45"/>
        </w:numPr>
        <w:ind w:left="426"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zpráva z průběžné evaluace </w:t>
      </w:r>
      <w:r w:rsidRPr="00D67015">
        <w:rPr>
          <w:rFonts w:ascii="Calibri" w:hAnsi="Calibri" w:cs="Calibri"/>
        </w:rPr>
        <w:t>KoP OP LZZ ze dne 11. 4. 2011 zveřejněn</w:t>
      </w:r>
      <w:r>
        <w:rPr>
          <w:rFonts w:ascii="Calibri" w:hAnsi="Calibri" w:cs="Calibri"/>
        </w:rPr>
        <w:t>á</w:t>
      </w:r>
      <w:r w:rsidRPr="00D67015">
        <w:rPr>
          <w:rFonts w:ascii="Calibri" w:hAnsi="Calibri" w:cs="Calibri"/>
        </w:rPr>
        <w:t xml:space="preserve"> dne 27. 6. 2011 na </w:t>
      </w:r>
      <w:hyperlink r:id="rId1" w:history="1">
        <w:r w:rsidRPr="00D67015">
          <w:rPr>
            <w:rStyle w:val="Hypertextovodkaz"/>
            <w:rFonts w:ascii="Calibri" w:hAnsi="Calibri" w:cs="Calibri"/>
          </w:rPr>
          <w:t>http://www.esfcr.cz/file/8122</w:t>
        </w:r>
      </w:hyperlink>
      <w:r w:rsidRPr="00D67015">
        <w:rPr>
          <w:rFonts w:ascii="Calibri" w:hAnsi="Calibri" w:cs="Calibri"/>
        </w:rPr>
        <w:t>;</w:t>
      </w:r>
    </w:p>
    <w:p w14:paraId="1DAFD04E" w14:textId="324078F5" w:rsidR="000614E8" w:rsidRPr="00D67015" w:rsidRDefault="000614E8" w:rsidP="007903A6">
      <w:pPr>
        <w:pStyle w:val="Textpoznpodarou"/>
        <w:numPr>
          <w:ilvl w:val="0"/>
          <w:numId w:val="45"/>
        </w:numPr>
        <w:ind w:left="426" w:hanging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zpráva z průběžné evaluace </w:t>
      </w:r>
      <w:r w:rsidRPr="00D67015">
        <w:rPr>
          <w:rFonts w:ascii="Calibri" w:hAnsi="Calibri" w:cs="Calibri"/>
        </w:rPr>
        <w:t>KoP OP VK ze dne 30. 3. 2011 zveřejněn</w:t>
      </w:r>
      <w:r>
        <w:rPr>
          <w:rFonts w:ascii="Calibri" w:hAnsi="Calibri" w:cs="Calibri"/>
        </w:rPr>
        <w:t>á</w:t>
      </w:r>
      <w:r w:rsidRPr="00D67015">
        <w:rPr>
          <w:rFonts w:ascii="Calibri" w:hAnsi="Calibri" w:cs="Calibri"/>
        </w:rPr>
        <w:t xml:space="preserve"> dne 13. 12. 2011 na </w:t>
      </w:r>
      <w:hyperlink r:id="rId2" w:history="1">
        <w:r w:rsidRPr="00D67015">
          <w:rPr>
            <w:rStyle w:val="Hypertextovodkaz"/>
            <w:rFonts w:ascii="Calibri" w:hAnsi="Calibri" w:cs="Calibri"/>
          </w:rPr>
          <w:t>www.esfcr.cz/file/8200</w:t>
        </w:r>
      </w:hyperlink>
      <w:r w:rsidRPr="00D67015">
        <w:rPr>
          <w:rFonts w:ascii="Calibri" w:hAnsi="Calibri" w:cs="Calibri"/>
        </w:rPr>
        <w:t>.</w:t>
      </w:r>
    </w:p>
  </w:footnote>
  <w:footnote w:id="27">
    <w:p w14:paraId="7CD700B2" w14:textId="77777777" w:rsidR="000614E8" w:rsidRPr="00C14B99" w:rsidRDefault="000614E8" w:rsidP="00C14B99">
      <w:pPr>
        <w:pStyle w:val="Textpoznpodarou"/>
        <w:ind w:left="284" w:hanging="284"/>
        <w:rPr>
          <w:rFonts w:ascii="Calibri" w:hAnsi="Calibri" w:cs="Calibri"/>
        </w:rPr>
      </w:pPr>
      <w:r w:rsidRPr="00C14B99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  <w:t xml:space="preserve">Viz </w:t>
      </w:r>
      <w:hyperlink r:id="rId3" w:history="1">
        <w:r w:rsidRPr="00C14B99">
          <w:rPr>
            <w:rStyle w:val="Hypertextovodkaz"/>
            <w:rFonts w:ascii="Calibri" w:hAnsi="Calibri" w:cs="Calibri"/>
          </w:rPr>
          <w:t>https://www.youtube.com/watch?v=MUeOWogq8XI</w:t>
        </w:r>
      </w:hyperlink>
      <w:r w:rsidRPr="00C14B99">
        <w:rPr>
          <w:rFonts w:ascii="Calibri" w:hAnsi="Calibri" w:cs="Calibri"/>
        </w:rPr>
        <w:t xml:space="preserve">; </w:t>
      </w:r>
      <w:hyperlink r:id="rId4" w:history="1">
        <w:r w:rsidRPr="00C14B99">
          <w:rPr>
            <w:rStyle w:val="Hypertextovodkaz"/>
            <w:rFonts w:ascii="Calibri" w:hAnsi="Calibri" w:cs="Calibri"/>
          </w:rPr>
          <w:t>https://www.youtube.com/watch?v=uxTkIsthj1Y</w:t>
        </w:r>
      </w:hyperlink>
      <w:r w:rsidRPr="00C14B99">
        <w:rPr>
          <w:rFonts w:ascii="Calibri" w:hAnsi="Calibri" w:cs="Calibri"/>
        </w:rPr>
        <w:t xml:space="preserve">; </w:t>
      </w:r>
      <w:hyperlink r:id="rId5" w:history="1">
        <w:r w:rsidRPr="00C14B99">
          <w:rPr>
            <w:rStyle w:val="Hypertextovodkaz"/>
            <w:rFonts w:ascii="Calibri" w:hAnsi="Calibri" w:cs="Calibri"/>
          </w:rPr>
          <w:t>https://www.youtube.com/watch?v=EzsAkSbemWw</w:t>
        </w:r>
      </w:hyperlink>
      <w:r w:rsidRPr="00C14B99">
        <w:rPr>
          <w:rFonts w:ascii="Calibri" w:hAnsi="Calibri" w:cs="Calibri"/>
        </w:rPr>
        <w:t>.</w:t>
      </w:r>
    </w:p>
  </w:footnote>
  <w:footnote w:id="28">
    <w:p w14:paraId="5F42ADFD" w14:textId="77777777" w:rsidR="000614E8" w:rsidRPr="00C14B99" w:rsidRDefault="000614E8" w:rsidP="00C14B99">
      <w:pPr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C14B99">
        <w:rPr>
          <w:rStyle w:val="Znakapoznpodarou"/>
          <w:rFonts w:ascii="Calibri" w:hAnsi="Calibri" w:cs="Calibri"/>
          <w:sz w:val="20"/>
          <w:szCs w:val="20"/>
        </w:rPr>
        <w:footnoteRef/>
      </w:r>
      <w:r>
        <w:rPr>
          <w:rFonts w:ascii="Calibri" w:hAnsi="Calibri" w:cs="Calibri"/>
          <w:sz w:val="20"/>
          <w:szCs w:val="20"/>
        </w:rPr>
        <w:tab/>
        <w:t xml:space="preserve">Viz </w:t>
      </w:r>
      <w:hyperlink r:id="rId6" w:history="1">
        <w:r w:rsidRPr="00C14B99">
          <w:rPr>
            <w:rStyle w:val="Hypertextovodkaz"/>
            <w:rFonts w:ascii="Calibri" w:hAnsi="Calibri" w:cs="Calibri"/>
            <w:sz w:val="20"/>
            <w:szCs w:val="20"/>
          </w:rPr>
          <w:t>https://www.youtube.com/watch?v=GemjcY7eGFI</w:t>
        </w:r>
      </w:hyperlink>
      <w:r w:rsidRPr="00C14B99">
        <w:rPr>
          <w:rFonts w:ascii="Calibri" w:hAnsi="Calibri" w:cs="Calibri"/>
          <w:sz w:val="20"/>
          <w:szCs w:val="20"/>
        </w:rPr>
        <w:t xml:space="preserve">; </w:t>
      </w:r>
      <w:hyperlink r:id="rId7" w:history="1">
        <w:r w:rsidRPr="00C14B99">
          <w:rPr>
            <w:rStyle w:val="Hypertextovodkaz"/>
            <w:rFonts w:ascii="Calibri" w:hAnsi="Calibri" w:cs="Calibri"/>
            <w:sz w:val="20"/>
            <w:szCs w:val="20"/>
          </w:rPr>
          <w:t>https://www.youtube.com/watch?v=ixnImNge-hU</w:t>
        </w:r>
      </w:hyperlink>
      <w:r w:rsidRPr="00C14B99">
        <w:rPr>
          <w:rFonts w:ascii="Calibri" w:hAnsi="Calibri" w:cs="Calibri"/>
          <w:sz w:val="20"/>
          <w:szCs w:val="20"/>
        </w:rPr>
        <w:t xml:space="preserve">; </w:t>
      </w:r>
      <w:hyperlink r:id="rId8" w:history="1">
        <w:r w:rsidRPr="00C14B99">
          <w:rPr>
            <w:rStyle w:val="Hypertextovodkaz"/>
            <w:rFonts w:ascii="Calibri" w:hAnsi="Calibri" w:cs="Calibri"/>
            <w:sz w:val="20"/>
            <w:szCs w:val="20"/>
          </w:rPr>
          <w:t>https://www.youtube.com/watch?v=_ghlULzKY_o</w:t>
        </w:r>
      </w:hyperlink>
      <w:r w:rsidRPr="00C14B99">
        <w:rPr>
          <w:rFonts w:ascii="Calibri" w:hAnsi="Calibri" w:cs="Calibri"/>
          <w:sz w:val="20"/>
          <w:szCs w:val="20"/>
        </w:rPr>
        <w:t xml:space="preserve">; </w:t>
      </w:r>
      <w:hyperlink r:id="rId9" w:history="1">
        <w:r w:rsidRPr="00C14B99">
          <w:rPr>
            <w:rStyle w:val="Hypertextovodkaz"/>
            <w:rFonts w:ascii="Calibri" w:hAnsi="Calibri" w:cs="Calibri"/>
            <w:sz w:val="20"/>
            <w:szCs w:val="20"/>
          </w:rPr>
          <w:t>https://www.youtube.com/watch?v=QeJBZrRogPQ</w:t>
        </w:r>
      </w:hyperlink>
      <w:r w:rsidRPr="00C14B99">
        <w:rPr>
          <w:rStyle w:val="Hypertextovodkaz"/>
          <w:rFonts w:ascii="Calibri" w:hAnsi="Calibri" w:cs="Calibri"/>
          <w:sz w:val="20"/>
          <w:szCs w:val="20"/>
        </w:rPr>
        <w:t>.</w:t>
      </w:r>
    </w:p>
  </w:footnote>
  <w:footnote w:id="29">
    <w:p w14:paraId="1C19B088" w14:textId="45155A70" w:rsidR="000614E8" w:rsidRPr="00C14B99" w:rsidRDefault="000614E8" w:rsidP="00C14B99">
      <w:pPr>
        <w:pStyle w:val="Textpoznpodarou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C14B99">
        <w:rPr>
          <w:rStyle w:val="Znakapoznpodarou"/>
          <w:rFonts w:asciiTheme="minorHAnsi" w:hAnsiTheme="minorHAnsi"/>
          <w:color w:val="000000" w:themeColor="text1"/>
        </w:rPr>
        <w:footnoteRef/>
      </w:r>
      <w:r>
        <w:rPr>
          <w:rFonts w:asciiTheme="minorHAnsi" w:hAnsiTheme="minorHAnsi"/>
          <w:color w:val="000000" w:themeColor="text1"/>
        </w:rPr>
        <w:tab/>
      </w:r>
      <w:r w:rsidRPr="00C14B99">
        <w:rPr>
          <w:rFonts w:asciiTheme="minorHAnsi" w:hAnsiTheme="minorHAnsi"/>
          <w:color w:val="000000" w:themeColor="text1"/>
        </w:rPr>
        <w:t>Patrick De Pelsmacker, Maggie Geuens</w:t>
      </w:r>
      <w:r>
        <w:rPr>
          <w:rFonts w:asciiTheme="minorHAnsi" w:hAnsiTheme="minorHAnsi"/>
          <w:color w:val="000000" w:themeColor="text1"/>
        </w:rPr>
        <w:t>,</w:t>
      </w:r>
      <w:r w:rsidRPr="00C14B99">
        <w:rPr>
          <w:rFonts w:asciiTheme="minorHAnsi" w:hAnsiTheme="minorHAnsi"/>
          <w:color w:val="000000" w:themeColor="text1"/>
        </w:rPr>
        <w:t xml:space="preserve"> Joeri Van den Bergh: </w:t>
      </w:r>
      <w:r w:rsidRPr="00C14B99">
        <w:rPr>
          <w:rFonts w:asciiTheme="minorHAnsi" w:hAnsiTheme="minorHAnsi"/>
          <w:i/>
          <w:color w:val="000000" w:themeColor="text1"/>
        </w:rPr>
        <w:t>Marketingová komunikace</w:t>
      </w:r>
      <w:r w:rsidRPr="00C14B99">
        <w:rPr>
          <w:rFonts w:asciiTheme="minorHAnsi" w:hAnsiTheme="minorHAnsi"/>
          <w:color w:val="000000" w:themeColor="text1"/>
        </w:rPr>
        <w:t>. Praha</w:t>
      </w:r>
      <w:r>
        <w:rPr>
          <w:rFonts w:asciiTheme="minorHAnsi" w:hAnsiTheme="minorHAnsi"/>
          <w:color w:val="000000" w:themeColor="text1"/>
        </w:rPr>
        <w:t>,</w:t>
      </w:r>
      <w:r w:rsidRPr="00C14B99">
        <w:rPr>
          <w:rFonts w:asciiTheme="minorHAnsi" w:hAnsiTheme="minorHAnsi"/>
          <w:color w:val="000000" w:themeColor="text1"/>
        </w:rPr>
        <w:t xml:space="preserve"> Grada Publishing, a.s., 2003. ISBN 80-247-0254-1. </w:t>
      </w:r>
    </w:p>
  </w:footnote>
  <w:footnote w:id="30">
    <w:p w14:paraId="20962148" w14:textId="77777777" w:rsidR="000614E8" w:rsidRPr="00C14B99" w:rsidRDefault="000614E8" w:rsidP="00C14B99">
      <w:pPr>
        <w:pStyle w:val="Textpoznpodarou"/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C14B99">
        <w:rPr>
          <w:rStyle w:val="Znakapoznpodarou"/>
          <w:rFonts w:asciiTheme="minorHAnsi" w:hAnsiTheme="minorHAnsi"/>
          <w:color w:val="000000" w:themeColor="text1"/>
        </w:rPr>
        <w:footnoteRef/>
      </w:r>
      <w:r>
        <w:rPr>
          <w:rFonts w:asciiTheme="minorHAnsi" w:hAnsiTheme="minorHAnsi"/>
          <w:color w:val="000000" w:themeColor="text1"/>
        </w:rPr>
        <w:tab/>
      </w:r>
      <w:r w:rsidRPr="00C14B99">
        <w:rPr>
          <w:rFonts w:asciiTheme="minorHAnsi" w:hAnsiTheme="minorHAnsi" w:cs="Tahoma"/>
          <w:color w:val="000000" w:themeColor="text1"/>
        </w:rPr>
        <w:t>Míra veřejného spolufinancování byla stanovena v poměru 85 % (fondy EU) a 15 % (podíl ČR).</w:t>
      </w:r>
    </w:p>
  </w:footnote>
  <w:footnote w:id="31">
    <w:p w14:paraId="3A8792C2" w14:textId="77777777" w:rsidR="000614E8" w:rsidRPr="00C14B99" w:rsidRDefault="000614E8" w:rsidP="00C14B99">
      <w:pPr>
        <w:pStyle w:val="Textpoznpodarou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14B99">
        <w:rPr>
          <w:rStyle w:val="Znakapoznpodarou"/>
          <w:rFonts w:asciiTheme="minorHAnsi" w:hAnsiTheme="minorHAnsi" w:cstheme="minorHAnsi"/>
          <w:color w:val="000000" w:themeColor="text1"/>
        </w:rPr>
        <w:footnoteRef/>
      </w:r>
      <w:r>
        <w:rPr>
          <w:rFonts w:asciiTheme="minorHAnsi" w:hAnsiTheme="minorHAnsi" w:cstheme="minorHAnsi"/>
          <w:color w:val="000000" w:themeColor="text1"/>
        </w:rPr>
        <w:tab/>
      </w:r>
      <w:r w:rsidRPr="00C14B99">
        <w:rPr>
          <w:rFonts w:asciiTheme="minorHAnsi" w:hAnsiTheme="minorHAnsi" w:cstheme="minorHAnsi"/>
          <w:color w:val="000000" w:themeColor="text1"/>
        </w:rPr>
        <w:t>Na základě pověření z usnesení vlády ze dne 4. března 1998 č. 159 bylo koordinační rolí pro ESF pověřeno Ministerstvo práce a sociálních věcí a koordinační roli pro EFRR a FS převzalo Ministerstvo pro místní rozvoj.</w:t>
      </w:r>
    </w:p>
  </w:footnote>
  <w:footnote w:id="32">
    <w:p w14:paraId="7E1600E1" w14:textId="77777777" w:rsidR="000614E8" w:rsidRPr="00C14B99" w:rsidRDefault="000614E8" w:rsidP="003B115E">
      <w:pPr>
        <w:pStyle w:val="Textpoznpodarou"/>
        <w:ind w:left="284" w:hanging="284"/>
        <w:rPr>
          <w:rFonts w:ascii="Calibri" w:hAnsi="Calibri" w:cs="Calibri"/>
        </w:rPr>
      </w:pPr>
      <w:r w:rsidRPr="00C14B99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C14B99">
        <w:rPr>
          <w:rFonts w:ascii="Calibri" w:hAnsi="Calibri" w:cs="Calibri"/>
        </w:rPr>
        <w:t xml:space="preserve">Zdroj: </w:t>
      </w:r>
      <w:r w:rsidRPr="00130580">
        <w:rPr>
          <w:rFonts w:ascii="Calibri" w:hAnsi="Calibri" w:cs="Calibri"/>
          <w:i/>
        </w:rPr>
        <w:t>Vyhodnocení komunikačních a propagačních aktivit NOK</w:t>
      </w:r>
      <w:r w:rsidRPr="00C14B99">
        <w:rPr>
          <w:rFonts w:ascii="Calibri" w:hAnsi="Calibri" w:cs="Calibri"/>
        </w:rPr>
        <w:t xml:space="preserve">, závěrečná zpráva ze dne 3. 9. 2014 na </w:t>
      </w:r>
      <w:hyperlink r:id="rId10" w:history="1">
        <w:r w:rsidRPr="00C14B99">
          <w:rPr>
            <w:rStyle w:val="Hypertextovodkaz"/>
            <w:rFonts w:ascii="Calibri" w:hAnsi="Calibri" w:cs="Calibri"/>
          </w:rPr>
          <w:t>http://www.strukturalni-fondy.cz/cs/Fondy-EU/Narodni-organ-pro-koordinaci/Evaluace/Knihovna-evaluaci/Vyhodnoceni-komunikacnich-a-propagacnich-aktiv-(1)</w:t>
        </w:r>
      </w:hyperlink>
      <w:r>
        <w:rPr>
          <w:rStyle w:val="Hypertextovodkaz"/>
          <w:rFonts w:ascii="Calibri" w:hAnsi="Calibri" w:cs="Calibri"/>
        </w:rPr>
        <w:t>.</w:t>
      </w:r>
    </w:p>
  </w:footnote>
  <w:footnote w:id="33">
    <w:p w14:paraId="2D2CA0DD" w14:textId="38023891" w:rsidR="000614E8" w:rsidRPr="00C14B99" w:rsidRDefault="000614E8" w:rsidP="003B115E">
      <w:pPr>
        <w:pStyle w:val="Textpoznpodarou"/>
        <w:ind w:left="284" w:hanging="284"/>
        <w:rPr>
          <w:rFonts w:ascii="Calibri" w:hAnsi="Calibri" w:cs="Calibri"/>
        </w:rPr>
      </w:pPr>
      <w:r w:rsidRPr="00C14B99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C14B99">
        <w:rPr>
          <w:rFonts w:ascii="Calibri" w:hAnsi="Calibri" w:cs="Calibri"/>
        </w:rPr>
        <w:t xml:space="preserve">Závěrečná zpráva z výzkumu </w:t>
      </w:r>
      <w:r>
        <w:rPr>
          <w:rFonts w:ascii="Calibri" w:hAnsi="Calibri" w:cs="Calibri"/>
        </w:rPr>
        <w:t>zaměřeného na i</w:t>
      </w:r>
      <w:r w:rsidRPr="00C14B99">
        <w:rPr>
          <w:rFonts w:ascii="Calibri" w:hAnsi="Calibri" w:cs="Calibri"/>
        </w:rPr>
        <w:t>nformovanost široké veřejnosti o ESF a OP LZZ a hodnocení TV kampaně</w:t>
      </w:r>
      <w:r>
        <w:rPr>
          <w:rFonts w:ascii="Calibri" w:hAnsi="Calibri" w:cs="Calibri"/>
        </w:rPr>
        <w:t xml:space="preserve"> OP </w:t>
      </w:r>
      <w:r w:rsidRPr="00C14B99">
        <w:rPr>
          <w:rFonts w:ascii="Calibri" w:hAnsi="Calibri" w:cs="Calibri"/>
        </w:rPr>
        <w:t xml:space="preserve">LZZ. </w:t>
      </w:r>
    </w:p>
  </w:footnote>
  <w:footnote w:id="34">
    <w:p w14:paraId="24241222" w14:textId="7A65BC29" w:rsidR="000614E8" w:rsidRPr="00C14B99" w:rsidRDefault="000614E8" w:rsidP="003B115E">
      <w:pPr>
        <w:pStyle w:val="Textpoznpodarou"/>
        <w:ind w:left="284" w:hanging="284"/>
        <w:rPr>
          <w:rFonts w:ascii="Calibri" w:hAnsi="Calibri" w:cs="Calibri"/>
        </w:rPr>
      </w:pPr>
      <w:r w:rsidRPr="00C14B99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130580">
        <w:rPr>
          <w:rFonts w:ascii="Calibri" w:hAnsi="Calibri" w:cs="Calibri"/>
          <w:i/>
        </w:rPr>
        <w:t>Vyhodnocení komunikačních a propagačních aktivit Národního orgánu pro koordinaci</w:t>
      </w:r>
      <w:r w:rsidRPr="00C14B99">
        <w:rPr>
          <w:rFonts w:ascii="Calibri" w:hAnsi="Calibri" w:cs="Calibri"/>
        </w:rPr>
        <w:t xml:space="preserve"> – závěrečná zpráva z června 2011.</w:t>
      </w:r>
    </w:p>
  </w:footnote>
  <w:footnote w:id="35">
    <w:p w14:paraId="16D85FA5" w14:textId="5CA1DC84" w:rsidR="000614E8" w:rsidRPr="00C14B99" w:rsidRDefault="000614E8" w:rsidP="00C9592D">
      <w:pPr>
        <w:pStyle w:val="Textpoznpodarou"/>
        <w:ind w:left="284" w:hanging="284"/>
        <w:rPr>
          <w:rFonts w:asciiTheme="minorHAnsi" w:hAnsiTheme="minorHAnsi" w:cstheme="minorHAnsi"/>
          <w:color w:val="000000" w:themeColor="text1"/>
        </w:rPr>
      </w:pPr>
      <w:r w:rsidRPr="00C14B99">
        <w:rPr>
          <w:rStyle w:val="Znakapoznpodarou"/>
          <w:rFonts w:asciiTheme="minorHAnsi" w:hAnsiTheme="minorHAnsi" w:cstheme="minorHAnsi"/>
          <w:color w:val="000000" w:themeColor="text1"/>
        </w:rPr>
        <w:footnoteRef/>
      </w:r>
      <w:r>
        <w:rPr>
          <w:rFonts w:asciiTheme="minorHAnsi" w:hAnsiTheme="minorHAnsi" w:cstheme="minorHAnsi"/>
          <w:color w:val="000000" w:themeColor="text1"/>
        </w:rPr>
        <w:tab/>
      </w:r>
      <w:r w:rsidRPr="00C14B99">
        <w:rPr>
          <w:rFonts w:asciiTheme="minorHAnsi" w:hAnsiTheme="minorHAnsi" w:cstheme="minorHAnsi"/>
          <w:color w:val="000000" w:themeColor="text1"/>
        </w:rPr>
        <w:t xml:space="preserve">STEM/MARK </w:t>
      </w:r>
      <w:r>
        <w:rPr>
          <w:rFonts w:asciiTheme="minorHAnsi" w:hAnsiTheme="minorHAnsi" w:cstheme="minorHAnsi"/>
          <w:color w:val="000000" w:themeColor="text1"/>
        </w:rPr>
        <w:t>–</w:t>
      </w:r>
      <w:r w:rsidRPr="00C14B99">
        <w:rPr>
          <w:rFonts w:asciiTheme="minorHAnsi" w:hAnsiTheme="minorHAnsi" w:cstheme="minorHAnsi"/>
          <w:color w:val="000000" w:themeColor="text1"/>
        </w:rPr>
        <w:t xml:space="preserve"> celorepublikové průzkumné šetření </w:t>
      </w:r>
      <w:r>
        <w:rPr>
          <w:rFonts w:asciiTheme="minorHAnsi" w:hAnsiTheme="minorHAnsi" w:cstheme="minorHAnsi"/>
          <w:color w:val="000000" w:themeColor="text1"/>
        </w:rPr>
        <w:t>zaměřené na i</w:t>
      </w:r>
      <w:r w:rsidRPr="00C14B99">
        <w:rPr>
          <w:rFonts w:asciiTheme="minorHAnsi" w:hAnsiTheme="minorHAnsi" w:cstheme="minorHAnsi"/>
          <w:color w:val="000000" w:themeColor="text1"/>
        </w:rPr>
        <w:t>nformovanost o fondech EU, kter</w:t>
      </w:r>
      <w:r>
        <w:rPr>
          <w:rFonts w:asciiTheme="minorHAnsi" w:hAnsiTheme="minorHAnsi" w:cstheme="minorHAnsi"/>
          <w:color w:val="000000" w:themeColor="text1"/>
        </w:rPr>
        <w:t>é</w:t>
      </w:r>
      <w:r w:rsidRPr="00C14B99">
        <w:rPr>
          <w:rFonts w:asciiTheme="minorHAnsi" w:hAnsiTheme="minorHAnsi" w:cstheme="minorHAnsi"/>
          <w:color w:val="000000" w:themeColor="text1"/>
        </w:rPr>
        <w:t xml:space="preserve"> agentura provedla v </w:t>
      </w:r>
      <w:r>
        <w:rPr>
          <w:rFonts w:asciiTheme="minorHAnsi" w:hAnsiTheme="minorHAnsi" w:cstheme="minorHAnsi"/>
          <w:color w:val="000000" w:themeColor="text1"/>
        </w:rPr>
        <w:t xml:space="preserve">dubnu </w:t>
      </w:r>
      <w:r w:rsidRPr="00C14B99">
        <w:rPr>
          <w:rFonts w:asciiTheme="minorHAnsi" w:hAnsiTheme="minorHAnsi" w:cstheme="minorHAnsi"/>
          <w:color w:val="000000" w:themeColor="text1"/>
        </w:rPr>
        <w:t>2011 na vzorku 2 084 dotazovaných.</w:t>
      </w:r>
    </w:p>
  </w:footnote>
  <w:footnote w:id="36">
    <w:p w14:paraId="05DA06C0" w14:textId="4895A698" w:rsidR="000614E8" w:rsidRPr="00C14B99" w:rsidRDefault="000614E8" w:rsidP="00C9592D">
      <w:pPr>
        <w:pStyle w:val="Textpoznpodarou"/>
        <w:ind w:left="284" w:hanging="284"/>
        <w:rPr>
          <w:rFonts w:asciiTheme="minorHAnsi" w:hAnsiTheme="minorHAnsi" w:cstheme="minorHAnsi"/>
          <w:color w:val="000000" w:themeColor="text1"/>
        </w:rPr>
      </w:pPr>
      <w:r w:rsidRPr="00C14B99">
        <w:rPr>
          <w:rStyle w:val="Znakapoznpodarou"/>
          <w:rFonts w:asciiTheme="minorHAnsi" w:hAnsiTheme="minorHAnsi" w:cstheme="minorHAnsi"/>
          <w:color w:val="000000" w:themeColor="text1"/>
        </w:rPr>
        <w:footnoteRef/>
      </w:r>
      <w:r>
        <w:rPr>
          <w:rFonts w:asciiTheme="minorHAnsi" w:hAnsiTheme="minorHAnsi" w:cstheme="minorHAnsi"/>
          <w:color w:val="000000" w:themeColor="text1"/>
        </w:rPr>
        <w:tab/>
      </w:r>
      <w:r w:rsidRPr="00C14B99">
        <w:rPr>
          <w:rFonts w:asciiTheme="minorHAnsi" w:hAnsiTheme="minorHAnsi" w:cstheme="minorHAnsi"/>
          <w:color w:val="000000" w:themeColor="text1"/>
        </w:rPr>
        <w:t>IBRS pro Ministerstvo pro místní rozvoj – kvantitativní výzkum, který agentura provedla v</w:t>
      </w:r>
      <w:r>
        <w:rPr>
          <w:rFonts w:asciiTheme="minorHAnsi" w:hAnsiTheme="minorHAnsi" w:cstheme="minorHAnsi"/>
          <w:color w:val="000000" w:themeColor="text1"/>
        </w:rPr>
        <w:t> </w:t>
      </w:r>
      <w:r w:rsidRPr="00C14B99">
        <w:rPr>
          <w:rFonts w:asciiTheme="minorHAnsi" w:hAnsiTheme="minorHAnsi" w:cstheme="minorHAnsi"/>
          <w:color w:val="000000" w:themeColor="text1"/>
        </w:rPr>
        <w:t>období</w:t>
      </w:r>
      <w:r>
        <w:rPr>
          <w:rFonts w:asciiTheme="minorHAnsi" w:hAnsiTheme="minorHAnsi" w:cstheme="minorHAnsi"/>
          <w:color w:val="000000" w:themeColor="text1"/>
        </w:rPr>
        <w:t xml:space="preserve"> 25. 10. až 7. 11. </w:t>
      </w:r>
      <w:r w:rsidRPr="00C14B99">
        <w:rPr>
          <w:rFonts w:asciiTheme="minorHAnsi" w:hAnsiTheme="minorHAnsi" w:cstheme="minorHAnsi"/>
          <w:color w:val="000000" w:themeColor="text1"/>
        </w:rPr>
        <w:t>2013 na vzorku 1 800 respondentů z obecné populace 18+.</w:t>
      </w:r>
    </w:p>
  </w:footnote>
  <w:footnote w:id="37">
    <w:p w14:paraId="1841A402" w14:textId="77777777" w:rsidR="000614E8" w:rsidRPr="008C0498" w:rsidRDefault="000614E8" w:rsidP="00C9592D">
      <w:pPr>
        <w:pStyle w:val="Textpoznpodarou"/>
        <w:ind w:left="284" w:hanging="284"/>
        <w:rPr>
          <w:rFonts w:asciiTheme="minorHAnsi" w:hAnsiTheme="minorHAnsi" w:cstheme="minorHAnsi"/>
        </w:rPr>
      </w:pPr>
      <w:r w:rsidRPr="008C0498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ab/>
        <w:t xml:space="preserve">Viz </w:t>
      </w:r>
      <w:hyperlink r:id="rId11" w:history="1">
        <w:r w:rsidRPr="008C0498">
          <w:rPr>
            <w:rStyle w:val="Hypertextovodkaz"/>
            <w:rFonts w:asciiTheme="minorHAnsi" w:hAnsiTheme="minorHAnsi" w:cstheme="minorHAnsi"/>
          </w:rPr>
          <w:t>http://www.strukturalni-fondy.cz/cs/Informace-o-cerpani/Seznamy-prijemcu</w:t>
        </w:r>
      </w:hyperlink>
      <w:r w:rsidRPr="006B6436">
        <w:rPr>
          <w:rStyle w:val="Hypertextovodkaz"/>
          <w:rFonts w:asciiTheme="minorHAnsi" w:hAnsiTheme="minorHAnsi" w:cstheme="minorHAnsi"/>
          <w:u w:val="none"/>
        </w:rPr>
        <w:t>.</w:t>
      </w:r>
    </w:p>
  </w:footnote>
  <w:footnote w:id="38">
    <w:p w14:paraId="293D934E" w14:textId="77777777" w:rsidR="000614E8" w:rsidRPr="00C14B99" w:rsidRDefault="000614E8" w:rsidP="00C9592D">
      <w:pPr>
        <w:pStyle w:val="Textpoznpodarou"/>
        <w:ind w:left="284" w:hanging="284"/>
        <w:rPr>
          <w:rFonts w:ascii="Calibri" w:hAnsi="Calibri" w:cs="Calibri"/>
        </w:rPr>
      </w:pPr>
      <w:r w:rsidRPr="00C14B99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C14B99">
        <w:rPr>
          <w:rFonts w:ascii="Calibri" w:hAnsi="Calibri" w:cs="Calibri"/>
        </w:rPr>
        <w:t>Průzkum IBRS, část „Informace o fondech EU“, strana 9. Odpovídali jen respondenti, kteří se zajímají o problematiku fondů EU aktivně či pasivně.</w:t>
      </w:r>
    </w:p>
  </w:footnote>
  <w:footnote w:id="39">
    <w:p w14:paraId="3A48E21D" w14:textId="77777777" w:rsidR="000614E8" w:rsidRPr="00C14B99" w:rsidRDefault="000614E8" w:rsidP="00C14B9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C14B99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C14B99">
        <w:rPr>
          <w:rFonts w:ascii="Calibri" w:hAnsi="Calibri" w:cs="Calibri"/>
        </w:rPr>
        <w:t>27 % dotazovaných.</w:t>
      </w:r>
    </w:p>
  </w:footnote>
  <w:footnote w:id="40">
    <w:p w14:paraId="19175704" w14:textId="77777777" w:rsidR="000614E8" w:rsidRPr="00C14B99" w:rsidRDefault="000614E8" w:rsidP="00C14B9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C14B99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C14B99">
        <w:rPr>
          <w:rFonts w:ascii="Calibri" w:hAnsi="Calibri" w:cs="Calibri"/>
        </w:rPr>
        <w:t>24 % respondentů.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42pt" o:bullet="t">
        <v:imagedata r:id="rId1" o:title="art94F7"/>
      </v:shape>
    </w:pict>
  </w:numPicBullet>
  <w:abstractNum w:abstractNumId="0">
    <w:nsid w:val="03075BDA"/>
    <w:multiLevelType w:val="hybridMultilevel"/>
    <w:tmpl w:val="27009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707D"/>
    <w:multiLevelType w:val="hybridMultilevel"/>
    <w:tmpl w:val="6DD4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05067"/>
    <w:multiLevelType w:val="hybridMultilevel"/>
    <w:tmpl w:val="6822682E"/>
    <w:lvl w:ilvl="0" w:tplc="2BD886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40B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64A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280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3A003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E85C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B28A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42B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3A98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8D206F1"/>
    <w:multiLevelType w:val="hybridMultilevel"/>
    <w:tmpl w:val="0F5A3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05859"/>
    <w:multiLevelType w:val="hybridMultilevel"/>
    <w:tmpl w:val="140A1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9604E"/>
    <w:multiLevelType w:val="hybridMultilevel"/>
    <w:tmpl w:val="AC22166C"/>
    <w:lvl w:ilvl="0" w:tplc="7B56EF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E0EED"/>
    <w:multiLevelType w:val="hybridMultilevel"/>
    <w:tmpl w:val="7A94DFCC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60F5F"/>
    <w:multiLevelType w:val="hybridMultilevel"/>
    <w:tmpl w:val="0D98CF64"/>
    <w:lvl w:ilvl="0" w:tplc="9D3A50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31D4F"/>
    <w:multiLevelType w:val="multilevel"/>
    <w:tmpl w:val="16A88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HAnsi" w:hAnsiTheme="maj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HAnsi" w:hAnsiTheme="maj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HAnsi" w:hAnsiTheme="maj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ajorHAnsi" w:hAnsiTheme="maj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HAnsi" w:hAnsiTheme="maj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ajorHAnsi" w:hAnsiTheme="maj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ajorHAnsi" w:hAnsiTheme="majorHAnsi" w:hint="default"/>
      </w:rPr>
    </w:lvl>
  </w:abstractNum>
  <w:abstractNum w:abstractNumId="9">
    <w:nsid w:val="1D561497"/>
    <w:multiLevelType w:val="hybridMultilevel"/>
    <w:tmpl w:val="0FE4EDDC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C1C91"/>
    <w:multiLevelType w:val="hybridMultilevel"/>
    <w:tmpl w:val="59824BF6"/>
    <w:lvl w:ilvl="0" w:tplc="1A86F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970E6"/>
    <w:multiLevelType w:val="hybridMultilevel"/>
    <w:tmpl w:val="D3D8B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6318B"/>
    <w:multiLevelType w:val="hybridMultilevel"/>
    <w:tmpl w:val="DA3CD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91166"/>
    <w:multiLevelType w:val="hybridMultilevel"/>
    <w:tmpl w:val="50ECEA98"/>
    <w:lvl w:ilvl="0" w:tplc="4F7E0B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2A9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240E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E38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8A3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A87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068A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F024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6452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EE375CC"/>
    <w:multiLevelType w:val="hybridMultilevel"/>
    <w:tmpl w:val="305EF228"/>
    <w:lvl w:ilvl="0" w:tplc="85A47CFC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86368"/>
    <w:multiLevelType w:val="hybridMultilevel"/>
    <w:tmpl w:val="A140BDDE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37999"/>
    <w:multiLevelType w:val="hybridMultilevel"/>
    <w:tmpl w:val="483229CC"/>
    <w:lvl w:ilvl="0" w:tplc="9C8E93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60C3191"/>
    <w:multiLevelType w:val="multilevel"/>
    <w:tmpl w:val="16A88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ajorHAnsi" w:hAnsiTheme="maj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ajorHAnsi" w:hAnsiTheme="maj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ajorHAnsi" w:hAnsiTheme="maj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ajorHAnsi" w:hAnsiTheme="maj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ajorHAnsi" w:hAnsiTheme="maj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ajorHAnsi" w:hAnsiTheme="maj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ajorHAnsi" w:hAnsiTheme="majorHAnsi" w:hint="default"/>
      </w:rPr>
    </w:lvl>
  </w:abstractNum>
  <w:abstractNum w:abstractNumId="18">
    <w:nsid w:val="36EA7F2E"/>
    <w:multiLevelType w:val="hybridMultilevel"/>
    <w:tmpl w:val="64A21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700B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>
    <w:nsid w:val="38BE1163"/>
    <w:multiLevelType w:val="hybridMultilevel"/>
    <w:tmpl w:val="3DEE51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1B277F"/>
    <w:multiLevelType w:val="hybridMultilevel"/>
    <w:tmpl w:val="ECF6438C"/>
    <w:lvl w:ilvl="0" w:tplc="AD286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70A1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9800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E4D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C63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082F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0E94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470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2EF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C695837"/>
    <w:multiLevelType w:val="hybridMultilevel"/>
    <w:tmpl w:val="F2F8A8CE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E51FC"/>
    <w:multiLevelType w:val="hybridMultilevel"/>
    <w:tmpl w:val="C944DAC2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C5661"/>
    <w:multiLevelType w:val="hybridMultilevel"/>
    <w:tmpl w:val="0380A7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40D5D"/>
    <w:multiLevelType w:val="hybridMultilevel"/>
    <w:tmpl w:val="77849CF0"/>
    <w:lvl w:ilvl="0" w:tplc="CB8C346C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CEF2E01"/>
    <w:multiLevelType w:val="hybridMultilevel"/>
    <w:tmpl w:val="35881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D6298D"/>
    <w:multiLevelType w:val="hybridMultilevel"/>
    <w:tmpl w:val="8C88E66A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F53798"/>
    <w:multiLevelType w:val="hybridMultilevel"/>
    <w:tmpl w:val="F3AA7F0E"/>
    <w:lvl w:ilvl="0" w:tplc="1A86F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821A4"/>
    <w:multiLevelType w:val="hybridMultilevel"/>
    <w:tmpl w:val="812AC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B90065"/>
    <w:multiLevelType w:val="hybridMultilevel"/>
    <w:tmpl w:val="9D58B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8F0122"/>
    <w:multiLevelType w:val="hybridMultilevel"/>
    <w:tmpl w:val="530077AC"/>
    <w:lvl w:ilvl="0" w:tplc="7B56EF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67391"/>
    <w:multiLevelType w:val="hybridMultilevel"/>
    <w:tmpl w:val="475E71A4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A18D8"/>
    <w:multiLevelType w:val="hybridMultilevel"/>
    <w:tmpl w:val="B7D85A30"/>
    <w:lvl w:ilvl="0" w:tplc="49E09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242F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6DA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E5D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07B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1C10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B425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67B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E220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20A73CD"/>
    <w:multiLevelType w:val="hybridMultilevel"/>
    <w:tmpl w:val="7FAC5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B81437"/>
    <w:multiLevelType w:val="hybridMultilevel"/>
    <w:tmpl w:val="91FC1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E612F"/>
    <w:multiLevelType w:val="hybridMultilevel"/>
    <w:tmpl w:val="2C88D438"/>
    <w:lvl w:ilvl="0" w:tplc="EF1A45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405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C82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ACAA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2DA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6CB4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ECEA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CE3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28F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6AA4687E"/>
    <w:multiLevelType w:val="hybridMultilevel"/>
    <w:tmpl w:val="E4CAD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2B7836"/>
    <w:multiLevelType w:val="hybridMultilevel"/>
    <w:tmpl w:val="F470EDD8"/>
    <w:lvl w:ilvl="0" w:tplc="17B877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8D2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34C3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0078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A77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9C4B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D637E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E0DB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6AED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1AC2C79"/>
    <w:multiLevelType w:val="hybridMultilevel"/>
    <w:tmpl w:val="D3BA0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B1760A"/>
    <w:multiLevelType w:val="hybridMultilevel"/>
    <w:tmpl w:val="73CAA92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B7C6D"/>
    <w:multiLevelType w:val="hybridMultilevel"/>
    <w:tmpl w:val="7C4033FA"/>
    <w:lvl w:ilvl="0" w:tplc="55C01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2023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098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6601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6ED6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CC0D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ABE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234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04F1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38E6CFF"/>
    <w:multiLevelType w:val="hybridMultilevel"/>
    <w:tmpl w:val="92380BA8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013C69"/>
    <w:multiLevelType w:val="hybridMultilevel"/>
    <w:tmpl w:val="521EC6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8F365CE"/>
    <w:multiLevelType w:val="hybridMultilevel"/>
    <w:tmpl w:val="D2661176"/>
    <w:lvl w:ilvl="0" w:tplc="44863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ED0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8814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806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0D5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C23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5A626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42C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2C42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C0B0280"/>
    <w:multiLevelType w:val="hybridMultilevel"/>
    <w:tmpl w:val="25EC1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43"/>
  </w:num>
  <w:num w:numId="4">
    <w:abstractNumId w:val="12"/>
  </w:num>
  <w:num w:numId="5">
    <w:abstractNumId w:val="26"/>
  </w:num>
  <w:num w:numId="6">
    <w:abstractNumId w:val="18"/>
  </w:num>
  <w:num w:numId="7">
    <w:abstractNumId w:val="39"/>
  </w:num>
  <w:num w:numId="8">
    <w:abstractNumId w:val="20"/>
  </w:num>
  <w:num w:numId="9">
    <w:abstractNumId w:val="35"/>
  </w:num>
  <w:num w:numId="10">
    <w:abstractNumId w:val="0"/>
  </w:num>
  <w:num w:numId="11">
    <w:abstractNumId w:val="29"/>
  </w:num>
  <w:num w:numId="12">
    <w:abstractNumId w:val="34"/>
  </w:num>
  <w:num w:numId="13">
    <w:abstractNumId w:val="40"/>
  </w:num>
  <w:num w:numId="14">
    <w:abstractNumId w:val="19"/>
  </w:num>
  <w:num w:numId="15">
    <w:abstractNumId w:val="16"/>
  </w:num>
  <w:num w:numId="16">
    <w:abstractNumId w:val="25"/>
  </w:num>
  <w:num w:numId="17">
    <w:abstractNumId w:val="8"/>
  </w:num>
  <w:num w:numId="18">
    <w:abstractNumId w:val="3"/>
  </w:num>
  <w:num w:numId="19">
    <w:abstractNumId w:val="19"/>
  </w:num>
  <w:num w:numId="20">
    <w:abstractNumId w:val="19"/>
  </w:num>
  <w:num w:numId="21">
    <w:abstractNumId w:val="5"/>
  </w:num>
  <w:num w:numId="22">
    <w:abstractNumId w:val="10"/>
  </w:num>
  <w:num w:numId="23">
    <w:abstractNumId w:val="13"/>
  </w:num>
  <w:num w:numId="24">
    <w:abstractNumId w:val="36"/>
  </w:num>
  <w:num w:numId="25">
    <w:abstractNumId w:val="2"/>
  </w:num>
  <w:num w:numId="26">
    <w:abstractNumId w:val="21"/>
  </w:num>
  <w:num w:numId="27">
    <w:abstractNumId w:val="33"/>
  </w:num>
  <w:num w:numId="28">
    <w:abstractNumId w:val="44"/>
  </w:num>
  <w:num w:numId="29">
    <w:abstractNumId w:val="41"/>
  </w:num>
  <w:num w:numId="30">
    <w:abstractNumId w:val="38"/>
  </w:num>
  <w:num w:numId="31">
    <w:abstractNumId w:val="31"/>
  </w:num>
  <w:num w:numId="32">
    <w:abstractNumId w:val="30"/>
  </w:num>
  <w:num w:numId="33">
    <w:abstractNumId w:val="7"/>
  </w:num>
  <w:num w:numId="34">
    <w:abstractNumId w:val="28"/>
  </w:num>
  <w:num w:numId="35">
    <w:abstractNumId w:val="1"/>
  </w:num>
  <w:num w:numId="36">
    <w:abstractNumId w:val="24"/>
  </w:num>
  <w:num w:numId="37">
    <w:abstractNumId w:val="9"/>
  </w:num>
  <w:num w:numId="38">
    <w:abstractNumId w:val="22"/>
  </w:num>
  <w:num w:numId="39">
    <w:abstractNumId w:val="42"/>
  </w:num>
  <w:num w:numId="40">
    <w:abstractNumId w:val="23"/>
  </w:num>
  <w:num w:numId="41">
    <w:abstractNumId w:val="15"/>
  </w:num>
  <w:num w:numId="42">
    <w:abstractNumId w:val="27"/>
  </w:num>
  <w:num w:numId="43">
    <w:abstractNumId w:val="11"/>
  </w:num>
  <w:num w:numId="44">
    <w:abstractNumId w:val="4"/>
  </w:num>
  <w:num w:numId="45">
    <w:abstractNumId w:val="6"/>
  </w:num>
  <w:num w:numId="46">
    <w:abstractNumId w:val="37"/>
  </w:num>
  <w:num w:numId="47">
    <w:abstractNumId w:val="45"/>
  </w:num>
  <w:num w:numId="4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1F"/>
    <w:rsid w:val="00000D55"/>
    <w:rsid w:val="00005079"/>
    <w:rsid w:val="0000526F"/>
    <w:rsid w:val="00005C93"/>
    <w:rsid w:val="000105E2"/>
    <w:rsid w:val="0001182F"/>
    <w:rsid w:val="00014A22"/>
    <w:rsid w:val="00024E33"/>
    <w:rsid w:val="00025542"/>
    <w:rsid w:val="00030D42"/>
    <w:rsid w:val="000351F5"/>
    <w:rsid w:val="00035A3D"/>
    <w:rsid w:val="0003623E"/>
    <w:rsid w:val="000366AF"/>
    <w:rsid w:val="00040E5C"/>
    <w:rsid w:val="00042D1B"/>
    <w:rsid w:val="00046168"/>
    <w:rsid w:val="00047B42"/>
    <w:rsid w:val="00047E67"/>
    <w:rsid w:val="0005546D"/>
    <w:rsid w:val="000555FD"/>
    <w:rsid w:val="000614E8"/>
    <w:rsid w:val="0006157B"/>
    <w:rsid w:val="000639F6"/>
    <w:rsid w:val="00063C97"/>
    <w:rsid w:val="00066B7D"/>
    <w:rsid w:val="00072646"/>
    <w:rsid w:val="0007588F"/>
    <w:rsid w:val="000764A5"/>
    <w:rsid w:val="00080D2B"/>
    <w:rsid w:val="00082A69"/>
    <w:rsid w:val="00083E93"/>
    <w:rsid w:val="000853B6"/>
    <w:rsid w:val="00097DFA"/>
    <w:rsid w:val="000A0B90"/>
    <w:rsid w:val="000A2091"/>
    <w:rsid w:val="000A5E4D"/>
    <w:rsid w:val="000A7850"/>
    <w:rsid w:val="000B3EE1"/>
    <w:rsid w:val="000B6C71"/>
    <w:rsid w:val="000B6DDB"/>
    <w:rsid w:val="000D1FED"/>
    <w:rsid w:val="000D7BFC"/>
    <w:rsid w:val="000E3E6D"/>
    <w:rsid w:val="000E3E9D"/>
    <w:rsid w:val="000E4E19"/>
    <w:rsid w:val="000E626A"/>
    <w:rsid w:val="000E6838"/>
    <w:rsid w:val="000F1BCA"/>
    <w:rsid w:val="000F5618"/>
    <w:rsid w:val="000F7A5A"/>
    <w:rsid w:val="00101148"/>
    <w:rsid w:val="001060C9"/>
    <w:rsid w:val="00111670"/>
    <w:rsid w:val="00115C1E"/>
    <w:rsid w:val="00122F28"/>
    <w:rsid w:val="00127B68"/>
    <w:rsid w:val="00130580"/>
    <w:rsid w:val="00130C1A"/>
    <w:rsid w:val="00131AB7"/>
    <w:rsid w:val="00131CB0"/>
    <w:rsid w:val="00134E74"/>
    <w:rsid w:val="00140E53"/>
    <w:rsid w:val="00143EE5"/>
    <w:rsid w:val="001472A9"/>
    <w:rsid w:val="001536B0"/>
    <w:rsid w:val="0015445E"/>
    <w:rsid w:val="001553F6"/>
    <w:rsid w:val="001617D2"/>
    <w:rsid w:val="00162974"/>
    <w:rsid w:val="001637FD"/>
    <w:rsid w:val="00164E0A"/>
    <w:rsid w:val="001674E0"/>
    <w:rsid w:val="00173414"/>
    <w:rsid w:val="0017550B"/>
    <w:rsid w:val="00182952"/>
    <w:rsid w:val="0018379A"/>
    <w:rsid w:val="00184E48"/>
    <w:rsid w:val="00191447"/>
    <w:rsid w:val="001923E5"/>
    <w:rsid w:val="00193A5A"/>
    <w:rsid w:val="001965F1"/>
    <w:rsid w:val="001A0F08"/>
    <w:rsid w:val="001A2BDC"/>
    <w:rsid w:val="001A42E3"/>
    <w:rsid w:val="001A4A33"/>
    <w:rsid w:val="001A66DB"/>
    <w:rsid w:val="001B2158"/>
    <w:rsid w:val="001B7C17"/>
    <w:rsid w:val="001C3F1E"/>
    <w:rsid w:val="001C57A6"/>
    <w:rsid w:val="001C62C6"/>
    <w:rsid w:val="001D11E7"/>
    <w:rsid w:val="001D2176"/>
    <w:rsid w:val="001D2AB2"/>
    <w:rsid w:val="001D2BAE"/>
    <w:rsid w:val="001D40C7"/>
    <w:rsid w:val="001F3B83"/>
    <w:rsid w:val="001F3CC1"/>
    <w:rsid w:val="001F58D9"/>
    <w:rsid w:val="001F5C38"/>
    <w:rsid w:val="002056AD"/>
    <w:rsid w:val="00217400"/>
    <w:rsid w:val="0021769D"/>
    <w:rsid w:val="00221109"/>
    <w:rsid w:val="002226EF"/>
    <w:rsid w:val="00223032"/>
    <w:rsid w:val="0022323D"/>
    <w:rsid w:val="00223516"/>
    <w:rsid w:val="002253EA"/>
    <w:rsid w:val="0022670C"/>
    <w:rsid w:val="002279D8"/>
    <w:rsid w:val="002326B0"/>
    <w:rsid w:val="002332AA"/>
    <w:rsid w:val="0023357D"/>
    <w:rsid w:val="00236E49"/>
    <w:rsid w:val="002475F5"/>
    <w:rsid w:val="0025164A"/>
    <w:rsid w:val="002526C7"/>
    <w:rsid w:val="0025313B"/>
    <w:rsid w:val="00255E93"/>
    <w:rsid w:val="002577DE"/>
    <w:rsid w:val="00260205"/>
    <w:rsid w:val="00263139"/>
    <w:rsid w:val="00265719"/>
    <w:rsid w:val="00280D3B"/>
    <w:rsid w:val="00282800"/>
    <w:rsid w:val="00285738"/>
    <w:rsid w:val="00286E04"/>
    <w:rsid w:val="00287F6A"/>
    <w:rsid w:val="00294C1D"/>
    <w:rsid w:val="00295765"/>
    <w:rsid w:val="002A1CC3"/>
    <w:rsid w:val="002A4EE4"/>
    <w:rsid w:val="002A65A4"/>
    <w:rsid w:val="002B1550"/>
    <w:rsid w:val="002B3127"/>
    <w:rsid w:val="002C2249"/>
    <w:rsid w:val="002C38F5"/>
    <w:rsid w:val="002D53F2"/>
    <w:rsid w:val="002E06C9"/>
    <w:rsid w:val="002E085A"/>
    <w:rsid w:val="002E24A6"/>
    <w:rsid w:val="002E6344"/>
    <w:rsid w:val="002F3564"/>
    <w:rsid w:val="002F52F7"/>
    <w:rsid w:val="002F7DBC"/>
    <w:rsid w:val="00300730"/>
    <w:rsid w:val="00301726"/>
    <w:rsid w:val="00305223"/>
    <w:rsid w:val="00320B6B"/>
    <w:rsid w:val="00320C9F"/>
    <w:rsid w:val="00331AD8"/>
    <w:rsid w:val="00333C2D"/>
    <w:rsid w:val="00335AAE"/>
    <w:rsid w:val="00335C62"/>
    <w:rsid w:val="00337F64"/>
    <w:rsid w:val="00342D50"/>
    <w:rsid w:val="003442AC"/>
    <w:rsid w:val="00345DC4"/>
    <w:rsid w:val="00353B6E"/>
    <w:rsid w:val="0035629C"/>
    <w:rsid w:val="00357576"/>
    <w:rsid w:val="00361C12"/>
    <w:rsid w:val="003621B4"/>
    <w:rsid w:val="00366F39"/>
    <w:rsid w:val="00375A64"/>
    <w:rsid w:val="00382EDE"/>
    <w:rsid w:val="00386282"/>
    <w:rsid w:val="00387D80"/>
    <w:rsid w:val="0039020E"/>
    <w:rsid w:val="00392D38"/>
    <w:rsid w:val="00395A3C"/>
    <w:rsid w:val="003A14EE"/>
    <w:rsid w:val="003A2536"/>
    <w:rsid w:val="003A5D23"/>
    <w:rsid w:val="003B115E"/>
    <w:rsid w:val="003B374E"/>
    <w:rsid w:val="003B45CF"/>
    <w:rsid w:val="003B5D71"/>
    <w:rsid w:val="003B60D9"/>
    <w:rsid w:val="003C1BB6"/>
    <w:rsid w:val="003C1CD7"/>
    <w:rsid w:val="003C29AA"/>
    <w:rsid w:val="003C749E"/>
    <w:rsid w:val="003C7A6A"/>
    <w:rsid w:val="003D0EF7"/>
    <w:rsid w:val="003D1BC9"/>
    <w:rsid w:val="003D5905"/>
    <w:rsid w:val="003D5B93"/>
    <w:rsid w:val="003D7990"/>
    <w:rsid w:val="003D7A48"/>
    <w:rsid w:val="003D7EE1"/>
    <w:rsid w:val="003E0DDC"/>
    <w:rsid w:val="003E16DD"/>
    <w:rsid w:val="003E7C82"/>
    <w:rsid w:val="003E7E28"/>
    <w:rsid w:val="003F00B8"/>
    <w:rsid w:val="003F0A8E"/>
    <w:rsid w:val="003F24B4"/>
    <w:rsid w:val="003F2742"/>
    <w:rsid w:val="003F3920"/>
    <w:rsid w:val="003F417E"/>
    <w:rsid w:val="003F6CE6"/>
    <w:rsid w:val="003F7616"/>
    <w:rsid w:val="0040016D"/>
    <w:rsid w:val="004044FA"/>
    <w:rsid w:val="00411A03"/>
    <w:rsid w:val="00413CC4"/>
    <w:rsid w:val="00414922"/>
    <w:rsid w:val="00415005"/>
    <w:rsid w:val="00416B05"/>
    <w:rsid w:val="00424A93"/>
    <w:rsid w:val="004252ED"/>
    <w:rsid w:val="00425B04"/>
    <w:rsid w:val="004262B3"/>
    <w:rsid w:val="00427ADC"/>
    <w:rsid w:val="00430999"/>
    <w:rsid w:val="004337F0"/>
    <w:rsid w:val="00434BE4"/>
    <w:rsid w:val="00436559"/>
    <w:rsid w:val="00436DCB"/>
    <w:rsid w:val="00441464"/>
    <w:rsid w:val="00442134"/>
    <w:rsid w:val="0045076C"/>
    <w:rsid w:val="00450EB3"/>
    <w:rsid w:val="00453C17"/>
    <w:rsid w:val="00462227"/>
    <w:rsid w:val="00462C5B"/>
    <w:rsid w:val="00464391"/>
    <w:rsid w:val="0046493A"/>
    <w:rsid w:val="00467150"/>
    <w:rsid w:val="004723AC"/>
    <w:rsid w:val="00477380"/>
    <w:rsid w:val="00481E98"/>
    <w:rsid w:val="00481FC9"/>
    <w:rsid w:val="004870D8"/>
    <w:rsid w:val="0049086F"/>
    <w:rsid w:val="004931B0"/>
    <w:rsid w:val="004A0AA3"/>
    <w:rsid w:val="004B304E"/>
    <w:rsid w:val="004B6AF6"/>
    <w:rsid w:val="004B7FDD"/>
    <w:rsid w:val="004C0F64"/>
    <w:rsid w:val="004C2C69"/>
    <w:rsid w:val="004C358E"/>
    <w:rsid w:val="004C41BD"/>
    <w:rsid w:val="004D13B7"/>
    <w:rsid w:val="004E28D9"/>
    <w:rsid w:val="004E455B"/>
    <w:rsid w:val="004E6387"/>
    <w:rsid w:val="004E68E6"/>
    <w:rsid w:val="004E75DB"/>
    <w:rsid w:val="004F3009"/>
    <w:rsid w:val="004F6EE0"/>
    <w:rsid w:val="00500F10"/>
    <w:rsid w:val="00505FE4"/>
    <w:rsid w:val="0050700E"/>
    <w:rsid w:val="005103C2"/>
    <w:rsid w:val="00517C98"/>
    <w:rsid w:val="00522C10"/>
    <w:rsid w:val="00527AB2"/>
    <w:rsid w:val="0053387D"/>
    <w:rsid w:val="00534D64"/>
    <w:rsid w:val="005365C7"/>
    <w:rsid w:val="00541A6B"/>
    <w:rsid w:val="0054558B"/>
    <w:rsid w:val="0054759F"/>
    <w:rsid w:val="0055007A"/>
    <w:rsid w:val="0056197B"/>
    <w:rsid w:val="00567445"/>
    <w:rsid w:val="00570981"/>
    <w:rsid w:val="005759AE"/>
    <w:rsid w:val="0058132F"/>
    <w:rsid w:val="00583CEA"/>
    <w:rsid w:val="0058478C"/>
    <w:rsid w:val="00587346"/>
    <w:rsid w:val="00590650"/>
    <w:rsid w:val="005927DB"/>
    <w:rsid w:val="005A22E2"/>
    <w:rsid w:val="005A65C1"/>
    <w:rsid w:val="005A66E3"/>
    <w:rsid w:val="005A79B1"/>
    <w:rsid w:val="005B4A95"/>
    <w:rsid w:val="005C00CC"/>
    <w:rsid w:val="005C1314"/>
    <w:rsid w:val="005C4A8E"/>
    <w:rsid w:val="005C603C"/>
    <w:rsid w:val="005D11E2"/>
    <w:rsid w:val="005D1A8D"/>
    <w:rsid w:val="005D45AF"/>
    <w:rsid w:val="005E5272"/>
    <w:rsid w:val="005E5EF3"/>
    <w:rsid w:val="005E6CE5"/>
    <w:rsid w:val="005E6DA9"/>
    <w:rsid w:val="005F16D6"/>
    <w:rsid w:val="006002EE"/>
    <w:rsid w:val="00600ACA"/>
    <w:rsid w:val="00601F06"/>
    <w:rsid w:val="00604AE1"/>
    <w:rsid w:val="0060656B"/>
    <w:rsid w:val="00611F95"/>
    <w:rsid w:val="006124C3"/>
    <w:rsid w:val="006235B0"/>
    <w:rsid w:val="0062709F"/>
    <w:rsid w:val="00631AD5"/>
    <w:rsid w:val="00632B59"/>
    <w:rsid w:val="006356DF"/>
    <w:rsid w:val="006364D7"/>
    <w:rsid w:val="0063699E"/>
    <w:rsid w:val="0064031F"/>
    <w:rsid w:val="00641740"/>
    <w:rsid w:val="00644BE2"/>
    <w:rsid w:val="00646856"/>
    <w:rsid w:val="00646E82"/>
    <w:rsid w:val="00652808"/>
    <w:rsid w:val="00653620"/>
    <w:rsid w:val="00665555"/>
    <w:rsid w:val="0066773F"/>
    <w:rsid w:val="0067193C"/>
    <w:rsid w:val="00671DA3"/>
    <w:rsid w:val="00675BC0"/>
    <w:rsid w:val="0067795E"/>
    <w:rsid w:val="00687B99"/>
    <w:rsid w:val="0069228E"/>
    <w:rsid w:val="00692EFA"/>
    <w:rsid w:val="006A462F"/>
    <w:rsid w:val="006A59B7"/>
    <w:rsid w:val="006A5C2B"/>
    <w:rsid w:val="006A6D0A"/>
    <w:rsid w:val="006A781A"/>
    <w:rsid w:val="006A7ABD"/>
    <w:rsid w:val="006B1F6E"/>
    <w:rsid w:val="006B5726"/>
    <w:rsid w:val="006B6436"/>
    <w:rsid w:val="006C1FE3"/>
    <w:rsid w:val="006D043F"/>
    <w:rsid w:val="006D3832"/>
    <w:rsid w:val="006D433E"/>
    <w:rsid w:val="006D4E4C"/>
    <w:rsid w:val="006E3FEA"/>
    <w:rsid w:val="006E6F6B"/>
    <w:rsid w:val="006F4228"/>
    <w:rsid w:val="006F6C0A"/>
    <w:rsid w:val="0070267F"/>
    <w:rsid w:val="00703920"/>
    <w:rsid w:val="007045AB"/>
    <w:rsid w:val="0070666F"/>
    <w:rsid w:val="007120E0"/>
    <w:rsid w:val="00712492"/>
    <w:rsid w:val="00712B2D"/>
    <w:rsid w:val="007216CD"/>
    <w:rsid w:val="0072216E"/>
    <w:rsid w:val="0072242D"/>
    <w:rsid w:val="00722E6F"/>
    <w:rsid w:val="00725FA3"/>
    <w:rsid w:val="0073364C"/>
    <w:rsid w:val="00734C79"/>
    <w:rsid w:val="007379CE"/>
    <w:rsid w:val="007441EC"/>
    <w:rsid w:val="00745133"/>
    <w:rsid w:val="00746A6D"/>
    <w:rsid w:val="007535EF"/>
    <w:rsid w:val="00757255"/>
    <w:rsid w:val="007602A6"/>
    <w:rsid w:val="0076100B"/>
    <w:rsid w:val="007672D6"/>
    <w:rsid w:val="0077241F"/>
    <w:rsid w:val="0077328C"/>
    <w:rsid w:val="0077397E"/>
    <w:rsid w:val="0077414B"/>
    <w:rsid w:val="007742DA"/>
    <w:rsid w:val="00776751"/>
    <w:rsid w:val="0077745A"/>
    <w:rsid w:val="00780464"/>
    <w:rsid w:val="0078302F"/>
    <w:rsid w:val="007903A6"/>
    <w:rsid w:val="00791389"/>
    <w:rsid w:val="00793D9C"/>
    <w:rsid w:val="00794701"/>
    <w:rsid w:val="007A0B62"/>
    <w:rsid w:val="007A4884"/>
    <w:rsid w:val="007A6D2E"/>
    <w:rsid w:val="007A796F"/>
    <w:rsid w:val="007A7D43"/>
    <w:rsid w:val="007B2E8D"/>
    <w:rsid w:val="007B797E"/>
    <w:rsid w:val="007C094E"/>
    <w:rsid w:val="007C1D4E"/>
    <w:rsid w:val="007D1341"/>
    <w:rsid w:val="007D1B16"/>
    <w:rsid w:val="007D1FB5"/>
    <w:rsid w:val="007D5E6D"/>
    <w:rsid w:val="007D693D"/>
    <w:rsid w:val="007D7BBB"/>
    <w:rsid w:val="007E0CCC"/>
    <w:rsid w:val="007E135C"/>
    <w:rsid w:val="007E42FA"/>
    <w:rsid w:val="007E70D5"/>
    <w:rsid w:val="007F1D4C"/>
    <w:rsid w:val="007F53E2"/>
    <w:rsid w:val="007F6C40"/>
    <w:rsid w:val="0080074B"/>
    <w:rsid w:val="00801EE3"/>
    <w:rsid w:val="0081063D"/>
    <w:rsid w:val="00814E6E"/>
    <w:rsid w:val="00815F20"/>
    <w:rsid w:val="00817840"/>
    <w:rsid w:val="0082163F"/>
    <w:rsid w:val="00821B1D"/>
    <w:rsid w:val="00825060"/>
    <w:rsid w:val="00827626"/>
    <w:rsid w:val="008305B1"/>
    <w:rsid w:val="008307B7"/>
    <w:rsid w:val="00833F28"/>
    <w:rsid w:val="00836F5B"/>
    <w:rsid w:val="00837726"/>
    <w:rsid w:val="00841984"/>
    <w:rsid w:val="00843ED9"/>
    <w:rsid w:val="00845959"/>
    <w:rsid w:val="00846F43"/>
    <w:rsid w:val="00847204"/>
    <w:rsid w:val="00851C17"/>
    <w:rsid w:val="00855DC9"/>
    <w:rsid w:val="008634E3"/>
    <w:rsid w:val="008657C8"/>
    <w:rsid w:val="00870FF7"/>
    <w:rsid w:val="00871641"/>
    <w:rsid w:val="00872B33"/>
    <w:rsid w:val="00874DBF"/>
    <w:rsid w:val="008808F4"/>
    <w:rsid w:val="0088093E"/>
    <w:rsid w:val="00880B98"/>
    <w:rsid w:val="008812D1"/>
    <w:rsid w:val="00883E34"/>
    <w:rsid w:val="00884282"/>
    <w:rsid w:val="00886F78"/>
    <w:rsid w:val="00887794"/>
    <w:rsid w:val="008921BB"/>
    <w:rsid w:val="00892BEC"/>
    <w:rsid w:val="008938C1"/>
    <w:rsid w:val="008948A5"/>
    <w:rsid w:val="00894EA7"/>
    <w:rsid w:val="00896BCF"/>
    <w:rsid w:val="008A5DE6"/>
    <w:rsid w:val="008A6D76"/>
    <w:rsid w:val="008A7F18"/>
    <w:rsid w:val="008B1BDA"/>
    <w:rsid w:val="008B2338"/>
    <w:rsid w:val="008B42F4"/>
    <w:rsid w:val="008B6FCB"/>
    <w:rsid w:val="008C0498"/>
    <w:rsid w:val="008C21F3"/>
    <w:rsid w:val="008C2EC8"/>
    <w:rsid w:val="008D14AE"/>
    <w:rsid w:val="008E3E67"/>
    <w:rsid w:val="008E5B5D"/>
    <w:rsid w:val="008E64E1"/>
    <w:rsid w:val="008F2B09"/>
    <w:rsid w:val="008F3B4C"/>
    <w:rsid w:val="008F4342"/>
    <w:rsid w:val="008F69C6"/>
    <w:rsid w:val="0090190D"/>
    <w:rsid w:val="009023C9"/>
    <w:rsid w:val="00904348"/>
    <w:rsid w:val="00913813"/>
    <w:rsid w:val="00913BFF"/>
    <w:rsid w:val="0091409B"/>
    <w:rsid w:val="00914CCF"/>
    <w:rsid w:val="00915FEB"/>
    <w:rsid w:val="00916350"/>
    <w:rsid w:val="00920FA1"/>
    <w:rsid w:val="00921DC1"/>
    <w:rsid w:val="00921E73"/>
    <w:rsid w:val="00922C95"/>
    <w:rsid w:val="0092403F"/>
    <w:rsid w:val="00926502"/>
    <w:rsid w:val="00933DD2"/>
    <w:rsid w:val="009406CC"/>
    <w:rsid w:val="009407CB"/>
    <w:rsid w:val="00940B69"/>
    <w:rsid w:val="00941810"/>
    <w:rsid w:val="009440BB"/>
    <w:rsid w:val="0095046F"/>
    <w:rsid w:val="009515FC"/>
    <w:rsid w:val="00953A0A"/>
    <w:rsid w:val="00955801"/>
    <w:rsid w:val="00955CE4"/>
    <w:rsid w:val="00961008"/>
    <w:rsid w:val="00965610"/>
    <w:rsid w:val="00967130"/>
    <w:rsid w:val="00967161"/>
    <w:rsid w:val="00967AB7"/>
    <w:rsid w:val="00970636"/>
    <w:rsid w:val="009709D2"/>
    <w:rsid w:val="00971511"/>
    <w:rsid w:val="00971B26"/>
    <w:rsid w:val="009743E2"/>
    <w:rsid w:val="00974727"/>
    <w:rsid w:val="009769CB"/>
    <w:rsid w:val="00977CDE"/>
    <w:rsid w:val="00987ECB"/>
    <w:rsid w:val="009902BE"/>
    <w:rsid w:val="00990B44"/>
    <w:rsid w:val="00992E85"/>
    <w:rsid w:val="009944B7"/>
    <w:rsid w:val="0099711D"/>
    <w:rsid w:val="009A0FBD"/>
    <w:rsid w:val="009A177D"/>
    <w:rsid w:val="009A4596"/>
    <w:rsid w:val="009B213F"/>
    <w:rsid w:val="009B2844"/>
    <w:rsid w:val="009B5979"/>
    <w:rsid w:val="009C01BC"/>
    <w:rsid w:val="009C0404"/>
    <w:rsid w:val="009C3404"/>
    <w:rsid w:val="009C5649"/>
    <w:rsid w:val="009D5C33"/>
    <w:rsid w:val="009D6FE4"/>
    <w:rsid w:val="009E4742"/>
    <w:rsid w:val="009F16B8"/>
    <w:rsid w:val="009F245A"/>
    <w:rsid w:val="009F3075"/>
    <w:rsid w:val="00A0096F"/>
    <w:rsid w:val="00A00FCE"/>
    <w:rsid w:val="00A01DDA"/>
    <w:rsid w:val="00A0207E"/>
    <w:rsid w:val="00A04607"/>
    <w:rsid w:val="00A06D31"/>
    <w:rsid w:val="00A107BD"/>
    <w:rsid w:val="00A15F2E"/>
    <w:rsid w:val="00A168A2"/>
    <w:rsid w:val="00A177C1"/>
    <w:rsid w:val="00A177EB"/>
    <w:rsid w:val="00A226E8"/>
    <w:rsid w:val="00A24C13"/>
    <w:rsid w:val="00A2614A"/>
    <w:rsid w:val="00A30ADC"/>
    <w:rsid w:val="00A3432F"/>
    <w:rsid w:val="00A348EF"/>
    <w:rsid w:val="00A408B2"/>
    <w:rsid w:val="00A419FE"/>
    <w:rsid w:val="00A437E6"/>
    <w:rsid w:val="00A43E17"/>
    <w:rsid w:val="00A4686C"/>
    <w:rsid w:val="00A47799"/>
    <w:rsid w:val="00A4793D"/>
    <w:rsid w:val="00A51134"/>
    <w:rsid w:val="00A5622C"/>
    <w:rsid w:val="00A61517"/>
    <w:rsid w:val="00A616E3"/>
    <w:rsid w:val="00A642C0"/>
    <w:rsid w:val="00A66197"/>
    <w:rsid w:val="00A6646A"/>
    <w:rsid w:val="00A66684"/>
    <w:rsid w:val="00A72EAA"/>
    <w:rsid w:val="00A734DD"/>
    <w:rsid w:val="00A741C4"/>
    <w:rsid w:val="00A74261"/>
    <w:rsid w:val="00A76B6D"/>
    <w:rsid w:val="00A76D66"/>
    <w:rsid w:val="00A93700"/>
    <w:rsid w:val="00A94C23"/>
    <w:rsid w:val="00A950DB"/>
    <w:rsid w:val="00A95B72"/>
    <w:rsid w:val="00A966F4"/>
    <w:rsid w:val="00A97D20"/>
    <w:rsid w:val="00AA041A"/>
    <w:rsid w:val="00AA09F1"/>
    <w:rsid w:val="00AB2581"/>
    <w:rsid w:val="00AB4F01"/>
    <w:rsid w:val="00AB7611"/>
    <w:rsid w:val="00AC3923"/>
    <w:rsid w:val="00AC4104"/>
    <w:rsid w:val="00AC5E2A"/>
    <w:rsid w:val="00AC66A8"/>
    <w:rsid w:val="00AD31FE"/>
    <w:rsid w:val="00AE1678"/>
    <w:rsid w:val="00AE4F3C"/>
    <w:rsid w:val="00AE7B1D"/>
    <w:rsid w:val="00AF1EC6"/>
    <w:rsid w:val="00AF7B6F"/>
    <w:rsid w:val="00B01F8B"/>
    <w:rsid w:val="00B0207F"/>
    <w:rsid w:val="00B02258"/>
    <w:rsid w:val="00B035EB"/>
    <w:rsid w:val="00B036EE"/>
    <w:rsid w:val="00B05DB2"/>
    <w:rsid w:val="00B062F1"/>
    <w:rsid w:val="00B070FA"/>
    <w:rsid w:val="00B13C0A"/>
    <w:rsid w:val="00B17E66"/>
    <w:rsid w:val="00B20A46"/>
    <w:rsid w:val="00B22476"/>
    <w:rsid w:val="00B276D5"/>
    <w:rsid w:val="00B35322"/>
    <w:rsid w:val="00B3752F"/>
    <w:rsid w:val="00B43772"/>
    <w:rsid w:val="00B46FE4"/>
    <w:rsid w:val="00B529B0"/>
    <w:rsid w:val="00B638F7"/>
    <w:rsid w:val="00B658F6"/>
    <w:rsid w:val="00B67DB6"/>
    <w:rsid w:val="00B70AFA"/>
    <w:rsid w:val="00B734D1"/>
    <w:rsid w:val="00B73A53"/>
    <w:rsid w:val="00B77E7E"/>
    <w:rsid w:val="00B80C23"/>
    <w:rsid w:val="00B818E1"/>
    <w:rsid w:val="00B83F2B"/>
    <w:rsid w:val="00B843D4"/>
    <w:rsid w:val="00B846A8"/>
    <w:rsid w:val="00B86D5A"/>
    <w:rsid w:val="00B87FF0"/>
    <w:rsid w:val="00B932EE"/>
    <w:rsid w:val="00B933A1"/>
    <w:rsid w:val="00B9415A"/>
    <w:rsid w:val="00BA399E"/>
    <w:rsid w:val="00BA57B3"/>
    <w:rsid w:val="00BB1B8B"/>
    <w:rsid w:val="00BB3B70"/>
    <w:rsid w:val="00BB7BBE"/>
    <w:rsid w:val="00BB7C6F"/>
    <w:rsid w:val="00BC0B76"/>
    <w:rsid w:val="00BC72FF"/>
    <w:rsid w:val="00BD3928"/>
    <w:rsid w:val="00BD5EE6"/>
    <w:rsid w:val="00BD7928"/>
    <w:rsid w:val="00BD7BE6"/>
    <w:rsid w:val="00BE0C09"/>
    <w:rsid w:val="00BE2029"/>
    <w:rsid w:val="00BE27D3"/>
    <w:rsid w:val="00BE39CB"/>
    <w:rsid w:val="00BE3BD7"/>
    <w:rsid w:val="00BF1E48"/>
    <w:rsid w:val="00BF2F2E"/>
    <w:rsid w:val="00BF2FF7"/>
    <w:rsid w:val="00BF4B21"/>
    <w:rsid w:val="00BF50D5"/>
    <w:rsid w:val="00C01205"/>
    <w:rsid w:val="00C01F86"/>
    <w:rsid w:val="00C02651"/>
    <w:rsid w:val="00C0690E"/>
    <w:rsid w:val="00C078AD"/>
    <w:rsid w:val="00C13D3C"/>
    <w:rsid w:val="00C14B99"/>
    <w:rsid w:val="00C15796"/>
    <w:rsid w:val="00C23413"/>
    <w:rsid w:val="00C31EFF"/>
    <w:rsid w:val="00C340F1"/>
    <w:rsid w:val="00C3546A"/>
    <w:rsid w:val="00C409CE"/>
    <w:rsid w:val="00C413FD"/>
    <w:rsid w:val="00C45AFE"/>
    <w:rsid w:val="00C45B44"/>
    <w:rsid w:val="00C51360"/>
    <w:rsid w:val="00C527C1"/>
    <w:rsid w:val="00C54829"/>
    <w:rsid w:val="00C54D46"/>
    <w:rsid w:val="00C54E6D"/>
    <w:rsid w:val="00C61E53"/>
    <w:rsid w:val="00C637B0"/>
    <w:rsid w:val="00C65CD6"/>
    <w:rsid w:val="00C66F61"/>
    <w:rsid w:val="00C70701"/>
    <w:rsid w:val="00C726BB"/>
    <w:rsid w:val="00C726E0"/>
    <w:rsid w:val="00C72B52"/>
    <w:rsid w:val="00C73CA3"/>
    <w:rsid w:val="00C800F9"/>
    <w:rsid w:val="00C84617"/>
    <w:rsid w:val="00C860D5"/>
    <w:rsid w:val="00C92234"/>
    <w:rsid w:val="00C9592D"/>
    <w:rsid w:val="00CA2432"/>
    <w:rsid w:val="00CA31B3"/>
    <w:rsid w:val="00CA3206"/>
    <w:rsid w:val="00CA7E4E"/>
    <w:rsid w:val="00CB36FA"/>
    <w:rsid w:val="00CB61F1"/>
    <w:rsid w:val="00CC488E"/>
    <w:rsid w:val="00CC4AE1"/>
    <w:rsid w:val="00CC5030"/>
    <w:rsid w:val="00CC7E70"/>
    <w:rsid w:val="00CD0852"/>
    <w:rsid w:val="00CD3601"/>
    <w:rsid w:val="00CD558F"/>
    <w:rsid w:val="00CE4390"/>
    <w:rsid w:val="00CF0001"/>
    <w:rsid w:val="00CF1827"/>
    <w:rsid w:val="00CF2312"/>
    <w:rsid w:val="00CF2C62"/>
    <w:rsid w:val="00CF57D6"/>
    <w:rsid w:val="00D1070A"/>
    <w:rsid w:val="00D11F7C"/>
    <w:rsid w:val="00D150D6"/>
    <w:rsid w:val="00D15252"/>
    <w:rsid w:val="00D16FEA"/>
    <w:rsid w:val="00D2022F"/>
    <w:rsid w:val="00D205EE"/>
    <w:rsid w:val="00D25B39"/>
    <w:rsid w:val="00D26401"/>
    <w:rsid w:val="00D26C7F"/>
    <w:rsid w:val="00D34D7E"/>
    <w:rsid w:val="00D34FF7"/>
    <w:rsid w:val="00D3764F"/>
    <w:rsid w:val="00D37965"/>
    <w:rsid w:val="00D409D9"/>
    <w:rsid w:val="00D40F57"/>
    <w:rsid w:val="00D414E1"/>
    <w:rsid w:val="00D45180"/>
    <w:rsid w:val="00D46132"/>
    <w:rsid w:val="00D463DA"/>
    <w:rsid w:val="00D466CB"/>
    <w:rsid w:val="00D53A25"/>
    <w:rsid w:val="00D560D2"/>
    <w:rsid w:val="00D566B2"/>
    <w:rsid w:val="00D5715A"/>
    <w:rsid w:val="00D65E6F"/>
    <w:rsid w:val="00D65EC7"/>
    <w:rsid w:val="00D67015"/>
    <w:rsid w:val="00D7346B"/>
    <w:rsid w:val="00D7778B"/>
    <w:rsid w:val="00D8559A"/>
    <w:rsid w:val="00D86879"/>
    <w:rsid w:val="00D873A7"/>
    <w:rsid w:val="00D91892"/>
    <w:rsid w:val="00D93221"/>
    <w:rsid w:val="00DA0856"/>
    <w:rsid w:val="00DA0F36"/>
    <w:rsid w:val="00DA1C7E"/>
    <w:rsid w:val="00DA3970"/>
    <w:rsid w:val="00DA5A48"/>
    <w:rsid w:val="00DA74E4"/>
    <w:rsid w:val="00DB304E"/>
    <w:rsid w:val="00DB474F"/>
    <w:rsid w:val="00DB5C9B"/>
    <w:rsid w:val="00DC0A39"/>
    <w:rsid w:val="00DC1067"/>
    <w:rsid w:val="00DC7D04"/>
    <w:rsid w:val="00DD2459"/>
    <w:rsid w:val="00DD7835"/>
    <w:rsid w:val="00DE49FD"/>
    <w:rsid w:val="00DF120A"/>
    <w:rsid w:val="00DF12C2"/>
    <w:rsid w:val="00DF1508"/>
    <w:rsid w:val="00DF191E"/>
    <w:rsid w:val="00DF1D6E"/>
    <w:rsid w:val="00DF268C"/>
    <w:rsid w:val="00DF27E8"/>
    <w:rsid w:val="00DF4B2C"/>
    <w:rsid w:val="00E01217"/>
    <w:rsid w:val="00E01A6F"/>
    <w:rsid w:val="00E10A72"/>
    <w:rsid w:val="00E13D5E"/>
    <w:rsid w:val="00E14C73"/>
    <w:rsid w:val="00E21705"/>
    <w:rsid w:val="00E246B0"/>
    <w:rsid w:val="00E406DD"/>
    <w:rsid w:val="00E411D6"/>
    <w:rsid w:val="00E52DD0"/>
    <w:rsid w:val="00E5449C"/>
    <w:rsid w:val="00E562CA"/>
    <w:rsid w:val="00E57512"/>
    <w:rsid w:val="00E60A71"/>
    <w:rsid w:val="00E61A76"/>
    <w:rsid w:val="00E627CA"/>
    <w:rsid w:val="00E62B5F"/>
    <w:rsid w:val="00E66B83"/>
    <w:rsid w:val="00E67F18"/>
    <w:rsid w:val="00E7430A"/>
    <w:rsid w:val="00E7653F"/>
    <w:rsid w:val="00E94458"/>
    <w:rsid w:val="00E94AD0"/>
    <w:rsid w:val="00E97DBA"/>
    <w:rsid w:val="00EA07C7"/>
    <w:rsid w:val="00EA136C"/>
    <w:rsid w:val="00EA41A6"/>
    <w:rsid w:val="00EA5BD0"/>
    <w:rsid w:val="00EA796C"/>
    <w:rsid w:val="00EB4069"/>
    <w:rsid w:val="00EB566A"/>
    <w:rsid w:val="00EC054D"/>
    <w:rsid w:val="00EC1F0C"/>
    <w:rsid w:val="00ED2AC1"/>
    <w:rsid w:val="00ED4FA7"/>
    <w:rsid w:val="00ED6B01"/>
    <w:rsid w:val="00EE047A"/>
    <w:rsid w:val="00EE4619"/>
    <w:rsid w:val="00EE5F76"/>
    <w:rsid w:val="00EE7656"/>
    <w:rsid w:val="00EF1AA9"/>
    <w:rsid w:val="00F00FC1"/>
    <w:rsid w:val="00F0317D"/>
    <w:rsid w:val="00F07E04"/>
    <w:rsid w:val="00F14D25"/>
    <w:rsid w:val="00F241B9"/>
    <w:rsid w:val="00F26FE3"/>
    <w:rsid w:val="00F277D9"/>
    <w:rsid w:val="00F35465"/>
    <w:rsid w:val="00F378FF"/>
    <w:rsid w:val="00F41C76"/>
    <w:rsid w:val="00F46A92"/>
    <w:rsid w:val="00F523FB"/>
    <w:rsid w:val="00F52AEF"/>
    <w:rsid w:val="00F53263"/>
    <w:rsid w:val="00F6281C"/>
    <w:rsid w:val="00F650D1"/>
    <w:rsid w:val="00F67F8E"/>
    <w:rsid w:val="00F73184"/>
    <w:rsid w:val="00F759CA"/>
    <w:rsid w:val="00F77D10"/>
    <w:rsid w:val="00F77F1F"/>
    <w:rsid w:val="00F80516"/>
    <w:rsid w:val="00F81D76"/>
    <w:rsid w:val="00F83549"/>
    <w:rsid w:val="00F92221"/>
    <w:rsid w:val="00F9361E"/>
    <w:rsid w:val="00F93C09"/>
    <w:rsid w:val="00F94DC8"/>
    <w:rsid w:val="00F9648E"/>
    <w:rsid w:val="00FA4104"/>
    <w:rsid w:val="00FA6488"/>
    <w:rsid w:val="00FA7032"/>
    <w:rsid w:val="00FB4D15"/>
    <w:rsid w:val="00FB7EBF"/>
    <w:rsid w:val="00FC530B"/>
    <w:rsid w:val="00FC67EF"/>
    <w:rsid w:val="00FC768E"/>
    <w:rsid w:val="00FD3120"/>
    <w:rsid w:val="00FD3C78"/>
    <w:rsid w:val="00FE2C16"/>
    <w:rsid w:val="00FE32B9"/>
    <w:rsid w:val="00FE573F"/>
    <w:rsid w:val="00FE60CD"/>
    <w:rsid w:val="00FE6D80"/>
    <w:rsid w:val="00FF0406"/>
    <w:rsid w:val="00FF18FC"/>
    <w:rsid w:val="00FF285F"/>
    <w:rsid w:val="00FF2F09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C2E0D4"/>
  <w15:docId w15:val="{C810BD1C-E0DA-440A-85F4-25840B09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0D5"/>
  </w:style>
  <w:style w:type="paragraph" w:styleId="Nadpis1">
    <w:name w:val="heading 1"/>
    <w:basedOn w:val="Normln"/>
    <w:next w:val="Normln"/>
    <w:link w:val="Nadpis1Char"/>
    <w:uiPriority w:val="9"/>
    <w:qFormat/>
    <w:rsid w:val="00A177EB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77EB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177EB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77EB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77EB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77EB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77EB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77EB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qFormat/>
    <w:rsid w:val="00665555"/>
    <w:pPr>
      <w:numPr>
        <w:ilvl w:val="8"/>
        <w:numId w:val="14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F77F1F"/>
    <w:pPr>
      <w:ind w:left="720"/>
      <w:contextualSpacing/>
    </w:pPr>
  </w:style>
  <w:style w:type="character" w:customStyle="1" w:styleId="Nadpis9Char">
    <w:name w:val="Nadpis 9 Char"/>
    <w:basedOn w:val="Standardnpsmoodstavce"/>
    <w:link w:val="Nadpis9"/>
    <w:rsid w:val="00665555"/>
    <w:rPr>
      <w:rFonts w:ascii="Cambria" w:eastAsia="Times New Roman" w:hAnsi="Cambria" w:cs="Times New Roman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665555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65555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Zkladn">
    <w:name w:val="Základní"/>
    <w:basedOn w:val="Normln"/>
    <w:rsid w:val="00665555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77328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328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aliases w:val="Footnote"/>
    <w:basedOn w:val="Standardnpsmoodstavce"/>
    <w:uiPriority w:val="99"/>
    <w:semiHidden/>
    <w:unhideWhenUsed/>
    <w:rsid w:val="0077328C"/>
    <w:rPr>
      <w:vertAlign w:val="superscript"/>
    </w:r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locked/>
    <w:rsid w:val="0077328C"/>
  </w:style>
  <w:style w:type="paragraph" w:customStyle="1" w:styleId="Default">
    <w:name w:val="Default"/>
    <w:rsid w:val="004F30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EE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36DC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2B09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4C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4CCF"/>
  </w:style>
  <w:style w:type="paragraph" w:styleId="Zhlav">
    <w:name w:val="header"/>
    <w:basedOn w:val="Normln"/>
    <w:link w:val="ZhlavChar"/>
    <w:uiPriority w:val="99"/>
    <w:unhideWhenUsed/>
    <w:rsid w:val="008A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DE6"/>
  </w:style>
  <w:style w:type="paragraph" w:styleId="Zpat">
    <w:name w:val="footer"/>
    <w:basedOn w:val="Normln"/>
    <w:link w:val="ZpatChar"/>
    <w:uiPriority w:val="99"/>
    <w:unhideWhenUsed/>
    <w:rsid w:val="008A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DE6"/>
  </w:style>
  <w:style w:type="paragraph" w:customStyle="1" w:styleId="Protokol-normln">
    <w:name w:val="Protokol - normální"/>
    <w:basedOn w:val="Normln"/>
    <w:link w:val="Protokol-normlnChar"/>
    <w:qFormat/>
    <w:rsid w:val="005D11E2"/>
    <w:pPr>
      <w:spacing w:after="0" w:line="240" w:lineRule="auto"/>
      <w:jc w:val="both"/>
    </w:pPr>
    <w:rPr>
      <w:rFonts w:eastAsia="Times New Roman" w:cs="Calibri"/>
      <w:sz w:val="24"/>
      <w:szCs w:val="24"/>
    </w:rPr>
  </w:style>
  <w:style w:type="character" w:customStyle="1" w:styleId="Protokol-normlnChar">
    <w:name w:val="Protokol - normální Char"/>
    <w:basedOn w:val="Standardnpsmoodstavce"/>
    <w:link w:val="Protokol-normln"/>
    <w:rsid w:val="005D11E2"/>
    <w:rPr>
      <w:rFonts w:eastAsia="Times New Roman" w:cs="Calibri"/>
      <w:sz w:val="24"/>
      <w:szCs w:val="24"/>
    </w:rPr>
  </w:style>
  <w:style w:type="paragraph" w:customStyle="1" w:styleId="poznmkapodarou">
    <w:name w:val="poznámka pod čarou"/>
    <w:basedOn w:val="Textpoznpodarou"/>
    <w:qFormat/>
    <w:rsid w:val="005D11E2"/>
    <w:pPr>
      <w:tabs>
        <w:tab w:val="left" w:pos="284"/>
      </w:tabs>
      <w:ind w:left="284" w:hanging="284"/>
      <w:jc w:val="both"/>
    </w:pPr>
    <w:rPr>
      <w:rFonts w:ascii="Calibri" w:hAnsi="Calibri" w:cs="Calibri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177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177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177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77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77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77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77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77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8307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07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07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7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7B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3F0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mkatabulky">
    <w:name w:val="Grid Table Light"/>
    <w:basedOn w:val="Normlntabulka"/>
    <w:uiPriority w:val="40"/>
    <w:rsid w:val="00134E7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basedOn w:val="Normlntabulka"/>
    <w:uiPriority w:val="41"/>
    <w:rsid w:val="00134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2">
    <w:name w:val="Grid Table 1 Light Accent 2"/>
    <w:basedOn w:val="Normlntabulka"/>
    <w:uiPriority w:val="46"/>
    <w:rsid w:val="00134E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526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526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2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5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0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0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5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193DC.20C22E60" TargetMode="External"/><Relationship Id="rId18" Type="http://schemas.openxmlformats.org/officeDocument/2006/relationships/hyperlink" Target="https://www.youtube.com/watch?v=-z7ccMtKMiw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://www.esfcr.cz/esf-tv-spo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sfcr.cz/reportaze-o-projektech-2010" TargetMode="Externa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4RslNLM7Xoc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channel/UC6pP-2cEk49qzTuGKnx388w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sfcr.cz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ghlULzKY_o" TargetMode="External"/><Relationship Id="rId3" Type="http://schemas.openxmlformats.org/officeDocument/2006/relationships/hyperlink" Target="https://www.youtube.com/watch?v=MUeOWogq8XI" TargetMode="External"/><Relationship Id="rId7" Type="http://schemas.openxmlformats.org/officeDocument/2006/relationships/hyperlink" Target="https://www.youtube.com/watch?v=ixnImNge-hU" TargetMode="External"/><Relationship Id="rId2" Type="http://schemas.openxmlformats.org/officeDocument/2006/relationships/hyperlink" Target="http://www.esfcr.cz/file/8200" TargetMode="External"/><Relationship Id="rId1" Type="http://schemas.openxmlformats.org/officeDocument/2006/relationships/hyperlink" Target="http://www.esfcr.cz/file/8122" TargetMode="External"/><Relationship Id="rId6" Type="http://schemas.openxmlformats.org/officeDocument/2006/relationships/hyperlink" Target="https://www.youtube.com/watch?v=GemjcY7eGFI" TargetMode="External"/><Relationship Id="rId11" Type="http://schemas.openxmlformats.org/officeDocument/2006/relationships/hyperlink" Target="http://www.strukturalni-fondy.cz/cs/Informace-o-cerpani/Seznamy-prijemcu" TargetMode="External"/><Relationship Id="rId5" Type="http://schemas.openxmlformats.org/officeDocument/2006/relationships/hyperlink" Target="https://www.youtube.com/watch?v=EzsAkSbemWw" TargetMode="External"/><Relationship Id="rId10" Type="http://schemas.openxmlformats.org/officeDocument/2006/relationships/hyperlink" Target="http://www.strukturalni-fondy.cz/cs/Fondy-EU/Narodni-organ-pro-koordinaci/Evaluace/Knihovna-evaluaci/Vyhodnoceni-komunikacnich-a-propagacnich-aktiv-(1)" TargetMode="External"/><Relationship Id="rId4" Type="http://schemas.openxmlformats.org/officeDocument/2006/relationships/hyperlink" Target="https://www.youtube.com/watch?v=uxTkIsthj1Y" TargetMode="External"/><Relationship Id="rId9" Type="http://schemas.openxmlformats.org/officeDocument/2006/relationships/hyperlink" Target="https://www.youtube.com/watch?v=QeJBZrRogP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5CD0B-B82D-4A4D-BAED-A231E5BA0C9C}"/>
</file>

<file path=customXml/itemProps2.xml><?xml version="1.0" encoding="utf-8"?>
<ds:datastoreItem xmlns:ds="http://schemas.openxmlformats.org/officeDocument/2006/customXml" ds:itemID="{5A52DDFC-8AD7-4BAC-BCEC-68843E5DACB3}"/>
</file>

<file path=customXml/itemProps3.xml><?xml version="1.0" encoding="utf-8"?>
<ds:datastoreItem xmlns:ds="http://schemas.openxmlformats.org/officeDocument/2006/customXml" ds:itemID="{790F537D-8504-4F8F-A274-209694E4A3A7}"/>
</file>

<file path=customXml/itemProps4.xml><?xml version="1.0" encoding="utf-8"?>
<ds:datastoreItem xmlns:ds="http://schemas.openxmlformats.org/officeDocument/2006/customXml" ds:itemID="{435EC85A-472C-4BAC-9E20-65948763B084}"/>
</file>

<file path=docProps/app.xml><?xml version="1.0" encoding="utf-8"?>
<Properties xmlns="http://schemas.openxmlformats.org/officeDocument/2006/extended-properties" xmlns:vt="http://schemas.openxmlformats.org/officeDocument/2006/docPropsVTypes">
  <Template>C4EA594F.dotm</Template>
  <TotalTime>3</TotalTime>
  <Pages>17</Pages>
  <Words>5636</Words>
  <Characters>33253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15/26 - Peněžní prostředky EU a státního rozpočtu vynaložené v rámci technické pomoci na aktivity související s publicitou a propagací operačních programů a projektů realizovaných v programovém období 2007–2013</dc:title>
  <dc:creator>Nejvyšší kontrolní úřad</dc:creator>
  <cp:keywords>kontrolní závěr, propagace operačních programů, operační programy, evropské dotace</cp:keywords>
  <dc:description/>
  <cp:lastModifiedBy>KOKRDA Daniel</cp:lastModifiedBy>
  <cp:revision>3</cp:revision>
  <cp:lastPrinted>2016-04-08T13:36:00Z</cp:lastPrinted>
  <dcterms:created xsi:type="dcterms:W3CDTF">2016-06-03T05:26:00Z</dcterms:created>
  <dcterms:modified xsi:type="dcterms:W3CDTF">2016-06-27T05:25:00Z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