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46" w:rsidRDefault="00ED4646" w:rsidP="00ED4646">
      <w:pPr>
        <w:jc w:val="center"/>
      </w:pPr>
      <w:r w:rsidRPr="00316C69">
        <w:rPr>
          <w:rFonts w:cstheme="minorHAnsi"/>
          <w:b/>
          <w:noProof/>
          <w:lang w:eastAsia="cs-CZ"/>
        </w:rPr>
        <w:drawing>
          <wp:inline distT="0" distB="0" distL="0" distR="0" wp14:anchorId="4D7781F4" wp14:editId="7CC14F0B">
            <wp:extent cx="786765" cy="5607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646" w:rsidRDefault="00ED4646" w:rsidP="00ED4646"/>
    <w:p w:rsidR="00ED4646" w:rsidRDefault="00ED4646" w:rsidP="00A415A3">
      <w:pPr>
        <w:pStyle w:val="Nzev"/>
        <w:spacing w:before="0"/>
      </w:pPr>
      <w:bookmarkStart w:id="0" w:name="_GoBack"/>
      <w:r>
        <w:t>Kontrolní závěr z kontrolní akce</w:t>
      </w:r>
    </w:p>
    <w:p w:rsidR="00A415A3" w:rsidRDefault="00A415A3" w:rsidP="00A415A3">
      <w:pPr>
        <w:pStyle w:val="Nzev"/>
        <w:spacing w:before="0"/>
      </w:pPr>
    </w:p>
    <w:p w:rsidR="00ED4646" w:rsidRDefault="00ED4646" w:rsidP="00A415A3">
      <w:pPr>
        <w:pStyle w:val="Nzev"/>
        <w:spacing w:before="0"/>
      </w:pPr>
      <w:r>
        <w:t>15/28</w:t>
      </w:r>
    </w:p>
    <w:p w:rsidR="00A415A3" w:rsidRDefault="00A415A3" w:rsidP="00A415A3">
      <w:pPr>
        <w:pStyle w:val="Nzev"/>
        <w:spacing w:before="0"/>
      </w:pPr>
    </w:p>
    <w:p w:rsidR="00A415A3" w:rsidRDefault="00ED4646" w:rsidP="00A415A3">
      <w:pPr>
        <w:pStyle w:val="Nzev"/>
        <w:spacing w:before="0"/>
      </w:pPr>
      <w:r>
        <w:t xml:space="preserve">Majetek a peněžní prostředky státu, </w:t>
      </w:r>
    </w:p>
    <w:p w:rsidR="00ED4646" w:rsidRDefault="00ED4646" w:rsidP="00A415A3">
      <w:pPr>
        <w:pStyle w:val="Nzev"/>
        <w:spacing w:before="0"/>
      </w:pPr>
      <w:r>
        <w:t>se kterými je příslušný hospodařit Státní fond kinematografie</w:t>
      </w:r>
    </w:p>
    <w:bookmarkEnd w:id="0"/>
    <w:p w:rsidR="00ED4646" w:rsidRDefault="00ED4646" w:rsidP="00A415A3">
      <w:pPr>
        <w:spacing w:before="0"/>
      </w:pPr>
    </w:p>
    <w:p w:rsidR="00ED4646" w:rsidRDefault="00ED4646" w:rsidP="000C2B60">
      <w:pPr>
        <w:spacing w:before="360"/>
      </w:pPr>
      <w:r>
        <w:t xml:space="preserve">Kontrolní akce byla zařazena do plánu kontrolní činnosti Nejvyššího kontrolního úřadu (dále jen „NKÚ“) na rok 2015 pod číslem 15/28. Kontrolní akci řídil a kontrolní závěr vypracoval člen NKÚ Ing. Rudolf Kufa. </w:t>
      </w:r>
    </w:p>
    <w:p w:rsidR="00086993" w:rsidRDefault="00ED4646" w:rsidP="000C2B60">
      <w:pPr>
        <w:spacing w:before="360"/>
      </w:pPr>
      <w:r>
        <w:t xml:space="preserve">Cílem kontroly bylo prověřit </w:t>
      </w:r>
      <w:r w:rsidR="00086993" w:rsidRPr="00086993">
        <w:t>hospodaření s majetkem a</w:t>
      </w:r>
      <w:r w:rsidR="00086993">
        <w:t xml:space="preserve"> peněžními prostředky státu, se </w:t>
      </w:r>
      <w:r w:rsidR="00086993" w:rsidRPr="00086993">
        <w:t>kterými je příslušný hospodařit Státní fond kinematografie, a plnění povinností vyplývajících ze zákona č. 496/2012 Sb., o audiovizuálních dí</w:t>
      </w:r>
      <w:r w:rsidR="00574EBA">
        <w:t>lech a podpoře kinematografie a </w:t>
      </w:r>
      <w:r w:rsidR="00086993" w:rsidRPr="00086993">
        <w:t>o změně některých zákonů (zákon o audiovizi)</w:t>
      </w:r>
      <w:r w:rsidR="00040B8B">
        <w:t>.</w:t>
      </w:r>
      <w:r w:rsidR="00157EDC">
        <w:t xml:space="preserve"> </w:t>
      </w:r>
    </w:p>
    <w:p w:rsidR="00ED4646" w:rsidRDefault="00ED4646" w:rsidP="000C2B60">
      <w:pPr>
        <w:spacing w:before="360"/>
      </w:pPr>
      <w:r>
        <w:t xml:space="preserve">Kontrolovaným obdobím byly roky 2013 až 2015, v případě věcných souvislostí i období předcházející a navazující. </w:t>
      </w:r>
    </w:p>
    <w:p w:rsidR="00ED4646" w:rsidRPr="008B62EC" w:rsidRDefault="00ED4646" w:rsidP="000C2B60">
      <w:pPr>
        <w:spacing w:before="360"/>
        <w:rPr>
          <w:b/>
        </w:rPr>
      </w:pPr>
      <w:r w:rsidRPr="008B62EC">
        <w:rPr>
          <w:b/>
        </w:rPr>
        <w:t xml:space="preserve">Kontrolovaná osoba: </w:t>
      </w:r>
    </w:p>
    <w:p w:rsidR="00ED4646" w:rsidRDefault="000C2B60" w:rsidP="000C2B60">
      <w:pPr>
        <w:spacing w:before="120"/>
      </w:pPr>
      <w:r>
        <w:t>Státní fond kinematografie</w:t>
      </w:r>
      <w:r w:rsidR="004A70F2">
        <w:t>, Praha.</w:t>
      </w:r>
    </w:p>
    <w:p w:rsidR="00ED4646" w:rsidRDefault="00ED4646" w:rsidP="000C2B60">
      <w:pPr>
        <w:spacing w:before="360"/>
      </w:pPr>
      <w:r>
        <w:t>Kontrola byla pro</w:t>
      </w:r>
      <w:r w:rsidR="000C2B60">
        <w:t>váděna u kontrolované osoby od 3. srpna 2015 do 9</w:t>
      </w:r>
      <w:r>
        <w:t xml:space="preserve">. </w:t>
      </w:r>
      <w:r w:rsidR="000C2B60">
        <w:t>břez</w:t>
      </w:r>
      <w:r>
        <w:t>na 201</w:t>
      </w:r>
      <w:r w:rsidR="000C2B60">
        <w:t>6</w:t>
      </w:r>
      <w:r>
        <w:t>.</w:t>
      </w:r>
    </w:p>
    <w:p w:rsidR="00ED4646" w:rsidRDefault="00ED4646" w:rsidP="000C2B60">
      <w:pPr>
        <w:spacing w:before="360"/>
      </w:pPr>
      <w:r>
        <w:t xml:space="preserve">Námitky proti kontrolnímu protokolu, které </w:t>
      </w:r>
      <w:r w:rsidR="000C2B60">
        <w:t xml:space="preserve">Státní fond kinematografie </w:t>
      </w:r>
      <w:r>
        <w:t>podal, vypořá</w:t>
      </w:r>
      <w:r w:rsidR="006E69FA">
        <w:t>d</w:t>
      </w:r>
      <w:r w:rsidR="007A0D06">
        <w:t>ala</w:t>
      </w:r>
      <w:r w:rsidR="000C2B60">
        <w:t xml:space="preserve"> vedoucí</w:t>
      </w:r>
      <w:r>
        <w:t xml:space="preserve"> skupiny kontrolujících rozhodnutím o námitkách. Odvolání proti</w:t>
      </w:r>
      <w:r w:rsidR="006E69FA">
        <w:t xml:space="preserve"> </w:t>
      </w:r>
      <w:r w:rsidR="000C2B60">
        <w:t>rozhodnutí o</w:t>
      </w:r>
      <w:r w:rsidR="005A3AD3">
        <w:t> </w:t>
      </w:r>
      <w:r w:rsidR="000C2B60">
        <w:t>námitkách podané Státním fondem kinematografie</w:t>
      </w:r>
      <w:r>
        <w:t xml:space="preserve"> bylo vypořádáno usnesením Kolegia NKÚ.</w:t>
      </w:r>
    </w:p>
    <w:p w:rsidR="00ED4646" w:rsidRDefault="00ED4646" w:rsidP="000C2B60">
      <w:pPr>
        <w:spacing w:before="480"/>
      </w:pPr>
      <w:r w:rsidRPr="000C2B60">
        <w:rPr>
          <w:b/>
          <w:i/>
        </w:rPr>
        <w:t>K o l e g i u m   N K Ú</w:t>
      </w:r>
      <w:r>
        <w:t xml:space="preserve">   na svém</w:t>
      </w:r>
      <w:r w:rsidR="000C2B60">
        <w:t xml:space="preserve"> </w:t>
      </w:r>
      <w:r w:rsidR="00DB07A1">
        <w:t>VIII</w:t>
      </w:r>
      <w:r w:rsidRPr="004A70F2">
        <w:t>.</w:t>
      </w:r>
      <w:r>
        <w:t xml:space="preserve"> jedn</w:t>
      </w:r>
      <w:r w:rsidR="000C2B60">
        <w:t xml:space="preserve">ání, které se konalo dne </w:t>
      </w:r>
      <w:r w:rsidR="00DB07A1">
        <w:t xml:space="preserve">30. května </w:t>
      </w:r>
      <w:r w:rsidRPr="004A70F2">
        <w:t>2016,</w:t>
      </w:r>
      <w:r>
        <w:t xml:space="preserve"> </w:t>
      </w:r>
    </w:p>
    <w:p w:rsidR="00ED4646" w:rsidRDefault="00ED4646" w:rsidP="000C2B60">
      <w:pPr>
        <w:spacing w:before="120"/>
      </w:pPr>
      <w:r w:rsidRPr="000C2B60">
        <w:rPr>
          <w:b/>
          <w:i/>
        </w:rPr>
        <w:t>s c h v á l i l o</w:t>
      </w:r>
      <w:r>
        <w:t xml:space="preserve">   usnesením č. </w:t>
      </w:r>
      <w:r w:rsidR="00A415A3">
        <w:t>9</w:t>
      </w:r>
      <w:r w:rsidRPr="004A70F2">
        <w:t>/</w:t>
      </w:r>
      <w:r w:rsidR="00DB07A1">
        <w:t>VIII</w:t>
      </w:r>
      <w:r w:rsidRPr="004A70F2">
        <w:t>/2016</w:t>
      </w:r>
    </w:p>
    <w:p w:rsidR="00ED4646" w:rsidRDefault="00ED4646" w:rsidP="000C2B60">
      <w:pPr>
        <w:spacing w:before="120"/>
      </w:pPr>
      <w:r w:rsidRPr="000C2B60">
        <w:rPr>
          <w:b/>
          <w:i/>
        </w:rPr>
        <w:t>k o n t r o l n í   z á v ě r</w:t>
      </w:r>
      <w:r>
        <w:t xml:space="preserve">   v tomto znění:</w:t>
      </w:r>
    </w:p>
    <w:p w:rsidR="000C2B60" w:rsidRDefault="000C2B60">
      <w:pPr>
        <w:spacing w:before="0" w:after="200" w:line="276" w:lineRule="auto"/>
        <w:jc w:val="left"/>
      </w:pPr>
      <w:r>
        <w:br w:type="page"/>
      </w:r>
    </w:p>
    <w:p w:rsidR="00653154" w:rsidRPr="00E970C0" w:rsidRDefault="00086993" w:rsidP="009509E5">
      <w:pPr>
        <w:pStyle w:val="Nzevtext"/>
        <w:ind w:left="426" w:hanging="66"/>
      </w:pPr>
      <w:r w:rsidRPr="00E970C0">
        <w:lastRenderedPageBreak/>
        <w:t>Úvod</w:t>
      </w:r>
    </w:p>
    <w:p w:rsidR="00E970C0" w:rsidRDefault="00A26A6F" w:rsidP="00C16315">
      <w:r>
        <w:t>Státní fond kinematografie (dále také „SFK“) vznikl jako samostatný právní subjekt na základě zákona č. 496/2012 Sb.</w:t>
      </w:r>
      <w:r>
        <w:rPr>
          <w:rStyle w:val="Znakapoznpodarou"/>
        </w:rPr>
        <w:footnoteReference w:id="1"/>
      </w:r>
      <w:r>
        <w:t xml:space="preserve">, který nabyl účinnosti dne 1. </w:t>
      </w:r>
      <w:r w:rsidR="0016237C">
        <w:t>ledna</w:t>
      </w:r>
      <w:r>
        <w:t xml:space="preserve"> 2013.</w:t>
      </w:r>
    </w:p>
    <w:p w:rsidR="00C16315" w:rsidRDefault="00A26A6F" w:rsidP="00C16315">
      <w:r>
        <w:t>SFK</w:t>
      </w:r>
      <w:r w:rsidR="00C16315">
        <w:t xml:space="preserve"> je právním nástupcem Státního fondu České republiky pro</w:t>
      </w:r>
      <w:r w:rsidR="007A0D06">
        <w:t xml:space="preserve"> </w:t>
      </w:r>
      <w:r w:rsidR="00C16315">
        <w:t>podporu a rozvoj české kinematograf</w:t>
      </w:r>
      <w:r w:rsidR="00CE2781">
        <w:t>ie</w:t>
      </w:r>
      <w:r w:rsidR="00633415">
        <w:rPr>
          <w:rStyle w:val="Znakapoznpodarou"/>
        </w:rPr>
        <w:footnoteReference w:id="2"/>
      </w:r>
      <w:r w:rsidR="00340081">
        <w:t xml:space="preserve"> (dále </w:t>
      </w:r>
      <w:r w:rsidR="007A0D06">
        <w:t xml:space="preserve">jen </w:t>
      </w:r>
      <w:r w:rsidR="00340081">
        <w:t>„SFPRČK“)</w:t>
      </w:r>
      <w:r w:rsidR="00CE2781">
        <w:t>, který byl zákonem o audiovizi zrušen</w:t>
      </w:r>
      <w:r w:rsidR="00CE2781">
        <w:rPr>
          <w:rStyle w:val="Znakapoznpodarou"/>
        </w:rPr>
        <w:footnoteReference w:id="3"/>
      </w:r>
      <w:r w:rsidR="00CE2781">
        <w:t>.</w:t>
      </w:r>
      <w:r w:rsidR="00C16315">
        <w:t xml:space="preserve"> </w:t>
      </w:r>
      <w:r w:rsidR="00633415">
        <w:t xml:space="preserve">SFK převzal </w:t>
      </w:r>
      <w:r w:rsidR="00C16315">
        <w:t>jeho aktiva i</w:t>
      </w:r>
      <w:r w:rsidR="007A0D06">
        <w:t xml:space="preserve"> </w:t>
      </w:r>
      <w:r w:rsidR="00C16315">
        <w:t>závazky a vstoupil do všech práv a povinností z právních vztahů, jejichž</w:t>
      </w:r>
      <w:r w:rsidR="007A0D06">
        <w:t xml:space="preserve"> </w:t>
      </w:r>
      <w:r w:rsidR="00C16315">
        <w:t xml:space="preserve">účastníkem byl SFPRČK. SFK je příslušný hospodařit s majetkem České republiky, je samostatnou účetní jednotkou a patří do působnosti Ministerstva kultury (dále také „MK“). </w:t>
      </w:r>
    </w:p>
    <w:p w:rsidR="00C16315" w:rsidRDefault="00202CA1" w:rsidP="00C16315">
      <w:r>
        <w:t xml:space="preserve">SFK podle zákona o audiovizi </w:t>
      </w:r>
      <w:r w:rsidR="00C16315">
        <w:t xml:space="preserve">zejména: </w:t>
      </w:r>
    </w:p>
    <w:p w:rsidR="00C16315" w:rsidRPr="00DF5DA7" w:rsidRDefault="00C16315" w:rsidP="00F70874">
      <w:pPr>
        <w:pStyle w:val="Odstavecseseznamem"/>
        <w:spacing w:before="120"/>
        <w:ind w:left="357" w:hanging="357"/>
      </w:pPr>
      <w:r w:rsidRPr="00DF5DA7">
        <w:t>vykonává správu audiovizuálních poplatků, poplatk</w:t>
      </w:r>
      <w:r w:rsidR="007A0D06">
        <w:t>ů</w:t>
      </w:r>
      <w:r w:rsidRPr="00DF5DA7">
        <w:t xml:space="preserve"> z vysílání reklamy a správních poplatků podle tohoto zákona;</w:t>
      </w:r>
    </w:p>
    <w:p w:rsidR="00C16315" w:rsidRPr="00DF5DA7" w:rsidRDefault="00C16315" w:rsidP="00C16315">
      <w:pPr>
        <w:pStyle w:val="Odstavecseseznamem"/>
      </w:pPr>
      <w:r w:rsidRPr="00DF5DA7">
        <w:t xml:space="preserve">vede evidenci v oblasti audiovize; </w:t>
      </w:r>
    </w:p>
    <w:p w:rsidR="00C16315" w:rsidRPr="00DF5DA7" w:rsidRDefault="00C16315" w:rsidP="00C16315">
      <w:pPr>
        <w:pStyle w:val="Odstavecseseznamem"/>
      </w:pPr>
      <w:r w:rsidRPr="00DF5DA7">
        <w:t xml:space="preserve">poskytuje podporu kinematografie; </w:t>
      </w:r>
    </w:p>
    <w:p w:rsidR="00C16315" w:rsidRPr="00DF5DA7" w:rsidRDefault="00C16315" w:rsidP="00C16315">
      <w:pPr>
        <w:pStyle w:val="Odstavecseseznamem"/>
      </w:pPr>
      <w:r w:rsidRPr="00DF5DA7">
        <w:t>vykonává majetková autorská práva a majetková práva výkonných umělců, která</w:t>
      </w:r>
      <w:r w:rsidR="008C4D24">
        <w:t xml:space="preserve"> </w:t>
      </w:r>
      <w:r w:rsidRPr="00DF5DA7">
        <w:t>připadnou státu podle jiného právního předpisu</w:t>
      </w:r>
      <w:r w:rsidR="00CB1605">
        <w:rPr>
          <w:rStyle w:val="Znakapoznpodarou"/>
        </w:rPr>
        <w:footnoteReference w:id="4"/>
      </w:r>
      <w:r w:rsidRPr="00DF5DA7">
        <w:t>;</w:t>
      </w:r>
    </w:p>
    <w:p w:rsidR="00C16315" w:rsidRPr="00DF5DA7" w:rsidRDefault="00C16315" w:rsidP="00C16315">
      <w:pPr>
        <w:pStyle w:val="Odstavecseseznamem"/>
      </w:pPr>
      <w:r w:rsidRPr="00DF5DA7">
        <w:t>vykonává práva výrobce audiovizuálních děl, která na jeho právního předchůdce přešla podle jiného právního předpisu</w:t>
      </w:r>
      <w:r w:rsidR="00CB1605">
        <w:rPr>
          <w:rStyle w:val="Znakapoznpodarou"/>
        </w:rPr>
        <w:footnoteReference w:id="5"/>
      </w:r>
      <w:r w:rsidRPr="00DF5DA7">
        <w:t>, a práva výrobce zvukově obrazového záznamu, která</w:t>
      </w:r>
      <w:r w:rsidR="008C4D24">
        <w:t xml:space="preserve"> </w:t>
      </w:r>
      <w:r w:rsidRPr="00DF5DA7">
        <w:t>mu náleží podle jiného právního předpisu</w:t>
      </w:r>
      <w:r w:rsidR="00CB1605">
        <w:rPr>
          <w:rStyle w:val="Znakapoznpodarou"/>
        </w:rPr>
        <w:footnoteReference w:id="6"/>
      </w:r>
      <w:r w:rsidRPr="00DF5DA7">
        <w:t xml:space="preserve">; </w:t>
      </w:r>
    </w:p>
    <w:p w:rsidR="00C16315" w:rsidRPr="00DF5DA7" w:rsidRDefault="00C16315" w:rsidP="00C16315">
      <w:pPr>
        <w:pStyle w:val="Odstavecseseznamem"/>
      </w:pPr>
      <w:r w:rsidRPr="00DF5DA7">
        <w:t xml:space="preserve">přiděluje koprodukční statut podle </w:t>
      </w:r>
      <w:r w:rsidRPr="00F65485">
        <w:rPr>
          <w:i/>
        </w:rPr>
        <w:t>Evropské úmluvy o filmové koprodukci</w:t>
      </w:r>
      <w:r w:rsidRPr="00DF5DA7">
        <w:t xml:space="preserve"> nebo jiné mezinárodní smlouvy o filmové koprodukci;</w:t>
      </w:r>
    </w:p>
    <w:p w:rsidR="00C16315" w:rsidRPr="00DF5DA7" w:rsidRDefault="00C16315" w:rsidP="00C16315">
      <w:pPr>
        <w:pStyle w:val="Odstavecseseznamem"/>
      </w:pPr>
      <w:r w:rsidRPr="00DF5DA7">
        <w:t>poskytuje filmové pobídky;</w:t>
      </w:r>
    </w:p>
    <w:p w:rsidR="00C16315" w:rsidRPr="00DF5DA7" w:rsidRDefault="00C16315" w:rsidP="00C16315">
      <w:pPr>
        <w:pStyle w:val="Odstavecseseznamem"/>
      </w:pPr>
      <w:r w:rsidRPr="00DF5DA7">
        <w:t>vykonává činnosti stanovené jinými právními předpisy.</w:t>
      </w:r>
    </w:p>
    <w:p w:rsidR="009479B4" w:rsidRDefault="00C16315" w:rsidP="00C16315">
      <w:r>
        <w:t>Podrobnosti o činnosti, vnitřní organizaci, hospodaření SFK, poskytování podpor kinematografie a poskytování filmový</w:t>
      </w:r>
      <w:r w:rsidR="009479B4">
        <w:t>ch pobídek stanoví statut SFK.</w:t>
      </w:r>
      <w:r w:rsidR="00276AFF">
        <w:t xml:space="preserve"> </w:t>
      </w:r>
    </w:p>
    <w:p w:rsidR="00814196" w:rsidRDefault="00276AFF" w:rsidP="00C16315">
      <w:r>
        <w:t>SFK</w:t>
      </w:r>
      <w:r w:rsidR="00CB1605">
        <w:t>, v jehož čele stojí ředitel,</w:t>
      </w:r>
      <w:r>
        <w:t xml:space="preserve"> má oproti SFPRČK </w:t>
      </w:r>
      <w:r w:rsidR="00CB1605">
        <w:t xml:space="preserve">odlišnou organizační </w:t>
      </w:r>
      <w:r>
        <w:t>strukturu. Kromě Rady, které se s</w:t>
      </w:r>
      <w:r w:rsidR="004E4DEA">
        <w:t>nížil počet členů z třinácti na</w:t>
      </w:r>
      <w:r w:rsidR="007A0D06">
        <w:t xml:space="preserve"> </w:t>
      </w:r>
      <w:r>
        <w:t>devět</w:t>
      </w:r>
      <w:r w:rsidR="00340081">
        <w:rPr>
          <w:rStyle w:val="Znakapoznpodarou"/>
        </w:rPr>
        <w:footnoteReference w:id="7"/>
      </w:r>
      <w:r>
        <w:t xml:space="preserve">, má </w:t>
      </w:r>
      <w:r w:rsidR="0016237C">
        <w:t>d</w:t>
      </w:r>
      <w:r>
        <w:t>ozorčí výbor a na rozdíl od</w:t>
      </w:r>
      <w:r w:rsidR="007A0D06">
        <w:t xml:space="preserve"> </w:t>
      </w:r>
      <w:r>
        <w:t>SFPRČK</w:t>
      </w:r>
      <w:r w:rsidR="00CB1605">
        <w:t xml:space="preserve"> má</w:t>
      </w:r>
      <w:r>
        <w:t xml:space="preserve"> vlastní zaměstnance. Okruhy, ve kterých je poskytována podpora kinematografie, byly rozšířeny z šesti na deset. Na SFK přešla také agenda poskytování filmových pobíd</w:t>
      </w:r>
      <w:r w:rsidR="00061392">
        <w:t>ek, kt</w:t>
      </w:r>
      <w:r w:rsidR="00A5644C">
        <w:t>eré</w:t>
      </w:r>
      <w:r w:rsidR="007A0D06">
        <w:t xml:space="preserve"> </w:t>
      </w:r>
      <w:r w:rsidR="00061392">
        <w:t xml:space="preserve">byly původně v rámci </w:t>
      </w:r>
      <w:r w:rsidR="00061392" w:rsidRPr="00F65485">
        <w:rPr>
          <w:i/>
        </w:rPr>
        <w:t>Programu p</w:t>
      </w:r>
      <w:r w:rsidRPr="00F65485">
        <w:rPr>
          <w:i/>
        </w:rPr>
        <w:t>odpory filmového průmyslu</w:t>
      </w:r>
      <w:r>
        <w:t xml:space="preserve"> v kompetenci MK.</w:t>
      </w:r>
      <w:r w:rsidR="005C5533">
        <w:t xml:space="preserve"> </w:t>
      </w:r>
      <w:r>
        <w:t>Finanční zdroje SFK byly rozšířeny</w:t>
      </w:r>
      <w:r w:rsidR="005C5533">
        <w:t xml:space="preserve"> a n</w:t>
      </w:r>
      <w:r>
        <w:t xml:space="preserve">ově pak byla upravena sazba poplatku z kinematografického </w:t>
      </w:r>
      <w:r>
        <w:lastRenderedPageBreak/>
        <w:t>představení.</w:t>
      </w:r>
      <w:r w:rsidR="005C5533">
        <w:t xml:space="preserve"> </w:t>
      </w:r>
      <w:r w:rsidR="00C71663">
        <w:t>K výraznému ná</w:t>
      </w:r>
      <w:r w:rsidR="00EE6BE6">
        <w:t>růstu došlo jak u příjmů, tak</w:t>
      </w:r>
      <w:r w:rsidR="007A0D06">
        <w:t xml:space="preserve"> </w:t>
      </w:r>
      <w:r w:rsidR="00EE6BE6">
        <w:t>u</w:t>
      </w:r>
      <w:r w:rsidR="007A0D06">
        <w:t xml:space="preserve"> </w:t>
      </w:r>
      <w:r w:rsidR="00C71663">
        <w:t>výdajů</w:t>
      </w:r>
      <w:r w:rsidR="005C5533">
        <w:t>.</w:t>
      </w:r>
      <w:r w:rsidR="00EE6BE6">
        <w:t xml:space="preserve"> </w:t>
      </w:r>
      <w:r w:rsidR="005C5533">
        <w:t xml:space="preserve">Významný podíl na příjmech SFK </w:t>
      </w:r>
      <w:r w:rsidR="00907E4B">
        <w:t>(</w:t>
      </w:r>
      <w:r w:rsidR="005C5533">
        <w:t>stejně jako u jeho předchůdce</w:t>
      </w:r>
      <w:r w:rsidR="00907E4B">
        <w:t>)</w:t>
      </w:r>
      <w:r w:rsidR="005C5533">
        <w:t xml:space="preserve"> tvoří transfery ze státního rozpočtu.</w:t>
      </w:r>
    </w:p>
    <w:p w:rsidR="00DC1688" w:rsidRDefault="00DC1688" w:rsidP="00C16315">
      <w:r>
        <w:t>Další úpravu činnosti SFK přinesla novela zákona o audiovizi. Zákon byl vyhlášen dne 6. </w:t>
      </w:r>
      <w:r w:rsidR="0016237C">
        <w:t>května</w:t>
      </w:r>
      <w:r w:rsidR="00907E4B">
        <w:t xml:space="preserve"> </w:t>
      </w:r>
      <w:r w:rsidR="00F2309D">
        <w:t>2016 ve Sbírce zákonů</w:t>
      </w:r>
      <w:r>
        <w:t xml:space="preserve"> pod číslem 139/2016 Sb. </w:t>
      </w:r>
      <w:r w:rsidR="00907E4B">
        <w:t>Státnímu fondu kinematografie</w:t>
      </w:r>
      <w:r>
        <w:t xml:space="preserve"> zajistila nový zdroj financování, a to dotaci ze státního rozpočtu účelově určenou na podporu kinematografie, jejíž výše by měla odpovídat částce, kterou SFK získává z audiovizuálních poplatků. Změnami prošel také systém poskytování filmových pobídek</w:t>
      </w:r>
      <w:r w:rsidR="00AF3F35">
        <w:t>,</w:t>
      </w:r>
      <w:r w:rsidR="00F2309D">
        <w:t xml:space="preserve"> n</w:t>
      </w:r>
      <w:r>
        <w:t xml:space="preserve">ovela přináší větší transparentnost při rozhodování Rady </w:t>
      </w:r>
      <w:r w:rsidR="00907E4B">
        <w:t xml:space="preserve">SFK </w:t>
      </w:r>
      <w:r>
        <w:t xml:space="preserve">o poskytování podpory kinematografie a řadu dalších změn. </w:t>
      </w:r>
      <w:r w:rsidR="004705EE">
        <w:t>Některé z těchto změn reagují na nedostatky, které byly zjištěny i kontrolou NKÚ.</w:t>
      </w:r>
    </w:p>
    <w:p w:rsidR="00D84777" w:rsidRDefault="00276AFF" w:rsidP="00276AFF">
      <w:r>
        <w:t>Kontrola se zaměřila zejména na majetek, se kterým byl SFK v kontrolovaném období příslušný hospodařit, a poskytování podpory kinematografie a filmových pobídek.</w:t>
      </w:r>
      <w:r w:rsidR="00EE6BE6">
        <w:t xml:space="preserve"> </w:t>
      </w:r>
    </w:p>
    <w:p w:rsidR="00276AFF" w:rsidRDefault="00D84777" w:rsidP="00276AFF">
      <w:r w:rsidRPr="00EC0B4E">
        <w:t xml:space="preserve">NKÚ </w:t>
      </w:r>
      <w:r w:rsidR="00410664" w:rsidRPr="00EC0B4E">
        <w:t>byl kontrolován majete</w:t>
      </w:r>
      <w:r w:rsidR="009745C3" w:rsidRPr="00EC0B4E">
        <w:t xml:space="preserve">k a peněžní prostředky </w:t>
      </w:r>
      <w:r w:rsidR="00410664" w:rsidRPr="00EC0B4E">
        <w:t>v</w:t>
      </w:r>
      <w:r w:rsidR="009745C3" w:rsidRPr="00EC0B4E">
        <w:t>e výši</w:t>
      </w:r>
      <w:r w:rsidR="00EC0B4E" w:rsidRPr="00EC0B4E">
        <w:t xml:space="preserve"> celkem</w:t>
      </w:r>
      <w:r w:rsidR="00834D3D">
        <w:t xml:space="preserve"> 4 698</w:t>
      </w:r>
      <w:r w:rsidR="00410664" w:rsidRPr="00EC0B4E">
        <w:t xml:space="preserve"> m</w:t>
      </w:r>
      <w:r w:rsidR="00834D3D">
        <w:t>i</w:t>
      </w:r>
      <w:r w:rsidR="00410664" w:rsidRPr="00EC0B4E">
        <w:t>l</w:t>
      </w:r>
      <w:r w:rsidR="00834D3D">
        <w:t xml:space="preserve">. Kč. Z toho bylo </w:t>
      </w:r>
      <w:r w:rsidR="00410664" w:rsidRPr="00EC0B4E">
        <w:t>5</w:t>
      </w:r>
      <w:r w:rsidR="00834D3D">
        <w:t>18</w:t>
      </w:r>
      <w:r w:rsidR="00E71639">
        <w:t> </w:t>
      </w:r>
      <w:r w:rsidR="00410664" w:rsidRPr="00EC0B4E">
        <w:t>m</w:t>
      </w:r>
      <w:r w:rsidR="00834D3D">
        <w:t>i</w:t>
      </w:r>
      <w:r w:rsidR="00410664" w:rsidRPr="00EC0B4E">
        <w:t>l.</w:t>
      </w:r>
      <w:r w:rsidR="00E71639">
        <w:t> </w:t>
      </w:r>
      <w:r w:rsidR="00410664" w:rsidRPr="00EC0B4E">
        <w:t xml:space="preserve">Kč </w:t>
      </w:r>
      <w:r w:rsidR="00DD1EFF" w:rsidRPr="00EC0B4E">
        <w:t>vyplacených</w:t>
      </w:r>
      <w:r w:rsidR="00834D3D">
        <w:t xml:space="preserve"> filmových pobídek a 136</w:t>
      </w:r>
      <w:r w:rsidR="00410664" w:rsidRPr="00EC0B4E">
        <w:t xml:space="preserve"> m</w:t>
      </w:r>
      <w:r w:rsidR="00834D3D">
        <w:t>i</w:t>
      </w:r>
      <w:r w:rsidR="00410664" w:rsidRPr="00EC0B4E">
        <w:t>l. Kč prost</w:t>
      </w:r>
      <w:r w:rsidR="00DD1EFF" w:rsidRPr="00EC0B4E">
        <w:t>ředků rozdělených na</w:t>
      </w:r>
      <w:r w:rsidR="00907E4B">
        <w:t xml:space="preserve"> </w:t>
      </w:r>
      <w:r w:rsidR="00DD1EFF" w:rsidRPr="00EC0B4E">
        <w:t>podporu kinematografie</w:t>
      </w:r>
      <w:r w:rsidR="00534E25">
        <w:t xml:space="preserve"> a 4 044 mil. Kč další majetek a peněžní prostředky</w:t>
      </w:r>
      <w:r w:rsidR="00DD1EFF" w:rsidRPr="00EC0B4E">
        <w:t>.</w:t>
      </w:r>
    </w:p>
    <w:p w:rsidR="004A6D82" w:rsidRPr="004A6D82" w:rsidRDefault="004A6D82" w:rsidP="004A6D82">
      <w:pPr>
        <w:ind w:left="624" w:hanging="624"/>
        <w:rPr>
          <w:rFonts w:cstheme="minorHAnsi"/>
          <w:sz w:val="20"/>
          <w:szCs w:val="20"/>
        </w:rPr>
      </w:pPr>
      <w:r w:rsidRPr="004A09ED">
        <w:rPr>
          <w:rFonts w:cstheme="minorHAnsi"/>
          <w:b/>
          <w:sz w:val="20"/>
          <w:szCs w:val="20"/>
        </w:rPr>
        <w:t>Pozn.:</w:t>
      </w:r>
      <w:r w:rsidRPr="0029558B">
        <w:rPr>
          <w:rFonts w:cstheme="minorHAnsi"/>
          <w:sz w:val="20"/>
          <w:szCs w:val="20"/>
        </w:rPr>
        <w:tab/>
        <w:t>Právní předpisy uvedené v</w:t>
      </w:r>
      <w:r>
        <w:rPr>
          <w:rFonts w:cstheme="minorHAnsi"/>
          <w:sz w:val="20"/>
          <w:szCs w:val="20"/>
        </w:rPr>
        <w:t xml:space="preserve"> </w:t>
      </w:r>
      <w:r w:rsidRPr="0029558B">
        <w:rPr>
          <w:rFonts w:cstheme="minorHAnsi"/>
          <w:sz w:val="20"/>
          <w:szCs w:val="20"/>
        </w:rPr>
        <w:t>tomto kontrolním závěru jsou aplikovány ve znění účinném pro kontrolované období.</w:t>
      </w:r>
    </w:p>
    <w:p w:rsidR="004A6D82" w:rsidRDefault="004A6D82">
      <w:pPr>
        <w:spacing w:before="0" w:after="200" w:line="276" w:lineRule="auto"/>
        <w:jc w:val="left"/>
        <w:rPr>
          <w:rFonts w:cs="Times New Roman"/>
          <w:b/>
          <w:sz w:val="28"/>
          <w:szCs w:val="20"/>
          <w:lang w:eastAsia="cs-CZ"/>
        </w:rPr>
      </w:pPr>
      <w:r>
        <w:br w:type="page"/>
      </w:r>
    </w:p>
    <w:p w:rsidR="00086993" w:rsidRPr="00086993" w:rsidRDefault="00086993" w:rsidP="009509E5">
      <w:pPr>
        <w:pStyle w:val="Nzevtext"/>
        <w:ind w:left="426" w:hanging="66"/>
      </w:pPr>
      <w:r w:rsidRPr="00086993">
        <w:lastRenderedPageBreak/>
        <w:t>Shrnutí a vyhodnocení skutečností zjištěných při kontrole</w:t>
      </w:r>
    </w:p>
    <w:p w:rsidR="00D811CE" w:rsidRPr="002E68A8" w:rsidRDefault="00213483" w:rsidP="002E68A8">
      <w:pPr>
        <w:rPr>
          <w:b/>
        </w:rPr>
      </w:pPr>
      <w:r w:rsidRPr="002E68A8">
        <w:rPr>
          <w:b/>
        </w:rPr>
        <w:t>Dlouhodobá</w:t>
      </w:r>
      <w:r w:rsidR="00D811CE" w:rsidRPr="002E68A8">
        <w:rPr>
          <w:b/>
        </w:rPr>
        <w:t xml:space="preserve"> koncepce </w:t>
      </w:r>
      <w:r w:rsidR="00CB1605">
        <w:rPr>
          <w:b/>
        </w:rPr>
        <w:t xml:space="preserve">podpory kinematografie </w:t>
      </w:r>
      <w:r w:rsidR="00D811CE" w:rsidRPr="002E68A8">
        <w:rPr>
          <w:b/>
        </w:rPr>
        <w:t>byla</w:t>
      </w:r>
      <w:r w:rsidR="006A123C" w:rsidRPr="002E68A8">
        <w:rPr>
          <w:b/>
        </w:rPr>
        <w:t xml:space="preserve"> vydána </w:t>
      </w:r>
      <w:r w:rsidR="001F2A75" w:rsidRPr="002E68A8">
        <w:rPr>
          <w:b/>
        </w:rPr>
        <w:t>více než dva roky po</w:t>
      </w:r>
      <w:r w:rsidR="008B694A">
        <w:rPr>
          <w:b/>
        </w:rPr>
        <w:t xml:space="preserve"> </w:t>
      </w:r>
      <w:r w:rsidR="00D811CE" w:rsidRPr="002E68A8">
        <w:rPr>
          <w:b/>
        </w:rPr>
        <w:t>vzniku SFK</w:t>
      </w:r>
      <w:r w:rsidRPr="002E68A8">
        <w:rPr>
          <w:b/>
        </w:rPr>
        <w:t xml:space="preserve">. </w:t>
      </w:r>
      <w:r w:rsidR="005176D6" w:rsidRPr="002E68A8">
        <w:rPr>
          <w:b/>
        </w:rPr>
        <w:t>Neo</w:t>
      </w:r>
      <w:r w:rsidR="009103D4" w:rsidRPr="002E68A8">
        <w:rPr>
          <w:b/>
        </w:rPr>
        <w:t xml:space="preserve">bsahuje </w:t>
      </w:r>
      <w:r w:rsidR="00D811CE" w:rsidRPr="002E68A8">
        <w:rPr>
          <w:b/>
        </w:rPr>
        <w:t>konkrétní a měřitelné cíle nebo indikátory pro</w:t>
      </w:r>
      <w:r w:rsidR="008B694A">
        <w:rPr>
          <w:b/>
        </w:rPr>
        <w:t xml:space="preserve"> </w:t>
      </w:r>
      <w:r w:rsidR="00D811CE" w:rsidRPr="002E68A8">
        <w:rPr>
          <w:b/>
        </w:rPr>
        <w:t>vyhodnocení jejího naplňování</w:t>
      </w:r>
      <w:r w:rsidR="008B694A">
        <w:rPr>
          <w:b/>
        </w:rPr>
        <w:t>,</w:t>
      </w:r>
      <w:r w:rsidR="00D811CE" w:rsidRPr="002E68A8">
        <w:rPr>
          <w:b/>
        </w:rPr>
        <w:t xml:space="preserve"> </w:t>
      </w:r>
      <w:r w:rsidRPr="002E68A8">
        <w:rPr>
          <w:b/>
        </w:rPr>
        <w:t>a n</w:t>
      </w:r>
      <w:r w:rsidR="004B7A5D">
        <w:rPr>
          <w:b/>
        </w:rPr>
        <w:t>ení tak zřejmé, čeho</w:t>
      </w:r>
      <w:r w:rsidR="008B694A">
        <w:rPr>
          <w:b/>
        </w:rPr>
        <w:t xml:space="preserve"> </w:t>
      </w:r>
      <w:r w:rsidR="00D811CE" w:rsidRPr="002E68A8">
        <w:rPr>
          <w:b/>
        </w:rPr>
        <w:t>chce SFK v oblasti podp</w:t>
      </w:r>
      <w:r w:rsidR="004D6D59">
        <w:rPr>
          <w:b/>
        </w:rPr>
        <w:t>ory kinematografie v období 201</w:t>
      </w:r>
      <w:r w:rsidR="00BE5A5A">
        <w:rPr>
          <w:b/>
        </w:rPr>
        <w:t>4</w:t>
      </w:r>
      <w:r w:rsidR="004D6D59">
        <w:rPr>
          <w:b/>
        </w:rPr>
        <w:t>–</w:t>
      </w:r>
      <w:r w:rsidR="00D811CE" w:rsidRPr="002E68A8">
        <w:rPr>
          <w:b/>
        </w:rPr>
        <w:t>2019 dosáhnout.</w:t>
      </w:r>
    </w:p>
    <w:p w:rsidR="00A415A3" w:rsidRDefault="00213483" w:rsidP="002E68A8">
      <w:pPr>
        <w:rPr>
          <w:b/>
        </w:rPr>
      </w:pPr>
      <w:r w:rsidRPr="002E68A8">
        <w:rPr>
          <w:b/>
        </w:rPr>
        <w:t>V</w:t>
      </w:r>
      <w:r w:rsidR="00766275" w:rsidRPr="002E68A8">
        <w:rPr>
          <w:b/>
        </w:rPr>
        <w:t>e čtyřech</w:t>
      </w:r>
      <w:r w:rsidRPr="002E68A8">
        <w:rPr>
          <w:b/>
        </w:rPr>
        <w:t xml:space="preserve"> případech </w:t>
      </w:r>
      <w:r w:rsidR="00D811CE" w:rsidRPr="002E68A8">
        <w:rPr>
          <w:b/>
        </w:rPr>
        <w:t>NKÚ konstatoval, že proces hodnocení projektů a následné rozdělování alokovanýc</w:t>
      </w:r>
      <w:r w:rsidR="00107204" w:rsidRPr="002E68A8">
        <w:rPr>
          <w:b/>
        </w:rPr>
        <w:t>h prostředků nelze považovat za</w:t>
      </w:r>
      <w:r w:rsidR="008B694A">
        <w:rPr>
          <w:b/>
        </w:rPr>
        <w:t xml:space="preserve"> </w:t>
      </w:r>
      <w:r w:rsidR="00D811CE" w:rsidRPr="002E68A8">
        <w:rPr>
          <w:b/>
        </w:rPr>
        <w:t xml:space="preserve">transparentní postup </w:t>
      </w:r>
      <w:r w:rsidR="00EE6BE6">
        <w:rPr>
          <w:b/>
        </w:rPr>
        <w:t>při</w:t>
      </w:r>
      <w:r w:rsidR="008B694A">
        <w:rPr>
          <w:b/>
        </w:rPr>
        <w:t xml:space="preserve"> </w:t>
      </w:r>
      <w:r w:rsidR="00D811CE" w:rsidRPr="002E68A8">
        <w:rPr>
          <w:b/>
        </w:rPr>
        <w:t xml:space="preserve">rozhodování o podpoře </w:t>
      </w:r>
      <w:r w:rsidR="008B694A">
        <w:rPr>
          <w:b/>
        </w:rPr>
        <w:t xml:space="preserve">pro </w:t>
      </w:r>
      <w:r w:rsidR="00D811CE" w:rsidRPr="002E68A8">
        <w:rPr>
          <w:b/>
        </w:rPr>
        <w:t>kinematografi</w:t>
      </w:r>
      <w:r w:rsidR="008B694A">
        <w:rPr>
          <w:b/>
        </w:rPr>
        <w:t>i</w:t>
      </w:r>
      <w:r w:rsidR="00835BFC" w:rsidRPr="002E68A8">
        <w:rPr>
          <w:b/>
        </w:rPr>
        <w:t xml:space="preserve">. </w:t>
      </w:r>
    </w:p>
    <w:p w:rsidR="00107204" w:rsidRPr="002E68A8" w:rsidRDefault="00AC5B6F" w:rsidP="002E68A8">
      <w:pPr>
        <w:rPr>
          <w:b/>
        </w:rPr>
      </w:pPr>
      <w:r w:rsidRPr="002E68A8">
        <w:rPr>
          <w:b/>
        </w:rPr>
        <w:t>P</w:t>
      </w:r>
      <w:r w:rsidR="001F2A75" w:rsidRPr="002E68A8">
        <w:rPr>
          <w:b/>
        </w:rPr>
        <w:t>říjemcům podpory byly nedůvodně nastave</w:t>
      </w:r>
      <w:r w:rsidRPr="002E68A8">
        <w:rPr>
          <w:b/>
        </w:rPr>
        <w:t xml:space="preserve">ny rozdílné podmínky rozhodováním </w:t>
      </w:r>
      <w:r w:rsidR="001F2A75" w:rsidRPr="002E68A8">
        <w:rPr>
          <w:b/>
        </w:rPr>
        <w:t>Rad</w:t>
      </w:r>
      <w:r w:rsidRPr="002E68A8">
        <w:rPr>
          <w:b/>
        </w:rPr>
        <w:t>y</w:t>
      </w:r>
      <w:r w:rsidR="00E50003">
        <w:rPr>
          <w:b/>
        </w:rPr>
        <w:t xml:space="preserve"> SFK (dále jen „Rada“)</w:t>
      </w:r>
      <w:r w:rsidRPr="002E68A8">
        <w:rPr>
          <w:b/>
        </w:rPr>
        <w:t>, která vyhověla</w:t>
      </w:r>
      <w:r w:rsidR="001F2A75" w:rsidRPr="002E68A8">
        <w:rPr>
          <w:b/>
        </w:rPr>
        <w:t xml:space="preserve"> žádostem o </w:t>
      </w:r>
      <w:r w:rsidRPr="002E68A8">
        <w:rPr>
          <w:b/>
        </w:rPr>
        <w:t>změny podmínek</w:t>
      </w:r>
      <w:r w:rsidR="001F2A75" w:rsidRPr="002E68A8">
        <w:rPr>
          <w:b/>
        </w:rPr>
        <w:t xml:space="preserve">, přestože byly podány po </w:t>
      </w:r>
      <w:r w:rsidRPr="002E68A8">
        <w:rPr>
          <w:b/>
        </w:rPr>
        <w:t xml:space="preserve">závazném </w:t>
      </w:r>
      <w:r w:rsidR="001F2A75" w:rsidRPr="002E68A8">
        <w:rPr>
          <w:b/>
        </w:rPr>
        <w:t>termínu</w:t>
      </w:r>
      <w:r w:rsidRPr="002E68A8">
        <w:rPr>
          <w:b/>
        </w:rPr>
        <w:t xml:space="preserve"> </w:t>
      </w:r>
      <w:r w:rsidR="001F2A75" w:rsidRPr="002E68A8">
        <w:rPr>
          <w:b/>
        </w:rPr>
        <w:t>stanoven</w:t>
      </w:r>
      <w:r w:rsidRPr="002E68A8">
        <w:rPr>
          <w:b/>
        </w:rPr>
        <w:t>ém vydanými rozhodnutími o</w:t>
      </w:r>
      <w:r w:rsidR="006D5D27">
        <w:rPr>
          <w:b/>
        </w:rPr>
        <w:t> </w:t>
      </w:r>
      <w:r w:rsidRPr="002E68A8">
        <w:rPr>
          <w:b/>
        </w:rPr>
        <w:t>podpoře.</w:t>
      </w:r>
    </w:p>
    <w:p w:rsidR="00377B7C" w:rsidRPr="002E68A8" w:rsidRDefault="00377B7C" w:rsidP="00377B7C">
      <w:pPr>
        <w:rPr>
          <w:b/>
        </w:rPr>
      </w:pPr>
      <w:r w:rsidRPr="002E68A8">
        <w:rPr>
          <w:b/>
        </w:rPr>
        <w:t>Kontrolou NKÚ byl zjištěn případ</w:t>
      </w:r>
      <w:r>
        <w:rPr>
          <w:b/>
        </w:rPr>
        <w:t>, kdy</w:t>
      </w:r>
      <w:r w:rsidRPr="002E68A8">
        <w:rPr>
          <w:b/>
        </w:rPr>
        <w:t xml:space="preserve"> Rada vydala po vyúčtování</w:t>
      </w:r>
      <w:r>
        <w:rPr>
          <w:b/>
        </w:rPr>
        <w:t xml:space="preserve"> projektu</w:t>
      </w:r>
      <w:r w:rsidRPr="002E68A8">
        <w:rPr>
          <w:b/>
        </w:rPr>
        <w:t xml:space="preserve"> </w:t>
      </w:r>
      <w:r>
        <w:rPr>
          <w:b/>
        </w:rPr>
        <w:t>rozhodnutí o </w:t>
      </w:r>
      <w:r w:rsidRPr="002E68A8">
        <w:rPr>
          <w:b/>
        </w:rPr>
        <w:t>změně,</w:t>
      </w:r>
      <w:r>
        <w:rPr>
          <w:b/>
        </w:rPr>
        <w:t xml:space="preserve"> aby příjemce nemusel z důvodu nesplnění podmínek vracet SFK prostředky ve výši 53,5 tis. Kč. Jejich nevrácením ke dni vyúčtování se ale ji</w:t>
      </w:r>
      <w:r w:rsidRPr="002E68A8">
        <w:rPr>
          <w:b/>
        </w:rPr>
        <w:t>ž dopustil porušení rozpočtové kázně.</w:t>
      </w:r>
    </w:p>
    <w:p w:rsidR="005051EE" w:rsidRPr="002E68A8" w:rsidRDefault="005051EE" w:rsidP="002E68A8">
      <w:pPr>
        <w:rPr>
          <w:b/>
        </w:rPr>
      </w:pPr>
      <w:r w:rsidRPr="002E68A8">
        <w:rPr>
          <w:b/>
        </w:rPr>
        <w:t>Ve dvou případech bylo zjištěno, že SFK vyplatil splátku</w:t>
      </w:r>
      <w:r w:rsidR="00E33662" w:rsidRPr="002E68A8">
        <w:rPr>
          <w:b/>
        </w:rPr>
        <w:t xml:space="preserve"> dotace v celkové výši 800 tis. </w:t>
      </w:r>
      <w:r w:rsidR="000F189E" w:rsidRPr="002E68A8">
        <w:rPr>
          <w:b/>
        </w:rPr>
        <w:t>Kč, aniž by mu příjemci</w:t>
      </w:r>
      <w:r w:rsidRPr="002E68A8">
        <w:rPr>
          <w:b/>
        </w:rPr>
        <w:t xml:space="preserve"> </w:t>
      </w:r>
      <w:r w:rsidR="00A72EE7" w:rsidRPr="002E68A8">
        <w:rPr>
          <w:b/>
        </w:rPr>
        <w:t xml:space="preserve">řádně </w:t>
      </w:r>
      <w:r w:rsidRPr="002E68A8">
        <w:rPr>
          <w:b/>
        </w:rPr>
        <w:t>předlo</w:t>
      </w:r>
      <w:r w:rsidR="00213483" w:rsidRPr="002E68A8">
        <w:rPr>
          <w:b/>
        </w:rPr>
        <w:t>žil</w:t>
      </w:r>
      <w:r w:rsidR="000F189E" w:rsidRPr="002E68A8">
        <w:rPr>
          <w:b/>
        </w:rPr>
        <w:t>i</w:t>
      </w:r>
      <w:r w:rsidR="00213483" w:rsidRPr="002E68A8">
        <w:rPr>
          <w:b/>
        </w:rPr>
        <w:t xml:space="preserve"> doklady stanovené rozhodnutí</w:t>
      </w:r>
      <w:r w:rsidR="00E33662" w:rsidRPr="002E68A8">
        <w:rPr>
          <w:b/>
        </w:rPr>
        <w:t>m o</w:t>
      </w:r>
      <w:r w:rsidR="00480F57">
        <w:rPr>
          <w:b/>
        </w:rPr>
        <w:t xml:space="preserve"> </w:t>
      </w:r>
      <w:r w:rsidR="009B1119" w:rsidRPr="002E68A8">
        <w:rPr>
          <w:b/>
        </w:rPr>
        <w:t>podpoře</w:t>
      </w:r>
      <w:r w:rsidRPr="002E68A8">
        <w:rPr>
          <w:b/>
        </w:rPr>
        <w:t>.</w:t>
      </w:r>
    </w:p>
    <w:p w:rsidR="002E68A8" w:rsidRDefault="00FF3E03" w:rsidP="002E68A8">
      <w:pPr>
        <w:rPr>
          <w:b/>
        </w:rPr>
      </w:pPr>
      <w:r w:rsidRPr="002E68A8">
        <w:rPr>
          <w:b/>
        </w:rPr>
        <w:t xml:space="preserve">SFK nevracel k opravě </w:t>
      </w:r>
      <w:r w:rsidR="00EE6BE6">
        <w:rPr>
          <w:b/>
        </w:rPr>
        <w:t xml:space="preserve">chybná </w:t>
      </w:r>
      <w:r w:rsidRPr="002E68A8">
        <w:rPr>
          <w:b/>
        </w:rPr>
        <w:t>vyúčtování či hlášení o obchodních výsledcích</w:t>
      </w:r>
      <w:r w:rsidR="00EE6BE6">
        <w:rPr>
          <w:b/>
        </w:rPr>
        <w:t xml:space="preserve">. Zvýšil tak </w:t>
      </w:r>
      <w:r w:rsidRPr="002E68A8">
        <w:rPr>
          <w:b/>
        </w:rPr>
        <w:t xml:space="preserve">riziko </w:t>
      </w:r>
      <w:r w:rsidR="002E68A8">
        <w:rPr>
          <w:b/>
        </w:rPr>
        <w:t>chybn</w:t>
      </w:r>
      <w:r w:rsidRPr="002E68A8">
        <w:rPr>
          <w:b/>
        </w:rPr>
        <w:t>ého výpočtu podílu na zisku v d</w:t>
      </w:r>
      <w:r w:rsidR="00EE6BE6">
        <w:rPr>
          <w:b/>
        </w:rPr>
        <w:t>obě</w:t>
      </w:r>
      <w:r w:rsidRPr="002E68A8">
        <w:rPr>
          <w:b/>
        </w:rPr>
        <w:t>, kdy projekty</w:t>
      </w:r>
      <w:r w:rsidR="00F70874">
        <w:rPr>
          <w:b/>
        </w:rPr>
        <w:t xml:space="preserve"> již mohou generovat</w:t>
      </w:r>
      <w:r w:rsidRPr="002E68A8">
        <w:rPr>
          <w:b/>
        </w:rPr>
        <w:t xml:space="preserve"> </w:t>
      </w:r>
      <w:r w:rsidR="00EE6BE6">
        <w:rPr>
          <w:b/>
        </w:rPr>
        <w:t>zisk</w:t>
      </w:r>
      <w:r w:rsidR="00F70874">
        <w:rPr>
          <w:b/>
        </w:rPr>
        <w:t xml:space="preserve"> a </w:t>
      </w:r>
      <w:r w:rsidR="00EE6BE6">
        <w:rPr>
          <w:b/>
        </w:rPr>
        <w:t>příjemci</w:t>
      </w:r>
      <w:r w:rsidRPr="002E68A8">
        <w:rPr>
          <w:b/>
        </w:rPr>
        <w:t xml:space="preserve"> vznik</w:t>
      </w:r>
      <w:r w:rsidR="002E68A8">
        <w:rPr>
          <w:b/>
        </w:rPr>
        <w:t>á</w:t>
      </w:r>
      <w:r w:rsidRPr="002E68A8">
        <w:rPr>
          <w:b/>
        </w:rPr>
        <w:t xml:space="preserve"> povinnost </w:t>
      </w:r>
      <w:r w:rsidR="00EE6BE6">
        <w:rPr>
          <w:b/>
        </w:rPr>
        <w:t>odvodu podílu na zisku</w:t>
      </w:r>
      <w:r w:rsidRPr="002E68A8">
        <w:rPr>
          <w:b/>
        </w:rPr>
        <w:t>.</w:t>
      </w:r>
    </w:p>
    <w:p w:rsidR="000176F3" w:rsidRDefault="00EE6BE6" w:rsidP="00AA378B">
      <w:pPr>
        <w:rPr>
          <w:b/>
        </w:rPr>
      </w:pPr>
      <w:r>
        <w:rPr>
          <w:b/>
        </w:rPr>
        <w:t xml:space="preserve">Předmětem plánu kontrolní činnosti </w:t>
      </w:r>
      <w:r w:rsidR="007B7220">
        <w:rPr>
          <w:b/>
        </w:rPr>
        <w:t xml:space="preserve">Dozorčího výboru na rok 2015 </w:t>
      </w:r>
      <w:r>
        <w:rPr>
          <w:b/>
        </w:rPr>
        <w:t>byly pouze</w:t>
      </w:r>
      <w:r w:rsidR="002E68A8" w:rsidRPr="00E54ED3">
        <w:rPr>
          <w:b/>
        </w:rPr>
        <w:t xml:space="preserve"> dva projekty podpory kinematografie, jimž</w:t>
      </w:r>
      <w:r w:rsidR="00480F57">
        <w:rPr>
          <w:b/>
        </w:rPr>
        <w:t xml:space="preserve"> </w:t>
      </w:r>
      <w:r w:rsidR="002E68A8" w:rsidRPr="00E54ED3">
        <w:rPr>
          <w:b/>
        </w:rPr>
        <w:t>SFK poskytl dotaci 1,4 mil. Kč.</w:t>
      </w:r>
      <w:r w:rsidR="002E68A8">
        <w:rPr>
          <w:b/>
        </w:rPr>
        <w:t xml:space="preserve"> Rozsah kontrolní činnosti Dozorčího výboru považuje NKÚ za</w:t>
      </w:r>
      <w:r w:rsidR="00480F57">
        <w:rPr>
          <w:b/>
        </w:rPr>
        <w:t xml:space="preserve"> </w:t>
      </w:r>
      <w:r w:rsidR="002E68A8">
        <w:rPr>
          <w:b/>
        </w:rPr>
        <w:t>nedostatečný.</w:t>
      </w:r>
    </w:p>
    <w:p w:rsidR="00AA378B" w:rsidRDefault="004D6D59" w:rsidP="00AA378B">
      <w:pPr>
        <w:rPr>
          <w:b/>
        </w:rPr>
      </w:pPr>
      <w:r>
        <w:rPr>
          <w:b/>
        </w:rPr>
        <w:t>SFK v letech 2013–</w:t>
      </w:r>
      <w:r w:rsidR="00AA378B">
        <w:rPr>
          <w:b/>
        </w:rPr>
        <w:t>2015 podal 27 oznámení finančním úřadům na 23 subjektů z důvodu nesplnění podmínek, za který</w:t>
      </w:r>
      <w:r w:rsidR="00EE6BE6">
        <w:rPr>
          <w:b/>
        </w:rPr>
        <w:t>ch</w:t>
      </w:r>
      <w:r w:rsidR="00AA378B">
        <w:rPr>
          <w:b/>
        </w:rPr>
        <w:t xml:space="preserve"> jim byla </w:t>
      </w:r>
      <w:r w:rsidR="00E50003">
        <w:rPr>
          <w:b/>
        </w:rPr>
        <w:t xml:space="preserve">udělena </w:t>
      </w:r>
      <w:r w:rsidR="00AA378B">
        <w:rPr>
          <w:b/>
        </w:rPr>
        <w:t>podpora. Přesto byla devíti z nich rozhodnutím Rady podpora nadále poskytována. Do konce ledna 2016 se jednalo o celkem 31,7 mil. Kč.</w:t>
      </w:r>
    </w:p>
    <w:p w:rsidR="00692FC4" w:rsidRDefault="00692FC4">
      <w:pPr>
        <w:spacing w:before="0" w:after="200" w:line="276" w:lineRule="auto"/>
        <w:jc w:val="left"/>
        <w:rPr>
          <w:rFonts w:cs="Times New Roman"/>
          <w:b/>
          <w:sz w:val="28"/>
          <w:szCs w:val="20"/>
          <w:lang w:eastAsia="cs-CZ"/>
        </w:rPr>
      </w:pPr>
      <w:r>
        <w:br w:type="page"/>
      </w:r>
    </w:p>
    <w:p w:rsidR="00086993" w:rsidRDefault="00086993" w:rsidP="009509E5">
      <w:pPr>
        <w:pStyle w:val="Nzevtext"/>
        <w:ind w:left="426" w:hanging="66"/>
      </w:pPr>
      <w:r>
        <w:lastRenderedPageBreak/>
        <w:t>Podrobné informace ke zjištěným skutečnostem</w:t>
      </w:r>
    </w:p>
    <w:p w:rsidR="009F5925" w:rsidRDefault="00B93AD1">
      <w:pPr>
        <w:pStyle w:val="Nadpis1"/>
      </w:pPr>
      <w:r>
        <w:t>Rozpočet</w:t>
      </w:r>
    </w:p>
    <w:p w:rsidR="00A65028" w:rsidRPr="00A415A3" w:rsidRDefault="009509E5" w:rsidP="009509E5">
      <w:pPr>
        <w:pStyle w:val="Nzevtabulky"/>
        <w:numPr>
          <w:ilvl w:val="0"/>
          <w:numId w:val="0"/>
        </w:numPr>
        <w:tabs>
          <w:tab w:val="right" w:pos="9072"/>
        </w:tabs>
        <w:jc w:val="left"/>
        <w:rPr>
          <w:b/>
        </w:rPr>
      </w:pPr>
      <w:r>
        <w:rPr>
          <w:b/>
        </w:rPr>
        <w:t xml:space="preserve">Tabulka č. 1 – </w:t>
      </w:r>
      <w:r w:rsidR="004D6D59" w:rsidRPr="00A415A3">
        <w:rPr>
          <w:b/>
        </w:rPr>
        <w:t>Rozpočet SFK v letech 2013–</w:t>
      </w:r>
      <w:r w:rsidR="00A65028" w:rsidRPr="00A415A3">
        <w:rPr>
          <w:b/>
        </w:rPr>
        <w:t xml:space="preserve">2015 </w:t>
      </w:r>
      <w:r>
        <w:rPr>
          <w:b/>
        </w:rPr>
        <w:tab/>
      </w:r>
      <w:r w:rsidR="00A65028" w:rsidRPr="00A415A3">
        <w:rPr>
          <w:b/>
        </w:rPr>
        <w:t>(v tis. Kč)</w:t>
      </w:r>
    </w:p>
    <w:tbl>
      <w:tblPr>
        <w:tblStyle w:val="Mkatabulky"/>
        <w:tblW w:w="4884" w:type="pct"/>
        <w:tblInd w:w="108" w:type="dxa"/>
        <w:tblLook w:val="04A0" w:firstRow="1" w:lastRow="0" w:firstColumn="1" w:lastColumn="0" w:noHBand="0" w:noVBand="1"/>
      </w:tblPr>
      <w:tblGrid>
        <w:gridCol w:w="2139"/>
        <w:gridCol w:w="2445"/>
        <w:gridCol w:w="2292"/>
        <w:gridCol w:w="2197"/>
      </w:tblGrid>
      <w:tr w:rsidR="00766275" w:rsidRPr="00230185" w:rsidTr="004A09ED">
        <w:tc>
          <w:tcPr>
            <w:tcW w:w="2138" w:type="dxa"/>
            <w:shd w:val="clear" w:color="auto" w:fill="D9D9D9" w:themeFill="background1" w:themeFillShade="D9"/>
            <w:vAlign w:val="center"/>
          </w:tcPr>
          <w:p w:rsidR="00766275" w:rsidRPr="00230185" w:rsidRDefault="00766275" w:rsidP="00230185">
            <w:pPr>
              <w:pStyle w:val="tabulka"/>
              <w:jc w:val="center"/>
              <w:rPr>
                <w:b/>
              </w:rPr>
            </w:pPr>
            <w:r w:rsidRPr="00230185">
              <w:rPr>
                <w:b/>
              </w:rPr>
              <w:t>Rok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766275" w:rsidRPr="00230185" w:rsidRDefault="00766275" w:rsidP="00230185">
            <w:pPr>
              <w:pStyle w:val="tabulka"/>
              <w:jc w:val="center"/>
              <w:rPr>
                <w:b/>
              </w:rPr>
            </w:pPr>
            <w:r w:rsidRPr="00230185">
              <w:rPr>
                <w:b/>
              </w:rPr>
              <w:t>Ukazatel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766275" w:rsidRPr="00230185" w:rsidRDefault="00766275" w:rsidP="00230185">
            <w:pPr>
              <w:pStyle w:val="tabulka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30185">
              <w:rPr>
                <w:rFonts w:ascii="Calibri" w:hAnsi="Calibri" w:cs="Calibri"/>
                <w:b/>
                <w:color w:val="000000"/>
                <w:szCs w:val="21"/>
              </w:rPr>
              <w:t>Příjmy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:rsidR="00766275" w:rsidRPr="00230185" w:rsidRDefault="00766275" w:rsidP="00230185">
            <w:pPr>
              <w:pStyle w:val="tabulka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30185">
              <w:rPr>
                <w:rFonts w:ascii="Calibri" w:hAnsi="Calibri" w:cs="Calibri"/>
                <w:b/>
                <w:color w:val="000000"/>
                <w:szCs w:val="21"/>
              </w:rPr>
              <w:t>Výdaje</w:t>
            </w:r>
          </w:p>
        </w:tc>
      </w:tr>
      <w:tr w:rsidR="00766275" w:rsidTr="004A09ED">
        <w:tc>
          <w:tcPr>
            <w:tcW w:w="2138" w:type="dxa"/>
            <w:vMerge w:val="restart"/>
            <w:vAlign w:val="center"/>
          </w:tcPr>
          <w:p w:rsidR="00766275" w:rsidRDefault="00766275" w:rsidP="00230185">
            <w:pPr>
              <w:pStyle w:val="tabulka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2013</w:t>
            </w:r>
          </w:p>
        </w:tc>
        <w:tc>
          <w:tcPr>
            <w:tcW w:w="2445" w:type="dxa"/>
            <w:vAlign w:val="center"/>
          </w:tcPr>
          <w:p w:rsidR="00766275" w:rsidRDefault="00766275" w:rsidP="00230185">
            <w:pPr>
              <w:pStyle w:val="tabulka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Rozpočet</w:t>
            </w:r>
          </w:p>
        </w:tc>
        <w:tc>
          <w:tcPr>
            <w:tcW w:w="2292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919A7">
              <w:rPr>
                <w:rFonts w:ascii="Calibri" w:hAnsi="Calibri" w:cs="Calibri"/>
                <w:color w:val="000000"/>
                <w:szCs w:val="21"/>
              </w:rPr>
              <w:t>710 722</w:t>
            </w:r>
          </w:p>
        </w:tc>
        <w:tc>
          <w:tcPr>
            <w:tcW w:w="2197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919A7">
              <w:rPr>
                <w:rFonts w:ascii="Calibri" w:hAnsi="Calibri" w:cs="Calibri"/>
                <w:color w:val="000000"/>
                <w:szCs w:val="21"/>
              </w:rPr>
              <w:t>770 808</w:t>
            </w:r>
          </w:p>
        </w:tc>
      </w:tr>
      <w:tr w:rsidR="00766275" w:rsidTr="004A09ED">
        <w:tc>
          <w:tcPr>
            <w:tcW w:w="2138" w:type="dxa"/>
            <w:vMerge/>
            <w:vAlign w:val="center"/>
          </w:tcPr>
          <w:p w:rsidR="00766275" w:rsidRDefault="00766275" w:rsidP="00230185">
            <w:pPr>
              <w:pStyle w:val="tabulka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766275" w:rsidRDefault="00766275" w:rsidP="00230185">
            <w:pPr>
              <w:pStyle w:val="tabulka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Skutečnost</w:t>
            </w:r>
          </w:p>
        </w:tc>
        <w:tc>
          <w:tcPr>
            <w:tcW w:w="2292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919A7">
              <w:rPr>
                <w:rFonts w:ascii="Calibri" w:hAnsi="Calibri" w:cs="Calibri"/>
                <w:color w:val="000000"/>
                <w:szCs w:val="21"/>
              </w:rPr>
              <w:t>765 581</w:t>
            </w:r>
          </w:p>
        </w:tc>
        <w:tc>
          <w:tcPr>
            <w:tcW w:w="2197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919A7">
              <w:rPr>
                <w:rFonts w:ascii="Calibri" w:hAnsi="Calibri" w:cs="Calibri"/>
                <w:color w:val="000000"/>
                <w:szCs w:val="21"/>
              </w:rPr>
              <w:t>249 676</w:t>
            </w:r>
          </w:p>
        </w:tc>
      </w:tr>
      <w:tr w:rsidR="00766275" w:rsidTr="004A09ED">
        <w:tc>
          <w:tcPr>
            <w:tcW w:w="2138" w:type="dxa"/>
            <w:vMerge/>
            <w:vAlign w:val="center"/>
          </w:tcPr>
          <w:p w:rsidR="00766275" w:rsidRDefault="00766275" w:rsidP="00230185">
            <w:pPr>
              <w:pStyle w:val="tabulka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766275" w:rsidRPr="009F5925" w:rsidRDefault="00766275" w:rsidP="00230185">
            <w:pPr>
              <w:pStyle w:val="tabulka"/>
              <w:jc w:val="left"/>
              <w:rPr>
                <w:rFonts w:ascii="Calibri" w:hAnsi="Calibri" w:cs="Calibri"/>
                <w:i/>
                <w:color w:val="000000"/>
                <w:szCs w:val="22"/>
              </w:rPr>
            </w:pPr>
            <w:r w:rsidRPr="009F5925">
              <w:rPr>
                <w:rFonts w:ascii="Calibri" w:hAnsi="Calibri" w:cs="Calibri"/>
                <w:i/>
                <w:color w:val="000000"/>
                <w:szCs w:val="22"/>
              </w:rPr>
              <w:t>Plnění (v %)</w:t>
            </w:r>
          </w:p>
        </w:tc>
        <w:tc>
          <w:tcPr>
            <w:tcW w:w="2292" w:type="dxa"/>
            <w:vAlign w:val="center"/>
          </w:tcPr>
          <w:p w:rsidR="00766275" w:rsidRPr="001919A7" w:rsidRDefault="00766275" w:rsidP="00F52443">
            <w:pPr>
              <w:pStyle w:val="tabulka"/>
              <w:jc w:val="right"/>
              <w:rPr>
                <w:rFonts w:ascii="Calibri" w:hAnsi="Calibri" w:cs="Calibri"/>
                <w:i/>
                <w:color w:val="000000"/>
                <w:szCs w:val="21"/>
              </w:rPr>
            </w:pPr>
            <w:r w:rsidRPr="001919A7">
              <w:rPr>
                <w:rFonts w:ascii="Calibri" w:hAnsi="Calibri" w:cs="Calibri"/>
                <w:i/>
                <w:color w:val="000000"/>
                <w:szCs w:val="21"/>
              </w:rPr>
              <w:t>107,72</w:t>
            </w:r>
          </w:p>
        </w:tc>
        <w:tc>
          <w:tcPr>
            <w:tcW w:w="2197" w:type="dxa"/>
            <w:vAlign w:val="center"/>
          </w:tcPr>
          <w:p w:rsidR="00766275" w:rsidRPr="001919A7" w:rsidRDefault="00766275" w:rsidP="00F52443">
            <w:pPr>
              <w:pStyle w:val="tabulka"/>
              <w:jc w:val="right"/>
              <w:rPr>
                <w:rFonts w:ascii="Calibri" w:hAnsi="Calibri" w:cs="Calibri"/>
                <w:i/>
                <w:color w:val="000000"/>
                <w:szCs w:val="21"/>
              </w:rPr>
            </w:pPr>
            <w:r w:rsidRPr="001919A7">
              <w:rPr>
                <w:rFonts w:ascii="Calibri" w:hAnsi="Calibri" w:cs="Calibri"/>
                <w:i/>
                <w:color w:val="000000"/>
                <w:szCs w:val="21"/>
              </w:rPr>
              <w:t>32,39</w:t>
            </w:r>
          </w:p>
        </w:tc>
      </w:tr>
      <w:tr w:rsidR="00766275" w:rsidTr="004A09ED">
        <w:tc>
          <w:tcPr>
            <w:tcW w:w="2138" w:type="dxa"/>
            <w:vMerge w:val="restart"/>
            <w:vAlign w:val="center"/>
          </w:tcPr>
          <w:p w:rsidR="00766275" w:rsidRDefault="00766275" w:rsidP="00230185">
            <w:pPr>
              <w:pStyle w:val="tabulka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2014</w:t>
            </w:r>
          </w:p>
        </w:tc>
        <w:tc>
          <w:tcPr>
            <w:tcW w:w="2445" w:type="dxa"/>
            <w:vAlign w:val="center"/>
          </w:tcPr>
          <w:p w:rsidR="00766275" w:rsidRDefault="00766275" w:rsidP="00230185">
            <w:pPr>
              <w:pStyle w:val="tabulka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Rozpočet</w:t>
            </w:r>
          </w:p>
        </w:tc>
        <w:tc>
          <w:tcPr>
            <w:tcW w:w="2292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919A7">
              <w:rPr>
                <w:rFonts w:ascii="Calibri" w:hAnsi="Calibri" w:cs="Calibri"/>
                <w:color w:val="000000"/>
                <w:szCs w:val="21"/>
              </w:rPr>
              <w:t>717 000</w:t>
            </w:r>
          </w:p>
        </w:tc>
        <w:tc>
          <w:tcPr>
            <w:tcW w:w="2197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919A7">
              <w:rPr>
                <w:rFonts w:ascii="Calibri" w:hAnsi="Calibri" w:cs="Calibri"/>
                <w:color w:val="000000"/>
                <w:szCs w:val="21"/>
              </w:rPr>
              <w:t>744 800</w:t>
            </w:r>
          </w:p>
        </w:tc>
      </w:tr>
      <w:tr w:rsidR="00766275" w:rsidTr="004A09ED">
        <w:tc>
          <w:tcPr>
            <w:tcW w:w="2138" w:type="dxa"/>
            <w:vMerge/>
            <w:vAlign w:val="center"/>
          </w:tcPr>
          <w:p w:rsidR="00766275" w:rsidRDefault="00766275" w:rsidP="00230185">
            <w:pPr>
              <w:pStyle w:val="tabulka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766275" w:rsidRDefault="00766275" w:rsidP="00230185">
            <w:pPr>
              <w:pStyle w:val="tabulka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Skutečnost</w:t>
            </w:r>
          </w:p>
        </w:tc>
        <w:tc>
          <w:tcPr>
            <w:tcW w:w="2292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919A7">
              <w:rPr>
                <w:rFonts w:ascii="Calibri" w:hAnsi="Calibri" w:cs="Calibri"/>
                <w:color w:val="000000"/>
                <w:szCs w:val="21"/>
              </w:rPr>
              <w:t>1 039 074</w:t>
            </w:r>
          </w:p>
        </w:tc>
        <w:tc>
          <w:tcPr>
            <w:tcW w:w="2197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919A7">
              <w:rPr>
                <w:rFonts w:ascii="Calibri" w:hAnsi="Calibri" w:cs="Calibri"/>
                <w:color w:val="000000"/>
                <w:szCs w:val="21"/>
              </w:rPr>
              <w:t>756 524</w:t>
            </w:r>
          </w:p>
        </w:tc>
      </w:tr>
      <w:tr w:rsidR="00766275" w:rsidTr="004A09ED">
        <w:tc>
          <w:tcPr>
            <w:tcW w:w="2138" w:type="dxa"/>
            <w:vMerge/>
            <w:vAlign w:val="center"/>
          </w:tcPr>
          <w:p w:rsidR="00766275" w:rsidRDefault="00766275" w:rsidP="00230185">
            <w:pPr>
              <w:pStyle w:val="tabulka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766275" w:rsidRPr="009F5925" w:rsidRDefault="00766275" w:rsidP="00230185">
            <w:pPr>
              <w:pStyle w:val="tabulka"/>
              <w:jc w:val="left"/>
              <w:rPr>
                <w:rFonts w:ascii="Calibri" w:hAnsi="Calibri" w:cs="Calibri"/>
                <w:i/>
                <w:color w:val="000000"/>
                <w:szCs w:val="22"/>
              </w:rPr>
            </w:pPr>
            <w:r w:rsidRPr="009F5925">
              <w:rPr>
                <w:rFonts w:ascii="Calibri" w:hAnsi="Calibri" w:cs="Calibri"/>
                <w:i/>
                <w:color w:val="000000"/>
                <w:szCs w:val="22"/>
              </w:rPr>
              <w:t>Plnění (v %)</w:t>
            </w:r>
          </w:p>
        </w:tc>
        <w:tc>
          <w:tcPr>
            <w:tcW w:w="2292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i/>
                <w:color w:val="000000"/>
                <w:szCs w:val="21"/>
              </w:rPr>
            </w:pPr>
            <w:r w:rsidRPr="001919A7">
              <w:rPr>
                <w:rFonts w:ascii="Calibri" w:hAnsi="Calibri" w:cs="Calibri"/>
                <w:i/>
                <w:color w:val="000000"/>
                <w:szCs w:val="21"/>
              </w:rPr>
              <w:t>144,92</w:t>
            </w:r>
          </w:p>
        </w:tc>
        <w:tc>
          <w:tcPr>
            <w:tcW w:w="2197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i/>
                <w:color w:val="000000"/>
                <w:szCs w:val="21"/>
              </w:rPr>
            </w:pPr>
            <w:r w:rsidRPr="001919A7">
              <w:rPr>
                <w:rFonts w:ascii="Calibri" w:hAnsi="Calibri" w:cs="Calibri"/>
                <w:i/>
                <w:color w:val="000000"/>
                <w:szCs w:val="21"/>
              </w:rPr>
              <w:t>101,57</w:t>
            </w:r>
          </w:p>
        </w:tc>
      </w:tr>
      <w:tr w:rsidR="00766275" w:rsidTr="004A09ED">
        <w:tc>
          <w:tcPr>
            <w:tcW w:w="2138" w:type="dxa"/>
            <w:vMerge w:val="restart"/>
            <w:vAlign w:val="center"/>
          </w:tcPr>
          <w:p w:rsidR="00766275" w:rsidRDefault="00766275" w:rsidP="00230185">
            <w:pPr>
              <w:pStyle w:val="tabulka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2015</w:t>
            </w:r>
          </w:p>
        </w:tc>
        <w:tc>
          <w:tcPr>
            <w:tcW w:w="2445" w:type="dxa"/>
            <w:vAlign w:val="center"/>
          </w:tcPr>
          <w:p w:rsidR="00766275" w:rsidRDefault="00766275" w:rsidP="00230185">
            <w:pPr>
              <w:pStyle w:val="tabulka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Rozpočet</w:t>
            </w:r>
          </w:p>
        </w:tc>
        <w:tc>
          <w:tcPr>
            <w:tcW w:w="2292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919A7">
              <w:rPr>
                <w:rFonts w:ascii="Calibri" w:hAnsi="Calibri" w:cs="Calibri"/>
                <w:color w:val="000000"/>
                <w:szCs w:val="21"/>
              </w:rPr>
              <w:t>717 891</w:t>
            </w:r>
          </w:p>
        </w:tc>
        <w:tc>
          <w:tcPr>
            <w:tcW w:w="2197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919A7">
              <w:rPr>
                <w:rFonts w:ascii="Calibri" w:hAnsi="Calibri" w:cs="Calibri"/>
                <w:color w:val="000000"/>
                <w:szCs w:val="21"/>
              </w:rPr>
              <w:t>742 800</w:t>
            </w:r>
          </w:p>
        </w:tc>
      </w:tr>
      <w:tr w:rsidR="00766275" w:rsidTr="004A09ED">
        <w:tc>
          <w:tcPr>
            <w:tcW w:w="2138" w:type="dxa"/>
            <w:vMerge/>
            <w:vAlign w:val="center"/>
          </w:tcPr>
          <w:p w:rsidR="00766275" w:rsidRDefault="00766275" w:rsidP="00230185">
            <w:pPr>
              <w:pStyle w:val="tabulka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766275" w:rsidRDefault="00766275" w:rsidP="00230185">
            <w:pPr>
              <w:pStyle w:val="tabulka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Skutečnost</w:t>
            </w:r>
          </w:p>
        </w:tc>
        <w:tc>
          <w:tcPr>
            <w:tcW w:w="2292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919A7">
              <w:rPr>
                <w:rFonts w:ascii="Calibri" w:hAnsi="Calibri" w:cs="Calibri"/>
                <w:color w:val="000000"/>
                <w:szCs w:val="21"/>
              </w:rPr>
              <w:t>1 117 588</w:t>
            </w:r>
          </w:p>
        </w:tc>
        <w:tc>
          <w:tcPr>
            <w:tcW w:w="2197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919A7">
              <w:rPr>
                <w:rFonts w:ascii="Calibri" w:hAnsi="Calibri" w:cs="Calibri"/>
                <w:color w:val="000000"/>
                <w:szCs w:val="21"/>
              </w:rPr>
              <w:t>534 438</w:t>
            </w:r>
          </w:p>
        </w:tc>
      </w:tr>
      <w:tr w:rsidR="00766275" w:rsidTr="004A09ED">
        <w:tc>
          <w:tcPr>
            <w:tcW w:w="2138" w:type="dxa"/>
            <w:vMerge/>
            <w:vAlign w:val="center"/>
          </w:tcPr>
          <w:p w:rsidR="00766275" w:rsidRDefault="00766275" w:rsidP="00230185">
            <w:pPr>
              <w:pStyle w:val="tabulka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45" w:type="dxa"/>
            <w:vAlign w:val="center"/>
          </w:tcPr>
          <w:p w:rsidR="00766275" w:rsidRPr="009F5925" w:rsidRDefault="00766275" w:rsidP="00230185">
            <w:pPr>
              <w:pStyle w:val="tabulka"/>
              <w:jc w:val="left"/>
              <w:rPr>
                <w:rFonts w:ascii="Calibri" w:hAnsi="Calibri" w:cs="Calibri"/>
                <w:i/>
                <w:color w:val="000000"/>
                <w:szCs w:val="22"/>
              </w:rPr>
            </w:pPr>
            <w:r w:rsidRPr="009F5925">
              <w:rPr>
                <w:rFonts w:ascii="Calibri" w:hAnsi="Calibri" w:cs="Calibri"/>
                <w:i/>
                <w:color w:val="000000"/>
                <w:szCs w:val="22"/>
              </w:rPr>
              <w:t>Plnění (v %)</w:t>
            </w:r>
          </w:p>
        </w:tc>
        <w:tc>
          <w:tcPr>
            <w:tcW w:w="2292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i/>
                <w:color w:val="000000"/>
                <w:szCs w:val="21"/>
              </w:rPr>
            </w:pPr>
            <w:r w:rsidRPr="001919A7">
              <w:rPr>
                <w:rFonts w:ascii="Calibri" w:hAnsi="Calibri" w:cs="Calibri"/>
                <w:i/>
                <w:color w:val="000000"/>
                <w:szCs w:val="21"/>
              </w:rPr>
              <w:t>155,68</w:t>
            </w:r>
          </w:p>
        </w:tc>
        <w:tc>
          <w:tcPr>
            <w:tcW w:w="2197" w:type="dxa"/>
            <w:vAlign w:val="center"/>
          </w:tcPr>
          <w:p w:rsidR="00766275" w:rsidRPr="001919A7" w:rsidRDefault="00766275" w:rsidP="00230185">
            <w:pPr>
              <w:pStyle w:val="tabulka"/>
              <w:jc w:val="right"/>
              <w:rPr>
                <w:rFonts w:ascii="Calibri" w:hAnsi="Calibri" w:cs="Calibri"/>
                <w:i/>
                <w:color w:val="000000"/>
                <w:szCs w:val="21"/>
              </w:rPr>
            </w:pPr>
            <w:r w:rsidRPr="001919A7">
              <w:rPr>
                <w:rFonts w:ascii="Calibri" w:hAnsi="Calibri" w:cs="Calibri"/>
                <w:i/>
                <w:color w:val="000000"/>
                <w:szCs w:val="21"/>
              </w:rPr>
              <w:t>71,95</w:t>
            </w:r>
          </w:p>
        </w:tc>
      </w:tr>
    </w:tbl>
    <w:p w:rsidR="00A65028" w:rsidRDefault="00A65028" w:rsidP="009509E5">
      <w:pPr>
        <w:pStyle w:val="Poznmka"/>
      </w:pPr>
      <w:r w:rsidRPr="004A09ED">
        <w:rPr>
          <w:b/>
        </w:rPr>
        <w:t>Zdroj:</w:t>
      </w:r>
      <w:r>
        <w:t xml:space="preserve"> </w:t>
      </w:r>
      <w:r w:rsidR="00BF1291">
        <w:tab/>
      </w:r>
      <w:r w:rsidR="00377207" w:rsidRPr="0016237C">
        <w:t>S</w:t>
      </w:r>
      <w:r w:rsidR="00230185" w:rsidRPr="0016237C">
        <w:t>chválené rozpočty SFK na roky 2013–2015</w:t>
      </w:r>
      <w:r w:rsidR="008B225F" w:rsidRPr="0016237C">
        <w:t xml:space="preserve"> (schva</w:t>
      </w:r>
      <w:r w:rsidR="00377207" w:rsidRPr="0016237C">
        <w:t>l</w:t>
      </w:r>
      <w:r w:rsidR="008B225F" w:rsidRPr="0016237C">
        <w:t>ova</w:t>
      </w:r>
      <w:r w:rsidR="00377207" w:rsidRPr="0016237C">
        <w:t>né Poslaneckou sněmovnou Parlamentu ČR dle ustanovení § 9 odst. 5 zákona č. 496/2012 Sb.)</w:t>
      </w:r>
      <w:r w:rsidR="00230185" w:rsidRPr="0016237C">
        <w:t xml:space="preserve">, </w:t>
      </w:r>
      <w:r w:rsidR="008C0DBB" w:rsidRPr="0016237C">
        <w:t>výkazy SFK za roky 2013</w:t>
      </w:r>
      <w:r w:rsidR="004D6D59" w:rsidRPr="0016237C">
        <w:t>–</w:t>
      </w:r>
      <w:r w:rsidR="00230185" w:rsidRPr="0016237C">
        <w:t>2015</w:t>
      </w:r>
      <w:r w:rsidR="004D6D59" w:rsidRPr="0016237C">
        <w:t>.</w:t>
      </w:r>
    </w:p>
    <w:p w:rsidR="006461E2" w:rsidRPr="0016237C" w:rsidRDefault="00E275C5" w:rsidP="009509E5">
      <w:pPr>
        <w:pStyle w:val="Poznmka"/>
      </w:pPr>
      <w:r w:rsidRPr="004A09ED">
        <w:rPr>
          <w:b/>
        </w:rPr>
        <w:t>Pozn.:</w:t>
      </w:r>
      <w:r w:rsidR="001919A7" w:rsidRPr="0016237C">
        <w:tab/>
      </w:r>
      <w:r w:rsidRPr="0016237C">
        <w:t>SFK neprovádí úpravy schváleného rozpočtu prostřednictvím rozpočtových opatřen</w:t>
      </w:r>
      <w:r w:rsidR="001919A7" w:rsidRPr="0016237C">
        <w:t xml:space="preserve">í, do rozpočtu SFK </w:t>
      </w:r>
      <w:r w:rsidR="00BD6EAC" w:rsidRPr="0016237C">
        <w:t xml:space="preserve">se tak </w:t>
      </w:r>
      <w:r w:rsidR="001919A7" w:rsidRPr="0016237C">
        <w:t>nepromítají změny učiněné v</w:t>
      </w:r>
      <w:r w:rsidR="00BD6EAC" w:rsidRPr="0016237C">
        <w:t> </w:t>
      </w:r>
      <w:r w:rsidR="001919A7" w:rsidRPr="0016237C">
        <w:t>průběhu</w:t>
      </w:r>
      <w:r w:rsidR="00BD6EAC" w:rsidRPr="0016237C">
        <w:t xml:space="preserve"> rozpočtového</w:t>
      </w:r>
      <w:r w:rsidR="001919A7" w:rsidRPr="0016237C">
        <w:t xml:space="preserve"> roku.</w:t>
      </w:r>
    </w:p>
    <w:p w:rsidR="009509E5" w:rsidRPr="009509E5" w:rsidRDefault="009509E5" w:rsidP="009509E5">
      <w:pPr>
        <w:spacing w:before="0"/>
        <w:ind w:left="567"/>
        <w:rPr>
          <w:sz w:val="20"/>
          <w:szCs w:val="20"/>
        </w:rPr>
      </w:pPr>
      <w:r w:rsidRPr="009509E5">
        <w:rPr>
          <w:sz w:val="20"/>
          <w:szCs w:val="20"/>
        </w:rPr>
        <w:t>Rozdíly mezi skutečnými příjmy a výdaji byly způsobeny zejména postupným čerpáním prostředků alokovaných na jednotlivé projekty filmových pobídek, k jejichž výplatě dochází i v následujících obdobích.</w:t>
      </w:r>
    </w:p>
    <w:p w:rsidR="00E275C5" w:rsidRDefault="00DA7278" w:rsidP="00BF1291">
      <w:r>
        <w:t>Celkové příjmy SFK byly tvořeny z cca 70 % účelově určenými dotacemi</w:t>
      </w:r>
      <w:r w:rsidR="00E275C5">
        <w:t xml:space="preserve"> ze státního rozpočtu</w:t>
      </w:r>
      <w:r>
        <w:t xml:space="preserve">. </w:t>
      </w:r>
      <w:r w:rsidR="006461E2">
        <w:t>Ostatní příjmy</w:t>
      </w:r>
      <w:r w:rsidR="00E275C5">
        <w:t xml:space="preserve"> </w:t>
      </w:r>
      <w:r w:rsidR="006461E2">
        <w:t xml:space="preserve">SFK </w:t>
      </w:r>
      <w:r w:rsidR="00E275C5">
        <w:t>plynou převážně z poplatků z vysílání reklamy, kinematografick</w:t>
      </w:r>
      <w:r w:rsidR="00A71638">
        <w:t>ých</w:t>
      </w:r>
      <w:r w:rsidR="00E275C5">
        <w:t xml:space="preserve"> představení, šíření televizního vysílání prostřednictvím kabelových sítí a satelitů a za užití kinematografických děl, u nichž SFK vykonává práva výrobce. Z těchto prostředků je financována podpora kinematografie, kterou SFK poskytuje ve formě dotací nebo dotací s podílem na zisku.</w:t>
      </w:r>
    </w:p>
    <w:p w:rsidR="00041769" w:rsidRDefault="00041769" w:rsidP="00041769">
      <w:r>
        <w:t xml:space="preserve">Prostředky na filmové pobídky SFK získává </w:t>
      </w:r>
      <w:r w:rsidR="002B5029">
        <w:t>z</w:t>
      </w:r>
      <w:r>
        <w:t xml:space="preserve"> účelově určené d</w:t>
      </w:r>
      <w:r w:rsidR="002B5029">
        <w:t>otace ze státního rozpočtu. Pro </w:t>
      </w:r>
      <w:r>
        <w:t>rok 2013 byla tato dotace ve výši 500 mil. Kč</w:t>
      </w:r>
      <w:r w:rsidR="00E275C5">
        <w:t>. Pro rok 2014 byla zákonem o státním rozpočtu schválena dotace ve výši 500 mil. Kč. V průběhu roku byla</w:t>
      </w:r>
      <w:r w:rsidR="006461E2">
        <w:t xml:space="preserve"> na základě usnesení vlády</w:t>
      </w:r>
      <w:r w:rsidR="00E275C5">
        <w:t xml:space="preserve"> navýšena o 300 mil. Kč</w:t>
      </w:r>
      <w:r w:rsidR="006461E2">
        <w:t>. Obdobným způsobem byla dotace navýšena i v roce 2015 z původních 500 mil. Kč na konečných 800 mil. Kč.</w:t>
      </w:r>
    </w:p>
    <w:p w:rsidR="003612B6" w:rsidRDefault="003A4FD7" w:rsidP="00DD1EFF">
      <w:r w:rsidRPr="00C247E2">
        <w:t xml:space="preserve">Poslanecká sněmovna </w:t>
      </w:r>
      <w:r w:rsidR="00367E08">
        <w:t xml:space="preserve">Parlamentu ČR </w:t>
      </w:r>
      <w:r w:rsidRPr="00C247E2">
        <w:t>schválila SFK</w:t>
      </w:r>
      <w:r w:rsidR="00C247E2" w:rsidRPr="00C247E2">
        <w:t xml:space="preserve"> v</w:t>
      </w:r>
      <w:r w:rsidR="00DD1EFF" w:rsidRPr="00C247E2">
        <w:t xml:space="preserve"> rozpočtu</w:t>
      </w:r>
      <w:r w:rsidRPr="00C247E2">
        <w:t xml:space="preserve"> na</w:t>
      </w:r>
      <w:r w:rsidR="002470B1" w:rsidRPr="00C247E2">
        <w:t xml:space="preserve"> rok 2016 dotac</w:t>
      </w:r>
      <w:r w:rsidRPr="00C247E2">
        <w:t>i ze</w:t>
      </w:r>
      <w:r w:rsidR="00EA7098">
        <w:t xml:space="preserve"> </w:t>
      </w:r>
      <w:r w:rsidR="002470B1" w:rsidRPr="00C247E2">
        <w:t>státního rozpočtu v celkové výši 981,8 mil. Kč.</w:t>
      </w:r>
      <w:r w:rsidR="002470B1">
        <w:t xml:space="preserve"> Z této </w:t>
      </w:r>
      <w:r>
        <w:t>částky je 800 mil. Kč určeno na</w:t>
      </w:r>
      <w:r w:rsidR="000D46D2">
        <w:t xml:space="preserve"> </w:t>
      </w:r>
      <w:r w:rsidR="002470B1">
        <w:t>filmové pobídky</w:t>
      </w:r>
      <w:r w:rsidR="00692FC4">
        <w:t>, 180 mil. Kč jednorázově na podporu kinematografie</w:t>
      </w:r>
      <w:r>
        <w:t xml:space="preserve"> a 1,8 mil. Kč na</w:t>
      </w:r>
      <w:r w:rsidR="00A71638">
        <w:t xml:space="preserve"> </w:t>
      </w:r>
      <w:r w:rsidR="002470B1">
        <w:t>provozní náklady kancelá</w:t>
      </w:r>
      <w:r w:rsidR="00692FC4">
        <w:t>ře.</w:t>
      </w:r>
    </w:p>
    <w:p w:rsidR="002470B1" w:rsidRPr="0099799C" w:rsidRDefault="000D46D2" w:rsidP="00041769">
      <w:r>
        <w:t>Částka</w:t>
      </w:r>
      <w:r w:rsidR="004F389B" w:rsidRPr="0099799C">
        <w:t xml:space="preserve"> ze státního rozpočtu účelově určen</w:t>
      </w:r>
      <w:r>
        <w:t>á</w:t>
      </w:r>
      <w:r w:rsidR="004F389B" w:rsidRPr="0099799C">
        <w:t xml:space="preserve"> zejména na</w:t>
      </w:r>
      <w:r w:rsidR="003A4FD7">
        <w:t xml:space="preserve"> filmové</w:t>
      </w:r>
      <w:r w:rsidR="004F389B" w:rsidRPr="0099799C">
        <w:t xml:space="preserve"> pobídky ne</w:t>
      </w:r>
      <w:r w:rsidR="00B40967">
        <w:t xml:space="preserve">byla </w:t>
      </w:r>
      <w:r w:rsidR="00A4278E">
        <w:t xml:space="preserve">pevně stanovena. SFK o </w:t>
      </w:r>
      <w:r>
        <w:t>tyto prostředky</w:t>
      </w:r>
      <w:r w:rsidR="00A4278E">
        <w:t xml:space="preserve"> žádal</w:t>
      </w:r>
      <w:r w:rsidR="004F389B" w:rsidRPr="0099799C">
        <w:t xml:space="preserve"> každoročně v rámci přípravy </w:t>
      </w:r>
      <w:r w:rsidR="004D6824" w:rsidRPr="0099799C">
        <w:t xml:space="preserve">návrhu </w:t>
      </w:r>
      <w:r w:rsidR="004F389B" w:rsidRPr="0099799C">
        <w:t>státního rozpočtu</w:t>
      </w:r>
      <w:r w:rsidR="003A0869">
        <w:t xml:space="preserve"> a</w:t>
      </w:r>
      <w:r>
        <w:t xml:space="preserve"> </w:t>
      </w:r>
      <w:r w:rsidR="00766275">
        <w:t>střednědobých výhledů.</w:t>
      </w:r>
    </w:p>
    <w:p w:rsidR="00003337" w:rsidRDefault="00E54ED3" w:rsidP="009509E5">
      <w:pPr>
        <w:pStyle w:val="Nadpis1"/>
      </w:pPr>
      <w:r>
        <w:lastRenderedPageBreak/>
        <w:t>P</w:t>
      </w:r>
      <w:r w:rsidR="00003337">
        <w:t>odpora kinematografie a filmové pobídky</w:t>
      </w:r>
    </w:p>
    <w:p w:rsidR="00003337" w:rsidRDefault="00016EEB" w:rsidP="003F648F">
      <w:pPr>
        <w:pStyle w:val="Nadpis2"/>
      </w:pPr>
      <w:r>
        <w:t>Podpora kinematografie</w:t>
      </w:r>
    </w:p>
    <w:p w:rsidR="004A3E93" w:rsidRPr="00107204" w:rsidRDefault="00B9086C" w:rsidP="004A3E93">
      <w:r w:rsidRPr="00B9086C">
        <w:rPr>
          <w:b/>
        </w:rPr>
        <w:t>Není zřejmé, čeho chce SFK v oblasti podpo</w:t>
      </w:r>
      <w:r w:rsidR="00657211">
        <w:rPr>
          <w:b/>
        </w:rPr>
        <w:t>ry kinematografie v období 2014–</w:t>
      </w:r>
      <w:r w:rsidRPr="00B9086C">
        <w:rPr>
          <w:b/>
        </w:rPr>
        <w:t>2019 dosáhnout</w:t>
      </w:r>
      <w:r w:rsidRPr="004A09ED">
        <w:rPr>
          <w:b/>
        </w:rPr>
        <w:t>.</w:t>
      </w:r>
      <w:r>
        <w:t xml:space="preserve"> </w:t>
      </w:r>
      <w:r w:rsidR="00466A74">
        <w:t>Podle zákona</w:t>
      </w:r>
      <w:r w:rsidR="004A3E93">
        <w:t xml:space="preserve"> č. 496/2012 Sb. vznikla </w:t>
      </w:r>
      <w:r w:rsidR="004A3E93" w:rsidRPr="00107204">
        <w:t>Rad</w:t>
      </w:r>
      <w:r w:rsidR="004A3E93">
        <w:t xml:space="preserve">ě </w:t>
      </w:r>
      <w:r w:rsidR="00232174">
        <w:t>p</w:t>
      </w:r>
      <w:r w:rsidR="00E5382E">
        <w:t>ovinnost stanovovat koncepci a </w:t>
      </w:r>
      <w:r w:rsidR="004A3E93">
        <w:t>strategii podpory kinematografie. Statut SFK dál</w:t>
      </w:r>
      <w:r w:rsidR="00E5382E">
        <w:t>e uvádí, že první krátkodobou a </w:t>
      </w:r>
      <w:r w:rsidR="004A3E93">
        <w:t>dlouhodobou koncepci Rada stanoví do konce roku 2013. Rada</w:t>
      </w:r>
      <w:r w:rsidR="004A3E93" w:rsidRPr="00107204">
        <w:t xml:space="preserve"> schválila dlouhodobou koncepci </w:t>
      </w:r>
      <w:r w:rsidR="00657211">
        <w:t>2014–</w:t>
      </w:r>
      <w:r w:rsidR="004A3E93">
        <w:t xml:space="preserve">2019 </w:t>
      </w:r>
      <w:r w:rsidR="004A3E93" w:rsidRPr="00107204">
        <w:t>na svém jednání v březnu 2015. Přestože tato koncepce byla</w:t>
      </w:r>
      <w:r w:rsidR="00692FC4">
        <w:t xml:space="preserve"> vydána </w:t>
      </w:r>
      <w:r w:rsidR="00E840CF">
        <w:t>více než</w:t>
      </w:r>
      <w:r w:rsidR="000D46D2">
        <w:t xml:space="preserve"> </w:t>
      </w:r>
      <w:r w:rsidR="004A3E93">
        <w:t>dva roky po</w:t>
      </w:r>
      <w:r w:rsidR="000D46D2">
        <w:t xml:space="preserve"> </w:t>
      </w:r>
      <w:r w:rsidR="004A3E93" w:rsidRPr="00107204">
        <w:t>vzniku SFK</w:t>
      </w:r>
      <w:r w:rsidR="007D3468">
        <w:t>,</w:t>
      </w:r>
      <w:r w:rsidR="004A3E93" w:rsidRPr="00107204">
        <w:t xml:space="preserve"> neobsahuje všechny </w:t>
      </w:r>
      <w:r w:rsidR="00466A74">
        <w:t>náležitosti</w:t>
      </w:r>
      <w:r w:rsidR="004A3E93" w:rsidRPr="00107204">
        <w:t>, které jí stanoví statut</w:t>
      </w:r>
      <w:r>
        <w:t>. Postrádá také</w:t>
      </w:r>
      <w:r w:rsidR="004A3E93" w:rsidRPr="00107204">
        <w:t xml:space="preserve"> konkrétní a měřitelné cíle nebo indikátory pro</w:t>
      </w:r>
      <w:r w:rsidR="000D46D2">
        <w:t xml:space="preserve"> </w:t>
      </w:r>
      <w:r w:rsidR="004A3E93" w:rsidRPr="00107204">
        <w:t xml:space="preserve">vyhodnocení jejího naplňování. </w:t>
      </w:r>
      <w:r w:rsidR="00534E25">
        <w:t>SFK nepostupoval v souladu se zákonem o audiovizi a schváleným statutem</w:t>
      </w:r>
      <w:r w:rsidR="00534E25">
        <w:rPr>
          <w:rStyle w:val="Znakapoznpodarou"/>
        </w:rPr>
        <w:footnoteReference w:id="8"/>
      </w:r>
      <w:r w:rsidR="00E317C1">
        <w:t>.</w:t>
      </w:r>
    </w:p>
    <w:p w:rsidR="00016EEB" w:rsidRDefault="00016EEB" w:rsidP="00E840CF">
      <w:pPr>
        <w:rPr>
          <w:rFonts w:cstheme="minorHAnsi"/>
        </w:rPr>
      </w:pPr>
      <w:r w:rsidRPr="0023654C">
        <w:rPr>
          <w:rFonts w:cstheme="minorHAnsi"/>
        </w:rPr>
        <w:t>První výzvy</w:t>
      </w:r>
      <w:r w:rsidR="00E840CF">
        <w:rPr>
          <w:rFonts w:cstheme="minorHAnsi"/>
        </w:rPr>
        <w:t xml:space="preserve"> pro podávání žádostí o podporu kinematografie</w:t>
      </w:r>
      <w:r w:rsidRPr="0023654C">
        <w:rPr>
          <w:rFonts w:cstheme="minorHAnsi"/>
        </w:rPr>
        <w:t xml:space="preserve"> podle </w:t>
      </w:r>
      <w:r w:rsidR="00E840CF">
        <w:rPr>
          <w:rFonts w:cstheme="minorHAnsi"/>
        </w:rPr>
        <w:t>zákona č. 496/2012 Sb.</w:t>
      </w:r>
      <w:r w:rsidRPr="0023654C">
        <w:rPr>
          <w:rFonts w:cstheme="minorHAnsi"/>
        </w:rPr>
        <w:t xml:space="preserve"> byly vyhlášeny</w:t>
      </w:r>
      <w:r>
        <w:rPr>
          <w:rFonts w:cstheme="minorHAnsi"/>
        </w:rPr>
        <w:t xml:space="preserve"> v září 2013</w:t>
      </w:r>
      <w:r w:rsidRPr="0023654C">
        <w:rPr>
          <w:rFonts w:cstheme="minorHAnsi"/>
        </w:rPr>
        <w:t>.</w:t>
      </w:r>
    </w:p>
    <w:p w:rsidR="00E840CF" w:rsidRPr="00ED537C" w:rsidRDefault="00BF1291" w:rsidP="004A09ED">
      <w:pPr>
        <w:pStyle w:val="Nzevtabulky"/>
        <w:numPr>
          <w:ilvl w:val="0"/>
          <w:numId w:val="0"/>
        </w:numPr>
        <w:ind w:left="1418" w:hanging="1418"/>
        <w:jc w:val="left"/>
        <w:rPr>
          <w:b/>
        </w:rPr>
      </w:pPr>
      <w:r>
        <w:rPr>
          <w:b/>
        </w:rPr>
        <w:t xml:space="preserve">Tabulka č. 2 – </w:t>
      </w:r>
      <w:r w:rsidR="00E840CF" w:rsidRPr="00ED537C">
        <w:rPr>
          <w:b/>
        </w:rPr>
        <w:t>Žádosti dle zá</w:t>
      </w:r>
      <w:r w:rsidR="00230073" w:rsidRPr="00ED537C">
        <w:rPr>
          <w:b/>
        </w:rPr>
        <w:t>kona č. 496/2012 Sb. z let 2013–</w:t>
      </w:r>
      <w:r w:rsidR="00E840CF" w:rsidRPr="00ED537C">
        <w:rPr>
          <w:b/>
        </w:rPr>
        <w:t>2015 podpořené</w:t>
      </w:r>
      <w:r w:rsidR="00AD76B8" w:rsidRPr="00ED537C">
        <w:rPr>
          <w:b/>
        </w:rPr>
        <w:t xml:space="preserve"> v rámci podpory kinematografie (bez žádostí o navýšení)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0"/>
        <w:gridCol w:w="3070"/>
      </w:tblGrid>
      <w:tr w:rsidR="00E840CF" w:rsidRPr="0003516A" w:rsidTr="00BF1291">
        <w:tc>
          <w:tcPr>
            <w:tcW w:w="2962" w:type="dxa"/>
            <w:shd w:val="clear" w:color="auto" w:fill="D9D9D9" w:themeFill="background1" w:themeFillShade="D9"/>
            <w:vAlign w:val="center"/>
          </w:tcPr>
          <w:p w:rsidR="00E840CF" w:rsidRPr="0003516A" w:rsidRDefault="00E840CF" w:rsidP="0003516A">
            <w:pPr>
              <w:pStyle w:val="tabulka"/>
              <w:jc w:val="center"/>
              <w:rPr>
                <w:b/>
              </w:rPr>
            </w:pPr>
            <w:r w:rsidRPr="0003516A">
              <w:rPr>
                <w:b/>
              </w:rPr>
              <w:t>Rok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E840CF" w:rsidRPr="0003516A" w:rsidRDefault="00E840CF" w:rsidP="0003516A">
            <w:pPr>
              <w:pStyle w:val="tabulka"/>
              <w:jc w:val="center"/>
              <w:rPr>
                <w:b/>
              </w:rPr>
            </w:pPr>
            <w:r w:rsidRPr="0003516A">
              <w:rPr>
                <w:b/>
              </w:rPr>
              <w:t>Počet podpořených žádostí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E840CF" w:rsidRPr="0003516A" w:rsidRDefault="00E840CF" w:rsidP="0003516A">
            <w:pPr>
              <w:pStyle w:val="tabulka"/>
              <w:jc w:val="center"/>
              <w:rPr>
                <w:b/>
              </w:rPr>
            </w:pPr>
            <w:r w:rsidRPr="0003516A">
              <w:rPr>
                <w:b/>
              </w:rPr>
              <w:t>Výše podpory v Kč</w:t>
            </w:r>
          </w:p>
        </w:tc>
      </w:tr>
      <w:tr w:rsidR="00E840CF" w:rsidTr="00BF1291">
        <w:tc>
          <w:tcPr>
            <w:tcW w:w="2962" w:type="dxa"/>
            <w:vAlign w:val="center"/>
          </w:tcPr>
          <w:p w:rsidR="00E840CF" w:rsidRDefault="00E840CF" w:rsidP="004A09ED">
            <w:pPr>
              <w:pStyle w:val="tabulka"/>
              <w:ind w:left="34"/>
              <w:jc w:val="left"/>
            </w:pPr>
            <w:r>
              <w:t>2013</w:t>
            </w:r>
          </w:p>
        </w:tc>
        <w:tc>
          <w:tcPr>
            <w:tcW w:w="3070" w:type="dxa"/>
            <w:vAlign w:val="center"/>
          </w:tcPr>
          <w:p w:rsidR="00E840CF" w:rsidRDefault="00E840CF" w:rsidP="0003516A">
            <w:pPr>
              <w:pStyle w:val="tabulka"/>
              <w:jc w:val="center"/>
            </w:pPr>
            <w:r>
              <w:t>142</w:t>
            </w:r>
          </w:p>
        </w:tc>
        <w:tc>
          <w:tcPr>
            <w:tcW w:w="3070" w:type="dxa"/>
            <w:vAlign w:val="center"/>
          </w:tcPr>
          <w:p w:rsidR="00E840CF" w:rsidRDefault="00E840CF" w:rsidP="0003516A">
            <w:pPr>
              <w:pStyle w:val="tabulka"/>
              <w:jc w:val="right"/>
            </w:pPr>
            <w:r>
              <w:t>95</w:t>
            </w:r>
            <w:r w:rsidR="0003516A">
              <w:t xml:space="preserve"> </w:t>
            </w:r>
            <w:r>
              <w:t>143 000</w:t>
            </w:r>
          </w:p>
        </w:tc>
      </w:tr>
      <w:tr w:rsidR="00E840CF" w:rsidTr="00BF1291">
        <w:tc>
          <w:tcPr>
            <w:tcW w:w="2962" w:type="dxa"/>
            <w:vAlign w:val="center"/>
          </w:tcPr>
          <w:p w:rsidR="00E840CF" w:rsidRDefault="00E840CF" w:rsidP="004A09ED">
            <w:pPr>
              <w:pStyle w:val="tabulka"/>
              <w:ind w:left="34"/>
              <w:jc w:val="left"/>
            </w:pPr>
            <w:r>
              <w:t>2014</w:t>
            </w:r>
          </w:p>
        </w:tc>
        <w:tc>
          <w:tcPr>
            <w:tcW w:w="3070" w:type="dxa"/>
            <w:vAlign w:val="center"/>
          </w:tcPr>
          <w:p w:rsidR="00E840CF" w:rsidRDefault="00E840CF" w:rsidP="0003516A">
            <w:pPr>
              <w:pStyle w:val="tabulka"/>
              <w:jc w:val="center"/>
            </w:pPr>
            <w:r>
              <w:t>222</w:t>
            </w:r>
          </w:p>
        </w:tc>
        <w:tc>
          <w:tcPr>
            <w:tcW w:w="3070" w:type="dxa"/>
            <w:vAlign w:val="center"/>
          </w:tcPr>
          <w:p w:rsidR="00E840CF" w:rsidRDefault="00E840CF" w:rsidP="0003516A">
            <w:pPr>
              <w:pStyle w:val="tabulka"/>
              <w:jc w:val="right"/>
            </w:pPr>
            <w:r>
              <w:t>184</w:t>
            </w:r>
            <w:r w:rsidR="0003516A">
              <w:t xml:space="preserve"> </w:t>
            </w:r>
            <w:r>
              <w:t>152 771</w:t>
            </w:r>
          </w:p>
        </w:tc>
      </w:tr>
      <w:tr w:rsidR="00E840CF" w:rsidTr="00BF1291">
        <w:tc>
          <w:tcPr>
            <w:tcW w:w="2962" w:type="dxa"/>
            <w:vAlign w:val="center"/>
          </w:tcPr>
          <w:p w:rsidR="00E840CF" w:rsidRDefault="00E840CF" w:rsidP="004A09ED">
            <w:pPr>
              <w:pStyle w:val="tabulka"/>
              <w:ind w:left="34"/>
              <w:jc w:val="left"/>
            </w:pPr>
            <w:r>
              <w:t>2015</w:t>
            </w:r>
          </w:p>
        </w:tc>
        <w:tc>
          <w:tcPr>
            <w:tcW w:w="3070" w:type="dxa"/>
            <w:vAlign w:val="center"/>
          </w:tcPr>
          <w:p w:rsidR="00E840CF" w:rsidRDefault="00E840CF" w:rsidP="0003516A">
            <w:pPr>
              <w:pStyle w:val="tabulka"/>
              <w:jc w:val="center"/>
            </w:pPr>
            <w:r>
              <w:t>226</w:t>
            </w:r>
          </w:p>
        </w:tc>
        <w:tc>
          <w:tcPr>
            <w:tcW w:w="3070" w:type="dxa"/>
            <w:vAlign w:val="center"/>
          </w:tcPr>
          <w:p w:rsidR="00E840CF" w:rsidRDefault="00E840CF" w:rsidP="0003516A">
            <w:pPr>
              <w:pStyle w:val="tabulka"/>
              <w:jc w:val="right"/>
            </w:pPr>
            <w:r>
              <w:t>212</w:t>
            </w:r>
            <w:r w:rsidR="0003516A">
              <w:t xml:space="preserve"> </w:t>
            </w:r>
            <w:r>
              <w:t>560 500</w:t>
            </w:r>
          </w:p>
        </w:tc>
      </w:tr>
      <w:tr w:rsidR="00E840CF" w:rsidRPr="0003516A" w:rsidTr="00BF1291">
        <w:tc>
          <w:tcPr>
            <w:tcW w:w="2962" w:type="dxa"/>
            <w:vAlign w:val="center"/>
          </w:tcPr>
          <w:p w:rsidR="00E840CF" w:rsidRPr="0003516A" w:rsidRDefault="00E840CF" w:rsidP="004A09ED">
            <w:pPr>
              <w:pStyle w:val="tabulka"/>
              <w:ind w:left="34"/>
              <w:jc w:val="left"/>
              <w:rPr>
                <w:b/>
              </w:rPr>
            </w:pPr>
            <w:r w:rsidRPr="0003516A">
              <w:rPr>
                <w:b/>
              </w:rPr>
              <w:t>Celkem</w:t>
            </w:r>
          </w:p>
        </w:tc>
        <w:tc>
          <w:tcPr>
            <w:tcW w:w="3070" w:type="dxa"/>
            <w:vAlign w:val="center"/>
          </w:tcPr>
          <w:p w:rsidR="00E840CF" w:rsidRPr="0003516A" w:rsidRDefault="00E840CF" w:rsidP="0003516A">
            <w:pPr>
              <w:pStyle w:val="tabulka"/>
              <w:jc w:val="center"/>
              <w:rPr>
                <w:b/>
              </w:rPr>
            </w:pPr>
            <w:r w:rsidRPr="0003516A">
              <w:rPr>
                <w:b/>
              </w:rPr>
              <w:t>590</w:t>
            </w:r>
          </w:p>
        </w:tc>
        <w:tc>
          <w:tcPr>
            <w:tcW w:w="3070" w:type="dxa"/>
            <w:vAlign w:val="center"/>
          </w:tcPr>
          <w:p w:rsidR="00E840CF" w:rsidRPr="0003516A" w:rsidRDefault="0003516A" w:rsidP="0003516A">
            <w:pPr>
              <w:pStyle w:val="tabulka"/>
              <w:jc w:val="right"/>
              <w:rPr>
                <w:b/>
              </w:rPr>
            </w:pPr>
            <w:r w:rsidRPr="0003516A">
              <w:rPr>
                <w:b/>
              </w:rPr>
              <w:t>491</w:t>
            </w:r>
            <w:r>
              <w:rPr>
                <w:b/>
              </w:rPr>
              <w:t> </w:t>
            </w:r>
            <w:r w:rsidRPr="0003516A">
              <w:rPr>
                <w:b/>
              </w:rPr>
              <w:t>856</w:t>
            </w:r>
            <w:r>
              <w:rPr>
                <w:b/>
              </w:rPr>
              <w:t xml:space="preserve"> </w:t>
            </w:r>
            <w:r w:rsidRPr="0003516A">
              <w:rPr>
                <w:b/>
              </w:rPr>
              <w:t>271</w:t>
            </w:r>
          </w:p>
        </w:tc>
      </w:tr>
    </w:tbl>
    <w:p w:rsidR="00E840CF" w:rsidRPr="007D1AC8" w:rsidRDefault="00E840CF" w:rsidP="009509E5">
      <w:pPr>
        <w:pStyle w:val="Poznmka"/>
      </w:pPr>
      <w:r w:rsidRPr="004A09ED">
        <w:rPr>
          <w:b/>
        </w:rPr>
        <w:t>Zdroj:</w:t>
      </w:r>
      <w:r w:rsidRPr="0083128A">
        <w:t xml:space="preserve"> </w:t>
      </w:r>
      <w:r w:rsidR="000D46D2">
        <w:t>v</w:t>
      </w:r>
      <w:r w:rsidRPr="0016237C">
        <w:t>ýroční zprávy SFK za roky 2013 a 2014, uveřejněné výsledky rozhodování Rady</w:t>
      </w:r>
      <w:r w:rsidR="00230073" w:rsidRPr="0016237C">
        <w:t>.</w:t>
      </w:r>
    </w:p>
    <w:p w:rsidR="00E840CF" w:rsidRPr="0016237C" w:rsidRDefault="00E840CF" w:rsidP="009509E5">
      <w:pPr>
        <w:pStyle w:val="Poznmka"/>
      </w:pPr>
      <w:r w:rsidRPr="004A09ED">
        <w:rPr>
          <w:b/>
        </w:rPr>
        <w:t>Pozn.:</w:t>
      </w:r>
      <w:r w:rsidRPr="0016237C">
        <w:t xml:space="preserve"> </w:t>
      </w:r>
      <w:r w:rsidR="000D46D2">
        <w:t>Řádek týkající se roku</w:t>
      </w:r>
      <w:r w:rsidRPr="0016237C">
        <w:t xml:space="preserve"> 2015 zahrnuje údaje o výši podpory a počtu podpořených žádostí, o kterých bylo rozhodnuto nejpozději na 5. schůzi Rady ve dnech 17.</w:t>
      </w:r>
      <w:r w:rsidR="00230073" w:rsidRPr="0016237C">
        <w:t>–</w:t>
      </w:r>
      <w:r w:rsidR="00D66A54" w:rsidRPr="0016237C">
        <w:t>19. 2.</w:t>
      </w:r>
      <w:r w:rsidRPr="0016237C">
        <w:t xml:space="preserve"> 2016.</w:t>
      </w:r>
    </w:p>
    <w:p w:rsidR="0003516A" w:rsidRDefault="00AF3F35" w:rsidP="00E840CF">
      <w:pPr>
        <w:rPr>
          <w:rFonts w:cstheme="minorHAnsi"/>
        </w:rPr>
      </w:pPr>
      <w:r>
        <w:rPr>
          <w:rFonts w:cstheme="minorHAnsi"/>
        </w:rPr>
        <w:t>Největší část prostředků byla</w:t>
      </w:r>
      <w:r w:rsidR="0003516A">
        <w:rPr>
          <w:rFonts w:cstheme="minorHAnsi"/>
        </w:rPr>
        <w:t xml:space="preserve"> vždy alokována v dotačním okruhu</w:t>
      </w:r>
      <w:r w:rsidR="003C7AE0">
        <w:rPr>
          <w:rStyle w:val="Znakapoznpodarou"/>
          <w:rFonts w:cstheme="minorHAnsi"/>
        </w:rPr>
        <w:footnoteReference w:id="9"/>
      </w:r>
      <w:r w:rsidR="0003516A">
        <w:rPr>
          <w:rFonts w:cstheme="minorHAnsi"/>
        </w:rPr>
        <w:t xml:space="preserve"> </w:t>
      </w:r>
      <w:r w:rsidR="007E2465">
        <w:rPr>
          <w:rFonts w:cstheme="minorHAnsi"/>
        </w:rPr>
        <w:t>„</w:t>
      </w:r>
      <w:r w:rsidR="007E2465" w:rsidRPr="004A09ED">
        <w:rPr>
          <w:rFonts w:cstheme="minorHAnsi"/>
          <w:i/>
        </w:rPr>
        <w:t>v</w:t>
      </w:r>
      <w:r w:rsidR="00E50762" w:rsidRPr="004A09ED">
        <w:rPr>
          <w:rFonts w:cstheme="minorHAnsi"/>
          <w:i/>
        </w:rPr>
        <w:t xml:space="preserve">ýroba </w:t>
      </w:r>
      <w:r w:rsidR="00077AC4" w:rsidRPr="004A09ED">
        <w:rPr>
          <w:rFonts w:cstheme="minorHAnsi"/>
          <w:i/>
        </w:rPr>
        <w:t xml:space="preserve">českého </w:t>
      </w:r>
      <w:r w:rsidR="00E50762" w:rsidRPr="004A09ED">
        <w:rPr>
          <w:rFonts w:cstheme="minorHAnsi"/>
          <w:i/>
        </w:rPr>
        <w:t>kinematografického díla</w:t>
      </w:r>
      <w:r w:rsidR="007E2465">
        <w:rPr>
          <w:rFonts w:cstheme="minorHAnsi"/>
        </w:rPr>
        <w:t>“</w:t>
      </w:r>
      <w:r w:rsidR="00E50762">
        <w:rPr>
          <w:rFonts w:cstheme="minorHAnsi"/>
        </w:rPr>
        <w:t>. Pr</w:t>
      </w:r>
      <w:r w:rsidR="001C0A6E">
        <w:rPr>
          <w:rFonts w:cstheme="minorHAnsi"/>
        </w:rPr>
        <w:t>ojektům</w:t>
      </w:r>
      <w:r w:rsidR="00E91F65">
        <w:rPr>
          <w:rFonts w:cstheme="minorHAnsi"/>
        </w:rPr>
        <w:t>, na které byla</w:t>
      </w:r>
      <w:r w:rsidR="001C0A6E">
        <w:rPr>
          <w:rFonts w:cstheme="minorHAnsi"/>
        </w:rPr>
        <w:t xml:space="preserve"> v letech 2013–</w:t>
      </w:r>
      <w:r w:rsidR="00E50762">
        <w:rPr>
          <w:rFonts w:cstheme="minorHAnsi"/>
        </w:rPr>
        <w:t xml:space="preserve">2015 </w:t>
      </w:r>
      <w:r w:rsidR="00E91F65">
        <w:rPr>
          <w:rFonts w:cstheme="minorHAnsi"/>
        </w:rPr>
        <w:t>požadována podpora,</w:t>
      </w:r>
      <w:r>
        <w:rPr>
          <w:rFonts w:cstheme="minorHAnsi"/>
        </w:rPr>
        <w:t xml:space="preserve"> byla</w:t>
      </w:r>
      <w:r w:rsidR="00E50762">
        <w:rPr>
          <w:rFonts w:cstheme="minorHAnsi"/>
        </w:rPr>
        <w:t xml:space="preserve"> v tomto okruhu vydána rozhodnutí na 65 % celkové částky</w:t>
      </w:r>
      <w:r w:rsidR="008376C5">
        <w:rPr>
          <w:rFonts w:cstheme="minorHAnsi"/>
        </w:rPr>
        <w:t xml:space="preserve"> rozdělené v rámci podpory kinematografie</w:t>
      </w:r>
      <w:r w:rsidR="00E50762">
        <w:rPr>
          <w:rFonts w:cstheme="minorHAnsi"/>
        </w:rPr>
        <w:t>.</w:t>
      </w:r>
      <w:r w:rsidR="00077AC4">
        <w:rPr>
          <w:rFonts w:cstheme="minorHAnsi"/>
        </w:rPr>
        <w:t xml:space="preserve"> </w:t>
      </w:r>
      <w:r w:rsidR="00DE7111">
        <w:rPr>
          <w:rFonts w:cstheme="minorHAnsi"/>
        </w:rPr>
        <w:t xml:space="preserve">Rada svým rozhodnutím podpořila </w:t>
      </w:r>
      <w:r w:rsidR="00077AC4">
        <w:rPr>
          <w:rFonts w:cstheme="minorHAnsi"/>
        </w:rPr>
        <w:t>169 žádost</w:t>
      </w:r>
      <w:r w:rsidR="00A5644C">
        <w:rPr>
          <w:rFonts w:cstheme="minorHAnsi"/>
        </w:rPr>
        <w:t>í</w:t>
      </w:r>
      <w:r w:rsidR="00BD6EAC">
        <w:rPr>
          <w:rFonts w:cstheme="minorHAnsi"/>
        </w:rPr>
        <w:t xml:space="preserve"> </w:t>
      </w:r>
      <w:r w:rsidR="00E91F65">
        <w:rPr>
          <w:rFonts w:cstheme="minorHAnsi"/>
        </w:rPr>
        <w:t xml:space="preserve">za </w:t>
      </w:r>
      <w:r w:rsidR="00077AC4">
        <w:rPr>
          <w:rFonts w:cstheme="minorHAnsi"/>
        </w:rPr>
        <w:t>téměř</w:t>
      </w:r>
      <w:r w:rsidR="00A5644C">
        <w:rPr>
          <w:rFonts w:cstheme="minorHAnsi"/>
        </w:rPr>
        <w:t xml:space="preserve"> </w:t>
      </w:r>
      <w:r w:rsidR="00077AC4">
        <w:rPr>
          <w:rFonts w:cstheme="minorHAnsi"/>
        </w:rPr>
        <w:t>320</w:t>
      </w:r>
      <w:r w:rsidR="005C5654">
        <w:rPr>
          <w:rFonts w:cstheme="minorHAnsi"/>
        </w:rPr>
        <w:t> </w:t>
      </w:r>
      <w:r w:rsidR="00077AC4">
        <w:rPr>
          <w:rFonts w:cstheme="minorHAnsi"/>
        </w:rPr>
        <w:t>mil.</w:t>
      </w:r>
      <w:r w:rsidR="005C5654">
        <w:rPr>
          <w:rFonts w:cstheme="minorHAnsi"/>
        </w:rPr>
        <w:t> </w:t>
      </w:r>
      <w:r w:rsidR="00077AC4">
        <w:rPr>
          <w:rFonts w:cstheme="minorHAnsi"/>
        </w:rPr>
        <w:t xml:space="preserve">Kč. </w:t>
      </w:r>
    </w:p>
    <w:p w:rsidR="001C0CBE" w:rsidRDefault="00E50762" w:rsidP="00ED4646">
      <w:r>
        <w:t>SFK dále poskytuje prostředky n</w:t>
      </w:r>
      <w:r w:rsidR="00016EEB">
        <w:t>a dofinancování projektů podpořených v předchozích letech</w:t>
      </w:r>
      <w:r w:rsidR="003564AE">
        <w:t xml:space="preserve">, tedy v působnosti </w:t>
      </w:r>
      <w:r>
        <w:t>SFPRČK.</w:t>
      </w:r>
      <w:r w:rsidR="00E5382E">
        <w:t xml:space="preserve"> </w:t>
      </w:r>
      <w:r w:rsidR="00171013">
        <w:t xml:space="preserve">V roce 2013 byly vypláceny prostředky pouze projektům podpořeným SFPRČK. </w:t>
      </w:r>
      <w:r w:rsidR="001C0CBE">
        <w:t>V souvislosti s dokončováním těchto projek</w:t>
      </w:r>
      <w:r w:rsidR="00A4278E">
        <w:t>tů tyto částky postupně klesají. O</w:t>
      </w:r>
      <w:r w:rsidR="001C0CBE">
        <w:t xml:space="preserve">d roku 2014 SFK </w:t>
      </w:r>
      <w:r w:rsidR="00E91F65">
        <w:t xml:space="preserve">vyplácel </w:t>
      </w:r>
      <w:r w:rsidR="001C0CBE">
        <w:t>podporu převážně projektům podpořený</w:t>
      </w:r>
      <w:r w:rsidR="00E91F65">
        <w:t>m</w:t>
      </w:r>
      <w:r w:rsidR="001C0CBE">
        <w:t xml:space="preserve"> podle zákona o</w:t>
      </w:r>
      <w:r w:rsidR="005C5654">
        <w:t> </w:t>
      </w:r>
      <w:r w:rsidR="001C0CBE">
        <w:t>audiovizi.</w:t>
      </w:r>
    </w:p>
    <w:p w:rsidR="00A5644C" w:rsidRDefault="00A5644C">
      <w:pPr>
        <w:spacing w:before="0" w:after="200" w:line="276" w:lineRule="auto"/>
        <w:jc w:val="left"/>
        <w:rPr>
          <w:szCs w:val="22"/>
        </w:rPr>
      </w:pPr>
      <w:r>
        <w:br w:type="page"/>
      </w:r>
    </w:p>
    <w:p w:rsidR="00171013" w:rsidRPr="00ED537C" w:rsidRDefault="00BF1291" w:rsidP="00BF1291">
      <w:pPr>
        <w:pStyle w:val="Nzevtabulky"/>
        <w:numPr>
          <w:ilvl w:val="0"/>
          <w:numId w:val="0"/>
        </w:numPr>
        <w:tabs>
          <w:tab w:val="right" w:pos="9072"/>
        </w:tabs>
        <w:rPr>
          <w:b/>
        </w:rPr>
      </w:pPr>
      <w:r>
        <w:rPr>
          <w:b/>
        </w:rPr>
        <w:lastRenderedPageBreak/>
        <w:t>Tabulka č. 3 –</w:t>
      </w:r>
      <w:r w:rsidR="00E91F65">
        <w:rPr>
          <w:b/>
        </w:rPr>
        <w:t xml:space="preserve"> P</w:t>
      </w:r>
      <w:r w:rsidR="00171013" w:rsidRPr="00ED537C">
        <w:rPr>
          <w:b/>
        </w:rPr>
        <w:t xml:space="preserve">odpora </w:t>
      </w:r>
      <w:r w:rsidR="00E91F65">
        <w:rPr>
          <w:b/>
        </w:rPr>
        <w:t>v</w:t>
      </w:r>
      <w:r w:rsidR="00E91F65" w:rsidRPr="00ED537C">
        <w:rPr>
          <w:b/>
        </w:rPr>
        <w:t xml:space="preserve">yplacená </w:t>
      </w:r>
      <w:r w:rsidR="00171013" w:rsidRPr="00ED537C">
        <w:rPr>
          <w:b/>
        </w:rPr>
        <w:t xml:space="preserve">v letech 2013–2015 </w:t>
      </w:r>
      <w:r w:rsidR="00ED537C">
        <w:rPr>
          <w:b/>
        </w:rPr>
        <w:tab/>
      </w:r>
      <w:r w:rsidR="00171013" w:rsidRPr="00ED537C">
        <w:rPr>
          <w:b/>
        </w:rPr>
        <w:t>(v Kč)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194"/>
        <w:gridCol w:w="2302"/>
        <w:gridCol w:w="2303"/>
        <w:gridCol w:w="2303"/>
      </w:tblGrid>
      <w:tr w:rsidR="00171013" w:rsidTr="004A09ED">
        <w:tc>
          <w:tcPr>
            <w:tcW w:w="2194" w:type="dxa"/>
            <w:shd w:val="clear" w:color="auto" w:fill="D9D9D9" w:themeFill="background1" w:themeFillShade="D9"/>
            <w:vAlign w:val="center"/>
          </w:tcPr>
          <w:p w:rsidR="00171013" w:rsidRDefault="00171013" w:rsidP="00171013">
            <w:pPr>
              <w:pStyle w:val="tabulka"/>
              <w:jc w:val="center"/>
            </w:pP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:rsidR="00171013" w:rsidRPr="00A267EC" w:rsidRDefault="00171013" w:rsidP="00171013">
            <w:pPr>
              <w:pStyle w:val="tabulka"/>
              <w:jc w:val="center"/>
              <w:rPr>
                <w:b/>
              </w:rPr>
            </w:pPr>
            <w:r w:rsidRPr="00A267EC">
              <w:rPr>
                <w:b/>
              </w:rPr>
              <w:t>2013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71013" w:rsidRPr="00A267EC" w:rsidRDefault="00171013" w:rsidP="00171013">
            <w:pPr>
              <w:pStyle w:val="tabulka"/>
              <w:jc w:val="center"/>
              <w:rPr>
                <w:b/>
              </w:rPr>
            </w:pPr>
            <w:r w:rsidRPr="00A267EC">
              <w:rPr>
                <w:b/>
              </w:rPr>
              <w:t>2014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71013" w:rsidRPr="00A267EC" w:rsidRDefault="00171013" w:rsidP="00171013">
            <w:pPr>
              <w:pStyle w:val="tabulka"/>
              <w:jc w:val="center"/>
              <w:rPr>
                <w:b/>
              </w:rPr>
            </w:pPr>
            <w:r w:rsidRPr="00A267EC">
              <w:rPr>
                <w:b/>
              </w:rPr>
              <w:t>2015</w:t>
            </w:r>
          </w:p>
        </w:tc>
      </w:tr>
      <w:tr w:rsidR="00171013" w:rsidTr="004A09ED">
        <w:tc>
          <w:tcPr>
            <w:tcW w:w="2194" w:type="dxa"/>
          </w:tcPr>
          <w:p w:rsidR="00171013" w:rsidRDefault="00171013" w:rsidP="00171013">
            <w:pPr>
              <w:pStyle w:val="tabulka"/>
            </w:pPr>
            <w:r>
              <w:t>Projekty SFPRČK</w:t>
            </w:r>
          </w:p>
        </w:tc>
        <w:tc>
          <w:tcPr>
            <w:tcW w:w="2302" w:type="dxa"/>
            <w:vAlign w:val="center"/>
          </w:tcPr>
          <w:p w:rsidR="00171013" w:rsidRDefault="00171013" w:rsidP="00171013">
            <w:pPr>
              <w:pStyle w:val="tabulka"/>
              <w:jc w:val="right"/>
            </w:pPr>
            <w:r>
              <w:t>79 845 267,50</w:t>
            </w:r>
          </w:p>
        </w:tc>
        <w:tc>
          <w:tcPr>
            <w:tcW w:w="2303" w:type="dxa"/>
            <w:vAlign w:val="center"/>
          </w:tcPr>
          <w:p w:rsidR="00171013" w:rsidRDefault="00171013" w:rsidP="00171013">
            <w:pPr>
              <w:pStyle w:val="tabulka"/>
              <w:jc w:val="right"/>
            </w:pPr>
            <w:r>
              <w:t>72 501 000,00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71013" w:rsidRDefault="00171013" w:rsidP="00171013">
            <w:pPr>
              <w:pStyle w:val="tabulka"/>
              <w:jc w:val="right"/>
            </w:pPr>
            <w:r>
              <w:t>15 852 000,00</w:t>
            </w:r>
          </w:p>
        </w:tc>
      </w:tr>
      <w:tr w:rsidR="00171013" w:rsidTr="004A09ED">
        <w:tc>
          <w:tcPr>
            <w:tcW w:w="2194" w:type="dxa"/>
          </w:tcPr>
          <w:p w:rsidR="00171013" w:rsidRDefault="00171013" w:rsidP="00171013">
            <w:pPr>
              <w:pStyle w:val="tabulka"/>
            </w:pPr>
            <w:r>
              <w:t>Projekty SFK</w:t>
            </w:r>
          </w:p>
        </w:tc>
        <w:tc>
          <w:tcPr>
            <w:tcW w:w="2302" w:type="dxa"/>
            <w:vAlign w:val="center"/>
          </w:tcPr>
          <w:p w:rsidR="00171013" w:rsidRPr="00D562AF" w:rsidRDefault="00171013" w:rsidP="00171013">
            <w:pPr>
              <w:pStyle w:val="tabulka"/>
              <w:jc w:val="right"/>
            </w:pPr>
            <w:r w:rsidRPr="00D562AF">
              <w:t>0,00</w:t>
            </w:r>
          </w:p>
        </w:tc>
        <w:tc>
          <w:tcPr>
            <w:tcW w:w="2303" w:type="dxa"/>
            <w:vAlign w:val="center"/>
          </w:tcPr>
          <w:p w:rsidR="00171013" w:rsidRPr="00D562AF" w:rsidRDefault="00171013" w:rsidP="00171013">
            <w:pPr>
              <w:pStyle w:val="tabulka"/>
              <w:jc w:val="right"/>
            </w:pPr>
            <w:r w:rsidRPr="00D562AF">
              <w:t>129 396 770,00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71013" w:rsidRDefault="00171013" w:rsidP="00171013">
            <w:pPr>
              <w:pStyle w:val="tabulka"/>
              <w:jc w:val="right"/>
            </w:pPr>
            <w:r w:rsidRPr="00D562AF">
              <w:t>141 069 999,10</w:t>
            </w:r>
          </w:p>
        </w:tc>
      </w:tr>
      <w:tr w:rsidR="00171013" w:rsidRPr="00A55653" w:rsidTr="004A09ED">
        <w:tc>
          <w:tcPr>
            <w:tcW w:w="2194" w:type="dxa"/>
          </w:tcPr>
          <w:p w:rsidR="00171013" w:rsidRPr="00A55653" w:rsidRDefault="00171013" w:rsidP="00171013">
            <w:pPr>
              <w:pStyle w:val="tabulka"/>
              <w:rPr>
                <w:b/>
              </w:rPr>
            </w:pPr>
            <w:r w:rsidRPr="00A55653">
              <w:rPr>
                <w:b/>
              </w:rPr>
              <w:t>Celkem</w:t>
            </w:r>
          </w:p>
        </w:tc>
        <w:tc>
          <w:tcPr>
            <w:tcW w:w="2302" w:type="dxa"/>
            <w:vAlign w:val="center"/>
          </w:tcPr>
          <w:p w:rsidR="00171013" w:rsidRPr="00A55653" w:rsidRDefault="00171013" w:rsidP="00171013">
            <w:pPr>
              <w:pStyle w:val="tabulka"/>
              <w:jc w:val="right"/>
              <w:rPr>
                <w:b/>
              </w:rPr>
            </w:pPr>
            <w:r w:rsidRPr="00A55653">
              <w:rPr>
                <w:b/>
              </w:rPr>
              <w:t>79 845 267,50</w:t>
            </w:r>
          </w:p>
        </w:tc>
        <w:tc>
          <w:tcPr>
            <w:tcW w:w="2303" w:type="dxa"/>
            <w:vAlign w:val="center"/>
          </w:tcPr>
          <w:p w:rsidR="00171013" w:rsidRPr="00A55653" w:rsidRDefault="00171013" w:rsidP="00171013">
            <w:pPr>
              <w:pStyle w:val="tabulka"/>
              <w:jc w:val="right"/>
              <w:rPr>
                <w:b/>
              </w:rPr>
            </w:pPr>
            <w:r w:rsidRPr="00A55653">
              <w:rPr>
                <w:b/>
              </w:rPr>
              <w:t>201 897 770,00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71013" w:rsidRPr="00A55653" w:rsidRDefault="00171013" w:rsidP="00171013">
            <w:pPr>
              <w:pStyle w:val="tabulka"/>
              <w:jc w:val="right"/>
              <w:rPr>
                <w:b/>
              </w:rPr>
            </w:pPr>
            <w:r w:rsidRPr="00A55653">
              <w:rPr>
                <w:b/>
              </w:rPr>
              <w:t>156 921 999,10</w:t>
            </w:r>
          </w:p>
        </w:tc>
      </w:tr>
    </w:tbl>
    <w:p w:rsidR="00171013" w:rsidRPr="00ED537C" w:rsidRDefault="00171013" w:rsidP="009509E5">
      <w:pPr>
        <w:pStyle w:val="Poznmka"/>
      </w:pPr>
      <w:r w:rsidRPr="00ED537C">
        <w:rPr>
          <w:b/>
        </w:rPr>
        <w:t>Zdroj:</w:t>
      </w:r>
      <w:r w:rsidRPr="00ED537C">
        <w:t xml:space="preserve"> </w:t>
      </w:r>
      <w:r w:rsidR="00E91F65">
        <w:t>o</w:t>
      </w:r>
      <w:r w:rsidRPr="00ED537C">
        <w:t xml:space="preserve">pisy účetních položek </w:t>
      </w:r>
      <w:r w:rsidR="00466A74" w:rsidRPr="00ED537C">
        <w:t>SFK</w:t>
      </w:r>
      <w:r w:rsidR="00B30275" w:rsidRPr="00ED537C">
        <w:t>.</w:t>
      </w:r>
    </w:p>
    <w:p w:rsidR="00A70F2F" w:rsidRDefault="008F627E" w:rsidP="00ED4646">
      <w:r>
        <w:t>Kontrol</w:t>
      </w:r>
      <w:r w:rsidR="00466A74">
        <w:t>ou</w:t>
      </w:r>
      <w:r>
        <w:t xml:space="preserve"> NKÚ </w:t>
      </w:r>
      <w:r w:rsidR="00466A74">
        <w:t xml:space="preserve">bylo prověřeno </w:t>
      </w:r>
      <w:r>
        <w:t>rozhodování o poskytnutí podpory kinematografie, které</w:t>
      </w:r>
      <w:r w:rsidR="003564AE">
        <w:t xml:space="preserve"> je</w:t>
      </w:r>
      <w:r>
        <w:t xml:space="preserve"> v kompetenci Rady</w:t>
      </w:r>
      <w:r w:rsidR="00E91F65">
        <w:t>.</w:t>
      </w:r>
      <w:r w:rsidR="008A7765">
        <w:rPr>
          <w:rStyle w:val="Znakapoznpodarou"/>
        </w:rPr>
        <w:footnoteReference w:id="10"/>
      </w:r>
      <w:r>
        <w:t xml:space="preserve"> Jako vzorek bylo vybráno celkem dvanáct výzev </w:t>
      </w:r>
      <w:r w:rsidR="00A5644C">
        <w:t>pro podávání žádostí o </w:t>
      </w:r>
      <w:r w:rsidR="00F70874">
        <w:t>podporu.</w:t>
      </w:r>
    </w:p>
    <w:p w:rsidR="00097A36" w:rsidRDefault="00C36283" w:rsidP="00097A36">
      <w:r>
        <w:t>V bodovém hodnocení</w:t>
      </w:r>
      <w:r w:rsidR="004705EE">
        <w:t>, které probíhá anonymně,</w:t>
      </w:r>
      <w:r w:rsidR="00BD6EAC">
        <w:t xml:space="preserve"> </w:t>
      </w:r>
      <w:r w:rsidR="00754C13">
        <w:t xml:space="preserve">byly </w:t>
      </w:r>
      <w:r w:rsidR="004705EE">
        <w:t xml:space="preserve">u čtyř výzev </w:t>
      </w:r>
      <w:r w:rsidR="00754C13">
        <w:t xml:space="preserve">kontrolou zjištěny výrazné rozdíly v bodování týchž projektů jednotlivými členy Rady. Rozdíly </w:t>
      </w:r>
      <w:r w:rsidR="00E5382E">
        <w:t xml:space="preserve">byly v každé výzvě </w:t>
      </w:r>
      <w:r w:rsidR="00AF3F35">
        <w:t>vždy u </w:t>
      </w:r>
      <w:r w:rsidR="00754C13">
        <w:t xml:space="preserve">několika projektů </w:t>
      </w:r>
      <w:r w:rsidR="00142F32">
        <w:t>50</w:t>
      </w:r>
      <w:r w:rsidR="00754C13">
        <w:t xml:space="preserve"> </w:t>
      </w:r>
      <w:r w:rsidR="00311AD3" w:rsidRPr="00311AD3">
        <w:t>a</w:t>
      </w:r>
      <w:r w:rsidR="00311AD3">
        <w:t> </w:t>
      </w:r>
      <w:r w:rsidR="00E5382E" w:rsidRPr="00311AD3">
        <w:t>více</w:t>
      </w:r>
      <w:r w:rsidR="00E5382E">
        <w:t xml:space="preserve"> </w:t>
      </w:r>
      <w:r w:rsidR="00754C13">
        <w:t xml:space="preserve">bodů. Zjištěn byl i případ, kdy témuž projektu jeden hodnotitel přidělil 23 a jiný 97 bodů z celkových 100 možných. </w:t>
      </w:r>
      <w:r w:rsidR="00097A36">
        <w:t xml:space="preserve">Jednotlivá hodnocení </w:t>
      </w:r>
      <w:r w:rsidR="00692FC4">
        <w:t>neobsahovala žádná zdůvodnění a</w:t>
      </w:r>
      <w:r w:rsidR="00527D6D">
        <w:t xml:space="preserve"> </w:t>
      </w:r>
      <w:r w:rsidR="00097A36">
        <w:t>stejně tak ani samotné rozdělování alokace mezi jednotlivé projekty neobsahovalo komentář zdůvodňující výši dotace.</w:t>
      </w:r>
      <w:r w:rsidR="00097A36" w:rsidRPr="00097A36">
        <w:t xml:space="preserve"> </w:t>
      </w:r>
      <w:r w:rsidR="00097A36">
        <w:t>Při</w:t>
      </w:r>
      <w:r w:rsidR="00527D6D">
        <w:t xml:space="preserve"> </w:t>
      </w:r>
      <w:r w:rsidR="00097A36" w:rsidRPr="00107204">
        <w:t>těchto</w:t>
      </w:r>
      <w:r w:rsidR="00097A36">
        <w:t xml:space="preserve"> rozhodováních</w:t>
      </w:r>
      <w:r w:rsidR="001C0CBE">
        <w:t xml:space="preserve"> bylo rozděleno </w:t>
      </w:r>
      <w:r w:rsidR="00E33D1C">
        <w:t>téměř</w:t>
      </w:r>
      <w:r w:rsidR="00527D6D">
        <w:t xml:space="preserve"> </w:t>
      </w:r>
      <w:r w:rsidR="001C0CBE">
        <w:t>72,</w:t>
      </w:r>
      <w:r w:rsidR="00E33D1C">
        <w:t>6</w:t>
      </w:r>
      <w:r w:rsidR="001C0CBE">
        <w:t> </w:t>
      </w:r>
      <w:r w:rsidR="00E33D1C">
        <w:t>mil. </w:t>
      </w:r>
      <w:r w:rsidR="00097A36" w:rsidRPr="00107204">
        <w:t>Kč.</w:t>
      </w:r>
    </w:p>
    <w:p w:rsidR="00097A36" w:rsidRPr="003A4FD7" w:rsidRDefault="00097A36" w:rsidP="00097A36">
      <w:r w:rsidRPr="0051285E">
        <w:rPr>
          <w:b/>
        </w:rPr>
        <w:t>Uvedené anonymní hodnocení projektů bez odůvodňování</w:t>
      </w:r>
      <w:r w:rsidRPr="00097A36">
        <w:t xml:space="preserve"> přiděleného počtu bodů a následné rozdělování alokovaných prostředků </w:t>
      </w:r>
      <w:r w:rsidRPr="009103D4">
        <w:rPr>
          <w:b/>
        </w:rPr>
        <w:t>nelze považovat za transparentní postup rozhodování</w:t>
      </w:r>
      <w:r w:rsidRPr="00097A36">
        <w:t xml:space="preserve"> o podpoře kinematografie. </w:t>
      </w:r>
    </w:p>
    <w:p w:rsidR="00A23057" w:rsidRPr="00097A36" w:rsidRDefault="00D03922" w:rsidP="00DD1EFF">
      <w:r w:rsidRPr="00DA31D6">
        <w:t>Tyto nedostatky byly zjištěny ve dvou výzvách</w:t>
      </w:r>
      <w:r w:rsidR="00527D6D">
        <w:t xml:space="preserve"> </w:t>
      </w:r>
      <w:r w:rsidRPr="00DA31D6">
        <w:t xml:space="preserve">okruhu </w:t>
      </w:r>
      <w:r w:rsidR="00527D6D">
        <w:t>„</w:t>
      </w:r>
      <w:r w:rsidR="00527D6D" w:rsidRPr="004A09ED">
        <w:rPr>
          <w:i/>
        </w:rPr>
        <w:t>v</w:t>
      </w:r>
      <w:r w:rsidRPr="004A09ED">
        <w:rPr>
          <w:i/>
        </w:rPr>
        <w:t>ýro</w:t>
      </w:r>
      <w:r w:rsidR="001C37B9" w:rsidRPr="004A09ED">
        <w:rPr>
          <w:i/>
        </w:rPr>
        <w:t>ba</w:t>
      </w:r>
      <w:r w:rsidR="00077AC4" w:rsidRPr="004A09ED">
        <w:rPr>
          <w:i/>
        </w:rPr>
        <w:t xml:space="preserve"> českého</w:t>
      </w:r>
      <w:r w:rsidR="001C37B9" w:rsidRPr="004A09ED">
        <w:rPr>
          <w:i/>
        </w:rPr>
        <w:t xml:space="preserve"> kinematografického díla</w:t>
      </w:r>
      <w:r w:rsidR="00527D6D">
        <w:t>“</w:t>
      </w:r>
      <w:r w:rsidR="001C37B9" w:rsidRPr="00DA31D6">
        <w:t>, kde </w:t>
      </w:r>
      <w:r w:rsidR="00527D6D">
        <w:t xml:space="preserve"> </w:t>
      </w:r>
      <w:r w:rsidRPr="00DA31D6">
        <w:t xml:space="preserve">jsou rozdělovány nejvýznamnější prostředky, </w:t>
      </w:r>
      <w:r w:rsidR="00527D6D">
        <w:t xml:space="preserve">dále v </w:t>
      </w:r>
      <w:r w:rsidRPr="00DA31D6">
        <w:t>jedn</w:t>
      </w:r>
      <w:r w:rsidR="00883139">
        <w:t>é výzvě okru</w:t>
      </w:r>
      <w:r w:rsidR="00527D6D">
        <w:t>hu</w:t>
      </w:r>
      <w:r w:rsidR="00883139">
        <w:t xml:space="preserve"> </w:t>
      </w:r>
      <w:r w:rsidR="00527D6D">
        <w:t>„</w:t>
      </w:r>
      <w:r w:rsidR="00527D6D" w:rsidRPr="004A09ED">
        <w:rPr>
          <w:i/>
        </w:rPr>
        <w:t>v</w:t>
      </w:r>
      <w:r w:rsidR="00E5382E" w:rsidRPr="004A09ED">
        <w:rPr>
          <w:i/>
        </w:rPr>
        <w:t>zdělávání a</w:t>
      </w:r>
      <w:r w:rsidR="00527D6D" w:rsidRPr="004A09ED">
        <w:rPr>
          <w:i/>
        </w:rPr>
        <w:t xml:space="preserve"> </w:t>
      </w:r>
      <w:r w:rsidRPr="004A09ED">
        <w:rPr>
          <w:i/>
        </w:rPr>
        <w:t>výchova v oblasti kinematografie</w:t>
      </w:r>
      <w:r w:rsidR="00527D6D">
        <w:t>“</w:t>
      </w:r>
      <w:r w:rsidRPr="00DA31D6">
        <w:t xml:space="preserve"> a </w:t>
      </w:r>
      <w:r w:rsidR="00527D6D">
        <w:t>v jedné výzvě okruhu „</w:t>
      </w:r>
      <w:r w:rsidR="00527D6D" w:rsidRPr="004A09ED">
        <w:rPr>
          <w:i/>
        </w:rPr>
        <w:t>f</w:t>
      </w:r>
      <w:r w:rsidRPr="004A09ED">
        <w:rPr>
          <w:i/>
        </w:rPr>
        <w:t>ilmový festival a</w:t>
      </w:r>
      <w:r w:rsidR="007E5DC2">
        <w:rPr>
          <w:i/>
        </w:rPr>
        <w:t> </w:t>
      </w:r>
      <w:r w:rsidRPr="004A09ED">
        <w:rPr>
          <w:i/>
        </w:rPr>
        <w:t>přehlídka</w:t>
      </w:r>
      <w:r w:rsidR="00F22687" w:rsidRPr="004A09ED">
        <w:rPr>
          <w:i/>
        </w:rPr>
        <w:t xml:space="preserve"> v oblasti kinematografie</w:t>
      </w:r>
      <w:r w:rsidR="00527D6D">
        <w:t>“</w:t>
      </w:r>
      <w:r w:rsidRPr="00DA31D6">
        <w:t xml:space="preserve">. </w:t>
      </w:r>
      <w:r w:rsidR="00A23057">
        <w:t>Jednalo se o rozhodování v letech 2013 a 2014. SFK postupně vypracovává manuály k bodovému hodnocení, které by měly zjištěné nedostatky odstranit</w:t>
      </w:r>
      <w:r w:rsidR="00527D6D">
        <w:t>,</w:t>
      </w:r>
      <w:r w:rsidR="00A23057">
        <w:t xml:space="preserve"> a v průběhu roku 2015 také začal zveřejňovat komentáře ke sv</w:t>
      </w:r>
      <w:r w:rsidR="00527D6D">
        <w:t>ým</w:t>
      </w:r>
      <w:r w:rsidR="00A23057">
        <w:t xml:space="preserve"> hodnocení</w:t>
      </w:r>
      <w:r w:rsidR="00527D6D">
        <w:t>m</w:t>
      </w:r>
      <w:r w:rsidR="00A23057">
        <w:t xml:space="preserve"> a</w:t>
      </w:r>
      <w:r w:rsidR="007E5DC2">
        <w:t> </w:t>
      </w:r>
      <w:r w:rsidR="00A23057">
        <w:t>posuzovaným projektům.</w:t>
      </w:r>
    </w:p>
    <w:p w:rsidR="00C637AB" w:rsidRPr="00C637AB" w:rsidRDefault="00C637AB" w:rsidP="00C637AB">
      <w:r w:rsidRPr="00C637AB">
        <w:t>Kontrolou bylo dále zjištěno, že Rada vyhověla čtyřem žádostem o prodloužení lhůty pro</w:t>
      </w:r>
      <w:r w:rsidR="00527D6D">
        <w:t xml:space="preserve"> </w:t>
      </w:r>
      <w:r w:rsidRPr="00C637AB">
        <w:t xml:space="preserve">dokončení projektu, </w:t>
      </w:r>
      <w:r w:rsidR="00ED2C9D">
        <w:t>i když tyto žádosti</w:t>
      </w:r>
      <w:r w:rsidRPr="00C637AB">
        <w:t xml:space="preserve"> nebyly podány v termínu, </w:t>
      </w:r>
      <w:r w:rsidR="00527D6D">
        <w:t>jejž</w:t>
      </w:r>
      <w:r w:rsidRPr="00C637AB">
        <w:t xml:space="preserve"> stanoví rozhodnutí o podpoře kinematografie. Ostatní příjemci </w:t>
      </w:r>
      <w:r w:rsidR="00466A74">
        <w:t xml:space="preserve">tak </w:t>
      </w:r>
      <w:r w:rsidR="002A57B9">
        <w:t>měli v</w:t>
      </w:r>
      <w:r w:rsidR="00527D6D">
        <w:t> </w:t>
      </w:r>
      <w:r w:rsidRPr="001F333C">
        <w:rPr>
          <w:b/>
        </w:rPr>
        <w:t>důsledku</w:t>
      </w:r>
      <w:r w:rsidR="00527D6D">
        <w:rPr>
          <w:b/>
        </w:rPr>
        <w:t xml:space="preserve"> tohoto</w:t>
      </w:r>
      <w:r w:rsidRPr="001F333C">
        <w:rPr>
          <w:b/>
        </w:rPr>
        <w:t xml:space="preserve"> postupu Rady </w:t>
      </w:r>
      <w:r w:rsidRPr="009103D4">
        <w:rPr>
          <w:b/>
        </w:rPr>
        <w:t>nedůvodně rozdílné podmínky</w:t>
      </w:r>
      <w:r w:rsidR="002A57B9" w:rsidRPr="004A09ED">
        <w:rPr>
          <w:rStyle w:val="Znakapoznpodarou"/>
          <w:b/>
        </w:rPr>
        <w:footnoteReference w:id="11"/>
      </w:r>
      <w:r w:rsidRPr="004A09ED">
        <w:rPr>
          <w:b/>
        </w:rPr>
        <w:t>.</w:t>
      </w:r>
    </w:p>
    <w:p w:rsidR="00C637AB" w:rsidRDefault="009103D4" w:rsidP="00DD1EFF">
      <w:r w:rsidRPr="0047027A">
        <w:rPr>
          <w:b/>
        </w:rPr>
        <w:t>Rada</w:t>
      </w:r>
      <w:r w:rsidR="001F333C">
        <w:rPr>
          <w:b/>
        </w:rPr>
        <w:t xml:space="preserve"> v jednom případě</w:t>
      </w:r>
      <w:r w:rsidRPr="0047027A">
        <w:rPr>
          <w:b/>
        </w:rPr>
        <w:t xml:space="preserve"> vydala </w:t>
      </w:r>
      <w:r w:rsidR="00527D6D" w:rsidRPr="0047027A">
        <w:rPr>
          <w:b/>
        </w:rPr>
        <w:t>po</w:t>
      </w:r>
      <w:r w:rsidR="00527D6D">
        <w:rPr>
          <w:b/>
        </w:rPr>
        <w:t xml:space="preserve"> </w:t>
      </w:r>
      <w:r w:rsidR="00527D6D" w:rsidRPr="0047027A">
        <w:rPr>
          <w:b/>
        </w:rPr>
        <w:t>vyúčtování</w:t>
      </w:r>
      <w:r w:rsidR="00527D6D">
        <w:rPr>
          <w:b/>
        </w:rPr>
        <w:t xml:space="preserve"> projektu</w:t>
      </w:r>
      <w:r w:rsidR="00527D6D" w:rsidRPr="0047027A">
        <w:rPr>
          <w:b/>
        </w:rPr>
        <w:t xml:space="preserve"> </w:t>
      </w:r>
      <w:r w:rsidRPr="0047027A">
        <w:rPr>
          <w:b/>
        </w:rPr>
        <w:t>rozhodnutí o změně podmínek</w:t>
      </w:r>
      <w:r w:rsidR="008C7CB3">
        <w:rPr>
          <w:b/>
        </w:rPr>
        <w:t xml:space="preserve"> poskytnutí podpory kinematografie</w:t>
      </w:r>
      <w:r w:rsidR="00311AD3">
        <w:rPr>
          <w:b/>
        </w:rPr>
        <w:t>.</w:t>
      </w:r>
      <w:r w:rsidR="008C7CB3">
        <w:rPr>
          <w:b/>
        </w:rPr>
        <w:t xml:space="preserve"> Tímto rozhodnutím umožnila příjemci nevrátit část poskytnuté dotace, jak mu stanovilo původní rozhodnutí</w:t>
      </w:r>
      <w:r w:rsidR="00153658">
        <w:rPr>
          <w:b/>
        </w:rPr>
        <w:t xml:space="preserve">, </w:t>
      </w:r>
      <w:r w:rsidR="00915181">
        <w:rPr>
          <w:b/>
        </w:rPr>
        <w:t>přestože se</w:t>
      </w:r>
      <w:r w:rsidR="00311AD3">
        <w:rPr>
          <w:b/>
        </w:rPr>
        <w:t xml:space="preserve"> jejím nevrácením ke dni vyúčtování</w:t>
      </w:r>
      <w:r w:rsidR="00915181">
        <w:rPr>
          <w:b/>
        </w:rPr>
        <w:t xml:space="preserve"> </w:t>
      </w:r>
      <w:r w:rsidR="003600B9">
        <w:rPr>
          <w:b/>
        </w:rPr>
        <w:t xml:space="preserve">již </w:t>
      </w:r>
      <w:r w:rsidR="00915181">
        <w:rPr>
          <w:b/>
        </w:rPr>
        <w:t>dopustil porušení rozpočtové kázně</w:t>
      </w:r>
      <w:r w:rsidR="00FA1A08">
        <w:rPr>
          <w:b/>
        </w:rPr>
        <w:t xml:space="preserve">. </w:t>
      </w:r>
      <w:r w:rsidR="00FF2EBC">
        <w:t>Rozhodnutím o </w:t>
      </w:r>
      <w:r w:rsidR="00FA1A08">
        <w:t xml:space="preserve">podpoře </w:t>
      </w:r>
      <w:r w:rsidR="00FA1A08">
        <w:lastRenderedPageBreak/>
        <w:t>kinematografie j</w:t>
      </w:r>
      <w:r w:rsidR="008F33F7">
        <w:t xml:space="preserve">e mimo jiné závazně stanovena </w:t>
      </w:r>
      <w:r w:rsidR="00FA1A08">
        <w:t>maximální intenzita veřejné podpory projektu. Čerpané prostředky, které tuto míru přesahují, je příjemce ke dni vyúčtování povinen vrátit na účet SFK. Kontro</w:t>
      </w:r>
      <w:r w:rsidR="00311AD3">
        <w:t>lou NKÚ byl zjištěn případ, kdy </w:t>
      </w:r>
      <w:r w:rsidR="00FA1A08">
        <w:t xml:space="preserve">jeden z příjemců </w:t>
      </w:r>
      <w:r w:rsidR="00B626AC">
        <w:t>maximální intenzitu nedodržel</w:t>
      </w:r>
      <w:r w:rsidR="00237467">
        <w:t>, čímž</w:t>
      </w:r>
      <w:r w:rsidR="00FA1A08">
        <w:t xml:space="preserve"> mu vznikla povinnost vrátit 53,5 tis. Kč. </w:t>
      </w:r>
      <w:r w:rsidR="00237467">
        <w:t>Namísto toho</w:t>
      </w:r>
      <w:r w:rsidR="00AA5F19">
        <w:t xml:space="preserve"> </w:t>
      </w:r>
      <w:r w:rsidR="00FA1A08">
        <w:t>spolu s vyúčtováním předložil žádost o navýšení maximální intenzity veřejné podpory. Rada žádosti vyhověla a vydala rozhodnutí o změně, přestože</w:t>
      </w:r>
      <w:r w:rsidR="00153658">
        <w:t xml:space="preserve"> příjemce </w:t>
      </w:r>
      <w:r w:rsidR="00FF5310">
        <w:t xml:space="preserve">se nesplněním povinnosti vrátit 53,5 tis. Kč </w:t>
      </w:r>
      <w:r w:rsidR="00153658">
        <w:t xml:space="preserve">dopustil </w:t>
      </w:r>
      <w:r w:rsidR="00077AC4">
        <w:t xml:space="preserve">porušení </w:t>
      </w:r>
      <w:r w:rsidR="00153658">
        <w:t xml:space="preserve">rozpočtové </w:t>
      </w:r>
      <w:r w:rsidR="00153658" w:rsidRPr="00FA1A08">
        <w:t>kázně</w:t>
      </w:r>
      <w:r w:rsidR="00153658" w:rsidRPr="00FA1A08">
        <w:rPr>
          <w:rStyle w:val="Znakapoznpodarou"/>
        </w:rPr>
        <w:footnoteReference w:id="12"/>
      </w:r>
      <w:r w:rsidR="00FF5310">
        <w:t>.</w:t>
      </w:r>
    </w:p>
    <w:p w:rsidR="00C637AB" w:rsidRPr="00EC0225" w:rsidRDefault="007D3A36" w:rsidP="004C687B">
      <w:r>
        <w:rPr>
          <w:b/>
        </w:rPr>
        <w:t>SFK nezajistil předběžnou kontrolu při řízení veřejných výdajů</w:t>
      </w:r>
      <w:r w:rsidR="009103D4" w:rsidRPr="004A09ED">
        <w:rPr>
          <w:rStyle w:val="Znakapoznpodarou"/>
          <w:b/>
        </w:rPr>
        <w:footnoteReference w:id="13"/>
      </w:r>
      <w:r w:rsidR="009103D4" w:rsidRPr="004A09ED">
        <w:rPr>
          <w:b/>
        </w:rPr>
        <w:t>.</w:t>
      </w:r>
      <w:r>
        <w:rPr>
          <w:b/>
        </w:rPr>
        <w:t xml:space="preserve"> </w:t>
      </w:r>
      <w:r w:rsidR="00C637AB">
        <w:t>Ve dvou případech bylo zjištěno, že SFK vyplatil splátk</w:t>
      </w:r>
      <w:r w:rsidR="00F70874">
        <w:t>y</w:t>
      </w:r>
      <w:r w:rsidR="00C637AB">
        <w:t xml:space="preserve"> dotac</w:t>
      </w:r>
      <w:r w:rsidR="00F70874">
        <w:t>í</w:t>
      </w:r>
      <w:r w:rsidR="00C637AB">
        <w:t xml:space="preserve"> v celkové výši </w:t>
      </w:r>
      <w:r w:rsidR="00F70874">
        <w:t>800 tis. Kč, aniž by mu příjemci</w:t>
      </w:r>
      <w:r w:rsidR="00C637AB">
        <w:t xml:space="preserve"> předložil</w:t>
      </w:r>
      <w:r w:rsidR="00F70874">
        <w:t>i</w:t>
      </w:r>
      <w:r w:rsidR="00C637AB">
        <w:t xml:space="preserve"> doklady stanovené rozhodnutí</w:t>
      </w:r>
      <w:r w:rsidR="006A6247">
        <w:t>m</w:t>
      </w:r>
      <w:r w:rsidR="00C637AB">
        <w:t>.</w:t>
      </w:r>
      <w:r w:rsidR="00D03922">
        <w:t xml:space="preserve"> </w:t>
      </w:r>
      <w:r w:rsidR="00D03922" w:rsidRPr="00B320FE">
        <w:t>Splátku 300 tis. Kč SFK vyplatil</w:t>
      </w:r>
      <w:r w:rsidR="004F462A" w:rsidRPr="00B320FE">
        <w:t xml:space="preserve"> příjemci, přestože</w:t>
      </w:r>
      <w:r w:rsidR="001B2DA0">
        <w:t xml:space="preserve"> </w:t>
      </w:r>
      <w:r w:rsidR="00E44F15" w:rsidRPr="00B320FE">
        <w:t>v rozporu s</w:t>
      </w:r>
      <w:r w:rsidR="00487B29">
        <w:t> </w:t>
      </w:r>
      <w:r w:rsidR="00E44F15" w:rsidRPr="00B320FE">
        <w:t>podmínkami rozhodnutí o</w:t>
      </w:r>
      <w:r w:rsidR="001B2DA0">
        <w:t xml:space="preserve"> </w:t>
      </w:r>
      <w:r w:rsidR="00E44F15" w:rsidRPr="00B320FE">
        <w:t>podpoře kinematografie</w:t>
      </w:r>
      <w:r w:rsidR="00EB62DC" w:rsidRPr="00B320FE">
        <w:t xml:space="preserve"> příjemce</w:t>
      </w:r>
      <w:r w:rsidR="001B2DA0">
        <w:t xml:space="preserve"> </w:t>
      </w:r>
      <w:r w:rsidR="00551372" w:rsidRPr="00B320FE">
        <w:t>předložil</w:t>
      </w:r>
      <w:r w:rsidR="00E44F15" w:rsidRPr="00B320FE">
        <w:t xml:space="preserve"> potvrzení</w:t>
      </w:r>
      <w:r w:rsidR="004C687B" w:rsidRPr="00B320FE">
        <w:t xml:space="preserve"> </w:t>
      </w:r>
      <w:r w:rsidR="00E44F15" w:rsidRPr="00B320FE">
        <w:t>o</w:t>
      </w:r>
      <w:r w:rsidR="00487B29">
        <w:t xml:space="preserve"> </w:t>
      </w:r>
      <w:r w:rsidR="00495957">
        <w:t>tom, že</w:t>
      </w:r>
      <w:r w:rsidR="001B2DA0">
        <w:t xml:space="preserve"> </w:t>
      </w:r>
      <w:r w:rsidR="00551372" w:rsidRPr="00B320FE">
        <w:t xml:space="preserve">nemá </w:t>
      </w:r>
      <w:r w:rsidR="00EB62DC" w:rsidRPr="00B320FE">
        <w:t>splatné závazky vůči státu</w:t>
      </w:r>
      <w:r w:rsidR="004C687B" w:rsidRPr="00B320FE">
        <w:t>, které bylo starší než stanovených 90 dní</w:t>
      </w:r>
      <w:r w:rsidR="001F333C" w:rsidRPr="00B320FE">
        <w:t>.</w:t>
      </w:r>
      <w:r w:rsidR="001F333C">
        <w:t xml:space="preserve"> Ve</w:t>
      </w:r>
      <w:r w:rsidR="001B2DA0">
        <w:t xml:space="preserve"> </w:t>
      </w:r>
      <w:r w:rsidR="00551372">
        <w:t>druhém případě SFK vyplatil 500 tis. Kč</w:t>
      </w:r>
      <w:r>
        <w:t xml:space="preserve"> ještě předtím, než</w:t>
      </w:r>
      <w:r w:rsidR="001B2DA0">
        <w:t xml:space="preserve"> </w:t>
      </w:r>
      <w:r w:rsidR="00551372">
        <w:t>příjemce předložil</w:t>
      </w:r>
      <w:r>
        <w:t xml:space="preserve"> doklady požadované pro vyplacení </w:t>
      </w:r>
      <w:r w:rsidR="008009D4">
        <w:t>této</w:t>
      </w:r>
      <w:r>
        <w:t xml:space="preserve"> splátky dotace.</w:t>
      </w:r>
    </w:p>
    <w:p w:rsidR="00110C2E" w:rsidRDefault="0047027A" w:rsidP="00110C2E">
      <w:r w:rsidRPr="0047027A">
        <w:rPr>
          <w:b/>
        </w:rPr>
        <w:t>SFK nezajistil využití veřejných prostředků v souladu se zás</w:t>
      </w:r>
      <w:r w:rsidR="00F55E03">
        <w:rPr>
          <w:b/>
        </w:rPr>
        <w:t>adami spolehlivého řízení podle</w:t>
      </w:r>
      <w:r w:rsidR="001B2DA0">
        <w:rPr>
          <w:b/>
        </w:rPr>
        <w:t xml:space="preserve"> </w:t>
      </w:r>
      <w:r w:rsidRPr="0047027A">
        <w:rPr>
          <w:b/>
        </w:rPr>
        <w:t>zákona o finanční kontrole</w:t>
      </w:r>
      <w:r w:rsidRPr="004A09ED">
        <w:rPr>
          <w:rStyle w:val="Znakapoznpodarou"/>
          <w:b/>
        </w:rPr>
        <w:footnoteReference w:id="14"/>
      </w:r>
      <w:r w:rsidRPr="004A09ED">
        <w:rPr>
          <w:b/>
        </w:rPr>
        <w:t>.</w:t>
      </w:r>
      <w:r>
        <w:t xml:space="preserve"> </w:t>
      </w:r>
      <w:r w:rsidR="00110C2E">
        <w:t xml:space="preserve">Ve vzorku výzev a projektů vybraných skupinou kontrolujících NKÚ byly v okruhu </w:t>
      </w:r>
      <w:r w:rsidR="001B2DA0">
        <w:t>„</w:t>
      </w:r>
      <w:r w:rsidR="001B2DA0" w:rsidRPr="004A09ED">
        <w:rPr>
          <w:i/>
        </w:rPr>
        <w:t>v</w:t>
      </w:r>
      <w:r w:rsidR="00110C2E" w:rsidRPr="004A09ED">
        <w:rPr>
          <w:i/>
        </w:rPr>
        <w:t>ýrob</w:t>
      </w:r>
      <w:r w:rsidR="00487B29">
        <w:rPr>
          <w:i/>
        </w:rPr>
        <w:t>a</w:t>
      </w:r>
      <w:r w:rsidR="00110C2E" w:rsidRPr="004A09ED">
        <w:rPr>
          <w:i/>
        </w:rPr>
        <w:t xml:space="preserve"> </w:t>
      </w:r>
      <w:r w:rsidR="00077AC4" w:rsidRPr="004A09ED">
        <w:rPr>
          <w:i/>
        </w:rPr>
        <w:t xml:space="preserve">českého </w:t>
      </w:r>
      <w:r w:rsidR="00883139" w:rsidRPr="004A09ED">
        <w:rPr>
          <w:i/>
        </w:rPr>
        <w:t>kinematografického díla</w:t>
      </w:r>
      <w:r w:rsidR="001B2DA0">
        <w:t>“</w:t>
      </w:r>
      <w:r w:rsidR="00883139">
        <w:t xml:space="preserve"> </w:t>
      </w:r>
      <w:r w:rsidR="00110C2E">
        <w:t xml:space="preserve">projekty, které získaly podporu ve formě dotace s podílem na zisku. </w:t>
      </w:r>
      <w:r w:rsidR="00F04CAD">
        <w:t>U</w:t>
      </w:r>
      <w:r w:rsidR="00110C2E">
        <w:t xml:space="preserve"> čtyř projektů </w:t>
      </w:r>
      <w:r w:rsidR="00F04CAD">
        <w:t>bylo</w:t>
      </w:r>
      <w:r w:rsidR="006334EE">
        <w:t xml:space="preserve"> předloženo</w:t>
      </w:r>
      <w:r w:rsidR="00110C2E">
        <w:t xml:space="preserve"> vyúčtov</w:t>
      </w:r>
      <w:r w:rsidR="006334EE">
        <w:t>ání po</w:t>
      </w:r>
      <w:r w:rsidR="00487B29">
        <w:t xml:space="preserve"> </w:t>
      </w:r>
      <w:r w:rsidR="006334EE">
        <w:t>ukončení projektu, jehož</w:t>
      </w:r>
      <w:r w:rsidR="00487B29">
        <w:t xml:space="preserve"> </w:t>
      </w:r>
      <w:r w:rsidR="00110C2E">
        <w:t>součástí je formulář „</w:t>
      </w:r>
      <w:r w:rsidR="00110C2E" w:rsidRPr="004A09ED">
        <w:rPr>
          <w:i/>
        </w:rPr>
        <w:t>Výpoče</w:t>
      </w:r>
      <w:r w:rsidR="00883139" w:rsidRPr="004A09ED">
        <w:rPr>
          <w:i/>
        </w:rPr>
        <w:t>t podílu na zisku</w:t>
      </w:r>
      <w:r w:rsidR="00883139">
        <w:t>“. Ani jeden z </w:t>
      </w:r>
      <w:r w:rsidR="00110C2E">
        <w:t>těchto</w:t>
      </w:r>
      <w:r w:rsidR="002F4D36">
        <w:t xml:space="preserve"> </w:t>
      </w:r>
      <w:r w:rsidR="00110C2E">
        <w:t xml:space="preserve">příjemců </w:t>
      </w:r>
      <w:r w:rsidR="00E44F15">
        <w:t>formulář</w:t>
      </w:r>
      <w:r w:rsidR="000D183A">
        <w:t xml:space="preserve"> </w:t>
      </w:r>
      <w:r w:rsidR="005F77B9">
        <w:t xml:space="preserve">nevyplnil správně. </w:t>
      </w:r>
      <w:r w:rsidR="00B320FE">
        <w:t>Přestože se j</w:t>
      </w:r>
      <w:r w:rsidR="00110C2E">
        <w:t>edná o údaj</w:t>
      </w:r>
      <w:r w:rsidR="000D183A">
        <w:t>e</w:t>
      </w:r>
      <w:r w:rsidR="00110C2E">
        <w:t>, kter</w:t>
      </w:r>
      <w:r w:rsidR="000D183A">
        <w:t>é</w:t>
      </w:r>
      <w:r w:rsidR="00110C2E">
        <w:t xml:space="preserve"> </w:t>
      </w:r>
      <w:r w:rsidR="000D183A">
        <w:t>jsou</w:t>
      </w:r>
      <w:r w:rsidR="00110C2E">
        <w:t xml:space="preserve"> zásadní pro další výpočty případného podílu SFK na zisku</w:t>
      </w:r>
      <w:r w:rsidR="005F77B9">
        <w:t>, neb</w:t>
      </w:r>
      <w:r w:rsidR="00110C2E">
        <w:t>yly tyto formuláře vraceny zpět k</w:t>
      </w:r>
      <w:r w:rsidR="000D183A">
        <w:t> opravě.</w:t>
      </w:r>
    </w:p>
    <w:p w:rsidR="00110C2E" w:rsidRDefault="000D183A" w:rsidP="00110C2E">
      <w:r>
        <w:t xml:space="preserve">Ke kontrole NKÚ bylo předloženo </w:t>
      </w:r>
      <w:r w:rsidR="00110C2E">
        <w:t>hlášení o obchodních vý</w:t>
      </w:r>
      <w:r w:rsidR="00F55E03">
        <w:t>sledcích distribuce a hlášení o </w:t>
      </w:r>
      <w:r w:rsidR="00110C2E">
        <w:t>příjmech, resp. výnosech</w:t>
      </w:r>
      <w:r w:rsidR="00487B29">
        <w:t>,</w:t>
      </w:r>
      <w:r w:rsidR="00110C2E">
        <w:t xml:space="preserve"> </w:t>
      </w:r>
      <w:r>
        <w:t>jednoho z příjemců</w:t>
      </w:r>
      <w:r w:rsidR="00110C2E">
        <w:t xml:space="preserve">. </w:t>
      </w:r>
      <w:r>
        <w:t>F</w:t>
      </w:r>
      <w:r w:rsidR="00110C2E">
        <w:t>ormuláře</w:t>
      </w:r>
      <w:r>
        <w:t xml:space="preserve"> </w:t>
      </w:r>
      <w:r w:rsidR="00110C2E">
        <w:t xml:space="preserve">nebyly řádně vyplněny a výpočet podílu </w:t>
      </w:r>
      <w:r w:rsidR="00487B29">
        <w:t xml:space="preserve">SFK </w:t>
      </w:r>
      <w:r w:rsidR="00110C2E">
        <w:t xml:space="preserve">na zisku </w:t>
      </w:r>
      <w:r w:rsidR="006334EE">
        <w:t>byl chybný</w:t>
      </w:r>
      <w:r w:rsidR="00110C2E">
        <w:t xml:space="preserve">. Přes tyto nedostatky nebyly </w:t>
      </w:r>
      <w:r>
        <w:t xml:space="preserve">ani v tomto případě </w:t>
      </w:r>
      <w:r w:rsidR="00110C2E">
        <w:t>doklady vráceny příjemci k</w:t>
      </w:r>
      <w:r>
        <w:t> </w:t>
      </w:r>
      <w:r w:rsidR="00110C2E">
        <w:t>opravě</w:t>
      </w:r>
      <w:r>
        <w:t>.</w:t>
      </w:r>
    </w:p>
    <w:p w:rsidR="00110C2E" w:rsidRDefault="000D183A" w:rsidP="00C36283">
      <w:r w:rsidRPr="00F55E03">
        <w:rPr>
          <w:b/>
        </w:rPr>
        <w:t xml:space="preserve">SFK tímto postupem zvýšil riziko </w:t>
      </w:r>
      <w:r w:rsidR="006334EE">
        <w:rPr>
          <w:b/>
        </w:rPr>
        <w:t>chyb</w:t>
      </w:r>
      <w:r w:rsidRPr="00F55E03">
        <w:rPr>
          <w:b/>
        </w:rPr>
        <w:t>ného výpočtu podílu na zisku</w:t>
      </w:r>
      <w:r w:rsidR="005F77B9">
        <w:rPr>
          <w:b/>
        </w:rPr>
        <w:t xml:space="preserve"> </w:t>
      </w:r>
      <w:r w:rsidRPr="00F55E03">
        <w:rPr>
          <w:b/>
        </w:rPr>
        <w:t>v letech</w:t>
      </w:r>
      <w:r w:rsidR="00F55E03" w:rsidRPr="004A09ED">
        <w:rPr>
          <w:b/>
        </w:rPr>
        <w:t>,</w:t>
      </w:r>
      <w:r w:rsidR="00F55E03">
        <w:t xml:space="preserve"> kdy</w:t>
      </w:r>
      <w:r w:rsidR="00487B29">
        <w:t xml:space="preserve"> </w:t>
      </w:r>
      <w:r w:rsidRPr="000D183A">
        <w:t>projekty</w:t>
      </w:r>
      <w:r w:rsidR="00E44F15">
        <w:t xml:space="preserve"> již</w:t>
      </w:r>
      <w:r w:rsidRPr="000D183A">
        <w:t xml:space="preserve"> mohou generovat zisk v takové výši, </w:t>
      </w:r>
      <w:r w:rsidR="002F4D36">
        <w:t>že</w:t>
      </w:r>
      <w:r w:rsidRPr="000D183A">
        <w:t xml:space="preserve"> příjemci vznik</w:t>
      </w:r>
      <w:r w:rsidR="006334EE">
        <w:t>á</w:t>
      </w:r>
      <w:r w:rsidRPr="000D183A">
        <w:t xml:space="preserve"> po</w:t>
      </w:r>
      <w:r w:rsidR="0047027A">
        <w:t xml:space="preserve">vinnost </w:t>
      </w:r>
      <w:r w:rsidR="002F4D36">
        <w:t xml:space="preserve">odvádět Státnímu fondu kinematografie </w:t>
      </w:r>
      <w:r w:rsidR="006334EE">
        <w:t>podíl na zisku</w:t>
      </w:r>
      <w:r w:rsidR="0047027A">
        <w:t>.</w:t>
      </w:r>
    </w:p>
    <w:p w:rsidR="003E0618" w:rsidRDefault="00984ED5" w:rsidP="00984ED5">
      <w:r>
        <w:t>U všech kontrolovaných výzev by</w:t>
      </w:r>
      <w:r w:rsidR="0047027A">
        <w:t xml:space="preserve">lo zjištěno, že </w:t>
      </w:r>
      <w:r w:rsidR="0047027A" w:rsidRPr="00E44F15">
        <w:rPr>
          <w:b/>
        </w:rPr>
        <w:t>SFK v rozporu se zákonem o audiovizi</w:t>
      </w:r>
      <w:r w:rsidR="0047027A" w:rsidRPr="00FF5310">
        <w:rPr>
          <w:rStyle w:val="Znakapoznpodarou"/>
        </w:rPr>
        <w:footnoteReference w:id="15"/>
      </w:r>
      <w:r w:rsidR="003E0618" w:rsidRPr="00FF5310">
        <w:t xml:space="preserve"> </w:t>
      </w:r>
      <w:r w:rsidR="003E0618" w:rsidRPr="0047027A">
        <w:rPr>
          <w:b/>
        </w:rPr>
        <w:t>neuveřejňoval</w:t>
      </w:r>
      <w:r w:rsidR="005F77B9">
        <w:t xml:space="preserve"> vydaná rozhodnutí.</w:t>
      </w:r>
    </w:p>
    <w:p w:rsidR="00E16BFE" w:rsidRPr="00071AD4" w:rsidRDefault="00E16BFE" w:rsidP="00071AD4">
      <w:r>
        <w:t>Dozorčí výbor jako jeden z orgánů SFK má zejména dohlížet na to, zda</w:t>
      </w:r>
      <w:r w:rsidR="00F248E4">
        <w:t xml:space="preserve"> </w:t>
      </w:r>
      <w:r>
        <w:t xml:space="preserve">prostředky tvořící podporu </w:t>
      </w:r>
      <w:r w:rsidR="00F248E4">
        <w:t xml:space="preserve">pro </w:t>
      </w:r>
      <w:r>
        <w:t>kinematografi</w:t>
      </w:r>
      <w:r w:rsidR="00F248E4">
        <w:t>i</w:t>
      </w:r>
      <w:r>
        <w:t xml:space="preserve"> byly využity v souladu s účelem, který je uveden v rozhodnutí o poskytnutí podpory</w:t>
      </w:r>
      <w:r w:rsidR="00F248E4">
        <w:t>,</w:t>
      </w:r>
      <w:r>
        <w:t xml:space="preserve"> a vykonávat dohled nad plněním ostatních úkolů a</w:t>
      </w:r>
      <w:r w:rsidR="00F248E4">
        <w:t xml:space="preserve"> </w:t>
      </w:r>
      <w:r>
        <w:t xml:space="preserve">činností SFK. Ministr kultury jmenoval </w:t>
      </w:r>
      <w:r w:rsidR="000176F3">
        <w:t xml:space="preserve">nové </w:t>
      </w:r>
      <w:r>
        <w:t xml:space="preserve">členy </w:t>
      </w:r>
      <w:r w:rsidR="00F248E4">
        <w:t xml:space="preserve">výboru </w:t>
      </w:r>
      <w:r>
        <w:t xml:space="preserve">dne 18. </w:t>
      </w:r>
      <w:r w:rsidR="00AF15B6">
        <w:t>února</w:t>
      </w:r>
      <w:r w:rsidR="00407BA6">
        <w:t xml:space="preserve"> 2015. V letech 2013 a 2014</w:t>
      </w:r>
      <w:r>
        <w:t xml:space="preserve"> </w:t>
      </w:r>
      <w:r>
        <w:lastRenderedPageBreak/>
        <w:t xml:space="preserve">Dozorčí výbor kontrolní činnost neprováděl. </w:t>
      </w:r>
      <w:r w:rsidRPr="006A6247">
        <w:t xml:space="preserve">Plán kontrolní činnosti </w:t>
      </w:r>
      <w:r w:rsidR="00B320FE">
        <w:t>pro rok 2015</w:t>
      </w:r>
      <w:r>
        <w:t xml:space="preserve"> </w:t>
      </w:r>
      <w:r w:rsidRPr="006A6247">
        <w:t xml:space="preserve">Dozorčí výbor schválil až na svém jednání dne 26. </w:t>
      </w:r>
      <w:r w:rsidR="00AF15B6">
        <w:t>listopadu</w:t>
      </w:r>
      <w:r w:rsidRPr="006A6247">
        <w:t xml:space="preserve"> 2015. Ke</w:t>
      </w:r>
      <w:r w:rsidR="00F248E4">
        <w:t xml:space="preserve"> </w:t>
      </w:r>
      <w:r w:rsidRPr="006A6247">
        <w:t>kontrole si vybral pouze dva projekty</w:t>
      </w:r>
      <w:r w:rsidR="00F248E4">
        <w:t>,</w:t>
      </w:r>
      <w:r w:rsidR="00C25711">
        <w:t xml:space="preserve"> jeden z okruhu </w:t>
      </w:r>
      <w:r w:rsidR="00F248E4">
        <w:t>f</w:t>
      </w:r>
      <w:r>
        <w:t>estivalů a přehlídek s dotací 1,0</w:t>
      </w:r>
      <w:r w:rsidR="00F70E07">
        <w:t xml:space="preserve"> </w:t>
      </w:r>
      <w:r>
        <w:t xml:space="preserve">mil. Kč </w:t>
      </w:r>
      <w:r w:rsidR="00C25711">
        <w:t>a</w:t>
      </w:r>
      <w:r w:rsidR="00F248E4">
        <w:t xml:space="preserve"> </w:t>
      </w:r>
      <w:r w:rsidR="00C25711">
        <w:t xml:space="preserve">druhý z okruhu </w:t>
      </w:r>
      <w:r w:rsidR="00F248E4">
        <w:t>t</w:t>
      </w:r>
      <w:r>
        <w:t xml:space="preserve">echnického rozvoje </w:t>
      </w:r>
      <w:r w:rsidR="00540E6D">
        <w:t>a</w:t>
      </w:r>
      <w:r w:rsidR="00F248E4">
        <w:t xml:space="preserve"> </w:t>
      </w:r>
      <w:r w:rsidR="00540E6D">
        <w:t>moderniza</w:t>
      </w:r>
      <w:r w:rsidR="00BE5A5A">
        <w:t>c</w:t>
      </w:r>
      <w:r>
        <w:t>e s dotací 0,4 mil. Kč. Vzhledem k množství projektů podpořených v režimu zákona o audiovizi a</w:t>
      </w:r>
      <w:r w:rsidR="00F248E4">
        <w:t xml:space="preserve"> </w:t>
      </w:r>
      <w:r>
        <w:t>částkám, které jim SFK v rámci podpory kinematografie vyplatil (129,4 mil. Kč v roce 2014 a</w:t>
      </w:r>
      <w:r w:rsidR="00F248E4">
        <w:t xml:space="preserve"> </w:t>
      </w:r>
      <w:r>
        <w:t>141,1 mil. Kč v roce 2015)</w:t>
      </w:r>
      <w:r w:rsidR="005F77B9">
        <w:t>,</w:t>
      </w:r>
      <w:r>
        <w:t xml:space="preserve"> </w:t>
      </w:r>
      <w:r w:rsidRPr="00371C0C">
        <w:rPr>
          <w:b/>
        </w:rPr>
        <w:t>považuje NKÚ rozsah kontrol</w:t>
      </w:r>
      <w:r w:rsidR="00371C0C">
        <w:rPr>
          <w:b/>
        </w:rPr>
        <w:t>ní činnosti Dozorčího výboru za</w:t>
      </w:r>
      <w:r w:rsidR="00D3515B">
        <w:rPr>
          <w:b/>
        </w:rPr>
        <w:t xml:space="preserve"> </w:t>
      </w:r>
      <w:r w:rsidRPr="00371C0C">
        <w:rPr>
          <w:b/>
        </w:rPr>
        <w:t>nedostatečný.</w:t>
      </w:r>
    </w:p>
    <w:p w:rsidR="00C41041" w:rsidRDefault="00C41041" w:rsidP="003F648F">
      <w:pPr>
        <w:pStyle w:val="Nadpis2"/>
      </w:pPr>
      <w:r>
        <w:t>Filmové pobídky</w:t>
      </w:r>
    </w:p>
    <w:p w:rsidR="00F172BA" w:rsidRDefault="000914CD" w:rsidP="00F172BA">
      <w:r>
        <w:t>Na vzniklý SFK přešla agenda poskytování filmových pobíd</w:t>
      </w:r>
      <w:r w:rsidR="00061392">
        <w:t xml:space="preserve">ek, které byly původně v rámci </w:t>
      </w:r>
      <w:r w:rsidR="00061392" w:rsidRPr="004A09ED">
        <w:rPr>
          <w:i/>
        </w:rPr>
        <w:t>P</w:t>
      </w:r>
      <w:r w:rsidRPr="004A09ED">
        <w:rPr>
          <w:i/>
        </w:rPr>
        <w:t xml:space="preserve">rogramu </w:t>
      </w:r>
      <w:r w:rsidR="00061392" w:rsidRPr="004A09ED">
        <w:rPr>
          <w:i/>
        </w:rPr>
        <w:t>p</w:t>
      </w:r>
      <w:r w:rsidRPr="004A09ED">
        <w:rPr>
          <w:i/>
        </w:rPr>
        <w:t>odpory filmového průmyslu</w:t>
      </w:r>
      <w:r>
        <w:t xml:space="preserve"> v kompetenci MK</w:t>
      </w:r>
      <w:r w:rsidR="00061392">
        <w:t>.</w:t>
      </w:r>
    </w:p>
    <w:p w:rsidR="00F172BA" w:rsidRDefault="00F172BA" w:rsidP="005E720A">
      <w:r w:rsidRPr="0041186A">
        <w:t xml:space="preserve">Na základě </w:t>
      </w:r>
      <w:r>
        <w:t>ročního</w:t>
      </w:r>
      <w:r w:rsidR="00F70E07">
        <w:t xml:space="preserve"> nebo</w:t>
      </w:r>
      <w:r>
        <w:t xml:space="preserve"> mimořádného oznámení</w:t>
      </w:r>
      <w:r w:rsidRPr="0041186A">
        <w:t xml:space="preserve"> </w:t>
      </w:r>
      <w:r w:rsidR="00C9674A">
        <w:t xml:space="preserve">o </w:t>
      </w:r>
      <w:r w:rsidR="005E720A">
        <w:t xml:space="preserve">množství </w:t>
      </w:r>
      <w:r w:rsidR="00C9674A">
        <w:t>disponibilních prostřed</w:t>
      </w:r>
      <w:r w:rsidR="005E720A">
        <w:t>ků</w:t>
      </w:r>
      <w:r w:rsidR="00C9674A">
        <w:t xml:space="preserve"> </w:t>
      </w:r>
      <w:r w:rsidRPr="0041186A">
        <w:t xml:space="preserve">jsou podávány žádosti o registraci </w:t>
      </w:r>
      <w:r w:rsidR="0072387D">
        <w:t xml:space="preserve">pobídkového </w:t>
      </w:r>
      <w:r>
        <w:t>projektu</w:t>
      </w:r>
      <w:r w:rsidR="0072387D">
        <w:rPr>
          <w:rStyle w:val="Znakapoznpodarou"/>
        </w:rPr>
        <w:footnoteReference w:id="16"/>
      </w:r>
      <w:r w:rsidR="00C9674A">
        <w:t>.</w:t>
      </w:r>
      <w:r>
        <w:t xml:space="preserve"> SFK po posouzení žádostí vydá osvědčení o registraci projektu.</w:t>
      </w:r>
      <w:r w:rsidR="005E720A">
        <w:t xml:space="preserve"> </w:t>
      </w:r>
      <w:r w:rsidRPr="009F7593">
        <w:t>Ž</w:t>
      </w:r>
      <w:r>
        <w:t>adatel, kt</w:t>
      </w:r>
      <w:r w:rsidR="00CD2BB2">
        <w:t>erému bylo doručeno osvědčení o </w:t>
      </w:r>
      <w:r>
        <w:t>registraci projektu, je oprávněn podat žádost o evidenci projektu</w:t>
      </w:r>
      <w:r w:rsidR="00E52430">
        <w:t>. Součástí této žádosti je</w:t>
      </w:r>
      <w:r w:rsidR="00C61D22">
        <w:t xml:space="preserve"> potvrzení o </w:t>
      </w:r>
      <w:r w:rsidR="005E720A">
        <w:t xml:space="preserve">zajištění </w:t>
      </w:r>
      <w:r w:rsidR="00E52430" w:rsidRPr="00410664">
        <w:t>vlastních</w:t>
      </w:r>
      <w:r w:rsidR="00E52430">
        <w:t xml:space="preserve"> </w:t>
      </w:r>
      <w:r w:rsidR="005E720A">
        <w:t xml:space="preserve">zdrojů financování </w:t>
      </w:r>
      <w:r w:rsidR="00E52430">
        <w:t>(min.</w:t>
      </w:r>
      <w:r w:rsidR="005E720A">
        <w:t xml:space="preserve"> 75 % nákladů</w:t>
      </w:r>
      <w:r w:rsidR="00E52430">
        <w:t>)</w:t>
      </w:r>
      <w:r w:rsidR="005E720A">
        <w:t xml:space="preserve">. </w:t>
      </w:r>
      <w:r w:rsidRPr="009C08F1">
        <w:t xml:space="preserve">Pokud jsou splněny veškeré požadavky a disponibilní prostředky pro filmové pobídky jsou v dostatečné výši, </w:t>
      </w:r>
      <w:r>
        <w:t>SFK vydá</w:t>
      </w:r>
      <w:r w:rsidRPr="009C08F1">
        <w:t xml:space="preserve"> osvědčení o evidenci</w:t>
      </w:r>
      <w:r>
        <w:t xml:space="preserve"> projektu</w:t>
      </w:r>
      <w:r w:rsidRPr="009C08F1">
        <w:t>.</w:t>
      </w:r>
      <w:r w:rsidR="005E720A">
        <w:t xml:space="preserve"> </w:t>
      </w:r>
      <w:r w:rsidRPr="009F7593">
        <w:t>Ž</w:t>
      </w:r>
      <w:r>
        <w:t>adatel, kterému bylo doručeno osvědčení o evidenci projektu, je oprávněn podat žádost o pobídku nejpozději do tří let od doručení tohoto osvědčení</w:t>
      </w:r>
      <w:r w:rsidR="005E720A">
        <w:t>.</w:t>
      </w:r>
    </w:p>
    <w:p w:rsidR="00F172BA" w:rsidRPr="00ED537C" w:rsidRDefault="00BF1291" w:rsidP="00BF1291">
      <w:pPr>
        <w:pStyle w:val="Nzevtabulky"/>
        <w:numPr>
          <w:ilvl w:val="0"/>
          <w:numId w:val="0"/>
        </w:numPr>
        <w:ind w:left="1418" w:hanging="1418"/>
        <w:jc w:val="left"/>
        <w:rPr>
          <w:b/>
        </w:rPr>
      </w:pPr>
      <w:r>
        <w:rPr>
          <w:b/>
        </w:rPr>
        <w:t xml:space="preserve">Tabulka č. 4 – </w:t>
      </w:r>
      <w:r w:rsidR="00F172BA" w:rsidRPr="00ED537C">
        <w:rPr>
          <w:b/>
        </w:rPr>
        <w:t xml:space="preserve">Přehled počtu </w:t>
      </w:r>
      <w:r w:rsidR="00E52430" w:rsidRPr="00ED537C">
        <w:rPr>
          <w:b/>
        </w:rPr>
        <w:t>žádostí o registraci a</w:t>
      </w:r>
      <w:r w:rsidR="00F172BA" w:rsidRPr="00ED537C">
        <w:rPr>
          <w:b/>
        </w:rPr>
        <w:t xml:space="preserve"> vydaných osvědčení</w:t>
      </w:r>
      <w:r w:rsidR="00E52430" w:rsidRPr="00ED537C">
        <w:rPr>
          <w:b/>
        </w:rPr>
        <w:t xml:space="preserve"> o registraci a</w:t>
      </w:r>
      <w:r w:rsidR="00ED537C">
        <w:rPr>
          <w:b/>
        </w:rPr>
        <w:t> </w:t>
      </w:r>
      <w:r w:rsidR="00E52430" w:rsidRPr="00ED537C">
        <w:rPr>
          <w:b/>
        </w:rPr>
        <w:t>evidenci projektu</w:t>
      </w:r>
    </w:p>
    <w:tbl>
      <w:tblPr>
        <w:tblStyle w:val="Mkatabulky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82"/>
        <w:gridCol w:w="1672"/>
        <w:gridCol w:w="1701"/>
        <w:gridCol w:w="1843"/>
        <w:gridCol w:w="2975"/>
      </w:tblGrid>
      <w:tr w:rsidR="001E6217" w:rsidTr="00BF1291">
        <w:trPr>
          <w:trHeight w:val="294"/>
        </w:trPr>
        <w:tc>
          <w:tcPr>
            <w:tcW w:w="881" w:type="dxa"/>
            <w:vMerge w:val="restart"/>
            <w:shd w:val="clear" w:color="auto" w:fill="D9D9D9" w:themeFill="background1" w:themeFillShade="D9"/>
            <w:vAlign w:val="center"/>
          </w:tcPr>
          <w:p w:rsidR="001E6217" w:rsidRPr="00D6694E" w:rsidRDefault="001E6217" w:rsidP="000F0C67">
            <w:pPr>
              <w:pStyle w:val="tabulka"/>
              <w:jc w:val="center"/>
              <w:rPr>
                <w:b/>
                <w:sz w:val="18"/>
              </w:rPr>
            </w:pPr>
            <w:r w:rsidRPr="00D6694E">
              <w:rPr>
                <w:b/>
                <w:sz w:val="18"/>
              </w:rPr>
              <w:t>Rok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  <w:vAlign w:val="center"/>
          </w:tcPr>
          <w:p w:rsidR="001E6217" w:rsidRPr="00D6694E" w:rsidRDefault="001E6217" w:rsidP="00F70E07">
            <w:pPr>
              <w:pStyle w:val="tabulka"/>
              <w:ind w:left="-139" w:right="-106"/>
              <w:jc w:val="center"/>
              <w:rPr>
                <w:b/>
                <w:sz w:val="18"/>
              </w:rPr>
            </w:pPr>
            <w:r w:rsidRPr="00D6694E">
              <w:rPr>
                <w:b/>
                <w:sz w:val="18"/>
              </w:rPr>
              <w:t>Počet žádostí o</w:t>
            </w:r>
            <w:r w:rsidR="00F70E07">
              <w:rPr>
                <w:b/>
                <w:sz w:val="18"/>
              </w:rPr>
              <w:t> </w:t>
            </w:r>
            <w:r w:rsidRPr="00D6694E">
              <w:rPr>
                <w:b/>
                <w:sz w:val="18"/>
              </w:rPr>
              <w:t>registraci projektu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E6217" w:rsidRPr="00D6694E" w:rsidRDefault="001E6217" w:rsidP="00F70E07">
            <w:pPr>
              <w:pStyle w:val="tabulka"/>
              <w:ind w:left="-110" w:right="-106"/>
              <w:jc w:val="center"/>
              <w:rPr>
                <w:b/>
                <w:sz w:val="18"/>
              </w:rPr>
            </w:pPr>
            <w:r w:rsidRPr="00D6694E">
              <w:rPr>
                <w:b/>
                <w:sz w:val="18"/>
              </w:rPr>
              <w:t>Počet osvědčení o</w:t>
            </w:r>
            <w:r w:rsidR="00F70E07">
              <w:rPr>
                <w:b/>
                <w:sz w:val="18"/>
              </w:rPr>
              <w:t> </w:t>
            </w:r>
            <w:r w:rsidRPr="00D6694E">
              <w:rPr>
                <w:b/>
                <w:sz w:val="18"/>
              </w:rPr>
              <w:t>registraci projektu</w:t>
            </w:r>
          </w:p>
        </w:tc>
        <w:tc>
          <w:tcPr>
            <w:tcW w:w="4818" w:type="dxa"/>
            <w:gridSpan w:val="2"/>
            <w:shd w:val="clear" w:color="auto" w:fill="D9D9D9" w:themeFill="background1" w:themeFillShade="D9"/>
            <w:vAlign w:val="center"/>
          </w:tcPr>
          <w:p w:rsidR="001E6217" w:rsidRPr="00D6694E" w:rsidRDefault="001E6217" w:rsidP="000F0C67">
            <w:pPr>
              <w:pStyle w:val="tabulka"/>
              <w:jc w:val="center"/>
              <w:rPr>
                <w:b/>
                <w:sz w:val="18"/>
              </w:rPr>
            </w:pPr>
            <w:r w:rsidRPr="00D6694E">
              <w:rPr>
                <w:b/>
                <w:sz w:val="18"/>
              </w:rPr>
              <w:t>Osvědčení o evidenci projektu</w:t>
            </w:r>
          </w:p>
        </w:tc>
      </w:tr>
      <w:tr w:rsidR="001E6217" w:rsidTr="00BF1291">
        <w:trPr>
          <w:trHeight w:val="286"/>
        </w:trPr>
        <w:tc>
          <w:tcPr>
            <w:tcW w:w="881" w:type="dxa"/>
            <w:vMerge/>
            <w:shd w:val="clear" w:color="auto" w:fill="D9D9D9" w:themeFill="background1" w:themeFillShade="D9"/>
            <w:vAlign w:val="center"/>
          </w:tcPr>
          <w:p w:rsidR="001E6217" w:rsidRPr="00D6694E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vMerge/>
            <w:shd w:val="clear" w:color="auto" w:fill="D9D9D9" w:themeFill="background1" w:themeFillShade="D9"/>
            <w:vAlign w:val="center"/>
          </w:tcPr>
          <w:p w:rsidR="001E6217" w:rsidRPr="00D6694E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1E6217" w:rsidRPr="00D6694E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E6217" w:rsidRPr="00D6694E" w:rsidRDefault="001E6217" w:rsidP="000F0C67">
            <w:pPr>
              <w:pStyle w:val="tabulka"/>
              <w:jc w:val="center"/>
              <w:rPr>
                <w:b/>
                <w:sz w:val="18"/>
              </w:rPr>
            </w:pPr>
            <w:r w:rsidRPr="00D6694E">
              <w:rPr>
                <w:b/>
                <w:sz w:val="18"/>
              </w:rPr>
              <w:t>Počet nově vydaných</w:t>
            </w:r>
            <w:r w:rsidR="00306274">
              <w:rPr>
                <w:b/>
                <w:sz w:val="18"/>
              </w:rPr>
              <w:t xml:space="preserve"> osvědčení</w:t>
            </w:r>
          </w:p>
        </w:tc>
        <w:tc>
          <w:tcPr>
            <w:tcW w:w="2975" w:type="dxa"/>
            <w:shd w:val="clear" w:color="auto" w:fill="D9D9D9" w:themeFill="background1" w:themeFillShade="D9"/>
            <w:vAlign w:val="center"/>
          </w:tcPr>
          <w:p w:rsidR="001E6217" w:rsidRPr="00D6694E" w:rsidRDefault="00306274" w:rsidP="00306274">
            <w:pPr>
              <w:pStyle w:val="tabulka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Celková č</w:t>
            </w:r>
            <w:r w:rsidR="001E6217" w:rsidRPr="00D6694E">
              <w:rPr>
                <w:b/>
                <w:sz w:val="18"/>
              </w:rPr>
              <w:t>ástka v</w:t>
            </w:r>
            <w:r w:rsidR="001E6217">
              <w:rPr>
                <w:b/>
                <w:sz w:val="18"/>
              </w:rPr>
              <w:t> </w:t>
            </w:r>
            <w:r w:rsidR="001E6217" w:rsidRPr="00D6694E">
              <w:rPr>
                <w:b/>
                <w:sz w:val="18"/>
              </w:rPr>
              <w:t>Kč</w:t>
            </w:r>
            <w:r w:rsidR="001E6217">
              <w:rPr>
                <w:b/>
                <w:sz w:val="18"/>
              </w:rPr>
              <w:t xml:space="preserve"> u nově vydaných</w:t>
            </w:r>
            <w:r>
              <w:rPr>
                <w:b/>
                <w:sz w:val="18"/>
              </w:rPr>
              <w:t xml:space="preserve"> osvědčení</w:t>
            </w:r>
          </w:p>
        </w:tc>
      </w:tr>
      <w:tr w:rsidR="001E6217" w:rsidTr="00BF1291">
        <w:tc>
          <w:tcPr>
            <w:tcW w:w="881" w:type="dxa"/>
            <w:vAlign w:val="center"/>
          </w:tcPr>
          <w:p w:rsidR="001E6217" w:rsidRPr="004D5994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2"/>
              </w:rPr>
            </w:pPr>
            <w:r w:rsidRPr="004D5994">
              <w:rPr>
                <w:sz w:val="22"/>
              </w:rPr>
              <w:t>2013</w:t>
            </w:r>
          </w:p>
        </w:tc>
        <w:tc>
          <w:tcPr>
            <w:tcW w:w="1672" w:type="dxa"/>
            <w:vAlign w:val="center"/>
          </w:tcPr>
          <w:p w:rsidR="001E6217" w:rsidRPr="00383B8D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2"/>
              </w:rPr>
            </w:pPr>
            <w:r w:rsidRPr="00383B8D">
              <w:rPr>
                <w:sz w:val="22"/>
              </w:rPr>
              <w:t>56</w:t>
            </w:r>
          </w:p>
        </w:tc>
        <w:tc>
          <w:tcPr>
            <w:tcW w:w="1701" w:type="dxa"/>
            <w:vAlign w:val="center"/>
          </w:tcPr>
          <w:p w:rsidR="001E6217" w:rsidRPr="00383B8D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2"/>
              </w:rPr>
            </w:pPr>
            <w:r w:rsidRPr="00383B8D">
              <w:rPr>
                <w:sz w:val="22"/>
              </w:rPr>
              <w:t>51</w:t>
            </w:r>
          </w:p>
        </w:tc>
        <w:tc>
          <w:tcPr>
            <w:tcW w:w="1843" w:type="dxa"/>
            <w:vAlign w:val="center"/>
          </w:tcPr>
          <w:p w:rsidR="001E6217" w:rsidRPr="00383B8D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2"/>
              </w:rPr>
            </w:pPr>
            <w:r w:rsidRPr="00383B8D">
              <w:rPr>
                <w:sz w:val="22"/>
              </w:rPr>
              <w:t>57</w:t>
            </w:r>
          </w:p>
        </w:tc>
        <w:tc>
          <w:tcPr>
            <w:tcW w:w="2975" w:type="dxa"/>
            <w:vAlign w:val="center"/>
          </w:tcPr>
          <w:p w:rsidR="001E6217" w:rsidRPr="00383B8D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2"/>
              </w:rPr>
            </w:pPr>
            <w:r>
              <w:rPr>
                <w:sz w:val="22"/>
              </w:rPr>
              <w:t>499 873 821,61</w:t>
            </w:r>
          </w:p>
        </w:tc>
      </w:tr>
      <w:tr w:rsidR="001E6217" w:rsidTr="00BF1291">
        <w:tc>
          <w:tcPr>
            <w:tcW w:w="881" w:type="dxa"/>
            <w:vAlign w:val="center"/>
          </w:tcPr>
          <w:p w:rsidR="001E6217" w:rsidRPr="004D5994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2"/>
              </w:rPr>
            </w:pPr>
            <w:r w:rsidRPr="004D5994">
              <w:rPr>
                <w:sz w:val="22"/>
              </w:rPr>
              <w:t>2014</w:t>
            </w:r>
          </w:p>
        </w:tc>
        <w:tc>
          <w:tcPr>
            <w:tcW w:w="1672" w:type="dxa"/>
            <w:vAlign w:val="center"/>
          </w:tcPr>
          <w:p w:rsidR="001E6217" w:rsidRPr="00383B8D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2"/>
              </w:rPr>
            </w:pPr>
            <w:r w:rsidRPr="00383B8D">
              <w:rPr>
                <w:sz w:val="22"/>
              </w:rPr>
              <w:t>79</w:t>
            </w:r>
          </w:p>
        </w:tc>
        <w:tc>
          <w:tcPr>
            <w:tcW w:w="1701" w:type="dxa"/>
            <w:vAlign w:val="center"/>
          </w:tcPr>
          <w:p w:rsidR="001E6217" w:rsidRPr="00383B8D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2"/>
              </w:rPr>
            </w:pPr>
            <w:r w:rsidRPr="00383B8D">
              <w:rPr>
                <w:sz w:val="22"/>
              </w:rPr>
              <w:t>76</w:t>
            </w:r>
          </w:p>
        </w:tc>
        <w:tc>
          <w:tcPr>
            <w:tcW w:w="1843" w:type="dxa"/>
            <w:vAlign w:val="center"/>
          </w:tcPr>
          <w:p w:rsidR="001E6217" w:rsidRPr="00383B8D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2"/>
              </w:rPr>
            </w:pPr>
            <w:r w:rsidRPr="00383B8D">
              <w:rPr>
                <w:sz w:val="22"/>
              </w:rPr>
              <w:t>56</w:t>
            </w:r>
          </w:p>
        </w:tc>
        <w:tc>
          <w:tcPr>
            <w:tcW w:w="2975" w:type="dxa"/>
            <w:vAlign w:val="center"/>
          </w:tcPr>
          <w:p w:rsidR="001E6217" w:rsidRPr="00383B8D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2"/>
              </w:rPr>
            </w:pPr>
            <w:r>
              <w:rPr>
                <w:sz w:val="22"/>
              </w:rPr>
              <w:t>584 144 703,00</w:t>
            </w:r>
          </w:p>
        </w:tc>
      </w:tr>
      <w:tr w:rsidR="001E6217" w:rsidTr="00BF1291">
        <w:tc>
          <w:tcPr>
            <w:tcW w:w="881" w:type="dxa"/>
            <w:vAlign w:val="center"/>
          </w:tcPr>
          <w:p w:rsidR="001E6217" w:rsidRPr="004D5994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2"/>
              </w:rPr>
            </w:pPr>
            <w:r w:rsidRPr="004D5994">
              <w:rPr>
                <w:sz w:val="22"/>
              </w:rPr>
              <w:t>2015</w:t>
            </w:r>
          </w:p>
        </w:tc>
        <w:tc>
          <w:tcPr>
            <w:tcW w:w="1672" w:type="dxa"/>
            <w:vAlign w:val="center"/>
          </w:tcPr>
          <w:p w:rsidR="001E6217" w:rsidRPr="00383B8D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2"/>
              </w:rPr>
            </w:pPr>
            <w:r w:rsidRPr="00383B8D">
              <w:rPr>
                <w:sz w:val="22"/>
              </w:rPr>
              <w:t>85</w:t>
            </w:r>
          </w:p>
        </w:tc>
        <w:tc>
          <w:tcPr>
            <w:tcW w:w="1701" w:type="dxa"/>
            <w:vAlign w:val="center"/>
          </w:tcPr>
          <w:p w:rsidR="001E6217" w:rsidRPr="00383B8D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2"/>
              </w:rPr>
            </w:pPr>
            <w:r w:rsidRPr="00383B8D">
              <w:rPr>
                <w:sz w:val="22"/>
              </w:rPr>
              <w:t>85</w:t>
            </w:r>
          </w:p>
        </w:tc>
        <w:tc>
          <w:tcPr>
            <w:tcW w:w="1843" w:type="dxa"/>
            <w:vAlign w:val="center"/>
          </w:tcPr>
          <w:p w:rsidR="001E6217" w:rsidRPr="00383B8D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2"/>
              </w:rPr>
            </w:pPr>
            <w:r w:rsidRPr="00383B8D">
              <w:rPr>
                <w:sz w:val="22"/>
              </w:rPr>
              <w:t>66</w:t>
            </w:r>
          </w:p>
        </w:tc>
        <w:tc>
          <w:tcPr>
            <w:tcW w:w="2975" w:type="dxa"/>
            <w:vAlign w:val="center"/>
          </w:tcPr>
          <w:p w:rsidR="001E6217" w:rsidRPr="00383B8D" w:rsidRDefault="001E6217" w:rsidP="000F0C67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2"/>
              </w:rPr>
            </w:pPr>
            <w:r w:rsidRPr="001A2C40">
              <w:rPr>
                <w:sz w:val="22"/>
              </w:rPr>
              <w:t>1 229 926 285,00</w:t>
            </w:r>
          </w:p>
        </w:tc>
      </w:tr>
    </w:tbl>
    <w:p w:rsidR="00F172BA" w:rsidRDefault="00F172BA" w:rsidP="009509E5">
      <w:pPr>
        <w:pStyle w:val="Poznmka"/>
      </w:pPr>
      <w:r w:rsidRPr="00AF15B6">
        <w:rPr>
          <w:b/>
        </w:rPr>
        <w:t>Zdroj:</w:t>
      </w:r>
      <w:r>
        <w:t xml:space="preserve"> </w:t>
      </w:r>
      <w:r w:rsidR="00306274">
        <w:t>v</w:t>
      </w:r>
      <w:r w:rsidRPr="00ED537C">
        <w:t xml:space="preserve">ýroční zprávy </w:t>
      </w:r>
      <w:r w:rsidR="00306274">
        <w:t xml:space="preserve">za roky </w:t>
      </w:r>
      <w:r w:rsidRPr="00ED537C">
        <w:t>2013 a 2014, registrační a evidenční seznamy projektů zveřejněné SFK</w:t>
      </w:r>
      <w:r w:rsidR="007D1411" w:rsidRPr="00ED537C">
        <w:t>.</w:t>
      </w:r>
    </w:p>
    <w:p w:rsidR="00E52430" w:rsidRDefault="00E52430" w:rsidP="00E52430">
      <w:r>
        <w:t xml:space="preserve">SFK vyplatil v roce 2013 </w:t>
      </w:r>
      <w:r w:rsidR="00315D4D">
        <w:t xml:space="preserve">dvanácti pobídkovým projektům </w:t>
      </w:r>
      <w:r w:rsidR="006C3224">
        <w:t xml:space="preserve">filmové pobídky </w:t>
      </w:r>
      <w:r>
        <w:t>v</w:t>
      </w:r>
      <w:r w:rsidR="00CC387B">
        <w:t> </w:t>
      </w:r>
      <w:r>
        <w:t>částce 104,2</w:t>
      </w:r>
      <w:r w:rsidR="00AF15B6">
        <w:t> </w:t>
      </w:r>
      <w:r>
        <w:t>mil.</w:t>
      </w:r>
      <w:r w:rsidR="00AF15B6">
        <w:t> </w:t>
      </w:r>
      <w:r>
        <w:t>Kč, v roce 2014</w:t>
      </w:r>
      <w:r w:rsidR="003349E4">
        <w:t xml:space="preserve"> </w:t>
      </w:r>
      <w:r w:rsidR="00CC387B">
        <w:t xml:space="preserve">vyplatil </w:t>
      </w:r>
      <w:r w:rsidR="003349E4">
        <w:t>téměř</w:t>
      </w:r>
      <w:r>
        <w:t xml:space="preserve"> 493,8 mil. Kč</w:t>
      </w:r>
      <w:r w:rsidR="00315D4D">
        <w:t xml:space="preserve"> třiceti pobídkovým projektům</w:t>
      </w:r>
      <w:r>
        <w:t xml:space="preserve"> a v roce 2015</w:t>
      </w:r>
      <w:r w:rsidR="003349E4">
        <w:t xml:space="preserve"> </w:t>
      </w:r>
      <w:r w:rsidR="00CC387B">
        <w:t>poskytl</w:t>
      </w:r>
      <w:r>
        <w:t xml:space="preserve"> 325,4 mil. Kč</w:t>
      </w:r>
      <w:r w:rsidR="00315D4D">
        <w:t xml:space="preserve"> čtyřiatřiceti projektům</w:t>
      </w:r>
      <w:r>
        <w:t>.</w:t>
      </w:r>
      <w:r w:rsidR="00BD6EAC">
        <w:t xml:space="preserve"> Detailnější informace o vyplácení </w:t>
      </w:r>
      <w:r w:rsidR="006C3224">
        <w:t>dotací</w:t>
      </w:r>
      <w:r w:rsidR="00BD6EAC">
        <w:t xml:space="preserve"> ze státního rozpočtu účelově určen</w:t>
      </w:r>
      <w:r w:rsidR="006C3224">
        <w:t>ých</w:t>
      </w:r>
      <w:r w:rsidR="00BD6EAC">
        <w:t xml:space="preserve"> na filmové pobídky obsahuje následující tabulka.</w:t>
      </w:r>
    </w:p>
    <w:p w:rsidR="00A5644C" w:rsidRDefault="00A5644C">
      <w:pPr>
        <w:spacing w:before="0" w:after="200" w:line="276" w:lineRule="auto"/>
        <w:jc w:val="left"/>
        <w:rPr>
          <w:szCs w:val="22"/>
        </w:rPr>
      </w:pPr>
      <w:r>
        <w:br w:type="page"/>
      </w:r>
    </w:p>
    <w:p w:rsidR="00BD6EAC" w:rsidRPr="00ED537C" w:rsidRDefault="00BF1291" w:rsidP="007B1174">
      <w:pPr>
        <w:pStyle w:val="Nzevtabulky"/>
        <w:numPr>
          <w:ilvl w:val="0"/>
          <w:numId w:val="0"/>
        </w:numPr>
        <w:tabs>
          <w:tab w:val="right" w:pos="9072"/>
        </w:tabs>
        <w:rPr>
          <w:b/>
        </w:rPr>
      </w:pPr>
      <w:r>
        <w:rPr>
          <w:b/>
        </w:rPr>
        <w:lastRenderedPageBreak/>
        <w:t xml:space="preserve">Tabulka č. 5 – </w:t>
      </w:r>
      <w:r w:rsidR="00BD6EAC" w:rsidRPr="00ED537C">
        <w:rPr>
          <w:b/>
        </w:rPr>
        <w:t xml:space="preserve">Prostředky účelově určené na poskytování filmových pobídek </w:t>
      </w:r>
      <w:r w:rsidR="00ED537C">
        <w:rPr>
          <w:b/>
        </w:rPr>
        <w:tab/>
      </w:r>
      <w:r w:rsidR="00BD6EAC" w:rsidRPr="00ED537C">
        <w:rPr>
          <w:b/>
        </w:rPr>
        <w:t>(v Kč)</w:t>
      </w:r>
    </w:p>
    <w:tbl>
      <w:tblPr>
        <w:tblStyle w:val="Mkatabulky"/>
        <w:tblW w:w="488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632"/>
        <w:gridCol w:w="1772"/>
        <w:gridCol w:w="1689"/>
        <w:gridCol w:w="1689"/>
        <w:gridCol w:w="1581"/>
      </w:tblGrid>
      <w:tr w:rsidR="00BD6EAC" w:rsidRPr="001919A7" w:rsidTr="004A09ED">
        <w:trPr>
          <w:trHeight w:val="97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18"/>
              </w:rPr>
            </w:pPr>
            <w:r w:rsidRPr="001919A7">
              <w:rPr>
                <w:b/>
                <w:sz w:val="20"/>
                <w:szCs w:val="18"/>
              </w:rPr>
              <w:t>Rok</w:t>
            </w:r>
          </w:p>
        </w:tc>
        <w:tc>
          <w:tcPr>
            <w:tcW w:w="3404" w:type="dxa"/>
            <w:gridSpan w:val="2"/>
            <w:shd w:val="clear" w:color="auto" w:fill="D9D9D9" w:themeFill="background1" w:themeFillShade="D9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Dotace</w:t>
            </w:r>
            <w:r w:rsidRPr="001919A7">
              <w:rPr>
                <w:b/>
                <w:sz w:val="20"/>
                <w:szCs w:val="18"/>
              </w:rPr>
              <w:t xml:space="preserve"> ze státního rozpočtu</w:t>
            </w:r>
          </w:p>
        </w:tc>
        <w:tc>
          <w:tcPr>
            <w:tcW w:w="4959" w:type="dxa"/>
            <w:gridSpan w:val="3"/>
            <w:shd w:val="clear" w:color="auto" w:fill="D9D9D9" w:themeFill="background1" w:themeFillShade="D9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18"/>
                <w:highlight w:val="yellow"/>
              </w:rPr>
            </w:pPr>
            <w:r w:rsidRPr="001919A7">
              <w:rPr>
                <w:b/>
                <w:sz w:val="20"/>
                <w:szCs w:val="18"/>
              </w:rPr>
              <w:t>Vyplacené prostředky v Kč</w:t>
            </w:r>
          </w:p>
        </w:tc>
      </w:tr>
      <w:tr w:rsidR="00BD6EAC" w:rsidRPr="001919A7" w:rsidTr="004A09ED">
        <w:trPr>
          <w:trHeight w:val="96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18"/>
              </w:rPr>
            </w:pPr>
            <w:r w:rsidRPr="001919A7">
              <w:rPr>
                <w:b/>
                <w:sz w:val="20"/>
                <w:szCs w:val="18"/>
              </w:rPr>
              <w:t>Datum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Částka 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</w:t>
            </w:r>
            <w:r w:rsidRPr="001919A7">
              <w:rPr>
                <w:b/>
                <w:sz w:val="20"/>
                <w:szCs w:val="16"/>
              </w:rPr>
              <w:t xml:space="preserve"> datu </w:t>
            </w:r>
            <w:r w:rsidRPr="001919A7">
              <w:rPr>
                <w:b/>
                <w:sz w:val="20"/>
                <w:szCs w:val="16"/>
              </w:rPr>
              <w:br/>
              <w:t>31. 12. 2013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</w:t>
            </w:r>
            <w:r w:rsidRPr="001919A7">
              <w:rPr>
                <w:b/>
                <w:sz w:val="20"/>
                <w:szCs w:val="16"/>
              </w:rPr>
              <w:t xml:space="preserve"> datu</w:t>
            </w:r>
            <w:r w:rsidRPr="001919A7">
              <w:rPr>
                <w:b/>
                <w:sz w:val="20"/>
                <w:szCs w:val="16"/>
              </w:rPr>
              <w:br/>
              <w:t xml:space="preserve"> 31. 12. 2014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K</w:t>
            </w:r>
            <w:r w:rsidRPr="001919A7">
              <w:rPr>
                <w:b/>
                <w:sz w:val="20"/>
                <w:szCs w:val="16"/>
              </w:rPr>
              <w:t xml:space="preserve"> datu </w:t>
            </w:r>
            <w:r w:rsidRPr="001919A7">
              <w:rPr>
                <w:b/>
                <w:sz w:val="20"/>
                <w:szCs w:val="16"/>
              </w:rPr>
              <w:br/>
              <w:t>31. 12. 2015</w:t>
            </w:r>
          </w:p>
        </w:tc>
      </w:tr>
      <w:tr w:rsidR="00BD6EAC" w:rsidRPr="001919A7" w:rsidTr="004A09ED">
        <w:tc>
          <w:tcPr>
            <w:tcW w:w="709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2013</w:t>
            </w:r>
          </w:p>
        </w:tc>
        <w:tc>
          <w:tcPr>
            <w:tcW w:w="1632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14. 10. 2013</w:t>
            </w:r>
          </w:p>
        </w:tc>
        <w:tc>
          <w:tcPr>
            <w:tcW w:w="1772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500 000 000,00</w:t>
            </w:r>
          </w:p>
        </w:tc>
        <w:tc>
          <w:tcPr>
            <w:tcW w:w="1689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104 185 685,40</w:t>
            </w:r>
          </w:p>
        </w:tc>
        <w:tc>
          <w:tcPr>
            <w:tcW w:w="1689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 xml:space="preserve">488 163 389,40 </w:t>
            </w:r>
          </w:p>
        </w:tc>
        <w:tc>
          <w:tcPr>
            <w:tcW w:w="1581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500 000 000,00</w:t>
            </w:r>
          </w:p>
        </w:tc>
      </w:tr>
      <w:tr w:rsidR="00BD6EAC" w:rsidRPr="001919A7" w:rsidTr="004A09ED">
        <w:tc>
          <w:tcPr>
            <w:tcW w:w="709" w:type="dxa"/>
            <w:vMerge w:val="restart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2014</w:t>
            </w:r>
          </w:p>
        </w:tc>
        <w:tc>
          <w:tcPr>
            <w:tcW w:w="1632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9. 9. 2014</w:t>
            </w:r>
          </w:p>
        </w:tc>
        <w:tc>
          <w:tcPr>
            <w:tcW w:w="1772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500 000 000,00</w:t>
            </w:r>
          </w:p>
        </w:tc>
        <w:tc>
          <w:tcPr>
            <w:tcW w:w="1689" w:type="dxa"/>
            <w:vAlign w:val="center"/>
          </w:tcPr>
          <w:p w:rsidR="00BD6EAC" w:rsidRPr="001919A7" w:rsidRDefault="00F71495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–</w:t>
            </w:r>
          </w:p>
        </w:tc>
        <w:tc>
          <w:tcPr>
            <w:tcW w:w="1689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0</w:t>
            </w:r>
            <w:r w:rsidR="00C61D22">
              <w:rPr>
                <w:sz w:val="20"/>
                <w:szCs w:val="16"/>
              </w:rPr>
              <w:t>,00</w:t>
            </w:r>
          </w:p>
        </w:tc>
        <w:tc>
          <w:tcPr>
            <w:tcW w:w="1581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123 386 315,40</w:t>
            </w:r>
          </w:p>
        </w:tc>
      </w:tr>
      <w:tr w:rsidR="00BD6EAC" w:rsidRPr="001919A7" w:rsidTr="004A09ED">
        <w:tc>
          <w:tcPr>
            <w:tcW w:w="709" w:type="dxa"/>
            <w:vMerge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16"/>
              </w:rPr>
            </w:pPr>
          </w:p>
        </w:tc>
        <w:tc>
          <w:tcPr>
            <w:tcW w:w="1632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4. 11. 2014</w:t>
            </w:r>
          </w:p>
        </w:tc>
        <w:tc>
          <w:tcPr>
            <w:tcW w:w="1772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300 000 000,00</w:t>
            </w:r>
          </w:p>
        </w:tc>
        <w:tc>
          <w:tcPr>
            <w:tcW w:w="1689" w:type="dxa"/>
            <w:vAlign w:val="center"/>
          </w:tcPr>
          <w:p w:rsidR="00BD6EAC" w:rsidRPr="001919A7" w:rsidRDefault="00F71495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–</w:t>
            </w:r>
          </w:p>
        </w:tc>
        <w:tc>
          <w:tcPr>
            <w:tcW w:w="1689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109 821 120,00</w:t>
            </w:r>
          </w:p>
        </w:tc>
        <w:tc>
          <w:tcPr>
            <w:tcW w:w="1581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300 000 000,00</w:t>
            </w:r>
          </w:p>
        </w:tc>
      </w:tr>
      <w:tr w:rsidR="00BD6EAC" w:rsidRPr="001919A7" w:rsidTr="004A09ED">
        <w:tc>
          <w:tcPr>
            <w:tcW w:w="709" w:type="dxa"/>
            <w:vMerge w:val="restart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2015</w:t>
            </w:r>
          </w:p>
        </w:tc>
        <w:tc>
          <w:tcPr>
            <w:tcW w:w="1632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22. 6. 2015</w:t>
            </w:r>
          </w:p>
        </w:tc>
        <w:tc>
          <w:tcPr>
            <w:tcW w:w="1772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500 000 000,00</w:t>
            </w:r>
          </w:p>
        </w:tc>
        <w:tc>
          <w:tcPr>
            <w:tcW w:w="1689" w:type="dxa"/>
            <w:vAlign w:val="center"/>
          </w:tcPr>
          <w:p w:rsidR="00BD6EAC" w:rsidRPr="001919A7" w:rsidRDefault="00F71495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–</w:t>
            </w:r>
          </w:p>
        </w:tc>
        <w:tc>
          <w:tcPr>
            <w:tcW w:w="1689" w:type="dxa"/>
            <w:vAlign w:val="center"/>
          </w:tcPr>
          <w:p w:rsidR="00BD6EAC" w:rsidRPr="001919A7" w:rsidRDefault="00F71495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–</w:t>
            </w:r>
          </w:p>
        </w:tc>
        <w:tc>
          <w:tcPr>
            <w:tcW w:w="1581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0</w:t>
            </w:r>
            <w:r w:rsidR="00C61D22">
              <w:rPr>
                <w:sz w:val="20"/>
                <w:szCs w:val="16"/>
              </w:rPr>
              <w:t>,00</w:t>
            </w:r>
          </w:p>
        </w:tc>
      </w:tr>
      <w:tr w:rsidR="00BD6EAC" w:rsidRPr="001919A7" w:rsidTr="004A09ED">
        <w:tc>
          <w:tcPr>
            <w:tcW w:w="709" w:type="dxa"/>
            <w:vMerge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center"/>
              <w:rPr>
                <w:sz w:val="20"/>
                <w:szCs w:val="16"/>
              </w:rPr>
            </w:pPr>
          </w:p>
        </w:tc>
        <w:tc>
          <w:tcPr>
            <w:tcW w:w="1632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15. 12. 2015</w:t>
            </w:r>
          </w:p>
        </w:tc>
        <w:tc>
          <w:tcPr>
            <w:tcW w:w="1772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300 000 000,00</w:t>
            </w:r>
          </w:p>
        </w:tc>
        <w:tc>
          <w:tcPr>
            <w:tcW w:w="1689" w:type="dxa"/>
            <w:vAlign w:val="center"/>
          </w:tcPr>
          <w:p w:rsidR="00BD6EAC" w:rsidRPr="001919A7" w:rsidRDefault="00F71495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–</w:t>
            </w:r>
          </w:p>
        </w:tc>
        <w:tc>
          <w:tcPr>
            <w:tcW w:w="1689" w:type="dxa"/>
            <w:vAlign w:val="center"/>
          </w:tcPr>
          <w:p w:rsidR="00BD6EAC" w:rsidRPr="001919A7" w:rsidRDefault="00F71495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–</w:t>
            </w:r>
          </w:p>
        </w:tc>
        <w:tc>
          <w:tcPr>
            <w:tcW w:w="1581" w:type="dxa"/>
            <w:vAlign w:val="center"/>
          </w:tcPr>
          <w:p w:rsidR="00BD6EAC" w:rsidRPr="001919A7" w:rsidRDefault="00BD6EAC" w:rsidP="00527D6D">
            <w:pPr>
              <w:pStyle w:val="Nzevtabulky"/>
              <w:numPr>
                <w:ilvl w:val="0"/>
                <w:numId w:val="0"/>
              </w:numPr>
              <w:spacing w:before="0"/>
              <w:jc w:val="right"/>
              <w:rPr>
                <w:sz w:val="20"/>
                <w:szCs w:val="16"/>
              </w:rPr>
            </w:pPr>
            <w:r w:rsidRPr="001919A7">
              <w:rPr>
                <w:sz w:val="20"/>
                <w:szCs w:val="16"/>
              </w:rPr>
              <w:t>0</w:t>
            </w:r>
            <w:r w:rsidR="00C61D22">
              <w:rPr>
                <w:sz w:val="20"/>
                <w:szCs w:val="16"/>
              </w:rPr>
              <w:t>,00</w:t>
            </w:r>
          </w:p>
        </w:tc>
      </w:tr>
    </w:tbl>
    <w:p w:rsidR="00BD6EAC" w:rsidRPr="00ED537C" w:rsidRDefault="00BD6EAC" w:rsidP="009509E5">
      <w:pPr>
        <w:pStyle w:val="Poznmka"/>
      </w:pPr>
      <w:r w:rsidRPr="00AF15B6">
        <w:rPr>
          <w:b/>
        </w:rPr>
        <w:t>Zdroj:</w:t>
      </w:r>
      <w:r>
        <w:t xml:space="preserve"> </w:t>
      </w:r>
      <w:r w:rsidR="007B1174">
        <w:t>r</w:t>
      </w:r>
      <w:r w:rsidRPr="00ED537C">
        <w:t>ozhodnutí o poskytnutí dotace ze státního rozpočtu ČR na daný rok</w:t>
      </w:r>
      <w:r w:rsidR="007B1174">
        <w:t>;</w:t>
      </w:r>
      <w:r w:rsidRPr="00ED537C">
        <w:t xml:space="preserve"> </w:t>
      </w:r>
      <w:r w:rsidR="007B1174">
        <w:t>z</w:t>
      </w:r>
      <w:r w:rsidRPr="00ED537C">
        <w:t>práv</w:t>
      </w:r>
      <w:r w:rsidR="007B1174">
        <w:t>y</w:t>
      </w:r>
      <w:r w:rsidRPr="00ED537C">
        <w:t xml:space="preserve"> o čerpání do</w:t>
      </w:r>
      <w:r w:rsidR="00C61D22" w:rsidRPr="00ED537C">
        <w:t>tací ze státního rozpočtu pro SFK</w:t>
      </w:r>
      <w:r w:rsidRPr="00ED537C">
        <w:t xml:space="preserve"> za rok</w:t>
      </w:r>
      <w:r w:rsidR="007B1174">
        <w:t>y</w:t>
      </w:r>
      <w:r w:rsidRPr="00ED537C">
        <w:t xml:space="preserve"> 2013, 2014 a 2015</w:t>
      </w:r>
      <w:r w:rsidR="007B1174">
        <w:t>;</w:t>
      </w:r>
      <w:r w:rsidRPr="00ED537C">
        <w:t xml:space="preserve"> </w:t>
      </w:r>
      <w:r w:rsidR="007B1174">
        <w:t>p</w:t>
      </w:r>
      <w:r w:rsidRPr="00ED537C">
        <w:t>růběžn</w:t>
      </w:r>
      <w:r w:rsidR="007B1174">
        <w:t>é</w:t>
      </w:r>
      <w:r w:rsidRPr="00ED537C">
        <w:t xml:space="preserve"> zpráv</w:t>
      </w:r>
      <w:r w:rsidR="007B1174">
        <w:t>y</w:t>
      </w:r>
      <w:r w:rsidRPr="00ED537C">
        <w:t xml:space="preserve"> o realizaci projekt</w:t>
      </w:r>
      <w:r w:rsidR="007B1174">
        <w:t>ů</w:t>
      </w:r>
      <w:r w:rsidRPr="00ED537C">
        <w:t xml:space="preserve"> dle</w:t>
      </w:r>
      <w:r w:rsidR="007B1174">
        <w:t xml:space="preserve"> vydaných r</w:t>
      </w:r>
      <w:r w:rsidRPr="00ED537C">
        <w:t>ozhodnutí MK.</w:t>
      </w:r>
    </w:p>
    <w:p w:rsidR="00F254AE" w:rsidRDefault="00AE2524" w:rsidP="00845A3E">
      <w:r>
        <w:t>SFK nepostupoval v souladu se zákonem o audiovizi a statutem</w:t>
      </w:r>
      <w:r w:rsidR="00F254AE">
        <w:t>:</w:t>
      </w:r>
    </w:p>
    <w:p w:rsidR="00AE2524" w:rsidRDefault="004C0A1E" w:rsidP="00F70874">
      <w:pPr>
        <w:pStyle w:val="Odstavecseseznamem"/>
        <w:spacing w:before="120"/>
        <w:ind w:left="357" w:hanging="357"/>
      </w:pPr>
      <w:r>
        <w:t>E</w:t>
      </w:r>
      <w:r w:rsidR="00AE2524">
        <w:t xml:space="preserve">videnční seznamy pobídkových projektů </w:t>
      </w:r>
      <w:r w:rsidR="00F71495">
        <w:t xml:space="preserve">Státní fond kinematografie </w:t>
      </w:r>
      <w:r w:rsidR="00AE2524">
        <w:t>neaktualizoval a</w:t>
      </w:r>
      <w:r w:rsidR="00F71495">
        <w:t> </w:t>
      </w:r>
      <w:r w:rsidR="00AE2524">
        <w:t>neobsahovaly stanovené údaje</w:t>
      </w:r>
      <w:r w:rsidR="00027EF1">
        <w:rPr>
          <w:rStyle w:val="Znakapoznpodarou"/>
        </w:rPr>
        <w:footnoteReference w:id="17"/>
      </w:r>
      <w:r>
        <w:t>.</w:t>
      </w:r>
    </w:p>
    <w:p w:rsidR="00041769" w:rsidRDefault="004C0A1E" w:rsidP="00EC467F">
      <w:pPr>
        <w:pStyle w:val="Odstavecseseznamem"/>
      </w:pPr>
      <w:r>
        <w:t>S</w:t>
      </w:r>
      <w:r w:rsidR="000176F3">
        <w:t xml:space="preserve">tatut SFK stanoví, že </w:t>
      </w:r>
      <w:r w:rsidR="000176F3" w:rsidRPr="000176F3">
        <w:t>objem prostředků přidělen</w:t>
      </w:r>
      <w:r w:rsidR="00495957">
        <w:t>ých prostřednictvím osvědčení o </w:t>
      </w:r>
      <w:r w:rsidR="000176F3" w:rsidRPr="000176F3">
        <w:t>evidenci nesmí přesáhnout 800 mil. Kč souhrnně pro</w:t>
      </w:r>
      <w:r w:rsidR="00DE5C59">
        <w:t xml:space="preserve"> </w:t>
      </w:r>
      <w:r w:rsidR="000176F3" w:rsidRPr="000176F3">
        <w:t xml:space="preserve">všechna osvědčení o evidenci vydaná v průběhu jednoho kalendářního roku. </w:t>
      </w:r>
      <w:r w:rsidR="006A3158">
        <w:t>SFK</w:t>
      </w:r>
      <w:r w:rsidR="00A5644C">
        <w:t xml:space="preserve"> v rozporu s uvedeným</w:t>
      </w:r>
      <w:r w:rsidR="0000078F">
        <w:t xml:space="preserve"> v</w:t>
      </w:r>
      <w:r w:rsidR="00041769">
        <w:t> roce 2015 vydal</w:t>
      </w:r>
      <w:r w:rsidR="0000078F">
        <w:t xml:space="preserve"> 84 </w:t>
      </w:r>
      <w:r w:rsidR="00041769">
        <w:t>osvědčení o</w:t>
      </w:r>
      <w:r w:rsidR="00DE5C59">
        <w:t xml:space="preserve"> </w:t>
      </w:r>
      <w:r w:rsidR="00041769">
        <w:t>evidenci</w:t>
      </w:r>
      <w:r w:rsidR="0000078F">
        <w:t>, kterými alokoval peněžní</w:t>
      </w:r>
      <w:r w:rsidR="00495957">
        <w:t xml:space="preserve"> prostředky v úhrnné výši 1 370 </w:t>
      </w:r>
      <w:r w:rsidR="0000078F">
        <w:t xml:space="preserve">mil. Kč. (Z toho bylo </w:t>
      </w:r>
      <w:r w:rsidR="00041769">
        <w:t>1 229,9 mil. Kč</w:t>
      </w:r>
      <w:r w:rsidR="0000078F">
        <w:t xml:space="preserve"> na nové projekty</w:t>
      </w:r>
      <w:r w:rsidR="00041769">
        <w:t xml:space="preserve"> a 140,3 mil. Kč</w:t>
      </w:r>
      <w:r w:rsidR="00495957">
        <w:t xml:space="preserve"> na</w:t>
      </w:r>
      <w:r w:rsidR="00E471FF">
        <w:t xml:space="preserve"> </w:t>
      </w:r>
      <w:r w:rsidR="0000078F">
        <w:t>dofinancování projektů předchoz</w:t>
      </w:r>
      <w:r w:rsidR="00AC20EA">
        <w:t>ího roku)</w:t>
      </w:r>
      <w:r w:rsidR="00537D5B">
        <w:rPr>
          <w:rStyle w:val="Znakapoznpodarou"/>
        </w:rPr>
        <w:footnoteReference w:id="18"/>
      </w:r>
      <w:r>
        <w:t>.</w:t>
      </w:r>
    </w:p>
    <w:p w:rsidR="00027EF1" w:rsidRDefault="004C0A1E" w:rsidP="00D66A54">
      <w:pPr>
        <w:pStyle w:val="Odstavecseseznamem"/>
      </w:pPr>
      <w:r>
        <w:t>V</w:t>
      </w:r>
      <w:r w:rsidR="00027EF1">
        <w:t xml:space="preserve"> osmi případech </w:t>
      </w:r>
      <w:r w:rsidR="00E471FF">
        <w:t xml:space="preserve">SFK </w:t>
      </w:r>
      <w:r w:rsidR="00027EF1">
        <w:t xml:space="preserve">neodmítl žádost o evidenci pobídkového projektu, </w:t>
      </w:r>
      <w:r w:rsidR="00276EBE">
        <w:t xml:space="preserve">i </w:t>
      </w:r>
      <w:r w:rsidR="00E471FF">
        <w:t>kdy</w:t>
      </w:r>
      <w:r w:rsidR="00276EBE">
        <w:t>ž</w:t>
      </w:r>
      <w:r w:rsidR="00027EF1">
        <w:t xml:space="preserve"> předmětem </w:t>
      </w:r>
      <w:r w:rsidR="00E471FF">
        <w:t xml:space="preserve">žádostí </w:t>
      </w:r>
      <w:r w:rsidR="00027EF1">
        <w:t>bylo vydání osvědčení o evidenci projektu na vyšší částku, než je stanoveno</w:t>
      </w:r>
      <w:r w:rsidR="00F254AE">
        <w:t xml:space="preserve"> zákonem</w:t>
      </w:r>
      <w:r w:rsidR="00FF74D8">
        <w:t>, a</w:t>
      </w:r>
      <w:r w:rsidR="007D1411">
        <w:t> </w:t>
      </w:r>
      <w:r w:rsidR="00FF74D8">
        <w:t>zároveň ve dvou případech sám SFK vydal osvědčení o evidenci na částku v rozporu se zákonem</w:t>
      </w:r>
      <w:r w:rsidR="00BE1028">
        <w:t xml:space="preserve"> o audiovizi</w:t>
      </w:r>
      <w:r w:rsidR="00F254AE">
        <w:rPr>
          <w:rStyle w:val="Znakapoznpodarou"/>
        </w:rPr>
        <w:footnoteReference w:id="19"/>
      </w:r>
      <w:r>
        <w:t>.</w:t>
      </w:r>
    </w:p>
    <w:p w:rsidR="00F254AE" w:rsidRDefault="00E471FF" w:rsidP="00EC467F">
      <w:pPr>
        <w:pStyle w:val="Odstavecseseznamem"/>
      </w:pPr>
      <w:r>
        <w:t>SFK n</w:t>
      </w:r>
      <w:r w:rsidR="00F254AE">
        <w:t xml:space="preserve">edodržel lhůty pro vrácení správního poplatku </w:t>
      </w:r>
      <w:r w:rsidR="00041769">
        <w:t xml:space="preserve">třem </w:t>
      </w:r>
      <w:r>
        <w:t xml:space="preserve">žadatelům, jejichž žádosti byly </w:t>
      </w:r>
      <w:r w:rsidR="00041769">
        <w:t>zamítnut</w:t>
      </w:r>
      <w:r>
        <w:t>y.</w:t>
      </w:r>
      <w:r w:rsidR="00F254AE">
        <w:rPr>
          <w:rStyle w:val="Znakapoznpodarou"/>
        </w:rPr>
        <w:footnoteReference w:id="20"/>
      </w:r>
    </w:p>
    <w:p w:rsidR="00EC467F" w:rsidRDefault="00DE5C59" w:rsidP="00EC467F">
      <w:pPr>
        <w:pStyle w:val="Odstavecseseznamem"/>
      </w:pPr>
      <w:r>
        <w:t>SFK v</w:t>
      </w:r>
      <w:r w:rsidR="00E471FF">
        <w:t>e 143 případech n</w:t>
      </w:r>
      <w:r w:rsidR="00EC467F">
        <w:t>edodržel lhůty pro roz</w:t>
      </w:r>
      <w:r w:rsidR="004B7A5D">
        <w:t>hodnutí o žádosti o evidenci</w:t>
      </w:r>
      <w:r w:rsidR="00EC467F">
        <w:t xml:space="preserve"> projekt</w:t>
      </w:r>
      <w:r w:rsidR="00276EBE">
        <w:t>u.</w:t>
      </w:r>
      <w:r w:rsidR="00EC467F">
        <w:rPr>
          <w:rStyle w:val="Znakapoznpodarou"/>
        </w:rPr>
        <w:footnoteReference w:id="21"/>
      </w:r>
    </w:p>
    <w:p w:rsidR="00F172BA" w:rsidRDefault="00EC467F" w:rsidP="003F648F">
      <w:pPr>
        <w:pStyle w:val="Nadpis2"/>
      </w:pPr>
      <w:r>
        <w:t>Podpora poskytovaná filmovému průmyslu v</w:t>
      </w:r>
      <w:r w:rsidR="00466A74">
        <w:t> Evropské unii</w:t>
      </w:r>
    </w:p>
    <w:p w:rsidR="00B9718A" w:rsidRDefault="00016EEB" w:rsidP="004A09ED">
      <w:pPr>
        <w:autoSpaceDE w:val="0"/>
        <w:autoSpaceDN w:val="0"/>
        <w:adjustRightInd w:val="0"/>
        <w:spacing w:before="0"/>
      </w:pPr>
      <w:r>
        <w:t xml:space="preserve">Podpoře kinematografie v Evropské unii se věnuje především </w:t>
      </w:r>
      <w:r w:rsidR="00E720AC" w:rsidRPr="004A09ED">
        <w:rPr>
          <w:rFonts w:eastAsiaTheme="minorHAnsi" w:cstheme="minorHAnsi"/>
          <w:bCs/>
          <w:i/>
        </w:rPr>
        <w:t>sdělení Komise Radě, Evropskému parlamentu, Hospodářskému a sociálnímu výboru a Výboru regionů ohledně některých právních aspektů problematiky kinematografických a jiných audiovizuálních děl</w:t>
      </w:r>
      <w:r w:rsidR="00E720AC">
        <w:rPr>
          <w:rFonts w:eastAsiaTheme="minorHAnsi" w:cstheme="minorHAnsi"/>
          <w:bCs/>
        </w:rPr>
        <w:t xml:space="preserve"> </w:t>
      </w:r>
      <w:r w:rsidR="00E720AC">
        <w:t>(</w:t>
      </w:r>
      <w:r w:rsidRPr="000A6794">
        <w:t>COM/2001/0534</w:t>
      </w:r>
      <w:r w:rsidR="00E720AC">
        <w:t>)</w:t>
      </w:r>
      <w:r>
        <w:t>, které</w:t>
      </w:r>
      <w:r w:rsidR="00E720AC">
        <w:t xml:space="preserve"> </w:t>
      </w:r>
      <w:r>
        <w:t>bylo novelizováno v roce 2013. Dokument definuje jednotlivé možnosti podpory kinematografie včetně filmových pobídek a na základě tohoto dokumentu Evropská unie posuzuje, zda evropské filmové fondy dodržují pravidla o státní podpoře. Každá země, která zavedla filmové pobídky, si daný systém přizpůsobila.</w:t>
      </w:r>
    </w:p>
    <w:p w:rsidR="00B9718A" w:rsidRDefault="00B9718A" w:rsidP="00B9718A">
      <w:pPr>
        <w:autoSpaceDE w:val="0"/>
        <w:autoSpaceDN w:val="0"/>
        <w:adjustRightInd w:val="0"/>
        <w:spacing w:before="0"/>
      </w:pPr>
    </w:p>
    <w:p w:rsidR="00016EEB" w:rsidRPr="00B9718A" w:rsidRDefault="00B9718A" w:rsidP="003F648F">
      <w:pPr>
        <w:keepNext/>
        <w:tabs>
          <w:tab w:val="left" w:pos="8364"/>
        </w:tabs>
        <w:autoSpaceDE w:val="0"/>
        <w:autoSpaceDN w:val="0"/>
        <w:adjustRightInd w:val="0"/>
        <w:spacing w:before="0"/>
        <w:ind w:left="1077" w:hanging="1077"/>
        <w:jc w:val="left"/>
      </w:pPr>
      <w:r w:rsidRPr="00B9718A">
        <w:rPr>
          <w:b/>
        </w:rPr>
        <w:lastRenderedPageBreak/>
        <w:t xml:space="preserve">Graf č. 1 </w:t>
      </w:r>
      <w:r>
        <w:rPr>
          <w:b/>
        </w:rPr>
        <w:t xml:space="preserve">– </w:t>
      </w:r>
      <w:r w:rsidR="007A39BB">
        <w:rPr>
          <w:b/>
        </w:rPr>
        <w:t xml:space="preserve">Podíl uznatelných nákladů, který mohou </w:t>
      </w:r>
      <w:r w:rsidR="001D6799">
        <w:rPr>
          <w:b/>
        </w:rPr>
        <w:t xml:space="preserve">filmové produkce získat </w:t>
      </w:r>
      <w:r w:rsidR="007A39BB">
        <w:rPr>
          <w:b/>
        </w:rPr>
        <w:t>ve vybraných státech</w:t>
      </w:r>
      <w:r w:rsidR="003F648F">
        <w:rPr>
          <w:b/>
        </w:rPr>
        <w:tab/>
      </w:r>
      <w:r w:rsidR="007A39BB">
        <w:rPr>
          <w:b/>
        </w:rPr>
        <w:t xml:space="preserve"> </w:t>
      </w:r>
      <w:r w:rsidR="003F648F">
        <w:rPr>
          <w:b/>
        </w:rPr>
        <w:t>(v %)</w:t>
      </w:r>
    </w:p>
    <w:p w:rsidR="00016EEB" w:rsidRDefault="00016EEB" w:rsidP="00B55437">
      <w:pPr>
        <w:spacing w:before="0"/>
      </w:pPr>
      <w:r>
        <w:rPr>
          <w:noProof/>
          <w:lang w:eastAsia="cs-CZ"/>
        </w:rPr>
        <w:drawing>
          <wp:inline distT="0" distB="0" distL="0" distR="0" wp14:anchorId="7A21DAD0" wp14:editId="7FD44722">
            <wp:extent cx="5486400" cy="2099145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6EEB" w:rsidRPr="00ED537C" w:rsidRDefault="00B55437" w:rsidP="009509E5">
      <w:pPr>
        <w:pStyle w:val="Poznmka"/>
      </w:pPr>
      <w:r w:rsidRPr="00AF15B6">
        <w:rPr>
          <w:b/>
        </w:rPr>
        <w:t>Zdroj:</w:t>
      </w:r>
      <w:r>
        <w:t xml:space="preserve"> </w:t>
      </w:r>
      <w:r w:rsidR="00574702">
        <w:t>a</w:t>
      </w:r>
      <w:r w:rsidRPr="00ED537C">
        <w:t xml:space="preserve">nalýzy </w:t>
      </w:r>
      <w:r w:rsidR="00B376EA" w:rsidRPr="00ED537C">
        <w:t>a</w:t>
      </w:r>
      <w:r w:rsidRPr="00ED537C">
        <w:t xml:space="preserve"> </w:t>
      </w:r>
      <w:r w:rsidR="00016EEB" w:rsidRPr="00ED537C">
        <w:t>informace SFK</w:t>
      </w:r>
      <w:r w:rsidR="00FD5C29" w:rsidRPr="00ED537C">
        <w:t>.</w:t>
      </w:r>
    </w:p>
    <w:p w:rsidR="00AA378B" w:rsidRDefault="00AF75C8" w:rsidP="009509E5">
      <w:pPr>
        <w:pStyle w:val="Nadpis1"/>
      </w:pPr>
      <w:r>
        <w:t>Osta</w:t>
      </w:r>
      <w:r w:rsidR="007F4CE0">
        <w:t>t</w:t>
      </w:r>
      <w:r>
        <w:t>ní zjištěné skutečnosti</w:t>
      </w:r>
    </w:p>
    <w:p w:rsidR="00AA378B" w:rsidRDefault="00AA378B" w:rsidP="00AA378B">
      <w:r>
        <w:t>Ze SFPRČK byly na SFK převedeny pohledávky v celkové výši 229,2 mil. Kč (brutto). Ke kontrole byl vybrán vzorek 23 pohledávek souvisejících s poskytováním podpory v celkové hodnotě 106,3 mil. Kč. Na tomto vzorku bylo zjištěno, že některé</w:t>
      </w:r>
      <w:r w:rsidR="00F22687">
        <w:t xml:space="preserve"> pohledávky</w:t>
      </w:r>
      <w:r>
        <w:t xml:space="preserve"> měl odeps</w:t>
      </w:r>
      <w:r w:rsidR="007440B3">
        <w:t>at</w:t>
      </w:r>
      <w:r>
        <w:t xml:space="preserve"> již SFPRČK. Po jejich převzetí měl SFK tuto skutečnost zjistit nejpozději při</w:t>
      </w:r>
      <w:r w:rsidR="007440B3">
        <w:t xml:space="preserve"> </w:t>
      </w:r>
      <w:r>
        <w:t xml:space="preserve">inventarizaci prováděné k 31. </w:t>
      </w:r>
      <w:r w:rsidR="00AF15B6">
        <w:t xml:space="preserve">prosinci </w:t>
      </w:r>
      <w:r>
        <w:t xml:space="preserve">2013. </w:t>
      </w:r>
      <w:r w:rsidRPr="00ED1803">
        <w:rPr>
          <w:b/>
        </w:rPr>
        <w:t>SFK však nepo</w:t>
      </w:r>
      <w:r>
        <w:rPr>
          <w:b/>
        </w:rPr>
        <w:t>stupoval v souladu se zákonem o</w:t>
      </w:r>
      <w:r w:rsidR="007440B3">
        <w:rPr>
          <w:b/>
        </w:rPr>
        <w:t xml:space="preserve"> </w:t>
      </w:r>
      <w:r w:rsidRPr="00ED1803">
        <w:rPr>
          <w:b/>
        </w:rPr>
        <w:t>účetnictví</w:t>
      </w:r>
      <w:r w:rsidR="00FA153E">
        <w:rPr>
          <w:rStyle w:val="Znakapoznpodarou"/>
          <w:b/>
        </w:rPr>
        <w:footnoteReference w:id="22"/>
      </w:r>
      <w:r>
        <w:t xml:space="preserve">, </w:t>
      </w:r>
      <w:r w:rsidR="007440B3">
        <w:t xml:space="preserve">neboť </w:t>
      </w:r>
      <w:r>
        <w:t>dokladovou inventurou nezjistil skuteč</w:t>
      </w:r>
      <w:r w:rsidR="00C61D22">
        <w:t>ný stav pohledávek minimálně ve</w:t>
      </w:r>
      <w:r w:rsidR="007440B3">
        <w:t xml:space="preserve"> </w:t>
      </w:r>
      <w:r>
        <w:t>výši 3 990 041</w:t>
      </w:r>
      <w:r w:rsidR="00C15481">
        <w:t> </w:t>
      </w:r>
      <w:r>
        <w:t>Kč k 31. </w:t>
      </w:r>
      <w:r w:rsidR="00AF15B6">
        <w:t xml:space="preserve">prosinci </w:t>
      </w:r>
      <w:r>
        <w:t xml:space="preserve">2013 a 1 403 100 Kč k 31. </w:t>
      </w:r>
      <w:r w:rsidR="00AF15B6">
        <w:t>prosinci 2</w:t>
      </w:r>
      <w:r>
        <w:t xml:space="preserve">014. V účetnictví tak dál vedl </w:t>
      </w:r>
      <w:r w:rsidR="008C782F">
        <w:t xml:space="preserve">již zaniklé </w:t>
      </w:r>
      <w:r>
        <w:t>pohledávky.</w:t>
      </w:r>
    </w:p>
    <w:p w:rsidR="00AA378B" w:rsidRDefault="00AA378B" w:rsidP="00AA378B">
      <w:r>
        <w:t>V případech, kdy SFK shledá porušení podmínek uvedených v rozhodnutí, předá věc s podezřením na porušení rozpočtové kázně</w:t>
      </w:r>
      <w:r>
        <w:rPr>
          <w:rStyle w:val="Znakapoznpodarou"/>
        </w:rPr>
        <w:footnoteReference w:id="23"/>
      </w:r>
      <w:r>
        <w:t xml:space="preserve"> k prošetření příslušnému finančnímu úřadu. </w:t>
      </w:r>
      <w:r w:rsidR="00D36F9A">
        <w:t>SFK p</w:t>
      </w:r>
      <w:r>
        <w:t>o</w:t>
      </w:r>
      <w:r w:rsidR="007440B3">
        <w:t xml:space="preserve"> </w:t>
      </w:r>
      <w:r>
        <w:t xml:space="preserve">dobu kontroly </w:t>
      </w:r>
      <w:r w:rsidR="007440B3">
        <w:t xml:space="preserve">pozastavuje </w:t>
      </w:r>
      <w:r>
        <w:t xml:space="preserve">proplácení podpory </w:t>
      </w:r>
      <w:r w:rsidR="007440B3">
        <w:t xml:space="preserve">a </w:t>
      </w:r>
      <w:r>
        <w:t>sleduje, zda již byla kontrola zahájena, probíhá, byla ukončena, zda byl</w:t>
      </w:r>
      <w:r w:rsidR="007440B3">
        <w:t>y</w:t>
      </w:r>
      <w:r>
        <w:t xml:space="preserve"> odvod a penále prominut</w:t>
      </w:r>
      <w:r w:rsidR="007440B3">
        <w:t>y</w:t>
      </w:r>
      <w:r>
        <w:t>, vymožen</w:t>
      </w:r>
      <w:r w:rsidR="007440B3">
        <w:t>y</w:t>
      </w:r>
      <w:r>
        <w:t xml:space="preserve"> atd. Vymožené platby zasílá finanční úřad</w:t>
      </w:r>
      <w:r w:rsidRPr="00E55906">
        <w:t xml:space="preserve"> na účet</w:t>
      </w:r>
      <w:r>
        <w:t xml:space="preserve"> SFK.</w:t>
      </w:r>
      <w:r w:rsidR="001440BE">
        <w:t xml:space="preserve"> </w:t>
      </w:r>
    </w:p>
    <w:p w:rsidR="00AA378B" w:rsidRDefault="00AA378B" w:rsidP="00AA378B">
      <w:r>
        <w:t xml:space="preserve">Následující tabulka obsahuje </w:t>
      </w:r>
      <w:r w:rsidR="007440B3">
        <w:t>data související s projekty</w:t>
      </w:r>
      <w:r>
        <w:t>, které SFK v letech 2013 až 2015 předal k prošetření finančnímu úřadu.</w:t>
      </w:r>
    </w:p>
    <w:p w:rsidR="00AA378B" w:rsidRPr="00ED537C" w:rsidRDefault="00B9718A" w:rsidP="00B9718A">
      <w:pPr>
        <w:pStyle w:val="Nzevtabulky"/>
        <w:numPr>
          <w:ilvl w:val="0"/>
          <w:numId w:val="0"/>
        </w:numPr>
        <w:rPr>
          <w:b/>
        </w:rPr>
      </w:pPr>
      <w:r>
        <w:rPr>
          <w:b/>
        </w:rPr>
        <w:t xml:space="preserve">Tabulka č. 6 – </w:t>
      </w:r>
      <w:r w:rsidR="007440B3">
        <w:rPr>
          <w:b/>
        </w:rPr>
        <w:t>O</w:t>
      </w:r>
      <w:r w:rsidR="007440B3" w:rsidRPr="00ED537C">
        <w:rPr>
          <w:b/>
        </w:rPr>
        <w:t xml:space="preserve">známení </w:t>
      </w:r>
      <w:r w:rsidR="007440B3">
        <w:rPr>
          <w:b/>
        </w:rPr>
        <w:t>SFK p</w:t>
      </w:r>
      <w:r w:rsidR="00AA378B" w:rsidRPr="00ED537C">
        <w:rPr>
          <w:b/>
        </w:rPr>
        <w:t>odaná finančním úřadům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0"/>
        <w:gridCol w:w="3070"/>
      </w:tblGrid>
      <w:tr w:rsidR="00AA378B" w:rsidRPr="00117009" w:rsidTr="007D12E0">
        <w:tc>
          <w:tcPr>
            <w:tcW w:w="2962" w:type="dxa"/>
            <w:shd w:val="clear" w:color="auto" w:fill="D9D9D9" w:themeFill="background1" w:themeFillShade="D9"/>
            <w:vAlign w:val="center"/>
          </w:tcPr>
          <w:p w:rsidR="00AA378B" w:rsidRPr="00117009" w:rsidRDefault="00AA378B" w:rsidP="00527D6D">
            <w:pPr>
              <w:pStyle w:val="tabulka"/>
              <w:jc w:val="center"/>
              <w:rPr>
                <w:b/>
              </w:rPr>
            </w:pPr>
            <w:r w:rsidRPr="00117009">
              <w:rPr>
                <w:b/>
              </w:rPr>
              <w:t>Rok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AA378B" w:rsidRPr="00117009" w:rsidRDefault="00AA378B" w:rsidP="00527D6D">
            <w:pPr>
              <w:pStyle w:val="tabulka"/>
              <w:jc w:val="center"/>
              <w:rPr>
                <w:b/>
              </w:rPr>
            </w:pPr>
            <w:r w:rsidRPr="00117009">
              <w:rPr>
                <w:b/>
              </w:rPr>
              <w:t xml:space="preserve">Počet </w:t>
            </w:r>
            <w:r>
              <w:rPr>
                <w:b/>
              </w:rPr>
              <w:t>oznámení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AA378B" w:rsidRPr="00117009" w:rsidRDefault="00AA378B" w:rsidP="00527D6D">
            <w:pPr>
              <w:pStyle w:val="tabulka"/>
              <w:jc w:val="center"/>
              <w:rPr>
                <w:b/>
              </w:rPr>
            </w:pPr>
            <w:r w:rsidRPr="00117009">
              <w:rPr>
                <w:b/>
              </w:rPr>
              <w:t>Výše čerpané podpory (</w:t>
            </w:r>
            <w:r w:rsidR="007440B3">
              <w:rPr>
                <w:b/>
              </w:rPr>
              <w:t>v </w:t>
            </w:r>
            <w:r w:rsidRPr="00117009">
              <w:rPr>
                <w:b/>
              </w:rPr>
              <w:t>Kč)</w:t>
            </w:r>
          </w:p>
        </w:tc>
      </w:tr>
      <w:tr w:rsidR="00AA378B" w:rsidTr="007D12E0">
        <w:tc>
          <w:tcPr>
            <w:tcW w:w="2962" w:type="dxa"/>
            <w:vAlign w:val="center"/>
          </w:tcPr>
          <w:p w:rsidR="00AA378B" w:rsidRDefault="00AA378B" w:rsidP="004A09ED">
            <w:pPr>
              <w:pStyle w:val="tabulka"/>
              <w:ind w:left="176"/>
              <w:jc w:val="left"/>
            </w:pPr>
            <w:r>
              <w:t>2013</w:t>
            </w:r>
          </w:p>
        </w:tc>
        <w:tc>
          <w:tcPr>
            <w:tcW w:w="3070" w:type="dxa"/>
            <w:vAlign w:val="center"/>
          </w:tcPr>
          <w:p w:rsidR="00AA378B" w:rsidRDefault="00AA378B" w:rsidP="00527D6D">
            <w:pPr>
              <w:pStyle w:val="tabulka"/>
              <w:jc w:val="center"/>
            </w:pPr>
            <w:r>
              <w:t>6</w:t>
            </w:r>
          </w:p>
        </w:tc>
        <w:tc>
          <w:tcPr>
            <w:tcW w:w="3070" w:type="dxa"/>
            <w:vAlign w:val="center"/>
          </w:tcPr>
          <w:p w:rsidR="00AA378B" w:rsidRDefault="00AA378B" w:rsidP="00527D6D">
            <w:pPr>
              <w:pStyle w:val="tabulka"/>
              <w:jc w:val="right"/>
            </w:pPr>
            <w:r>
              <w:t>8 715 000,00</w:t>
            </w:r>
          </w:p>
        </w:tc>
      </w:tr>
      <w:tr w:rsidR="00AA378B" w:rsidTr="007D12E0">
        <w:tc>
          <w:tcPr>
            <w:tcW w:w="2962" w:type="dxa"/>
            <w:vAlign w:val="center"/>
          </w:tcPr>
          <w:p w:rsidR="00AA378B" w:rsidRDefault="00AA378B" w:rsidP="004A09ED">
            <w:pPr>
              <w:pStyle w:val="tabulka"/>
              <w:ind w:left="176"/>
              <w:jc w:val="left"/>
            </w:pPr>
            <w:r>
              <w:t>2014</w:t>
            </w:r>
          </w:p>
        </w:tc>
        <w:tc>
          <w:tcPr>
            <w:tcW w:w="3070" w:type="dxa"/>
            <w:vAlign w:val="center"/>
          </w:tcPr>
          <w:p w:rsidR="00AA378B" w:rsidRDefault="00AA378B" w:rsidP="00527D6D">
            <w:pPr>
              <w:pStyle w:val="tabulka"/>
              <w:jc w:val="center"/>
            </w:pPr>
            <w:r>
              <w:t>5</w:t>
            </w:r>
          </w:p>
        </w:tc>
        <w:tc>
          <w:tcPr>
            <w:tcW w:w="3070" w:type="dxa"/>
            <w:vAlign w:val="center"/>
          </w:tcPr>
          <w:p w:rsidR="00AA378B" w:rsidRDefault="00AA378B" w:rsidP="00527D6D">
            <w:pPr>
              <w:pStyle w:val="tabulka"/>
              <w:jc w:val="right"/>
            </w:pPr>
            <w:r>
              <w:t>52 248 901,00</w:t>
            </w:r>
          </w:p>
        </w:tc>
      </w:tr>
      <w:tr w:rsidR="00AA378B" w:rsidTr="007D12E0">
        <w:tc>
          <w:tcPr>
            <w:tcW w:w="2962" w:type="dxa"/>
            <w:vAlign w:val="center"/>
          </w:tcPr>
          <w:p w:rsidR="00AA378B" w:rsidRDefault="00AA378B" w:rsidP="004A09ED">
            <w:pPr>
              <w:pStyle w:val="tabulka"/>
              <w:ind w:left="176"/>
              <w:jc w:val="left"/>
            </w:pPr>
            <w:r>
              <w:t>2015</w:t>
            </w:r>
          </w:p>
        </w:tc>
        <w:tc>
          <w:tcPr>
            <w:tcW w:w="3070" w:type="dxa"/>
            <w:vAlign w:val="center"/>
          </w:tcPr>
          <w:p w:rsidR="00AA378B" w:rsidRDefault="00AA378B" w:rsidP="00527D6D">
            <w:pPr>
              <w:pStyle w:val="tabulka"/>
              <w:jc w:val="center"/>
            </w:pPr>
            <w:r>
              <w:t>16</w:t>
            </w:r>
          </w:p>
        </w:tc>
        <w:tc>
          <w:tcPr>
            <w:tcW w:w="3070" w:type="dxa"/>
            <w:vAlign w:val="center"/>
          </w:tcPr>
          <w:p w:rsidR="00AA378B" w:rsidRDefault="00AA378B" w:rsidP="00527D6D">
            <w:pPr>
              <w:pStyle w:val="tabulka"/>
              <w:jc w:val="right"/>
            </w:pPr>
            <w:r>
              <w:t>7 276 950,00</w:t>
            </w:r>
          </w:p>
        </w:tc>
      </w:tr>
      <w:tr w:rsidR="00AA378B" w:rsidRPr="00117009" w:rsidTr="007D12E0">
        <w:tc>
          <w:tcPr>
            <w:tcW w:w="2962" w:type="dxa"/>
            <w:vAlign w:val="center"/>
          </w:tcPr>
          <w:p w:rsidR="00AA378B" w:rsidRPr="00117009" w:rsidRDefault="00AA378B" w:rsidP="004A09ED">
            <w:pPr>
              <w:pStyle w:val="tabulka"/>
              <w:ind w:left="34"/>
              <w:jc w:val="left"/>
              <w:rPr>
                <w:b/>
              </w:rPr>
            </w:pPr>
            <w:r w:rsidRPr="00117009">
              <w:rPr>
                <w:b/>
              </w:rPr>
              <w:t>Celkem</w:t>
            </w:r>
          </w:p>
        </w:tc>
        <w:tc>
          <w:tcPr>
            <w:tcW w:w="3070" w:type="dxa"/>
            <w:vAlign w:val="center"/>
          </w:tcPr>
          <w:p w:rsidR="00AA378B" w:rsidRPr="00117009" w:rsidRDefault="00AA378B" w:rsidP="00527D6D">
            <w:pPr>
              <w:pStyle w:val="tabulka"/>
              <w:jc w:val="center"/>
              <w:rPr>
                <w:b/>
              </w:rPr>
            </w:pPr>
            <w:r w:rsidRPr="00117009">
              <w:rPr>
                <w:b/>
              </w:rPr>
              <w:t>27</w:t>
            </w:r>
          </w:p>
        </w:tc>
        <w:tc>
          <w:tcPr>
            <w:tcW w:w="3070" w:type="dxa"/>
            <w:vAlign w:val="center"/>
          </w:tcPr>
          <w:p w:rsidR="00AA378B" w:rsidRPr="00117009" w:rsidRDefault="00AA378B" w:rsidP="00527D6D">
            <w:pPr>
              <w:pStyle w:val="tabulka"/>
              <w:jc w:val="right"/>
              <w:rPr>
                <w:b/>
              </w:rPr>
            </w:pPr>
            <w:r>
              <w:rPr>
                <w:b/>
              </w:rPr>
              <w:t>68 240</w:t>
            </w:r>
            <w:r w:rsidRPr="00117009">
              <w:rPr>
                <w:b/>
              </w:rPr>
              <w:t> 8</w:t>
            </w:r>
            <w:r>
              <w:rPr>
                <w:b/>
              </w:rPr>
              <w:t>51</w:t>
            </w:r>
            <w:r w:rsidRPr="00117009">
              <w:rPr>
                <w:b/>
              </w:rPr>
              <w:t>,00</w:t>
            </w:r>
          </w:p>
        </w:tc>
      </w:tr>
    </w:tbl>
    <w:p w:rsidR="00AA378B" w:rsidRPr="00ED537C" w:rsidRDefault="00AA378B" w:rsidP="009509E5">
      <w:pPr>
        <w:pStyle w:val="Poznmka"/>
      </w:pPr>
      <w:r w:rsidRPr="00AF15B6">
        <w:rPr>
          <w:b/>
        </w:rPr>
        <w:t>Zdroj:</w:t>
      </w:r>
      <w:r>
        <w:t xml:space="preserve"> </w:t>
      </w:r>
      <w:r w:rsidR="007440B3">
        <w:tab/>
        <w:t>p</w:t>
      </w:r>
      <w:r w:rsidRPr="00ED537C">
        <w:t>řehledy o zjištění kontrolního orgánu</w:t>
      </w:r>
      <w:r w:rsidR="00D36F9A" w:rsidRPr="00ED537C">
        <w:t xml:space="preserve"> (SFK)</w:t>
      </w:r>
      <w:r w:rsidRPr="00ED537C">
        <w:t xml:space="preserve"> při výkonu veřejnosprávní kontroly o porušení rozpočtové kázně kontrolovanou osobou ve smyslu zákona č. 218/2000 Sb. za roky 2013</w:t>
      </w:r>
      <w:r w:rsidR="007D12E0" w:rsidRPr="00ED537C">
        <w:t>–</w:t>
      </w:r>
      <w:r w:rsidRPr="00ED537C">
        <w:t>2015</w:t>
      </w:r>
      <w:r w:rsidR="007D12E0" w:rsidRPr="00ED537C">
        <w:t>.</w:t>
      </w:r>
    </w:p>
    <w:p w:rsidR="00AA378B" w:rsidRDefault="00300A39" w:rsidP="00AA378B">
      <w:r>
        <w:lastRenderedPageBreak/>
        <w:t xml:space="preserve">Projekty </w:t>
      </w:r>
      <w:r w:rsidR="001E75C6">
        <w:t xml:space="preserve">uvedené </w:t>
      </w:r>
      <w:r>
        <w:t xml:space="preserve">v tabulce č. 6 byly oznámeny finančním úřadům z důvodu </w:t>
      </w:r>
      <w:r w:rsidR="00AA378B">
        <w:t>neukončení projekt</w:t>
      </w:r>
      <w:r w:rsidR="00D36F9A">
        <w:t>ů</w:t>
      </w:r>
      <w:r w:rsidR="00AA378B">
        <w:t xml:space="preserve"> ve stanoveném termínu</w:t>
      </w:r>
      <w:r>
        <w:t>;</w:t>
      </w:r>
      <w:r w:rsidR="00AA378B">
        <w:t xml:space="preserve"> v jednom případ</w:t>
      </w:r>
      <w:r>
        <w:t>ě</w:t>
      </w:r>
      <w:r w:rsidR="00AA378B">
        <w:t xml:space="preserve"> SFK jako důvod uvedl nedodání</w:t>
      </w:r>
      <w:r w:rsidR="00D36F9A">
        <w:t xml:space="preserve"> dokladů ve stanoveném termínu.</w:t>
      </w:r>
    </w:p>
    <w:p w:rsidR="00A31AD8" w:rsidRPr="00A5644C" w:rsidRDefault="00F75A3B" w:rsidP="00AA378B">
      <w:pPr>
        <w:rPr>
          <w:b/>
        </w:rPr>
      </w:pPr>
      <w:r>
        <w:t>SFK v letech 2013–</w:t>
      </w:r>
      <w:r w:rsidR="00AA378B">
        <w:t xml:space="preserve">2015 podal 27 oznámení finančním úřadům na 23 </w:t>
      </w:r>
      <w:r w:rsidR="00496F04">
        <w:t>příjemců</w:t>
      </w:r>
      <w:r w:rsidR="00AA378B">
        <w:t xml:space="preserve"> z důvodu nesplnění podmínek, za který</w:t>
      </w:r>
      <w:r w:rsidR="009413E0">
        <w:t>ch</w:t>
      </w:r>
      <w:r w:rsidR="00AA378B">
        <w:t xml:space="preserve"> jim byla </w:t>
      </w:r>
      <w:r w:rsidR="00B61899">
        <w:t xml:space="preserve">udělena </w:t>
      </w:r>
      <w:r w:rsidR="00AA378B">
        <w:t xml:space="preserve">podpora. </w:t>
      </w:r>
      <w:r w:rsidR="00496F04">
        <w:t xml:space="preserve">Přesto byla </w:t>
      </w:r>
      <w:r w:rsidR="00496F04" w:rsidRPr="00496F04">
        <w:rPr>
          <w:b/>
        </w:rPr>
        <w:t xml:space="preserve">devíti z těchto </w:t>
      </w:r>
      <w:r w:rsidR="00B61899">
        <w:rPr>
          <w:b/>
        </w:rPr>
        <w:t>příjemců</w:t>
      </w:r>
      <w:r w:rsidR="00496F04" w:rsidRPr="00496F04">
        <w:rPr>
          <w:b/>
        </w:rPr>
        <w:t>, na které bylo</w:t>
      </w:r>
      <w:r w:rsidR="00D66A54">
        <w:rPr>
          <w:b/>
        </w:rPr>
        <w:t xml:space="preserve"> pro porušení rozpočtové kázně</w:t>
      </w:r>
      <w:r w:rsidR="00496F04" w:rsidRPr="00496F04">
        <w:rPr>
          <w:b/>
        </w:rPr>
        <w:t xml:space="preserve"> podáno oznámení finančnímu úřadu, </w:t>
      </w:r>
      <w:r w:rsidR="00AA378B" w:rsidRPr="00496F04">
        <w:rPr>
          <w:b/>
        </w:rPr>
        <w:t>rozhodnutím Rady podpora nadále poskytována. Do konce ledna 2016 se jednalo o</w:t>
      </w:r>
      <w:r w:rsidR="00D66A54">
        <w:rPr>
          <w:b/>
        </w:rPr>
        <w:t> </w:t>
      </w:r>
      <w:r w:rsidR="008500AB">
        <w:rPr>
          <w:b/>
        </w:rPr>
        <w:t xml:space="preserve">podporu v </w:t>
      </w:r>
      <w:r w:rsidR="00B61899">
        <w:rPr>
          <w:b/>
        </w:rPr>
        <w:t xml:space="preserve">celkové </w:t>
      </w:r>
      <w:r w:rsidR="008500AB">
        <w:rPr>
          <w:b/>
        </w:rPr>
        <w:t>výši</w:t>
      </w:r>
      <w:r w:rsidR="00EE2D0A">
        <w:rPr>
          <w:b/>
        </w:rPr>
        <w:t xml:space="preserve"> 31,7 mil. </w:t>
      </w:r>
      <w:r w:rsidR="00AA378B" w:rsidRPr="00496F04">
        <w:rPr>
          <w:b/>
        </w:rPr>
        <w:t>Kč.</w:t>
      </w:r>
      <w:r w:rsidR="00A5644C">
        <w:rPr>
          <w:b/>
        </w:rPr>
        <w:t xml:space="preserve"> </w:t>
      </w:r>
      <w:r w:rsidR="00466A74" w:rsidRPr="00A5644C">
        <w:rPr>
          <w:b/>
        </w:rPr>
        <w:t>NKÚ považuje přidělování další podpory subjektům, které v minulosti prokazatelně neplnily stanovené podmínky, za rizikové.</w:t>
      </w:r>
    </w:p>
    <w:p w:rsidR="00AF75C8" w:rsidRDefault="00AF75C8" w:rsidP="00AA378B">
      <w:r>
        <w:t>Při kontrole hospodaření s dalším majetkem</w:t>
      </w:r>
      <w:r w:rsidR="004705EE">
        <w:t>, se kterým je</w:t>
      </w:r>
      <w:r>
        <w:t xml:space="preserve"> SFK</w:t>
      </w:r>
      <w:r w:rsidR="004705EE">
        <w:t xml:space="preserve"> příslušný hospodařit,</w:t>
      </w:r>
      <w:r>
        <w:t xml:space="preserve"> nebyly zjištěny závažné nedostatky.</w:t>
      </w:r>
    </w:p>
    <w:sectPr w:rsidR="00AF75C8" w:rsidSect="00A415A3">
      <w:footerReference w:type="default" r:id="rId13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6D" w:rsidRDefault="00527D6D" w:rsidP="00751E6A">
      <w:r>
        <w:separator/>
      </w:r>
    </w:p>
  </w:endnote>
  <w:endnote w:type="continuationSeparator" w:id="0">
    <w:p w:rsidR="00527D6D" w:rsidRDefault="00527D6D" w:rsidP="0075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D6D" w:rsidRDefault="00527D6D" w:rsidP="00A415A3">
    <w:pPr>
      <w:pStyle w:val="Zpat"/>
      <w:jc w:val="center"/>
    </w:pPr>
    <w:r w:rsidRPr="00A415A3">
      <w:rPr>
        <w:rStyle w:val="slostrnky"/>
        <w:rFonts w:eastAsiaTheme="majorEastAsia"/>
      </w:rPr>
      <w:fldChar w:fldCharType="begin"/>
    </w:r>
    <w:r w:rsidRPr="00A415A3">
      <w:rPr>
        <w:rStyle w:val="slostrnky"/>
        <w:rFonts w:eastAsiaTheme="majorEastAsia"/>
      </w:rPr>
      <w:instrText xml:space="preserve"> PAGE </w:instrText>
    </w:r>
    <w:r w:rsidRPr="00A415A3">
      <w:rPr>
        <w:rStyle w:val="slostrnky"/>
        <w:rFonts w:eastAsiaTheme="majorEastAsia"/>
      </w:rPr>
      <w:fldChar w:fldCharType="separate"/>
    </w:r>
    <w:r w:rsidR="004F2A18">
      <w:rPr>
        <w:rStyle w:val="slostrnky"/>
        <w:rFonts w:eastAsiaTheme="majorEastAsia"/>
        <w:noProof/>
      </w:rPr>
      <w:t>2</w:t>
    </w:r>
    <w:r w:rsidRPr="00A415A3">
      <w:rPr>
        <w:rStyle w:val="slostrnky"/>
        <w:rFonts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6D" w:rsidRDefault="00527D6D" w:rsidP="00751E6A">
      <w:r>
        <w:separator/>
      </w:r>
    </w:p>
  </w:footnote>
  <w:footnote w:type="continuationSeparator" w:id="0">
    <w:p w:rsidR="00527D6D" w:rsidRDefault="00527D6D" w:rsidP="00751E6A">
      <w:r>
        <w:continuationSeparator/>
      </w:r>
    </w:p>
  </w:footnote>
  <w:footnote w:id="1">
    <w:p w:rsidR="00527D6D" w:rsidRDefault="00527D6D" w:rsidP="00A415A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AD69B6">
        <w:t>Zákon č. 496/2012 Sb., o audiovizuálních dílech a podpoře kinematografie a o změně některých zákonů (zákon o audiovizi).</w:t>
      </w:r>
    </w:p>
  </w:footnote>
  <w:footnote w:id="2">
    <w:p w:rsidR="00527D6D" w:rsidRDefault="00527D6D" w:rsidP="00A415A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241/1992 Sb., o Státním fondu České republiky pro podporu a rozvoj české kinematografie.</w:t>
      </w:r>
    </w:p>
  </w:footnote>
  <w:footnote w:id="3">
    <w:p w:rsidR="00527D6D" w:rsidRDefault="00527D6D" w:rsidP="00A415A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58 zákona č. 496/2012 Sb.</w:t>
      </w:r>
    </w:p>
  </w:footnote>
  <w:footnote w:id="4">
    <w:p w:rsidR="00527D6D" w:rsidRDefault="00527D6D" w:rsidP="00A415A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Například ustanovení § 26 odst. 2 až 4 a § 74 zákona č. 121/2000 Sb., o právu autorském, o právech souvisejících s právem autorským a o změně některých zákonů (autorský zákon).</w:t>
      </w:r>
    </w:p>
  </w:footnote>
  <w:footnote w:id="5">
    <w:p w:rsidR="00527D6D" w:rsidRDefault="00527D6D" w:rsidP="00A415A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14 zákona č. 273/1993 Sb., o některých podmínkách výroby, šíření a archivování audiovizuálních děl, o změně a doplnění některých zákonů a některých dalších předpisů.</w:t>
      </w:r>
    </w:p>
  </w:footnote>
  <w:footnote w:id="6">
    <w:p w:rsidR="00527D6D" w:rsidRDefault="00527D6D" w:rsidP="00A415A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106 odst. 4 zákona č. 121/2000 Sb.</w:t>
      </w:r>
    </w:p>
  </w:footnote>
  <w:footnote w:id="7">
    <w:p w:rsidR="00527D6D" w:rsidRDefault="00527D6D" w:rsidP="00A415A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340081">
        <w:t xml:space="preserve">Na základě ustanovení § 59 odst. 1 zákona č. 496/2012 Sb. vykonávala funkci </w:t>
      </w:r>
      <w:r>
        <w:t>r</w:t>
      </w:r>
      <w:r w:rsidRPr="00340081">
        <w:t>ady až do 4. dubna 2015 Rada</w:t>
      </w:r>
      <w:r w:rsidR="003F648F">
        <w:t> </w:t>
      </w:r>
      <w:r w:rsidRPr="00340081">
        <w:t>SFPRČK v původním složení a počtu třinácti členů.</w:t>
      </w:r>
    </w:p>
  </w:footnote>
  <w:footnote w:id="8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13 odst. 1 zákona č. 496/2012 Sb. a odst. 11.3 statutu.</w:t>
      </w:r>
    </w:p>
  </w:footnote>
  <w:footnote w:id="9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3C7AE0">
        <w:t xml:space="preserve">SFK podle zákona č. 496/2012 Sb. poskytuje podporu kinematografie v deseti okruzích: </w:t>
      </w:r>
      <w:r>
        <w:t xml:space="preserve">1. </w:t>
      </w:r>
      <w:r w:rsidRPr="003C7AE0">
        <w:t xml:space="preserve">vývoj českého kinematografického díla, </w:t>
      </w:r>
      <w:r>
        <w:t xml:space="preserve">2. </w:t>
      </w:r>
      <w:r w:rsidRPr="003C7AE0">
        <w:t xml:space="preserve">výroba českého kinematografického díla, </w:t>
      </w:r>
      <w:r>
        <w:t xml:space="preserve">3. </w:t>
      </w:r>
      <w:r w:rsidRPr="003C7AE0">
        <w:t xml:space="preserve">distribuce kinematografického díla, </w:t>
      </w:r>
      <w:r>
        <w:t>4. </w:t>
      </w:r>
      <w:r w:rsidRPr="003C7AE0">
        <w:t xml:space="preserve">projekt v oblasti technického rozvoje a modernizace kinematografie, </w:t>
      </w:r>
      <w:r>
        <w:t xml:space="preserve">5. </w:t>
      </w:r>
      <w:r w:rsidRPr="003C7AE0">
        <w:t xml:space="preserve">propagace českého kinematografického díla, </w:t>
      </w:r>
      <w:r>
        <w:t xml:space="preserve">6. </w:t>
      </w:r>
      <w:r w:rsidRPr="003C7AE0">
        <w:t xml:space="preserve">publikační činnost v oblasti kinematografie a činnost v oblasti filmové vědy, </w:t>
      </w:r>
      <w:r>
        <w:t>7. zachování a </w:t>
      </w:r>
      <w:r w:rsidRPr="003C7AE0">
        <w:t xml:space="preserve">zpřístupňování národního filmového dědictví, </w:t>
      </w:r>
      <w:r>
        <w:t xml:space="preserve">8. </w:t>
      </w:r>
      <w:r w:rsidRPr="003C7AE0">
        <w:t xml:space="preserve">vzdělávání a výchova v oblasti kinematografie, </w:t>
      </w:r>
      <w:r>
        <w:t xml:space="preserve">9. </w:t>
      </w:r>
      <w:r w:rsidRPr="003C7AE0">
        <w:t xml:space="preserve">filmový festival a přehlídka v oblasti kinematografie, </w:t>
      </w:r>
      <w:r>
        <w:t xml:space="preserve">10. </w:t>
      </w:r>
      <w:r w:rsidRPr="003C7AE0">
        <w:t>ochrana práv ke kinematogr</w:t>
      </w:r>
      <w:r>
        <w:t>afickým dílům a </w:t>
      </w:r>
      <w:r w:rsidRPr="003C7AE0">
        <w:t>jejich záznamům.</w:t>
      </w:r>
    </w:p>
  </w:footnote>
  <w:footnote w:id="10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8A7765">
        <w:t>Žádosti o podporu kinematografie jsou posuzovány a hodnoceny Radou na základě kritérií, kter</w:t>
      </w:r>
      <w:r w:rsidR="00806281">
        <w:t>á</w:t>
      </w:r>
      <w:r w:rsidRPr="008A7765">
        <w:t xml:space="preserve"> stanovuje statut. Rada při svém hodnocení přihlédne k expertním analýzám, které jsou ke každému projektu vypracovávány, nejsou pro ni však závazné. Bodové hodnocení </w:t>
      </w:r>
      <w:r w:rsidR="00806281">
        <w:t xml:space="preserve">vyplňují </w:t>
      </w:r>
      <w:r w:rsidRPr="008A7765">
        <w:t>jednotliv</w:t>
      </w:r>
      <w:r w:rsidR="00806281">
        <w:t>í</w:t>
      </w:r>
      <w:r w:rsidRPr="008A7765">
        <w:t xml:space="preserve"> člen</w:t>
      </w:r>
      <w:r w:rsidR="00806281">
        <w:t>ové</w:t>
      </w:r>
      <w:r w:rsidRPr="008A7765">
        <w:t xml:space="preserve"> Rady do anonymní</w:t>
      </w:r>
      <w:r w:rsidR="00806281">
        <w:t>ch</w:t>
      </w:r>
      <w:r w:rsidRPr="008A7765">
        <w:t xml:space="preserve"> formulář</w:t>
      </w:r>
      <w:r w:rsidR="00806281">
        <w:t>ů</w:t>
      </w:r>
      <w:r w:rsidRPr="008A7765">
        <w:t xml:space="preserve"> (maximum 100 bodů), z nichž je výsledek určen jako průměr. Žádosti, které </w:t>
      </w:r>
      <w:r w:rsidR="00806281">
        <w:t>nebyly ohodnoceny alespoň</w:t>
      </w:r>
      <w:r w:rsidRPr="008A7765">
        <w:t xml:space="preserve"> šedesáti bod</w:t>
      </w:r>
      <w:r w:rsidR="00806281">
        <w:t>y</w:t>
      </w:r>
      <w:r w:rsidRPr="008A7765">
        <w:t xml:space="preserve">, jsou zamítnuty. Ostatní postupují do druhého kola posuzování, kde </w:t>
      </w:r>
      <w:r w:rsidR="00806281">
        <w:t xml:space="preserve">už </w:t>
      </w:r>
      <w:r w:rsidRPr="008A7765">
        <w:t>je přidělována konkrétní výše podpory, přičemž podporu nemusí obdržet všechny a může být také nižší, než bylo uvedeno v žádosti.</w:t>
      </w:r>
    </w:p>
  </w:footnote>
  <w:footnote w:id="11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2 odst. 2 a 4 zákona č. 500/2004 Sb., správní řád.</w:t>
      </w:r>
    </w:p>
  </w:footnote>
  <w:footnote w:id="12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9103D4">
        <w:t>§ 44 odst. 1 písm. b) zákona č. 218/2000 Sb</w:t>
      </w:r>
      <w:r>
        <w:t>.,</w:t>
      </w:r>
      <w:r w:rsidRPr="006334EE">
        <w:t xml:space="preserve"> </w:t>
      </w:r>
      <w:r>
        <w:t xml:space="preserve">o rozpočtových pravidlech a o změně některých souvisejících zákonů (rozpočtová pravidla). </w:t>
      </w:r>
    </w:p>
  </w:footnote>
  <w:footnote w:id="13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9103D4">
        <w:t>§ 26 odst. 4 zákona č. 320/2001 Sb</w:t>
      </w:r>
      <w:r w:rsidRPr="007D3A36">
        <w:t>., o finanční kontrole ve veřejné správě a o změně některých zák</w:t>
      </w:r>
      <w:r>
        <w:t>onů (zákon o finanční kontrole)</w:t>
      </w:r>
      <w:r w:rsidR="00F248E4">
        <w:t>,</w:t>
      </w:r>
      <w:r w:rsidRPr="009103D4">
        <w:t xml:space="preserve"> a § 13 odst</w:t>
      </w:r>
      <w:r>
        <w:t>. 1 a 2 vyhlášky č. 416/2004 Sb., kterou se provádí zákon č. </w:t>
      </w:r>
      <w:r w:rsidRPr="009103D4">
        <w:t xml:space="preserve">320/2001 Sb., o finanční kontrole ve veřejné správě a o změně některých zákonů (zákon o finanční kontrole), ve znění zákona č. 309/2002 Sb., zákona č. 320/2002 Sb. a zákona č. 123/2003 Sb.  </w:t>
      </w:r>
    </w:p>
  </w:footnote>
  <w:footnote w:id="14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47027A">
        <w:t>§ 25 odst. 2 písm. e) zákona č. 320/2001 Sb.</w:t>
      </w:r>
    </w:p>
  </w:footnote>
  <w:footnote w:id="15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47027A">
        <w:t>§ 38 zákona č. 496/2012 Sb.</w:t>
      </w:r>
    </w:p>
  </w:footnote>
  <w:footnote w:id="16">
    <w:p w:rsidR="00527D6D" w:rsidRDefault="00527D6D" w:rsidP="00410E6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Pobídkovým projektem se podle ustanovení § 42 odst. 3 zákona č. 496/2012 Sb. rozumí realizace audiovizuálního díla a nutné související činnosti směřující k jeho vytvoření. Toto dílo musí být alespoň částečně realizováno v České republice, je hraným nebo animovaným filmem, dokumentárním filmem či epizodním dílem hraného nebo animovaného seriálu a splňuje další podmínky stanovené zejména v ustanovení § 42 odst. 1 zákona č. 496/2012 Sb.</w:t>
      </w:r>
    </w:p>
  </w:footnote>
  <w:footnote w:id="17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027EF1">
        <w:t>§ 47 odst. 18 a 19 a § 49 odst. 6 zákona č. 496/2012 Sb.</w:t>
      </w:r>
      <w:r>
        <w:t>, o</w:t>
      </w:r>
      <w:r w:rsidRPr="00027EF1">
        <w:t>dst. 8.2.4 písm. f), g), h), i), j) a k) statutu</w:t>
      </w:r>
      <w:r>
        <w:t>.</w:t>
      </w:r>
    </w:p>
  </w:footnote>
  <w:footnote w:id="18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Odst. 8.2.5 statutu.</w:t>
      </w:r>
    </w:p>
  </w:footnote>
  <w:footnote w:id="19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47 odst. 2 a § 46 odst. 3 zákona č. 496/2012 Sb.</w:t>
      </w:r>
    </w:p>
  </w:footnote>
  <w:footnote w:id="20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45 odst. 5 zákona č. 496/2012 Sb.</w:t>
      </w:r>
    </w:p>
  </w:footnote>
  <w:footnote w:id="21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47 odst. 16 zákona č. 496/2012 Sb.</w:t>
      </w:r>
    </w:p>
  </w:footnote>
  <w:footnote w:id="22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29 odst. 1 a § 30 odst. 1 písm. b) a odst. 2 zákona č. 563/1991 Sb., o účetnictví.</w:t>
      </w:r>
    </w:p>
  </w:footnote>
  <w:footnote w:id="23">
    <w:p w:rsidR="00527D6D" w:rsidRDefault="00527D6D" w:rsidP="00ED537C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Ustanovení § 44 odst. 1 písm. b) zákona č. 218/2000 Sb.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F07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F4E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B23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580F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281F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E8C6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F2BC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200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C2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FAD3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521483"/>
    <w:multiLevelType w:val="hybridMultilevel"/>
    <w:tmpl w:val="CDA271D4"/>
    <w:lvl w:ilvl="0" w:tplc="35D4709C">
      <w:start w:val="1"/>
      <w:numFmt w:val="decimal"/>
      <w:lvlText w:val="Tabulka č. %1: X"/>
      <w:lvlJc w:val="left"/>
      <w:pPr>
        <w:ind w:left="720" w:hanging="360"/>
      </w:pPr>
      <w:rPr>
        <w:rFonts w:hint="default"/>
      </w:rPr>
    </w:lvl>
    <w:lvl w:ilvl="1" w:tplc="DC5096DC">
      <w:start w:val="1"/>
      <w:numFmt w:val="decimal"/>
      <w:pStyle w:val="Nzevtabulky"/>
      <w:suff w:val="space"/>
      <w:lvlText w:val="Tabulka č. %2:"/>
      <w:lvlJc w:val="left"/>
      <w:pPr>
        <w:ind w:left="5954" w:hanging="567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60CE409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F1F16"/>
    <w:multiLevelType w:val="hybridMultilevel"/>
    <w:tmpl w:val="1B5041F0"/>
    <w:lvl w:ilvl="0" w:tplc="370A0968">
      <w:start w:val="1"/>
      <w:numFmt w:val="upperRoman"/>
      <w:pStyle w:val="Nzevtext"/>
      <w:lvlText w:val="%1."/>
      <w:lvlJc w:val="righ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01090"/>
    <w:multiLevelType w:val="multilevel"/>
    <w:tmpl w:val="2C40DAB8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>
    <w:nsid w:val="69CE5E79"/>
    <w:multiLevelType w:val="hybridMultilevel"/>
    <w:tmpl w:val="FE6E72F6"/>
    <w:lvl w:ilvl="0" w:tplc="D3C260A4">
      <w:start w:val="1"/>
      <w:numFmt w:val="decimal"/>
      <w:pStyle w:val="Graf"/>
      <w:lvlText w:val="Graf č. %1: "/>
      <w:lvlJc w:val="left"/>
      <w:pPr>
        <w:ind w:left="1191" w:hanging="11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F3F98"/>
    <w:multiLevelType w:val="hybridMultilevel"/>
    <w:tmpl w:val="B0FEB2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FB11EB"/>
    <w:multiLevelType w:val="hybridMultilevel"/>
    <w:tmpl w:val="4EC07A1E"/>
    <w:lvl w:ilvl="0" w:tplc="6CC89470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3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53"/>
    <w:rsid w:val="000002E6"/>
    <w:rsid w:val="0000078F"/>
    <w:rsid w:val="00000ED3"/>
    <w:rsid w:val="00000F47"/>
    <w:rsid w:val="0000231C"/>
    <w:rsid w:val="00002FA2"/>
    <w:rsid w:val="00003337"/>
    <w:rsid w:val="00003659"/>
    <w:rsid w:val="0000470A"/>
    <w:rsid w:val="00005834"/>
    <w:rsid w:val="00005B77"/>
    <w:rsid w:val="00005D9A"/>
    <w:rsid w:val="00006207"/>
    <w:rsid w:val="00006305"/>
    <w:rsid w:val="00007C1F"/>
    <w:rsid w:val="00007E11"/>
    <w:rsid w:val="00010997"/>
    <w:rsid w:val="00015082"/>
    <w:rsid w:val="00016287"/>
    <w:rsid w:val="00016EEB"/>
    <w:rsid w:val="000176F3"/>
    <w:rsid w:val="00022711"/>
    <w:rsid w:val="00023051"/>
    <w:rsid w:val="00023BC1"/>
    <w:rsid w:val="00023F74"/>
    <w:rsid w:val="00024274"/>
    <w:rsid w:val="00024D69"/>
    <w:rsid w:val="00025301"/>
    <w:rsid w:val="00027844"/>
    <w:rsid w:val="00027E5D"/>
    <w:rsid w:val="00027EF1"/>
    <w:rsid w:val="0003056B"/>
    <w:rsid w:val="000307B0"/>
    <w:rsid w:val="00032061"/>
    <w:rsid w:val="00032142"/>
    <w:rsid w:val="00032B81"/>
    <w:rsid w:val="00033039"/>
    <w:rsid w:val="0003370F"/>
    <w:rsid w:val="00033F8C"/>
    <w:rsid w:val="00034154"/>
    <w:rsid w:val="0003516A"/>
    <w:rsid w:val="00035AEB"/>
    <w:rsid w:val="00036637"/>
    <w:rsid w:val="00040B8B"/>
    <w:rsid w:val="00041769"/>
    <w:rsid w:val="000431CF"/>
    <w:rsid w:val="00043284"/>
    <w:rsid w:val="00046D1A"/>
    <w:rsid w:val="00047066"/>
    <w:rsid w:val="00047B9B"/>
    <w:rsid w:val="00047EB9"/>
    <w:rsid w:val="00050363"/>
    <w:rsid w:val="00050F2C"/>
    <w:rsid w:val="00051132"/>
    <w:rsid w:val="00051D3B"/>
    <w:rsid w:val="00051F4C"/>
    <w:rsid w:val="00052DB2"/>
    <w:rsid w:val="00053025"/>
    <w:rsid w:val="000549F4"/>
    <w:rsid w:val="00055155"/>
    <w:rsid w:val="00061392"/>
    <w:rsid w:val="0006208A"/>
    <w:rsid w:val="0006242D"/>
    <w:rsid w:val="00062CEA"/>
    <w:rsid w:val="00062D8D"/>
    <w:rsid w:val="00062FC6"/>
    <w:rsid w:val="00063942"/>
    <w:rsid w:val="0006469B"/>
    <w:rsid w:val="00065C3A"/>
    <w:rsid w:val="00066B15"/>
    <w:rsid w:val="000677DD"/>
    <w:rsid w:val="00067CCF"/>
    <w:rsid w:val="00071AD4"/>
    <w:rsid w:val="000730CE"/>
    <w:rsid w:val="0007323E"/>
    <w:rsid w:val="000733BA"/>
    <w:rsid w:val="00073647"/>
    <w:rsid w:val="000756D2"/>
    <w:rsid w:val="00076DDD"/>
    <w:rsid w:val="00076EEA"/>
    <w:rsid w:val="00077643"/>
    <w:rsid w:val="00077AC4"/>
    <w:rsid w:val="00077F2E"/>
    <w:rsid w:val="00081006"/>
    <w:rsid w:val="00081F1A"/>
    <w:rsid w:val="000823BA"/>
    <w:rsid w:val="00082DAA"/>
    <w:rsid w:val="00084DE3"/>
    <w:rsid w:val="000856DE"/>
    <w:rsid w:val="000866EA"/>
    <w:rsid w:val="00086993"/>
    <w:rsid w:val="00086A39"/>
    <w:rsid w:val="000879F8"/>
    <w:rsid w:val="00087CFC"/>
    <w:rsid w:val="000912E2"/>
    <w:rsid w:val="000914CD"/>
    <w:rsid w:val="000915DE"/>
    <w:rsid w:val="0009161B"/>
    <w:rsid w:val="00091D38"/>
    <w:rsid w:val="00091DD1"/>
    <w:rsid w:val="0009313B"/>
    <w:rsid w:val="00093399"/>
    <w:rsid w:val="00094129"/>
    <w:rsid w:val="000945EA"/>
    <w:rsid w:val="0009591C"/>
    <w:rsid w:val="00096267"/>
    <w:rsid w:val="00096C51"/>
    <w:rsid w:val="00097126"/>
    <w:rsid w:val="00097681"/>
    <w:rsid w:val="000976D6"/>
    <w:rsid w:val="00097A36"/>
    <w:rsid w:val="000A0602"/>
    <w:rsid w:val="000A3038"/>
    <w:rsid w:val="000A440F"/>
    <w:rsid w:val="000A6794"/>
    <w:rsid w:val="000A6FE1"/>
    <w:rsid w:val="000A7355"/>
    <w:rsid w:val="000A7654"/>
    <w:rsid w:val="000A7932"/>
    <w:rsid w:val="000B0C0C"/>
    <w:rsid w:val="000B2306"/>
    <w:rsid w:val="000B2398"/>
    <w:rsid w:val="000B33DA"/>
    <w:rsid w:val="000B59E5"/>
    <w:rsid w:val="000B6189"/>
    <w:rsid w:val="000C0EFD"/>
    <w:rsid w:val="000C18B7"/>
    <w:rsid w:val="000C2634"/>
    <w:rsid w:val="000C2B60"/>
    <w:rsid w:val="000C2DB8"/>
    <w:rsid w:val="000C37E0"/>
    <w:rsid w:val="000C44BF"/>
    <w:rsid w:val="000C48FD"/>
    <w:rsid w:val="000C4B64"/>
    <w:rsid w:val="000C4E40"/>
    <w:rsid w:val="000C5D99"/>
    <w:rsid w:val="000C7D55"/>
    <w:rsid w:val="000D0211"/>
    <w:rsid w:val="000D0D79"/>
    <w:rsid w:val="000D183A"/>
    <w:rsid w:val="000D1D85"/>
    <w:rsid w:val="000D3255"/>
    <w:rsid w:val="000D38FA"/>
    <w:rsid w:val="000D3FBC"/>
    <w:rsid w:val="000D418D"/>
    <w:rsid w:val="000D46D2"/>
    <w:rsid w:val="000D4733"/>
    <w:rsid w:val="000D5801"/>
    <w:rsid w:val="000D6DCC"/>
    <w:rsid w:val="000D70C6"/>
    <w:rsid w:val="000E010F"/>
    <w:rsid w:val="000E02F1"/>
    <w:rsid w:val="000E089D"/>
    <w:rsid w:val="000E1044"/>
    <w:rsid w:val="000E1880"/>
    <w:rsid w:val="000E1B6F"/>
    <w:rsid w:val="000E1F8A"/>
    <w:rsid w:val="000E2095"/>
    <w:rsid w:val="000E2F13"/>
    <w:rsid w:val="000E33DE"/>
    <w:rsid w:val="000E3875"/>
    <w:rsid w:val="000E4271"/>
    <w:rsid w:val="000E4517"/>
    <w:rsid w:val="000E4CAB"/>
    <w:rsid w:val="000E6497"/>
    <w:rsid w:val="000E772C"/>
    <w:rsid w:val="000E7BDC"/>
    <w:rsid w:val="000E7CFD"/>
    <w:rsid w:val="000F0C67"/>
    <w:rsid w:val="000F0DA9"/>
    <w:rsid w:val="000F13D6"/>
    <w:rsid w:val="000F189E"/>
    <w:rsid w:val="000F18FC"/>
    <w:rsid w:val="000F2787"/>
    <w:rsid w:val="000F2A5E"/>
    <w:rsid w:val="000F341F"/>
    <w:rsid w:val="000F3B3C"/>
    <w:rsid w:val="000F48EC"/>
    <w:rsid w:val="000F4E32"/>
    <w:rsid w:val="000F5454"/>
    <w:rsid w:val="000F7505"/>
    <w:rsid w:val="000F7531"/>
    <w:rsid w:val="000F7990"/>
    <w:rsid w:val="00101646"/>
    <w:rsid w:val="001059B2"/>
    <w:rsid w:val="00105AEA"/>
    <w:rsid w:val="00107204"/>
    <w:rsid w:val="00110C2E"/>
    <w:rsid w:val="00110DF7"/>
    <w:rsid w:val="001110F1"/>
    <w:rsid w:val="00112B64"/>
    <w:rsid w:val="0011365F"/>
    <w:rsid w:val="00113C84"/>
    <w:rsid w:val="00114110"/>
    <w:rsid w:val="00114D6A"/>
    <w:rsid w:val="001164B1"/>
    <w:rsid w:val="00117009"/>
    <w:rsid w:val="0012226C"/>
    <w:rsid w:val="00122E04"/>
    <w:rsid w:val="001233F3"/>
    <w:rsid w:val="00124286"/>
    <w:rsid w:val="0012516B"/>
    <w:rsid w:val="001251BE"/>
    <w:rsid w:val="00125DA0"/>
    <w:rsid w:val="001261A7"/>
    <w:rsid w:val="001266B9"/>
    <w:rsid w:val="001267B4"/>
    <w:rsid w:val="0012723F"/>
    <w:rsid w:val="00127409"/>
    <w:rsid w:val="00127B1E"/>
    <w:rsid w:val="0013101E"/>
    <w:rsid w:val="0013193A"/>
    <w:rsid w:val="00135710"/>
    <w:rsid w:val="00137F87"/>
    <w:rsid w:val="00140017"/>
    <w:rsid w:val="00140B21"/>
    <w:rsid w:val="00142CED"/>
    <w:rsid w:val="00142EED"/>
    <w:rsid w:val="00142F32"/>
    <w:rsid w:val="001440BE"/>
    <w:rsid w:val="0014498F"/>
    <w:rsid w:val="00146385"/>
    <w:rsid w:val="0014762D"/>
    <w:rsid w:val="0015118C"/>
    <w:rsid w:val="0015231C"/>
    <w:rsid w:val="00153658"/>
    <w:rsid w:val="001539FE"/>
    <w:rsid w:val="001544EE"/>
    <w:rsid w:val="0015521A"/>
    <w:rsid w:val="00155A6A"/>
    <w:rsid w:val="00156348"/>
    <w:rsid w:val="001569A7"/>
    <w:rsid w:val="00156AA2"/>
    <w:rsid w:val="00157EDC"/>
    <w:rsid w:val="00157F63"/>
    <w:rsid w:val="00160EE3"/>
    <w:rsid w:val="0016237C"/>
    <w:rsid w:val="00162EDD"/>
    <w:rsid w:val="001661C1"/>
    <w:rsid w:val="0016681C"/>
    <w:rsid w:val="001668DD"/>
    <w:rsid w:val="00167362"/>
    <w:rsid w:val="00167D88"/>
    <w:rsid w:val="00171013"/>
    <w:rsid w:val="0017167B"/>
    <w:rsid w:val="0017659D"/>
    <w:rsid w:val="001773B6"/>
    <w:rsid w:val="00180BC9"/>
    <w:rsid w:val="00181203"/>
    <w:rsid w:val="0018377F"/>
    <w:rsid w:val="001856EF"/>
    <w:rsid w:val="0018661B"/>
    <w:rsid w:val="00187D69"/>
    <w:rsid w:val="00191068"/>
    <w:rsid w:val="0019122D"/>
    <w:rsid w:val="001919A7"/>
    <w:rsid w:val="00192460"/>
    <w:rsid w:val="001926E7"/>
    <w:rsid w:val="001948FD"/>
    <w:rsid w:val="00194F90"/>
    <w:rsid w:val="001960CA"/>
    <w:rsid w:val="00197617"/>
    <w:rsid w:val="00197E21"/>
    <w:rsid w:val="001A050E"/>
    <w:rsid w:val="001A0528"/>
    <w:rsid w:val="001A0F4A"/>
    <w:rsid w:val="001A1AA0"/>
    <w:rsid w:val="001A21D5"/>
    <w:rsid w:val="001A35D6"/>
    <w:rsid w:val="001A5507"/>
    <w:rsid w:val="001A6BAB"/>
    <w:rsid w:val="001A72D7"/>
    <w:rsid w:val="001A74DB"/>
    <w:rsid w:val="001A7A12"/>
    <w:rsid w:val="001B0A2C"/>
    <w:rsid w:val="001B29F6"/>
    <w:rsid w:val="001B2DA0"/>
    <w:rsid w:val="001B4A75"/>
    <w:rsid w:val="001B4C98"/>
    <w:rsid w:val="001B50D5"/>
    <w:rsid w:val="001B5B93"/>
    <w:rsid w:val="001B7CBA"/>
    <w:rsid w:val="001C076A"/>
    <w:rsid w:val="001C0A6E"/>
    <w:rsid w:val="001C0CBE"/>
    <w:rsid w:val="001C374A"/>
    <w:rsid w:val="001C37B9"/>
    <w:rsid w:val="001C62E0"/>
    <w:rsid w:val="001C6D31"/>
    <w:rsid w:val="001C7BB2"/>
    <w:rsid w:val="001C7E86"/>
    <w:rsid w:val="001D0034"/>
    <w:rsid w:val="001D157E"/>
    <w:rsid w:val="001D178E"/>
    <w:rsid w:val="001D27AB"/>
    <w:rsid w:val="001D5B58"/>
    <w:rsid w:val="001D6799"/>
    <w:rsid w:val="001D6BAE"/>
    <w:rsid w:val="001D6F5E"/>
    <w:rsid w:val="001E1729"/>
    <w:rsid w:val="001E24C6"/>
    <w:rsid w:val="001E2549"/>
    <w:rsid w:val="001E51BC"/>
    <w:rsid w:val="001E5CEB"/>
    <w:rsid w:val="001E6217"/>
    <w:rsid w:val="001E75C6"/>
    <w:rsid w:val="001F0AA4"/>
    <w:rsid w:val="001F0F3C"/>
    <w:rsid w:val="001F25F4"/>
    <w:rsid w:val="001F2A75"/>
    <w:rsid w:val="001F30D7"/>
    <w:rsid w:val="001F333C"/>
    <w:rsid w:val="001F3B77"/>
    <w:rsid w:val="001F4FE0"/>
    <w:rsid w:val="001F5091"/>
    <w:rsid w:val="001F55C9"/>
    <w:rsid w:val="001F65C2"/>
    <w:rsid w:val="001F6A30"/>
    <w:rsid w:val="00200C3A"/>
    <w:rsid w:val="00201A0F"/>
    <w:rsid w:val="00202CA1"/>
    <w:rsid w:val="002038D1"/>
    <w:rsid w:val="00203A4C"/>
    <w:rsid w:val="00203ACF"/>
    <w:rsid w:val="00203ED9"/>
    <w:rsid w:val="002053DD"/>
    <w:rsid w:val="002072DB"/>
    <w:rsid w:val="0020739C"/>
    <w:rsid w:val="00207B94"/>
    <w:rsid w:val="00213483"/>
    <w:rsid w:val="00215B8B"/>
    <w:rsid w:val="00215E2E"/>
    <w:rsid w:val="00215F7C"/>
    <w:rsid w:val="00216272"/>
    <w:rsid w:val="00217902"/>
    <w:rsid w:val="002214BB"/>
    <w:rsid w:val="00221ABF"/>
    <w:rsid w:val="002225F8"/>
    <w:rsid w:val="00222B9E"/>
    <w:rsid w:val="00223388"/>
    <w:rsid w:val="0022501F"/>
    <w:rsid w:val="002258F7"/>
    <w:rsid w:val="00226CDF"/>
    <w:rsid w:val="00226F39"/>
    <w:rsid w:val="00227122"/>
    <w:rsid w:val="00227753"/>
    <w:rsid w:val="00230073"/>
    <w:rsid w:val="00230185"/>
    <w:rsid w:val="0023051D"/>
    <w:rsid w:val="002317BE"/>
    <w:rsid w:val="00231D9D"/>
    <w:rsid w:val="00232174"/>
    <w:rsid w:val="00232214"/>
    <w:rsid w:val="0023391F"/>
    <w:rsid w:val="00233A5A"/>
    <w:rsid w:val="00233E5C"/>
    <w:rsid w:val="00233EF3"/>
    <w:rsid w:val="00233FBF"/>
    <w:rsid w:val="00234F42"/>
    <w:rsid w:val="002358F0"/>
    <w:rsid w:val="0023654C"/>
    <w:rsid w:val="00237467"/>
    <w:rsid w:val="002375C7"/>
    <w:rsid w:val="002376C4"/>
    <w:rsid w:val="0024028E"/>
    <w:rsid w:val="002403F0"/>
    <w:rsid w:val="00240518"/>
    <w:rsid w:val="0024077A"/>
    <w:rsid w:val="002409F8"/>
    <w:rsid w:val="00244EA9"/>
    <w:rsid w:val="00244F25"/>
    <w:rsid w:val="0024632C"/>
    <w:rsid w:val="00246D9A"/>
    <w:rsid w:val="002470B1"/>
    <w:rsid w:val="002471AA"/>
    <w:rsid w:val="0025007C"/>
    <w:rsid w:val="002504D9"/>
    <w:rsid w:val="0025138E"/>
    <w:rsid w:val="00251D5B"/>
    <w:rsid w:val="002550CF"/>
    <w:rsid w:val="002566E7"/>
    <w:rsid w:val="00261429"/>
    <w:rsid w:val="002615D2"/>
    <w:rsid w:val="00261921"/>
    <w:rsid w:val="002622D4"/>
    <w:rsid w:val="002639CC"/>
    <w:rsid w:val="002644E7"/>
    <w:rsid w:val="00264C85"/>
    <w:rsid w:val="00265447"/>
    <w:rsid w:val="002662CA"/>
    <w:rsid w:val="00267DAE"/>
    <w:rsid w:val="00270590"/>
    <w:rsid w:val="00271D0D"/>
    <w:rsid w:val="00272E27"/>
    <w:rsid w:val="00273AE2"/>
    <w:rsid w:val="00273BB8"/>
    <w:rsid w:val="00273DA3"/>
    <w:rsid w:val="002753FF"/>
    <w:rsid w:val="00275E43"/>
    <w:rsid w:val="002767F5"/>
    <w:rsid w:val="00276A31"/>
    <w:rsid w:val="00276AFF"/>
    <w:rsid w:val="00276EBE"/>
    <w:rsid w:val="00276ED2"/>
    <w:rsid w:val="00283702"/>
    <w:rsid w:val="00283A37"/>
    <w:rsid w:val="002849B8"/>
    <w:rsid w:val="00284FBD"/>
    <w:rsid w:val="00285A3D"/>
    <w:rsid w:val="002906FF"/>
    <w:rsid w:val="00290A73"/>
    <w:rsid w:val="00292BD5"/>
    <w:rsid w:val="00293B59"/>
    <w:rsid w:val="002942DF"/>
    <w:rsid w:val="00295067"/>
    <w:rsid w:val="00295130"/>
    <w:rsid w:val="00295A94"/>
    <w:rsid w:val="00296973"/>
    <w:rsid w:val="00296A0A"/>
    <w:rsid w:val="00296B5B"/>
    <w:rsid w:val="00297994"/>
    <w:rsid w:val="00297D6C"/>
    <w:rsid w:val="002A163A"/>
    <w:rsid w:val="002A1A4E"/>
    <w:rsid w:val="002A42E2"/>
    <w:rsid w:val="002A46EC"/>
    <w:rsid w:val="002A54F4"/>
    <w:rsid w:val="002A57B9"/>
    <w:rsid w:val="002B01AB"/>
    <w:rsid w:val="002B12CC"/>
    <w:rsid w:val="002B1DDA"/>
    <w:rsid w:val="002B1FD1"/>
    <w:rsid w:val="002B34D0"/>
    <w:rsid w:val="002B387E"/>
    <w:rsid w:val="002B5029"/>
    <w:rsid w:val="002B5152"/>
    <w:rsid w:val="002B6B5C"/>
    <w:rsid w:val="002B6F97"/>
    <w:rsid w:val="002B770B"/>
    <w:rsid w:val="002B770E"/>
    <w:rsid w:val="002C14D8"/>
    <w:rsid w:val="002C19AD"/>
    <w:rsid w:val="002C241F"/>
    <w:rsid w:val="002C4C11"/>
    <w:rsid w:val="002C5479"/>
    <w:rsid w:val="002C55CE"/>
    <w:rsid w:val="002C7328"/>
    <w:rsid w:val="002D0F06"/>
    <w:rsid w:val="002D1332"/>
    <w:rsid w:val="002D1E80"/>
    <w:rsid w:val="002D28B6"/>
    <w:rsid w:val="002D2BED"/>
    <w:rsid w:val="002D496C"/>
    <w:rsid w:val="002D52C0"/>
    <w:rsid w:val="002D548C"/>
    <w:rsid w:val="002D5EA1"/>
    <w:rsid w:val="002D60A8"/>
    <w:rsid w:val="002D6498"/>
    <w:rsid w:val="002D771D"/>
    <w:rsid w:val="002E254B"/>
    <w:rsid w:val="002E31A7"/>
    <w:rsid w:val="002E3483"/>
    <w:rsid w:val="002E431A"/>
    <w:rsid w:val="002E542D"/>
    <w:rsid w:val="002E554B"/>
    <w:rsid w:val="002E6138"/>
    <w:rsid w:val="002E61CB"/>
    <w:rsid w:val="002E68A8"/>
    <w:rsid w:val="002E78F3"/>
    <w:rsid w:val="002F4D36"/>
    <w:rsid w:val="002F5FA3"/>
    <w:rsid w:val="00300A39"/>
    <w:rsid w:val="00300DE8"/>
    <w:rsid w:val="00301726"/>
    <w:rsid w:val="00302BAF"/>
    <w:rsid w:val="00304052"/>
    <w:rsid w:val="003044E9"/>
    <w:rsid w:val="0030466E"/>
    <w:rsid w:val="00306274"/>
    <w:rsid w:val="00306FEA"/>
    <w:rsid w:val="003106CD"/>
    <w:rsid w:val="00311AD3"/>
    <w:rsid w:val="0031211C"/>
    <w:rsid w:val="00312727"/>
    <w:rsid w:val="003145A2"/>
    <w:rsid w:val="003154F7"/>
    <w:rsid w:val="00315D4D"/>
    <w:rsid w:val="00316C09"/>
    <w:rsid w:val="00316CAA"/>
    <w:rsid w:val="003175D6"/>
    <w:rsid w:val="003176E8"/>
    <w:rsid w:val="00317BEF"/>
    <w:rsid w:val="00320876"/>
    <w:rsid w:val="00320B39"/>
    <w:rsid w:val="00320DDD"/>
    <w:rsid w:val="00322403"/>
    <w:rsid w:val="00322732"/>
    <w:rsid w:val="00322CCE"/>
    <w:rsid w:val="00323465"/>
    <w:rsid w:val="003239A0"/>
    <w:rsid w:val="00323AEB"/>
    <w:rsid w:val="00326EBA"/>
    <w:rsid w:val="00327FD1"/>
    <w:rsid w:val="00332581"/>
    <w:rsid w:val="00332E2E"/>
    <w:rsid w:val="003349E4"/>
    <w:rsid w:val="003361B2"/>
    <w:rsid w:val="00340081"/>
    <w:rsid w:val="00341DB0"/>
    <w:rsid w:val="0034215C"/>
    <w:rsid w:val="00342593"/>
    <w:rsid w:val="0034306B"/>
    <w:rsid w:val="00346308"/>
    <w:rsid w:val="00346472"/>
    <w:rsid w:val="00346B7A"/>
    <w:rsid w:val="00346BA6"/>
    <w:rsid w:val="003477F4"/>
    <w:rsid w:val="00347A31"/>
    <w:rsid w:val="0035076F"/>
    <w:rsid w:val="00352612"/>
    <w:rsid w:val="00352DB6"/>
    <w:rsid w:val="00354453"/>
    <w:rsid w:val="00355D25"/>
    <w:rsid w:val="003564AE"/>
    <w:rsid w:val="0035676F"/>
    <w:rsid w:val="00356E50"/>
    <w:rsid w:val="003600B9"/>
    <w:rsid w:val="003608DB"/>
    <w:rsid w:val="003612B6"/>
    <w:rsid w:val="00361E82"/>
    <w:rsid w:val="00363B91"/>
    <w:rsid w:val="0036408F"/>
    <w:rsid w:val="003646F2"/>
    <w:rsid w:val="00365FC2"/>
    <w:rsid w:val="00367021"/>
    <w:rsid w:val="00367E08"/>
    <w:rsid w:val="00370FA9"/>
    <w:rsid w:val="00371C0C"/>
    <w:rsid w:val="003724B4"/>
    <w:rsid w:val="00372640"/>
    <w:rsid w:val="00372C7F"/>
    <w:rsid w:val="00373A41"/>
    <w:rsid w:val="0037431A"/>
    <w:rsid w:val="00375343"/>
    <w:rsid w:val="003767B5"/>
    <w:rsid w:val="00377207"/>
    <w:rsid w:val="00377361"/>
    <w:rsid w:val="00377B7C"/>
    <w:rsid w:val="0038236F"/>
    <w:rsid w:val="003828F7"/>
    <w:rsid w:val="003839DC"/>
    <w:rsid w:val="00383A58"/>
    <w:rsid w:val="0038418D"/>
    <w:rsid w:val="003846E5"/>
    <w:rsid w:val="0038539C"/>
    <w:rsid w:val="003854A3"/>
    <w:rsid w:val="00387D2D"/>
    <w:rsid w:val="0039272D"/>
    <w:rsid w:val="00392B11"/>
    <w:rsid w:val="00392E43"/>
    <w:rsid w:val="003964DD"/>
    <w:rsid w:val="003975D5"/>
    <w:rsid w:val="003A0869"/>
    <w:rsid w:val="003A4E9A"/>
    <w:rsid w:val="003A4FD7"/>
    <w:rsid w:val="003A5C30"/>
    <w:rsid w:val="003A606B"/>
    <w:rsid w:val="003A6D55"/>
    <w:rsid w:val="003A757A"/>
    <w:rsid w:val="003A7A76"/>
    <w:rsid w:val="003A7C02"/>
    <w:rsid w:val="003B2AFC"/>
    <w:rsid w:val="003B301B"/>
    <w:rsid w:val="003B5661"/>
    <w:rsid w:val="003B57FA"/>
    <w:rsid w:val="003B6764"/>
    <w:rsid w:val="003B777C"/>
    <w:rsid w:val="003C06C6"/>
    <w:rsid w:val="003C1AB5"/>
    <w:rsid w:val="003C2429"/>
    <w:rsid w:val="003C2D14"/>
    <w:rsid w:val="003C4EA4"/>
    <w:rsid w:val="003C4F66"/>
    <w:rsid w:val="003C5E1A"/>
    <w:rsid w:val="003C6E1C"/>
    <w:rsid w:val="003C7AE0"/>
    <w:rsid w:val="003D0316"/>
    <w:rsid w:val="003D0319"/>
    <w:rsid w:val="003D313B"/>
    <w:rsid w:val="003D32D8"/>
    <w:rsid w:val="003D34C8"/>
    <w:rsid w:val="003D4745"/>
    <w:rsid w:val="003D7C58"/>
    <w:rsid w:val="003E0618"/>
    <w:rsid w:val="003E0B17"/>
    <w:rsid w:val="003E1BD3"/>
    <w:rsid w:val="003E3200"/>
    <w:rsid w:val="003E3A14"/>
    <w:rsid w:val="003E41DF"/>
    <w:rsid w:val="003E49E5"/>
    <w:rsid w:val="003E5CC5"/>
    <w:rsid w:val="003E5CCE"/>
    <w:rsid w:val="003F0A95"/>
    <w:rsid w:val="003F0B1A"/>
    <w:rsid w:val="003F0E60"/>
    <w:rsid w:val="003F13D5"/>
    <w:rsid w:val="003F192F"/>
    <w:rsid w:val="003F2A6C"/>
    <w:rsid w:val="003F2B4C"/>
    <w:rsid w:val="003F337E"/>
    <w:rsid w:val="003F4388"/>
    <w:rsid w:val="003F60AA"/>
    <w:rsid w:val="003F648F"/>
    <w:rsid w:val="003F72AA"/>
    <w:rsid w:val="003F7AE2"/>
    <w:rsid w:val="00401217"/>
    <w:rsid w:val="0040141A"/>
    <w:rsid w:val="00401CF2"/>
    <w:rsid w:val="00403453"/>
    <w:rsid w:val="00403E4E"/>
    <w:rsid w:val="00404016"/>
    <w:rsid w:val="004048E4"/>
    <w:rsid w:val="004050D7"/>
    <w:rsid w:val="00405104"/>
    <w:rsid w:val="00407BA6"/>
    <w:rsid w:val="00407DE1"/>
    <w:rsid w:val="004101EB"/>
    <w:rsid w:val="00410664"/>
    <w:rsid w:val="00410E69"/>
    <w:rsid w:val="004111A6"/>
    <w:rsid w:val="00411244"/>
    <w:rsid w:val="0041373F"/>
    <w:rsid w:val="004141B1"/>
    <w:rsid w:val="00414492"/>
    <w:rsid w:val="00416217"/>
    <w:rsid w:val="0041770F"/>
    <w:rsid w:val="00421076"/>
    <w:rsid w:val="00421422"/>
    <w:rsid w:val="004219C7"/>
    <w:rsid w:val="004221B1"/>
    <w:rsid w:val="004225D6"/>
    <w:rsid w:val="00424004"/>
    <w:rsid w:val="004248FA"/>
    <w:rsid w:val="00424F2E"/>
    <w:rsid w:val="00425B46"/>
    <w:rsid w:val="0042774E"/>
    <w:rsid w:val="00427A62"/>
    <w:rsid w:val="00427C2F"/>
    <w:rsid w:val="0043028C"/>
    <w:rsid w:val="00431970"/>
    <w:rsid w:val="004337A7"/>
    <w:rsid w:val="00433E96"/>
    <w:rsid w:val="00435446"/>
    <w:rsid w:val="0043786D"/>
    <w:rsid w:val="0043796A"/>
    <w:rsid w:val="00440081"/>
    <w:rsid w:val="004404C5"/>
    <w:rsid w:val="00442F74"/>
    <w:rsid w:val="0044310F"/>
    <w:rsid w:val="004439D1"/>
    <w:rsid w:val="004443AB"/>
    <w:rsid w:val="004451AE"/>
    <w:rsid w:val="00445A26"/>
    <w:rsid w:val="00445CB3"/>
    <w:rsid w:val="00445E8A"/>
    <w:rsid w:val="00445F37"/>
    <w:rsid w:val="00447863"/>
    <w:rsid w:val="00452CF4"/>
    <w:rsid w:val="0045332C"/>
    <w:rsid w:val="00453B0C"/>
    <w:rsid w:val="00454D40"/>
    <w:rsid w:val="00455F7A"/>
    <w:rsid w:val="00461F40"/>
    <w:rsid w:val="00465694"/>
    <w:rsid w:val="0046575B"/>
    <w:rsid w:val="00465818"/>
    <w:rsid w:val="00465863"/>
    <w:rsid w:val="0046595D"/>
    <w:rsid w:val="0046602E"/>
    <w:rsid w:val="0046626F"/>
    <w:rsid w:val="00466A74"/>
    <w:rsid w:val="004671DC"/>
    <w:rsid w:val="00467860"/>
    <w:rsid w:val="0047027A"/>
    <w:rsid w:val="004705EE"/>
    <w:rsid w:val="004712F5"/>
    <w:rsid w:val="004721D0"/>
    <w:rsid w:val="0047233F"/>
    <w:rsid w:val="00472B97"/>
    <w:rsid w:val="004730C8"/>
    <w:rsid w:val="00474295"/>
    <w:rsid w:val="004742C5"/>
    <w:rsid w:val="00475787"/>
    <w:rsid w:val="00475E19"/>
    <w:rsid w:val="00480260"/>
    <w:rsid w:val="00480E4F"/>
    <w:rsid w:val="00480F57"/>
    <w:rsid w:val="004831B1"/>
    <w:rsid w:val="00484450"/>
    <w:rsid w:val="0048578C"/>
    <w:rsid w:val="00487B29"/>
    <w:rsid w:val="00487E1E"/>
    <w:rsid w:val="00495529"/>
    <w:rsid w:val="00495729"/>
    <w:rsid w:val="00495957"/>
    <w:rsid w:val="0049652F"/>
    <w:rsid w:val="00496F04"/>
    <w:rsid w:val="00497CF0"/>
    <w:rsid w:val="00497E85"/>
    <w:rsid w:val="004A09ED"/>
    <w:rsid w:val="004A1392"/>
    <w:rsid w:val="004A1AB7"/>
    <w:rsid w:val="004A2706"/>
    <w:rsid w:val="004A3E93"/>
    <w:rsid w:val="004A4282"/>
    <w:rsid w:val="004A45B8"/>
    <w:rsid w:val="004A4B2B"/>
    <w:rsid w:val="004A6333"/>
    <w:rsid w:val="004A6758"/>
    <w:rsid w:val="004A6D82"/>
    <w:rsid w:val="004A70F2"/>
    <w:rsid w:val="004A717C"/>
    <w:rsid w:val="004B15A7"/>
    <w:rsid w:val="004B21C0"/>
    <w:rsid w:val="004B3779"/>
    <w:rsid w:val="004B5A35"/>
    <w:rsid w:val="004B7A47"/>
    <w:rsid w:val="004B7A5D"/>
    <w:rsid w:val="004C0A1E"/>
    <w:rsid w:val="004C14F3"/>
    <w:rsid w:val="004C164C"/>
    <w:rsid w:val="004C3902"/>
    <w:rsid w:val="004C4FE3"/>
    <w:rsid w:val="004C5287"/>
    <w:rsid w:val="004C687B"/>
    <w:rsid w:val="004C7575"/>
    <w:rsid w:val="004D17EF"/>
    <w:rsid w:val="004D1E2F"/>
    <w:rsid w:val="004D27D5"/>
    <w:rsid w:val="004D288F"/>
    <w:rsid w:val="004D29C0"/>
    <w:rsid w:val="004D3938"/>
    <w:rsid w:val="004D4897"/>
    <w:rsid w:val="004D49B0"/>
    <w:rsid w:val="004D6057"/>
    <w:rsid w:val="004D62E3"/>
    <w:rsid w:val="004D63EC"/>
    <w:rsid w:val="004D6824"/>
    <w:rsid w:val="004D6D59"/>
    <w:rsid w:val="004D7178"/>
    <w:rsid w:val="004D7F92"/>
    <w:rsid w:val="004E07F1"/>
    <w:rsid w:val="004E19A1"/>
    <w:rsid w:val="004E328D"/>
    <w:rsid w:val="004E4457"/>
    <w:rsid w:val="004E4DEA"/>
    <w:rsid w:val="004E72B8"/>
    <w:rsid w:val="004E7551"/>
    <w:rsid w:val="004F0653"/>
    <w:rsid w:val="004F0EDE"/>
    <w:rsid w:val="004F1A67"/>
    <w:rsid w:val="004F2A18"/>
    <w:rsid w:val="004F2EAC"/>
    <w:rsid w:val="004F389B"/>
    <w:rsid w:val="004F462A"/>
    <w:rsid w:val="004F480E"/>
    <w:rsid w:val="004F4ED1"/>
    <w:rsid w:val="004F564D"/>
    <w:rsid w:val="004F6E5A"/>
    <w:rsid w:val="004F7BAA"/>
    <w:rsid w:val="00500C97"/>
    <w:rsid w:val="00501B95"/>
    <w:rsid w:val="00503099"/>
    <w:rsid w:val="005044A5"/>
    <w:rsid w:val="00504BF3"/>
    <w:rsid w:val="005051EE"/>
    <w:rsid w:val="0050533D"/>
    <w:rsid w:val="00507C7F"/>
    <w:rsid w:val="00507CD3"/>
    <w:rsid w:val="00510912"/>
    <w:rsid w:val="005109B1"/>
    <w:rsid w:val="00511713"/>
    <w:rsid w:val="005122F3"/>
    <w:rsid w:val="0051269D"/>
    <w:rsid w:val="0051285E"/>
    <w:rsid w:val="005132DE"/>
    <w:rsid w:val="00515910"/>
    <w:rsid w:val="005176D6"/>
    <w:rsid w:val="00517EFA"/>
    <w:rsid w:val="0052273D"/>
    <w:rsid w:val="00524A66"/>
    <w:rsid w:val="00524A78"/>
    <w:rsid w:val="00527D6D"/>
    <w:rsid w:val="00530D67"/>
    <w:rsid w:val="00533934"/>
    <w:rsid w:val="0053444F"/>
    <w:rsid w:val="00534BB0"/>
    <w:rsid w:val="00534E25"/>
    <w:rsid w:val="00537D5B"/>
    <w:rsid w:val="00540780"/>
    <w:rsid w:val="00540E6D"/>
    <w:rsid w:val="00541A41"/>
    <w:rsid w:val="0054352E"/>
    <w:rsid w:val="005435A1"/>
    <w:rsid w:val="005439EE"/>
    <w:rsid w:val="0054521B"/>
    <w:rsid w:val="005474CC"/>
    <w:rsid w:val="00550566"/>
    <w:rsid w:val="00550AAB"/>
    <w:rsid w:val="00550E44"/>
    <w:rsid w:val="00551372"/>
    <w:rsid w:val="005521DD"/>
    <w:rsid w:val="00554CF5"/>
    <w:rsid w:val="00554E61"/>
    <w:rsid w:val="0055605A"/>
    <w:rsid w:val="00557FA1"/>
    <w:rsid w:val="00560021"/>
    <w:rsid w:val="00560B54"/>
    <w:rsid w:val="00561720"/>
    <w:rsid w:val="00561EE0"/>
    <w:rsid w:val="0056382B"/>
    <w:rsid w:val="00564ABA"/>
    <w:rsid w:val="0056586F"/>
    <w:rsid w:val="00566075"/>
    <w:rsid w:val="00567782"/>
    <w:rsid w:val="00573A5C"/>
    <w:rsid w:val="00574702"/>
    <w:rsid w:val="0057473E"/>
    <w:rsid w:val="00574B6B"/>
    <w:rsid w:val="00574EBA"/>
    <w:rsid w:val="00577298"/>
    <w:rsid w:val="00577FE4"/>
    <w:rsid w:val="00580B67"/>
    <w:rsid w:val="005823C0"/>
    <w:rsid w:val="005826F8"/>
    <w:rsid w:val="00583023"/>
    <w:rsid w:val="00583945"/>
    <w:rsid w:val="00583B1B"/>
    <w:rsid w:val="00584C3A"/>
    <w:rsid w:val="00585537"/>
    <w:rsid w:val="00586A32"/>
    <w:rsid w:val="005870D6"/>
    <w:rsid w:val="0059003B"/>
    <w:rsid w:val="00591684"/>
    <w:rsid w:val="0059205E"/>
    <w:rsid w:val="00592060"/>
    <w:rsid w:val="00593027"/>
    <w:rsid w:val="00594D2F"/>
    <w:rsid w:val="00595774"/>
    <w:rsid w:val="00595B6C"/>
    <w:rsid w:val="00596E2F"/>
    <w:rsid w:val="00596E79"/>
    <w:rsid w:val="00597786"/>
    <w:rsid w:val="0059794E"/>
    <w:rsid w:val="005A0BE1"/>
    <w:rsid w:val="005A1919"/>
    <w:rsid w:val="005A28B7"/>
    <w:rsid w:val="005A2C50"/>
    <w:rsid w:val="005A32A9"/>
    <w:rsid w:val="005A3A27"/>
    <w:rsid w:val="005A3AD3"/>
    <w:rsid w:val="005A40A2"/>
    <w:rsid w:val="005A4548"/>
    <w:rsid w:val="005A6087"/>
    <w:rsid w:val="005A6137"/>
    <w:rsid w:val="005A76E1"/>
    <w:rsid w:val="005A7FA5"/>
    <w:rsid w:val="005B0DA4"/>
    <w:rsid w:val="005B10C4"/>
    <w:rsid w:val="005B1A7F"/>
    <w:rsid w:val="005B2230"/>
    <w:rsid w:val="005B3414"/>
    <w:rsid w:val="005B4DCB"/>
    <w:rsid w:val="005B61E4"/>
    <w:rsid w:val="005B639A"/>
    <w:rsid w:val="005B7000"/>
    <w:rsid w:val="005B7A46"/>
    <w:rsid w:val="005C0821"/>
    <w:rsid w:val="005C1A06"/>
    <w:rsid w:val="005C1B4A"/>
    <w:rsid w:val="005C3238"/>
    <w:rsid w:val="005C5533"/>
    <w:rsid w:val="005C5654"/>
    <w:rsid w:val="005C5718"/>
    <w:rsid w:val="005C6385"/>
    <w:rsid w:val="005C76AC"/>
    <w:rsid w:val="005C76C3"/>
    <w:rsid w:val="005C7944"/>
    <w:rsid w:val="005D09AF"/>
    <w:rsid w:val="005D0E0F"/>
    <w:rsid w:val="005D19FF"/>
    <w:rsid w:val="005D1C37"/>
    <w:rsid w:val="005D257E"/>
    <w:rsid w:val="005D29CD"/>
    <w:rsid w:val="005D36EC"/>
    <w:rsid w:val="005D3992"/>
    <w:rsid w:val="005D496A"/>
    <w:rsid w:val="005D4A3C"/>
    <w:rsid w:val="005D61E0"/>
    <w:rsid w:val="005E06F2"/>
    <w:rsid w:val="005E0AB6"/>
    <w:rsid w:val="005E26FA"/>
    <w:rsid w:val="005E380A"/>
    <w:rsid w:val="005E5524"/>
    <w:rsid w:val="005E58F7"/>
    <w:rsid w:val="005E5F9B"/>
    <w:rsid w:val="005E66C9"/>
    <w:rsid w:val="005E720A"/>
    <w:rsid w:val="005E7D6D"/>
    <w:rsid w:val="005F0D61"/>
    <w:rsid w:val="005F0D70"/>
    <w:rsid w:val="005F4256"/>
    <w:rsid w:val="005F52DE"/>
    <w:rsid w:val="005F5D0D"/>
    <w:rsid w:val="005F77B9"/>
    <w:rsid w:val="00600374"/>
    <w:rsid w:val="00601045"/>
    <w:rsid w:val="006032D9"/>
    <w:rsid w:val="00611218"/>
    <w:rsid w:val="00614AAB"/>
    <w:rsid w:val="00615A3C"/>
    <w:rsid w:val="00616307"/>
    <w:rsid w:val="00617977"/>
    <w:rsid w:val="00617CF7"/>
    <w:rsid w:val="0062030D"/>
    <w:rsid w:val="00620D97"/>
    <w:rsid w:val="00621539"/>
    <w:rsid w:val="006222EB"/>
    <w:rsid w:val="006239C7"/>
    <w:rsid w:val="0062452B"/>
    <w:rsid w:val="00624EC7"/>
    <w:rsid w:val="00626456"/>
    <w:rsid w:val="00626648"/>
    <w:rsid w:val="00626FC5"/>
    <w:rsid w:val="00632141"/>
    <w:rsid w:val="00633415"/>
    <w:rsid w:val="006334B1"/>
    <w:rsid w:val="006334EE"/>
    <w:rsid w:val="00634BB4"/>
    <w:rsid w:val="006350E3"/>
    <w:rsid w:val="006362B4"/>
    <w:rsid w:val="00637A70"/>
    <w:rsid w:val="0064087D"/>
    <w:rsid w:val="00640B3D"/>
    <w:rsid w:val="006421B8"/>
    <w:rsid w:val="006430D4"/>
    <w:rsid w:val="006431B5"/>
    <w:rsid w:val="006435BB"/>
    <w:rsid w:val="00643CA7"/>
    <w:rsid w:val="0064428E"/>
    <w:rsid w:val="00644304"/>
    <w:rsid w:val="006451F4"/>
    <w:rsid w:val="006461E2"/>
    <w:rsid w:val="00646A2E"/>
    <w:rsid w:val="00646A2F"/>
    <w:rsid w:val="00646BA5"/>
    <w:rsid w:val="00646FDC"/>
    <w:rsid w:val="006473BE"/>
    <w:rsid w:val="00647D20"/>
    <w:rsid w:val="00650E6C"/>
    <w:rsid w:val="00650FD1"/>
    <w:rsid w:val="006521CC"/>
    <w:rsid w:val="00653154"/>
    <w:rsid w:val="00655755"/>
    <w:rsid w:val="00657211"/>
    <w:rsid w:val="00657CBA"/>
    <w:rsid w:val="006609C3"/>
    <w:rsid w:val="006621DF"/>
    <w:rsid w:val="0066272D"/>
    <w:rsid w:val="0066285B"/>
    <w:rsid w:val="00662B3E"/>
    <w:rsid w:val="006656F4"/>
    <w:rsid w:val="0066574E"/>
    <w:rsid w:val="006660FB"/>
    <w:rsid w:val="00666305"/>
    <w:rsid w:val="006703DC"/>
    <w:rsid w:val="00670C05"/>
    <w:rsid w:val="00672AB5"/>
    <w:rsid w:val="00673CD7"/>
    <w:rsid w:val="00674279"/>
    <w:rsid w:val="00675EF6"/>
    <w:rsid w:val="006763DB"/>
    <w:rsid w:val="006765CD"/>
    <w:rsid w:val="00676F4D"/>
    <w:rsid w:val="006778C3"/>
    <w:rsid w:val="00677A99"/>
    <w:rsid w:val="00677D21"/>
    <w:rsid w:val="00680C4E"/>
    <w:rsid w:val="00681442"/>
    <w:rsid w:val="006818AC"/>
    <w:rsid w:val="00683400"/>
    <w:rsid w:val="00683A40"/>
    <w:rsid w:val="0068559F"/>
    <w:rsid w:val="00685C95"/>
    <w:rsid w:val="00686093"/>
    <w:rsid w:val="006901C1"/>
    <w:rsid w:val="006902C6"/>
    <w:rsid w:val="00690F32"/>
    <w:rsid w:val="00692FC4"/>
    <w:rsid w:val="00694541"/>
    <w:rsid w:val="00694E57"/>
    <w:rsid w:val="006951D9"/>
    <w:rsid w:val="00695D52"/>
    <w:rsid w:val="00696257"/>
    <w:rsid w:val="006967E6"/>
    <w:rsid w:val="00696F8B"/>
    <w:rsid w:val="00697A9D"/>
    <w:rsid w:val="006A0FD0"/>
    <w:rsid w:val="006A123C"/>
    <w:rsid w:val="006A1E3E"/>
    <w:rsid w:val="006A23FA"/>
    <w:rsid w:val="006A3158"/>
    <w:rsid w:val="006A3874"/>
    <w:rsid w:val="006A4143"/>
    <w:rsid w:val="006A4542"/>
    <w:rsid w:val="006A4B19"/>
    <w:rsid w:val="006A50A6"/>
    <w:rsid w:val="006A6247"/>
    <w:rsid w:val="006B0B5D"/>
    <w:rsid w:val="006B242D"/>
    <w:rsid w:val="006B25BD"/>
    <w:rsid w:val="006B4C47"/>
    <w:rsid w:val="006B6027"/>
    <w:rsid w:val="006C0636"/>
    <w:rsid w:val="006C06AE"/>
    <w:rsid w:val="006C0D11"/>
    <w:rsid w:val="006C2D37"/>
    <w:rsid w:val="006C3224"/>
    <w:rsid w:val="006C54AE"/>
    <w:rsid w:val="006C5958"/>
    <w:rsid w:val="006C6B53"/>
    <w:rsid w:val="006C76C8"/>
    <w:rsid w:val="006C7A6E"/>
    <w:rsid w:val="006D27A5"/>
    <w:rsid w:val="006D4354"/>
    <w:rsid w:val="006D4691"/>
    <w:rsid w:val="006D4DFE"/>
    <w:rsid w:val="006D5048"/>
    <w:rsid w:val="006D5D27"/>
    <w:rsid w:val="006D7A40"/>
    <w:rsid w:val="006E18B3"/>
    <w:rsid w:val="006E1FCB"/>
    <w:rsid w:val="006E322F"/>
    <w:rsid w:val="006E32F5"/>
    <w:rsid w:val="006E41A5"/>
    <w:rsid w:val="006E6536"/>
    <w:rsid w:val="006E69FA"/>
    <w:rsid w:val="006E7949"/>
    <w:rsid w:val="006E7C32"/>
    <w:rsid w:val="006F1F2C"/>
    <w:rsid w:val="006F269D"/>
    <w:rsid w:val="006F33D3"/>
    <w:rsid w:val="006F4F61"/>
    <w:rsid w:val="006F5CE8"/>
    <w:rsid w:val="006F6253"/>
    <w:rsid w:val="007005B2"/>
    <w:rsid w:val="007006FF"/>
    <w:rsid w:val="007060AB"/>
    <w:rsid w:val="0070660C"/>
    <w:rsid w:val="0070704B"/>
    <w:rsid w:val="00707BE1"/>
    <w:rsid w:val="00710CD1"/>
    <w:rsid w:val="00714BAE"/>
    <w:rsid w:val="00714CB7"/>
    <w:rsid w:val="00714FFF"/>
    <w:rsid w:val="00715D89"/>
    <w:rsid w:val="00716298"/>
    <w:rsid w:val="00716DB7"/>
    <w:rsid w:val="00717788"/>
    <w:rsid w:val="0071788C"/>
    <w:rsid w:val="00720166"/>
    <w:rsid w:val="00721546"/>
    <w:rsid w:val="00721E0E"/>
    <w:rsid w:val="00723242"/>
    <w:rsid w:val="00723656"/>
    <w:rsid w:val="0072387D"/>
    <w:rsid w:val="00723F61"/>
    <w:rsid w:val="00723FBE"/>
    <w:rsid w:val="007245BF"/>
    <w:rsid w:val="007255A9"/>
    <w:rsid w:val="0072628C"/>
    <w:rsid w:val="00726F07"/>
    <w:rsid w:val="00730359"/>
    <w:rsid w:val="007303FF"/>
    <w:rsid w:val="00731007"/>
    <w:rsid w:val="007311F5"/>
    <w:rsid w:val="00731AEA"/>
    <w:rsid w:val="00731F54"/>
    <w:rsid w:val="007330B1"/>
    <w:rsid w:val="00733AC1"/>
    <w:rsid w:val="007349E7"/>
    <w:rsid w:val="00735DC3"/>
    <w:rsid w:val="007365EC"/>
    <w:rsid w:val="00737143"/>
    <w:rsid w:val="00737C2C"/>
    <w:rsid w:val="00740C4A"/>
    <w:rsid w:val="00741E0D"/>
    <w:rsid w:val="00742BA7"/>
    <w:rsid w:val="00742D24"/>
    <w:rsid w:val="00743606"/>
    <w:rsid w:val="00743F6C"/>
    <w:rsid w:val="007440B3"/>
    <w:rsid w:val="00745E3D"/>
    <w:rsid w:val="00745FAF"/>
    <w:rsid w:val="0074660B"/>
    <w:rsid w:val="00747255"/>
    <w:rsid w:val="007505C7"/>
    <w:rsid w:val="00751809"/>
    <w:rsid w:val="00751D9B"/>
    <w:rsid w:val="00751DB0"/>
    <w:rsid w:val="00751E6A"/>
    <w:rsid w:val="00752B6A"/>
    <w:rsid w:val="00752C55"/>
    <w:rsid w:val="00753CA6"/>
    <w:rsid w:val="00754C13"/>
    <w:rsid w:val="00755701"/>
    <w:rsid w:val="007562B1"/>
    <w:rsid w:val="007564C2"/>
    <w:rsid w:val="007567FD"/>
    <w:rsid w:val="007576A8"/>
    <w:rsid w:val="00760C5E"/>
    <w:rsid w:val="00760CBD"/>
    <w:rsid w:val="007615B2"/>
    <w:rsid w:val="00761A4E"/>
    <w:rsid w:val="00762A30"/>
    <w:rsid w:val="00763490"/>
    <w:rsid w:val="0076397D"/>
    <w:rsid w:val="0076479B"/>
    <w:rsid w:val="00764D78"/>
    <w:rsid w:val="00766275"/>
    <w:rsid w:val="007665B1"/>
    <w:rsid w:val="0076663F"/>
    <w:rsid w:val="0076726B"/>
    <w:rsid w:val="007674F9"/>
    <w:rsid w:val="00767649"/>
    <w:rsid w:val="00767D47"/>
    <w:rsid w:val="0077043F"/>
    <w:rsid w:val="00771126"/>
    <w:rsid w:val="00771729"/>
    <w:rsid w:val="007717B1"/>
    <w:rsid w:val="0077188B"/>
    <w:rsid w:val="007726CC"/>
    <w:rsid w:val="007732DD"/>
    <w:rsid w:val="00774625"/>
    <w:rsid w:val="00775AC3"/>
    <w:rsid w:val="0077617F"/>
    <w:rsid w:val="0077708C"/>
    <w:rsid w:val="0077747C"/>
    <w:rsid w:val="007803D5"/>
    <w:rsid w:val="007804A8"/>
    <w:rsid w:val="00780DF2"/>
    <w:rsid w:val="0078197D"/>
    <w:rsid w:val="00784611"/>
    <w:rsid w:val="00784876"/>
    <w:rsid w:val="00787576"/>
    <w:rsid w:val="007876E8"/>
    <w:rsid w:val="00790A89"/>
    <w:rsid w:val="007910F9"/>
    <w:rsid w:val="007932AF"/>
    <w:rsid w:val="00793E9A"/>
    <w:rsid w:val="00794A19"/>
    <w:rsid w:val="00794A77"/>
    <w:rsid w:val="007A0D06"/>
    <w:rsid w:val="007A39BB"/>
    <w:rsid w:val="007A62FF"/>
    <w:rsid w:val="007A7014"/>
    <w:rsid w:val="007B1174"/>
    <w:rsid w:val="007B2419"/>
    <w:rsid w:val="007B3AF4"/>
    <w:rsid w:val="007B478D"/>
    <w:rsid w:val="007B4EC8"/>
    <w:rsid w:val="007B57A2"/>
    <w:rsid w:val="007B5A24"/>
    <w:rsid w:val="007B5F14"/>
    <w:rsid w:val="007B5FF5"/>
    <w:rsid w:val="007B6662"/>
    <w:rsid w:val="007B7220"/>
    <w:rsid w:val="007C082E"/>
    <w:rsid w:val="007C110E"/>
    <w:rsid w:val="007C24C5"/>
    <w:rsid w:val="007C29DD"/>
    <w:rsid w:val="007C59A5"/>
    <w:rsid w:val="007C6575"/>
    <w:rsid w:val="007D10B6"/>
    <w:rsid w:val="007D12E0"/>
    <w:rsid w:val="007D1411"/>
    <w:rsid w:val="007D1AC8"/>
    <w:rsid w:val="007D240E"/>
    <w:rsid w:val="007D2ED3"/>
    <w:rsid w:val="007D3468"/>
    <w:rsid w:val="007D3998"/>
    <w:rsid w:val="007D3A36"/>
    <w:rsid w:val="007D5300"/>
    <w:rsid w:val="007D68DD"/>
    <w:rsid w:val="007D7442"/>
    <w:rsid w:val="007D7A51"/>
    <w:rsid w:val="007D7F7D"/>
    <w:rsid w:val="007E055F"/>
    <w:rsid w:val="007E0F21"/>
    <w:rsid w:val="007E115A"/>
    <w:rsid w:val="007E2465"/>
    <w:rsid w:val="007E2C4F"/>
    <w:rsid w:val="007E4E28"/>
    <w:rsid w:val="007E5DC2"/>
    <w:rsid w:val="007F0AA9"/>
    <w:rsid w:val="007F1714"/>
    <w:rsid w:val="007F2941"/>
    <w:rsid w:val="007F2C6A"/>
    <w:rsid w:val="007F2D1E"/>
    <w:rsid w:val="007F3915"/>
    <w:rsid w:val="007F420D"/>
    <w:rsid w:val="007F45E0"/>
    <w:rsid w:val="007F466E"/>
    <w:rsid w:val="007F4CE0"/>
    <w:rsid w:val="008009D4"/>
    <w:rsid w:val="00801FEB"/>
    <w:rsid w:val="0080207A"/>
    <w:rsid w:val="008025F0"/>
    <w:rsid w:val="00802F61"/>
    <w:rsid w:val="008030A0"/>
    <w:rsid w:val="00803F61"/>
    <w:rsid w:val="008045A4"/>
    <w:rsid w:val="00806281"/>
    <w:rsid w:val="008106F6"/>
    <w:rsid w:val="0081071D"/>
    <w:rsid w:val="00810FA7"/>
    <w:rsid w:val="008112E5"/>
    <w:rsid w:val="0081182A"/>
    <w:rsid w:val="00811D68"/>
    <w:rsid w:val="00812247"/>
    <w:rsid w:val="00812BA2"/>
    <w:rsid w:val="0081369C"/>
    <w:rsid w:val="00814196"/>
    <w:rsid w:val="008141C8"/>
    <w:rsid w:val="00816466"/>
    <w:rsid w:val="00816839"/>
    <w:rsid w:val="00816F7D"/>
    <w:rsid w:val="00820007"/>
    <w:rsid w:val="008203CA"/>
    <w:rsid w:val="008205DC"/>
    <w:rsid w:val="00820BAE"/>
    <w:rsid w:val="00820D2D"/>
    <w:rsid w:val="00821281"/>
    <w:rsid w:val="00821D6C"/>
    <w:rsid w:val="008223BF"/>
    <w:rsid w:val="00822FDC"/>
    <w:rsid w:val="008231C3"/>
    <w:rsid w:val="00823825"/>
    <w:rsid w:val="00824DEE"/>
    <w:rsid w:val="00826E6F"/>
    <w:rsid w:val="00827D14"/>
    <w:rsid w:val="0083044E"/>
    <w:rsid w:val="00830726"/>
    <w:rsid w:val="0083128A"/>
    <w:rsid w:val="00832501"/>
    <w:rsid w:val="00832574"/>
    <w:rsid w:val="0083471F"/>
    <w:rsid w:val="00834D3D"/>
    <w:rsid w:val="00835BFC"/>
    <w:rsid w:val="008365C6"/>
    <w:rsid w:val="0083698E"/>
    <w:rsid w:val="00836A3D"/>
    <w:rsid w:val="008373D2"/>
    <w:rsid w:val="008376C5"/>
    <w:rsid w:val="00837B29"/>
    <w:rsid w:val="00837E45"/>
    <w:rsid w:val="00841583"/>
    <w:rsid w:val="00841660"/>
    <w:rsid w:val="00841AD9"/>
    <w:rsid w:val="008424F9"/>
    <w:rsid w:val="00842E64"/>
    <w:rsid w:val="00842FA6"/>
    <w:rsid w:val="00843702"/>
    <w:rsid w:val="00844006"/>
    <w:rsid w:val="008441F9"/>
    <w:rsid w:val="00844BF9"/>
    <w:rsid w:val="00845A3E"/>
    <w:rsid w:val="00846A5C"/>
    <w:rsid w:val="008475D7"/>
    <w:rsid w:val="00847A81"/>
    <w:rsid w:val="008500AB"/>
    <w:rsid w:val="008501DA"/>
    <w:rsid w:val="0085194E"/>
    <w:rsid w:val="0085479C"/>
    <w:rsid w:val="0085618C"/>
    <w:rsid w:val="00856929"/>
    <w:rsid w:val="00856B88"/>
    <w:rsid w:val="00856C95"/>
    <w:rsid w:val="00856D1F"/>
    <w:rsid w:val="008577E7"/>
    <w:rsid w:val="00860046"/>
    <w:rsid w:val="00860AB5"/>
    <w:rsid w:val="00860B7D"/>
    <w:rsid w:val="0086484B"/>
    <w:rsid w:val="008656D9"/>
    <w:rsid w:val="008665F1"/>
    <w:rsid w:val="0086772C"/>
    <w:rsid w:val="0087083E"/>
    <w:rsid w:val="00871F89"/>
    <w:rsid w:val="008758DE"/>
    <w:rsid w:val="00876D68"/>
    <w:rsid w:val="00883139"/>
    <w:rsid w:val="00883EC3"/>
    <w:rsid w:val="008850C2"/>
    <w:rsid w:val="0088563C"/>
    <w:rsid w:val="00885E64"/>
    <w:rsid w:val="00886AFE"/>
    <w:rsid w:val="00886E7B"/>
    <w:rsid w:val="0088738E"/>
    <w:rsid w:val="0089137C"/>
    <w:rsid w:val="0089343E"/>
    <w:rsid w:val="00893B49"/>
    <w:rsid w:val="008956F0"/>
    <w:rsid w:val="008958E9"/>
    <w:rsid w:val="00896756"/>
    <w:rsid w:val="0089689A"/>
    <w:rsid w:val="00897269"/>
    <w:rsid w:val="008A0251"/>
    <w:rsid w:val="008A09E3"/>
    <w:rsid w:val="008A0F59"/>
    <w:rsid w:val="008A198B"/>
    <w:rsid w:val="008A2EB1"/>
    <w:rsid w:val="008A2FA7"/>
    <w:rsid w:val="008A39E0"/>
    <w:rsid w:val="008A6FFA"/>
    <w:rsid w:val="008A7765"/>
    <w:rsid w:val="008B0629"/>
    <w:rsid w:val="008B1CF7"/>
    <w:rsid w:val="008B225F"/>
    <w:rsid w:val="008B435B"/>
    <w:rsid w:val="008B47AA"/>
    <w:rsid w:val="008B5056"/>
    <w:rsid w:val="008B62EC"/>
    <w:rsid w:val="008B694A"/>
    <w:rsid w:val="008B6FA8"/>
    <w:rsid w:val="008C0DBB"/>
    <w:rsid w:val="008C123D"/>
    <w:rsid w:val="008C1852"/>
    <w:rsid w:val="008C26BE"/>
    <w:rsid w:val="008C2CA3"/>
    <w:rsid w:val="008C2F8B"/>
    <w:rsid w:val="008C31FE"/>
    <w:rsid w:val="008C4ACB"/>
    <w:rsid w:val="008C4D24"/>
    <w:rsid w:val="008C61F4"/>
    <w:rsid w:val="008C772B"/>
    <w:rsid w:val="008C782F"/>
    <w:rsid w:val="008C7CB3"/>
    <w:rsid w:val="008D1C83"/>
    <w:rsid w:val="008D3065"/>
    <w:rsid w:val="008D335E"/>
    <w:rsid w:val="008D3B05"/>
    <w:rsid w:val="008D40C8"/>
    <w:rsid w:val="008D4436"/>
    <w:rsid w:val="008D44D7"/>
    <w:rsid w:val="008D461C"/>
    <w:rsid w:val="008D470C"/>
    <w:rsid w:val="008D48BC"/>
    <w:rsid w:val="008D5B0E"/>
    <w:rsid w:val="008D6634"/>
    <w:rsid w:val="008D7BFC"/>
    <w:rsid w:val="008E0B03"/>
    <w:rsid w:val="008E10E8"/>
    <w:rsid w:val="008E1A70"/>
    <w:rsid w:val="008E3115"/>
    <w:rsid w:val="008E3330"/>
    <w:rsid w:val="008E5105"/>
    <w:rsid w:val="008E53A2"/>
    <w:rsid w:val="008E5C97"/>
    <w:rsid w:val="008E60C6"/>
    <w:rsid w:val="008E65E2"/>
    <w:rsid w:val="008E7CB0"/>
    <w:rsid w:val="008F0D82"/>
    <w:rsid w:val="008F1711"/>
    <w:rsid w:val="008F31A4"/>
    <w:rsid w:val="008F33F7"/>
    <w:rsid w:val="008F562C"/>
    <w:rsid w:val="008F5927"/>
    <w:rsid w:val="008F627E"/>
    <w:rsid w:val="008F68DF"/>
    <w:rsid w:val="008F6DD4"/>
    <w:rsid w:val="0090034E"/>
    <w:rsid w:val="009026C6"/>
    <w:rsid w:val="009040AD"/>
    <w:rsid w:val="009045BB"/>
    <w:rsid w:val="00905B6D"/>
    <w:rsid w:val="00907812"/>
    <w:rsid w:val="00907E4B"/>
    <w:rsid w:val="009103D4"/>
    <w:rsid w:val="009107DE"/>
    <w:rsid w:val="009116E3"/>
    <w:rsid w:val="00911785"/>
    <w:rsid w:val="009117BF"/>
    <w:rsid w:val="00911DB4"/>
    <w:rsid w:val="009123BB"/>
    <w:rsid w:val="00913411"/>
    <w:rsid w:val="009139F3"/>
    <w:rsid w:val="00914E11"/>
    <w:rsid w:val="00915181"/>
    <w:rsid w:val="009159C2"/>
    <w:rsid w:val="0091661B"/>
    <w:rsid w:val="00916F67"/>
    <w:rsid w:val="009201A8"/>
    <w:rsid w:val="009224A2"/>
    <w:rsid w:val="0092268D"/>
    <w:rsid w:val="0092497D"/>
    <w:rsid w:val="00925CF4"/>
    <w:rsid w:val="00926275"/>
    <w:rsid w:val="00930160"/>
    <w:rsid w:val="009311ED"/>
    <w:rsid w:val="009322EF"/>
    <w:rsid w:val="009331A7"/>
    <w:rsid w:val="00936434"/>
    <w:rsid w:val="0093681A"/>
    <w:rsid w:val="009377A6"/>
    <w:rsid w:val="009405FE"/>
    <w:rsid w:val="009413E0"/>
    <w:rsid w:val="00942493"/>
    <w:rsid w:val="00942F47"/>
    <w:rsid w:val="009434A3"/>
    <w:rsid w:val="0094379B"/>
    <w:rsid w:val="009439E3"/>
    <w:rsid w:val="009452A0"/>
    <w:rsid w:val="00945E45"/>
    <w:rsid w:val="009461AC"/>
    <w:rsid w:val="00946700"/>
    <w:rsid w:val="009479B4"/>
    <w:rsid w:val="009505C5"/>
    <w:rsid w:val="009509E5"/>
    <w:rsid w:val="00952664"/>
    <w:rsid w:val="009532A9"/>
    <w:rsid w:val="009533F1"/>
    <w:rsid w:val="00953CBD"/>
    <w:rsid w:val="0095473F"/>
    <w:rsid w:val="00954E68"/>
    <w:rsid w:val="00955A96"/>
    <w:rsid w:val="00955B2F"/>
    <w:rsid w:val="00955B6A"/>
    <w:rsid w:val="009565DE"/>
    <w:rsid w:val="009573AA"/>
    <w:rsid w:val="00957570"/>
    <w:rsid w:val="0096002C"/>
    <w:rsid w:val="0096289C"/>
    <w:rsid w:val="00962DED"/>
    <w:rsid w:val="00964213"/>
    <w:rsid w:val="0096468A"/>
    <w:rsid w:val="00964D40"/>
    <w:rsid w:val="00967D9B"/>
    <w:rsid w:val="00971806"/>
    <w:rsid w:val="0097198E"/>
    <w:rsid w:val="009720C0"/>
    <w:rsid w:val="009723CF"/>
    <w:rsid w:val="00973519"/>
    <w:rsid w:val="009745C3"/>
    <w:rsid w:val="00975307"/>
    <w:rsid w:val="00975731"/>
    <w:rsid w:val="00977202"/>
    <w:rsid w:val="00977C42"/>
    <w:rsid w:val="0098063E"/>
    <w:rsid w:val="00982444"/>
    <w:rsid w:val="0098281E"/>
    <w:rsid w:val="00982844"/>
    <w:rsid w:val="00982FC6"/>
    <w:rsid w:val="0098323D"/>
    <w:rsid w:val="009832F4"/>
    <w:rsid w:val="00983791"/>
    <w:rsid w:val="00983CBC"/>
    <w:rsid w:val="00983FC3"/>
    <w:rsid w:val="00984679"/>
    <w:rsid w:val="009846F8"/>
    <w:rsid w:val="00984ED5"/>
    <w:rsid w:val="0098574E"/>
    <w:rsid w:val="00986CA4"/>
    <w:rsid w:val="00987984"/>
    <w:rsid w:val="00987A37"/>
    <w:rsid w:val="00987E43"/>
    <w:rsid w:val="00987EC0"/>
    <w:rsid w:val="00987F4F"/>
    <w:rsid w:val="00990261"/>
    <w:rsid w:val="0099031F"/>
    <w:rsid w:val="00990411"/>
    <w:rsid w:val="009923ED"/>
    <w:rsid w:val="00995378"/>
    <w:rsid w:val="00996601"/>
    <w:rsid w:val="0099799C"/>
    <w:rsid w:val="009A1A1F"/>
    <w:rsid w:val="009A3C0B"/>
    <w:rsid w:val="009A3C65"/>
    <w:rsid w:val="009A4E4F"/>
    <w:rsid w:val="009A4FE8"/>
    <w:rsid w:val="009A6A6C"/>
    <w:rsid w:val="009A7BDF"/>
    <w:rsid w:val="009B1119"/>
    <w:rsid w:val="009B17F7"/>
    <w:rsid w:val="009B527D"/>
    <w:rsid w:val="009B5729"/>
    <w:rsid w:val="009B575E"/>
    <w:rsid w:val="009B78E4"/>
    <w:rsid w:val="009C00F8"/>
    <w:rsid w:val="009C2D29"/>
    <w:rsid w:val="009C394B"/>
    <w:rsid w:val="009C3B50"/>
    <w:rsid w:val="009C4B60"/>
    <w:rsid w:val="009C5FD5"/>
    <w:rsid w:val="009C6315"/>
    <w:rsid w:val="009C6A70"/>
    <w:rsid w:val="009C6AEF"/>
    <w:rsid w:val="009C6CC1"/>
    <w:rsid w:val="009C6F98"/>
    <w:rsid w:val="009C7A4A"/>
    <w:rsid w:val="009D00D5"/>
    <w:rsid w:val="009D1664"/>
    <w:rsid w:val="009D22D6"/>
    <w:rsid w:val="009D2EEB"/>
    <w:rsid w:val="009D30C2"/>
    <w:rsid w:val="009D3FE7"/>
    <w:rsid w:val="009D474B"/>
    <w:rsid w:val="009D54AB"/>
    <w:rsid w:val="009D7C35"/>
    <w:rsid w:val="009E0BDE"/>
    <w:rsid w:val="009E34F2"/>
    <w:rsid w:val="009E41D8"/>
    <w:rsid w:val="009E4515"/>
    <w:rsid w:val="009E4C5C"/>
    <w:rsid w:val="009E5E78"/>
    <w:rsid w:val="009E613F"/>
    <w:rsid w:val="009F1E3A"/>
    <w:rsid w:val="009F27F3"/>
    <w:rsid w:val="009F28C8"/>
    <w:rsid w:val="009F3218"/>
    <w:rsid w:val="009F3E0D"/>
    <w:rsid w:val="009F4ED6"/>
    <w:rsid w:val="009F5925"/>
    <w:rsid w:val="009F6798"/>
    <w:rsid w:val="009F6CCF"/>
    <w:rsid w:val="009F7675"/>
    <w:rsid w:val="009F7775"/>
    <w:rsid w:val="00A0010A"/>
    <w:rsid w:val="00A00C1B"/>
    <w:rsid w:val="00A00E77"/>
    <w:rsid w:val="00A02897"/>
    <w:rsid w:val="00A02A42"/>
    <w:rsid w:val="00A037B2"/>
    <w:rsid w:val="00A0527B"/>
    <w:rsid w:val="00A06EDA"/>
    <w:rsid w:val="00A07946"/>
    <w:rsid w:val="00A12040"/>
    <w:rsid w:val="00A13EF0"/>
    <w:rsid w:val="00A157A3"/>
    <w:rsid w:val="00A20CB3"/>
    <w:rsid w:val="00A21A47"/>
    <w:rsid w:val="00A21C16"/>
    <w:rsid w:val="00A23057"/>
    <w:rsid w:val="00A2343E"/>
    <w:rsid w:val="00A23B5B"/>
    <w:rsid w:val="00A242A9"/>
    <w:rsid w:val="00A24646"/>
    <w:rsid w:val="00A267EC"/>
    <w:rsid w:val="00A26A6F"/>
    <w:rsid w:val="00A27899"/>
    <w:rsid w:val="00A30511"/>
    <w:rsid w:val="00A31AD8"/>
    <w:rsid w:val="00A320AB"/>
    <w:rsid w:val="00A356C6"/>
    <w:rsid w:val="00A36409"/>
    <w:rsid w:val="00A36B9A"/>
    <w:rsid w:val="00A403B8"/>
    <w:rsid w:val="00A4126A"/>
    <w:rsid w:val="00A415A3"/>
    <w:rsid w:val="00A4278E"/>
    <w:rsid w:val="00A4306C"/>
    <w:rsid w:val="00A445DD"/>
    <w:rsid w:val="00A44B02"/>
    <w:rsid w:val="00A463E9"/>
    <w:rsid w:val="00A46784"/>
    <w:rsid w:val="00A4700E"/>
    <w:rsid w:val="00A47ECE"/>
    <w:rsid w:val="00A5025B"/>
    <w:rsid w:val="00A513F0"/>
    <w:rsid w:val="00A51BEA"/>
    <w:rsid w:val="00A520DE"/>
    <w:rsid w:val="00A524C7"/>
    <w:rsid w:val="00A532D4"/>
    <w:rsid w:val="00A544E7"/>
    <w:rsid w:val="00A545C6"/>
    <w:rsid w:val="00A553BD"/>
    <w:rsid w:val="00A55653"/>
    <w:rsid w:val="00A55A86"/>
    <w:rsid w:val="00A55ACE"/>
    <w:rsid w:val="00A55D07"/>
    <w:rsid w:val="00A563C6"/>
    <w:rsid w:val="00A5644C"/>
    <w:rsid w:val="00A574E9"/>
    <w:rsid w:val="00A57DDC"/>
    <w:rsid w:val="00A60E0E"/>
    <w:rsid w:val="00A60E99"/>
    <w:rsid w:val="00A616D6"/>
    <w:rsid w:val="00A62C04"/>
    <w:rsid w:val="00A632BF"/>
    <w:rsid w:val="00A64C59"/>
    <w:rsid w:val="00A65028"/>
    <w:rsid w:val="00A655AD"/>
    <w:rsid w:val="00A661C4"/>
    <w:rsid w:val="00A662F8"/>
    <w:rsid w:val="00A67929"/>
    <w:rsid w:val="00A70F2F"/>
    <w:rsid w:val="00A71638"/>
    <w:rsid w:val="00A72359"/>
    <w:rsid w:val="00A72516"/>
    <w:rsid w:val="00A72681"/>
    <w:rsid w:val="00A72EE7"/>
    <w:rsid w:val="00A73A5C"/>
    <w:rsid w:val="00A749F0"/>
    <w:rsid w:val="00A74E49"/>
    <w:rsid w:val="00A75ABB"/>
    <w:rsid w:val="00A7631E"/>
    <w:rsid w:val="00A7742B"/>
    <w:rsid w:val="00A77AC5"/>
    <w:rsid w:val="00A80C4F"/>
    <w:rsid w:val="00A828D7"/>
    <w:rsid w:val="00A82CCA"/>
    <w:rsid w:val="00A8373E"/>
    <w:rsid w:val="00A8594F"/>
    <w:rsid w:val="00A85F70"/>
    <w:rsid w:val="00A86DAA"/>
    <w:rsid w:val="00A87115"/>
    <w:rsid w:val="00A875DE"/>
    <w:rsid w:val="00A87C15"/>
    <w:rsid w:val="00A87C96"/>
    <w:rsid w:val="00A9007C"/>
    <w:rsid w:val="00A9041B"/>
    <w:rsid w:val="00A90440"/>
    <w:rsid w:val="00A90A00"/>
    <w:rsid w:val="00A91B9B"/>
    <w:rsid w:val="00A923FA"/>
    <w:rsid w:val="00A92E5F"/>
    <w:rsid w:val="00A937FD"/>
    <w:rsid w:val="00A93896"/>
    <w:rsid w:val="00A93FEB"/>
    <w:rsid w:val="00A9583F"/>
    <w:rsid w:val="00A97416"/>
    <w:rsid w:val="00A9797D"/>
    <w:rsid w:val="00AA0475"/>
    <w:rsid w:val="00AA176A"/>
    <w:rsid w:val="00AA18E2"/>
    <w:rsid w:val="00AA1CD4"/>
    <w:rsid w:val="00AA2146"/>
    <w:rsid w:val="00AA31E9"/>
    <w:rsid w:val="00AA3780"/>
    <w:rsid w:val="00AA378B"/>
    <w:rsid w:val="00AA3B9B"/>
    <w:rsid w:val="00AA4CB3"/>
    <w:rsid w:val="00AA5F19"/>
    <w:rsid w:val="00AB5668"/>
    <w:rsid w:val="00AB5C57"/>
    <w:rsid w:val="00AB61E1"/>
    <w:rsid w:val="00AB720A"/>
    <w:rsid w:val="00AB766E"/>
    <w:rsid w:val="00AB79A1"/>
    <w:rsid w:val="00AB7F76"/>
    <w:rsid w:val="00AC0C3B"/>
    <w:rsid w:val="00AC1CBC"/>
    <w:rsid w:val="00AC1FFD"/>
    <w:rsid w:val="00AC20EA"/>
    <w:rsid w:val="00AC23F4"/>
    <w:rsid w:val="00AC2792"/>
    <w:rsid w:val="00AC2CD8"/>
    <w:rsid w:val="00AC33E9"/>
    <w:rsid w:val="00AC5B6F"/>
    <w:rsid w:val="00AC64F9"/>
    <w:rsid w:val="00AC68EB"/>
    <w:rsid w:val="00AC695C"/>
    <w:rsid w:val="00AC7646"/>
    <w:rsid w:val="00AC7897"/>
    <w:rsid w:val="00AD188E"/>
    <w:rsid w:val="00AD1AD3"/>
    <w:rsid w:val="00AD1F85"/>
    <w:rsid w:val="00AD2665"/>
    <w:rsid w:val="00AD2970"/>
    <w:rsid w:val="00AD360D"/>
    <w:rsid w:val="00AD48A3"/>
    <w:rsid w:val="00AD69B6"/>
    <w:rsid w:val="00AD74FF"/>
    <w:rsid w:val="00AD76B8"/>
    <w:rsid w:val="00AD7F73"/>
    <w:rsid w:val="00AE1A7D"/>
    <w:rsid w:val="00AE2524"/>
    <w:rsid w:val="00AE4ECA"/>
    <w:rsid w:val="00AE5734"/>
    <w:rsid w:val="00AE6BC4"/>
    <w:rsid w:val="00AE739C"/>
    <w:rsid w:val="00AF15B6"/>
    <w:rsid w:val="00AF1AC3"/>
    <w:rsid w:val="00AF248E"/>
    <w:rsid w:val="00AF249A"/>
    <w:rsid w:val="00AF255A"/>
    <w:rsid w:val="00AF2809"/>
    <w:rsid w:val="00AF3031"/>
    <w:rsid w:val="00AF3F35"/>
    <w:rsid w:val="00AF406C"/>
    <w:rsid w:val="00AF4625"/>
    <w:rsid w:val="00AF46A6"/>
    <w:rsid w:val="00AF68EC"/>
    <w:rsid w:val="00AF75C8"/>
    <w:rsid w:val="00AF7A51"/>
    <w:rsid w:val="00B00EB5"/>
    <w:rsid w:val="00B0257C"/>
    <w:rsid w:val="00B03158"/>
    <w:rsid w:val="00B040A4"/>
    <w:rsid w:val="00B05769"/>
    <w:rsid w:val="00B05E2A"/>
    <w:rsid w:val="00B07015"/>
    <w:rsid w:val="00B07283"/>
    <w:rsid w:val="00B07BB2"/>
    <w:rsid w:val="00B10B6E"/>
    <w:rsid w:val="00B115BB"/>
    <w:rsid w:val="00B116C4"/>
    <w:rsid w:val="00B12218"/>
    <w:rsid w:val="00B13047"/>
    <w:rsid w:val="00B1524D"/>
    <w:rsid w:val="00B15CD2"/>
    <w:rsid w:val="00B17256"/>
    <w:rsid w:val="00B1763C"/>
    <w:rsid w:val="00B21D40"/>
    <w:rsid w:val="00B22D3B"/>
    <w:rsid w:val="00B23789"/>
    <w:rsid w:val="00B24C65"/>
    <w:rsid w:val="00B2528B"/>
    <w:rsid w:val="00B25B29"/>
    <w:rsid w:val="00B25E02"/>
    <w:rsid w:val="00B25F41"/>
    <w:rsid w:val="00B30275"/>
    <w:rsid w:val="00B30399"/>
    <w:rsid w:val="00B311C3"/>
    <w:rsid w:val="00B320FE"/>
    <w:rsid w:val="00B3364B"/>
    <w:rsid w:val="00B33F72"/>
    <w:rsid w:val="00B3619B"/>
    <w:rsid w:val="00B36480"/>
    <w:rsid w:val="00B376EA"/>
    <w:rsid w:val="00B3787B"/>
    <w:rsid w:val="00B40967"/>
    <w:rsid w:val="00B41001"/>
    <w:rsid w:val="00B43FC7"/>
    <w:rsid w:val="00B44864"/>
    <w:rsid w:val="00B4604C"/>
    <w:rsid w:val="00B46210"/>
    <w:rsid w:val="00B4696B"/>
    <w:rsid w:val="00B46D2B"/>
    <w:rsid w:val="00B47530"/>
    <w:rsid w:val="00B510CD"/>
    <w:rsid w:val="00B51CEF"/>
    <w:rsid w:val="00B54069"/>
    <w:rsid w:val="00B54E32"/>
    <w:rsid w:val="00B55437"/>
    <w:rsid w:val="00B578A2"/>
    <w:rsid w:val="00B57FE8"/>
    <w:rsid w:val="00B60963"/>
    <w:rsid w:val="00B60EAB"/>
    <w:rsid w:val="00B611FA"/>
    <w:rsid w:val="00B615E7"/>
    <w:rsid w:val="00B61899"/>
    <w:rsid w:val="00B6250C"/>
    <w:rsid w:val="00B626AC"/>
    <w:rsid w:val="00B62FAB"/>
    <w:rsid w:val="00B63A15"/>
    <w:rsid w:val="00B65F2B"/>
    <w:rsid w:val="00B6799E"/>
    <w:rsid w:val="00B67BD6"/>
    <w:rsid w:val="00B72B31"/>
    <w:rsid w:val="00B73B6F"/>
    <w:rsid w:val="00B73C43"/>
    <w:rsid w:val="00B743BA"/>
    <w:rsid w:val="00B74800"/>
    <w:rsid w:val="00B75129"/>
    <w:rsid w:val="00B7671C"/>
    <w:rsid w:val="00B769D4"/>
    <w:rsid w:val="00B76D52"/>
    <w:rsid w:val="00B7764C"/>
    <w:rsid w:val="00B77B28"/>
    <w:rsid w:val="00B8089A"/>
    <w:rsid w:val="00B81577"/>
    <w:rsid w:val="00B838E9"/>
    <w:rsid w:val="00B8409B"/>
    <w:rsid w:val="00B841B1"/>
    <w:rsid w:val="00B8497D"/>
    <w:rsid w:val="00B85F6D"/>
    <w:rsid w:val="00B86F43"/>
    <w:rsid w:val="00B9086C"/>
    <w:rsid w:val="00B91A92"/>
    <w:rsid w:val="00B93AD1"/>
    <w:rsid w:val="00B93FB7"/>
    <w:rsid w:val="00B9522D"/>
    <w:rsid w:val="00B9650C"/>
    <w:rsid w:val="00B96B47"/>
    <w:rsid w:val="00B9718A"/>
    <w:rsid w:val="00B97495"/>
    <w:rsid w:val="00B97728"/>
    <w:rsid w:val="00BA1255"/>
    <w:rsid w:val="00BA1F54"/>
    <w:rsid w:val="00BA22D9"/>
    <w:rsid w:val="00BA2B61"/>
    <w:rsid w:val="00BA3751"/>
    <w:rsid w:val="00BA38D5"/>
    <w:rsid w:val="00BA57E8"/>
    <w:rsid w:val="00BA697F"/>
    <w:rsid w:val="00BA781C"/>
    <w:rsid w:val="00BB0F3D"/>
    <w:rsid w:val="00BB1349"/>
    <w:rsid w:val="00BB27B0"/>
    <w:rsid w:val="00BB2E25"/>
    <w:rsid w:val="00BB4691"/>
    <w:rsid w:val="00BB4AF5"/>
    <w:rsid w:val="00BB4C31"/>
    <w:rsid w:val="00BB4D1F"/>
    <w:rsid w:val="00BC063C"/>
    <w:rsid w:val="00BC0F6D"/>
    <w:rsid w:val="00BC139E"/>
    <w:rsid w:val="00BC1C06"/>
    <w:rsid w:val="00BC1C81"/>
    <w:rsid w:val="00BC2109"/>
    <w:rsid w:val="00BC239A"/>
    <w:rsid w:val="00BC3118"/>
    <w:rsid w:val="00BC4329"/>
    <w:rsid w:val="00BC4D5F"/>
    <w:rsid w:val="00BC5033"/>
    <w:rsid w:val="00BC5541"/>
    <w:rsid w:val="00BC595E"/>
    <w:rsid w:val="00BC61A6"/>
    <w:rsid w:val="00BC6703"/>
    <w:rsid w:val="00BC69E9"/>
    <w:rsid w:val="00BC6A70"/>
    <w:rsid w:val="00BC74D4"/>
    <w:rsid w:val="00BC76E5"/>
    <w:rsid w:val="00BD1888"/>
    <w:rsid w:val="00BD1E10"/>
    <w:rsid w:val="00BD2CED"/>
    <w:rsid w:val="00BD346A"/>
    <w:rsid w:val="00BD4731"/>
    <w:rsid w:val="00BD48B7"/>
    <w:rsid w:val="00BD4B81"/>
    <w:rsid w:val="00BD6EAC"/>
    <w:rsid w:val="00BD757F"/>
    <w:rsid w:val="00BD7A90"/>
    <w:rsid w:val="00BD7F71"/>
    <w:rsid w:val="00BE1028"/>
    <w:rsid w:val="00BE15BA"/>
    <w:rsid w:val="00BE1B44"/>
    <w:rsid w:val="00BE2219"/>
    <w:rsid w:val="00BE3321"/>
    <w:rsid w:val="00BE3992"/>
    <w:rsid w:val="00BE5385"/>
    <w:rsid w:val="00BE5A5A"/>
    <w:rsid w:val="00BF1291"/>
    <w:rsid w:val="00BF1C11"/>
    <w:rsid w:val="00BF1D1D"/>
    <w:rsid w:val="00BF26F9"/>
    <w:rsid w:val="00BF3996"/>
    <w:rsid w:val="00BF3E2A"/>
    <w:rsid w:val="00BF3F91"/>
    <w:rsid w:val="00BF4077"/>
    <w:rsid w:val="00BF4E94"/>
    <w:rsid w:val="00C0193D"/>
    <w:rsid w:val="00C01C7F"/>
    <w:rsid w:val="00C03FCE"/>
    <w:rsid w:val="00C04ACE"/>
    <w:rsid w:val="00C04DAB"/>
    <w:rsid w:val="00C04E15"/>
    <w:rsid w:val="00C053E7"/>
    <w:rsid w:val="00C1077C"/>
    <w:rsid w:val="00C11235"/>
    <w:rsid w:val="00C1174B"/>
    <w:rsid w:val="00C127B5"/>
    <w:rsid w:val="00C13627"/>
    <w:rsid w:val="00C137D0"/>
    <w:rsid w:val="00C138EB"/>
    <w:rsid w:val="00C145C6"/>
    <w:rsid w:val="00C15481"/>
    <w:rsid w:val="00C15920"/>
    <w:rsid w:val="00C16315"/>
    <w:rsid w:val="00C166BA"/>
    <w:rsid w:val="00C209EE"/>
    <w:rsid w:val="00C21A11"/>
    <w:rsid w:val="00C21C0D"/>
    <w:rsid w:val="00C23438"/>
    <w:rsid w:val="00C247E2"/>
    <w:rsid w:val="00C2489D"/>
    <w:rsid w:val="00C24B01"/>
    <w:rsid w:val="00C25711"/>
    <w:rsid w:val="00C25F91"/>
    <w:rsid w:val="00C260A0"/>
    <w:rsid w:val="00C262F8"/>
    <w:rsid w:val="00C263B0"/>
    <w:rsid w:val="00C266F1"/>
    <w:rsid w:val="00C27426"/>
    <w:rsid w:val="00C30062"/>
    <w:rsid w:val="00C3078A"/>
    <w:rsid w:val="00C30C4D"/>
    <w:rsid w:val="00C30E44"/>
    <w:rsid w:val="00C31607"/>
    <w:rsid w:val="00C31A16"/>
    <w:rsid w:val="00C32309"/>
    <w:rsid w:val="00C34038"/>
    <w:rsid w:val="00C36283"/>
    <w:rsid w:val="00C40B86"/>
    <w:rsid w:val="00C41041"/>
    <w:rsid w:val="00C410B0"/>
    <w:rsid w:val="00C417AC"/>
    <w:rsid w:val="00C419A1"/>
    <w:rsid w:val="00C42693"/>
    <w:rsid w:val="00C437DD"/>
    <w:rsid w:val="00C441AF"/>
    <w:rsid w:val="00C44E2F"/>
    <w:rsid w:val="00C44FC5"/>
    <w:rsid w:val="00C451B7"/>
    <w:rsid w:val="00C45C1D"/>
    <w:rsid w:val="00C45DEF"/>
    <w:rsid w:val="00C46694"/>
    <w:rsid w:val="00C47E88"/>
    <w:rsid w:val="00C50CD2"/>
    <w:rsid w:val="00C50EC8"/>
    <w:rsid w:val="00C538B0"/>
    <w:rsid w:val="00C53E16"/>
    <w:rsid w:val="00C54060"/>
    <w:rsid w:val="00C54416"/>
    <w:rsid w:val="00C545A6"/>
    <w:rsid w:val="00C54C4F"/>
    <w:rsid w:val="00C5776E"/>
    <w:rsid w:val="00C579D0"/>
    <w:rsid w:val="00C579F5"/>
    <w:rsid w:val="00C60768"/>
    <w:rsid w:val="00C607BA"/>
    <w:rsid w:val="00C617C5"/>
    <w:rsid w:val="00C618F6"/>
    <w:rsid w:val="00C61D22"/>
    <w:rsid w:val="00C62366"/>
    <w:rsid w:val="00C6258E"/>
    <w:rsid w:val="00C637AB"/>
    <w:rsid w:val="00C6390B"/>
    <w:rsid w:val="00C63ED6"/>
    <w:rsid w:val="00C63F9C"/>
    <w:rsid w:val="00C64E63"/>
    <w:rsid w:val="00C6663B"/>
    <w:rsid w:val="00C67C4D"/>
    <w:rsid w:val="00C7018E"/>
    <w:rsid w:val="00C70216"/>
    <w:rsid w:val="00C704CB"/>
    <w:rsid w:val="00C70587"/>
    <w:rsid w:val="00C71663"/>
    <w:rsid w:val="00C72360"/>
    <w:rsid w:val="00C723FF"/>
    <w:rsid w:val="00C72525"/>
    <w:rsid w:val="00C74433"/>
    <w:rsid w:val="00C747BE"/>
    <w:rsid w:val="00C74AC6"/>
    <w:rsid w:val="00C752ED"/>
    <w:rsid w:val="00C75CFB"/>
    <w:rsid w:val="00C77048"/>
    <w:rsid w:val="00C77766"/>
    <w:rsid w:val="00C77C4E"/>
    <w:rsid w:val="00C8067E"/>
    <w:rsid w:val="00C808A1"/>
    <w:rsid w:val="00C82C98"/>
    <w:rsid w:val="00C82FC7"/>
    <w:rsid w:val="00C830FE"/>
    <w:rsid w:val="00C837DA"/>
    <w:rsid w:val="00C872F5"/>
    <w:rsid w:val="00C90EF0"/>
    <w:rsid w:val="00C90F49"/>
    <w:rsid w:val="00C91344"/>
    <w:rsid w:val="00C91AE7"/>
    <w:rsid w:val="00C91CEA"/>
    <w:rsid w:val="00C924FB"/>
    <w:rsid w:val="00C93408"/>
    <w:rsid w:val="00C936C9"/>
    <w:rsid w:val="00C937CA"/>
    <w:rsid w:val="00C942F6"/>
    <w:rsid w:val="00C9451F"/>
    <w:rsid w:val="00C94B31"/>
    <w:rsid w:val="00C96520"/>
    <w:rsid w:val="00C9674A"/>
    <w:rsid w:val="00C97D93"/>
    <w:rsid w:val="00CA0662"/>
    <w:rsid w:val="00CA12E3"/>
    <w:rsid w:val="00CA1FDA"/>
    <w:rsid w:val="00CA315C"/>
    <w:rsid w:val="00CA3C92"/>
    <w:rsid w:val="00CA412F"/>
    <w:rsid w:val="00CA432F"/>
    <w:rsid w:val="00CA47CF"/>
    <w:rsid w:val="00CA686F"/>
    <w:rsid w:val="00CA7A60"/>
    <w:rsid w:val="00CA7B59"/>
    <w:rsid w:val="00CA7CF2"/>
    <w:rsid w:val="00CB07A2"/>
    <w:rsid w:val="00CB0A8E"/>
    <w:rsid w:val="00CB1605"/>
    <w:rsid w:val="00CB1785"/>
    <w:rsid w:val="00CB1A5B"/>
    <w:rsid w:val="00CB337B"/>
    <w:rsid w:val="00CB47BA"/>
    <w:rsid w:val="00CB53B3"/>
    <w:rsid w:val="00CB61DE"/>
    <w:rsid w:val="00CB6348"/>
    <w:rsid w:val="00CB6B4C"/>
    <w:rsid w:val="00CC06BC"/>
    <w:rsid w:val="00CC2BB5"/>
    <w:rsid w:val="00CC387B"/>
    <w:rsid w:val="00CC719F"/>
    <w:rsid w:val="00CD0A5A"/>
    <w:rsid w:val="00CD0C1D"/>
    <w:rsid w:val="00CD162B"/>
    <w:rsid w:val="00CD1CD4"/>
    <w:rsid w:val="00CD2BB2"/>
    <w:rsid w:val="00CD4B65"/>
    <w:rsid w:val="00CD4C62"/>
    <w:rsid w:val="00CD4C7A"/>
    <w:rsid w:val="00CD7A8E"/>
    <w:rsid w:val="00CD7D51"/>
    <w:rsid w:val="00CE022A"/>
    <w:rsid w:val="00CE249E"/>
    <w:rsid w:val="00CE2781"/>
    <w:rsid w:val="00CE4308"/>
    <w:rsid w:val="00CE4DBE"/>
    <w:rsid w:val="00CE58BD"/>
    <w:rsid w:val="00CE6662"/>
    <w:rsid w:val="00CF08A4"/>
    <w:rsid w:val="00CF4984"/>
    <w:rsid w:val="00CF4CA4"/>
    <w:rsid w:val="00CF608C"/>
    <w:rsid w:val="00CF71B1"/>
    <w:rsid w:val="00CF71CA"/>
    <w:rsid w:val="00CF7BDE"/>
    <w:rsid w:val="00D00037"/>
    <w:rsid w:val="00D004E8"/>
    <w:rsid w:val="00D01486"/>
    <w:rsid w:val="00D01E7B"/>
    <w:rsid w:val="00D03922"/>
    <w:rsid w:val="00D04DF2"/>
    <w:rsid w:val="00D058B3"/>
    <w:rsid w:val="00D05ABF"/>
    <w:rsid w:val="00D06B75"/>
    <w:rsid w:val="00D10875"/>
    <w:rsid w:val="00D1166D"/>
    <w:rsid w:val="00D1203A"/>
    <w:rsid w:val="00D13BE4"/>
    <w:rsid w:val="00D13F5A"/>
    <w:rsid w:val="00D14F10"/>
    <w:rsid w:val="00D1538D"/>
    <w:rsid w:val="00D15E27"/>
    <w:rsid w:val="00D16833"/>
    <w:rsid w:val="00D1690E"/>
    <w:rsid w:val="00D17BDF"/>
    <w:rsid w:val="00D21F61"/>
    <w:rsid w:val="00D2289C"/>
    <w:rsid w:val="00D2358E"/>
    <w:rsid w:val="00D23FF8"/>
    <w:rsid w:val="00D2482E"/>
    <w:rsid w:val="00D24F7F"/>
    <w:rsid w:val="00D2502D"/>
    <w:rsid w:val="00D258DB"/>
    <w:rsid w:val="00D2680A"/>
    <w:rsid w:val="00D268C8"/>
    <w:rsid w:val="00D32293"/>
    <w:rsid w:val="00D327E5"/>
    <w:rsid w:val="00D3292D"/>
    <w:rsid w:val="00D32F1B"/>
    <w:rsid w:val="00D32F26"/>
    <w:rsid w:val="00D33111"/>
    <w:rsid w:val="00D34628"/>
    <w:rsid w:val="00D3515B"/>
    <w:rsid w:val="00D36F9A"/>
    <w:rsid w:val="00D3796B"/>
    <w:rsid w:val="00D37B49"/>
    <w:rsid w:val="00D4067E"/>
    <w:rsid w:val="00D42249"/>
    <w:rsid w:val="00D42261"/>
    <w:rsid w:val="00D43887"/>
    <w:rsid w:val="00D43AA8"/>
    <w:rsid w:val="00D445E1"/>
    <w:rsid w:val="00D44BED"/>
    <w:rsid w:val="00D47792"/>
    <w:rsid w:val="00D52380"/>
    <w:rsid w:val="00D523A9"/>
    <w:rsid w:val="00D5305E"/>
    <w:rsid w:val="00D5332B"/>
    <w:rsid w:val="00D559B1"/>
    <w:rsid w:val="00D55BEA"/>
    <w:rsid w:val="00D571B4"/>
    <w:rsid w:val="00D6007F"/>
    <w:rsid w:val="00D604D1"/>
    <w:rsid w:val="00D66A54"/>
    <w:rsid w:val="00D705E7"/>
    <w:rsid w:val="00D7182A"/>
    <w:rsid w:val="00D727F5"/>
    <w:rsid w:val="00D72F07"/>
    <w:rsid w:val="00D74FC4"/>
    <w:rsid w:val="00D763C6"/>
    <w:rsid w:val="00D763F4"/>
    <w:rsid w:val="00D76882"/>
    <w:rsid w:val="00D80631"/>
    <w:rsid w:val="00D811CE"/>
    <w:rsid w:val="00D81897"/>
    <w:rsid w:val="00D825C2"/>
    <w:rsid w:val="00D8367B"/>
    <w:rsid w:val="00D84777"/>
    <w:rsid w:val="00D84D9B"/>
    <w:rsid w:val="00D8608A"/>
    <w:rsid w:val="00D8690F"/>
    <w:rsid w:val="00D90E30"/>
    <w:rsid w:val="00D9257B"/>
    <w:rsid w:val="00D94940"/>
    <w:rsid w:val="00D95645"/>
    <w:rsid w:val="00D959B6"/>
    <w:rsid w:val="00DA0289"/>
    <w:rsid w:val="00DA0444"/>
    <w:rsid w:val="00DA2410"/>
    <w:rsid w:val="00DA276F"/>
    <w:rsid w:val="00DA29EA"/>
    <w:rsid w:val="00DA2B87"/>
    <w:rsid w:val="00DA2CC4"/>
    <w:rsid w:val="00DA31D6"/>
    <w:rsid w:val="00DA451A"/>
    <w:rsid w:val="00DA4644"/>
    <w:rsid w:val="00DA493C"/>
    <w:rsid w:val="00DA6578"/>
    <w:rsid w:val="00DA6DEA"/>
    <w:rsid w:val="00DA7278"/>
    <w:rsid w:val="00DA79BF"/>
    <w:rsid w:val="00DA7FE0"/>
    <w:rsid w:val="00DB07A1"/>
    <w:rsid w:val="00DB0B5F"/>
    <w:rsid w:val="00DB2E18"/>
    <w:rsid w:val="00DB3A64"/>
    <w:rsid w:val="00DB4142"/>
    <w:rsid w:val="00DB4185"/>
    <w:rsid w:val="00DB4650"/>
    <w:rsid w:val="00DB4CAB"/>
    <w:rsid w:val="00DB7B37"/>
    <w:rsid w:val="00DB7FE0"/>
    <w:rsid w:val="00DC0743"/>
    <w:rsid w:val="00DC1688"/>
    <w:rsid w:val="00DC16A7"/>
    <w:rsid w:val="00DC198A"/>
    <w:rsid w:val="00DC2232"/>
    <w:rsid w:val="00DC3426"/>
    <w:rsid w:val="00DC3591"/>
    <w:rsid w:val="00DC3E2B"/>
    <w:rsid w:val="00DC56C0"/>
    <w:rsid w:val="00DC64A4"/>
    <w:rsid w:val="00DC70AE"/>
    <w:rsid w:val="00DC7E7C"/>
    <w:rsid w:val="00DD0B20"/>
    <w:rsid w:val="00DD0EA4"/>
    <w:rsid w:val="00DD0F7A"/>
    <w:rsid w:val="00DD12EA"/>
    <w:rsid w:val="00DD1EFF"/>
    <w:rsid w:val="00DD3E2F"/>
    <w:rsid w:val="00DE12E2"/>
    <w:rsid w:val="00DE1941"/>
    <w:rsid w:val="00DE2DB8"/>
    <w:rsid w:val="00DE31FE"/>
    <w:rsid w:val="00DE5C59"/>
    <w:rsid w:val="00DE6139"/>
    <w:rsid w:val="00DE7111"/>
    <w:rsid w:val="00DE7933"/>
    <w:rsid w:val="00DE7CDF"/>
    <w:rsid w:val="00DF1B73"/>
    <w:rsid w:val="00DF1F14"/>
    <w:rsid w:val="00DF22CB"/>
    <w:rsid w:val="00DF2E7D"/>
    <w:rsid w:val="00DF2FF5"/>
    <w:rsid w:val="00DF5DA7"/>
    <w:rsid w:val="00DF65C0"/>
    <w:rsid w:val="00DF6798"/>
    <w:rsid w:val="00DF6C7E"/>
    <w:rsid w:val="00DF7C26"/>
    <w:rsid w:val="00E022CB"/>
    <w:rsid w:val="00E02A50"/>
    <w:rsid w:val="00E0469E"/>
    <w:rsid w:val="00E0519D"/>
    <w:rsid w:val="00E065FA"/>
    <w:rsid w:val="00E06672"/>
    <w:rsid w:val="00E06E78"/>
    <w:rsid w:val="00E07DAA"/>
    <w:rsid w:val="00E10D47"/>
    <w:rsid w:val="00E10E06"/>
    <w:rsid w:val="00E11127"/>
    <w:rsid w:val="00E12864"/>
    <w:rsid w:val="00E15229"/>
    <w:rsid w:val="00E154E6"/>
    <w:rsid w:val="00E16BFE"/>
    <w:rsid w:val="00E2053F"/>
    <w:rsid w:val="00E21AA2"/>
    <w:rsid w:val="00E21D2C"/>
    <w:rsid w:val="00E22015"/>
    <w:rsid w:val="00E22AAD"/>
    <w:rsid w:val="00E24B15"/>
    <w:rsid w:val="00E251C9"/>
    <w:rsid w:val="00E25E17"/>
    <w:rsid w:val="00E25EC0"/>
    <w:rsid w:val="00E2618B"/>
    <w:rsid w:val="00E263EC"/>
    <w:rsid w:val="00E26BFA"/>
    <w:rsid w:val="00E275C5"/>
    <w:rsid w:val="00E27841"/>
    <w:rsid w:val="00E27BEB"/>
    <w:rsid w:val="00E27DFE"/>
    <w:rsid w:val="00E30A90"/>
    <w:rsid w:val="00E317C1"/>
    <w:rsid w:val="00E3270D"/>
    <w:rsid w:val="00E33141"/>
    <w:rsid w:val="00E333C9"/>
    <w:rsid w:val="00E33662"/>
    <w:rsid w:val="00E339D1"/>
    <w:rsid w:val="00E33D1C"/>
    <w:rsid w:val="00E346A8"/>
    <w:rsid w:val="00E35703"/>
    <w:rsid w:val="00E36615"/>
    <w:rsid w:val="00E37191"/>
    <w:rsid w:val="00E40258"/>
    <w:rsid w:val="00E4053F"/>
    <w:rsid w:val="00E40FD1"/>
    <w:rsid w:val="00E41C50"/>
    <w:rsid w:val="00E431C8"/>
    <w:rsid w:val="00E43F77"/>
    <w:rsid w:val="00E44F15"/>
    <w:rsid w:val="00E471FF"/>
    <w:rsid w:val="00E47AC1"/>
    <w:rsid w:val="00E47C9F"/>
    <w:rsid w:val="00E50003"/>
    <w:rsid w:val="00E50062"/>
    <w:rsid w:val="00E50762"/>
    <w:rsid w:val="00E517DF"/>
    <w:rsid w:val="00E52430"/>
    <w:rsid w:val="00E529EB"/>
    <w:rsid w:val="00E52DC2"/>
    <w:rsid w:val="00E5382E"/>
    <w:rsid w:val="00E5451A"/>
    <w:rsid w:val="00E54ED3"/>
    <w:rsid w:val="00E55906"/>
    <w:rsid w:val="00E56368"/>
    <w:rsid w:val="00E57698"/>
    <w:rsid w:val="00E576F6"/>
    <w:rsid w:val="00E57C26"/>
    <w:rsid w:val="00E60257"/>
    <w:rsid w:val="00E62751"/>
    <w:rsid w:val="00E63635"/>
    <w:rsid w:val="00E63F33"/>
    <w:rsid w:val="00E64054"/>
    <w:rsid w:val="00E65BA8"/>
    <w:rsid w:val="00E65DC2"/>
    <w:rsid w:val="00E65F4E"/>
    <w:rsid w:val="00E6628A"/>
    <w:rsid w:val="00E70DAB"/>
    <w:rsid w:val="00E71313"/>
    <w:rsid w:val="00E71639"/>
    <w:rsid w:val="00E718B0"/>
    <w:rsid w:val="00E72021"/>
    <w:rsid w:val="00E720AC"/>
    <w:rsid w:val="00E7347B"/>
    <w:rsid w:val="00E73BB0"/>
    <w:rsid w:val="00E7417E"/>
    <w:rsid w:val="00E749C1"/>
    <w:rsid w:val="00E75810"/>
    <w:rsid w:val="00E75D27"/>
    <w:rsid w:val="00E7616F"/>
    <w:rsid w:val="00E80526"/>
    <w:rsid w:val="00E81269"/>
    <w:rsid w:val="00E81781"/>
    <w:rsid w:val="00E82892"/>
    <w:rsid w:val="00E82EA4"/>
    <w:rsid w:val="00E840CF"/>
    <w:rsid w:val="00E84CF8"/>
    <w:rsid w:val="00E85BF5"/>
    <w:rsid w:val="00E90D7D"/>
    <w:rsid w:val="00E91F65"/>
    <w:rsid w:val="00E94CA0"/>
    <w:rsid w:val="00E94DB8"/>
    <w:rsid w:val="00E950F6"/>
    <w:rsid w:val="00E952AB"/>
    <w:rsid w:val="00E95543"/>
    <w:rsid w:val="00E957CC"/>
    <w:rsid w:val="00E95FDF"/>
    <w:rsid w:val="00E96901"/>
    <w:rsid w:val="00E96DCC"/>
    <w:rsid w:val="00E970C0"/>
    <w:rsid w:val="00E972DE"/>
    <w:rsid w:val="00EA1363"/>
    <w:rsid w:val="00EA1959"/>
    <w:rsid w:val="00EA2246"/>
    <w:rsid w:val="00EA3E55"/>
    <w:rsid w:val="00EA3F5E"/>
    <w:rsid w:val="00EA4491"/>
    <w:rsid w:val="00EA4D7B"/>
    <w:rsid w:val="00EA5474"/>
    <w:rsid w:val="00EA67DB"/>
    <w:rsid w:val="00EA6DDB"/>
    <w:rsid w:val="00EA7098"/>
    <w:rsid w:val="00EA76EF"/>
    <w:rsid w:val="00EB153F"/>
    <w:rsid w:val="00EB1C12"/>
    <w:rsid w:val="00EB2DC7"/>
    <w:rsid w:val="00EB3852"/>
    <w:rsid w:val="00EB4933"/>
    <w:rsid w:val="00EB49ED"/>
    <w:rsid w:val="00EB6192"/>
    <w:rsid w:val="00EB62A1"/>
    <w:rsid w:val="00EB62DC"/>
    <w:rsid w:val="00EB6F18"/>
    <w:rsid w:val="00EC00C2"/>
    <w:rsid w:val="00EC0225"/>
    <w:rsid w:val="00EC0AB6"/>
    <w:rsid w:val="00EC0B4E"/>
    <w:rsid w:val="00EC0F89"/>
    <w:rsid w:val="00EC2904"/>
    <w:rsid w:val="00EC2BB6"/>
    <w:rsid w:val="00EC3217"/>
    <w:rsid w:val="00EC432E"/>
    <w:rsid w:val="00EC467F"/>
    <w:rsid w:val="00EC633F"/>
    <w:rsid w:val="00EC6BC8"/>
    <w:rsid w:val="00EC7931"/>
    <w:rsid w:val="00EC79DE"/>
    <w:rsid w:val="00EC7DC5"/>
    <w:rsid w:val="00EC7FC5"/>
    <w:rsid w:val="00ED0DFB"/>
    <w:rsid w:val="00ED1803"/>
    <w:rsid w:val="00ED194A"/>
    <w:rsid w:val="00ED2346"/>
    <w:rsid w:val="00ED2C9D"/>
    <w:rsid w:val="00ED30F4"/>
    <w:rsid w:val="00ED364E"/>
    <w:rsid w:val="00ED3973"/>
    <w:rsid w:val="00ED3E41"/>
    <w:rsid w:val="00ED4646"/>
    <w:rsid w:val="00ED47A8"/>
    <w:rsid w:val="00ED4C9D"/>
    <w:rsid w:val="00ED537C"/>
    <w:rsid w:val="00ED77CC"/>
    <w:rsid w:val="00ED7E29"/>
    <w:rsid w:val="00EE09F1"/>
    <w:rsid w:val="00EE139A"/>
    <w:rsid w:val="00EE2557"/>
    <w:rsid w:val="00EE2BA7"/>
    <w:rsid w:val="00EE2BFC"/>
    <w:rsid w:val="00EE2D0A"/>
    <w:rsid w:val="00EE2E6D"/>
    <w:rsid w:val="00EE3656"/>
    <w:rsid w:val="00EE37D3"/>
    <w:rsid w:val="00EE3D6C"/>
    <w:rsid w:val="00EE3E15"/>
    <w:rsid w:val="00EE5ADA"/>
    <w:rsid w:val="00EE6446"/>
    <w:rsid w:val="00EE6BE6"/>
    <w:rsid w:val="00EE6F06"/>
    <w:rsid w:val="00EF0B11"/>
    <w:rsid w:val="00EF136F"/>
    <w:rsid w:val="00EF1A8B"/>
    <w:rsid w:val="00EF1DB0"/>
    <w:rsid w:val="00EF329E"/>
    <w:rsid w:val="00EF4149"/>
    <w:rsid w:val="00EF4C97"/>
    <w:rsid w:val="00EF719D"/>
    <w:rsid w:val="00F004AE"/>
    <w:rsid w:val="00F00C45"/>
    <w:rsid w:val="00F02221"/>
    <w:rsid w:val="00F022EA"/>
    <w:rsid w:val="00F04CAD"/>
    <w:rsid w:val="00F05040"/>
    <w:rsid w:val="00F05B67"/>
    <w:rsid w:val="00F065AE"/>
    <w:rsid w:val="00F06CAE"/>
    <w:rsid w:val="00F07284"/>
    <w:rsid w:val="00F07BB2"/>
    <w:rsid w:val="00F10BA2"/>
    <w:rsid w:val="00F13ADB"/>
    <w:rsid w:val="00F1404D"/>
    <w:rsid w:val="00F14B59"/>
    <w:rsid w:val="00F15703"/>
    <w:rsid w:val="00F15B82"/>
    <w:rsid w:val="00F172BA"/>
    <w:rsid w:val="00F202EE"/>
    <w:rsid w:val="00F20455"/>
    <w:rsid w:val="00F2083B"/>
    <w:rsid w:val="00F21617"/>
    <w:rsid w:val="00F22687"/>
    <w:rsid w:val="00F2309D"/>
    <w:rsid w:val="00F248E4"/>
    <w:rsid w:val="00F254AE"/>
    <w:rsid w:val="00F26270"/>
    <w:rsid w:val="00F27F9D"/>
    <w:rsid w:val="00F303A4"/>
    <w:rsid w:val="00F3210D"/>
    <w:rsid w:val="00F32C53"/>
    <w:rsid w:val="00F3341E"/>
    <w:rsid w:val="00F343B4"/>
    <w:rsid w:val="00F3527B"/>
    <w:rsid w:val="00F3622F"/>
    <w:rsid w:val="00F363FD"/>
    <w:rsid w:val="00F36FD2"/>
    <w:rsid w:val="00F37AEE"/>
    <w:rsid w:val="00F4086F"/>
    <w:rsid w:val="00F4244E"/>
    <w:rsid w:val="00F42A0D"/>
    <w:rsid w:val="00F42E34"/>
    <w:rsid w:val="00F435E4"/>
    <w:rsid w:val="00F440AF"/>
    <w:rsid w:val="00F44525"/>
    <w:rsid w:val="00F50257"/>
    <w:rsid w:val="00F5068E"/>
    <w:rsid w:val="00F52443"/>
    <w:rsid w:val="00F52DBB"/>
    <w:rsid w:val="00F54014"/>
    <w:rsid w:val="00F5500A"/>
    <w:rsid w:val="00F55E03"/>
    <w:rsid w:val="00F562A2"/>
    <w:rsid w:val="00F566BE"/>
    <w:rsid w:val="00F56842"/>
    <w:rsid w:val="00F57B8A"/>
    <w:rsid w:val="00F62AD7"/>
    <w:rsid w:val="00F62BA9"/>
    <w:rsid w:val="00F65485"/>
    <w:rsid w:val="00F65629"/>
    <w:rsid w:val="00F66889"/>
    <w:rsid w:val="00F66F4F"/>
    <w:rsid w:val="00F6704E"/>
    <w:rsid w:val="00F67639"/>
    <w:rsid w:val="00F70874"/>
    <w:rsid w:val="00F70E07"/>
    <w:rsid w:val="00F71495"/>
    <w:rsid w:val="00F74382"/>
    <w:rsid w:val="00F74775"/>
    <w:rsid w:val="00F74F81"/>
    <w:rsid w:val="00F7520D"/>
    <w:rsid w:val="00F75557"/>
    <w:rsid w:val="00F75A3B"/>
    <w:rsid w:val="00F76529"/>
    <w:rsid w:val="00F76FB2"/>
    <w:rsid w:val="00F77927"/>
    <w:rsid w:val="00F815DE"/>
    <w:rsid w:val="00F8449B"/>
    <w:rsid w:val="00F8470F"/>
    <w:rsid w:val="00F85031"/>
    <w:rsid w:val="00F866C3"/>
    <w:rsid w:val="00F86AF2"/>
    <w:rsid w:val="00F87095"/>
    <w:rsid w:val="00F902E3"/>
    <w:rsid w:val="00F9049C"/>
    <w:rsid w:val="00F941BF"/>
    <w:rsid w:val="00F942EC"/>
    <w:rsid w:val="00F961DA"/>
    <w:rsid w:val="00F97BB7"/>
    <w:rsid w:val="00FA0CF8"/>
    <w:rsid w:val="00FA1413"/>
    <w:rsid w:val="00FA153E"/>
    <w:rsid w:val="00FA1986"/>
    <w:rsid w:val="00FA1A08"/>
    <w:rsid w:val="00FA342F"/>
    <w:rsid w:val="00FA4259"/>
    <w:rsid w:val="00FA4274"/>
    <w:rsid w:val="00FA5991"/>
    <w:rsid w:val="00FA5F51"/>
    <w:rsid w:val="00FA754A"/>
    <w:rsid w:val="00FA7DA1"/>
    <w:rsid w:val="00FB0EA0"/>
    <w:rsid w:val="00FB106F"/>
    <w:rsid w:val="00FB2717"/>
    <w:rsid w:val="00FB2A3A"/>
    <w:rsid w:val="00FB32BF"/>
    <w:rsid w:val="00FB337F"/>
    <w:rsid w:val="00FB3744"/>
    <w:rsid w:val="00FB3E57"/>
    <w:rsid w:val="00FB41C7"/>
    <w:rsid w:val="00FB4CFD"/>
    <w:rsid w:val="00FB5024"/>
    <w:rsid w:val="00FB638F"/>
    <w:rsid w:val="00FB68A5"/>
    <w:rsid w:val="00FC130A"/>
    <w:rsid w:val="00FC2044"/>
    <w:rsid w:val="00FC25F3"/>
    <w:rsid w:val="00FC4DF7"/>
    <w:rsid w:val="00FC553F"/>
    <w:rsid w:val="00FC5C69"/>
    <w:rsid w:val="00FC647B"/>
    <w:rsid w:val="00FC64C1"/>
    <w:rsid w:val="00FC65B2"/>
    <w:rsid w:val="00FC6804"/>
    <w:rsid w:val="00FC6FAC"/>
    <w:rsid w:val="00FC7F09"/>
    <w:rsid w:val="00FD065B"/>
    <w:rsid w:val="00FD06F9"/>
    <w:rsid w:val="00FD4E94"/>
    <w:rsid w:val="00FD5C29"/>
    <w:rsid w:val="00FD782E"/>
    <w:rsid w:val="00FE03A7"/>
    <w:rsid w:val="00FE1A06"/>
    <w:rsid w:val="00FE1A23"/>
    <w:rsid w:val="00FE277A"/>
    <w:rsid w:val="00FE3302"/>
    <w:rsid w:val="00FE35F1"/>
    <w:rsid w:val="00FE4265"/>
    <w:rsid w:val="00FE4ECD"/>
    <w:rsid w:val="00FE54AE"/>
    <w:rsid w:val="00FE741C"/>
    <w:rsid w:val="00FE7586"/>
    <w:rsid w:val="00FF179E"/>
    <w:rsid w:val="00FF1A74"/>
    <w:rsid w:val="00FF2EBC"/>
    <w:rsid w:val="00FF300C"/>
    <w:rsid w:val="00FF383B"/>
    <w:rsid w:val="00FF3E03"/>
    <w:rsid w:val="00FF5310"/>
    <w:rsid w:val="00FF56AB"/>
    <w:rsid w:val="00FF59F6"/>
    <w:rsid w:val="00FF6A44"/>
    <w:rsid w:val="00FF6C09"/>
    <w:rsid w:val="00FF74D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FA81EBF0-A6F6-4323-9610-B1FBFC5F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A5B"/>
    <w:pPr>
      <w:spacing w:before="240" w:after="0" w:line="240" w:lineRule="auto"/>
      <w:jc w:val="both"/>
    </w:pPr>
    <w:rPr>
      <w:rFonts w:eastAsia="Times New Roman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509E5"/>
    <w:pPr>
      <w:keepNext/>
      <w:numPr>
        <w:numId w:val="2"/>
      </w:numPr>
      <w:tabs>
        <w:tab w:val="right" w:pos="9072"/>
      </w:tabs>
      <w:spacing w:after="120"/>
      <w:ind w:left="284" w:hanging="284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3F648F"/>
    <w:pPr>
      <w:keepNext/>
      <w:numPr>
        <w:ilvl w:val="1"/>
        <w:numId w:val="2"/>
      </w:numPr>
      <w:spacing w:after="120"/>
      <w:ind w:left="426" w:hanging="426"/>
      <w:outlineLvl w:val="1"/>
    </w:pPr>
    <w:rPr>
      <w:b/>
      <w:bCs/>
      <w:iCs/>
      <w:szCs w:val="28"/>
    </w:rPr>
  </w:style>
  <w:style w:type="paragraph" w:styleId="Nadpis3">
    <w:name w:val="heading 3"/>
    <w:basedOn w:val="Nadpis2"/>
    <w:next w:val="Normln"/>
    <w:link w:val="Nadpis3Char"/>
    <w:autoRedefine/>
    <w:qFormat/>
    <w:rsid w:val="00027844"/>
    <w:pPr>
      <w:numPr>
        <w:ilvl w:val="2"/>
      </w:numPr>
      <w:outlineLvl w:val="2"/>
    </w:pPr>
    <w:rPr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7F1714"/>
    <w:pPr>
      <w:keepNext/>
      <w:numPr>
        <w:ilvl w:val="3"/>
        <w:numId w:val="2"/>
      </w:numPr>
      <w:spacing w:before="120"/>
      <w:ind w:left="0" w:firstLine="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51E6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1E6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1E6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1E6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1E6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09E5"/>
    <w:rPr>
      <w:rFonts w:eastAsia="Times New Roman" w:cs="Arial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3F648F"/>
    <w:rPr>
      <w:rFonts w:eastAsia="Times New Roman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27844"/>
    <w:rPr>
      <w:rFonts w:eastAsia="Times New Roman" w:cs="Arial"/>
      <w:b/>
      <w:bCs/>
      <w:i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7F1714"/>
    <w:rPr>
      <w:rFonts w:eastAsia="Times New Roman" w:cs="Arial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1E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1E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1E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1E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1E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semiHidden/>
    <w:rsid w:val="00751E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51E6A"/>
    <w:rPr>
      <w:rFonts w:ascii="Arial" w:eastAsia="Times New Roman" w:hAnsi="Arial" w:cs="Arial"/>
      <w:szCs w:val="24"/>
    </w:rPr>
  </w:style>
  <w:style w:type="paragraph" w:styleId="Zpat">
    <w:name w:val="footer"/>
    <w:basedOn w:val="Normln"/>
    <w:link w:val="ZpatChar"/>
    <w:semiHidden/>
    <w:rsid w:val="00751E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51E6A"/>
    <w:rPr>
      <w:rFonts w:ascii="Arial" w:eastAsia="Times New Roman" w:hAnsi="Arial" w:cs="Arial"/>
      <w:szCs w:val="24"/>
    </w:rPr>
  </w:style>
  <w:style w:type="character" w:styleId="slostrnky">
    <w:name w:val="page number"/>
    <w:basedOn w:val="Standardnpsmoodstavce"/>
    <w:semiHidden/>
    <w:rsid w:val="00751E6A"/>
  </w:style>
  <w:style w:type="paragraph" w:styleId="Textpoznpodarou">
    <w:name w:val="footnote text"/>
    <w:basedOn w:val="Normln"/>
    <w:link w:val="TextpoznpodarouChar"/>
    <w:uiPriority w:val="99"/>
    <w:semiHidden/>
    <w:rsid w:val="00AD69B6"/>
    <w:pPr>
      <w:spacing w:before="0"/>
      <w:ind w:left="142" w:hanging="142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69B6"/>
    <w:rPr>
      <w:rFonts w:eastAsia="Times New Roman" w:cs="Arial"/>
      <w:sz w:val="20"/>
      <w:szCs w:val="20"/>
    </w:rPr>
  </w:style>
  <w:style w:type="character" w:styleId="Znakapoznpodarou">
    <w:name w:val="footnote reference"/>
    <w:uiPriority w:val="99"/>
    <w:semiHidden/>
    <w:rsid w:val="00751E6A"/>
    <w:rPr>
      <w:vertAlign w:val="superscript"/>
    </w:rPr>
  </w:style>
  <w:style w:type="paragraph" w:styleId="Zkladntext3">
    <w:name w:val="Body Text 3"/>
    <w:basedOn w:val="Normln"/>
    <w:link w:val="Zkladntext3Char"/>
    <w:autoRedefine/>
    <w:uiPriority w:val="99"/>
    <w:semiHidden/>
    <w:rsid w:val="00AE6BC4"/>
    <w:pPr>
      <w:spacing w:before="0"/>
      <w:jc w:val="right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E6BC4"/>
    <w:rPr>
      <w:rFonts w:eastAsia="Times New Roman" w:cs="Arial"/>
      <w:szCs w:val="24"/>
    </w:rPr>
  </w:style>
  <w:style w:type="character" w:styleId="Siln">
    <w:name w:val="Strong"/>
    <w:uiPriority w:val="22"/>
    <w:qFormat/>
    <w:rsid w:val="00751E6A"/>
    <w:rPr>
      <w:b/>
      <w:bCs/>
    </w:rPr>
  </w:style>
  <w:style w:type="paragraph" w:customStyle="1" w:styleId="tabulka">
    <w:name w:val="tabulka"/>
    <w:basedOn w:val="Normln"/>
    <w:link w:val="tabulkaChar"/>
    <w:qFormat/>
    <w:rsid w:val="00A47ECE"/>
    <w:pPr>
      <w:spacing w:before="0"/>
    </w:pPr>
    <w:rPr>
      <w:sz w:val="22"/>
      <w:szCs w:val="18"/>
    </w:rPr>
  </w:style>
  <w:style w:type="character" w:customStyle="1" w:styleId="tabulkaChar">
    <w:name w:val="tabulka Char"/>
    <w:link w:val="tabulka"/>
    <w:rsid w:val="00A47ECE"/>
    <w:rPr>
      <w:rFonts w:eastAsia="Times New Roman" w:cs="Arial"/>
      <w:szCs w:val="18"/>
    </w:rPr>
  </w:style>
  <w:style w:type="paragraph" w:customStyle="1" w:styleId="Poznmka">
    <w:name w:val="Poznámka"/>
    <w:basedOn w:val="Normln"/>
    <w:link w:val="PoznmkaChar"/>
    <w:autoRedefine/>
    <w:qFormat/>
    <w:rsid w:val="009509E5"/>
    <w:pPr>
      <w:spacing w:before="60"/>
      <w:ind w:left="567" w:hanging="567"/>
    </w:pPr>
    <w:rPr>
      <w:rFonts w:cs="Times New Roman"/>
      <w:sz w:val="20"/>
      <w:szCs w:val="18"/>
    </w:rPr>
  </w:style>
  <w:style w:type="character" w:customStyle="1" w:styleId="PoznmkaChar">
    <w:name w:val="Poznámka Char"/>
    <w:link w:val="Poznmka"/>
    <w:rsid w:val="009509E5"/>
    <w:rPr>
      <w:rFonts w:eastAsia="Times New Roman" w:cs="Times New Roman"/>
      <w:sz w:val="20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751E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51E6A"/>
    <w:rPr>
      <w:rFonts w:ascii="Arial" w:eastAsia="Times New Roman" w:hAnsi="Arial" w:cs="Arial"/>
      <w:szCs w:val="24"/>
    </w:rPr>
  </w:style>
  <w:style w:type="paragraph" w:styleId="Nzev">
    <w:name w:val="Title"/>
    <w:basedOn w:val="Normln"/>
    <w:link w:val="NzevChar"/>
    <w:rsid w:val="00ED4646"/>
    <w:pPr>
      <w:spacing w:before="360"/>
      <w:jc w:val="center"/>
    </w:pPr>
    <w:rPr>
      <w:rFonts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4646"/>
    <w:rPr>
      <w:rFonts w:eastAsia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rážky"/>
    <w:basedOn w:val="Normln"/>
    <w:uiPriority w:val="34"/>
    <w:qFormat/>
    <w:rsid w:val="00DF5DA7"/>
    <w:pPr>
      <w:numPr>
        <w:numId w:val="3"/>
      </w:numPr>
      <w:contextualSpacing/>
    </w:pPr>
    <w:rPr>
      <w:lang w:eastAsia="cs-CZ"/>
    </w:rPr>
  </w:style>
  <w:style w:type="paragraph" w:customStyle="1" w:styleId="Zkladntext21">
    <w:name w:val="Základní text 21"/>
    <w:basedOn w:val="Normln"/>
    <w:uiPriority w:val="99"/>
    <w:rsid w:val="00751E6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szCs w:val="20"/>
      <w:lang w:eastAsia="cs-CZ"/>
    </w:rPr>
  </w:style>
  <w:style w:type="paragraph" w:customStyle="1" w:styleId="odst1">
    <w:name w:val="odst 1"/>
    <w:basedOn w:val="Normln"/>
    <w:qFormat/>
    <w:rsid w:val="00751E6A"/>
    <w:pPr>
      <w:spacing w:after="200"/>
    </w:pPr>
    <w:rPr>
      <w:rFonts w:eastAsia="Calibri"/>
      <w:szCs w:val="22"/>
    </w:rPr>
  </w:style>
  <w:style w:type="character" w:customStyle="1" w:styleId="platne1">
    <w:name w:val="platne1"/>
    <w:basedOn w:val="Standardnpsmoodstavce"/>
    <w:rsid w:val="00751E6A"/>
  </w:style>
  <w:style w:type="character" w:styleId="Odkaznakoment">
    <w:name w:val="annotation reference"/>
    <w:basedOn w:val="Standardnpsmoodstavce"/>
    <w:uiPriority w:val="99"/>
    <w:semiHidden/>
    <w:unhideWhenUsed/>
    <w:rsid w:val="00751E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E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E6A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E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E6A"/>
    <w:rPr>
      <w:rFonts w:ascii="Tahoma" w:eastAsia="Times New Roman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1F5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7188B"/>
    <w:pPr>
      <w:tabs>
        <w:tab w:val="left" w:pos="440"/>
        <w:tab w:val="right" w:leader="dot" w:pos="9060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7188B"/>
    <w:pPr>
      <w:spacing w:before="120"/>
      <w:ind w:left="221"/>
    </w:pPr>
  </w:style>
  <w:style w:type="character" w:styleId="Hypertextovodkaz">
    <w:name w:val="Hyperlink"/>
    <w:basedOn w:val="Standardnpsmoodstavce"/>
    <w:uiPriority w:val="99"/>
    <w:unhideWhenUsed/>
    <w:rsid w:val="00731F5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825C2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24D69"/>
    <w:pPr>
      <w:tabs>
        <w:tab w:val="left" w:pos="1320"/>
        <w:tab w:val="right" w:leader="dot" w:pos="9060"/>
      </w:tabs>
      <w:spacing w:before="0" w:after="100" w:line="276" w:lineRule="auto"/>
      <w:ind w:left="440"/>
      <w:jc w:val="left"/>
    </w:pPr>
    <w:rPr>
      <w:rFonts w:eastAsiaTheme="minorEastAsi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98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6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LatinArial">
    <w:name w:val="Style (Latin) Arial"/>
    <w:rsid w:val="00392B11"/>
    <w:rPr>
      <w:rFonts w:ascii="Arial" w:eastAsia="Calibri" w:hAnsi="Arial" w:cs="Arial"/>
      <w:sz w:val="20"/>
      <w:lang w:val="cs-CZ" w:eastAsia="en-US" w:bidi="ar-SA"/>
    </w:rPr>
  </w:style>
  <w:style w:type="paragraph" w:customStyle="1" w:styleId="BodyText31">
    <w:name w:val="Body Text 31"/>
    <w:basedOn w:val="Normln"/>
    <w:rsid w:val="00FE741C"/>
    <w:pPr>
      <w:overflowPunct w:val="0"/>
      <w:autoSpaceDE w:val="0"/>
      <w:autoSpaceDN w:val="0"/>
      <w:adjustRightInd w:val="0"/>
      <w:spacing w:before="0"/>
      <w:ind w:left="284" w:hanging="284"/>
    </w:pPr>
    <w:rPr>
      <w:b/>
      <w:bCs/>
      <w:szCs w:val="22"/>
      <w:lang w:eastAsia="cs-CZ"/>
    </w:rPr>
  </w:style>
  <w:style w:type="paragraph" w:customStyle="1" w:styleId="Nzevtabulky">
    <w:name w:val="Název tabulky"/>
    <w:basedOn w:val="Normln"/>
    <w:qFormat/>
    <w:rsid w:val="009117BF"/>
    <w:pPr>
      <w:numPr>
        <w:ilvl w:val="1"/>
        <w:numId w:val="1"/>
      </w:numPr>
    </w:pPr>
    <w:rPr>
      <w:szCs w:val="22"/>
    </w:rPr>
  </w:style>
  <w:style w:type="paragraph" w:styleId="Normlnweb">
    <w:name w:val="Normal (Web)"/>
    <w:basedOn w:val="Normln"/>
    <w:semiHidden/>
    <w:rsid w:val="00653154"/>
    <w:pPr>
      <w:spacing w:before="0"/>
      <w:jc w:val="left"/>
    </w:pPr>
    <w:rPr>
      <w:rFonts w:ascii="Times New Roman" w:hAnsi="Times New Roman" w:cs="Times New Roman"/>
    </w:rPr>
  </w:style>
  <w:style w:type="paragraph" w:styleId="Citt">
    <w:name w:val="Quote"/>
    <w:basedOn w:val="Normln"/>
    <w:next w:val="Normln"/>
    <w:link w:val="CittChar"/>
    <w:uiPriority w:val="29"/>
    <w:qFormat/>
    <w:rsid w:val="0019106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191068"/>
    <w:rPr>
      <w:rFonts w:eastAsia="Times New Roman" w:cs="Arial"/>
      <w:i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42D"/>
    <w:rPr>
      <w:rFonts w:ascii="Arial" w:eastAsia="Times New Roman" w:hAnsi="Arial" w:cs="Arial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06242D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6242D"/>
    <w:rPr>
      <w:rFonts w:eastAsia="Times New Roman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6242D"/>
    <w:rPr>
      <w:vertAlign w:val="superscript"/>
    </w:rPr>
  </w:style>
  <w:style w:type="paragraph" w:customStyle="1" w:styleId="Graf">
    <w:name w:val="Graf"/>
    <w:basedOn w:val="Nzevtabulky"/>
    <w:qFormat/>
    <w:rsid w:val="00751809"/>
    <w:pPr>
      <w:numPr>
        <w:ilvl w:val="0"/>
        <w:numId w:val="5"/>
      </w:numPr>
    </w:pPr>
  </w:style>
  <w:style w:type="paragraph" w:customStyle="1" w:styleId="Nzevtext">
    <w:name w:val="Název text"/>
    <w:basedOn w:val="Nzev"/>
    <w:qFormat/>
    <w:rsid w:val="00E970C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25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49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KZ</c:v>
                </c:pt>
              </c:strCache>
            </c:strRef>
          </c:tx>
          <c:invertIfNegative val="0"/>
          <c:cat>
            <c:strRef>
              <c:f>List1!$A$2:$A$18</c:f>
              <c:strCache>
                <c:ptCount val="10"/>
                <c:pt idx="0">
                  <c:v>Irsko</c:v>
                </c:pt>
                <c:pt idx="1">
                  <c:v>Nizozemsko</c:v>
                </c:pt>
                <c:pt idx="2">
                  <c:v>Bulharsko</c:v>
                </c:pt>
                <c:pt idx="3">
                  <c:v>Velká Británie</c:v>
                </c:pt>
                <c:pt idx="4">
                  <c:v>Maďarsko</c:v>
                </c:pt>
                <c:pt idx="5">
                  <c:v>Rakousko</c:v>
                </c:pt>
                <c:pt idx="6">
                  <c:v>Německo</c:v>
                </c:pt>
                <c:pt idx="7">
                  <c:v>Česká republika</c:v>
                </c:pt>
                <c:pt idx="8">
                  <c:v>Slovensko</c:v>
                </c:pt>
                <c:pt idx="9">
                  <c:v>Francie</c:v>
                </c:pt>
              </c:strCache>
            </c:strRef>
          </c:cat>
          <c:val>
            <c:numRef>
              <c:f>List1!$B$2:$B$18</c:f>
              <c:numCache>
                <c:formatCode>General</c:formatCode>
                <c:ptCount val="10"/>
                <c:pt idx="0">
                  <c:v>32</c:v>
                </c:pt>
                <c:pt idx="1">
                  <c:v>30</c:v>
                </c:pt>
                <c:pt idx="2">
                  <c:v>30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176056"/>
        <c:axId val="190176440"/>
      </c:barChart>
      <c:catAx>
        <c:axId val="190176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cs-CZ"/>
          </a:p>
        </c:txPr>
        <c:crossAx val="190176440"/>
        <c:crosses val="autoZero"/>
        <c:auto val="1"/>
        <c:lblAlgn val="ctr"/>
        <c:lblOffset val="100"/>
        <c:noMultiLvlLbl val="0"/>
      </c:catAx>
      <c:valAx>
        <c:axId val="190176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1760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73132-72C3-4340-85FF-E1B3081CC3B3}"/>
</file>

<file path=customXml/itemProps2.xml><?xml version="1.0" encoding="utf-8"?>
<ds:datastoreItem xmlns:ds="http://schemas.openxmlformats.org/officeDocument/2006/customXml" ds:itemID="{6CD50F8E-D32A-425C-BE47-68335664B76A}"/>
</file>

<file path=customXml/itemProps3.xml><?xml version="1.0" encoding="utf-8"?>
<ds:datastoreItem xmlns:ds="http://schemas.openxmlformats.org/officeDocument/2006/customXml" ds:itemID="{2FF77264-F22F-4BA1-8782-AF7F5CBCA9F0}"/>
</file>

<file path=customXml/itemProps4.xml><?xml version="1.0" encoding="utf-8"?>
<ds:datastoreItem xmlns:ds="http://schemas.openxmlformats.org/officeDocument/2006/customXml" ds:itemID="{640CBEE1-3E01-4FD0-BB9A-3A287464B0E7}"/>
</file>

<file path=docProps/app.xml><?xml version="1.0" encoding="utf-8"?>
<Properties xmlns="http://schemas.openxmlformats.org/officeDocument/2006/extended-properties" xmlns:vt="http://schemas.openxmlformats.org/officeDocument/2006/docPropsVTypes">
  <Template>F7BD3AEA.dotm</Template>
  <TotalTime>0</TotalTime>
  <Pages>12</Pages>
  <Words>3383</Words>
  <Characters>19964</Characters>
  <Application>Microsoft Office Word</Application>
  <DocSecurity>4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 15_28 kontrolní závěr</vt:lpstr>
    </vt:vector>
  </TitlesOfParts>
  <Company>NKU</Company>
  <LinksUpToDate>false</LinksUpToDate>
  <CharactersWithSpaces>23301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15/28 - Majetek a peněžní prostředky státu, se kterými je příslušný hospodařit Státní fond kinematografie</dc:title>
  <dc:creator>Nejvyšší kontrolní úřad</dc:creator>
  <cp:keywords>kontrolní závěr, SFK, státní fond kinematografie</cp:keywords>
  <dc:description/>
  <cp:lastModifiedBy>KOKRDA Daniel</cp:lastModifiedBy>
  <cp:revision>2</cp:revision>
  <cp:lastPrinted>2016-06-01T08:12:00Z</cp:lastPrinted>
  <dcterms:created xsi:type="dcterms:W3CDTF">2016-06-10T07:26:00Z</dcterms:created>
  <dcterms:modified xsi:type="dcterms:W3CDTF">2016-06-10T07:26:00Z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13/13-NKU430/302/13</vt:lpwstr>
  </property>
  <property fmtid="{D5CDD505-2E9C-101B-9397-08002B2CF9AE}" pid="3" name="ContentTypeId">
    <vt:lpwstr>0x0101002F7A625AE9F5AB4A939F92BCAA7FEC02</vt:lpwstr>
  </property>
  <property fmtid="{D5CDD505-2E9C-101B-9397-08002B2CF9AE}" pid="4" name="Contact_PostaOdes_All">
    <vt:lpwstr/>
  </property>
  <property fmtid="{D5CDD505-2E9C-101B-9397-08002B2CF9AE}" pid="5" name="SZ_Spis_Pisemnost">
    <vt:lpwstr>13/13</vt:lpwstr>
  </property>
  <property fmtid="{D5CDD505-2E9C-101B-9397-08002B2CF9AE}" pid="6" name="DisplayName_SpisovyUzel_PoziceZodpo_Pisemnost">
    <vt:lpwstr>Odbor III.</vt:lpwstr>
  </property>
  <property fmtid="{D5CDD505-2E9C-101B-9397-08002B2CF9AE}" pid="7" name="Zkratka_SpisovyUzel_PoziceZodpo_Pisemnost">
    <vt:lpwstr>430</vt:lpwstr>
  </property>
  <property fmtid="{D5CDD505-2E9C-101B-9397-08002B2CF9AE}" pid="8" name="Key_BarCode_Pisemnost">
    <vt:lpwstr>*B000181331*</vt:lpwstr>
  </property>
  <property fmtid="{D5CDD505-2E9C-101B-9397-08002B2CF9AE}" pid="9" name="EC_Pisemnost">
    <vt:lpwstr>13-8474</vt:lpwstr>
  </property>
  <property fmtid="{D5CDD505-2E9C-101B-9397-08002B2CF9AE}" pid="10" name="Odkaz">
    <vt:lpwstr>ODKAZ</vt:lpwstr>
  </property>
  <property fmtid="{D5CDD505-2E9C-101B-9397-08002B2CF9AE}" pid="11" name="SkartacniZnakLhuta_PisemnostZnak">
    <vt:lpwstr>/0</vt:lpwstr>
  </property>
  <property fmtid="{D5CDD505-2E9C-101B-9397-08002B2CF9AE}" pid="12" name="CJ_Spis_Pisemnost">
    <vt:lpwstr>CJ/SPIS/ROK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22/1</vt:lpwstr>
  </property>
  <property fmtid="{D5CDD505-2E9C-101B-9397-08002B2CF9AE}" pid="18" name="Vec_Pisemnost">
    <vt:lpwstr>Program 13-13 – schválený – přílohy</vt:lpwstr>
  </property>
  <property fmtid="{D5CDD505-2E9C-101B-9397-08002B2CF9AE}" pid="19" name="DatumPoriz_Pisemnost">
    <vt:lpwstr>31.5.2013</vt:lpwstr>
  </property>
  <property fmtid="{D5CDD505-2E9C-101B-9397-08002B2CF9AE}" pid="20" name="KRukam">
    <vt:lpwstr>{KRukam}</vt:lpwstr>
  </property>
  <property fmtid="{D5CDD505-2E9C-101B-9397-08002B2CF9AE}" pid="21" name="PocetListuDokumentu_Pisemnost">
    <vt:lpwstr>22</vt:lpwstr>
  </property>
  <property fmtid="{D5CDD505-2E9C-101B-9397-08002B2CF9AE}" pid="22" name="PocetPriloh_Pisemnost">
    <vt:lpwstr>1</vt:lpwstr>
  </property>
  <property fmtid="{D5CDD505-2E9C-101B-9397-08002B2CF9AE}" pid="23" name="TypPrilohy_Pisemnost">
    <vt:lpwstr>TYP PŘÍLOHY</vt:lpwstr>
  </property>
  <property fmtid="{D5CDD505-2E9C-101B-9397-08002B2CF9AE}" pid="24" name="DisplayName_UserPoriz_Pisemnost">
    <vt:lpwstr>Mgr. Petr Severa</vt:lpwstr>
  </property>
  <property fmtid="{D5CDD505-2E9C-101B-9397-08002B2CF9AE}" pid="25" name="Podpis">
    <vt:lpwstr/>
  </property>
  <property fmtid="{D5CDD505-2E9C-101B-9397-08002B2CF9AE}" pid="26" name="SmlouvaCislo">
    <vt:lpwstr>ČÍSLO SMLOUVY</vt:lpwstr>
  </property>
</Properties>
</file>