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7B77E" w14:textId="77777777" w:rsidR="005E3F4A" w:rsidRPr="00A17659" w:rsidRDefault="0029023F" w:rsidP="005E3F4A">
      <w:pPr>
        <w:jc w:val="center"/>
        <w:rPr>
          <w:rFonts w:asciiTheme="minorHAnsi" w:hAnsiTheme="minorHAnsi" w:cstheme="minorHAnsi"/>
          <w:lang w:val="cs-CZ"/>
        </w:rPr>
      </w:pPr>
      <w:r w:rsidRPr="00A17659">
        <w:rPr>
          <w:rFonts w:asciiTheme="minorHAnsi" w:hAnsiTheme="minorHAnsi" w:cstheme="minorHAnsi"/>
          <w:noProof/>
          <w:lang w:val="cs-CZ" w:eastAsia="cs-CZ"/>
        </w:rPr>
        <w:drawing>
          <wp:anchor distT="0" distB="0" distL="114300" distR="114300" simplePos="0" relativeHeight="251658240" behindDoc="0" locked="0" layoutInCell="1" allowOverlap="1" wp14:anchorId="6BD6C500" wp14:editId="29508271">
            <wp:simplePos x="0" y="0"/>
            <wp:positionH relativeFrom="margin">
              <wp:align>center</wp:align>
            </wp:positionH>
            <wp:positionV relativeFrom="paragraph">
              <wp:posOffset>-111125</wp:posOffset>
            </wp:positionV>
            <wp:extent cx="713740" cy="504190"/>
            <wp:effectExtent l="0" t="0" r="0" b="0"/>
            <wp:wrapTopAndBottom/>
            <wp:docPr id="4" name="obrázek 4" descr="http://rozcestnik/intranet/utvary/odborKomunikace/jednotVizualStylNKU/documents/LOGO/LOGO bez textu/NKU_logo-transp-rgb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zcestnik/intranet/utvary/odborKomunikace/jednotVizualStylNKU/documents/LOGO/LOGO bez textu/NKU_logo-transp-rgb300dp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47771C2A" w14:textId="77777777" w:rsidR="0029023F" w:rsidRPr="00A17659" w:rsidRDefault="0029023F" w:rsidP="005E3F4A">
      <w:pPr>
        <w:jc w:val="center"/>
        <w:rPr>
          <w:rFonts w:asciiTheme="minorHAnsi" w:hAnsiTheme="minorHAnsi" w:cstheme="minorHAnsi"/>
          <w:lang w:val="cs-CZ"/>
        </w:rPr>
      </w:pPr>
    </w:p>
    <w:p w14:paraId="3F80445C" w14:textId="77777777" w:rsidR="0029023F" w:rsidRPr="00A17659" w:rsidRDefault="0029023F" w:rsidP="005E3F4A">
      <w:pPr>
        <w:jc w:val="center"/>
        <w:rPr>
          <w:rFonts w:asciiTheme="minorHAnsi" w:hAnsiTheme="minorHAnsi" w:cstheme="minorHAnsi"/>
          <w:lang w:val="cs-CZ"/>
        </w:rPr>
      </w:pPr>
    </w:p>
    <w:p w14:paraId="36CB53BD" w14:textId="77777777" w:rsidR="005E3F4A" w:rsidRPr="00A17659" w:rsidRDefault="005E3F4A" w:rsidP="005E3F4A">
      <w:pPr>
        <w:jc w:val="center"/>
        <w:rPr>
          <w:rFonts w:asciiTheme="minorHAnsi" w:hAnsiTheme="minorHAnsi" w:cstheme="minorHAnsi"/>
          <w:b/>
          <w:color w:val="000000"/>
          <w:sz w:val="28"/>
          <w:szCs w:val="28"/>
          <w:lang w:val="cs-CZ"/>
        </w:rPr>
      </w:pPr>
      <w:r w:rsidRPr="00A17659">
        <w:rPr>
          <w:rFonts w:asciiTheme="minorHAnsi" w:hAnsiTheme="minorHAnsi" w:cstheme="minorHAnsi"/>
          <w:b/>
          <w:color w:val="000000"/>
          <w:sz w:val="28"/>
          <w:szCs w:val="28"/>
          <w:lang w:val="cs-CZ"/>
        </w:rPr>
        <w:t>Kontrolní závěr z</w:t>
      </w:r>
      <w:r w:rsidR="00E9785A">
        <w:rPr>
          <w:rFonts w:asciiTheme="minorHAnsi" w:hAnsiTheme="minorHAnsi" w:cstheme="minorHAnsi"/>
          <w:b/>
          <w:color w:val="000000"/>
          <w:sz w:val="28"/>
          <w:szCs w:val="28"/>
          <w:lang w:val="cs-CZ"/>
        </w:rPr>
        <w:t xml:space="preserve"> </w:t>
      </w:r>
      <w:r w:rsidRPr="00A17659">
        <w:rPr>
          <w:rFonts w:asciiTheme="minorHAnsi" w:hAnsiTheme="minorHAnsi" w:cstheme="minorHAnsi"/>
          <w:b/>
          <w:color w:val="000000"/>
          <w:sz w:val="28"/>
          <w:szCs w:val="28"/>
          <w:lang w:val="cs-CZ"/>
        </w:rPr>
        <w:t xml:space="preserve">kontrolní </w:t>
      </w:r>
      <w:r w:rsidR="00FC2455" w:rsidRPr="00A17659">
        <w:rPr>
          <w:rFonts w:asciiTheme="minorHAnsi" w:hAnsiTheme="minorHAnsi" w:cstheme="minorHAnsi"/>
          <w:b/>
          <w:color w:val="000000"/>
          <w:sz w:val="28"/>
          <w:szCs w:val="28"/>
          <w:lang w:val="cs-CZ"/>
        </w:rPr>
        <w:t>akce</w:t>
      </w:r>
    </w:p>
    <w:p w14:paraId="31585D17" w14:textId="77777777" w:rsidR="005E3F4A" w:rsidRPr="00A17659" w:rsidRDefault="005E3F4A" w:rsidP="005E3F4A">
      <w:pPr>
        <w:jc w:val="center"/>
        <w:rPr>
          <w:rFonts w:asciiTheme="minorHAnsi" w:hAnsiTheme="minorHAnsi" w:cstheme="minorHAnsi"/>
          <w:color w:val="000000"/>
          <w:sz w:val="22"/>
          <w:szCs w:val="22"/>
          <w:lang w:val="cs-CZ"/>
        </w:rPr>
      </w:pPr>
    </w:p>
    <w:p w14:paraId="25F8169F" w14:textId="77777777" w:rsidR="005E3F4A" w:rsidRPr="00A17659" w:rsidRDefault="00DA30C8" w:rsidP="005E3F4A">
      <w:pPr>
        <w:jc w:val="center"/>
        <w:rPr>
          <w:rFonts w:asciiTheme="minorHAnsi" w:hAnsiTheme="minorHAnsi" w:cstheme="minorHAnsi"/>
          <w:b/>
          <w:color w:val="000000"/>
          <w:sz w:val="28"/>
          <w:szCs w:val="28"/>
          <w:lang w:val="cs-CZ"/>
        </w:rPr>
      </w:pPr>
      <w:r w:rsidRPr="00A17659">
        <w:rPr>
          <w:rFonts w:asciiTheme="minorHAnsi" w:hAnsiTheme="minorHAnsi" w:cstheme="minorHAnsi"/>
          <w:b/>
          <w:color w:val="000000"/>
          <w:sz w:val="28"/>
          <w:szCs w:val="28"/>
          <w:lang w:val="cs-CZ"/>
        </w:rPr>
        <w:t>1</w:t>
      </w:r>
      <w:r w:rsidR="00224E95" w:rsidRPr="00A17659">
        <w:rPr>
          <w:rFonts w:asciiTheme="minorHAnsi" w:hAnsiTheme="minorHAnsi" w:cstheme="minorHAnsi"/>
          <w:b/>
          <w:color w:val="000000"/>
          <w:sz w:val="28"/>
          <w:szCs w:val="28"/>
          <w:lang w:val="cs-CZ"/>
        </w:rPr>
        <w:t>5</w:t>
      </w:r>
      <w:r w:rsidRPr="00A17659">
        <w:rPr>
          <w:rFonts w:asciiTheme="minorHAnsi" w:hAnsiTheme="minorHAnsi" w:cstheme="minorHAnsi"/>
          <w:b/>
          <w:color w:val="000000"/>
          <w:sz w:val="28"/>
          <w:szCs w:val="28"/>
          <w:lang w:val="cs-CZ"/>
        </w:rPr>
        <w:t>/</w:t>
      </w:r>
      <w:r w:rsidR="00224E95" w:rsidRPr="00A17659">
        <w:rPr>
          <w:rFonts w:asciiTheme="minorHAnsi" w:hAnsiTheme="minorHAnsi" w:cstheme="minorHAnsi"/>
          <w:b/>
          <w:color w:val="000000"/>
          <w:sz w:val="28"/>
          <w:szCs w:val="28"/>
          <w:lang w:val="cs-CZ"/>
        </w:rPr>
        <w:t>34</w:t>
      </w:r>
    </w:p>
    <w:p w14:paraId="39888E61" w14:textId="77777777" w:rsidR="005E3F4A" w:rsidRPr="00A17659" w:rsidRDefault="005E3F4A" w:rsidP="005E3F4A">
      <w:pPr>
        <w:jc w:val="center"/>
        <w:rPr>
          <w:rFonts w:asciiTheme="minorHAnsi" w:hAnsiTheme="minorHAnsi" w:cstheme="minorHAnsi"/>
          <w:color w:val="000000"/>
          <w:sz w:val="22"/>
          <w:szCs w:val="22"/>
          <w:lang w:val="cs-CZ"/>
        </w:rPr>
      </w:pPr>
    </w:p>
    <w:p w14:paraId="46CAF70E" w14:textId="77777777" w:rsidR="00DA30C8" w:rsidRPr="00A17659" w:rsidRDefault="00DA30C8" w:rsidP="00DA30C8">
      <w:pPr>
        <w:jc w:val="center"/>
        <w:rPr>
          <w:rFonts w:asciiTheme="minorHAnsi" w:hAnsiTheme="minorHAnsi" w:cstheme="minorHAnsi"/>
          <w:b/>
          <w:sz w:val="28"/>
          <w:szCs w:val="28"/>
          <w:lang w:val="cs-CZ"/>
        </w:rPr>
      </w:pPr>
      <w:r w:rsidRPr="00A17659">
        <w:rPr>
          <w:rFonts w:asciiTheme="minorHAnsi" w:hAnsiTheme="minorHAnsi" w:cstheme="minorHAnsi"/>
          <w:b/>
          <w:sz w:val="28"/>
          <w:szCs w:val="28"/>
          <w:lang w:val="cs-CZ"/>
        </w:rPr>
        <w:t>Peněžní prostředky vynakládané na úhradu nákladů z</w:t>
      </w:r>
      <w:r w:rsidR="00E9785A">
        <w:rPr>
          <w:rFonts w:asciiTheme="minorHAnsi" w:hAnsiTheme="minorHAnsi" w:cstheme="minorHAnsi"/>
          <w:b/>
          <w:sz w:val="28"/>
          <w:szCs w:val="28"/>
          <w:lang w:val="cs-CZ"/>
        </w:rPr>
        <w:t xml:space="preserve"> </w:t>
      </w:r>
      <w:r w:rsidRPr="00A17659">
        <w:rPr>
          <w:rFonts w:asciiTheme="minorHAnsi" w:hAnsiTheme="minorHAnsi" w:cstheme="minorHAnsi"/>
          <w:b/>
          <w:sz w:val="28"/>
          <w:szCs w:val="28"/>
          <w:lang w:val="cs-CZ"/>
        </w:rPr>
        <w:t xml:space="preserve">činnosti </w:t>
      </w:r>
      <w:r w:rsidR="003A22F1">
        <w:rPr>
          <w:rFonts w:asciiTheme="minorHAnsi" w:hAnsiTheme="minorHAnsi" w:cstheme="minorHAnsi"/>
          <w:b/>
          <w:sz w:val="28"/>
          <w:szCs w:val="28"/>
          <w:lang w:val="cs-CZ"/>
        </w:rPr>
        <w:br/>
      </w:r>
      <w:r w:rsidRPr="00A17659">
        <w:rPr>
          <w:rFonts w:asciiTheme="minorHAnsi" w:hAnsiTheme="minorHAnsi" w:cstheme="minorHAnsi"/>
          <w:b/>
          <w:sz w:val="28"/>
          <w:szCs w:val="28"/>
          <w:lang w:val="cs-CZ"/>
        </w:rPr>
        <w:t>u</w:t>
      </w:r>
      <w:r w:rsidR="003A22F1">
        <w:rPr>
          <w:rFonts w:asciiTheme="minorHAnsi" w:hAnsiTheme="minorHAnsi" w:cstheme="minorHAnsi"/>
          <w:b/>
          <w:sz w:val="28"/>
          <w:szCs w:val="28"/>
          <w:lang w:val="cs-CZ"/>
        </w:rPr>
        <w:t> </w:t>
      </w:r>
      <w:r w:rsidRPr="00A17659">
        <w:rPr>
          <w:rFonts w:asciiTheme="minorHAnsi" w:hAnsiTheme="minorHAnsi" w:cstheme="minorHAnsi"/>
          <w:b/>
          <w:sz w:val="28"/>
          <w:szCs w:val="28"/>
          <w:lang w:val="cs-CZ"/>
        </w:rPr>
        <w:t xml:space="preserve">vybraných </w:t>
      </w:r>
      <w:r w:rsidR="00224E95" w:rsidRPr="00A17659">
        <w:rPr>
          <w:rFonts w:asciiTheme="minorHAnsi" w:hAnsiTheme="minorHAnsi" w:cstheme="minorHAnsi"/>
          <w:b/>
          <w:sz w:val="28"/>
          <w:szCs w:val="28"/>
          <w:lang w:val="cs-CZ"/>
        </w:rPr>
        <w:t>ministerstev</w:t>
      </w:r>
      <w:r w:rsidRPr="00A17659">
        <w:rPr>
          <w:rFonts w:asciiTheme="minorHAnsi" w:hAnsiTheme="minorHAnsi" w:cstheme="minorHAnsi"/>
          <w:b/>
          <w:sz w:val="28"/>
          <w:szCs w:val="28"/>
          <w:lang w:val="cs-CZ"/>
        </w:rPr>
        <w:t xml:space="preserve"> </w:t>
      </w:r>
    </w:p>
    <w:p w14:paraId="7374A96D" w14:textId="77777777" w:rsidR="005E3F4A" w:rsidRPr="00A17659" w:rsidRDefault="005E3F4A" w:rsidP="003A22F1">
      <w:pPr>
        <w:jc w:val="both"/>
        <w:rPr>
          <w:rFonts w:asciiTheme="minorHAnsi" w:hAnsiTheme="minorHAnsi" w:cstheme="minorHAnsi"/>
          <w:color w:val="000000"/>
          <w:lang w:val="cs-CZ"/>
        </w:rPr>
      </w:pPr>
    </w:p>
    <w:p w14:paraId="5D94B687" w14:textId="77777777" w:rsidR="005E3F4A" w:rsidRPr="00A17659" w:rsidRDefault="005E3F4A" w:rsidP="003A22F1">
      <w:pPr>
        <w:jc w:val="both"/>
        <w:rPr>
          <w:rFonts w:asciiTheme="minorHAnsi" w:hAnsiTheme="minorHAnsi" w:cstheme="minorHAnsi"/>
          <w:color w:val="000000"/>
          <w:lang w:val="cs-CZ"/>
        </w:rPr>
      </w:pPr>
    </w:p>
    <w:p w14:paraId="2D2B43AB" w14:textId="77777777" w:rsidR="00DA30C8" w:rsidRPr="00A17659" w:rsidRDefault="00DA30C8" w:rsidP="003A22F1">
      <w:pPr>
        <w:jc w:val="both"/>
        <w:rPr>
          <w:rFonts w:asciiTheme="minorHAnsi" w:hAnsiTheme="minorHAnsi" w:cstheme="minorHAnsi"/>
          <w:lang w:val="cs-CZ"/>
        </w:rPr>
      </w:pPr>
      <w:r w:rsidRPr="00A17659">
        <w:rPr>
          <w:rFonts w:asciiTheme="minorHAnsi" w:hAnsiTheme="minorHAnsi" w:cstheme="minorHAnsi"/>
          <w:spacing w:val="-2"/>
          <w:lang w:val="cs-CZ"/>
        </w:rPr>
        <w:t xml:space="preserve">Kontrolní akce byla zařazena do plánu kontrolní činnosti Nejvyššího kontrolního úřadu </w:t>
      </w:r>
      <w:r w:rsidRPr="00A17659">
        <w:rPr>
          <w:rFonts w:asciiTheme="minorHAnsi" w:hAnsiTheme="minorHAnsi" w:cstheme="minorHAnsi"/>
          <w:lang w:val="cs-CZ"/>
        </w:rPr>
        <w:t>(dále jen „NKÚ“) na rok 201</w:t>
      </w:r>
      <w:r w:rsidR="00224E95" w:rsidRPr="00A17659">
        <w:rPr>
          <w:rFonts w:asciiTheme="minorHAnsi" w:hAnsiTheme="minorHAnsi" w:cstheme="minorHAnsi"/>
          <w:lang w:val="cs-CZ"/>
        </w:rPr>
        <w:t>5</w:t>
      </w:r>
      <w:r w:rsidRPr="00A17659">
        <w:rPr>
          <w:rFonts w:asciiTheme="minorHAnsi" w:hAnsiTheme="minorHAnsi" w:cstheme="minorHAnsi"/>
          <w:lang w:val="cs-CZ"/>
        </w:rPr>
        <w:t xml:space="preserve"> pod číslem 1</w:t>
      </w:r>
      <w:r w:rsidR="00224E95" w:rsidRPr="00A17659">
        <w:rPr>
          <w:rFonts w:asciiTheme="minorHAnsi" w:hAnsiTheme="minorHAnsi" w:cstheme="minorHAnsi"/>
          <w:lang w:val="cs-CZ"/>
        </w:rPr>
        <w:t>5</w:t>
      </w:r>
      <w:r w:rsidRPr="00A17659">
        <w:rPr>
          <w:rFonts w:asciiTheme="minorHAnsi" w:hAnsiTheme="minorHAnsi" w:cstheme="minorHAnsi"/>
          <w:lang w:val="cs-CZ"/>
        </w:rPr>
        <w:t>/</w:t>
      </w:r>
      <w:r w:rsidR="00224E95" w:rsidRPr="00A17659">
        <w:rPr>
          <w:rFonts w:asciiTheme="minorHAnsi" w:hAnsiTheme="minorHAnsi" w:cstheme="minorHAnsi"/>
          <w:lang w:val="cs-CZ"/>
        </w:rPr>
        <w:t>34</w:t>
      </w:r>
      <w:r w:rsidRPr="00A17659">
        <w:rPr>
          <w:rFonts w:asciiTheme="minorHAnsi" w:hAnsiTheme="minorHAnsi" w:cstheme="minorHAnsi"/>
          <w:lang w:val="cs-CZ"/>
        </w:rPr>
        <w:t xml:space="preserve">. Kontrolní akci </w:t>
      </w:r>
      <w:r w:rsidR="004A4B4D" w:rsidRPr="00A17659">
        <w:rPr>
          <w:rFonts w:asciiTheme="minorHAnsi" w:hAnsiTheme="minorHAnsi" w:cstheme="minorHAnsi"/>
          <w:lang w:val="cs-CZ"/>
        </w:rPr>
        <w:t xml:space="preserve">řídil </w:t>
      </w:r>
      <w:r w:rsidR="00BA493F" w:rsidRPr="00A17659">
        <w:rPr>
          <w:rFonts w:asciiTheme="minorHAnsi" w:hAnsiTheme="minorHAnsi" w:cstheme="minorHAnsi"/>
          <w:lang w:val="cs-CZ"/>
        </w:rPr>
        <w:t>a kontrolní závěr vypracoval člen NKÚ Ing. Jan Vedral.</w:t>
      </w:r>
    </w:p>
    <w:p w14:paraId="6FCFBCCD" w14:textId="77777777" w:rsidR="005E3F4A" w:rsidRPr="00A17659" w:rsidRDefault="005E3F4A" w:rsidP="003A22F1">
      <w:pPr>
        <w:jc w:val="both"/>
        <w:rPr>
          <w:rFonts w:asciiTheme="minorHAnsi" w:hAnsiTheme="minorHAnsi" w:cstheme="minorHAnsi"/>
          <w:color w:val="000000"/>
          <w:lang w:val="cs-CZ"/>
        </w:rPr>
      </w:pPr>
    </w:p>
    <w:p w14:paraId="0F8B01D5" w14:textId="77777777" w:rsidR="0056140F" w:rsidRDefault="005E3F4A" w:rsidP="003A22F1">
      <w:pPr>
        <w:jc w:val="both"/>
        <w:rPr>
          <w:rFonts w:asciiTheme="minorHAnsi" w:hAnsiTheme="minorHAnsi" w:cstheme="minorHAnsi"/>
          <w:color w:val="000000"/>
          <w:lang w:val="cs-CZ"/>
        </w:rPr>
      </w:pPr>
      <w:r w:rsidRPr="00A17659">
        <w:rPr>
          <w:rFonts w:asciiTheme="minorHAnsi" w:hAnsiTheme="minorHAnsi" w:cstheme="minorHAnsi"/>
          <w:color w:val="000000"/>
          <w:lang w:val="cs-CZ"/>
        </w:rPr>
        <w:t xml:space="preserve">Cílem kontroly bylo </w:t>
      </w:r>
      <w:r w:rsidR="0056140F" w:rsidRPr="00A17659">
        <w:rPr>
          <w:rFonts w:asciiTheme="minorHAnsi" w:hAnsiTheme="minorHAnsi" w:cstheme="minorHAnsi"/>
          <w:lang w:val="cs-CZ"/>
        </w:rPr>
        <w:t>prověřit hospodaření s</w:t>
      </w:r>
      <w:r w:rsidR="00E9785A">
        <w:rPr>
          <w:rFonts w:asciiTheme="minorHAnsi" w:hAnsiTheme="minorHAnsi" w:cstheme="minorHAnsi"/>
          <w:lang w:val="cs-CZ"/>
        </w:rPr>
        <w:t xml:space="preserve"> </w:t>
      </w:r>
      <w:r w:rsidR="0056140F" w:rsidRPr="00A17659">
        <w:rPr>
          <w:rFonts w:asciiTheme="minorHAnsi" w:hAnsiTheme="minorHAnsi" w:cstheme="minorHAnsi"/>
          <w:lang w:val="cs-CZ"/>
        </w:rPr>
        <w:t>peněžními prostředky</w:t>
      </w:r>
      <w:r w:rsidR="00AE6D6D">
        <w:rPr>
          <w:rFonts w:asciiTheme="minorHAnsi" w:hAnsiTheme="minorHAnsi" w:cstheme="minorHAnsi"/>
          <w:lang w:val="cs-CZ"/>
        </w:rPr>
        <w:t xml:space="preserve"> vynakládanými</w:t>
      </w:r>
      <w:r w:rsidR="0039217F">
        <w:rPr>
          <w:rFonts w:asciiTheme="minorHAnsi" w:hAnsiTheme="minorHAnsi" w:cstheme="minorHAnsi"/>
          <w:lang w:val="cs-CZ"/>
        </w:rPr>
        <w:t xml:space="preserve"> u</w:t>
      </w:r>
      <w:r w:rsidR="00E9785A">
        <w:rPr>
          <w:rFonts w:asciiTheme="minorHAnsi" w:hAnsiTheme="minorHAnsi" w:cstheme="minorHAnsi"/>
          <w:lang w:val="cs-CZ"/>
        </w:rPr>
        <w:t> </w:t>
      </w:r>
      <w:r w:rsidR="0039217F">
        <w:rPr>
          <w:rFonts w:asciiTheme="minorHAnsi" w:hAnsiTheme="minorHAnsi" w:cstheme="minorHAnsi"/>
          <w:lang w:val="cs-CZ"/>
        </w:rPr>
        <w:t>vybraných ministerstev</w:t>
      </w:r>
      <w:r w:rsidR="0056140F" w:rsidRPr="00A17659">
        <w:rPr>
          <w:rFonts w:asciiTheme="minorHAnsi" w:hAnsiTheme="minorHAnsi" w:cstheme="minorHAnsi"/>
          <w:lang w:val="cs-CZ"/>
        </w:rPr>
        <w:t xml:space="preserve"> na úhradu nákladů </w:t>
      </w:r>
      <w:r w:rsidR="0056140F" w:rsidRPr="00A17659">
        <w:rPr>
          <w:rFonts w:asciiTheme="minorHAnsi" w:hAnsiTheme="minorHAnsi" w:cstheme="minorHAnsi"/>
          <w:color w:val="000000"/>
          <w:lang w:val="cs-CZ"/>
        </w:rPr>
        <w:t>z</w:t>
      </w:r>
      <w:r w:rsidR="00E9785A">
        <w:rPr>
          <w:rFonts w:asciiTheme="minorHAnsi" w:hAnsiTheme="minorHAnsi" w:cstheme="minorHAnsi"/>
          <w:color w:val="000000"/>
          <w:lang w:val="cs-CZ"/>
        </w:rPr>
        <w:t xml:space="preserve"> </w:t>
      </w:r>
      <w:r w:rsidR="0056140F" w:rsidRPr="00A17659">
        <w:rPr>
          <w:rFonts w:asciiTheme="minorHAnsi" w:hAnsiTheme="minorHAnsi" w:cstheme="minorHAnsi"/>
          <w:color w:val="000000"/>
          <w:lang w:val="cs-CZ"/>
        </w:rPr>
        <w:t>činnosti</w:t>
      </w:r>
      <w:r w:rsidR="00AE6D6D">
        <w:rPr>
          <w:rFonts w:asciiTheme="minorHAnsi" w:hAnsiTheme="minorHAnsi" w:cstheme="minorHAnsi"/>
          <w:color w:val="000000"/>
          <w:lang w:val="cs-CZ"/>
        </w:rPr>
        <w:t>, včetně nákladů na konzultační, poradenské a právní služby</w:t>
      </w:r>
      <w:r w:rsidR="00647BC9">
        <w:rPr>
          <w:rFonts w:asciiTheme="minorHAnsi" w:hAnsiTheme="minorHAnsi" w:cstheme="minorHAnsi"/>
          <w:color w:val="000000"/>
          <w:lang w:val="cs-CZ"/>
        </w:rPr>
        <w:t>.</w:t>
      </w:r>
    </w:p>
    <w:p w14:paraId="62D1F782" w14:textId="77777777" w:rsidR="003A22F1" w:rsidRPr="0039217F" w:rsidRDefault="003A22F1" w:rsidP="003A22F1">
      <w:pPr>
        <w:jc w:val="both"/>
        <w:rPr>
          <w:rFonts w:asciiTheme="minorHAnsi" w:hAnsiTheme="minorHAnsi" w:cstheme="minorHAnsi"/>
          <w:lang w:val="cs-CZ"/>
        </w:rPr>
      </w:pPr>
    </w:p>
    <w:p w14:paraId="2C1119BC" w14:textId="77777777" w:rsidR="005E3F4A" w:rsidRPr="00A17659" w:rsidRDefault="00DA30C8" w:rsidP="003A22F1">
      <w:pPr>
        <w:jc w:val="both"/>
        <w:rPr>
          <w:rFonts w:asciiTheme="minorHAnsi" w:hAnsiTheme="minorHAnsi" w:cstheme="minorHAnsi"/>
        </w:rPr>
      </w:pPr>
      <w:r w:rsidRPr="00A17659">
        <w:rPr>
          <w:rFonts w:asciiTheme="minorHAnsi" w:hAnsiTheme="minorHAnsi" w:cstheme="minorHAnsi"/>
          <w:lang w:val="cs-CZ"/>
        </w:rPr>
        <w:t>Kontr</w:t>
      </w:r>
      <w:r w:rsidR="00C65132" w:rsidRPr="00A17659">
        <w:rPr>
          <w:rFonts w:asciiTheme="minorHAnsi" w:hAnsiTheme="minorHAnsi" w:cstheme="minorHAnsi"/>
          <w:lang w:val="cs-CZ"/>
        </w:rPr>
        <w:t xml:space="preserve">ola byla prováděna </w:t>
      </w:r>
      <w:r w:rsidR="00937244">
        <w:rPr>
          <w:rFonts w:asciiTheme="minorHAnsi" w:hAnsiTheme="minorHAnsi" w:cstheme="minorHAnsi"/>
          <w:lang w:val="cs-CZ"/>
        </w:rPr>
        <w:t xml:space="preserve">u kontrolovaných osob </w:t>
      </w:r>
      <w:r w:rsidR="00C65132" w:rsidRPr="00A17659">
        <w:rPr>
          <w:rFonts w:asciiTheme="minorHAnsi" w:hAnsiTheme="minorHAnsi" w:cstheme="minorHAnsi"/>
          <w:lang w:val="cs-CZ"/>
        </w:rPr>
        <w:t>od října 2015</w:t>
      </w:r>
      <w:r w:rsidRPr="00A17659">
        <w:rPr>
          <w:rFonts w:asciiTheme="minorHAnsi" w:hAnsiTheme="minorHAnsi" w:cstheme="minorHAnsi"/>
          <w:lang w:val="cs-CZ"/>
        </w:rPr>
        <w:t xml:space="preserve"> do dubna</w:t>
      </w:r>
      <w:r w:rsidR="00C65132" w:rsidRPr="00A17659">
        <w:rPr>
          <w:rFonts w:asciiTheme="minorHAnsi" w:hAnsiTheme="minorHAnsi" w:cstheme="minorHAnsi"/>
          <w:lang w:val="cs-CZ"/>
        </w:rPr>
        <w:t xml:space="preserve"> 2016</w:t>
      </w:r>
      <w:r w:rsidRPr="00A17659">
        <w:rPr>
          <w:rFonts w:asciiTheme="minorHAnsi" w:hAnsiTheme="minorHAnsi" w:cstheme="minorHAnsi"/>
        </w:rPr>
        <w:t>.</w:t>
      </w:r>
    </w:p>
    <w:p w14:paraId="2714FD2B" w14:textId="77777777" w:rsidR="00DA30C8" w:rsidRPr="00A17659" w:rsidRDefault="00DA30C8" w:rsidP="003A22F1">
      <w:pPr>
        <w:jc w:val="both"/>
        <w:rPr>
          <w:rFonts w:asciiTheme="minorHAnsi" w:hAnsiTheme="minorHAnsi" w:cstheme="minorHAnsi"/>
          <w:color w:val="000000"/>
          <w:lang w:val="cs-CZ"/>
        </w:rPr>
      </w:pPr>
    </w:p>
    <w:p w14:paraId="6B41131D" w14:textId="77777777" w:rsidR="005E3F4A" w:rsidRPr="00A17659" w:rsidRDefault="005E3F4A" w:rsidP="003A22F1">
      <w:pPr>
        <w:jc w:val="both"/>
        <w:rPr>
          <w:rFonts w:asciiTheme="minorHAnsi" w:hAnsiTheme="minorHAnsi" w:cstheme="minorHAnsi"/>
          <w:color w:val="000000"/>
          <w:lang w:val="cs-CZ"/>
        </w:rPr>
      </w:pPr>
      <w:r w:rsidRPr="00A17659">
        <w:rPr>
          <w:rFonts w:asciiTheme="minorHAnsi" w:hAnsiTheme="minorHAnsi" w:cstheme="minorHAnsi"/>
          <w:color w:val="000000"/>
          <w:lang w:val="cs-CZ"/>
        </w:rPr>
        <w:t>Kontrolov</w:t>
      </w:r>
      <w:r w:rsidR="00A901A2" w:rsidRPr="00A17659">
        <w:rPr>
          <w:rFonts w:asciiTheme="minorHAnsi" w:hAnsiTheme="minorHAnsi" w:cstheme="minorHAnsi"/>
          <w:color w:val="000000"/>
          <w:lang w:val="cs-CZ"/>
        </w:rPr>
        <w:t>áno</w:t>
      </w:r>
      <w:r w:rsidRPr="00A17659">
        <w:rPr>
          <w:rFonts w:asciiTheme="minorHAnsi" w:hAnsiTheme="minorHAnsi" w:cstheme="minorHAnsi"/>
          <w:color w:val="000000"/>
          <w:lang w:val="cs-CZ"/>
        </w:rPr>
        <w:t xml:space="preserve"> bylo </w:t>
      </w:r>
      <w:r w:rsidR="00A901A2" w:rsidRPr="00A17659">
        <w:rPr>
          <w:rFonts w:asciiTheme="minorHAnsi" w:hAnsiTheme="minorHAnsi" w:cstheme="minorHAnsi"/>
          <w:color w:val="000000"/>
          <w:lang w:val="cs-CZ"/>
        </w:rPr>
        <w:t xml:space="preserve">období </w:t>
      </w:r>
      <w:r w:rsidRPr="00A17659">
        <w:rPr>
          <w:rFonts w:asciiTheme="minorHAnsi" w:hAnsiTheme="minorHAnsi" w:cstheme="minorHAnsi"/>
          <w:color w:val="000000"/>
          <w:lang w:val="cs-CZ"/>
        </w:rPr>
        <w:t xml:space="preserve">od </w:t>
      </w:r>
      <w:r w:rsidR="0056140F" w:rsidRPr="00A17659">
        <w:rPr>
          <w:rFonts w:asciiTheme="minorHAnsi" w:hAnsiTheme="minorHAnsi" w:cstheme="minorHAnsi"/>
          <w:color w:val="000000"/>
          <w:lang w:val="cs-CZ"/>
        </w:rPr>
        <w:t xml:space="preserve">roku </w:t>
      </w:r>
      <w:r w:rsidR="00DA30C8" w:rsidRPr="00A17659">
        <w:rPr>
          <w:rFonts w:asciiTheme="minorHAnsi" w:hAnsiTheme="minorHAnsi" w:cstheme="minorHAnsi"/>
          <w:color w:val="000000"/>
          <w:lang w:val="cs-CZ"/>
        </w:rPr>
        <w:t>201</w:t>
      </w:r>
      <w:r w:rsidR="00C65132" w:rsidRPr="00A17659">
        <w:rPr>
          <w:rFonts w:asciiTheme="minorHAnsi" w:hAnsiTheme="minorHAnsi" w:cstheme="minorHAnsi"/>
          <w:color w:val="000000"/>
          <w:lang w:val="cs-CZ"/>
        </w:rPr>
        <w:t>3</w:t>
      </w:r>
      <w:r w:rsidRPr="00A17659">
        <w:rPr>
          <w:rFonts w:asciiTheme="minorHAnsi" w:hAnsiTheme="minorHAnsi" w:cstheme="minorHAnsi"/>
          <w:color w:val="000000"/>
          <w:lang w:val="cs-CZ"/>
        </w:rPr>
        <w:t xml:space="preserve"> do </w:t>
      </w:r>
      <w:r w:rsidR="0056140F" w:rsidRPr="00A17659">
        <w:rPr>
          <w:rFonts w:asciiTheme="minorHAnsi" w:hAnsiTheme="minorHAnsi" w:cstheme="minorHAnsi"/>
          <w:color w:val="000000"/>
          <w:lang w:val="cs-CZ"/>
        </w:rPr>
        <w:t xml:space="preserve">roku </w:t>
      </w:r>
      <w:r w:rsidR="00DA30C8" w:rsidRPr="00A17659">
        <w:rPr>
          <w:rFonts w:asciiTheme="minorHAnsi" w:hAnsiTheme="minorHAnsi" w:cstheme="minorHAnsi"/>
          <w:color w:val="000000"/>
          <w:lang w:val="cs-CZ"/>
        </w:rPr>
        <w:t>2014</w:t>
      </w:r>
      <w:r w:rsidR="00F218FE" w:rsidRPr="00A17659">
        <w:rPr>
          <w:rFonts w:asciiTheme="minorHAnsi" w:hAnsiTheme="minorHAnsi" w:cstheme="minorHAnsi"/>
          <w:color w:val="000000"/>
          <w:lang w:val="cs-CZ"/>
        </w:rPr>
        <w:t xml:space="preserve">, </w:t>
      </w:r>
      <w:r w:rsidRPr="00A17659">
        <w:rPr>
          <w:rFonts w:asciiTheme="minorHAnsi" w:hAnsiTheme="minorHAnsi" w:cstheme="minorHAnsi"/>
          <w:color w:val="000000"/>
          <w:lang w:val="cs-CZ"/>
        </w:rPr>
        <w:t>v</w:t>
      </w:r>
      <w:r w:rsidR="00E9785A">
        <w:rPr>
          <w:rFonts w:asciiTheme="minorHAnsi" w:hAnsiTheme="minorHAnsi" w:cstheme="minorHAnsi"/>
          <w:color w:val="000000"/>
          <w:lang w:val="cs-CZ"/>
        </w:rPr>
        <w:t xml:space="preserve"> </w:t>
      </w:r>
      <w:r w:rsidRPr="00A17659">
        <w:rPr>
          <w:rFonts w:asciiTheme="minorHAnsi" w:hAnsiTheme="minorHAnsi" w:cstheme="minorHAnsi"/>
          <w:color w:val="000000"/>
          <w:lang w:val="cs-CZ"/>
        </w:rPr>
        <w:t>případě věcných souvi</w:t>
      </w:r>
      <w:r w:rsidR="00826B75" w:rsidRPr="00A17659">
        <w:rPr>
          <w:rFonts w:asciiTheme="minorHAnsi" w:hAnsiTheme="minorHAnsi" w:cstheme="minorHAnsi"/>
          <w:color w:val="000000"/>
          <w:lang w:val="cs-CZ"/>
        </w:rPr>
        <w:t>slostí i</w:t>
      </w:r>
      <w:r w:rsidR="00E9785A">
        <w:rPr>
          <w:rFonts w:asciiTheme="minorHAnsi" w:hAnsiTheme="minorHAnsi" w:cstheme="minorHAnsi"/>
          <w:color w:val="000000"/>
          <w:lang w:val="cs-CZ"/>
        </w:rPr>
        <w:t xml:space="preserve"> </w:t>
      </w:r>
      <w:r w:rsidR="00826B75" w:rsidRPr="00A17659">
        <w:rPr>
          <w:rFonts w:asciiTheme="minorHAnsi" w:hAnsiTheme="minorHAnsi" w:cstheme="minorHAnsi"/>
          <w:color w:val="000000"/>
          <w:lang w:val="cs-CZ"/>
        </w:rPr>
        <w:t>období předcházející a</w:t>
      </w:r>
      <w:r w:rsidR="00E9785A">
        <w:rPr>
          <w:rFonts w:asciiTheme="minorHAnsi" w:hAnsiTheme="minorHAnsi" w:cstheme="minorHAnsi"/>
          <w:color w:val="000000"/>
          <w:lang w:val="cs-CZ"/>
        </w:rPr>
        <w:t xml:space="preserve"> </w:t>
      </w:r>
      <w:r w:rsidR="00F218FE" w:rsidRPr="00A17659">
        <w:rPr>
          <w:rFonts w:asciiTheme="minorHAnsi" w:hAnsiTheme="minorHAnsi" w:cstheme="minorHAnsi"/>
          <w:color w:val="000000"/>
          <w:lang w:val="cs-CZ"/>
        </w:rPr>
        <w:t>následující</w:t>
      </w:r>
      <w:r w:rsidRPr="00A17659">
        <w:rPr>
          <w:rFonts w:asciiTheme="minorHAnsi" w:hAnsiTheme="minorHAnsi" w:cstheme="minorHAnsi"/>
          <w:color w:val="000000"/>
          <w:lang w:val="cs-CZ"/>
        </w:rPr>
        <w:t>.</w:t>
      </w:r>
    </w:p>
    <w:p w14:paraId="3A873E17" w14:textId="77777777" w:rsidR="005E3F4A" w:rsidRPr="00A17659" w:rsidRDefault="005E3F4A" w:rsidP="003A22F1">
      <w:pPr>
        <w:jc w:val="both"/>
        <w:rPr>
          <w:rFonts w:asciiTheme="minorHAnsi" w:hAnsiTheme="minorHAnsi" w:cstheme="minorHAnsi"/>
          <w:color w:val="000000"/>
          <w:lang w:val="cs-CZ"/>
        </w:rPr>
      </w:pPr>
    </w:p>
    <w:p w14:paraId="7165CA40" w14:textId="77777777" w:rsidR="00F218FE" w:rsidRPr="00A17659" w:rsidRDefault="005E3F4A" w:rsidP="003A22F1">
      <w:pPr>
        <w:rPr>
          <w:rFonts w:asciiTheme="minorHAnsi" w:hAnsiTheme="minorHAnsi" w:cstheme="minorHAnsi"/>
          <w:lang w:val="cs-CZ"/>
        </w:rPr>
      </w:pPr>
      <w:r w:rsidRPr="009464B0">
        <w:rPr>
          <w:rFonts w:asciiTheme="minorHAnsi" w:hAnsiTheme="minorHAnsi" w:cstheme="minorHAnsi"/>
          <w:b/>
          <w:color w:val="000000"/>
          <w:lang w:val="cs-CZ"/>
        </w:rPr>
        <w:t>Kontrolované osoby:</w:t>
      </w:r>
      <w:r w:rsidRPr="009464B0">
        <w:rPr>
          <w:rFonts w:asciiTheme="minorHAnsi" w:hAnsiTheme="minorHAnsi" w:cstheme="minorHAnsi"/>
          <w:b/>
          <w:color w:val="000000"/>
          <w:lang w:val="cs-CZ"/>
        </w:rPr>
        <w:cr/>
      </w:r>
      <w:r w:rsidR="00C65132" w:rsidRPr="00A17659">
        <w:rPr>
          <w:rFonts w:asciiTheme="minorHAnsi" w:hAnsiTheme="minorHAnsi" w:cstheme="minorHAnsi"/>
          <w:lang w:val="cs-CZ"/>
        </w:rPr>
        <w:t>Ministerstvo obrany (dále také „MO“)</w:t>
      </w:r>
      <w:r w:rsidR="005C0DB1" w:rsidRPr="00A17659">
        <w:rPr>
          <w:rFonts w:asciiTheme="minorHAnsi" w:hAnsiTheme="minorHAnsi" w:cstheme="minorHAnsi"/>
          <w:lang w:val="cs-CZ"/>
        </w:rPr>
        <w:t>;</w:t>
      </w:r>
      <w:r w:rsidR="002D6A98" w:rsidRPr="00A17659">
        <w:rPr>
          <w:rFonts w:asciiTheme="minorHAnsi" w:hAnsiTheme="minorHAnsi" w:cstheme="minorHAnsi"/>
          <w:lang w:val="cs-CZ"/>
        </w:rPr>
        <w:t xml:space="preserve"> </w:t>
      </w:r>
    </w:p>
    <w:p w14:paraId="690CE78B" w14:textId="77777777" w:rsidR="005E3F4A" w:rsidRPr="00A17659" w:rsidRDefault="00C65132" w:rsidP="003A22F1">
      <w:pPr>
        <w:jc w:val="both"/>
        <w:rPr>
          <w:rFonts w:asciiTheme="minorHAnsi" w:hAnsiTheme="minorHAnsi" w:cstheme="minorHAnsi"/>
          <w:color w:val="000000"/>
          <w:lang w:val="cs-CZ"/>
        </w:rPr>
      </w:pPr>
      <w:r w:rsidRPr="00A17659">
        <w:rPr>
          <w:rFonts w:asciiTheme="minorHAnsi" w:hAnsiTheme="minorHAnsi" w:cstheme="minorHAnsi"/>
          <w:lang w:val="cs-CZ"/>
        </w:rPr>
        <w:t>Ministerstvo práce a sociálních věcí (dále také „MPSV“);</w:t>
      </w:r>
    </w:p>
    <w:p w14:paraId="2F1BA7B9" w14:textId="77777777" w:rsidR="003F0E91" w:rsidRPr="00A17659" w:rsidRDefault="00C65132" w:rsidP="003A22F1">
      <w:pPr>
        <w:rPr>
          <w:rFonts w:asciiTheme="minorHAnsi" w:hAnsiTheme="minorHAnsi" w:cstheme="minorHAnsi"/>
          <w:lang w:val="cs-CZ"/>
        </w:rPr>
      </w:pPr>
      <w:bookmarkStart w:id="0" w:name="_GoBack"/>
      <w:r w:rsidRPr="00A17659">
        <w:rPr>
          <w:rFonts w:asciiTheme="minorHAnsi" w:hAnsiTheme="minorHAnsi" w:cstheme="minorHAnsi"/>
          <w:lang w:val="cs-CZ"/>
        </w:rPr>
        <w:t xml:space="preserve">Ministerstvo zemědělství </w:t>
      </w:r>
      <w:bookmarkEnd w:id="0"/>
      <w:r w:rsidRPr="00A17659">
        <w:rPr>
          <w:rFonts w:asciiTheme="minorHAnsi" w:hAnsiTheme="minorHAnsi" w:cstheme="minorHAnsi"/>
          <w:lang w:val="cs-CZ"/>
        </w:rPr>
        <w:t>(dále také „</w:t>
      </w:r>
      <w:proofErr w:type="spellStart"/>
      <w:r w:rsidRPr="00A17659">
        <w:rPr>
          <w:rFonts w:asciiTheme="minorHAnsi" w:hAnsiTheme="minorHAnsi" w:cstheme="minorHAnsi"/>
          <w:lang w:val="cs-CZ"/>
        </w:rPr>
        <w:t>MZe</w:t>
      </w:r>
      <w:proofErr w:type="spellEnd"/>
      <w:r w:rsidRPr="00A17659">
        <w:rPr>
          <w:rFonts w:asciiTheme="minorHAnsi" w:hAnsiTheme="minorHAnsi" w:cstheme="minorHAnsi"/>
          <w:lang w:val="cs-CZ"/>
        </w:rPr>
        <w:t>“)</w:t>
      </w:r>
      <w:r w:rsidR="00223F73" w:rsidRPr="00A17659">
        <w:rPr>
          <w:rFonts w:asciiTheme="minorHAnsi" w:hAnsiTheme="minorHAnsi" w:cstheme="minorHAnsi"/>
          <w:lang w:val="cs-CZ"/>
        </w:rPr>
        <w:t>.</w:t>
      </w:r>
    </w:p>
    <w:p w14:paraId="52FE3115" w14:textId="77777777" w:rsidR="005E3F4A" w:rsidRPr="00A17659" w:rsidRDefault="005E3F4A" w:rsidP="003A22F1">
      <w:pPr>
        <w:jc w:val="both"/>
        <w:rPr>
          <w:rFonts w:asciiTheme="minorHAnsi" w:hAnsiTheme="minorHAnsi" w:cstheme="minorHAnsi"/>
          <w:color w:val="000000"/>
          <w:lang w:val="cs-CZ"/>
        </w:rPr>
      </w:pPr>
    </w:p>
    <w:p w14:paraId="7CADDA67" w14:textId="6F057F84" w:rsidR="009B08AF" w:rsidRPr="00A17659" w:rsidRDefault="009B08AF" w:rsidP="003A22F1">
      <w:pPr>
        <w:jc w:val="both"/>
        <w:rPr>
          <w:rFonts w:asciiTheme="minorHAnsi" w:hAnsiTheme="minorHAnsi" w:cstheme="minorHAnsi"/>
          <w:lang w:val="cs-CZ"/>
        </w:rPr>
      </w:pPr>
      <w:r w:rsidRPr="00A17659">
        <w:rPr>
          <w:rFonts w:asciiTheme="minorHAnsi" w:hAnsiTheme="minorHAnsi" w:cstheme="minorHAnsi"/>
          <w:lang w:val="cs-CZ"/>
        </w:rPr>
        <w:t>Námitky proti kon</w:t>
      </w:r>
      <w:r w:rsidR="00C65132" w:rsidRPr="00A17659">
        <w:rPr>
          <w:rFonts w:asciiTheme="minorHAnsi" w:hAnsiTheme="minorHAnsi" w:cstheme="minorHAnsi"/>
          <w:lang w:val="cs-CZ"/>
        </w:rPr>
        <w:t>trolnímu protokolu, které podal</w:t>
      </w:r>
      <w:r w:rsidR="007A6C97">
        <w:rPr>
          <w:rFonts w:asciiTheme="minorHAnsi" w:hAnsiTheme="minorHAnsi" w:cstheme="minorHAnsi"/>
          <w:lang w:val="cs-CZ"/>
        </w:rPr>
        <w:t>y</w:t>
      </w:r>
      <w:r w:rsidRPr="00A17659">
        <w:rPr>
          <w:rFonts w:asciiTheme="minorHAnsi" w:hAnsiTheme="minorHAnsi" w:cstheme="minorHAnsi"/>
          <w:lang w:val="cs-CZ"/>
        </w:rPr>
        <w:t xml:space="preserve"> </w:t>
      </w:r>
      <w:r w:rsidR="00364761" w:rsidRPr="00A17659">
        <w:rPr>
          <w:rFonts w:asciiTheme="minorHAnsi" w:hAnsiTheme="minorHAnsi" w:cstheme="minorHAnsi"/>
          <w:lang w:val="cs-CZ"/>
        </w:rPr>
        <w:t xml:space="preserve">MO a </w:t>
      </w:r>
      <w:proofErr w:type="spellStart"/>
      <w:r w:rsidR="00364761" w:rsidRPr="00A17659">
        <w:rPr>
          <w:rFonts w:asciiTheme="minorHAnsi" w:hAnsiTheme="minorHAnsi" w:cstheme="minorHAnsi"/>
          <w:lang w:val="cs-CZ"/>
        </w:rPr>
        <w:t>MZe</w:t>
      </w:r>
      <w:proofErr w:type="spellEnd"/>
      <w:r w:rsidRPr="00A17659">
        <w:rPr>
          <w:rFonts w:asciiTheme="minorHAnsi" w:hAnsiTheme="minorHAnsi" w:cstheme="minorHAnsi"/>
          <w:lang w:val="cs-CZ"/>
        </w:rPr>
        <w:t>, byly vypořádány vedoucím</w:t>
      </w:r>
      <w:r w:rsidR="00364761" w:rsidRPr="00A17659">
        <w:rPr>
          <w:rFonts w:asciiTheme="minorHAnsi" w:hAnsiTheme="minorHAnsi" w:cstheme="minorHAnsi"/>
          <w:lang w:val="cs-CZ"/>
        </w:rPr>
        <w:t>i skupin</w:t>
      </w:r>
      <w:r w:rsidRPr="00A17659">
        <w:rPr>
          <w:rFonts w:asciiTheme="minorHAnsi" w:hAnsiTheme="minorHAnsi" w:cstheme="minorHAnsi"/>
          <w:lang w:val="cs-CZ"/>
        </w:rPr>
        <w:t xml:space="preserve"> kontrolujících rozhodnutím o námitkách. </w:t>
      </w:r>
      <w:r w:rsidR="004A4B4D" w:rsidRPr="00A17659">
        <w:rPr>
          <w:rFonts w:asciiTheme="minorHAnsi" w:hAnsiTheme="minorHAnsi" w:cstheme="minorHAnsi"/>
          <w:lang w:val="cs-CZ"/>
        </w:rPr>
        <w:t>Odvolání</w:t>
      </w:r>
      <w:r w:rsidR="00197322" w:rsidRPr="00A17659">
        <w:rPr>
          <w:rFonts w:asciiTheme="minorHAnsi" w:hAnsiTheme="minorHAnsi" w:cstheme="minorHAnsi"/>
          <w:lang w:val="cs-CZ"/>
        </w:rPr>
        <w:t>, které proti rozhodnutí o</w:t>
      </w:r>
      <w:r w:rsidR="002E4A63" w:rsidRPr="00A17659">
        <w:rPr>
          <w:rFonts w:asciiTheme="minorHAnsi" w:hAnsiTheme="minorHAnsi" w:cstheme="minorHAnsi"/>
          <w:lang w:val="cs-CZ"/>
        </w:rPr>
        <w:t> </w:t>
      </w:r>
      <w:r w:rsidR="00197322" w:rsidRPr="00A17659">
        <w:rPr>
          <w:rFonts w:asciiTheme="minorHAnsi" w:hAnsiTheme="minorHAnsi" w:cstheme="minorHAnsi"/>
          <w:lang w:val="cs-CZ"/>
        </w:rPr>
        <w:t xml:space="preserve">námitkách podalo </w:t>
      </w:r>
      <w:proofErr w:type="spellStart"/>
      <w:r w:rsidR="00197322" w:rsidRPr="00A17659">
        <w:rPr>
          <w:rFonts w:asciiTheme="minorHAnsi" w:hAnsiTheme="minorHAnsi" w:cstheme="minorHAnsi"/>
          <w:lang w:val="cs-CZ"/>
        </w:rPr>
        <w:t>MZe</w:t>
      </w:r>
      <w:proofErr w:type="spellEnd"/>
      <w:r w:rsidR="00197322" w:rsidRPr="00A17659">
        <w:rPr>
          <w:rFonts w:asciiTheme="minorHAnsi" w:hAnsiTheme="minorHAnsi" w:cstheme="minorHAnsi"/>
          <w:lang w:val="cs-CZ"/>
        </w:rPr>
        <w:t>, bylo vypořádáno usnesením Kolegia NKÚ</w:t>
      </w:r>
      <w:r w:rsidR="004A4B4D" w:rsidRPr="00A17659">
        <w:rPr>
          <w:rFonts w:asciiTheme="minorHAnsi" w:hAnsiTheme="minorHAnsi" w:cstheme="minorHAnsi"/>
          <w:lang w:val="cs-CZ"/>
        </w:rPr>
        <w:t>.</w:t>
      </w:r>
    </w:p>
    <w:p w14:paraId="34A09136" w14:textId="77777777" w:rsidR="005E3F4A" w:rsidRPr="00A17659" w:rsidRDefault="005E3F4A" w:rsidP="003A22F1">
      <w:pPr>
        <w:jc w:val="both"/>
        <w:rPr>
          <w:rFonts w:asciiTheme="minorHAnsi" w:hAnsiTheme="minorHAnsi" w:cstheme="minorHAnsi"/>
          <w:color w:val="000000"/>
          <w:lang w:val="cs-CZ"/>
        </w:rPr>
      </w:pPr>
    </w:p>
    <w:p w14:paraId="0EEF9EC2" w14:textId="77777777" w:rsidR="005E3F4A" w:rsidRPr="00E9785A" w:rsidRDefault="005E3F4A" w:rsidP="003A22F1">
      <w:pPr>
        <w:jc w:val="both"/>
        <w:rPr>
          <w:rFonts w:asciiTheme="minorHAnsi" w:hAnsiTheme="minorHAnsi" w:cstheme="minorHAnsi"/>
          <w:color w:val="000000"/>
          <w:lang w:val="cs-CZ"/>
        </w:rPr>
      </w:pPr>
      <w:proofErr w:type="gramStart"/>
      <w:r w:rsidRPr="00A17659">
        <w:rPr>
          <w:rFonts w:asciiTheme="minorHAnsi" w:hAnsiTheme="minorHAnsi" w:cstheme="minorHAnsi"/>
          <w:b/>
          <w:i/>
          <w:color w:val="000000"/>
          <w:spacing w:val="40"/>
          <w:lang w:val="cs-CZ"/>
        </w:rPr>
        <w:t>Kolegium</w:t>
      </w:r>
      <w:r w:rsidR="00243D5B" w:rsidRPr="00A17659">
        <w:rPr>
          <w:rFonts w:asciiTheme="minorHAnsi" w:hAnsiTheme="minorHAnsi" w:cstheme="minorHAnsi"/>
          <w:b/>
          <w:i/>
          <w:color w:val="000000"/>
          <w:lang w:val="cs-CZ"/>
        </w:rPr>
        <w:t xml:space="preserve">  </w:t>
      </w:r>
      <w:r w:rsidRPr="00A17659">
        <w:rPr>
          <w:rFonts w:asciiTheme="minorHAnsi" w:hAnsiTheme="minorHAnsi" w:cstheme="minorHAnsi"/>
          <w:b/>
          <w:i/>
          <w:color w:val="000000"/>
          <w:lang w:val="cs-CZ"/>
        </w:rPr>
        <w:t xml:space="preserve"> </w:t>
      </w:r>
      <w:r w:rsidRPr="00A17659">
        <w:rPr>
          <w:rFonts w:asciiTheme="minorHAnsi" w:hAnsiTheme="minorHAnsi" w:cstheme="minorHAnsi"/>
          <w:b/>
          <w:i/>
          <w:color w:val="000000"/>
          <w:spacing w:val="40"/>
          <w:lang w:val="cs-CZ"/>
        </w:rPr>
        <w:t>NKÚ</w:t>
      </w:r>
      <w:proofErr w:type="gramEnd"/>
      <w:r w:rsidR="00243D5B" w:rsidRPr="00A17659">
        <w:rPr>
          <w:rFonts w:asciiTheme="minorHAnsi" w:hAnsiTheme="minorHAnsi" w:cstheme="minorHAnsi"/>
          <w:b/>
          <w:i/>
          <w:color w:val="000000"/>
          <w:lang w:val="cs-CZ"/>
        </w:rPr>
        <w:t xml:space="preserve"> </w:t>
      </w:r>
      <w:r w:rsidR="00181A87" w:rsidRPr="00A17659">
        <w:rPr>
          <w:rFonts w:asciiTheme="minorHAnsi" w:hAnsiTheme="minorHAnsi" w:cstheme="minorHAnsi"/>
          <w:b/>
          <w:i/>
          <w:color w:val="000000"/>
          <w:lang w:val="cs-CZ"/>
        </w:rPr>
        <w:t xml:space="preserve">  </w:t>
      </w:r>
      <w:r w:rsidRPr="00A17659">
        <w:rPr>
          <w:rFonts w:asciiTheme="minorHAnsi" w:hAnsiTheme="minorHAnsi" w:cstheme="minorHAnsi"/>
          <w:color w:val="000000"/>
          <w:lang w:val="cs-CZ"/>
        </w:rPr>
        <w:t xml:space="preserve">na </w:t>
      </w:r>
      <w:r w:rsidRPr="00E9785A">
        <w:rPr>
          <w:rFonts w:asciiTheme="minorHAnsi" w:hAnsiTheme="minorHAnsi" w:cstheme="minorHAnsi"/>
          <w:color w:val="000000"/>
          <w:lang w:val="cs-CZ"/>
        </w:rPr>
        <w:t xml:space="preserve">svém </w:t>
      </w:r>
      <w:r w:rsidR="00E9785A">
        <w:rPr>
          <w:rFonts w:asciiTheme="minorHAnsi" w:hAnsiTheme="minorHAnsi" w:cstheme="minorHAnsi"/>
          <w:color w:val="000000"/>
          <w:lang w:val="cs-CZ"/>
        </w:rPr>
        <w:t>X</w:t>
      </w:r>
      <w:r w:rsidR="001D0ABF" w:rsidRPr="00E9785A">
        <w:rPr>
          <w:rFonts w:asciiTheme="minorHAnsi" w:hAnsiTheme="minorHAnsi" w:cstheme="minorHAnsi"/>
          <w:color w:val="000000"/>
          <w:lang w:val="cs-CZ"/>
        </w:rPr>
        <w:t>. jednání</w:t>
      </w:r>
      <w:r w:rsidR="00CE5DF4" w:rsidRPr="00E9785A">
        <w:rPr>
          <w:rFonts w:asciiTheme="minorHAnsi" w:hAnsiTheme="minorHAnsi" w:cstheme="minorHAnsi"/>
          <w:color w:val="000000"/>
          <w:lang w:val="cs-CZ"/>
        </w:rPr>
        <w:t>,</w:t>
      </w:r>
      <w:r w:rsidR="001D0ABF" w:rsidRPr="00E9785A">
        <w:rPr>
          <w:rFonts w:asciiTheme="minorHAnsi" w:hAnsiTheme="minorHAnsi" w:cstheme="minorHAnsi"/>
          <w:color w:val="000000"/>
          <w:lang w:val="cs-CZ"/>
        </w:rPr>
        <w:t xml:space="preserve"> </w:t>
      </w:r>
      <w:r w:rsidR="00B117EB" w:rsidRPr="00E9785A">
        <w:rPr>
          <w:rFonts w:asciiTheme="minorHAnsi" w:hAnsiTheme="minorHAnsi" w:cstheme="minorHAnsi"/>
          <w:color w:val="000000"/>
          <w:lang w:val="cs-CZ"/>
        </w:rPr>
        <w:t>které se konalo</w:t>
      </w:r>
      <w:r w:rsidRPr="00E9785A">
        <w:rPr>
          <w:rFonts w:asciiTheme="minorHAnsi" w:hAnsiTheme="minorHAnsi" w:cstheme="minorHAnsi"/>
          <w:color w:val="000000"/>
          <w:lang w:val="cs-CZ"/>
        </w:rPr>
        <w:t xml:space="preserve"> dne </w:t>
      </w:r>
      <w:r w:rsidR="00E9785A">
        <w:rPr>
          <w:rFonts w:asciiTheme="minorHAnsi" w:hAnsiTheme="minorHAnsi" w:cstheme="minorHAnsi"/>
          <w:color w:val="000000"/>
          <w:lang w:val="cs-CZ"/>
        </w:rPr>
        <w:t xml:space="preserve">18. července </w:t>
      </w:r>
      <w:r w:rsidR="001D0ABF" w:rsidRPr="00E9785A">
        <w:rPr>
          <w:rFonts w:asciiTheme="minorHAnsi" w:hAnsiTheme="minorHAnsi" w:cstheme="minorHAnsi"/>
          <w:color w:val="000000"/>
          <w:lang w:val="cs-CZ"/>
        </w:rPr>
        <w:t>201</w:t>
      </w:r>
      <w:r w:rsidR="00511A60" w:rsidRPr="00E9785A">
        <w:rPr>
          <w:rFonts w:asciiTheme="minorHAnsi" w:hAnsiTheme="minorHAnsi" w:cstheme="minorHAnsi"/>
          <w:color w:val="000000"/>
          <w:lang w:val="cs-CZ"/>
        </w:rPr>
        <w:t>6</w:t>
      </w:r>
      <w:r w:rsidR="001D0ABF" w:rsidRPr="00E9785A">
        <w:rPr>
          <w:rFonts w:asciiTheme="minorHAnsi" w:hAnsiTheme="minorHAnsi" w:cstheme="minorHAnsi"/>
          <w:color w:val="000000"/>
          <w:lang w:val="cs-CZ"/>
        </w:rPr>
        <w:t>,</w:t>
      </w:r>
    </w:p>
    <w:p w14:paraId="19AA3FA9" w14:textId="77777777" w:rsidR="001D0ABF" w:rsidRPr="00A17659" w:rsidRDefault="00FC2455" w:rsidP="003A22F1">
      <w:pPr>
        <w:jc w:val="both"/>
        <w:rPr>
          <w:rFonts w:asciiTheme="minorHAnsi" w:hAnsiTheme="minorHAnsi" w:cstheme="minorHAnsi"/>
          <w:color w:val="000000"/>
          <w:lang w:val="cs-CZ"/>
        </w:rPr>
      </w:pPr>
      <w:proofErr w:type="gramStart"/>
      <w:r w:rsidRPr="00E9785A">
        <w:rPr>
          <w:rFonts w:asciiTheme="minorHAnsi" w:hAnsiTheme="minorHAnsi" w:cstheme="minorHAnsi"/>
          <w:b/>
          <w:i/>
          <w:color w:val="000000"/>
          <w:spacing w:val="40"/>
          <w:lang w:val="cs-CZ"/>
        </w:rPr>
        <w:t>schválilo</w:t>
      </w:r>
      <w:r w:rsidRPr="00E9785A">
        <w:rPr>
          <w:rFonts w:asciiTheme="minorHAnsi" w:hAnsiTheme="minorHAnsi" w:cstheme="minorHAnsi"/>
          <w:b/>
          <w:i/>
          <w:color w:val="000000"/>
          <w:lang w:val="cs-CZ"/>
        </w:rPr>
        <w:t xml:space="preserve"> </w:t>
      </w:r>
      <w:r w:rsidR="00243D5B" w:rsidRPr="00E9785A">
        <w:rPr>
          <w:rFonts w:asciiTheme="minorHAnsi" w:hAnsiTheme="minorHAnsi" w:cstheme="minorHAnsi"/>
          <w:b/>
          <w:i/>
          <w:color w:val="000000"/>
          <w:lang w:val="cs-CZ"/>
        </w:rPr>
        <w:t xml:space="preserve">  </w:t>
      </w:r>
      <w:r w:rsidRPr="00E9785A">
        <w:rPr>
          <w:rFonts w:asciiTheme="minorHAnsi" w:hAnsiTheme="minorHAnsi" w:cstheme="minorHAnsi"/>
          <w:color w:val="000000"/>
          <w:lang w:val="cs-CZ"/>
        </w:rPr>
        <w:t>usnesením</w:t>
      </w:r>
      <w:proofErr w:type="gramEnd"/>
      <w:r w:rsidRPr="00E9785A">
        <w:rPr>
          <w:rFonts w:asciiTheme="minorHAnsi" w:hAnsiTheme="minorHAnsi" w:cstheme="minorHAnsi"/>
          <w:color w:val="000000"/>
          <w:lang w:val="cs-CZ"/>
        </w:rPr>
        <w:t xml:space="preserve"> č. </w:t>
      </w:r>
      <w:r w:rsidR="008C61D9">
        <w:rPr>
          <w:rFonts w:asciiTheme="minorHAnsi" w:hAnsiTheme="minorHAnsi" w:cstheme="minorHAnsi"/>
          <w:color w:val="000000"/>
          <w:lang w:val="cs-CZ"/>
        </w:rPr>
        <w:t>10</w:t>
      </w:r>
      <w:r w:rsidR="001D0ABF" w:rsidRPr="00E9785A">
        <w:rPr>
          <w:rFonts w:asciiTheme="minorHAnsi" w:hAnsiTheme="minorHAnsi" w:cstheme="minorHAnsi"/>
          <w:color w:val="000000"/>
          <w:lang w:val="cs-CZ"/>
        </w:rPr>
        <w:t>/</w:t>
      </w:r>
      <w:r w:rsidR="00E9785A">
        <w:rPr>
          <w:rFonts w:asciiTheme="minorHAnsi" w:hAnsiTheme="minorHAnsi" w:cstheme="minorHAnsi"/>
          <w:color w:val="000000"/>
          <w:lang w:val="cs-CZ"/>
        </w:rPr>
        <w:t>X</w:t>
      </w:r>
      <w:r w:rsidR="00511A60" w:rsidRPr="00E9785A">
        <w:rPr>
          <w:rFonts w:asciiTheme="minorHAnsi" w:hAnsiTheme="minorHAnsi" w:cstheme="minorHAnsi"/>
          <w:color w:val="000000"/>
          <w:lang w:val="cs-CZ"/>
        </w:rPr>
        <w:t>/2016</w:t>
      </w:r>
    </w:p>
    <w:p w14:paraId="3358FF4D" w14:textId="77777777" w:rsidR="005E3F4A" w:rsidRPr="00A17659" w:rsidRDefault="00FC2455" w:rsidP="003A22F1">
      <w:pPr>
        <w:jc w:val="both"/>
        <w:rPr>
          <w:rFonts w:asciiTheme="minorHAnsi" w:hAnsiTheme="minorHAnsi" w:cstheme="minorHAnsi"/>
          <w:color w:val="000000"/>
          <w:lang w:val="cs-CZ"/>
        </w:rPr>
      </w:pPr>
      <w:proofErr w:type="gramStart"/>
      <w:r w:rsidRPr="00A17659">
        <w:rPr>
          <w:rFonts w:asciiTheme="minorHAnsi" w:hAnsiTheme="minorHAnsi" w:cstheme="minorHAnsi"/>
          <w:b/>
          <w:i/>
          <w:color w:val="000000"/>
          <w:spacing w:val="40"/>
          <w:lang w:val="cs-CZ"/>
        </w:rPr>
        <w:t>kontrolní</w:t>
      </w:r>
      <w:r w:rsidRPr="00A17659">
        <w:rPr>
          <w:rFonts w:asciiTheme="minorHAnsi" w:hAnsiTheme="minorHAnsi" w:cstheme="minorHAnsi"/>
          <w:b/>
          <w:i/>
          <w:color w:val="000000"/>
          <w:lang w:val="cs-CZ"/>
        </w:rPr>
        <w:t xml:space="preserve">   </w:t>
      </w:r>
      <w:r w:rsidRPr="00A17659">
        <w:rPr>
          <w:rFonts w:asciiTheme="minorHAnsi" w:hAnsiTheme="minorHAnsi" w:cstheme="minorHAnsi"/>
          <w:b/>
          <w:i/>
          <w:color w:val="000000"/>
          <w:spacing w:val="40"/>
          <w:lang w:val="cs-CZ"/>
        </w:rPr>
        <w:t>závěr</w:t>
      </w:r>
      <w:proofErr w:type="gramEnd"/>
      <w:r w:rsidRPr="00A17659">
        <w:rPr>
          <w:rFonts w:asciiTheme="minorHAnsi" w:hAnsiTheme="minorHAnsi" w:cstheme="minorHAnsi"/>
          <w:b/>
          <w:i/>
          <w:color w:val="000000"/>
          <w:lang w:val="cs-CZ"/>
        </w:rPr>
        <w:t xml:space="preserve">   </w:t>
      </w:r>
      <w:r w:rsidRPr="00A17659">
        <w:rPr>
          <w:rFonts w:asciiTheme="minorHAnsi" w:hAnsiTheme="minorHAnsi" w:cstheme="minorHAnsi"/>
          <w:color w:val="000000"/>
          <w:lang w:val="cs-CZ"/>
        </w:rPr>
        <w:t>v tomto znění:</w:t>
      </w:r>
    </w:p>
    <w:p w14:paraId="7846FCB1" w14:textId="77777777" w:rsidR="006A6AD1" w:rsidRPr="00A17659" w:rsidRDefault="006A6AD1" w:rsidP="003A22F1">
      <w:pPr>
        <w:jc w:val="both"/>
        <w:rPr>
          <w:rFonts w:asciiTheme="minorHAnsi" w:hAnsiTheme="minorHAnsi" w:cstheme="minorHAnsi"/>
          <w:color w:val="000000"/>
          <w:lang w:val="cs-CZ"/>
        </w:rPr>
      </w:pPr>
    </w:p>
    <w:p w14:paraId="56591CB1" w14:textId="77777777" w:rsidR="006A6AD1" w:rsidRPr="00A17659" w:rsidRDefault="006A6AD1" w:rsidP="003A22F1">
      <w:pPr>
        <w:jc w:val="both"/>
        <w:rPr>
          <w:rFonts w:asciiTheme="minorHAnsi" w:hAnsiTheme="minorHAnsi" w:cstheme="minorHAnsi"/>
          <w:color w:val="000000"/>
          <w:lang w:val="cs-CZ"/>
        </w:rPr>
      </w:pPr>
    </w:p>
    <w:p w14:paraId="33AE9F06" w14:textId="77777777" w:rsidR="003A22F1" w:rsidRDefault="003A22F1" w:rsidP="003A22F1">
      <w:pPr>
        <w:rPr>
          <w:rFonts w:asciiTheme="minorHAnsi" w:hAnsiTheme="minorHAnsi" w:cstheme="minorHAnsi"/>
          <w:b/>
          <w:color w:val="000000"/>
          <w:sz w:val="28"/>
          <w:szCs w:val="28"/>
          <w:lang w:val="cs-CZ"/>
        </w:rPr>
      </w:pPr>
      <w:r>
        <w:rPr>
          <w:rFonts w:asciiTheme="minorHAnsi" w:hAnsiTheme="minorHAnsi" w:cstheme="minorHAnsi"/>
          <w:b/>
          <w:color w:val="000000"/>
          <w:sz w:val="28"/>
          <w:szCs w:val="28"/>
          <w:lang w:val="cs-CZ"/>
        </w:rPr>
        <w:br w:type="page"/>
      </w:r>
    </w:p>
    <w:p w14:paraId="4D177229" w14:textId="77777777" w:rsidR="005E3F4A" w:rsidRPr="00A17659" w:rsidRDefault="005E3F4A" w:rsidP="0029023F">
      <w:pPr>
        <w:jc w:val="center"/>
        <w:rPr>
          <w:rFonts w:asciiTheme="minorHAnsi" w:hAnsiTheme="minorHAnsi" w:cstheme="minorHAnsi"/>
          <w:b/>
          <w:color w:val="000000"/>
          <w:sz w:val="28"/>
          <w:szCs w:val="28"/>
          <w:lang w:val="cs-CZ"/>
        </w:rPr>
      </w:pPr>
      <w:r w:rsidRPr="00A17659">
        <w:rPr>
          <w:rFonts w:asciiTheme="minorHAnsi" w:hAnsiTheme="minorHAnsi" w:cstheme="minorHAnsi"/>
          <w:b/>
          <w:color w:val="000000"/>
          <w:sz w:val="28"/>
          <w:szCs w:val="28"/>
          <w:lang w:val="cs-CZ"/>
        </w:rPr>
        <w:lastRenderedPageBreak/>
        <w:t>I. Úvod</w:t>
      </w:r>
    </w:p>
    <w:p w14:paraId="17836597" w14:textId="77777777" w:rsidR="0029023F" w:rsidRPr="00A17659" w:rsidRDefault="0029023F" w:rsidP="003A22F1">
      <w:pPr>
        <w:jc w:val="both"/>
        <w:rPr>
          <w:rFonts w:asciiTheme="minorHAnsi" w:hAnsiTheme="minorHAnsi" w:cstheme="minorHAnsi"/>
          <w:lang w:val="cs-CZ"/>
        </w:rPr>
      </w:pPr>
    </w:p>
    <w:p w14:paraId="26DD0B67" w14:textId="77777777" w:rsidR="00930DA9" w:rsidRPr="00A17659" w:rsidRDefault="00930DA9" w:rsidP="003A22F1">
      <w:pPr>
        <w:jc w:val="both"/>
        <w:rPr>
          <w:rFonts w:asciiTheme="minorHAnsi" w:hAnsiTheme="minorHAnsi" w:cstheme="minorHAnsi"/>
          <w:highlight w:val="yellow"/>
          <w:lang w:val="cs-CZ"/>
        </w:rPr>
      </w:pPr>
      <w:r w:rsidRPr="00A17659">
        <w:rPr>
          <w:rFonts w:asciiTheme="minorHAnsi" w:hAnsiTheme="minorHAnsi" w:cstheme="minorHAnsi"/>
          <w:lang w:val="cs-CZ"/>
        </w:rPr>
        <w:t xml:space="preserve">MO, MPSV a </w:t>
      </w:r>
      <w:proofErr w:type="spellStart"/>
      <w:r w:rsidRPr="00A17659">
        <w:rPr>
          <w:rFonts w:asciiTheme="minorHAnsi" w:hAnsiTheme="minorHAnsi" w:cstheme="minorHAnsi"/>
          <w:lang w:val="cs-CZ"/>
        </w:rPr>
        <w:t>MZe</w:t>
      </w:r>
      <w:proofErr w:type="spellEnd"/>
      <w:r w:rsidRPr="00A17659">
        <w:rPr>
          <w:rFonts w:asciiTheme="minorHAnsi" w:hAnsiTheme="minorHAnsi" w:cstheme="minorHAnsi"/>
          <w:lang w:val="cs-CZ"/>
        </w:rPr>
        <w:t xml:space="preserve"> </w:t>
      </w:r>
      <w:r w:rsidRPr="00A17659">
        <w:rPr>
          <w:rFonts w:asciiTheme="minorHAnsi" w:hAnsiTheme="minorHAnsi" w:cstheme="minorHAnsi"/>
          <w:bCs/>
          <w:szCs w:val="22"/>
          <w:lang w:val="cs-CZ"/>
        </w:rPr>
        <w:t>jsou</w:t>
      </w:r>
      <w:r w:rsidRPr="00A17659">
        <w:rPr>
          <w:rFonts w:asciiTheme="minorHAnsi" w:hAnsiTheme="minorHAnsi" w:cstheme="minorHAnsi"/>
          <w:szCs w:val="22"/>
          <w:lang w:val="cs-CZ"/>
        </w:rPr>
        <w:t xml:space="preserve"> ústředními orgány státní správy dle zákona</w:t>
      </w:r>
      <w:r w:rsidR="00E9785A">
        <w:rPr>
          <w:rFonts w:asciiTheme="minorHAnsi" w:hAnsiTheme="minorHAnsi" w:cstheme="minorHAnsi"/>
          <w:szCs w:val="22"/>
          <w:lang w:val="cs-CZ"/>
        </w:rPr>
        <w:t xml:space="preserve"> </w:t>
      </w:r>
      <w:r w:rsidRPr="00A17659">
        <w:rPr>
          <w:rFonts w:asciiTheme="minorHAnsi" w:hAnsiTheme="minorHAnsi" w:cstheme="minorHAnsi"/>
          <w:szCs w:val="22"/>
          <w:lang w:val="cs-CZ"/>
        </w:rPr>
        <w:t>č.</w:t>
      </w:r>
      <w:r w:rsidR="00E9785A">
        <w:rPr>
          <w:rFonts w:asciiTheme="minorHAnsi" w:hAnsiTheme="minorHAnsi" w:cstheme="minorHAnsi"/>
          <w:szCs w:val="22"/>
          <w:lang w:val="cs-CZ"/>
        </w:rPr>
        <w:t xml:space="preserve"> </w:t>
      </w:r>
      <w:r w:rsidRPr="00A17659">
        <w:rPr>
          <w:rFonts w:asciiTheme="minorHAnsi" w:hAnsiTheme="minorHAnsi" w:cstheme="minorHAnsi"/>
          <w:szCs w:val="22"/>
          <w:lang w:val="cs-CZ"/>
        </w:rPr>
        <w:t>2/</w:t>
      </w:r>
      <w:r w:rsidRPr="00A17659">
        <w:rPr>
          <w:rFonts w:asciiTheme="minorHAnsi" w:hAnsiTheme="minorHAnsi" w:cstheme="minorHAnsi"/>
          <w:lang w:val="cs-CZ"/>
        </w:rPr>
        <w:t>1969</w:t>
      </w:r>
      <w:r w:rsidRPr="00A17659">
        <w:rPr>
          <w:rFonts w:asciiTheme="minorHAnsi" w:hAnsiTheme="minorHAnsi" w:cstheme="minorHAnsi"/>
          <w:szCs w:val="22"/>
          <w:lang w:val="cs-CZ"/>
        </w:rPr>
        <w:t xml:space="preserve"> Sb.</w:t>
      </w:r>
      <w:r w:rsidRPr="00A17659">
        <w:rPr>
          <w:rStyle w:val="Znakapoznpodarou"/>
          <w:rFonts w:asciiTheme="minorHAnsi" w:hAnsiTheme="minorHAnsi" w:cstheme="minorHAnsi"/>
          <w:szCs w:val="22"/>
          <w:lang w:val="cs-CZ"/>
        </w:rPr>
        <w:footnoteReference w:id="2"/>
      </w:r>
      <w:r w:rsidRPr="00A17659">
        <w:rPr>
          <w:rFonts w:asciiTheme="minorHAnsi" w:hAnsiTheme="minorHAnsi" w:cstheme="minorHAnsi"/>
          <w:szCs w:val="22"/>
          <w:lang w:val="cs-CZ"/>
        </w:rPr>
        <w:t>, organizačními složkami státu dle zákona č. 219/2000 Sb.</w:t>
      </w:r>
      <w:r w:rsidRPr="00A17659">
        <w:rPr>
          <w:rStyle w:val="Znakapoznpodarou"/>
          <w:rFonts w:asciiTheme="minorHAnsi" w:hAnsiTheme="minorHAnsi" w:cstheme="minorHAnsi"/>
          <w:szCs w:val="22"/>
          <w:lang w:val="cs-CZ"/>
        </w:rPr>
        <w:footnoteReference w:id="3"/>
      </w:r>
      <w:r w:rsidRPr="00A17659">
        <w:rPr>
          <w:rFonts w:asciiTheme="minorHAnsi" w:hAnsiTheme="minorHAnsi" w:cstheme="minorHAnsi"/>
          <w:szCs w:val="22"/>
          <w:lang w:val="cs-CZ"/>
        </w:rPr>
        <w:t xml:space="preserve"> a účetními jednotkami dle zákona č. 563/1991 Sb.</w:t>
      </w:r>
      <w:r w:rsidRPr="00A17659">
        <w:rPr>
          <w:rStyle w:val="Znakapoznpodarou"/>
          <w:rFonts w:asciiTheme="minorHAnsi" w:hAnsiTheme="minorHAnsi" w:cstheme="minorHAnsi"/>
          <w:szCs w:val="22"/>
          <w:lang w:val="cs-CZ"/>
        </w:rPr>
        <w:footnoteReference w:id="4"/>
      </w:r>
      <w:r w:rsidRPr="00A17659">
        <w:rPr>
          <w:rFonts w:asciiTheme="minorHAnsi" w:hAnsiTheme="minorHAnsi" w:cstheme="minorHAnsi"/>
          <w:szCs w:val="22"/>
          <w:lang w:val="cs-CZ"/>
        </w:rPr>
        <w:t xml:space="preserve"> </w:t>
      </w:r>
    </w:p>
    <w:p w14:paraId="090B3514" w14:textId="77777777" w:rsidR="003A22F1" w:rsidRDefault="003A22F1" w:rsidP="003A22F1">
      <w:pPr>
        <w:jc w:val="both"/>
        <w:rPr>
          <w:rFonts w:asciiTheme="minorHAnsi" w:hAnsiTheme="minorHAnsi" w:cstheme="minorHAnsi"/>
          <w:lang w:val="cs-CZ"/>
        </w:rPr>
      </w:pPr>
    </w:p>
    <w:p w14:paraId="0DFFFEC2" w14:textId="77777777" w:rsidR="00A532C4" w:rsidRPr="00A17659" w:rsidRDefault="00A532C4" w:rsidP="003A22F1">
      <w:pPr>
        <w:jc w:val="both"/>
        <w:rPr>
          <w:rFonts w:asciiTheme="minorHAnsi" w:hAnsiTheme="minorHAnsi" w:cstheme="minorHAnsi"/>
          <w:lang w:val="cs-CZ"/>
        </w:rPr>
      </w:pPr>
      <w:r w:rsidRPr="00A17659">
        <w:rPr>
          <w:rFonts w:asciiTheme="minorHAnsi" w:hAnsiTheme="minorHAnsi" w:cstheme="minorHAnsi"/>
          <w:lang w:val="cs-CZ"/>
        </w:rPr>
        <w:t>Předmětem kontroly byly peněžní prostředky vynaložené v kontrolovaném období na úhradu</w:t>
      </w:r>
      <w:r w:rsidR="00DD023C" w:rsidRPr="00A17659">
        <w:rPr>
          <w:rFonts w:asciiTheme="minorHAnsi" w:hAnsiTheme="minorHAnsi" w:cstheme="minorHAnsi"/>
          <w:lang w:val="cs-CZ"/>
        </w:rPr>
        <w:t xml:space="preserve"> nákupu</w:t>
      </w:r>
      <w:r w:rsidRPr="00A17659">
        <w:rPr>
          <w:rFonts w:asciiTheme="minorHAnsi" w:hAnsiTheme="minorHAnsi" w:cstheme="minorHAnsi"/>
          <w:lang w:val="cs-CZ"/>
        </w:rPr>
        <w:t>:</w:t>
      </w:r>
    </w:p>
    <w:p w14:paraId="30DD1EB0" w14:textId="77777777" w:rsidR="00A532C4" w:rsidRPr="00A17659" w:rsidRDefault="00A532C4" w:rsidP="003A22F1">
      <w:pPr>
        <w:numPr>
          <w:ilvl w:val="0"/>
          <w:numId w:val="26"/>
        </w:numPr>
        <w:ind w:left="284" w:hanging="284"/>
        <w:jc w:val="both"/>
        <w:rPr>
          <w:rFonts w:asciiTheme="minorHAnsi" w:hAnsiTheme="minorHAnsi" w:cstheme="minorHAnsi"/>
          <w:lang w:val="cs-CZ"/>
        </w:rPr>
      </w:pPr>
      <w:r w:rsidRPr="00A17659">
        <w:rPr>
          <w:rFonts w:asciiTheme="minorHAnsi" w:hAnsiTheme="minorHAnsi" w:cstheme="minorHAnsi"/>
          <w:lang w:val="cs-CZ"/>
        </w:rPr>
        <w:t>kancelářských potřeb;</w:t>
      </w:r>
    </w:p>
    <w:p w14:paraId="2DEF00FC" w14:textId="77777777" w:rsidR="00A532C4" w:rsidRPr="00A17659" w:rsidRDefault="00A532C4" w:rsidP="003A22F1">
      <w:pPr>
        <w:numPr>
          <w:ilvl w:val="0"/>
          <w:numId w:val="26"/>
        </w:numPr>
        <w:ind w:left="284" w:hanging="284"/>
        <w:jc w:val="both"/>
        <w:rPr>
          <w:rFonts w:asciiTheme="minorHAnsi" w:hAnsiTheme="minorHAnsi" w:cstheme="minorHAnsi"/>
          <w:lang w:val="cs-CZ"/>
        </w:rPr>
      </w:pPr>
      <w:r w:rsidRPr="00A17659">
        <w:rPr>
          <w:rFonts w:asciiTheme="minorHAnsi" w:hAnsiTheme="minorHAnsi" w:cstheme="minorHAnsi"/>
          <w:lang w:val="cs-CZ"/>
        </w:rPr>
        <w:t xml:space="preserve">služeb </w:t>
      </w:r>
      <w:r w:rsidR="00BA4E32" w:rsidRPr="00A17659">
        <w:rPr>
          <w:rFonts w:asciiTheme="minorHAnsi" w:hAnsiTheme="minorHAnsi" w:cstheme="minorHAnsi"/>
          <w:lang w:val="cs-CZ"/>
        </w:rPr>
        <w:t xml:space="preserve">školení a vzdělávání, </w:t>
      </w:r>
      <w:r w:rsidRPr="00A17659">
        <w:rPr>
          <w:rFonts w:asciiTheme="minorHAnsi" w:hAnsiTheme="minorHAnsi" w:cstheme="minorHAnsi"/>
          <w:lang w:val="cs-CZ"/>
        </w:rPr>
        <w:t>konzultačních, poradenských a právních služeb, úklidu, ostrahy objektů;</w:t>
      </w:r>
    </w:p>
    <w:p w14:paraId="45057C1E" w14:textId="77777777" w:rsidR="00A532C4" w:rsidRPr="00A17659" w:rsidRDefault="00A532C4" w:rsidP="003A22F1">
      <w:pPr>
        <w:numPr>
          <w:ilvl w:val="0"/>
          <w:numId w:val="26"/>
        </w:numPr>
        <w:ind w:left="284" w:hanging="284"/>
        <w:jc w:val="both"/>
        <w:rPr>
          <w:rFonts w:asciiTheme="minorHAnsi" w:hAnsiTheme="minorHAnsi" w:cstheme="minorHAnsi"/>
          <w:lang w:val="cs-CZ"/>
        </w:rPr>
      </w:pPr>
      <w:r w:rsidRPr="00A17659">
        <w:rPr>
          <w:rFonts w:asciiTheme="minorHAnsi" w:hAnsiTheme="minorHAnsi" w:cstheme="minorHAnsi"/>
          <w:lang w:val="cs-CZ"/>
        </w:rPr>
        <w:t>oprav a udržování motorových vozidel.</w:t>
      </w:r>
    </w:p>
    <w:p w14:paraId="7E776A0E" w14:textId="77777777" w:rsidR="003A22F1" w:rsidRDefault="003A22F1" w:rsidP="003A22F1">
      <w:pPr>
        <w:jc w:val="both"/>
        <w:rPr>
          <w:rFonts w:asciiTheme="minorHAnsi" w:hAnsiTheme="minorHAnsi" w:cstheme="minorHAnsi"/>
          <w:color w:val="000000"/>
          <w:lang w:val="cs-CZ" w:eastAsia="cs-CZ"/>
        </w:rPr>
      </w:pPr>
    </w:p>
    <w:p w14:paraId="462C8F26" w14:textId="4E3D3141" w:rsidR="00C457AD" w:rsidRDefault="00AF1523" w:rsidP="003A22F1">
      <w:pPr>
        <w:jc w:val="both"/>
        <w:rPr>
          <w:rFonts w:asciiTheme="minorHAnsi" w:hAnsiTheme="minorHAnsi" w:cstheme="minorHAnsi"/>
          <w:lang w:val="cs-CZ" w:eastAsia="cs-CZ"/>
        </w:rPr>
      </w:pPr>
      <w:r w:rsidRPr="00A17659">
        <w:rPr>
          <w:rFonts w:asciiTheme="minorHAnsi" w:hAnsiTheme="minorHAnsi" w:cstheme="minorHAnsi"/>
          <w:color w:val="000000"/>
          <w:lang w:val="cs-CZ" w:eastAsia="cs-CZ"/>
        </w:rPr>
        <w:t>K</w:t>
      </w:r>
      <w:r w:rsidRPr="00A17659">
        <w:rPr>
          <w:rFonts w:asciiTheme="minorHAnsi" w:hAnsiTheme="minorHAnsi" w:cstheme="minorHAnsi"/>
          <w:lang w:val="cs-CZ"/>
        </w:rPr>
        <w:t xml:space="preserve">e kontrole </w:t>
      </w:r>
      <w:r w:rsidRPr="00A17659">
        <w:rPr>
          <w:rFonts w:asciiTheme="minorHAnsi" w:hAnsiTheme="minorHAnsi" w:cstheme="minorHAnsi"/>
          <w:lang w:val="cs-CZ" w:eastAsia="cs-CZ"/>
        </w:rPr>
        <w:t>byly</w:t>
      </w:r>
      <w:r w:rsidRPr="00A17659">
        <w:rPr>
          <w:rFonts w:asciiTheme="minorHAnsi" w:hAnsiTheme="minorHAnsi" w:cstheme="minorHAnsi"/>
          <w:lang w:val="cs-CZ"/>
        </w:rPr>
        <w:t xml:space="preserve"> vybrány peněžní prostředky zatříděné podle přílohy k</w:t>
      </w:r>
      <w:r w:rsidR="00E9785A">
        <w:rPr>
          <w:rFonts w:asciiTheme="minorHAnsi" w:hAnsiTheme="minorHAnsi" w:cstheme="minorHAnsi"/>
          <w:lang w:val="cs-CZ"/>
        </w:rPr>
        <w:t xml:space="preserve"> </w:t>
      </w:r>
      <w:r w:rsidRPr="00A17659">
        <w:rPr>
          <w:rFonts w:asciiTheme="minorHAnsi" w:hAnsiTheme="minorHAnsi" w:cstheme="minorHAnsi"/>
          <w:lang w:val="cs-CZ"/>
        </w:rPr>
        <w:t>vyhlášce č. 323/2002 Sb.</w:t>
      </w:r>
      <w:r w:rsidRPr="00A17659">
        <w:rPr>
          <w:rStyle w:val="Znakapoznpodarou"/>
          <w:rFonts w:asciiTheme="minorHAnsi" w:hAnsiTheme="minorHAnsi" w:cstheme="minorHAnsi"/>
          <w:lang w:val="cs-CZ"/>
        </w:rPr>
        <w:footnoteReference w:id="5"/>
      </w:r>
      <w:r w:rsidRPr="00A17659">
        <w:rPr>
          <w:rFonts w:asciiTheme="minorHAnsi" w:hAnsiTheme="minorHAnsi" w:cstheme="minorHAnsi"/>
          <w:lang w:val="cs-CZ"/>
        </w:rPr>
        <w:t xml:space="preserve"> do</w:t>
      </w:r>
      <w:r w:rsidR="00E9785A">
        <w:rPr>
          <w:rFonts w:asciiTheme="minorHAnsi" w:hAnsiTheme="minorHAnsi" w:cstheme="minorHAnsi"/>
          <w:lang w:val="cs-CZ"/>
        </w:rPr>
        <w:t xml:space="preserve"> </w:t>
      </w:r>
      <w:r w:rsidRPr="00A17659">
        <w:rPr>
          <w:rFonts w:asciiTheme="minorHAnsi" w:hAnsiTheme="minorHAnsi" w:cstheme="minorHAnsi"/>
          <w:lang w:val="cs-CZ"/>
        </w:rPr>
        <w:t>třídy 5</w:t>
      </w:r>
      <w:r w:rsidR="00E9785A">
        <w:rPr>
          <w:rFonts w:asciiTheme="minorHAnsi" w:hAnsiTheme="minorHAnsi" w:cstheme="minorHAnsi"/>
          <w:lang w:val="cs-CZ"/>
        </w:rPr>
        <w:t xml:space="preserve"> </w:t>
      </w:r>
      <w:r w:rsidRPr="00A17659">
        <w:rPr>
          <w:rFonts w:asciiTheme="minorHAnsi" w:hAnsiTheme="minorHAnsi" w:cstheme="minorHAnsi"/>
          <w:lang w:val="cs-CZ"/>
        </w:rPr>
        <w:t>–</w:t>
      </w:r>
      <w:r w:rsidR="00E9785A">
        <w:rPr>
          <w:rFonts w:asciiTheme="minorHAnsi" w:hAnsiTheme="minorHAnsi" w:cstheme="minorHAnsi"/>
          <w:lang w:val="cs-CZ"/>
        </w:rPr>
        <w:t xml:space="preserve"> </w:t>
      </w:r>
      <w:r w:rsidRPr="00A17659">
        <w:rPr>
          <w:rFonts w:asciiTheme="minorHAnsi" w:hAnsiTheme="minorHAnsi" w:cstheme="minorHAnsi"/>
          <w:i/>
          <w:lang w:val="cs-CZ"/>
        </w:rPr>
        <w:t>Běžné výdaje</w:t>
      </w:r>
      <w:r w:rsidRPr="00A17659">
        <w:rPr>
          <w:rFonts w:asciiTheme="minorHAnsi" w:hAnsiTheme="minorHAnsi" w:cstheme="minorHAnsi"/>
          <w:lang w:val="cs-CZ"/>
        </w:rPr>
        <w:t xml:space="preserve"> a do podseskupení rozpočtových položek 513</w:t>
      </w:r>
      <w:r w:rsidR="0053354C">
        <w:rPr>
          <w:rFonts w:asciiTheme="minorHAnsi" w:hAnsiTheme="minorHAnsi" w:cstheme="minorHAnsi"/>
          <w:lang w:val="cs-CZ"/>
        </w:rPr>
        <w:t> </w:t>
      </w:r>
      <w:r w:rsidRPr="00A17659">
        <w:rPr>
          <w:rFonts w:asciiTheme="minorHAnsi" w:hAnsiTheme="minorHAnsi" w:cstheme="minorHAnsi"/>
          <w:lang w:val="cs-CZ"/>
        </w:rPr>
        <w:t>–</w:t>
      </w:r>
      <w:r w:rsidR="00E9785A">
        <w:rPr>
          <w:rFonts w:asciiTheme="minorHAnsi" w:hAnsiTheme="minorHAnsi" w:cstheme="minorHAnsi"/>
          <w:lang w:val="cs-CZ"/>
        </w:rPr>
        <w:t xml:space="preserve"> </w:t>
      </w:r>
      <w:r w:rsidRPr="00A17659">
        <w:rPr>
          <w:rFonts w:asciiTheme="minorHAnsi" w:hAnsiTheme="minorHAnsi" w:cstheme="minorHAnsi"/>
          <w:i/>
          <w:lang w:val="cs-CZ"/>
        </w:rPr>
        <w:t>Nákupy materiálu</w:t>
      </w:r>
      <w:r w:rsidRPr="00A17659">
        <w:rPr>
          <w:rFonts w:asciiTheme="minorHAnsi" w:hAnsiTheme="minorHAnsi" w:cstheme="minorHAnsi"/>
          <w:lang w:val="cs-CZ"/>
        </w:rPr>
        <w:t>, 516</w:t>
      </w:r>
      <w:r w:rsidR="00E9785A">
        <w:rPr>
          <w:rFonts w:asciiTheme="minorHAnsi" w:hAnsiTheme="minorHAnsi" w:cstheme="minorHAnsi"/>
          <w:lang w:val="cs-CZ"/>
        </w:rPr>
        <w:t xml:space="preserve"> </w:t>
      </w:r>
      <w:r w:rsidRPr="00A17659">
        <w:rPr>
          <w:rFonts w:asciiTheme="minorHAnsi" w:hAnsiTheme="minorHAnsi" w:cstheme="minorHAnsi"/>
          <w:lang w:val="cs-CZ"/>
        </w:rPr>
        <w:t>–</w:t>
      </w:r>
      <w:r w:rsidR="00E9785A">
        <w:rPr>
          <w:rFonts w:asciiTheme="minorHAnsi" w:hAnsiTheme="minorHAnsi" w:cstheme="minorHAnsi"/>
          <w:lang w:val="cs-CZ"/>
        </w:rPr>
        <w:t xml:space="preserve"> </w:t>
      </w:r>
      <w:r w:rsidRPr="00A17659">
        <w:rPr>
          <w:rFonts w:asciiTheme="minorHAnsi" w:hAnsiTheme="minorHAnsi" w:cstheme="minorHAnsi"/>
          <w:i/>
          <w:lang w:val="cs-CZ"/>
        </w:rPr>
        <w:t>Nákup služeb</w:t>
      </w:r>
      <w:r w:rsidRPr="00A17659">
        <w:rPr>
          <w:rFonts w:asciiTheme="minorHAnsi" w:hAnsiTheme="minorHAnsi" w:cstheme="minorHAnsi"/>
          <w:lang w:val="cs-CZ"/>
        </w:rPr>
        <w:t>, 517</w:t>
      </w:r>
      <w:r w:rsidR="00E9785A">
        <w:rPr>
          <w:rFonts w:asciiTheme="minorHAnsi" w:hAnsiTheme="minorHAnsi" w:cstheme="minorHAnsi"/>
          <w:lang w:val="cs-CZ"/>
        </w:rPr>
        <w:t xml:space="preserve"> </w:t>
      </w:r>
      <w:r w:rsidRPr="00A17659">
        <w:rPr>
          <w:rFonts w:asciiTheme="minorHAnsi" w:hAnsiTheme="minorHAnsi" w:cstheme="minorHAnsi"/>
          <w:lang w:val="cs-CZ"/>
        </w:rPr>
        <w:t>–</w:t>
      </w:r>
      <w:r w:rsidR="00E9785A">
        <w:rPr>
          <w:rFonts w:asciiTheme="minorHAnsi" w:hAnsiTheme="minorHAnsi" w:cstheme="minorHAnsi"/>
          <w:lang w:val="cs-CZ"/>
        </w:rPr>
        <w:t xml:space="preserve"> </w:t>
      </w:r>
      <w:r w:rsidRPr="00A17659">
        <w:rPr>
          <w:rFonts w:asciiTheme="minorHAnsi" w:hAnsiTheme="minorHAnsi" w:cstheme="minorHAnsi"/>
          <w:i/>
          <w:lang w:val="cs-CZ"/>
        </w:rPr>
        <w:t>Ostatní nákupy</w:t>
      </w:r>
      <w:r w:rsidRPr="00A17659">
        <w:rPr>
          <w:rFonts w:asciiTheme="minorHAnsi" w:hAnsiTheme="minorHAnsi" w:cstheme="minorHAnsi"/>
          <w:lang w:val="cs-CZ"/>
        </w:rPr>
        <w:t xml:space="preserve"> </w:t>
      </w:r>
      <w:r w:rsidRPr="00A17659">
        <w:rPr>
          <w:rFonts w:asciiTheme="minorHAnsi" w:hAnsiTheme="minorHAnsi" w:cstheme="minorHAnsi"/>
          <w:lang w:val="cs-CZ" w:eastAsia="cs-CZ"/>
        </w:rPr>
        <w:t>v</w:t>
      </w:r>
      <w:r w:rsidR="00E9785A">
        <w:rPr>
          <w:rFonts w:asciiTheme="minorHAnsi" w:hAnsiTheme="minorHAnsi" w:cstheme="minorHAnsi"/>
          <w:lang w:val="cs-CZ" w:eastAsia="cs-CZ"/>
        </w:rPr>
        <w:t xml:space="preserve"> </w:t>
      </w:r>
      <w:r w:rsidRPr="00A17659">
        <w:rPr>
          <w:rFonts w:asciiTheme="minorHAnsi" w:hAnsiTheme="minorHAnsi" w:cstheme="minorHAnsi"/>
          <w:lang w:val="cs-CZ" w:eastAsia="cs-CZ"/>
        </w:rPr>
        <w:t xml:space="preserve">rámci rozpočtových paragrafů 5161 </w:t>
      </w:r>
      <w:r w:rsidR="00E9785A">
        <w:rPr>
          <w:rFonts w:asciiTheme="minorHAnsi" w:hAnsiTheme="minorHAnsi" w:cstheme="minorHAnsi"/>
          <w:lang w:val="cs-CZ" w:eastAsia="cs-CZ"/>
        </w:rPr>
        <w:t>–</w:t>
      </w:r>
      <w:r w:rsidRPr="00A17659">
        <w:rPr>
          <w:rFonts w:asciiTheme="minorHAnsi" w:hAnsiTheme="minorHAnsi" w:cstheme="minorHAnsi"/>
          <w:lang w:val="cs-CZ" w:eastAsia="cs-CZ"/>
        </w:rPr>
        <w:t xml:space="preserve"> </w:t>
      </w:r>
      <w:r w:rsidRPr="00A17659">
        <w:rPr>
          <w:rFonts w:asciiTheme="minorHAnsi" w:hAnsiTheme="minorHAnsi" w:cstheme="minorHAnsi"/>
          <w:i/>
          <w:lang w:val="cs-CZ" w:eastAsia="cs-CZ"/>
        </w:rPr>
        <w:t>Činnost ústředního orgánu státní správy ve vojenské obraně (Činnost MO)</w:t>
      </w:r>
      <w:r w:rsidRPr="00A17659">
        <w:rPr>
          <w:rFonts w:asciiTheme="minorHAnsi" w:hAnsiTheme="minorHAnsi" w:cstheme="minorHAnsi"/>
          <w:lang w:val="cs-CZ" w:eastAsia="cs-CZ"/>
        </w:rPr>
        <w:t xml:space="preserve">, </w:t>
      </w:r>
      <w:r w:rsidR="00DA6618" w:rsidRPr="00A17659">
        <w:rPr>
          <w:rFonts w:asciiTheme="minorHAnsi" w:hAnsiTheme="minorHAnsi" w:cstheme="minorHAnsi"/>
          <w:lang w:val="cs-CZ" w:eastAsia="cs-CZ"/>
        </w:rPr>
        <w:t xml:space="preserve">5111 </w:t>
      </w:r>
      <w:r w:rsidR="00E9785A">
        <w:rPr>
          <w:rFonts w:asciiTheme="minorHAnsi" w:hAnsiTheme="minorHAnsi" w:cstheme="minorHAnsi"/>
          <w:lang w:val="cs-CZ" w:eastAsia="cs-CZ"/>
        </w:rPr>
        <w:t>–</w:t>
      </w:r>
      <w:r w:rsidR="00DA6618" w:rsidRPr="00A17659">
        <w:rPr>
          <w:rFonts w:asciiTheme="minorHAnsi" w:hAnsiTheme="minorHAnsi" w:cstheme="minorHAnsi"/>
          <w:lang w:val="cs-CZ" w:eastAsia="cs-CZ"/>
        </w:rPr>
        <w:t xml:space="preserve"> </w:t>
      </w:r>
      <w:r w:rsidR="00DA6618" w:rsidRPr="00A17659">
        <w:rPr>
          <w:rFonts w:asciiTheme="minorHAnsi" w:hAnsiTheme="minorHAnsi" w:cstheme="minorHAnsi"/>
          <w:i/>
          <w:lang w:val="cs-CZ" w:eastAsia="cs-CZ"/>
        </w:rPr>
        <w:t>Armáda</w:t>
      </w:r>
      <w:r w:rsidR="00DA6618" w:rsidRPr="00A17659">
        <w:rPr>
          <w:rFonts w:asciiTheme="minorHAnsi" w:hAnsiTheme="minorHAnsi" w:cstheme="minorHAnsi"/>
          <w:lang w:val="cs-CZ" w:eastAsia="cs-CZ"/>
        </w:rPr>
        <w:t xml:space="preserve">, </w:t>
      </w:r>
      <w:r w:rsidRPr="00A17659">
        <w:rPr>
          <w:rFonts w:asciiTheme="minorHAnsi" w:hAnsiTheme="minorHAnsi" w:cstheme="minorHAnsi"/>
          <w:lang w:val="cs-CZ" w:eastAsia="cs-CZ"/>
        </w:rPr>
        <w:t xml:space="preserve">4361 </w:t>
      </w:r>
      <w:r w:rsidR="00E9785A">
        <w:rPr>
          <w:rFonts w:asciiTheme="minorHAnsi" w:hAnsiTheme="minorHAnsi" w:cstheme="minorHAnsi"/>
          <w:lang w:val="cs-CZ" w:eastAsia="cs-CZ"/>
        </w:rPr>
        <w:t>–</w:t>
      </w:r>
      <w:r w:rsidRPr="00A17659">
        <w:rPr>
          <w:rFonts w:asciiTheme="minorHAnsi" w:hAnsiTheme="minorHAnsi" w:cstheme="minorHAnsi"/>
          <w:lang w:val="cs-CZ" w:eastAsia="cs-CZ"/>
        </w:rPr>
        <w:t xml:space="preserve"> </w:t>
      </w:r>
      <w:r w:rsidRPr="00A17659">
        <w:rPr>
          <w:rFonts w:asciiTheme="minorHAnsi" w:hAnsiTheme="minorHAnsi" w:cstheme="minorHAnsi"/>
          <w:i/>
          <w:lang w:val="cs-CZ" w:eastAsia="cs-CZ"/>
        </w:rPr>
        <w:t>Činnost ústředního orgánu státní správy v</w:t>
      </w:r>
      <w:r w:rsidR="00E9785A">
        <w:rPr>
          <w:rFonts w:asciiTheme="minorHAnsi" w:hAnsiTheme="minorHAnsi" w:cstheme="minorHAnsi"/>
          <w:i/>
          <w:lang w:val="cs-CZ" w:eastAsia="cs-CZ"/>
        </w:rPr>
        <w:t xml:space="preserve"> </w:t>
      </w:r>
      <w:r w:rsidRPr="00A17659">
        <w:rPr>
          <w:rFonts w:asciiTheme="minorHAnsi" w:hAnsiTheme="minorHAnsi" w:cstheme="minorHAnsi"/>
          <w:i/>
          <w:lang w:val="cs-CZ" w:eastAsia="cs-CZ"/>
        </w:rPr>
        <w:t>sociálním zabezpečení, politice zaměstnanosti a rodinné politice (Výdaje na vlastní činnost MPSV)</w:t>
      </w:r>
      <w:r w:rsidRPr="00A17659">
        <w:rPr>
          <w:rFonts w:asciiTheme="minorHAnsi" w:hAnsiTheme="minorHAnsi" w:cstheme="minorHAnsi"/>
          <w:lang w:val="cs-CZ" w:eastAsia="cs-CZ"/>
        </w:rPr>
        <w:t xml:space="preserve">, 1061 </w:t>
      </w:r>
      <w:r w:rsidR="00E9785A">
        <w:rPr>
          <w:rFonts w:asciiTheme="minorHAnsi" w:hAnsiTheme="minorHAnsi" w:cstheme="minorHAnsi"/>
          <w:lang w:val="cs-CZ" w:eastAsia="cs-CZ"/>
        </w:rPr>
        <w:t>–</w:t>
      </w:r>
      <w:r w:rsidRPr="00A17659">
        <w:rPr>
          <w:rFonts w:asciiTheme="minorHAnsi" w:hAnsiTheme="minorHAnsi" w:cstheme="minorHAnsi"/>
          <w:lang w:val="cs-CZ" w:eastAsia="cs-CZ"/>
        </w:rPr>
        <w:t xml:space="preserve"> </w:t>
      </w:r>
      <w:r w:rsidRPr="00A17659">
        <w:rPr>
          <w:rFonts w:asciiTheme="minorHAnsi" w:hAnsiTheme="minorHAnsi" w:cstheme="minorHAnsi"/>
          <w:i/>
          <w:lang w:val="cs-CZ" w:eastAsia="cs-CZ"/>
        </w:rPr>
        <w:t xml:space="preserve">Činnost ústředního orgánu státní správy v zemědělství (Vlastní činnost </w:t>
      </w:r>
      <w:proofErr w:type="spellStart"/>
      <w:r w:rsidRPr="00A17659">
        <w:rPr>
          <w:rFonts w:asciiTheme="minorHAnsi" w:hAnsiTheme="minorHAnsi" w:cstheme="minorHAnsi"/>
          <w:i/>
          <w:lang w:val="cs-CZ" w:eastAsia="cs-CZ"/>
        </w:rPr>
        <w:t>MZe</w:t>
      </w:r>
      <w:proofErr w:type="spellEnd"/>
      <w:r w:rsidRPr="00A17659">
        <w:rPr>
          <w:rFonts w:asciiTheme="minorHAnsi" w:hAnsiTheme="minorHAnsi" w:cstheme="minorHAnsi"/>
          <w:i/>
          <w:lang w:val="cs-CZ" w:eastAsia="cs-CZ"/>
        </w:rPr>
        <w:t>)</w:t>
      </w:r>
      <w:r w:rsidRPr="00A17659">
        <w:rPr>
          <w:rFonts w:asciiTheme="minorHAnsi" w:hAnsiTheme="minorHAnsi" w:cstheme="minorHAnsi"/>
          <w:lang w:val="cs-CZ" w:eastAsia="cs-CZ"/>
        </w:rPr>
        <w:t xml:space="preserve"> a vybrané výdaje zatříděné v</w:t>
      </w:r>
      <w:r w:rsidR="00E9785A">
        <w:rPr>
          <w:rFonts w:asciiTheme="minorHAnsi" w:hAnsiTheme="minorHAnsi" w:cstheme="minorHAnsi"/>
          <w:lang w:val="cs-CZ" w:eastAsia="cs-CZ"/>
        </w:rPr>
        <w:t xml:space="preserve"> </w:t>
      </w:r>
      <w:r w:rsidRPr="00A17659">
        <w:rPr>
          <w:rFonts w:asciiTheme="minorHAnsi" w:hAnsiTheme="minorHAnsi" w:cstheme="minorHAnsi"/>
          <w:lang w:val="cs-CZ" w:eastAsia="cs-CZ"/>
        </w:rPr>
        <w:t xml:space="preserve">rámci rozpočtového paragrafu 1098 </w:t>
      </w:r>
      <w:r w:rsidR="006126E7">
        <w:rPr>
          <w:rFonts w:asciiTheme="minorHAnsi" w:hAnsiTheme="minorHAnsi" w:cstheme="minorHAnsi"/>
          <w:lang w:val="cs-CZ" w:eastAsia="cs-CZ"/>
        </w:rPr>
        <w:t>–</w:t>
      </w:r>
      <w:r w:rsidRPr="00A17659">
        <w:rPr>
          <w:rFonts w:asciiTheme="minorHAnsi" w:hAnsiTheme="minorHAnsi" w:cstheme="minorHAnsi"/>
          <w:lang w:val="cs-CZ" w:eastAsia="cs-CZ"/>
        </w:rPr>
        <w:t xml:space="preserve"> </w:t>
      </w:r>
      <w:r w:rsidRPr="00A17659">
        <w:rPr>
          <w:rFonts w:asciiTheme="minorHAnsi" w:hAnsiTheme="minorHAnsi" w:cstheme="minorHAnsi"/>
          <w:bCs/>
          <w:i/>
          <w:lang w:val="cs-CZ"/>
        </w:rPr>
        <w:t>Ostatní výdaje na zemědělství</w:t>
      </w:r>
      <w:r w:rsidRPr="00A17659">
        <w:rPr>
          <w:rFonts w:asciiTheme="minorHAnsi" w:hAnsiTheme="minorHAnsi" w:cstheme="minorHAnsi"/>
          <w:lang w:val="cs-CZ" w:eastAsia="cs-CZ"/>
        </w:rPr>
        <w:t xml:space="preserve"> u vybraných rozpočtových položek. </w:t>
      </w:r>
    </w:p>
    <w:p w14:paraId="367C8C95" w14:textId="77777777" w:rsidR="003A22F1" w:rsidRPr="00A17659" w:rsidRDefault="003A22F1" w:rsidP="003A22F1">
      <w:pPr>
        <w:jc w:val="both"/>
        <w:rPr>
          <w:rFonts w:asciiTheme="minorHAnsi" w:hAnsiTheme="minorHAnsi" w:cstheme="minorHAnsi"/>
          <w:lang w:val="cs-CZ" w:eastAsia="cs-CZ"/>
        </w:rPr>
      </w:pPr>
    </w:p>
    <w:p w14:paraId="6329F98F" w14:textId="77777777" w:rsidR="008D736C" w:rsidRDefault="00C457AD" w:rsidP="003A22F1">
      <w:pPr>
        <w:jc w:val="both"/>
        <w:rPr>
          <w:rFonts w:asciiTheme="minorHAnsi" w:hAnsiTheme="minorHAnsi" w:cstheme="minorHAnsi"/>
          <w:szCs w:val="22"/>
          <w:lang w:val="cs-CZ"/>
        </w:rPr>
      </w:pPr>
      <w:r w:rsidRPr="00A17659">
        <w:rPr>
          <w:rFonts w:asciiTheme="minorHAnsi" w:hAnsiTheme="minorHAnsi" w:cstheme="minorHAnsi"/>
          <w:szCs w:val="22"/>
          <w:lang w:val="cs-CZ"/>
        </w:rPr>
        <w:t>Ko</w:t>
      </w:r>
      <w:r w:rsidR="008D736C" w:rsidRPr="00A17659">
        <w:rPr>
          <w:rFonts w:asciiTheme="minorHAnsi" w:hAnsiTheme="minorHAnsi" w:cstheme="minorHAnsi"/>
          <w:szCs w:val="22"/>
          <w:lang w:val="cs-CZ"/>
        </w:rPr>
        <w:t>ntrolovaný objem peněžních prostředků vynaložených v</w:t>
      </w:r>
      <w:r w:rsidR="00E9785A">
        <w:rPr>
          <w:rFonts w:asciiTheme="minorHAnsi" w:hAnsiTheme="minorHAnsi" w:cstheme="minorHAnsi"/>
          <w:szCs w:val="22"/>
          <w:lang w:val="cs-CZ"/>
        </w:rPr>
        <w:t xml:space="preserve"> </w:t>
      </w:r>
      <w:r w:rsidR="008D736C" w:rsidRPr="00A17659">
        <w:rPr>
          <w:rFonts w:asciiTheme="minorHAnsi" w:hAnsiTheme="minorHAnsi" w:cstheme="minorHAnsi"/>
          <w:szCs w:val="22"/>
          <w:lang w:val="cs-CZ"/>
        </w:rPr>
        <w:t xml:space="preserve">letech 2013 a 2014 na činnost MO činil </w:t>
      </w:r>
      <w:r w:rsidR="00B77019" w:rsidRPr="00A17659">
        <w:rPr>
          <w:rFonts w:asciiTheme="minorHAnsi" w:hAnsiTheme="minorHAnsi" w:cstheme="minorHAnsi"/>
          <w:lang w:val="cs-CZ"/>
        </w:rPr>
        <w:t>178</w:t>
      </w:r>
      <w:r w:rsidR="00E9785A">
        <w:rPr>
          <w:rFonts w:asciiTheme="minorHAnsi" w:hAnsiTheme="minorHAnsi" w:cstheme="minorHAnsi"/>
          <w:lang w:val="cs-CZ"/>
        </w:rPr>
        <w:t xml:space="preserve"> </w:t>
      </w:r>
      <w:r w:rsidR="00B77019" w:rsidRPr="00A17659">
        <w:rPr>
          <w:rFonts w:asciiTheme="minorHAnsi" w:hAnsiTheme="minorHAnsi" w:cstheme="minorHAnsi"/>
          <w:lang w:val="cs-CZ"/>
        </w:rPr>
        <w:t>618</w:t>
      </w:r>
      <w:r w:rsidR="00E9785A">
        <w:rPr>
          <w:rFonts w:asciiTheme="minorHAnsi" w:hAnsiTheme="minorHAnsi" w:cstheme="minorHAnsi"/>
          <w:lang w:val="cs-CZ"/>
        </w:rPr>
        <w:t xml:space="preserve"> </w:t>
      </w:r>
      <w:r w:rsidR="00B77019" w:rsidRPr="00A17659">
        <w:rPr>
          <w:rFonts w:asciiTheme="minorHAnsi" w:hAnsiTheme="minorHAnsi" w:cstheme="minorHAnsi"/>
          <w:lang w:val="cs-CZ"/>
        </w:rPr>
        <w:t>555,50 Kč</w:t>
      </w:r>
      <w:r w:rsidR="008D736C" w:rsidRPr="00A17659">
        <w:rPr>
          <w:rFonts w:asciiTheme="minorHAnsi" w:hAnsiTheme="minorHAnsi" w:cstheme="minorHAnsi"/>
          <w:szCs w:val="22"/>
          <w:lang w:val="cs-CZ"/>
        </w:rPr>
        <w:t xml:space="preserve">, na činnost MPSV </w:t>
      </w:r>
      <w:r w:rsidR="001A205A" w:rsidRPr="00A17659">
        <w:rPr>
          <w:rFonts w:asciiTheme="minorHAnsi" w:hAnsiTheme="minorHAnsi" w:cstheme="minorHAnsi"/>
          <w:lang w:val="cs-CZ"/>
        </w:rPr>
        <w:t>28</w:t>
      </w:r>
      <w:r w:rsidR="00E9785A">
        <w:rPr>
          <w:rFonts w:asciiTheme="minorHAnsi" w:hAnsiTheme="minorHAnsi" w:cstheme="minorHAnsi"/>
          <w:lang w:val="cs-CZ"/>
        </w:rPr>
        <w:t xml:space="preserve"> </w:t>
      </w:r>
      <w:r w:rsidR="001A205A" w:rsidRPr="00A17659">
        <w:rPr>
          <w:rFonts w:asciiTheme="minorHAnsi" w:hAnsiTheme="minorHAnsi" w:cstheme="minorHAnsi"/>
          <w:lang w:val="cs-CZ"/>
        </w:rPr>
        <w:t>872</w:t>
      </w:r>
      <w:r w:rsidR="00E9785A">
        <w:rPr>
          <w:rFonts w:asciiTheme="minorHAnsi" w:hAnsiTheme="minorHAnsi" w:cstheme="minorHAnsi"/>
          <w:lang w:val="cs-CZ"/>
        </w:rPr>
        <w:t xml:space="preserve"> </w:t>
      </w:r>
      <w:r w:rsidR="001A205A" w:rsidRPr="00A17659">
        <w:rPr>
          <w:rFonts w:asciiTheme="minorHAnsi" w:hAnsiTheme="minorHAnsi" w:cstheme="minorHAnsi"/>
          <w:lang w:val="cs-CZ"/>
        </w:rPr>
        <w:t>4</w:t>
      </w:r>
      <w:r w:rsidR="007E3A25">
        <w:rPr>
          <w:rFonts w:asciiTheme="minorHAnsi" w:hAnsiTheme="minorHAnsi" w:cstheme="minorHAnsi"/>
          <w:lang w:val="cs-CZ"/>
        </w:rPr>
        <w:t>86</w:t>
      </w:r>
      <w:r w:rsidR="001A205A" w:rsidRPr="00A17659">
        <w:rPr>
          <w:rFonts w:asciiTheme="minorHAnsi" w:hAnsiTheme="minorHAnsi" w:cstheme="minorHAnsi"/>
          <w:lang w:val="cs-CZ"/>
        </w:rPr>
        <w:t xml:space="preserve"> </w:t>
      </w:r>
      <w:r w:rsidR="008D736C" w:rsidRPr="00A17659">
        <w:rPr>
          <w:rFonts w:asciiTheme="minorHAnsi" w:hAnsiTheme="minorHAnsi" w:cstheme="minorHAnsi"/>
          <w:szCs w:val="22"/>
          <w:lang w:val="cs-CZ"/>
        </w:rPr>
        <w:t xml:space="preserve">Kč a na činnost </w:t>
      </w:r>
      <w:proofErr w:type="spellStart"/>
      <w:r w:rsidR="008D736C" w:rsidRPr="00A17659">
        <w:rPr>
          <w:rFonts w:asciiTheme="minorHAnsi" w:hAnsiTheme="minorHAnsi" w:cstheme="minorHAnsi"/>
          <w:szCs w:val="22"/>
          <w:lang w:val="cs-CZ"/>
        </w:rPr>
        <w:t>MZe</w:t>
      </w:r>
      <w:proofErr w:type="spellEnd"/>
      <w:r w:rsidR="008D736C" w:rsidRPr="00A17659">
        <w:rPr>
          <w:rFonts w:asciiTheme="minorHAnsi" w:hAnsiTheme="minorHAnsi" w:cstheme="minorHAnsi"/>
          <w:szCs w:val="22"/>
          <w:lang w:val="cs-CZ"/>
        </w:rPr>
        <w:t xml:space="preserve"> </w:t>
      </w:r>
      <w:r w:rsidR="00EE476E" w:rsidRPr="00A17659">
        <w:rPr>
          <w:rFonts w:asciiTheme="minorHAnsi" w:hAnsiTheme="minorHAnsi" w:cstheme="minorHAnsi"/>
          <w:lang w:val="cs-CZ"/>
        </w:rPr>
        <w:t>37</w:t>
      </w:r>
      <w:r w:rsidR="00E9785A">
        <w:rPr>
          <w:rFonts w:asciiTheme="minorHAnsi" w:hAnsiTheme="minorHAnsi" w:cstheme="minorHAnsi"/>
          <w:lang w:val="cs-CZ"/>
        </w:rPr>
        <w:t xml:space="preserve"> </w:t>
      </w:r>
      <w:r w:rsidR="00EE476E" w:rsidRPr="00A17659">
        <w:rPr>
          <w:rFonts w:asciiTheme="minorHAnsi" w:hAnsiTheme="minorHAnsi" w:cstheme="minorHAnsi"/>
          <w:lang w:val="cs-CZ"/>
        </w:rPr>
        <w:t>213</w:t>
      </w:r>
      <w:r w:rsidR="00E9785A">
        <w:rPr>
          <w:rFonts w:asciiTheme="minorHAnsi" w:hAnsiTheme="minorHAnsi" w:cstheme="minorHAnsi"/>
          <w:lang w:val="cs-CZ"/>
        </w:rPr>
        <w:t xml:space="preserve"> </w:t>
      </w:r>
      <w:r w:rsidR="00EE476E" w:rsidRPr="00A17659">
        <w:rPr>
          <w:rFonts w:asciiTheme="minorHAnsi" w:hAnsiTheme="minorHAnsi" w:cstheme="minorHAnsi"/>
          <w:lang w:val="cs-CZ"/>
        </w:rPr>
        <w:t>860</w:t>
      </w:r>
      <w:r w:rsidR="007E3A25">
        <w:rPr>
          <w:rFonts w:asciiTheme="minorHAnsi" w:hAnsiTheme="minorHAnsi" w:cstheme="minorHAnsi"/>
          <w:lang w:val="cs-CZ"/>
        </w:rPr>
        <w:t xml:space="preserve"> </w:t>
      </w:r>
      <w:r w:rsidR="003A22F1">
        <w:rPr>
          <w:rFonts w:asciiTheme="minorHAnsi" w:hAnsiTheme="minorHAnsi" w:cstheme="minorHAnsi"/>
          <w:szCs w:val="22"/>
          <w:lang w:val="cs-CZ"/>
        </w:rPr>
        <w:t>Kč.</w:t>
      </w:r>
    </w:p>
    <w:p w14:paraId="5C57BD16" w14:textId="77777777" w:rsidR="003A22F1" w:rsidRPr="00A17659" w:rsidRDefault="003A22F1" w:rsidP="003A22F1">
      <w:pPr>
        <w:jc w:val="both"/>
        <w:rPr>
          <w:rFonts w:asciiTheme="minorHAnsi" w:hAnsiTheme="minorHAnsi" w:cstheme="minorHAnsi"/>
          <w:szCs w:val="22"/>
          <w:lang w:val="cs-CZ"/>
        </w:rPr>
      </w:pPr>
    </w:p>
    <w:p w14:paraId="2CFDE28A" w14:textId="77777777" w:rsidR="00DB3DF3" w:rsidRPr="00B20CDB" w:rsidRDefault="008D0889" w:rsidP="003A22F1">
      <w:pPr>
        <w:jc w:val="both"/>
        <w:rPr>
          <w:rFonts w:asciiTheme="minorHAnsi" w:hAnsiTheme="minorHAnsi" w:cstheme="minorHAnsi"/>
          <w:lang w:val="cs-CZ"/>
        </w:rPr>
      </w:pPr>
      <w:r w:rsidRPr="00A17659">
        <w:rPr>
          <w:rFonts w:asciiTheme="minorHAnsi" w:hAnsiTheme="minorHAnsi" w:cstheme="minorHAnsi"/>
          <w:lang w:val="cs-CZ" w:eastAsia="cs-CZ"/>
        </w:rPr>
        <w:t>V</w:t>
      </w:r>
      <w:r w:rsidR="00E9785A">
        <w:rPr>
          <w:rFonts w:asciiTheme="minorHAnsi" w:hAnsiTheme="minorHAnsi" w:cstheme="minorHAnsi"/>
          <w:lang w:val="cs-CZ" w:eastAsia="cs-CZ"/>
        </w:rPr>
        <w:t xml:space="preserve"> </w:t>
      </w:r>
      <w:r w:rsidRPr="00A17659">
        <w:rPr>
          <w:rFonts w:asciiTheme="minorHAnsi" w:hAnsiTheme="minorHAnsi" w:cstheme="minorHAnsi"/>
          <w:lang w:val="cs-CZ" w:eastAsia="cs-CZ"/>
        </w:rPr>
        <w:t xml:space="preserve">kontrolovaných oblastech </w:t>
      </w:r>
      <w:r w:rsidR="007579B6" w:rsidRPr="00A17659">
        <w:rPr>
          <w:rFonts w:asciiTheme="minorHAnsi" w:hAnsiTheme="minorHAnsi" w:cstheme="minorHAnsi"/>
          <w:lang w:val="cs-CZ" w:eastAsia="cs-CZ"/>
        </w:rPr>
        <w:t xml:space="preserve">byly zjišťovány </w:t>
      </w:r>
      <w:r w:rsidR="007579B6" w:rsidRPr="00A17659">
        <w:rPr>
          <w:rFonts w:asciiTheme="minorHAnsi" w:hAnsiTheme="minorHAnsi" w:cstheme="minorHAnsi"/>
          <w:szCs w:val="22"/>
          <w:lang w:val="cs-CZ"/>
        </w:rPr>
        <w:t xml:space="preserve">jednotkové ceny </w:t>
      </w:r>
      <w:r w:rsidR="00FD2947" w:rsidRPr="00A17659">
        <w:rPr>
          <w:rFonts w:asciiTheme="minorHAnsi" w:hAnsiTheme="minorHAnsi" w:cstheme="minorHAnsi"/>
          <w:szCs w:val="22"/>
          <w:lang w:val="cs-CZ"/>
        </w:rPr>
        <w:t>nakupovaného materiálu a </w:t>
      </w:r>
      <w:r w:rsidR="007579B6" w:rsidRPr="00A17659">
        <w:rPr>
          <w:rFonts w:asciiTheme="minorHAnsi" w:hAnsiTheme="minorHAnsi" w:cstheme="minorHAnsi"/>
          <w:szCs w:val="22"/>
          <w:lang w:val="cs-CZ"/>
        </w:rPr>
        <w:t>služeb</w:t>
      </w:r>
      <w:r w:rsidR="007579B6" w:rsidRPr="00A17659">
        <w:rPr>
          <w:rFonts w:asciiTheme="minorHAnsi" w:hAnsiTheme="minorHAnsi" w:cstheme="minorHAnsi"/>
          <w:lang w:val="cs-CZ" w:eastAsia="cs-CZ"/>
        </w:rPr>
        <w:t xml:space="preserve"> a </w:t>
      </w:r>
      <w:r w:rsidRPr="00A17659">
        <w:rPr>
          <w:rFonts w:asciiTheme="minorHAnsi" w:hAnsiTheme="minorHAnsi" w:cstheme="minorHAnsi"/>
          <w:lang w:val="cs-CZ" w:eastAsia="cs-CZ"/>
        </w:rPr>
        <w:t>bylo pro</w:t>
      </w:r>
      <w:r w:rsidR="007579B6" w:rsidRPr="00A17659">
        <w:rPr>
          <w:rFonts w:asciiTheme="minorHAnsi" w:hAnsiTheme="minorHAnsi" w:cstheme="minorHAnsi"/>
          <w:lang w:val="cs-CZ"/>
        </w:rPr>
        <w:t>věřováno</w:t>
      </w:r>
      <w:r w:rsidRPr="00A17659">
        <w:rPr>
          <w:rFonts w:asciiTheme="minorHAnsi" w:hAnsiTheme="minorHAnsi" w:cstheme="minorHAnsi"/>
          <w:lang w:val="cs-CZ"/>
        </w:rPr>
        <w:t xml:space="preserve"> dodržování postupů stanovených pro vedení účetnictví, </w:t>
      </w:r>
      <w:r w:rsidR="00DB3DF3" w:rsidRPr="00A17659">
        <w:rPr>
          <w:rFonts w:asciiTheme="minorHAnsi" w:hAnsiTheme="minorHAnsi" w:cstheme="minorHAnsi"/>
          <w:lang w:val="cs-CZ"/>
        </w:rPr>
        <w:t xml:space="preserve">dodržování postupů při </w:t>
      </w:r>
      <w:r w:rsidR="00B20CDB">
        <w:rPr>
          <w:rFonts w:asciiTheme="minorHAnsi" w:hAnsiTheme="minorHAnsi" w:cstheme="minorHAnsi"/>
          <w:lang w:val="cs-CZ"/>
        </w:rPr>
        <w:t xml:space="preserve">zadávání veřejných zakázek, </w:t>
      </w:r>
      <w:r w:rsidR="00DB3DF3" w:rsidRPr="00A17659">
        <w:rPr>
          <w:rFonts w:asciiTheme="minorHAnsi" w:hAnsiTheme="minorHAnsi" w:cstheme="minorHAnsi"/>
          <w:lang w:val="cs-CZ"/>
        </w:rPr>
        <w:t xml:space="preserve">provádění řídicí kontroly dle zákona </w:t>
      </w:r>
      <w:r w:rsidR="00DB3DF3" w:rsidRPr="00A17659">
        <w:rPr>
          <w:rFonts w:asciiTheme="minorHAnsi" w:hAnsiTheme="minorHAnsi" w:cstheme="minorHAnsi"/>
          <w:szCs w:val="22"/>
        </w:rPr>
        <w:t>č. 320/2001 Sb.</w:t>
      </w:r>
      <w:r w:rsidR="00DB3DF3" w:rsidRPr="00A17659">
        <w:rPr>
          <w:rStyle w:val="Znakapoznpodarou"/>
          <w:rFonts w:asciiTheme="minorHAnsi" w:hAnsiTheme="minorHAnsi" w:cstheme="minorHAnsi"/>
          <w:szCs w:val="22"/>
        </w:rPr>
        <w:footnoteReference w:id="6"/>
      </w:r>
      <w:r w:rsidR="00B20CDB">
        <w:rPr>
          <w:rFonts w:asciiTheme="minorHAnsi" w:hAnsiTheme="minorHAnsi" w:cstheme="minorHAnsi"/>
          <w:szCs w:val="22"/>
        </w:rPr>
        <w:t xml:space="preserve"> </w:t>
      </w:r>
      <w:r w:rsidR="00B20CDB" w:rsidRPr="00B20CDB">
        <w:rPr>
          <w:rFonts w:asciiTheme="minorHAnsi" w:hAnsiTheme="minorHAnsi" w:cstheme="minorHAnsi"/>
          <w:szCs w:val="22"/>
          <w:lang w:val="cs-CZ"/>
        </w:rPr>
        <w:t>a hledisko hospodárnosti.</w:t>
      </w:r>
    </w:p>
    <w:p w14:paraId="22E8910A" w14:textId="77777777" w:rsidR="008D0889" w:rsidRDefault="008D0889" w:rsidP="003A22F1">
      <w:pPr>
        <w:jc w:val="both"/>
        <w:rPr>
          <w:rFonts w:asciiTheme="minorHAnsi" w:hAnsiTheme="minorHAnsi" w:cstheme="minorHAnsi"/>
          <w:lang w:val="cs-CZ"/>
        </w:rPr>
      </w:pPr>
    </w:p>
    <w:p w14:paraId="4F10FC5B" w14:textId="77777777" w:rsidR="003A22F1" w:rsidRPr="00A17659" w:rsidRDefault="003A22F1" w:rsidP="003A22F1">
      <w:pPr>
        <w:jc w:val="both"/>
        <w:rPr>
          <w:rFonts w:asciiTheme="minorHAnsi" w:hAnsiTheme="minorHAnsi" w:cstheme="minorHAnsi"/>
          <w:lang w:val="cs-CZ"/>
        </w:rPr>
      </w:pPr>
    </w:p>
    <w:p w14:paraId="59AE1316" w14:textId="77777777" w:rsidR="00C33981" w:rsidRPr="00A17659" w:rsidRDefault="00C33981" w:rsidP="003A22F1">
      <w:pPr>
        <w:ind w:left="567" w:hanging="567"/>
        <w:jc w:val="both"/>
        <w:rPr>
          <w:rFonts w:asciiTheme="minorHAnsi" w:hAnsiTheme="minorHAnsi" w:cstheme="minorHAnsi"/>
          <w:sz w:val="20"/>
          <w:szCs w:val="20"/>
          <w:lang w:val="cs-CZ"/>
        </w:rPr>
      </w:pPr>
      <w:r w:rsidRPr="00A17659">
        <w:rPr>
          <w:rFonts w:asciiTheme="minorHAnsi" w:hAnsiTheme="minorHAnsi" w:cstheme="minorHAnsi"/>
          <w:b/>
          <w:sz w:val="20"/>
          <w:szCs w:val="20"/>
          <w:lang w:val="cs-CZ"/>
        </w:rPr>
        <w:t>Pozn.:</w:t>
      </w:r>
      <w:r w:rsidRPr="00A17659">
        <w:rPr>
          <w:rFonts w:asciiTheme="minorHAnsi" w:hAnsiTheme="minorHAnsi" w:cstheme="minorHAnsi"/>
          <w:sz w:val="20"/>
          <w:szCs w:val="20"/>
          <w:lang w:val="cs-CZ"/>
        </w:rPr>
        <w:tab/>
        <w:t>Právní předpisy uvedené v</w:t>
      </w:r>
      <w:r w:rsidR="00E9785A">
        <w:rPr>
          <w:rFonts w:asciiTheme="minorHAnsi" w:hAnsiTheme="minorHAnsi" w:cstheme="minorHAnsi"/>
          <w:sz w:val="20"/>
          <w:szCs w:val="20"/>
          <w:lang w:val="cs-CZ"/>
        </w:rPr>
        <w:t xml:space="preserve"> </w:t>
      </w:r>
      <w:r w:rsidRPr="00A17659">
        <w:rPr>
          <w:rFonts w:asciiTheme="minorHAnsi" w:hAnsiTheme="minorHAnsi" w:cstheme="minorHAnsi"/>
          <w:sz w:val="20"/>
          <w:szCs w:val="20"/>
          <w:lang w:val="cs-CZ"/>
        </w:rPr>
        <w:t>tomto kontrolním závěru jsou aplikovány ve znění účinném pro kontrolované období.</w:t>
      </w:r>
    </w:p>
    <w:p w14:paraId="061F1FA4" w14:textId="77777777" w:rsidR="003A22F1" w:rsidRDefault="003A22F1" w:rsidP="003A22F1">
      <w:pPr>
        <w:rPr>
          <w:rFonts w:asciiTheme="minorHAnsi" w:hAnsiTheme="minorHAnsi" w:cstheme="minorHAnsi"/>
          <w:b/>
          <w:color w:val="000000"/>
          <w:sz w:val="28"/>
          <w:szCs w:val="28"/>
          <w:lang w:val="cs-CZ"/>
        </w:rPr>
      </w:pPr>
      <w:r>
        <w:rPr>
          <w:rFonts w:asciiTheme="minorHAnsi" w:hAnsiTheme="minorHAnsi" w:cstheme="minorHAnsi"/>
          <w:b/>
          <w:color w:val="000000"/>
          <w:sz w:val="28"/>
          <w:szCs w:val="28"/>
          <w:lang w:val="cs-CZ"/>
        </w:rPr>
        <w:br w:type="page"/>
      </w:r>
    </w:p>
    <w:p w14:paraId="730D9896" w14:textId="77777777" w:rsidR="005A3B0E" w:rsidRDefault="007E3A25" w:rsidP="0029023F">
      <w:pPr>
        <w:jc w:val="center"/>
        <w:rPr>
          <w:rFonts w:asciiTheme="minorHAnsi" w:hAnsiTheme="minorHAnsi" w:cstheme="minorHAnsi"/>
          <w:b/>
          <w:color w:val="000000"/>
          <w:sz w:val="28"/>
          <w:szCs w:val="28"/>
          <w:lang w:val="cs-CZ"/>
        </w:rPr>
      </w:pPr>
      <w:r w:rsidRPr="00A17659">
        <w:rPr>
          <w:rFonts w:asciiTheme="minorHAnsi" w:hAnsiTheme="minorHAnsi" w:cstheme="minorHAnsi"/>
          <w:b/>
          <w:color w:val="000000"/>
          <w:sz w:val="28"/>
          <w:szCs w:val="28"/>
          <w:lang w:val="cs-CZ"/>
        </w:rPr>
        <w:lastRenderedPageBreak/>
        <w:t>II. Shrnutí a vyhodnocení zjištěných skutečností</w:t>
      </w:r>
    </w:p>
    <w:p w14:paraId="6BA3B3AB" w14:textId="77777777" w:rsidR="007E3A25" w:rsidRPr="003A22F1" w:rsidRDefault="007E3A25" w:rsidP="003A22F1">
      <w:pPr>
        <w:jc w:val="both"/>
        <w:rPr>
          <w:rFonts w:asciiTheme="minorHAnsi" w:hAnsiTheme="minorHAnsi" w:cstheme="minorHAnsi"/>
          <w:color w:val="000000"/>
          <w:szCs w:val="28"/>
          <w:lang w:val="cs-CZ"/>
        </w:rPr>
      </w:pPr>
    </w:p>
    <w:p w14:paraId="023086A9" w14:textId="05207BFD" w:rsidR="004146A6" w:rsidRDefault="00E7693A" w:rsidP="003A22F1">
      <w:pPr>
        <w:pStyle w:val="Odstavecseseznamem"/>
        <w:ind w:left="0"/>
        <w:contextualSpacing w:val="0"/>
        <w:jc w:val="both"/>
        <w:rPr>
          <w:rFonts w:asciiTheme="minorHAnsi" w:hAnsiTheme="minorHAnsi" w:cstheme="minorHAnsi"/>
          <w:bCs/>
          <w:lang w:val="cs-CZ"/>
        </w:rPr>
      </w:pPr>
      <w:r w:rsidRPr="00A17659">
        <w:rPr>
          <w:rFonts w:asciiTheme="minorHAnsi" w:hAnsiTheme="minorHAnsi" w:cstheme="minorHAnsi"/>
          <w:lang w:val="cs-CZ" w:eastAsia="cs-CZ"/>
        </w:rPr>
        <w:t xml:space="preserve">Nehospodárný postup byl zjištěn u všech tří ministerstev, </w:t>
      </w:r>
      <w:r w:rsidR="007A6C97">
        <w:rPr>
          <w:rFonts w:asciiTheme="minorHAnsi" w:hAnsiTheme="minorHAnsi" w:cstheme="minorHAnsi"/>
          <w:lang w:val="cs-CZ" w:eastAsia="cs-CZ"/>
        </w:rPr>
        <w:t>která</w:t>
      </w:r>
      <w:r w:rsidRPr="00A17659">
        <w:rPr>
          <w:rFonts w:asciiTheme="minorHAnsi" w:hAnsiTheme="minorHAnsi" w:cstheme="minorHAnsi"/>
          <w:lang w:val="cs-CZ" w:eastAsia="cs-CZ"/>
        </w:rPr>
        <w:t xml:space="preserve"> </w:t>
      </w:r>
      <w:r w:rsidRPr="00A17659">
        <w:rPr>
          <w:rFonts w:asciiTheme="minorHAnsi" w:eastAsiaTheme="minorHAnsi" w:hAnsiTheme="minorHAnsi" w:cstheme="minorHAnsi"/>
          <w:szCs w:val="22"/>
          <w:lang w:val="cs-CZ"/>
        </w:rPr>
        <w:t>v</w:t>
      </w:r>
      <w:r w:rsidR="00E9785A">
        <w:rPr>
          <w:rFonts w:asciiTheme="minorHAnsi" w:eastAsiaTheme="minorHAnsi" w:hAnsiTheme="minorHAnsi" w:cstheme="minorHAnsi"/>
          <w:szCs w:val="22"/>
          <w:lang w:val="cs-CZ"/>
        </w:rPr>
        <w:t xml:space="preserve"> </w:t>
      </w:r>
      <w:r w:rsidRPr="00A17659">
        <w:rPr>
          <w:rFonts w:asciiTheme="minorHAnsi" w:eastAsiaTheme="minorHAnsi" w:hAnsiTheme="minorHAnsi" w:cstheme="minorHAnsi"/>
          <w:szCs w:val="22"/>
          <w:lang w:val="cs-CZ"/>
        </w:rPr>
        <w:t>některých případech</w:t>
      </w:r>
      <w:r w:rsidRPr="00A17659">
        <w:rPr>
          <w:rFonts w:asciiTheme="minorHAnsi" w:hAnsiTheme="minorHAnsi" w:cstheme="minorHAnsi"/>
          <w:lang w:val="cs-CZ" w:eastAsia="cs-CZ"/>
        </w:rPr>
        <w:t xml:space="preserve"> </w:t>
      </w:r>
      <w:r w:rsidRPr="00A17659">
        <w:rPr>
          <w:rFonts w:asciiTheme="minorHAnsi" w:hAnsiTheme="minorHAnsi" w:cstheme="minorHAnsi"/>
          <w:b/>
          <w:lang w:val="cs-CZ" w:eastAsia="cs-CZ"/>
        </w:rPr>
        <w:t>nepostupovala</w:t>
      </w:r>
      <w:r w:rsidR="004146A6" w:rsidRPr="00A17659">
        <w:rPr>
          <w:rFonts w:asciiTheme="minorHAnsi" w:hAnsiTheme="minorHAnsi" w:cstheme="minorHAnsi"/>
          <w:b/>
          <w:lang w:val="cs-CZ" w:eastAsia="cs-CZ"/>
        </w:rPr>
        <w:t xml:space="preserve"> </w:t>
      </w:r>
      <w:r w:rsidR="00FD2947" w:rsidRPr="00A17659">
        <w:rPr>
          <w:rFonts w:asciiTheme="minorHAnsi" w:hAnsiTheme="minorHAnsi" w:cstheme="minorHAnsi"/>
          <w:b/>
          <w:lang w:val="cs-CZ" w:eastAsia="cs-CZ"/>
        </w:rPr>
        <w:t xml:space="preserve">v souladu se zákonem </w:t>
      </w:r>
      <w:r w:rsidR="0087128A">
        <w:rPr>
          <w:rFonts w:asciiTheme="minorHAnsi" w:hAnsiTheme="minorHAnsi" w:cstheme="minorHAnsi"/>
          <w:b/>
          <w:lang w:val="cs-CZ" w:eastAsia="cs-CZ"/>
        </w:rPr>
        <w:t>218/2000 Sb.</w:t>
      </w:r>
      <w:r w:rsidR="0087128A">
        <w:rPr>
          <w:rStyle w:val="Znakapoznpodarou"/>
          <w:rFonts w:asciiTheme="minorHAnsi" w:hAnsiTheme="minorHAnsi" w:cstheme="minorHAnsi"/>
          <w:b/>
          <w:lang w:val="cs-CZ" w:eastAsia="cs-CZ"/>
        </w:rPr>
        <w:footnoteReference w:id="7"/>
      </w:r>
      <w:r w:rsidR="004146A6" w:rsidRPr="00A17659">
        <w:rPr>
          <w:rFonts w:asciiTheme="minorHAnsi" w:hAnsiTheme="minorHAnsi" w:cstheme="minorHAnsi"/>
          <w:lang w:val="cs-CZ" w:eastAsia="cs-CZ"/>
        </w:rPr>
        <w:t xml:space="preserve"> </w:t>
      </w:r>
      <w:r w:rsidRPr="00A17659">
        <w:rPr>
          <w:rFonts w:asciiTheme="minorHAnsi" w:hAnsiTheme="minorHAnsi" w:cstheme="minorHAnsi"/>
          <w:bCs/>
          <w:lang w:val="cs-CZ"/>
        </w:rPr>
        <w:t>a dopustila</w:t>
      </w:r>
      <w:r w:rsidR="004146A6" w:rsidRPr="00A17659">
        <w:rPr>
          <w:rFonts w:asciiTheme="minorHAnsi" w:hAnsiTheme="minorHAnsi" w:cstheme="minorHAnsi"/>
          <w:bCs/>
          <w:lang w:val="cs-CZ"/>
        </w:rPr>
        <w:t xml:space="preserve"> se porušení rozpočtové kázně.</w:t>
      </w:r>
    </w:p>
    <w:p w14:paraId="1AAAA54A" w14:textId="77777777" w:rsidR="003A22F1" w:rsidRPr="00A17659" w:rsidRDefault="003A22F1" w:rsidP="003A22F1">
      <w:pPr>
        <w:pStyle w:val="Odstavecseseznamem"/>
        <w:ind w:left="0"/>
        <w:contextualSpacing w:val="0"/>
        <w:jc w:val="both"/>
        <w:rPr>
          <w:rFonts w:asciiTheme="minorHAnsi" w:hAnsiTheme="minorHAnsi" w:cstheme="minorHAnsi"/>
          <w:bCs/>
          <w:lang w:val="cs-CZ"/>
        </w:rPr>
      </w:pPr>
    </w:p>
    <w:p w14:paraId="1F93BB97" w14:textId="77777777" w:rsidR="00C457AD" w:rsidRDefault="005D1297" w:rsidP="003A22F1">
      <w:pPr>
        <w:pStyle w:val="Odstavecseseznamem"/>
        <w:ind w:left="0"/>
        <w:contextualSpacing w:val="0"/>
        <w:jc w:val="both"/>
        <w:rPr>
          <w:rFonts w:asciiTheme="minorHAnsi" w:hAnsiTheme="minorHAnsi" w:cstheme="minorHAnsi"/>
          <w:lang w:val="cs-CZ" w:eastAsia="cs-CZ"/>
        </w:rPr>
      </w:pPr>
      <w:r>
        <w:rPr>
          <w:rFonts w:asciiTheme="minorHAnsi" w:hAnsiTheme="minorHAnsi" w:cstheme="minorHAnsi"/>
          <w:b/>
          <w:lang w:val="cs-CZ" w:eastAsia="cs-CZ"/>
        </w:rPr>
        <w:t xml:space="preserve">MPSV nepostupovalo </w:t>
      </w:r>
      <w:r w:rsidR="00C457AD" w:rsidRPr="00A17659">
        <w:rPr>
          <w:rFonts w:asciiTheme="minorHAnsi" w:hAnsiTheme="minorHAnsi" w:cstheme="minorHAnsi"/>
          <w:b/>
          <w:lang w:val="cs-CZ" w:eastAsia="cs-CZ"/>
        </w:rPr>
        <w:t xml:space="preserve">v souladu se zákonem </w:t>
      </w:r>
      <w:r w:rsidR="0087128A">
        <w:rPr>
          <w:rFonts w:asciiTheme="minorHAnsi" w:hAnsiTheme="minorHAnsi" w:cstheme="minorHAnsi"/>
          <w:b/>
          <w:lang w:val="cs-CZ" w:eastAsia="cs-CZ"/>
        </w:rPr>
        <w:t>219/2000 Sb</w:t>
      </w:r>
      <w:r w:rsidR="00E9785A">
        <w:rPr>
          <w:rFonts w:asciiTheme="minorHAnsi" w:hAnsiTheme="minorHAnsi" w:cstheme="minorHAnsi"/>
          <w:b/>
          <w:lang w:val="cs-CZ" w:eastAsia="cs-CZ"/>
        </w:rPr>
        <w:t>.</w:t>
      </w:r>
      <w:r w:rsidR="00C457AD" w:rsidRPr="00A17659">
        <w:rPr>
          <w:rFonts w:asciiTheme="minorHAnsi" w:hAnsiTheme="minorHAnsi" w:cstheme="minorHAnsi"/>
          <w:b/>
          <w:lang w:val="cs-CZ" w:eastAsia="cs-CZ"/>
        </w:rPr>
        <w:t xml:space="preserve">, </w:t>
      </w:r>
      <w:r w:rsidR="00C457AD" w:rsidRPr="00A17659">
        <w:rPr>
          <w:rFonts w:asciiTheme="minorHAnsi" w:hAnsiTheme="minorHAnsi" w:cstheme="minorHAnsi"/>
          <w:lang w:val="cs-CZ" w:eastAsia="cs-CZ"/>
        </w:rPr>
        <w:t>když nevyužívalo důsledně všechny právní prostředky při uplatňování a hájení práv stát</w:t>
      </w:r>
      <w:r w:rsidR="00E323BF">
        <w:rPr>
          <w:rFonts w:asciiTheme="minorHAnsi" w:hAnsiTheme="minorHAnsi" w:cstheme="minorHAnsi"/>
          <w:lang w:val="cs-CZ" w:eastAsia="cs-CZ"/>
        </w:rPr>
        <w:t>u jako vlastníka v případě nákupu</w:t>
      </w:r>
      <w:r>
        <w:rPr>
          <w:rFonts w:asciiTheme="minorHAnsi" w:hAnsiTheme="minorHAnsi" w:cstheme="minorHAnsi"/>
          <w:lang w:val="cs-CZ" w:eastAsia="cs-CZ"/>
        </w:rPr>
        <w:t xml:space="preserve"> materiál</w:t>
      </w:r>
      <w:r w:rsidR="00E323BF">
        <w:rPr>
          <w:rFonts w:asciiTheme="minorHAnsi" w:hAnsiTheme="minorHAnsi" w:cstheme="minorHAnsi"/>
          <w:lang w:val="cs-CZ" w:eastAsia="cs-CZ"/>
        </w:rPr>
        <w:t>u</w:t>
      </w:r>
      <w:r>
        <w:rPr>
          <w:rFonts w:asciiTheme="minorHAnsi" w:hAnsiTheme="minorHAnsi" w:cstheme="minorHAnsi"/>
          <w:lang w:val="cs-CZ" w:eastAsia="cs-CZ"/>
        </w:rPr>
        <w:t xml:space="preserve"> bez písemné smlouvy.</w:t>
      </w:r>
    </w:p>
    <w:p w14:paraId="019040B6" w14:textId="77777777" w:rsidR="003A22F1" w:rsidRPr="00A17659" w:rsidRDefault="003A22F1" w:rsidP="003A22F1">
      <w:pPr>
        <w:pStyle w:val="Odstavecseseznamem"/>
        <w:ind w:left="0"/>
        <w:contextualSpacing w:val="0"/>
        <w:jc w:val="both"/>
        <w:rPr>
          <w:rFonts w:asciiTheme="minorHAnsi" w:hAnsiTheme="minorHAnsi" w:cstheme="minorHAnsi"/>
          <w:bCs/>
          <w:lang w:val="cs-CZ"/>
        </w:rPr>
      </w:pPr>
    </w:p>
    <w:p w14:paraId="160F4A14" w14:textId="77777777" w:rsidR="0087128A" w:rsidRDefault="005A3B0E" w:rsidP="003A22F1">
      <w:pPr>
        <w:pStyle w:val="Odstavecseseznamem"/>
        <w:ind w:left="0"/>
        <w:contextualSpacing w:val="0"/>
        <w:jc w:val="both"/>
        <w:rPr>
          <w:rFonts w:asciiTheme="minorHAnsi" w:hAnsiTheme="minorHAnsi" w:cstheme="minorHAnsi"/>
          <w:lang w:val="cs-CZ"/>
        </w:rPr>
      </w:pPr>
      <w:r w:rsidRPr="00A17659">
        <w:rPr>
          <w:rFonts w:asciiTheme="minorHAnsi" w:hAnsiTheme="minorHAnsi" w:cstheme="minorHAnsi"/>
          <w:b/>
          <w:lang w:val="cs-CZ"/>
        </w:rPr>
        <w:t>NKÚ zjistil nedostatky v účetnictví</w:t>
      </w:r>
      <w:r w:rsidRPr="009464B0">
        <w:rPr>
          <w:rFonts w:asciiTheme="minorHAnsi" w:hAnsiTheme="minorHAnsi" w:cstheme="minorHAnsi"/>
          <w:b/>
          <w:lang w:val="cs-CZ"/>
        </w:rPr>
        <w:t>,</w:t>
      </w:r>
      <w:r w:rsidRPr="00A17659">
        <w:rPr>
          <w:rFonts w:asciiTheme="minorHAnsi" w:hAnsiTheme="minorHAnsi" w:cstheme="minorHAnsi"/>
          <w:lang w:val="cs-CZ"/>
        </w:rPr>
        <w:t xml:space="preserve"> na jejichž zák</w:t>
      </w:r>
      <w:r w:rsidR="00613D94" w:rsidRPr="00A17659">
        <w:rPr>
          <w:rFonts w:asciiTheme="minorHAnsi" w:hAnsiTheme="minorHAnsi" w:cstheme="minorHAnsi"/>
          <w:lang w:val="cs-CZ"/>
        </w:rPr>
        <w:t>ladě konstatoval, že účetnictví MO nebylo v</w:t>
      </w:r>
      <w:r w:rsidR="00613D94" w:rsidRPr="00A17659">
        <w:rPr>
          <w:rFonts w:asciiTheme="minorHAnsi" w:hAnsiTheme="minorHAnsi" w:cstheme="minorHAnsi"/>
          <w:b/>
          <w:lang w:val="cs-CZ"/>
        </w:rPr>
        <w:t> </w:t>
      </w:r>
      <w:r w:rsidR="00613D94" w:rsidRPr="00A17659">
        <w:rPr>
          <w:rFonts w:asciiTheme="minorHAnsi" w:hAnsiTheme="minorHAnsi" w:cstheme="minorHAnsi"/>
          <w:lang w:val="cs-CZ"/>
        </w:rPr>
        <w:t xml:space="preserve">účetním období roku 2013 a roku 2014 správné a úplné, </w:t>
      </w:r>
      <w:r w:rsidR="00642CC8" w:rsidRPr="00A17659">
        <w:rPr>
          <w:rFonts w:asciiTheme="minorHAnsi" w:hAnsiTheme="minorHAnsi" w:cstheme="minorHAnsi"/>
          <w:lang w:val="cs-CZ"/>
        </w:rPr>
        <w:t>účetnictví MPSV nebylo v</w:t>
      </w:r>
      <w:r w:rsidR="00E9785A">
        <w:rPr>
          <w:rFonts w:asciiTheme="minorHAnsi" w:hAnsiTheme="minorHAnsi" w:cstheme="minorHAnsi"/>
          <w:b/>
          <w:lang w:val="cs-CZ"/>
        </w:rPr>
        <w:t xml:space="preserve"> </w:t>
      </w:r>
      <w:r w:rsidR="00642CC8" w:rsidRPr="00A17659">
        <w:rPr>
          <w:rFonts w:asciiTheme="minorHAnsi" w:hAnsiTheme="minorHAnsi" w:cstheme="minorHAnsi"/>
          <w:lang w:val="cs-CZ"/>
        </w:rPr>
        <w:t xml:space="preserve">účetním období roku 2013 a roku 2014 správné a </w:t>
      </w:r>
      <w:r w:rsidR="00613D94" w:rsidRPr="00A17659">
        <w:rPr>
          <w:rFonts w:asciiTheme="minorHAnsi" w:hAnsiTheme="minorHAnsi" w:cstheme="minorHAnsi"/>
          <w:lang w:val="cs-CZ"/>
        </w:rPr>
        <w:t xml:space="preserve">účetnictví </w:t>
      </w:r>
      <w:proofErr w:type="spellStart"/>
      <w:r w:rsidR="0074542E" w:rsidRPr="00A17659">
        <w:rPr>
          <w:rFonts w:asciiTheme="minorHAnsi" w:hAnsiTheme="minorHAnsi" w:cstheme="minorHAnsi"/>
          <w:lang w:val="cs-CZ"/>
        </w:rPr>
        <w:t>MZe</w:t>
      </w:r>
      <w:proofErr w:type="spellEnd"/>
      <w:r w:rsidRPr="00A17659">
        <w:rPr>
          <w:rFonts w:asciiTheme="minorHAnsi" w:hAnsiTheme="minorHAnsi" w:cstheme="minorHAnsi"/>
          <w:lang w:val="cs-CZ"/>
        </w:rPr>
        <w:t xml:space="preserve"> nebylo v</w:t>
      </w:r>
      <w:r w:rsidR="00E9785A">
        <w:rPr>
          <w:rFonts w:asciiTheme="minorHAnsi" w:hAnsiTheme="minorHAnsi" w:cstheme="minorHAnsi"/>
          <w:lang w:val="cs-CZ"/>
        </w:rPr>
        <w:t xml:space="preserve"> </w:t>
      </w:r>
      <w:r w:rsidRPr="00A17659">
        <w:rPr>
          <w:rFonts w:asciiTheme="minorHAnsi" w:hAnsiTheme="minorHAnsi" w:cstheme="minorHAnsi"/>
          <w:lang w:val="cs-CZ"/>
        </w:rPr>
        <w:t>účetní</w:t>
      </w:r>
      <w:r w:rsidR="0074542E" w:rsidRPr="00A17659">
        <w:rPr>
          <w:rFonts w:asciiTheme="minorHAnsi" w:hAnsiTheme="minorHAnsi" w:cstheme="minorHAnsi"/>
          <w:lang w:val="cs-CZ"/>
        </w:rPr>
        <w:t>m</w:t>
      </w:r>
      <w:r w:rsidRPr="00A17659">
        <w:rPr>
          <w:rFonts w:asciiTheme="minorHAnsi" w:hAnsiTheme="minorHAnsi" w:cstheme="minorHAnsi"/>
          <w:lang w:val="cs-CZ"/>
        </w:rPr>
        <w:t xml:space="preserve"> období </w:t>
      </w:r>
      <w:r w:rsidR="0074542E" w:rsidRPr="00A17659">
        <w:rPr>
          <w:rFonts w:asciiTheme="minorHAnsi" w:hAnsiTheme="minorHAnsi" w:cstheme="minorHAnsi"/>
          <w:lang w:val="cs-CZ"/>
        </w:rPr>
        <w:t>roku 2013</w:t>
      </w:r>
      <w:r w:rsidR="00642CC8" w:rsidRPr="00A17659">
        <w:rPr>
          <w:rFonts w:asciiTheme="minorHAnsi" w:hAnsiTheme="minorHAnsi" w:cstheme="minorHAnsi"/>
          <w:lang w:val="cs-CZ"/>
        </w:rPr>
        <w:t xml:space="preserve"> správné ve smyslu zákona</w:t>
      </w:r>
      <w:r w:rsidR="00346902" w:rsidRPr="00A17659">
        <w:rPr>
          <w:rFonts w:asciiTheme="minorHAnsi" w:hAnsiTheme="minorHAnsi" w:cstheme="minorHAnsi"/>
          <w:lang w:val="cs-CZ"/>
        </w:rPr>
        <w:t xml:space="preserve"> </w:t>
      </w:r>
      <w:r w:rsidR="00EB4305">
        <w:rPr>
          <w:rFonts w:asciiTheme="minorHAnsi" w:hAnsiTheme="minorHAnsi" w:cstheme="minorHAnsi"/>
          <w:lang w:val="cs-CZ"/>
        </w:rPr>
        <w:t>563/1991 Sb.</w:t>
      </w:r>
    </w:p>
    <w:p w14:paraId="6399B170" w14:textId="77777777" w:rsidR="00EC5DD5" w:rsidRDefault="00EC5DD5" w:rsidP="003A22F1">
      <w:pPr>
        <w:pStyle w:val="Odstavecseseznamem"/>
        <w:ind w:left="0"/>
        <w:contextualSpacing w:val="0"/>
        <w:jc w:val="both"/>
        <w:rPr>
          <w:rFonts w:asciiTheme="minorHAnsi" w:hAnsiTheme="minorHAnsi" w:cstheme="minorHAnsi"/>
          <w:b/>
          <w:lang w:val="cs-CZ"/>
        </w:rPr>
      </w:pPr>
    </w:p>
    <w:p w14:paraId="1A3908AB" w14:textId="506C9DE9" w:rsidR="0087128A" w:rsidRDefault="0087128A" w:rsidP="003A22F1">
      <w:pPr>
        <w:pStyle w:val="Odstavecseseznamem"/>
        <w:ind w:left="0"/>
        <w:contextualSpacing w:val="0"/>
        <w:jc w:val="both"/>
        <w:rPr>
          <w:rFonts w:asciiTheme="minorHAnsi" w:eastAsiaTheme="minorHAnsi" w:hAnsiTheme="minorHAnsi" w:cstheme="minorHAnsi"/>
          <w:i/>
          <w:szCs w:val="22"/>
          <w:lang w:val="cs-CZ"/>
        </w:rPr>
      </w:pPr>
      <w:r w:rsidRPr="00A17659">
        <w:rPr>
          <w:rFonts w:asciiTheme="minorHAnsi" w:hAnsiTheme="minorHAnsi" w:cstheme="minorHAnsi"/>
          <w:b/>
          <w:lang w:val="cs-CZ"/>
        </w:rPr>
        <w:t>NKÚ zjistil nedostatky při zadávání veřejných zakázek.</w:t>
      </w:r>
      <w:r w:rsidRPr="00A17659">
        <w:rPr>
          <w:rFonts w:asciiTheme="minorHAnsi" w:hAnsiTheme="minorHAnsi" w:cstheme="minorHAnsi"/>
          <w:lang w:val="cs-CZ"/>
        </w:rPr>
        <w:t xml:space="preserve"> Např. MO</w:t>
      </w:r>
      <w:r w:rsidRPr="00A17659">
        <w:rPr>
          <w:rFonts w:asciiTheme="minorHAnsi" w:eastAsiaTheme="minorHAnsi" w:hAnsiTheme="minorHAnsi" w:cstheme="minorHAnsi"/>
          <w:szCs w:val="22"/>
          <w:lang w:val="cs-CZ"/>
        </w:rPr>
        <w:t xml:space="preserve"> rozdělilo nesprávně předmět veřejných zakázek na nákup kancelářských potřeb a tonerů v</w:t>
      </w:r>
      <w:r w:rsidR="00E9785A">
        <w:rPr>
          <w:rFonts w:asciiTheme="minorHAnsi" w:eastAsiaTheme="minorHAnsi" w:hAnsiTheme="minorHAnsi" w:cstheme="minorHAnsi"/>
          <w:szCs w:val="22"/>
          <w:lang w:val="cs-CZ"/>
        </w:rPr>
        <w:t xml:space="preserve"> </w:t>
      </w:r>
      <w:r w:rsidRPr="00A17659">
        <w:rPr>
          <w:rFonts w:asciiTheme="minorHAnsi" w:eastAsiaTheme="minorHAnsi" w:hAnsiTheme="minorHAnsi" w:cstheme="minorHAnsi"/>
          <w:szCs w:val="22"/>
          <w:lang w:val="cs-CZ"/>
        </w:rPr>
        <w:t>celkové hodnotě 79 mil. Kč bez DPH, čímž došlo ke snížení předpokládané hodnoty pod finanční limit stanovený zákonem</w:t>
      </w:r>
      <w:r w:rsidR="00EB4305">
        <w:rPr>
          <w:rFonts w:asciiTheme="minorHAnsi" w:eastAsiaTheme="minorHAnsi" w:hAnsiTheme="minorHAnsi" w:cstheme="minorHAnsi"/>
          <w:szCs w:val="22"/>
          <w:lang w:val="cs-CZ"/>
        </w:rPr>
        <w:t xml:space="preserve"> </w:t>
      </w:r>
      <w:r w:rsidR="007A6C97">
        <w:rPr>
          <w:rFonts w:asciiTheme="minorHAnsi" w:eastAsiaTheme="minorHAnsi" w:hAnsiTheme="minorHAnsi" w:cstheme="minorHAnsi"/>
          <w:szCs w:val="22"/>
          <w:lang w:val="cs-CZ"/>
        </w:rPr>
        <w:t>č. </w:t>
      </w:r>
      <w:r w:rsidR="00EB4305">
        <w:rPr>
          <w:rFonts w:asciiTheme="minorHAnsi" w:eastAsiaTheme="minorHAnsi" w:hAnsiTheme="minorHAnsi" w:cstheme="minorHAnsi"/>
          <w:szCs w:val="22"/>
          <w:lang w:val="cs-CZ"/>
        </w:rPr>
        <w:t>137/2006</w:t>
      </w:r>
      <w:r w:rsidR="007A6C97">
        <w:rPr>
          <w:rFonts w:asciiTheme="minorHAnsi" w:eastAsiaTheme="minorHAnsi" w:hAnsiTheme="minorHAnsi" w:cstheme="minorHAnsi"/>
          <w:szCs w:val="22"/>
          <w:lang w:val="cs-CZ"/>
        </w:rPr>
        <w:t> </w:t>
      </w:r>
      <w:r w:rsidR="00EB4305">
        <w:rPr>
          <w:rFonts w:asciiTheme="minorHAnsi" w:eastAsiaTheme="minorHAnsi" w:hAnsiTheme="minorHAnsi" w:cstheme="minorHAnsi"/>
          <w:szCs w:val="22"/>
          <w:lang w:val="cs-CZ"/>
        </w:rPr>
        <w:t>Sb.</w:t>
      </w:r>
      <w:r w:rsidR="007A6C97">
        <w:rPr>
          <w:rFonts w:asciiTheme="minorHAnsi" w:eastAsiaTheme="minorHAnsi" w:hAnsiTheme="minorHAnsi" w:cstheme="minorHAnsi"/>
          <w:szCs w:val="22"/>
          <w:lang w:val="cs-CZ"/>
        </w:rPr>
        <w:t>,</w:t>
      </w:r>
      <w:r w:rsidRPr="00A17659">
        <w:rPr>
          <w:rFonts w:asciiTheme="minorHAnsi" w:eastAsiaTheme="minorHAnsi" w:hAnsiTheme="minorHAnsi" w:cstheme="minorHAnsi"/>
          <w:szCs w:val="22"/>
          <w:lang w:val="cs-CZ"/>
        </w:rPr>
        <w:t xml:space="preserve"> o veřejných zakázkách. MPSV v</w:t>
      </w:r>
      <w:r w:rsidR="00E9785A">
        <w:rPr>
          <w:rFonts w:asciiTheme="minorHAnsi" w:eastAsiaTheme="minorHAnsi" w:hAnsiTheme="minorHAnsi" w:cstheme="minorHAnsi"/>
          <w:szCs w:val="22"/>
          <w:lang w:val="cs-CZ"/>
        </w:rPr>
        <w:t xml:space="preserve"> </w:t>
      </w:r>
      <w:r w:rsidRPr="00A17659">
        <w:rPr>
          <w:rFonts w:asciiTheme="minorHAnsi" w:eastAsiaTheme="minorHAnsi" w:hAnsiTheme="minorHAnsi" w:cstheme="minorHAnsi"/>
          <w:szCs w:val="22"/>
          <w:lang w:val="cs-CZ"/>
        </w:rPr>
        <w:t xml:space="preserve">některých případech nedodrželo lhůty stanovené zákonem. </w:t>
      </w:r>
      <w:proofErr w:type="spellStart"/>
      <w:r w:rsidRPr="00A17659">
        <w:rPr>
          <w:rFonts w:asciiTheme="minorHAnsi" w:eastAsiaTheme="minorHAnsi" w:hAnsiTheme="minorHAnsi" w:cstheme="minorHAnsi"/>
          <w:szCs w:val="22"/>
          <w:lang w:val="cs-CZ"/>
        </w:rPr>
        <w:t>MZe</w:t>
      </w:r>
      <w:proofErr w:type="spellEnd"/>
      <w:r w:rsidRPr="00A17659">
        <w:rPr>
          <w:rFonts w:asciiTheme="minorHAnsi" w:eastAsiaTheme="minorHAnsi" w:hAnsiTheme="minorHAnsi" w:cstheme="minorHAnsi"/>
          <w:szCs w:val="22"/>
          <w:lang w:val="cs-CZ"/>
        </w:rPr>
        <w:t xml:space="preserve"> neuzavřelo smlouvu v</w:t>
      </w:r>
      <w:r w:rsidR="00E9785A">
        <w:rPr>
          <w:rFonts w:asciiTheme="minorHAnsi" w:eastAsiaTheme="minorHAnsi" w:hAnsiTheme="minorHAnsi" w:cstheme="minorHAnsi"/>
          <w:szCs w:val="22"/>
          <w:lang w:val="cs-CZ"/>
        </w:rPr>
        <w:t xml:space="preserve"> </w:t>
      </w:r>
      <w:r w:rsidRPr="00A17659">
        <w:rPr>
          <w:rFonts w:asciiTheme="minorHAnsi" w:eastAsiaTheme="minorHAnsi" w:hAnsiTheme="minorHAnsi" w:cstheme="minorHAnsi"/>
          <w:szCs w:val="22"/>
          <w:lang w:val="cs-CZ"/>
        </w:rPr>
        <w:t>souladu s</w:t>
      </w:r>
      <w:r w:rsidR="00E9785A">
        <w:rPr>
          <w:rFonts w:asciiTheme="minorHAnsi" w:eastAsiaTheme="minorHAnsi" w:hAnsiTheme="minorHAnsi" w:cstheme="minorHAnsi"/>
          <w:szCs w:val="22"/>
          <w:lang w:val="cs-CZ"/>
        </w:rPr>
        <w:t xml:space="preserve"> </w:t>
      </w:r>
      <w:r w:rsidRPr="00A17659">
        <w:rPr>
          <w:rFonts w:asciiTheme="minorHAnsi" w:eastAsiaTheme="minorHAnsi" w:hAnsiTheme="minorHAnsi" w:cstheme="minorHAnsi"/>
          <w:szCs w:val="22"/>
          <w:lang w:val="cs-CZ"/>
        </w:rPr>
        <w:t>nabídkou vybraného uchazeče v</w:t>
      </w:r>
      <w:r w:rsidR="00E9785A">
        <w:rPr>
          <w:rFonts w:asciiTheme="minorHAnsi" w:eastAsiaTheme="minorHAnsi" w:hAnsiTheme="minorHAnsi" w:cstheme="minorHAnsi"/>
          <w:szCs w:val="22"/>
          <w:lang w:val="cs-CZ"/>
        </w:rPr>
        <w:t xml:space="preserve"> </w:t>
      </w:r>
      <w:r w:rsidRPr="00A17659">
        <w:rPr>
          <w:rFonts w:asciiTheme="minorHAnsi" w:eastAsiaTheme="minorHAnsi" w:hAnsiTheme="minorHAnsi" w:cstheme="minorHAnsi"/>
          <w:szCs w:val="22"/>
          <w:lang w:val="cs-CZ"/>
        </w:rPr>
        <w:t xml:space="preserve">rámci veřejné </w:t>
      </w:r>
      <w:r w:rsidRPr="009464B0">
        <w:rPr>
          <w:rFonts w:asciiTheme="minorHAnsi" w:eastAsiaTheme="minorHAnsi" w:hAnsiTheme="minorHAnsi" w:cstheme="minorHAnsi"/>
          <w:szCs w:val="22"/>
          <w:lang w:val="cs-CZ"/>
        </w:rPr>
        <w:t>zakázky</w:t>
      </w:r>
      <w:r w:rsidR="007A6C97">
        <w:rPr>
          <w:rFonts w:asciiTheme="minorHAnsi" w:eastAsiaTheme="minorHAnsi" w:hAnsiTheme="minorHAnsi" w:cstheme="minorHAnsi"/>
          <w:szCs w:val="22"/>
          <w:lang w:val="cs-CZ"/>
        </w:rPr>
        <w:t xml:space="preserve"> s názvem</w:t>
      </w:r>
      <w:r w:rsidRPr="00A17659">
        <w:rPr>
          <w:rFonts w:asciiTheme="minorHAnsi" w:eastAsiaTheme="minorHAnsi" w:hAnsiTheme="minorHAnsi" w:cstheme="minorHAnsi"/>
          <w:i/>
          <w:szCs w:val="22"/>
          <w:lang w:val="cs-CZ"/>
        </w:rPr>
        <w:t xml:space="preserve"> Rámcová kupní smlouva na dodávky osobních vozidel a rámcová smlouva na poskytování servisních a opravárenských prací.</w:t>
      </w:r>
    </w:p>
    <w:p w14:paraId="190E445E" w14:textId="77777777" w:rsidR="003A22F1" w:rsidRPr="00A17659" w:rsidRDefault="003A22F1" w:rsidP="003A22F1">
      <w:pPr>
        <w:pStyle w:val="Odstavecseseznamem"/>
        <w:ind w:left="0"/>
        <w:contextualSpacing w:val="0"/>
        <w:jc w:val="both"/>
        <w:rPr>
          <w:rFonts w:asciiTheme="minorHAnsi" w:eastAsiaTheme="minorHAnsi" w:hAnsiTheme="minorHAnsi" w:cstheme="minorHAnsi"/>
          <w:szCs w:val="22"/>
          <w:lang w:val="cs-CZ"/>
        </w:rPr>
      </w:pPr>
    </w:p>
    <w:p w14:paraId="53617F1F" w14:textId="06E9C2FE" w:rsidR="0087128A" w:rsidRPr="007E3A25" w:rsidRDefault="007E3A25" w:rsidP="003A22F1">
      <w:pPr>
        <w:pStyle w:val="Odstavecseseznamem"/>
        <w:ind w:left="0"/>
        <w:contextualSpacing w:val="0"/>
        <w:jc w:val="both"/>
        <w:rPr>
          <w:rFonts w:asciiTheme="minorHAnsi" w:hAnsiTheme="minorHAnsi" w:cstheme="minorHAnsi"/>
          <w:b/>
          <w:lang w:val="cs-CZ"/>
        </w:rPr>
      </w:pPr>
      <w:r w:rsidRPr="007E3A25">
        <w:rPr>
          <w:rFonts w:asciiTheme="minorHAnsi" w:hAnsiTheme="minorHAnsi" w:cstheme="minorHAnsi"/>
          <w:b/>
          <w:lang w:val="cs-CZ"/>
        </w:rPr>
        <w:t>NK</w:t>
      </w:r>
      <w:r w:rsidR="007A6C97">
        <w:rPr>
          <w:rFonts w:asciiTheme="minorHAnsi" w:hAnsiTheme="minorHAnsi" w:cstheme="minorHAnsi"/>
          <w:b/>
          <w:lang w:val="cs-CZ"/>
        </w:rPr>
        <w:t>Ú</w:t>
      </w:r>
      <w:r w:rsidRPr="007E3A25">
        <w:rPr>
          <w:rFonts w:asciiTheme="minorHAnsi" w:hAnsiTheme="minorHAnsi" w:cstheme="minorHAnsi"/>
          <w:b/>
          <w:lang w:val="cs-CZ"/>
        </w:rPr>
        <w:t xml:space="preserve"> u kontrolovaných oso</w:t>
      </w:r>
      <w:r w:rsidR="00EB4305">
        <w:rPr>
          <w:rFonts w:asciiTheme="minorHAnsi" w:hAnsiTheme="minorHAnsi" w:cstheme="minorHAnsi"/>
          <w:b/>
          <w:lang w:val="cs-CZ"/>
        </w:rPr>
        <w:t>b</w:t>
      </w:r>
      <w:r w:rsidRPr="007E3A25">
        <w:rPr>
          <w:rFonts w:asciiTheme="minorHAnsi" w:hAnsiTheme="minorHAnsi" w:cstheme="minorHAnsi"/>
          <w:b/>
          <w:lang w:val="cs-CZ"/>
        </w:rPr>
        <w:t xml:space="preserve"> ověřoval jednotkové ceny nakupovaných komodit a služeb</w:t>
      </w:r>
      <w:r>
        <w:rPr>
          <w:rFonts w:asciiTheme="minorHAnsi" w:hAnsiTheme="minorHAnsi" w:cstheme="minorHAnsi"/>
          <w:b/>
          <w:lang w:val="cs-CZ"/>
        </w:rPr>
        <w:t>.</w:t>
      </w:r>
    </w:p>
    <w:p w14:paraId="5E56B235" w14:textId="77777777" w:rsidR="003A22F1" w:rsidRDefault="003A22F1" w:rsidP="003A22F1">
      <w:pPr>
        <w:pStyle w:val="Odstavecseseznamem"/>
        <w:ind w:left="0"/>
        <w:contextualSpacing w:val="0"/>
        <w:jc w:val="both"/>
        <w:rPr>
          <w:rFonts w:asciiTheme="minorHAnsi" w:hAnsiTheme="minorHAnsi" w:cstheme="minorHAnsi"/>
          <w:bCs/>
          <w:lang w:val="cs-CZ"/>
        </w:rPr>
      </w:pPr>
    </w:p>
    <w:p w14:paraId="3EFF9550" w14:textId="50EA5068" w:rsidR="009715F8" w:rsidRDefault="009715F8" w:rsidP="003A22F1">
      <w:pPr>
        <w:pStyle w:val="Odstavecseseznamem"/>
        <w:ind w:left="0"/>
        <w:contextualSpacing w:val="0"/>
        <w:jc w:val="both"/>
        <w:rPr>
          <w:rFonts w:asciiTheme="minorHAnsi" w:hAnsiTheme="minorHAnsi" w:cstheme="minorHAnsi"/>
          <w:bCs/>
          <w:lang w:val="cs-CZ"/>
        </w:rPr>
      </w:pPr>
      <w:r w:rsidRPr="00A17659">
        <w:rPr>
          <w:rFonts w:asciiTheme="minorHAnsi" w:hAnsiTheme="minorHAnsi" w:cstheme="minorHAnsi"/>
          <w:bCs/>
          <w:lang w:val="cs-CZ"/>
        </w:rPr>
        <w:t xml:space="preserve">MO </w:t>
      </w:r>
      <w:r w:rsidR="00EB4305" w:rsidRPr="00A17659">
        <w:rPr>
          <w:rFonts w:asciiTheme="minorHAnsi" w:hAnsiTheme="minorHAnsi" w:cstheme="minorHAnsi"/>
          <w:bCs/>
          <w:lang w:val="cs-CZ"/>
        </w:rPr>
        <w:t>nakupovalo</w:t>
      </w:r>
      <w:r w:rsidR="00EB4305">
        <w:rPr>
          <w:rFonts w:asciiTheme="minorHAnsi" w:hAnsiTheme="minorHAnsi" w:cstheme="minorHAnsi"/>
          <w:bCs/>
          <w:lang w:val="cs-CZ"/>
        </w:rPr>
        <w:t xml:space="preserve"> oproti ostatním kontrolovaným osobám</w:t>
      </w:r>
      <w:r w:rsidRPr="00A17659">
        <w:rPr>
          <w:rFonts w:asciiTheme="minorHAnsi" w:hAnsiTheme="minorHAnsi" w:cstheme="minorHAnsi"/>
          <w:bCs/>
          <w:lang w:val="cs-CZ"/>
        </w:rPr>
        <w:t xml:space="preserve"> kancelářský papír za nejvyšší průměrné jednotkové ceny</w:t>
      </w:r>
      <w:r w:rsidR="00851B52">
        <w:rPr>
          <w:rFonts w:asciiTheme="minorHAnsi" w:hAnsiTheme="minorHAnsi" w:cstheme="minorHAnsi"/>
          <w:bCs/>
          <w:lang w:val="cs-CZ"/>
        </w:rPr>
        <w:t xml:space="preserve"> </w:t>
      </w:r>
      <w:r w:rsidR="007A6C97">
        <w:rPr>
          <w:rFonts w:asciiTheme="minorHAnsi" w:hAnsiTheme="minorHAnsi" w:cstheme="minorHAnsi"/>
          <w:bCs/>
          <w:lang w:val="cs-CZ"/>
        </w:rPr>
        <w:t xml:space="preserve">za </w:t>
      </w:r>
      <w:r w:rsidR="00851B52">
        <w:rPr>
          <w:rFonts w:asciiTheme="minorHAnsi" w:hAnsiTheme="minorHAnsi" w:cstheme="minorHAnsi"/>
          <w:bCs/>
          <w:lang w:val="cs-CZ"/>
        </w:rPr>
        <w:t>jedno</w:t>
      </w:r>
      <w:r w:rsidR="00851B52" w:rsidRPr="00A17659">
        <w:rPr>
          <w:rFonts w:asciiTheme="minorHAnsi" w:hAnsiTheme="minorHAnsi" w:cstheme="minorHAnsi"/>
          <w:bCs/>
          <w:lang w:val="cs-CZ"/>
        </w:rPr>
        <w:t xml:space="preserve"> balení (500 listů) kancelářského papíru formátu A4 </w:t>
      </w:r>
      <w:r w:rsidR="007A6C97">
        <w:rPr>
          <w:rFonts w:asciiTheme="minorHAnsi" w:hAnsiTheme="minorHAnsi" w:cstheme="minorHAnsi"/>
          <w:bCs/>
          <w:lang w:val="cs-CZ"/>
        </w:rPr>
        <w:t xml:space="preserve">a gramáže </w:t>
      </w:r>
      <w:r w:rsidR="00851B52" w:rsidRPr="00A17659">
        <w:rPr>
          <w:rFonts w:asciiTheme="minorHAnsi" w:hAnsiTheme="minorHAnsi" w:cstheme="minorHAnsi"/>
          <w:lang w:val="cs-CZ"/>
        </w:rPr>
        <w:t>80</w:t>
      </w:r>
      <w:r w:rsidR="006126E7">
        <w:rPr>
          <w:rFonts w:asciiTheme="minorHAnsi" w:hAnsiTheme="minorHAnsi" w:cstheme="minorHAnsi"/>
          <w:lang w:val="cs-CZ"/>
        </w:rPr>
        <w:t> </w:t>
      </w:r>
      <w:r w:rsidR="00851B52" w:rsidRPr="00A17659">
        <w:rPr>
          <w:rFonts w:asciiTheme="minorHAnsi" w:hAnsiTheme="minorHAnsi" w:cstheme="minorHAnsi"/>
          <w:lang w:val="cs-CZ"/>
        </w:rPr>
        <w:t>g/m</w:t>
      </w:r>
      <w:r w:rsidR="00851B52" w:rsidRPr="00A17659">
        <w:rPr>
          <w:rFonts w:asciiTheme="minorHAnsi" w:hAnsiTheme="minorHAnsi" w:cstheme="minorHAnsi"/>
          <w:vertAlign w:val="superscript"/>
          <w:lang w:val="cs-CZ"/>
        </w:rPr>
        <w:t>2</w:t>
      </w:r>
      <w:r w:rsidRPr="00A17659">
        <w:rPr>
          <w:rFonts w:asciiTheme="minorHAnsi" w:hAnsiTheme="minorHAnsi" w:cstheme="minorHAnsi"/>
          <w:bCs/>
          <w:lang w:val="cs-CZ"/>
        </w:rPr>
        <w:t xml:space="preserve">, které se pohybovaly </w:t>
      </w:r>
      <w:r w:rsidRPr="00A17659">
        <w:rPr>
          <w:rFonts w:asciiTheme="minorHAnsi" w:hAnsiTheme="minorHAnsi" w:cstheme="minorHAnsi"/>
          <w:b/>
          <w:bCs/>
          <w:lang w:val="cs-CZ"/>
        </w:rPr>
        <w:t xml:space="preserve">od 66,89 Kč včetně DPH </w:t>
      </w:r>
      <w:r w:rsidR="00E45E1D" w:rsidRPr="00A17659">
        <w:rPr>
          <w:rFonts w:asciiTheme="minorHAnsi" w:hAnsiTheme="minorHAnsi" w:cstheme="minorHAnsi"/>
          <w:b/>
          <w:bCs/>
          <w:lang w:val="cs-CZ"/>
        </w:rPr>
        <w:t xml:space="preserve">u MPSV </w:t>
      </w:r>
      <w:r w:rsidR="00126783" w:rsidRPr="00A17659">
        <w:rPr>
          <w:rFonts w:asciiTheme="minorHAnsi" w:hAnsiTheme="minorHAnsi" w:cstheme="minorHAnsi"/>
          <w:b/>
          <w:bCs/>
          <w:lang w:val="cs-CZ"/>
        </w:rPr>
        <w:t>do</w:t>
      </w:r>
      <w:r w:rsidR="00E9785A">
        <w:rPr>
          <w:rFonts w:asciiTheme="minorHAnsi" w:hAnsiTheme="minorHAnsi" w:cstheme="minorHAnsi"/>
          <w:b/>
          <w:bCs/>
          <w:lang w:val="cs-CZ"/>
        </w:rPr>
        <w:t xml:space="preserve"> </w:t>
      </w:r>
      <w:r w:rsidRPr="00A17659">
        <w:rPr>
          <w:rFonts w:asciiTheme="minorHAnsi" w:hAnsiTheme="minorHAnsi" w:cstheme="minorHAnsi"/>
          <w:b/>
          <w:bCs/>
          <w:lang w:val="cs-CZ"/>
        </w:rPr>
        <w:t>85,95</w:t>
      </w:r>
      <w:r w:rsidR="00E9785A">
        <w:rPr>
          <w:rFonts w:asciiTheme="minorHAnsi" w:hAnsiTheme="minorHAnsi" w:cstheme="minorHAnsi"/>
          <w:b/>
          <w:bCs/>
          <w:lang w:val="cs-CZ"/>
        </w:rPr>
        <w:t xml:space="preserve"> </w:t>
      </w:r>
      <w:r w:rsidRPr="00A17659">
        <w:rPr>
          <w:rFonts w:asciiTheme="minorHAnsi" w:hAnsiTheme="minorHAnsi" w:cstheme="minorHAnsi"/>
          <w:b/>
          <w:bCs/>
          <w:lang w:val="cs-CZ"/>
        </w:rPr>
        <w:t>Kč včetně DPH</w:t>
      </w:r>
      <w:r w:rsidR="00E45E1D" w:rsidRPr="00A17659">
        <w:rPr>
          <w:rFonts w:asciiTheme="minorHAnsi" w:hAnsiTheme="minorHAnsi" w:cstheme="minorHAnsi"/>
          <w:b/>
          <w:bCs/>
          <w:lang w:val="cs-CZ"/>
        </w:rPr>
        <w:t xml:space="preserve"> u</w:t>
      </w:r>
      <w:r w:rsidR="00E9785A">
        <w:rPr>
          <w:rFonts w:asciiTheme="minorHAnsi" w:hAnsiTheme="minorHAnsi" w:cstheme="minorHAnsi"/>
          <w:b/>
          <w:bCs/>
          <w:lang w:val="cs-CZ"/>
        </w:rPr>
        <w:t> </w:t>
      </w:r>
      <w:r w:rsidR="00E45E1D" w:rsidRPr="00A17659">
        <w:rPr>
          <w:rFonts w:asciiTheme="minorHAnsi" w:hAnsiTheme="minorHAnsi" w:cstheme="minorHAnsi"/>
          <w:b/>
          <w:bCs/>
          <w:lang w:val="cs-CZ"/>
        </w:rPr>
        <w:t>MO</w:t>
      </w:r>
      <w:r w:rsidRPr="00A17659">
        <w:rPr>
          <w:rFonts w:asciiTheme="minorHAnsi" w:hAnsiTheme="minorHAnsi" w:cstheme="minorHAnsi"/>
          <w:b/>
          <w:bCs/>
          <w:lang w:val="cs-CZ"/>
        </w:rPr>
        <w:t>.</w:t>
      </w:r>
      <w:r w:rsidRPr="00A17659">
        <w:rPr>
          <w:rFonts w:asciiTheme="minorHAnsi" w:hAnsiTheme="minorHAnsi" w:cstheme="minorHAnsi"/>
          <w:bCs/>
          <w:lang w:val="cs-CZ"/>
        </w:rPr>
        <w:t xml:space="preserve"> </w:t>
      </w:r>
    </w:p>
    <w:p w14:paraId="6E0FF3C7" w14:textId="77777777" w:rsidR="003A22F1" w:rsidRPr="00A17659" w:rsidRDefault="003A22F1" w:rsidP="003A22F1">
      <w:pPr>
        <w:pStyle w:val="Odstavecseseznamem"/>
        <w:ind w:left="0"/>
        <w:contextualSpacing w:val="0"/>
        <w:jc w:val="both"/>
        <w:rPr>
          <w:rFonts w:asciiTheme="minorHAnsi" w:hAnsiTheme="minorHAnsi" w:cstheme="minorHAnsi"/>
          <w:bCs/>
          <w:lang w:val="cs-CZ"/>
        </w:rPr>
      </w:pPr>
    </w:p>
    <w:p w14:paraId="750811B3" w14:textId="77777777" w:rsidR="008E3BFF" w:rsidRDefault="004224EC" w:rsidP="003A22F1">
      <w:pPr>
        <w:pStyle w:val="Odstavecseseznamem"/>
        <w:ind w:left="0"/>
        <w:contextualSpacing w:val="0"/>
        <w:jc w:val="both"/>
        <w:rPr>
          <w:rFonts w:asciiTheme="minorHAnsi" w:hAnsiTheme="minorHAnsi" w:cstheme="minorHAnsi"/>
          <w:lang w:val="cs-CZ"/>
        </w:rPr>
      </w:pPr>
      <w:r>
        <w:rPr>
          <w:rFonts w:asciiTheme="minorHAnsi" w:hAnsiTheme="minorHAnsi" w:cstheme="minorHAnsi"/>
          <w:szCs w:val="22"/>
          <w:lang w:val="cs-CZ"/>
        </w:rPr>
        <w:t>J</w:t>
      </w:r>
      <w:r w:rsidR="008E3BFF" w:rsidRPr="00A17659">
        <w:rPr>
          <w:rFonts w:asciiTheme="minorHAnsi" w:hAnsiTheme="minorHAnsi" w:cstheme="minorHAnsi"/>
          <w:szCs w:val="22"/>
          <w:lang w:val="cs-CZ"/>
        </w:rPr>
        <w:t>ednotkové ceny výukové hodiny anglického jazyka hrazené MPSV byly v</w:t>
      </w:r>
      <w:r w:rsidR="00E9785A">
        <w:rPr>
          <w:rFonts w:asciiTheme="minorHAnsi" w:hAnsiTheme="minorHAnsi" w:cstheme="minorHAnsi"/>
          <w:szCs w:val="22"/>
          <w:lang w:val="cs-CZ"/>
        </w:rPr>
        <w:t xml:space="preserve"> </w:t>
      </w:r>
      <w:r w:rsidR="008E3BFF" w:rsidRPr="00A17659">
        <w:rPr>
          <w:rFonts w:asciiTheme="minorHAnsi" w:hAnsiTheme="minorHAnsi" w:cstheme="minorHAnsi"/>
          <w:szCs w:val="22"/>
          <w:lang w:val="cs-CZ"/>
        </w:rPr>
        <w:t>roce 2014 téměř 1,5</w:t>
      </w:r>
      <w:r w:rsidR="00647BC9">
        <w:rPr>
          <w:rFonts w:asciiTheme="minorHAnsi" w:hAnsiTheme="minorHAnsi" w:cstheme="minorHAnsi"/>
          <w:szCs w:val="22"/>
          <w:lang w:val="cs-CZ"/>
        </w:rPr>
        <w:t> </w:t>
      </w:r>
      <w:r w:rsidR="008E3BFF" w:rsidRPr="00A17659">
        <w:rPr>
          <w:rFonts w:asciiTheme="minorHAnsi" w:hAnsiTheme="minorHAnsi" w:cstheme="minorHAnsi"/>
          <w:szCs w:val="22"/>
          <w:lang w:val="cs-CZ"/>
        </w:rPr>
        <w:t>krát vyšší než u</w:t>
      </w:r>
      <w:r w:rsidR="00E9785A">
        <w:rPr>
          <w:rFonts w:asciiTheme="minorHAnsi" w:hAnsiTheme="minorHAnsi" w:cstheme="minorHAnsi"/>
          <w:szCs w:val="22"/>
          <w:lang w:val="cs-CZ"/>
        </w:rPr>
        <w:t xml:space="preserve"> </w:t>
      </w:r>
      <w:r w:rsidR="008E3BFF" w:rsidRPr="00A17659">
        <w:rPr>
          <w:rFonts w:asciiTheme="minorHAnsi" w:hAnsiTheme="minorHAnsi" w:cstheme="minorHAnsi"/>
          <w:szCs w:val="22"/>
          <w:lang w:val="cs-CZ"/>
        </w:rPr>
        <w:t xml:space="preserve">MO. </w:t>
      </w:r>
      <w:r w:rsidR="008E3BFF" w:rsidRPr="00A17659">
        <w:rPr>
          <w:rFonts w:asciiTheme="minorHAnsi" w:hAnsiTheme="minorHAnsi" w:cstheme="minorHAnsi"/>
          <w:lang w:val="cs-CZ"/>
        </w:rPr>
        <w:t>Jednotkové ceny výukov</w:t>
      </w:r>
      <w:r>
        <w:rPr>
          <w:rFonts w:asciiTheme="minorHAnsi" w:hAnsiTheme="minorHAnsi" w:cstheme="minorHAnsi"/>
          <w:lang w:val="cs-CZ"/>
        </w:rPr>
        <w:t>é hodiny anglického jazyka se v </w:t>
      </w:r>
      <w:r w:rsidR="008E3BFF" w:rsidRPr="00A17659">
        <w:rPr>
          <w:rFonts w:asciiTheme="minorHAnsi" w:hAnsiTheme="minorHAnsi" w:cstheme="minorHAnsi"/>
          <w:lang w:val="cs-CZ"/>
        </w:rPr>
        <w:t>kontrolovaném období u</w:t>
      </w:r>
      <w:r w:rsidR="00E9785A">
        <w:rPr>
          <w:rFonts w:asciiTheme="minorHAnsi" w:hAnsiTheme="minorHAnsi" w:cstheme="minorHAnsi"/>
          <w:lang w:val="cs-CZ"/>
        </w:rPr>
        <w:t xml:space="preserve"> </w:t>
      </w:r>
      <w:r w:rsidR="00EB4305">
        <w:rPr>
          <w:rFonts w:asciiTheme="minorHAnsi" w:hAnsiTheme="minorHAnsi" w:cstheme="minorHAnsi"/>
          <w:lang w:val="cs-CZ"/>
        </w:rPr>
        <w:t>kontrolovaných osob</w:t>
      </w:r>
      <w:r w:rsidR="008E3BFF" w:rsidRPr="00A17659">
        <w:rPr>
          <w:rFonts w:asciiTheme="minorHAnsi" w:hAnsiTheme="minorHAnsi" w:cstheme="minorHAnsi"/>
          <w:lang w:val="cs-CZ"/>
        </w:rPr>
        <w:t xml:space="preserve"> pohybovaly </w:t>
      </w:r>
      <w:r w:rsidR="008E3BFF" w:rsidRPr="00A17659">
        <w:rPr>
          <w:rFonts w:asciiTheme="minorHAnsi" w:hAnsiTheme="minorHAnsi" w:cstheme="minorHAnsi"/>
          <w:b/>
          <w:lang w:val="cs-CZ"/>
        </w:rPr>
        <w:t xml:space="preserve">od 299 Kč </w:t>
      </w:r>
      <w:r w:rsidR="00E45E1D" w:rsidRPr="00A17659">
        <w:rPr>
          <w:rFonts w:asciiTheme="minorHAnsi" w:hAnsiTheme="minorHAnsi" w:cstheme="minorHAnsi"/>
          <w:b/>
          <w:lang w:val="cs-CZ"/>
        </w:rPr>
        <w:t xml:space="preserve">u MO </w:t>
      </w:r>
      <w:r w:rsidR="008E3BFF" w:rsidRPr="00A17659">
        <w:rPr>
          <w:rFonts w:asciiTheme="minorHAnsi" w:hAnsiTheme="minorHAnsi" w:cstheme="minorHAnsi"/>
          <w:b/>
          <w:lang w:val="cs-CZ"/>
        </w:rPr>
        <w:t>do 450</w:t>
      </w:r>
      <w:r w:rsidR="008E3BFF" w:rsidRPr="009464B0">
        <w:rPr>
          <w:rFonts w:asciiTheme="minorHAnsi" w:hAnsiTheme="minorHAnsi" w:cstheme="minorHAnsi"/>
          <w:b/>
          <w:lang w:val="cs-CZ"/>
        </w:rPr>
        <w:t xml:space="preserve"> </w:t>
      </w:r>
      <w:r w:rsidR="008E3BFF" w:rsidRPr="00A17659">
        <w:rPr>
          <w:rFonts w:asciiTheme="minorHAnsi" w:hAnsiTheme="minorHAnsi" w:cstheme="minorHAnsi"/>
          <w:b/>
          <w:lang w:val="cs-CZ"/>
        </w:rPr>
        <w:t>Kč</w:t>
      </w:r>
      <w:r>
        <w:rPr>
          <w:rFonts w:asciiTheme="minorHAnsi" w:hAnsiTheme="minorHAnsi" w:cstheme="minorHAnsi"/>
          <w:b/>
          <w:lang w:val="cs-CZ"/>
        </w:rPr>
        <w:t xml:space="preserve"> u </w:t>
      </w:r>
      <w:proofErr w:type="spellStart"/>
      <w:proofErr w:type="gramStart"/>
      <w:r w:rsidR="00E45E1D" w:rsidRPr="00A17659">
        <w:rPr>
          <w:rFonts w:asciiTheme="minorHAnsi" w:hAnsiTheme="minorHAnsi" w:cstheme="minorHAnsi"/>
          <w:b/>
          <w:lang w:val="cs-CZ"/>
        </w:rPr>
        <w:t>MZe</w:t>
      </w:r>
      <w:proofErr w:type="spellEnd"/>
      <w:proofErr w:type="gramEnd"/>
      <w:r w:rsidR="008E3BFF" w:rsidRPr="00A17659">
        <w:rPr>
          <w:rFonts w:asciiTheme="minorHAnsi" w:hAnsiTheme="minorHAnsi" w:cstheme="minorHAnsi"/>
          <w:b/>
          <w:lang w:val="cs-CZ"/>
        </w:rPr>
        <w:t>.</w:t>
      </w:r>
      <w:r w:rsidR="008E3BFF" w:rsidRPr="00A17659">
        <w:rPr>
          <w:rFonts w:asciiTheme="minorHAnsi" w:hAnsiTheme="minorHAnsi" w:cstheme="minorHAnsi"/>
          <w:lang w:val="cs-CZ"/>
        </w:rPr>
        <w:t xml:space="preserve"> </w:t>
      </w:r>
    </w:p>
    <w:p w14:paraId="519BFC55" w14:textId="77777777" w:rsidR="003A22F1" w:rsidRPr="00A17659" w:rsidRDefault="003A22F1" w:rsidP="003A22F1">
      <w:pPr>
        <w:pStyle w:val="Odstavecseseznamem"/>
        <w:ind w:left="0"/>
        <w:contextualSpacing w:val="0"/>
        <w:jc w:val="both"/>
        <w:rPr>
          <w:rFonts w:asciiTheme="minorHAnsi" w:hAnsiTheme="minorHAnsi" w:cstheme="minorHAnsi"/>
          <w:lang w:val="cs-CZ"/>
        </w:rPr>
      </w:pPr>
    </w:p>
    <w:p w14:paraId="682C2FE7" w14:textId="6212C766" w:rsidR="001B67C2" w:rsidRDefault="00545D10" w:rsidP="003A22F1">
      <w:pPr>
        <w:pStyle w:val="Odstavecseseznamem"/>
        <w:ind w:left="0"/>
        <w:contextualSpacing w:val="0"/>
        <w:jc w:val="both"/>
        <w:rPr>
          <w:rFonts w:asciiTheme="minorHAnsi" w:hAnsiTheme="minorHAnsi" w:cstheme="minorHAnsi"/>
          <w:b/>
          <w:lang w:val="cs-CZ"/>
        </w:rPr>
      </w:pPr>
      <w:r>
        <w:rPr>
          <w:rFonts w:asciiTheme="minorHAnsi" w:hAnsiTheme="minorHAnsi" w:cstheme="minorHAnsi"/>
          <w:lang w:val="cs-CZ"/>
        </w:rPr>
        <w:t>J</w:t>
      </w:r>
      <w:r w:rsidR="0075662F" w:rsidRPr="00A17659">
        <w:rPr>
          <w:rFonts w:asciiTheme="minorHAnsi" w:hAnsiTheme="minorHAnsi" w:cstheme="minorHAnsi"/>
          <w:lang w:val="cs-CZ"/>
        </w:rPr>
        <w:t xml:space="preserve">ednotkové ceny </w:t>
      </w:r>
      <w:r w:rsidR="0075662F" w:rsidRPr="00A17659">
        <w:rPr>
          <w:rFonts w:asciiTheme="minorHAnsi" w:hAnsiTheme="minorHAnsi" w:cstheme="minorHAnsi"/>
          <w:szCs w:val="22"/>
          <w:lang w:val="cs-CZ"/>
        </w:rPr>
        <w:t>pravidelného úklidu</w:t>
      </w:r>
      <w:r>
        <w:rPr>
          <w:rFonts w:asciiTheme="minorHAnsi" w:hAnsiTheme="minorHAnsi" w:cstheme="minorHAnsi"/>
          <w:lang w:val="cs-CZ"/>
        </w:rPr>
        <w:t xml:space="preserve"> v</w:t>
      </w:r>
      <w:r w:rsidR="00E9785A">
        <w:rPr>
          <w:rFonts w:asciiTheme="minorHAnsi" w:hAnsiTheme="minorHAnsi" w:cstheme="minorHAnsi"/>
          <w:lang w:val="cs-CZ"/>
        </w:rPr>
        <w:t xml:space="preserve"> </w:t>
      </w:r>
      <w:r>
        <w:rPr>
          <w:rFonts w:asciiTheme="minorHAnsi" w:hAnsiTheme="minorHAnsi" w:cstheme="minorHAnsi"/>
          <w:lang w:val="cs-CZ"/>
        </w:rPr>
        <w:t>sídlech ministerstev</w:t>
      </w:r>
      <w:r w:rsidR="0075662F" w:rsidRPr="00A17659">
        <w:rPr>
          <w:rFonts w:asciiTheme="minorHAnsi" w:hAnsiTheme="minorHAnsi" w:cstheme="minorHAnsi"/>
          <w:lang w:val="cs-CZ"/>
        </w:rPr>
        <w:t xml:space="preserve"> se </w:t>
      </w:r>
      <w:r w:rsidR="0075662F" w:rsidRPr="00A17659">
        <w:rPr>
          <w:rFonts w:asciiTheme="minorHAnsi" w:hAnsiTheme="minorHAnsi" w:cstheme="minorHAnsi"/>
          <w:szCs w:val="22"/>
          <w:lang w:val="cs-CZ"/>
        </w:rPr>
        <w:t xml:space="preserve">pohybovaly </w:t>
      </w:r>
      <w:r w:rsidR="0075662F" w:rsidRPr="00A17659">
        <w:rPr>
          <w:rFonts w:asciiTheme="minorHAnsi" w:hAnsiTheme="minorHAnsi" w:cstheme="minorHAnsi"/>
          <w:b/>
          <w:szCs w:val="22"/>
          <w:lang w:val="cs-CZ"/>
        </w:rPr>
        <w:t xml:space="preserve">od 225,86 Kč bez DPH </w:t>
      </w:r>
      <w:r w:rsidR="00E45E1D" w:rsidRPr="00A17659">
        <w:rPr>
          <w:rFonts w:asciiTheme="minorHAnsi" w:hAnsiTheme="minorHAnsi" w:cstheme="minorHAnsi"/>
          <w:b/>
          <w:szCs w:val="22"/>
          <w:lang w:val="cs-CZ"/>
        </w:rPr>
        <w:t xml:space="preserve">u MO </w:t>
      </w:r>
      <w:r w:rsidR="0075662F" w:rsidRPr="00A17659">
        <w:rPr>
          <w:rFonts w:asciiTheme="minorHAnsi" w:hAnsiTheme="minorHAnsi" w:cstheme="minorHAnsi"/>
          <w:b/>
          <w:szCs w:val="22"/>
          <w:lang w:val="cs-CZ"/>
        </w:rPr>
        <w:t>do 1</w:t>
      </w:r>
      <w:r w:rsidR="00E9785A">
        <w:rPr>
          <w:rFonts w:asciiTheme="minorHAnsi" w:hAnsiTheme="minorHAnsi" w:cstheme="minorHAnsi"/>
          <w:b/>
          <w:szCs w:val="22"/>
          <w:lang w:val="cs-CZ"/>
        </w:rPr>
        <w:t xml:space="preserve"> </w:t>
      </w:r>
      <w:r w:rsidR="0075662F" w:rsidRPr="00A17659">
        <w:rPr>
          <w:rFonts w:asciiTheme="minorHAnsi" w:hAnsiTheme="minorHAnsi" w:cstheme="minorHAnsi"/>
          <w:b/>
          <w:szCs w:val="22"/>
          <w:lang w:val="cs-CZ"/>
        </w:rPr>
        <w:t xml:space="preserve">369,95 </w:t>
      </w:r>
      <w:r w:rsidR="00E45E1D" w:rsidRPr="00A17659">
        <w:rPr>
          <w:rFonts w:asciiTheme="minorHAnsi" w:hAnsiTheme="minorHAnsi" w:cstheme="minorHAnsi"/>
          <w:b/>
          <w:szCs w:val="22"/>
          <w:lang w:val="cs-CZ"/>
        </w:rPr>
        <w:t xml:space="preserve">Kč </w:t>
      </w:r>
      <w:r w:rsidR="0075662F" w:rsidRPr="00A17659">
        <w:rPr>
          <w:rFonts w:asciiTheme="minorHAnsi" w:hAnsiTheme="minorHAnsi" w:cstheme="minorHAnsi"/>
          <w:b/>
          <w:szCs w:val="22"/>
          <w:lang w:val="cs-CZ"/>
        </w:rPr>
        <w:t xml:space="preserve">bez DPH </w:t>
      </w:r>
      <w:r w:rsidR="00126783" w:rsidRPr="00A17659">
        <w:rPr>
          <w:rFonts w:asciiTheme="minorHAnsi" w:hAnsiTheme="minorHAnsi" w:cstheme="minorHAnsi"/>
          <w:b/>
          <w:szCs w:val="22"/>
          <w:lang w:val="cs-CZ"/>
        </w:rPr>
        <w:t>u</w:t>
      </w:r>
      <w:r w:rsidR="00E9785A">
        <w:rPr>
          <w:rFonts w:asciiTheme="minorHAnsi" w:hAnsiTheme="minorHAnsi" w:cstheme="minorHAnsi"/>
          <w:b/>
          <w:szCs w:val="22"/>
          <w:lang w:val="cs-CZ"/>
        </w:rPr>
        <w:t xml:space="preserve"> </w:t>
      </w:r>
      <w:r w:rsidR="00E45E1D" w:rsidRPr="00A17659">
        <w:rPr>
          <w:rFonts w:asciiTheme="minorHAnsi" w:hAnsiTheme="minorHAnsi" w:cstheme="minorHAnsi"/>
          <w:b/>
          <w:szCs w:val="22"/>
          <w:lang w:val="cs-CZ"/>
        </w:rPr>
        <w:t xml:space="preserve">MPSV </w:t>
      </w:r>
      <w:r w:rsidR="0075662F" w:rsidRPr="00A17659">
        <w:rPr>
          <w:rFonts w:asciiTheme="minorHAnsi" w:hAnsiTheme="minorHAnsi" w:cstheme="minorHAnsi"/>
          <w:szCs w:val="22"/>
          <w:lang w:val="cs-CZ"/>
        </w:rPr>
        <w:t xml:space="preserve">za měsíční úklid plochy </w:t>
      </w:r>
      <w:r w:rsidR="007A6C97">
        <w:rPr>
          <w:rFonts w:asciiTheme="minorHAnsi" w:hAnsiTheme="minorHAnsi" w:cstheme="minorHAnsi"/>
          <w:szCs w:val="22"/>
          <w:lang w:val="cs-CZ"/>
        </w:rPr>
        <w:t xml:space="preserve">o rozměru </w:t>
      </w:r>
      <w:r w:rsidR="0075662F" w:rsidRPr="00A17659">
        <w:rPr>
          <w:rFonts w:asciiTheme="minorHAnsi" w:hAnsiTheme="minorHAnsi" w:cstheme="minorHAnsi"/>
          <w:szCs w:val="22"/>
          <w:lang w:val="cs-CZ"/>
        </w:rPr>
        <w:t>100 m</w:t>
      </w:r>
      <w:r w:rsidR="0075662F" w:rsidRPr="00A17659">
        <w:rPr>
          <w:rFonts w:asciiTheme="minorHAnsi" w:hAnsiTheme="minorHAnsi" w:cstheme="minorHAnsi"/>
          <w:szCs w:val="22"/>
          <w:vertAlign w:val="superscript"/>
          <w:lang w:val="cs-CZ"/>
        </w:rPr>
        <w:t>2</w:t>
      </w:r>
      <w:r w:rsidR="00E45E1D" w:rsidRPr="00A17659">
        <w:rPr>
          <w:rFonts w:asciiTheme="minorHAnsi" w:hAnsiTheme="minorHAnsi" w:cstheme="minorHAnsi"/>
          <w:szCs w:val="22"/>
          <w:lang w:val="cs-CZ"/>
        </w:rPr>
        <w:t xml:space="preserve"> a dále </w:t>
      </w:r>
      <w:r w:rsidR="00E45E1D" w:rsidRPr="00A17659">
        <w:rPr>
          <w:rFonts w:asciiTheme="minorHAnsi" w:hAnsiTheme="minorHAnsi" w:cstheme="minorHAnsi"/>
          <w:lang w:val="cs-CZ"/>
        </w:rPr>
        <w:t xml:space="preserve">jednotkové ceny </w:t>
      </w:r>
      <w:r w:rsidR="007A6C97">
        <w:rPr>
          <w:rFonts w:asciiTheme="minorHAnsi" w:hAnsiTheme="minorHAnsi" w:cstheme="minorHAnsi"/>
          <w:lang w:val="cs-CZ"/>
        </w:rPr>
        <w:t xml:space="preserve">za </w:t>
      </w:r>
      <w:r w:rsidR="00E45E1D" w:rsidRPr="00A17659">
        <w:rPr>
          <w:rFonts w:asciiTheme="minorHAnsi" w:hAnsiTheme="minorHAnsi" w:cstheme="minorHAnsi"/>
          <w:szCs w:val="22"/>
          <w:lang w:val="cs-CZ"/>
        </w:rPr>
        <w:t>hodin</w:t>
      </w:r>
      <w:r w:rsidR="007A6C97">
        <w:rPr>
          <w:rFonts w:asciiTheme="minorHAnsi" w:hAnsiTheme="minorHAnsi" w:cstheme="minorHAnsi"/>
          <w:szCs w:val="22"/>
          <w:lang w:val="cs-CZ"/>
        </w:rPr>
        <w:t>u</w:t>
      </w:r>
      <w:r w:rsidR="00E45E1D" w:rsidRPr="00A17659">
        <w:rPr>
          <w:rFonts w:asciiTheme="minorHAnsi" w:hAnsiTheme="minorHAnsi" w:cstheme="minorHAnsi"/>
          <w:szCs w:val="22"/>
          <w:lang w:val="cs-CZ"/>
        </w:rPr>
        <w:t xml:space="preserve"> práce pracovníka ostrahy,</w:t>
      </w:r>
      <w:r w:rsidR="00E45E1D" w:rsidRPr="00A17659">
        <w:rPr>
          <w:rFonts w:asciiTheme="minorHAnsi" w:hAnsiTheme="minorHAnsi" w:cstheme="minorHAnsi"/>
          <w:lang w:val="cs-CZ"/>
        </w:rPr>
        <w:t xml:space="preserve"> které se </w:t>
      </w:r>
      <w:r w:rsidR="00E45E1D" w:rsidRPr="00A17659">
        <w:rPr>
          <w:rFonts w:asciiTheme="minorHAnsi" w:hAnsiTheme="minorHAnsi" w:cstheme="minorHAnsi"/>
          <w:szCs w:val="22"/>
          <w:lang w:val="cs-CZ"/>
        </w:rPr>
        <w:t xml:space="preserve">pohybovaly </w:t>
      </w:r>
      <w:r w:rsidR="00E45E1D" w:rsidRPr="00A17659">
        <w:rPr>
          <w:rFonts w:asciiTheme="minorHAnsi" w:hAnsiTheme="minorHAnsi" w:cstheme="minorHAnsi"/>
          <w:b/>
          <w:szCs w:val="22"/>
          <w:lang w:val="cs-CZ"/>
        </w:rPr>
        <w:t>od 105 Kč u</w:t>
      </w:r>
      <w:r w:rsidR="007A6C97">
        <w:rPr>
          <w:rFonts w:asciiTheme="minorHAnsi" w:hAnsiTheme="minorHAnsi" w:cstheme="minorHAnsi"/>
          <w:b/>
          <w:szCs w:val="22"/>
          <w:lang w:val="cs-CZ"/>
        </w:rPr>
        <w:t> </w:t>
      </w:r>
      <w:r w:rsidR="00E45E1D" w:rsidRPr="00A17659">
        <w:rPr>
          <w:rFonts w:asciiTheme="minorHAnsi" w:hAnsiTheme="minorHAnsi" w:cstheme="minorHAnsi"/>
          <w:b/>
          <w:szCs w:val="22"/>
          <w:lang w:val="cs-CZ"/>
        </w:rPr>
        <w:t>MPSV do 170 Kč u MO</w:t>
      </w:r>
      <w:r w:rsidR="00E45E1D" w:rsidRPr="009464B0">
        <w:rPr>
          <w:rFonts w:asciiTheme="minorHAnsi" w:hAnsiTheme="minorHAnsi" w:cstheme="minorHAnsi"/>
          <w:b/>
          <w:szCs w:val="22"/>
          <w:lang w:val="cs-CZ"/>
        </w:rPr>
        <w:t>.</w:t>
      </w:r>
      <w:r w:rsidR="001B67C2" w:rsidRPr="00A17659">
        <w:rPr>
          <w:rFonts w:asciiTheme="minorHAnsi" w:hAnsiTheme="minorHAnsi" w:cstheme="minorHAnsi"/>
          <w:szCs w:val="22"/>
          <w:lang w:val="cs-CZ"/>
        </w:rPr>
        <w:t xml:space="preserve"> Dle údajů zveřejněných Českým statistickým úřadem byla v</w:t>
      </w:r>
      <w:r w:rsidR="00E9785A">
        <w:rPr>
          <w:rFonts w:asciiTheme="minorHAnsi" w:hAnsiTheme="minorHAnsi" w:cstheme="minorHAnsi"/>
          <w:szCs w:val="22"/>
          <w:lang w:val="cs-CZ"/>
        </w:rPr>
        <w:t xml:space="preserve"> </w:t>
      </w:r>
      <w:r w:rsidR="001B67C2" w:rsidRPr="00A17659">
        <w:rPr>
          <w:rFonts w:asciiTheme="minorHAnsi" w:hAnsiTheme="minorHAnsi" w:cstheme="minorHAnsi"/>
          <w:szCs w:val="22"/>
          <w:lang w:val="cs-CZ"/>
        </w:rPr>
        <w:t>roce 2013 průměrná cena za strážní služby ve výši 96,87</w:t>
      </w:r>
      <w:r w:rsidR="00E9785A">
        <w:rPr>
          <w:rFonts w:asciiTheme="minorHAnsi" w:hAnsiTheme="minorHAnsi" w:cstheme="minorHAnsi"/>
          <w:szCs w:val="22"/>
          <w:lang w:val="cs-CZ"/>
        </w:rPr>
        <w:t xml:space="preserve"> </w:t>
      </w:r>
      <w:r w:rsidR="001B67C2" w:rsidRPr="00A17659">
        <w:rPr>
          <w:rFonts w:asciiTheme="minorHAnsi" w:hAnsiTheme="minorHAnsi" w:cstheme="minorHAnsi"/>
          <w:szCs w:val="22"/>
          <w:lang w:val="cs-CZ"/>
        </w:rPr>
        <w:t>Kč bez DPH/</w:t>
      </w:r>
      <w:r w:rsidR="001B67C2" w:rsidRPr="00A17659">
        <w:rPr>
          <w:rFonts w:asciiTheme="minorHAnsi" w:hAnsiTheme="minorHAnsi" w:cstheme="minorHAnsi"/>
          <w:lang w:val="cs-CZ"/>
        </w:rPr>
        <w:t>hod</w:t>
      </w:r>
      <w:r w:rsidR="006126E7">
        <w:rPr>
          <w:rFonts w:asciiTheme="minorHAnsi" w:hAnsiTheme="minorHAnsi" w:cstheme="minorHAnsi"/>
          <w:lang w:val="cs-CZ"/>
        </w:rPr>
        <w:t>.</w:t>
      </w:r>
      <w:r w:rsidR="001B67C2" w:rsidRPr="00A17659">
        <w:rPr>
          <w:rFonts w:asciiTheme="minorHAnsi" w:hAnsiTheme="minorHAnsi" w:cstheme="minorHAnsi"/>
          <w:szCs w:val="22"/>
          <w:lang w:val="cs-CZ"/>
        </w:rPr>
        <w:t xml:space="preserve"> a v roce 2014 ve výši 97,35 Kč bez DPH/</w:t>
      </w:r>
      <w:r w:rsidR="001B67C2" w:rsidRPr="00A17659">
        <w:rPr>
          <w:rFonts w:asciiTheme="minorHAnsi" w:hAnsiTheme="minorHAnsi" w:cstheme="minorHAnsi"/>
          <w:lang w:val="cs-CZ"/>
        </w:rPr>
        <w:t>hod</w:t>
      </w:r>
      <w:r w:rsidR="001B67C2" w:rsidRPr="00A17659">
        <w:rPr>
          <w:rFonts w:asciiTheme="minorHAnsi" w:hAnsiTheme="minorHAnsi" w:cstheme="minorHAnsi"/>
          <w:szCs w:val="22"/>
          <w:lang w:val="cs-CZ"/>
        </w:rPr>
        <w:t xml:space="preserve">. </w:t>
      </w:r>
      <w:r w:rsidR="001B67C2" w:rsidRPr="00A17659">
        <w:rPr>
          <w:rFonts w:asciiTheme="minorHAnsi" w:hAnsiTheme="minorHAnsi" w:cstheme="minorHAnsi"/>
          <w:b/>
          <w:lang w:val="cs-CZ"/>
        </w:rPr>
        <w:t>Všechna ministerstva platila v</w:t>
      </w:r>
      <w:r w:rsidR="00E9785A">
        <w:rPr>
          <w:rFonts w:asciiTheme="minorHAnsi" w:hAnsiTheme="minorHAnsi" w:cstheme="minorHAnsi"/>
          <w:b/>
          <w:lang w:val="cs-CZ"/>
        </w:rPr>
        <w:t xml:space="preserve"> </w:t>
      </w:r>
      <w:r w:rsidR="001B67C2" w:rsidRPr="00A17659">
        <w:rPr>
          <w:rFonts w:asciiTheme="minorHAnsi" w:hAnsiTheme="minorHAnsi" w:cstheme="minorHAnsi"/>
          <w:b/>
          <w:lang w:val="cs-CZ"/>
        </w:rPr>
        <w:t>kontrolovaném období za jednu hodinu ostrahy u vybraného objektu ceny vyšší než průměrné ceny uváděné Českým statistickým úřadem.</w:t>
      </w:r>
    </w:p>
    <w:p w14:paraId="0236A7C2" w14:textId="77777777" w:rsidR="00647BC9" w:rsidRPr="003A22F1" w:rsidRDefault="00647BC9" w:rsidP="003A22F1">
      <w:pPr>
        <w:pStyle w:val="Odstavecseseznamem"/>
        <w:ind w:left="0"/>
        <w:contextualSpacing w:val="0"/>
        <w:jc w:val="both"/>
        <w:rPr>
          <w:rFonts w:asciiTheme="minorHAnsi" w:hAnsiTheme="minorHAnsi" w:cstheme="minorHAnsi"/>
          <w:lang w:val="cs-CZ"/>
        </w:rPr>
      </w:pPr>
    </w:p>
    <w:p w14:paraId="05CE741A" w14:textId="77777777" w:rsidR="00092502" w:rsidRPr="00A17659" w:rsidRDefault="00092502" w:rsidP="003A22F1">
      <w:pPr>
        <w:pStyle w:val="Odstavecseseznamem"/>
        <w:ind w:left="0"/>
        <w:contextualSpacing w:val="0"/>
        <w:jc w:val="both"/>
        <w:rPr>
          <w:rFonts w:asciiTheme="minorHAnsi" w:hAnsiTheme="minorHAnsi" w:cstheme="minorHAnsi"/>
          <w:szCs w:val="22"/>
          <w:lang w:val="cs-CZ"/>
        </w:rPr>
      </w:pPr>
      <w:r w:rsidRPr="00A17659">
        <w:rPr>
          <w:rFonts w:asciiTheme="minorHAnsi" w:hAnsiTheme="minorHAnsi" w:cstheme="minorHAnsi"/>
          <w:szCs w:val="22"/>
          <w:lang w:val="cs-CZ"/>
        </w:rPr>
        <w:lastRenderedPageBreak/>
        <w:t xml:space="preserve">Průměrná výše peněžních prostředků vynaložených na opravy a údržbu </w:t>
      </w:r>
      <w:r w:rsidR="00E9785A">
        <w:rPr>
          <w:rFonts w:asciiTheme="minorHAnsi" w:hAnsiTheme="minorHAnsi" w:cstheme="minorHAnsi"/>
          <w:szCs w:val="22"/>
          <w:lang w:val="cs-CZ"/>
        </w:rPr>
        <w:t xml:space="preserve">jednoho </w:t>
      </w:r>
      <w:r w:rsidRPr="00A17659">
        <w:rPr>
          <w:rFonts w:asciiTheme="minorHAnsi" w:hAnsiTheme="minorHAnsi" w:cstheme="minorHAnsi"/>
          <w:szCs w:val="22"/>
          <w:lang w:val="cs-CZ"/>
        </w:rPr>
        <w:t xml:space="preserve">motorového vozidla se v kontrolovaném období pohybovala </w:t>
      </w:r>
      <w:r w:rsidRPr="00A17659">
        <w:rPr>
          <w:rFonts w:asciiTheme="minorHAnsi" w:hAnsiTheme="minorHAnsi" w:cstheme="minorHAnsi"/>
          <w:b/>
          <w:szCs w:val="22"/>
          <w:lang w:val="cs-CZ"/>
        </w:rPr>
        <w:t>od 17</w:t>
      </w:r>
      <w:r w:rsidR="006126E7">
        <w:rPr>
          <w:rFonts w:asciiTheme="minorHAnsi" w:hAnsiTheme="minorHAnsi" w:cstheme="minorHAnsi"/>
          <w:b/>
          <w:szCs w:val="22"/>
          <w:lang w:val="cs-CZ"/>
        </w:rPr>
        <w:t> </w:t>
      </w:r>
      <w:r w:rsidRPr="00A17659">
        <w:rPr>
          <w:rFonts w:asciiTheme="minorHAnsi" w:hAnsiTheme="minorHAnsi" w:cstheme="minorHAnsi"/>
          <w:b/>
          <w:szCs w:val="22"/>
          <w:lang w:val="cs-CZ"/>
        </w:rPr>
        <w:t>182,25</w:t>
      </w:r>
      <w:r w:rsidR="00E9785A">
        <w:rPr>
          <w:rFonts w:asciiTheme="minorHAnsi" w:hAnsiTheme="minorHAnsi" w:cstheme="minorHAnsi"/>
          <w:b/>
          <w:szCs w:val="22"/>
          <w:lang w:val="cs-CZ"/>
        </w:rPr>
        <w:t xml:space="preserve"> </w:t>
      </w:r>
      <w:r w:rsidRPr="00A17659">
        <w:rPr>
          <w:rFonts w:asciiTheme="minorHAnsi" w:hAnsiTheme="minorHAnsi" w:cstheme="minorHAnsi"/>
          <w:b/>
          <w:szCs w:val="22"/>
          <w:lang w:val="cs-CZ"/>
        </w:rPr>
        <w:t xml:space="preserve">Kč/rok </w:t>
      </w:r>
      <w:r w:rsidR="00E45E1D" w:rsidRPr="00A17659">
        <w:rPr>
          <w:rFonts w:asciiTheme="minorHAnsi" w:hAnsiTheme="minorHAnsi" w:cstheme="minorHAnsi"/>
          <w:b/>
          <w:szCs w:val="22"/>
          <w:lang w:val="cs-CZ"/>
        </w:rPr>
        <w:t xml:space="preserve">u MO </w:t>
      </w:r>
      <w:r w:rsidRPr="00A17659">
        <w:rPr>
          <w:rFonts w:asciiTheme="minorHAnsi" w:hAnsiTheme="minorHAnsi" w:cstheme="minorHAnsi"/>
          <w:b/>
          <w:szCs w:val="22"/>
          <w:lang w:val="cs-CZ"/>
        </w:rPr>
        <w:t>do</w:t>
      </w:r>
      <w:r w:rsidR="00E9785A">
        <w:rPr>
          <w:rFonts w:asciiTheme="minorHAnsi" w:hAnsiTheme="minorHAnsi" w:cstheme="minorHAnsi"/>
          <w:b/>
          <w:szCs w:val="22"/>
          <w:lang w:val="cs-CZ"/>
        </w:rPr>
        <w:t xml:space="preserve"> </w:t>
      </w:r>
      <w:r w:rsidRPr="00A17659">
        <w:rPr>
          <w:rFonts w:asciiTheme="minorHAnsi" w:hAnsiTheme="minorHAnsi" w:cstheme="minorHAnsi"/>
          <w:b/>
          <w:szCs w:val="22"/>
          <w:lang w:val="cs-CZ"/>
        </w:rPr>
        <w:t>29 996,42 Kč/rok</w:t>
      </w:r>
      <w:r w:rsidR="00E45E1D" w:rsidRPr="00A17659">
        <w:rPr>
          <w:rFonts w:asciiTheme="minorHAnsi" w:hAnsiTheme="minorHAnsi" w:cstheme="minorHAnsi"/>
          <w:b/>
          <w:szCs w:val="22"/>
          <w:lang w:val="cs-CZ"/>
        </w:rPr>
        <w:t xml:space="preserve"> u </w:t>
      </w:r>
      <w:proofErr w:type="spellStart"/>
      <w:r w:rsidR="00E45E1D" w:rsidRPr="00A17659">
        <w:rPr>
          <w:rFonts w:asciiTheme="minorHAnsi" w:hAnsiTheme="minorHAnsi" w:cstheme="minorHAnsi"/>
          <w:b/>
          <w:szCs w:val="22"/>
          <w:lang w:val="cs-CZ"/>
        </w:rPr>
        <w:t>MZe</w:t>
      </w:r>
      <w:proofErr w:type="spellEnd"/>
      <w:r w:rsidRPr="00A17659">
        <w:rPr>
          <w:rFonts w:asciiTheme="minorHAnsi" w:hAnsiTheme="minorHAnsi" w:cstheme="minorHAnsi"/>
          <w:b/>
          <w:szCs w:val="22"/>
          <w:lang w:val="cs-CZ"/>
        </w:rPr>
        <w:t>.</w:t>
      </w:r>
      <w:r w:rsidRPr="00A17659">
        <w:rPr>
          <w:rFonts w:asciiTheme="minorHAnsi" w:hAnsiTheme="minorHAnsi" w:cstheme="minorHAnsi"/>
          <w:szCs w:val="22"/>
          <w:lang w:val="cs-CZ"/>
        </w:rPr>
        <w:t xml:space="preserve"> Stáří automobilů se pohybovalo od 44,5 měsíců </w:t>
      </w:r>
      <w:r w:rsidR="003D7507" w:rsidRPr="00A17659">
        <w:rPr>
          <w:rFonts w:asciiTheme="minorHAnsi" w:hAnsiTheme="minorHAnsi" w:cstheme="minorHAnsi"/>
          <w:szCs w:val="22"/>
          <w:lang w:val="cs-CZ"/>
        </w:rPr>
        <w:t>u</w:t>
      </w:r>
      <w:r w:rsidR="00E9785A">
        <w:rPr>
          <w:rFonts w:asciiTheme="minorHAnsi" w:hAnsiTheme="minorHAnsi" w:cstheme="minorHAnsi"/>
          <w:szCs w:val="22"/>
          <w:lang w:val="cs-CZ"/>
        </w:rPr>
        <w:t xml:space="preserve"> </w:t>
      </w:r>
      <w:proofErr w:type="spellStart"/>
      <w:proofErr w:type="gramStart"/>
      <w:r w:rsidR="003D7507" w:rsidRPr="00A17659">
        <w:rPr>
          <w:rFonts w:asciiTheme="minorHAnsi" w:hAnsiTheme="minorHAnsi" w:cstheme="minorHAnsi"/>
          <w:szCs w:val="22"/>
          <w:lang w:val="cs-CZ"/>
        </w:rPr>
        <w:t>MZe</w:t>
      </w:r>
      <w:proofErr w:type="spellEnd"/>
      <w:proofErr w:type="gramEnd"/>
      <w:r w:rsidR="00E9785A">
        <w:rPr>
          <w:rFonts w:asciiTheme="minorHAnsi" w:hAnsiTheme="minorHAnsi" w:cstheme="minorHAnsi"/>
          <w:szCs w:val="22"/>
          <w:lang w:val="cs-CZ"/>
        </w:rPr>
        <w:t xml:space="preserve"> </w:t>
      </w:r>
      <w:r w:rsidR="00126783" w:rsidRPr="00A17659">
        <w:rPr>
          <w:rFonts w:asciiTheme="minorHAnsi" w:hAnsiTheme="minorHAnsi" w:cstheme="minorHAnsi"/>
          <w:szCs w:val="22"/>
          <w:lang w:val="cs-CZ"/>
        </w:rPr>
        <w:t>do</w:t>
      </w:r>
      <w:r w:rsidR="00E9785A">
        <w:rPr>
          <w:rFonts w:asciiTheme="minorHAnsi" w:hAnsiTheme="minorHAnsi" w:cstheme="minorHAnsi"/>
          <w:szCs w:val="22"/>
          <w:lang w:val="cs-CZ"/>
        </w:rPr>
        <w:t xml:space="preserve"> </w:t>
      </w:r>
      <w:r w:rsidRPr="00A17659">
        <w:rPr>
          <w:rFonts w:asciiTheme="minorHAnsi" w:hAnsiTheme="minorHAnsi" w:cstheme="minorHAnsi"/>
          <w:szCs w:val="22"/>
          <w:lang w:val="cs-CZ"/>
        </w:rPr>
        <w:t>97,94</w:t>
      </w:r>
      <w:r w:rsidR="00E9785A">
        <w:rPr>
          <w:rFonts w:asciiTheme="minorHAnsi" w:hAnsiTheme="minorHAnsi" w:cstheme="minorHAnsi"/>
          <w:szCs w:val="22"/>
          <w:lang w:val="cs-CZ"/>
        </w:rPr>
        <w:t> </w:t>
      </w:r>
      <w:r w:rsidRPr="00A17659">
        <w:rPr>
          <w:rFonts w:asciiTheme="minorHAnsi" w:hAnsiTheme="minorHAnsi" w:cstheme="minorHAnsi"/>
          <w:szCs w:val="22"/>
          <w:lang w:val="cs-CZ"/>
        </w:rPr>
        <w:t>měsíců</w:t>
      </w:r>
      <w:r w:rsidR="00E45E1D" w:rsidRPr="00A17659">
        <w:rPr>
          <w:rFonts w:asciiTheme="minorHAnsi" w:hAnsiTheme="minorHAnsi" w:cstheme="minorHAnsi"/>
          <w:szCs w:val="22"/>
          <w:lang w:val="cs-CZ"/>
        </w:rPr>
        <w:t xml:space="preserve"> u MPSV</w:t>
      </w:r>
      <w:r w:rsidRPr="00A17659">
        <w:rPr>
          <w:rFonts w:asciiTheme="minorHAnsi" w:hAnsiTheme="minorHAnsi" w:cstheme="minorHAnsi"/>
          <w:szCs w:val="22"/>
          <w:lang w:val="cs-CZ"/>
        </w:rPr>
        <w:t>. Nejvyšší průměrná výše peněžních prostředků vynaložených na opravy a údržbu na ujetý kilometr byla v kontrolovaném období zjištěna u MPSV</w:t>
      </w:r>
      <w:r w:rsidR="00EB4305">
        <w:rPr>
          <w:rFonts w:asciiTheme="minorHAnsi" w:hAnsiTheme="minorHAnsi" w:cstheme="minorHAnsi"/>
          <w:szCs w:val="22"/>
          <w:lang w:val="cs-CZ"/>
        </w:rPr>
        <w:t xml:space="preserve"> a</w:t>
      </w:r>
      <w:r w:rsidR="00E9785A">
        <w:rPr>
          <w:rFonts w:asciiTheme="minorHAnsi" w:hAnsiTheme="minorHAnsi" w:cstheme="minorHAnsi"/>
          <w:szCs w:val="22"/>
          <w:lang w:val="cs-CZ"/>
        </w:rPr>
        <w:t xml:space="preserve"> </w:t>
      </w:r>
      <w:r w:rsidR="00EB4305">
        <w:rPr>
          <w:rFonts w:asciiTheme="minorHAnsi" w:hAnsiTheme="minorHAnsi" w:cstheme="minorHAnsi"/>
          <w:szCs w:val="22"/>
          <w:lang w:val="cs-CZ"/>
        </w:rPr>
        <w:t>souvisela se stářím vozového parku.</w:t>
      </w:r>
    </w:p>
    <w:p w14:paraId="5C48CCE2" w14:textId="77777777" w:rsidR="00E43B2E" w:rsidRDefault="00E43B2E" w:rsidP="003A22F1">
      <w:pPr>
        <w:pStyle w:val="Odstavecseseznamem"/>
        <w:ind w:left="0"/>
        <w:contextualSpacing w:val="0"/>
        <w:jc w:val="both"/>
        <w:rPr>
          <w:rFonts w:asciiTheme="minorHAnsi" w:hAnsiTheme="minorHAnsi" w:cstheme="minorHAnsi"/>
          <w:bCs/>
          <w:lang w:val="cs-CZ"/>
        </w:rPr>
      </w:pPr>
    </w:p>
    <w:p w14:paraId="6FE8D6DA" w14:textId="77777777" w:rsidR="003A22F1" w:rsidRPr="00A17659" w:rsidRDefault="003A22F1" w:rsidP="003A22F1">
      <w:pPr>
        <w:pStyle w:val="Odstavecseseznamem"/>
        <w:ind w:left="0"/>
        <w:contextualSpacing w:val="0"/>
        <w:jc w:val="both"/>
        <w:rPr>
          <w:rFonts w:asciiTheme="minorHAnsi" w:hAnsiTheme="minorHAnsi" w:cstheme="minorHAnsi"/>
          <w:bCs/>
          <w:lang w:val="cs-CZ"/>
        </w:rPr>
      </w:pPr>
    </w:p>
    <w:p w14:paraId="5287552B" w14:textId="77777777" w:rsidR="009715F8" w:rsidRPr="00A17659" w:rsidRDefault="009715F8" w:rsidP="009715F8">
      <w:pPr>
        <w:jc w:val="center"/>
        <w:rPr>
          <w:rFonts w:asciiTheme="minorHAnsi" w:hAnsiTheme="minorHAnsi" w:cstheme="minorHAnsi"/>
          <w:b/>
          <w:color w:val="000000"/>
          <w:sz w:val="28"/>
          <w:szCs w:val="28"/>
          <w:lang w:val="cs-CZ"/>
        </w:rPr>
      </w:pPr>
      <w:r w:rsidRPr="00A17659">
        <w:rPr>
          <w:rFonts w:asciiTheme="minorHAnsi" w:hAnsiTheme="minorHAnsi" w:cstheme="minorHAnsi"/>
          <w:b/>
          <w:color w:val="000000"/>
          <w:sz w:val="28"/>
          <w:szCs w:val="28"/>
          <w:lang w:val="cs-CZ"/>
        </w:rPr>
        <w:t>III. Podrobné informace ke zjištěným skutečnostem</w:t>
      </w:r>
    </w:p>
    <w:p w14:paraId="2CDB22B9" w14:textId="77777777" w:rsidR="00532531" w:rsidRPr="003A22F1" w:rsidRDefault="00532531" w:rsidP="003A22F1">
      <w:pPr>
        <w:pStyle w:val="Odstavecseseznamem"/>
        <w:ind w:left="0"/>
        <w:contextualSpacing w:val="0"/>
        <w:jc w:val="both"/>
        <w:rPr>
          <w:rFonts w:asciiTheme="minorHAnsi" w:hAnsiTheme="minorHAnsi" w:cstheme="minorHAnsi"/>
          <w:lang w:val="cs-CZ"/>
        </w:rPr>
      </w:pPr>
    </w:p>
    <w:p w14:paraId="6DCFCD59" w14:textId="77777777" w:rsidR="007C3C8B" w:rsidRDefault="005E3F4A" w:rsidP="003A22F1">
      <w:pPr>
        <w:pStyle w:val="Odstavecseseznamem"/>
        <w:ind w:left="0"/>
        <w:contextualSpacing w:val="0"/>
        <w:jc w:val="both"/>
        <w:rPr>
          <w:rFonts w:asciiTheme="minorHAnsi" w:hAnsiTheme="minorHAnsi" w:cstheme="minorHAnsi"/>
          <w:b/>
          <w:lang w:val="cs-CZ"/>
        </w:rPr>
      </w:pPr>
      <w:r w:rsidRPr="003A22F1">
        <w:rPr>
          <w:rFonts w:asciiTheme="minorHAnsi" w:hAnsiTheme="minorHAnsi" w:cstheme="minorHAnsi"/>
          <w:b/>
          <w:color w:val="000000"/>
          <w:lang w:val="cs-CZ"/>
        </w:rPr>
        <w:t>1</w:t>
      </w:r>
      <w:r w:rsidR="0089456F" w:rsidRPr="003A22F1">
        <w:rPr>
          <w:rFonts w:asciiTheme="minorHAnsi" w:hAnsiTheme="minorHAnsi" w:cstheme="minorHAnsi"/>
          <w:b/>
          <w:color w:val="000000"/>
          <w:lang w:val="cs-CZ"/>
        </w:rPr>
        <w:t>.</w:t>
      </w:r>
      <w:r w:rsidRPr="003A22F1">
        <w:rPr>
          <w:rFonts w:asciiTheme="minorHAnsi" w:hAnsiTheme="minorHAnsi" w:cstheme="minorHAnsi"/>
          <w:b/>
          <w:color w:val="000000"/>
          <w:lang w:val="cs-CZ"/>
        </w:rPr>
        <w:t xml:space="preserve"> </w:t>
      </w:r>
      <w:r w:rsidR="007C3C8B" w:rsidRPr="003A22F1">
        <w:rPr>
          <w:rFonts w:asciiTheme="minorHAnsi" w:hAnsiTheme="minorHAnsi" w:cstheme="minorHAnsi"/>
          <w:b/>
          <w:lang w:val="cs-CZ"/>
        </w:rPr>
        <w:t xml:space="preserve">Peněžní prostředky vynaložené na úhradu kancelářských potřeb </w:t>
      </w:r>
    </w:p>
    <w:p w14:paraId="5805CDBC" w14:textId="77777777" w:rsidR="003A22F1" w:rsidRPr="003A22F1" w:rsidRDefault="003A22F1" w:rsidP="003A22F1">
      <w:pPr>
        <w:pStyle w:val="Odstavecseseznamem"/>
        <w:ind w:left="0"/>
        <w:contextualSpacing w:val="0"/>
        <w:jc w:val="both"/>
        <w:rPr>
          <w:rFonts w:asciiTheme="minorHAnsi" w:hAnsiTheme="minorHAnsi" w:cstheme="minorHAnsi"/>
          <w:lang w:val="cs-CZ"/>
        </w:rPr>
      </w:pPr>
    </w:p>
    <w:p w14:paraId="71B28F9E" w14:textId="77777777" w:rsidR="00D20B75" w:rsidRPr="003A22F1" w:rsidRDefault="00D20B75" w:rsidP="003A22F1">
      <w:pPr>
        <w:pStyle w:val="Odstavecseseznamem"/>
        <w:tabs>
          <w:tab w:val="right" w:pos="9070"/>
        </w:tabs>
        <w:spacing w:after="40"/>
        <w:ind w:left="1418" w:hanging="1418"/>
        <w:contextualSpacing w:val="0"/>
        <w:rPr>
          <w:rFonts w:asciiTheme="minorHAnsi" w:hAnsiTheme="minorHAnsi" w:cstheme="minorHAnsi"/>
          <w:b/>
          <w:lang w:val="cs-CZ"/>
        </w:rPr>
      </w:pPr>
      <w:r w:rsidRPr="003A22F1">
        <w:rPr>
          <w:rFonts w:asciiTheme="minorHAnsi" w:hAnsiTheme="minorHAnsi" w:cstheme="minorHAnsi"/>
          <w:b/>
          <w:lang w:val="cs-CZ"/>
        </w:rPr>
        <w:t xml:space="preserve">Tabulka č. </w:t>
      </w:r>
      <w:r w:rsidR="00626069" w:rsidRPr="003A22F1">
        <w:rPr>
          <w:rFonts w:asciiTheme="minorHAnsi" w:hAnsiTheme="minorHAnsi" w:cstheme="minorHAnsi"/>
          <w:b/>
          <w:lang w:val="cs-CZ"/>
        </w:rPr>
        <w:t>1</w:t>
      </w:r>
      <w:r w:rsidR="00E9785A" w:rsidRPr="009464B0">
        <w:rPr>
          <w:rFonts w:asciiTheme="minorHAnsi" w:hAnsiTheme="minorHAnsi" w:cstheme="minorHAnsi"/>
          <w:b/>
          <w:lang w:val="cs-CZ"/>
        </w:rPr>
        <w:t xml:space="preserve"> </w:t>
      </w:r>
      <w:r w:rsidR="00EC5DD5" w:rsidRPr="009464B0">
        <w:rPr>
          <w:rFonts w:asciiTheme="minorHAnsi" w:hAnsiTheme="minorHAnsi" w:cstheme="minorHAnsi"/>
          <w:b/>
          <w:lang w:val="cs-CZ"/>
        </w:rPr>
        <w:t>–</w:t>
      </w:r>
      <w:r w:rsidR="00EC5DD5" w:rsidRPr="009464B0">
        <w:rPr>
          <w:rFonts w:asciiTheme="minorHAnsi" w:hAnsiTheme="minorHAnsi" w:cstheme="minorHAnsi"/>
          <w:b/>
          <w:lang w:val="cs-CZ"/>
        </w:rPr>
        <w:tab/>
      </w:r>
      <w:r w:rsidR="00E9785A" w:rsidRPr="003A22F1">
        <w:rPr>
          <w:rFonts w:asciiTheme="minorHAnsi" w:hAnsiTheme="minorHAnsi" w:cstheme="minorHAnsi"/>
          <w:b/>
          <w:lang w:val="cs-CZ"/>
        </w:rPr>
        <w:t>Jednotková cena bílého xerografického papíru A4 80g/m</w:t>
      </w:r>
      <w:r w:rsidR="00E9785A" w:rsidRPr="003A22F1">
        <w:rPr>
          <w:rFonts w:asciiTheme="minorHAnsi" w:hAnsiTheme="minorHAnsi" w:cstheme="minorHAnsi"/>
          <w:b/>
          <w:vertAlign w:val="superscript"/>
          <w:lang w:val="cs-CZ"/>
        </w:rPr>
        <w:t>2</w:t>
      </w:r>
      <w:r w:rsidR="00E9785A" w:rsidRPr="003A22F1">
        <w:rPr>
          <w:rFonts w:asciiTheme="minorHAnsi" w:hAnsiTheme="minorHAnsi" w:cstheme="minorHAnsi"/>
          <w:b/>
          <w:lang w:val="cs-CZ"/>
        </w:rPr>
        <w:t xml:space="preserve"> </w:t>
      </w:r>
      <w:r w:rsidR="003A22F1" w:rsidRPr="003A22F1">
        <w:rPr>
          <w:rFonts w:asciiTheme="minorHAnsi" w:hAnsiTheme="minorHAnsi" w:cstheme="minorHAnsi"/>
          <w:b/>
          <w:lang w:val="cs-CZ"/>
        </w:rPr>
        <w:br/>
      </w:r>
      <w:r w:rsidR="00E9785A" w:rsidRPr="003A22F1">
        <w:rPr>
          <w:rFonts w:asciiTheme="minorHAnsi" w:hAnsiTheme="minorHAnsi" w:cstheme="minorHAnsi"/>
          <w:b/>
          <w:lang w:val="cs-CZ"/>
        </w:rPr>
        <w:t xml:space="preserve">(500 listů = 1 </w:t>
      </w:r>
      <w:proofErr w:type="gramStart"/>
      <w:r w:rsidR="00E9785A" w:rsidRPr="003A22F1">
        <w:rPr>
          <w:rFonts w:asciiTheme="minorHAnsi" w:hAnsiTheme="minorHAnsi" w:cstheme="minorHAnsi"/>
          <w:b/>
          <w:lang w:val="cs-CZ"/>
        </w:rPr>
        <w:t xml:space="preserve">balení) </w:t>
      </w:r>
      <w:r w:rsidR="00E9785A" w:rsidRPr="003A22F1">
        <w:rPr>
          <w:rFonts w:asciiTheme="minorHAnsi" w:hAnsiTheme="minorHAnsi" w:cstheme="minorHAnsi"/>
          <w:b/>
          <w:lang w:val="cs-CZ"/>
        </w:rPr>
        <w:tab/>
        <w:t>(v Kč</w:t>
      </w:r>
      <w:proofErr w:type="gramEnd"/>
      <w:r w:rsidR="00E9785A" w:rsidRPr="003A22F1">
        <w:rPr>
          <w:rFonts w:asciiTheme="minorHAnsi" w:hAnsiTheme="minorHAnsi" w:cstheme="minorHAnsi"/>
          <w:b/>
          <w:lang w:val="cs-CZ"/>
        </w:rPr>
        <w:t xml:space="preserve"> včetně DPH)</w:t>
      </w:r>
    </w:p>
    <w:tbl>
      <w:tblPr>
        <w:tblW w:w="90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2294"/>
        <w:gridCol w:w="2294"/>
        <w:gridCol w:w="2296"/>
      </w:tblGrid>
      <w:tr w:rsidR="00D20B75" w:rsidRPr="00A17659" w14:paraId="403D7C3B" w14:textId="77777777" w:rsidTr="001A4537">
        <w:trPr>
          <w:trHeight w:val="227"/>
        </w:trPr>
        <w:tc>
          <w:tcPr>
            <w:tcW w:w="2194" w:type="dxa"/>
            <w:shd w:val="clear" w:color="auto" w:fill="auto"/>
            <w:vAlign w:val="center"/>
          </w:tcPr>
          <w:p w14:paraId="6A3C96EF" w14:textId="77777777" w:rsidR="00D20B75" w:rsidRPr="00E9785A" w:rsidRDefault="00D20B75" w:rsidP="001A4537">
            <w:pPr>
              <w:pStyle w:val="Odstavecseseznamem"/>
              <w:ind w:left="0"/>
              <w:contextualSpacing w:val="0"/>
              <w:jc w:val="center"/>
              <w:rPr>
                <w:rFonts w:asciiTheme="minorHAnsi" w:hAnsiTheme="minorHAnsi" w:cstheme="minorHAnsi"/>
                <w:b/>
                <w:lang w:val="cs-CZ"/>
              </w:rPr>
            </w:pPr>
          </w:p>
        </w:tc>
        <w:tc>
          <w:tcPr>
            <w:tcW w:w="2294" w:type="dxa"/>
            <w:shd w:val="clear" w:color="auto" w:fill="auto"/>
            <w:vAlign w:val="center"/>
          </w:tcPr>
          <w:p w14:paraId="31773674" w14:textId="623DCEA4" w:rsidR="00D20B75" w:rsidRPr="00E9785A" w:rsidRDefault="00D20B75" w:rsidP="009464B0">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r w:rsidR="009464B0" w:rsidRPr="009464B0">
              <w:rPr>
                <w:rFonts w:asciiTheme="minorHAnsi" w:hAnsiTheme="minorHAnsi" w:cstheme="minorHAnsi"/>
                <w:vertAlign w:val="superscript"/>
                <w:lang w:val="cs-CZ"/>
              </w:rPr>
              <w:t>*</w:t>
            </w:r>
          </w:p>
        </w:tc>
        <w:tc>
          <w:tcPr>
            <w:tcW w:w="2294" w:type="dxa"/>
            <w:shd w:val="clear" w:color="auto" w:fill="auto"/>
            <w:vAlign w:val="center"/>
          </w:tcPr>
          <w:p w14:paraId="4570BBA2" w14:textId="78DA7353" w:rsidR="00D20B75" w:rsidRPr="00E9785A" w:rsidRDefault="00D20B75" w:rsidP="007A6C97">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r w:rsidR="007A6C97">
              <w:rPr>
                <w:rFonts w:asciiTheme="minorHAnsi" w:hAnsiTheme="minorHAnsi" w:cstheme="minorHAnsi"/>
                <w:b/>
                <w:vertAlign w:val="superscript"/>
                <w:lang w:val="cs-CZ"/>
              </w:rPr>
              <w:t>*</w:t>
            </w:r>
          </w:p>
        </w:tc>
        <w:tc>
          <w:tcPr>
            <w:tcW w:w="2296" w:type="dxa"/>
            <w:shd w:val="clear" w:color="auto" w:fill="auto"/>
            <w:vAlign w:val="center"/>
          </w:tcPr>
          <w:p w14:paraId="10DB183C" w14:textId="77777777" w:rsidR="00D20B75" w:rsidRPr="00E9785A" w:rsidRDefault="00D20B75" w:rsidP="00BB1A6B">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D20B75" w:rsidRPr="00A17659" w14:paraId="5029FD9A" w14:textId="77777777" w:rsidTr="001A4537">
        <w:trPr>
          <w:trHeight w:val="227"/>
        </w:trPr>
        <w:tc>
          <w:tcPr>
            <w:tcW w:w="2194" w:type="dxa"/>
            <w:shd w:val="clear" w:color="auto" w:fill="auto"/>
            <w:vAlign w:val="center"/>
          </w:tcPr>
          <w:p w14:paraId="11D3B363" w14:textId="77777777" w:rsidR="00D20B75" w:rsidRPr="00E9785A" w:rsidRDefault="00D20B75" w:rsidP="001A4537">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294" w:type="dxa"/>
            <w:shd w:val="clear" w:color="auto" w:fill="auto"/>
            <w:vAlign w:val="center"/>
          </w:tcPr>
          <w:p w14:paraId="0195892D" w14:textId="77777777" w:rsidR="00D20B75" w:rsidRPr="00E9785A" w:rsidRDefault="005C1F3A" w:rsidP="00BB1A6B">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85,95</w:t>
            </w:r>
          </w:p>
        </w:tc>
        <w:tc>
          <w:tcPr>
            <w:tcW w:w="2294" w:type="dxa"/>
            <w:shd w:val="clear" w:color="auto" w:fill="auto"/>
            <w:vAlign w:val="center"/>
          </w:tcPr>
          <w:p w14:paraId="60BC3D44" w14:textId="77777777" w:rsidR="00D20B75" w:rsidRPr="00E9785A" w:rsidRDefault="00F54A08" w:rsidP="00BB1A6B">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69,40</w:t>
            </w:r>
          </w:p>
        </w:tc>
        <w:tc>
          <w:tcPr>
            <w:tcW w:w="2296" w:type="dxa"/>
            <w:shd w:val="clear" w:color="auto" w:fill="auto"/>
            <w:vAlign w:val="center"/>
          </w:tcPr>
          <w:p w14:paraId="30874334" w14:textId="77777777" w:rsidR="00D20B75" w:rsidRPr="00E9785A" w:rsidRDefault="00D20B75" w:rsidP="00BB1A6B">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68,36</w:t>
            </w:r>
          </w:p>
        </w:tc>
      </w:tr>
      <w:tr w:rsidR="00D20B75" w:rsidRPr="00A17659" w14:paraId="6BBAC892" w14:textId="77777777" w:rsidTr="001A4537">
        <w:trPr>
          <w:trHeight w:val="227"/>
        </w:trPr>
        <w:tc>
          <w:tcPr>
            <w:tcW w:w="2194" w:type="dxa"/>
            <w:shd w:val="clear" w:color="auto" w:fill="auto"/>
            <w:vAlign w:val="center"/>
          </w:tcPr>
          <w:p w14:paraId="75F2E35F" w14:textId="77777777" w:rsidR="00D20B75" w:rsidRPr="00E9785A" w:rsidRDefault="00D20B75" w:rsidP="001A4537">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294" w:type="dxa"/>
            <w:shd w:val="clear" w:color="auto" w:fill="auto"/>
            <w:vAlign w:val="center"/>
          </w:tcPr>
          <w:p w14:paraId="020998F8" w14:textId="77777777" w:rsidR="00D20B75" w:rsidRPr="00E9785A" w:rsidRDefault="005C1F3A" w:rsidP="00BB1A6B">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74,92</w:t>
            </w:r>
          </w:p>
        </w:tc>
        <w:tc>
          <w:tcPr>
            <w:tcW w:w="2294" w:type="dxa"/>
            <w:shd w:val="clear" w:color="auto" w:fill="auto"/>
            <w:vAlign w:val="center"/>
          </w:tcPr>
          <w:p w14:paraId="453E1379" w14:textId="77777777" w:rsidR="00D20B75" w:rsidRPr="00E9785A" w:rsidRDefault="00F54A08" w:rsidP="00BB1A6B">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66,89</w:t>
            </w:r>
          </w:p>
        </w:tc>
        <w:tc>
          <w:tcPr>
            <w:tcW w:w="2296" w:type="dxa"/>
            <w:shd w:val="clear" w:color="auto" w:fill="auto"/>
            <w:vAlign w:val="center"/>
          </w:tcPr>
          <w:p w14:paraId="797DD755" w14:textId="77777777" w:rsidR="00D20B75" w:rsidRPr="00E9785A" w:rsidRDefault="00D20B75" w:rsidP="00BB1A6B">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68,36</w:t>
            </w:r>
          </w:p>
        </w:tc>
      </w:tr>
    </w:tbl>
    <w:p w14:paraId="77AD6A11" w14:textId="77777777" w:rsidR="00D20B75" w:rsidRPr="00A17659" w:rsidRDefault="00D20B75" w:rsidP="003A22F1">
      <w:pPr>
        <w:pStyle w:val="Odstavecseseznamem"/>
        <w:spacing w:before="40"/>
        <w:ind w:left="0"/>
        <w:contextualSpacing w:val="0"/>
        <w:rPr>
          <w:rFonts w:asciiTheme="minorHAnsi" w:hAnsiTheme="minorHAnsi" w:cstheme="minorHAnsi"/>
          <w:sz w:val="20"/>
          <w:szCs w:val="20"/>
          <w:lang w:val="cs-CZ" w:eastAsia="cs-CZ"/>
        </w:rPr>
      </w:pPr>
      <w:r w:rsidRPr="00A17659">
        <w:rPr>
          <w:rFonts w:asciiTheme="minorHAnsi" w:hAnsiTheme="minorHAnsi" w:cstheme="minorHAnsi"/>
          <w:b/>
          <w:sz w:val="20"/>
          <w:szCs w:val="20"/>
          <w:lang w:val="cs-CZ" w:eastAsia="cs-CZ"/>
        </w:rPr>
        <w:t>Zdroj:</w:t>
      </w:r>
      <w:r w:rsidRPr="00A17659">
        <w:rPr>
          <w:rFonts w:asciiTheme="minorHAnsi" w:hAnsiTheme="minorHAnsi" w:cstheme="minorHAnsi"/>
          <w:sz w:val="20"/>
          <w:szCs w:val="20"/>
          <w:lang w:val="cs-CZ" w:eastAsia="cs-CZ"/>
        </w:rPr>
        <w:t xml:space="preserve"> přijaté faktury.</w:t>
      </w:r>
    </w:p>
    <w:p w14:paraId="52CB1712" w14:textId="30CDF688" w:rsidR="00391078" w:rsidRPr="00A17659" w:rsidRDefault="00CB69CB" w:rsidP="006126E7">
      <w:pPr>
        <w:pStyle w:val="Odstavecseseznamem"/>
        <w:ind w:left="284" w:hanging="284"/>
        <w:contextualSpacing w:val="0"/>
        <w:jc w:val="both"/>
        <w:rPr>
          <w:rFonts w:asciiTheme="minorHAnsi" w:hAnsiTheme="minorHAnsi" w:cstheme="minorHAnsi"/>
          <w:sz w:val="20"/>
          <w:szCs w:val="20"/>
          <w:lang w:val="cs-CZ"/>
        </w:rPr>
      </w:pPr>
      <w:r>
        <w:rPr>
          <w:rFonts w:asciiTheme="minorHAnsi" w:hAnsiTheme="minorHAnsi" w:cstheme="minorHAnsi"/>
          <w:sz w:val="20"/>
          <w:szCs w:val="20"/>
          <w:lang w:val="cs-CZ" w:eastAsia="cs-CZ"/>
        </w:rPr>
        <w:t>*</w:t>
      </w:r>
      <w:r w:rsidR="00391078" w:rsidRPr="00A17659">
        <w:rPr>
          <w:rFonts w:asciiTheme="minorHAnsi" w:hAnsiTheme="minorHAnsi" w:cstheme="minorHAnsi"/>
          <w:sz w:val="20"/>
          <w:szCs w:val="20"/>
          <w:vertAlign w:val="superscript"/>
          <w:lang w:val="cs-CZ" w:eastAsia="cs-CZ"/>
        </w:rPr>
        <w:t xml:space="preserve"> </w:t>
      </w:r>
      <w:r w:rsidR="00391078" w:rsidRPr="00A17659">
        <w:rPr>
          <w:rFonts w:asciiTheme="minorHAnsi" w:hAnsiTheme="minorHAnsi" w:cstheme="minorHAnsi"/>
          <w:sz w:val="20"/>
          <w:szCs w:val="20"/>
          <w:vertAlign w:val="superscript"/>
          <w:lang w:val="cs-CZ" w:eastAsia="cs-CZ"/>
        </w:rPr>
        <w:tab/>
      </w:r>
      <w:r w:rsidR="00391078" w:rsidRPr="00A17659">
        <w:rPr>
          <w:rFonts w:asciiTheme="minorHAnsi" w:hAnsiTheme="minorHAnsi" w:cstheme="minorHAnsi"/>
          <w:sz w:val="20"/>
          <w:szCs w:val="20"/>
          <w:lang w:val="cs-CZ" w:eastAsia="cs-CZ"/>
        </w:rPr>
        <w:t>Jednotková</w:t>
      </w:r>
      <w:r w:rsidR="00942BB0" w:rsidRPr="00A17659">
        <w:rPr>
          <w:rFonts w:asciiTheme="minorHAnsi" w:hAnsiTheme="minorHAnsi" w:cstheme="minorHAnsi"/>
          <w:sz w:val="20"/>
          <w:szCs w:val="20"/>
          <w:lang w:val="cs-CZ" w:eastAsia="cs-CZ"/>
        </w:rPr>
        <w:t xml:space="preserve"> cena kancelářského papíru byla </w:t>
      </w:r>
      <w:r w:rsidR="00391078" w:rsidRPr="00A17659">
        <w:rPr>
          <w:rFonts w:asciiTheme="minorHAnsi" w:hAnsiTheme="minorHAnsi" w:cstheme="minorHAnsi"/>
          <w:sz w:val="20"/>
          <w:szCs w:val="20"/>
          <w:lang w:val="cs-CZ" w:eastAsia="cs-CZ"/>
        </w:rPr>
        <w:t xml:space="preserve">zjištěna výpočtem průměrné ceny </w:t>
      </w:r>
      <w:r w:rsidR="005C1F3A" w:rsidRPr="00A17659">
        <w:rPr>
          <w:rFonts w:asciiTheme="minorHAnsi" w:hAnsiTheme="minorHAnsi" w:cstheme="minorHAnsi"/>
          <w:sz w:val="20"/>
          <w:szCs w:val="20"/>
          <w:lang w:val="cs-CZ" w:eastAsia="cs-CZ"/>
        </w:rPr>
        <w:t xml:space="preserve">metodou váženého aritmetického průměru </w:t>
      </w:r>
      <w:r w:rsidR="00391078" w:rsidRPr="00A17659">
        <w:rPr>
          <w:rFonts w:asciiTheme="minorHAnsi" w:hAnsiTheme="minorHAnsi" w:cstheme="minorHAnsi"/>
          <w:sz w:val="20"/>
          <w:szCs w:val="20"/>
          <w:lang w:val="cs-CZ" w:eastAsia="cs-CZ"/>
        </w:rPr>
        <w:t>za jedno balení z</w:t>
      </w:r>
      <w:r w:rsidR="00E9785A">
        <w:rPr>
          <w:rFonts w:asciiTheme="minorHAnsi" w:hAnsiTheme="minorHAnsi" w:cstheme="minorHAnsi"/>
          <w:sz w:val="20"/>
          <w:szCs w:val="20"/>
          <w:lang w:val="cs-CZ" w:eastAsia="cs-CZ"/>
        </w:rPr>
        <w:t xml:space="preserve"> </w:t>
      </w:r>
      <w:r w:rsidR="00391078" w:rsidRPr="00A17659">
        <w:rPr>
          <w:rFonts w:asciiTheme="minorHAnsi" w:hAnsiTheme="minorHAnsi" w:cstheme="minorHAnsi"/>
          <w:sz w:val="20"/>
          <w:szCs w:val="20"/>
          <w:lang w:val="cs-CZ" w:eastAsia="cs-CZ"/>
        </w:rPr>
        <w:t xml:space="preserve">důvodu dodávek papíru v různých cenových relacích. </w:t>
      </w:r>
    </w:p>
    <w:p w14:paraId="5440E1FB" w14:textId="77777777" w:rsidR="003A22F1" w:rsidRDefault="003A22F1" w:rsidP="003A22F1">
      <w:pPr>
        <w:jc w:val="both"/>
        <w:rPr>
          <w:rFonts w:asciiTheme="minorHAnsi" w:hAnsiTheme="minorHAnsi" w:cstheme="minorHAnsi"/>
          <w:bCs/>
          <w:lang w:val="cs-CZ"/>
        </w:rPr>
      </w:pPr>
    </w:p>
    <w:p w14:paraId="582A4F38" w14:textId="77777777" w:rsidR="0025722B" w:rsidRPr="00A17659" w:rsidRDefault="0025722B" w:rsidP="003A22F1">
      <w:pPr>
        <w:jc w:val="both"/>
        <w:rPr>
          <w:rFonts w:asciiTheme="minorHAnsi" w:hAnsiTheme="minorHAnsi" w:cstheme="minorHAnsi"/>
          <w:bCs/>
          <w:lang w:val="cs-CZ"/>
        </w:rPr>
      </w:pPr>
      <w:r w:rsidRPr="00A17659">
        <w:rPr>
          <w:rFonts w:asciiTheme="minorHAnsi" w:hAnsiTheme="minorHAnsi" w:cstheme="minorHAnsi"/>
          <w:bCs/>
          <w:lang w:val="cs-CZ"/>
        </w:rPr>
        <w:t>Při kontrole peněžních prostředků vynaložených na kancelářské potřeby bylo zjištěno, že:</w:t>
      </w:r>
    </w:p>
    <w:p w14:paraId="6A2E0CE7" w14:textId="68778FF4" w:rsidR="00A94E3C" w:rsidRPr="003A22F1" w:rsidRDefault="00A94E3C" w:rsidP="003A22F1">
      <w:pPr>
        <w:pStyle w:val="Odstavecseseznamem"/>
        <w:numPr>
          <w:ilvl w:val="0"/>
          <w:numId w:val="27"/>
        </w:numPr>
        <w:ind w:left="284" w:hanging="284"/>
        <w:jc w:val="both"/>
        <w:rPr>
          <w:rFonts w:asciiTheme="minorHAnsi" w:eastAsiaTheme="minorHAnsi" w:hAnsiTheme="minorHAnsi" w:cstheme="minorHAnsi"/>
          <w:b/>
          <w:lang w:val="cs-CZ"/>
        </w:rPr>
      </w:pPr>
      <w:r w:rsidRPr="003A22F1">
        <w:rPr>
          <w:rFonts w:asciiTheme="minorHAnsi" w:eastAsiaTheme="minorHAnsi" w:hAnsiTheme="minorHAnsi" w:cstheme="minorHAnsi"/>
          <w:b/>
          <w:lang w:val="cs-CZ"/>
        </w:rPr>
        <w:t>MO při pořizování kancelářských potřeb v letech 2013</w:t>
      </w:r>
      <w:r w:rsidR="001566F5" w:rsidRPr="003A22F1">
        <w:rPr>
          <w:rFonts w:asciiTheme="minorHAnsi" w:eastAsiaTheme="minorHAnsi" w:hAnsiTheme="minorHAnsi" w:cstheme="minorHAnsi"/>
          <w:b/>
          <w:lang w:val="cs-CZ"/>
        </w:rPr>
        <w:t xml:space="preserve"> n</w:t>
      </w:r>
      <w:r w:rsidR="00AA33A1" w:rsidRPr="003A22F1">
        <w:rPr>
          <w:rFonts w:asciiTheme="minorHAnsi" w:eastAsiaTheme="minorHAnsi" w:hAnsiTheme="minorHAnsi" w:cstheme="minorHAnsi"/>
          <w:b/>
          <w:lang w:val="cs-CZ"/>
        </w:rPr>
        <w:t>e</w:t>
      </w:r>
      <w:r w:rsidR="001566F5" w:rsidRPr="003A22F1">
        <w:rPr>
          <w:rFonts w:asciiTheme="minorHAnsi" w:eastAsiaTheme="minorHAnsi" w:hAnsiTheme="minorHAnsi" w:cstheme="minorHAnsi"/>
          <w:b/>
          <w:lang w:val="cs-CZ"/>
        </w:rPr>
        <w:t>plnilo požadavek uložený</w:t>
      </w:r>
      <w:r w:rsidRPr="003A22F1">
        <w:rPr>
          <w:rFonts w:asciiTheme="minorHAnsi" w:eastAsiaTheme="minorHAnsi" w:hAnsiTheme="minorHAnsi" w:cstheme="minorHAnsi"/>
          <w:b/>
          <w:lang w:val="cs-CZ"/>
        </w:rPr>
        <w:t xml:space="preserve"> </w:t>
      </w:r>
      <w:r w:rsidR="00CB69CB">
        <w:rPr>
          <w:rFonts w:asciiTheme="minorHAnsi" w:eastAsiaTheme="minorHAnsi" w:hAnsiTheme="minorHAnsi" w:cstheme="minorHAnsi"/>
          <w:b/>
          <w:lang w:val="cs-CZ"/>
        </w:rPr>
        <w:t>u</w:t>
      </w:r>
      <w:r w:rsidRPr="003A22F1">
        <w:rPr>
          <w:rFonts w:asciiTheme="minorHAnsi" w:eastAsiaTheme="minorHAnsi" w:hAnsiTheme="minorHAnsi" w:cstheme="minorHAnsi"/>
          <w:b/>
          <w:lang w:val="cs-CZ"/>
        </w:rPr>
        <w:t>snesení</w:t>
      </w:r>
      <w:r w:rsidR="001566F5" w:rsidRPr="003A22F1">
        <w:rPr>
          <w:rFonts w:asciiTheme="minorHAnsi" w:eastAsiaTheme="minorHAnsi" w:hAnsiTheme="minorHAnsi" w:cstheme="minorHAnsi"/>
          <w:b/>
          <w:lang w:val="cs-CZ"/>
        </w:rPr>
        <w:t>m</w:t>
      </w:r>
      <w:r w:rsidRPr="003A22F1">
        <w:rPr>
          <w:rFonts w:asciiTheme="minorHAnsi" w:eastAsiaTheme="minorHAnsi" w:hAnsiTheme="minorHAnsi" w:cstheme="minorHAnsi"/>
          <w:b/>
          <w:lang w:val="cs-CZ"/>
        </w:rPr>
        <w:t xml:space="preserve"> vlády ČR </w:t>
      </w:r>
      <w:r w:rsidR="00126783" w:rsidRPr="003A22F1">
        <w:rPr>
          <w:rFonts w:asciiTheme="minorHAnsi" w:eastAsiaTheme="minorHAnsi" w:hAnsiTheme="minorHAnsi" w:cstheme="minorHAnsi"/>
          <w:b/>
          <w:lang w:val="cs-CZ"/>
        </w:rPr>
        <w:t>ze</w:t>
      </w:r>
      <w:r w:rsidR="00E9785A" w:rsidRPr="003A22F1">
        <w:rPr>
          <w:rFonts w:asciiTheme="minorHAnsi" w:eastAsiaTheme="minorHAnsi" w:hAnsiTheme="minorHAnsi" w:cstheme="minorHAnsi"/>
          <w:b/>
          <w:lang w:val="cs-CZ"/>
        </w:rPr>
        <w:t xml:space="preserve"> </w:t>
      </w:r>
      <w:r w:rsidR="00126783" w:rsidRPr="003A22F1">
        <w:rPr>
          <w:rFonts w:asciiTheme="minorHAnsi" w:eastAsiaTheme="minorHAnsi" w:hAnsiTheme="minorHAnsi" w:cstheme="minorHAnsi"/>
          <w:b/>
          <w:lang w:val="cs-CZ"/>
        </w:rPr>
        <w:t>dne 20.</w:t>
      </w:r>
      <w:r w:rsidR="00E9785A" w:rsidRPr="003A22F1">
        <w:rPr>
          <w:rFonts w:asciiTheme="minorHAnsi" w:eastAsiaTheme="minorHAnsi" w:hAnsiTheme="minorHAnsi" w:cstheme="minorHAnsi"/>
          <w:b/>
          <w:lang w:val="cs-CZ"/>
        </w:rPr>
        <w:t xml:space="preserve"> </w:t>
      </w:r>
      <w:r w:rsidR="006126E7" w:rsidRPr="003A22F1">
        <w:rPr>
          <w:rFonts w:asciiTheme="minorHAnsi" w:eastAsiaTheme="minorHAnsi" w:hAnsiTheme="minorHAnsi" w:cstheme="minorHAnsi"/>
          <w:b/>
          <w:lang w:val="cs-CZ"/>
        </w:rPr>
        <w:t xml:space="preserve">7. </w:t>
      </w:r>
      <w:r w:rsidR="00D32503" w:rsidRPr="003A22F1">
        <w:rPr>
          <w:rFonts w:asciiTheme="minorHAnsi" w:eastAsiaTheme="minorHAnsi" w:hAnsiTheme="minorHAnsi" w:cstheme="minorHAnsi"/>
          <w:b/>
          <w:lang w:val="cs-CZ"/>
        </w:rPr>
        <w:t>2011 č. 563</w:t>
      </w:r>
      <w:r w:rsidR="00CB69CB">
        <w:rPr>
          <w:rFonts w:asciiTheme="minorHAnsi" w:eastAsiaTheme="minorHAnsi" w:hAnsiTheme="minorHAnsi" w:cstheme="minorHAnsi"/>
          <w:b/>
          <w:lang w:val="cs-CZ"/>
        </w:rPr>
        <w:t>,</w:t>
      </w:r>
      <w:r w:rsidRPr="003A22F1">
        <w:rPr>
          <w:rFonts w:asciiTheme="minorHAnsi" w:eastAsiaTheme="minorHAnsi" w:hAnsiTheme="minorHAnsi" w:cstheme="minorHAnsi"/>
          <w:b/>
          <w:lang w:val="cs-CZ"/>
        </w:rPr>
        <w:t xml:space="preserve"> </w:t>
      </w:r>
      <w:r w:rsidRPr="009464B0">
        <w:rPr>
          <w:rFonts w:asciiTheme="minorHAnsi" w:eastAsiaTheme="minorHAnsi" w:hAnsiTheme="minorHAnsi" w:cstheme="minorHAnsi"/>
          <w:b/>
          <w:i/>
          <w:lang w:val="cs-CZ"/>
        </w:rPr>
        <w:t>k resortním systémům zadávání veřejných zakázek ústředních orgánů státní správy</w:t>
      </w:r>
      <w:r w:rsidRPr="003A22F1">
        <w:rPr>
          <w:rFonts w:asciiTheme="minorHAnsi" w:eastAsiaTheme="minorHAnsi" w:hAnsiTheme="minorHAnsi" w:cstheme="minorHAnsi"/>
          <w:b/>
          <w:lang w:val="cs-CZ"/>
        </w:rPr>
        <w:t>, když pořizování této komodity nejméně v</w:t>
      </w:r>
      <w:r w:rsidR="00647BC9" w:rsidRPr="003A22F1">
        <w:rPr>
          <w:rFonts w:asciiTheme="minorHAnsi" w:eastAsiaTheme="minorHAnsi" w:hAnsiTheme="minorHAnsi" w:cstheme="minorHAnsi"/>
          <w:b/>
          <w:lang w:val="cs-CZ"/>
        </w:rPr>
        <w:t> </w:t>
      </w:r>
      <w:r w:rsidRPr="003A22F1">
        <w:rPr>
          <w:rFonts w:asciiTheme="minorHAnsi" w:eastAsiaTheme="minorHAnsi" w:hAnsiTheme="minorHAnsi" w:cstheme="minorHAnsi"/>
          <w:b/>
          <w:lang w:val="cs-CZ"/>
        </w:rPr>
        <w:t>r</w:t>
      </w:r>
      <w:r w:rsidR="00EB2C63" w:rsidRPr="003A22F1">
        <w:rPr>
          <w:rFonts w:asciiTheme="minorHAnsi" w:eastAsiaTheme="minorHAnsi" w:hAnsiTheme="minorHAnsi" w:cstheme="minorHAnsi"/>
          <w:b/>
          <w:lang w:val="cs-CZ"/>
        </w:rPr>
        <w:t>ozsahu 4</w:t>
      </w:r>
      <w:r w:rsidR="00647BC9" w:rsidRPr="003A22F1">
        <w:rPr>
          <w:rFonts w:asciiTheme="minorHAnsi" w:eastAsiaTheme="minorHAnsi" w:hAnsiTheme="minorHAnsi" w:cstheme="minorHAnsi"/>
          <w:b/>
          <w:lang w:val="cs-CZ"/>
        </w:rPr>
        <w:t> </w:t>
      </w:r>
      <w:r w:rsidR="00EB2C63" w:rsidRPr="003A22F1">
        <w:rPr>
          <w:rFonts w:asciiTheme="minorHAnsi" w:eastAsiaTheme="minorHAnsi" w:hAnsiTheme="minorHAnsi" w:cstheme="minorHAnsi"/>
          <w:b/>
          <w:lang w:val="cs-CZ"/>
        </w:rPr>
        <w:t>518</w:t>
      </w:r>
      <w:r w:rsidR="00647BC9" w:rsidRPr="003A22F1">
        <w:rPr>
          <w:rFonts w:asciiTheme="minorHAnsi" w:eastAsiaTheme="minorHAnsi" w:hAnsiTheme="minorHAnsi" w:cstheme="minorHAnsi"/>
          <w:b/>
          <w:lang w:val="cs-CZ"/>
        </w:rPr>
        <w:t> </w:t>
      </w:r>
      <w:r w:rsidR="00EB2C63" w:rsidRPr="003A22F1">
        <w:rPr>
          <w:rFonts w:asciiTheme="minorHAnsi" w:eastAsiaTheme="minorHAnsi" w:hAnsiTheme="minorHAnsi" w:cstheme="minorHAnsi"/>
          <w:b/>
          <w:lang w:val="cs-CZ"/>
        </w:rPr>
        <w:t>252,82</w:t>
      </w:r>
      <w:r w:rsidR="00647BC9" w:rsidRPr="003A22F1">
        <w:rPr>
          <w:rFonts w:asciiTheme="minorHAnsi" w:eastAsiaTheme="minorHAnsi" w:hAnsiTheme="minorHAnsi" w:cstheme="minorHAnsi"/>
          <w:b/>
          <w:lang w:val="cs-CZ"/>
        </w:rPr>
        <w:t> </w:t>
      </w:r>
      <w:r w:rsidR="00EB2C63" w:rsidRPr="003A22F1">
        <w:rPr>
          <w:rFonts w:asciiTheme="minorHAnsi" w:eastAsiaTheme="minorHAnsi" w:hAnsiTheme="minorHAnsi" w:cstheme="minorHAnsi"/>
          <w:b/>
          <w:lang w:val="cs-CZ"/>
        </w:rPr>
        <w:t>Kč bez DPH</w:t>
      </w:r>
      <w:r w:rsidR="00DE338E" w:rsidRPr="003A22F1">
        <w:rPr>
          <w:rFonts w:asciiTheme="minorHAnsi" w:eastAsiaTheme="minorHAnsi" w:hAnsiTheme="minorHAnsi" w:cstheme="minorHAnsi"/>
          <w:b/>
          <w:lang w:val="cs-CZ"/>
        </w:rPr>
        <w:t xml:space="preserve"> ne</w:t>
      </w:r>
      <w:r w:rsidRPr="003A22F1">
        <w:rPr>
          <w:rFonts w:asciiTheme="minorHAnsi" w:eastAsiaTheme="minorHAnsi" w:hAnsiTheme="minorHAnsi" w:cstheme="minorHAnsi"/>
          <w:b/>
          <w:lang w:val="cs-CZ"/>
        </w:rPr>
        <w:t>zadávalo</w:t>
      </w:r>
      <w:r w:rsidR="00E9785A" w:rsidRPr="003A22F1">
        <w:rPr>
          <w:rFonts w:asciiTheme="minorHAnsi" w:eastAsiaTheme="minorHAnsi" w:hAnsiTheme="minorHAnsi" w:cstheme="minorHAnsi"/>
          <w:b/>
          <w:lang w:val="cs-CZ"/>
        </w:rPr>
        <w:t xml:space="preserve"> </w:t>
      </w:r>
      <w:r w:rsidR="00DE338E" w:rsidRPr="003A22F1">
        <w:rPr>
          <w:rFonts w:asciiTheme="minorHAnsi" w:eastAsiaTheme="minorHAnsi" w:hAnsiTheme="minorHAnsi" w:cstheme="minorHAnsi"/>
          <w:b/>
          <w:lang w:val="cs-CZ"/>
        </w:rPr>
        <w:t>s</w:t>
      </w:r>
      <w:r w:rsidR="00E9785A" w:rsidRPr="003A22F1">
        <w:rPr>
          <w:rFonts w:asciiTheme="minorHAnsi" w:eastAsiaTheme="minorHAnsi" w:hAnsiTheme="minorHAnsi" w:cstheme="minorHAnsi"/>
          <w:b/>
          <w:lang w:val="cs-CZ"/>
        </w:rPr>
        <w:t xml:space="preserve"> </w:t>
      </w:r>
      <w:r w:rsidR="00DE338E" w:rsidRPr="003A22F1">
        <w:rPr>
          <w:rFonts w:asciiTheme="minorHAnsi" w:eastAsiaTheme="minorHAnsi" w:hAnsiTheme="minorHAnsi" w:cstheme="minorHAnsi"/>
          <w:b/>
          <w:lang w:val="cs-CZ"/>
        </w:rPr>
        <w:t>využitím institutu centrálního zadavatele v</w:t>
      </w:r>
      <w:r w:rsidR="00E9785A" w:rsidRPr="003A22F1">
        <w:rPr>
          <w:rFonts w:asciiTheme="minorHAnsi" w:eastAsiaTheme="minorHAnsi" w:hAnsiTheme="minorHAnsi" w:cstheme="minorHAnsi"/>
          <w:b/>
          <w:lang w:val="cs-CZ"/>
        </w:rPr>
        <w:t xml:space="preserve"> </w:t>
      </w:r>
      <w:r w:rsidR="00DE338E" w:rsidRPr="003A22F1">
        <w:rPr>
          <w:rFonts w:asciiTheme="minorHAnsi" w:eastAsiaTheme="minorHAnsi" w:hAnsiTheme="minorHAnsi" w:cstheme="minorHAnsi"/>
          <w:b/>
          <w:lang w:val="cs-CZ"/>
        </w:rPr>
        <w:t>rámci resortního systému.</w:t>
      </w:r>
    </w:p>
    <w:p w14:paraId="03B1F9E6" w14:textId="77777777" w:rsidR="00697011" w:rsidRPr="00A17659" w:rsidRDefault="00D423A5" w:rsidP="003A22F1">
      <w:pPr>
        <w:pStyle w:val="TextKP"/>
        <w:numPr>
          <w:ilvl w:val="0"/>
          <w:numId w:val="27"/>
        </w:numPr>
        <w:spacing w:before="0"/>
        <w:ind w:left="284" w:hanging="284"/>
        <w:rPr>
          <w:b/>
        </w:rPr>
      </w:pPr>
      <w:r w:rsidRPr="00A17659">
        <w:rPr>
          <w:b/>
        </w:rPr>
        <w:t>MO nepostupovalo podle zákona č. 137/2006 Sb., když</w:t>
      </w:r>
      <w:r w:rsidRPr="00A17659">
        <w:t xml:space="preserve"> </w:t>
      </w:r>
      <w:r w:rsidRPr="00A17659">
        <w:rPr>
          <w:b/>
        </w:rPr>
        <w:t xml:space="preserve">v roce 2013 zadávalo veřejné zakázky na dodávky kancelářských potřeb </w:t>
      </w:r>
      <w:r w:rsidR="00697011" w:rsidRPr="00A17659">
        <w:rPr>
          <w:b/>
        </w:rPr>
        <w:t xml:space="preserve">a v letech 2013 a 2014 zadávalo veřejné zakázky na dodávky tonerů </w:t>
      </w:r>
      <w:r w:rsidRPr="00A17659">
        <w:rPr>
          <w:b/>
        </w:rPr>
        <w:t>jako zakázky malého rozsahu</w:t>
      </w:r>
      <w:r w:rsidRPr="00A17659">
        <w:t xml:space="preserve">, </w:t>
      </w:r>
      <w:r w:rsidRPr="00A17659">
        <w:rPr>
          <w:b/>
        </w:rPr>
        <w:t>ačkoli celková hodnota dodávek kancelářských potřeb v roce 2013 činila minimálně 4 518 252,82 Kč bez DPH</w:t>
      </w:r>
      <w:r w:rsidR="00697011" w:rsidRPr="00A17659">
        <w:rPr>
          <w:b/>
        </w:rPr>
        <w:t xml:space="preserve"> a</w:t>
      </w:r>
      <w:r w:rsidR="00647BC9">
        <w:rPr>
          <w:b/>
        </w:rPr>
        <w:t> </w:t>
      </w:r>
      <w:r w:rsidR="00697011" w:rsidRPr="00A17659">
        <w:rPr>
          <w:b/>
        </w:rPr>
        <w:t>celková hodnota</w:t>
      </w:r>
      <w:r w:rsidR="003446E7" w:rsidRPr="00A17659">
        <w:rPr>
          <w:b/>
        </w:rPr>
        <w:t xml:space="preserve"> dodávek tonerů</w:t>
      </w:r>
      <w:r w:rsidR="00697011" w:rsidRPr="00A17659">
        <w:rPr>
          <w:b/>
        </w:rPr>
        <w:t xml:space="preserve"> v roce 2013 činila minimálně 34 440 774,34 Kč bez DPH, resp.</w:t>
      </w:r>
      <w:r w:rsidR="00E9785A">
        <w:t xml:space="preserve"> </w:t>
      </w:r>
      <w:r w:rsidR="00697011" w:rsidRPr="00A17659">
        <w:rPr>
          <w:b/>
        </w:rPr>
        <w:t>40 626 568,85 Kč bez DPH v</w:t>
      </w:r>
      <w:r w:rsidR="00E9785A">
        <w:rPr>
          <w:b/>
        </w:rPr>
        <w:t xml:space="preserve"> </w:t>
      </w:r>
      <w:r w:rsidR="00697011" w:rsidRPr="00A17659">
        <w:rPr>
          <w:b/>
        </w:rPr>
        <w:t>roce 2014.</w:t>
      </w:r>
      <w:r w:rsidRPr="00A17659">
        <w:rPr>
          <w:b/>
        </w:rPr>
        <w:t xml:space="preserve"> </w:t>
      </w:r>
      <w:r w:rsidRPr="00A17659">
        <w:rPr>
          <w:rFonts w:eastAsiaTheme="minorHAnsi"/>
          <w:b/>
          <w:szCs w:val="22"/>
        </w:rPr>
        <w:t>MO tímto postupem porušilo ustanovení § 13 odst.</w:t>
      </w:r>
      <w:r w:rsidR="00E9785A">
        <w:rPr>
          <w:rFonts w:eastAsiaTheme="minorHAnsi"/>
          <w:b/>
          <w:szCs w:val="22"/>
        </w:rPr>
        <w:t> </w:t>
      </w:r>
      <w:r w:rsidRPr="00A17659">
        <w:rPr>
          <w:rFonts w:eastAsiaTheme="minorHAnsi"/>
          <w:b/>
          <w:szCs w:val="22"/>
        </w:rPr>
        <w:t>3 zákona č. 137/2006 Sb., neboť</w:t>
      </w:r>
      <w:r w:rsidR="00E9785A">
        <w:rPr>
          <w:rFonts w:eastAsiaTheme="minorHAnsi"/>
          <w:b/>
          <w:szCs w:val="22"/>
        </w:rPr>
        <w:t xml:space="preserve"> </w:t>
      </w:r>
      <w:r w:rsidRPr="00A17659">
        <w:rPr>
          <w:rFonts w:eastAsiaTheme="minorHAnsi"/>
          <w:b/>
          <w:szCs w:val="22"/>
        </w:rPr>
        <w:t>rozdělilo předmět veřejných zakázek, čímž došlo ke snížení předpokládané hodnoty pod finanční limit stanovený zákonem č.</w:t>
      </w:r>
      <w:r w:rsidR="00E9785A">
        <w:rPr>
          <w:rFonts w:eastAsiaTheme="minorHAnsi"/>
          <w:b/>
          <w:szCs w:val="22"/>
        </w:rPr>
        <w:t xml:space="preserve"> </w:t>
      </w:r>
      <w:r w:rsidRPr="00A17659">
        <w:rPr>
          <w:rFonts w:eastAsiaTheme="minorHAnsi"/>
          <w:b/>
          <w:szCs w:val="22"/>
        </w:rPr>
        <w:t xml:space="preserve">137/2006 Sb. </w:t>
      </w:r>
      <w:r w:rsidRPr="00A17659">
        <w:rPr>
          <w:b/>
        </w:rPr>
        <w:t>MO ted</w:t>
      </w:r>
      <w:r w:rsidR="009D54EE" w:rsidRPr="00A17659">
        <w:rPr>
          <w:b/>
        </w:rPr>
        <w:t>y nemělo možnost vybírat z</w:t>
      </w:r>
      <w:r w:rsidR="00E9785A">
        <w:rPr>
          <w:b/>
        </w:rPr>
        <w:t xml:space="preserve"> </w:t>
      </w:r>
      <w:r w:rsidR="009D54EE" w:rsidRPr="00A17659">
        <w:rPr>
          <w:b/>
        </w:rPr>
        <w:t xml:space="preserve">více </w:t>
      </w:r>
      <w:r w:rsidRPr="00A17659">
        <w:rPr>
          <w:b/>
        </w:rPr>
        <w:t xml:space="preserve">nabídek. MO tak nemělo ani možnost vyhodnotit případnou ekonomickou </w:t>
      </w:r>
      <w:r w:rsidR="007A0E8F">
        <w:rPr>
          <w:b/>
        </w:rPr>
        <w:t>výhodnost jednotlivých potenci</w:t>
      </w:r>
      <w:r w:rsidRPr="00A17659">
        <w:rPr>
          <w:b/>
        </w:rPr>
        <w:t>álních nabídek.</w:t>
      </w:r>
    </w:p>
    <w:p w14:paraId="5DCCA952" w14:textId="77777777" w:rsidR="003A22F1" w:rsidRDefault="003A22F1" w:rsidP="003A22F1">
      <w:pPr>
        <w:pStyle w:val="TextKP"/>
        <w:spacing w:before="0"/>
        <w:rPr>
          <w:rFonts w:eastAsiaTheme="minorHAnsi"/>
          <w:b/>
        </w:rPr>
      </w:pPr>
    </w:p>
    <w:p w14:paraId="0F88948C" w14:textId="77777777" w:rsidR="00564F16" w:rsidRDefault="00EC240B" w:rsidP="003A22F1">
      <w:pPr>
        <w:pStyle w:val="TextKP"/>
        <w:spacing w:before="0"/>
        <w:rPr>
          <w:rFonts w:eastAsiaTheme="minorHAnsi"/>
          <w:b/>
        </w:rPr>
      </w:pPr>
      <w:r w:rsidRPr="00EC240B">
        <w:rPr>
          <w:rFonts w:eastAsiaTheme="minorHAnsi"/>
          <w:b/>
        </w:rPr>
        <w:t>Tímto postupem MO porušilo rozpočtovou kázeň ve smyslu ustanovení § 44 odst.</w:t>
      </w:r>
      <w:r w:rsidR="006126E7">
        <w:rPr>
          <w:rFonts w:eastAsiaTheme="minorHAnsi"/>
          <w:b/>
        </w:rPr>
        <w:t xml:space="preserve"> </w:t>
      </w:r>
      <w:r w:rsidRPr="00EC240B">
        <w:rPr>
          <w:rFonts w:eastAsiaTheme="minorHAnsi"/>
          <w:b/>
        </w:rPr>
        <w:t>1 písm.</w:t>
      </w:r>
      <w:r w:rsidR="006126E7">
        <w:rPr>
          <w:rFonts w:eastAsiaTheme="minorHAnsi"/>
          <w:b/>
        </w:rPr>
        <w:t> </w:t>
      </w:r>
      <w:r w:rsidRPr="00EC240B">
        <w:rPr>
          <w:rFonts w:eastAsiaTheme="minorHAnsi"/>
          <w:b/>
        </w:rPr>
        <w:t>a) zákona č. 218/2000 Sb. ve výši nejméně 96</w:t>
      </w:r>
      <w:r w:rsidR="00E9785A">
        <w:rPr>
          <w:rFonts w:eastAsiaTheme="minorHAnsi"/>
          <w:b/>
        </w:rPr>
        <w:t xml:space="preserve"> </w:t>
      </w:r>
      <w:r w:rsidRPr="00EC240B">
        <w:rPr>
          <w:rFonts w:eastAsiaTheme="minorHAnsi"/>
          <w:b/>
        </w:rPr>
        <w:t>289</w:t>
      </w:r>
      <w:r w:rsidR="00E9785A">
        <w:rPr>
          <w:rFonts w:eastAsiaTheme="minorHAnsi"/>
          <w:b/>
        </w:rPr>
        <w:t xml:space="preserve"> </w:t>
      </w:r>
      <w:r w:rsidRPr="00EC240B">
        <w:rPr>
          <w:rFonts w:eastAsiaTheme="minorHAnsi"/>
          <w:b/>
        </w:rPr>
        <w:t>571 Kč včetně DPH.</w:t>
      </w:r>
    </w:p>
    <w:p w14:paraId="05B7659A" w14:textId="77777777" w:rsidR="00EC240B" w:rsidRPr="00EC240B" w:rsidRDefault="00EC240B" w:rsidP="003A22F1">
      <w:pPr>
        <w:pStyle w:val="TextKP"/>
        <w:spacing w:before="0"/>
        <w:rPr>
          <w:rFonts w:eastAsiaTheme="minorHAnsi"/>
          <w:b/>
        </w:rPr>
      </w:pPr>
    </w:p>
    <w:p w14:paraId="67C174E6" w14:textId="7EE8B000" w:rsidR="003924D6" w:rsidRPr="003A22F1" w:rsidRDefault="00E04E91" w:rsidP="003A22F1">
      <w:pPr>
        <w:pStyle w:val="Odstavecseseznamem"/>
        <w:numPr>
          <w:ilvl w:val="1"/>
          <w:numId w:val="30"/>
        </w:numPr>
        <w:ind w:left="284" w:hanging="284"/>
        <w:jc w:val="both"/>
        <w:rPr>
          <w:rFonts w:asciiTheme="minorHAnsi" w:hAnsiTheme="minorHAnsi" w:cstheme="minorHAnsi"/>
          <w:b/>
          <w:lang w:val="cs-CZ"/>
        </w:rPr>
      </w:pPr>
      <w:r w:rsidRPr="003A22F1">
        <w:rPr>
          <w:rFonts w:asciiTheme="minorHAnsi" w:hAnsiTheme="minorHAnsi" w:cstheme="minorHAnsi"/>
          <w:b/>
          <w:lang w:val="cs-CZ"/>
        </w:rPr>
        <w:t>MPSV neuzavřelo smlouvu s</w:t>
      </w:r>
      <w:r w:rsidR="00E9785A" w:rsidRPr="003A22F1">
        <w:rPr>
          <w:rFonts w:asciiTheme="minorHAnsi" w:hAnsiTheme="minorHAnsi" w:cstheme="minorHAnsi"/>
          <w:b/>
          <w:lang w:val="cs-CZ"/>
        </w:rPr>
        <w:t xml:space="preserve"> </w:t>
      </w:r>
      <w:r w:rsidRPr="003A22F1">
        <w:rPr>
          <w:rFonts w:asciiTheme="minorHAnsi" w:hAnsiTheme="minorHAnsi" w:cstheme="minorHAnsi"/>
          <w:b/>
          <w:lang w:val="cs-CZ"/>
        </w:rPr>
        <w:t>vybraným uchazečem v</w:t>
      </w:r>
      <w:r w:rsidR="00E9785A" w:rsidRPr="003A22F1">
        <w:rPr>
          <w:rFonts w:asciiTheme="minorHAnsi" w:hAnsiTheme="minorHAnsi" w:cstheme="minorHAnsi"/>
          <w:b/>
          <w:lang w:val="cs-CZ"/>
        </w:rPr>
        <w:t xml:space="preserve"> </w:t>
      </w:r>
      <w:r w:rsidRPr="003A22F1">
        <w:rPr>
          <w:rFonts w:asciiTheme="minorHAnsi" w:hAnsiTheme="minorHAnsi" w:cstheme="minorHAnsi"/>
          <w:b/>
          <w:lang w:val="cs-CZ"/>
        </w:rPr>
        <w:t xml:space="preserve">rámci veřejné zakázky </w:t>
      </w:r>
      <w:r w:rsidR="00CB69CB">
        <w:rPr>
          <w:rFonts w:asciiTheme="minorHAnsi" w:hAnsiTheme="minorHAnsi" w:cstheme="minorHAnsi"/>
          <w:b/>
          <w:lang w:val="cs-CZ"/>
        </w:rPr>
        <w:t xml:space="preserve">s názvem </w:t>
      </w:r>
      <w:r w:rsidRPr="003A22F1">
        <w:rPr>
          <w:rFonts w:asciiTheme="minorHAnsi" w:hAnsiTheme="minorHAnsi" w:cstheme="minorHAnsi"/>
          <w:b/>
          <w:i/>
          <w:lang w:val="cs-CZ"/>
        </w:rPr>
        <w:t>Dodávka kancelářského papíru</w:t>
      </w:r>
      <w:r w:rsidRPr="003A22F1">
        <w:rPr>
          <w:rFonts w:asciiTheme="minorHAnsi" w:hAnsiTheme="minorHAnsi" w:cstheme="minorHAnsi"/>
          <w:b/>
          <w:lang w:val="cs-CZ"/>
        </w:rPr>
        <w:t xml:space="preserve"> v</w:t>
      </w:r>
      <w:r w:rsidR="00E9785A" w:rsidRPr="003A22F1">
        <w:rPr>
          <w:rFonts w:asciiTheme="minorHAnsi" w:hAnsiTheme="minorHAnsi" w:cstheme="minorHAnsi"/>
          <w:b/>
          <w:lang w:val="cs-CZ"/>
        </w:rPr>
        <w:t xml:space="preserve"> </w:t>
      </w:r>
      <w:r w:rsidRPr="003A22F1">
        <w:rPr>
          <w:rFonts w:asciiTheme="minorHAnsi" w:hAnsiTheme="minorHAnsi" w:cstheme="minorHAnsi"/>
          <w:b/>
          <w:lang w:val="cs-CZ"/>
        </w:rPr>
        <w:t>zákonné lhůtě</w:t>
      </w:r>
      <w:r w:rsidR="00087424" w:rsidRPr="003A22F1">
        <w:rPr>
          <w:rFonts w:asciiTheme="minorHAnsi" w:hAnsiTheme="minorHAnsi" w:cstheme="minorHAnsi"/>
          <w:b/>
          <w:lang w:val="cs-CZ"/>
        </w:rPr>
        <w:t>,</w:t>
      </w:r>
      <w:r w:rsidR="002D4086" w:rsidRPr="003A22F1">
        <w:rPr>
          <w:rFonts w:asciiTheme="minorHAnsi" w:hAnsiTheme="minorHAnsi" w:cstheme="minorHAnsi"/>
          <w:b/>
          <w:lang w:val="cs-CZ"/>
        </w:rPr>
        <w:t xml:space="preserve"> ačkoliv bylo povinno uzavřít tuto smlouvu nejpozději do 15 dnů po uplynutí lhůty pro podání námitek proti rozhodnutí o</w:t>
      </w:r>
      <w:r w:rsidR="00CB69CB">
        <w:rPr>
          <w:rFonts w:asciiTheme="minorHAnsi" w:hAnsiTheme="minorHAnsi" w:cstheme="minorHAnsi"/>
          <w:b/>
          <w:lang w:val="cs-CZ"/>
        </w:rPr>
        <w:t> </w:t>
      </w:r>
      <w:r w:rsidR="002D4086" w:rsidRPr="003A22F1">
        <w:rPr>
          <w:rFonts w:asciiTheme="minorHAnsi" w:hAnsiTheme="minorHAnsi" w:cstheme="minorHAnsi"/>
          <w:b/>
          <w:lang w:val="cs-CZ"/>
        </w:rPr>
        <w:t>výběru nejvhodnější nabídky, a tím nepostupovalo v souladu s ustanovením §</w:t>
      </w:r>
      <w:r w:rsidR="00CB69CB">
        <w:rPr>
          <w:rFonts w:asciiTheme="minorHAnsi" w:hAnsiTheme="minorHAnsi" w:cstheme="minorHAnsi"/>
          <w:b/>
          <w:lang w:val="cs-CZ"/>
        </w:rPr>
        <w:t> </w:t>
      </w:r>
      <w:r w:rsidR="002D4086" w:rsidRPr="003A22F1">
        <w:rPr>
          <w:rFonts w:asciiTheme="minorHAnsi" w:hAnsiTheme="minorHAnsi" w:cstheme="minorHAnsi"/>
          <w:b/>
          <w:lang w:val="cs-CZ"/>
        </w:rPr>
        <w:t xml:space="preserve">82 </w:t>
      </w:r>
      <w:r w:rsidR="00D70254">
        <w:rPr>
          <w:rFonts w:asciiTheme="minorHAnsi" w:hAnsiTheme="minorHAnsi" w:cstheme="minorHAnsi"/>
          <w:b/>
          <w:lang w:val="cs-CZ"/>
        </w:rPr>
        <w:t>odst. </w:t>
      </w:r>
      <w:r w:rsidR="002D4086" w:rsidRPr="003A22F1">
        <w:rPr>
          <w:rFonts w:asciiTheme="minorHAnsi" w:hAnsiTheme="minorHAnsi" w:cstheme="minorHAnsi"/>
          <w:b/>
          <w:lang w:val="cs-CZ"/>
        </w:rPr>
        <w:t>2 zákona č. 137/2006 Sb. MPSV překročilo zákonnou lhůtu o</w:t>
      </w:r>
      <w:r w:rsidR="00E9785A" w:rsidRPr="003A22F1">
        <w:rPr>
          <w:rFonts w:asciiTheme="minorHAnsi" w:hAnsiTheme="minorHAnsi" w:cstheme="minorHAnsi"/>
          <w:b/>
          <w:lang w:val="cs-CZ"/>
        </w:rPr>
        <w:t xml:space="preserve"> </w:t>
      </w:r>
      <w:r w:rsidR="002D4086" w:rsidRPr="003A22F1">
        <w:rPr>
          <w:rFonts w:asciiTheme="minorHAnsi" w:hAnsiTheme="minorHAnsi" w:cstheme="minorHAnsi"/>
          <w:b/>
          <w:lang w:val="cs-CZ"/>
        </w:rPr>
        <w:t>47 dnů.</w:t>
      </w:r>
      <w:r w:rsidRPr="003A22F1">
        <w:rPr>
          <w:rFonts w:asciiTheme="minorHAnsi" w:hAnsiTheme="minorHAnsi" w:cstheme="minorHAnsi"/>
          <w:b/>
          <w:lang w:val="cs-CZ"/>
        </w:rPr>
        <w:t xml:space="preserve"> </w:t>
      </w:r>
      <w:r w:rsidR="00787A19" w:rsidRPr="003A22F1">
        <w:rPr>
          <w:rFonts w:asciiTheme="minorHAnsi" w:hAnsiTheme="minorHAnsi" w:cstheme="minorHAnsi"/>
          <w:b/>
          <w:lang w:val="cs-CZ"/>
        </w:rPr>
        <w:t xml:space="preserve">MPSV dále </w:t>
      </w:r>
      <w:r w:rsidR="00787A19" w:rsidRPr="003A22F1">
        <w:rPr>
          <w:rFonts w:asciiTheme="minorHAnsi" w:hAnsiTheme="minorHAnsi" w:cstheme="minorHAnsi"/>
          <w:b/>
          <w:lang w:val="cs-CZ"/>
        </w:rPr>
        <w:lastRenderedPageBreak/>
        <w:t xml:space="preserve">nepostupovalo v souladu s ustanovením § 83 odst. 1 zákona č. 137/2006 Sb., </w:t>
      </w:r>
      <w:r w:rsidR="00CB69CB">
        <w:rPr>
          <w:rFonts w:asciiTheme="minorHAnsi" w:hAnsiTheme="minorHAnsi" w:cstheme="minorHAnsi"/>
          <w:b/>
          <w:lang w:val="cs-CZ"/>
        </w:rPr>
        <w:t>když</w:t>
      </w:r>
      <w:r w:rsidR="00787A19" w:rsidRPr="003A22F1">
        <w:rPr>
          <w:rFonts w:asciiTheme="minorHAnsi" w:hAnsiTheme="minorHAnsi" w:cstheme="minorHAnsi"/>
          <w:b/>
          <w:lang w:val="cs-CZ"/>
        </w:rPr>
        <w:t xml:space="preserve"> překročilo 48denní zákonnou lhůtu pro odeslání oznámení o výsledku zadávacího řízení k</w:t>
      </w:r>
      <w:r w:rsidR="00E9785A" w:rsidRPr="003A22F1">
        <w:rPr>
          <w:rFonts w:asciiTheme="minorHAnsi" w:hAnsiTheme="minorHAnsi" w:cstheme="minorHAnsi"/>
          <w:b/>
          <w:lang w:val="cs-CZ"/>
        </w:rPr>
        <w:t xml:space="preserve"> </w:t>
      </w:r>
      <w:r w:rsidR="00787A19" w:rsidRPr="003A22F1">
        <w:rPr>
          <w:rFonts w:asciiTheme="minorHAnsi" w:hAnsiTheme="minorHAnsi" w:cstheme="minorHAnsi"/>
          <w:b/>
          <w:lang w:val="cs-CZ"/>
        </w:rPr>
        <w:t>uveřejnění o</w:t>
      </w:r>
      <w:r w:rsidR="00647BC9" w:rsidRPr="003A22F1">
        <w:rPr>
          <w:rFonts w:asciiTheme="minorHAnsi" w:hAnsiTheme="minorHAnsi" w:cstheme="minorHAnsi"/>
          <w:b/>
          <w:lang w:val="cs-CZ"/>
        </w:rPr>
        <w:t> </w:t>
      </w:r>
      <w:r w:rsidR="00787A19" w:rsidRPr="003A22F1">
        <w:rPr>
          <w:rFonts w:asciiTheme="minorHAnsi" w:hAnsiTheme="minorHAnsi" w:cstheme="minorHAnsi"/>
          <w:b/>
          <w:lang w:val="cs-CZ"/>
        </w:rPr>
        <w:t>51</w:t>
      </w:r>
      <w:r w:rsidR="00647BC9" w:rsidRPr="003A22F1">
        <w:rPr>
          <w:rFonts w:asciiTheme="minorHAnsi" w:hAnsiTheme="minorHAnsi" w:cstheme="minorHAnsi"/>
          <w:b/>
          <w:lang w:val="cs-CZ"/>
        </w:rPr>
        <w:t> </w:t>
      </w:r>
      <w:r w:rsidR="00787A19" w:rsidRPr="003A22F1">
        <w:rPr>
          <w:rFonts w:asciiTheme="minorHAnsi" w:hAnsiTheme="minorHAnsi" w:cstheme="minorHAnsi"/>
          <w:b/>
          <w:lang w:val="cs-CZ"/>
        </w:rPr>
        <w:t xml:space="preserve">dnů. </w:t>
      </w:r>
    </w:p>
    <w:p w14:paraId="03AE7EFD" w14:textId="77777777" w:rsidR="00E04E91" w:rsidRPr="003A22F1" w:rsidRDefault="003924D6" w:rsidP="003A22F1">
      <w:pPr>
        <w:pStyle w:val="Odstavecseseznamem"/>
        <w:numPr>
          <w:ilvl w:val="1"/>
          <w:numId w:val="30"/>
        </w:numPr>
        <w:ind w:left="284" w:hanging="284"/>
        <w:jc w:val="both"/>
        <w:rPr>
          <w:rFonts w:asciiTheme="minorHAnsi" w:hAnsiTheme="minorHAnsi" w:cstheme="minorHAnsi"/>
          <w:b/>
          <w:lang w:val="cs-CZ"/>
        </w:rPr>
      </w:pPr>
      <w:r w:rsidRPr="003A22F1">
        <w:rPr>
          <w:rFonts w:asciiTheme="minorHAnsi" w:hAnsiTheme="minorHAnsi" w:cstheme="minorHAnsi"/>
          <w:b/>
          <w:lang w:val="cs-CZ"/>
        </w:rPr>
        <w:t>MPSV odebralo v roce 2013 od dodavatele xerografický papír v</w:t>
      </w:r>
      <w:r w:rsidR="00E9785A" w:rsidRPr="003A22F1">
        <w:rPr>
          <w:rFonts w:asciiTheme="minorHAnsi" w:hAnsiTheme="minorHAnsi" w:cstheme="minorHAnsi"/>
          <w:b/>
          <w:lang w:val="cs-CZ"/>
        </w:rPr>
        <w:t xml:space="preserve"> </w:t>
      </w:r>
      <w:r w:rsidRPr="003A22F1">
        <w:rPr>
          <w:rFonts w:asciiTheme="minorHAnsi" w:hAnsiTheme="minorHAnsi" w:cstheme="minorHAnsi"/>
          <w:b/>
          <w:lang w:val="cs-CZ"/>
        </w:rPr>
        <w:t>celkové hodnotě 105 270 Kč bez písemné smlouvy. Tímto postupem porušilo povinnost využívat důsledně všechny právní prostředky při ochraně majetku státu, a tím nepostupovalo v</w:t>
      </w:r>
      <w:r w:rsidR="00647BC9" w:rsidRPr="003A22F1">
        <w:rPr>
          <w:rFonts w:asciiTheme="minorHAnsi" w:hAnsiTheme="minorHAnsi" w:cstheme="minorHAnsi"/>
          <w:b/>
          <w:lang w:val="cs-CZ"/>
        </w:rPr>
        <w:t> </w:t>
      </w:r>
      <w:r w:rsidRPr="003A22F1">
        <w:rPr>
          <w:rFonts w:asciiTheme="minorHAnsi" w:hAnsiTheme="minorHAnsi" w:cstheme="minorHAnsi"/>
          <w:b/>
          <w:lang w:val="cs-CZ"/>
        </w:rPr>
        <w:t xml:space="preserve">souladu </w:t>
      </w:r>
      <w:r w:rsidR="00EC240B" w:rsidRPr="003A22F1">
        <w:rPr>
          <w:rFonts w:asciiTheme="minorHAnsi" w:hAnsiTheme="minorHAnsi" w:cstheme="minorHAnsi"/>
          <w:b/>
          <w:lang w:val="cs-CZ"/>
        </w:rPr>
        <w:t xml:space="preserve">se </w:t>
      </w:r>
      <w:r w:rsidRPr="003A22F1">
        <w:rPr>
          <w:rFonts w:asciiTheme="minorHAnsi" w:hAnsiTheme="minorHAnsi" w:cstheme="minorHAnsi"/>
          <w:b/>
          <w:lang w:val="cs-CZ"/>
        </w:rPr>
        <w:t>zákon</w:t>
      </w:r>
      <w:r w:rsidR="00EC240B" w:rsidRPr="003A22F1">
        <w:rPr>
          <w:rFonts w:asciiTheme="minorHAnsi" w:hAnsiTheme="minorHAnsi" w:cstheme="minorHAnsi"/>
          <w:b/>
          <w:lang w:val="cs-CZ"/>
        </w:rPr>
        <w:t>em</w:t>
      </w:r>
      <w:r w:rsidR="00E9785A" w:rsidRPr="003A22F1">
        <w:rPr>
          <w:rFonts w:asciiTheme="minorHAnsi" w:hAnsiTheme="minorHAnsi" w:cstheme="minorHAnsi"/>
          <w:b/>
          <w:lang w:val="cs-CZ"/>
        </w:rPr>
        <w:t xml:space="preserve"> </w:t>
      </w:r>
      <w:r w:rsidRPr="003A22F1">
        <w:rPr>
          <w:rFonts w:asciiTheme="minorHAnsi" w:hAnsiTheme="minorHAnsi" w:cstheme="minorHAnsi"/>
          <w:b/>
          <w:lang w:val="cs-CZ"/>
        </w:rPr>
        <w:t>č.</w:t>
      </w:r>
      <w:r w:rsidR="00E9785A" w:rsidRPr="003A22F1">
        <w:rPr>
          <w:rFonts w:asciiTheme="minorHAnsi" w:hAnsiTheme="minorHAnsi" w:cstheme="minorHAnsi"/>
          <w:b/>
          <w:lang w:val="cs-CZ"/>
        </w:rPr>
        <w:t xml:space="preserve"> </w:t>
      </w:r>
      <w:r w:rsidRPr="003A22F1">
        <w:rPr>
          <w:rFonts w:asciiTheme="minorHAnsi" w:hAnsiTheme="minorHAnsi" w:cstheme="minorHAnsi"/>
          <w:b/>
          <w:lang w:val="cs-CZ"/>
        </w:rPr>
        <w:t>219/2000 Sb.</w:t>
      </w:r>
    </w:p>
    <w:p w14:paraId="584A64CF" w14:textId="77777777" w:rsidR="003A22F1" w:rsidRDefault="003A22F1" w:rsidP="003A22F1">
      <w:pPr>
        <w:pStyle w:val="TextKP"/>
        <w:spacing w:before="0"/>
      </w:pPr>
    </w:p>
    <w:p w14:paraId="390A3C2E" w14:textId="77777777" w:rsidR="009715F8" w:rsidRPr="00A17659" w:rsidRDefault="009715F8" w:rsidP="003A22F1">
      <w:pPr>
        <w:pStyle w:val="TextKP"/>
        <w:spacing w:before="0"/>
        <w:rPr>
          <w:rFonts w:eastAsiaTheme="minorHAnsi"/>
        </w:rPr>
      </w:pPr>
      <w:r w:rsidRPr="00A17659">
        <w:t>Rámcová kupní smlouva č. 2008/54966 na dodávku kancelářského papíru byla uzavřena na dobu určitou, a to na dobu 48 měsíců ode dne nabytí účinnosti smlouvy. Smlouva nabyla platnosti a účinnosti dne 4.</w:t>
      </w:r>
      <w:r w:rsidR="00E9785A">
        <w:t xml:space="preserve"> </w:t>
      </w:r>
      <w:r w:rsidRPr="00A17659">
        <w:t>8.</w:t>
      </w:r>
      <w:r w:rsidR="00E9785A">
        <w:t xml:space="preserve"> </w:t>
      </w:r>
      <w:r w:rsidRPr="00A17659">
        <w:t>2008. Platnost a účinnost smlouvy tedy skončila dne 3. 8. 2012. MPSV však od vybraného dodavatele nakupovalo kancelářský papír i v</w:t>
      </w:r>
      <w:r w:rsidR="00E9785A">
        <w:t xml:space="preserve"> </w:t>
      </w:r>
      <w:r w:rsidRPr="00A17659">
        <w:t>roce 2013, a to v</w:t>
      </w:r>
      <w:r w:rsidR="00E9785A">
        <w:t xml:space="preserve"> </w:t>
      </w:r>
      <w:r w:rsidRPr="00A17659">
        <w:t>období od 17.</w:t>
      </w:r>
      <w:r w:rsidR="00E9785A">
        <w:t xml:space="preserve"> </w:t>
      </w:r>
      <w:r w:rsidRPr="00A17659">
        <w:t>1.</w:t>
      </w:r>
      <w:r w:rsidR="00E9785A">
        <w:t xml:space="preserve"> </w:t>
      </w:r>
      <w:r w:rsidRPr="00A17659">
        <w:t>2013 do 1.</w:t>
      </w:r>
      <w:r w:rsidR="00E9785A">
        <w:t xml:space="preserve"> </w:t>
      </w:r>
      <w:r w:rsidRPr="00A17659">
        <w:t>3.</w:t>
      </w:r>
      <w:r w:rsidR="00E9785A">
        <w:t xml:space="preserve"> </w:t>
      </w:r>
      <w:r w:rsidRPr="00A17659">
        <w:t>2</w:t>
      </w:r>
      <w:r w:rsidR="0071769D" w:rsidRPr="00A17659">
        <w:t>013</w:t>
      </w:r>
      <w:r w:rsidR="00CB69CB">
        <w:t>,</w:t>
      </w:r>
      <w:r w:rsidR="0071769D" w:rsidRPr="00A17659">
        <w:t xml:space="preserve"> v</w:t>
      </w:r>
      <w:r w:rsidR="00E9785A">
        <w:t xml:space="preserve"> </w:t>
      </w:r>
      <w:r w:rsidR="0071769D" w:rsidRPr="00A17659">
        <w:t>celkové hodnotě 105</w:t>
      </w:r>
      <w:r w:rsidR="00E9785A">
        <w:t xml:space="preserve"> </w:t>
      </w:r>
      <w:r w:rsidR="0071769D" w:rsidRPr="00A17659">
        <w:t xml:space="preserve">270 </w:t>
      </w:r>
      <w:r w:rsidRPr="00A17659">
        <w:t>Kč bez písemné smlouvy.</w:t>
      </w:r>
    </w:p>
    <w:p w14:paraId="58B38887" w14:textId="77777777" w:rsidR="00E9785A" w:rsidRPr="003A22F1" w:rsidRDefault="00E9785A" w:rsidP="003A22F1">
      <w:pPr>
        <w:jc w:val="both"/>
        <w:rPr>
          <w:rFonts w:asciiTheme="minorHAnsi" w:hAnsiTheme="minorHAnsi" w:cstheme="minorHAnsi"/>
          <w:color w:val="000000"/>
          <w:lang w:val="cs-CZ"/>
        </w:rPr>
      </w:pPr>
    </w:p>
    <w:p w14:paraId="7A897862" w14:textId="77777777" w:rsidR="004618B7" w:rsidRPr="00A17659" w:rsidRDefault="005E3F4A" w:rsidP="003A22F1">
      <w:pPr>
        <w:jc w:val="both"/>
        <w:rPr>
          <w:rFonts w:asciiTheme="minorHAnsi" w:hAnsiTheme="minorHAnsi" w:cstheme="minorHAnsi"/>
          <w:b/>
          <w:lang w:val="cs-CZ"/>
        </w:rPr>
      </w:pPr>
      <w:r w:rsidRPr="00A17659">
        <w:rPr>
          <w:rFonts w:asciiTheme="minorHAnsi" w:hAnsiTheme="minorHAnsi" w:cstheme="minorHAnsi"/>
          <w:b/>
          <w:color w:val="000000"/>
          <w:lang w:val="cs-CZ"/>
        </w:rPr>
        <w:t>2</w:t>
      </w:r>
      <w:r w:rsidR="0089456F" w:rsidRPr="00A17659">
        <w:rPr>
          <w:rFonts w:asciiTheme="minorHAnsi" w:hAnsiTheme="minorHAnsi" w:cstheme="minorHAnsi"/>
          <w:b/>
          <w:color w:val="000000"/>
          <w:lang w:val="cs-CZ"/>
        </w:rPr>
        <w:t>.</w:t>
      </w:r>
      <w:r w:rsidRPr="00A17659">
        <w:rPr>
          <w:rFonts w:asciiTheme="minorHAnsi" w:hAnsiTheme="minorHAnsi" w:cstheme="minorHAnsi"/>
          <w:b/>
          <w:color w:val="000000"/>
          <w:lang w:val="cs-CZ"/>
        </w:rPr>
        <w:t xml:space="preserve"> </w:t>
      </w:r>
      <w:r w:rsidR="004618B7" w:rsidRPr="00A17659">
        <w:rPr>
          <w:rFonts w:asciiTheme="minorHAnsi" w:hAnsiTheme="minorHAnsi" w:cstheme="minorHAnsi"/>
          <w:b/>
          <w:lang w:val="cs-CZ"/>
        </w:rPr>
        <w:t xml:space="preserve">Peněžní prostředky vynaložené na úhradu </w:t>
      </w:r>
      <w:r w:rsidR="00D7365F" w:rsidRPr="00A17659">
        <w:rPr>
          <w:rFonts w:asciiTheme="minorHAnsi" w:hAnsiTheme="minorHAnsi" w:cstheme="minorHAnsi"/>
          <w:b/>
          <w:lang w:val="cs-CZ"/>
        </w:rPr>
        <w:t>jazykového</w:t>
      </w:r>
      <w:r w:rsidR="004618B7" w:rsidRPr="00A17659">
        <w:rPr>
          <w:rFonts w:asciiTheme="minorHAnsi" w:hAnsiTheme="minorHAnsi" w:cstheme="minorHAnsi"/>
          <w:b/>
          <w:lang w:val="cs-CZ"/>
        </w:rPr>
        <w:t xml:space="preserve"> vzdělávání</w:t>
      </w:r>
    </w:p>
    <w:p w14:paraId="06DC4389" w14:textId="77777777" w:rsidR="003A22F1" w:rsidRDefault="003A22F1" w:rsidP="003A22F1">
      <w:pPr>
        <w:pStyle w:val="Odstavecseseznamem"/>
        <w:ind w:left="0"/>
        <w:contextualSpacing w:val="0"/>
        <w:jc w:val="both"/>
        <w:rPr>
          <w:rFonts w:asciiTheme="minorHAnsi" w:hAnsiTheme="minorHAnsi" w:cstheme="minorHAnsi"/>
          <w:lang w:val="cs-CZ"/>
        </w:rPr>
      </w:pPr>
    </w:p>
    <w:p w14:paraId="07EC8ADA" w14:textId="1D38EF14" w:rsidR="004618B7" w:rsidRDefault="004618B7" w:rsidP="003A22F1">
      <w:pPr>
        <w:pStyle w:val="Odstavecseseznamem"/>
        <w:ind w:left="0"/>
        <w:contextualSpacing w:val="0"/>
        <w:jc w:val="both"/>
        <w:rPr>
          <w:rFonts w:asciiTheme="minorHAnsi" w:hAnsiTheme="minorHAnsi" w:cstheme="minorHAnsi"/>
          <w:lang w:val="cs-CZ"/>
        </w:rPr>
      </w:pPr>
      <w:r w:rsidRPr="00A17659">
        <w:rPr>
          <w:rFonts w:asciiTheme="minorHAnsi" w:hAnsiTheme="minorHAnsi" w:cstheme="minorHAnsi"/>
          <w:lang w:val="cs-CZ"/>
        </w:rPr>
        <w:t xml:space="preserve">Kontrola NKÚ se zaměřila na hospodaření s peněžními prostředky </w:t>
      </w:r>
      <w:r w:rsidR="00D7365F" w:rsidRPr="00A17659">
        <w:rPr>
          <w:rFonts w:asciiTheme="minorHAnsi" w:hAnsiTheme="minorHAnsi" w:cstheme="minorHAnsi"/>
          <w:lang w:val="cs-CZ"/>
        </w:rPr>
        <w:t>vynaloženými na jazykové</w:t>
      </w:r>
      <w:r w:rsidR="00FB2361" w:rsidRPr="00A17659">
        <w:rPr>
          <w:rFonts w:asciiTheme="minorHAnsi" w:hAnsiTheme="minorHAnsi" w:cstheme="minorHAnsi"/>
          <w:lang w:val="cs-CZ"/>
        </w:rPr>
        <w:t xml:space="preserve"> </w:t>
      </w:r>
      <w:r w:rsidR="00D7365F" w:rsidRPr="00A17659">
        <w:rPr>
          <w:rFonts w:asciiTheme="minorHAnsi" w:hAnsiTheme="minorHAnsi" w:cstheme="minorHAnsi"/>
          <w:lang w:val="cs-CZ"/>
        </w:rPr>
        <w:t>vzdělávání</w:t>
      </w:r>
      <w:r w:rsidR="003F1062" w:rsidRPr="00A17659">
        <w:rPr>
          <w:rFonts w:asciiTheme="minorHAnsi" w:hAnsiTheme="minorHAnsi" w:cstheme="minorHAnsi"/>
          <w:lang w:val="cs-CZ"/>
        </w:rPr>
        <w:t xml:space="preserve"> zajišťované externími poskytovateli</w:t>
      </w:r>
      <w:r w:rsidR="00DF1478" w:rsidRPr="00A17659">
        <w:rPr>
          <w:rFonts w:asciiTheme="minorHAnsi" w:hAnsiTheme="minorHAnsi" w:cstheme="minorHAnsi"/>
          <w:lang w:val="cs-CZ"/>
        </w:rPr>
        <w:t xml:space="preserve">. </w:t>
      </w:r>
      <w:r w:rsidRPr="00A17659">
        <w:rPr>
          <w:rFonts w:asciiTheme="minorHAnsi" w:hAnsiTheme="minorHAnsi" w:cstheme="minorHAnsi"/>
          <w:lang w:val="cs-CZ"/>
        </w:rPr>
        <w:t>NKÚ v</w:t>
      </w:r>
      <w:r w:rsidR="00E9785A">
        <w:rPr>
          <w:rFonts w:asciiTheme="minorHAnsi" w:hAnsiTheme="minorHAnsi" w:cstheme="minorHAnsi"/>
          <w:lang w:val="cs-CZ"/>
        </w:rPr>
        <w:t xml:space="preserve"> </w:t>
      </w:r>
      <w:r w:rsidRPr="00A17659">
        <w:rPr>
          <w:rFonts w:asciiTheme="minorHAnsi" w:hAnsiTheme="minorHAnsi" w:cstheme="minorHAnsi"/>
          <w:lang w:val="cs-CZ"/>
        </w:rPr>
        <w:t>rámci kontroly zjišťoval jednotkovou cenu výukové hodiny anglického jazyka vyučovaného ve skupině od poskytovatele s</w:t>
      </w:r>
      <w:r w:rsidR="00D70254">
        <w:rPr>
          <w:rFonts w:asciiTheme="minorHAnsi" w:hAnsiTheme="minorHAnsi" w:cstheme="minorHAnsi"/>
          <w:lang w:val="cs-CZ"/>
        </w:rPr>
        <w:t> </w:t>
      </w:r>
      <w:r w:rsidRPr="00A17659">
        <w:rPr>
          <w:rFonts w:asciiTheme="minorHAnsi" w:hAnsiTheme="minorHAnsi" w:cstheme="minorHAnsi"/>
          <w:lang w:val="cs-CZ"/>
        </w:rPr>
        <w:t>nejvyšším podílem</w:t>
      </w:r>
      <w:r w:rsidR="0075662F" w:rsidRPr="00A17659">
        <w:rPr>
          <w:rFonts w:asciiTheme="minorHAnsi" w:hAnsiTheme="minorHAnsi" w:cstheme="minorHAnsi"/>
          <w:lang w:val="cs-CZ"/>
        </w:rPr>
        <w:t xml:space="preserve"> na výdajích na jazykovou výuku.</w:t>
      </w:r>
    </w:p>
    <w:p w14:paraId="18977C41" w14:textId="77777777" w:rsidR="003A22F1" w:rsidRPr="00A17659" w:rsidRDefault="003A22F1" w:rsidP="003A22F1">
      <w:pPr>
        <w:pStyle w:val="Odstavecseseznamem"/>
        <w:ind w:left="0"/>
        <w:contextualSpacing w:val="0"/>
        <w:jc w:val="both"/>
        <w:rPr>
          <w:rFonts w:asciiTheme="minorHAnsi" w:hAnsiTheme="minorHAnsi" w:cstheme="minorHAnsi"/>
          <w:lang w:val="cs-CZ"/>
        </w:rPr>
      </w:pPr>
    </w:p>
    <w:p w14:paraId="06867FCA" w14:textId="1457C32F" w:rsidR="00CB69CB" w:rsidRDefault="004618B7" w:rsidP="003A22F1">
      <w:pPr>
        <w:pStyle w:val="Odstavecseseznamem"/>
        <w:tabs>
          <w:tab w:val="right" w:pos="9070"/>
        </w:tabs>
        <w:spacing w:after="40"/>
        <w:ind w:left="1418" w:hanging="1418"/>
        <w:contextualSpacing w:val="0"/>
        <w:jc w:val="both"/>
        <w:rPr>
          <w:rFonts w:asciiTheme="minorHAnsi" w:hAnsiTheme="minorHAnsi" w:cstheme="minorHAnsi"/>
          <w:b/>
          <w:lang w:val="cs-CZ"/>
        </w:rPr>
      </w:pPr>
      <w:r w:rsidRPr="00A17659">
        <w:rPr>
          <w:rFonts w:asciiTheme="minorHAnsi" w:hAnsiTheme="minorHAnsi" w:cstheme="minorHAnsi"/>
          <w:b/>
          <w:lang w:val="cs-CZ"/>
        </w:rPr>
        <w:t xml:space="preserve">Tabulka č. </w:t>
      </w:r>
      <w:r w:rsidR="00EC240B">
        <w:rPr>
          <w:rFonts w:asciiTheme="minorHAnsi" w:hAnsiTheme="minorHAnsi" w:cstheme="minorHAnsi"/>
          <w:b/>
          <w:lang w:val="cs-CZ"/>
        </w:rPr>
        <w:t>2</w:t>
      </w:r>
      <w:r w:rsidR="00EC5DD5">
        <w:rPr>
          <w:rFonts w:asciiTheme="minorHAnsi" w:hAnsiTheme="minorHAnsi" w:cstheme="minorHAnsi"/>
          <w:b/>
          <w:lang w:val="cs-CZ"/>
        </w:rPr>
        <w:t xml:space="preserve"> –</w:t>
      </w:r>
      <w:r w:rsidR="00EC5DD5">
        <w:rPr>
          <w:rFonts w:asciiTheme="minorHAnsi" w:hAnsiTheme="minorHAnsi" w:cstheme="minorHAnsi"/>
          <w:b/>
          <w:lang w:val="cs-CZ"/>
        </w:rPr>
        <w:tab/>
      </w:r>
      <w:r w:rsidR="00E9785A" w:rsidRPr="00E9785A">
        <w:rPr>
          <w:rFonts w:asciiTheme="minorHAnsi" w:hAnsiTheme="minorHAnsi" w:cstheme="minorHAnsi"/>
          <w:b/>
          <w:lang w:val="cs-CZ"/>
        </w:rPr>
        <w:t xml:space="preserve">Jednotková cena výukové hodiny (45 min) </w:t>
      </w:r>
      <w:r w:rsidR="00CB69CB">
        <w:rPr>
          <w:rFonts w:asciiTheme="minorHAnsi" w:hAnsiTheme="minorHAnsi" w:cstheme="minorHAnsi"/>
          <w:b/>
          <w:lang w:val="cs-CZ"/>
        </w:rPr>
        <w:t>anglického jazyka</w:t>
      </w:r>
      <w:r w:rsidR="00E9785A" w:rsidRPr="00E9785A">
        <w:rPr>
          <w:rFonts w:asciiTheme="minorHAnsi" w:hAnsiTheme="minorHAnsi" w:cstheme="minorHAnsi"/>
          <w:b/>
          <w:lang w:val="cs-CZ"/>
        </w:rPr>
        <w:t xml:space="preserve"> ve skupině od hlavního poskytovatele výuky cizího jazyka realizovaná v</w:t>
      </w:r>
      <w:r w:rsidR="00E9785A">
        <w:rPr>
          <w:rFonts w:asciiTheme="minorHAnsi" w:hAnsiTheme="minorHAnsi" w:cstheme="minorHAnsi"/>
          <w:b/>
          <w:lang w:val="cs-CZ"/>
        </w:rPr>
        <w:t xml:space="preserve"> </w:t>
      </w:r>
      <w:r w:rsidR="00E9785A" w:rsidRPr="00E9785A">
        <w:rPr>
          <w:rFonts w:asciiTheme="minorHAnsi" w:hAnsiTheme="minorHAnsi" w:cstheme="minorHAnsi"/>
          <w:b/>
          <w:lang w:val="cs-CZ"/>
        </w:rPr>
        <w:t xml:space="preserve">Praze </w:t>
      </w:r>
    </w:p>
    <w:p w14:paraId="70E1285E" w14:textId="77777777" w:rsidR="004618B7" w:rsidRPr="00A17659" w:rsidRDefault="00CB69CB" w:rsidP="00CB69CB">
      <w:pPr>
        <w:pStyle w:val="Odstavecseseznamem"/>
        <w:tabs>
          <w:tab w:val="right" w:pos="9070"/>
        </w:tabs>
        <w:spacing w:after="40"/>
        <w:ind w:left="0"/>
        <w:contextualSpacing w:val="0"/>
        <w:jc w:val="both"/>
        <w:rPr>
          <w:rFonts w:asciiTheme="minorHAnsi" w:hAnsiTheme="minorHAnsi" w:cstheme="minorHAnsi"/>
          <w:b/>
          <w:lang w:val="cs-CZ"/>
        </w:rPr>
      </w:pPr>
      <w:r>
        <w:rPr>
          <w:rFonts w:asciiTheme="minorHAnsi" w:hAnsiTheme="minorHAnsi" w:cstheme="minorHAnsi"/>
          <w:b/>
          <w:lang w:val="cs-CZ"/>
        </w:rPr>
        <w:tab/>
      </w:r>
      <w:r w:rsidR="00E9785A" w:rsidRPr="00E9785A">
        <w:rPr>
          <w:rFonts w:asciiTheme="minorHAnsi" w:hAnsiTheme="minorHAnsi" w:cstheme="minorHAnsi"/>
          <w:b/>
          <w:lang w:val="cs-CZ"/>
        </w:rPr>
        <w:t>(v Kč včetně DPH)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2321"/>
        <w:gridCol w:w="2321"/>
        <w:gridCol w:w="2150"/>
      </w:tblGrid>
      <w:tr w:rsidR="00765EF0" w:rsidRPr="00A17659" w14:paraId="37C24541" w14:textId="77777777" w:rsidTr="001A4537">
        <w:trPr>
          <w:trHeight w:val="227"/>
          <w:jc w:val="center"/>
        </w:trPr>
        <w:tc>
          <w:tcPr>
            <w:tcW w:w="2213" w:type="dxa"/>
            <w:shd w:val="clear" w:color="auto" w:fill="auto"/>
          </w:tcPr>
          <w:p w14:paraId="08D6A300" w14:textId="77777777" w:rsidR="00765EF0" w:rsidRPr="00E9785A" w:rsidRDefault="00765EF0" w:rsidP="00765EF0">
            <w:pPr>
              <w:pStyle w:val="Odstavecseseznamem"/>
              <w:spacing w:after="120"/>
              <w:ind w:left="0"/>
              <w:rPr>
                <w:rFonts w:asciiTheme="minorHAnsi" w:hAnsiTheme="minorHAnsi" w:cstheme="minorHAnsi"/>
                <w:b/>
                <w:lang w:val="cs-CZ"/>
              </w:rPr>
            </w:pPr>
          </w:p>
        </w:tc>
        <w:tc>
          <w:tcPr>
            <w:tcW w:w="2321" w:type="dxa"/>
            <w:shd w:val="clear" w:color="auto" w:fill="auto"/>
            <w:vAlign w:val="center"/>
          </w:tcPr>
          <w:p w14:paraId="2D37EC6D" w14:textId="77777777" w:rsidR="00765EF0" w:rsidRPr="00E9785A" w:rsidRDefault="00765EF0" w:rsidP="0099590D">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p>
        </w:tc>
        <w:tc>
          <w:tcPr>
            <w:tcW w:w="2321" w:type="dxa"/>
            <w:shd w:val="clear" w:color="auto" w:fill="auto"/>
            <w:vAlign w:val="center"/>
          </w:tcPr>
          <w:p w14:paraId="5575D8A1" w14:textId="77777777" w:rsidR="00765EF0" w:rsidRPr="00E9785A" w:rsidRDefault="00765EF0" w:rsidP="0099590D">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p>
        </w:tc>
        <w:tc>
          <w:tcPr>
            <w:tcW w:w="2150" w:type="dxa"/>
            <w:shd w:val="clear" w:color="auto" w:fill="auto"/>
            <w:vAlign w:val="center"/>
          </w:tcPr>
          <w:p w14:paraId="250479D2" w14:textId="77777777" w:rsidR="00765EF0" w:rsidRPr="00E9785A" w:rsidRDefault="00765EF0" w:rsidP="0099590D">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765EF0" w:rsidRPr="00A17659" w14:paraId="4FE861C4" w14:textId="77777777" w:rsidTr="001A4537">
        <w:trPr>
          <w:trHeight w:val="227"/>
          <w:jc w:val="center"/>
        </w:trPr>
        <w:tc>
          <w:tcPr>
            <w:tcW w:w="2213" w:type="dxa"/>
            <w:shd w:val="clear" w:color="auto" w:fill="auto"/>
            <w:vAlign w:val="center"/>
          </w:tcPr>
          <w:p w14:paraId="32E7B1E5" w14:textId="77777777" w:rsidR="00765EF0" w:rsidRPr="00E9785A" w:rsidRDefault="00765EF0" w:rsidP="00765EF0">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321" w:type="dxa"/>
            <w:shd w:val="clear" w:color="auto" w:fill="auto"/>
            <w:vAlign w:val="center"/>
          </w:tcPr>
          <w:p w14:paraId="7DA06B84" w14:textId="77777777" w:rsidR="00765EF0" w:rsidRPr="00E9785A" w:rsidRDefault="00AE6549" w:rsidP="0099590D">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299,00</w:t>
            </w:r>
          </w:p>
        </w:tc>
        <w:tc>
          <w:tcPr>
            <w:tcW w:w="2321" w:type="dxa"/>
            <w:shd w:val="clear" w:color="auto" w:fill="auto"/>
            <w:vAlign w:val="center"/>
          </w:tcPr>
          <w:p w14:paraId="0E49922E" w14:textId="77777777" w:rsidR="00765EF0" w:rsidRPr="00E9785A" w:rsidRDefault="00104DBB" w:rsidP="0099590D">
            <w:pPr>
              <w:jc w:val="center"/>
              <w:rPr>
                <w:rFonts w:asciiTheme="minorHAnsi" w:hAnsiTheme="minorHAnsi" w:cstheme="minorHAnsi"/>
                <w:lang w:val="cs-CZ"/>
              </w:rPr>
            </w:pPr>
            <w:r w:rsidRPr="00E9785A">
              <w:rPr>
                <w:rFonts w:asciiTheme="minorHAnsi" w:hAnsiTheme="minorHAnsi" w:cstheme="minorHAnsi"/>
                <w:lang w:val="cs-CZ"/>
              </w:rPr>
              <w:t>314,00</w:t>
            </w:r>
          </w:p>
        </w:tc>
        <w:tc>
          <w:tcPr>
            <w:tcW w:w="2150" w:type="dxa"/>
            <w:shd w:val="clear" w:color="auto" w:fill="auto"/>
            <w:vAlign w:val="center"/>
          </w:tcPr>
          <w:p w14:paraId="37799F7D" w14:textId="77777777" w:rsidR="00765EF0" w:rsidRPr="00E9785A" w:rsidRDefault="00D54BEB" w:rsidP="0099590D">
            <w:pPr>
              <w:jc w:val="center"/>
              <w:rPr>
                <w:rFonts w:asciiTheme="minorHAnsi" w:hAnsiTheme="minorHAnsi" w:cstheme="minorHAnsi"/>
                <w:lang w:val="cs-CZ"/>
              </w:rPr>
            </w:pPr>
            <w:r w:rsidRPr="00E9785A">
              <w:rPr>
                <w:rFonts w:asciiTheme="minorHAnsi" w:hAnsiTheme="minorHAnsi" w:cstheme="minorHAnsi"/>
                <w:lang w:val="cs-CZ"/>
              </w:rPr>
              <w:t>450,00</w:t>
            </w:r>
          </w:p>
        </w:tc>
      </w:tr>
      <w:tr w:rsidR="00765EF0" w:rsidRPr="00A17659" w14:paraId="1E7FD960" w14:textId="77777777" w:rsidTr="001A4537">
        <w:trPr>
          <w:trHeight w:val="227"/>
          <w:jc w:val="center"/>
        </w:trPr>
        <w:tc>
          <w:tcPr>
            <w:tcW w:w="2213" w:type="dxa"/>
            <w:shd w:val="clear" w:color="auto" w:fill="auto"/>
            <w:vAlign w:val="center"/>
          </w:tcPr>
          <w:p w14:paraId="20FB7080" w14:textId="77777777" w:rsidR="00765EF0" w:rsidRPr="00E9785A" w:rsidRDefault="00765EF0" w:rsidP="00765EF0">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321" w:type="dxa"/>
            <w:shd w:val="clear" w:color="auto" w:fill="auto"/>
            <w:vAlign w:val="center"/>
          </w:tcPr>
          <w:p w14:paraId="69179F3C" w14:textId="77777777" w:rsidR="00765EF0" w:rsidRPr="00E9785A" w:rsidRDefault="00AE6549" w:rsidP="0099590D">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299,00</w:t>
            </w:r>
          </w:p>
        </w:tc>
        <w:tc>
          <w:tcPr>
            <w:tcW w:w="2321" w:type="dxa"/>
            <w:shd w:val="clear" w:color="auto" w:fill="auto"/>
            <w:vAlign w:val="center"/>
          </w:tcPr>
          <w:p w14:paraId="4A44BE9A" w14:textId="77777777" w:rsidR="00765EF0" w:rsidRPr="00E9785A" w:rsidRDefault="009949EC" w:rsidP="0099590D">
            <w:pPr>
              <w:jc w:val="center"/>
              <w:rPr>
                <w:rFonts w:asciiTheme="minorHAnsi" w:hAnsiTheme="minorHAnsi" w:cstheme="minorHAnsi"/>
                <w:lang w:val="cs-CZ"/>
              </w:rPr>
            </w:pPr>
            <w:r w:rsidRPr="00E9785A">
              <w:rPr>
                <w:rFonts w:asciiTheme="minorHAnsi" w:hAnsiTheme="minorHAnsi" w:cstheme="minorHAnsi"/>
                <w:lang w:val="cs-CZ"/>
              </w:rPr>
              <w:t>423,50</w:t>
            </w:r>
          </w:p>
        </w:tc>
        <w:tc>
          <w:tcPr>
            <w:tcW w:w="2150" w:type="dxa"/>
            <w:shd w:val="clear" w:color="auto" w:fill="auto"/>
            <w:vAlign w:val="center"/>
          </w:tcPr>
          <w:p w14:paraId="4A50F2CF" w14:textId="77777777" w:rsidR="00765EF0" w:rsidRPr="00E9785A" w:rsidRDefault="00D54BEB" w:rsidP="0099590D">
            <w:pPr>
              <w:jc w:val="center"/>
              <w:rPr>
                <w:rFonts w:asciiTheme="minorHAnsi" w:hAnsiTheme="minorHAnsi" w:cstheme="minorHAnsi"/>
                <w:lang w:val="cs-CZ"/>
              </w:rPr>
            </w:pPr>
            <w:r w:rsidRPr="00E9785A">
              <w:rPr>
                <w:rFonts w:asciiTheme="minorHAnsi" w:hAnsiTheme="minorHAnsi" w:cstheme="minorHAnsi"/>
                <w:lang w:val="cs-CZ"/>
              </w:rPr>
              <w:t>305,00</w:t>
            </w:r>
          </w:p>
        </w:tc>
      </w:tr>
    </w:tbl>
    <w:p w14:paraId="29C2FA1D" w14:textId="77777777" w:rsidR="004618B7" w:rsidRPr="00A17659" w:rsidRDefault="004618B7" w:rsidP="003A22F1">
      <w:pPr>
        <w:pStyle w:val="Odstavecseseznamem"/>
        <w:spacing w:before="40"/>
        <w:ind w:left="567" w:hanging="567"/>
        <w:contextualSpacing w:val="0"/>
        <w:rPr>
          <w:rFonts w:asciiTheme="minorHAnsi" w:hAnsiTheme="minorHAnsi" w:cstheme="minorHAnsi"/>
          <w:bCs/>
          <w:sz w:val="20"/>
          <w:szCs w:val="20"/>
          <w:lang w:val="cs-CZ"/>
        </w:rPr>
      </w:pPr>
      <w:r w:rsidRPr="00A17659">
        <w:rPr>
          <w:rFonts w:asciiTheme="minorHAnsi" w:hAnsiTheme="minorHAnsi" w:cstheme="minorHAnsi"/>
          <w:b/>
          <w:bCs/>
          <w:sz w:val="20"/>
          <w:szCs w:val="20"/>
          <w:lang w:val="cs-CZ"/>
        </w:rPr>
        <w:t>Zdroj:</w:t>
      </w:r>
      <w:r w:rsidRPr="00A17659">
        <w:rPr>
          <w:rFonts w:asciiTheme="minorHAnsi" w:hAnsiTheme="minorHAnsi" w:cstheme="minorHAnsi"/>
          <w:bCs/>
          <w:sz w:val="20"/>
          <w:szCs w:val="20"/>
          <w:lang w:val="cs-CZ"/>
        </w:rPr>
        <w:t xml:space="preserve"> </w:t>
      </w:r>
      <w:r w:rsidRPr="00A17659">
        <w:rPr>
          <w:rFonts w:asciiTheme="minorHAnsi" w:hAnsiTheme="minorHAnsi" w:cstheme="minorHAnsi"/>
          <w:bCs/>
          <w:sz w:val="20"/>
          <w:szCs w:val="20"/>
          <w:lang w:val="cs-CZ"/>
        </w:rPr>
        <w:tab/>
        <w:t>smlouvy s poskytovateli jazykové výuky, dodatky smluv, přijaté faktury.</w:t>
      </w:r>
    </w:p>
    <w:p w14:paraId="3801F3E4" w14:textId="77777777" w:rsidR="005E3F4A" w:rsidRPr="003A22F1" w:rsidRDefault="005E3F4A" w:rsidP="00C1298C">
      <w:pPr>
        <w:rPr>
          <w:rFonts w:asciiTheme="minorHAnsi" w:hAnsiTheme="minorHAnsi" w:cstheme="minorHAnsi"/>
          <w:color w:val="000000"/>
          <w:lang w:val="cs-CZ"/>
        </w:rPr>
      </w:pPr>
    </w:p>
    <w:p w14:paraId="3DF64500" w14:textId="77777777" w:rsidR="00AF1173" w:rsidRPr="003A22F1" w:rsidRDefault="008776E0" w:rsidP="003A22F1">
      <w:pPr>
        <w:jc w:val="both"/>
        <w:rPr>
          <w:rFonts w:asciiTheme="minorHAnsi" w:hAnsiTheme="minorHAnsi" w:cstheme="minorHAnsi"/>
          <w:bCs/>
          <w:lang w:val="cs-CZ"/>
        </w:rPr>
      </w:pPr>
      <w:r w:rsidRPr="003A22F1">
        <w:rPr>
          <w:rFonts w:asciiTheme="minorHAnsi" w:hAnsiTheme="minorHAnsi" w:cstheme="minorHAnsi"/>
          <w:bCs/>
          <w:lang w:val="cs-CZ"/>
        </w:rPr>
        <w:t>Při kontrole peněžních prostředků vynaložených na jazykové vzdělávání bylo zjištěno, že</w:t>
      </w:r>
      <w:r w:rsidR="00AF1173" w:rsidRPr="003A22F1">
        <w:rPr>
          <w:rFonts w:asciiTheme="minorHAnsi" w:hAnsiTheme="minorHAnsi" w:cstheme="minorHAnsi"/>
          <w:bCs/>
          <w:lang w:val="cs-CZ"/>
        </w:rPr>
        <w:t>:</w:t>
      </w:r>
    </w:p>
    <w:p w14:paraId="2BC1DC4E" w14:textId="77777777" w:rsidR="009118B8" w:rsidRPr="00825540" w:rsidRDefault="001469AA" w:rsidP="00825540">
      <w:pPr>
        <w:pStyle w:val="Odstavecseseznamem"/>
        <w:numPr>
          <w:ilvl w:val="1"/>
          <w:numId w:val="39"/>
        </w:numPr>
        <w:ind w:left="284" w:hanging="284"/>
        <w:jc w:val="both"/>
        <w:rPr>
          <w:rFonts w:asciiTheme="minorHAnsi" w:hAnsiTheme="minorHAnsi" w:cstheme="minorHAnsi"/>
          <w:b/>
          <w:bCs/>
          <w:lang w:val="cs-CZ"/>
        </w:rPr>
      </w:pPr>
      <w:proofErr w:type="spellStart"/>
      <w:r w:rsidRPr="00825540">
        <w:rPr>
          <w:rFonts w:asciiTheme="minorHAnsi" w:hAnsiTheme="minorHAnsi" w:cstheme="minorHAnsi"/>
          <w:b/>
          <w:bCs/>
          <w:lang w:val="cs-CZ"/>
        </w:rPr>
        <w:t>MZe</w:t>
      </w:r>
      <w:proofErr w:type="spellEnd"/>
      <w:r w:rsidRPr="00825540">
        <w:rPr>
          <w:rFonts w:asciiTheme="minorHAnsi" w:hAnsiTheme="minorHAnsi" w:cstheme="minorHAnsi"/>
          <w:b/>
          <w:bCs/>
          <w:lang w:val="cs-CZ"/>
        </w:rPr>
        <w:t xml:space="preserve"> neoprávněně použilo </w:t>
      </w:r>
      <w:r w:rsidR="00ED5562" w:rsidRPr="00825540">
        <w:rPr>
          <w:rFonts w:asciiTheme="minorHAnsi" w:hAnsiTheme="minorHAnsi" w:cstheme="minorHAnsi"/>
          <w:b/>
          <w:bCs/>
          <w:lang w:val="cs-CZ"/>
        </w:rPr>
        <w:t>peněžní</w:t>
      </w:r>
      <w:r w:rsidR="007D4CA5" w:rsidRPr="00825540">
        <w:rPr>
          <w:rFonts w:asciiTheme="minorHAnsi" w:hAnsiTheme="minorHAnsi" w:cstheme="minorHAnsi"/>
          <w:b/>
          <w:bCs/>
          <w:lang w:val="cs-CZ"/>
        </w:rPr>
        <w:t xml:space="preserve"> prostředky ve výši 2</w:t>
      </w:r>
      <w:r w:rsidR="00E9785A" w:rsidRPr="00825540">
        <w:rPr>
          <w:rFonts w:asciiTheme="minorHAnsi" w:hAnsiTheme="minorHAnsi" w:cstheme="minorHAnsi"/>
          <w:b/>
          <w:bCs/>
          <w:lang w:val="cs-CZ"/>
        </w:rPr>
        <w:t xml:space="preserve"> </w:t>
      </w:r>
      <w:r w:rsidR="007D4CA5" w:rsidRPr="00825540">
        <w:rPr>
          <w:rFonts w:asciiTheme="minorHAnsi" w:hAnsiTheme="minorHAnsi" w:cstheme="minorHAnsi"/>
          <w:b/>
          <w:bCs/>
          <w:lang w:val="cs-CZ"/>
        </w:rPr>
        <w:t>479</w:t>
      </w:r>
      <w:r w:rsidR="00E9785A" w:rsidRPr="00825540">
        <w:rPr>
          <w:rFonts w:asciiTheme="minorHAnsi" w:hAnsiTheme="minorHAnsi" w:cstheme="minorHAnsi"/>
          <w:b/>
          <w:bCs/>
          <w:lang w:val="cs-CZ"/>
        </w:rPr>
        <w:t xml:space="preserve"> </w:t>
      </w:r>
      <w:r w:rsidR="007D4CA5" w:rsidRPr="00825540">
        <w:rPr>
          <w:rFonts w:asciiTheme="minorHAnsi" w:hAnsiTheme="minorHAnsi" w:cstheme="minorHAnsi"/>
          <w:b/>
          <w:bCs/>
          <w:lang w:val="cs-CZ"/>
        </w:rPr>
        <w:t>398</w:t>
      </w:r>
      <w:r w:rsidRPr="00825540">
        <w:rPr>
          <w:rFonts w:asciiTheme="minorHAnsi" w:hAnsiTheme="minorHAnsi" w:cstheme="minorHAnsi"/>
          <w:b/>
          <w:bCs/>
          <w:lang w:val="cs-CZ"/>
        </w:rPr>
        <w:t xml:space="preserve"> Kč na pokrytí výdajů budoucích rozpočtových let. </w:t>
      </w:r>
      <w:proofErr w:type="spellStart"/>
      <w:r w:rsidR="002A7D31" w:rsidRPr="00825540">
        <w:rPr>
          <w:rFonts w:asciiTheme="minorHAnsi" w:hAnsiTheme="minorHAnsi" w:cstheme="minorHAnsi"/>
          <w:b/>
          <w:bCs/>
          <w:lang w:val="cs-CZ"/>
        </w:rPr>
        <w:t>MZe</w:t>
      </w:r>
      <w:proofErr w:type="spellEnd"/>
      <w:r w:rsidR="002A7D31" w:rsidRPr="00825540">
        <w:rPr>
          <w:rFonts w:asciiTheme="minorHAnsi" w:hAnsiTheme="minorHAnsi" w:cstheme="minorHAnsi"/>
          <w:b/>
          <w:bCs/>
          <w:lang w:val="cs-CZ"/>
        </w:rPr>
        <w:t xml:space="preserve"> </w:t>
      </w:r>
      <w:r w:rsidR="0039526A" w:rsidRPr="00825540">
        <w:rPr>
          <w:rFonts w:asciiTheme="minorHAnsi" w:hAnsiTheme="minorHAnsi" w:cstheme="minorHAnsi"/>
          <w:b/>
          <w:bCs/>
          <w:lang w:val="cs-CZ"/>
        </w:rPr>
        <w:t>nepoužilo peněžní prostředky, kterými disponovalo v </w:t>
      </w:r>
      <w:r w:rsidR="00305D85" w:rsidRPr="00825540">
        <w:rPr>
          <w:rFonts w:asciiTheme="minorHAnsi" w:hAnsiTheme="minorHAnsi" w:cstheme="minorHAnsi"/>
          <w:b/>
          <w:bCs/>
          <w:lang w:val="cs-CZ"/>
        </w:rPr>
        <w:t>roce</w:t>
      </w:r>
      <w:r w:rsidR="0039526A" w:rsidRPr="00825540">
        <w:rPr>
          <w:rFonts w:asciiTheme="minorHAnsi" w:hAnsiTheme="minorHAnsi" w:cstheme="minorHAnsi"/>
          <w:b/>
          <w:bCs/>
          <w:lang w:val="cs-CZ"/>
        </w:rPr>
        <w:t xml:space="preserve"> 2013, pouze na</w:t>
      </w:r>
      <w:r w:rsidR="00E9785A" w:rsidRPr="00825540">
        <w:rPr>
          <w:rFonts w:asciiTheme="minorHAnsi" w:hAnsiTheme="minorHAnsi" w:cstheme="minorHAnsi"/>
          <w:b/>
          <w:bCs/>
          <w:lang w:val="cs-CZ"/>
        </w:rPr>
        <w:t xml:space="preserve"> </w:t>
      </w:r>
      <w:r w:rsidR="0039526A" w:rsidRPr="00825540">
        <w:rPr>
          <w:rFonts w:asciiTheme="minorHAnsi" w:hAnsiTheme="minorHAnsi" w:cstheme="minorHAnsi"/>
          <w:b/>
          <w:bCs/>
          <w:lang w:val="cs-CZ"/>
        </w:rPr>
        <w:t>krytí nezbytných potřeb, ale v</w:t>
      </w:r>
      <w:r w:rsidR="00E9785A" w:rsidRPr="00825540">
        <w:rPr>
          <w:rFonts w:asciiTheme="minorHAnsi" w:hAnsiTheme="minorHAnsi" w:cstheme="minorHAnsi"/>
          <w:b/>
          <w:bCs/>
          <w:lang w:val="cs-CZ"/>
        </w:rPr>
        <w:t xml:space="preserve"> </w:t>
      </w:r>
      <w:r w:rsidR="0039526A" w:rsidRPr="00825540">
        <w:rPr>
          <w:rFonts w:asciiTheme="minorHAnsi" w:hAnsiTheme="minorHAnsi" w:cstheme="minorHAnsi"/>
          <w:b/>
          <w:bCs/>
          <w:lang w:val="cs-CZ"/>
        </w:rPr>
        <w:t>roce 2013 uhradilo jazykové vzdělávání sv</w:t>
      </w:r>
      <w:r w:rsidR="00281FB0" w:rsidRPr="00825540">
        <w:rPr>
          <w:rFonts w:asciiTheme="minorHAnsi" w:hAnsiTheme="minorHAnsi" w:cstheme="minorHAnsi"/>
          <w:b/>
          <w:bCs/>
          <w:lang w:val="cs-CZ"/>
        </w:rPr>
        <w:t>ých zaměstnanců, jehož uskutečnění bylo</w:t>
      </w:r>
      <w:r w:rsidR="0039526A" w:rsidRPr="00825540">
        <w:rPr>
          <w:rFonts w:asciiTheme="minorHAnsi" w:hAnsiTheme="minorHAnsi" w:cstheme="minorHAnsi"/>
          <w:b/>
          <w:bCs/>
          <w:lang w:val="cs-CZ"/>
        </w:rPr>
        <w:t xml:space="preserve"> plá</w:t>
      </w:r>
      <w:r w:rsidR="00281FB0" w:rsidRPr="00825540">
        <w:rPr>
          <w:rFonts w:asciiTheme="minorHAnsi" w:hAnsiTheme="minorHAnsi" w:cstheme="minorHAnsi"/>
          <w:b/>
          <w:bCs/>
          <w:lang w:val="cs-CZ"/>
        </w:rPr>
        <w:t>nováno</w:t>
      </w:r>
      <w:r w:rsidR="000A7E04" w:rsidRPr="00825540">
        <w:rPr>
          <w:rFonts w:asciiTheme="minorHAnsi" w:hAnsiTheme="minorHAnsi" w:cstheme="minorHAnsi"/>
          <w:b/>
          <w:bCs/>
          <w:lang w:val="cs-CZ"/>
        </w:rPr>
        <w:t xml:space="preserve"> až v</w:t>
      </w:r>
      <w:r w:rsidR="00E9785A" w:rsidRPr="00825540">
        <w:rPr>
          <w:rFonts w:asciiTheme="minorHAnsi" w:hAnsiTheme="minorHAnsi" w:cstheme="minorHAnsi"/>
          <w:b/>
          <w:bCs/>
          <w:lang w:val="cs-CZ"/>
        </w:rPr>
        <w:t xml:space="preserve"> </w:t>
      </w:r>
      <w:r w:rsidR="000A7E04" w:rsidRPr="00825540">
        <w:rPr>
          <w:rFonts w:asciiTheme="minorHAnsi" w:hAnsiTheme="minorHAnsi" w:cstheme="minorHAnsi"/>
          <w:b/>
          <w:bCs/>
          <w:lang w:val="cs-CZ"/>
        </w:rPr>
        <w:t>průběhu roku 2014</w:t>
      </w:r>
      <w:r w:rsidR="00CB69CB">
        <w:rPr>
          <w:rFonts w:asciiTheme="minorHAnsi" w:hAnsiTheme="minorHAnsi" w:cstheme="minorHAnsi"/>
          <w:b/>
          <w:bCs/>
          <w:lang w:val="cs-CZ"/>
        </w:rPr>
        <w:t>,</w:t>
      </w:r>
      <w:r w:rsidR="000A7E04" w:rsidRPr="00825540">
        <w:rPr>
          <w:rFonts w:asciiTheme="minorHAnsi" w:hAnsiTheme="minorHAnsi" w:cstheme="minorHAnsi"/>
          <w:b/>
          <w:bCs/>
          <w:lang w:val="cs-CZ"/>
        </w:rPr>
        <w:t xml:space="preserve"> a </w:t>
      </w:r>
      <w:r w:rsidR="0039526A" w:rsidRPr="00825540">
        <w:rPr>
          <w:rFonts w:asciiTheme="minorHAnsi" w:hAnsiTheme="minorHAnsi" w:cstheme="minorHAnsi"/>
          <w:b/>
          <w:bCs/>
          <w:lang w:val="cs-CZ"/>
        </w:rPr>
        <w:t>poskytlo tak peněžní prostředky v</w:t>
      </w:r>
      <w:r w:rsidR="00E9785A" w:rsidRPr="00825540">
        <w:rPr>
          <w:rFonts w:asciiTheme="minorHAnsi" w:hAnsiTheme="minorHAnsi" w:cstheme="minorHAnsi"/>
          <w:b/>
          <w:bCs/>
          <w:lang w:val="cs-CZ"/>
        </w:rPr>
        <w:t xml:space="preserve"> </w:t>
      </w:r>
      <w:r w:rsidR="0039526A" w:rsidRPr="00825540">
        <w:rPr>
          <w:rFonts w:asciiTheme="minorHAnsi" w:hAnsiTheme="minorHAnsi" w:cstheme="minorHAnsi"/>
          <w:b/>
          <w:bCs/>
          <w:lang w:val="cs-CZ"/>
        </w:rPr>
        <w:t>rozporu s</w:t>
      </w:r>
      <w:r w:rsidR="00E9785A" w:rsidRPr="00825540">
        <w:rPr>
          <w:rFonts w:asciiTheme="minorHAnsi" w:hAnsiTheme="minorHAnsi" w:cstheme="minorHAnsi"/>
          <w:b/>
          <w:bCs/>
          <w:lang w:val="cs-CZ"/>
        </w:rPr>
        <w:t xml:space="preserve"> </w:t>
      </w:r>
      <w:r w:rsidR="0039526A" w:rsidRPr="00825540">
        <w:rPr>
          <w:rFonts w:asciiTheme="minorHAnsi" w:hAnsiTheme="minorHAnsi" w:cstheme="minorHAnsi"/>
          <w:b/>
          <w:bCs/>
          <w:lang w:val="cs-CZ"/>
        </w:rPr>
        <w:t>věcným plněním</w:t>
      </w:r>
      <w:r w:rsidR="008C4137" w:rsidRPr="00825540">
        <w:rPr>
          <w:rFonts w:asciiTheme="minorHAnsi" w:hAnsiTheme="minorHAnsi" w:cstheme="minorHAnsi"/>
          <w:b/>
          <w:bCs/>
          <w:lang w:val="cs-CZ"/>
        </w:rPr>
        <w:t>.</w:t>
      </w:r>
      <w:r w:rsidR="0039526A" w:rsidRPr="00825540">
        <w:rPr>
          <w:rFonts w:asciiTheme="minorHAnsi" w:hAnsiTheme="minorHAnsi" w:cstheme="minorHAnsi"/>
          <w:b/>
          <w:bCs/>
          <w:lang w:val="cs-CZ"/>
        </w:rPr>
        <w:t xml:space="preserve"> </w:t>
      </w:r>
      <w:r w:rsidR="00EC240B" w:rsidRPr="00825540">
        <w:rPr>
          <w:rFonts w:asciiTheme="minorHAnsi" w:hAnsiTheme="minorHAnsi" w:cstheme="minorHAnsi"/>
          <w:b/>
          <w:bCs/>
          <w:lang w:val="cs-CZ"/>
        </w:rPr>
        <w:t xml:space="preserve">Tímto postupem se </w:t>
      </w:r>
      <w:proofErr w:type="spellStart"/>
      <w:r w:rsidR="00EC240B" w:rsidRPr="00825540">
        <w:rPr>
          <w:rFonts w:asciiTheme="minorHAnsi" w:hAnsiTheme="minorHAnsi" w:cstheme="minorHAnsi"/>
          <w:b/>
          <w:bCs/>
          <w:lang w:val="cs-CZ"/>
        </w:rPr>
        <w:t>MZe</w:t>
      </w:r>
      <w:proofErr w:type="spellEnd"/>
      <w:r w:rsidR="00EC240B" w:rsidRPr="00825540">
        <w:rPr>
          <w:rFonts w:asciiTheme="minorHAnsi" w:hAnsiTheme="minorHAnsi" w:cstheme="minorHAnsi"/>
          <w:b/>
          <w:bCs/>
          <w:lang w:val="cs-CZ"/>
        </w:rPr>
        <w:t xml:space="preserve"> dopust</w:t>
      </w:r>
      <w:r w:rsidR="007307E5" w:rsidRPr="00825540">
        <w:rPr>
          <w:rFonts w:asciiTheme="minorHAnsi" w:hAnsiTheme="minorHAnsi" w:cstheme="minorHAnsi"/>
          <w:b/>
          <w:bCs/>
          <w:lang w:val="cs-CZ"/>
        </w:rPr>
        <w:t>i</w:t>
      </w:r>
      <w:r w:rsidR="00EC240B" w:rsidRPr="00825540">
        <w:rPr>
          <w:rFonts w:asciiTheme="minorHAnsi" w:hAnsiTheme="minorHAnsi" w:cstheme="minorHAnsi"/>
          <w:b/>
          <w:bCs/>
          <w:lang w:val="cs-CZ"/>
        </w:rPr>
        <w:t>lo porušení rozpočtové kázně</w:t>
      </w:r>
      <w:r w:rsidR="007307E5" w:rsidRPr="00825540">
        <w:rPr>
          <w:rFonts w:asciiTheme="minorHAnsi" w:hAnsiTheme="minorHAnsi" w:cstheme="minorHAnsi"/>
          <w:b/>
          <w:bCs/>
          <w:lang w:val="cs-CZ"/>
        </w:rPr>
        <w:t xml:space="preserve"> ve smyslu ustanovení § 44 odst.</w:t>
      </w:r>
      <w:r w:rsidR="00842FF1" w:rsidRPr="00825540">
        <w:rPr>
          <w:rFonts w:asciiTheme="minorHAnsi" w:hAnsiTheme="minorHAnsi" w:cstheme="minorHAnsi"/>
          <w:b/>
          <w:bCs/>
          <w:lang w:val="cs-CZ"/>
        </w:rPr>
        <w:t xml:space="preserve"> </w:t>
      </w:r>
      <w:r w:rsidR="007307E5" w:rsidRPr="00825540">
        <w:rPr>
          <w:rFonts w:asciiTheme="minorHAnsi" w:hAnsiTheme="minorHAnsi" w:cstheme="minorHAnsi"/>
          <w:b/>
          <w:bCs/>
          <w:lang w:val="cs-CZ"/>
        </w:rPr>
        <w:t>1</w:t>
      </w:r>
      <w:r w:rsidR="00E9785A" w:rsidRPr="00825540">
        <w:rPr>
          <w:rFonts w:asciiTheme="minorHAnsi" w:hAnsiTheme="minorHAnsi" w:cstheme="minorHAnsi"/>
          <w:b/>
          <w:bCs/>
          <w:lang w:val="cs-CZ"/>
        </w:rPr>
        <w:t xml:space="preserve"> </w:t>
      </w:r>
      <w:r w:rsidR="007307E5" w:rsidRPr="00825540">
        <w:rPr>
          <w:rFonts w:asciiTheme="minorHAnsi" w:hAnsiTheme="minorHAnsi" w:cstheme="minorHAnsi"/>
          <w:b/>
          <w:bCs/>
          <w:lang w:val="cs-CZ"/>
        </w:rPr>
        <w:t xml:space="preserve">písm. f) zákona </w:t>
      </w:r>
      <w:r w:rsidR="00CB69CB">
        <w:rPr>
          <w:rFonts w:asciiTheme="minorHAnsi" w:hAnsiTheme="minorHAnsi" w:cstheme="minorHAnsi"/>
          <w:b/>
          <w:bCs/>
          <w:lang w:val="cs-CZ"/>
        </w:rPr>
        <w:t>č. </w:t>
      </w:r>
      <w:r w:rsidR="007307E5" w:rsidRPr="00825540">
        <w:rPr>
          <w:rFonts w:asciiTheme="minorHAnsi" w:hAnsiTheme="minorHAnsi" w:cstheme="minorHAnsi"/>
          <w:b/>
          <w:bCs/>
          <w:lang w:val="cs-CZ"/>
        </w:rPr>
        <w:t>218/200</w:t>
      </w:r>
      <w:r w:rsidR="00CB69CB">
        <w:rPr>
          <w:rFonts w:asciiTheme="minorHAnsi" w:hAnsiTheme="minorHAnsi" w:cstheme="minorHAnsi"/>
          <w:b/>
          <w:bCs/>
          <w:lang w:val="cs-CZ"/>
        </w:rPr>
        <w:t>0</w:t>
      </w:r>
      <w:r w:rsidR="007307E5" w:rsidRPr="00825540">
        <w:rPr>
          <w:rFonts w:asciiTheme="minorHAnsi" w:hAnsiTheme="minorHAnsi" w:cstheme="minorHAnsi"/>
          <w:b/>
          <w:bCs/>
          <w:lang w:val="cs-CZ"/>
        </w:rPr>
        <w:t xml:space="preserve"> Sb.</w:t>
      </w:r>
    </w:p>
    <w:p w14:paraId="472D64DE" w14:textId="458C7175" w:rsidR="001B67C2" w:rsidRPr="003A22F1" w:rsidRDefault="001B67C2" w:rsidP="00825540">
      <w:pPr>
        <w:ind w:left="284"/>
        <w:jc w:val="both"/>
        <w:rPr>
          <w:rFonts w:asciiTheme="minorHAnsi" w:hAnsiTheme="minorHAnsi" w:cstheme="minorHAnsi"/>
          <w:bCs/>
          <w:lang w:val="cs-CZ"/>
        </w:rPr>
      </w:pPr>
      <w:r w:rsidRPr="003A22F1">
        <w:rPr>
          <w:rFonts w:asciiTheme="minorHAnsi" w:hAnsiTheme="minorHAnsi" w:cstheme="minorHAnsi"/>
          <w:bCs/>
          <w:lang w:val="cs-CZ"/>
        </w:rPr>
        <w:t xml:space="preserve">Výši peněžních prostředků vynaložených na jazykové vzdělávání zaměstnanců </w:t>
      </w:r>
      <w:proofErr w:type="spellStart"/>
      <w:r w:rsidRPr="003A22F1">
        <w:rPr>
          <w:rFonts w:asciiTheme="minorHAnsi" w:hAnsiTheme="minorHAnsi" w:cstheme="minorHAnsi"/>
          <w:bCs/>
          <w:lang w:val="cs-CZ"/>
        </w:rPr>
        <w:t>MZe</w:t>
      </w:r>
      <w:proofErr w:type="spellEnd"/>
      <w:r w:rsidRPr="003A22F1">
        <w:rPr>
          <w:rFonts w:asciiTheme="minorHAnsi" w:hAnsiTheme="minorHAnsi" w:cstheme="minorHAnsi"/>
          <w:bCs/>
          <w:lang w:val="cs-CZ"/>
        </w:rPr>
        <w:t xml:space="preserve"> v roce 2013 ovlivnily úhrady faktur v</w:t>
      </w:r>
      <w:r w:rsidR="00E9785A" w:rsidRPr="003A22F1">
        <w:rPr>
          <w:rFonts w:asciiTheme="minorHAnsi" w:hAnsiTheme="minorHAnsi" w:cstheme="minorHAnsi"/>
          <w:bCs/>
          <w:lang w:val="cs-CZ"/>
        </w:rPr>
        <w:t xml:space="preserve"> </w:t>
      </w:r>
      <w:r w:rsidRPr="003A22F1">
        <w:rPr>
          <w:rFonts w:asciiTheme="minorHAnsi" w:hAnsiTheme="minorHAnsi" w:cstheme="minorHAnsi"/>
          <w:bCs/>
          <w:lang w:val="cs-CZ"/>
        </w:rPr>
        <w:t xml:space="preserve">závěru roku 2013 za jazykové vzdělávání, jehož </w:t>
      </w:r>
      <w:r w:rsidR="0071769D" w:rsidRPr="003A22F1">
        <w:rPr>
          <w:rFonts w:asciiTheme="minorHAnsi" w:hAnsiTheme="minorHAnsi" w:cstheme="minorHAnsi"/>
          <w:bCs/>
          <w:lang w:val="cs-CZ"/>
        </w:rPr>
        <w:t>uskutečnění bylo plánováno</w:t>
      </w:r>
      <w:r w:rsidRPr="003A22F1">
        <w:rPr>
          <w:rFonts w:asciiTheme="minorHAnsi" w:hAnsiTheme="minorHAnsi" w:cstheme="minorHAnsi"/>
          <w:bCs/>
          <w:lang w:val="cs-CZ"/>
        </w:rPr>
        <w:t xml:space="preserve"> v roce 2014. V</w:t>
      </w:r>
      <w:r w:rsidR="00E9785A" w:rsidRPr="003A22F1">
        <w:rPr>
          <w:rFonts w:asciiTheme="minorHAnsi" w:hAnsiTheme="minorHAnsi" w:cstheme="minorHAnsi"/>
          <w:bCs/>
          <w:lang w:val="cs-CZ"/>
        </w:rPr>
        <w:t xml:space="preserve"> </w:t>
      </w:r>
      <w:r w:rsidRPr="003A22F1">
        <w:rPr>
          <w:rFonts w:asciiTheme="minorHAnsi" w:hAnsiTheme="minorHAnsi" w:cstheme="minorHAnsi"/>
          <w:bCs/>
          <w:lang w:val="cs-CZ"/>
        </w:rPr>
        <w:t xml:space="preserve">některých případech bylo zjištěno, že </w:t>
      </w:r>
      <w:proofErr w:type="spellStart"/>
      <w:r w:rsidRPr="003A22F1">
        <w:rPr>
          <w:rFonts w:asciiTheme="minorHAnsi" w:hAnsiTheme="minorHAnsi" w:cstheme="minorHAnsi"/>
          <w:bCs/>
          <w:lang w:val="cs-CZ"/>
        </w:rPr>
        <w:t>MZe</w:t>
      </w:r>
      <w:proofErr w:type="spellEnd"/>
      <w:r w:rsidRPr="003A22F1">
        <w:rPr>
          <w:rFonts w:asciiTheme="minorHAnsi" w:hAnsiTheme="minorHAnsi" w:cstheme="minorHAnsi"/>
          <w:bCs/>
          <w:lang w:val="cs-CZ"/>
        </w:rPr>
        <w:t xml:space="preserve"> v</w:t>
      </w:r>
      <w:r w:rsidR="00E9785A" w:rsidRPr="003A22F1">
        <w:rPr>
          <w:rFonts w:asciiTheme="minorHAnsi" w:hAnsiTheme="minorHAnsi" w:cstheme="minorHAnsi"/>
          <w:bCs/>
          <w:lang w:val="cs-CZ"/>
        </w:rPr>
        <w:t xml:space="preserve"> </w:t>
      </w:r>
      <w:r w:rsidRPr="003A22F1">
        <w:rPr>
          <w:rFonts w:asciiTheme="minorHAnsi" w:hAnsiTheme="minorHAnsi" w:cstheme="minorHAnsi"/>
          <w:bCs/>
          <w:lang w:val="cs-CZ"/>
        </w:rPr>
        <w:t xml:space="preserve">prosinci 2013 uhradilo </w:t>
      </w:r>
      <w:r w:rsidR="00CB69CB" w:rsidRPr="003A22F1">
        <w:rPr>
          <w:rFonts w:asciiTheme="minorHAnsi" w:hAnsiTheme="minorHAnsi" w:cstheme="minorHAnsi"/>
          <w:bCs/>
          <w:lang w:val="cs-CZ"/>
        </w:rPr>
        <w:t xml:space="preserve">peněžní prostředky ve výši 2 479 398 Kč </w:t>
      </w:r>
      <w:r w:rsidRPr="003A22F1">
        <w:rPr>
          <w:rFonts w:asciiTheme="minorHAnsi" w:hAnsiTheme="minorHAnsi" w:cstheme="minorHAnsi"/>
          <w:bCs/>
          <w:lang w:val="cs-CZ"/>
        </w:rPr>
        <w:t>za jazykové vzdělávání zaměstnanců, jehož realizace byla plánov</w:t>
      </w:r>
      <w:r w:rsidR="00CB69CB">
        <w:rPr>
          <w:rFonts w:asciiTheme="minorHAnsi" w:hAnsiTheme="minorHAnsi" w:cstheme="minorHAnsi"/>
          <w:bCs/>
          <w:lang w:val="cs-CZ"/>
        </w:rPr>
        <w:t>á</w:t>
      </w:r>
      <w:r w:rsidRPr="003A22F1">
        <w:rPr>
          <w:rFonts w:asciiTheme="minorHAnsi" w:hAnsiTheme="minorHAnsi" w:cstheme="minorHAnsi"/>
          <w:bCs/>
          <w:lang w:val="cs-CZ"/>
        </w:rPr>
        <w:t>n</w:t>
      </w:r>
      <w:r w:rsidR="00CB69CB">
        <w:rPr>
          <w:rFonts w:asciiTheme="minorHAnsi" w:hAnsiTheme="minorHAnsi" w:cstheme="minorHAnsi"/>
          <w:bCs/>
          <w:lang w:val="cs-CZ"/>
        </w:rPr>
        <w:t>a</w:t>
      </w:r>
      <w:r w:rsidRPr="003A22F1">
        <w:rPr>
          <w:rFonts w:asciiTheme="minorHAnsi" w:hAnsiTheme="minorHAnsi" w:cstheme="minorHAnsi"/>
          <w:bCs/>
          <w:lang w:val="cs-CZ"/>
        </w:rPr>
        <w:t xml:space="preserve"> až v</w:t>
      </w:r>
      <w:r w:rsidR="00CB69CB">
        <w:rPr>
          <w:rFonts w:asciiTheme="minorHAnsi" w:hAnsiTheme="minorHAnsi" w:cstheme="minorHAnsi"/>
          <w:bCs/>
          <w:lang w:val="cs-CZ"/>
        </w:rPr>
        <w:t> </w:t>
      </w:r>
      <w:r w:rsidRPr="003A22F1">
        <w:rPr>
          <w:rFonts w:asciiTheme="minorHAnsi" w:hAnsiTheme="minorHAnsi" w:cstheme="minorHAnsi"/>
          <w:bCs/>
          <w:lang w:val="cs-CZ"/>
        </w:rPr>
        <w:t>průběhu roku 2014</w:t>
      </w:r>
      <w:r w:rsidR="00C920AE" w:rsidRPr="003A22F1">
        <w:rPr>
          <w:rFonts w:asciiTheme="minorHAnsi" w:hAnsiTheme="minorHAnsi" w:cstheme="minorHAnsi"/>
          <w:bCs/>
          <w:lang w:val="cs-CZ"/>
        </w:rPr>
        <w:t>. V</w:t>
      </w:r>
      <w:r w:rsidR="00E9785A" w:rsidRPr="003A22F1">
        <w:rPr>
          <w:rFonts w:asciiTheme="minorHAnsi" w:hAnsiTheme="minorHAnsi" w:cstheme="minorHAnsi"/>
          <w:bCs/>
          <w:lang w:val="cs-CZ"/>
        </w:rPr>
        <w:t xml:space="preserve"> </w:t>
      </w:r>
      <w:r w:rsidR="00C920AE" w:rsidRPr="003A22F1">
        <w:rPr>
          <w:rFonts w:asciiTheme="minorHAnsi" w:hAnsiTheme="minorHAnsi" w:cstheme="minorHAnsi"/>
          <w:bCs/>
          <w:lang w:val="cs-CZ"/>
        </w:rPr>
        <w:t>jednom případě se jednalo o </w:t>
      </w:r>
      <w:r w:rsidRPr="003A22F1">
        <w:rPr>
          <w:rFonts w:asciiTheme="minorHAnsi" w:hAnsiTheme="minorHAnsi" w:cstheme="minorHAnsi"/>
          <w:bCs/>
          <w:lang w:val="cs-CZ"/>
        </w:rPr>
        <w:t>předplacení jazykového</w:t>
      </w:r>
      <w:r w:rsidR="007D4CA5" w:rsidRPr="003A22F1">
        <w:rPr>
          <w:rFonts w:asciiTheme="minorHAnsi" w:hAnsiTheme="minorHAnsi" w:cstheme="minorHAnsi"/>
          <w:bCs/>
          <w:lang w:val="cs-CZ"/>
        </w:rPr>
        <w:t xml:space="preserve"> vzdělávání ve výši 1</w:t>
      </w:r>
      <w:r w:rsidR="00CB69CB">
        <w:rPr>
          <w:rFonts w:asciiTheme="minorHAnsi" w:hAnsiTheme="minorHAnsi" w:cstheme="minorHAnsi"/>
          <w:bCs/>
          <w:lang w:val="cs-CZ"/>
        </w:rPr>
        <w:t> </w:t>
      </w:r>
      <w:r w:rsidR="007D4CA5" w:rsidRPr="003A22F1">
        <w:rPr>
          <w:rFonts w:asciiTheme="minorHAnsi" w:hAnsiTheme="minorHAnsi" w:cstheme="minorHAnsi"/>
          <w:bCs/>
          <w:lang w:val="cs-CZ"/>
        </w:rPr>
        <w:t>412</w:t>
      </w:r>
      <w:r w:rsidR="00CB69CB">
        <w:rPr>
          <w:rFonts w:asciiTheme="minorHAnsi" w:hAnsiTheme="minorHAnsi" w:cstheme="minorHAnsi"/>
          <w:bCs/>
          <w:lang w:val="cs-CZ"/>
        </w:rPr>
        <w:t> </w:t>
      </w:r>
      <w:r w:rsidR="007D4CA5" w:rsidRPr="003A22F1">
        <w:rPr>
          <w:rFonts w:asciiTheme="minorHAnsi" w:hAnsiTheme="minorHAnsi" w:cstheme="minorHAnsi"/>
          <w:bCs/>
          <w:lang w:val="cs-CZ"/>
        </w:rPr>
        <w:t>720</w:t>
      </w:r>
      <w:r w:rsidR="00CB69CB">
        <w:rPr>
          <w:rFonts w:asciiTheme="minorHAnsi" w:hAnsiTheme="minorHAnsi" w:cstheme="minorHAnsi"/>
          <w:bCs/>
          <w:lang w:val="cs-CZ"/>
        </w:rPr>
        <w:t> </w:t>
      </w:r>
      <w:r w:rsidRPr="003A22F1">
        <w:rPr>
          <w:rFonts w:asciiTheme="minorHAnsi" w:hAnsiTheme="minorHAnsi" w:cstheme="minorHAnsi"/>
          <w:bCs/>
          <w:lang w:val="cs-CZ"/>
        </w:rPr>
        <w:t xml:space="preserve">Kč jednomu poskytovateli. </w:t>
      </w:r>
    </w:p>
    <w:p w14:paraId="33836BE5" w14:textId="12A62608" w:rsidR="00AA20F7" w:rsidRPr="00825540" w:rsidRDefault="00AA20F7" w:rsidP="00825540">
      <w:pPr>
        <w:pStyle w:val="Odstavecseseznamem"/>
        <w:numPr>
          <w:ilvl w:val="1"/>
          <w:numId w:val="38"/>
        </w:numPr>
        <w:ind w:left="284" w:hanging="284"/>
        <w:jc w:val="both"/>
        <w:rPr>
          <w:rFonts w:asciiTheme="minorHAnsi" w:hAnsiTheme="minorHAnsi" w:cstheme="minorHAnsi"/>
          <w:b/>
          <w:bCs/>
          <w:lang w:val="cs-CZ"/>
        </w:rPr>
      </w:pPr>
      <w:proofErr w:type="spellStart"/>
      <w:r w:rsidRPr="00825540">
        <w:rPr>
          <w:rFonts w:asciiTheme="minorHAnsi" w:hAnsiTheme="minorHAnsi" w:cstheme="minorHAnsi"/>
          <w:b/>
          <w:bCs/>
          <w:lang w:val="cs-CZ"/>
        </w:rPr>
        <w:t>MZe</w:t>
      </w:r>
      <w:proofErr w:type="spellEnd"/>
      <w:r w:rsidRPr="00825540">
        <w:rPr>
          <w:rFonts w:asciiTheme="minorHAnsi" w:hAnsiTheme="minorHAnsi" w:cstheme="minorHAnsi"/>
          <w:b/>
          <w:bCs/>
          <w:lang w:val="cs-CZ"/>
        </w:rPr>
        <w:t xml:space="preserve">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roce 2013 účtovalo o předplacení jazykového vzdě</w:t>
      </w:r>
      <w:r w:rsidR="007D7BC6" w:rsidRPr="00825540">
        <w:rPr>
          <w:rFonts w:asciiTheme="minorHAnsi" w:hAnsiTheme="minorHAnsi" w:cstheme="minorHAnsi"/>
          <w:b/>
          <w:bCs/>
          <w:lang w:val="cs-CZ"/>
        </w:rPr>
        <w:t xml:space="preserve">lávání na rok 2014 </w:t>
      </w:r>
      <w:r w:rsidR="00337F85" w:rsidRPr="00825540">
        <w:rPr>
          <w:rFonts w:asciiTheme="minorHAnsi" w:hAnsiTheme="minorHAnsi" w:cstheme="minorHAnsi"/>
          <w:b/>
          <w:bCs/>
          <w:lang w:val="cs-CZ"/>
        </w:rPr>
        <w:t>do nákladů,</w:t>
      </w:r>
      <w:r w:rsidRPr="00825540">
        <w:rPr>
          <w:rFonts w:asciiTheme="minorHAnsi" w:hAnsiTheme="minorHAnsi" w:cstheme="minorHAnsi"/>
          <w:b/>
          <w:bCs/>
          <w:lang w:val="cs-CZ"/>
        </w:rPr>
        <w:t xml:space="preserve"> čímž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rozvaze sestavené k</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 xml:space="preserve">31. 12. 2013 podhodnotilo položku </w:t>
      </w:r>
      <w:proofErr w:type="gramStart"/>
      <w:r w:rsidRPr="00825540">
        <w:rPr>
          <w:rFonts w:asciiTheme="minorHAnsi" w:hAnsiTheme="minorHAnsi" w:cstheme="minorHAnsi"/>
          <w:b/>
          <w:bCs/>
          <w:lang w:val="cs-CZ"/>
        </w:rPr>
        <w:t xml:space="preserve">rozvahy </w:t>
      </w:r>
      <w:r w:rsidRPr="009464B0">
        <w:rPr>
          <w:rFonts w:asciiTheme="minorHAnsi" w:hAnsiTheme="minorHAnsi" w:cstheme="minorHAnsi"/>
          <w:b/>
          <w:bCs/>
          <w:i/>
          <w:lang w:val="cs-CZ"/>
        </w:rPr>
        <w:t>B.II</w:t>
      </w:r>
      <w:proofErr w:type="gramEnd"/>
      <w:r w:rsidRPr="009464B0">
        <w:rPr>
          <w:rFonts w:asciiTheme="minorHAnsi" w:hAnsiTheme="minorHAnsi" w:cstheme="minorHAnsi"/>
          <w:b/>
          <w:bCs/>
          <w:i/>
          <w:lang w:val="cs-CZ"/>
        </w:rPr>
        <w:t>.25</w:t>
      </w:r>
      <w:r w:rsidRPr="00825540">
        <w:rPr>
          <w:rFonts w:asciiTheme="minorHAnsi" w:hAnsiTheme="minorHAnsi" w:cstheme="minorHAnsi"/>
          <w:b/>
          <w:bCs/>
          <w:lang w:val="cs-CZ"/>
        </w:rPr>
        <w:t xml:space="preserve"> </w:t>
      </w:r>
      <w:r w:rsidRPr="00825540">
        <w:rPr>
          <w:rFonts w:asciiTheme="minorHAnsi" w:hAnsiTheme="minorHAnsi" w:cstheme="minorHAnsi"/>
          <w:b/>
          <w:bCs/>
          <w:i/>
          <w:lang w:val="cs-CZ"/>
        </w:rPr>
        <w:t xml:space="preserve">Náklady </w:t>
      </w:r>
      <w:r w:rsidRPr="00825540">
        <w:rPr>
          <w:rFonts w:asciiTheme="minorHAnsi" w:hAnsiTheme="minorHAnsi" w:cstheme="minorHAnsi"/>
          <w:b/>
          <w:bCs/>
          <w:i/>
          <w:lang w:val="cs-CZ"/>
        </w:rPr>
        <w:lastRenderedPageBreak/>
        <w:t>příštích období</w:t>
      </w:r>
      <w:r w:rsidR="007D4CA5" w:rsidRPr="00825540">
        <w:rPr>
          <w:rFonts w:asciiTheme="minorHAnsi" w:hAnsiTheme="minorHAnsi" w:cstheme="minorHAnsi"/>
          <w:b/>
          <w:bCs/>
          <w:lang w:val="cs-CZ"/>
        </w:rPr>
        <w:t xml:space="preserve"> o částku 2</w:t>
      </w:r>
      <w:r w:rsidR="00E9785A" w:rsidRPr="00825540">
        <w:rPr>
          <w:rFonts w:asciiTheme="minorHAnsi" w:hAnsiTheme="minorHAnsi" w:cstheme="minorHAnsi"/>
          <w:b/>
          <w:bCs/>
          <w:lang w:val="cs-CZ"/>
        </w:rPr>
        <w:t xml:space="preserve"> </w:t>
      </w:r>
      <w:r w:rsidR="007D4CA5" w:rsidRPr="00825540">
        <w:rPr>
          <w:rFonts w:asciiTheme="minorHAnsi" w:hAnsiTheme="minorHAnsi" w:cstheme="minorHAnsi"/>
          <w:b/>
          <w:bCs/>
          <w:lang w:val="cs-CZ"/>
        </w:rPr>
        <w:t>479</w:t>
      </w:r>
      <w:r w:rsidR="00E9785A" w:rsidRPr="00825540">
        <w:rPr>
          <w:rFonts w:asciiTheme="minorHAnsi" w:hAnsiTheme="minorHAnsi" w:cstheme="minorHAnsi"/>
          <w:b/>
          <w:bCs/>
          <w:lang w:val="cs-CZ"/>
        </w:rPr>
        <w:t xml:space="preserve"> </w:t>
      </w:r>
      <w:r w:rsidR="007D4CA5" w:rsidRPr="00825540">
        <w:rPr>
          <w:rFonts w:asciiTheme="minorHAnsi" w:hAnsiTheme="minorHAnsi" w:cstheme="minorHAnsi"/>
          <w:b/>
          <w:bCs/>
          <w:lang w:val="cs-CZ"/>
        </w:rPr>
        <w:t>398</w:t>
      </w:r>
      <w:r w:rsidRPr="00825540">
        <w:rPr>
          <w:rFonts w:asciiTheme="minorHAnsi" w:hAnsiTheme="minorHAnsi" w:cstheme="minorHAnsi"/>
          <w:b/>
          <w:bCs/>
          <w:lang w:val="cs-CZ"/>
        </w:rPr>
        <w:t xml:space="preserve"> Kč. </w:t>
      </w:r>
      <w:proofErr w:type="spellStart"/>
      <w:r w:rsidR="00620151" w:rsidRPr="00825540">
        <w:rPr>
          <w:rFonts w:asciiTheme="minorHAnsi" w:hAnsiTheme="minorHAnsi" w:cstheme="minorHAnsi"/>
          <w:b/>
          <w:bCs/>
          <w:lang w:val="cs-CZ"/>
        </w:rPr>
        <w:t>MZe</w:t>
      </w:r>
      <w:proofErr w:type="spellEnd"/>
      <w:r w:rsidR="00620151" w:rsidRPr="00825540">
        <w:rPr>
          <w:rFonts w:asciiTheme="minorHAnsi" w:hAnsiTheme="minorHAnsi" w:cstheme="minorHAnsi"/>
          <w:b/>
          <w:bCs/>
          <w:lang w:val="cs-CZ"/>
        </w:rPr>
        <w:t xml:space="preserve"> tak </w:t>
      </w:r>
      <w:r w:rsidRPr="00825540">
        <w:rPr>
          <w:rFonts w:asciiTheme="minorHAnsi" w:hAnsiTheme="minorHAnsi" w:cstheme="minorHAnsi"/>
          <w:b/>
          <w:bCs/>
          <w:lang w:val="cs-CZ"/>
        </w:rPr>
        <w:t>nepostup</w:t>
      </w:r>
      <w:r w:rsidR="005B38F9" w:rsidRPr="00825540">
        <w:rPr>
          <w:rFonts w:asciiTheme="minorHAnsi" w:hAnsiTheme="minorHAnsi" w:cstheme="minorHAnsi"/>
          <w:b/>
          <w:bCs/>
          <w:lang w:val="cs-CZ"/>
        </w:rPr>
        <w:t>ovalo v</w:t>
      </w:r>
      <w:r w:rsidR="00E9785A" w:rsidRPr="00825540">
        <w:rPr>
          <w:rFonts w:asciiTheme="minorHAnsi" w:hAnsiTheme="minorHAnsi" w:cstheme="minorHAnsi"/>
          <w:b/>
          <w:bCs/>
          <w:lang w:val="cs-CZ"/>
        </w:rPr>
        <w:t xml:space="preserve"> </w:t>
      </w:r>
      <w:r w:rsidR="005B38F9" w:rsidRPr="00825540">
        <w:rPr>
          <w:rFonts w:asciiTheme="minorHAnsi" w:hAnsiTheme="minorHAnsi" w:cstheme="minorHAnsi"/>
          <w:b/>
          <w:bCs/>
          <w:lang w:val="cs-CZ"/>
        </w:rPr>
        <w:t>souladu s</w:t>
      </w:r>
      <w:r w:rsidR="00E9785A" w:rsidRPr="00825540">
        <w:rPr>
          <w:rFonts w:asciiTheme="minorHAnsi" w:hAnsiTheme="minorHAnsi" w:cstheme="minorHAnsi"/>
          <w:b/>
          <w:bCs/>
          <w:lang w:val="cs-CZ"/>
        </w:rPr>
        <w:t xml:space="preserve"> </w:t>
      </w:r>
      <w:r w:rsidR="005B38F9" w:rsidRPr="00825540">
        <w:rPr>
          <w:rFonts w:asciiTheme="minorHAnsi" w:hAnsiTheme="minorHAnsi" w:cstheme="minorHAnsi"/>
          <w:b/>
          <w:bCs/>
          <w:lang w:val="cs-CZ"/>
        </w:rPr>
        <w:t>ustanovením § </w:t>
      </w:r>
      <w:r w:rsidRPr="00825540">
        <w:rPr>
          <w:rFonts w:asciiTheme="minorHAnsi" w:hAnsiTheme="minorHAnsi" w:cstheme="minorHAnsi"/>
          <w:b/>
          <w:bCs/>
          <w:lang w:val="cs-CZ"/>
        </w:rPr>
        <w:t xml:space="preserve">4 odst. 8 zákona č. 563/1991 Sb. </w:t>
      </w:r>
      <w:r w:rsidR="0012538A" w:rsidRPr="00825540">
        <w:rPr>
          <w:rFonts w:asciiTheme="minorHAnsi" w:hAnsiTheme="minorHAnsi" w:cstheme="minorHAnsi"/>
          <w:b/>
          <w:bCs/>
          <w:lang w:val="cs-CZ"/>
        </w:rPr>
        <w:t>J</w:t>
      </w:r>
      <w:r w:rsidR="00620151" w:rsidRPr="00825540">
        <w:rPr>
          <w:rFonts w:asciiTheme="minorHAnsi" w:hAnsiTheme="minorHAnsi" w:cstheme="minorHAnsi"/>
          <w:b/>
          <w:bCs/>
          <w:lang w:val="cs-CZ"/>
        </w:rPr>
        <w:t>eho ú</w:t>
      </w:r>
      <w:r w:rsidRPr="00825540">
        <w:rPr>
          <w:rFonts w:asciiTheme="minorHAnsi" w:hAnsiTheme="minorHAnsi" w:cstheme="minorHAnsi"/>
          <w:b/>
          <w:bCs/>
          <w:lang w:val="cs-CZ"/>
        </w:rPr>
        <w:t>četnictví nebylo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roce 2013 správné.</w:t>
      </w:r>
    </w:p>
    <w:p w14:paraId="53CF0276" w14:textId="26F08F3C" w:rsidR="00AF1173" w:rsidRPr="003A22F1" w:rsidRDefault="00AF1173" w:rsidP="00825540">
      <w:pPr>
        <w:pStyle w:val="TextKP"/>
        <w:numPr>
          <w:ilvl w:val="1"/>
          <w:numId w:val="38"/>
        </w:numPr>
        <w:spacing w:before="0"/>
        <w:ind w:left="284" w:hanging="284"/>
        <w:rPr>
          <w:b/>
        </w:rPr>
      </w:pPr>
      <w:r w:rsidRPr="003A22F1">
        <w:rPr>
          <w:b/>
        </w:rPr>
        <w:t xml:space="preserve">MO v oznámení o </w:t>
      </w:r>
      <w:r w:rsidR="00C727D1" w:rsidRPr="003A22F1">
        <w:rPr>
          <w:b/>
        </w:rPr>
        <w:t>zahájení zadávacího řízení</w:t>
      </w:r>
      <w:r w:rsidRPr="003A22F1">
        <w:rPr>
          <w:b/>
        </w:rPr>
        <w:t xml:space="preserve"> </w:t>
      </w:r>
      <w:r w:rsidR="00CB69CB">
        <w:rPr>
          <w:b/>
        </w:rPr>
        <w:t xml:space="preserve">u veřejné zakázky s názvem </w:t>
      </w:r>
      <w:r w:rsidR="009529B4" w:rsidRPr="003A22F1">
        <w:rPr>
          <w:b/>
          <w:i/>
        </w:rPr>
        <w:t>Jazyková výuka anglického jazyka podle normy STANAG 6001 pro roky 2012</w:t>
      </w:r>
      <w:r w:rsidR="00E9785A" w:rsidRPr="003A22F1">
        <w:rPr>
          <w:b/>
          <w:i/>
        </w:rPr>
        <w:t>–</w:t>
      </w:r>
      <w:r w:rsidR="009529B4" w:rsidRPr="003A22F1">
        <w:rPr>
          <w:b/>
          <w:i/>
        </w:rPr>
        <w:t xml:space="preserve">2014 </w:t>
      </w:r>
      <w:r w:rsidRPr="003A22F1">
        <w:rPr>
          <w:b/>
        </w:rPr>
        <w:t xml:space="preserve">nevymezilo dostatečným způsobem požadavky na </w:t>
      </w:r>
      <w:r w:rsidR="00933F33" w:rsidRPr="003A22F1">
        <w:rPr>
          <w:b/>
        </w:rPr>
        <w:t xml:space="preserve">prokázání </w:t>
      </w:r>
      <w:r w:rsidRPr="003A22F1">
        <w:rPr>
          <w:b/>
        </w:rPr>
        <w:t xml:space="preserve">splnění technických a ekonomických kvalifikačních předpokladů, a tím porušilo ustanovení </w:t>
      </w:r>
      <w:r w:rsidR="00CB69CB">
        <w:rPr>
          <w:b/>
        </w:rPr>
        <w:t>§ 50 odst. 2 zákona č. 137/2006 </w:t>
      </w:r>
      <w:r w:rsidRPr="003A22F1">
        <w:rPr>
          <w:b/>
        </w:rPr>
        <w:t>Sb. Pochybení MO ve fázi zahájení zadávacího řízení</w:t>
      </w:r>
      <w:r w:rsidR="00E9785A" w:rsidRPr="003A22F1">
        <w:rPr>
          <w:b/>
        </w:rPr>
        <w:t xml:space="preserve"> </w:t>
      </w:r>
      <w:r w:rsidRPr="003A22F1">
        <w:rPr>
          <w:b/>
        </w:rPr>
        <w:t>mohlo mít vliv na okruh potenciálních dodavatelů a výběr nejvhodnější nabídky.</w:t>
      </w:r>
    </w:p>
    <w:p w14:paraId="479E53A4" w14:textId="093031E8" w:rsidR="001B67C2" w:rsidRDefault="001B67C2" w:rsidP="00825540">
      <w:pPr>
        <w:pStyle w:val="TextKP"/>
        <w:spacing w:before="0"/>
        <w:ind w:left="284"/>
      </w:pPr>
      <w:r w:rsidRPr="003A22F1">
        <w:t>MO ve fázi zahájení zadávacího řízení na výuku anglického jazyka v</w:t>
      </w:r>
      <w:r w:rsidR="00E9785A" w:rsidRPr="003A22F1">
        <w:t xml:space="preserve"> </w:t>
      </w:r>
      <w:r w:rsidRPr="003A22F1">
        <w:t xml:space="preserve">rámci veřejné zakázky </w:t>
      </w:r>
      <w:r w:rsidRPr="003A22F1">
        <w:rPr>
          <w:i/>
        </w:rPr>
        <w:t>Jazyková výuka anglického jazyka podle normy STANAG 6001 pro roky 2012</w:t>
      </w:r>
      <w:r w:rsidR="00E9785A" w:rsidRPr="003A22F1">
        <w:rPr>
          <w:i/>
        </w:rPr>
        <w:t>–</w:t>
      </w:r>
      <w:r w:rsidRPr="003A22F1">
        <w:rPr>
          <w:i/>
        </w:rPr>
        <w:t>2014</w:t>
      </w:r>
      <w:r w:rsidRPr="003A22F1">
        <w:rPr>
          <w:b/>
          <w:i/>
        </w:rPr>
        <w:t xml:space="preserve"> </w:t>
      </w:r>
      <w:r w:rsidRPr="003A22F1">
        <w:t>pochybilo, když v</w:t>
      </w:r>
      <w:r w:rsidR="00E9785A" w:rsidRPr="003A22F1">
        <w:t xml:space="preserve"> </w:t>
      </w:r>
      <w:r w:rsidRPr="003A22F1">
        <w:t xml:space="preserve">oznámení o zakázce oddíle </w:t>
      </w:r>
      <w:proofErr w:type="gramStart"/>
      <w:r w:rsidRPr="003A22F1">
        <w:rPr>
          <w:i/>
        </w:rPr>
        <w:t>III.2.2</w:t>
      </w:r>
      <w:proofErr w:type="gramEnd"/>
      <w:r w:rsidRPr="003A22F1">
        <w:t xml:space="preserve"> </w:t>
      </w:r>
      <w:r w:rsidRPr="003A22F1">
        <w:rPr>
          <w:i/>
        </w:rPr>
        <w:t>Ekonomická a finanční způsobilost</w:t>
      </w:r>
      <w:r w:rsidRPr="003A22F1">
        <w:t xml:space="preserve"> a oddíle </w:t>
      </w:r>
      <w:r w:rsidRPr="003A22F1">
        <w:rPr>
          <w:i/>
        </w:rPr>
        <w:t>III.2.3</w:t>
      </w:r>
      <w:r w:rsidRPr="003A22F1">
        <w:t xml:space="preserve"> </w:t>
      </w:r>
      <w:r w:rsidRPr="003A22F1">
        <w:rPr>
          <w:i/>
        </w:rPr>
        <w:t>Technická způsobilost</w:t>
      </w:r>
      <w:r w:rsidRPr="003A22F1">
        <w:t xml:space="preserve"> uvedlo pouze odkaz na kvalifikační předpoklady prostřednictvím označení příslušného paragrafu v zákoně č. 137/2006 Sb. MO</w:t>
      </w:r>
      <w:r w:rsidR="00E9785A" w:rsidRPr="003A22F1">
        <w:t xml:space="preserve"> </w:t>
      </w:r>
      <w:r w:rsidRPr="003A22F1">
        <w:t>mohlo tímto postupem ovlivnit okruh potenciálních dodavatelů a výběr nejvhodnější nabídky.</w:t>
      </w:r>
    </w:p>
    <w:p w14:paraId="1FFB8E33" w14:textId="1AABE3D1" w:rsidR="001E3A0B" w:rsidRPr="003A22F1" w:rsidRDefault="000F41D2" w:rsidP="003A22F1">
      <w:pPr>
        <w:pStyle w:val="TextKP"/>
        <w:numPr>
          <w:ilvl w:val="1"/>
          <w:numId w:val="36"/>
        </w:numPr>
        <w:spacing w:before="0"/>
        <w:ind w:left="284" w:hanging="284"/>
        <w:rPr>
          <w:b/>
        </w:rPr>
      </w:pPr>
      <w:r w:rsidRPr="003A22F1">
        <w:rPr>
          <w:b/>
        </w:rPr>
        <w:t>H</w:t>
      </w:r>
      <w:r w:rsidR="001E3A0B" w:rsidRPr="003A22F1">
        <w:rPr>
          <w:b/>
        </w:rPr>
        <w:t>odnot</w:t>
      </w:r>
      <w:r w:rsidR="0064379C">
        <w:rPr>
          <w:b/>
        </w:rPr>
        <w:t>i</w:t>
      </w:r>
      <w:r w:rsidR="001E3A0B" w:rsidRPr="003A22F1">
        <w:rPr>
          <w:b/>
        </w:rPr>
        <w:t xml:space="preserve">cí komise nevyřadila nabídku uchazeče, která nesplňovala požadavky </w:t>
      </w:r>
      <w:r w:rsidR="00C727D1" w:rsidRPr="003A22F1">
        <w:rPr>
          <w:b/>
        </w:rPr>
        <w:t xml:space="preserve">MO </w:t>
      </w:r>
      <w:r w:rsidR="001E3A0B" w:rsidRPr="003A22F1">
        <w:rPr>
          <w:b/>
        </w:rPr>
        <w:t>uvedené v</w:t>
      </w:r>
      <w:r w:rsidR="00E9785A" w:rsidRPr="003A22F1">
        <w:rPr>
          <w:b/>
        </w:rPr>
        <w:t xml:space="preserve"> </w:t>
      </w:r>
      <w:r w:rsidR="001E3A0B" w:rsidRPr="003A22F1">
        <w:rPr>
          <w:b/>
        </w:rPr>
        <w:t xml:space="preserve">zadávacích podmínkách </w:t>
      </w:r>
      <w:r w:rsidR="00851C3A" w:rsidRPr="003A22F1">
        <w:rPr>
          <w:b/>
        </w:rPr>
        <w:t xml:space="preserve">veřejné </w:t>
      </w:r>
      <w:r w:rsidR="001E3A0B" w:rsidRPr="003A22F1">
        <w:rPr>
          <w:b/>
        </w:rPr>
        <w:t xml:space="preserve">zakázky </w:t>
      </w:r>
      <w:r w:rsidR="001E3A0B" w:rsidRPr="003A22F1">
        <w:rPr>
          <w:b/>
          <w:i/>
        </w:rPr>
        <w:t>Jazyková výuka anglického jazyka podle normy STANAG 6001 pro roky 2012</w:t>
      </w:r>
      <w:r w:rsidR="00E9785A" w:rsidRPr="003A22F1">
        <w:rPr>
          <w:b/>
          <w:i/>
        </w:rPr>
        <w:t>–</w:t>
      </w:r>
      <w:r w:rsidR="001E3A0B" w:rsidRPr="003A22F1">
        <w:rPr>
          <w:b/>
          <w:i/>
        </w:rPr>
        <w:t>2014</w:t>
      </w:r>
      <w:r w:rsidR="001E3A0B" w:rsidRPr="003A22F1">
        <w:rPr>
          <w:b/>
        </w:rPr>
        <w:t>, a tím</w:t>
      </w:r>
      <w:r w:rsidR="00914714" w:rsidRPr="003A22F1">
        <w:rPr>
          <w:b/>
        </w:rPr>
        <w:t xml:space="preserve"> MO</w:t>
      </w:r>
      <w:r w:rsidR="001E3A0B" w:rsidRPr="003A22F1">
        <w:rPr>
          <w:b/>
        </w:rPr>
        <w:t xml:space="preserve"> nepostupoval</w:t>
      </w:r>
      <w:r w:rsidR="00C25C8E" w:rsidRPr="003A22F1">
        <w:rPr>
          <w:b/>
        </w:rPr>
        <w:t>o v</w:t>
      </w:r>
      <w:r w:rsidR="00E9785A" w:rsidRPr="003A22F1">
        <w:rPr>
          <w:b/>
        </w:rPr>
        <w:t xml:space="preserve"> </w:t>
      </w:r>
      <w:r w:rsidR="00C25C8E" w:rsidRPr="003A22F1">
        <w:rPr>
          <w:b/>
        </w:rPr>
        <w:t>souladu s </w:t>
      </w:r>
      <w:r w:rsidR="001E3A0B" w:rsidRPr="003A22F1">
        <w:rPr>
          <w:b/>
        </w:rPr>
        <w:t>ustanovením § 76 odst. 1 zákona č. 137/2006 Sb.</w:t>
      </w:r>
      <w:r w:rsidR="00914714" w:rsidRPr="003A22F1">
        <w:rPr>
          <w:b/>
        </w:rPr>
        <w:t xml:space="preserve"> </w:t>
      </w:r>
    </w:p>
    <w:p w14:paraId="108B0948" w14:textId="11E95AD5" w:rsidR="001B67C2" w:rsidRDefault="001B67C2" w:rsidP="00825540">
      <w:pPr>
        <w:pStyle w:val="TextKP"/>
        <w:spacing w:before="0"/>
        <w:ind w:left="284"/>
      </w:pPr>
      <w:r w:rsidRPr="003A22F1">
        <w:t>Hodnot</w:t>
      </w:r>
      <w:r w:rsidR="0064379C">
        <w:t>i</w:t>
      </w:r>
      <w:r w:rsidRPr="003A22F1">
        <w:t xml:space="preserve">cí komise MO neidentifikovala rozpor v nabídce uchazeče na výuku anglického jazyka v rámci veřejné zakázky </w:t>
      </w:r>
      <w:r w:rsidRPr="003A22F1">
        <w:rPr>
          <w:i/>
        </w:rPr>
        <w:t>Jazyková výuka anglického jazyka podle normy STANAG 6001 pro roky 2012</w:t>
      </w:r>
      <w:r w:rsidR="00842FF1" w:rsidRPr="003A22F1">
        <w:rPr>
          <w:i/>
        </w:rPr>
        <w:t>–</w:t>
      </w:r>
      <w:r w:rsidRPr="003A22F1">
        <w:rPr>
          <w:i/>
        </w:rPr>
        <w:t>2014</w:t>
      </w:r>
      <w:r w:rsidRPr="003A22F1">
        <w:t>, který v nabídce uvedl nesprávný celkový počet hodin výuky. Na základě tohoto nesprávného počtu hodin byla také stanovena nabídková cena za jeden rok, přestože MO požadovalo cenu za tři roky. Tato nabídka neodpovídala požadavkům zadavatele uvedeným v zadávací dokumentaci a měla být</w:t>
      </w:r>
      <w:r w:rsidR="007307E5" w:rsidRPr="003A22F1">
        <w:t xml:space="preserve"> při posouzení</w:t>
      </w:r>
      <w:r w:rsidRPr="003A22F1">
        <w:t xml:space="preserve"> vyřazena</w:t>
      </w:r>
      <w:r w:rsidR="00E9785A" w:rsidRPr="003A22F1">
        <w:t xml:space="preserve"> </w:t>
      </w:r>
      <w:r w:rsidR="00825540">
        <w:t>a </w:t>
      </w:r>
      <w:r w:rsidR="007307E5" w:rsidRPr="003A22F1">
        <w:t xml:space="preserve">uchazeč vyloučen </w:t>
      </w:r>
      <w:r w:rsidRPr="003A22F1">
        <w:t>ze zadávacího řízení.</w:t>
      </w:r>
    </w:p>
    <w:p w14:paraId="40EFBEF6" w14:textId="16220303" w:rsidR="002A40E4" w:rsidRPr="003A22F1" w:rsidRDefault="002A40E4" w:rsidP="003A22F1">
      <w:pPr>
        <w:pStyle w:val="TextKP"/>
        <w:numPr>
          <w:ilvl w:val="1"/>
          <w:numId w:val="34"/>
        </w:numPr>
        <w:spacing w:before="0"/>
        <w:ind w:left="284" w:hanging="284"/>
        <w:rPr>
          <w:b/>
        </w:rPr>
      </w:pPr>
      <w:r w:rsidRPr="003A22F1">
        <w:rPr>
          <w:b/>
        </w:rPr>
        <w:t>MPSV neuzavřelo smlouvu s</w:t>
      </w:r>
      <w:r w:rsidR="00E9785A" w:rsidRPr="003A22F1">
        <w:rPr>
          <w:b/>
        </w:rPr>
        <w:t xml:space="preserve"> </w:t>
      </w:r>
      <w:r w:rsidRPr="003A22F1">
        <w:rPr>
          <w:b/>
        </w:rPr>
        <w:t>vybraným uchazečem v</w:t>
      </w:r>
      <w:r w:rsidR="00E9785A" w:rsidRPr="003A22F1">
        <w:rPr>
          <w:b/>
        </w:rPr>
        <w:t xml:space="preserve"> </w:t>
      </w:r>
      <w:r w:rsidRPr="003A22F1">
        <w:rPr>
          <w:b/>
        </w:rPr>
        <w:t xml:space="preserve">rámci veřejné zakázky </w:t>
      </w:r>
      <w:r w:rsidRPr="003A22F1">
        <w:rPr>
          <w:b/>
          <w:i/>
        </w:rPr>
        <w:t xml:space="preserve">Zajištění vzdělávání (včetně jazykového) zaměstnanců zapojených do práce implementační struktury Operačního programu Lidské zdroje a zaměstnanost </w:t>
      </w:r>
      <w:r w:rsidRPr="003A22F1">
        <w:rPr>
          <w:b/>
        </w:rPr>
        <w:t>v</w:t>
      </w:r>
      <w:r w:rsidR="00E9785A" w:rsidRPr="003A22F1">
        <w:rPr>
          <w:b/>
        </w:rPr>
        <w:t xml:space="preserve"> </w:t>
      </w:r>
      <w:r w:rsidRPr="003A22F1">
        <w:rPr>
          <w:b/>
        </w:rPr>
        <w:t>zákonné lhůtě</w:t>
      </w:r>
      <w:r w:rsidR="00C25C8E" w:rsidRPr="003A22F1">
        <w:rPr>
          <w:b/>
        </w:rPr>
        <w:t>,</w:t>
      </w:r>
      <w:r w:rsidRPr="003A22F1">
        <w:rPr>
          <w:b/>
        </w:rPr>
        <w:t xml:space="preserve"> ačkoliv bylo povinno uzavřít tuto smlouvu nejpozději do 15 dnů po uplynutí lhůty pro podání námitek proti rozhodnutí o výběru nejvhodnější nabídky, a tím </w:t>
      </w:r>
      <w:r w:rsidR="00C25C8E" w:rsidRPr="003A22F1">
        <w:rPr>
          <w:b/>
        </w:rPr>
        <w:t>nepostupovalo v</w:t>
      </w:r>
      <w:r w:rsidR="00647BC9" w:rsidRPr="003A22F1">
        <w:rPr>
          <w:b/>
        </w:rPr>
        <w:t> </w:t>
      </w:r>
      <w:r w:rsidR="00C25C8E" w:rsidRPr="003A22F1">
        <w:rPr>
          <w:b/>
        </w:rPr>
        <w:t>souladu s </w:t>
      </w:r>
      <w:r w:rsidRPr="003A22F1">
        <w:rPr>
          <w:b/>
        </w:rPr>
        <w:t>ustanovením § 82 odst. 2 zákona č.</w:t>
      </w:r>
      <w:r w:rsidR="00E9785A" w:rsidRPr="003A22F1">
        <w:rPr>
          <w:b/>
        </w:rPr>
        <w:t xml:space="preserve"> </w:t>
      </w:r>
      <w:r w:rsidRPr="003A22F1">
        <w:rPr>
          <w:b/>
        </w:rPr>
        <w:t>137/2006 Sb. MPSV překročilo zákonnou lhůtu o 43</w:t>
      </w:r>
      <w:r w:rsidR="00C25C8E" w:rsidRPr="003A22F1">
        <w:rPr>
          <w:b/>
        </w:rPr>
        <w:t> </w:t>
      </w:r>
      <w:r w:rsidRPr="003A22F1">
        <w:rPr>
          <w:b/>
        </w:rPr>
        <w:t>dnů.</w:t>
      </w:r>
    </w:p>
    <w:p w14:paraId="487DB8DC" w14:textId="77777777" w:rsidR="00842FF1" w:rsidRPr="003A22F1" w:rsidRDefault="00842FF1" w:rsidP="003A22F1">
      <w:pPr>
        <w:jc w:val="both"/>
        <w:rPr>
          <w:rFonts w:asciiTheme="minorHAnsi" w:hAnsiTheme="minorHAnsi" w:cstheme="minorHAnsi"/>
          <w:b/>
          <w:color w:val="000000"/>
          <w:lang w:val="cs-CZ"/>
        </w:rPr>
      </w:pPr>
    </w:p>
    <w:p w14:paraId="1A29B36E" w14:textId="77777777" w:rsidR="000933C8" w:rsidRPr="003A22F1" w:rsidRDefault="0089456F" w:rsidP="003A22F1">
      <w:pPr>
        <w:ind w:left="284" w:hanging="284"/>
        <w:jc w:val="both"/>
        <w:rPr>
          <w:rFonts w:asciiTheme="minorHAnsi" w:hAnsiTheme="minorHAnsi" w:cstheme="minorHAnsi"/>
          <w:b/>
          <w:lang w:val="cs-CZ"/>
        </w:rPr>
      </w:pPr>
      <w:r w:rsidRPr="003A22F1">
        <w:rPr>
          <w:rFonts w:asciiTheme="minorHAnsi" w:hAnsiTheme="minorHAnsi" w:cstheme="minorHAnsi"/>
          <w:b/>
          <w:color w:val="000000"/>
          <w:lang w:val="cs-CZ"/>
        </w:rPr>
        <w:t>3.</w:t>
      </w:r>
      <w:r w:rsidR="00EC5DD5" w:rsidRPr="003A22F1">
        <w:rPr>
          <w:rFonts w:asciiTheme="minorHAnsi" w:hAnsiTheme="minorHAnsi" w:cstheme="minorHAnsi"/>
          <w:b/>
          <w:color w:val="000000"/>
          <w:lang w:val="cs-CZ"/>
        </w:rPr>
        <w:tab/>
      </w:r>
      <w:r w:rsidR="000933C8" w:rsidRPr="003A22F1">
        <w:rPr>
          <w:rFonts w:asciiTheme="minorHAnsi" w:hAnsiTheme="minorHAnsi" w:cstheme="minorHAnsi"/>
          <w:b/>
          <w:lang w:val="cs-CZ"/>
        </w:rPr>
        <w:t>Peněžní prostředky vynaložené na úhradu konzultačních, poradenských a právních služeb</w:t>
      </w:r>
    </w:p>
    <w:p w14:paraId="4CD53ED4" w14:textId="77777777" w:rsidR="003A22F1" w:rsidRDefault="003A22F1" w:rsidP="003A22F1">
      <w:pPr>
        <w:jc w:val="both"/>
        <w:rPr>
          <w:rFonts w:asciiTheme="minorHAnsi" w:hAnsiTheme="minorHAnsi" w:cstheme="minorHAnsi"/>
          <w:bCs/>
          <w:lang w:val="cs-CZ"/>
        </w:rPr>
      </w:pPr>
    </w:p>
    <w:p w14:paraId="2BD829E0" w14:textId="77777777" w:rsidR="00C271E0" w:rsidRPr="003A22F1" w:rsidRDefault="00C271E0" w:rsidP="003A22F1">
      <w:pPr>
        <w:jc w:val="both"/>
        <w:rPr>
          <w:rFonts w:asciiTheme="minorHAnsi" w:hAnsiTheme="minorHAnsi" w:cstheme="minorHAnsi"/>
          <w:bCs/>
          <w:lang w:val="cs-CZ"/>
        </w:rPr>
      </w:pPr>
      <w:r w:rsidRPr="003A22F1">
        <w:rPr>
          <w:rFonts w:asciiTheme="minorHAnsi" w:hAnsiTheme="minorHAnsi" w:cstheme="minorHAnsi"/>
          <w:bCs/>
          <w:lang w:val="cs-CZ"/>
        </w:rPr>
        <w:t>Při kontrole peněžních prostředků vynaložených na konzultační, poradenské a právní služby bylo zjištěno, že:</w:t>
      </w:r>
    </w:p>
    <w:p w14:paraId="1ECB4E91" w14:textId="0B05CB7A" w:rsidR="00AF138F" w:rsidRPr="003A22F1" w:rsidRDefault="00AF138F" w:rsidP="003A22F1">
      <w:pPr>
        <w:pStyle w:val="Odstavecseseznamem"/>
        <w:numPr>
          <w:ilvl w:val="1"/>
          <w:numId w:val="32"/>
        </w:numPr>
        <w:ind w:left="284" w:hanging="284"/>
        <w:jc w:val="both"/>
        <w:rPr>
          <w:rFonts w:asciiTheme="minorHAnsi" w:hAnsiTheme="minorHAnsi" w:cstheme="minorHAnsi"/>
          <w:b/>
          <w:lang w:val="cs-CZ"/>
        </w:rPr>
      </w:pPr>
      <w:proofErr w:type="spellStart"/>
      <w:r w:rsidRPr="003A22F1">
        <w:rPr>
          <w:rFonts w:asciiTheme="minorHAnsi" w:hAnsiTheme="minorHAnsi" w:cstheme="minorHAnsi"/>
          <w:b/>
          <w:lang w:val="cs-CZ" w:eastAsia="cs-CZ"/>
        </w:rPr>
        <w:t>MZe</w:t>
      </w:r>
      <w:proofErr w:type="spellEnd"/>
      <w:r w:rsidRPr="003A22F1">
        <w:rPr>
          <w:rFonts w:asciiTheme="minorHAnsi" w:hAnsiTheme="minorHAnsi" w:cstheme="minorHAnsi"/>
          <w:b/>
          <w:lang w:val="cs-CZ" w:eastAsia="cs-CZ"/>
        </w:rPr>
        <w:t xml:space="preserve"> u</w:t>
      </w:r>
      <w:r w:rsidR="00E9785A" w:rsidRPr="003A22F1">
        <w:rPr>
          <w:rFonts w:asciiTheme="minorHAnsi" w:hAnsiTheme="minorHAnsi" w:cstheme="minorHAnsi"/>
          <w:b/>
          <w:lang w:val="cs-CZ" w:eastAsia="cs-CZ"/>
        </w:rPr>
        <w:t xml:space="preserve"> </w:t>
      </w:r>
      <w:r w:rsidRPr="003A22F1">
        <w:rPr>
          <w:rFonts w:asciiTheme="minorHAnsi" w:hAnsiTheme="minorHAnsi" w:cstheme="minorHAnsi"/>
          <w:b/>
          <w:lang w:val="cs-CZ" w:eastAsia="cs-CZ"/>
        </w:rPr>
        <w:t xml:space="preserve">veřejné zakázky </w:t>
      </w:r>
      <w:r w:rsidR="0064379C">
        <w:rPr>
          <w:rFonts w:asciiTheme="minorHAnsi" w:hAnsiTheme="minorHAnsi" w:cstheme="minorHAnsi"/>
          <w:b/>
          <w:lang w:val="cs-CZ" w:eastAsia="cs-CZ"/>
        </w:rPr>
        <w:t xml:space="preserve">s názvem </w:t>
      </w:r>
      <w:r w:rsidRPr="003A22F1">
        <w:rPr>
          <w:rFonts w:asciiTheme="minorHAnsi" w:hAnsiTheme="minorHAnsi" w:cstheme="minorHAnsi"/>
          <w:b/>
          <w:i/>
          <w:lang w:val="cs-CZ" w:eastAsia="cs-CZ"/>
        </w:rPr>
        <w:t>Činnost experta při veřejnospráv</w:t>
      </w:r>
      <w:r w:rsidR="000A7E04" w:rsidRPr="003A22F1">
        <w:rPr>
          <w:rFonts w:asciiTheme="minorHAnsi" w:hAnsiTheme="minorHAnsi" w:cstheme="minorHAnsi"/>
          <w:b/>
          <w:i/>
          <w:lang w:val="cs-CZ" w:eastAsia="cs-CZ"/>
        </w:rPr>
        <w:t>ních kontrolách u</w:t>
      </w:r>
      <w:r w:rsidR="0064379C">
        <w:rPr>
          <w:rFonts w:asciiTheme="minorHAnsi" w:hAnsiTheme="minorHAnsi" w:cstheme="minorHAnsi"/>
          <w:b/>
          <w:i/>
          <w:lang w:val="cs-CZ" w:eastAsia="cs-CZ"/>
        </w:rPr>
        <w:t> </w:t>
      </w:r>
      <w:r w:rsidR="000A7E04" w:rsidRPr="003A22F1">
        <w:rPr>
          <w:rFonts w:asciiTheme="minorHAnsi" w:hAnsiTheme="minorHAnsi" w:cstheme="minorHAnsi"/>
          <w:b/>
          <w:i/>
          <w:lang w:val="cs-CZ" w:eastAsia="cs-CZ"/>
        </w:rPr>
        <w:t>organizací, u </w:t>
      </w:r>
      <w:r w:rsidRPr="003A22F1">
        <w:rPr>
          <w:rFonts w:asciiTheme="minorHAnsi" w:hAnsiTheme="minorHAnsi" w:cstheme="minorHAnsi"/>
          <w:b/>
          <w:i/>
          <w:lang w:val="cs-CZ" w:eastAsia="cs-CZ"/>
        </w:rPr>
        <w:t xml:space="preserve">nichž je </w:t>
      </w:r>
      <w:proofErr w:type="spellStart"/>
      <w:r w:rsidRPr="003A22F1">
        <w:rPr>
          <w:rFonts w:asciiTheme="minorHAnsi" w:hAnsiTheme="minorHAnsi" w:cstheme="minorHAnsi"/>
          <w:b/>
          <w:i/>
          <w:lang w:val="cs-CZ" w:eastAsia="cs-CZ"/>
        </w:rPr>
        <w:t>MZe</w:t>
      </w:r>
      <w:proofErr w:type="spellEnd"/>
      <w:r w:rsidRPr="003A22F1">
        <w:rPr>
          <w:rFonts w:asciiTheme="minorHAnsi" w:hAnsiTheme="minorHAnsi" w:cstheme="minorHAnsi"/>
          <w:b/>
          <w:i/>
          <w:lang w:val="cs-CZ" w:eastAsia="cs-CZ"/>
        </w:rPr>
        <w:t xml:space="preserve"> zřizovatelem nebo zakladatelem</w:t>
      </w:r>
      <w:r w:rsidR="00040F06" w:rsidRPr="003A22F1">
        <w:rPr>
          <w:rFonts w:asciiTheme="minorHAnsi" w:hAnsiTheme="minorHAnsi" w:cstheme="minorHAnsi"/>
          <w:b/>
          <w:lang w:val="cs-CZ" w:eastAsia="cs-CZ"/>
        </w:rPr>
        <w:t xml:space="preserve"> </w:t>
      </w:r>
      <w:r w:rsidRPr="003A22F1">
        <w:rPr>
          <w:rFonts w:asciiTheme="minorHAnsi" w:hAnsiTheme="minorHAnsi" w:cstheme="minorHAnsi"/>
          <w:b/>
          <w:lang w:val="cs-CZ" w:eastAsia="cs-CZ"/>
        </w:rPr>
        <w:t>nezahájilo otevírání obálek s</w:t>
      </w:r>
      <w:r w:rsidR="00647BC9" w:rsidRPr="003A22F1">
        <w:rPr>
          <w:rFonts w:asciiTheme="minorHAnsi" w:hAnsiTheme="minorHAnsi" w:cstheme="minorHAnsi"/>
          <w:b/>
          <w:lang w:val="cs-CZ" w:eastAsia="cs-CZ"/>
        </w:rPr>
        <w:t> </w:t>
      </w:r>
      <w:r w:rsidRPr="003A22F1">
        <w:rPr>
          <w:rFonts w:asciiTheme="minorHAnsi" w:hAnsiTheme="minorHAnsi" w:cstheme="minorHAnsi"/>
          <w:b/>
          <w:lang w:val="cs-CZ" w:eastAsia="cs-CZ"/>
        </w:rPr>
        <w:t>nabídkami ihned po uplynutí lhůty pro jejich podání. Otevírání obálek proběhlo až 4</w:t>
      </w:r>
      <w:r w:rsidR="00647BC9" w:rsidRPr="003A22F1">
        <w:rPr>
          <w:rFonts w:asciiTheme="minorHAnsi" w:hAnsiTheme="minorHAnsi" w:cstheme="minorHAnsi"/>
          <w:b/>
          <w:lang w:val="cs-CZ" w:eastAsia="cs-CZ"/>
        </w:rPr>
        <w:t> </w:t>
      </w:r>
      <w:r w:rsidRPr="003A22F1">
        <w:rPr>
          <w:rFonts w:asciiTheme="minorHAnsi" w:hAnsiTheme="minorHAnsi" w:cstheme="minorHAnsi"/>
          <w:b/>
          <w:lang w:val="cs-CZ" w:eastAsia="cs-CZ"/>
        </w:rPr>
        <w:t>dny po konci l</w:t>
      </w:r>
      <w:r w:rsidR="00040F06" w:rsidRPr="003A22F1">
        <w:rPr>
          <w:rFonts w:asciiTheme="minorHAnsi" w:hAnsiTheme="minorHAnsi" w:cstheme="minorHAnsi"/>
          <w:b/>
          <w:lang w:val="cs-CZ" w:eastAsia="cs-CZ"/>
        </w:rPr>
        <w:t xml:space="preserve">hůty pro podání nabídek. </w:t>
      </w:r>
      <w:proofErr w:type="spellStart"/>
      <w:r w:rsidR="00040F06" w:rsidRPr="003A22F1">
        <w:rPr>
          <w:rFonts w:asciiTheme="minorHAnsi" w:hAnsiTheme="minorHAnsi" w:cstheme="minorHAnsi"/>
          <w:b/>
          <w:lang w:val="cs-CZ" w:eastAsia="cs-CZ"/>
        </w:rPr>
        <w:t>MZe</w:t>
      </w:r>
      <w:proofErr w:type="spellEnd"/>
      <w:r w:rsidR="00040F06" w:rsidRPr="003A22F1">
        <w:rPr>
          <w:rFonts w:asciiTheme="minorHAnsi" w:hAnsiTheme="minorHAnsi" w:cstheme="minorHAnsi"/>
          <w:b/>
          <w:lang w:val="cs-CZ" w:eastAsia="cs-CZ"/>
        </w:rPr>
        <w:t xml:space="preserve"> tak nedodrželo postup stanovený v</w:t>
      </w:r>
      <w:r w:rsidR="00647BC9" w:rsidRPr="003A22F1">
        <w:rPr>
          <w:rFonts w:asciiTheme="minorHAnsi" w:hAnsiTheme="minorHAnsi" w:cstheme="minorHAnsi"/>
          <w:b/>
          <w:lang w:val="cs-CZ" w:eastAsia="cs-CZ"/>
        </w:rPr>
        <w:t> </w:t>
      </w:r>
      <w:r w:rsidR="00040F06" w:rsidRPr="003A22F1">
        <w:rPr>
          <w:rFonts w:asciiTheme="minorHAnsi" w:hAnsiTheme="minorHAnsi" w:cstheme="minorHAnsi"/>
          <w:b/>
          <w:lang w:val="cs-CZ" w:eastAsia="cs-CZ"/>
        </w:rPr>
        <w:t>ustanovení § 71 odst. 4 zákona</w:t>
      </w:r>
      <w:r w:rsidR="00040F06" w:rsidRPr="003A22F1">
        <w:rPr>
          <w:rFonts w:asciiTheme="minorHAnsi" w:hAnsiTheme="minorHAnsi" w:cstheme="minorHAnsi"/>
          <w:lang w:val="cs-CZ" w:eastAsia="cs-CZ"/>
        </w:rPr>
        <w:t xml:space="preserve"> </w:t>
      </w:r>
      <w:r w:rsidR="00040F06" w:rsidRPr="003A22F1">
        <w:rPr>
          <w:rFonts w:asciiTheme="minorHAnsi" w:hAnsiTheme="minorHAnsi" w:cstheme="minorHAnsi"/>
          <w:b/>
          <w:lang w:val="cs-CZ" w:eastAsia="cs-CZ"/>
        </w:rPr>
        <w:t>č. 137/2006 Sb.</w:t>
      </w:r>
    </w:p>
    <w:p w14:paraId="7891E27F" w14:textId="77777777" w:rsidR="003A22F1" w:rsidRDefault="003A22F1" w:rsidP="003A22F1">
      <w:pPr>
        <w:jc w:val="both"/>
        <w:rPr>
          <w:rFonts w:asciiTheme="minorHAnsi" w:hAnsiTheme="minorHAnsi" w:cstheme="minorHAnsi"/>
          <w:bCs/>
          <w:lang w:val="cs-CZ"/>
        </w:rPr>
      </w:pPr>
    </w:p>
    <w:p w14:paraId="0FAB0977" w14:textId="4C90AF5F" w:rsidR="007307E5" w:rsidRDefault="0064379C" w:rsidP="003A22F1">
      <w:pPr>
        <w:jc w:val="both"/>
        <w:rPr>
          <w:rFonts w:asciiTheme="minorHAnsi" w:hAnsiTheme="minorHAnsi" w:cstheme="minorHAnsi"/>
          <w:bCs/>
          <w:lang w:val="cs-CZ"/>
        </w:rPr>
      </w:pPr>
      <w:r>
        <w:rPr>
          <w:rFonts w:asciiTheme="minorHAnsi" w:hAnsiTheme="minorHAnsi" w:cstheme="minorHAnsi"/>
          <w:bCs/>
          <w:lang w:val="cs-CZ"/>
        </w:rPr>
        <w:t xml:space="preserve">V uvedeném případě </w:t>
      </w:r>
      <w:proofErr w:type="spellStart"/>
      <w:r w:rsidR="00E859A6" w:rsidRPr="003A22F1">
        <w:rPr>
          <w:rFonts w:asciiTheme="minorHAnsi" w:hAnsiTheme="minorHAnsi" w:cstheme="minorHAnsi"/>
          <w:bCs/>
          <w:lang w:val="cs-CZ"/>
        </w:rPr>
        <w:t>MZe</w:t>
      </w:r>
      <w:proofErr w:type="spellEnd"/>
      <w:r w:rsidR="00E859A6" w:rsidRPr="003A22F1">
        <w:rPr>
          <w:rFonts w:asciiTheme="minorHAnsi" w:hAnsiTheme="minorHAnsi" w:cstheme="minorHAnsi"/>
          <w:bCs/>
          <w:lang w:val="cs-CZ"/>
        </w:rPr>
        <w:t xml:space="preserve"> </w:t>
      </w:r>
      <w:proofErr w:type="gramStart"/>
      <w:r w:rsidR="00E859A6" w:rsidRPr="003A22F1">
        <w:rPr>
          <w:rFonts w:asciiTheme="minorHAnsi" w:hAnsiTheme="minorHAnsi" w:cstheme="minorHAnsi"/>
          <w:bCs/>
          <w:lang w:val="cs-CZ"/>
        </w:rPr>
        <w:t>stanovilo</w:t>
      </w:r>
      <w:proofErr w:type="gramEnd"/>
      <w:r w:rsidR="00E859A6" w:rsidRPr="003A22F1">
        <w:rPr>
          <w:rFonts w:asciiTheme="minorHAnsi" w:hAnsiTheme="minorHAnsi" w:cstheme="minorHAnsi"/>
          <w:bCs/>
          <w:lang w:val="cs-CZ"/>
        </w:rPr>
        <w:t xml:space="preserve"> lhůtu pro podání nabídek u</w:t>
      </w:r>
      <w:r>
        <w:rPr>
          <w:rFonts w:asciiTheme="minorHAnsi" w:hAnsiTheme="minorHAnsi" w:cstheme="minorHAnsi"/>
          <w:bCs/>
          <w:lang w:val="cs-CZ"/>
        </w:rPr>
        <w:t> </w:t>
      </w:r>
      <w:r w:rsidR="00E859A6" w:rsidRPr="003A22F1">
        <w:rPr>
          <w:rFonts w:asciiTheme="minorHAnsi" w:hAnsiTheme="minorHAnsi" w:cstheme="minorHAnsi"/>
          <w:lang w:val="cs-CZ" w:eastAsia="cs-CZ"/>
        </w:rPr>
        <w:t xml:space="preserve">veřejné zakázky </w:t>
      </w:r>
      <w:r w:rsidR="00E859A6" w:rsidRPr="003A22F1">
        <w:rPr>
          <w:rFonts w:asciiTheme="minorHAnsi" w:hAnsiTheme="minorHAnsi" w:cstheme="minorHAnsi"/>
          <w:i/>
          <w:lang w:val="cs-CZ" w:eastAsia="cs-CZ"/>
        </w:rPr>
        <w:t xml:space="preserve">Činnost experta při veřejnosprávních kontrolách u organizací, u nichž je </w:t>
      </w:r>
      <w:proofErr w:type="spellStart"/>
      <w:r w:rsidR="00E859A6" w:rsidRPr="003A22F1">
        <w:rPr>
          <w:rFonts w:asciiTheme="minorHAnsi" w:hAnsiTheme="minorHAnsi" w:cstheme="minorHAnsi"/>
          <w:i/>
          <w:lang w:val="cs-CZ" w:eastAsia="cs-CZ"/>
        </w:rPr>
        <w:t>MZe</w:t>
      </w:r>
      <w:proofErr w:type="spellEnd"/>
      <w:r w:rsidR="00E859A6" w:rsidRPr="003A22F1">
        <w:rPr>
          <w:rFonts w:asciiTheme="minorHAnsi" w:hAnsiTheme="minorHAnsi" w:cstheme="minorHAnsi"/>
          <w:i/>
          <w:lang w:val="cs-CZ" w:eastAsia="cs-CZ"/>
        </w:rPr>
        <w:t xml:space="preserve"> zřizovatelem nebo </w:t>
      </w:r>
      <w:r w:rsidR="00E859A6" w:rsidRPr="003A22F1">
        <w:rPr>
          <w:rFonts w:asciiTheme="minorHAnsi" w:hAnsiTheme="minorHAnsi" w:cstheme="minorHAnsi"/>
          <w:i/>
          <w:lang w:val="cs-CZ" w:eastAsia="cs-CZ"/>
        </w:rPr>
        <w:lastRenderedPageBreak/>
        <w:t xml:space="preserve">zakladatelem </w:t>
      </w:r>
      <w:r w:rsidR="00E859A6" w:rsidRPr="003A22F1">
        <w:rPr>
          <w:rFonts w:asciiTheme="minorHAnsi" w:hAnsiTheme="minorHAnsi" w:cstheme="minorHAnsi"/>
          <w:bCs/>
          <w:lang w:val="cs-CZ"/>
        </w:rPr>
        <w:t>na 14.</w:t>
      </w:r>
      <w:r w:rsidR="00E9785A" w:rsidRPr="003A22F1">
        <w:rPr>
          <w:rFonts w:asciiTheme="minorHAnsi" w:hAnsiTheme="minorHAnsi" w:cstheme="minorHAnsi"/>
          <w:bCs/>
          <w:lang w:val="cs-CZ"/>
        </w:rPr>
        <w:t xml:space="preserve"> </w:t>
      </w:r>
      <w:r w:rsidR="00E859A6" w:rsidRPr="003A22F1">
        <w:rPr>
          <w:rFonts w:asciiTheme="minorHAnsi" w:hAnsiTheme="minorHAnsi" w:cstheme="minorHAnsi"/>
          <w:bCs/>
          <w:lang w:val="cs-CZ"/>
        </w:rPr>
        <w:t>2.</w:t>
      </w:r>
      <w:r w:rsidR="00E9785A" w:rsidRPr="003A22F1">
        <w:rPr>
          <w:rFonts w:asciiTheme="minorHAnsi" w:hAnsiTheme="minorHAnsi" w:cstheme="minorHAnsi"/>
          <w:bCs/>
          <w:lang w:val="cs-CZ"/>
        </w:rPr>
        <w:t xml:space="preserve"> </w:t>
      </w:r>
      <w:r w:rsidR="00E859A6" w:rsidRPr="003A22F1">
        <w:rPr>
          <w:rFonts w:asciiTheme="minorHAnsi" w:hAnsiTheme="minorHAnsi" w:cstheme="minorHAnsi"/>
          <w:bCs/>
          <w:lang w:val="cs-CZ"/>
        </w:rPr>
        <w:t>2013 a</w:t>
      </w:r>
      <w:r w:rsidR="00E9785A" w:rsidRPr="003A22F1">
        <w:rPr>
          <w:rFonts w:asciiTheme="minorHAnsi" w:hAnsiTheme="minorHAnsi" w:cstheme="minorHAnsi"/>
          <w:bCs/>
          <w:lang w:val="cs-CZ"/>
        </w:rPr>
        <w:t xml:space="preserve"> </w:t>
      </w:r>
      <w:r w:rsidR="00E859A6" w:rsidRPr="003A22F1">
        <w:rPr>
          <w:rFonts w:asciiTheme="minorHAnsi" w:hAnsiTheme="minorHAnsi" w:cstheme="minorHAnsi"/>
          <w:bCs/>
          <w:lang w:val="cs-CZ"/>
        </w:rPr>
        <w:t xml:space="preserve">otevírání obálek bylo provedeno </w:t>
      </w:r>
      <w:r>
        <w:rPr>
          <w:rFonts w:asciiTheme="minorHAnsi" w:hAnsiTheme="minorHAnsi" w:cstheme="minorHAnsi"/>
          <w:bCs/>
          <w:lang w:val="cs-CZ"/>
        </w:rPr>
        <w:t xml:space="preserve">až </w:t>
      </w:r>
      <w:r w:rsidR="00E859A6" w:rsidRPr="003A22F1">
        <w:rPr>
          <w:rFonts w:asciiTheme="minorHAnsi" w:hAnsiTheme="minorHAnsi" w:cstheme="minorHAnsi"/>
          <w:bCs/>
          <w:lang w:val="cs-CZ"/>
        </w:rPr>
        <w:t>18.</w:t>
      </w:r>
      <w:r>
        <w:rPr>
          <w:rFonts w:asciiTheme="minorHAnsi" w:hAnsiTheme="minorHAnsi" w:cstheme="minorHAnsi"/>
          <w:bCs/>
          <w:lang w:val="cs-CZ"/>
        </w:rPr>
        <w:t> </w:t>
      </w:r>
      <w:r w:rsidR="00E859A6" w:rsidRPr="003A22F1">
        <w:rPr>
          <w:rFonts w:asciiTheme="minorHAnsi" w:hAnsiTheme="minorHAnsi" w:cstheme="minorHAnsi"/>
          <w:bCs/>
          <w:lang w:val="cs-CZ"/>
        </w:rPr>
        <w:t>2.</w:t>
      </w:r>
      <w:r w:rsidR="00E9785A" w:rsidRPr="003A22F1">
        <w:rPr>
          <w:rFonts w:asciiTheme="minorHAnsi" w:hAnsiTheme="minorHAnsi" w:cstheme="minorHAnsi"/>
          <w:bCs/>
          <w:lang w:val="cs-CZ"/>
        </w:rPr>
        <w:t xml:space="preserve"> </w:t>
      </w:r>
      <w:r w:rsidR="00E859A6" w:rsidRPr="003A22F1">
        <w:rPr>
          <w:rFonts w:asciiTheme="minorHAnsi" w:hAnsiTheme="minorHAnsi" w:cstheme="minorHAnsi"/>
          <w:bCs/>
          <w:lang w:val="cs-CZ"/>
        </w:rPr>
        <w:t>2013</w:t>
      </w:r>
      <w:r w:rsidR="007307E5" w:rsidRPr="003A22F1">
        <w:rPr>
          <w:rFonts w:asciiTheme="minorHAnsi" w:hAnsiTheme="minorHAnsi" w:cstheme="minorHAnsi"/>
          <w:bCs/>
          <w:lang w:val="cs-CZ"/>
        </w:rPr>
        <w:t>.</w:t>
      </w:r>
      <w:r w:rsidR="00E859A6" w:rsidRPr="003A22F1">
        <w:rPr>
          <w:rFonts w:asciiTheme="minorHAnsi" w:hAnsiTheme="minorHAnsi" w:cstheme="minorHAnsi"/>
          <w:bCs/>
          <w:lang w:val="cs-CZ"/>
        </w:rPr>
        <w:t xml:space="preserve"> </w:t>
      </w:r>
      <w:r w:rsidR="007307E5" w:rsidRPr="003A22F1">
        <w:rPr>
          <w:rFonts w:asciiTheme="minorHAnsi" w:hAnsiTheme="minorHAnsi" w:cstheme="minorHAnsi"/>
          <w:bCs/>
          <w:lang w:val="cs-CZ"/>
        </w:rPr>
        <w:t>U</w:t>
      </w:r>
      <w:r w:rsidR="00E859A6" w:rsidRPr="003A22F1">
        <w:rPr>
          <w:rFonts w:asciiTheme="minorHAnsi" w:hAnsiTheme="minorHAnsi" w:cstheme="minorHAnsi"/>
          <w:bCs/>
          <w:lang w:val="cs-CZ"/>
        </w:rPr>
        <w:t xml:space="preserve">vedeným postupem </w:t>
      </w:r>
      <w:proofErr w:type="spellStart"/>
      <w:r w:rsidR="00E859A6" w:rsidRPr="003A22F1">
        <w:rPr>
          <w:rFonts w:asciiTheme="minorHAnsi" w:hAnsiTheme="minorHAnsi" w:cstheme="minorHAnsi"/>
          <w:bCs/>
          <w:lang w:val="cs-CZ"/>
        </w:rPr>
        <w:t>MZe</w:t>
      </w:r>
      <w:proofErr w:type="spellEnd"/>
      <w:r w:rsidR="00E859A6" w:rsidRPr="003A22F1">
        <w:rPr>
          <w:rFonts w:asciiTheme="minorHAnsi" w:hAnsiTheme="minorHAnsi" w:cstheme="minorHAnsi"/>
          <w:bCs/>
          <w:lang w:val="cs-CZ"/>
        </w:rPr>
        <w:t xml:space="preserve"> porušilo ustanovení </w:t>
      </w:r>
      <w:r>
        <w:rPr>
          <w:rFonts w:asciiTheme="minorHAnsi" w:hAnsiTheme="minorHAnsi" w:cstheme="minorHAnsi"/>
          <w:bCs/>
          <w:lang w:val="cs-CZ"/>
        </w:rPr>
        <w:t>§ 71 odst. 4 zákona č. 137/2006 </w:t>
      </w:r>
      <w:r w:rsidR="00E859A6" w:rsidRPr="003A22F1">
        <w:rPr>
          <w:rFonts w:asciiTheme="minorHAnsi" w:hAnsiTheme="minorHAnsi" w:cstheme="minorHAnsi"/>
          <w:bCs/>
          <w:lang w:val="cs-CZ"/>
        </w:rPr>
        <w:t>Sb.</w:t>
      </w:r>
    </w:p>
    <w:p w14:paraId="2F96E04A" w14:textId="77777777" w:rsidR="003A22F1" w:rsidRPr="003A22F1" w:rsidRDefault="003A22F1" w:rsidP="003A22F1">
      <w:pPr>
        <w:jc w:val="both"/>
        <w:rPr>
          <w:rFonts w:asciiTheme="minorHAnsi" w:hAnsiTheme="minorHAnsi" w:cstheme="minorHAnsi"/>
          <w:bCs/>
          <w:lang w:val="cs-CZ"/>
        </w:rPr>
      </w:pPr>
    </w:p>
    <w:p w14:paraId="4A274A5A" w14:textId="30F98A62" w:rsidR="00F21F41" w:rsidRPr="003A22F1" w:rsidRDefault="00F21F41" w:rsidP="003A22F1">
      <w:pPr>
        <w:jc w:val="both"/>
        <w:rPr>
          <w:rFonts w:asciiTheme="minorHAnsi" w:hAnsiTheme="minorHAnsi" w:cstheme="minorHAnsi"/>
          <w:bCs/>
          <w:lang w:val="cs-CZ"/>
        </w:rPr>
      </w:pPr>
      <w:r w:rsidRPr="003A22F1">
        <w:rPr>
          <w:rFonts w:asciiTheme="minorHAnsi" w:hAnsiTheme="minorHAnsi" w:cstheme="minorHAnsi"/>
          <w:lang w:val="cs-CZ"/>
        </w:rPr>
        <w:t>V</w:t>
      </w:r>
      <w:r w:rsidR="00E9785A" w:rsidRPr="003A22F1">
        <w:rPr>
          <w:rFonts w:asciiTheme="minorHAnsi" w:hAnsiTheme="minorHAnsi" w:cstheme="minorHAnsi"/>
          <w:lang w:val="cs-CZ"/>
        </w:rPr>
        <w:t xml:space="preserve"> </w:t>
      </w:r>
      <w:r w:rsidRPr="003A22F1">
        <w:rPr>
          <w:rFonts w:asciiTheme="minorHAnsi" w:hAnsiTheme="minorHAnsi" w:cstheme="minorHAnsi"/>
          <w:lang w:val="cs-CZ"/>
        </w:rPr>
        <w:t xml:space="preserve">kontrolovaném období mělo </w:t>
      </w:r>
      <w:proofErr w:type="spellStart"/>
      <w:r w:rsidRPr="003A22F1">
        <w:rPr>
          <w:rFonts w:asciiTheme="minorHAnsi" w:hAnsiTheme="minorHAnsi" w:cstheme="minorHAnsi"/>
          <w:lang w:val="cs-CZ"/>
        </w:rPr>
        <w:t>MZe</w:t>
      </w:r>
      <w:proofErr w:type="spellEnd"/>
      <w:r w:rsidRPr="003A22F1">
        <w:rPr>
          <w:rFonts w:asciiTheme="minorHAnsi" w:hAnsiTheme="minorHAnsi" w:cstheme="minorHAnsi"/>
          <w:lang w:val="cs-CZ"/>
        </w:rPr>
        <w:t xml:space="preserve"> dle </w:t>
      </w:r>
      <w:r w:rsidR="0064379C">
        <w:rPr>
          <w:rFonts w:asciiTheme="minorHAnsi" w:hAnsiTheme="minorHAnsi" w:cstheme="minorHAnsi"/>
          <w:lang w:val="cs-CZ"/>
        </w:rPr>
        <w:t>svého o</w:t>
      </w:r>
      <w:r w:rsidRPr="003A22F1">
        <w:rPr>
          <w:rFonts w:asciiTheme="minorHAnsi" w:hAnsiTheme="minorHAnsi" w:cstheme="minorHAnsi"/>
          <w:lang w:val="cs-CZ"/>
        </w:rPr>
        <w:t xml:space="preserve">rganizačního řádu zřízen </w:t>
      </w:r>
      <w:r w:rsidR="0064379C">
        <w:rPr>
          <w:rFonts w:asciiTheme="minorHAnsi" w:hAnsiTheme="minorHAnsi" w:cstheme="minorHAnsi"/>
          <w:lang w:val="cs-CZ"/>
        </w:rPr>
        <w:t>o</w:t>
      </w:r>
      <w:r w:rsidRPr="003A22F1">
        <w:rPr>
          <w:rFonts w:asciiTheme="minorHAnsi" w:hAnsiTheme="minorHAnsi" w:cstheme="minorHAnsi"/>
          <w:lang w:val="cs-CZ"/>
        </w:rPr>
        <w:t>dbor zakladatelské činnosti, který odpovídal za výkon funkce zakladatele a zřizovatele resortních institucí (organizační složky státu</w:t>
      </w:r>
      <w:r w:rsidR="00707EB1" w:rsidRPr="003A22F1">
        <w:rPr>
          <w:rFonts w:asciiTheme="minorHAnsi" w:hAnsiTheme="minorHAnsi" w:cstheme="minorHAnsi"/>
          <w:lang w:val="cs-CZ"/>
        </w:rPr>
        <w:t xml:space="preserve">, </w:t>
      </w:r>
      <w:r w:rsidRPr="003A22F1">
        <w:rPr>
          <w:rFonts w:asciiTheme="minorHAnsi" w:hAnsiTheme="minorHAnsi" w:cstheme="minorHAnsi"/>
          <w:lang w:val="cs-CZ"/>
        </w:rPr>
        <w:t>státní příspěvkové organizace, státní podniky) a měl 20 zaměstnanců, kteří měli mj. provádět kontrolní činnost ve smyslu zákona č.</w:t>
      </w:r>
      <w:r w:rsidR="00E9785A" w:rsidRPr="003A22F1">
        <w:rPr>
          <w:rFonts w:asciiTheme="minorHAnsi" w:hAnsiTheme="minorHAnsi" w:cstheme="minorHAnsi"/>
          <w:lang w:val="cs-CZ"/>
        </w:rPr>
        <w:t xml:space="preserve"> </w:t>
      </w:r>
      <w:r w:rsidRPr="003A22F1">
        <w:rPr>
          <w:rFonts w:asciiTheme="minorHAnsi" w:hAnsiTheme="minorHAnsi" w:cstheme="minorHAnsi"/>
          <w:lang w:val="cs-CZ"/>
        </w:rPr>
        <w:t xml:space="preserve">320/2001 Sb. V kontrolovaném období provedl </w:t>
      </w:r>
      <w:r w:rsidR="0064379C">
        <w:rPr>
          <w:rFonts w:asciiTheme="minorHAnsi" w:hAnsiTheme="minorHAnsi" w:cstheme="minorHAnsi"/>
          <w:lang w:val="cs-CZ"/>
        </w:rPr>
        <w:t>o</w:t>
      </w:r>
      <w:r w:rsidRPr="003A22F1">
        <w:rPr>
          <w:rFonts w:asciiTheme="minorHAnsi" w:hAnsiTheme="minorHAnsi" w:cstheme="minorHAnsi"/>
          <w:lang w:val="cs-CZ"/>
        </w:rPr>
        <w:t>dbor zakladatelské činnosti 12</w:t>
      </w:r>
      <w:r w:rsidR="00E9785A" w:rsidRPr="003A22F1">
        <w:rPr>
          <w:rFonts w:asciiTheme="minorHAnsi" w:hAnsiTheme="minorHAnsi" w:cstheme="minorHAnsi"/>
          <w:lang w:val="cs-CZ"/>
        </w:rPr>
        <w:t xml:space="preserve"> </w:t>
      </w:r>
      <w:r w:rsidRPr="003A22F1">
        <w:rPr>
          <w:rFonts w:asciiTheme="minorHAnsi" w:hAnsiTheme="minorHAnsi" w:cstheme="minorHAnsi"/>
          <w:lang w:val="cs-CZ"/>
        </w:rPr>
        <w:t xml:space="preserve">veřejnosprávních kontrol, ke kterým přizval </w:t>
      </w:r>
      <w:r w:rsidR="002E7ACB" w:rsidRPr="003A22F1">
        <w:rPr>
          <w:rFonts w:asciiTheme="minorHAnsi" w:hAnsiTheme="minorHAnsi" w:cstheme="minorHAnsi"/>
          <w:lang w:val="cs-CZ"/>
        </w:rPr>
        <w:t>externího dodavatele</w:t>
      </w:r>
      <w:r w:rsidRPr="003A22F1">
        <w:rPr>
          <w:rFonts w:asciiTheme="minorHAnsi" w:hAnsiTheme="minorHAnsi" w:cstheme="minorHAnsi"/>
          <w:lang w:val="cs-CZ"/>
        </w:rPr>
        <w:t xml:space="preserve"> jako odborného experta vybraného na základě</w:t>
      </w:r>
      <w:r w:rsidR="00E9785A" w:rsidRPr="009464B0">
        <w:rPr>
          <w:rFonts w:asciiTheme="minorHAnsi" w:hAnsiTheme="minorHAnsi" w:cstheme="minorHAnsi"/>
          <w:lang w:val="cs-CZ" w:eastAsia="cs-CZ"/>
        </w:rPr>
        <w:t xml:space="preserve"> </w:t>
      </w:r>
      <w:r w:rsidRPr="003A22F1">
        <w:rPr>
          <w:rFonts w:asciiTheme="minorHAnsi" w:hAnsiTheme="minorHAnsi" w:cstheme="minorHAnsi"/>
          <w:lang w:val="cs-CZ" w:eastAsia="cs-CZ"/>
        </w:rPr>
        <w:t>veřejné zakázky</w:t>
      </w:r>
      <w:r w:rsidR="007307E5" w:rsidRPr="003A22F1">
        <w:rPr>
          <w:rFonts w:asciiTheme="minorHAnsi" w:hAnsiTheme="minorHAnsi" w:cstheme="minorHAnsi"/>
          <w:lang w:val="cs-CZ" w:eastAsia="cs-CZ"/>
        </w:rPr>
        <w:t>.</w:t>
      </w:r>
      <w:r w:rsidRPr="003A22F1">
        <w:rPr>
          <w:rFonts w:asciiTheme="minorHAnsi" w:hAnsiTheme="minorHAnsi" w:cstheme="minorHAnsi"/>
          <w:lang w:val="cs-CZ" w:eastAsia="cs-CZ"/>
        </w:rPr>
        <w:t xml:space="preserve"> </w:t>
      </w:r>
      <w:r w:rsidRPr="003A22F1">
        <w:rPr>
          <w:rFonts w:asciiTheme="minorHAnsi" w:hAnsiTheme="minorHAnsi" w:cstheme="minorHAnsi"/>
          <w:lang w:val="cs-CZ"/>
        </w:rPr>
        <w:t>Za poskytnutí součinnosti při výkonu veřejnosprávních kontrol</w:t>
      </w:r>
      <w:r w:rsidR="00A95209" w:rsidRPr="003A22F1">
        <w:rPr>
          <w:rFonts w:asciiTheme="minorHAnsi" w:hAnsiTheme="minorHAnsi" w:cstheme="minorHAnsi"/>
          <w:lang w:val="cs-CZ"/>
        </w:rPr>
        <w:t xml:space="preserve"> uhradilo </w:t>
      </w:r>
      <w:proofErr w:type="spellStart"/>
      <w:r w:rsidR="00A95209" w:rsidRPr="003A22F1">
        <w:rPr>
          <w:rFonts w:asciiTheme="minorHAnsi" w:hAnsiTheme="minorHAnsi" w:cstheme="minorHAnsi"/>
          <w:lang w:val="cs-CZ"/>
        </w:rPr>
        <w:t>MZe</w:t>
      </w:r>
      <w:proofErr w:type="spellEnd"/>
      <w:r w:rsidR="00A95209" w:rsidRPr="003A22F1">
        <w:rPr>
          <w:rFonts w:asciiTheme="minorHAnsi" w:hAnsiTheme="minorHAnsi" w:cstheme="minorHAnsi"/>
          <w:lang w:val="cs-CZ"/>
        </w:rPr>
        <w:t xml:space="preserve"> celkem 4</w:t>
      </w:r>
      <w:r w:rsidR="00E9785A" w:rsidRPr="003A22F1">
        <w:rPr>
          <w:rFonts w:asciiTheme="minorHAnsi" w:hAnsiTheme="minorHAnsi" w:cstheme="minorHAnsi"/>
          <w:lang w:val="cs-CZ"/>
        </w:rPr>
        <w:t xml:space="preserve"> </w:t>
      </w:r>
      <w:r w:rsidR="00A95209" w:rsidRPr="003A22F1">
        <w:rPr>
          <w:rFonts w:asciiTheme="minorHAnsi" w:hAnsiTheme="minorHAnsi" w:cstheme="minorHAnsi"/>
          <w:lang w:val="cs-CZ"/>
        </w:rPr>
        <w:t>692</w:t>
      </w:r>
      <w:r w:rsidR="00E9785A" w:rsidRPr="003A22F1">
        <w:rPr>
          <w:rFonts w:asciiTheme="minorHAnsi" w:hAnsiTheme="minorHAnsi" w:cstheme="minorHAnsi"/>
          <w:lang w:val="cs-CZ"/>
        </w:rPr>
        <w:t xml:space="preserve"> </w:t>
      </w:r>
      <w:r w:rsidR="00A95209" w:rsidRPr="003A22F1">
        <w:rPr>
          <w:rFonts w:asciiTheme="minorHAnsi" w:hAnsiTheme="minorHAnsi" w:cstheme="minorHAnsi"/>
          <w:lang w:val="cs-CZ"/>
        </w:rPr>
        <w:t>567,55 Kč.</w:t>
      </w:r>
      <w:r w:rsidRPr="003A22F1">
        <w:rPr>
          <w:rFonts w:asciiTheme="minorHAnsi" w:hAnsiTheme="minorHAnsi" w:cstheme="minorHAnsi"/>
          <w:lang w:val="cs-CZ"/>
        </w:rPr>
        <w:t xml:space="preserve"> </w:t>
      </w:r>
      <w:r w:rsidR="00A95209" w:rsidRPr="003A22F1">
        <w:rPr>
          <w:rFonts w:asciiTheme="minorHAnsi" w:hAnsiTheme="minorHAnsi" w:cstheme="minorHAnsi"/>
          <w:lang w:val="cs-CZ"/>
        </w:rPr>
        <w:t>V</w:t>
      </w:r>
      <w:r w:rsidR="00E9785A" w:rsidRPr="003A22F1">
        <w:rPr>
          <w:rFonts w:asciiTheme="minorHAnsi" w:hAnsiTheme="minorHAnsi" w:cstheme="minorHAnsi"/>
          <w:lang w:val="cs-CZ"/>
        </w:rPr>
        <w:t xml:space="preserve"> </w:t>
      </w:r>
      <w:r w:rsidR="00A95209" w:rsidRPr="003A22F1">
        <w:rPr>
          <w:rFonts w:asciiTheme="minorHAnsi" w:hAnsiTheme="minorHAnsi" w:cstheme="minorHAnsi"/>
          <w:lang w:val="cs-CZ"/>
        </w:rPr>
        <w:t xml:space="preserve">jednotlivých kontrolách </w:t>
      </w:r>
      <w:r w:rsidRPr="003A22F1">
        <w:rPr>
          <w:rFonts w:asciiTheme="minorHAnsi" w:hAnsiTheme="minorHAnsi" w:cstheme="minorHAnsi"/>
          <w:lang w:val="cs-CZ"/>
        </w:rPr>
        <w:t>se</w:t>
      </w:r>
      <w:r w:rsidR="00E9785A" w:rsidRPr="003A22F1">
        <w:rPr>
          <w:rFonts w:asciiTheme="minorHAnsi" w:hAnsiTheme="minorHAnsi" w:cstheme="minorHAnsi"/>
          <w:lang w:val="cs-CZ"/>
        </w:rPr>
        <w:t xml:space="preserve"> </w:t>
      </w:r>
      <w:r w:rsidRPr="003A22F1">
        <w:rPr>
          <w:rFonts w:asciiTheme="minorHAnsi" w:hAnsiTheme="minorHAnsi" w:cstheme="minorHAnsi"/>
          <w:lang w:val="cs-CZ"/>
        </w:rPr>
        <w:t xml:space="preserve">za </w:t>
      </w:r>
      <w:proofErr w:type="spellStart"/>
      <w:proofErr w:type="gramStart"/>
      <w:r w:rsidRPr="003A22F1">
        <w:rPr>
          <w:rFonts w:asciiTheme="minorHAnsi" w:hAnsiTheme="minorHAnsi" w:cstheme="minorHAnsi"/>
          <w:lang w:val="cs-CZ"/>
        </w:rPr>
        <w:t>MZe</w:t>
      </w:r>
      <w:proofErr w:type="spellEnd"/>
      <w:proofErr w:type="gramEnd"/>
      <w:r w:rsidRPr="003A22F1">
        <w:rPr>
          <w:rFonts w:asciiTheme="minorHAnsi" w:hAnsiTheme="minorHAnsi" w:cstheme="minorHAnsi"/>
          <w:lang w:val="cs-CZ"/>
        </w:rPr>
        <w:t xml:space="preserve"> </w:t>
      </w:r>
      <w:r w:rsidR="00A95209" w:rsidRPr="003A22F1">
        <w:rPr>
          <w:rFonts w:asciiTheme="minorHAnsi" w:hAnsiTheme="minorHAnsi" w:cstheme="minorHAnsi"/>
          <w:lang w:val="cs-CZ"/>
        </w:rPr>
        <w:t xml:space="preserve">účastnilo </w:t>
      </w:r>
      <w:r w:rsidRPr="003A22F1">
        <w:rPr>
          <w:rFonts w:asciiTheme="minorHAnsi" w:hAnsiTheme="minorHAnsi" w:cstheme="minorHAnsi"/>
          <w:lang w:val="cs-CZ"/>
        </w:rPr>
        <w:t>1 až 5 zaměstnanců a</w:t>
      </w:r>
      <w:r w:rsidR="00E9785A" w:rsidRPr="003A22F1">
        <w:rPr>
          <w:rFonts w:asciiTheme="minorHAnsi" w:hAnsiTheme="minorHAnsi" w:cstheme="minorHAnsi"/>
          <w:lang w:val="cs-CZ"/>
        </w:rPr>
        <w:t> </w:t>
      </w:r>
      <w:r w:rsidRPr="003A22F1">
        <w:rPr>
          <w:rFonts w:asciiTheme="minorHAnsi" w:hAnsiTheme="minorHAnsi" w:cstheme="minorHAnsi"/>
          <w:lang w:val="cs-CZ"/>
        </w:rPr>
        <w:t>za přizvanou osobu až 17 osob</w:t>
      </w:r>
      <w:r w:rsidR="00A95209" w:rsidRPr="003A22F1">
        <w:rPr>
          <w:rFonts w:asciiTheme="minorHAnsi" w:hAnsiTheme="minorHAnsi" w:cstheme="minorHAnsi"/>
          <w:lang w:val="cs-CZ"/>
        </w:rPr>
        <w:t>.</w:t>
      </w:r>
      <w:r w:rsidRPr="003A22F1">
        <w:rPr>
          <w:rFonts w:asciiTheme="minorHAnsi" w:hAnsiTheme="minorHAnsi" w:cstheme="minorHAnsi"/>
          <w:lang w:val="cs-CZ"/>
        </w:rPr>
        <w:t xml:space="preserve"> </w:t>
      </w:r>
    </w:p>
    <w:p w14:paraId="605C45DF" w14:textId="77777777" w:rsidR="00C271E0" w:rsidRPr="003A22F1" w:rsidRDefault="00C271E0" w:rsidP="003A22F1">
      <w:pPr>
        <w:jc w:val="both"/>
        <w:rPr>
          <w:rFonts w:asciiTheme="minorHAnsi" w:hAnsiTheme="minorHAnsi" w:cstheme="minorHAnsi"/>
          <w:color w:val="000000"/>
          <w:lang w:val="cs-CZ"/>
        </w:rPr>
      </w:pPr>
    </w:p>
    <w:p w14:paraId="4EF15A6C" w14:textId="77777777" w:rsidR="008D2314" w:rsidRPr="003A22F1" w:rsidRDefault="00BA4E32" w:rsidP="003A22F1">
      <w:pPr>
        <w:pStyle w:val="Odstavecseseznamem"/>
        <w:ind w:left="284" w:hanging="284"/>
        <w:contextualSpacing w:val="0"/>
        <w:rPr>
          <w:rFonts w:asciiTheme="minorHAnsi" w:hAnsiTheme="minorHAnsi" w:cstheme="minorHAnsi"/>
          <w:b/>
          <w:lang w:val="cs-CZ"/>
        </w:rPr>
      </w:pPr>
      <w:r w:rsidRPr="003A22F1">
        <w:rPr>
          <w:rFonts w:asciiTheme="minorHAnsi" w:hAnsiTheme="minorHAnsi" w:cstheme="minorHAnsi"/>
          <w:b/>
          <w:color w:val="000000"/>
          <w:lang w:val="cs-CZ"/>
        </w:rPr>
        <w:t>4.</w:t>
      </w:r>
      <w:r w:rsidR="00EC5DD5" w:rsidRPr="003A22F1">
        <w:rPr>
          <w:rFonts w:asciiTheme="minorHAnsi" w:hAnsiTheme="minorHAnsi" w:cstheme="minorHAnsi"/>
          <w:b/>
          <w:color w:val="000000"/>
          <w:lang w:val="cs-CZ"/>
        </w:rPr>
        <w:tab/>
      </w:r>
      <w:r w:rsidRPr="003A22F1">
        <w:rPr>
          <w:rFonts w:asciiTheme="minorHAnsi" w:hAnsiTheme="minorHAnsi" w:cstheme="minorHAnsi"/>
          <w:b/>
          <w:lang w:val="cs-CZ"/>
        </w:rPr>
        <w:t>Peněžní prostředky vynaložené na úhradu</w:t>
      </w:r>
      <w:r w:rsidR="008D2314" w:rsidRPr="003A22F1">
        <w:rPr>
          <w:rFonts w:asciiTheme="minorHAnsi" w:hAnsiTheme="minorHAnsi" w:cstheme="minorHAnsi"/>
          <w:b/>
          <w:lang w:val="cs-CZ"/>
        </w:rPr>
        <w:t xml:space="preserve"> </w:t>
      </w:r>
      <w:proofErr w:type="spellStart"/>
      <w:r w:rsidR="008D2314" w:rsidRPr="003A22F1">
        <w:rPr>
          <w:rFonts w:asciiTheme="minorHAnsi" w:hAnsiTheme="minorHAnsi" w:cstheme="minorHAnsi"/>
          <w:b/>
          <w:lang w:val="cs-CZ"/>
        </w:rPr>
        <w:t>dodavatelsky</w:t>
      </w:r>
      <w:proofErr w:type="spellEnd"/>
      <w:r w:rsidR="008D2314" w:rsidRPr="003A22F1">
        <w:rPr>
          <w:rFonts w:asciiTheme="minorHAnsi" w:hAnsiTheme="minorHAnsi" w:cstheme="minorHAnsi"/>
          <w:b/>
          <w:lang w:val="cs-CZ"/>
        </w:rPr>
        <w:t xml:space="preserve"> zajišťovaného úklidu </w:t>
      </w:r>
      <w:r w:rsidR="00692C72" w:rsidRPr="003A22F1">
        <w:rPr>
          <w:rFonts w:asciiTheme="minorHAnsi" w:hAnsiTheme="minorHAnsi" w:cstheme="minorHAnsi"/>
          <w:b/>
          <w:lang w:val="cs-CZ"/>
        </w:rPr>
        <w:t>vybraných objektů</w:t>
      </w:r>
    </w:p>
    <w:p w14:paraId="1C26B5FB" w14:textId="77777777" w:rsidR="003A22F1" w:rsidRDefault="003A22F1" w:rsidP="003A22F1">
      <w:pPr>
        <w:pStyle w:val="Odstavecseseznamem"/>
        <w:ind w:left="0"/>
        <w:contextualSpacing w:val="0"/>
        <w:jc w:val="both"/>
        <w:rPr>
          <w:rFonts w:asciiTheme="minorHAnsi" w:hAnsiTheme="minorHAnsi" w:cstheme="minorHAnsi"/>
          <w:lang w:val="cs-CZ"/>
        </w:rPr>
      </w:pPr>
    </w:p>
    <w:p w14:paraId="1420225F" w14:textId="32E7DB9D" w:rsidR="005A3B0E" w:rsidRDefault="005A3B0E" w:rsidP="003A22F1">
      <w:pPr>
        <w:pStyle w:val="Odstavecseseznamem"/>
        <w:ind w:left="0"/>
        <w:contextualSpacing w:val="0"/>
        <w:jc w:val="both"/>
        <w:rPr>
          <w:rFonts w:asciiTheme="minorHAnsi" w:hAnsiTheme="minorHAnsi" w:cstheme="minorHAnsi"/>
          <w:lang w:val="cs-CZ"/>
        </w:rPr>
      </w:pPr>
      <w:r w:rsidRPr="003A22F1">
        <w:rPr>
          <w:rFonts w:asciiTheme="minorHAnsi" w:hAnsiTheme="minorHAnsi" w:cstheme="minorHAnsi"/>
          <w:lang w:val="cs-CZ"/>
        </w:rPr>
        <w:t xml:space="preserve">V rámci kontrolní akce NKÚ byly zjišťovány </w:t>
      </w:r>
      <w:r w:rsidR="000662C1" w:rsidRPr="003A22F1">
        <w:rPr>
          <w:rFonts w:asciiTheme="minorHAnsi" w:hAnsiTheme="minorHAnsi" w:cstheme="minorHAnsi"/>
          <w:lang w:val="cs-CZ"/>
        </w:rPr>
        <w:t xml:space="preserve">ceny pravidelného úklidu </w:t>
      </w:r>
      <w:r w:rsidR="008F0E29" w:rsidRPr="003A22F1">
        <w:rPr>
          <w:rFonts w:asciiTheme="minorHAnsi" w:hAnsiTheme="minorHAnsi" w:cstheme="minorHAnsi"/>
          <w:lang w:val="cs-CZ"/>
        </w:rPr>
        <w:t xml:space="preserve">a jednotkové ceny pravidelného úklidu </w:t>
      </w:r>
      <w:r w:rsidR="000662C1" w:rsidRPr="003A22F1">
        <w:rPr>
          <w:rFonts w:asciiTheme="minorHAnsi" w:hAnsiTheme="minorHAnsi" w:cstheme="minorHAnsi"/>
          <w:lang w:val="cs-CZ"/>
        </w:rPr>
        <w:t>v</w:t>
      </w:r>
      <w:r w:rsidR="00E9785A" w:rsidRPr="003A22F1">
        <w:rPr>
          <w:rFonts w:asciiTheme="minorHAnsi" w:hAnsiTheme="minorHAnsi" w:cstheme="minorHAnsi"/>
          <w:lang w:val="cs-CZ"/>
        </w:rPr>
        <w:t xml:space="preserve"> </w:t>
      </w:r>
      <w:r w:rsidR="000662C1" w:rsidRPr="003A22F1">
        <w:rPr>
          <w:rFonts w:asciiTheme="minorHAnsi" w:hAnsiTheme="minorHAnsi" w:cstheme="minorHAnsi"/>
          <w:lang w:val="cs-CZ"/>
        </w:rPr>
        <w:t>sídlech ministerstev (</w:t>
      </w:r>
      <w:r w:rsidR="005260DD" w:rsidRPr="003A22F1">
        <w:rPr>
          <w:rFonts w:asciiTheme="minorHAnsi" w:hAnsiTheme="minorHAnsi" w:cstheme="minorHAnsi"/>
          <w:lang w:val="cs-CZ"/>
        </w:rPr>
        <w:t xml:space="preserve">sídlo MO </w:t>
      </w:r>
      <w:r w:rsidR="003A11F3">
        <w:rPr>
          <w:rFonts w:asciiTheme="minorHAnsi" w:hAnsiTheme="minorHAnsi" w:cstheme="minorHAnsi"/>
          <w:lang w:val="cs-CZ"/>
        </w:rPr>
        <w:t xml:space="preserve">na adrese </w:t>
      </w:r>
      <w:r w:rsidR="005260DD" w:rsidRPr="003A22F1">
        <w:rPr>
          <w:rFonts w:asciiTheme="minorHAnsi" w:hAnsiTheme="minorHAnsi" w:cstheme="minorHAnsi"/>
          <w:lang w:val="cs-CZ"/>
        </w:rPr>
        <w:t xml:space="preserve">Tychonova 1, Praha 6, sídlo MPSV </w:t>
      </w:r>
      <w:r w:rsidR="003A11F3">
        <w:rPr>
          <w:rFonts w:asciiTheme="minorHAnsi" w:hAnsiTheme="minorHAnsi" w:cstheme="minorHAnsi"/>
          <w:lang w:val="cs-CZ"/>
        </w:rPr>
        <w:t xml:space="preserve">na adrese </w:t>
      </w:r>
      <w:r w:rsidR="005260DD" w:rsidRPr="003A22F1">
        <w:rPr>
          <w:rFonts w:asciiTheme="minorHAnsi" w:hAnsiTheme="minorHAnsi" w:cstheme="minorHAnsi"/>
          <w:lang w:val="cs-CZ"/>
        </w:rPr>
        <w:t xml:space="preserve">Na Poříčním právu 1, Praha 2, </w:t>
      </w:r>
      <w:r w:rsidR="000662C1" w:rsidRPr="003A22F1">
        <w:rPr>
          <w:rFonts w:asciiTheme="minorHAnsi" w:hAnsiTheme="minorHAnsi" w:cstheme="minorHAnsi"/>
          <w:lang w:val="cs-CZ"/>
        </w:rPr>
        <w:t xml:space="preserve">sídlo </w:t>
      </w:r>
      <w:proofErr w:type="spellStart"/>
      <w:r w:rsidR="000662C1" w:rsidRPr="003A22F1">
        <w:rPr>
          <w:rFonts w:asciiTheme="minorHAnsi" w:hAnsiTheme="minorHAnsi" w:cstheme="minorHAnsi"/>
          <w:lang w:val="cs-CZ"/>
        </w:rPr>
        <w:t>MZe</w:t>
      </w:r>
      <w:proofErr w:type="spellEnd"/>
      <w:r w:rsidR="000662C1" w:rsidRPr="003A22F1">
        <w:rPr>
          <w:rFonts w:asciiTheme="minorHAnsi" w:hAnsiTheme="minorHAnsi" w:cstheme="minorHAnsi"/>
          <w:lang w:val="cs-CZ"/>
        </w:rPr>
        <w:t xml:space="preserve"> </w:t>
      </w:r>
      <w:r w:rsidR="003A11F3">
        <w:rPr>
          <w:rFonts w:asciiTheme="minorHAnsi" w:hAnsiTheme="minorHAnsi" w:cstheme="minorHAnsi"/>
          <w:lang w:val="cs-CZ"/>
        </w:rPr>
        <w:t xml:space="preserve">na adrese </w:t>
      </w:r>
      <w:proofErr w:type="spellStart"/>
      <w:r w:rsidR="000662C1" w:rsidRPr="003A22F1">
        <w:rPr>
          <w:rFonts w:asciiTheme="minorHAnsi" w:hAnsiTheme="minorHAnsi" w:cstheme="minorHAnsi"/>
          <w:lang w:val="cs-CZ"/>
        </w:rPr>
        <w:t>Těšnov</w:t>
      </w:r>
      <w:proofErr w:type="spellEnd"/>
      <w:r w:rsidR="000662C1" w:rsidRPr="003A22F1">
        <w:rPr>
          <w:rFonts w:asciiTheme="minorHAnsi" w:hAnsiTheme="minorHAnsi" w:cstheme="minorHAnsi"/>
          <w:lang w:val="cs-CZ"/>
        </w:rPr>
        <w:t xml:space="preserve"> 17,</w:t>
      </w:r>
      <w:r w:rsidR="005260DD" w:rsidRPr="003A22F1">
        <w:rPr>
          <w:rFonts w:asciiTheme="minorHAnsi" w:hAnsiTheme="minorHAnsi" w:cstheme="minorHAnsi"/>
          <w:lang w:val="cs-CZ"/>
        </w:rPr>
        <w:t xml:space="preserve"> Praha 1</w:t>
      </w:r>
      <w:r w:rsidR="000662C1" w:rsidRPr="003A22F1">
        <w:rPr>
          <w:rFonts w:asciiTheme="minorHAnsi" w:hAnsiTheme="minorHAnsi" w:cstheme="minorHAnsi"/>
          <w:lang w:val="cs-CZ"/>
        </w:rPr>
        <w:t>)</w:t>
      </w:r>
      <w:r w:rsidRPr="003A22F1">
        <w:rPr>
          <w:rFonts w:asciiTheme="minorHAnsi" w:hAnsiTheme="minorHAnsi" w:cstheme="minorHAnsi"/>
          <w:lang w:val="cs-CZ"/>
        </w:rPr>
        <w:t>, které se v</w:t>
      </w:r>
      <w:r w:rsidR="00E9785A" w:rsidRPr="003A22F1">
        <w:rPr>
          <w:rFonts w:asciiTheme="minorHAnsi" w:hAnsiTheme="minorHAnsi" w:cstheme="minorHAnsi"/>
          <w:lang w:val="cs-CZ"/>
        </w:rPr>
        <w:t xml:space="preserve"> </w:t>
      </w:r>
      <w:r w:rsidRPr="003A22F1">
        <w:rPr>
          <w:rFonts w:asciiTheme="minorHAnsi" w:hAnsiTheme="minorHAnsi" w:cstheme="minorHAnsi"/>
          <w:lang w:val="cs-CZ"/>
        </w:rPr>
        <w:t xml:space="preserve">kontrolovaném období pohybovaly </w:t>
      </w:r>
      <w:r w:rsidRPr="003A22F1">
        <w:rPr>
          <w:rFonts w:asciiTheme="minorHAnsi" w:hAnsiTheme="minorHAnsi" w:cstheme="minorHAnsi"/>
          <w:b/>
          <w:lang w:val="cs-CZ"/>
        </w:rPr>
        <w:t xml:space="preserve">od </w:t>
      </w:r>
      <w:r w:rsidR="007D580B" w:rsidRPr="003A22F1">
        <w:rPr>
          <w:rFonts w:asciiTheme="minorHAnsi" w:hAnsiTheme="minorHAnsi" w:cstheme="minorHAnsi"/>
          <w:b/>
          <w:lang w:val="cs-CZ"/>
        </w:rPr>
        <w:t>225,86</w:t>
      </w:r>
      <w:r w:rsidRPr="003A22F1">
        <w:rPr>
          <w:rFonts w:asciiTheme="minorHAnsi" w:hAnsiTheme="minorHAnsi" w:cstheme="minorHAnsi"/>
          <w:b/>
          <w:lang w:val="cs-CZ"/>
        </w:rPr>
        <w:t xml:space="preserve"> Kč </w:t>
      </w:r>
      <w:r w:rsidR="007D580B" w:rsidRPr="003A22F1">
        <w:rPr>
          <w:rFonts w:asciiTheme="minorHAnsi" w:hAnsiTheme="minorHAnsi" w:cstheme="minorHAnsi"/>
          <w:b/>
          <w:lang w:val="cs-CZ"/>
        </w:rPr>
        <w:t xml:space="preserve">bez DPH </w:t>
      </w:r>
      <w:r w:rsidRPr="003A22F1">
        <w:rPr>
          <w:rFonts w:asciiTheme="minorHAnsi" w:hAnsiTheme="minorHAnsi" w:cstheme="minorHAnsi"/>
          <w:b/>
          <w:lang w:val="cs-CZ"/>
        </w:rPr>
        <w:t xml:space="preserve">do </w:t>
      </w:r>
      <w:r w:rsidR="000662C1" w:rsidRPr="003A22F1">
        <w:rPr>
          <w:rFonts w:asciiTheme="minorHAnsi" w:hAnsiTheme="minorHAnsi" w:cstheme="minorHAnsi"/>
          <w:b/>
          <w:lang w:val="cs-CZ"/>
        </w:rPr>
        <w:t>1</w:t>
      </w:r>
      <w:r w:rsidR="00E9785A" w:rsidRPr="003A22F1">
        <w:rPr>
          <w:rFonts w:asciiTheme="minorHAnsi" w:hAnsiTheme="minorHAnsi" w:cstheme="minorHAnsi"/>
          <w:b/>
          <w:lang w:val="cs-CZ"/>
        </w:rPr>
        <w:t xml:space="preserve"> </w:t>
      </w:r>
      <w:r w:rsidR="007D580B" w:rsidRPr="003A22F1">
        <w:rPr>
          <w:rFonts w:asciiTheme="minorHAnsi" w:hAnsiTheme="minorHAnsi" w:cstheme="minorHAnsi"/>
          <w:b/>
          <w:lang w:val="cs-CZ"/>
        </w:rPr>
        <w:t>369,95 bez DPH</w:t>
      </w:r>
      <w:r w:rsidRPr="003A22F1">
        <w:rPr>
          <w:rFonts w:asciiTheme="minorHAnsi" w:hAnsiTheme="minorHAnsi" w:cstheme="minorHAnsi"/>
          <w:b/>
          <w:lang w:val="cs-CZ"/>
        </w:rPr>
        <w:t xml:space="preserve"> Kč</w:t>
      </w:r>
      <w:r w:rsidRPr="003A22F1">
        <w:rPr>
          <w:rFonts w:asciiTheme="minorHAnsi" w:hAnsiTheme="minorHAnsi" w:cstheme="minorHAnsi"/>
          <w:lang w:val="cs-CZ"/>
        </w:rPr>
        <w:t xml:space="preserve"> za měsíční úklid plochy 100 m</w:t>
      </w:r>
      <w:r w:rsidRPr="003A22F1">
        <w:rPr>
          <w:rFonts w:asciiTheme="minorHAnsi" w:hAnsiTheme="minorHAnsi" w:cstheme="minorHAnsi"/>
          <w:vertAlign w:val="superscript"/>
          <w:lang w:val="cs-CZ"/>
        </w:rPr>
        <w:t>2</w:t>
      </w:r>
      <w:r w:rsidR="003A11F3">
        <w:rPr>
          <w:rFonts w:asciiTheme="minorHAnsi" w:hAnsiTheme="minorHAnsi" w:cstheme="minorHAnsi"/>
          <w:lang w:val="cs-CZ"/>
        </w:rPr>
        <w:t>,</w:t>
      </w:r>
      <w:r w:rsidR="005A3846" w:rsidRPr="003A22F1">
        <w:rPr>
          <w:rFonts w:asciiTheme="minorHAnsi" w:hAnsiTheme="minorHAnsi" w:cstheme="minorHAnsi"/>
          <w:lang w:val="cs-CZ"/>
        </w:rPr>
        <w:t xml:space="preserve"> a d</w:t>
      </w:r>
      <w:r w:rsidR="004D3C20" w:rsidRPr="003A22F1">
        <w:rPr>
          <w:rFonts w:asciiTheme="minorHAnsi" w:hAnsiTheme="minorHAnsi" w:cstheme="minorHAnsi"/>
          <w:lang w:val="cs-CZ"/>
        </w:rPr>
        <w:t xml:space="preserve">ále jednotkové ceny mytí oken, </w:t>
      </w:r>
      <w:r w:rsidR="005A3846" w:rsidRPr="003A22F1">
        <w:rPr>
          <w:rFonts w:asciiTheme="minorHAnsi" w:hAnsiTheme="minorHAnsi" w:cstheme="minorHAnsi"/>
          <w:lang w:val="cs-CZ"/>
        </w:rPr>
        <w:t xml:space="preserve">které se pohybovaly od </w:t>
      </w:r>
      <w:r w:rsidR="000662C1" w:rsidRPr="003A22F1">
        <w:rPr>
          <w:rFonts w:asciiTheme="minorHAnsi" w:hAnsiTheme="minorHAnsi" w:cstheme="minorHAnsi"/>
          <w:b/>
          <w:lang w:val="cs-CZ"/>
        </w:rPr>
        <w:t>5</w:t>
      </w:r>
      <w:r w:rsidR="003A11F3">
        <w:rPr>
          <w:rFonts w:asciiTheme="minorHAnsi" w:hAnsiTheme="minorHAnsi" w:cstheme="minorHAnsi"/>
          <w:b/>
          <w:lang w:val="cs-CZ"/>
        </w:rPr>
        <w:t> </w:t>
      </w:r>
      <w:r w:rsidR="005A3846" w:rsidRPr="003A22F1">
        <w:rPr>
          <w:rFonts w:asciiTheme="minorHAnsi" w:hAnsiTheme="minorHAnsi" w:cstheme="minorHAnsi"/>
          <w:b/>
          <w:lang w:val="cs-CZ"/>
        </w:rPr>
        <w:t>Kč</w:t>
      </w:r>
      <w:r w:rsidR="007D580B" w:rsidRPr="003A22F1">
        <w:rPr>
          <w:rFonts w:asciiTheme="minorHAnsi" w:hAnsiTheme="minorHAnsi" w:cstheme="minorHAnsi"/>
          <w:b/>
          <w:lang w:val="cs-CZ"/>
        </w:rPr>
        <w:t xml:space="preserve"> bez DPH</w:t>
      </w:r>
      <w:r w:rsidR="005A3846" w:rsidRPr="003A22F1">
        <w:rPr>
          <w:rFonts w:asciiTheme="minorHAnsi" w:hAnsiTheme="minorHAnsi" w:cstheme="minorHAnsi"/>
          <w:b/>
          <w:lang w:val="cs-CZ"/>
        </w:rPr>
        <w:t xml:space="preserve"> do </w:t>
      </w:r>
      <w:r w:rsidR="000662C1" w:rsidRPr="003A22F1">
        <w:rPr>
          <w:rFonts w:asciiTheme="minorHAnsi" w:hAnsiTheme="minorHAnsi" w:cstheme="minorHAnsi"/>
          <w:b/>
          <w:lang w:val="cs-CZ"/>
        </w:rPr>
        <w:t>8</w:t>
      </w:r>
      <w:r w:rsidR="005A3846" w:rsidRPr="003A22F1">
        <w:rPr>
          <w:rFonts w:asciiTheme="minorHAnsi" w:hAnsiTheme="minorHAnsi" w:cstheme="minorHAnsi"/>
          <w:b/>
          <w:lang w:val="cs-CZ"/>
        </w:rPr>
        <w:t xml:space="preserve"> Kč</w:t>
      </w:r>
      <w:r w:rsidR="005A3846" w:rsidRPr="003A22F1">
        <w:rPr>
          <w:rFonts w:asciiTheme="minorHAnsi" w:hAnsiTheme="minorHAnsi" w:cstheme="minorHAnsi"/>
          <w:lang w:val="cs-CZ"/>
        </w:rPr>
        <w:t xml:space="preserve"> </w:t>
      </w:r>
      <w:r w:rsidR="007D580B" w:rsidRPr="003A22F1">
        <w:rPr>
          <w:rFonts w:asciiTheme="minorHAnsi" w:hAnsiTheme="minorHAnsi" w:cstheme="minorHAnsi"/>
          <w:b/>
          <w:lang w:val="cs-CZ"/>
        </w:rPr>
        <w:t xml:space="preserve">bez DPH </w:t>
      </w:r>
      <w:r w:rsidR="005A3846" w:rsidRPr="003A22F1">
        <w:rPr>
          <w:rFonts w:asciiTheme="minorHAnsi" w:hAnsiTheme="minorHAnsi" w:cstheme="minorHAnsi"/>
          <w:lang w:val="cs-CZ"/>
        </w:rPr>
        <w:t>za 1 m</w:t>
      </w:r>
      <w:r w:rsidR="005A3846" w:rsidRPr="003A22F1">
        <w:rPr>
          <w:rFonts w:asciiTheme="minorHAnsi" w:hAnsiTheme="minorHAnsi" w:cstheme="minorHAnsi"/>
          <w:vertAlign w:val="superscript"/>
          <w:lang w:val="cs-CZ"/>
        </w:rPr>
        <w:t>2</w:t>
      </w:r>
      <w:r w:rsidR="005A3846" w:rsidRPr="003A22F1">
        <w:rPr>
          <w:rFonts w:asciiTheme="minorHAnsi" w:hAnsiTheme="minorHAnsi" w:cstheme="minorHAnsi"/>
          <w:lang w:val="cs-CZ"/>
        </w:rPr>
        <w:t>.</w:t>
      </w:r>
    </w:p>
    <w:p w14:paraId="2FD3553A" w14:textId="77777777" w:rsidR="003A22F1" w:rsidRPr="003A22F1" w:rsidRDefault="003A22F1" w:rsidP="003A22F1">
      <w:pPr>
        <w:pStyle w:val="Odstavecseseznamem"/>
        <w:ind w:left="0"/>
        <w:contextualSpacing w:val="0"/>
        <w:jc w:val="both"/>
        <w:rPr>
          <w:rFonts w:asciiTheme="minorHAnsi" w:hAnsiTheme="minorHAnsi" w:cstheme="minorHAnsi"/>
          <w:lang w:val="cs-CZ"/>
        </w:rPr>
      </w:pPr>
    </w:p>
    <w:p w14:paraId="59796D2F" w14:textId="147650E3" w:rsidR="00E9785A" w:rsidRPr="003A22F1" w:rsidRDefault="008D2314" w:rsidP="003A22F1">
      <w:pPr>
        <w:pStyle w:val="Odstavecseseznamem"/>
        <w:tabs>
          <w:tab w:val="right" w:pos="9070"/>
        </w:tabs>
        <w:spacing w:after="40"/>
        <w:ind w:left="0"/>
        <w:contextualSpacing w:val="0"/>
        <w:rPr>
          <w:rFonts w:asciiTheme="minorHAnsi" w:hAnsiTheme="minorHAnsi" w:cstheme="minorHAnsi"/>
          <w:b/>
          <w:lang w:val="cs-CZ"/>
        </w:rPr>
      </w:pPr>
      <w:r w:rsidRPr="003A22F1">
        <w:rPr>
          <w:rFonts w:asciiTheme="minorHAnsi" w:hAnsiTheme="minorHAnsi" w:cstheme="minorHAnsi"/>
          <w:b/>
          <w:lang w:val="cs-CZ"/>
        </w:rPr>
        <w:t xml:space="preserve">Tabulka č. </w:t>
      </w:r>
      <w:r w:rsidR="00710447" w:rsidRPr="003A22F1">
        <w:rPr>
          <w:rFonts w:asciiTheme="minorHAnsi" w:hAnsiTheme="minorHAnsi" w:cstheme="minorHAnsi"/>
          <w:b/>
          <w:lang w:val="cs-CZ"/>
        </w:rPr>
        <w:t>4</w:t>
      </w:r>
      <w:r w:rsidR="00E9785A" w:rsidRPr="009464B0">
        <w:rPr>
          <w:rFonts w:asciiTheme="minorHAnsi" w:hAnsiTheme="minorHAnsi" w:cstheme="minorHAnsi"/>
          <w:b/>
          <w:lang w:val="cs-CZ"/>
        </w:rPr>
        <w:t xml:space="preserve"> </w:t>
      </w:r>
      <w:r w:rsidR="00EC5DD5" w:rsidRPr="009464B0">
        <w:rPr>
          <w:rFonts w:asciiTheme="minorHAnsi" w:hAnsiTheme="minorHAnsi" w:cstheme="minorHAnsi"/>
          <w:b/>
          <w:lang w:val="cs-CZ"/>
        </w:rPr>
        <w:t>–</w:t>
      </w:r>
      <w:r w:rsidR="00EC5DD5" w:rsidRPr="00661BF5">
        <w:rPr>
          <w:rFonts w:asciiTheme="minorHAnsi" w:hAnsiTheme="minorHAnsi" w:cstheme="minorHAnsi"/>
          <w:lang w:val="cs-CZ"/>
        </w:rPr>
        <w:t xml:space="preserve"> </w:t>
      </w:r>
      <w:r w:rsidR="00E9785A" w:rsidRPr="003A22F1">
        <w:rPr>
          <w:rFonts w:asciiTheme="minorHAnsi" w:hAnsiTheme="minorHAnsi" w:cstheme="minorHAnsi"/>
          <w:b/>
          <w:lang w:val="cs-CZ"/>
        </w:rPr>
        <w:t xml:space="preserve">Cena pravidelného úklidu v sídlech ministerstev </w:t>
      </w:r>
      <w:r w:rsidR="003A22F1" w:rsidRPr="003A22F1">
        <w:rPr>
          <w:rFonts w:asciiTheme="minorHAnsi" w:hAnsiTheme="minorHAnsi" w:cstheme="minorHAnsi"/>
          <w:b/>
          <w:lang w:val="cs-CZ"/>
        </w:rPr>
        <w:tab/>
      </w:r>
      <w:r w:rsidR="00E9785A" w:rsidRPr="003A22F1">
        <w:rPr>
          <w:rFonts w:asciiTheme="minorHAnsi" w:hAnsiTheme="minorHAnsi" w:cstheme="minorHAnsi"/>
          <w:b/>
          <w:lang w:val="cs-CZ"/>
        </w:rPr>
        <w:t>(v Kč včetně DPH/rok)</w:t>
      </w:r>
    </w:p>
    <w:tbl>
      <w:tblPr>
        <w:tblW w:w="9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2307"/>
        <w:gridCol w:w="2307"/>
        <w:gridCol w:w="2308"/>
      </w:tblGrid>
      <w:tr w:rsidR="008D2314" w:rsidRPr="00A17659" w14:paraId="2E2C691F" w14:textId="77777777" w:rsidTr="001A4537">
        <w:trPr>
          <w:trHeight w:val="227"/>
          <w:jc w:val="center"/>
        </w:trPr>
        <w:tc>
          <w:tcPr>
            <w:tcW w:w="2208" w:type="dxa"/>
            <w:shd w:val="clear" w:color="auto" w:fill="auto"/>
            <w:vAlign w:val="center"/>
          </w:tcPr>
          <w:p w14:paraId="225E791F" w14:textId="77777777" w:rsidR="008D2314" w:rsidRPr="00E9785A" w:rsidRDefault="008D2314" w:rsidP="008D2314">
            <w:pPr>
              <w:pStyle w:val="Odstavecseseznamem"/>
              <w:ind w:left="0"/>
              <w:contextualSpacing w:val="0"/>
              <w:jc w:val="center"/>
              <w:rPr>
                <w:rFonts w:asciiTheme="minorHAnsi" w:hAnsiTheme="minorHAnsi" w:cstheme="minorHAnsi"/>
                <w:b/>
                <w:lang w:val="cs-CZ"/>
              </w:rPr>
            </w:pPr>
          </w:p>
        </w:tc>
        <w:tc>
          <w:tcPr>
            <w:tcW w:w="2307" w:type="dxa"/>
            <w:shd w:val="clear" w:color="auto" w:fill="auto"/>
            <w:vAlign w:val="center"/>
          </w:tcPr>
          <w:p w14:paraId="1D5953F5" w14:textId="77777777" w:rsidR="008D2314" w:rsidRPr="00E9785A" w:rsidRDefault="008D2314" w:rsidP="004D7B3F">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p>
        </w:tc>
        <w:tc>
          <w:tcPr>
            <w:tcW w:w="2307" w:type="dxa"/>
            <w:shd w:val="clear" w:color="auto" w:fill="auto"/>
            <w:vAlign w:val="center"/>
          </w:tcPr>
          <w:p w14:paraId="06F6B29A" w14:textId="77777777" w:rsidR="008D2314" w:rsidRPr="00E9785A" w:rsidRDefault="008D2314" w:rsidP="004D7B3F">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p>
        </w:tc>
        <w:tc>
          <w:tcPr>
            <w:tcW w:w="2308" w:type="dxa"/>
            <w:shd w:val="clear" w:color="auto" w:fill="auto"/>
            <w:vAlign w:val="center"/>
          </w:tcPr>
          <w:p w14:paraId="412E7432" w14:textId="77777777" w:rsidR="008D2314" w:rsidRPr="00E9785A" w:rsidRDefault="008D2314" w:rsidP="004D7B3F">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8D2314" w:rsidRPr="00A17659" w14:paraId="7AE60B65" w14:textId="77777777" w:rsidTr="001A4537">
        <w:trPr>
          <w:trHeight w:val="227"/>
          <w:jc w:val="center"/>
        </w:trPr>
        <w:tc>
          <w:tcPr>
            <w:tcW w:w="2208" w:type="dxa"/>
            <w:shd w:val="clear" w:color="auto" w:fill="auto"/>
            <w:vAlign w:val="center"/>
          </w:tcPr>
          <w:p w14:paraId="78C9A49F" w14:textId="77777777" w:rsidR="008D2314" w:rsidRPr="00E9785A" w:rsidRDefault="008D2314" w:rsidP="008D2314">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307" w:type="dxa"/>
            <w:shd w:val="clear" w:color="auto" w:fill="auto"/>
            <w:vAlign w:val="center"/>
          </w:tcPr>
          <w:p w14:paraId="6ABD6A36" w14:textId="77777777" w:rsidR="008D2314" w:rsidRPr="00E9785A" w:rsidRDefault="008C5F6D" w:rsidP="00E9785A">
            <w:pPr>
              <w:pStyle w:val="Odstavecseseznamem"/>
              <w:ind w:left="0" w:right="408"/>
              <w:contextualSpacing w:val="0"/>
              <w:jc w:val="right"/>
              <w:rPr>
                <w:rFonts w:asciiTheme="minorHAnsi" w:hAnsiTheme="minorHAnsi" w:cstheme="minorHAnsi"/>
                <w:lang w:val="cs-CZ"/>
              </w:rPr>
            </w:pPr>
            <w:r w:rsidRPr="00E9785A">
              <w:rPr>
                <w:rFonts w:asciiTheme="minorHAnsi" w:hAnsiTheme="minorHAnsi" w:cstheme="minorHAnsi"/>
                <w:lang w:val="cs-CZ"/>
              </w:rPr>
              <w:t>1</w:t>
            </w:r>
            <w:r w:rsidR="00E9785A">
              <w:rPr>
                <w:rFonts w:asciiTheme="minorHAnsi" w:hAnsiTheme="minorHAnsi" w:cstheme="minorHAnsi"/>
                <w:lang w:val="cs-CZ"/>
              </w:rPr>
              <w:t xml:space="preserve"> </w:t>
            </w:r>
            <w:r w:rsidRPr="00E9785A">
              <w:rPr>
                <w:rFonts w:asciiTheme="minorHAnsi" w:hAnsiTheme="minorHAnsi" w:cstheme="minorHAnsi"/>
                <w:lang w:val="cs-CZ"/>
              </w:rPr>
              <w:t>479</w:t>
            </w:r>
            <w:r w:rsidR="00E9785A">
              <w:rPr>
                <w:rFonts w:asciiTheme="minorHAnsi" w:hAnsiTheme="minorHAnsi" w:cstheme="minorHAnsi"/>
                <w:lang w:val="cs-CZ"/>
              </w:rPr>
              <w:t xml:space="preserve"> </w:t>
            </w:r>
            <w:r w:rsidRPr="00E9785A">
              <w:rPr>
                <w:rFonts w:asciiTheme="minorHAnsi" w:hAnsiTheme="minorHAnsi" w:cstheme="minorHAnsi"/>
                <w:lang w:val="cs-CZ"/>
              </w:rPr>
              <w:t>458,30</w:t>
            </w:r>
          </w:p>
        </w:tc>
        <w:tc>
          <w:tcPr>
            <w:tcW w:w="2307" w:type="dxa"/>
            <w:shd w:val="clear" w:color="auto" w:fill="auto"/>
            <w:vAlign w:val="center"/>
          </w:tcPr>
          <w:p w14:paraId="7FA07C98" w14:textId="77777777" w:rsidR="008D2314" w:rsidRPr="00E9785A" w:rsidRDefault="007B52C4" w:rsidP="004D7B3F">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2</w:t>
            </w:r>
            <w:r w:rsidR="00E9785A">
              <w:rPr>
                <w:rFonts w:asciiTheme="minorHAnsi" w:hAnsiTheme="minorHAnsi" w:cstheme="minorHAnsi"/>
                <w:lang w:val="cs-CZ"/>
              </w:rPr>
              <w:t xml:space="preserve"> </w:t>
            </w:r>
            <w:r w:rsidRPr="00E9785A">
              <w:rPr>
                <w:rFonts w:asciiTheme="minorHAnsi" w:hAnsiTheme="minorHAnsi" w:cstheme="minorHAnsi"/>
                <w:lang w:val="cs-CZ"/>
              </w:rPr>
              <w:t>107</w:t>
            </w:r>
            <w:r w:rsidR="00E9785A">
              <w:rPr>
                <w:rFonts w:asciiTheme="minorHAnsi" w:hAnsiTheme="minorHAnsi" w:cstheme="minorHAnsi"/>
                <w:lang w:val="cs-CZ"/>
              </w:rPr>
              <w:t xml:space="preserve"> </w:t>
            </w:r>
            <w:r w:rsidRPr="00E9785A">
              <w:rPr>
                <w:rFonts w:asciiTheme="minorHAnsi" w:hAnsiTheme="minorHAnsi" w:cstheme="minorHAnsi"/>
                <w:lang w:val="cs-CZ"/>
              </w:rPr>
              <w:t>841,</w:t>
            </w:r>
            <w:r w:rsidR="0059187E" w:rsidRPr="00E9785A">
              <w:rPr>
                <w:rFonts w:asciiTheme="minorHAnsi" w:hAnsiTheme="minorHAnsi" w:cstheme="minorHAnsi"/>
                <w:lang w:val="cs-CZ"/>
              </w:rPr>
              <w:t>52</w:t>
            </w:r>
          </w:p>
        </w:tc>
        <w:tc>
          <w:tcPr>
            <w:tcW w:w="2308" w:type="dxa"/>
            <w:shd w:val="clear" w:color="auto" w:fill="auto"/>
            <w:vAlign w:val="center"/>
          </w:tcPr>
          <w:p w14:paraId="4AD8D166" w14:textId="77777777" w:rsidR="008D2314" w:rsidRPr="00E9785A" w:rsidRDefault="005570F8" w:rsidP="004D7B3F">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4</w:t>
            </w:r>
            <w:r w:rsidR="00E9785A">
              <w:rPr>
                <w:rFonts w:asciiTheme="minorHAnsi" w:hAnsiTheme="minorHAnsi" w:cstheme="minorHAnsi"/>
                <w:lang w:val="cs-CZ"/>
              </w:rPr>
              <w:t xml:space="preserve"> </w:t>
            </w:r>
            <w:r w:rsidRPr="00E9785A">
              <w:rPr>
                <w:rFonts w:asciiTheme="minorHAnsi" w:hAnsiTheme="minorHAnsi" w:cstheme="minorHAnsi"/>
                <w:lang w:val="cs-CZ"/>
              </w:rPr>
              <w:t>166</w:t>
            </w:r>
            <w:r w:rsidR="00E9785A">
              <w:rPr>
                <w:rFonts w:asciiTheme="minorHAnsi" w:hAnsiTheme="minorHAnsi" w:cstheme="minorHAnsi"/>
                <w:lang w:val="cs-CZ"/>
              </w:rPr>
              <w:t xml:space="preserve"> </w:t>
            </w:r>
            <w:r w:rsidRPr="00E9785A">
              <w:rPr>
                <w:rFonts w:asciiTheme="minorHAnsi" w:hAnsiTheme="minorHAnsi" w:cstheme="minorHAnsi"/>
                <w:lang w:val="cs-CZ"/>
              </w:rPr>
              <w:t>712,00</w:t>
            </w:r>
          </w:p>
        </w:tc>
      </w:tr>
      <w:tr w:rsidR="008D2314" w:rsidRPr="00A17659" w14:paraId="194BCA08" w14:textId="77777777" w:rsidTr="001A4537">
        <w:trPr>
          <w:trHeight w:val="227"/>
          <w:jc w:val="center"/>
        </w:trPr>
        <w:tc>
          <w:tcPr>
            <w:tcW w:w="2208" w:type="dxa"/>
            <w:shd w:val="clear" w:color="auto" w:fill="auto"/>
            <w:vAlign w:val="center"/>
          </w:tcPr>
          <w:p w14:paraId="66501D9F" w14:textId="77777777" w:rsidR="008D2314" w:rsidRPr="00E9785A" w:rsidRDefault="008D2314" w:rsidP="008D2314">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307" w:type="dxa"/>
            <w:shd w:val="clear" w:color="auto" w:fill="auto"/>
            <w:vAlign w:val="center"/>
          </w:tcPr>
          <w:p w14:paraId="2A8D4763" w14:textId="2BF42E86" w:rsidR="008D2314" w:rsidRPr="00E9785A" w:rsidRDefault="008C5F6D" w:rsidP="00E9785A">
            <w:pPr>
              <w:pStyle w:val="Odstavecseseznamem"/>
              <w:ind w:left="0" w:right="408"/>
              <w:contextualSpacing w:val="0"/>
              <w:jc w:val="right"/>
              <w:rPr>
                <w:rFonts w:asciiTheme="minorHAnsi" w:hAnsiTheme="minorHAnsi" w:cstheme="minorHAnsi"/>
                <w:lang w:val="cs-CZ"/>
              </w:rPr>
            </w:pPr>
            <w:r w:rsidRPr="00E9785A">
              <w:rPr>
                <w:rFonts w:asciiTheme="minorHAnsi" w:hAnsiTheme="minorHAnsi" w:cstheme="minorHAnsi"/>
                <w:lang w:val="cs-CZ"/>
              </w:rPr>
              <w:t>866</w:t>
            </w:r>
            <w:r w:rsidR="00E9785A">
              <w:rPr>
                <w:rFonts w:asciiTheme="minorHAnsi" w:hAnsiTheme="minorHAnsi" w:cstheme="minorHAnsi"/>
                <w:lang w:val="cs-CZ"/>
              </w:rPr>
              <w:t xml:space="preserve"> </w:t>
            </w:r>
            <w:r w:rsidRPr="00E9785A">
              <w:rPr>
                <w:rFonts w:asciiTheme="minorHAnsi" w:hAnsiTheme="minorHAnsi" w:cstheme="minorHAnsi"/>
                <w:lang w:val="cs-CZ"/>
              </w:rPr>
              <w:t>560,65</w:t>
            </w:r>
          </w:p>
        </w:tc>
        <w:tc>
          <w:tcPr>
            <w:tcW w:w="2307" w:type="dxa"/>
            <w:shd w:val="clear" w:color="auto" w:fill="auto"/>
            <w:vAlign w:val="center"/>
          </w:tcPr>
          <w:p w14:paraId="08F866A7" w14:textId="77777777" w:rsidR="008D2314" w:rsidRPr="00E9785A" w:rsidRDefault="007B52C4" w:rsidP="004D7B3F">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2</w:t>
            </w:r>
            <w:r w:rsidR="00E9785A">
              <w:rPr>
                <w:rFonts w:asciiTheme="minorHAnsi" w:hAnsiTheme="minorHAnsi" w:cstheme="minorHAnsi"/>
                <w:lang w:val="cs-CZ"/>
              </w:rPr>
              <w:t xml:space="preserve"> </w:t>
            </w:r>
            <w:r w:rsidRPr="00E9785A">
              <w:rPr>
                <w:rFonts w:asciiTheme="minorHAnsi" w:hAnsiTheme="minorHAnsi" w:cstheme="minorHAnsi"/>
                <w:lang w:val="cs-CZ"/>
              </w:rPr>
              <w:t>107</w:t>
            </w:r>
            <w:r w:rsidR="00E9785A">
              <w:rPr>
                <w:rFonts w:asciiTheme="minorHAnsi" w:hAnsiTheme="minorHAnsi" w:cstheme="minorHAnsi"/>
                <w:lang w:val="cs-CZ"/>
              </w:rPr>
              <w:t xml:space="preserve"> </w:t>
            </w:r>
            <w:r w:rsidRPr="00E9785A">
              <w:rPr>
                <w:rFonts w:asciiTheme="minorHAnsi" w:hAnsiTheme="minorHAnsi" w:cstheme="minorHAnsi"/>
                <w:lang w:val="cs-CZ"/>
              </w:rPr>
              <w:t>841,</w:t>
            </w:r>
            <w:r w:rsidR="0059187E" w:rsidRPr="00E9785A">
              <w:rPr>
                <w:rFonts w:asciiTheme="minorHAnsi" w:hAnsiTheme="minorHAnsi" w:cstheme="minorHAnsi"/>
                <w:lang w:val="cs-CZ"/>
              </w:rPr>
              <w:t>52</w:t>
            </w:r>
          </w:p>
        </w:tc>
        <w:tc>
          <w:tcPr>
            <w:tcW w:w="2308" w:type="dxa"/>
            <w:shd w:val="clear" w:color="auto" w:fill="auto"/>
            <w:vAlign w:val="center"/>
          </w:tcPr>
          <w:p w14:paraId="3C86C54C" w14:textId="77777777" w:rsidR="008D2314" w:rsidRPr="00E9785A" w:rsidRDefault="005570F8" w:rsidP="004D7B3F">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4</w:t>
            </w:r>
            <w:r w:rsidR="00E9785A">
              <w:rPr>
                <w:rFonts w:asciiTheme="minorHAnsi" w:hAnsiTheme="minorHAnsi" w:cstheme="minorHAnsi"/>
                <w:lang w:val="cs-CZ"/>
              </w:rPr>
              <w:t xml:space="preserve"> </w:t>
            </w:r>
            <w:r w:rsidRPr="00E9785A">
              <w:rPr>
                <w:rFonts w:asciiTheme="minorHAnsi" w:hAnsiTheme="minorHAnsi" w:cstheme="minorHAnsi"/>
                <w:lang w:val="cs-CZ"/>
              </w:rPr>
              <w:t>166</w:t>
            </w:r>
            <w:r w:rsidR="00E9785A">
              <w:rPr>
                <w:rFonts w:asciiTheme="minorHAnsi" w:hAnsiTheme="minorHAnsi" w:cstheme="minorHAnsi"/>
                <w:lang w:val="cs-CZ"/>
              </w:rPr>
              <w:t xml:space="preserve"> </w:t>
            </w:r>
            <w:r w:rsidRPr="00E9785A">
              <w:rPr>
                <w:rFonts w:asciiTheme="minorHAnsi" w:hAnsiTheme="minorHAnsi" w:cstheme="minorHAnsi"/>
                <w:lang w:val="cs-CZ"/>
              </w:rPr>
              <w:t>712,00</w:t>
            </w:r>
          </w:p>
        </w:tc>
      </w:tr>
    </w:tbl>
    <w:p w14:paraId="0B924B15" w14:textId="77777777" w:rsidR="005570F8" w:rsidRPr="00A17659" w:rsidRDefault="008D2314" w:rsidP="003A22F1">
      <w:pPr>
        <w:pStyle w:val="Odstavecseseznamem"/>
        <w:spacing w:before="40"/>
        <w:ind w:left="0"/>
        <w:contextualSpacing w:val="0"/>
        <w:rPr>
          <w:rFonts w:asciiTheme="minorHAnsi" w:hAnsiTheme="minorHAnsi" w:cstheme="minorHAnsi"/>
          <w:sz w:val="20"/>
          <w:szCs w:val="20"/>
          <w:lang w:val="cs-CZ"/>
        </w:rPr>
      </w:pPr>
      <w:r w:rsidRPr="00A17659">
        <w:rPr>
          <w:rFonts w:asciiTheme="minorHAnsi" w:hAnsiTheme="minorHAnsi" w:cstheme="minorHAnsi"/>
          <w:b/>
          <w:sz w:val="20"/>
          <w:szCs w:val="20"/>
          <w:lang w:val="cs-CZ" w:eastAsia="cs-CZ"/>
        </w:rPr>
        <w:t>Zdroj:</w:t>
      </w:r>
      <w:r w:rsidRPr="00A17659">
        <w:rPr>
          <w:rFonts w:asciiTheme="minorHAnsi" w:hAnsiTheme="minorHAnsi" w:cstheme="minorHAnsi"/>
          <w:sz w:val="20"/>
          <w:szCs w:val="20"/>
          <w:lang w:val="cs-CZ" w:eastAsia="cs-CZ"/>
        </w:rPr>
        <w:t xml:space="preserve"> </w:t>
      </w:r>
      <w:r w:rsidR="005570F8" w:rsidRPr="00A17659">
        <w:rPr>
          <w:rFonts w:asciiTheme="minorHAnsi" w:hAnsiTheme="minorHAnsi" w:cstheme="minorHAnsi"/>
          <w:sz w:val="20"/>
          <w:szCs w:val="20"/>
          <w:lang w:val="cs-CZ" w:eastAsia="cs-CZ"/>
        </w:rPr>
        <w:t>smlouvy, přijaté faktury.</w:t>
      </w:r>
    </w:p>
    <w:p w14:paraId="0657249F" w14:textId="77777777" w:rsidR="00825540" w:rsidRDefault="00825540" w:rsidP="00825540">
      <w:pPr>
        <w:pStyle w:val="Odstavecseseznamem"/>
        <w:ind w:left="0"/>
        <w:contextualSpacing w:val="0"/>
        <w:jc w:val="both"/>
        <w:rPr>
          <w:rFonts w:asciiTheme="minorHAnsi" w:hAnsiTheme="minorHAnsi" w:cstheme="minorHAnsi"/>
          <w:lang w:val="cs-CZ"/>
        </w:rPr>
      </w:pPr>
    </w:p>
    <w:p w14:paraId="58249FE2" w14:textId="77777777" w:rsidR="00147816" w:rsidRPr="00A17659" w:rsidRDefault="00147816" w:rsidP="00825540">
      <w:pPr>
        <w:pStyle w:val="Odstavecseseznamem"/>
        <w:spacing w:after="40"/>
        <w:ind w:left="0"/>
        <w:contextualSpacing w:val="0"/>
        <w:rPr>
          <w:rFonts w:asciiTheme="minorHAnsi" w:hAnsiTheme="minorHAnsi" w:cstheme="minorHAnsi"/>
          <w:b/>
          <w:lang w:val="cs-CZ"/>
        </w:rPr>
      </w:pPr>
      <w:r w:rsidRPr="00A17659">
        <w:rPr>
          <w:rFonts w:asciiTheme="minorHAnsi" w:hAnsiTheme="minorHAnsi" w:cstheme="minorHAnsi"/>
          <w:b/>
          <w:lang w:val="cs-CZ"/>
        </w:rPr>
        <w:t xml:space="preserve">Tabulka č. </w:t>
      </w:r>
      <w:r w:rsidR="00710447">
        <w:rPr>
          <w:rFonts w:asciiTheme="minorHAnsi" w:hAnsiTheme="minorHAnsi" w:cstheme="minorHAnsi"/>
          <w:b/>
          <w:lang w:val="cs-CZ"/>
        </w:rPr>
        <w:t>5</w:t>
      </w:r>
      <w:r w:rsidR="00E9785A" w:rsidRPr="009464B0">
        <w:rPr>
          <w:rFonts w:asciiTheme="minorHAnsi" w:hAnsiTheme="minorHAnsi" w:cstheme="minorHAnsi"/>
          <w:b/>
          <w:lang w:val="cs-CZ"/>
        </w:rPr>
        <w:t xml:space="preserve"> </w:t>
      </w:r>
      <w:r w:rsidR="00EC5DD5" w:rsidRPr="009464B0">
        <w:rPr>
          <w:rFonts w:asciiTheme="minorHAnsi" w:hAnsiTheme="minorHAnsi" w:cstheme="minorHAnsi"/>
          <w:b/>
          <w:lang w:val="cs-CZ"/>
        </w:rPr>
        <w:t>–</w:t>
      </w:r>
      <w:r w:rsidR="00EC5DD5">
        <w:rPr>
          <w:rFonts w:asciiTheme="minorHAnsi" w:hAnsiTheme="minorHAnsi" w:cstheme="minorHAnsi"/>
          <w:lang w:val="cs-CZ"/>
        </w:rPr>
        <w:t xml:space="preserve"> </w:t>
      </w:r>
      <w:r w:rsidR="00E9785A" w:rsidRPr="00E9785A">
        <w:rPr>
          <w:rFonts w:asciiTheme="minorHAnsi" w:hAnsiTheme="minorHAnsi" w:cstheme="minorHAnsi"/>
          <w:b/>
          <w:lang w:val="cs-CZ"/>
        </w:rPr>
        <w:t>Jednotkové ceny úklidových služeb</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2410"/>
        <w:gridCol w:w="2126"/>
        <w:gridCol w:w="2621"/>
      </w:tblGrid>
      <w:tr w:rsidR="00147816" w:rsidRPr="00A17659" w14:paraId="29C0BF61" w14:textId="77777777" w:rsidTr="001A4537">
        <w:trPr>
          <w:trHeight w:val="227"/>
        </w:trPr>
        <w:tc>
          <w:tcPr>
            <w:tcW w:w="2000" w:type="dxa"/>
            <w:vMerge w:val="restart"/>
            <w:shd w:val="clear" w:color="auto" w:fill="auto"/>
            <w:noWrap/>
            <w:vAlign w:val="center"/>
            <w:hideMark/>
          </w:tcPr>
          <w:p w14:paraId="10167CD1" w14:textId="77777777" w:rsidR="00147816" w:rsidRPr="00E9785A" w:rsidRDefault="00147816" w:rsidP="001A4537">
            <w:pPr>
              <w:jc w:val="center"/>
              <w:rPr>
                <w:rFonts w:asciiTheme="minorHAnsi" w:hAnsiTheme="minorHAnsi" w:cstheme="minorHAnsi"/>
                <w:lang w:val="cs-CZ" w:eastAsia="cs-CZ"/>
              </w:rPr>
            </w:pPr>
          </w:p>
        </w:tc>
        <w:tc>
          <w:tcPr>
            <w:tcW w:w="7157" w:type="dxa"/>
            <w:gridSpan w:val="3"/>
            <w:shd w:val="clear" w:color="auto" w:fill="auto"/>
            <w:vAlign w:val="center"/>
            <w:hideMark/>
          </w:tcPr>
          <w:p w14:paraId="49BF1DFD" w14:textId="77777777" w:rsidR="00E9785A" w:rsidRDefault="00EA4926" w:rsidP="001F394A">
            <w:pPr>
              <w:jc w:val="center"/>
              <w:rPr>
                <w:rFonts w:asciiTheme="minorHAnsi" w:hAnsiTheme="minorHAnsi" w:cstheme="minorHAnsi"/>
                <w:lang w:val="cs-CZ"/>
              </w:rPr>
            </w:pPr>
            <w:r w:rsidRPr="00E9785A">
              <w:rPr>
                <w:rFonts w:asciiTheme="minorHAnsi" w:hAnsiTheme="minorHAnsi" w:cstheme="minorHAnsi"/>
                <w:lang w:val="cs-CZ" w:eastAsia="cs-CZ"/>
              </w:rPr>
              <w:t>Cena pravidelného</w:t>
            </w:r>
            <w:r w:rsidR="000662C1" w:rsidRPr="00E9785A">
              <w:rPr>
                <w:rFonts w:asciiTheme="minorHAnsi" w:hAnsiTheme="minorHAnsi" w:cstheme="minorHAnsi"/>
                <w:lang w:val="cs-CZ" w:eastAsia="cs-CZ"/>
              </w:rPr>
              <w:t xml:space="preserve"> úklidu</w:t>
            </w:r>
            <w:r w:rsidR="00147816" w:rsidRPr="00E9785A">
              <w:rPr>
                <w:rFonts w:asciiTheme="minorHAnsi" w:hAnsiTheme="minorHAnsi" w:cstheme="minorHAnsi"/>
                <w:lang w:val="cs-CZ" w:eastAsia="cs-CZ"/>
              </w:rPr>
              <w:t xml:space="preserve"> </w:t>
            </w:r>
            <w:r w:rsidR="000662C1" w:rsidRPr="00E9785A">
              <w:rPr>
                <w:rFonts w:asciiTheme="minorHAnsi" w:hAnsiTheme="minorHAnsi" w:cstheme="minorHAnsi"/>
                <w:lang w:val="cs-CZ"/>
              </w:rPr>
              <w:t xml:space="preserve">ve vybraných objektech </w:t>
            </w:r>
          </w:p>
          <w:p w14:paraId="43EE585D" w14:textId="77777777" w:rsidR="00147816" w:rsidRPr="00E9785A" w:rsidRDefault="00147816" w:rsidP="001F394A">
            <w:pPr>
              <w:jc w:val="center"/>
              <w:rPr>
                <w:rFonts w:asciiTheme="minorHAnsi" w:hAnsiTheme="minorHAnsi" w:cstheme="minorHAnsi"/>
                <w:lang w:val="cs-CZ" w:eastAsia="cs-CZ"/>
              </w:rPr>
            </w:pPr>
            <w:r w:rsidRPr="00E9785A">
              <w:rPr>
                <w:rFonts w:asciiTheme="minorHAnsi" w:hAnsiTheme="minorHAnsi" w:cstheme="minorHAnsi"/>
                <w:lang w:val="cs-CZ" w:eastAsia="cs-CZ"/>
              </w:rPr>
              <w:t xml:space="preserve">(v Kč </w:t>
            </w:r>
            <w:r w:rsidR="001F394A" w:rsidRPr="00E9785A">
              <w:rPr>
                <w:rFonts w:asciiTheme="minorHAnsi" w:hAnsiTheme="minorHAnsi" w:cstheme="minorHAnsi"/>
                <w:lang w:val="cs-CZ" w:eastAsia="cs-CZ"/>
              </w:rPr>
              <w:t>bez</w:t>
            </w:r>
            <w:r w:rsidRPr="00E9785A">
              <w:rPr>
                <w:rFonts w:asciiTheme="minorHAnsi" w:hAnsiTheme="minorHAnsi" w:cstheme="minorHAnsi"/>
                <w:lang w:val="cs-CZ" w:eastAsia="cs-CZ"/>
              </w:rPr>
              <w:t xml:space="preserve"> DPH</w:t>
            </w:r>
            <w:r w:rsidR="000662C1" w:rsidRPr="00E9785A">
              <w:rPr>
                <w:rFonts w:asciiTheme="minorHAnsi" w:hAnsiTheme="minorHAnsi" w:cstheme="minorHAnsi"/>
                <w:lang w:val="cs-CZ" w:eastAsia="cs-CZ"/>
              </w:rPr>
              <w:t>/100 m</w:t>
            </w:r>
            <w:r w:rsidR="000662C1" w:rsidRPr="00E9785A">
              <w:rPr>
                <w:rFonts w:asciiTheme="minorHAnsi" w:hAnsiTheme="minorHAnsi" w:cstheme="minorHAnsi"/>
                <w:vertAlign w:val="superscript"/>
                <w:lang w:val="cs-CZ"/>
              </w:rPr>
              <w:t>2</w:t>
            </w:r>
            <w:r w:rsidR="000662C1" w:rsidRPr="00E9785A">
              <w:rPr>
                <w:rFonts w:asciiTheme="minorHAnsi" w:hAnsiTheme="minorHAnsi" w:cstheme="minorHAnsi"/>
                <w:lang w:val="cs-CZ" w:eastAsia="cs-CZ"/>
              </w:rPr>
              <w:t>/měsíc</w:t>
            </w:r>
            <w:r w:rsidRPr="00E9785A">
              <w:rPr>
                <w:rFonts w:asciiTheme="minorHAnsi" w:hAnsiTheme="minorHAnsi" w:cstheme="minorHAnsi"/>
                <w:lang w:val="cs-CZ" w:eastAsia="cs-CZ"/>
              </w:rPr>
              <w:t>)</w:t>
            </w:r>
          </w:p>
        </w:tc>
      </w:tr>
      <w:tr w:rsidR="00147816" w:rsidRPr="00A17659" w14:paraId="51C4DF03" w14:textId="77777777" w:rsidTr="001A4537">
        <w:trPr>
          <w:trHeight w:val="227"/>
        </w:trPr>
        <w:tc>
          <w:tcPr>
            <w:tcW w:w="2000" w:type="dxa"/>
            <w:vMerge/>
            <w:vAlign w:val="center"/>
            <w:hideMark/>
          </w:tcPr>
          <w:p w14:paraId="627AACAD" w14:textId="77777777" w:rsidR="00147816" w:rsidRPr="00E9785A" w:rsidRDefault="00147816" w:rsidP="00147816">
            <w:pPr>
              <w:jc w:val="center"/>
              <w:rPr>
                <w:rFonts w:asciiTheme="minorHAnsi" w:hAnsiTheme="minorHAnsi" w:cstheme="minorHAnsi"/>
                <w:lang w:val="cs-CZ" w:eastAsia="cs-CZ"/>
              </w:rPr>
            </w:pPr>
          </w:p>
        </w:tc>
        <w:tc>
          <w:tcPr>
            <w:tcW w:w="2410" w:type="dxa"/>
            <w:shd w:val="clear" w:color="auto" w:fill="auto"/>
            <w:noWrap/>
            <w:vAlign w:val="center"/>
            <w:hideMark/>
          </w:tcPr>
          <w:p w14:paraId="173F4AC8" w14:textId="77777777" w:rsidR="00147816" w:rsidRPr="00E9785A" w:rsidRDefault="00147816" w:rsidP="00373363">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p>
        </w:tc>
        <w:tc>
          <w:tcPr>
            <w:tcW w:w="2126" w:type="dxa"/>
            <w:shd w:val="clear" w:color="auto" w:fill="auto"/>
            <w:noWrap/>
            <w:vAlign w:val="center"/>
            <w:hideMark/>
          </w:tcPr>
          <w:p w14:paraId="72249DA4" w14:textId="77777777" w:rsidR="00147816" w:rsidRPr="00E9785A" w:rsidRDefault="00147816" w:rsidP="00373363">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p>
        </w:tc>
        <w:tc>
          <w:tcPr>
            <w:tcW w:w="2621" w:type="dxa"/>
            <w:vAlign w:val="center"/>
          </w:tcPr>
          <w:p w14:paraId="01C08542" w14:textId="77777777" w:rsidR="00147816" w:rsidRPr="00E9785A" w:rsidRDefault="00147816" w:rsidP="00373363">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147816" w:rsidRPr="00A17659" w14:paraId="7063986E" w14:textId="77777777" w:rsidTr="001A4537">
        <w:trPr>
          <w:trHeight w:val="227"/>
        </w:trPr>
        <w:tc>
          <w:tcPr>
            <w:tcW w:w="2000" w:type="dxa"/>
            <w:shd w:val="clear" w:color="auto" w:fill="auto"/>
            <w:noWrap/>
            <w:vAlign w:val="center"/>
          </w:tcPr>
          <w:p w14:paraId="08AC4C1D" w14:textId="77777777" w:rsidR="00147816" w:rsidRPr="00E9785A" w:rsidRDefault="00147816" w:rsidP="00147816">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410" w:type="dxa"/>
            <w:shd w:val="clear" w:color="auto" w:fill="auto"/>
            <w:noWrap/>
            <w:vAlign w:val="center"/>
          </w:tcPr>
          <w:p w14:paraId="54F0ACBB" w14:textId="77777777" w:rsidR="00147816" w:rsidRPr="00E9785A" w:rsidRDefault="001F394A" w:rsidP="00661BF5">
            <w:pPr>
              <w:ind w:right="781"/>
              <w:jc w:val="right"/>
              <w:rPr>
                <w:rFonts w:asciiTheme="minorHAnsi" w:hAnsiTheme="minorHAnsi" w:cstheme="minorHAnsi"/>
                <w:lang w:val="cs-CZ" w:eastAsia="cs-CZ"/>
              </w:rPr>
            </w:pPr>
            <w:r w:rsidRPr="00E9785A">
              <w:rPr>
                <w:rFonts w:asciiTheme="minorHAnsi" w:hAnsiTheme="minorHAnsi" w:cstheme="minorHAnsi"/>
                <w:lang w:val="cs-CZ" w:eastAsia="cs-CZ"/>
              </w:rPr>
              <w:t>383,44</w:t>
            </w:r>
          </w:p>
        </w:tc>
        <w:tc>
          <w:tcPr>
            <w:tcW w:w="2126" w:type="dxa"/>
            <w:shd w:val="clear" w:color="auto" w:fill="auto"/>
            <w:noWrap/>
            <w:vAlign w:val="center"/>
          </w:tcPr>
          <w:p w14:paraId="301F649E" w14:textId="77777777" w:rsidR="00147816" w:rsidRPr="00E9785A" w:rsidRDefault="001F394A" w:rsidP="00661BF5">
            <w:pPr>
              <w:ind w:right="497"/>
              <w:jc w:val="right"/>
              <w:rPr>
                <w:rFonts w:asciiTheme="minorHAnsi" w:hAnsiTheme="minorHAnsi" w:cstheme="minorHAnsi"/>
                <w:lang w:val="cs-CZ" w:eastAsia="cs-CZ"/>
              </w:rPr>
            </w:pPr>
            <w:r w:rsidRPr="00E9785A">
              <w:rPr>
                <w:rFonts w:asciiTheme="minorHAnsi" w:hAnsiTheme="minorHAnsi" w:cstheme="minorHAnsi"/>
                <w:lang w:val="cs-CZ" w:eastAsia="cs-CZ"/>
              </w:rPr>
              <w:t>1</w:t>
            </w:r>
            <w:r w:rsidR="00E9785A">
              <w:rPr>
                <w:rFonts w:asciiTheme="minorHAnsi" w:hAnsiTheme="minorHAnsi" w:cstheme="minorHAnsi"/>
                <w:lang w:val="cs-CZ" w:eastAsia="cs-CZ"/>
              </w:rPr>
              <w:t xml:space="preserve"> </w:t>
            </w:r>
            <w:r w:rsidRPr="00E9785A">
              <w:rPr>
                <w:rFonts w:asciiTheme="minorHAnsi" w:hAnsiTheme="minorHAnsi" w:cstheme="minorHAnsi"/>
                <w:lang w:val="cs-CZ" w:eastAsia="cs-CZ"/>
              </w:rPr>
              <w:t>369,95</w:t>
            </w:r>
          </w:p>
        </w:tc>
        <w:tc>
          <w:tcPr>
            <w:tcW w:w="2621" w:type="dxa"/>
            <w:vAlign w:val="center"/>
          </w:tcPr>
          <w:p w14:paraId="3F63BD57" w14:textId="77777777" w:rsidR="00147816" w:rsidRPr="00E9785A" w:rsidRDefault="001F394A" w:rsidP="00661BF5">
            <w:pPr>
              <w:ind w:right="850"/>
              <w:jc w:val="right"/>
              <w:rPr>
                <w:rFonts w:asciiTheme="minorHAnsi" w:hAnsiTheme="minorHAnsi" w:cstheme="minorHAnsi"/>
                <w:lang w:val="cs-CZ" w:eastAsia="cs-CZ"/>
              </w:rPr>
            </w:pPr>
            <w:r w:rsidRPr="00E9785A">
              <w:rPr>
                <w:rFonts w:asciiTheme="minorHAnsi" w:hAnsiTheme="minorHAnsi" w:cstheme="minorHAnsi"/>
                <w:lang w:val="cs-CZ" w:eastAsia="cs-CZ"/>
              </w:rPr>
              <w:t>1</w:t>
            </w:r>
            <w:r w:rsidR="00E9785A">
              <w:rPr>
                <w:rFonts w:asciiTheme="minorHAnsi" w:hAnsiTheme="minorHAnsi" w:cstheme="minorHAnsi"/>
                <w:lang w:val="cs-CZ" w:eastAsia="cs-CZ"/>
              </w:rPr>
              <w:t xml:space="preserve"> </w:t>
            </w:r>
            <w:r w:rsidRPr="00E9785A">
              <w:rPr>
                <w:rFonts w:asciiTheme="minorHAnsi" w:hAnsiTheme="minorHAnsi" w:cstheme="minorHAnsi"/>
                <w:lang w:val="cs-CZ" w:eastAsia="cs-CZ"/>
              </w:rPr>
              <w:t>262,10</w:t>
            </w:r>
          </w:p>
        </w:tc>
      </w:tr>
      <w:tr w:rsidR="00147816" w:rsidRPr="00A17659" w14:paraId="32A73AFC" w14:textId="77777777" w:rsidTr="001A4537">
        <w:trPr>
          <w:trHeight w:val="227"/>
        </w:trPr>
        <w:tc>
          <w:tcPr>
            <w:tcW w:w="2000" w:type="dxa"/>
            <w:shd w:val="clear" w:color="auto" w:fill="auto"/>
            <w:noWrap/>
            <w:vAlign w:val="center"/>
          </w:tcPr>
          <w:p w14:paraId="37DBAE65" w14:textId="77777777" w:rsidR="00147816" w:rsidRPr="00E9785A" w:rsidRDefault="00147816" w:rsidP="00147816">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410" w:type="dxa"/>
            <w:shd w:val="clear" w:color="auto" w:fill="auto"/>
            <w:noWrap/>
            <w:vAlign w:val="center"/>
          </w:tcPr>
          <w:p w14:paraId="01BE2B0B" w14:textId="77777777" w:rsidR="00147816" w:rsidRPr="00E9785A" w:rsidRDefault="001F394A" w:rsidP="00661BF5">
            <w:pPr>
              <w:ind w:right="781"/>
              <w:jc w:val="right"/>
              <w:rPr>
                <w:rFonts w:asciiTheme="minorHAnsi" w:hAnsiTheme="minorHAnsi" w:cstheme="minorHAnsi"/>
                <w:lang w:val="cs-CZ" w:eastAsia="cs-CZ"/>
              </w:rPr>
            </w:pPr>
            <w:r w:rsidRPr="00E9785A">
              <w:rPr>
                <w:rFonts w:asciiTheme="minorHAnsi" w:hAnsiTheme="minorHAnsi" w:cstheme="minorHAnsi"/>
                <w:lang w:val="cs-CZ" w:eastAsia="cs-CZ"/>
              </w:rPr>
              <w:t>225,86</w:t>
            </w:r>
          </w:p>
        </w:tc>
        <w:tc>
          <w:tcPr>
            <w:tcW w:w="2126" w:type="dxa"/>
            <w:shd w:val="clear" w:color="auto" w:fill="auto"/>
            <w:noWrap/>
            <w:vAlign w:val="center"/>
          </w:tcPr>
          <w:p w14:paraId="7785EA02" w14:textId="77777777" w:rsidR="00147816" w:rsidRPr="00E9785A" w:rsidRDefault="001F394A" w:rsidP="00661BF5">
            <w:pPr>
              <w:ind w:right="497"/>
              <w:jc w:val="right"/>
              <w:rPr>
                <w:rFonts w:asciiTheme="minorHAnsi" w:hAnsiTheme="minorHAnsi" w:cstheme="minorHAnsi"/>
                <w:lang w:val="cs-CZ"/>
              </w:rPr>
            </w:pPr>
            <w:r w:rsidRPr="00E9785A">
              <w:rPr>
                <w:rFonts w:asciiTheme="minorHAnsi" w:hAnsiTheme="minorHAnsi" w:cstheme="minorHAnsi"/>
                <w:lang w:val="cs-CZ" w:eastAsia="cs-CZ"/>
              </w:rPr>
              <w:t>1</w:t>
            </w:r>
            <w:r w:rsidR="00E9785A">
              <w:rPr>
                <w:rFonts w:asciiTheme="minorHAnsi" w:hAnsiTheme="minorHAnsi" w:cstheme="minorHAnsi"/>
                <w:lang w:val="cs-CZ" w:eastAsia="cs-CZ"/>
              </w:rPr>
              <w:t xml:space="preserve"> </w:t>
            </w:r>
            <w:r w:rsidRPr="00E9785A">
              <w:rPr>
                <w:rFonts w:asciiTheme="minorHAnsi" w:hAnsiTheme="minorHAnsi" w:cstheme="minorHAnsi"/>
                <w:lang w:val="cs-CZ" w:eastAsia="cs-CZ"/>
              </w:rPr>
              <w:t>369,95</w:t>
            </w:r>
          </w:p>
        </w:tc>
        <w:tc>
          <w:tcPr>
            <w:tcW w:w="2621" w:type="dxa"/>
            <w:vAlign w:val="center"/>
          </w:tcPr>
          <w:p w14:paraId="676F4497" w14:textId="77777777" w:rsidR="00147816" w:rsidRPr="00E9785A" w:rsidRDefault="001F394A" w:rsidP="00661BF5">
            <w:pPr>
              <w:ind w:right="850"/>
              <w:jc w:val="right"/>
              <w:rPr>
                <w:rFonts w:asciiTheme="minorHAnsi" w:hAnsiTheme="minorHAnsi" w:cstheme="minorHAnsi"/>
                <w:lang w:val="cs-CZ"/>
              </w:rPr>
            </w:pPr>
            <w:r w:rsidRPr="00E9785A">
              <w:rPr>
                <w:rFonts w:asciiTheme="minorHAnsi" w:hAnsiTheme="minorHAnsi" w:cstheme="minorHAnsi"/>
                <w:lang w:val="cs-CZ" w:eastAsia="cs-CZ"/>
              </w:rPr>
              <w:t>1</w:t>
            </w:r>
            <w:r w:rsidR="00E9785A">
              <w:rPr>
                <w:rFonts w:asciiTheme="minorHAnsi" w:hAnsiTheme="minorHAnsi" w:cstheme="minorHAnsi"/>
                <w:lang w:val="cs-CZ" w:eastAsia="cs-CZ"/>
              </w:rPr>
              <w:t xml:space="preserve"> </w:t>
            </w:r>
            <w:r w:rsidRPr="00E9785A">
              <w:rPr>
                <w:rFonts w:asciiTheme="minorHAnsi" w:hAnsiTheme="minorHAnsi" w:cstheme="minorHAnsi"/>
                <w:lang w:val="cs-CZ" w:eastAsia="cs-CZ"/>
              </w:rPr>
              <w:t>262,10</w:t>
            </w:r>
          </w:p>
        </w:tc>
      </w:tr>
      <w:tr w:rsidR="005A3846" w:rsidRPr="00A17659" w14:paraId="61859654" w14:textId="77777777" w:rsidTr="001A4537">
        <w:trPr>
          <w:trHeight w:val="227"/>
        </w:trPr>
        <w:tc>
          <w:tcPr>
            <w:tcW w:w="2000" w:type="dxa"/>
            <w:vMerge w:val="restart"/>
            <w:shd w:val="clear" w:color="auto" w:fill="auto"/>
            <w:noWrap/>
            <w:vAlign w:val="center"/>
            <w:hideMark/>
          </w:tcPr>
          <w:p w14:paraId="548E9F20" w14:textId="77777777" w:rsidR="005A3846" w:rsidRPr="00E9785A" w:rsidRDefault="005A3846" w:rsidP="001A4537">
            <w:pPr>
              <w:jc w:val="center"/>
              <w:rPr>
                <w:rFonts w:asciiTheme="minorHAnsi" w:hAnsiTheme="minorHAnsi" w:cstheme="minorHAnsi"/>
                <w:lang w:val="cs-CZ" w:eastAsia="cs-CZ"/>
              </w:rPr>
            </w:pPr>
          </w:p>
        </w:tc>
        <w:tc>
          <w:tcPr>
            <w:tcW w:w="7157" w:type="dxa"/>
            <w:gridSpan w:val="3"/>
            <w:shd w:val="clear" w:color="auto" w:fill="auto"/>
            <w:vAlign w:val="center"/>
            <w:hideMark/>
          </w:tcPr>
          <w:p w14:paraId="7E7B76B2" w14:textId="77777777" w:rsidR="005A3846" w:rsidRPr="00E9785A" w:rsidRDefault="005A3846" w:rsidP="00373363">
            <w:pPr>
              <w:jc w:val="center"/>
              <w:rPr>
                <w:rFonts w:asciiTheme="minorHAnsi" w:hAnsiTheme="minorHAnsi" w:cstheme="minorHAnsi"/>
                <w:lang w:val="cs-CZ" w:eastAsia="cs-CZ"/>
              </w:rPr>
            </w:pPr>
            <w:r w:rsidRPr="00E9785A">
              <w:rPr>
                <w:rFonts w:asciiTheme="minorHAnsi" w:hAnsiTheme="minorHAnsi" w:cstheme="minorHAnsi"/>
                <w:lang w:val="cs-CZ" w:eastAsia="cs-CZ"/>
              </w:rPr>
              <w:t>Cena mytí oken včetně rámů (v Kč bez DPH</w:t>
            </w:r>
            <w:r w:rsidR="00345896" w:rsidRPr="00E9785A">
              <w:rPr>
                <w:rFonts w:asciiTheme="minorHAnsi" w:hAnsiTheme="minorHAnsi" w:cstheme="minorHAnsi"/>
                <w:lang w:val="cs-CZ" w:eastAsia="cs-CZ"/>
              </w:rPr>
              <w:t>/m</w:t>
            </w:r>
            <w:r w:rsidR="00345896" w:rsidRPr="00E9785A">
              <w:rPr>
                <w:rFonts w:asciiTheme="minorHAnsi" w:hAnsiTheme="minorHAnsi" w:cstheme="minorHAnsi"/>
                <w:vertAlign w:val="superscript"/>
                <w:lang w:val="cs-CZ"/>
              </w:rPr>
              <w:t>2</w:t>
            </w:r>
            <w:r w:rsidRPr="00E9785A">
              <w:rPr>
                <w:rFonts w:asciiTheme="minorHAnsi" w:hAnsiTheme="minorHAnsi" w:cstheme="minorHAnsi"/>
                <w:lang w:val="cs-CZ" w:eastAsia="cs-CZ"/>
              </w:rPr>
              <w:t>)</w:t>
            </w:r>
          </w:p>
        </w:tc>
      </w:tr>
      <w:tr w:rsidR="005A3846" w:rsidRPr="00A17659" w14:paraId="3DFA8937" w14:textId="77777777" w:rsidTr="001A4537">
        <w:trPr>
          <w:trHeight w:val="227"/>
        </w:trPr>
        <w:tc>
          <w:tcPr>
            <w:tcW w:w="2000" w:type="dxa"/>
            <w:vMerge/>
            <w:vAlign w:val="center"/>
            <w:hideMark/>
          </w:tcPr>
          <w:p w14:paraId="5CE50488" w14:textId="77777777" w:rsidR="005A3846" w:rsidRPr="00E9785A" w:rsidRDefault="005A3846" w:rsidP="001A4537">
            <w:pPr>
              <w:jc w:val="center"/>
              <w:rPr>
                <w:rFonts w:asciiTheme="minorHAnsi" w:hAnsiTheme="minorHAnsi" w:cstheme="minorHAnsi"/>
                <w:lang w:val="cs-CZ" w:eastAsia="cs-CZ"/>
              </w:rPr>
            </w:pPr>
          </w:p>
        </w:tc>
        <w:tc>
          <w:tcPr>
            <w:tcW w:w="2410" w:type="dxa"/>
            <w:shd w:val="clear" w:color="auto" w:fill="auto"/>
            <w:noWrap/>
            <w:vAlign w:val="center"/>
            <w:hideMark/>
          </w:tcPr>
          <w:p w14:paraId="58EBC473" w14:textId="77777777" w:rsidR="005A3846" w:rsidRPr="00E9785A" w:rsidRDefault="005A3846" w:rsidP="00373363">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p>
        </w:tc>
        <w:tc>
          <w:tcPr>
            <w:tcW w:w="2126" w:type="dxa"/>
            <w:shd w:val="clear" w:color="auto" w:fill="auto"/>
            <w:noWrap/>
            <w:vAlign w:val="center"/>
            <w:hideMark/>
          </w:tcPr>
          <w:p w14:paraId="67DC50F5" w14:textId="77777777" w:rsidR="005A3846" w:rsidRPr="00E9785A" w:rsidRDefault="005A3846" w:rsidP="00373363">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p>
        </w:tc>
        <w:tc>
          <w:tcPr>
            <w:tcW w:w="2621" w:type="dxa"/>
            <w:vAlign w:val="center"/>
          </w:tcPr>
          <w:p w14:paraId="0A1AB766" w14:textId="77777777" w:rsidR="005A3846" w:rsidRPr="00E9785A" w:rsidRDefault="005A3846" w:rsidP="00373363">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5A3846" w:rsidRPr="00A17659" w14:paraId="32BA2BD5" w14:textId="77777777" w:rsidTr="001A4537">
        <w:trPr>
          <w:trHeight w:val="227"/>
        </w:trPr>
        <w:tc>
          <w:tcPr>
            <w:tcW w:w="2000" w:type="dxa"/>
            <w:shd w:val="clear" w:color="auto" w:fill="auto"/>
            <w:noWrap/>
            <w:vAlign w:val="center"/>
          </w:tcPr>
          <w:p w14:paraId="4F6ECF8E" w14:textId="77777777" w:rsidR="005A3846" w:rsidRPr="00E9785A" w:rsidRDefault="005A3846" w:rsidP="001A4537">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410" w:type="dxa"/>
            <w:shd w:val="clear" w:color="auto" w:fill="auto"/>
            <w:noWrap/>
            <w:vAlign w:val="center"/>
          </w:tcPr>
          <w:p w14:paraId="691D6CD9" w14:textId="77777777" w:rsidR="005A3846" w:rsidRPr="00E9785A" w:rsidRDefault="00077945" w:rsidP="00661BF5">
            <w:pPr>
              <w:ind w:right="781"/>
              <w:jc w:val="right"/>
              <w:rPr>
                <w:rFonts w:asciiTheme="minorHAnsi" w:hAnsiTheme="minorHAnsi" w:cstheme="minorHAnsi"/>
                <w:lang w:val="cs-CZ" w:eastAsia="cs-CZ"/>
              </w:rPr>
            </w:pPr>
            <w:r w:rsidRPr="00E9785A">
              <w:rPr>
                <w:rFonts w:asciiTheme="minorHAnsi" w:hAnsiTheme="minorHAnsi" w:cstheme="minorHAnsi"/>
                <w:lang w:val="cs-CZ" w:eastAsia="cs-CZ"/>
              </w:rPr>
              <w:t>5,00</w:t>
            </w:r>
          </w:p>
        </w:tc>
        <w:tc>
          <w:tcPr>
            <w:tcW w:w="2126" w:type="dxa"/>
            <w:shd w:val="clear" w:color="auto" w:fill="auto"/>
            <w:noWrap/>
            <w:vAlign w:val="center"/>
          </w:tcPr>
          <w:p w14:paraId="28E5C11C" w14:textId="77777777" w:rsidR="005A3846" w:rsidRPr="00E9785A" w:rsidRDefault="005E660B" w:rsidP="00661BF5">
            <w:pPr>
              <w:ind w:right="497"/>
              <w:jc w:val="right"/>
              <w:rPr>
                <w:rFonts w:asciiTheme="minorHAnsi" w:hAnsiTheme="minorHAnsi" w:cstheme="minorHAnsi"/>
                <w:lang w:val="cs-CZ" w:eastAsia="cs-CZ"/>
              </w:rPr>
            </w:pPr>
            <w:r w:rsidRPr="00E9785A">
              <w:rPr>
                <w:rFonts w:asciiTheme="minorHAnsi" w:hAnsiTheme="minorHAnsi" w:cstheme="minorHAnsi"/>
                <w:lang w:val="cs-CZ" w:eastAsia="cs-CZ"/>
              </w:rPr>
              <w:t>7,60</w:t>
            </w:r>
          </w:p>
        </w:tc>
        <w:tc>
          <w:tcPr>
            <w:tcW w:w="2621" w:type="dxa"/>
            <w:vAlign w:val="center"/>
          </w:tcPr>
          <w:p w14:paraId="112E27D1" w14:textId="77777777" w:rsidR="005A3846" w:rsidRPr="00E9785A" w:rsidRDefault="005A3846" w:rsidP="00661BF5">
            <w:pPr>
              <w:ind w:right="850"/>
              <w:jc w:val="right"/>
              <w:rPr>
                <w:rFonts w:asciiTheme="minorHAnsi" w:hAnsiTheme="minorHAnsi" w:cstheme="minorHAnsi"/>
                <w:lang w:val="cs-CZ" w:eastAsia="cs-CZ"/>
              </w:rPr>
            </w:pPr>
            <w:r w:rsidRPr="00E9785A">
              <w:rPr>
                <w:rFonts w:asciiTheme="minorHAnsi" w:hAnsiTheme="minorHAnsi" w:cstheme="minorHAnsi"/>
                <w:lang w:val="cs-CZ" w:eastAsia="cs-CZ"/>
              </w:rPr>
              <w:t>8,00</w:t>
            </w:r>
          </w:p>
        </w:tc>
      </w:tr>
      <w:tr w:rsidR="005A3846" w:rsidRPr="00A17659" w14:paraId="5BED56F0" w14:textId="77777777" w:rsidTr="001A4537">
        <w:trPr>
          <w:trHeight w:val="227"/>
        </w:trPr>
        <w:tc>
          <w:tcPr>
            <w:tcW w:w="2000" w:type="dxa"/>
            <w:shd w:val="clear" w:color="auto" w:fill="auto"/>
            <w:noWrap/>
            <w:vAlign w:val="center"/>
          </w:tcPr>
          <w:p w14:paraId="2B3058FB" w14:textId="77777777" w:rsidR="005A3846" w:rsidRPr="00E9785A" w:rsidRDefault="005A3846" w:rsidP="001A4537">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410" w:type="dxa"/>
            <w:shd w:val="clear" w:color="auto" w:fill="auto"/>
            <w:noWrap/>
            <w:vAlign w:val="center"/>
          </w:tcPr>
          <w:p w14:paraId="78D25D69" w14:textId="77777777" w:rsidR="005A3846" w:rsidRPr="00E9785A" w:rsidRDefault="00077945" w:rsidP="00661BF5">
            <w:pPr>
              <w:ind w:right="781"/>
              <w:jc w:val="right"/>
              <w:rPr>
                <w:rFonts w:asciiTheme="minorHAnsi" w:hAnsiTheme="minorHAnsi" w:cstheme="minorHAnsi"/>
                <w:lang w:val="cs-CZ" w:eastAsia="cs-CZ"/>
              </w:rPr>
            </w:pPr>
            <w:r w:rsidRPr="00E9785A">
              <w:rPr>
                <w:rFonts w:asciiTheme="minorHAnsi" w:hAnsiTheme="minorHAnsi" w:cstheme="minorHAnsi"/>
                <w:lang w:val="cs-CZ" w:eastAsia="cs-CZ"/>
              </w:rPr>
              <w:t>5,00</w:t>
            </w:r>
          </w:p>
        </w:tc>
        <w:tc>
          <w:tcPr>
            <w:tcW w:w="2126" w:type="dxa"/>
            <w:shd w:val="clear" w:color="auto" w:fill="auto"/>
            <w:noWrap/>
            <w:vAlign w:val="center"/>
          </w:tcPr>
          <w:p w14:paraId="3956893E" w14:textId="77777777" w:rsidR="005A3846" w:rsidRPr="00E9785A" w:rsidRDefault="005E660B" w:rsidP="00661BF5">
            <w:pPr>
              <w:ind w:right="497"/>
              <w:jc w:val="right"/>
              <w:rPr>
                <w:rFonts w:asciiTheme="minorHAnsi" w:hAnsiTheme="minorHAnsi" w:cstheme="minorHAnsi"/>
                <w:lang w:val="cs-CZ"/>
              </w:rPr>
            </w:pPr>
            <w:r w:rsidRPr="00E9785A">
              <w:rPr>
                <w:rFonts w:asciiTheme="minorHAnsi" w:hAnsiTheme="minorHAnsi" w:cstheme="minorHAnsi"/>
                <w:lang w:val="cs-CZ"/>
              </w:rPr>
              <w:t>7,60</w:t>
            </w:r>
          </w:p>
        </w:tc>
        <w:tc>
          <w:tcPr>
            <w:tcW w:w="2621" w:type="dxa"/>
            <w:vAlign w:val="center"/>
          </w:tcPr>
          <w:p w14:paraId="47DBF25B" w14:textId="77777777" w:rsidR="005A3846" w:rsidRPr="00E9785A" w:rsidRDefault="005A3846" w:rsidP="00661BF5">
            <w:pPr>
              <w:ind w:right="850"/>
              <w:jc w:val="right"/>
              <w:rPr>
                <w:rFonts w:asciiTheme="minorHAnsi" w:hAnsiTheme="minorHAnsi" w:cstheme="minorHAnsi"/>
                <w:lang w:val="cs-CZ"/>
              </w:rPr>
            </w:pPr>
            <w:r w:rsidRPr="00E9785A">
              <w:rPr>
                <w:rFonts w:asciiTheme="minorHAnsi" w:hAnsiTheme="minorHAnsi" w:cstheme="minorHAnsi"/>
                <w:lang w:val="cs-CZ"/>
              </w:rPr>
              <w:t>8,00</w:t>
            </w:r>
          </w:p>
        </w:tc>
      </w:tr>
    </w:tbl>
    <w:p w14:paraId="3B2D12C6" w14:textId="77777777" w:rsidR="00147816" w:rsidRPr="00A17659" w:rsidRDefault="00147816" w:rsidP="00825540">
      <w:pPr>
        <w:pStyle w:val="Odstavecseseznamem"/>
        <w:spacing w:before="40"/>
        <w:ind w:left="0"/>
        <w:contextualSpacing w:val="0"/>
        <w:rPr>
          <w:rFonts w:asciiTheme="minorHAnsi" w:hAnsiTheme="minorHAnsi" w:cstheme="minorHAnsi"/>
          <w:sz w:val="20"/>
          <w:szCs w:val="20"/>
          <w:lang w:val="cs-CZ"/>
        </w:rPr>
      </w:pPr>
      <w:r w:rsidRPr="00A17659">
        <w:rPr>
          <w:rFonts w:asciiTheme="minorHAnsi" w:hAnsiTheme="minorHAnsi" w:cstheme="minorHAnsi"/>
          <w:b/>
          <w:sz w:val="20"/>
          <w:szCs w:val="20"/>
          <w:lang w:val="cs-CZ" w:eastAsia="cs-CZ"/>
        </w:rPr>
        <w:t>Zdroj:</w:t>
      </w:r>
      <w:r w:rsidRPr="00A17659">
        <w:rPr>
          <w:rFonts w:asciiTheme="minorHAnsi" w:hAnsiTheme="minorHAnsi" w:cstheme="minorHAnsi"/>
          <w:sz w:val="20"/>
          <w:szCs w:val="20"/>
          <w:lang w:val="cs-CZ" w:eastAsia="cs-CZ"/>
        </w:rPr>
        <w:t xml:space="preserve"> smlouvy, přijaté faktury.</w:t>
      </w:r>
    </w:p>
    <w:p w14:paraId="4B360AC0" w14:textId="77777777" w:rsidR="00825540" w:rsidRPr="00825540" w:rsidRDefault="00825540" w:rsidP="00825540">
      <w:pPr>
        <w:pStyle w:val="Odstavecseseznamem"/>
        <w:ind w:left="0"/>
        <w:contextualSpacing w:val="0"/>
        <w:jc w:val="both"/>
        <w:rPr>
          <w:rFonts w:asciiTheme="minorHAnsi" w:hAnsiTheme="minorHAnsi" w:cstheme="minorHAnsi"/>
          <w:lang w:val="cs-CZ"/>
        </w:rPr>
      </w:pPr>
    </w:p>
    <w:p w14:paraId="734732E6" w14:textId="240989F2" w:rsidR="00147816" w:rsidRDefault="008C5F6D" w:rsidP="00825540">
      <w:pPr>
        <w:pStyle w:val="TextKP"/>
        <w:spacing w:before="0"/>
      </w:pPr>
      <w:r w:rsidRPr="00825540">
        <w:t>Na výši</w:t>
      </w:r>
      <w:r w:rsidR="00D10FF8" w:rsidRPr="00825540">
        <w:t xml:space="preserve"> jednotkové ceny úklidu </w:t>
      </w:r>
      <w:r w:rsidR="00661BF5">
        <w:t xml:space="preserve">plochy </w:t>
      </w:r>
      <w:r w:rsidRPr="00825540">
        <w:t>100 m</w:t>
      </w:r>
      <w:r w:rsidRPr="00825540">
        <w:rPr>
          <w:vertAlign w:val="superscript"/>
        </w:rPr>
        <w:t>2</w:t>
      </w:r>
      <w:r w:rsidRPr="00825540">
        <w:t xml:space="preserve"> za jeden měsíc </w:t>
      </w:r>
      <w:r w:rsidR="00D10FF8" w:rsidRPr="00825540">
        <w:t>měly</w:t>
      </w:r>
      <w:r w:rsidRPr="00825540">
        <w:t xml:space="preserve"> u MO vliv zejména četnost provádění úklidu,</w:t>
      </w:r>
      <w:r w:rsidR="00E9785A" w:rsidRPr="00825540">
        <w:t xml:space="preserve"> </w:t>
      </w:r>
      <w:r w:rsidRPr="00825540">
        <w:t xml:space="preserve">která se pohybovala od </w:t>
      </w:r>
      <w:r w:rsidR="00661BF5">
        <w:t>1×</w:t>
      </w:r>
      <w:r w:rsidRPr="00825540">
        <w:t xml:space="preserve"> měsíčně až </w:t>
      </w:r>
      <w:r w:rsidR="00CB70CD" w:rsidRPr="00825540">
        <w:t>do</w:t>
      </w:r>
      <w:r w:rsidRPr="00825540">
        <w:t xml:space="preserve"> </w:t>
      </w:r>
      <w:r w:rsidR="00661BF5">
        <w:t>21×</w:t>
      </w:r>
      <w:r w:rsidRPr="00825540">
        <w:t xml:space="preserve"> měs</w:t>
      </w:r>
      <w:r w:rsidR="00D10FF8" w:rsidRPr="00825540">
        <w:t>íčně</w:t>
      </w:r>
      <w:r w:rsidRPr="00825540">
        <w:t xml:space="preserve"> a</w:t>
      </w:r>
      <w:r w:rsidR="00661BF5">
        <w:t> </w:t>
      </w:r>
      <w:r w:rsidRPr="00825540">
        <w:t xml:space="preserve">dále jednotkové ceny úklidu </w:t>
      </w:r>
      <w:r w:rsidR="00661BF5">
        <w:t>1 </w:t>
      </w:r>
      <w:r w:rsidRPr="00825540">
        <w:t>m</w:t>
      </w:r>
      <w:r w:rsidRPr="00825540">
        <w:rPr>
          <w:vertAlign w:val="superscript"/>
        </w:rPr>
        <w:t>2</w:t>
      </w:r>
      <w:r w:rsidRPr="00825540">
        <w:t xml:space="preserve"> jed</w:t>
      </w:r>
      <w:r w:rsidR="002A6BA8" w:rsidRPr="00825540">
        <w:t>notlivých typů povrchů</w:t>
      </w:r>
      <w:r w:rsidRPr="00825540">
        <w:t xml:space="preserve"> (např. koberce, PVC, parkety, dlažba), které byly </w:t>
      </w:r>
      <w:r w:rsidR="00CB70CD" w:rsidRPr="00825540">
        <w:t>v</w:t>
      </w:r>
      <w:r w:rsidR="00E9785A" w:rsidRPr="00825540">
        <w:t> </w:t>
      </w:r>
      <w:r w:rsidR="00CB70CD" w:rsidRPr="00825540">
        <w:t xml:space="preserve">roce 2013 téměř </w:t>
      </w:r>
      <w:r w:rsidR="009819A5" w:rsidRPr="00825540">
        <w:t>3</w:t>
      </w:r>
      <w:r w:rsidRPr="00825540">
        <w:t xml:space="preserve">krát nižší </w:t>
      </w:r>
      <w:r w:rsidR="00CB70CD" w:rsidRPr="00825540">
        <w:t>a v</w:t>
      </w:r>
      <w:r w:rsidR="00E9785A" w:rsidRPr="00825540">
        <w:t xml:space="preserve"> </w:t>
      </w:r>
      <w:r w:rsidR="00CB70CD" w:rsidRPr="00825540">
        <w:t xml:space="preserve">roce 2014 </w:t>
      </w:r>
      <w:r w:rsidR="0092243D" w:rsidRPr="00825540">
        <w:t xml:space="preserve">byly </w:t>
      </w:r>
      <w:r w:rsidR="00CB70CD" w:rsidRPr="00825540">
        <w:t xml:space="preserve">5,5krát nižší </w:t>
      </w:r>
      <w:r w:rsidRPr="00825540">
        <w:t xml:space="preserve">než u </w:t>
      </w:r>
      <w:proofErr w:type="spellStart"/>
      <w:proofErr w:type="gramStart"/>
      <w:r w:rsidRPr="00825540">
        <w:t>MZe</w:t>
      </w:r>
      <w:proofErr w:type="spellEnd"/>
      <w:proofErr w:type="gramEnd"/>
      <w:r w:rsidR="00CB70CD" w:rsidRPr="00825540">
        <w:t>.</w:t>
      </w:r>
    </w:p>
    <w:p w14:paraId="0455371C" w14:textId="77777777" w:rsidR="006A3CD8" w:rsidRPr="00825540" w:rsidRDefault="006A3CD8" w:rsidP="00825540">
      <w:pPr>
        <w:pStyle w:val="TextKP"/>
        <w:spacing w:before="0"/>
      </w:pPr>
    </w:p>
    <w:p w14:paraId="0D78A8E1" w14:textId="77777777" w:rsidR="0066372F" w:rsidRDefault="00077945" w:rsidP="00825540">
      <w:pPr>
        <w:pStyle w:val="TextKP"/>
        <w:spacing w:before="0"/>
      </w:pPr>
      <w:r w:rsidRPr="00825540">
        <w:lastRenderedPageBreak/>
        <w:t>Dle údajů zveřejněných Českým statistickým úřadem byla v</w:t>
      </w:r>
      <w:r w:rsidR="00E9785A" w:rsidRPr="00825540">
        <w:t xml:space="preserve"> </w:t>
      </w:r>
      <w:r w:rsidRPr="00825540">
        <w:t>roce 2013 průměrná cena za mytí oken včetně rámů ve výši 10,98 Kč</w:t>
      </w:r>
      <w:r w:rsidR="001E76A8" w:rsidRPr="00825540">
        <w:t xml:space="preserve"> bez DPH</w:t>
      </w:r>
      <w:r w:rsidRPr="00825540">
        <w:t>/m</w:t>
      </w:r>
      <w:r w:rsidRPr="00825540">
        <w:rPr>
          <w:vertAlign w:val="superscript"/>
        </w:rPr>
        <w:t>2</w:t>
      </w:r>
      <w:r w:rsidRPr="00825540">
        <w:t xml:space="preserve"> a v roce</w:t>
      </w:r>
      <w:r w:rsidR="000E66CE" w:rsidRPr="00825540">
        <w:t xml:space="preserve"> 2014 </w:t>
      </w:r>
      <w:r w:rsidRPr="00825540">
        <w:t xml:space="preserve">ve výši </w:t>
      </w:r>
      <w:r w:rsidR="000E66CE" w:rsidRPr="00825540">
        <w:t>10,80 Kč</w:t>
      </w:r>
      <w:r w:rsidR="001E76A8" w:rsidRPr="00825540">
        <w:t xml:space="preserve"> bez DPH</w:t>
      </w:r>
      <w:r w:rsidRPr="00825540">
        <w:t>/m</w:t>
      </w:r>
      <w:r w:rsidRPr="00825540">
        <w:rPr>
          <w:vertAlign w:val="superscript"/>
        </w:rPr>
        <w:t>2</w:t>
      </w:r>
      <w:r w:rsidR="000E66CE" w:rsidRPr="00825540">
        <w:t>.</w:t>
      </w:r>
      <w:r w:rsidR="0066372F" w:rsidRPr="00825540">
        <w:t xml:space="preserve"> Všechna ministerstva platila v</w:t>
      </w:r>
      <w:r w:rsidR="00E9785A" w:rsidRPr="00825540">
        <w:t xml:space="preserve"> </w:t>
      </w:r>
      <w:r w:rsidR="0066372F" w:rsidRPr="00825540">
        <w:t>kontrolovaném období za mytí oken ceny nižší než průměrné ceny uváděné Českým statistickým úřadem.</w:t>
      </w:r>
    </w:p>
    <w:p w14:paraId="68F37503" w14:textId="77777777" w:rsidR="00825540" w:rsidRPr="00825540" w:rsidRDefault="00825540" w:rsidP="00825540">
      <w:pPr>
        <w:pStyle w:val="TextKP"/>
        <w:spacing w:before="0"/>
      </w:pPr>
    </w:p>
    <w:p w14:paraId="5EDCD38C" w14:textId="77777777" w:rsidR="00860CD9" w:rsidRPr="00825540" w:rsidRDefault="00860CD9" w:rsidP="00825540">
      <w:pPr>
        <w:jc w:val="both"/>
        <w:rPr>
          <w:rFonts w:asciiTheme="minorHAnsi" w:hAnsiTheme="minorHAnsi" w:cstheme="minorHAnsi"/>
          <w:bCs/>
          <w:lang w:val="cs-CZ"/>
        </w:rPr>
      </w:pPr>
      <w:r w:rsidRPr="00825540">
        <w:rPr>
          <w:rFonts w:asciiTheme="minorHAnsi" w:hAnsiTheme="minorHAnsi" w:cstheme="minorHAnsi"/>
          <w:bCs/>
          <w:lang w:val="cs-CZ"/>
        </w:rPr>
        <w:t>Při kontrole peněžních prostředků vynaložených na úklidové služby bylo zjištěno, že:</w:t>
      </w:r>
    </w:p>
    <w:p w14:paraId="58AC8B6F" w14:textId="705CD68C" w:rsidR="0080419B" w:rsidRPr="00825540" w:rsidRDefault="0080419B" w:rsidP="00825540">
      <w:pPr>
        <w:pStyle w:val="Odstavecseseznamem"/>
        <w:numPr>
          <w:ilvl w:val="1"/>
          <w:numId w:val="32"/>
        </w:numPr>
        <w:ind w:left="284" w:hanging="284"/>
        <w:jc w:val="both"/>
        <w:rPr>
          <w:rFonts w:asciiTheme="minorHAnsi" w:hAnsiTheme="minorHAnsi" w:cstheme="minorHAnsi"/>
          <w:b/>
          <w:bCs/>
          <w:lang w:val="cs-CZ"/>
        </w:rPr>
      </w:pPr>
      <w:r w:rsidRPr="00825540">
        <w:rPr>
          <w:rFonts w:asciiTheme="minorHAnsi" w:hAnsiTheme="minorHAnsi" w:cstheme="minorHAnsi"/>
          <w:b/>
          <w:bCs/>
          <w:lang w:val="cs-CZ"/>
        </w:rPr>
        <w:t xml:space="preserve">MPSV nepoužilo peněžní prostředky ve výši </w:t>
      </w:r>
      <w:r w:rsidR="00674834" w:rsidRPr="00825540">
        <w:rPr>
          <w:rFonts w:asciiTheme="minorHAnsi" w:hAnsiTheme="minorHAnsi" w:cstheme="minorHAnsi"/>
          <w:b/>
          <w:bCs/>
          <w:lang w:val="cs-CZ"/>
        </w:rPr>
        <w:t>101 676</w:t>
      </w:r>
      <w:r w:rsidRPr="00825540">
        <w:rPr>
          <w:rFonts w:asciiTheme="minorHAnsi" w:hAnsiTheme="minorHAnsi" w:cstheme="minorHAnsi"/>
          <w:b/>
          <w:bCs/>
          <w:lang w:val="cs-CZ"/>
        </w:rPr>
        <w:t>,55 Kč, kterými disponovalo v</w:t>
      </w:r>
      <w:r w:rsidR="00E9785A" w:rsidRPr="00825540">
        <w:rPr>
          <w:rFonts w:asciiTheme="minorHAnsi" w:hAnsiTheme="minorHAnsi" w:cstheme="minorHAnsi"/>
          <w:b/>
          <w:bCs/>
          <w:lang w:val="cs-CZ"/>
        </w:rPr>
        <w:t xml:space="preserve"> </w:t>
      </w:r>
      <w:r w:rsidR="00674834" w:rsidRPr="00825540">
        <w:rPr>
          <w:rFonts w:asciiTheme="minorHAnsi" w:hAnsiTheme="minorHAnsi" w:cstheme="minorHAnsi"/>
          <w:b/>
          <w:bCs/>
          <w:lang w:val="cs-CZ"/>
        </w:rPr>
        <w:t>letech</w:t>
      </w:r>
      <w:r w:rsidRPr="00825540">
        <w:rPr>
          <w:rFonts w:asciiTheme="minorHAnsi" w:hAnsiTheme="minorHAnsi" w:cstheme="minorHAnsi"/>
          <w:b/>
          <w:bCs/>
          <w:lang w:val="cs-CZ"/>
        </w:rPr>
        <w:t xml:space="preserve"> 2013</w:t>
      </w:r>
      <w:r w:rsidR="00674834" w:rsidRPr="00825540">
        <w:rPr>
          <w:rFonts w:asciiTheme="minorHAnsi" w:hAnsiTheme="minorHAnsi" w:cstheme="minorHAnsi"/>
          <w:b/>
          <w:bCs/>
          <w:lang w:val="cs-CZ"/>
        </w:rPr>
        <w:t xml:space="preserve"> a 2014</w:t>
      </w:r>
      <w:r w:rsidRPr="00825540">
        <w:rPr>
          <w:rFonts w:asciiTheme="minorHAnsi" w:hAnsiTheme="minorHAnsi" w:cstheme="minorHAnsi"/>
          <w:b/>
          <w:bCs/>
          <w:lang w:val="cs-CZ"/>
        </w:rPr>
        <w:t>, pouze na</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 xml:space="preserve">krytí nezbytných potřeb, když </w:t>
      </w:r>
      <w:r w:rsidRPr="00825540">
        <w:rPr>
          <w:rFonts w:asciiTheme="minorHAnsi" w:hAnsiTheme="minorHAnsi" w:cstheme="minorHAnsi"/>
          <w:b/>
          <w:lang w:val="cs-CZ"/>
        </w:rPr>
        <w:t xml:space="preserve">uhradilo za provedené úklidové služby </w:t>
      </w:r>
      <w:r w:rsidR="008724A9" w:rsidRPr="00825540">
        <w:rPr>
          <w:rFonts w:asciiTheme="minorHAnsi" w:hAnsiTheme="minorHAnsi" w:cstheme="minorHAnsi"/>
          <w:b/>
          <w:lang w:val="cs-CZ"/>
        </w:rPr>
        <w:t>v</w:t>
      </w:r>
      <w:r w:rsidR="00E9785A" w:rsidRPr="00825540">
        <w:rPr>
          <w:rFonts w:asciiTheme="minorHAnsi" w:hAnsiTheme="minorHAnsi" w:cstheme="minorHAnsi"/>
          <w:b/>
          <w:lang w:val="cs-CZ"/>
        </w:rPr>
        <w:t xml:space="preserve"> </w:t>
      </w:r>
      <w:r w:rsidR="008724A9" w:rsidRPr="00825540">
        <w:rPr>
          <w:rFonts w:asciiTheme="minorHAnsi" w:hAnsiTheme="minorHAnsi" w:cstheme="minorHAnsi"/>
          <w:b/>
          <w:lang w:val="cs-CZ"/>
        </w:rPr>
        <w:t xml:space="preserve">objektu na </w:t>
      </w:r>
      <w:r w:rsidR="00661BF5">
        <w:rPr>
          <w:rFonts w:asciiTheme="minorHAnsi" w:hAnsiTheme="minorHAnsi" w:cstheme="minorHAnsi"/>
          <w:b/>
          <w:lang w:val="cs-CZ"/>
        </w:rPr>
        <w:t xml:space="preserve">adrese </w:t>
      </w:r>
      <w:r w:rsidR="008724A9" w:rsidRPr="00825540">
        <w:rPr>
          <w:rFonts w:asciiTheme="minorHAnsi" w:hAnsiTheme="minorHAnsi" w:cstheme="minorHAnsi"/>
          <w:b/>
          <w:lang w:val="cs-CZ"/>
        </w:rPr>
        <w:t>Karlov</w:t>
      </w:r>
      <w:r w:rsidR="00661BF5">
        <w:rPr>
          <w:rFonts w:asciiTheme="minorHAnsi" w:hAnsiTheme="minorHAnsi" w:cstheme="minorHAnsi"/>
          <w:b/>
          <w:lang w:val="cs-CZ"/>
        </w:rPr>
        <w:t>o</w:t>
      </w:r>
      <w:r w:rsidR="008724A9" w:rsidRPr="00825540">
        <w:rPr>
          <w:rFonts w:asciiTheme="minorHAnsi" w:hAnsiTheme="minorHAnsi" w:cstheme="minorHAnsi"/>
          <w:b/>
          <w:lang w:val="cs-CZ"/>
        </w:rPr>
        <w:t xml:space="preserve"> náměstí 1</w:t>
      </w:r>
      <w:r w:rsidR="00661BF5">
        <w:rPr>
          <w:rFonts w:asciiTheme="minorHAnsi" w:hAnsiTheme="minorHAnsi" w:cstheme="minorHAnsi"/>
          <w:b/>
          <w:lang w:val="cs-CZ"/>
        </w:rPr>
        <w:t>,</w:t>
      </w:r>
      <w:r w:rsidR="008724A9" w:rsidRPr="00825540">
        <w:rPr>
          <w:rFonts w:asciiTheme="minorHAnsi" w:hAnsiTheme="minorHAnsi" w:cstheme="minorHAnsi"/>
          <w:b/>
          <w:lang w:val="cs-CZ"/>
        </w:rPr>
        <w:t xml:space="preserve"> Pra</w:t>
      </w:r>
      <w:r w:rsidR="00661BF5">
        <w:rPr>
          <w:rFonts w:asciiTheme="minorHAnsi" w:hAnsiTheme="minorHAnsi" w:cstheme="minorHAnsi"/>
          <w:b/>
          <w:lang w:val="cs-CZ"/>
        </w:rPr>
        <w:t>ha</w:t>
      </w:r>
      <w:r w:rsidR="008724A9" w:rsidRPr="00825540">
        <w:rPr>
          <w:rFonts w:asciiTheme="minorHAnsi" w:hAnsiTheme="minorHAnsi" w:cstheme="minorHAnsi"/>
          <w:b/>
          <w:lang w:val="cs-CZ"/>
        </w:rPr>
        <w:t xml:space="preserve"> 2</w:t>
      </w:r>
      <w:r w:rsidR="00661BF5">
        <w:rPr>
          <w:rFonts w:asciiTheme="minorHAnsi" w:hAnsiTheme="minorHAnsi" w:cstheme="minorHAnsi"/>
          <w:b/>
          <w:lang w:val="cs-CZ"/>
        </w:rPr>
        <w:t>,</w:t>
      </w:r>
      <w:r w:rsidR="008724A9" w:rsidRPr="00825540">
        <w:rPr>
          <w:rFonts w:asciiTheme="minorHAnsi" w:hAnsiTheme="minorHAnsi" w:cstheme="minorHAnsi"/>
          <w:b/>
          <w:lang w:val="cs-CZ"/>
        </w:rPr>
        <w:t xml:space="preserve"> </w:t>
      </w:r>
      <w:r w:rsidRPr="00825540">
        <w:rPr>
          <w:rFonts w:asciiTheme="minorHAnsi" w:hAnsiTheme="minorHAnsi" w:cstheme="minorHAnsi"/>
          <w:b/>
          <w:lang w:val="cs-CZ"/>
        </w:rPr>
        <w:t>vyšší částku, než bylo povinno zaplatit dle smlouvy</w:t>
      </w:r>
      <w:r w:rsidRPr="00825540">
        <w:rPr>
          <w:rFonts w:asciiTheme="minorHAnsi" w:hAnsiTheme="minorHAnsi" w:cstheme="minorHAnsi"/>
          <w:b/>
          <w:bCs/>
          <w:lang w:val="cs-CZ"/>
        </w:rPr>
        <w:t>, a tím nepostupovalo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souladu s</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ustanovením § 45 odst. 2 zákona č.</w:t>
      </w:r>
      <w:r w:rsidR="00E9785A" w:rsidRPr="00825540">
        <w:rPr>
          <w:rFonts w:asciiTheme="minorHAnsi" w:hAnsiTheme="minorHAnsi" w:cstheme="minorHAnsi"/>
          <w:b/>
          <w:bCs/>
          <w:lang w:val="cs-CZ"/>
        </w:rPr>
        <w:t> </w:t>
      </w:r>
      <w:r w:rsidRPr="00825540">
        <w:rPr>
          <w:rFonts w:asciiTheme="minorHAnsi" w:hAnsiTheme="minorHAnsi" w:cstheme="minorHAnsi"/>
          <w:b/>
          <w:bCs/>
          <w:lang w:val="cs-CZ"/>
        </w:rPr>
        <w:t>218/2000</w:t>
      </w:r>
      <w:r w:rsidR="00E9785A" w:rsidRPr="00825540">
        <w:rPr>
          <w:rFonts w:asciiTheme="minorHAnsi" w:hAnsiTheme="minorHAnsi" w:cstheme="minorHAnsi"/>
          <w:b/>
          <w:bCs/>
          <w:lang w:val="cs-CZ"/>
        </w:rPr>
        <w:t> </w:t>
      </w:r>
      <w:r w:rsidRPr="00825540">
        <w:rPr>
          <w:rFonts w:asciiTheme="minorHAnsi" w:hAnsiTheme="minorHAnsi" w:cstheme="minorHAnsi"/>
          <w:b/>
          <w:bCs/>
          <w:lang w:val="cs-CZ"/>
        </w:rPr>
        <w:t>Sb.</w:t>
      </w:r>
      <w:r w:rsidR="00DF3CB7" w:rsidRPr="00825540">
        <w:rPr>
          <w:rFonts w:asciiTheme="minorHAnsi" w:hAnsiTheme="minorHAnsi" w:cstheme="minorHAnsi"/>
          <w:b/>
          <w:bCs/>
          <w:lang w:val="cs-CZ"/>
        </w:rPr>
        <w:t xml:space="preserve"> Tím se MPSV dopustilo porušení rozpočtové kázně ve smyslu ustanovení</w:t>
      </w:r>
      <w:r w:rsidR="00E9785A" w:rsidRPr="00825540">
        <w:rPr>
          <w:rFonts w:asciiTheme="minorHAnsi" w:hAnsiTheme="minorHAnsi" w:cstheme="minorHAnsi"/>
          <w:b/>
          <w:bCs/>
          <w:lang w:val="cs-CZ"/>
        </w:rPr>
        <w:t xml:space="preserve"> </w:t>
      </w:r>
      <w:r w:rsidR="00DF3CB7" w:rsidRPr="00825540">
        <w:rPr>
          <w:rFonts w:asciiTheme="minorHAnsi" w:hAnsiTheme="minorHAnsi" w:cstheme="minorHAnsi"/>
          <w:b/>
          <w:bCs/>
          <w:lang w:val="cs-CZ"/>
        </w:rPr>
        <w:t>§</w:t>
      </w:r>
      <w:r w:rsidR="00E9785A" w:rsidRPr="00825540">
        <w:rPr>
          <w:rFonts w:asciiTheme="minorHAnsi" w:hAnsiTheme="minorHAnsi" w:cstheme="minorHAnsi"/>
          <w:b/>
          <w:bCs/>
          <w:lang w:val="cs-CZ"/>
        </w:rPr>
        <w:t> </w:t>
      </w:r>
      <w:r w:rsidR="00DF3CB7" w:rsidRPr="00825540">
        <w:rPr>
          <w:rFonts w:asciiTheme="minorHAnsi" w:hAnsiTheme="minorHAnsi" w:cstheme="minorHAnsi"/>
          <w:b/>
          <w:bCs/>
          <w:lang w:val="cs-CZ"/>
        </w:rPr>
        <w:t>44 odst. 1 písm. f) zákona č. 218/2000 Sb.</w:t>
      </w:r>
      <w:r w:rsidR="00E9785A" w:rsidRPr="00825540">
        <w:rPr>
          <w:rFonts w:asciiTheme="minorHAnsi" w:hAnsiTheme="minorHAnsi" w:cstheme="minorHAnsi"/>
          <w:b/>
          <w:bCs/>
          <w:lang w:val="cs-CZ"/>
        </w:rPr>
        <w:t xml:space="preserve"> </w:t>
      </w:r>
      <w:r w:rsidR="00631122" w:rsidRPr="00825540">
        <w:rPr>
          <w:rFonts w:asciiTheme="minorHAnsi" w:hAnsiTheme="minorHAnsi" w:cstheme="minorHAnsi"/>
          <w:b/>
          <w:bCs/>
          <w:lang w:val="cs-CZ"/>
        </w:rPr>
        <w:t>Finanční kontrolou při řízení veřejných výdajů dle zákona č. 320/2001 Sb. nebyly výše uvedené skutečnosti zjištěny.</w:t>
      </w:r>
    </w:p>
    <w:p w14:paraId="6E6DF88A" w14:textId="03841EC4" w:rsidR="001B67C2" w:rsidRPr="00825540" w:rsidRDefault="001B67C2" w:rsidP="00825540">
      <w:pPr>
        <w:ind w:left="284"/>
        <w:jc w:val="both"/>
        <w:rPr>
          <w:rFonts w:asciiTheme="minorHAnsi" w:hAnsiTheme="minorHAnsi" w:cstheme="minorHAnsi"/>
          <w:lang w:val="cs-CZ"/>
        </w:rPr>
      </w:pPr>
      <w:r w:rsidRPr="00825540">
        <w:rPr>
          <w:rFonts w:asciiTheme="minorHAnsi" w:hAnsiTheme="minorHAnsi" w:cstheme="minorHAnsi"/>
          <w:lang w:val="cs-CZ"/>
        </w:rPr>
        <w:t>Dodavatel úklidových služeb fakturoval MPSV za pravidelný úklid objektu</w:t>
      </w:r>
      <w:r w:rsidR="00661BF5">
        <w:rPr>
          <w:rFonts w:asciiTheme="minorHAnsi" w:hAnsiTheme="minorHAnsi" w:cstheme="minorHAnsi"/>
          <w:lang w:val="cs-CZ"/>
        </w:rPr>
        <w:t xml:space="preserve"> na adrese</w:t>
      </w:r>
      <w:r w:rsidRPr="00825540">
        <w:rPr>
          <w:rFonts w:asciiTheme="minorHAnsi" w:hAnsiTheme="minorHAnsi" w:cstheme="minorHAnsi"/>
          <w:lang w:val="cs-CZ"/>
        </w:rPr>
        <w:t xml:space="preserve"> Karlovo náměstí 1</w:t>
      </w:r>
      <w:r w:rsidR="00661BF5">
        <w:rPr>
          <w:rFonts w:asciiTheme="minorHAnsi" w:hAnsiTheme="minorHAnsi" w:cstheme="minorHAnsi"/>
          <w:lang w:val="cs-CZ"/>
        </w:rPr>
        <w:t>,</w:t>
      </w:r>
      <w:r w:rsidRPr="00825540">
        <w:rPr>
          <w:rFonts w:asciiTheme="minorHAnsi" w:hAnsiTheme="minorHAnsi" w:cstheme="minorHAnsi"/>
          <w:lang w:val="cs-CZ"/>
        </w:rPr>
        <w:t xml:space="preserve"> Pra</w:t>
      </w:r>
      <w:r w:rsidR="00661BF5">
        <w:rPr>
          <w:rFonts w:asciiTheme="minorHAnsi" w:hAnsiTheme="minorHAnsi" w:cstheme="minorHAnsi"/>
          <w:lang w:val="cs-CZ"/>
        </w:rPr>
        <w:t>ha</w:t>
      </w:r>
      <w:r w:rsidRPr="00825540">
        <w:rPr>
          <w:rFonts w:asciiTheme="minorHAnsi" w:hAnsiTheme="minorHAnsi" w:cstheme="minorHAnsi"/>
          <w:lang w:val="cs-CZ"/>
        </w:rPr>
        <w:t xml:space="preserve"> 2</w:t>
      </w:r>
      <w:r w:rsidR="00661BF5">
        <w:rPr>
          <w:rFonts w:asciiTheme="minorHAnsi" w:hAnsiTheme="minorHAnsi" w:cstheme="minorHAnsi"/>
          <w:lang w:val="cs-CZ"/>
        </w:rPr>
        <w:t>,</w:t>
      </w:r>
      <w:r w:rsidRPr="00825540">
        <w:rPr>
          <w:rFonts w:asciiTheme="minorHAnsi" w:hAnsiTheme="minorHAnsi" w:cstheme="minorHAnsi"/>
          <w:lang w:val="cs-CZ"/>
        </w:rPr>
        <w:t xml:space="preserve"> měsíčně částku ve výši 87</w:t>
      </w:r>
      <w:r w:rsidR="00E9785A" w:rsidRPr="00825540">
        <w:rPr>
          <w:rFonts w:asciiTheme="minorHAnsi" w:hAnsiTheme="minorHAnsi" w:cstheme="minorHAnsi"/>
          <w:lang w:val="cs-CZ"/>
        </w:rPr>
        <w:t xml:space="preserve"> </w:t>
      </w:r>
      <w:r w:rsidRPr="00825540">
        <w:rPr>
          <w:rFonts w:asciiTheme="minorHAnsi" w:hAnsiTheme="minorHAnsi" w:cstheme="minorHAnsi"/>
          <w:lang w:val="cs-CZ"/>
        </w:rPr>
        <w:t>132,02 Kč bez DPH.</w:t>
      </w:r>
      <w:r w:rsidR="00825540">
        <w:rPr>
          <w:rFonts w:asciiTheme="minorHAnsi" w:hAnsiTheme="minorHAnsi" w:cstheme="minorHAnsi"/>
          <w:lang w:val="cs-CZ"/>
        </w:rPr>
        <w:t xml:space="preserve"> Ve smlouvě ve znění dodatku č. </w:t>
      </w:r>
      <w:r w:rsidRPr="00825540">
        <w:rPr>
          <w:rFonts w:asciiTheme="minorHAnsi" w:hAnsiTheme="minorHAnsi" w:cstheme="minorHAnsi"/>
          <w:lang w:val="cs-CZ"/>
        </w:rPr>
        <w:t>2 platném pro roky 2013 a 2014 byla dojednána cena ve výši 83</w:t>
      </w:r>
      <w:r w:rsidR="00661BF5">
        <w:rPr>
          <w:rFonts w:asciiTheme="minorHAnsi" w:hAnsiTheme="minorHAnsi" w:cstheme="minorHAnsi"/>
          <w:lang w:val="cs-CZ"/>
        </w:rPr>
        <w:t> </w:t>
      </w:r>
      <w:r w:rsidRPr="00825540">
        <w:rPr>
          <w:rFonts w:asciiTheme="minorHAnsi" w:hAnsiTheme="minorHAnsi" w:cstheme="minorHAnsi"/>
          <w:lang w:val="cs-CZ"/>
        </w:rPr>
        <w:t>629,54</w:t>
      </w:r>
      <w:r w:rsidR="006D0F78">
        <w:rPr>
          <w:rFonts w:asciiTheme="minorHAnsi" w:hAnsiTheme="minorHAnsi" w:cstheme="minorHAnsi"/>
          <w:lang w:val="cs-CZ"/>
        </w:rPr>
        <w:t> </w:t>
      </w:r>
      <w:r w:rsidRPr="00825540">
        <w:rPr>
          <w:rFonts w:asciiTheme="minorHAnsi" w:hAnsiTheme="minorHAnsi" w:cstheme="minorHAnsi"/>
          <w:lang w:val="cs-CZ"/>
        </w:rPr>
        <w:t>Kč bez DPH za měsíc. Rozdíl mezi fakturovanou a smluvní cenou činil měsíčně 3</w:t>
      </w:r>
      <w:r w:rsidR="00661BF5">
        <w:rPr>
          <w:rFonts w:asciiTheme="minorHAnsi" w:hAnsiTheme="minorHAnsi" w:cstheme="minorHAnsi"/>
          <w:lang w:val="cs-CZ"/>
        </w:rPr>
        <w:t> </w:t>
      </w:r>
      <w:r w:rsidRPr="00825540">
        <w:rPr>
          <w:rFonts w:asciiTheme="minorHAnsi" w:hAnsiTheme="minorHAnsi" w:cstheme="minorHAnsi"/>
          <w:lang w:val="cs-CZ"/>
        </w:rPr>
        <w:t xml:space="preserve">502,48 Kč bez DPH. MPSV </w:t>
      </w:r>
      <w:r w:rsidRPr="00825540">
        <w:rPr>
          <w:rFonts w:asciiTheme="minorHAnsi" w:hAnsiTheme="minorHAnsi" w:cstheme="minorHAnsi"/>
          <w:bCs/>
          <w:lang w:val="cs-CZ"/>
        </w:rPr>
        <w:t xml:space="preserve">nesprávnou výši fakturované ceny </w:t>
      </w:r>
      <w:r w:rsidRPr="00825540">
        <w:rPr>
          <w:rFonts w:asciiTheme="minorHAnsi" w:hAnsiTheme="minorHAnsi" w:cstheme="minorHAnsi"/>
          <w:lang w:val="cs-CZ"/>
        </w:rPr>
        <w:t xml:space="preserve">za úklid </w:t>
      </w:r>
      <w:r w:rsidRPr="00825540">
        <w:rPr>
          <w:rFonts w:asciiTheme="minorHAnsi" w:hAnsiTheme="minorHAnsi" w:cstheme="minorHAnsi"/>
          <w:bCs/>
          <w:lang w:val="cs-CZ"/>
        </w:rPr>
        <w:t xml:space="preserve">nezjistilo a </w:t>
      </w:r>
      <w:r w:rsidRPr="00825540">
        <w:rPr>
          <w:rFonts w:asciiTheme="minorHAnsi" w:hAnsiTheme="minorHAnsi" w:cstheme="minorHAnsi"/>
          <w:lang w:val="cs-CZ"/>
        </w:rPr>
        <w:t>hradilo dodavateli úklidových služeb v plné výši. Na základě kontroly NKÚ prověřilo</w:t>
      </w:r>
      <w:r w:rsidR="00661BF5" w:rsidRPr="00661BF5">
        <w:rPr>
          <w:rFonts w:asciiTheme="minorHAnsi" w:hAnsiTheme="minorHAnsi" w:cstheme="minorHAnsi"/>
          <w:lang w:val="cs-CZ"/>
        </w:rPr>
        <w:t xml:space="preserve"> </w:t>
      </w:r>
      <w:r w:rsidR="00661BF5" w:rsidRPr="00825540">
        <w:rPr>
          <w:rFonts w:asciiTheme="minorHAnsi" w:hAnsiTheme="minorHAnsi" w:cstheme="minorHAnsi"/>
          <w:lang w:val="cs-CZ"/>
        </w:rPr>
        <w:t>MPSV</w:t>
      </w:r>
      <w:r w:rsidRPr="00825540">
        <w:rPr>
          <w:rFonts w:asciiTheme="minorHAnsi" w:hAnsiTheme="minorHAnsi" w:cstheme="minorHAnsi"/>
          <w:lang w:val="cs-CZ"/>
        </w:rPr>
        <w:t xml:space="preserve"> všechny související faktury se zjištěním, že </w:t>
      </w:r>
      <w:r w:rsidR="00661BF5" w:rsidRPr="00825540">
        <w:rPr>
          <w:rFonts w:asciiTheme="minorHAnsi" w:hAnsiTheme="minorHAnsi" w:cstheme="minorHAnsi"/>
          <w:lang w:val="cs-CZ"/>
        </w:rPr>
        <w:t xml:space="preserve">bylo </w:t>
      </w:r>
      <w:r w:rsidRPr="00825540">
        <w:rPr>
          <w:rFonts w:asciiTheme="minorHAnsi" w:hAnsiTheme="minorHAnsi" w:cstheme="minorHAnsi"/>
          <w:lang w:val="cs-CZ"/>
        </w:rPr>
        <w:t xml:space="preserve">chybně fakturováno již od dubna 2009. Důvodem byla skutečnost, že ve faktuře za </w:t>
      </w:r>
      <w:r w:rsidR="00DE10A9" w:rsidRPr="00825540">
        <w:rPr>
          <w:rFonts w:asciiTheme="minorHAnsi" w:hAnsiTheme="minorHAnsi" w:cstheme="minorHAnsi"/>
          <w:lang w:val="cs-CZ"/>
        </w:rPr>
        <w:t xml:space="preserve">únor </w:t>
      </w:r>
      <w:r w:rsidRPr="00825540">
        <w:rPr>
          <w:rFonts w:asciiTheme="minorHAnsi" w:hAnsiTheme="minorHAnsi" w:cstheme="minorHAnsi"/>
          <w:lang w:val="cs-CZ"/>
        </w:rPr>
        <w:t>2009 byl fakturován rovněž mimořádný úklid ve výši 3</w:t>
      </w:r>
      <w:r w:rsidR="00FF21F7">
        <w:rPr>
          <w:rFonts w:asciiTheme="minorHAnsi" w:hAnsiTheme="minorHAnsi" w:cstheme="minorHAnsi"/>
          <w:lang w:val="cs-CZ"/>
        </w:rPr>
        <w:t> </w:t>
      </w:r>
      <w:r w:rsidRPr="00825540">
        <w:rPr>
          <w:rFonts w:asciiTheme="minorHAnsi" w:hAnsiTheme="minorHAnsi" w:cstheme="minorHAnsi"/>
          <w:lang w:val="cs-CZ"/>
        </w:rPr>
        <w:t>502,48</w:t>
      </w:r>
      <w:r w:rsidR="00FF21F7">
        <w:rPr>
          <w:rFonts w:asciiTheme="minorHAnsi" w:hAnsiTheme="minorHAnsi" w:cstheme="minorHAnsi"/>
          <w:lang w:val="cs-CZ"/>
        </w:rPr>
        <w:t> </w:t>
      </w:r>
      <w:r w:rsidRPr="00825540">
        <w:rPr>
          <w:rFonts w:asciiTheme="minorHAnsi" w:hAnsiTheme="minorHAnsi" w:cstheme="minorHAnsi"/>
          <w:lang w:val="cs-CZ"/>
        </w:rPr>
        <w:t>Kč, což činilo v</w:t>
      </w:r>
      <w:r w:rsidR="00FF21F7">
        <w:rPr>
          <w:rFonts w:asciiTheme="minorHAnsi" w:hAnsiTheme="minorHAnsi" w:cstheme="minorHAnsi"/>
          <w:lang w:val="cs-CZ"/>
        </w:rPr>
        <w:t> </w:t>
      </w:r>
      <w:r w:rsidRPr="00825540">
        <w:rPr>
          <w:rFonts w:asciiTheme="minorHAnsi" w:hAnsiTheme="minorHAnsi" w:cstheme="minorHAnsi"/>
          <w:lang w:val="cs-CZ"/>
        </w:rPr>
        <w:t>součtu s běžným úklidem 87 132,02 Kč. Tato částka figurovala v</w:t>
      </w:r>
      <w:r w:rsidR="00FF21F7">
        <w:rPr>
          <w:rFonts w:asciiTheme="minorHAnsi" w:hAnsiTheme="minorHAnsi" w:cstheme="minorHAnsi"/>
          <w:lang w:val="cs-CZ"/>
        </w:rPr>
        <w:t> </w:t>
      </w:r>
      <w:r w:rsidRPr="00825540">
        <w:rPr>
          <w:rFonts w:asciiTheme="minorHAnsi" w:hAnsiTheme="minorHAnsi" w:cstheme="minorHAnsi"/>
          <w:lang w:val="cs-CZ"/>
        </w:rPr>
        <w:t>následujících fakturách jako paušální sazba za běžný denní úklid.</w:t>
      </w:r>
    </w:p>
    <w:p w14:paraId="0BE4B076" w14:textId="6DF093F0" w:rsidR="0012538A" w:rsidRPr="00825540" w:rsidRDefault="0012538A" w:rsidP="00825540">
      <w:pPr>
        <w:pStyle w:val="Odstavecseseznamem"/>
        <w:numPr>
          <w:ilvl w:val="1"/>
          <w:numId w:val="41"/>
        </w:numPr>
        <w:ind w:left="284" w:hanging="284"/>
        <w:jc w:val="both"/>
        <w:rPr>
          <w:rFonts w:asciiTheme="minorHAnsi" w:hAnsiTheme="minorHAnsi" w:cstheme="minorHAnsi"/>
          <w:b/>
          <w:bCs/>
          <w:lang w:val="cs-CZ"/>
        </w:rPr>
      </w:pPr>
      <w:r w:rsidRPr="00825540">
        <w:rPr>
          <w:rFonts w:asciiTheme="minorHAnsi" w:hAnsiTheme="minorHAnsi" w:cstheme="minorHAnsi"/>
          <w:b/>
          <w:lang w:val="cs-CZ"/>
        </w:rPr>
        <w:t>MPSV v kontrolovaném období nesprávně zaúčtovalo náklady na úklidové služby ve výši 176 593,64 na účet 501</w:t>
      </w:r>
      <w:r w:rsidR="00661BF5">
        <w:rPr>
          <w:rFonts w:asciiTheme="minorHAnsi" w:hAnsiTheme="minorHAnsi" w:cstheme="minorHAnsi"/>
          <w:b/>
          <w:lang w:val="cs-CZ"/>
        </w:rPr>
        <w:t> –</w:t>
      </w:r>
      <w:r w:rsidRPr="00825540">
        <w:rPr>
          <w:rFonts w:asciiTheme="minorHAnsi" w:hAnsiTheme="minorHAnsi" w:cstheme="minorHAnsi"/>
          <w:b/>
          <w:lang w:val="cs-CZ"/>
        </w:rPr>
        <w:t xml:space="preserve"> </w:t>
      </w:r>
      <w:r w:rsidRPr="00825540">
        <w:rPr>
          <w:rFonts w:asciiTheme="minorHAnsi" w:hAnsiTheme="minorHAnsi" w:cstheme="minorHAnsi"/>
          <w:b/>
          <w:i/>
          <w:lang w:val="cs-CZ"/>
        </w:rPr>
        <w:t>Spotřeba materiálu</w:t>
      </w:r>
      <w:r w:rsidRPr="00825540">
        <w:rPr>
          <w:rFonts w:asciiTheme="minorHAnsi" w:hAnsiTheme="minorHAnsi" w:cstheme="minorHAnsi"/>
          <w:b/>
          <w:lang w:val="cs-CZ"/>
        </w:rPr>
        <w:t xml:space="preserve"> a nedodr</w:t>
      </w:r>
      <w:r w:rsidR="000C3907" w:rsidRPr="00825540">
        <w:rPr>
          <w:rFonts w:asciiTheme="minorHAnsi" w:hAnsiTheme="minorHAnsi" w:cstheme="minorHAnsi"/>
          <w:b/>
          <w:lang w:val="cs-CZ"/>
        </w:rPr>
        <w:t>želo obsahové vymezení účtu 518</w:t>
      </w:r>
      <w:r w:rsidR="00665F00">
        <w:rPr>
          <w:rFonts w:asciiTheme="minorHAnsi" w:hAnsiTheme="minorHAnsi" w:cstheme="minorHAnsi"/>
          <w:b/>
          <w:lang w:val="cs-CZ"/>
        </w:rPr>
        <w:t> </w:t>
      </w:r>
      <w:r w:rsidR="00647BC9" w:rsidRPr="00825540">
        <w:rPr>
          <w:rFonts w:asciiTheme="minorHAnsi" w:hAnsiTheme="minorHAnsi" w:cstheme="minorHAnsi"/>
          <w:b/>
          <w:lang w:val="cs-CZ"/>
        </w:rPr>
        <w:t>–</w:t>
      </w:r>
      <w:r w:rsidR="00952FA1">
        <w:rPr>
          <w:rFonts w:asciiTheme="minorHAnsi" w:hAnsiTheme="minorHAnsi" w:cstheme="minorHAnsi"/>
          <w:b/>
          <w:lang w:val="cs-CZ"/>
        </w:rPr>
        <w:t xml:space="preserve"> </w:t>
      </w:r>
      <w:r w:rsidRPr="00825540">
        <w:rPr>
          <w:rFonts w:asciiTheme="minorHAnsi" w:hAnsiTheme="minorHAnsi" w:cstheme="minorHAnsi"/>
          <w:b/>
          <w:i/>
          <w:lang w:val="cs-CZ"/>
        </w:rPr>
        <w:t>Ostatní služby</w:t>
      </w:r>
      <w:r w:rsidRPr="00825540">
        <w:rPr>
          <w:rFonts w:asciiTheme="minorHAnsi" w:hAnsiTheme="minorHAnsi" w:cstheme="minorHAnsi"/>
          <w:b/>
          <w:lang w:val="cs-CZ"/>
        </w:rPr>
        <w:t xml:space="preserve">. Tím </w:t>
      </w:r>
      <w:r w:rsidRPr="00825540">
        <w:rPr>
          <w:rFonts w:asciiTheme="minorHAnsi" w:hAnsiTheme="minorHAnsi" w:cstheme="minorHAnsi"/>
          <w:b/>
          <w:bCs/>
          <w:lang w:val="cs-CZ"/>
        </w:rPr>
        <w:t>nepostupovalo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souladu s</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us</w:t>
      </w:r>
      <w:r w:rsidR="000C3907" w:rsidRPr="00825540">
        <w:rPr>
          <w:rFonts w:asciiTheme="minorHAnsi" w:hAnsiTheme="minorHAnsi" w:cstheme="minorHAnsi"/>
          <w:b/>
          <w:bCs/>
          <w:lang w:val="cs-CZ"/>
        </w:rPr>
        <w:t>tanovením § 4 odst. 8 zákona č.</w:t>
      </w:r>
      <w:r w:rsidR="00E9785A" w:rsidRPr="00825540">
        <w:rPr>
          <w:rFonts w:asciiTheme="minorHAnsi" w:hAnsiTheme="minorHAnsi" w:cstheme="minorHAnsi"/>
          <w:b/>
          <w:bCs/>
          <w:lang w:val="cs-CZ"/>
        </w:rPr>
        <w:t> </w:t>
      </w:r>
      <w:r w:rsidRPr="00825540">
        <w:rPr>
          <w:rFonts w:asciiTheme="minorHAnsi" w:hAnsiTheme="minorHAnsi" w:cstheme="minorHAnsi"/>
          <w:b/>
          <w:bCs/>
          <w:lang w:val="cs-CZ"/>
        </w:rPr>
        <w:t>563/1991</w:t>
      </w:r>
      <w:r w:rsidR="00E9785A" w:rsidRPr="00825540">
        <w:rPr>
          <w:rFonts w:asciiTheme="minorHAnsi" w:hAnsiTheme="minorHAnsi" w:cstheme="minorHAnsi"/>
          <w:b/>
          <w:bCs/>
          <w:lang w:val="cs-CZ"/>
        </w:rPr>
        <w:t> </w:t>
      </w:r>
      <w:r w:rsidRPr="00825540">
        <w:rPr>
          <w:rFonts w:asciiTheme="minorHAnsi" w:hAnsiTheme="minorHAnsi" w:cstheme="minorHAnsi"/>
          <w:b/>
          <w:bCs/>
          <w:lang w:val="cs-CZ"/>
        </w:rPr>
        <w:t>Sb. Jeho účetnictví nebylo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roce 2013 a 2014 správné.</w:t>
      </w:r>
    </w:p>
    <w:p w14:paraId="5F5248C0" w14:textId="77777777" w:rsidR="00BD69A5" w:rsidRPr="00825540" w:rsidRDefault="00092C45" w:rsidP="00825540">
      <w:pPr>
        <w:pStyle w:val="Odstavecseseznamem"/>
        <w:numPr>
          <w:ilvl w:val="1"/>
          <w:numId w:val="41"/>
        </w:numPr>
        <w:ind w:left="284" w:hanging="284"/>
        <w:jc w:val="both"/>
        <w:rPr>
          <w:rFonts w:asciiTheme="minorHAnsi" w:hAnsiTheme="minorHAnsi" w:cstheme="minorHAnsi"/>
          <w:b/>
          <w:bCs/>
          <w:lang w:val="cs-CZ"/>
        </w:rPr>
      </w:pPr>
      <w:r w:rsidRPr="00825540">
        <w:rPr>
          <w:rFonts w:asciiTheme="minorHAnsi" w:hAnsiTheme="minorHAnsi" w:cstheme="minorHAnsi"/>
          <w:b/>
          <w:color w:val="000000"/>
          <w:lang w:val="cs-CZ"/>
        </w:rPr>
        <w:t>MO o nákladech za úklidové služby vybraných objektů</w:t>
      </w:r>
      <w:r w:rsidR="00E44822" w:rsidRPr="00825540">
        <w:rPr>
          <w:rFonts w:asciiTheme="minorHAnsi" w:hAnsiTheme="minorHAnsi" w:cstheme="minorHAnsi"/>
          <w:b/>
          <w:color w:val="000000"/>
          <w:lang w:val="cs-CZ"/>
        </w:rPr>
        <w:t xml:space="preserve"> ve výši </w:t>
      </w:r>
      <w:r w:rsidR="00E44822" w:rsidRPr="00825540">
        <w:rPr>
          <w:rFonts w:asciiTheme="minorHAnsi" w:hAnsiTheme="minorHAnsi" w:cstheme="minorHAnsi"/>
          <w:b/>
          <w:lang w:val="cs-CZ"/>
        </w:rPr>
        <w:t>266</w:t>
      </w:r>
      <w:r w:rsidR="00E9785A" w:rsidRPr="00825540">
        <w:rPr>
          <w:rFonts w:asciiTheme="minorHAnsi" w:hAnsiTheme="minorHAnsi" w:cstheme="minorHAnsi"/>
          <w:b/>
          <w:lang w:val="cs-CZ"/>
        </w:rPr>
        <w:t xml:space="preserve"> </w:t>
      </w:r>
      <w:r w:rsidR="00E44822" w:rsidRPr="00825540">
        <w:rPr>
          <w:rFonts w:asciiTheme="minorHAnsi" w:hAnsiTheme="minorHAnsi" w:cstheme="minorHAnsi"/>
          <w:b/>
          <w:lang w:val="cs-CZ"/>
        </w:rPr>
        <w:t xml:space="preserve">221,95 Kč </w:t>
      </w:r>
      <w:r w:rsidRPr="00825540">
        <w:rPr>
          <w:rFonts w:asciiTheme="minorHAnsi" w:hAnsiTheme="minorHAnsi" w:cstheme="minorHAnsi"/>
          <w:b/>
          <w:color w:val="000000"/>
          <w:lang w:val="cs-CZ"/>
        </w:rPr>
        <w:t xml:space="preserve">za období prosince 2013 </w:t>
      </w:r>
      <w:r w:rsidRPr="00825540">
        <w:rPr>
          <w:rFonts w:asciiTheme="minorHAnsi" w:hAnsiTheme="minorHAnsi" w:cstheme="minorHAnsi"/>
          <w:b/>
          <w:lang w:val="cs-CZ"/>
        </w:rPr>
        <w:t xml:space="preserve">účtovalo nesprávně, neboť </w:t>
      </w:r>
      <w:r w:rsidR="00E44822" w:rsidRPr="00825540">
        <w:rPr>
          <w:rFonts w:asciiTheme="minorHAnsi" w:hAnsiTheme="minorHAnsi" w:cstheme="minorHAnsi"/>
          <w:b/>
          <w:lang w:val="cs-CZ"/>
        </w:rPr>
        <w:t xml:space="preserve">náklady nezaúčtovalo do období, se kterým časově </w:t>
      </w:r>
      <w:r w:rsidR="00CD77AD" w:rsidRPr="00825540">
        <w:rPr>
          <w:rFonts w:asciiTheme="minorHAnsi" w:hAnsiTheme="minorHAnsi" w:cstheme="minorHAnsi"/>
          <w:b/>
          <w:lang w:val="cs-CZ"/>
        </w:rPr>
        <w:t xml:space="preserve">a věcně </w:t>
      </w:r>
      <w:r w:rsidR="00E44822" w:rsidRPr="00825540">
        <w:rPr>
          <w:rFonts w:asciiTheme="minorHAnsi" w:hAnsiTheme="minorHAnsi" w:cstheme="minorHAnsi"/>
          <w:b/>
          <w:lang w:val="cs-CZ"/>
        </w:rPr>
        <w:t xml:space="preserve">souvisely. </w:t>
      </w:r>
      <w:r w:rsidR="00BD69A5" w:rsidRPr="00825540">
        <w:rPr>
          <w:rFonts w:asciiTheme="minorHAnsi" w:hAnsiTheme="minorHAnsi" w:cstheme="minorHAnsi"/>
          <w:b/>
          <w:bCs/>
          <w:lang w:val="cs-CZ"/>
        </w:rPr>
        <w:t>MO tak nepostupovalo v</w:t>
      </w:r>
      <w:r w:rsidR="00E9785A" w:rsidRPr="00825540">
        <w:rPr>
          <w:rFonts w:asciiTheme="minorHAnsi" w:hAnsiTheme="minorHAnsi" w:cstheme="minorHAnsi"/>
          <w:b/>
          <w:bCs/>
          <w:lang w:val="cs-CZ"/>
        </w:rPr>
        <w:t xml:space="preserve"> </w:t>
      </w:r>
      <w:r w:rsidR="00BD69A5" w:rsidRPr="00825540">
        <w:rPr>
          <w:rFonts w:asciiTheme="minorHAnsi" w:hAnsiTheme="minorHAnsi" w:cstheme="minorHAnsi"/>
          <w:b/>
          <w:bCs/>
          <w:lang w:val="cs-CZ"/>
        </w:rPr>
        <w:t>souladu s</w:t>
      </w:r>
      <w:r w:rsidR="00E9785A" w:rsidRPr="00825540">
        <w:rPr>
          <w:rFonts w:asciiTheme="minorHAnsi" w:hAnsiTheme="minorHAnsi" w:cstheme="minorHAnsi"/>
          <w:b/>
          <w:bCs/>
          <w:lang w:val="cs-CZ"/>
        </w:rPr>
        <w:t xml:space="preserve"> </w:t>
      </w:r>
      <w:r w:rsidR="00BD69A5" w:rsidRPr="00825540">
        <w:rPr>
          <w:rFonts w:asciiTheme="minorHAnsi" w:hAnsiTheme="minorHAnsi" w:cstheme="minorHAnsi"/>
          <w:b/>
          <w:bCs/>
          <w:lang w:val="cs-CZ"/>
        </w:rPr>
        <w:t>us</w:t>
      </w:r>
      <w:r w:rsidR="00E44822" w:rsidRPr="00825540">
        <w:rPr>
          <w:rFonts w:asciiTheme="minorHAnsi" w:hAnsiTheme="minorHAnsi" w:cstheme="minorHAnsi"/>
          <w:b/>
          <w:bCs/>
          <w:lang w:val="cs-CZ"/>
        </w:rPr>
        <w:t>tanovením § 4 odst. 8 zákona č.</w:t>
      </w:r>
      <w:r w:rsidR="00E9785A" w:rsidRPr="00825540">
        <w:rPr>
          <w:rFonts w:asciiTheme="minorHAnsi" w:hAnsiTheme="minorHAnsi" w:cstheme="minorHAnsi"/>
          <w:b/>
          <w:bCs/>
          <w:lang w:val="cs-CZ"/>
        </w:rPr>
        <w:t xml:space="preserve"> </w:t>
      </w:r>
      <w:r w:rsidR="00BD69A5" w:rsidRPr="00825540">
        <w:rPr>
          <w:rFonts w:asciiTheme="minorHAnsi" w:hAnsiTheme="minorHAnsi" w:cstheme="minorHAnsi"/>
          <w:b/>
          <w:bCs/>
          <w:lang w:val="cs-CZ"/>
        </w:rPr>
        <w:t>563/1991 Sb. a jeho účetnictví nebylo v</w:t>
      </w:r>
      <w:r w:rsidR="00E9785A" w:rsidRPr="00825540">
        <w:rPr>
          <w:rFonts w:asciiTheme="minorHAnsi" w:hAnsiTheme="minorHAnsi" w:cstheme="minorHAnsi"/>
          <w:b/>
          <w:bCs/>
          <w:lang w:val="cs-CZ"/>
        </w:rPr>
        <w:t xml:space="preserve"> </w:t>
      </w:r>
      <w:r w:rsidR="00BD69A5" w:rsidRPr="00825540">
        <w:rPr>
          <w:rFonts w:asciiTheme="minorHAnsi" w:hAnsiTheme="minorHAnsi" w:cstheme="minorHAnsi"/>
          <w:b/>
          <w:bCs/>
          <w:lang w:val="cs-CZ"/>
        </w:rPr>
        <w:t>roce 2013 a 2014 správné a úplné.</w:t>
      </w:r>
    </w:p>
    <w:p w14:paraId="72BDDC31" w14:textId="77777777" w:rsidR="00883356" w:rsidRPr="00825540" w:rsidRDefault="00883356" w:rsidP="00825540">
      <w:pPr>
        <w:jc w:val="both"/>
        <w:rPr>
          <w:rFonts w:asciiTheme="minorHAnsi" w:hAnsiTheme="minorHAnsi" w:cstheme="minorHAnsi"/>
          <w:color w:val="000000"/>
          <w:lang w:val="cs-CZ"/>
        </w:rPr>
      </w:pPr>
    </w:p>
    <w:p w14:paraId="78B539F6" w14:textId="77777777" w:rsidR="00692C72" w:rsidRPr="00825540" w:rsidRDefault="00692C72" w:rsidP="00825540">
      <w:pPr>
        <w:pStyle w:val="Odstavecseseznamem"/>
        <w:ind w:left="284" w:hanging="284"/>
        <w:contextualSpacing w:val="0"/>
        <w:rPr>
          <w:rFonts w:asciiTheme="minorHAnsi" w:hAnsiTheme="minorHAnsi" w:cstheme="minorHAnsi"/>
          <w:b/>
        </w:rPr>
      </w:pPr>
      <w:r w:rsidRPr="00825540">
        <w:rPr>
          <w:rFonts w:asciiTheme="minorHAnsi" w:hAnsiTheme="minorHAnsi" w:cstheme="minorHAnsi"/>
          <w:b/>
          <w:color w:val="000000"/>
          <w:lang w:val="cs-CZ"/>
        </w:rPr>
        <w:t xml:space="preserve">5. </w:t>
      </w:r>
      <w:r w:rsidRPr="00825540">
        <w:rPr>
          <w:rFonts w:asciiTheme="minorHAnsi" w:hAnsiTheme="minorHAnsi" w:cstheme="minorHAnsi"/>
          <w:b/>
          <w:lang w:val="cs-CZ"/>
        </w:rPr>
        <w:t>Peněžní prostředky vynaložené na úhradu ostrahy vybraných objektů</w:t>
      </w:r>
      <w:r w:rsidRPr="00825540">
        <w:rPr>
          <w:rFonts w:asciiTheme="minorHAnsi" w:hAnsiTheme="minorHAnsi" w:cstheme="minorHAnsi"/>
          <w:b/>
        </w:rPr>
        <w:t xml:space="preserve"> </w:t>
      </w:r>
    </w:p>
    <w:p w14:paraId="5B7D7D70" w14:textId="77777777" w:rsidR="00825540" w:rsidRDefault="00825540" w:rsidP="00825540">
      <w:pPr>
        <w:pStyle w:val="Odstavecseseznamem"/>
        <w:ind w:left="0"/>
        <w:contextualSpacing w:val="0"/>
        <w:jc w:val="both"/>
        <w:rPr>
          <w:rFonts w:asciiTheme="minorHAnsi" w:hAnsiTheme="minorHAnsi" w:cstheme="minorHAnsi"/>
          <w:lang w:val="cs-CZ"/>
        </w:rPr>
      </w:pPr>
    </w:p>
    <w:p w14:paraId="78422141" w14:textId="5D42C3FD" w:rsidR="002D37BA" w:rsidRDefault="002D37BA" w:rsidP="00825540">
      <w:pPr>
        <w:pStyle w:val="Odstavecseseznamem"/>
        <w:ind w:left="0"/>
        <w:contextualSpacing w:val="0"/>
        <w:jc w:val="both"/>
        <w:rPr>
          <w:rFonts w:asciiTheme="minorHAnsi" w:hAnsiTheme="minorHAnsi" w:cstheme="minorHAnsi"/>
          <w:lang w:val="cs-CZ"/>
        </w:rPr>
      </w:pPr>
      <w:r w:rsidRPr="00825540">
        <w:rPr>
          <w:rFonts w:asciiTheme="minorHAnsi" w:hAnsiTheme="minorHAnsi" w:cstheme="minorHAnsi"/>
          <w:lang w:val="cs-CZ"/>
        </w:rPr>
        <w:t>V rámci kontrolní akce NKÚ byly zjišťovány ceny ostrahy a jednotkové ceny hodiny práce pracovníka ostrahy v</w:t>
      </w:r>
      <w:r w:rsidR="00E9785A" w:rsidRPr="00825540">
        <w:rPr>
          <w:rFonts w:asciiTheme="minorHAnsi" w:hAnsiTheme="minorHAnsi" w:cstheme="minorHAnsi"/>
          <w:lang w:val="cs-CZ"/>
        </w:rPr>
        <w:t xml:space="preserve"> </w:t>
      </w:r>
      <w:r w:rsidR="00A83F81" w:rsidRPr="00825540">
        <w:rPr>
          <w:rFonts w:asciiTheme="minorHAnsi" w:hAnsiTheme="minorHAnsi" w:cstheme="minorHAnsi"/>
          <w:lang w:val="cs-CZ"/>
        </w:rPr>
        <w:t xml:space="preserve">objektu MO </w:t>
      </w:r>
      <w:r w:rsidR="00665F00">
        <w:rPr>
          <w:rFonts w:asciiTheme="minorHAnsi" w:hAnsiTheme="minorHAnsi" w:cstheme="minorHAnsi"/>
          <w:lang w:val="cs-CZ"/>
        </w:rPr>
        <w:t xml:space="preserve">na adrese </w:t>
      </w:r>
      <w:r w:rsidR="00A83F81" w:rsidRPr="00825540">
        <w:rPr>
          <w:rFonts w:asciiTheme="minorHAnsi" w:hAnsiTheme="minorHAnsi" w:cstheme="minorHAnsi"/>
          <w:lang w:val="cs-CZ"/>
        </w:rPr>
        <w:t xml:space="preserve">Náměstí Svobody 471, Praha 6, </w:t>
      </w:r>
      <w:r w:rsidR="00665F00">
        <w:rPr>
          <w:rFonts w:asciiTheme="minorHAnsi" w:hAnsiTheme="minorHAnsi" w:cstheme="minorHAnsi"/>
          <w:lang w:val="cs-CZ"/>
        </w:rPr>
        <w:t xml:space="preserve">dále </w:t>
      </w:r>
      <w:r w:rsidR="00A83F81" w:rsidRPr="00825540">
        <w:rPr>
          <w:rFonts w:asciiTheme="minorHAnsi" w:hAnsiTheme="minorHAnsi" w:cstheme="minorHAnsi"/>
          <w:lang w:val="cs-CZ"/>
        </w:rPr>
        <w:t>v</w:t>
      </w:r>
      <w:r w:rsidR="00E9785A" w:rsidRPr="00825540">
        <w:rPr>
          <w:rFonts w:asciiTheme="minorHAnsi" w:hAnsiTheme="minorHAnsi" w:cstheme="minorHAnsi"/>
          <w:lang w:val="cs-CZ"/>
        </w:rPr>
        <w:t xml:space="preserve"> </w:t>
      </w:r>
      <w:r w:rsidR="00A83F81" w:rsidRPr="00825540">
        <w:rPr>
          <w:rFonts w:asciiTheme="minorHAnsi" w:hAnsiTheme="minorHAnsi" w:cstheme="minorHAnsi"/>
          <w:lang w:val="cs-CZ"/>
        </w:rPr>
        <w:t xml:space="preserve">objektu MPSV </w:t>
      </w:r>
      <w:r w:rsidR="00665F00">
        <w:rPr>
          <w:rFonts w:asciiTheme="minorHAnsi" w:hAnsiTheme="minorHAnsi" w:cstheme="minorHAnsi"/>
          <w:lang w:val="cs-CZ"/>
        </w:rPr>
        <w:t xml:space="preserve">na adrese </w:t>
      </w:r>
      <w:r w:rsidR="00A83F81" w:rsidRPr="00825540">
        <w:rPr>
          <w:rFonts w:asciiTheme="minorHAnsi" w:hAnsiTheme="minorHAnsi" w:cstheme="minorHAnsi"/>
          <w:lang w:val="cs-CZ"/>
        </w:rPr>
        <w:t xml:space="preserve">Veleslavínská 1, Praha 6, </w:t>
      </w:r>
      <w:r w:rsidR="00665F00">
        <w:rPr>
          <w:rFonts w:asciiTheme="minorHAnsi" w:hAnsiTheme="minorHAnsi" w:cstheme="minorHAnsi"/>
          <w:lang w:val="cs-CZ"/>
        </w:rPr>
        <w:t>a </w:t>
      </w:r>
      <w:r w:rsidR="00A83F81" w:rsidRPr="00825540">
        <w:rPr>
          <w:rFonts w:asciiTheme="minorHAnsi" w:hAnsiTheme="minorHAnsi" w:cstheme="minorHAnsi"/>
          <w:lang w:val="cs-CZ"/>
        </w:rPr>
        <w:t xml:space="preserve">v </w:t>
      </w:r>
      <w:r w:rsidR="00FF5681" w:rsidRPr="00825540">
        <w:rPr>
          <w:rFonts w:asciiTheme="minorHAnsi" w:hAnsiTheme="minorHAnsi" w:cstheme="minorHAnsi"/>
          <w:lang w:val="cs-CZ"/>
        </w:rPr>
        <w:t>sídle</w:t>
      </w:r>
      <w:r w:rsidRPr="00825540">
        <w:rPr>
          <w:rFonts w:asciiTheme="minorHAnsi" w:hAnsiTheme="minorHAnsi" w:cstheme="minorHAnsi"/>
          <w:lang w:val="cs-CZ"/>
        </w:rPr>
        <w:t xml:space="preserve"> </w:t>
      </w:r>
      <w:proofErr w:type="spellStart"/>
      <w:r w:rsidRPr="00825540">
        <w:rPr>
          <w:rFonts w:asciiTheme="minorHAnsi" w:hAnsiTheme="minorHAnsi" w:cstheme="minorHAnsi"/>
          <w:lang w:val="cs-CZ"/>
        </w:rPr>
        <w:t>MZe</w:t>
      </w:r>
      <w:proofErr w:type="spellEnd"/>
      <w:r w:rsidRPr="00825540">
        <w:rPr>
          <w:rFonts w:asciiTheme="minorHAnsi" w:hAnsiTheme="minorHAnsi" w:cstheme="minorHAnsi"/>
          <w:lang w:val="cs-CZ"/>
        </w:rPr>
        <w:t xml:space="preserve"> </w:t>
      </w:r>
      <w:r w:rsidR="00665F00">
        <w:rPr>
          <w:rFonts w:asciiTheme="minorHAnsi" w:hAnsiTheme="minorHAnsi" w:cstheme="minorHAnsi"/>
          <w:lang w:val="cs-CZ"/>
        </w:rPr>
        <w:t xml:space="preserve">na adrese </w:t>
      </w:r>
      <w:proofErr w:type="spellStart"/>
      <w:r w:rsidRPr="00825540">
        <w:rPr>
          <w:rFonts w:asciiTheme="minorHAnsi" w:hAnsiTheme="minorHAnsi" w:cstheme="minorHAnsi"/>
          <w:lang w:val="cs-CZ"/>
        </w:rPr>
        <w:t>Těšnov</w:t>
      </w:r>
      <w:proofErr w:type="spellEnd"/>
      <w:r w:rsidRPr="00825540">
        <w:rPr>
          <w:rFonts w:asciiTheme="minorHAnsi" w:hAnsiTheme="minorHAnsi" w:cstheme="minorHAnsi"/>
          <w:lang w:val="cs-CZ"/>
        </w:rPr>
        <w:t xml:space="preserve"> 17,</w:t>
      </w:r>
      <w:r w:rsidR="00FF5681" w:rsidRPr="00825540">
        <w:rPr>
          <w:rFonts w:asciiTheme="minorHAnsi" w:hAnsiTheme="minorHAnsi" w:cstheme="minorHAnsi"/>
          <w:lang w:val="cs-CZ"/>
        </w:rPr>
        <w:t xml:space="preserve"> Praha 1,</w:t>
      </w:r>
      <w:r w:rsidRPr="00825540">
        <w:rPr>
          <w:rFonts w:asciiTheme="minorHAnsi" w:hAnsiTheme="minorHAnsi" w:cstheme="minorHAnsi"/>
          <w:lang w:val="cs-CZ"/>
        </w:rPr>
        <w:t xml:space="preserve"> které se v</w:t>
      </w:r>
      <w:r w:rsidR="00E9785A" w:rsidRPr="00825540">
        <w:rPr>
          <w:rFonts w:asciiTheme="minorHAnsi" w:hAnsiTheme="minorHAnsi" w:cstheme="minorHAnsi"/>
          <w:lang w:val="cs-CZ"/>
        </w:rPr>
        <w:t xml:space="preserve"> </w:t>
      </w:r>
      <w:r w:rsidRPr="00825540">
        <w:rPr>
          <w:rFonts w:asciiTheme="minorHAnsi" w:hAnsiTheme="minorHAnsi" w:cstheme="minorHAnsi"/>
          <w:lang w:val="cs-CZ"/>
        </w:rPr>
        <w:t xml:space="preserve">kontrolovaném období pohybovaly </w:t>
      </w:r>
      <w:r w:rsidRPr="00825540">
        <w:rPr>
          <w:rFonts w:asciiTheme="minorHAnsi" w:hAnsiTheme="minorHAnsi" w:cstheme="minorHAnsi"/>
          <w:b/>
          <w:lang w:val="cs-CZ"/>
        </w:rPr>
        <w:t xml:space="preserve">od </w:t>
      </w:r>
      <w:r w:rsidR="007D10A8" w:rsidRPr="00825540">
        <w:rPr>
          <w:rFonts w:asciiTheme="minorHAnsi" w:hAnsiTheme="minorHAnsi" w:cstheme="minorHAnsi"/>
          <w:b/>
          <w:lang w:val="cs-CZ"/>
        </w:rPr>
        <w:t>105</w:t>
      </w:r>
      <w:r w:rsidRPr="00825540">
        <w:rPr>
          <w:rFonts w:asciiTheme="minorHAnsi" w:hAnsiTheme="minorHAnsi" w:cstheme="minorHAnsi"/>
          <w:b/>
          <w:lang w:val="cs-CZ"/>
        </w:rPr>
        <w:t xml:space="preserve"> Kč do </w:t>
      </w:r>
      <w:r w:rsidR="007D10A8" w:rsidRPr="00825540">
        <w:rPr>
          <w:rFonts w:asciiTheme="minorHAnsi" w:hAnsiTheme="minorHAnsi" w:cstheme="minorHAnsi"/>
          <w:b/>
          <w:lang w:val="cs-CZ"/>
        </w:rPr>
        <w:t>170</w:t>
      </w:r>
      <w:r w:rsidRPr="00825540">
        <w:rPr>
          <w:rFonts w:asciiTheme="minorHAnsi" w:hAnsiTheme="minorHAnsi" w:cstheme="minorHAnsi"/>
          <w:b/>
          <w:lang w:val="cs-CZ"/>
        </w:rPr>
        <w:t xml:space="preserve"> Kč</w:t>
      </w:r>
      <w:r w:rsidRPr="009464B0">
        <w:rPr>
          <w:rFonts w:asciiTheme="minorHAnsi" w:hAnsiTheme="minorHAnsi" w:cstheme="minorHAnsi"/>
          <w:b/>
          <w:lang w:val="cs-CZ"/>
        </w:rPr>
        <w:t>.</w:t>
      </w:r>
    </w:p>
    <w:p w14:paraId="1C02A636" w14:textId="77777777" w:rsidR="00825540" w:rsidRPr="00825540" w:rsidRDefault="00825540" w:rsidP="00825540">
      <w:pPr>
        <w:pStyle w:val="Odstavecseseznamem"/>
        <w:ind w:left="0"/>
        <w:contextualSpacing w:val="0"/>
        <w:jc w:val="both"/>
        <w:rPr>
          <w:rFonts w:asciiTheme="minorHAnsi" w:hAnsiTheme="minorHAnsi" w:cstheme="minorHAnsi"/>
          <w:lang w:val="cs-CZ"/>
        </w:rPr>
      </w:pPr>
    </w:p>
    <w:p w14:paraId="2CAF392A" w14:textId="1A09C745" w:rsidR="002D37BA" w:rsidRPr="00A17659" w:rsidRDefault="002D37BA" w:rsidP="00825540">
      <w:pPr>
        <w:pStyle w:val="Odstavecseseznamem"/>
        <w:tabs>
          <w:tab w:val="right" w:pos="9070"/>
        </w:tabs>
        <w:spacing w:after="40"/>
        <w:ind w:left="0"/>
        <w:contextualSpacing w:val="0"/>
        <w:rPr>
          <w:rFonts w:asciiTheme="minorHAnsi" w:hAnsiTheme="minorHAnsi" w:cstheme="minorHAnsi"/>
          <w:b/>
          <w:szCs w:val="22"/>
          <w:lang w:val="cs-CZ"/>
        </w:rPr>
      </w:pPr>
      <w:r w:rsidRPr="00825540">
        <w:rPr>
          <w:rFonts w:asciiTheme="minorHAnsi" w:hAnsiTheme="minorHAnsi" w:cstheme="minorHAnsi"/>
          <w:b/>
          <w:lang w:val="cs-CZ"/>
        </w:rPr>
        <w:t xml:space="preserve">Tabulka č. </w:t>
      </w:r>
      <w:r w:rsidR="00710447" w:rsidRPr="00825540">
        <w:rPr>
          <w:rFonts w:asciiTheme="minorHAnsi" w:hAnsiTheme="minorHAnsi" w:cstheme="minorHAnsi"/>
          <w:b/>
          <w:lang w:val="cs-CZ"/>
        </w:rPr>
        <w:t>6</w:t>
      </w:r>
      <w:r w:rsidR="00E9785A" w:rsidRPr="009464B0">
        <w:rPr>
          <w:rFonts w:asciiTheme="minorHAnsi" w:hAnsiTheme="minorHAnsi" w:cstheme="minorHAnsi"/>
          <w:b/>
          <w:lang w:val="cs-CZ"/>
        </w:rPr>
        <w:t xml:space="preserve"> </w:t>
      </w:r>
      <w:r w:rsidR="00EC5DD5" w:rsidRPr="009464B0">
        <w:rPr>
          <w:rFonts w:asciiTheme="minorHAnsi" w:hAnsiTheme="minorHAnsi" w:cstheme="minorHAnsi"/>
          <w:b/>
          <w:lang w:val="cs-CZ"/>
        </w:rPr>
        <w:t>–</w:t>
      </w:r>
      <w:r w:rsidR="00EC5DD5" w:rsidRPr="00825540">
        <w:rPr>
          <w:rFonts w:asciiTheme="minorHAnsi" w:hAnsiTheme="minorHAnsi" w:cstheme="minorHAnsi"/>
          <w:lang w:val="cs-CZ"/>
        </w:rPr>
        <w:t xml:space="preserve"> </w:t>
      </w:r>
      <w:r w:rsidR="00E9785A" w:rsidRPr="00825540">
        <w:rPr>
          <w:rFonts w:asciiTheme="minorHAnsi" w:hAnsiTheme="minorHAnsi" w:cstheme="minorHAnsi"/>
          <w:b/>
          <w:lang w:val="cs-CZ"/>
        </w:rPr>
        <w:t>Cena ostrahy ve vybraných</w:t>
      </w:r>
      <w:r w:rsidR="00E9785A" w:rsidRPr="00E9785A">
        <w:rPr>
          <w:rFonts w:asciiTheme="minorHAnsi" w:hAnsiTheme="minorHAnsi" w:cstheme="minorHAnsi"/>
          <w:b/>
          <w:lang w:val="cs-CZ"/>
        </w:rPr>
        <w:t xml:space="preserve"> objektech </w:t>
      </w:r>
      <w:r w:rsidR="003A22F1">
        <w:rPr>
          <w:rFonts w:asciiTheme="minorHAnsi" w:hAnsiTheme="minorHAnsi" w:cstheme="minorHAnsi"/>
          <w:b/>
          <w:lang w:val="cs-CZ"/>
        </w:rPr>
        <w:tab/>
      </w:r>
      <w:r w:rsidR="00E9785A" w:rsidRPr="00E9785A">
        <w:rPr>
          <w:rFonts w:asciiTheme="minorHAnsi" w:hAnsiTheme="minorHAnsi" w:cstheme="minorHAnsi"/>
          <w:b/>
          <w:lang w:val="cs-CZ"/>
        </w:rPr>
        <w:t>(v Kč</w:t>
      </w:r>
      <w:r w:rsidR="00E9785A" w:rsidRPr="00E9785A">
        <w:rPr>
          <w:rFonts w:asciiTheme="minorHAnsi" w:hAnsiTheme="minorHAnsi" w:cstheme="minorHAnsi"/>
          <w:b/>
          <w:lang w:val="cs-CZ" w:eastAsia="cs-CZ"/>
        </w:rPr>
        <w:t xml:space="preserve"> včetně DPH</w:t>
      </w:r>
      <w:r w:rsidR="00E9785A" w:rsidRPr="00E9785A">
        <w:rPr>
          <w:rFonts w:asciiTheme="minorHAnsi" w:hAnsiTheme="minorHAnsi" w:cstheme="minorHAnsi"/>
          <w:b/>
          <w:lang w:val="cs-CZ"/>
        </w:rPr>
        <w:t>/rok)</w:t>
      </w:r>
    </w:p>
    <w:tbl>
      <w:tblPr>
        <w:tblW w:w="9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8"/>
        <w:gridCol w:w="2307"/>
        <w:gridCol w:w="2307"/>
        <w:gridCol w:w="2308"/>
      </w:tblGrid>
      <w:tr w:rsidR="002D37BA" w:rsidRPr="00A17659" w14:paraId="032BAC2F" w14:textId="77777777" w:rsidTr="00655692">
        <w:trPr>
          <w:trHeight w:val="227"/>
          <w:jc w:val="center"/>
        </w:trPr>
        <w:tc>
          <w:tcPr>
            <w:tcW w:w="2208" w:type="dxa"/>
            <w:shd w:val="clear" w:color="auto" w:fill="auto"/>
            <w:vAlign w:val="center"/>
          </w:tcPr>
          <w:p w14:paraId="5930C80A" w14:textId="77777777" w:rsidR="002D37BA" w:rsidRPr="00E9785A" w:rsidRDefault="002D37BA" w:rsidP="00655692">
            <w:pPr>
              <w:pStyle w:val="Odstavecseseznamem"/>
              <w:ind w:left="0"/>
              <w:contextualSpacing w:val="0"/>
              <w:jc w:val="center"/>
              <w:rPr>
                <w:rFonts w:asciiTheme="minorHAnsi" w:hAnsiTheme="minorHAnsi" w:cstheme="minorHAnsi"/>
                <w:b/>
                <w:lang w:val="cs-CZ"/>
              </w:rPr>
            </w:pPr>
          </w:p>
        </w:tc>
        <w:tc>
          <w:tcPr>
            <w:tcW w:w="2307" w:type="dxa"/>
            <w:shd w:val="clear" w:color="auto" w:fill="auto"/>
            <w:vAlign w:val="center"/>
          </w:tcPr>
          <w:p w14:paraId="3F7701EC" w14:textId="77777777" w:rsidR="002D37BA" w:rsidRPr="00E9785A" w:rsidRDefault="002D37BA" w:rsidP="009A119E">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p>
        </w:tc>
        <w:tc>
          <w:tcPr>
            <w:tcW w:w="2307" w:type="dxa"/>
            <w:shd w:val="clear" w:color="auto" w:fill="auto"/>
            <w:vAlign w:val="center"/>
          </w:tcPr>
          <w:p w14:paraId="53918FDA" w14:textId="77777777" w:rsidR="002D37BA" w:rsidRPr="00E9785A" w:rsidRDefault="002D37BA" w:rsidP="009A119E">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p>
        </w:tc>
        <w:tc>
          <w:tcPr>
            <w:tcW w:w="2308" w:type="dxa"/>
            <w:shd w:val="clear" w:color="auto" w:fill="auto"/>
            <w:vAlign w:val="center"/>
          </w:tcPr>
          <w:p w14:paraId="1248853A" w14:textId="77777777" w:rsidR="002D37BA" w:rsidRPr="00E9785A" w:rsidRDefault="002D37BA" w:rsidP="009A119E">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2D37BA" w:rsidRPr="00A17659" w14:paraId="3BD5E87C" w14:textId="77777777" w:rsidTr="00655692">
        <w:trPr>
          <w:trHeight w:val="227"/>
          <w:jc w:val="center"/>
        </w:trPr>
        <w:tc>
          <w:tcPr>
            <w:tcW w:w="2208" w:type="dxa"/>
            <w:shd w:val="clear" w:color="auto" w:fill="auto"/>
            <w:vAlign w:val="center"/>
          </w:tcPr>
          <w:p w14:paraId="3D793DB3" w14:textId="77777777" w:rsidR="002D37BA" w:rsidRPr="00E9785A" w:rsidRDefault="002D37BA" w:rsidP="00655692">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307" w:type="dxa"/>
            <w:shd w:val="clear" w:color="auto" w:fill="auto"/>
            <w:vAlign w:val="center"/>
          </w:tcPr>
          <w:p w14:paraId="6F40BF76" w14:textId="77777777" w:rsidR="002D37BA" w:rsidRPr="00E9785A" w:rsidRDefault="00FF5681" w:rsidP="009A119E">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6</w:t>
            </w:r>
            <w:r w:rsidR="00E9785A">
              <w:rPr>
                <w:rFonts w:asciiTheme="minorHAnsi" w:hAnsiTheme="minorHAnsi" w:cstheme="minorHAnsi"/>
                <w:lang w:val="cs-CZ"/>
              </w:rPr>
              <w:t xml:space="preserve"> </w:t>
            </w:r>
            <w:r w:rsidRPr="00E9785A">
              <w:rPr>
                <w:rFonts w:asciiTheme="minorHAnsi" w:hAnsiTheme="minorHAnsi" w:cstheme="minorHAnsi"/>
                <w:lang w:val="cs-CZ"/>
              </w:rPr>
              <w:t>768</w:t>
            </w:r>
            <w:r w:rsidR="00E9785A">
              <w:rPr>
                <w:rFonts w:asciiTheme="minorHAnsi" w:hAnsiTheme="minorHAnsi" w:cstheme="minorHAnsi"/>
                <w:lang w:val="cs-CZ"/>
              </w:rPr>
              <w:t xml:space="preserve"> </w:t>
            </w:r>
            <w:r w:rsidRPr="00E9785A">
              <w:rPr>
                <w:rFonts w:asciiTheme="minorHAnsi" w:hAnsiTheme="minorHAnsi" w:cstheme="minorHAnsi"/>
                <w:lang w:val="cs-CZ"/>
              </w:rPr>
              <w:t>624,80</w:t>
            </w:r>
          </w:p>
        </w:tc>
        <w:tc>
          <w:tcPr>
            <w:tcW w:w="2307" w:type="dxa"/>
            <w:shd w:val="clear" w:color="auto" w:fill="auto"/>
            <w:vAlign w:val="center"/>
          </w:tcPr>
          <w:p w14:paraId="21FE14FE" w14:textId="77777777" w:rsidR="002D37BA" w:rsidRPr="00E9785A" w:rsidRDefault="00D8390D" w:rsidP="009A119E">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1</w:t>
            </w:r>
            <w:r w:rsidR="00E9785A">
              <w:rPr>
                <w:rFonts w:asciiTheme="minorHAnsi" w:hAnsiTheme="minorHAnsi" w:cstheme="minorHAnsi"/>
                <w:lang w:val="cs-CZ"/>
              </w:rPr>
              <w:t xml:space="preserve"> </w:t>
            </w:r>
            <w:r w:rsidRPr="00E9785A">
              <w:rPr>
                <w:rFonts w:asciiTheme="minorHAnsi" w:hAnsiTheme="minorHAnsi" w:cstheme="minorHAnsi"/>
                <w:lang w:val="cs-CZ"/>
              </w:rPr>
              <w:t>668</w:t>
            </w:r>
            <w:r w:rsidR="00E9785A">
              <w:rPr>
                <w:rFonts w:asciiTheme="minorHAnsi" w:hAnsiTheme="minorHAnsi" w:cstheme="minorHAnsi"/>
                <w:lang w:val="cs-CZ"/>
              </w:rPr>
              <w:t xml:space="preserve"> </w:t>
            </w:r>
            <w:r w:rsidRPr="00E9785A">
              <w:rPr>
                <w:rFonts w:asciiTheme="minorHAnsi" w:hAnsiTheme="minorHAnsi" w:cstheme="minorHAnsi"/>
                <w:lang w:val="cs-CZ"/>
              </w:rPr>
              <w:t>266,00</w:t>
            </w:r>
          </w:p>
        </w:tc>
        <w:tc>
          <w:tcPr>
            <w:tcW w:w="2308" w:type="dxa"/>
            <w:shd w:val="clear" w:color="auto" w:fill="auto"/>
            <w:vAlign w:val="center"/>
          </w:tcPr>
          <w:p w14:paraId="2B782952" w14:textId="77777777" w:rsidR="002D37BA" w:rsidRPr="00E9785A" w:rsidRDefault="002D37BA" w:rsidP="009A119E">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3</w:t>
            </w:r>
            <w:r w:rsidR="00E9785A">
              <w:rPr>
                <w:rFonts w:asciiTheme="minorHAnsi" w:hAnsiTheme="minorHAnsi" w:cstheme="minorHAnsi"/>
                <w:lang w:val="cs-CZ"/>
              </w:rPr>
              <w:t xml:space="preserve"> </w:t>
            </w:r>
            <w:r w:rsidRPr="00E9785A">
              <w:rPr>
                <w:rFonts w:asciiTheme="minorHAnsi" w:hAnsiTheme="minorHAnsi" w:cstheme="minorHAnsi"/>
                <w:lang w:val="cs-CZ"/>
              </w:rPr>
              <w:t>017</w:t>
            </w:r>
            <w:r w:rsidR="00E9785A">
              <w:rPr>
                <w:rFonts w:asciiTheme="minorHAnsi" w:hAnsiTheme="minorHAnsi" w:cstheme="minorHAnsi"/>
                <w:lang w:val="cs-CZ"/>
              </w:rPr>
              <w:t xml:space="preserve"> </w:t>
            </w:r>
            <w:r w:rsidRPr="00E9785A">
              <w:rPr>
                <w:rFonts w:asciiTheme="minorHAnsi" w:hAnsiTheme="minorHAnsi" w:cstheme="minorHAnsi"/>
                <w:lang w:val="cs-CZ"/>
              </w:rPr>
              <w:t>971,00</w:t>
            </w:r>
          </w:p>
        </w:tc>
      </w:tr>
      <w:tr w:rsidR="002D37BA" w:rsidRPr="00A17659" w14:paraId="5BE80F31" w14:textId="77777777" w:rsidTr="00655692">
        <w:trPr>
          <w:trHeight w:val="227"/>
          <w:jc w:val="center"/>
        </w:trPr>
        <w:tc>
          <w:tcPr>
            <w:tcW w:w="2208" w:type="dxa"/>
            <w:shd w:val="clear" w:color="auto" w:fill="auto"/>
            <w:vAlign w:val="center"/>
          </w:tcPr>
          <w:p w14:paraId="1844B1A5" w14:textId="77777777" w:rsidR="002D37BA" w:rsidRPr="00E9785A" w:rsidRDefault="002D37BA" w:rsidP="00655692">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307" w:type="dxa"/>
            <w:shd w:val="clear" w:color="auto" w:fill="auto"/>
            <w:vAlign w:val="center"/>
          </w:tcPr>
          <w:p w14:paraId="1E5FBD31" w14:textId="77777777" w:rsidR="002D37BA" w:rsidRPr="00E9785A" w:rsidRDefault="00FF5681" w:rsidP="009A119E">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6</w:t>
            </w:r>
            <w:r w:rsidR="00E9785A">
              <w:rPr>
                <w:rFonts w:asciiTheme="minorHAnsi" w:hAnsiTheme="minorHAnsi" w:cstheme="minorHAnsi"/>
                <w:lang w:val="cs-CZ"/>
              </w:rPr>
              <w:t xml:space="preserve"> </w:t>
            </w:r>
            <w:r w:rsidRPr="00E9785A">
              <w:rPr>
                <w:rFonts w:asciiTheme="minorHAnsi" w:hAnsiTheme="minorHAnsi" w:cstheme="minorHAnsi"/>
                <w:lang w:val="cs-CZ"/>
              </w:rPr>
              <w:t>773</w:t>
            </w:r>
            <w:r w:rsidR="00E9785A">
              <w:rPr>
                <w:rFonts w:asciiTheme="minorHAnsi" w:hAnsiTheme="minorHAnsi" w:cstheme="minorHAnsi"/>
                <w:lang w:val="cs-CZ"/>
              </w:rPr>
              <w:t xml:space="preserve"> </w:t>
            </w:r>
            <w:r w:rsidRPr="00E9785A">
              <w:rPr>
                <w:rFonts w:asciiTheme="minorHAnsi" w:hAnsiTheme="minorHAnsi" w:cstheme="minorHAnsi"/>
                <w:lang w:val="cs-CZ"/>
              </w:rPr>
              <w:t>289,60</w:t>
            </w:r>
          </w:p>
        </w:tc>
        <w:tc>
          <w:tcPr>
            <w:tcW w:w="2307" w:type="dxa"/>
            <w:shd w:val="clear" w:color="auto" w:fill="auto"/>
            <w:vAlign w:val="center"/>
          </w:tcPr>
          <w:p w14:paraId="59E9C7C2" w14:textId="77777777" w:rsidR="002D37BA" w:rsidRPr="00E9785A" w:rsidRDefault="00D8390D" w:rsidP="009A119E">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1</w:t>
            </w:r>
            <w:r w:rsidR="00E9785A">
              <w:rPr>
                <w:rFonts w:asciiTheme="minorHAnsi" w:hAnsiTheme="minorHAnsi" w:cstheme="minorHAnsi"/>
                <w:lang w:val="cs-CZ"/>
              </w:rPr>
              <w:t xml:space="preserve"> </w:t>
            </w:r>
            <w:r w:rsidRPr="00E9785A">
              <w:rPr>
                <w:rFonts w:asciiTheme="minorHAnsi" w:hAnsiTheme="minorHAnsi" w:cstheme="minorHAnsi"/>
                <w:lang w:val="cs-CZ"/>
              </w:rPr>
              <w:t>669</w:t>
            </w:r>
            <w:r w:rsidR="00E9785A">
              <w:rPr>
                <w:rFonts w:asciiTheme="minorHAnsi" w:hAnsiTheme="minorHAnsi" w:cstheme="minorHAnsi"/>
                <w:lang w:val="cs-CZ"/>
              </w:rPr>
              <w:t xml:space="preserve"> </w:t>
            </w:r>
            <w:r w:rsidRPr="00E9785A">
              <w:rPr>
                <w:rFonts w:asciiTheme="minorHAnsi" w:hAnsiTheme="minorHAnsi" w:cstheme="minorHAnsi"/>
                <w:lang w:val="cs-CZ"/>
              </w:rPr>
              <w:t>438,00</w:t>
            </w:r>
          </w:p>
        </w:tc>
        <w:tc>
          <w:tcPr>
            <w:tcW w:w="2308" w:type="dxa"/>
            <w:shd w:val="clear" w:color="auto" w:fill="auto"/>
            <w:vAlign w:val="center"/>
          </w:tcPr>
          <w:p w14:paraId="78A137D6" w14:textId="77777777" w:rsidR="002D37BA" w:rsidRPr="00E9785A" w:rsidRDefault="002D37BA" w:rsidP="009A119E">
            <w:pPr>
              <w:pStyle w:val="Odstavecseseznamem"/>
              <w:ind w:left="0"/>
              <w:contextualSpacing w:val="0"/>
              <w:jc w:val="center"/>
              <w:rPr>
                <w:rFonts w:asciiTheme="minorHAnsi" w:hAnsiTheme="minorHAnsi" w:cstheme="minorHAnsi"/>
                <w:lang w:val="cs-CZ"/>
              </w:rPr>
            </w:pPr>
            <w:r w:rsidRPr="00E9785A">
              <w:rPr>
                <w:rFonts w:asciiTheme="minorHAnsi" w:hAnsiTheme="minorHAnsi" w:cstheme="minorHAnsi"/>
                <w:lang w:val="cs-CZ"/>
              </w:rPr>
              <w:t>3</w:t>
            </w:r>
            <w:r w:rsidR="00E9785A">
              <w:rPr>
                <w:rFonts w:asciiTheme="minorHAnsi" w:hAnsiTheme="minorHAnsi" w:cstheme="minorHAnsi"/>
                <w:lang w:val="cs-CZ"/>
              </w:rPr>
              <w:t xml:space="preserve"> </w:t>
            </w:r>
            <w:r w:rsidRPr="00E9785A">
              <w:rPr>
                <w:rFonts w:asciiTheme="minorHAnsi" w:hAnsiTheme="minorHAnsi" w:cstheme="minorHAnsi"/>
                <w:lang w:val="cs-CZ"/>
              </w:rPr>
              <w:t>051</w:t>
            </w:r>
            <w:r w:rsidR="00E9785A">
              <w:rPr>
                <w:rFonts w:asciiTheme="minorHAnsi" w:hAnsiTheme="minorHAnsi" w:cstheme="minorHAnsi"/>
                <w:lang w:val="cs-CZ"/>
              </w:rPr>
              <w:t xml:space="preserve"> </w:t>
            </w:r>
            <w:r w:rsidRPr="00E9785A">
              <w:rPr>
                <w:rFonts w:asciiTheme="minorHAnsi" w:hAnsiTheme="minorHAnsi" w:cstheme="minorHAnsi"/>
                <w:lang w:val="cs-CZ"/>
              </w:rPr>
              <w:t>012,00</w:t>
            </w:r>
          </w:p>
        </w:tc>
      </w:tr>
    </w:tbl>
    <w:p w14:paraId="709BADC7" w14:textId="77777777" w:rsidR="002D37BA" w:rsidRPr="00A17659" w:rsidRDefault="002D37BA" w:rsidP="002D37BA">
      <w:pPr>
        <w:pStyle w:val="Odstavecseseznamem"/>
        <w:spacing w:before="40"/>
        <w:ind w:left="0"/>
        <w:contextualSpacing w:val="0"/>
        <w:rPr>
          <w:rFonts w:asciiTheme="minorHAnsi" w:hAnsiTheme="minorHAnsi" w:cstheme="minorHAnsi"/>
          <w:sz w:val="20"/>
          <w:szCs w:val="20"/>
          <w:lang w:val="cs-CZ"/>
        </w:rPr>
      </w:pPr>
      <w:r w:rsidRPr="00A17659">
        <w:rPr>
          <w:rFonts w:asciiTheme="minorHAnsi" w:hAnsiTheme="minorHAnsi" w:cstheme="minorHAnsi"/>
          <w:b/>
          <w:sz w:val="20"/>
          <w:szCs w:val="20"/>
          <w:lang w:val="cs-CZ" w:eastAsia="cs-CZ"/>
        </w:rPr>
        <w:t>Zdroj:</w:t>
      </w:r>
      <w:r w:rsidRPr="00A17659">
        <w:rPr>
          <w:rFonts w:asciiTheme="minorHAnsi" w:hAnsiTheme="minorHAnsi" w:cstheme="minorHAnsi"/>
          <w:sz w:val="20"/>
          <w:szCs w:val="20"/>
          <w:lang w:val="cs-CZ" w:eastAsia="cs-CZ"/>
        </w:rPr>
        <w:t xml:space="preserve"> smlouvy, přijaté faktury.</w:t>
      </w:r>
    </w:p>
    <w:p w14:paraId="1F66A979" w14:textId="77777777" w:rsidR="00825540" w:rsidRDefault="00825540" w:rsidP="00825540">
      <w:pPr>
        <w:pStyle w:val="Odstavecseseznamem"/>
        <w:ind w:left="0"/>
        <w:contextualSpacing w:val="0"/>
        <w:jc w:val="both"/>
        <w:rPr>
          <w:rFonts w:asciiTheme="minorHAnsi" w:hAnsiTheme="minorHAnsi" w:cstheme="minorHAnsi"/>
          <w:lang w:val="cs-CZ"/>
        </w:rPr>
      </w:pPr>
    </w:p>
    <w:p w14:paraId="7E9CFC46" w14:textId="77777777" w:rsidR="006D0F78" w:rsidRDefault="006D0F78" w:rsidP="00825540">
      <w:pPr>
        <w:pStyle w:val="Odstavecseseznamem"/>
        <w:ind w:left="0"/>
        <w:contextualSpacing w:val="0"/>
        <w:jc w:val="both"/>
        <w:rPr>
          <w:rFonts w:asciiTheme="minorHAnsi" w:hAnsiTheme="minorHAnsi" w:cstheme="minorHAnsi"/>
          <w:lang w:val="cs-CZ"/>
        </w:rPr>
      </w:pPr>
    </w:p>
    <w:p w14:paraId="6786F6AC" w14:textId="77777777" w:rsidR="006D0F78" w:rsidRDefault="006D0F78" w:rsidP="00825540">
      <w:pPr>
        <w:pStyle w:val="Odstavecseseznamem"/>
        <w:ind w:left="0"/>
        <w:contextualSpacing w:val="0"/>
        <w:jc w:val="both"/>
        <w:rPr>
          <w:rFonts w:asciiTheme="minorHAnsi" w:hAnsiTheme="minorHAnsi" w:cstheme="minorHAnsi"/>
          <w:lang w:val="cs-CZ"/>
        </w:rPr>
      </w:pPr>
    </w:p>
    <w:p w14:paraId="40805C4D" w14:textId="77777777" w:rsidR="00E9785A" w:rsidRPr="00E9785A" w:rsidRDefault="002D37BA" w:rsidP="00825540">
      <w:pPr>
        <w:pStyle w:val="Odstavecseseznamem"/>
        <w:spacing w:after="40"/>
        <w:ind w:left="0"/>
        <w:contextualSpacing w:val="0"/>
        <w:rPr>
          <w:rFonts w:asciiTheme="minorHAnsi" w:hAnsiTheme="minorHAnsi" w:cstheme="minorHAnsi"/>
          <w:b/>
          <w:lang w:val="cs-CZ"/>
        </w:rPr>
      </w:pPr>
      <w:r w:rsidRPr="00A17659">
        <w:rPr>
          <w:rFonts w:asciiTheme="minorHAnsi" w:hAnsiTheme="minorHAnsi" w:cstheme="minorHAnsi"/>
          <w:b/>
          <w:lang w:val="cs-CZ"/>
        </w:rPr>
        <w:lastRenderedPageBreak/>
        <w:t xml:space="preserve">Tabulka č. </w:t>
      </w:r>
      <w:r w:rsidR="00710447">
        <w:rPr>
          <w:rFonts w:asciiTheme="minorHAnsi" w:hAnsiTheme="minorHAnsi" w:cstheme="minorHAnsi"/>
          <w:b/>
          <w:lang w:val="cs-CZ"/>
        </w:rPr>
        <w:t>7</w:t>
      </w:r>
      <w:r w:rsidR="00E9785A" w:rsidRPr="009464B0">
        <w:rPr>
          <w:rFonts w:asciiTheme="minorHAnsi" w:hAnsiTheme="minorHAnsi" w:cstheme="minorHAnsi"/>
          <w:b/>
          <w:lang w:val="cs-CZ"/>
        </w:rPr>
        <w:t xml:space="preserve"> </w:t>
      </w:r>
      <w:r w:rsidR="00EC5DD5" w:rsidRPr="009464B0">
        <w:rPr>
          <w:rFonts w:asciiTheme="minorHAnsi" w:hAnsiTheme="minorHAnsi" w:cstheme="minorHAnsi"/>
          <w:b/>
          <w:lang w:val="cs-CZ"/>
        </w:rPr>
        <w:t>–</w:t>
      </w:r>
      <w:r w:rsidR="00EC5DD5">
        <w:rPr>
          <w:rFonts w:asciiTheme="minorHAnsi" w:hAnsiTheme="minorHAnsi" w:cstheme="minorHAnsi"/>
          <w:lang w:val="cs-CZ"/>
        </w:rPr>
        <w:t xml:space="preserve"> </w:t>
      </w:r>
      <w:r w:rsidR="00E9785A" w:rsidRPr="00E9785A">
        <w:rPr>
          <w:rFonts w:asciiTheme="minorHAnsi" w:hAnsiTheme="minorHAnsi" w:cstheme="minorHAnsi"/>
          <w:b/>
          <w:lang w:val="cs-CZ"/>
        </w:rPr>
        <w:t>Jednotkové ceny za hodinu práce pracovníka ostrahy</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2410"/>
        <w:gridCol w:w="2126"/>
        <w:gridCol w:w="2621"/>
      </w:tblGrid>
      <w:tr w:rsidR="002D37BA" w:rsidRPr="00A17659" w14:paraId="768FB36A" w14:textId="77777777" w:rsidTr="00655692">
        <w:trPr>
          <w:trHeight w:val="227"/>
        </w:trPr>
        <w:tc>
          <w:tcPr>
            <w:tcW w:w="2000" w:type="dxa"/>
            <w:vMerge w:val="restart"/>
            <w:shd w:val="clear" w:color="auto" w:fill="auto"/>
            <w:noWrap/>
            <w:vAlign w:val="center"/>
            <w:hideMark/>
          </w:tcPr>
          <w:p w14:paraId="1761CB8B" w14:textId="77777777" w:rsidR="002D37BA" w:rsidRPr="00E9785A" w:rsidRDefault="002D37BA" w:rsidP="00655692">
            <w:pPr>
              <w:jc w:val="center"/>
              <w:rPr>
                <w:rFonts w:asciiTheme="minorHAnsi" w:hAnsiTheme="minorHAnsi" w:cstheme="minorHAnsi"/>
                <w:lang w:val="cs-CZ" w:eastAsia="cs-CZ"/>
              </w:rPr>
            </w:pPr>
          </w:p>
        </w:tc>
        <w:tc>
          <w:tcPr>
            <w:tcW w:w="7157" w:type="dxa"/>
            <w:gridSpan w:val="3"/>
            <w:shd w:val="clear" w:color="auto" w:fill="auto"/>
            <w:vAlign w:val="center"/>
            <w:hideMark/>
          </w:tcPr>
          <w:p w14:paraId="1DCA579C" w14:textId="0B87D5E5" w:rsidR="002D37BA" w:rsidRPr="00E9785A" w:rsidRDefault="002D37BA" w:rsidP="002D37BA">
            <w:pPr>
              <w:jc w:val="center"/>
              <w:rPr>
                <w:rFonts w:asciiTheme="minorHAnsi" w:hAnsiTheme="minorHAnsi" w:cstheme="minorHAnsi"/>
                <w:lang w:val="cs-CZ" w:eastAsia="cs-CZ"/>
              </w:rPr>
            </w:pPr>
            <w:r w:rsidRPr="00E9785A">
              <w:rPr>
                <w:rFonts w:asciiTheme="minorHAnsi" w:hAnsiTheme="minorHAnsi" w:cstheme="minorHAnsi"/>
                <w:lang w:val="cs-CZ" w:eastAsia="cs-CZ"/>
              </w:rPr>
              <w:t>Cena hodiny práce pracovníka ostrahy</w:t>
            </w:r>
            <w:r w:rsidRPr="00E9785A">
              <w:rPr>
                <w:rFonts w:asciiTheme="minorHAnsi" w:hAnsiTheme="minorHAnsi" w:cstheme="minorHAnsi"/>
                <w:lang w:val="cs-CZ"/>
              </w:rPr>
              <w:t xml:space="preserve"> </w:t>
            </w:r>
            <w:r w:rsidRPr="00E9785A">
              <w:rPr>
                <w:rFonts w:asciiTheme="minorHAnsi" w:hAnsiTheme="minorHAnsi" w:cstheme="minorHAnsi"/>
                <w:lang w:val="cs-CZ" w:eastAsia="cs-CZ"/>
              </w:rPr>
              <w:t>(v Kč bez DPH/hod</w:t>
            </w:r>
            <w:r w:rsidR="00665F00">
              <w:rPr>
                <w:rFonts w:asciiTheme="minorHAnsi" w:hAnsiTheme="minorHAnsi" w:cstheme="minorHAnsi"/>
                <w:lang w:val="cs-CZ" w:eastAsia="cs-CZ"/>
              </w:rPr>
              <w:t>.</w:t>
            </w:r>
            <w:r w:rsidRPr="00E9785A">
              <w:rPr>
                <w:rFonts w:asciiTheme="minorHAnsi" w:hAnsiTheme="minorHAnsi" w:cstheme="minorHAnsi"/>
                <w:lang w:val="cs-CZ" w:eastAsia="cs-CZ"/>
              </w:rPr>
              <w:t>)</w:t>
            </w:r>
          </w:p>
        </w:tc>
      </w:tr>
      <w:tr w:rsidR="002D37BA" w:rsidRPr="00A17659" w14:paraId="7C5B9138" w14:textId="77777777" w:rsidTr="00655692">
        <w:trPr>
          <w:trHeight w:val="227"/>
        </w:trPr>
        <w:tc>
          <w:tcPr>
            <w:tcW w:w="2000" w:type="dxa"/>
            <w:vMerge/>
            <w:vAlign w:val="center"/>
            <w:hideMark/>
          </w:tcPr>
          <w:p w14:paraId="01E2EF1C" w14:textId="77777777" w:rsidR="002D37BA" w:rsidRPr="00E9785A" w:rsidRDefault="002D37BA" w:rsidP="00655692">
            <w:pPr>
              <w:jc w:val="center"/>
              <w:rPr>
                <w:rFonts w:asciiTheme="minorHAnsi" w:hAnsiTheme="minorHAnsi" w:cstheme="minorHAnsi"/>
                <w:lang w:val="cs-CZ" w:eastAsia="cs-CZ"/>
              </w:rPr>
            </w:pPr>
          </w:p>
        </w:tc>
        <w:tc>
          <w:tcPr>
            <w:tcW w:w="2410" w:type="dxa"/>
            <w:shd w:val="clear" w:color="auto" w:fill="auto"/>
            <w:noWrap/>
            <w:vAlign w:val="center"/>
            <w:hideMark/>
          </w:tcPr>
          <w:p w14:paraId="79FBB38D" w14:textId="77777777" w:rsidR="002D37BA" w:rsidRPr="00E9785A" w:rsidRDefault="002D37BA" w:rsidP="00B83CE4">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MO</w:t>
            </w:r>
          </w:p>
        </w:tc>
        <w:tc>
          <w:tcPr>
            <w:tcW w:w="2126" w:type="dxa"/>
            <w:shd w:val="clear" w:color="auto" w:fill="auto"/>
            <w:noWrap/>
            <w:vAlign w:val="center"/>
            <w:hideMark/>
          </w:tcPr>
          <w:p w14:paraId="482412C6" w14:textId="77777777" w:rsidR="002D37BA" w:rsidRPr="00E9785A" w:rsidRDefault="002D37BA" w:rsidP="00B83CE4">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MPSV</w:t>
            </w:r>
          </w:p>
        </w:tc>
        <w:tc>
          <w:tcPr>
            <w:tcW w:w="2621" w:type="dxa"/>
            <w:vAlign w:val="center"/>
          </w:tcPr>
          <w:p w14:paraId="2AF10BB9" w14:textId="77777777" w:rsidR="002D37BA" w:rsidRPr="00E9785A" w:rsidRDefault="002D37BA" w:rsidP="00B83CE4">
            <w:pPr>
              <w:pStyle w:val="Odstavecseseznamem"/>
              <w:ind w:left="0"/>
              <w:contextualSpacing w:val="0"/>
              <w:jc w:val="center"/>
              <w:rPr>
                <w:rFonts w:asciiTheme="minorHAnsi" w:hAnsiTheme="minorHAnsi" w:cstheme="minorHAnsi"/>
                <w:b/>
                <w:lang w:val="cs-CZ"/>
              </w:rPr>
            </w:pPr>
            <w:proofErr w:type="spellStart"/>
            <w:r w:rsidRPr="00E9785A">
              <w:rPr>
                <w:rFonts w:asciiTheme="minorHAnsi" w:hAnsiTheme="minorHAnsi" w:cstheme="minorHAnsi"/>
                <w:b/>
                <w:lang w:val="cs-CZ"/>
              </w:rPr>
              <w:t>MZe</w:t>
            </w:r>
            <w:proofErr w:type="spellEnd"/>
          </w:p>
        </w:tc>
      </w:tr>
      <w:tr w:rsidR="002D37BA" w:rsidRPr="00A17659" w14:paraId="74726A58" w14:textId="77777777" w:rsidTr="00655692">
        <w:trPr>
          <w:trHeight w:val="227"/>
        </w:trPr>
        <w:tc>
          <w:tcPr>
            <w:tcW w:w="2000" w:type="dxa"/>
            <w:shd w:val="clear" w:color="auto" w:fill="auto"/>
            <w:noWrap/>
            <w:vAlign w:val="center"/>
          </w:tcPr>
          <w:p w14:paraId="5FDF0974" w14:textId="77777777" w:rsidR="002D37BA" w:rsidRPr="00E9785A" w:rsidRDefault="002D37BA" w:rsidP="00655692">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2013</w:t>
            </w:r>
          </w:p>
        </w:tc>
        <w:tc>
          <w:tcPr>
            <w:tcW w:w="2410" w:type="dxa"/>
            <w:shd w:val="clear" w:color="auto" w:fill="auto"/>
            <w:noWrap/>
            <w:vAlign w:val="center"/>
          </w:tcPr>
          <w:p w14:paraId="0A7A8794" w14:textId="77777777" w:rsidR="002D37BA" w:rsidRPr="00E9785A" w:rsidRDefault="000C110F" w:rsidP="00B83CE4">
            <w:pPr>
              <w:jc w:val="center"/>
              <w:rPr>
                <w:rFonts w:asciiTheme="minorHAnsi" w:hAnsiTheme="minorHAnsi" w:cstheme="minorHAnsi"/>
                <w:lang w:val="cs-CZ" w:eastAsia="cs-CZ"/>
              </w:rPr>
            </w:pPr>
            <w:r w:rsidRPr="00E9785A">
              <w:rPr>
                <w:rFonts w:asciiTheme="minorHAnsi" w:hAnsiTheme="minorHAnsi" w:cstheme="minorHAnsi"/>
                <w:lang w:val="cs-CZ" w:eastAsia="cs-CZ"/>
              </w:rPr>
              <w:t>170,00</w:t>
            </w:r>
          </w:p>
        </w:tc>
        <w:tc>
          <w:tcPr>
            <w:tcW w:w="2126" w:type="dxa"/>
            <w:shd w:val="clear" w:color="auto" w:fill="auto"/>
            <w:noWrap/>
            <w:vAlign w:val="center"/>
          </w:tcPr>
          <w:p w14:paraId="19AFE37A" w14:textId="77777777" w:rsidR="002D37BA" w:rsidRPr="00E9785A" w:rsidRDefault="00D8390D" w:rsidP="00B83CE4">
            <w:pPr>
              <w:jc w:val="center"/>
              <w:rPr>
                <w:rFonts w:asciiTheme="minorHAnsi" w:hAnsiTheme="minorHAnsi" w:cstheme="minorHAnsi"/>
                <w:lang w:val="cs-CZ" w:eastAsia="cs-CZ"/>
              </w:rPr>
            </w:pPr>
            <w:r w:rsidRPr="00E9785A">
              <w:rPr>
                <w:rFonts w:asciiTheme="minorHAnsi" w:hAnsiTheme="minorHAnsi" w:cstheme="minorHAnsi"/>
                <w:lang w:val="cs-CZ" w:eastAsia="cs-CZ"/>
              </w:rPr>
              <w:t>105,00</w:t>
            </w:r>
          </w:p>
        </w:tc>
        <w:tc>
          <w:tcPr>
            <w:tcW w:w="2621" w:type="dxa"/>
            <w:vAlign w:val="center"/>
          </w:tcPr>
          <w:p w14:paraId="0BB68754" w14:textId="77777777" w:rsidR="002D37BA" w:rsidRPr="00E9785A" w:rsidRDefault="002D37BA" w:rsidP="00B83CE4">
            <w:pPr>
              <w:jc w:val="center"/>
              <w:rPr>
                <w:rFonts w:asciiTheme="minorHAnsi" w:hAnsiTheme="minorHAnsi" w:cstheme="minorHAnsi"/>
                <w:lang w:val="cs-CZ" w:eastAsia="cs-CZ"/>
              </w:rPr>
            </w:pPr>
            <w:r w:rsidRPr="00E9785A">
              <w:rPr>
                <w:rFonts w:asciiTheme="minorHAnsi" w:hAnsiTheme="minorHAnsi" w:cstheme="minorHAnsi"/>
                <w:lang w:val="cs-CZ" w:eastAsia="cs-CZ"/>
              </w:rPr>
              <w:t>109,00</w:t>
            </w:r>
          </w:p>
        </w:tc>
      </w:tr>
      <w:tr w:rsidR="002D37BA" w:rsidRPr="00A17659" w14:paraId="0167F8B2" w14:textId="77777777" w:rsidTr="00655692">
        <w:trPr>
          <w:trHeight w:val="227"/>
        </w:trPr>
        <w:tc>
          <w:tcPr>
            <w:tcW w:w="2000" w:type="dxa"/>
            <w:shd w:val="clear" w:color="auto" w:fill="auto"/>
            <w:noWrap/>
            <w:vAlign w:val="center"/>
          </w:tcPr>
          <w:p w14:paraId="6466A116" w14:textId="77777777" w:rsidR="002D37BA" w:rsidRPr="00E9785A" w:rsidRDefault="002D37BA" w:rsidP="00655692">
            <w:pPr>
              <w:pStyle w:val="Odstavecseseznamem"/>
              <w:ind w:left="0"/>
              <w:contextualSpacing w:val="0"/>
              <w:jc w:val="center"/>
              <w:rPr>
                <w:rFonts w:asciiTheme="minorHAnsi" w:hAnsiTheme="minorHAnsi" w:cstheme="minorHAnsi"/>
                <w:b/>
                <w:lang w:val="cs-CZ"/>
              </w:rPr>
            </w:pPr>
            <w:r w:rsidRPr="00E9785A">
              <w:rPr>
                <w:rFonts w:asciiTheme="minorHAnsi" w:hAnsiTheme="minorHAnsi" w:cstheme="minorHAnsi"/>
                <w:b/>
                <w:lang w:val="cs-CZ"/>
              </w:rPr>
              <w:t>2014</w:t>
            </w:r>
          </w:p>
        </w:tc>
        <w:tc>
          <w:tcPr>
            <w:tcW w:w="2410" w:type="dxa"/>
            <w:shd w:val="clear" w:color="auto" w:fill="auto"/>
            <w:noWrap/>
            <w:vAlign w:val="center"/>
          </w:tcPr>
          <w:p w14:paraId="503EB137" w14:textId="77777777" w:rsidR="002D37BA" w:rsidRPr="00E9785A" w:rsidRDefault="000C110F" w:rsidP="00B83CE4">
            <w:pPr>
              <w:jc w:val="center"/>
              <w:rPr>
                <w:rFonts w:asciiTheme="minorHAnsi" w:hAnsiTheme="minorHAnsi" w:cstheme="minorHAnsi"/>
                <w:lang w:val="cs-CZ" w:eastAsia="cs-CZ"/>
              </w:rPr>
            </w:pPr>
            <w:r w:rsidRPr="00E9785A">
              <w:rPr>
                <w:rFonts w:asciiTheme="minorHAnsi" w:hAnsiTheme="minorHAnsi" w:cstheme="minorHAnsi"/>
                <w:lang w:val="cs-CZ" w:eastAsia="cs-CZ"/>
              </w:rPr>
              <w:t>170,00</w:t>
            </w:r>
          </w:p>
        </w:tc>
        <w:tc>
          <w:tcPr>
            <w:tcW w:w="2126" w:type="dxa"/>
            <w:shd w:val="clear" w:color="auto" w:fill="auto"/>
            <w:noWrap/>
            <w:vAlign w:val="center"/>
          </w:tcPr>
          <w:p w14:paraId="10217E39" w14:textId="77777777" w:rsidR="002D37BA" w:rsidRPr="00E9785A" w:rsidRDefault="00D8390D" w:rsidP="00B83CE4">
            <w:pPr>
              <w:jc w:val="center"/>
              <w:rPr>
                <w:rFonts w:asciiTheme="minorHAnsi" w:hAnsiTheme="minorHAnsi" w:cstheme="minorHAnsi"/>
                <w:lang w:val="cs-CZ"/>
              </w:rPr>
            </w:pPr>
            <w:r w:rsidRPr="00E9785A">
              <w:rPr>
                <w:rFonts w:asciiTheme="minorHAnsi" w:hAnsiTheme="minorHAnsi" w:cstheme="minorHAnsi"/>
                <w:lang w:val="cs-CZ"/>
              </w:rPr>
              <w:t>105,00</w:t>
            </w:r>
          </w:p>
        </w:tc>
        <w:tc>
          <w:tcPr>
            <w:tcW w:w="2621" w:type="dxa"/>
            <w:vAlign w:val="center"/>
          </w:tcPr>
          <w:p w14:paraId="6FF4121E" w14:textId="77777777" w:rsidR="002D37BA" w:rsidRPr="00E9785A" w:rsidRDefault="002D37BA" w:rsidP="00B83CE4">
            <w:pPr>
              <w:jc w:val="center"/>
              <w:rPr>
                <w:rFonts w:asciiTheme="minorHAnsi" w:hAnsiTheme="minorHAnsi" w:cstheme="minorHAnsi"/>
                <w:lang w:val="cs-CZ"/>
              </w:rPr>
            </w:pPr>
            <w:r w:rsidRPr="00E9785A">
              <w:rPr>
                <w:rFonts w:asciiTheme="minorHAnsi" w:hAnsiTheme="minorHAnsi" w:cstheme="minorHAnsi"/>
                <w:lang w:val="cs-CZ"/>
              </w:rPr>
              <w:t>109,00</w:t>
            </w:r>
          </w:p>
        </w:tc>
      </w:tr>
    </w:tbl>
    <w:p w14:paraId="0CBC7871" w14:textId="77777777" w:rsidR="002D37BA" w:rsidRPr="00A17659" w:rsidRDefault="002D37BA" w:rsidP="00825540">
      <w:pPr>
        <w:pStyle w:val="Odstavecseseznamem"/>
        <w:spacing w:before="40"/>
        <w:ind w:left="0"/>
        <w:contextualSpacing w:val="0"/>
        <w:rPr>
          <w:rFonts w:asciiTheme="minorHAnsi" w:hAnsiTheme="minorHAnsi" w:cstheme="minorHAnsi"/>
          <w:sz w:val="20"/>
          <w:szCs w:val="20"/>
          <w:lang w:val="cs-CZ"/>
        </w:rPr>
      </w:pPr>
      <w:r w:rsidRPr="00A17659">
        <w:rPr>
          <w:rFonts w:asciiTheme="minorHAnsi" w:hAnsiTheme="minorHAnsi" w:cstheme="minorHAnsi"/>
          <w:b/>
          <w:sz w:val="20"/>
          <w:szCs w:val="20"/>
          <w:lang w:val="cs-CZ" w:eastAsia="cs-CZ"/>
        </w:rPr>
        <w:t>Zdroj:</w:t>
      </w:r>
      <w:r w:rsidRPr="00A17659">
        <w:rPr>
          <w:rFonts w:asciiTheme="minorHAnsi" w:hAnsiTheme="minorHAnsi" w:cstheme="minorHAnsi"/>
          <w:sz w:val="20"/>
          <w:szCs w:val="20"/>
          <w:lang w:val="cs-CZ" w:eastAsia="cs-CZ"/>
        </w:rPr>
        <w:t xml:space="preserve"> smlouvy, přijaté faktury.</w:t>
      </w:r>
    </w:p>
    <w:p w14:paraId="35654E3C" w14:textId="77777777" w:rsidR="00825540" w:rsidRDefault="00825540" w:rsidP="00825540">
      <w:pPr>
        <w:pStyle w:val="Odstavecseseznamem"/>
        <w:ind w:left="0"/>
        <w:contextualSpacing w:val="0"/>
        <w:jc w:val="both"/>
        <w:rPr>
          <w:rFonts w:asciiTheme="minorHAnsi" w:hAnsiTheme="minorHAnsi" w:cstheme="minorHAnsi"/>
          <w:lang w:val="cs-CZ"/>
        </w:rPr>
      </w:pPr>
    </w:p>
    <w:p w14:paraId="0A772835" w14:textId="0B564C6E" w:rsidR="00263DD8" w:rsidRDefault="00263DD8" w:rsidP="00825540">
      <w:pPr>
        <w:pStyle w:val="TextKP"/>
        <w:spacing w:before="0"/>
      </w:pPr>
      <w:r w:rsidRPr="00A17659">
        <w:t>Ostraha objektu na Náměstí Svobody byla součástí veřejné zakázky</w:t>
      </w:r>
      <w:r w:rsidR="001071B8">
        <w:t xml:space="preserve"> s názvem</w:t>
      </w:r>
      <w:r w:rsidRPr="00A17659">
        <w:t xml:space="preserve"> </w:t>
      </w:r>
      <w:r w:rsidRPr="00A17659">
        <w:rPr>
          <w:i/>
        </w:rPr>
        <w:t>Ochrana objektů</w:t>
      </w:r>
      <w:r w:rsidRPr="00A17659">
        <w:t>, kterou MO zadalo výzvou k jednání jednomu zájemci, a to Vojenským lesům a</w:t>
      </w:r>
      <w:r w:rsidR="001071B8">
        <w:t> </w:t>
      </w:r>
      <w:r w:rsidRPr="00A17659">
        <w:t>statkům ČR, s.</w:t>
      </w:r>
      <w:r w:rsidR="00E9785A">
        <w:t> </w:t>
      </w:r>
      <w:r w:rsidRPr="00A17659">
        <w:t>p. Veřejná zakázka obsahovala ostrahu 49 objektů. Nabídka obsahovala rozdílné ceny za jednu hodinu ostrahy v závislosti na</w:t>
      </w:r>
      <w:r w:rsidR="00E9785A">
        <w:t xml:space="preserve"> </w:t>
      </w:r>
      <w:r w:rsidRPr="00A17659">
        <w:t>požadavcích střežení (se psem, se zbraní apod.) a</w:t>
      </w:r>
      <w:r w:rsidR="00E9785A">
        <w:t> </w:t>
      </w:r>
      <w:r w:rsidRPr="00A17659">
        <w:t>pohybovala se od 131 do 170 Kč bez</w:t>
      </w:r>
      <w:r w:rsidR="00E9785A">
        <w:t xml:space="preserve"> </w:t>
      </w:r>
      <w:r w:rsidRPr="00A17659">
        <w:t xml:space="preserve">DPH za jednu hodinu ostrahy. </w:t>
      </w:r>
      <w:r w:rsidR="001071B8">
        <w:t xml:space="preserve">Státní podnik </w:t>
      </w:r>
      <w:r w:rsidRPr="00A17659">
        <w:t>Vojenské lesy a statky ČR, s. p.</w:t>
      </w:r>
      <w:r w:rsidR="00647BC9">
        <w:t>,</w:t>
      </w:r>
      <w:r w:rsidRPr="00A17659">
        <w:t xml:space="preserve"> navrhnul v nabídce pro objekt na Náměstí Svobody cenu za 1 hodinu ostrahy o</w:t>
      </w:r>
      <w:r w:rsidR="00647BC9">
        <w:t> </w:t>
      </w:r>
      <w:r w:rsidRPr="00A17659">
        <w:t>40</w:t>
      </w:r>
      <w:r w:rsidR="00647BC9">
        <w:t> </w:t>
      </w:r>
      <w:r w:rsidRPr="00A17659">
        <w:t>Kč vyšší než</w:t>
      </w:r>
      <w:r w:rsidR="00E9785A">
        <w:t xml:space="preserve"> </w:t>
      </w:r>
      <w:r w:rsidRPr="00A17659">
        <w:t>u</w:t>
      </w:r>
      <w:r w:rsidR="00E9785A">
        <w:t xml:space="preserve"> </w:t>
      </w:r>
      <w:r w:rsidRPr="00A17659">
        <w:t>ostatních objektů a vyšší nabídkovou cenu zdůvodnil většími požadavky na</w:t>
      </w:r>
      <w:r w:rsidR="00E9785A">
        <w:t xml:space="preserve"> </w:t>
      </w:r>
      <w:r w:rsidRPr="00A17659">
        <w:t>kvalitu pracovníků zajišťujících ostrahu a vyšší úrovní technického a</w:t>
      </w:r>
      <w:r w:rsidR="001071B8">
        <w:t> </w:t>
      </w:r>
      <w:r w:rsidRPr="00A17659">
        <w:t xml:space="preserve">materiálního vybavení stanoviště v porovnání s ostatními místy plnění. </w:t>
      </w:r>
    </w:p>
    <w:p w14:paraId="184E314E" w14:textId="77777777" w:rsidR="00825540" w:rsidRPr="00A17659" w:rsidRDefault="00825540" w:rsidP="00825540">
      <w:pPr>
        <w:pStyle w:val="TextKP"/>
        <w:spacing w:before="0"/>
      </w:pPr>
    </w:p>
    <w:p w14:paraId="0AC62BB8" w14:textId="77777777" w:rsidR="00655692" w:rsidRPr="00A17659" w:rsidRDefault="00655692" w:rsidP="00825540">
      <w:pPr>
        <w:jc w:val="both"/>
        <w:rPr>
          <w:rFonts w:asciiTheme="minorHAnsi" w:hAnsiTheme="minorHAnsi" w:cstheme="minorHAnsi"/>
          <w:bCs/>
          <w:lang w:val="cs-CZ"/>
        </w:rPr>
      </w:pPr>
      <w:r w:rsidRPr="00A17659">
        <w:rPr>
          <w:rFonts w:asciiTheme="minorHAnsi" w:hAnsiTheme="minorHAnsi" w:cstheme="minorHAnsi"/>
          <w:bCs/>
          <w:lang w:val="cs-CZ"/>
        </w:rPr>
        <w:t>Při kontrole peněžních prostředků vynaložených na služby ostrahy bylo zjištěno, že:</w:t>
      </w:r>
    </w:p>
    <w:p w14:paraId="6F87F607" w14:textId="5A7F7A77" w:rsidR="00655692" w:rsidRPr="00825540" w:rsidRDefault="00655692" w:rsidP="00825540">
      <w:pPr>
        <w:pStyle w:val="Odstavecseseznamem"/>
        <w:numPr>
          <w:ilvl w:val="1"/>
          <w:numId w:val="42"/>
        </w:numPr>
        <w:ind w:left="284" w:hanging="284"/>
        <w:jc w:val="both"/>
        <w:rPr>
          <w:rFonts w:asciiTheme="minorHAnsi" w:hAnsiTheme="minorHAnsi" w:cstheme="minorHAnsi"/>
          <w:b/>
          <w:bCs/>
          <w:iCs/>
          <w:lang w:val="cs-CZ"/>
        </w:rPr>
      </w:pPr>
      <w:r w:rsidRPr="00825540">
        <w:rPr>
          <w:rFonts w:asciiTheme="minorHAnsi" w:hAnsiTheme="minorHAnsi" w:cstheme="minorHAnsi"/>
          <w:b/>
          <w:bCs/>
          <w:iCs/>
          <w:lang w:val="cs-CZ"/>
        </w:rPr>
        <w:t>MPSV nepostupovalo podle zákona č. 137/2006 Sb. a nemělo možnost vybírat z</w:t>
      </w:r>
      <w:r w:rsidR="00E9785A" w:rsidRPr="00825540">
        <w:rPr>
          <w:rFonts w:asciiTheme="minorHAnsi" w:hAnsiTheme="minorHAnsi" w:cstheme="minorHAnsi"/>
          <w:b/>
          <w:bCs/>
          <w:iCs/>
          <w:lang w:val="cs-CZ"/>
        </w:rPr>
        <w:t xml:space="preserve"> </w:t>
      </w:r>
      <w:r w:rsidRPr="00825540">
        <w:rPr>
          <w:rFonts w:asciiTheme="minorHAnsi" w:hAnsiTheme="minorHAnsi" w:cstheme="minorHAnsi"/>
          <w:b/>
          <w:bCs/>
          <w:iCs/>
          <w:lang w:val="cs-CZ"/>
        </w:rPr>
        <w:t>více potenciálních dodavatelů služeb ostrahy a tedy z</w:t>
      </w:r>
      <w:r w:rsidR="00E9785A" w:rsidRPr="00825540">
        <w:rPr>
          <w:rFonts w:asciiTheme="minorHAnsi" w:hAnsiTheme="minorHAnsi" w:cstheme="minorHAnsi"/>
          <w:b/>
          <w:bCs/>
          <w:iCs/>
          <w:lang w:val="cs-CZ"/>
        </w:rPr>
        <w:t xml:space="preserve"> </w:t>
      </w:r>
      <w:r w:rsidRPr="00825540">
        <w:rPr>
          <w:rFonts w:asciiTheme="minorHAnsi" w:hAnsiTheme="minorHAnsi" w:cstheme="minorHAnsi"/>
          <w:b/>
          <w:bCs/>
          <w:iCs/>
          <w:lang w:val="cs-CZ"/>
        </w:rPr>
        <w:t xml:space="preserve">více nabídek, když </w:t>
      </w:r>
      <w:r w:rsidRPr="00825540">
        <w:rPr>
          <w:rFonts w:asciiTheme="minorHAnsi" w:hAnsiTheme="minorHAnsi" w:cstheme="minorHAnsi"/>
          <w:b/>
          <w:lang w:val="cs-CZ"/>
        </w:rPr>
        <w:t>setrvalo ve</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 xml:space="preserve">smluvním vztahu na zajištění </w:t>
      </w:r>
      <w:r w:rsidR="00956C31" w:rsidRPr="00825540">
        <w:rPr>
          <w:rFonts w:asciiTheme="minorHAnsi" w:hAnsiTheme="minorHAnsi" w:cstheme="minorHAnsi"/>
          <w:b/>
          <w:lang w:val="cs-CZ"/>
        </w:rPr>
        <w:t>výkonu fyzické</w:t>
      </w:r>
      <w:r w:rsidRPr="00825540">
        <w:rPr>
          <w:rFonts w:asciiTheme="minorHAnsi" w:hAnsiTheme="minorHAnsi" w:cstheme="minorHAnsi"/>
          <w:b/>
          <w:lang w:val="cs-CZ"/>
        </w:rPr>
        <w:t xml:space="preserve"> ostrahy v</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 xml:space="preserve">objektu </w:t>
      </w:r>
      <w:r w:rsidR="001071B8">
        <w:rPr>
          <w:rFonts w:asciiTheme="minorHAnsi" w:hAnsiTheme="minorHAnsi" w:cstheme="minorHAnsi"/>
          <w:b/>
          <w:lang w:val="cs-CZ"/>
        </w:rPr>
        <w:t>na adrese Veleslavínská </w:t>
      </w:r>
      <w:r w:rsidRPr="00825540">
        <w:rPr>
          <w:rFonts w:asciiTheme="minorHAnsi" w:hAnsiTheme="minorHAnsi" w:cstheme="minorHAnsi"/>
          <w:b/>
          <w:lang w:val="cs-CZ"/>
        </w:rPr>
        <w:t>1</w:t>
      </w:r>
      <w:r w:rsidR="001071B8">
        <w:rPr>
          <w:rFonts w:asciiTheme="minorHAnsi" w:hAnsiTheme="minorHAnsi" w:cstheme="minorHAnsi"/>
          <w:b/>
          <w:lang w:val="cs-CZ"/>
        </w:rPr>
        <w:t>,</w:t>
      </w:r>
      <w:r w:rsidRPr="00825540">
        <w:rPr>
          <w:rFonts w:asciiTheme="minorHAnsi" w:hAnsiTheme="minorHAnsi" w:cstheme="minorHAnsi"/>
          <w:b/>
          <w:lang w:val="cs-CZ"/>
        </w:rPr>
        <w:t xml:space="preserve"> Pra</w:t>
      </w:r>
      <w:r w:rsidR="001071B8">
        <w:rPr>
          <w:rFonts w:asciiTheme="minorHAnsi" w:hAnsiTheme="minorHAnsi" w:cstheme="minorHAnsi"/>
          <w:b/>
          <w:lang w:val="cs-CZ"/>
        </w:rPr>
        <w:t>ha</w:t>
      </w:r>
      <w:r w:rsidRPr="00825540">
        <w:rPr>
          <w:rFonts w:asciiTheme="minorHAnsi" w:hAnsiTheme="minorHAnsi" w:cstheme="minorHAnsi"/>
          <w:b/>
          <w:lang w:val="cs-CZ"/>
        </w:rPr>
        <w:t xml:space="preserve"> 6</w:t>
      </w:r>
      <w:r w:rsidR="001071B8">
        <w:rPr>
          <w:rFonts w:asciiTheme="minorHAnsi" w:hAnsiTheme="minorHAnsi" w:cstheme="minorHAnsi"/>
          <w:b/>
          <w:lang w:val="cs-CZ"/>
        </w:rPr>
        <w:t>,</w:t>
      </w:r>
      <w:r w:rsidRPr="00825540">
        <w:rPr>
          <w:rFonts w:asciiTheme="minorHAnsi" w:hAnsiTheme="minorHAnsi" w:cstheme="minorHAnsi"/>
          <w:b/>
          <w:lang w:val="cs-CZ"/>
        </w:rPr>
        <w:t xml:space="preserve"> na základě smlouvy ze dne 31.</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1.</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2007, jejíž platnost byla prodloužena dodatkem ze dne 20.</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11.</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200</w:t>
      </w:r>
      <w:r w:rsidR="00DB2F3A" w:rsidRPr="00825540">
        <w:rPr>
          <w:rFonts w:asciiTheme="minorHAnsi" w:hAnsiTheme="minorHAnsi" w:cstheme="minorHAnsi"/>
          <w:b/>
          <w:lang w:val="cs-CZ"/>
        </w:rPr>
        <w:t>8 do doby vyhlášení</w:t>
      </w:r>
      <w:r w:rsidR="00074186" w:rsidRPr="00825540">
        <w:rPr>
          <w:rFonts w:asciiTheme="minorHAnsi" w:hAnsiTheme="minorHAnsi" w:cstheme="minorHAnsi"/>
          <w:b/>
          <w:lang w:val="cs-CZ"/>
        </w:rPr>
        <w:t xml:space="preserve"> výběrové</w:t>
      </w:r>
      <w:r w:rsidR="00DB2F3A" w:rsidRPr="00825540">
        <w:rPr>
          <w:rFonts w:asciiTheme="minorHAnsi" w:hAnsiTheme="minorHAnsi" w:cstheme="minorHAnsi"/>
          <w:b/>
          <w:lang w:val="cs-CZ"/>
        </w:rPr>
        <w:t>ho</w:t>
      </w:r>
      <w:r w:rsidR="00074186" w:rsidRPr="00825540">
        <w:rPr>
          <w:rFonts w:asciiTheme="minorHAnsi" w:hAnsiTheme="minorHAnsi" w:cstheme="minorHAnsi"/>
          <w:b/>
          <w:lang w:val="cs-CZ"/>
        </w:rPr>
        <w:t xml:space="preserve"> řízení</w:t>
      </w:r>
      <w:r w:rsidR="005049CE" w:rsidRPr="00825540">
        <w:rPr>
          <w:rFonts w:asciiTheme="minorHAnsi" w:hAnsiTheme="minorHAnsi" w:cstheme="minorHAnsi"/>
          <w:b/>
          <w:lang w:val="cs-CZ"/>
        </w:rPr>
        <w:t>, a to v</w:t>
      </w:r>
      <w:r w:rsidR="001071B8">
        <w:rPr>
          <w:rFonts w:asciiTheme="minorHAnsi" w:hAnsiTheme="minorHAnsi" w:cstheme="minorHAnsi"/>
          <w:b/>
          <w:lang w:val="cs-CZ"/>
        </w:rPr>
        <w:t> </w:t>
      </w:r>
      <w:r w:rsidR="00DB2F3A" w:rsidRPr="00825540">
        <w:rPr>
          <w:rFonts w:asciiTheme="minorHAnsi" w:hAnsiTheme="minorHAnsi" w:cstheme="minorHAnsi"/>
          <w:b/>
          <w:lang w:val="cs-CZ"/>
        </w:rPr>
        <w:t>podstatě na dobu neurčitou, neboť termín nového zadávacího řízení nebyl určen.</w:t>
      </w:r>
      <w:r w:rsidR="00631A8A" w:rsidRPr="00825540">
        <w:rPr>
          <w:rFonts w:asciiTheme="minorHAnsi" w:hAnsiTheme="minorHAnsi" w:cstheme="minorHAnsi"/>
          <w:b/>
          <w:lang w:val="cs-CZ"/>
        </w:rPr>
        <w:t xml:space="preserve"> </w:t>
      </w:r>
      <w:r w:rsidRPr="00825540">
        <w:rPr>
          <w:rFonts w:asciiTheme="minorHAnsi" w:hAnsiTheme="minorHAnsi" w:cstheme="minorHAnsi"/>
          <w:b/>
          <w:bCs/>
          <w:iCs/>
          <w:lang w:val="cs-CZ"/>
        </w:rPr>
        <w:t xml:space="preserve">MPSV tak </w:t>
      </w:r>
      <w:r w:rsidR="006E66E1" w:rsidRPr="00825540">
        <w:rPr>
          <w:rFonts w:asciiTheme="minorHAnsi" w:hAnsiTheme="minorHAnsi" w:cstheme="minorHAnsi"/>
          <w:b/>
          <w:bCs/>
          <w:iCs/>
          <w:lang w:val="cs-CZ"/>
        </w:rPr>
        <w:t>porušilo povinnost dodržet zásadu rovného z</w:t>
      </w:r>
      <w:r w:rsidR="001071B8">
        <w:rPr>
          <w:rFonts w:asciiTheme="minorHAnsi" w:hAnsiTheme="minorHAnsi" w:cstheme="minorHAnsi"/>
          <w:b/>
          <w:bCs/>
          <w:iCs/>
          <w:lang w:val="cs-CZ"/>
        </w:rPr>
        <w:t>acházení a diskriminace podle § </w:t>
      </w:r>
      <w:r w:rsidR="006E66E1" w:rsidRPr="00825540">
        <w:rPr>
          <w:rFonts w:asciiTheme="minorHAnsi" w:hAnsiTheme="minorHAnsi" w:cstheme="minorHAnsi"/>
          <w:b/>
          <w:bCs/>
          <w:iCs/>
          <w:lang w:val="cs-CZ"/>
        </w:rPr>
        <w:t xml:space="preserve">6 zákona </w:t>
      </w:r>
      <w:r w:rsidR="001071B8">
        <w:rPr>
          <w:rFonts w:asciiTheme="minorHAnsi" w:hAnsiTheme="minorHAnsi" w:cstheme="minorHAnsi"/>
          <w:b/>
          <w:bCs/>
          <w:iCs/>
          <w:lang w:val="cs-CZ"/>
        </w:rPr>
        <w:t>č. </w:t>
      </w:r>
      <w:r w:rsidR="006E66E1" w:rsidRPr="00825540">
        <w:rPr>
          <w:rFonts w:asciiTheme="minorHAnsi" w:hAnsiTheme="minorHAnsi" w:cstheme="minorHAnsi"/>
          <w:b/>
          <w:bCs/>
          <w:iCs/>
          <w:lang w:val="cs-CZ"/>
        </w:rPr>
        <w:t xml:space="preserve">137/2006 </w:t>
      </w:r>
      <w:r w:rsidR="00647BC9" w:rsidRPr="00825540">
        <w:rPr>
          <w:rFonts w:asciiTheme="minorHAnsi" w:hAnsiTheme="minorHAnsi" w:cstheme="minorHAnsi"/>
          <w:b/>
          <w:bCs/>
          <w:iCs/>
          <w:lang w:val="cs-CZ"/>
        </w:rPr>
        <w:t>S</w:t>
      </w:r>
      <w:r w:rsidR="006E66E1" w:rsidRPr="00825540">
        <w:rPr>
          <w:rFonts w:asciiTheme="minorHAnsi" w:hAnsiTheme="minorHAnsi" w:cstheme="minorHAnsi"/>
          <w:b/>
          <w:bCs/>
          <w:iCs/>
          <w:lang w:val="cs-CZ"/>
        </w:rPr>
        <w:t xml:space="preserve">b. Zároveň </w:t>
      </w:r>
      <w:r w:rsidRPr="00825540">
        <w:rPr>
          <w:rFonts w:asciiTheme="minorHAnsi" w:hAnsiTheme="minorHAnsi" w:cstheme="minorHAnsi"/>
          <w:b/>
          <w:bCs/>
          <w:iCs/>
          <w:lang w:val="cs-CZ"/>
        </w:rPr>
        <w:t>nemělo možnost vyhodnotit případnou ekonomickou výhodnost jednotlivých potenciálních nabídek.</w:t>
      </w:r>
      <w:r w:rsidR="0028045B" w:rsidRPr="00825540">
        <w:rPr>
          <w:rFonts w:asciiTheme="minorHAnsi" w:hAnsiTheme="minorHAnsi" w:cstheme="minorHAnsi"/>
          <w:b/>
          <w:bCs/>
          <w:iCs/>
          <w:lang w:val="cs-CZ"/>
        </w:rPr>
        <w:t xml:space="preserve"> </w:t>
      </w:r>
    </w:p>
    <w:p w14:paraId="4DF64F9F" w14:textId="159B5A47" w:rsidR="00631A8A" w:rsidRPr="00A17659" w:rsidRDefault="00631A8A" w:rsidP="00825540">
      <w:pPr>
        <w:ind w:left="284"/>
        <w:jc w:val="both"/>
        <w:rPr>
          <w:rFonts w:asciiTheme="minorHAnsi" w:hAnsiTheme="minorHAnsi" w:cstheme="minorHAnsi"/>
          <w:lang w:val="cs-CZ"/>
        </w:rPr>
      </w:pPr>
      <w:r w:rsidRPr="00A17659">
        <w:rPr>
          <w:rFonts w:asciiTheme="minorHAnsi" w:hAnsiTheme="minorHAnsi" w:cstheme="minorHAnsi"/>
          <w:lang w:val="cs-CZ"/>
        </w:rPr>
        <w:t xml:space="preserve">Služby ostrahy objektu </w:t>
      </w:r>
      <w:r w:rsidR="00CD5D83">
        <w:rPr>
          <w:rFonts w:asciiTheme="minorHAnsi" w:hAnsiTheme="minorHAnsi" w:cstheme="minorHAnsi"/>
          <w:lang w:val="cs-CZ"/>
        </w:rPr>
        <w:t xml:space="preserve">na adrese </w:t>
      </w:r>
      <w:r w:rsidRPr="00A17659">
        <w:rPr>
          <w:rFonts w:asciiTheme="minorHAnsi" w:hAnsiTheme="minorHAnsi" w:cstheme="minorHAnsi"/>
          <w:lang w:val="cs-CZ"/>
        </w:rPr>
        <w:t>Veleslavínská 1</w:t>
      </w:r>
      <w:r w:rsidR="00CD5D83">
        <w:rPr>
          <w:rFonts w:asciiTheme="minorHAnsi" w:hAnsiTheme="minorHAnsi" w:cstheme="minorHAnsi"/>
          <w:lang w:val="cs-CZ"/>
        </w:rPr>
        <w:t>,</w:t>
      </w:r>
      <w:r w:rsidRPr="00A17659">
        <w:rPr>
          <w:rFonts w:asciiTheme="minorHAnsi" w:hAnsiTheme="minorHAnsi" w:cstheme="minorHAnsi"/>
          <w:lang w:val="cs-CZ"/>
        </w:rPr>
        <w:t xml:space="preserve"> Pra</w:t>
      </w:r>
      <w:r w:rsidR="00CD5D83">
        <w:rPr>
          <w:rFonts w:asciiTheme="minorHAnsi" w:hAnsiTheme="minorHAnsi" w:cstheme="minorHAnsi"/>
          <w:lang w:val="cs-CZ"/>
        </w:rPr>
        <w:t>ha</w:t>
      </w:r>
      <w:r w:rsidRPr="00A17659">
        <w:rPr>
          <w:rFonts w:asciiTheme="minorHAnsi" w:hAnsiTheme="minorHAnsi" w:cstheme="minorHAnsi"/>
          <w:lang w:val="cs-CZ"/>
        </w:rPr>
        <w:t xml:space="preserve"> 6</w:t>
      </w:r>
      <w:r w:rsidR="00CD5D83">
        <w:rPr>
          <w:rFonts w:asciiTheme="minorHAnsi" w:hAnsiTheme="minorHAnsi" w:cstheme="minorHAnsi"/>
          <w:lang w:val="cs-CZ"/>
        </w:rPr>
        <w:t>,</w:t>
      </w:r>
      <w:r w:rsidRPr="00A17659">
        <w:rPr>
          <w:rFonts w:asciiTheme="minorHAnsi" w:hAnsiTheme="minorHAnsi" w:cstheme="minorHAnsi"/>
          <w:lang w:val="cs-CZ"/>
        </w:rPr>
        <w:t xml:space="preserve"> poskytoval MPSV dodavatel na základě </w:t>
      </w:r>
      <w:r w:rsidR="00CD5D83">
        <w:rPr>
          <w:rFonts w:asciiTheme="minorHAnsi" w:hAnsiTheme="minorHAnsi" w:cstheme="minorHAnsi"/>
          <w:lang w:val="cs-CZ"/>
        </w:rPr>
        <w:t>m</w:t>
      </w:r>
      <w:r w:rsidRPr="00A17659">
        <w:rPr>
          <w:rFonts w:asciiTheme="minorHAnsi" w:hAnsiTheme="minorHAnsi" w:cstheme="minorHAnsi"/>
          <w:lang w:val="cs-CZ"/>
        </w:rPr>
        <w:t>andátní smlouvy uzavřené dne 31.</w:t>
      </w:r>
      <w:r w:rsidR="00E9785A">
        <w:rPr>
          <w:rFonts w:asciiTheme="minorHAnsi" w:hAnsiTheme="minorHAnsi" w:cstheme="minorHAnsi"/>
          <w:lang w:val="cs-CZ"/>
        </w:rPr>
        <w:t xml:space="preserve"> </w:t>
      </w:r>
      <w:r w:rsidRPr="00A17659">
        <w:rPr>
          <w:rFonts w:asciiTheme="minorHAnsi" w:hAnsiTheme="minorHAnsi" w:cstheme="minorHAnsi"/>
          <w:lang w:val="cs-CZ"/>
        </w:rPr>
        <w:t>1.</w:t>
      </w:r>
      <w:r w:rsidR="00E9785A">
        <w:rPr>
          <w:rFonts w:asciiTheme="minorHAnsi" w:hAnsiTheme="minorHAnsi" w:cstheme="minorHAnsi"/>
          <w:lang w:val="cs-CZ"/>
        </w:rPr>
        <w:t xml:space="preserve"> </w:t>
      </w:r>
      <w:r w:rsidRPr="00A17659">
        <w:rPr>
          <w:rFonts w:asciiTheme="minorHAnsi" w:hAnsiTheme="minorHAnsi" w:cstheme="minorHAnsi"/>
          <w:lang w:val="cs-CZ"/>
        </w:rPr>
        <w:t>2007. Dodatkem č. 2 ze dne 20.</w:t>
      </w:r>
      <w:r w:rsidR="00E9785A">
        <w:rPr>
          <w:rFonts w:asciiTheme="minorHAnsi" w:hAnsiTheme="minorHAnsi" w:cstheme="minorHAnsi"/>
          <w:lang w:val="cs-CZ"/>
        </w:rPr>
        <w:t xml:space="preserve"> </w:t>
      </w:r>
      <w:r w:rsidRPr="00A17659">
        <w:rPr>
          <w:rFonts w:asciiTheme="minorHAnsi" w:hAnsiTheme="minorHAnsi" w:cstheme="minorHAnsi"/>
          <w:lang w:val="cs-CZ"/>
        </w:rPr>
        <w:t>11.</w:t>
      </w:r>
      <w:r w:rsidR="00E9785A">
        <w:rPr>
          <w:rFonts w:asciiTheme="minorHAnsi" w:hAnsiTheme="minorHAnsi" w:cstheme="minorHAnsi"/>
          <w:lang w:val="cs-CZ"/>
        </w:rPr>
        <w:t xml:space="preserve"> </w:t>
      </w:r>
      <w:r w:rsidRPr="00A17659">
        <w:rPr>
          <w:rFonts w:asciiTheme="minorHAnsi" w:hAnsiTheme="minorHAnsi" w:cstheme="minorHAnsi"/>
          <w:lang w:val="cs-CZ"/>
        </w:rPr>
        <w:t>2008 k</w:t>
      </w:r>
      <w:r w:rsidR="00825540">
        <w:rPr>
          <w:rFonts w:asciiTheme="minorHAnsi" w:hAnsiTheme="minorHAnsi" w:cstheme="minorHAnsi"/>
          <w:lang w:val="cs-CZ"/>
        </w:rPr>
        <w:t> </w:t>
      </w:r>
      <w:r w:rsidR="00CD5D83">
        <w:rPr>
          <w:rFonts w:asciiTheme="minorHAnsi" w:hAnsiTheme="minorHAnsi" w:cstheme="minorHAnsi"/>
          <w:lang w:val="cs-CZ"/>
        </w:rPr>
        <w:t>m</w:t>
      </w:r>
      <w:r w:rsidRPr="00A17659">
        <w:rPr>
          <w:rFonts w:asciiTheme="minorHAnsi" w:hAnsiTheme="minorHAnsi" w:cstheme="minorHAnsi"/>
          <w:lang w:val="cs-CZ"/>
        </w:rPr>
        <w:t>andátní smlouvě byla prodloužena platnost smlouvy do doby ukončení následně vyhlášeného výběrového řízení. Uzavřením dodatku č. 2 k</w:t>
      </w:r>
      <w:r w:rsidR="00E9785A">
        <w:rPr>
          <w:rFonts w:asciiTheme="minorHAnsi" w:hAnsiTheme="minorHAnsi" w:cstheme="minorHAnsi"/>
          <w:lang w:val="cs-CZ"/>
        </w:rPr>
        <w:t xml:space="preserve"> </w:t>
      </w:r>
      <w:r w:rsidRPr="00A17659">
        <w:rPr>
          <w:rFonts w:asciiTheme="minorHAnsi" w:hAnsiTheme="minorHAnsi" w:cstheme="minorHAnsi"/>
          <w:lang w:val="cs-CZ"/>
        </w:rPr>
        <w:t>původní smlouvě došlo</w:t>
      </w:r>
      <w:r w:rsidR="0090164A" w:rsidRPr="0090164A">
        <w:rPr>
          <w:rFonts w:asciiTheme="minorHAnsi" w:hAnsiTheme="minorHAnsi" w:cstheme="minorHAnsi"/>
          <w:lang w:val="cs-CZ"/>
        </w:rPr>
        <w:t xml:space="preserve"> </w:t>
      </w:r>
      <w:r w:rsidR="0090164A" w:rsidRPr="00A17659">
        <w:rPr>
          <w:rFonts w:asciiTheme="minorHAnsi" w:hAnsiTheme="minorHAnsi" w:cstheme="minorHAnsi"/>
          <w:lang w:val="cs-CZ"/>
        </w:rPr>
        <w:t>k</w:t>
      </w:r>
      <w:r w:rsidR="0090164A">
        <w:rPr>
          <w:rFonts w:asciiTheme="minorHAnsi" w:hAnsiTheme="minorHAnsi" w:cstheme="minorHAnsi"/>
          <w:lang w:val="cs-CZ"/>
        </w:rPr>
        <w:t xml:space="preserve"> </w:t>
      </w:r>
      <w:r w:rsidR="0090164A" w:rsidRPr="00A17659">
        <w:rPr>
          <w:rFonts w:asciiTheme="minorHAnsi" w:hAnsiTheme="minorHAnsi" w:cstheme="minorHAnsi"/>
          <w:lang w:val="cs-CZ"/>
        </w:rPr>
        <w:t>zadání n</w:t>
      </w:r>
      <w:r w:rsidR="0090164A">
        <w:rPr>
          <w:rFonts w:asciiTheme="minorHAnsi" w:hAnsiTheme="minorHAnsi" w:cstheme="minorHAnsi"/>
          <w:lang w:val="cs-CZ"/>
        </w:rPr>
        <w:t>ové veřejné zakázky</w:t>
      </w:r>
      <w:r w:rsidRPr="00A17659">
        <w:rPr>
          <w:rFonts w:asciiTheme="minorHAnsi" w:hAnsiTheme="minorHAnsi" w:cstheme="minorHAnsi"/>
          <w:lang w:val="cs-CZ"/>
        </w:rPr>
        <w:t>, aniž by tak učinilo MPSV v</w:t>
      </w:r>
      <w:r w:rsidR="00E9785A">
        <w:rPr>
          <w:rFonts w:asciiTheme="minorHAnsi" w:hAnsiTheme="minorHAnsi" w:cstheme="minorHAnsi"/>
          <w:lang w:val="cs-CZ"/>
        </w:rPr>
        <w:t xml:space="preserve"> </w:t>
      </w:r>
      <w:r w:rsidRPr="00A17659">
        <w:rPr>
          <w:rFonts w:asciiTheme="minorHAnsi" w:hAnsiTheme="minorHAnsi" w:cstheme="minorHAnsi"/>
          <w:lang w:val="cs-CZ"/>
        </w:rPr>
        <w:t xml:space="preserve">zadávacím řízení, </w:t>
      </w:r>
      <w:r w:rsidR="005049CE">
        <w:rPr>
          <w:rFonts w:asciiTheme="minorHAnsi" w:hAnsiTheme="minorHAnsi" w:cstheme="minorHAnsi"/>
          <w:lang w:val="cs-CZ"/>
        </w:rPr>
        <w:t>a to v</w:t>
      </w:r>
      <w:r w:rsidRPr="00A17659">
        <w:rPr>
          <w:rFonts w:asciiTheme="minorHAnsi" w:hAnsiTheme="minorHAnsi" w:cstheme="minorHAnsi"/>
          <w:lang w:val="cs-CZ"/>
        </w:rPr>
        <w:t xml:space="preserve"> podstatě na dobu neurčitou, neboť doba provedení nového za</w:t>
      </w:r>
      <w:r w:rsidR="00825540">
        <w:rPr>
          <w:rFonts w:asciiTheme="minorHAnsi" w:hAnsiTheme="minorHAnsi" w:cstheme="minorHAnsi"/>
          <w:lang w:val="cs-CZ"/>
        </w:rPr>
        <w:t>dávacího řízení nebyla určena a </w:t>
      </w:r>
      <w:r w:rsidRPr="00A17659">
        <w:rPr>
          <w:rFonts w:asciiTheme="minorHAnsi" w:hAnsiTheme="minorHAnsi" w:cstheme="minorHAnsi"/>
          <w:lang w:val="cs-CZ"/>
        </w:rPr>
        <w:t>výběrové řízení se nakonec neuskutečnilo. V</w:t>
      </w:r>
      <w:r w:rsidR="0090164A">
        <w:rPr>
          <w:rFonts w:asciiTheme="minorHAnsi" w:hAnsiTheme="minorHAnsi" w:cstheme="minorHAnsi"/>
          <w:lang w:val="cs-CZ"/>
        </w:rPr>
        <w:t> </w:t>
      </w:r>
      <w:r w:rsidRPr="00A17659">
        <w:rPr>
          <w:rFonts w:asciiTheme="minorHAnsi" w:hAnsiTheme="minorHAnsi" w:cstheme="minorHAnsi"/>
          <w:lang w:val="cs-CZ"/>
        </w:rPr>
        <w:t>současné době má již příslušnost hospodařit s</w:t>
      </w:r>
      <w:r w:rsidR="00E9785A">
        <w:rPr>
          <w:rFonts w:asciiTheme="minorHAnsi" w:hAnsiTheme="minorHAnsi" w:cstheme="minorHAnsi"/>
          <w:lang w:val="cs-CZ"/>
        </w:rPr>
        <w:t xml:space="preserve"> </w:t>
      </w:r>
      <w:r w:rsidRPr="00A17659">
        <w:rPr>
          <w:rFonts w:asciiTheme="minorHAnsi" w:hAnsiTheme="minorHAnsi" w:cstheme="minorHAnsi"/>
          <w:lang w:val="cs-CZ"/>
        </w:rPr>
        <w:t>tímto nemovitým majetkem Úřad pro zastupování státu ve věcech majetkových.</w:t>
      </w:r>
    </w:p>
    <w:p w14:paraId="7D5961F2" w14:textId="2F084227" w:rsidR="00EF0D67" w:rsidRPr="00825540" w:rsidRDefault="00EF0D67" w:rsidP="00825540">
      <w:pPr>
        <w:pStyle w:val="Odstavecseseznamem"/>
        <w:numPr>
          <w:ilvl w:val="1"/>
          <w:numId w:val="42"/>
        </w:numPr>
        <w:ind w:left="284" w:hanging="284"/>
        <w:jc w:val="both"/>
        <w:rPr>
          <w:rFonts w:asciiTheme="minorHAnsi" w:hAnsiTheme="minorHAnsi" w:cstheme="minorHAnsi"/>
          <w:b/>
          <w:lang w:val="cs-CZ"/>
        </w:rPr>
      </w:pPr>
      <w:r w:rsidRPr="00825540">
        <w:rPr>
          <w:rFonts w:asciiTheme="minorHAnsi" w:hAnsiTheme="minorHAnsi" w:cstheme="minorHAnsi"/>
          <w:b/>
          <w:lang w:val="cs-CZ"/>
        </w:rPr>
        <w:t>MPSV neprověřovalo v</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 xml:space="preserve">roce 2013 ekonomickou výhodnost výkonu ostrahy objektů </w:t>
      </w:r>
      <w:r w:rsidR="0090164A">
        <w:rPr>
          <w:rFonts w:asciiTheme="minorHAnsi" w:hAnsiTheme="minorHAnsi" w:cstheme="minorHAnsi"/>
          <w:b/>
          <w:lang w:val="cs-CZ"/>
        </w:rPr>
        <w:t xml:space="preserve">na adresách </w:t>
      </w:r>
      <w:r w:rsidRPr="00825540">
        <w:rPr>
          <w:rFonts w:asciiTheme="minorHAnsi" w:hAnsiTheme="minorHAnsi" w:cstheme="minorHAnsi"/>
          <w:b/>
          <w:lang w:val="cs-CZ"/>
        </w:rPr>
        <w:t>Podskalská 19</w:t>
      </w:r>
      <w:r w:rsidR="0090164A">
        <w:rPr>
          <w:rFonts w:asciiTheme="minorHAnsi" w:hAnsiTheme="minorHAnsi" w:cstheme="minorHAnsi"/>
          <w:b/>
          <w:lang w:val="cs-CZ"/>
        </w:rPr>
        <w:t>,</w:t>
      </w:r>
      <w:r w:rsidRPr="00825540">
        <w:rPr>
          <w:rFonts w:asciiTheme="minorHAnsi" w:hAnsiTheme="minorHAnsi" w:cstheme="minorHAnsi"/>
          <w:b/>
          <w:lang w:val="cs-CZ"/>
        </w:rPr>
        <w:t xml:space="preserve"> Pra</w:t>
      </w:r>
      <w:r w:rsidR="0090164A">
        <w:rPr>
          <w:rFonts w:asciiTheme="minorHAnsi" w:hAnsiTheme="minorHAnsi" w:cstheme="minorHAnsi"/>
          <w:b/>
          <w:lang w:val="cs-CZ"/>
        </w:rPr>
        <w:t>ha</w:t>
      </w:r>
      <w:r w:rsidRPr="00825540">
        <w:rPr>
          <w:rFonts w:asciiTheme="minorHAnsi" w:hAnsiTheme="minorHAnsi" w:cstheme="minorHAnsi"/>
          <w:b/>
          <w:lang w:val="cs-CZ"/>
        </w:rPr>
        <w:t xml:space="preserve"> 2, Na Poříčním právu 1</w:t>
      </w:r>
      <w:r w:rsidR="0090164A">
        <w:rPr>
          <w:rFonts w:asciiTheme="minorHAnsi" w:hAnsiTheme="minorHAnsi" w:cstheme="minorHAnsi"/>
          <w:b/>
          <w:lang w:val="cs-CZ"/>
        </w:rPr>
        <w:t>,</w:t>
      </w:r>
      <w:r w:rsidRPr="00825540">
        <w:rPr>
          <w:rFonts w:asciiTheme="minorHAnsi" w:hAnsiTheme="minorHAnsi" w:cstheme="minorHAnsi"/>
          <w:b/>
          <w:lang w:val="cs-CZ"/>
        </w:rPr>
        <w:t xml:space="preserve"> Pra</w:t>
      </w:r>
      <w:r w:rsidR="0090164A">
        <w:rPr>
          <w:rFonts w:asciiTheme="minorHAnsi" w:hAnsiTheme="minorHAnsi" w:cstheme="minorHAnsi"/>
          <w:b/>
          <w:lang w:val="cs-CZ"/>
        </w:rPr>
        <w:t>ha</w:t>
      </w:r>
      <w:r w:rsidRPr="00825540">
        <w:rPr>
          <w:rFonts w:asciiTheme="minorHAnsi" w:hAnsiTheme="minorHAnsi" w:cstheme="minorHAnsi"/>
          <w:b/>
          <w:lang w:val="cs-CZ"/>
        </w:rPr>
        <w:t xml:space="preserve"> 2</w:t>
      </w:r>
      <w:r w:rsidR="0090164A">
        <w:rPr>
          <w:rFonts w:asciiTheme="minorHAnsi" w:hAnsiTheme="minorHAnsi" w:cstheme="minorHAnsi"/>
          <w:b/>
          <w:lang w:val="cs-CZ"/>
        </w:rPr>
        <w:t>,</w:t>
      </w:r>
      <w:r w:rsidRPr="00825540">
        <w:rPr>
          <w:rFonts w:asciiTheme="minorHAnsi" w:hAnsiTheme="minorHAnsi" w:cstheme="minorHAnsi"/>
          <w:b/>
          <w:lang w:val="cs-CZ"/>
        </w:rPr>
        <w:t xml:space="preserve"> a Karlovo námě</w:t>
      </w:r>
      <w:r w:rsidR="0090164A">
        <w:rPr>
          <w:rFonts w:asciiTheme="minorHAnsi" w:hAnsiTheme="minorHAnsi" w:cstheme="minorHAnsi"/>
          <w:b/>
          <w:lang w:val="cs-CZ"/>
        </w:rPr>
        <w:t>stí </w:t>
      </w:r>
      <w:r w:rsidRPr="00825540">
        <w:rPr>
          <w:rFonts w:asciiTheme="minorHAnsi" w:hAnsiTheme="minorHAnsi" w:cstheme="minorHAnsi"/>
          <w:b/>
          <w:lang w:val="cs-CZ"/>
        </w:rPr>
        <w:t>1</w:t>
      </w:r>
      <w:r w:rsidR="0090164A">
        <w:rPr>
          <w:rFonts w:asciiTheme="minorHAnsi" w:hAnsiTheme="minorHAnsi" w:cstheme="minorHAnsi"/>
          <w:b/>
          <w:lang w:val="cs-CZ"/>
        </w:rPr>
        <w:t>,</w:t>
      </w:r>
      <w:r w:rsidRPr="00825540">
        <w:rPr>
          <w:rFonts w:asciiTheme="minorHAnsi" w:hAnsiTheme="minorHAnsi" w:cstheme="minorHAnsi"/>
          <w:b/>
          <w:lang w:val="cs-CZ"/>
        </w:rPr>
        <w:t xml:space="preserve"> Pra</w:t>
      </w:r>
      <w:r w:rsidR="0090164A">
        <w:rPr>
          <w:rFonts w:asciiTheme="minorHAnsi" w:hAnsiTheme="minorHAnsi" w:cstheme="minorHAnsi"/>
          <w:b/>
          <w:lang w:val="cs-CZ"/>
        </w:rPr>
        <w:t>ha</w:t>
      </w:r>
      <w:r w:rsidRPr="00825540">
        <w:rPr>
          <w:rFonts w:asciiTheme="minorHAnsi" w:hAnsiTheme="minorHAnsi" w:cstheme="minorHAnsi"/>
          <w:b/>
          <w:lang w:val="cs-CZ"/>
        </w:rPr>
        <w:t xml:space="preserve"> 2</w:t>
      </w:r>
      <w:r w:rsidR="0090164A">
        <w:rPr>
          <w:rFonts w:asciiTheme="minorHAnsi" w:hAnsiTheme="minorHAnsi" w:cstheme="minorHAnsi"/>
          <w:b/>
          <w:lang w:val="cs-CZ"/>
        </w:rPr>
        <w:t>,</w:t>
      </w:r>
      <w:r w:rsidRPr="00825540">
        <w:rPr>
          <w:rFonts w:asciiTheme="minorHAnsi" w:hAnsiTheme="minorHAnsi" w:cstheme="minorHAnsi"/>
          <w:b/>
          <w:lang w:val="cs-CZ"/>
        </w:rPr>
        <w:t xml:space="preserve"> zajišťovan</w:t>
      </w:r>
      <w:r w:rsidR="0090164A">
        <w:rPr>
          <w:rFonts w:asciiTheme="minorHAnsi" w:hAnsiTheme="minorHAnsi" w:cstheme="minorHAnsi"/>
          <w:b/>
          <w:lang w:val="cs-CZ"/>
        </w:rPr>
        <w:t>é</w:t>
      </w:r>
      <w:r w:rsidRPr="00825540">
        <w:rPr>
          <w:rFonts w:asciiTheme="minorHAnsi" w:hAnsiTheme="minorHAnsi" w:cstheme="minorHAnsi"/>
          <w:b/>
          <w:lang w:val="cs-CZ"/>
        </w:rPr>
        <w:t xml:space="preserve"> vlastními zaměstnanci MPSV a nemohlo ověřit ve smyslu § 4 odst. 1 písm. d) zákona č. 320/2001 Sb., zda zvolený způsob ostrahy objektů MPSV naplňuje z</w:t>
      </w:r>
      <w:r w:rsidR="00FF21F7">
        <w:rPr>
          <w:rFonts w:asciiTheme="minorHAnsi" w:hAnsiTheme="minorHAnsi" w:cstheme="minorHAnsi"/>
          <w:b/>
          <w:lang w:val="cs-CZ"/>
        </w:rPr>
        <w:t> </w:t>
      </w:r>
      <w:r w:rsidRPr="00825540">
        <w:rPr>
          <w:rFonts w:asciiTheme="minorHAnsi" w:hAnsiTheme="minorHAnsi" w:cstheme="minorHAnsi"/>
          <w:b/>
          <w:lang w:val="cs-CZ"/>
        </w:rPr>
        <w:t>hlediska cílů finanční kontroly hospodárný výkon státní správy.</w:t>
      </w:r>
    </w:p>
    <w:p w14:paraId="690F8349" w14:textId="465CC1EF" w:rsidR="00092502" w:rsidRPr="00A17659" w:rsidRDefault="00092502" w:rsidP="00825540">
      <w:pPr>
        <w:ind w:left="284"/>
        <w:jc w:val="both"/>
        <w:rPr>
          <w:rFonts w:asciiTheme="minorHAnsi" w:hAnsiTheme="minorHAnsi" w:cstheme="minorHAnsi"/>
          <w:color w:val="000000"/>
          <w:lang w:val="cs-CZ"/>
        </w:rPr>
      </w:pPr>
      <w:r w:rsidRPr="00A17659">
        <w:rPr>
          <w:rFonts w:asciiTheme="minorHAnsi" w:hAnsiTheme="minorHAnsi" w:cstheme="minorHAnsi"/>
          <w:lang w:val="cs-CZ"/>
        </w:rPr>
        <w:t>MPSV v</w:t>
      </w:r>
      <w:r w:rsidR="00E9785A">
        <w:rPr>
          <w:rFonts w:asciiTheme="minorHAnsi" w:hAnsiTheme="minorHAnsi" w:cstheme="minorHAnsi"/>
          <w:lang w:val="cs-CZ"/>
        </w:rPr>
        <w:t xml:space="preserve"> </w:t>
      </w:r>
      <w:r w:rsidRPr="00A17659">
        <w:rPr>
          <w:rFonts w:asciiTheme="minorHAnsi" w:hAnsiTheme="minorHAnsi" w:cstheme="minorHAnsi"/>
          <w:lang w:val="cs-CZ"/>
        </w:rPr>
        <w:t>roce 2013 nezjišťovalo cenu výkonu ostrahy v</w:t>
      </w:r>
      <w:r w:rsidR="00E9785A">
        <w:rPr>
          <w:rFonts w:asciiTheme="minorHAnsi" w:hAnsiTheme="minorHAnsi" w:cstheme="minorHAnsi"/>
          <w:lang w:val="cs-CZ"/>
        </w:rPr>
        <w:t xml:space="preserve"> </w:t>
      </w:r>
      <w:r w:rsidR="00825540">
        <w:rPr>
          <w:rFonts w:asciiTheme="minorHAnsi" w:hAnsiTheme="minorHAnsi" w:cstheme="minorHAnsi"/>
          <w:lang w:val="cs-CZ"/>
        </w:rPr>
        <w:t>čase a místě obvyklou a </w:t>
      </w:r>
      <w:r w:rsidRPr="00A17659">
        <w:rPr>
          <w:rFonts w:asciiTheme="minorHAnsi" w:hAnsiTheme="minorHAnsi" w:cstheme="minorHAnsi"/>
          <w:lang w:val="cs-CZ"/>
        </w:rPr>
        <w:t xml:space="preserve">neprověřovalo ekonomickou výhodnost výkonu ostrahy </w:t>
      </w:r>
      <w:r w:rsidR="00631A8A" w:rsidRPr="00A17659">
        <w:rPr>
          <w:rFonts w:asciiTheme="minorHAnsi" w:hAnsiTheme="minorHAnsi" w:cstheme="minorHAnsi"/>
          <w:lang w:val="cs-CZ"/>
        </w:rPr>
        <w:t>vlastními zaměstnanci</w:t>
      </w:r>
      <w:r w:rsidRPr="00A17659">
        <w:rPr>
          <w:rFonts w:asciiTheme="minorHAnsi" w:hAnsiTheme="minorHAnsi" w:cstheme="minorHAnsi"/>
          <w:lang w:val="cs-CZ"/>
        </w:rPr>
        <w:t>. V</w:t>
      </w:r>
      <w:r w:rsidR="00825540">
        <w:rPr>
          <w:rFonts w:asciiTheme="minorHAnsi" w:hAnsiTheme="minorHAnsi" w:cstheme="minorHAnsi"/>
          <w:lang w:val="cs-CZ"/>
        </w:rPr>
        <w:t> </w:t>
      </w:r>
      <w:r w:rsidRPr="00A17659">
        <w:rPr>
          <w:rFonts w:asciiTheme="minorHAnsi" w:hAnsiTheme="minorHAnsi" w:cstheme="minorHAnsi"/>
          <w:lang w:val="cs-CZ"/>
        </w:rPr>
        <w:t>analýze, kterou si MPSV nechalo zpracovat z</w:t>
      </w:r>
      <w:r w:rsidR="00E9785A">
        <w:rPr>
          <w:rFonts w:asciiTheme="minorHAnsi" w:hAnsiTheme="minorHAnsi" w:cstheme="minorHAnsi"/>
          <w:lang w:val="cs-CZ"/>
        </w:rPr>
        <w:t xml:space="preserve"> </w:t>
      </w:r>
      <w:r w:rsidRPr="00A17659">
        <w:rPr>
          <w:rFonts w:asciiTheme="minorHAnsi" w:hAnsiTheme="minorHAnsi" w:cstheme="minorHAnsi"/>
          <w:lang w:val="cs-CZ"/>
        </w:rPr>
        <w:t>dat roku 2014 a 1. čtvrtletí roku 2015 byla uvedena průměrná výše nákladů na ostrahu objektů MPSV zajišťovanou vlastními zaměstnanci, která za rok 2014 činila 186,43 Kč/hod</w:t>
      </w:r>
      <w:r w:rsidR="00EC5DD5">
        <w:rPr>
          <w:rFonts w:asciiTheme="minorHAnsi" w:hAnsiTheme="minorHAnsi" w:cstheme="minorHAnsi"/>
          <w:lang w:val="cs-CZ"/>
        </w:rPr>
        <w:t xml:space="preserve">. </w:t>
      </w:r>
      <w:r w:rsidRPr="00A17659">
        <w:rPr>
          <w:rFonts w:asciiTheme="minorHAnsi" w:hAnsiTheme="minorHAnsi" w:cstheme="minorHAnsi"/>
          <w:lang w:val="cs-CZ"/>
        </w:rPr>
        <w:t>a za 1.</w:t>
      </w:r>
      <w:r w:rsidR="00E9785A">
        <w:rPr>
          <w:rFonts w:asciiTheme="minorHAnsi" w:hAnsiTheme="minorHAnsi" w:cstheme="minorHAnsi"/>
          <w:lang w:val="cs-CZ"/>
        </w:rPr>
        <w:t xml:space="preserve"> </w:t>
      </w:r>
      <w:r w:rsidRPr="00A17659">
        <w:rPr>
          <w:rFonts w:asciiTheme="minorHAnsi" w:hAnsiTheme="minorHAnsi" w:cstheme="minorHAnsi"/>
          <w:lang w:val="cs-CZ"/>
        </w:rPr>
        <w:t>čtvrtletí roku 2015 činila 190,45 Kč/hod</w:t>
      </w:r>
      <w:r w:rsidR="00EC5DD5">
        <w:rPr>
          <w:rFonts w:asciiTheme="minorHAnsi" w:hAnsiTheme="minorHAnsi" w:cstheme="minorHAnsi"/>
          <w:lang w:val="cs-CZ"/>
        </w:rPr>
        <w:t xml:space="preserve">. </w:t>
      </w:r>
      <w:r w:rsidRPr="00A17659">
        <w:rPr>
          <w:rFonts w:asciiTheme="minorHAnsi" w:hAnsiTheme="minorHAnsi" w:cstheme="minorHAnsi"/>
          <w:lang w:val="cs-CZ"/>
        </w:rPr>
        <w:t>Průměrná výše nákladů na výkon ostrahy objektů v</w:t>
      </w:r>
      <w:r w:rsidR="00E9785A">
        <w:rPr>
          <w:rFonts w:asciiTheme="minorHAnsi" w:hAnsiTheme="minorHAnsi" w:cstheme="minorHAnsi"/>
          <w:lang w:val="cs-CZ"/>
        </w:rPr>
        <w:t xml:space="preserve"> </w:t>
      </w:r>
      <w:r w:rsidRPr="00A17659">
        <w:rPr>
          <w:rFonts w:asciiTheme="minorHAnsi" w:hAnsiTheme="minorHAnsi" w:cstheme="minorHAnsi"/>
          <w:lang w:val="cs-CZ"/>
        </w:rPr>
        <w:t>roce 2014 zajišťovan</w:t>
      </w:r>
      <w:r w:rsidR="0090164A">
        <w:rPr>
          <w:rFonts w:asciiTheme="minorHAnsi" w:hAnsiTheme="minorHAnsi" w:cstheme="minorHAnsi"/>
          <w:lang w:val="cs-CZ"/>
        </w:rPr>
        <w:t>é</w:t>
      </w:r>
      <w:r w:rsidRPr="00A17659">
        <w:rPr>
          <w:rFonts w:asciiTheme="minorHAnsi" w:hAnsiTheme="minorHAnsi" w:cstheme="minorHAnsi"/>
          <w:lang w:val="cs-CZ"/>
        </w:rPr>
        <w:t xml:space="preserve"> </w:t>
      </w:r>
      <w:r w:rsidRPr="00A17659">
        <w:rPr>
          <w:rFonts w:asciiTheme="minorHAnsi" w:hAnsiTheme="minorHAnsi" w:cstheme="minorHAnsi"/>
          <w:lang w:val="cs-CZ"/>
        </w:rPr>
        <w:lastRenderedPageBreak/>
        <w:t>vlastními zaměstnanci MPSV byla o 91,50</w:t>
      </w:r>
      <w:r w:rsidR="00EC5DD5">
        <w:rPr>
          <w:rFonts w:asciiTheme="minorHAnsi" w:hAnsiTheme="minorHAnsi" w:cstheme="minorHAnsi"/>
          <w:lang w:val="cs-CZ"/>
        </w:rPr>
        <w:t> </w:t>
      </w:r>
      <w:r w:rsidRPr="00A17659">
        <w:rPr>
          <w:rFonts w:asciiTheme="minorHAnsi" w:hAnsiTheme="minorHAnsi" w:cstheme="minorHAnsi"/>
          <w:lang w:val="cs-CZ"/>
        </w:rPr>
        <w:t>% vyšší, než činí průměrná cena podnikatelských služeb dle Českého statistického úřadu za 1</w:t>
      </w:r>
      <w:r w:rsidR="00E9785A">
        <w:rPr>
          <w:rFonts w:asciiTheme="minorHAnsi" w:hAnsiTheme="minorHAnsi" w:cstheme="minorHAnsi"/>
          <w:lang w:val="cs-CZ"/>
        </w:rPr>
        <w:t xml:space="preserve"> </w:t>
      </w:r>
      <w:r w:rsidRPr="00A17659">
        <w:rPr>
          <w:rFonts w:asciiTheme="minorHAnsi" w:hAnsiTheme="minorHAnsi" w:cstheme="minorHAnsi"/>
          <w:lang w:val="cs-CZ"/>
        </w:rPr>
        <w:t xml:space="preserve">hodinu strážní služby. </w:t>
      </w:r>
      <w:r w:rsidRPr="00A17659">
        <w:rPr>
          <w:rFonts w:asciiTheme="minorHAnsi" w:hAnsiTheme="minorHAnsi" w:cstheme="minorHAnsi"/>
          <w:color w:val="000000"/>
          <w:lang w:val="cs-CZ"/>
        </w:rPr>
        <w:t>V</w:t>
      </w:r>
      <w:r w:rsidR="00E9785A">
        <w:rPr>
          <w:rFonts w:asciiTheme="minorHAnsi" w:hAnsiTheme="minorHAnsi" w:cstheme="minorHAnsi"/>
          <w:color w:val="000000"/>
          <w:lang w:val="cs-CZ"/>
        </w:rPr>
        <w:t xml:space="preserve"> </w:t>
      </w:r>
      <w:r w:rsidRPr="00A17659">
        <w:rPr>
          <w:rFonts w:asciiTheme="minorHAnsi" w:hAnsiTheme="minorHAnsi" w:cstheme="minorHAnsi"/>
          <w:color w:val="000000"/>
          <w:lang w:val="cs-CZ"/>
        </w:rPr>
        <w:t xml:space="preserve">roce 2015 zadalo MPSV prostřednictvím elektronického tržiště </w:t>
      </w:r>
      <w:proofErr w:type="spellStart"/>
      <w:r w:rsidRPr="00A17659">
        <w:rPr>
          <w:rFonts w:asciiTheme="minorHAnsi" w:hAnsiTheme="minorHAnsi" w:cstheme="minorHAnsi"/>
          <w:color w:val="000000"/>
          <w:lang w:val="cs-CZ"/>
        </w:rPr>
        <w:t>Gemin</w:t>
      </w:r>
      <w:proofErr w:type="spellEnd"/>
      <w:r w:rsidRPr="00A17659">
        <w:rPr>
          <w:rFonts w:asciiTheme="minorHAnsi" w:hAnsiTheme="minorHAnsi" w:cstheme="minorHAnsi"/>
          <w:color w:val="000000"/>
          <w:lang w:val="cs-CZ"/>
        </w:rPr>
        <w:t xml:space="preserve"> veřejnou zakázku </w:t>
      </w:r>
      <w:r w:rsidR="0090164A">
        <w:rPr>
          <w:rFonts w:asciiTheme="minorHAnsi" w:hAnsiTheme="minorHAnsi" w:cstheme="minorHAnsi"/>
          <w:color w:val="000000"/>
          <w:lang w:val="cs-CZ"/>
        </w:rPr>
        <w:t xml:space="preserve">s názvem </w:t>
      </w:r>
      <w:r w:rsidRPr="00A17659">
        <w:rPr>
          <w:rFonts w:asciiTheme="minorHAnsi" w:hAnsiTheme="minorHAnsi" w:cstheme="minorHAnsi"/>
          <w:i/>
          <w:color w:val="000000"/>
          <w:lang w:val="cs-CZ"/>
        </w:rPr>
        <w:t>Zajištění ostrahy objektu MPSV – Podskalská 19, 128 01 Praha 2</w:t>
      </w:r>
      <w:r w:rsidRPr="00A17659">
        <w:rPr>
          <w:rFonts w:asciiTheme="minorHAnsi" w:hAnsiTheme="minorHAnsi" w:cstheme="minorHAnsi"/>
          <w:color w:val="000000"/>
          <w:lang w:val="cs-CZ"/>
        </w:rPr>
        <w:t>. S</w:t>
      </w:r>
      <w:r w:rsidR="00E9785A">
        <w:rPr>
          <w:rFonts w:asciiTheme="minorHAnsi" w:hAnsiTheme="minorHAnsi" w:cstheme="minorHAnsi"/>
          <w:color w:val="000000"/>
          <w:lang w:val="cs-CZ"/>
        </w:rPr>
        <w:t xml:space="preserve"> </w:t>
      </w:r>
      <w:r w:rsidRPr="00A17659">
        <w:rPr>
          <w:rFonts w:asciiTheme="minorHAnsi" w:hAnsiTheme="minorHAnsi" w:cstheme="minorHAnsi"/>
          <w:color w:val="000000"/>
          <w:lang w:val="cs-CZ"/>
        </w:rPr>
        <w:t xml:space="preserve">vybraným uchazečem uzavřelo </w:t>
      </w:r>
      <w:r w:rsidR="00243843" w:rsidRPr="00A17659">
        <w:rPr>
          <w:rFonts w:asciiTheme="minorHAnsi" w:hAnsiTheme="minorHAnsi" w:cstheme="minorHAnsi"/>
          <w:color w:val="000000"/>
          <w:lang w:val="cs-CZ"/>
        </w:rPr>
        <w:t xml:space="preserve">MPSV </w:t>
      </w:r>
      <w:r w:rsidRPr="00A17659">
        <w:rPr>
          <w:rFonts w:asciiTheme="minorHAnsi" w:hAnsiTheme="minorHAnsi" w:cstheme="minorHAnsi"/>
          <w:color w:val="000000"/>
          <w:lang w:val="cs-CZ"/>
        </w:rPr>
        <w:t xml:space="preserve">smlouvu o poskytování fyzické ostrahy objektu </w:t>
      </w:r>
      <w:r w:rsidR="00CD287B" w:rsidRPr="00A17659">
        <w:rPr>
          <w:rFonts w:asciiTheme="minorHAnsi" w:hAnsiTheme="minorHAnsi" w:cstheme="minorHAnsi"/>
          <w:color w:val="000000"/>
          <w:lang w:val="cs-CZ"/>
        </w:rPr>
        <w:t>za jednotkovou cenu 86</w:t>
      </w:r>
      <w:r w:rsidRPr="00A17659">
        <w:rPr>
          <w:rFonts w:asciiTheme="minorHAnsi" w:hAnsiTheme="minorHAnsi" w:cstheme="minorHAnsi"/>
          <w:color w:val="000000"/>
          <w:lang w:val="cs-CZ"/>
        </w:rPr>
        <w:t xml:space="preserve"> Kč bez DPH za hodinu.</w:t>
      </w:r>
    </w:p>
    <w:p w14:paraId="132C89D3" w14:textId="77777777" w:rsidR="00397068" w:rsidRDefault="00397068" w:rsidP="00825540">
      <w:pPr>
        <w:pStyle w:val="Odstavecseseznamem"/>
        <w:ind w:left="284" w:hanging="284"/>
        <w:contextualSpacing w:val="0"/>
        <w:rPr>
          <w:rFonts w:asciiTheme="minorHAnsi" w:hAnsiTheme="minorHAnsi" w:cstheme="minorHAnsi"/>
          <w:b/>
          <w:szCs w:val="22"/>
          <w:lang w:val="cs-CZ"/>
        </w:rPr>
      </w:pPr>
    </w:p>
    <w:p w14:paraId="2EB01242" w14:textId="77777777" w:rsidR="0010084C" w:rsidRPr="00A17659" w:rsidRDefault="00E956D3" w:rsidP="00825540">
      <w:pPr>
        <w:pStyle w:val="Odstavecseseznamem"/>
        <w:ind w:left="0"/>
        <w:contextualSpacing w:val="0"/>
        <w:rPr>
          <w:rFonts w:asciiTheme="minorHAnsi" w:hAnsiTheme="minorHAnsi" w:cstheme="minorHAnsi"/>
          <w:b/>
          <w:szCs w:val="22"/>
          <w:lang w:val="cs-CZ"/>
        </w:rPr>
      </w:pPr>
      <w:r w:rsidRPr="00A17659">
        <w:rPr>
          <w:rFonts w:asciiTheme="minorHAnsi" w:hAnsiTheme="minorHAnsi" w:cstheme="minorHAnsi"/>
          <w:b/>
          <w:color w:val="000000"/>
          <w:lang w:val="cs-CZ"/>
        </w:rPr>
        <w:t xml:space="preserve">6. </w:t>
      </w:r>
      <w:r w:rsidRPr="00A17659">
        <w:rPr>
          <w:rFonts w:asciiTheme="minorHAnsi" w:hAnsiTheme="minorHAnsi" w:cstheme="minorHAnsi"/>
          <w:b/>
          <w:lang w:val="cs-CZ"/>
        </w:rPr>
        <w:t xml:space="preserve">Peněžní prostředky vynaložené na úhradu </w:t>
      </w:r>
      <w:r w:rsidR="0010084C" w:rsidRPr="00A17659">
        <w:rPr>
          <w:rFonts w:asciiTheme="minorHAnsi" w:hAnsiTheme="minorHAnsi" w:cstheme="minorHAnsi"/>
          <w:b/>
          <w:lang w:val="cs-CZ"/>
        </w:rPr>
        <w:t>oprav a udržování motorových vozidel</w:t>
      </w:r>
    </w:p>
    <w:p w14:paraId="33B94711" w14:textId="77777777" w:rsidR="00825540" w:rsidRDefault="00825540" w:rsidP="00825540">
      <w:pPr>
        <w:pStyle w:val="Odstavecseseznamem"/>
        <w:ind w:left="0"/>
        <w:contextualSpacing w:val="0"/>
        <w:jc w:val="both"/>
        <w:rPr>
          <w:rFonts w:asciiTheme="minorHAnsi" w:hAnsiTheme="minorHAnsi" w:cstheme="minorHAnsi"/>
          <w:lang w:val="cs-CZ"/>
        </w:rPr>
      </w:pPr>
    </w:p>
    <w:p w14:paraId="65E82FE4" w14:textId="77777777" w:rsidR="0010084C" w:rsidRDefault="0010084C" w:rsidP="00825540">
      <w:pPr>
        <w:pStyle w:val="Odstavecseseznamem"/>
        <w:ind w:left="0"/>
        <w:contextualSpacing w:val="0"/>
        <w:jc w:val="both"/>
        <w:rPr>
          <w:rFonts w:asciiTheme="minorHAnsi" w:hAnsiTheme="minorHAnsi" w:cstheme="minorHAnsi"/>
          <w:lang w:val="cs-CZ"/>
        </w:rPr>
      </w:pPr>
      <w:r w:rsidRPr="00A17659">
        <w:rPr>
          <w:rFonts w:asciiTheme="minorHAnsi" w:hAnsiTheme="minorHAnsi" w:cstheme="minorHAnsi"/>
          <w:lang w:val="cs-CZ"/>
        </w:rPr>
        <w:t xml:space="preserve">Na základě zjištěné výše peněžních prostředků vynaložených na opravy a udržování </w:t>
      </w:r>
      <w:r w:rsidR="001E35E2" w:rsidRPr="00A17659">
        <w:rPr>
          <w:rFonts w:asciiTheme="minorHAnsi" w:hAnsiTheme="minorHAnsi" w:cstheme="minorHAnsi"/>
          <w:lang w:val="cs-CZ"/>
        </w:rPr>
        <w:t xml:space="preserve">vybraných </w:t>
      </w:r>
      <w:r w:rsidRPr="00A17659">
        <w:rPr>
          <w:rFonts w:asciiTheme="minorHAnsi" w:hAnsiTheme="minorHAnsi" w:cstheme="minorHAnsi"/>
          <w:lang w:val="cs-CZ"/>
        </w:rPr>
        <w:t>motorových vozidel v</w:t>
      </w:r>
      <w:r w:rsidR="00E9785A">
        <w:rPr>
          <w:rFonts w:asciiTheme="minorHAnsi" w:hAnsiTheme="minorHAnsi" w:cstheme="minorHAnsi"/>
          <w:lang w:val="cs-CZ"/>
        </w:rPr>
        <w:t xml:space="preserve"> </w:t>
      </w:r>
      <w:r w:rsidRPr="00A17659">
        <w:rPr>
          <w:rFonts w:asciiTheme="minorHAnsi" w:hAnsiTheme="minorHAnsi" w:cstheme="minorHAnsi"/>
          <w:lang w:val="cs-CZ"/>
        </w:rPr>
        <w:t>letech 2013 a 2014, počtu motorových vozidel a ujetých kilometrů byla vypočtena průměrná výše peněžních prostředků oprav a údržby na jedno motorové</w:t>
      </w:r>
      <w:r w:rsidR="00800EE0" w:rsidRPr="00A17659">
        <w:rPr>
          <w:rFonts w:asciiTheme="minorHAnsi" w:hAnsiTheme="minorHAnsi" w:cstheme="minorHAnsi"/>
          <w:lang w:val="cs-CZ"/>
        </w:rPr>
        <w:t xml:space="preserve"> vozidlo a jeden ujetý kilometr.</w:t>
      </w:r>
    </w:p>
    <w:p w14:paraId="17821A11" w14:textId="77777777" w:rsidR="00825540" w:rsidRPr="00A17659" w:rsidRDefault="00825540" w:rsidP="00825540">
      <w:pPr>
        <w:pStyle w:val="Odstavecseseznamem"/>
        <w:ind w:left="0"/>
        <w:contextualSpacing w:val="0"/>
        <w:jc w:val="both"/>
        <w:rPr>
          <w:rFonts w:asciiTheme="minorHAnsi" w:hAnsiTheme="minorHAnsi" w:cstheme="minorHAnsi"/>
          <w:lang w:val="cs-CZ"/>
        </w:rPr>
      </w:pPr>
    </w:p>
    <w:p w14:paraId="752EC8A7" w14:textId="6F98CD97" w:rsidR="0010084C" w:rsidRPr="00A17659" w:rsidRDefault="0010084C" w:rsidP="00480FAD">
      <w:pPr>
        <w:pStyle w:val="Odstavecseseznamem"/>
        <w:spacing w:after="40"/>
        <w:ind w:left="1418" w:hanging="1418"/>
        <w:contextualSpacing w:val="0"/>
        <w:rPr>
          <w:rFonts w:asciiTheme="minorHAnsi" w:hAnsiTheme="minorHAnsi" w:cstheme="minorHAnsi"/>
          <w:b/>
          <w:lang w:val="cs-CZ"/>
        </w:rPr>
      </w:pPr>
      <w:r w:rsidRPr="00A17659">
        <w:rPr>
          <w:rFonts w:asciiTheme="minorHAnsi" w:hAnsiTheme="minorHAnsi" w:cstheme="minorHAnsi"/>
          <w:b/>
          <w:lang w:val="cs-CZ"/>
        </w:rPr>
        <w:t xml:space="preserve">Tabulka č. </w:t>
      </w:r>
      <w:r w:rsidR="00710447">
        <w:rPr>
          <w:rFonts w:asciiTheme="minorHAnsi" w:hAnsiTheme="minorHAnsi" w:cstheme="minorHAnsi"/>
          <w:b/>
          <w:lang w:val="cs-CZ"/>
        </w:rPr>
        <w:t>8</w:t>
      </w:r>
      <w:r w:rsidR="00480FAD">
        <w:rPr>
          <w:rFonts w:asciiTheme="minorHAnsi" w:hAnsiTheme="minorHAnsi" w:cstheme="minorHAnsi"/>
          <w:b/>
          <w:lang w:val="cs-CZ"/>
        </w:rPr>
        <w:t xml:space="preserve"> –</w:t>
      </w:r>
      <w:r w:rsidR="00480FAD">
        <w:rPr>
          <w:rFonts w:asciiTheme="minorHAnsi" w:hAnsiTheme="minorHAnsi" w:cstheme="minorHAnsi"/>
          <w:b/>
          <w:lang w:val="cs-CZ"/>
        </w:rPr>
        <w:tab/>
        <w:t>P</w:t>
      </w:r>
      <w:r w:rsidR="00480FAD" w:rsidRPr="00480FAD">
        <w:rPr>
          <w:rFonts w:asciiTheme="minorHAnsi" w:hAnsiTheme="minorHAnsi" w:cstheme="minorHAnsi"/>
          <w:b/>
          <w:lang w:val="cs-CZ"/>
        </w:rPr>
        <w:t>eněžní prostředk</w:t>
      </w:r>
      <w:r w:rsidR="00480FAD">
        <w:rPr>
          <w:rFonts w:asciiTheme="minorHAnsi" w:hAnsiTheme="minorHAnsi" w:cstheme="minorHAnsi"/>
          <w:b/>
          <w:lang w:val="cs-CZ"/>
        </w:rPr>
        <w:t>y</w:t>
      </w:r>
      <w:r w:rsidR="00480FAD" w:rsidRPr="00480FAD">
        <w:rPr>
          <w:rFonts w:asciiTheme="minorHAnsi" w:hAnsiTheme="minorHAnsi" w:cstheme="minorHAnsi"/>
          <w:b/>
          <w:lang w:val="cs-CZ"/>
        </w:rPr>
        <w:t xml:space="preserve"> vynaložen</w:t>
      </w:r>
      <w:r w:rsidR="00480FAD">
        <w:rPr>
          <w:rFonts w:asciiTheme="minorHAnsi" w:hAnsiTheme="minorHAnsi" w:cstheme="minorHAnsi"/>
          <w:b/>
          <w:lang w:val="cs-CZ"/>
        </w:rPr>
        <w:t>é</w:t>
      </w:r>
      <w:r w:rsidR="00480FAD" w:rsidRPr="00480FAD">
        <w:rPr>
          <w:rFonts w:asciiTheme="minorHAnsi" w:hAnsiTheme="minorHAnsi" w:cstheme="minorHAnsi"/>
          <w:b/>
          <w:lang w:val="cs-CZ"/>
        </w:rPr>
        <w:t xml:space="preserve"> na opravy a udržování vybraných motorových vozidel v letech 2013 a 2014</w:t>
      </w:r>
    </w:p>
    <w:tbl>
      <w:tblPr>
        <w:tblW w:w="9053" w:type="dxa"/>
        <w:jc w:val="center"/>
        <w:tblCellMar>
          <w:left w:w="70" w:type="dxa"/>
          <w:right w:w="70" w:type="dxa"/>
        </w:tblCellMar>
        <w:tblLook w:val="04A0" w:firstRow="1" w:lastRow="0" w:firstColumn="1" w:lastColumn="0" w:noHBand="0" w:noVBand="1"/>
      </w:tblPr>
      <w:tblGrid>
        <w:gridCol w:w="585"/>
        <w:gridCol w:w="624"/>
        <w:gridCol w:w="1026"/>
        <w:gridCol w:w="1172"/>
        <w:gridCol w:w="1241"/>
        <w:gridCol w:w="1587"/>
        <w:gridCol w:w="1434"/>
        <w:gridCol w:w="1384"/>
      </w:tblGrid>
      <w:tr w:rsidR="0010084C" w:rsidRPr="00891852" w14:paraId="1B78607D" w14:textId="77777777" w:rsidTr="00891852">
        <w:trPr>
          <w:trHeight w:val="227"/>
          <w:jc w:val="center"/>
        </w:trPr>
        <w:tc>
          <w:tcPr>
            <w:tcW w:w="585" w:type="dxa"/>
            <w:tcBorders>
              <w:top w:val="single" w:sz="4" w:space="0" w:color="auto"/>
              <w:left w:val="single" w:sz="4" w:space="0" w:color="auto"/>
              <w:bottom w:val="single" w:sz="4" w:space="0" w:color="auto"/>
              <w:right w:val="single" w:sz="4" w:space="0" w:color="auto"/>
            </w:tcBorders>
            <w:vAlign w:val="center"/>
          </w:tcPr>
          <w:p w14:paraId="1ED49DA4" w14:textId="77777777" w:rsidR="0010084C" w:rsidRPr="00891852" w:rsidRDefault="0010084C" w:rsidP="001A4537">
            <w:pPr>
              <w:jc w:val="center"/>
              <w:rPr>
                <w:rFonts w:ascii="Calibri" w:hAnsi="Calibri" w:cs="Calibri"/>
                <w:sz w:val="18"/>
                <w:szCs w:val="18"/>
                <w:lang w:val="cs-CZ"/>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05080"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Rok</w:t>
            </w:r>
          </w:p>
        </w:tc>
        <w:tc>
          <w:tcPr>
            <w:tcW w:w="1026" w:type="dxa"/>
            <w:tcBorders>
              <w:top w:val="single" w:sz="4" w:space="0" w:color="auto"/>
              <w:left w:val="nil"/>
              <w:bottom w:val="single" w:sz="4" w:space="0" w:color="auto"/>
              <w:right w:val="single" w:sz="4" w:space="0" w:color="auto"/>
            </w:tcBorders>
            <w:vAlign w:val="center"/>
          </w:tcPr>
          <w:p w14:paraId="500D39FB" w14:textId="70463510" w:rsidR="0010084C" w:rsidRPr="00891852" w:rsidRDefault="0010084C" w:rsidP="00480FAD">
            <w:pPr>
              <w:jc w:val="center"/>
              <w:rPr>
                <w:rFonts w:ascii="Calibri" w:hAnsi="Calibri" w:cs="Calibri"/>
                <w:sz w:val="18"/>
                <w:szCs w:val="18"/>
                <w:lang w:val="cs-CZ"/>
              </w:rPr>
            </w:pPr>
            <w:r w:rsidRPr="00891852">
              <w:rPr>
                <w:rFonts w:ascii="Calibri" w:hAnsi="Calibri" w:cs="Calibri"/>
                <w:sz w:val="18"/>
                <w:szCs w:val="18"/>
                <w:lang w:val="cs-CZ"/>
              </w:rPr>
              <w:t>Počet motorových vozidel</w:t>
            </w:r>
            <w:r w:rsidR="00480FAD" w:rsidRPr="00891852">
              <w:rPr>
                <w:rFonts w:ascii="Calibri" w:hAnsi="Calibri" w:cs="Calibri"/>
                <w:sz w:val="18"/>
                <w:szCs w:val="18"/>
                <w:lang w:val="cs-CZ"/>
              </w:rPr>
              <w:t>*</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6763936" w14:textId="506E8B24" w:rsidR="0010084C" w:rsidRPr="00891852" w:rsidRDefault="0010084C" w:rsidP="00480FAD">
            <w:pPr>
              <w:jc w:val="center"/>
              <w:rPr>
                <w:rFonts w:ascii="Calibri" w:hAnsi="Calibri" w:cs="Calibri"/>
                <w:sz w:val="18"/>
                <w:szCs w:val="18"/>
                <w:lang w:val="cs-CZ"/>
              </w:rPr>
            </w:pPr>
            <w:r w:rsidRPr="00891852">
              <w:rPr>
                <w:rFonts w:ascii="Calibri" w:hAnsi="Calibri" w:cs="Calibri"/>
                <w:sz w:val="18"/>
                <w:szCs w:val="18"/>
                <w:lang w:val="cs-CZ"/>
              </w:rPr>
              <w:t>Průměrné stáří motorových vozidel v</w:t>
            </w:r>
            <w:r w:rsidR="00825540" w:rsidRPr="00891852">
              <w:rPr>
                <w:rFonts w:ascii="Calibri" w:hAnsi="Calibri" w:cs="Calibri"/>
                <w:sz w:val="18"/>
                <w:szCs w:val="18"/>
                <w:lang w:val="cs-CZ"/>
              </w:rPr>
              <w:t> </w:t>
            </w:r>
            <w:r w:rsidRPr="00891852">
              <w:rPr>
                <w:rFonts w:ascii="Calibri" w:hAnsi="Calibri" w:cs="Calibri"/>
                <w:sz w:val="18"/>
                <w:szCs w:val="18"/>
                <w:lang w:val="cs-CZ"/>
              </w:rPr>
              <w:t>měsících</w:t>
            </w:r>
            <w:r w:rsidR="00480FAD" w:rsidRPr="00891852">
              <w:rPr>
                <w:rFonts w:ascii="Calibri" w:hAnsi="Calibri" w:cs="Calibri"/>
                <w:sz w:val="18"/>
                <w:szCs w:val="18"/>
                <w:lang w:val="cs-CZ"/>
              </w:rPr>
              <w:t>**</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207D9D18" w14:textId="77777777" w:rsidR="0010084C" w:rsidRPr="00891852" w:rsidRDefault="0010084C" w:rsidP="00495626">
            <w:pPr>
              <w:jc w:val="center"/>
              <w:rPr>
                <w:rFonts w:ascii="Calibri" w:hAnsi="Calibri" w:cs="Calibri"/>
                <w:sz w:val="18"/>
                <w:szCs w:val="18"/>
                <w:lang w:val="cs-CZ"/>
              </w:rPr>
            </w:pPr>
            <w:r w:rsidRPr="00891852">
              <w:rPr>
                <w:rFonts w:ascii="Calibri" w:hAnsi="Calibri" w:cs="Calibri"/>
                <w:sz w:val="18"/>
                <w:szCs w:val="18"/>
                <w:lang w:val="cs-CZ"/>
              </w:rPr>
              <w:t>Celkový počet ujetých km motorovými vozidly za rok</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0E005858"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Peněžní prostředky vynaložen</w:t>
            </w:r>
            <w:r w:rsidR="001E35E2" w:rsidRPr="00891852">
              <w:rPr>
                <w:rFonts w:ascii="Calibri" w:hAnsi="Calibri" w:cs="Calibri"/>
                <w:sz w:val="18"/>
                <w:szCs w:val="18"/>
                <w:lang w:val="cs-CZ"/>
              </w:rPr>
              <w:t>é na opravy a</w:t>
            </w:r>
            <w:r w:rsidR="00E9785A" w:rsidRPr="00891852">
              <w:rPr>
                <w:rFonts w:ascii="Calibri" w:hAnsi="Calibri" w:cs="Calibri"/>
                <w:sz w:val="18"/>
                <w:szCs w:val="18"/>
                <w:lang w:val="cs-CZ"/>
              </w:rPr>
              <w:t xml:space="preserve"> </w:t>
            </w:r>
            <w:r w:rsidR="001E35E2" w:rsidRPr="00891852">
              <w:rPr>
                <w:rFonts w:ascii="Calibri" w:hAnsi="Calibri" w:cs="Calibri"/>
                <w:sz w:val="18"/>
                <w:szCs w:val="18"/>
                <w:lang w:val="cs-CZ"/>
              </w:rPr>
              <w:t>udržování celkem</w:t>
            </w:r>
          </w:p>
          <w:p w14:paraId="3E49EB68"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(v</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Kč)</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34D8BA8A"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Průměrná výše peněžních prostředků vynaložených na opravy a</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 xml:space="preserve">údržbu 1 motorového vozidla </w:t>
            </w:r>
          </w:p>
          <w:p w14:paraId="79791E17"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(v Kč)</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14:paraId="36845004"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Průměrná výše peněžních prostředků vynaložených na opravy a</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údržbu na ujetý 1</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km</w:t>
            </w:r>
          </w:p>
          <w:p w14:paraId="0CFE8671" w14:textId="77777777" w:rsidR="0010084C" w:rsidRPr="00891852" w:rsidRDefault="0010084C" w:rsidP="001A4537">
            <w:pPr>
              <w:jc w:val="center"/>
              <w:rPr>
                <w:rFonts w:ascii="Calibri" w:hAnsi="Calibri" w:cs="Calibri"/>
                <w:sz w:val="18"/>
                <w:szCs w:val="18"/>
                <w:lang w:val="cs-CZ"/>
              </w:rPr>
            </w:pPr>
            <w:r w:rsidRPr="00891852">
              <w:rPr>
                <w:rFonts w:ascii="Calibri" w:hAnsi="Calibri" w:cs="Calibri"/>
                <w:sz w:val="18"/>
                <w:szCs w:val="18"/>
                <w:lang w:val="cs-CZ"/>
              </w:rPr>
              <w:t>(v</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Kč)</w:t>
            </w:r>
          </w:p>
        </w:tc>
      </w:tr>
      <w:tr w:rsidR="0010084C" w:rsidRPr="00891852" w14:paraId="4111C05E" w14:textId="77777777" w:rsidTr="009464B0">
        <w:trPr>
          <w:trHeight w:val="227"/>
          <w:jc w:val="center"/>
        </w:trPr>
        <w:tc>
          <w:tcPr>
            <w:tcW w:w="585" w:type="dxa"/>
            <w:vMerge w:val="restart"/>
            <w:tcBorders>
              <w:top w:val="single" w:sz="4" w:space="0" w:color="auto"/>
              <w:left w:val="single" w:sz="4" w:space="0" w:color="auto"/>
              <w:right w:val="single" w:sz="4" w:space="0" w:color="auto"/>
            </w:tcBorders>
            <w:vAlign w:val="center"/>
          </w:tcPr>
          <w:p w14:paraId="741A612A" w14:textId="77777777" w:rsidR="0010084C" w:rsidRPr="00891852" w:rsidRDefault="0010084C" w:rsidP="009464B0">
            <w:pPr>
              <w:rPr>
                <w:rFonts w:ascii="Calibri" w:hAnsi="Calibri" w:cs="Calibri"/>
                <w:b/>
                <w:bCs/>
                <w:sz w:val="18"/>
                <w:szCs w:val="18"/>
                <w:lang w:val="cs-CZ"/>
              </w:rPr>
            </w:pPr>
            <w:r w:rsidRPr="00891852">
              <w:rPr>
                <w:rFonts w:ascii="Calibri" w:hAnsi="Calibri" w:cs="Calibri"/>
                <w:b/>
                <w:bCs/>
                <w:sz w:val="18"/>
                <w:szCs w:val="18"/>
                <w:lang w:val="cs-CZ"/>
              </w:rPr>
              <w:t>MO</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E8C95" w14:textId="77777777" w:rsidR="0010084C" w:rsidRPr="00891852" w:rsidRDefault="001E35E2" w:rsidP="001A4537">
            <w:pPr>
              <w:jc w:val="center"/>
              <w:rPr>
                <w:rFonts w:ascii="Calibri" w:hAnsi="Calibri" w:cs="Calibri"/>
                <w:b/>
                <w:bCs/>
                <w:sz w:val="18"/>
                <w:szCs w:val="18"/>
                <w:lang w:val="cs-CZ"/>
              </w:rPr>
            </w:pPr>
            <w:r w:rsidRPr="00891852">
              <w:rPr>
                <w:rFonts w:ascii="Calibri" w:hAnsi="Calibri" w:cs="Calibri"/>
                <w:b/>
                <w:bCs/>
                <w:sz w:val="18"/>
                <w:szCs w:val="18"/>
                <w:lang w:val="cs-CZ"/>
              </w:rPr>
              <w:t>2013</w:t>
            </w:r>
          </w:p>
        </w:tc>
        <w:tc>
          <w:tcPr>
            <w:tcW w:w="1026" w:type="dxa"/>
            <w:tcBorders>
              <w:top w:val="single" w:sz="4" w:space="0" w:color="auto"/>
              <w:left w:val="nil"/>
              <w:bottom w:val="single" w:sz="4" w:space="0" w:color="auto"/>
              <w:right w:val="single" w:sz="4" w:space="0" w:color="auto"/>
            </w:tcBorders>
            <w:vAlign w:val="center"/>
          </w:tcPr>
          <w:p w14:paraId="50340193" w14:textId="77777777" w:rsidR="0010084C" w:rsidRPr="00891852" w:rsidRDefault="00495626" w:rsidP="001A4537">
            <w:pPr>
              <w:jc w:val="center"/>
              <w:rPr>
                <w:rFonts w:ascii="Calibri" w:hAnsi="Calibri" w:cs="Calibri"/>
                <w:sz w:val="18"/>
                <w:szCs w:val="18"/>
                <w:lang w:val="cs-CZ"/>
              </w:rPr>
            </w:pPr>
            <w:r w:rsidRPr="00891852">
              <w:rPr>
                <w:rFonts w:ascii="Calibri" w:hAnsi="Calibri" w:cs="Calibri"/>
                <w:sz w:val="18"/>
                <w:szCs w:val="18"/>
                <w:lang w:val="cs-CZ"/>
              </w:rPr>
              <w:t>41</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62D4F3F"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64,53</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34624D7"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598 944</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750016CE"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829</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107,31</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1F77E0B6"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20</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222,13</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54F473F7"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1,38</w:t>
            </w:r>
          </w:p>
        </w:tc>
      </w:tr>
      <w:tr w:rsidR="0010084C" w:rsidRPr="00891852" w14:paraId="6A0E048B" w14:textId="77777777" w:rsidTr="009464B0">
        <w:trPr>
          <w:trHeight w:val="227"/>
          <w:jc w:val="center"/>
        </w:trPr>
        <w:tc>
          <w:tcPr>
            <w:tcW w:w="585" w:type="dxa"/>
            <w:vMerge/>
            <w:tcBorders>
              <w:left w:val="single" w:sz="4" w:space="0" w:color="auto"/>
              <w:right w:val="single" w:sz="4" w:space="0" w:color="auto"/>
            </w:tcBorders>
            <w:vAlign w:val="center"/>
          </w:tcPr>
          <w:p w14:paraId="610DB6BB" w14:textId="77777777" w:rsidR="0010084C" w:rsidRPr="00891852" w:rsidRDefault="0010084C" w:rsidP="009464B0">
            <w:pPr>
              <w:rPr>
                <w:rFonts w:ascii="Calibri" w:hAnsi="Calibri" w:cs="Calibri"/>
                <w:b/>
                <w:bCs/>
                <w:sz w:val="18"/>
                <w:szCs w:val="18"/>
                <w:lang w:val="cs-CZ"/>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802F1" w14:textId="77777777" w:rsidR="0010084C" w:rsidRPr="00891852" w:rsidRDefault="001E35E2" w:rsidP="004B59C8">
            <w:pPr>
              <w:jc w:val="center"/>
              <w:rPr>
                <w:rFonts w:ascii="Calibri" w:hAnsi="Calibri" w:cs="Calibri"/>
                <w:b/>
                <w:bCs/>
                <w:sz w:val="18"/>
                <w:szCs w:val="18"/>
                <w:lang w:val="cs-CZ"/>
              </w:rPr>
            </w:pPr>
            <w:r w:rsidRPr="00891852">
              <w:rPr>
                <w:rFonts w:ascii="Calibri" w:hAnsi="Calibri" w:cs="Calibri"/>
                <w:b/>
                <w:bCs/>
                <w:sz w:val="18"/>
                <w:szCs w:val="18"/>
                <w:lang w:val="cs-CZ"/>
              </w:rPr>
              <w:t>201</w:t>
            </w:r>
            <w:r w:rsidR="004B59C8" w:rsidRPr="00891852">
              <w:rPr>
                <w:rFonts w:ascii="Calibri" w:hAnsi="Calibri" w:cs="Calibri"/>
                <w:b/>
                <w:bCs/>
                <w:sz w:val="18"/>
                <w:szCs w:val="18"/>
                <w:lang w:val="cs-CZ"/>
              </w:rPr>
              <w:t>4</w:t>
            </w:r>
          </w:p>
        </w:tc>
        <w:tc>
          <w:tcPr>
            <w:tcW w:w="1026" w:type="dxa"/>
            <w:tcBorders>
              <w:top w:val="single" w:sz="4" w:space="0" w:color="auto"/>
              <w:left w:val="nil"/>
              <w:bottom w:val="single" w:sz="4" w:space="0" w:color="auto"/>
              <w:right w:val="single" w:sz="4" w:space="0" w:color="auto"/>
            </w:tcBorders>
            <w:vAlign w:val="center"/>
          </w:tcPr>
          <w:p w14:paraId="2805BDAE" w14:textId="77777777" w:rsidR="0010084C" w:rsidRPr="00891852" w:rsidRDefault="00495626" w:rsidP="001A4537">
            <w:pPr>
              <w:jc w:val="center"/>
              <w:rPr>
                <w:rFonts w:ascii="Calibri" w:hAnsi="Calibri" w:cs="Calibri"/>
                <w:sz w:val="18"/>
                <w:szCs w:val="18"/>
                <w:lang w:val="cs-CZ"/>
              </w:rPr>
            </w:pPr>
            <w:r w:rsidRPr="00891852">
              <w:rPr>
                <w:rFonts w:ascii="Calibri" w:hAnsi="Calibri" w:cs="Calibri"/>
                <w:sz w:val="18"/>
                <w:szCs w:val="18"/>
                <w:lang w:val="cs-CZ"/>
              </w:rPr>
              <w:t>41</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7F4A85C9"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76,63</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68FB7E75"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627 782</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132F33E3"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704</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472,43</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14E635BA"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17</w:t>
            </w:r>
            <w:r w:rsidR="00E9785A" w:rsidRPr="00891852">
              <w:rPr>
                <w:rFonts w:ascii="Calibri" w:hAnsi="Calibri" w:cs="Calibri"/>
                <w:sz w:val="18"/>
                <w:szCs w:val="18"/>
                <w:lang w:val="cs-CZ"/>
              </w:rPr>
              <w:t xml:space="preserve"> </w:t>
            </w:r>
            <w:r w:rsidRPr="00891852">
              <w:rPr>
                <w:rFonts w:ascii="Calibri" w:hAnsi="Calibri" w:cs="Calibri"/>
                <w:sz w:val="18"/>
                <w:szCs w:val="18"/>
                <w:lang w:val="cs-CZ"/>
              </w:rPr>
              <w:t>182,25</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5EA7E521" w14:textId="77777777" w:rsidR="0010084C" w:rsidRPr="00891852" w:rsidRDefault="00495626" w:rsidP="001A4537">
            <w:pPr>
              <w:ind w:right="100"/>
              <w:jc w:val="right"/>
              <w:rPr>
                <w:rFonts w:ascii="Calibri" w:hAnsi="Calibri" w:cs="Calibri"/>
                <w:sz w:val="18"/>
                <w:szCs w:val="18"/>
                <w:lang w:val="cs-CZ"/>
              </w:rPr>
            </w:pPr>
            <w:r w:rsidRPr="00891852">
              <w:rPr>
                <w:rFonts w:ascii="Calibri" w:hAnsi="Calibri" w:cs="Calibri"/>
                <w:sz w:val="18"/>
                <w:szCs w:val="18"/>
                <w:lang w:val="cs-CZ"/>
              </w:rPr>
              <w:t>1,12</w:t>
            </w:r>
          </w:p>
        </w:tc>
      </w:tr>
      <w:tr w:rsidR="0010084C" w:rsidRPr="00891852" w14:paraId="6FDD9BE5" w14:textId="77777777" w:rsidTr="009464B0">
        <w:trPr>
          <w:trHeight w:val="227"/>
          <w:jc w:val="center"/>
        </w:trPr>
        <w:tc>
          <w:tcPr>
            <w:tcW w:w="585" w:type="dxa"/>
            <w:vMerge w:val="restart"/>
            <w:tcBorders>
              <w:top w:val="single" w:sz="4" w:space="0" w:color="auto"/>
              <w:left w:val="single" w:sz="4" w:space="0" w:color="auto"/>
              <w:bottom w:val="single" w:sz="4" w:space="0" w:color="auto"/>
              <w:right w:val="single" w:sz="4" w:space="0" w:color="auto"/>
            </w:tcBorders>
            <w:vAlign w:val="center"/>
          </w:tcPr>
          <w:p w14:paraId="36D1355E" w14:textId="77777777" w:rsidR="0010084C" w:rsidRPr="00891852" w:rsidRDefault="0010084C" w:rsidP="009464B0">
            <w:pPr>
              <w:rPr>
                <w:rFonts w:ascii="Calibri" w:hAnsi="Calibri" w:cs="Calibri"/>
                <w:b/>
                <w:bCs/>
                <w:sz w:val="18"/>
                <w:szCs w:val="18"/>
                <w:lang w:val="cs-CZ"/>
              </w:rPr>
            </w:pPr>
            <w:r w:rsidRPr="00891852">
              <w:rPr>
                <w:rFonts w:ascii="Calibri" w:hAnsi="Calibri" w:cs="Calibri"/>
                <w:b/>
                <w:bCs/>
                <w:sz w:val="18"/>
                <w:szCs w:val="18"/>
                <w:lang w:val="cs-CZ"/>
              </w:rPr>
              <w:t>MPSV</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92E11" w14:textId="77777777" w:rsidR="0010084C" w:rsidRPr="00891852" w:rsidRDefault="001E35E2" w:rsidP="001A4537">
            <w:pPr>
              <w:jc w:val="center"/>
              <w:rPr>
                <w:rFonts w:ascii="Calibri" w:hAnsi="Calibri" w:cs="Calibri"/>
                <w:b/>
                <w:bCs/>
                <w:sz w:val="18"/>
                <w:szCs w:val="18"/>
                <w:lang w:val="cs-CZ"/>
              </w:rPr>
            </w:pPr>
            <w:r w:rsidRPr="00891852">
              <w:rPr>
                <w:rFonts w:ascii="Calibri" w:hAnsi="Calibri" w:cs="Calibri"/>
                <w:b/>
                <w:bCs/>
                <w:sz w:val="18"/>
                <w:szCs w:val="18"/>
                <w:lang w:val="cs-CZ"/>
              </w:rPr>
              <w:t>2013</w:t>
            </w:r>
          </w:p>
        </w:tc>
        <w:tc>
          <w:tcPr>
            <w:tcW w:w="1026" w:type="dxa"/>
            <w:tcBorders>
              <w:top w:val="single" w:sz="4" w:space="0" w:color="auto"/>
              <w:left w:val="nil"/>
              <w:bottom w:val="single" w:sz="4" w:space="0" w:color="auto"/>
              <w:right w:val="single" w:sz="4" w:space="0" w:color="auto"/>
            </w:tcBorders>
            <w:vAlign w:val="center"/>
          </w:tcPr>
          <w:p w14:paraId="7C69109F" w14:textId="77777777" w:rsidR="0010084C" w:rsidRPr="00891852" w:rsidRDefault="001E35E2" w:rsidP="001A4537">
            <w:pPr>
              <w:jc w:val="center"/>
              <w:rPr>
                <w:rFonts w:ascii="Calibri" w:hAnsi="Calibri" w:cs="Calibri"/>
                <w:sz w:val="18"/>
                <w:szCs w:val="18"/>
                <w:lang w:val="cs-CZ"/>
              </w:rPr>
            </w:pPr>
            <w:r w:rsidRPr="00891852">
              <w:rPr>
                <w:rFonts w:ascii="Calibri" w:hAnsi="Calibri" w:cs="Calibri"/>
                <w:sz w:val="18"/>
                <w:szCs w:val="18"/>
                <w:lang w:val="cs-CZ"/>
              </w:rPr>
              <w:t>36</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5AFAAC8" w14:textId="77777777" w:rsidR="0010084C" w:rsidRPr="00891852" w:rsidRDefault="001E35E2"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97,94</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1F37A0C9" w14:textId="77777777" w:rsidR="0010084C" w:rsidRPr="00891852" w:rsidRDefault="001E35E2"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433</w:t>
            </w:r>
            <w:r w:rsidR="00E9785A" w:rsidRPr="00891852">
              <w:rPr>
                <w:rFonts w:ascii="Calibri" w:hAnsi="Calibri" w:cs="Calibri"/>
                <w:color w:val="000000"/>
                <w:sz w:val="18"/>
                <w:szCs w:val="18"/>
                <w:lang w:eastAsia="cs-CZ"/>
              </w:rPr>
              <w:t xml:space="preserve"> </w:t>
            </w:r>
            <w:r w:rsidRPr="00891852">
              <w:rPr>
                <w:rFonts w:ascii="Calibri" w:hAnsi="Calibri" w:cs="Calibri"/>
                <w:color w:val="000000"/>
                <w:sz w:val="18"/>
                <w:szCs w:val="18"/>
                <w:lang w:eastAsia="cs-CZ"/>
              </w:rPr>
              <w:t>966</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3420089A" w14:textId="77777777" w:rsidR="0010084C" w:rsidRPr="00891852" w:rsidRDefault="00B326F0"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925</w:t>
            </w:r>
            <w:r w:rsidR="00E9785A" w:rsidRPr="00891852">
              <w:rPr>
                <w:rFonts w:ascii="Calibri" w:hAnsi="Calibri" w:cs="Calibri"/>
                <w:color w:val="000000"/>
                <w:sz w:val="18"/>
                <w:szCs w:val="18"/>
                <w:lang w:eastAsia="cs-CZ"/>
              </w:rPr>
              <w:t xml:space="preserve"> </w:t>
            </w:r>
            <w:r w:rsidRPr="00891852">
              <w:rPr>
                <w:rFonts w:ascii="Calibri" w:hAnsi="Calibri" w:cs="Calibri"/>
                <w:color w:val="000000"/>
                <w:sz w:val="18"/>
                <w:szCs w:val="18"/>
                <w:lang w:eastAsia="cs-CZ"/>
              </w:rPr>
              <w:t>219,19</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4BF6BDA8" w14:textId="77777777" w:rsidR="0010084C" w:rsidRPr="00891852" w:rsidRDefault="00B326F0"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25</w:t>
            </w:r>
            <w:r w:rsidR="00E9785A" w:rsidRPr="00891852">
              <w:rPr>
                <w:rFonts w:ascii="Calibri" w:hAnsi="Calibri" w:cs="Calibri"/>
                <w:color w:val="000000"/>
                <w:sz w:val="18"/>
                <w:szCs w:val="18"/>
                <w:lang w:eastAsia="cs-CZ"/>
              </w:rPr>
              <w:t xml:space="preserve"> </w:t>
            </w:r>
            <w:r w:rsidRPr="00891852">
              <w:rPr>
                <w:rFonts w:ascii="Calibri" w:hAnsi="Calibri" w:cs="Calibri"/>
                <w:color w:val="000000"/>
                <w:sz w:val="18"/>
                <w:szCs w:val="18"/>
                <w:lang w:eastAsia="cs-CZ"/>
              </w:rPr>
              <w:t>700,53</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53D6BB55" w14:textId="77777777" w:rsidR="0010084C" w:rsidRPr="00891852" w:rsidRDefault="00B326F0" w:rsidP="001A4537">
            <w:pPr>
              <w:ind w:right="100"/>
              <w:jc w:val="right"/>
              <w:rPr>
                <w:rFonts w:ascii="Calibri" w:hAnsi="Calibri" w:cs="Calibri"/>
                <w:sz w:val="18"/>
                <w:szCs w:val="18"/>
                <w:lang w:val="cs-CZ"/>
              </w:rPr>
            </w:pPr>
            <w:r w:rsidRPr="00891852">
              <w:rPr>
                <w:rFonts w:ascii="Calibri" w:hAnsi="Calibri" w:cs="Calibri"/>
                <w:sz w:val="18"/>
                <w:szCs w:val="18"/>
                <w:lang w:val="cs-CZ"/>
              </w:rPr>
              <w:t>2,13</w:t>
            </w:r>
          </w:p>
        </w:tc>
      </w:tr>
      <w:tr w:rsidR="0010084C" w:rsidRPr="00891852" w14:paraId="50200FFA" w14:textId="77777777" w:rsidTr="009464B0">
        <w:trPr>
          <w:trHeight w:val="227"/>
          <w:jc w:val="center"/>
        </w:trPr>
        <w:tc>
          <w:tcPr>
            <w:tcW w:w="585" w:type="dxa"/>
            <w:vMerge/>
            <w:tcBorders>
              <w:top w:val="single" w:sz="4" w:space="0" w:color="auto"/>
              <w:left w:val="single" w:sz="4" w:space="0" w:color="auto"/>
              <w:bottom w:val="single" w:sz="4" w:space="0" w:color="auto"/>
              <w:right w:val="single" w:sz="4" w:space="0" w:color="auto"/>
            </w:tcBorders>
            <w:vAlign w:val="center"/>
          </w:tcPr>
          <w:p w14:paraId="23B28F3D" w14:textId="77777777" w:rsidR="0010084C" w:rsidRPr="00891852" w:rsidRDefault="0010084C" w:rsidP="009464B0">
            <w:pPr>
              <w:rPr>
                <w:rFonts w:ascii="Calibri" w:hAnsi="Calibri" w:cs="Calibri"/>
                <w:b/>
                <w:bCs/>
                <w:sz w:val="18"/>
                <w:szCs w:val="18"/>
                <w:lang w:val="cs-CZ"/>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D222" w14:textId="77777777" w:rsidR="0010084C" w:rsidRPr="00891852" w:rsidRDefault="001E35E2" w:rsidP="001A4537">
            <w:pPr>
              <w:jc w:val="center"/>
              <w:rPr>
                <w:rFonts w:ascii="Calibri" w:hAnsi="Calibri" w:cs="Calibri"/>
                <w:b/>
                <w:bCs/>
                <w:sz w:val="18"/>
                <w:szCs w:val="18"/>
                <w:lang w:val="cs-CZ"/>
              </w:rPr>
            </w:pPr>
            <w:r w:rsidRPr="00891852">
              <w:rPr>
                <w:rFonts w:ascii="Calibri" w:hAnsi="Calibri" w:cs="Calibri"/>
                <w:b/>
                <w:bCs/>
                <w:sz w:val="18"/>
                <w:szCs w:val="18"/>
                <w:lang w:val="cs-CZ"/>
              </w:rPr>
              <w:t>2014</w:t>
            </w:r>
          </w:p>
        </w:tc>
        <w:tc>
          <w:tcPr>
            <w:tcW w:w="1026" w:type="dxa"/>
            <w:tcBorders>
              <w:top w:val="single" w:sz="4" w:space="0" w:color="auto"/>
              <w:left w:val="nil"/>
              <w:bottom w:val="single" w:sz="4" w:space="0" w:color="auto"/>
              <w:right w:val="single" w:sz="4" w:space="0" w:color="auto"/>
            </w:tcBorders>
            <w:vAlign w:val="center"/>
          </w:tcPr>
          <w:p w14:paraId="3CE313F4" w14:textId="77777777" w:rsidR="0010084C" w:rsidRPr="00891852" w:rsidRDefault="001E35E2" w:rsidP="001A4537">
            <w:pPr>
              <w:jc w:val="center"/>
              <w:rPr>
                <w:rFonts w:ascii="Calibri" w:hAnsi="Calibri" w:cs="Calibri"/>
                <w:sz w:val="18"/>
                <w:szCs w:val="18"/>
                <w:lang w:val="cs-CZ"/>
              </w:rPr>
            </w:pPr>
            <w:r w:rsidRPr="00891852">
              <w:rPr>
                <w:rFonts w:ascii="Calibri" w:hAnsi="Calibri" w:cs="Calibri"/>
                <w:sz w:val="18"/>
                <w:szCs w:val="18"/>
                <w:lang w:val="cs-CZ"/>
              </w:rPr>
              <w:t>38</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6E815AEB" w14:textId="77777777" w:rsidR="0010084C" w:rsidRPr="00891852" w:rsidRDefault="001E35E2"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91,47</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7389DD0F" w14:textId="77777777" w:rsidR="0010084C" w:rsidRPr="00891852" w:rsidRDefault="001E35E2"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438</w:t>
            </w:r>
            <w:r w:rsidR="00E9785A" w:rsidRPr="00891852">
              <w:rPr>
                <w:rFonts w:ascii="Calibri" w:hAnsi="Calibri" w:cs="Calibri"/>
                <w:color w:val="000000"/>
                <w:sz w:val="18"/>
                <w:szCs w:val="18"/>
                <w:lang w:eastAsia="cs-CZ"/>
              </w:rPr>
              <w:t xml:space="preserve"> </w:t>
            </w:r>
            <w:r w:rsidRPr="00891852">
              <w:rPr>
                <w:rFonts w:ascii="Calibri" w:hAnsi="Calibri" w:cs="Calibri"/>
                <w:color w:val="000000"/>
                <w:sz w:val="18"/>
                <w:szCs w:val="18"/>
                <w:lang w:eastAsia="cs-CZ"/>
              </w:rPr>
              <w:t>747</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0AF273AD" w14:textId="77777777" w:rsidR="0010084C" w:rsidRPr="00891852" w:rsidRDefault="00B326F0"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667</w:t>
            </w:r>
            <w:r w:rsidR="00E9785A" w:rsidRPr="00891852">
              <w:rPr>
                <w:rFonts w:ascii="Calibri" w:hAnsi="Calibri" w:cs="Calibri"/>
                <w:color w:val="000000"/>
                <w:sz w:val="18"/>
                <w:szCs w:val="18"/>
                <w:lang w:eastAsia="cs-CZ"/>
              </w:rPr>
              <w:t xml:space="preserve"> </w:t>
            </w:r>
            <w:r w:rsidRPr="00891852">
              <w:rPr>
                <w:rFonts w:ascii="Calibri" w:hAnsi="Calibri" w:cs="Calibri"/>
                <w:color w:val="000000"/>
                <w:sz w:val="18"/>
                <w:szCs w:val="18"/>
                <w:lang w:eastAsia="cs-CZ"/>
              </w:rPr>
              <w:t>841,50</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124C64A1" w14:textId="77777777" w:rsidR="0010084C" w:rsidRPr="00891852" w:rsidRDefault="00B326F0" w:rsidP="001A4537">
            <w:pPr>
              <w:ind w:right="100"/>
              <w:jc w:val="right"/>
              <w:rPr>
                <w:rFonts w:ascii="Calibri" w:hAnsi="Calibri" w:cs="Calibri"/>
                <w:sz w:val="18"/>
                <w:szCs w:val="18"/>
                <w:lang w:val="cs-CZ"/>
              </w:rPr>
            </w:pPr>
            <w:r w:rsidRPr="00891852">
              <w:rPr>
                <w:rFonts w:ascii="Calibri" w:hAnsi="Calibri" w:cs="Calibri"/>
                <w:color w:val="000000"/>
                <w:sz w:val="18"/>
                <w:szCs w:val="18"/>
                <w:lang w:eastAsia="cs-CZ"/>
              </w:rPr>
              <w:t>17</w:t>
            </w:r>
            <w:r w:rsidR="00E9785A" w:rsidRPr="00891852">
              <w:rPr>
                <w:rFonts w:ascii="Calibri" w:hAnsi="Calibri" w:cs="Calibri"/>
                <w:color w:val="000000"/>
                <w:sz w:val="18"/>
                <w:szCs w:val="18"/>
                <w:lang w:eastAsia="cs-CZ"/>
              </w:rPr>
              <w:t xml:space="preserve"> </w:t>
            </w:r>
            <w:r w:rsidRPr="00891852">
              <w:rPr>
                <w:rFonts w:ascii="Calibri" w:hAnsi="Calibri" w:cs="Calibri"/>
                <w:color w:val="000000"/>
                <w:sz w:val="18"/>
                <w:szCs w:val="18"/>
                <w:lang w:eastAsia="cs-CZ"/>
              </w:rPr>
              <w:t>574,78</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17BD317C" w14:textId="77777777" w:rsidR="0010084C" w:rsidRPr="00891852" w:rsidRDefault="00B326F0" w:rsidP="001A4537">
            <w:pPr>
              <w:ind w:right="100"/>
              <w:jc w:val="right"/>
              <w:rPr>
                <w:rFonts w:ascii="Calibri" w:hAnsi="Calibri" w:cs="Calibri"/>
                <w:sz w:val="18"/>
                <w:szCs w:val="18"/>
                <w:lang w:val="cs-CZ"/>
              </w:rPr>
            </w:pPr>
            <w:r w:rsidRPr="00891852">
              <w:rPr>
                <w:rFonts w:ascii="Calibri" w:hAnsi="Calibri" w:cs="Calibri"/>
                <w:sz w:val="18"/>
                <w:szCs w:val="18"/>
                <w:lang w:val="cs-CZ"/>
              </w:rPr>
              <w:t>1,52</w:t>
            </w:r>
          </w:p>
        </w:tc>
      </w:tr>
      <w:tr w:rsidR="0010084C" w:rsidRPr="00891852" w14:paraId="5F60EBF3" w14:textId="77777777" w:rsidTr="009464B0">
        <w:trPr>
          <w:trHeight w:val="227"/>
          <w:jc w:val="center"/>
        </w:trPr>
        <w:tc>
          <w:tcPr>
            <w:tcW w:w="585" w:type="dxa"/>
            <w:vMerge w:val="restart"/>
            <w:tcBorders>
              <w:top w:val="single" w:sz="4" w:space="0" w:color="auto"/>
              <w:left w:val="single" w:sz="4" w:space="0" w:color="auto"/>
              <w:right w:val="single" w:sz="4" w:space="0" w:color="auto"/>
            </w:tcBorders>
            <w:vAlign w:val="center"/>
          </w:tcPr>
          <w:p w14:paraId="7911D0EB" w14:textId="77777777" w:rsidR="0010084C" w:rsidRPr="00891852" w:rsidRDefault="0010084C" w:rsidP="009464B0">
            <w:pPr>
              <w:rPr>
                <w:rFonts w:ascii="Calibri" w:hAnsi="Calibri" w:cs="Calibri"/>
                <w:b/>
                <w:bCs/>
                <w:sz w:val="18"/>
                <w:szCs w:val="18"/>
                <w:lang w:val="cs-CZ"/>
              </w:rPr>
            </w:pPr>
            <w:proofErr w:type="spellStart"/>
            <w:r w:rsidRPr="00891852">
              <w:rPr>
                <w:rFonts w:ascii="Calibri" w:hAnsi="Calibri" w:cs="Calibri"/>
                <w:b/>
                <w:bCs/>
                <w:sz w:val="18"/>
                <w:szCs w:val="18"/>
                <w:lang w:val="cs-CZ"/>
              </w:rPr>
              <w:t>MZe</w:t>
            </w:r>
            <w:proofErr w:type="spellEnd"/>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8C52D" w14:textId="77777777" w:rsidR="0010084C" w:rsidRPr="00891852" w:rsidRDefault="001E35E2" w:rsidP="001A4537">
            <w:pPr>
              <w:jc w:val="center"/>
              <w:rPr>
                <w:rFonts w:ascii="Calibri" w:hAnsi="Calibri" w:cs="Calibri"/>
                <w:b/>
                <w:bCs/>
                <w:sz w:val="18"/>
                <w:szCs w:val="18"/>
                <w:lang w:val="cs-CZ"/>
              </w:rPr>
            </w:pPr>
            <w:r w:rsidRPr="00891852">
              <w:rPr>
                <w:rFonts w:ascii="Calibri" w:hAnsi="Calibri" w:cs="Calibri"/>
                <w:b/>
                <w:bCs/>
                <w:sz w:val="18"/>
                <w:szCs w:val="18"/>
                <w:lang w:val="cs-CZ"/>
              </w:rPr>
              <w:t>2013</w:t>
            </w:r>
          </w:p>
        </w:tc>
        <w:tc>
          <w:tcPr>
            <w:tcW w:w="1026" w:type="dxa"/>
            <w:tcBorders>
              <w:top w:val="single" w:sz="4" w:space="0" w:color="auto"/>
              <w:left w:val="nil"/>
              <w:bottom w:val="single" w:sz="4" w:space="0" w:color="auto"/>
              <w:right w:val="single" w:sz="4" w:space="0" w:color="auto"/>
            </w:tcBorders>
            <w:vAlign w:val="center"/>
          </w:tcPr>
          <w:p w14:paraId="0901284B" w14:textId="77777777" w:rsidR="0010084C" w:rsidRPr="00891852" w:rsidRDefault="001A4537" w:rsidP="001A4537">
            <w:pPr>
              <w:jc w:val="center"/>
              <w:rPr>
                <w:rFonts w:ascii="Calibri" w:hAnsi="Calibri" w:cs="Calibri"/>
                <w:sz w:val="18"/>
                <w:szCs w:val="18"/>
                <w:lang w:val="cs-CZ" w:eastAsia="cs-CZ"/>
              </w:rPr>
            </w:pPr>
            <w:r w:rsidRPr="00891852">
              <w:rPr>
                <w:rFonts w:ascii="Calibri" w:hAnsi="Calibri" w:cs="Calibri"/>
                <w:sz w:val="18"/>
                <w:szCs w:val="18"/>
                <w:lang w:val="cs-CZ" w:eastAsia="cs-CZ"/>
              </w:rPr>
              <w:t>54</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0C7369AA"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44,5</w:t>
            </w:r>
            <w:r w:rsidR="000072C6" w:rsidRPr="00891852">
              <w:rPr>
                <w:rFonts w:ascii="Calibri" w:hAnsi="Calibri" w:cs="Calibri"/>
                <w:sz w:val="18"/>
                <w:szCs w:val="18"/>
                <w:lang w:val="cs-CZ" w:eastAsia="cs-CZ"/>
              </w:rPr>
              <w:t>0</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42A95CE0"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1</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008 021</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765CC71A"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1</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619</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806,81</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604F2675"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29</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996,42</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578333A3"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1,61</w:t>
            </w:r>
          </w:p>
        </w:tc>
      </w:tr>
      <w:tr w:rsidR="0010084C" w:rsidRPr="00891852" w14:paraId="2EAAA1F1" w14:textId="77777777" w:rsidTr="00891852">
        <w:trPr>
          <w:trHeight w:val="227"/>
          <w:jc w:val="center"/>
        </w:trPr>
        <w:tc>
          <w:tcPr>
            <w:tcW w:w="585" w:type="dxa"/>
            <w:vMerge/>
            <w:tcBorders>
              <w:left w:val="single" w:sz="4" w:space="0" w:color="auto"/>
              <w:bottom w:val="single" w:sz="4" w:space="0" w:color="auto"/>
              <w:right w:val="single" w:sz="4" w:space="0" w:color="auto"/>
            </w:tcBorders>
            <w:vAlign w:val="center"/>
          </w:tcPr>
          <w:p w14:paraId="2448AD29" w14:textId="77777777" w:rsidR="0010084C" w:rsidRPr="00891852" w:rsidRDefault="0010084C" w:rsidP="001A4537">
            <w:pPr>
              <w:jc w:val="center"/>
              <w:rPr>
                <w:rFonts w:ascii="Calibri" w:hAnsi="Calibri" w:cs="Calibri"/>
                <w:b/>
                <w:bCs/>
                <w:sz w:val="18"/>
                <w:szCs w:val="18"/>
                <w:lang w:val="cs-CZ"/>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7B63E" w14:textId="77777777" w:rsidR="0010084C" w:rsidRPr="00891852" w:rsidRDefault="001E35E2" w:rsidP="001A4537">
            <w:pPr>
              <w:jc w:val="center"/>
              <w:rPr>
                <w:rFonts w:ascii="Calibri" w:hAnsi="Calibri" w:cs="Calibri"/>
                <w:b/>
                <w:bCs/>
                <w:sz w:val="18"/>
                <w:szCs w:val="18"/>
                <w:lang w:val="cs-CZ"/>
              </w:rPr>
            </w:pPr>
            <w:r w:rsidRPr="00891852">
              <w:rPr>
                <w:rFonts w:ascii="Calibri" w:hAnsi="Calibri" w:cs="Calibri"/>
                <w:b/>
                <w:bCs/>
                <w:sz w:val="18"/>
                <w:szCs w:val="18"/>
                <w:lang w:val="cs-CZ"/>
              </w:rPr>
              <w:t>2014</w:t>
            </w:r>
          </w:p>
        </w:tc>
        <w:tc>
          <w:tcPr>
            <w:tcW w:w="1026" w:type="dxa"/>
            <w:tcBorders>
              <w:top w:val="single" w:sz="4" w:space="0" w:color="auto"/>
              <w:left w:val="nil"/>
              <w:bottom w:val="single" w:sz="4" w:space="0" w:color="auto"/>
              <w:right w:val="single" w:sz="4" w:space="0" w:color="auto"/>
            </w:tcBorders>
            <w:vAlign w:val="center"/>
          </w:tcPr>
          <w:p w14:paraId="758732C6" w14:textId="77777777" w:rsidR="0010084C" w:rsidRPr="00891852" w:rsidRDefault="001A4537" w:rsidP="001A4537">
            <w:pPr>
              <w:jc w:val="center"/>
              <w:rPr>
                <w:rFonts w:ascii="Calibri" w:hAnsi="Calibri" w:cs="Calibri"/>
                <w:sz w:val="18"/>
                <w:szCs w:val="18"/>
                <w:lang w:val="cs-CZ" w:eastAsia="cs-CZ"/>
              </w:rPr>
            </w:pPr>
            <w:r w:rsidRPr="00891852">
              <w:rPr>
                <w:rFonts w:ascii="Calibri" w:hAnsi="Calibri" w:cs="Calibri"/>
                <w:sz w:val="18"/>
                <w:szCs w:val="18"/>
                <w:lang w:val="cs-CZ" w:eastAsia="cs-CZ"/>
              </w:rPr>
              <w:t>47</w:t>
            </w:r>
          </w:p>
        </w:tc>
        <w:tc>
          <w:tcPr>
            <w:tcW w:w="1172" w:type="dxa"/>
            <w:tcBorders>
              <w:top w:val="single" w:sz="4" w:space="0" w:color="auto"/>
              <w:left w:val="nil"/>
              <w:bottom w:val="single" w:sz="4" w:space="0" w:color="auto"/>
              <w:right w:val="single" w:sz="4" w:space="0" w:color="auto"/>
            </w:tcBorders>
            <w:shd w:val="clear" w:color="auto" w:fill="auto"/>
            <w:noWrap/>
            <w:vAlign w:val="center"/>
          </w:tcPr>
          <w:p w14:paraId="5EB3D65B"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49,3</w:t>
            </w:r>
            <w:r w:rsidR="000072C6" w:rsidRPr="00891852">
              <w:rPr>
                <w:rFonts w:ascii="Calibri" w:hAnsi="Calibri" w:cs="Calibri"/>
                <w:sz w:val="18"/>
                <w:szCs w:val="18"/>
                <w:lang w:val="cs-CZ" w:eastAsia="cs-CZ"/>
              </w:rPr>
              <w:t>0</w:t>
            </w:r>
          </w:p>
        </w:tc>
        <w:tc>
          <w:tcPr>
            <w:tcW w:w="1241" w:type="dxa"/>
            <w:tcBorders>
              <w:top w:val="single" w:sz="4" w:space="0" w:color="auto"/>
              <w:left w:val="nil"/>
              <w:bottom w:val="single" w:sz="4" w:space="0" w:color="auto"/>
              <w:right w:val="single" w:sz="4" w:space="0" w:color="auto"/>
            </w:tcBorders>
            <w:shd w:val="clear" w:color="auto" w:fill="auto"/>
            <w:noWrap/>
            <w:vAlign w:val="center"/>
          </w:tcPr>
          <w:p w14:paraId="343347C9"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1</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133 221</w:t>
            </w:r>
          </w:p>
        </w:tc>
        <w:tc>
          <w:tcPr>
            <w:tcW w:w="1587" w:type="dxa"/>
            <w:tcBorders>
              <w:top w:val="single" w:sz="4" w:space="0" w:color="auto"/>
              <w:left w:val="nil"/>
              <w:bottom w:val="single" w:sz="4" w:space="0" w:color="auto"/>
              <w:right w:val="single" w:sz="4" w:space="0" w:color="auto"/>
            </w:tcBorders>
            <w:shd w:val="clear" w:color="auto" w:fill="auto"/>
            <w:noWrap/>
            <w:vAlign w:val="center"/>
          </w:tcPr>
          <w:p w14:paraId="2E55C4FC"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1</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127</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260,89</w:t>
            </w:r>
          </w:p>
        </w:tc>
        <w:tc>
          <w:tcPr>
            <w:tcW w:w="1434" w:type="dxa"/>
            <w:tcBorders>
              <w:top w:val="single" w:sz="4" w:space="0" w:color="auto"/>
              <w:left w:val="nil"/>
              <w:bottom w:val="single" w:sz="4" w:space="0" w:color="auto"/>
              <w:right w:val="single" w:sz="4" w:space="0" w:color="auto"/>
            </w:tcBorders>
            <w:shd w:val="clear" w:color="auto" w:fill="auto"/>
            <w:noWrap/>
            <w:vAlign w:val="center"/>
          </w:tcPr>
          <w:p w14:paraId="2B72BEA8"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23</w:t>
            </w:r>
            <w:r w:rsidR="00E9785A" w:rsidRPr="00891852">
              <w:rPr>
                <w:rFonts w:ascii="Calibri" w:hAnsi="Calibri" w:cs="Calibri"/>
                <w:sz w:val="18"/>
                <w:szCs w:val="18"/>
                <w:lang w:val="cs-CZ" w:eastAsia="cs-CZ"/>
              </w:rPr>
              <w:t xml:space="preserve"> </w:t>
            </w:r>
            <w:r w:rsidRPr="00891852">
              <w:rPr>
                <w:rFonts w:ascii="Calibri" w:hAnsi="Calibri" w:cs="Calibri"/>
                <w:sz w:val="18"/>
                <w:szCs w:val="18"/>
                <w:lang w:val="cs-CZ" w:eastAsia="cs-CZ"/>
              </w:rPr>
              <w:t>984,27</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6C08F4F7" w14:textId="77777777" w:rsidR="0010084C" w:rsidRPr="00891852" w:rsidRDefault="001A4537" w:rsidP="001A4537">
            <w:pPr>
              <w:ind w:right="100"/>
              <w:jc w:val="right"/>
              <w:rPr>
                <w:rFonts w:ascii="Calibri" w:hAnsi="Calibri" w:cs="Calibri"/>
                <w:sz w:val="18"/>
                <w:szCs w:val="18"/>
                <w:lang w:val="cs-CZ" w:eastAsia="cs-CZ"/>
              </w:rPr>
            </w:pPr>
            <w:r w:rsidRPr="00891852">
              <w:rPr>
                <w:rFonts w:ascii="Calibri" w:hAnsi="Calibri" w:cs="Calibri"/>
                <w:sz w:val="18"/>
                <w:szCs w:val="18"/>
                <w:lang w:val="cs-CZ" w:eastAsia="cs-CZ"/>
              </w:rPr>
              <w:t>0,99</w:t>
            </w:r>
          </w:p>
        </w:tc>
      </w:tr>
    </w:tbl>
    <w:p w14:paraId="631357EA" w14:textId="77777777" w:rsidR="0010084C" w:rsidRPr="00A17659" w:rsidRDefault="0010084C" w:rsidP="00825540">
      <w:pPr>
        <w:pStyle w:val="Odstavecseseznamem"/>
        <w:spacing w:before="40"/>
        <w:ind w:left="567" w:hanging="567"/>
        <w:contextualSpacing w:val="0"/>
        <w:rPr>
          <w:rFonts w:asciiTheme="minorHAnsi" w:hAnsiTheme="minorHAnsi" w:cstheme="minorHAnsi"/>
          <w:sz w:val="20"/>
          <w:szCs w:val="20"/>
          <w:lang w:val="cs-CZ"/>
        </w:rPr>
      </w:pPr>
      <w:r w:rsidRPr="00A17659">
        <w:rPr>
          <w:rFonts w:asciiTheme="minorHAnsi" w:hAnsiTheme="minorHAnsi" w:cstheme="minorHAnsi"/>
          <w:b/>
          <w:sz w:val="20"/>
          <w:szCs w:val="20"/>
          <w:lang w:val="cs-CZ" w:eastAsia="cs-CZ"/>
        </w:rPr>
        <w:t>Zdroj:</w:t>
      </w:r>
      <w:r w:rsidRPr="00A17659">
        <w:rPr>
          <w:rFonts w:asciiTheme="minorHAnsi" w:hAnsiTheme="minorHAnsi" w:cstheme="minorHAnsi"/>
          <w:sz w:val="20"/>
          <w:szCs w:val="20"/>
          <w:lang w:val="cs-CZ" w:eastAsia="cs-CZ"/>
        </w:rPr>
        <w:t xml:space="preserve"> </w:t>
      </w:r>
      <w:r w:rsidRPr="00A17659">
        <w:rPr>
          <w:rFonts w:asciiTheme="minorHAnsi" w:hAnsiTheme="minorHAnsi" w:cstheme="minorHAnsi"/>
          <w:sz w:val="20"/>
          <w:szCs w:val="20"/>
          <w:lang w:val="cs-CZ" w:eastAsia="cs-CZ"/>
        </w:rPr>
        <w:tab/>
        <w:t>ekonomické informační systémy kontrolovaných osob</w:t>
      </w:r>
      <w:r w:rsidRPr="00A17659">
        <w:rPr>
          <w:rFonts w:asciiTheme="minorHAnsi" w:hAnsiTheme="minorHAnsi" w:cstheme="minorHAnsi"/>
          <w:sz w:val="20"/>
          <w:szCs w:val="20"/>
          <w:lang w:val="cs-CZ"/>
        </w:rPr>
        <w:t xml:space="preserve">, evidence </w:t>
      </w:r>
      <w:r w:rsidR="00DF1478" w:rsidRPr="00A17659">
        <w:rPr>
          <w:rFonts w:asciiTheme="minorHAnsi" w:hAnsiTheme="minorHAnsi" w:cstheme="minorHAnsi"/>
          <w:sz w:val="20"/>
          <w:szCs w:val="20"/>
          <w:lang w:val="cs-CZ"/>
        </w:rPr>
        <w:t>ministerstev</w:t>
      </w:r>
      <w:r w:rsidRPr="00A17659">
        <w:rPr>
          <w:rFonts w:asciiTheme="minorHAnsi" w:hAnsiTheme="minorHAnsi" w:cstheme="minorHAnsi"/>
          <w:sz w:val="20"/>
          <w:szCs w:val="20"/>
          <w:lang w:val="cs-CZ"/>
        </w:rPr>
        <w:t>, inventurní soupisy</w:t>
      </w:r>
      <w:r w:rsidRPr="00A17659">
        <w:rPr>
          <w:rFonts w:asciiTheme="minorHAnsi" w:hAnsiTheme="minorHAnsi" w:cstheme="minorHAnsi"/>
          <w:sz w:val="20"/>
          <w:szCs w:val="20"/>
          <w:lang w:val="cs-CZ" w:eastAsia="cs-CZ"/>
        </w:rPr>
        <w:t>.</w:t>
      </w:r>
    </w:p>
    <w:p w14:paraId="7820A324" w14:textId="3BDCC64F" w:rsidR="0010084C" w:rsidRPr="00A17659" w:rsidRDefault="00480FAD" w:rsidP="00E8556B">
      <w:pPr>
        <w:pStyle w:val="Odstavecseseznamem"/>
        <w:ind w:left="284" w:hanging="284"/>
        <w:contextualSpacing w:val="0"/>
        <w:jc w:val="both"/>
        <w:rPr>
          <w:rFonts w:asciiTheme="minorHAnsi" w:hAnsiTheme="minorHAnsi" w:cstheme="minorHAnsi"/>
          <w:sz w:val="20"/>
          <w:szCs w:val="20"/>
          <w:lang w:val="cs-CZ"/>
        </w:rPr>
      </w:pPr>
      <w:r>
        <w:rPr>
          <w:rFonts w:asciiTheme="minorHAnsi" w:hAnsiTheme="minorHAnsi" w:cstheme="minorHAnsi"/>
          <w:sz w:val="20"/>
          <w:szCs w:val="20"/>
          <w:vertAlign w:val="superscript"/>
          <w:lang w:val="cs-CZ" w:eastAsia="cs-CZ"/>
        </w:rPr>
        <w:t>*</w:t>
      </w:r>
      <w:r w:rsidR="0010084C" w:rsidRPr="00A17659">
        <w:rPr>
          <w:rFonts w:asciiTheme="minorHAnsi" w:hAnsiTheme="minorHAnsi" w:cstheme="minorHAnsi"/>
          <w:sz w:val="20"/>
          <w:szCs w:val="20"/>
          <w:vertAlign w:val="superscript"/>
          <w:lang w:val="cs-CZ" w:eastAsia="cs-CZ"/>
        </w:rPr>
        <w:tab/>
      </w:r>
      <w:r w:rsidR="007C1F52" w:rsidRPr="00A17659">
        <w:rPr>
          <w:rFonts w:asciiTheme="minorHAnsi" w:hAnsiTheme="minorHAnsi" w:cstheme="minorHAnsi"/>
          <w:sz w:val="20"/>
          <w:szCs w:val="20"/>
          <w:lang w:val="cs-CZ"/>
        </w:rPr>
        <w:t xml:space="preserve">Počet vozidel Agentury služeb </w:t>
      </w:r>
      <w:r w:rsidR="001127F3" w:rsidRPr="00A17659">
        <w:rPr>
          <w:rFonts w:asciiTheme="minorHAnsi" w:hAnsiTheme="minorHAnsi" w:cstheme="minorHAnsi"/>
          <w:sz w:val="20"/>
          <w:szCs w:val="20"/>
          <w:lang w:val="cs-CZ"/>
        </w:rPr>
        <w:t xml:space="preserve">MO </w:t>
      </w:r>
      <w:r w:rsidR="007C1F52" w:rsidRPr="00A17659">
        <w:rPr>
          <w:rFonts w:asciiTheme="minorHAnsi" w:hAnsiTheme="minorHAnsi" w:cstheme="minorHAnsi"/>
          <w:sz w:val="20"/>
          <w:szCs w:val="20"/>
          <w:lang w:val="cs-CZ"/>
        </w:rPr>
        <w:t>zajišťující přepravu osob a majetku a Vojenské policie zajišťující ochranu a doprovod ministra obrany a jím určených osob; p</w:t>
      </w:r>
      <w:r w:rsidR="0010084C" w:rsidRPr="00A17659">
        <w:rPr>
          <w:rFonts w:asciiTheme="minorHAnsi" w:hAnsiTheme="minorHAnsi" w:cstheme="minorHAnsi"/>
          <w:sz w:val="20"/>
          <w:szCs w:val="20"/>
          <w:lang w:val="cs-CZ"/>
        </w:rPr>
        <w:t>očet mot</w:t>
      </w:r>
      <w:r w:rsidR="003401BE" w:rsidRPr="00A17659">
        <w:rPr>
          <w:rFonts w:asciiTheme="minorHAnsi" w:hAnsiTheme="minorHAnsi" w:cstheme="minorHAnsi"/>
          <w:sz w:val="20"/>
          <w:szCs w:val="20"/>
          <w:lang w:val="cs-CZ"/>
        </w:rPr>
        <w:t>orových vozidel, se kterými bylo</w:t>
      </w:r>
      <w:r w:rsidR="0010084C" w:rsidRPr="00A17659">
        <w:rPr>
          <w:rFonts w:asciiTheme="minorHAnsi" w:hAnsiTheme="minorHAnsi" w:cstheme="minorHAnsi"/>
          <w:sz w:val="20"/>
          <w:szCs w:val="20"/>
          <w:lang w:val="cs-CZ"/>
        </w:rPr>
        <w:t xml:space="preserve"> příslušné hospodařit </w:t>
      </w:r>
      <w:r w:rsidR="003401BE" w:rsidRPr="00A17659">
        <w:rPr>
          <w:rFonts w:asciiTheme="minorHAnsi" w:hAnsiTheme="minorHAnsi" w:cstheme="minorHAnsi"/>
          <w:sz w:val="20"/>
          <w:szCs w:val="20"/>
          <w:lang w:val="cs-CZ"/>
        </w:rPr>
        <w:t>MPSV</w:t>
      </w:r>
      <w:r w:rsidR="007C1F52" w:rsidRPr="00A17659">
        <w:rPr>
          <w:rFonts w:asciiTheme="minorHAnsi" w:hAnsiTheme="minorHAnsi" w:cstheme="minorHAnsi"/>
          <w:sz w:val="20"/>
          <w:szCs w:val="20"/>
          <w:lang w:val="cs-CZ"/>
        </w:rPr>
        <w:t>;</w:t>
      </w:r>
      <w:r w:rsidR="0010084C" w:rsidRPr="00A17659">
        <w:rPr>
          <w:rFonts w:asciiTheme="minorHAnsi" w:hAnsiTheme="minorHAnsi" w:cstheme="minorHAnsi"/>
          <w:sz w:val="20"/>
          <w:szCs w:val="20"/>
          <w:lang w:val="cs-CZ"/>
        </w:rPr>
        <w:t xml:space="preserve"> </w:t>
      </w:r>
      <w:r w:rsidR="005F0770" w:rsidRPr="00A17659">
        <w:rPr>
          <w:rFonts w:asciiTheme="minorHAnsi" w:hAnsiTheme="minorHAnsi" w:cstheme="minorHAnsi"/>
          <w:sz w:val="20"/>
          <w:szCs w:val="20"/>
          <w:lang w:val="cs-CZ"/>
        </w:rPr>
        <w:t>počet vozidel využív</w:t>
      </w:r>
      <w:r w:rsidR="007C1F52" w:rsidRPr="00A17659">
        <w:rPr>
          <w:rFonts w:asciiTheme="minorHAnsi" w:hAnsiTheme="minorHAnsi" w:cstheme="minorHAnsi"/>
          <w:sz w:val="20"/>
          <w:szCs w:val="20"/>
          <w:lang w:val="cs-CZ"/>
        </w:rPr>
        <w:t xml:space="preserve">aných zaměstnanci ústředí </w:t>
      </w:r>
      <w:proofErr w:type="spellStart"/>
      <w:r w:rsidR="007C1F52" w:rsidRPr="00A17659">
        <w:rPr>
          <w:rFonts w:asciiTheme="minorHAnsi" w:hAnsiTheme="minorHAnsi" w:cstheme="minorHAnsi"/>
          <w:sz w:val="20"/>
          <w:szCs w:val="20"/>
          <w:lang w:val="cs-CZ"/>
        </w:rPr>
        <w:t>MZe</w:t>
      </w:r>
      <w:proofErr w:type="spellEnd"/>
      <w:r w:rsidR="007C1F52" w:rsidRPr="00A17659">
        <w:rPr>
          <w:rFonts w:asciiTheme="minorHAnsi" w:hAnsiTheme="minorHAnsi" w:cstheme="minorHAnsi"/>
          <w:sz w:val="20"/>
          <w:szCs w:val="20"/>
          <w:lang w:val="cs-CZ"/>
        </w:rPr>
        <w:t>.</w:t>
      </w:r>
    </w:p>
    <w:p w14:paraId="171F94F1" w14:textId="567F7D24" w:rsidR="003401BE" w:rsidRPr="00A17659" w:rsidRDefault="00480FAD" w:rsidP="00825540">
      <w:pPr>
        <w:ind w:left="284" w:hanging="284"/>
        <w:jc w:val="both"/>
        <w:rPr>
          <w:rFonts w:asciiTheme="minorHAnsi" w:hAnsiTheme="minorHAnsi" w:cstheme="minorHAnsi"/>
          <w:sz w:val="20"/>
          <w:szCs w:val="20"/>
          <w:lang w:val="cs-CZ"/>
        </w:rPr>
      </w:pPr>
      <w:r>
        <w:rPr>
          <w:rFonts w:asciiTheme="minorHAnsi" w:hAnsiTheme="minorHAnsi" w:cstheme="minorHAnsi"/>
          <w:sz w:val="20"/>
          <w:vertAlign w:val="superscript"/>
          <w:lang w:val="cs-CZ"/>
        </w:rPr>
        <w:t>**</w:t>
      </w:r>
      <w:r w:rsidR="00E9785A">
        <w:rPr>
          <w:rFonts w:asciiTheme="minorHAnsi" w:hAnsiTheme="minorHAnsi" w:cstheme="minorHAnsi"/>
          <w:sz w:val="20"/>
          <w:vertAlign w:val="superscript"/>
          <w:lang w:val="cs-CZ"/>
        </w:rPr>
        <w:t xml:space="preserve"> </w:t>
      </w:r>
      <w:r w:rsidR="00E9785A">
        <w:rPr>
          <w:rFonts w:asciiTheme="minorHAnsi" w:hAnsiTheme="minorHAnsi" w:cstheme="minorHAnsi"/>
          <w:sz w:val="20"/>
          <w:vertAlign w:val="superscript"/>
          <w:lang w:val="cs-CZ"/>
        </w:rPr>
        <w:tab/>
      </w:r>
      <w:r w:rsidR="00532531" w:rsidRPr="00A17659">
        <w:rPr>
          <w:rFonts w:asciiTheme="minorHAnsi" w:hAnsiTheme="minorHAnsi" w:cstheme="minorHAnsi"/>
          <w:sz w:val="20"/>
          <w:szCs w:val="20"/>
          <w:lang w:val="cs-CZ"/>
        </w:rPr>
        <w:t>Stáří automobilů</w:t>
      </w:r>
      <w:r w:rsidR="003401BE" w:rsidRPr="00A17659">
        <w:rPr>
          <w:rFonts w:asciiTheme="minorHAnsi" w:hAnsiTheme="minorHAnsi" w:cstheme="minorHAnsi"/>
          <w:sz w:val="20"/>
          <w:szCs w:val="20"/>
          <w:lang w:val="cs-CZ"/>
        </w:rPr>
        <w:t xml:space="preserve"> je počítáno od data prvního uvedení do provozu do 31.</w:t>
      </w:r>
      <w:r w:rsidR="00E9785A">
        <w:rPr>
          <w:rFonts w:asciiTheme="minorHAnsi" w:hAnsiTheme="minorHAnsi" w:cstheme="minorHAnsi"/>
          <w:sz w:val="20"/>
          <w:szCs w:val="20"/>
          <w:lang w:val="cs-CZ"/>
        </w:rPr>
        <w:t xml:space="preserve"> </w:t>
      </w:r>
      <w:r w:rsidR="003401BE" w:rsidRPr="00A17659">
        <w:rPr>
          <w:rFonts w:asciiTheme="minorHAnsi" w:hAnsiTheme="minorHAnsi" w:cstheme="minorHAnsi"/>
          <w:sz w:val="20"/>
          <w:szCs w:val="20"/>
          <w:lang w:val="cs-CZ"/>
        </w:rPr>
        <w:t>12.</w:t>
      </w:r>
      <w:r w:rsidR="00E9785A">
        <w:rPr>
          <w:rFonts w:asciiTheme="minorHAnsi" w:hAnsiTheme="minorHAnsi" w:cstheme="minorHAnsi"/>
          <w:sz w:val="20"/>
          <w:szCs w:val="20"/>
          <w:lang w:val="cs-CZ"/>
        </w:rPr>
        <w:t xml:space="preserve"> </w:t>
      </w:r>
      <w:r w:rsidR="003401BE" w:rsidRPr="00A17659">
        <w:rPr>
          <w:rFonts w:asciiTheme="minorHAnsi" w:hAnsiTheme="minorHAnsi" w:cstheme="minorHAnsi"/>
          <w:sz w:val="20"/>
          <w:szCs w:val="20"/>
          <w:lang w:val="cs-CZ"/>
        </w:rPr>
        <w:t>2013, resp. 31.</w:t>
      </w:r>
      <w:r w:rsidR="00E9785A">
        <w:rPr>
          <w:rFonts w:asciiTheme="minorHAnsi" w:hAnsiTheme="minorHAnsi" w:cstheme="minorHAnsi"/>
          <w:sz w:val="20"/>
          <w:szCs w:val="20"/>
          <w:lang w:val="cs-CZ"/>
        </w:rPr>
        <w:t xml:space="preserve"> </w:t>
      </w:r>
      <w:r w:rsidR="003401BE" w:rsidRPr="00A17659">
        <w:rPr>
          <w:rFonts w:asciiTheme="minorHAnsi" w:hAnsiTheme="minorHAnsi" w:cstheme="minorHAnsi"/>
          <w:sz w:val="20"/>
          <w:szCs w:val="20"/>
          <w:lang w:val="cs-CZ"/>
        </w:rPr>
        <w:t>12.</w:t>
      </w:r>
      <w:r w:rsidR="00E9785A">
        <w:rPr>
          <w:rFonts w:asciiTheme="minorHAnsi" w:hAnsiTheme="minorHAnsi" w:cstheme="minorHAnsi"/>
          <w:sz w:val="20"/>
          <w:szCs w:val="20"/>
          <w:lang w:val="cs-CZ"/>
        </w:rPr>
        <w:t xml:space="preserve"> </w:t>
      </w:r>
      <w:r w:rsidR="003401BE" w:rsidRPr="00A17659">
        <w:rPr>
          <w:rFonts w:asciiTheme="minorHAnsi" w:hAnsiTheme="minorHAnsi" w:cstheme="minorHAnsi"/>
          <w:sz w:val="20"/>
          <w:szCs w:val="20"/>
          <w:lang w:val="cs-CZ"/>
        </w:rPr>
        <w:t>2014, případně</w:t>
      </w:r>
      <w:r w:rsidR="003401BE" w:rsidRPr="00A17659">
        <w:rPr>
          <w:rFonts w:asciiTheme="minorHAnsi" w:hAnsiTheme="minorHAnsi" w:cstheme="minorHAnsi"/>
          <w:sz w:val="20"/>
          <w:lang w:val="cs-CZ"/>
        </w:rPr>
        <w:t xml:space="preserve"> u automobilů vyřazených v</w:t>
      </w:r>
      <w:r w:rsidR="00E9785A">
        <w:rPr>
          <w:rFonts w:asciiTheme="minorHAnsi" w:hAnsiTheme="minorHAnsi" w:cstheme="minorHAnsi"/>
          <w:sz w:val="20"/>
          <w:lang w:val="cs-CZ"/>
        </w:rPr>
        <w:t xml:space="preserve"> </w:t>
      </w:r>
      <w:r w:rsidR="003401BE" w:rsidRPr="00A17659">
        <w:rPr>
          <w:rFonts w:asciiTheme="minorHAnsi" w:hAnsiTheme="minorHAnsi" w:cstheme="minorHAnsi"/>
          <w:sz w:val="20"/>
          <w:lang w:val="cs-CZ"/>
        </w:rPr>
        <w:t>průběhu roku do data jejich vyřazení.</w:t>
      </w:r>
    </w:p>
    <w:p w14:paraId="31A19494" w14:textId="77777777" w:rsidR="00825540" w:rsidRDefault="00825540" w:rsidP="00825540">
      <w:pPr>
        <w:pStyle w:val="Odstavecseseznamem"/>
        <w:ind w:left="0"/>
        <w:contextualSpacing w:val="0"/>
        <w:jc w:val="both"/>
        <w:rPr>
          <w:rFonts w:asciiTheme="minorHAnsi" w:hAnsiTheme="minorHAnsi" w:cstheme="minorHAnsi"/>
          <w:lang w:val="cs-CZ"/>
        </w:rPr>
      </w:pPr>
    </w:p>
    <w:p w14:paraId="1ECDBFFE" w14:textId="70D318FA" w:rsidR="00166508" w:rsidRDefault="00166508" w:rsidP="00825540">
      <w:pPr>
        <w:pStyle w:val="Odstavecseseznamem"/>
        <w:ind w:left="0"/>
        <w:contextualSpacing w:val="0"/>
        <w:jc w:val="both"/>
        <w:rPr>
          <w:rFonts w:asciiTheme="minorHAnsi" w:hAnsiTheme="minorHAnsi" w:cstheme="minorHAnsi"/>
          <w:szCs w:val="22"/>
          <w:lang w:val="cs-CZ"/>
        </w:rPr>
      </w:pPr>
      <w:r w:rsidRPr="00A17659">
        <w:rPr>
          <w:rFonts w:asciiTheme="minorHAnsi" w:hAnsiTheme="minorHAnsi" w:cstheme="minorHAnsi"/>
          <w:lang w:val="cs-CZ"/>
        </w:rPr>
        <w:t xml:space="preserve">Služby oprav a udržování automobilů byly zajišťovány na základě smluv uzavřených dle výsledku zadávacích řízení. </w:t>
      </w:r>
      <w:r w:rsidRPr="00A17659">
        <w:rPr>
          <w:rFonts w:asciiTheme="minorHAnsi" w:hAnsiTheme="minorHAnsi" w:cstheme="minorHAnsi"/>
          <w:szCs w:val="22"/>
          <w:lang w:val="cs-CZ"/>
        </w:rPr>
        <w:t>Nejvyšší průměrná výše peněžních prostředků vynaložených na opravy a údržbu na ujetý kilometr byla v kontrolovaném období u MPSV ovlivněna zejména stářím automobilů. Stáří automobilů, se kterými bylo příslušné hospodařit MPSV</w:t>
      </w:r>
      <w:r w:rsidR="00480FAD">
        <w:rPr>
          <w:rFonts w:asciiTheme="minorHAnsi" w:hAnsiTheme="minorHAnsi" w:cstheme="minorHAnsi"/>
          <w:szCs w:val="22"/>
          <w:lang w:val="cs-CZ"/>
        </w:rPr>
        <w:t>,</w:t>
      </w:r>
      <w:r w:rsidRPr="00A17659">
        <w:rPr>
          <w:rFonts w:asciiTheme="minorHAnsi" w:hAnsiTheme="minorHAnsi" w:cstheme="minorHAnsi"/>
          <w:szCs w:val="22"/>
          <w:lang w:val="cs-CZ"/>
        </w:rPr>
        <w:t xml:space="preserve"> bylo dvojnásobné oproti stáří automobilů, se kterými bylo příslušné hospodařit </w:t>
      </w:r>
      <w:proofErr w:type="spellStart"/>
      <w:r w:rsidRPr="00A17659">
        <w:rPr>
          <w:rFonts w:asciiTheme="minorHAnsi" w:hAnsiTheme="minorHAnsi" w:cstheme="minorHAnsi"/>
          <w:szCs w:val="22"/>
          <w:lang w:val="cs-CZ"/>
        </w:rPr>
        <w:t>MZe</w:t>
      </w:r>
      <w:proofErr w:type="spellEnd"/>
      <w:r w:rsidRPr="00A17659">
        <w:rPr>
          <w:rFonts w:asciiTheme="minorHAnsi" w:hAnsiTheme="minorHAnsi" w:cstheme="minorHAnsi"/>
          <w:szCs w:val="22"/>
          <w:lang w:val="cs-CZ"/>
        </w:rPr>
        <w:t>.</w:t>
      </w:r>
    </w:p>
    <w:p w14:paraId="564B3F06" w14:textId="77777777" w:rsidR="00825540" w:rsidRPr="00A17659" w:rsidRDefault="00825540" w:rsidP="00825540">
      <w:pPr>
        <w:pStyle w:val="Odstavecseseznamem"/>
        <w:ind w:left="0"/>
        <w:contextualSpacing w:val="0"/>
        <w:jc w:val="both"/>
        <w:rPr>
          <w:rFonts w:asciiTheme="minorHAnsi" w:hAnsiTheme="minorHAnsi" w:cstheme="minorHAnsi"/>
          <w:szCs w:val="22"/>
          <w:lang w:val="cs-CZ"/>
        </w:rPr>
      </w:pPr>
    </w:p>
    <w:p w14:paraId="1FBDBB86" w14:textId="77777777" w:rsidR="001B2F50" w:rsidRPr="00A17659" w:rsidRDefault="001B2F50" w:rsidP="00825540">
      <w:pPr>
        <w:jc w:val="both"/>
        <w:rPr>
          <w:rFonts w:asciiTheme="minorHAnsi" w:hAnsiTheme="minorHAnsi" w:cstheme="minorHAnsi"/>
          <w:bCs/>
          <w:lang w:val="cs-CZ"/>
        </w:rPr>
      </w:pPr>
      <w:r w:rsidRPr="00A17659">
        <w:rPr>
          <w:rFonts w:asciiTheme="minorHAnsi" w:hAnsiTheme="minorHAnsi" w:cstheme="minorHAnsi"/>
          <w:bCs/>
          <w:lang w:val="cs-CZ"/>
        </w:rPr>
        <w:t>Při kontrole peněžních prostředků vynaložených na opravy a udržování motorových vozidel bylo zjištěno, že:</w:t>
      </w:r>
    </w:p>
    <w:p w14:paraId="4CCFBE33" w14:textId="26DE7571" w:rsidR="00A8624D" w:rsidRPr="00825540" w:rsidRDefault="00A8624D" w:rsidP="00825540">
      <w:pPr>
        <w:pStyle w:val="Odstavecseseznamem"/>
        <w:numPr>
          <w:ilvl w:val="1"/>
          <w:numId w:val="44"/>
        </w:numPr>
        <w:ind w:left="284" w:hanging="284"/>
        <w:jc w:val="both"/>
        <w:rPr>
          <w:rFonts w:asciiTheme="minorHAnsi" w:hAnsiTheme="minorHAnsi" w:cstheme="minorHAnsi"/>
          <w:b/>
          <w:lang w:val="cs-CZ"/>
        </w:rPr>
      </w:pPr>
      <w:proofErr w:type="spellStart"/>
      <w:r w:rsidRPr="00825540">
        <w:rPr>
          <w:rFonts w:asciiTheme="minorHAnsi" w:hAnsiTheme="minorHAnsi" w:cstheme="minorHAnsi"/>
          <w:b/>
          <w:lang w:val="cs-CZ"/>
        </w:rPr>
        <w:t>MZe</w:t>
      </w:r>
      <w:proofErr w:type="spellEnd"/>
      <w:r w:rsidRPr="00825540">
        <w:rPr>
          <w:rFonts w:asciiTheme="minorHAnsi" w:hAnsiTheme="minorHAnsi" w:cstheme="minorHAnsi"/>
          <w:b/>
          <w:lang w:val="cs-CZ"/>
        </w:rPr>
        <w:t xml:space="preserve"> nepostupovalo v</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souladu s</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 xml:space="preserve">ustanovením § 82 odst. 2 zákona č. 137/2006 Sb. tím, že </w:t>
      </w:r>
      <w:r w:rsidRPr="00825540">
        <w:rPr>
          <w:rFonts w:asciiTheme="minorHAnsi" w:eastAsiaTheme="minorHAnsi" w:hAnsiTheme="minorHAnsi" w:cstheme="minorHAnsi"/>
          <w:b/>
          <w:szCs w:val="22"/>
          <w:lang w:val="cs-CZ"/>
        </w:rPr>
        <w:t>neuzavřelo smlouvu v</w:t>
      </w:r>
      <w:r w:rsidR="00E9785A" w:rsidRPr="00825540">
        <w:rPr>
          <w:rFonts w:asciiTheme="minorHAnsi" w:eastAsiaTheme="minorHAnsi" w:hAnsiTheme="minorHAnsi" w:cstheme="minorHAnsi"/>
          <w:b/>
          <w:szCs w:val="22"/>
          <w:lang w:val="cs-CZ"/>
        </w:rPr>
        <w:t xml:space="preserve"> </w:t>
      </w:r>
      <w:r w:rsidRPr="00825540">
        <w:rPr>
          <w:rFonts w:asciiTheme="minorHAnsi" w:eastAsiaTheme="minorHAnsi" w:hAnsiTheme="minorHAnsi" w:cstheme="minorHAnsi"/>
          <w:b/>
          <w:szCs w:val="22"/>
          <w:lang w:val="cs-CZ"/>
        </w:rPr>
        <w:t>souladu s</w:t>
      </w:r>
      <w:r w:rsidR="00E9785A" w:rsidRPr="00825540">
        <w:rPr>
          <w:rFonts w:asciiTheme="minorHAnsi" w:eastAsiaTheme="minorHAnsi" w:hAnsiTheme="minorHAnsi" w:cstheme="minorHAnsi"/>
          <w:b/>
          <w:szCs w:val="22"/>
          <w:lang w:val="cs-CZ"/>
        </w:rPr>
        <w:t xml:space="preserve"> </w:t>
      </w:r>
      <w:r w:rsidRPr="00825540">
        <w:rPr>
          <w:rFonts w:asciiTheme="minorHAnsi" w:eastAsiaTheme="minorHAnsi" w:hAnsiTheme="minorHAnsi" w:cstheme="minorHAnsi"/>
          <w:b/>
          <w:szCs w:val="22"/>
          <w:lang w:val="cs-CZ"/>
        </w:rPr>
        <w:t>nabídkou vybraného uchazeče v</w:t>
      </w:r>
      <w:r w:rsidR="00E9785A" w:rsidRPr="00825540">
        <w:rPr>
          <w:rFonts w:asciiTheme="minorHAnsi" w:eastAsiaTheme="minorHAnsi" w:hAnsiTheme="minorHAnsi" w:cstheme="minorHAnsi"/>
          <w:b/>
          <w:szCs w:val="22"/>
          <w:lang w:val="cs-CZ"/>
        </w:rPr>
        <w:t xml:space="preserve"> </w:t>
      </w:r>
      <w:r w:rsidRPr="00825540">
        <w:rPr>
          <w:rFonts w:asciiTheme="minorHAnsi" w:eastAsiaTheme="minorHAnsi" w:hAnsiTheme="minorHAnsi" w:cstheme="minorHAnsi"/>
          <w:b/>
          <w:szCs w:val="22"/>
          <w:lang w:val="cs-CZ"/>
        </w:rPr>
        <w:t xml:space="preserve">rámci veřejné </w:t>
      </w:r>
      <w:r w:rsidRPr="009464B0">
        <w:rPr>
          <w:rFonts w:asciiTheme="minorHAnsi" w:eastAsiaTheme="minorHAnsi" w:hAnsiTheme="minorHAnsi" w:cstheme="minorHAnsi"/>
          <w:b/>
          <w:szCs w:val="22"/>
          <w:lang w:val="cs-CZ"/>
        </w:rPr>
        <w:t>zakázky</w:t>
      </w:r>
      <w:r w:rsidR="00480FAD">
        <w:rPr>
          <w:rFonts w:asciiTheme="minorHAnsi" w:eastAsiaTheme="minorHAnsi" w:hAnsiTheme="minorHAnsi" w:cstheme="minorHAnsi"/>
          <w:b/>
          <w:szCs w:val="22"/>
          <w:lang w:val="cs-CZ"/>
        </w:rPr>
        <w:t xml:space="preserve"> s názvem</w:t>
      </w:r>
      <w:r w:rsidRPr="00480FAD">
        <w:rPr>
          <w:rFonts w:asciiTheme="minorHAnsi" w:eastAsiaTheme="minorHAnsi" w:hAnsiTheme="minorHAnsi" w:cstheme="minorHAnsi"/>
          <w:b/>
          <w:i/>
          <w:szCs w:val="22"/>
          <w:lang w:val="cs-CZ"/>
        </w:rPr>
        <w:t xml:space="preserve"> </w:t>
      </w:r>
      <w:r w:rsidRPr="00825540">
        <w:rPr>
          <w:rFonts w:asciiTheme="minorHAnsi" w:eastAsiaTheme="minorHAnsi" w:hAnsiTheme="minorHAnsi" w:cstheme="minorHAnsi"/>
          <w:b/>
          <w:i/>
          <w:szCs w:val="22"/>
          <w:lang w:val="cs-CZ"/>
        </w:rPr>
        <w:t xml:space="preserve">Rámcová kupní smlouva na dodávky osobních vozidel a rámcová smlouva na poskytování servisních a opravárenských prací. </w:t>
      </w:r>
      <w:r w:rsidRPr="00825540">
        <w:rPr>
          <w:rFonts w:asciiTheme="minorHAnsi" w:eastAsiaTheme="minorHAnsi" w:hAnsiTheme="minorHAnsi" w:cstheme="minorHAnsi"/>
          <w:b/>
          <w:szCs w:val="22"/>
          <w:lang w:val="cs-CZ"/>
        </w:rPr>
        <w:t>Ve smlouvě</w:t>
      </w:r>
      <w:r w:rsidRPr="00825540">
        <w:rPr>
          <w:rFonts w:asciiTheme="minorHAnsi" w:eastAsiaTheme="minorHAnsi" w:hAnsiTheme="minorHAnsi" w:cstheme="minorHAnsi"/>
          <w:b/>
          <w:i/>
          <w:szCs w:val="22"/>
          <w:lang w:val="cs-CZ"/>
        </w:rPr>
        <w:t xml:space="preserve"> </w:t>
      </w:r>
      <w:r w:rsidRPr="00825540">
        <w:rPr>
          <w:rFonts w:asciiTheme="minorHAnsi" w:hAnsiTheme="minorHAnsi" w:cstheme="minorHAnsi"/>
          <w:b/>
          <w:lang w:val="cs-CZ"/>
        </w:rPr>
        <w:t>byla hodnota dodávky vozidla vyšší střední třídy vyšší o 5</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000 Kč oproti podané nabídce, cena u odtahu vozidla byla vyšší o 100 Kč za úkon oproti podané nabídce a</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u</w:t>
      </w:r>
      <w:r w:rsidR="00E9785A" w:rsidRPr="00825540">
        <w:rPr>
          <w:rFonts w:asciiTheme="minorHAnsi" w:hAnsiTheme="minorHAnsi" w:cstheme="minorHAnsi"/>
          <w:b/>
          <w:lang w:val="cs-CZ"/>
        </w:rPr>
        <w:t xml:space="preserve"> </w:t>
      </w:r>
      <w:r w:rsidRPr="00825540">
        <w:rPr>
          <w:rFonts w:asciiTheme="minorHAnsi" w:hAnsiTheme="minorHAnsi" w:cstheme="minorHAnsi"/>
          <w:b/>
          <w:lang w:val="cs-CZ"/>
        </w:rPr>
        <w:t xml:space="preserve">hodinových sazeb lakýrnických </w:t>
      </w:r>
      <w:r w:rsidRPr="00825540">
        <w:rPr>
          <w:rFonts w:asciiTheme="minorHAnsi" w:hAnsiTheme="minorHAnsi" w:cstheme="minorHAnsi"/>
          <w:b/>
          <w:lang w:val="cs-CZ"/>
        </w:rPr>
        <w:lastRenderedPageBreak/>
        <w:t xml:space="preserve">prací vozidel typu B </w:t>
      </w:r>
      <w:r w:rsidR="00480FAD">
        <w:rPr>
          <w:rFonts w:asciiTheme="minorHAnsi" w:hAnsiTheme="minorHAnsi" w:cstheme="minorHAnsi"/>
          <w:b/>
          <w:lang w:val="cs-CZ"/>
        </w:rPr>
        <w:t>(</w:t>
      </w:r>
      <w:r w:rsidRPr="00825540">
        <w:rPr>
          <w:rFonts w:asciiTheme="minorHAnsi" w:hAnsiTheme="minorHAnsi" w:cstheme="minorHAnsi"/>
          <w:b/>
          <w:lang w:val="cs-CZ"/>
        </w:rPr>
        <w:t>vozidla nižší střední třídy</w:t>
      </w:r>
      <w:r w:rsidR="00480FAD">
        <w:rPr>
          <w:rFonts w:asciiTheme="minorHAnsi" w:hAnsiTheme="minorHAnsi" w:cstheme="minorHAnsi"/>
          <w:b/>
          <w:lang w:val="cs-CZ"/>
        </w:rPr>
        <w:t>)</w:t>
      </w:r>
      <w:r w:rsidRPr="00825540">
        <w:rPr>
          <w:rFonts w:asciiTheme="minorHAnsi" w:hAnsiTheme="minorHAnsi" w:cstheme="minorHAnsi"/>
          <w:b/>
          <w:lang w:val="cs-CZ"/>
        </w:rPr>
        <w:t xml:space="preserve"> a vozidla typu C </w:t>
      </w:r>
      <w:r w:rsidR="00480FAD">
        <w:rPr>
          <w:rFonts w:asciiTheme="minorHAnsi" w:hAnsiTheme="minorHAnsi" w:cstheme="minorHAnsi"/>
          <w:b/>
          <w:lang w:val="cs-CZ"/>
        </w:rPr>
        <w:t>(</w:t>
      </w:r>
      <w:r w:rsidRPr="00825540">
        <w:rPr>
          <w:rFonts w:asciiTheme="minorHAnsi" w:hAnsiTheme="minorHAnsi" w:cstheme="minorHAnsi"/>
          <w:b/>
          <w:lang w:val="cs-CZ"/>
        </w:rPr>
        <w:t>vozidla SUV nižší střední třídy</w:t>
      </w:r>
      <w:r w:rsidR="00480FAD">
        <w:rPr>
          <w:rFonts w:asciiTheme="minorHAnsi" w:hAnsiTheme="minorHAnsi" w:cstheme="minorHAnsi"/>
          <w:b/>
          <w:lang w:val="cs-CZ"/>
        </w:rPr>
        <w:t>)</w:t>
      </w:r>
      <w:r w:rsidRPr="00825540">
        <w:rPr>
          <w:rFonts w:asciiTheme="minorHAnsi" w:hAnsiTheme="minorHAnsi" w:cstheme="minorHAnsi"/>
          <w:b/>
          <w:lang w:val="cs-CZ"/>
        </w:rPr>
        <w:t xml:space="preserve"> byla vyšší o 40 Kč za hodinu oproti podané nabídce. </w:t>
      </w:r>
    </w:p>
    <w:p w14:paraId="58C07F0C" w14:textId="77777777" w:rsidR="009709C7" w:rsidRPr="00825540" w:rsidRDefault="00A90D6D" w:rsidP="00825540">
      <w:pPr>
        <w:pStyle w:val="Odstavecseseznamem"/>
        <w:numPr>
          <w:ilvl w:val="1"/>
          <w:numId w:val="44"/>
        </w:numPr>
        <w:ind w:left="284" w:hanging="284"/>
        <w:jc w:val="both"/>
        <w:rPr>
          <w:rFonts w:asciiTheme="minorHAnsi" w:hAnsiTheme="minorHAnsi" w:cstheme="minorHAnsi"/>
          <w:b/>
          <w:color w:val="000000"/>
          <w:sz w:val="28"/>
          <w:szCs w:val="28"/>
          <w:lang w:val="cs-CZ"/>
        </w:rPr>
      </w:pPr>
      <w:r w:rsidRPr="00825540">
        <w:rPr>
          <w:rFonts w:asciiTheme="minorHAnsi" w:hAnsiTheme="minorHAnsi" w:cstheme="minorHAnsi"/>
          <w:b/>
          <w:lang w:val="cs-CZ"/>
        </w:rPr>
        <w:t xml:space="preserve">MPSV v kontrolovaném období nesprávně zaúčtovalo náklady na </w:t>
      </w:r>
      <w:r w:rsidR="00AA3703" w:rsidRPr="00825540">
        <w:rPr>
          <w:rFonts w:asciiTheme="minorHAnsi" w:hAnsiTheme="minorHAnsi" w:cstheme="minorHAnsi"/>
          <w:b/>
          <w:lang w:val="cs-CZ"/>
        </w:rPr>
        <w:t>opravy a udržování automobilů</w:t>
      </w:r>
      <w:r w:rsidRPr="00825540">
        <w:rPr>
          <w:rFonts w:asciiTheme="minorHAnsi" w:hAnsiTheme="minorHAnsi" w:cstheme="minorHAnsi"/>
          <w:b/>
          <w:lang w:val="cs-CZ"/>
        </w:rPr>
        <w:t xml:space="preserve"> ve výši </w:t>
      </w:r>
      <w:r w:rsidR="00AA3703" w:rsidRPr="00825540">
        <w:rPr>
          <w:rFonts w:asciiTheme="minorHAnsi" w:hAnsiTheme="minorHAnsi" w:cstheme="minorHAnsi"/>
          <w:b/>
          <w:lang w:val="cs-CZ"/>
        </w:rPr>
        <w:t>76</w:t>
      </w:r>
      <w:r w:rsidR="00E9785A" w:rsidRPr="00825540">
        <w:rPr>
          <w:rFonts w:asciiTheme="minorHAnsi" w:hAnsiTheme="minorHAnsi" w:cstheme="minorHAnsi"/>
          <w:b/>
          <w:lang w:val="cs-CZ"/>
        </w:rPr>
        <w:t xml:space="preserve"> </w:t>
      </w:r>
      <w:r w:rsidR="00AA3703" w:rsidRPr="00825540">
        <w:rPr>
          <w:rFonts w:asciiTheme="minorHAnsi" w:hAnsiTheme="minorHAnsi" w:cstheme="minorHAnsi"/>
          <w:b/>
          <w:lang w:val="cs-CZ"/>
        </w:rPr>
        <w:t>729 Kč</w:t>
      </w:r>
      <w:r w:rsidRPr="00825540">
        <w:rPr>
          <w:rFonts w:asciiTheme="minorHAnsi" w:hAnsiTheme="minorHAnsi" w:cstheme="minorHAnsi"/>
          <w:b/>
          <w:lang w:val="cs-CZ"/>
        </w:rPr>
        <w:t xml:space="preserve"> na účet </w:t>
      </w:r>
      <w:r w:rsidR="00AA3703" w:rsidRPr="00825540">
        <w:rPr>
          <w:rFonts w:asciiTheme="minorHAnsi" w:hAnsiTheme="minorHAnsi" w:cstheme="minorHAnsi"/>
          <w:b/>
          <w:lang w:val="cs-CZ"/>
        </w:rPr>
        <w:t xml:space="preserve">518 </w:t>
      </w:r>
      <w:r w:rsidR="00647BC9" w:rsidRPr="00825540">
        <w:rPr>
          <w:rFonts w:asciiTheme="minorHAnsi" w:hAnsiTheme="minorHAnsi" w:cstheme="minorHAnsi"/>
          <w:b/>
          <w:lang w:val="cs-CZ"/>
        </w:rPr>
        <w:t xml:space="preserve">– </w:t>
      </w:r>
      <w:r w:rsidR="00AA3703" w:rsidRPr="00825540">
        <w:rPr>
          <w:rFonts w:asciiTheme="minorHAnsi" w:hAnsiTheme="minorHAnsi" w:cstheme="minorHAnsi"/>
          <w:b/>
          <w:i/>
          <w:lang w:val="cs-CZ"/>
        </w:rPr>
        <w:t>Ostatní služby</w:t>
      </w:r>
      <w:r w:rsidR="00AA3703" w:rsidRPr="00825540">
        <w:rPr>
          <w:rFonts w:asciiTheme="minorHAnsi" w:hAnsiTheme="minorHAnsi" w:cstheme="minorHAnsi"/>
          <w:b/>
          <w:lang w:val="cs-CZ"/>
        </w:rPr>
        <w:t xml:space="preserve"> </w:t>
      </w:r>
      <w:r w:rsidRPr="00825540">
        <w:rPr>
          <w:rFonts w:asciiTheme="minorHAnsi" w:hAnsiTheme="minorHAnsi" w:cstheme="minorHAnsi"/>
          <w:b/>
          <w:lang w:val="cs-CZ"/>
        </w:rPr>
        <w:t>a nedodrželo obsahové vymezení účtu 51</w:t>
      </w:r>
      <w:r w:rsidR="00AA3703" w:rsidRPr="00825540">
        <w:rPr>
          <w:rFonts w:asciiTheme="minorHAnsi" w:hAnsiTheme="minorHAnsi" w:cstheme="minorHAnsi"/>
          <w:b/>
          <w:lang w:val="cs-CZ"/>
        </w:rPr>
        <w:t>1</w:t>
      </w:r>
      <w:r w:rsidRPr="00825540">
        <w:rPr>
          <w:rFonts w:asciiTheme="minorHAnsi" w:hAnsiTheme="minorHAnsi" w:cstheme="minorHAnsi"/>
          <w:b/>
          <w:lang w:val="cs-CZ"/>
        </w:rPr>
        <w:t xml:space="preserve"> </w:t>
      </w:r>
      <w:r w:rsidR="00EC5DD5" w:rsidRPr="00825540">
        <w:rPr>
          <w:rFonts w:asciiTheme="minorHAnsi" w:hAnsiTheme="minorHAnsi" w:cstheme="minorHAnsi"/>
          <w:b/>
          <w:lang w:val="cs-CZ"/>
        </w:rPr>
        <w:t xml:space="preserve">– </w:t>
      </w:r>
      <w:r w:rsidR="00AA3703" w:rsidRPr="00825540">
        <w:rPr>
          <w:rFonts w:asciiTheme="minorHAnsi" w:hAnsiTheme="minorHAnsi" w:cstheme="minorHAnsi"/>
          <w:b/>
          <w:i/>
          <w:lang w:val="cs-CZ"/>
        </w:rPr>
        <w:t>Opravy a udržování</w:t>
      </w:r>
      <w:r w:rsidRPr="00825540">
        <w:rPr>
          <w:rFonts w:asciiTheme="minorHAnsi" w:hAnsiTheme="minorHAnsi" w:cstheme="minorHAnsi"/>
          <w:b/>
          <w:lang w:val="cs-CZ"/>
        </w:rPr>
        <w:t xml:space="preserve">. Tím </w:t>
      </w:r>
      <w:r w:rsidRPr="00825540">
        <w:rPr>
          <w:rFonts w:asciiTheme="minorHAnsi" w:hAnsiTheme="minorHAnsi" w:cstheme="minorHAnsi"/>
          <w:b/>
          <w:bCs/>
          <w:lang w:val="cs-CZ"/>
        </w:rPr>
        <w:t>nepostupovalo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souladu s</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ustanovením §</w:t>
      </w:r>
      <w:r w:rsidR="00EC5DD5" w:rsidRPr="00825540">
        <w:rPr>
          <w:rFonts w:asciiTheme="minorHAnsi" w:hAnsiTheme="minorHAnsi" w:cstheme="minorHAnsi"/>
          <w:b/>
          <w:bCs/>
          <w:lang w:val="cs-CZ"/>
        </w:rPr>
        <w:t> </w:t>
      </w:r>
      <w:r w:rsidRPr="00825540">
        <w:rPr>
          <w:rFonts w:asciiTheme="minorHAnsi" w:hAnsiTheme="minorHAnsi" w:cstheme="minorHAnsi"/>
          <w:b/>
          <w:bCs/>
          <w:lang w:val="cs-CZ"/>
        </w:rPr>
        <w:t>4 odst. 8 zákona č. 563/1991 Sb. Jeho účetnictví nebylo v</w:t>
      </w:r>
      <w:r w:rsidR="00E9785A" w:rsidRPr="00825540">
        <w:rPr>
          <w:rFonts w:asciiTheme="minorHAnsi" w:hAnsiTheme="minorHAnsi" w:cstheme="minorHAnsi"/>
          <w:b/>
          <w:bCs/>
          <w:lang w:val="cs-CZ"/>
        </w:rPr>
        <w:t xml:space="preserve"> </w:t>
      </w:r>
      <w:r w:rsidRPr="00825540">
        <w:rPr>
          <w:rFonts w:asciiTheme="minorHAnsi" w:hAnsiTheme="minorHAnsi" w:cstheme="minorHAnsi"/>
          <w:b/>
          <w:bCs/>
          <w:lang w:val="cs-CZ"/>
        </w:rPr>
        <w:t>roce 2013 a 2014 správné.</w:t>
      </w:r>
    </w:p>
    <w:sectPr w:rsidR="009709C7" w:rsidRPr="00825540" w:rsidSect="00E9785A">
      <w:footerReference w:type="defaul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2C4FD" w14:textId="77777777" w:rsidR="003A11F3" w:rsidRDefault="003A11F3" w:rsidP="005E3F4A">
      <w:r>
        <w:separator/>
      </w:r>
    </w:p>
  </w:endnote>
  <w:endnote w:type="continuationSeparator" w:id="0">
    <w:p w14:paraId="43F1345D" w14:textId="77777777" w:rsidR="003A11F3" w:rsidRDefault="003A11F3" w:rsidP="005E3F4A">
      <w:r>
        <w:continuationSeparator/>
      </w:r>
    </w:p>
  </w:endnote>
  <w:endnote w:type="continuationNotice" w:id="1">
    <w:p w14:paraId="232E5F50" w14:textId="77777777" w:rsidR="003A11F3" w:rsidRDefault="003A1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838789"/>
      <w:docPartObj>
        <w:docPartGallery w:val="Page Numbers (Bottom of Page)"/>
        <w:docPartUnique/>
      </w:docPartObj>
    </w:sdtPr>
    <w:sdtEndPr>
      <w:rPr>
        <w:rFonts w:asciiTheme="minorHAnsi" w:hAnsiTheme="minorHAnsi" w:cstheme="minorHAnsi"/>
      </w:rPr>
    </w:sdtEndPr>
    <w:sdtContent>
      <w:p w14:paraId="59D36628" w14:textId="77777777" w:rsidR="003A11F3" w:rsidRPr="00E9785A" w:rsidRDefault="003A11F3">
        <w:pPr>
          <w:pStyle w:val="Zpat"/>
          <w:jc w:val="center"/>
          <w:rPr>
            <w:rFonts w:asciiTheme="minorHAnsi" w:hAnsiTheme="minorHAnsi" w:cstheme="minorHAnsi"/>
          </w:rPr>
        </w:pPr>
        <w:r w:rsidRPr="00E9785A">
          <w:rPr>
            <w:rFonts w:asciiTheme="minorHAnsi" w:hAnsiTheme="minorHAnsi" w:cstheme="minorHAnsi"/>
          </w:rPr>
          <w:fldChar w:fldCharType="begin"/>
        </w:r>
        <w:r w:rsidRPr="00E9785A">
          <w:rPr>
            <w:rFonts w:asciiTheme="minorHAnsi" w:hAnsiTheme="minorHAnsi" w:cstheme="minorHAnsi"/>
          </w:rPr>
          <w:instrText>PAGE   \* MERGEFORMAT</w:instrText>
        </w:r>
        <w:r w:rsidRPr="00E9785A">
          <w:rPr>
            <w:rFonts w:asciiTheme="minorHAnsi" w:hAnsiTheme="minorHAnsi" w:cstheme="minorHAnsi"/>
          </w:rPr>
          <w:fldChar w:fldCharType="separate"/>
        </w:r>
        <w:r w:rsidR="00584BEB" w:rsidRPr="00584BEB">
          <w:rPr>
            <w:rFonts w:asciiTheme="minorHAnsi" w:hAnsiTheme="minorHAnsi" w:cstheme="minorHAnsi"/>
            <w:noProof/>
            <w:lang w:val="cs-CZ"/>
          </w:rPr>
          <w:t>11</w:t>
        </w:r>
        <w:r w:rsidRPr="00E9785A">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421C2" w14:textId="77777777" w:rsidR="003A11F3" w:rsidRDefault="003A11F3" w:rsidP="005E3F4A">
      <w:r>
        <w:separator/>
      </w:r>
    </w:p>
  </w:footnote>
  <w:footnote w:type="continuationSeparator" w:id="0">
    <w:p w14:paraId="5736281F" w14:textId="77777777" w:rsidR="003A11F3" w:rsidRDefault="003A11F3" w:rsidP="005E3F4A">
      <w:r>
        <w:continuationSeparator/>
      </w:r>
    </w:p>
  </w:footnote>
  <w:footnote w:type="continuationNotice" w:id="1">
    <w:p w14:paraId="56A69E5E" w14:textId="77777777" w:rsidR="003A11F3" w:rsidRDefault="003A11F3"/>
  </w:footnote>
  <w:footnote w:id="2">
    <w:p w14:paraId="479A1D35" w14:textId="77777777" w:rsidR="003A11F3" w:rsidRPr="00096383" w:rsidRDefault="003A11F3" w:rsidP="0073367C">
      <w:pPr>
        <w:pStyle w:val="Textpoznpodarou"/>
        <w:ind w:left="284" w:hanging="284"/>
        <w:jc w:val="both"/>
        <w:rPr>
          <w:rFonts w:asciiTheme="minorHAnsi" w:hAnsiTheme="minorHAnsi" w:cstheme="minorHAnsi"/>
        </w:rPr>
      </w:pPr>
      <w:r w:rsidRPr="00096383">
        <w:rPr>
          <w:rStyle w:val="Znakapoznpodarou"/>
          <w:rFonts w:asciiTheme="minorHAnsi" w:hAnsiTheme="minorHAnsi" w:cstheme="minorHAnsi"/>
        </w:rPr>
        <w:footnoteRef/>
      </w:r>
      <w:r w:rsidRPr="00096383">
        <w:rPr>
          <w:rFonts w:asciiTheme="minorHAnsi" w:hAnsiTheme="minorHAnsi" w:cstheme="minorHAnsi"/>
        </w:rPr>
        <w:tab/>
        <w:t>Zákon</w:t>
      </w:r>
      <w:r>
        <w:rPr>
          <w:rFonts w:asciiTheme="minorHAnsi" w:hAnsiTheme="minorHAnsi" w:cstheme="minorHAnsi"/>
        </w:rPr>
        <w:t xml:space="preserve"> </w:t>
      </w:r>
      <w:r w:rsidRPr="00096383">
        <w:rPr>
          <w:rFonts w:asciiTheme="minorHAnsi" w:hAnsiTheme="minorHAnsi" w:cstheme="minorHAnsi"/>
        </w:rPr>
        <w:t>č. 2/1969 Sb., o zřízení ministerstev a jiných ústředních orgánů státní správy České republiky.</w:t>
      </w:r>
    </w:p>
  </w:footnote>
  <w:footnote w:id="3">
    <w:p w14:paraId="7E5F524B" w14:textId="77777777" w:rsidR="003A11F3" w:rsidRPr="00096383" w:rsidRDefault="003A11F3" w:rsidP="0073367C">
      <w:pPr>
        <w:pStyle w:val="Textpoznpodarou"/>
        <w:ind w:left="284" w:hanging="284"/>
        <w:jc w:val="both"/>
        <w:rPr>
          <w:rFonts w:asciiTheme="minorHAnsi" w:hAnsiTheme="minorHAnsi" w:cstheme="minorHAnsi"/>
        </w:rPr>
      </w:pPr>
      <w:r w:rsidRPr="00096383">
        <w:rPr>
          <w:rStyle w:val="Znakapoznpodarou"/>
          <w:rFonts w:asciiTheme="minorHAnsi" w:hAnsiTheme="minorHAnsi" w:cstheme="minorHAnsi"/>
        </w:rPr>
        <w:footnoteRef/>
      </w:r>
      <w:r w:rsidRPr="00096383">
        <w:rPr>
          <w:rFonts w:asciiTheme="minorHAnsi" w:hAnsiTheme="minorHAnsi" w:cstheme="minorHAnsi"/>
        </w:rPr>
        <w:tab/>
        <w:t>Zákon č. 219/2000 Sb., o majetku České republiky a jejím vystupování v právních vztazích.</w:t>
      </w:r>
    </w:p>
  </w:footnote>
  <w:footnote w:id="4">
    <w:p w14:paraId="29E4F17F" w14:textId="77777777" w:rsidR="003A11F3" w:rsidRPr="00096383" w:rsidRDefault="003A11F3" w:rsidP="0073367C">
      <w:pPr>
        <w:pStyle w:val="Textpoznpodarou"/>
        <w:ind w:left="284" w:hanging="284"/>
        <w:jc w:val="both"/>
        <w:rPr>
          <w:rFonts w:asciiTheme="minorHAnsi" w:hAnsiTheme="minorHAnsi" w:cstheme="minorHAnsi"/>
        </w:rPr>
      </w:pPr>
      <w:r w:rsidRPr="00096383">
        <w:rPr>
          <w:rStyle w:val="Znakapoznpodarou"/>
          <w:rFonts w:asciiTheme="minorHAnsi" w:hAnsiTheme="minorHAnsi" w:cstheme="minorHAnsi"/>
        </w:rPr>
        <w:footnoteRef/>
      </w:r>
      <w:r w:rsidRPr="00096383">
        <w:rPr>
          <w:rFonts w:asciiTheme="minorHAnsi" w:hAnsiTheme="minorHAnsi" w:cstheme="minorHAnsi"/>
        </w:rPr>
        <w:tab/>
        <w:t>Zákon č. 563/1991 Sb., o účetnictví.</w:t>
      </w:r>
    </w:p>
  </w:footnote>
  <w:footnote w:id="5">
    <w:p w14:paraId="4F115E7E" w14:textId="77777777" w:rsidR="003A11F3" w:rsidRPr="00E527A2" w:rsidRDefault="003A11F3" w:rsidP="0073367C">
      <w:pPr>
        <w:pStyle w:val="Textpoznpodarou"/>
        <w:ind w:left="284" w:hanging="284"/>
        <w:jc w:val="both"/>
        <w:rPr>
          <w:rFonts w:asciiTheme="minorHAnsi" w:hAnsiTheme="minorHAnsi" w:cstheme="minorHAnsi"/>
        </w:rPr>
      </w:pPr>
      <w:r w:rsidRPr="00E527A2">
        <w:rPr>
          <w:rStyle w:val="Znakapoznpodarou"/>
          <w:rFonts w:asciiTheme="minorHAnsi" w:hAnsiTheme="minorHAnsi" w:cstheme="minorHAnsi"/>
        </w:rPr>
        <w:footnoteRef/>
      </w:r>
      <w:r>
        <w:rPr>
          <w:rFonts w:asciiTheme="minorHAnsi" w:hAnsiTheme="minorHAnsi" w:cstheme="minorHAnsi"/>
        </w:rPr>
        <w:tab/>
      </w:r>
      <w:r w:rsidRPr="00E527A2">
        <w:rPr>
          <w:rFonts w:asciiTheme="minorHAnsi" w:hAnsiTheme="minorHAnsi" w:cstheme="minorHAnsi"/>
        </w:rPr>
        <w:t>Vyhláška č. 323/2002 Sb., o rozpočtové skladbě.</w:t>
      </w:r>
    </w:p>
  </w:footnote>
  <w:footnote w:id="6">
    <w:p w14:paraId="6862DAF1" w14:textId="77777777" w:rsidR="003A11F3" w:rsidRPr="00096383" w:rsidRDefault="003A11F3" w:rsidP="0073367C">
      <w:pPr>
        <w:pStyle w:val="Textpoznpodarou"/>
        <w:ind w:left="284" w:hanging="284"/>
        <w:jc w:val="both"/>
        <w:rPr>
          <w:rFonts w:asciiTheme="minorHAnsi" w:hAnsiTheme="minorHAnsi" w:cstheme="minorHAnsi"/>
        </w:rPr>
      </w:pPr>
      <w:r w:rsidRPr="00096383">
        <w:rPr>
          <w:rStyle w:val="Znakapoznpodarou"/>
          <w:rFonts w:asciiTheme="minorHAnsi" w:hAnsiTheme="minorHAnsi" w:cstheme="minorHAnsi"/>
        </w:rPr>
        <w:footnoteRef/>
      </w:r>
      <w:r w:rsidRPr="00096383">
        <w:rPr>
          <w:rFonts w:asciiTheme="minorHAnsi" w:hAnsiTheme="minorHAnsi" w:cstheme="minorHAnsi"/>
        </w:rPr>
        <w:tab/>
        <w:t>Zákon č. 320/2001 Sb., o finanční kontrole ve veřejné správě a o změně některých zákonů (zákon o finanční kontrole).</w:t>
      </w:r>
    </w:p>
  </w:footnote>
  <w:footnote w:id="7">
    <w:p w14:paraId="33764138" w14:textId="77777777" w:rsidR="003A11F3" w:rsidRPr="00E9785A" w:rsidRDefault="003A11F3" w:rsidP="00E9785A">
      <w:pPr>
        <w:pStyle w:val="Textpoznpodarou"/>
        <w:ind w:left="284" w:hanging="284"/>
        <w:jc w:val="both"/>
        <w:rPr>
          <w:rFonts w:asciiTheme="minorHAnsi" w:hAnsiTheme="minorHAnsi" w:cstheme="minorHAnsi"/>
        </w:rPr>
      </w:pPr>
      <w:r w:rsidRPr="00E9785A">
        <w:rPr>
          <w:rStyle w:val="Znakapoznpodarou"/>
          <w:rFonts w:asciiTheme="minorHAnsi" w:hAnsiTheme="minorHAnsi" w:cstheme="minorHAnsi"/>
        </w:rPr>
        <w:footnoteRef/>
      </w:r>
      <w:r w:rsidRPr="00E9785A">
        <w:rPr>
          <w:rFonts w:asciiTheme="minorHAnsi" w:hAnsiTheme="minorHAnsi" w:cstheme="minorHAnsi"/>
        </w:rPr>
        <w:t xml:space="preserve"> </w:t>
      </w:r>
      <w:r>
        <w:rPr>
          <w:rFonts w:asciiTheme="minorHAnsi" w:hAnsiTheme="minorHAnsi" w:cstheme="minorHAnsi"/>
        </w:rPr>
        <w:tab/>
      </w:r>
      <w:r w:rsidRPr="00E9785A">
        <w:rPr>
          <w:rFonts w:asciiTheme="minorHAnsi" w:hAnsiTheme="minorHAnsi" w:cstheme="minorHAnsi"/>
        </w:rPr>
        <w:t>Zákon č.218/200</w:t>
      </w:r>
      <w:r>
        <w:rPr>
          <w:rFonts w:asciiTheme="minorHAnsi" w:hAnsiTheme="minorHAnsi" w:cstheme="minorHAnsi"/>
        </w:rPr>
        <w:t>0</w:t>
      </w:r>
      <w:r w:rsidRPr="00E9785A">
        <w:rPr>
          <w:rFonts w:asciiTheme="minorHAnsi" w:hAnsiTheme="minorHAnsi" w:cstheme="minorHAnsi"/>
        </w:rPr>
        <w:t xml:space="preserve"> Sb., o rozpočtových pravidlech a o změně některých souvisejících zákonů (rozpočtová pravidla)</w:t>
      </w:r>
      <w:r>
        <w:rPr>
          <w:rFonts w:asciiTheme="minorHAnsi" w:hAnsiTheme="minorHAnsi" w:cs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7DBC"/>
    <w:multiLevelType w:val="hybridMultilevel"/>
    <w:tmpl w:val="B6743054"/>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221CAD"/>
    <w:multiLevelType w:val="hybridMultilevel"/>
    <w:tmpl w:val="62302F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504D25"/>
    <w:multiLevelType w:val="hybridMultilevel"/>
    <w:tmpl w:val="C9845046"/>
    <w:lvl w:ilvl="0" w:tplc="9C8E93EE">
      <w:start w:val="1"/>
      <w:numFmt w:val="bullet"/>
      <w:lvlText w:val=""/>
      <w:lvlJc w:val="left"/>
      <w:pPr>
        <w:ind w:left="720" w:hanging="360"/>
      </w:pPr>
      <w:rPr>
        <w:rFonts w:ascii="Symbol" w:hAnsi="Symbol" w:hint="default"/>
      </w:rPr>
    </w:lvl>
    <w:lvl w:ilvl="1" w:tplc="0986A6D6">
      <w:numFmt w:val="bullet"/>
      <w:lvlText w:val="-"/>
      <w:lvlJc w:val="left"/>
      <w:pPr>
        <w:ind w:left="1440" w:hanging="360"/>
      </w:pPr>
      <w:rPr>
        <w:rFonts w:ascii="Calibri" w:eastAsia="Times New Roman" w:hAnsi="Calibri" w:cs="Calibri"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906C03"/>
    <w:multiLevelType w:val="hybridMultilevel"/>
    <w:tmpl w:val="1EF031EC"/>
    <w:lvl w:ilvl="0" w:tplc="F3A46C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28157F"/>
    <w:multiLevelType w:val="hybridMultilevel"/>
    <w:tmpl w:val="26BC3E3A"/>
    <w:lvl w:ilvl="0" w:tplc="A1E0999A">
      <w:numFmt w:val="bullet"/>
      <w:lvlText w:val="-"/>
      <w:lvlJc w:val="left"/>
      <w:pPr>
        <w:ind w:left="720" w:hanging="360"/>
      </w:pPr>
      <w:rPr>
        <w:rFonts w:ascii="Calibri" w:eastAsia="Times New Roman"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3B5CC7"/>
    <w:multiLevelType w:val="hybridMultilevel"/>
    <w:tmpl w:val="2EF6F9A0"/>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C5616B"/>
    <w:multiLevelType w:val="hybridMultilevel"/>
    <w:tmpl w:val="D6AAE014"/>
    <w:lvl w:ilvl="0" w:tplc="94AE3E5C">
      <w:start w:val="979"/>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B7265A"/>
    <w:multiLevelType w:val="hybridMultilevel"/>
    <w:tmpl w:val="FC82A4EA"/>
    <w:lvl w:ilvl="0" w:tplc="9C8E93EE">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1F3C6A3F"/>
    <w:multiLevelType w:val="hybridMultilevel"/>
    <w:tmpl w:val="9594D9BC"/>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4745B2"/>
    <w:multiLevelType w:val="hybridMultilevel"/>
    <w:tmpl w:val="EFF2BF38"/>
    <w:lvl w:ilvl="0" w:tplc="9C8E93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DA6EBE"/>
    <w:multiLevelType w:val="hybridMultilevel"/>
    <w:tmpl w:val="F0C43320"/>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A2B6ACB"/>
    <w:multiLevelType w:val="hybridMultilevel"/>
    <w:tmpl w:val="54D838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nsid w:val="2C503E35"/>
    <w:multiLevelType w:val="hybridMultilevel"/>
    <w:tmpl w:val="75C0A04A"/>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9053B1"/>
    <w:multiLevelType w:val="hybridMultilevel"/>
    <w:tmpl w:val="C9E8613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2DE32BD4"/>
    <w:multiLevelType w:val="hybridMultilevel"/>
    <w:tmpl w:val="F03029BC"/>
    <w:lvl w:ilvl="0" w:tplc="36E8F404">
      <w:numFmt w:val="bullet"/>
      <w:lvlText w:val=""/>
      <w:lvlJc w:val="left"/>
      <w:pPr>
        <w:ind w:left="720" w:hanging="360"/>
      </w:pPr>
      <w:rPr>
        <w:rFonts w:ascii="Symbol" w:eastAsia="Times New Roman" w:hAnsi="Symbol" w:cstheme="minorHAns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E6210CF"/>
    <w:multiLevelType w:val="hybridMultilevel"/>
    <w:tmpl w:val="8E8869E8"/>
    <w:lvl w:ilvl="0" w:tplc="5718B170">
      <w:start w:val="2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2F8B34B4"/>
    <w:multiLevelType w:val="hybridMultilevel"/>
    <w:tmpl w:val="15A6C172"/>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4E61D55"/>
    <w:multiLevelType w:val="hybridMultilevel"/>
    <w:tmpl w:val="1C88F7B6"/>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90A6D64"/>
    <w:multiLevelType w:val="hybridMultilevel"/>
    <w:tmpl w:val="0A12C58E"/>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A190E38"/>
    <w:multiLevelType w:val="hybridMultilevel"/>
    <w:tmpl w:val="7A14CDDE"/>
    <w:lvl w:ilvl="0" w:tplc="48A0B20A">
      <w:start w:val="1"/>
      <w:numFmt w:val="bullet"/>
      <w:lvlText w:val="-"/>
      <w:lvlJc w:val="left"/>
      <w:pPr>
        <w:ind w:left="644" w:hanging="360"/>
      </w:pPr>
      <w:rPr>
        <w:rFonts w:ascii="Arial" w:hAnsi="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nsid w:val="3D163725"/>
    <w:multiLevelType w:val="hybridMultilevel"/>
    <w:tmpl w:val="393624CE"/>
    <w:lvl w:ilvl="0" w:tplc="814CD9DE">
      <w:start w:val="1"/>
      <w:numFmt w:val="bullet"/>
      <w:lvlText w:val="–"/>
      <w:lvlJc w:val="left"/>
      <w:pPr>
        <w:ind w:left="720" w:hanging="360"/>
      </w:pPr>
      <w:rPr>
        <w:rFonts w:ascii="Times New Roman" w:eastAsia="Times New Roman" w:hAnsi="Times New Roman" w:cs="Times New Roman"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D43EAB"/>
    <w:multiLevelType w:val="hybridMultilevel"/>
    <w:tmpl w:val="BA8C33AC"/>
    <w:lvl w:ilvl="0" w:tplc="B5C84134">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1A816CF"/>
    <w:multiLevelType w:val="hybridMultilevel"/>
    <w:tmpl w:val="6DBADB8C"/>
    <w:lvl w:ilvl="0" w:tplc="061E24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5076DA2"/>
    <w:multiLevelType w:val="hybridMultilevel"/>
    <w:tmpl w:val="53289136"/>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5301161"/>
    <w:multiLevelType w:val="hybridMultilevel"/>
    <w:tmpl w:val="5074D83E"/>
    <w:lvl w:ilvl="0" w:tplc="93DE13D6">
      <w:start w:val="97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CD260A"/>
    <w:multiLevelType w:val="hybridMultilevel"/>
    <w:tmpl w:val="F0EC1400"/>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9923B87"/>
    <w:multiLevelType w:val="hybridMultilevel"/>
    <w:tmpl w:val="B0A2DEB8"/>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3E1B94"/>
    <w:multiLevelType w:val="hybridMultilevel"/>
    <w:tmpl w:val="829627A8"/>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5E358D"/>
    <w:multiLevelType w:val="hybridMultilevel"/>
    <w:tmpl w:val="4038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35F7BF0"/>
    <w:multiLevelType w:val="hybridMultilevel"/>
    <w:tmpl w:val="ECF03A54"/>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63005CC"/>
    <w:multiLevelType w:val="hybridMultilevel"/>
    <w:tmpl w:val="85688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68847F3"/>
    <w:multiLevelType w:val="multilevel"/>
    <w:tmpl w:val="E0D4B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CC1238"/>
    <w:multiLevelType w:val="hybridMultilevel"/>
    <w:tmpl w:val="4F2E2694"/>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9D2649E"/>
    <w:multiLevelType w:val="hybridMultilevel"/>
    <w:tmpl w:val="DDE056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C65293B"/>
    <w:multiLevelType w:val="hybridMultilevel"/>
    <w:tmpl w:val="10A86BF0"/>
    <w:lvl w:ilvl="0" w:tplc="04050001">
      <w:start w:val="1"/>
      <w:numFmt w:val="bullet"/>
      <w:lvlText w:val=""/>
      <w:lvlJc w:val="left"/>
      <w:pPr>
        <w:ind w:left="720" w:hanging="360"/>
      </w:pPr>
      <w:rPr>
        <w:rFonts w:ascii="Symbol" w:hAnsi="Symbol" w:hint="default"/>
      </w:rPr>
    </w:lvl>
    <w:lvl w:ilvl="1" w:tplc="82129598">
      <w:numFmt w:val="bullet"/>
      <w:lvlText w:val="-"/>
      <w:lvlJc w:val="left"/>
      <w:pPr>
        <w:ind w:left="1440" w:hanging="360"/>
      </w:pPr>
      <w:rPr>
        <w:rFonts w:ascii="Calibri" w:eastAsia="Times New Roman" w:hAnsi="Calibri" w:cs="Calibri" w:hint="default"/>
        <w:b w:val="0"/>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EF74B5B"/>
    <w:multiLevelType w:val="hybridMultilevel"/>
    <w:tmpl w:val="40C64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4024818"/>
    <w:multiLevelType w:val="hybridMultilevel"/>
    <w:tmpl w:val="F0E0728C"/>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4035537"/>
    <w:multiLevelType w:val="hybridMultilevel"/>
    <w:tmpl w:val="686EBFEC"/>
    <w:lvl w:ilvl="0" w:tplc="E4C4BD7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47F72C6"/>
    <w:multiLevelType w:val="hybridMultilevel"/>
    <w:tmpl w:val="D3F64212"/>
    <w:lvl w:ilvl="0" w:tplc="9C8E93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827F9B"/>
    <w:multiLevelType w:val="hybridMultilevel"/>
    <w:tmpl w:val="86584D1A"/>
    <w:lvl w:ilvl="0" w:tplc="3D0EBFF8">
      <w:start w:val="1"/>
      <w:numFmt w:val="decimal"/>
      <w:lvlText w:val="%1."/>
      <w:lvlJc w:val="left"/>
      <w:pPr>
        <w:ind w:left="720" w:hanging="360"/>
      </w:pPr>
      <w:rPr>
        <w:rFonts w:asciiTheme="minorHAnsi" w:hAnsiTheme="minorHAnsi" w:cstheme="minorHAns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84F4774"/>
    <w:multiLevelType w:val="hybridMultilevel"/>
    <w:tmpl w:val="F140E55A"/>
    <w:lvl w:ilvl="0" w:tplc="9C8E93EE">
      <w:start w:val="1"/>
      <w:numFmt w:val="bullet"/>
      <w:lvlText w:val=""/>
      <w:lvlJc w:val="left"/>
      <w:pPr>
        <w:ind w:left="720" w:hanging="360"/>
      </w:pPr>
      <w:rPr>
        <w:rFonts w:ascii="Symbol" w:hAnsi="Symbol" w:hint="default"/>
      </w:rPr>
    </w:lvl>
    <w:lvl w:ilvl="1" w:tplc="9C8E93EE">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97E212E"/>
    <w:multiLevelType w:val="hybridMultilevel"/>
    <w:tmpl w:val="0F7A0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780E57"/>
    <w:multiLevelType w:val="hybridMultilevel"/>
    <w:tmpl w:val="894A757C"/>
    <w:lvl w:ilvl="0" w:tplc="9C8E93EE">
      <w:start w:val="1"/>
      <w:numFmt w:val="bullet"/>
      <w:lvlText w:val=""/>
      <w:lvlJc w:val="left"/>
      <w:pPr>
        <w:ind w:left="720" w:hanging="360"/>
      </w:pPr>
      <w:rPr>
        <w:rFonts w:ascii="Symbol" w:hAnsi="Symbol" w:hint="default"/>
      </w:rPr>
    </w:lvl>
    <w:lvl w:ilvl="1" w:tplc="82129598">
      <w:numFmt w:val="bullet"/>
      <w:lvlText w:val="-"/>
      <w:lvlJc w:val="left"/>
      <w:pPr>
        <w:ind w:left="1440" w:hanging="360"/>
      </w:pPr>
      <w:rPr>
        <w:rFonts w:ascii="Calibri" w:eastAsia="Times New Roman" w:hAnsi="Calibri" w:cs="Calibri" w:hint="default"/>
        <w:b w:val="0"/>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EF97371"/>
    <w:multiLevelType w:val="hybridMultilevel"/>
    <w:tmpl w:val="2F5AE1A4"/>
    <w:lvl w:ilvl="0" w:tplc="0405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0"/>
  </w:num>
  <w:num w:numId="2">
    <w:abstractNumId w:val="31"/>
  </w:num>
  <w:num w:numId="3">
    <w:abstractNumId w:val="37"/>
  </w:num>
  <w:num w:numId="4">
    <w:abstractNumId w:val="42"/>
  </w:num>
  <w:num w:numId="5">
    <w:abstractNumId w:val="11"/>
  </w:num>
  <w:num w:numId="6">
    <w:abstractNumId w:val="30"/>
  </w:num>
  <w:num w:numId="7">
    <w:abstractNumId w:val="33"/>
  </w:num>
  <w:num w:numId="8">
    <w:abstractNumId w:val="15"/>
  </w:num>
  <w:num w:numId="9">
    <w:abstractNumId w:val="9"/>
  </w:num>
  <w:num w:numId="10">
    <w:abstractNumId w:val="10"/>
  </w:num>
  <w:num w:numId="11">
    <w:abstractNumId w:val="34"/>
  </w:num>
  <w:num w:numId="12">
    <w:abstractNumId w:val="28"/>
  </w:num>
  <w:num w:numId="13">
    <w:abstractNumId w:val="41"/>
  </w:num>
  <w:num w:numId="14">
    <w:abstractNumId w:val="35"/>
  </w:num>
  <w:num w:numId="15">
    <w:abstractNumId w:val="13"/>
  </w:num>
  <w:num w:numId="16">
    <w:abstractNumId w:val="39"/>
  </w:num>
  <w:num w:numId="17">
    <w:abstractNumId w:val="24"/>
  </w:num>
  <w:num w:numId="18">
    <w:abstractNumId w:val="6"/>
  </w:num>
  <w:num w:numId="19">
    <w:abstractNumId w:val="3"/>
  </w:num>
  <w:num w:numId="20">
    <w:abstractNumId w:val="22"/>
  </w:num>
  <w:num w:numId="21">
    <w:abstractNumId w:val="43"/>
  </w:num>
  <w:num w:numId="22">
    <w:abstractNumId w:val="21"/>
  </w:num>
  <w:num w:numId="23">
    <w:abstractNumId w:val="1"/>
  </w:num>
  <w:num w:numId="24">
    <w:abstractNumId w:val="14"/>
  </w:num>
  <w:num w:numId="25">
    <w:abstractNumId w:val="19"/>
  </w:num>
  <w:num w:numId="26">
    <w:abstractNumId w:val="7"/>
  </w:num>
  <w:num w:numId="27">
    <w:abstractNumId w:val="2"/>
  </w:num>
  <w:num w:numId="28">
    <w:abstractNumId w:val="4"/>
  </w:num>
  <w:num w:numId="29">
    <w:abstractNumId w:val="26"/>
  </w:num>
  <w:num w:numId="30">
    <w:abstractNumId w:val="8"/>
  </w:num>
  <w:num w:numId="31">
    <w:abstractNumId w:val="23"/>
  </w:num>
  <w:num w:numId="32">
    <w:abstractNumId w:val="0"/>
  </w:num>
  <w:num w:numId="33">
    <w:abstractNumId w:val="38"/>
  </w:num>
  <w:num w:numId="34">
    <w:abstractNumId w:val="27"/>
  </w:num>
  <w:num w:numId="35">
    <w:abstractNumId w:val="25"/>
  </w:num>
  <w:num w:numId="36">
    <w:abstractNumId w:val="29"/>
  </w:num>
  <w:num w:numId="37">
    <w:abstractNumId w:val="16"/>
  </w:num>
  <w:num w:numId="38">
    <w:abstractNumId w:val="12"/>
  </w:num>
  <w:num w:numId="39">
    <w:abstractNumId w:val="40"/>
  </w:num>
  <w:num w:numId="40">
    <w:abstractNumId w:val="32"/>
  </w:num>
  <w:num w:numId="41">
    <w:abstractNumId w:val="36"/>
  </w:num>
  <w:num w:numId="42">
    <w:abstractNumId w:val="18"/>
  </w:num>
  <w:num w:numId="43">
    <w:abstractNumId w:val="1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4A"/>
    <w:rsid w:val="00000E4E"/>
    <w:rsid w:val="000026B4"/>
    <w:rsid w:val="0000501A"/>
    <w:rsid w:val="00005DF3"/>
    <w:rsid w:val="00006DF8"/>
    <w:rsid w:val="000072C6"/>
    <w:rsid w:val="0001029C"/>
    <w:rsid w:val="00010F45"/>
    <w:rsid w:val="000124FC"/>
    <w:rsid w:val="00012A69"/>
    <w:rsid w:val="000130F2"/>
    <w:rsid w:val="00014617"/>
    <w:rsid w:val="00014DEE"/>
    <w:rsid w:val="000156D5"/>
    <w:rsid w:val="0002286B"/>
    <w:rsid w:val="000230A9"/>
    <w:rsid w:val="0002461D"/>
    <w:rsid w:val="000255D7"/>
    <w:rsid w:val="00026A23"/>
    <w:rsid w:val="000270A8"/>
    <w:rsid w:val="000276D5"/>
    <w:rsid w:val="000344D2"/>
    <w:rsid w:val="00037D82"/>
    <w:rsid w:val="00040F06"/>
    <w:rsid w:val="00042700"/>
    <w:rsid w:val="00043667"/>
    <w:rsid w:val="00044631"/>
    <w:rsid w:val="000451DC"/>
    <w:rsid w:val="000458EC"/>
    <w:rsid w:val="000462C0"/>
    <w:rsid w:val="00046BC9"/>
    <w:rsid w:val="0004744E"/>
    <w:rsid w:val="00052194"/>
    <w:rsid w:val="00052687"/>
    <w:rsid w:val="000546D5"/>
    <w:rsid w:val="000559F4"/>
    <w:rsid w:val="000566B1"/>
    <w:rsid w:val="000625F6"/>
    <w:rsid w:val="00062E96"/>
    <w:rsid w:val="000662C1"/>
    <w:rsid w:val="00070F5D"/>
    <w:rsid w:val="00072028"/>
    <w:rsid w:val="000723E5"/>
    <w:rsid w:val="00073888"/>
    <w:rsid w:val="00074186"/>
    <w:rsid w:val="00074231"/>
    <w:rsid w:val="00077945"/>
    <w:rsid w:val="000826E7"/>
    <w:rsid w:val="00083508"/>
    <w:rsid w:val="000840BC"/>
    <w:rsid w:val="00085035"/>
    <w:rsid w:val="0008559A"/>
    <w:rsid w:val="00087424"/>
    <w:rsid w:val="000875DE"/>
    <w:rsid w:val="00087831"/>
    <w:rsid w:val="00091F36"/>
    <w:rsid w:val="0009225E"/>
    <w:rsid w:val="00092502"/>
    <w:rsid w:val="00092C45"/>
    <w:rsid w:val="000933C8"/>
    <w:rsid w:val="00096383"/>
    <w:rsid w:val="00097406"/>
    <w:rsid w:val="000A0866"/>
    <w:rsid w:val="000A09F9"/>
    <w:rsid w:val="000A27D9"/>
    <w:rsid w:val="000A31D1"/>
    <w:rsid w:val="000A321C"/>
    <w:rsid w:val="000A4F26"/>
    <w:rsid w:val="000A7E04"/>
    <w:rsid w:val="000B0690"/>
    <w:rsid w:val="000B2191"/>
    <w:rsid w:val="000B31F8"/>
    <w:rsid w:val="000B46D8"/>
    <w:rsid w:val="000B4D88"/>
    <w:rsid w:val="000B4E3E"/>
    <w:rsid w:val="000B7866"/>
    <w:rsid w:val="000B787C"/>
    <w:rsid w:val="000C110F"/>
    <w:rsid w:val="000C3233"/>
    <w:rsid w:val="000C3907"/>
    <w:rsid w:val="000C495E"/>
    <w:rsid w:val="000C5D82"/>
    <w:rsid w:val="000C7DC8"/>
    <w:rsid w:val="000D2483"/>
    <w:rsid w:val="000D5662"/>
    <w:rsid w:val="000D7570"/>
    <w:rsid w:val="000D772D"/>
    <w:rsid w:val="000E203F"/>
    <w:rsid w:val="000E44BB"/>
    <w:rsid w:val="000E5794"/>
    <w:rsid w:val="000E5884"/>
    <w:rsid w:val="000E64F3"/>
    <w:rsid w:val="000E66CE"/>
    <w:rsid w:val="000E7A1A"/>
    <w:rsid w:val="000E7FD7"/>
    <w:rsid w:val="000F09F3"/>
    <w:rsid w:val="000F1829"/>
    <w:rsid w:val="000F2E4F"/>
    <w:rsid w:val="000F2F19"/>
    <w:rsid w:val="000F41D2"/>
    <w:rsid w:val="000F5302"/>
    <w:rsid w:val="0010084C"/>
    <w:rsid w:val="00100C96"/>
    <w:rsid w:val="00101521"/>
    <w:rsid w:val="001020F4"/>
    <w:rsid w:val="00102AC0"/>
    <w:rsid w:val="001036B7"/>
    <w:rsid w:val="00104DBB"/>
    <w:rsid w:val="00104EF7"/>
    <w:rsid w:val="00105318"/>
    <w:rsid w:val="00105D6B"/>
    <w:rsid w:val="001071B8"/>
    <w:rsid w:val="001127F3"/>
    <w:rsid w:val="00114D09"/>
    <w:rsid w:val="00115D6D"/>
    <w:rsid w:val="00116C90"/>
    <w:rsid w:val="00117637"/>
    <w:rsid w:val="0012538A"/>
    <w:rsid w:val="00126783"/>
    <w:rsid w:val="001267AC"/>
    <w:rsid w:val="0012746C"/>
    <w:rsid w:val="0013160C"/>
    <w:rsid w:val="001330DB"/>
    <w:rsid w:val="0013322F"/>
    <w:rsid w:val="0013366A"/>
    <w:rsid w:val="00133819"/>
    <w:rsid w:val="001342A0"/>
    <w:rsid w:val="00134CF8"/>
    <w:rsid w:val="001359BC"/>
    <w:rsid w:val="00135AA7"/>
    <w:rsid w:val="001366D1"/>
    <w:rsid w:val="00137A73"/>
    <w:rsid w:val="00137CD3"/>
    <w:rsid w:val="0014139C"/>
    <w:rsid w:val="001435C7"/>
    <w:rsid w:val="0014378E"/>
    <w:rsid w:val="00144A52"/>
    <w:rsid w:val="00144A8D"/>
    <w:rsid w:val="00145A86"/>
    <w:rsid w:val="00145C51"/>
    <w:rsid w:val="00146961"/>
    <w:rsid w:val="001469AA"/>
    <w:rsid w:val="00147816"/>
    <w:rsid w:val="001525D7"/>
    <w:rsid w:val="00154720"/>
    <w:rsid w:val="001548BB"/>
    <w:rsid w:val="001555B3"/>
    <w:rsid w:val="001566E7"/>
    <w:rsid w:val="001566F5"/>
    <w:rsid w:val="00160F05"/>
    <w:rsid w:val="00161A39"/>
    <w:rsid w:val="00161AC4"/>
    <w:rsid w:val="001640F7"/>
    <w:rsid w:val="00166508"/>
    <w:rsid w:val="001678BF"/>
    <w:rsid w:val="00167F11"/>
    <w:rsid w:val="00170D19"/>
    <w:rsid w:val="001712E1"/>
    <w:rsid w:val="00172B75"/>
    <w:rsid w:val="001739B8"/>
    <w:rsid w:val="00174E86"/>
    <w:rsid w:val="00181A87"/>
    <w:rsid w:val="00181D8F"/>
    <w:rsid w:val="001820E9"/>
    <w:rsid w:val="001837A0"/>
    <w:rsid w:val="00186B88"/>
    <w:rsid w:val="00187146"/>
    <w:rsid w:val="00191C60"/>
    <w:rsid w:val="00193294"/>
    <w:rsid w:val="0019374E"/>
    <w:rsid w:val="001967D8"/>
    <w:rsid w:val="00196EBF"/>
    <w:rsid w:val="00197322"/>
    <w:rsid w:val="001A0D75"/>
    <w:rsid w:val="001A205A"/>
    <w:rsid w:val="001A217E"/>
    <w:rsid w:val="001A312A"/>
    <w:rsid w:val="001A3552"/>
    <w:rsid w:val="001A397F"/>
    <w:rsid w:val="001A4537"/>
    <w:rsid w:val="001A5B7B"/>
    <w:rsid w:val="001B2F50"/>
    <w:rsid w:val="001B3D5C"/>
    <w:rsid w:val="001B467B"/>
    <w:rsid w:val="001B67C2"/>
    <w:rsid w:val="001C0F61"/>
    <w:rsid w:val="001C1437"/>
    <w:rsid w:val="001C1DDF"/>
    <w:rsid w:val="001C2F7E"/>
    <w:rsid w:val="001C3609"/>
    <w:rsid w:val="001C540D"/>
    <w:rsid w:val="001C54E7"/>
    <w:rsid w:val="001C7D75"/>
    <w:rsid w:val="001D0440"/>
    <w:rsid w:val="001D0ABF"/>
    <w:rsid w:val="001D229A"/>
    <w:rsid w:val="001D2D5F"/>
    <w:rsid w:val="001D2D83"/>
    <w:rsid w:val="001D2F32"/>
    <w:rsid w:val="001D35A9"/>
    <w:rsid w:val="001D6D22"/>
    <w:rsid w:val="001D74EF"/>
    <w:rsid w:val="001D7F26"/>
    <w:rsid w:val="001E078E"/>
    <w:rsid w:val="001E08B5"/>
    <w:rsid w:val="001E1B44"/>
    <w:rsid w:val="001E248E"/>
    <w:rsid w:val="001E35E2"/>
    <w:rsid w:val="001E3A0B"/>
    <w:rsid w:val="001E3BDB"/>
    <w:rsid w:val="001E7331"/>
    <w:rsid w:val="001E76A8"/>
    <w:rsid w:val="001F052C"/>
    <w:rsid w:val="001F0C3A"/>
    <w:rsid w:val="001F394A"/>
    <w:rsid w:val="001F5221"/>
    <w:rsid w:val="001F5F61"/>
    <w:rsid w:val="001F67D2"/>
    <w:rsid w:val="001F7014"/>
    <w:rsid w:val="001F716E"/>
    <w:rsid w:val="001F77B9"/>
    <w:rsid w:val="002007F9"/>
    <w:rsid w:val="0020096C"/>
    <w:rsid w:val="00200DA3"/>
    <w:rsid w:val="0020220F"/>
    <w:rsid w:val="00204351"/>
    <w:rsid w:val="0021126E"/>
    <w:rsid w:val="00212071"/>
    <w:rsid w:val="002121A8"/>
    <w:rsid w:val="002124B5"/>
    <w:rsid w:val="002178F8"/>
    <w:rsid w:val="00217FEE"/>
    <w:rsid w:val="002208B6"/>
    <w:rsid w:val="00221C78"/>
    <w:rsid w:val="002230CF"/>
    <w:rsid w:val="00223E76"/>
    <w:rsid w:val="00223F73"/>
    <w:rsid w:val="002242E3"/>
    <w:rsid w:val="00224E95"/>
    <w:rsid w:val="00225FB5"/>
    <w:rsid w:val="00226202"/>
    <w:rsid w:val="002274AC"/>
    <w:rsid w:val="002278BB"/>
    <w:rsid w:val="00230B9C"/>
    <w:rsid w:val="002324F1"/>
    <w:rsid w:val="00243843"/>
    <w:rsid w:val="00243D5B"/>
    <w:rsid w:val="0024437C"/>
    <w:rsid w:val="00245C15"/>
    <w:rsid w:val="00252053"/>
    <w:rsid w:val="0025382A"/>
    <w:rsid w:val="00253C76"/>
    <w:rsid w:val="002559CF"/>
    <w:rsid w:val="00256373"/>
    <w:rsid w:val="002567D7"/>
    <w:rsid w:val="002568ED"/>
    <w:rsid w:val="0025722B"/>
    <w:rsid w:val="00263A25"/>
    <w:rsid w:val="00263DD8"/>
    <w:rsid w:val="00263F18"/>
    <w:rsid w:val="00264180"/>
    <w:rsid w:val="00265314"/>
    <w:rsid w:val="00265C44"/>
    <w:rsid w:val="00270013"/>
    <w:rsid w:val="00271C71"/>
    <w:rsid w:val="00274A09"/>
    <w:rsid w:val="00274D42"/>
    <w:rsid w:val="00276312"/>
    <w:rsid w:val="00276344"/>
    <w:rsid w:val="0028045B"/>
    <w:rsid w:val="00281FB0"/>
    <w:rsid w:val="0028290B"/>
    <w:rsid w:val="00283A14"/>
    <w:rsid w:val="00287150"/>
    <w:rsid w:val="00287FE3"/>
    <w:rsid w:val="0029023F"/>
    <w:rsid w:val="0029182A"/>
    <w:rsid w:val="00291AD0"/>
    <w:rsid w:val="00292474"/>
    <w:rsid w:val="00292C89"/>
    <w:rsid w:val="00293455"/>
    <w:rsid w:val="00294BAC"/>
    <w:rsid w:val="00295720"/>
    <w:rsid w:val="00295D68"/>
    <w:rsid w:val="002A0321"/>
    <w:rsid w:val="002A1136"/>
    <w:rsid w:val="002A21AD"/>
    <w:rsid w:val="002A2372"/>
    <w:rsid w:val="002A3C9E"/>
    <w:rsid w:val="002A40E4"/>
    <w:rsid w:val="002A6BA8"/>
    <w:rsid w:val="002A7D31"/>
    <w:rsid w:val="002A7DA8"/>
    <w:rsid w:val="002B05A5"/>
    <w:rsid w:val="002B589F"/>
    <w:rsid w:val="002B5F5D"/>
    <w:rsid w:val="002C2DD3"/>
    <w:rsid w:val="002C4E63"/>
    <w:rsid w:val="002D01AA"/>
    <w:rsid w:val="002D37BA"/>
    <w:rsid w:val="002D4086"/>
    <w:rsid w:val="002D4150"/>
    <w:rsid w:val="002D4CCA"/>
    <w:rsid w:val="002D4EA1"/>
    <w:rsid w:val="002D6526"/>
    <w:rsid w:val="002D6A98"/>
    <w:rsid w:val="002E07A7"/>
    <w:rsid w:val="002E08A1"/>
    <w:rsid w:val="002E1BA0"/>
    <w:rsid w:val="002E3227"/>
    <w:rsid w:val="002E4A63"/>
    <w:rsid w:val="002E7089"/>
    <w:rsid w:val="002E7590"/>
    <w:rsid w:val="002E7ACB"/>
    <w:rsid w:val="002F0AD0"/>
    <w:rsid w:val="002F14C8"/>
    <w:rsid w:val="002F18A8"/>
    <w:rsid w:val="002F1FE5"/>
    <w:rsid w:val="002F306D"/>
    <w:rsid w:val="002F3F4D"/>
    <w:rsid w:val="002F4CAB"/>
    <w:rsid w:val="002F61A2"/>
    <w:rsid w:val="00301403"/>
    <w:rsid w:val="00301BAB"/>
    <w:rsid w:val="00301FD0"/>
    <w:rsid w:val="00303822"/>
    <w:rsid w:val="00305D85"/>
    <w:rsid w:val="003120A4"/>
    <w:rsid w:val="00313B0F"/>
    <w:rsid w:val="003145D4"/>
    <w:rsid w:val="00314A78"/>
    <w:rsid w:val="00315F75"/>
    <w:rsid w:val="003207BF"/>
    <w:rsid w:val="00320DD9"/>
    <w:rsid w:val="00322C36"/>
    <w:rsid w:val="00322F30"/>
    <w:rsid w:val="0032311B"/>
    <w:rsid w:val="00324F82"/>
    <w:rsid w:val="003251C3"/>
    <w:rsid w:val="00326871"/>
    <w:rsid w:val="00326DC7"/>
    <w:rsid w:val="003279E7"/>
    <w:rsid w:val="00331C10"/>
    <w:rsid w:val="003325EE"/>
    <w:rsid w:val="00332BA1"/>
    <w:rsid w:val="00335F05"/>
    <w:rsid w:val="00337F85"/>
    <w:rsid w:val="003401BE"/>
    <w:rsid w:val="0034163B"/>
    <w:rsid w:val="00341672"/>
    <w:rsid w:val="00342B96"/>
    <w:rsid w:val="003432CC"/>
    <w:rsid w:val="003446E7"/>
    <w:rsid w:val="00344D37"/>
    <w:rsid w:val="00345896"/>
    <w:rsid w:val="00346902"/>
    <w:rsid w:val="003473DB"/>
    <w:rsid w:val="003515F4"/>
    <w:rsid w:val="003546F7"/>
    <w:rsid w:val="00356F14"/>
    <w:rsid w:val="00357B6F"/>
    <w:rsid w:val="00360C1D"/>
    <w:rsid w:val="00361F3F"/>
    <w:rsid w:val="00362569"/>
    <w:rsid w:val="003636E9"/>
    <w:rsid w:val="00364761"/>
    <w:rsid w:val="00365D0C"/>
    <w:rsid w:val="003667E1"/>
    <w:rsid w:val="00366AD0"/>
    <w:rsid w:val="00371DC1"/>
    <w:rsid w:val="00373363"/>
    <w:rsid w:val="00374C6B"/>
    <w:rsid w:val="0037516A"/>
    <w:rsid w:val="00375951"/>
    <w:rsid w:val="00380047"/>
    <w:rsid w:val="00380A7A"/>
    <w:rsid w:val="00383B2B"/>
    <w:rsid w:val="00384583"/>
    <w:rsid w:val="00385904"/>
    <w:rsid w:val="00385AD5"/>
    <w:rsid w:val="00391078"/>
    <w:rsid w:val="0039217F"/>
    <w:rsid w:val="003924D6"/>
    <w:rsid w:val="0039526A"/>
    <w:rsid w:val="003968E8"/>
    <w:rsid w:val="00396C39"/>
    <w:rsid w:val="00397068"/>
    <w:rsid w:val="00397791"/>
    <w:rsid w:val="003A11F3"/>
    <w:rsid w:val="003A22F1"/>
    <w:rsid w:val="003A446E"/>
    <w:rsid w:val="003B066A"/>
    <w:rsid w:val="003B12A8"/>
    <w:rsid w:val="003B1786"/>
    <w:rsid w:val="003B2846"/>
    <w:rsid w:val="003B490D"/>
    <w:rsid w:val="003B5651"/>
    <w:rsid w:val="003B59AE"/>
    <w:rsid w:val="003B7698"/>
    <w:rsid w:val="003C1622"/>
    <w:rsid w:val="003C1CFE"/>
    <w:rsid w:val="003C3086"/>
    <w:rsid w:val="003C4914"/>
    <w:rsid w:val="003C539D"/>
    <w:rsid w:val="003C674B"/>
    <w:rsid w:val="003C6EF1"/>
    <w:rsid w:val="003D1339"/>
    <w:rsid w:val="003D316B"/>
    <w:rsid w:val="003D4981"/>
    <w:rsid w:val="003D7507"/>
    <w:rsid w:val="003D7B92"/>
    <w:rsid w:val="003E1BE7"/>
    <w:rsid w:val="003E235B"/>
    <w:rsid w:val="003E2EC2"/>
    <w:rsid w:val="003E45A7"/>
    <w:rsid w:val="003E785B"/>
    <w:rsid w:val="003E7CE3"/>
    <w:rsid w:val="003F0E91"/>
    <w:rsid w:val="003F1062"/>
    <w:rsid w:val="003F22A9"/>
    <w:rsid w:val="003F481B"/>
    <w:rsid w:val="003F4B46"/>
    <w:rsid w:val="003F55DD"/>
    <w:rsid w:val="003F6DF7"/>
    <w:rsid w:val="00400905"/>
    <w:rsid w:val="004013CC"/>
    <w:rsid w:val="00403857"/>
    <w:rsid w:val="00404074"/>
    <w:rsid w:val="00405695"/>
    <w:rsid w:val="004132EF"/>
    <w:rsid w:val="00413822"/>
    <w:rsid w:val="00414472"/>
    <w:rsid w:val="004146A6"/>
    <w:rsid w:val="00415B5D"/>
    <w:rsid w:val="00416EC4"/>
    <w:rsid w:val="00417971"/>
    <w:rsid w:val="00420BA8"/>
    <w:rsid w:val="00422357"/>
    <w:rsid w:val="004224EC"/>
    <w:rsid w:val="00423D0D"/>
    <w:rsid w:val="00424E47"/>
    <w:rsid w:val="00425BD2"/>
    <w:rsid w:val="00427D69"/>
    <w:rsid w:val="00427E68"/>
    <w:rsid w:val="00433DFC"/>
    <w:rsid w:val="0043602C"/>
    <w:rsid w:val="004360AE"/>
    <w:rsid w:val="00436766"/>
    <w:rsid w:val="00440A2B"/>
    <w:rsid w:val="00441629"/>
    <w:rsid w:val="00441C4C"/>
    <w:rsid w:val="004420B0"/>
    <w:rsid w:val="004427BC"/>
    <w:rsid w:val="004427F4"/>
    <w:rsid w:val="00442FAB"/>
    <w:rsid w:val="00443582"/>
    <w:rsid w:val="00445EF7"/>
    <w:rsid w:val="0044666C"/>
    <w:rsid w:val="00450F59"/>
    <w:rsid w:val="00451C18"/>
    <w:rsid w:val="004535EC"/>
    <w:rsid w:val="00454547"/>
    <w:rsid w:val="00454B8D"/>
    <w:rsid w:val="00455FC4"/>
    <w:rsid w:val="00457224"/>
    <w:rsid w:val="004618B7"/>
    <w:rsid w:val="004627FF"/>
    <w:rsid w:val="00462BB4"/>
    <w:rsid w:val="00463840"/>
    <w:rsid w:val="004651C0"/>
    <w:rsid w:val="00465327"/>
    <w:rsid w:val="00466CA2"/>
    <w:rsid w:val="00467D68"/>
    <w:rsid w:val="00470661"/>
    <w:rsid w:val="00472200"/>
    <w:rsid w:val="00475CC0"/>
    <w:rsid w:val="00480D65"/>
    <w:rsid w:val="00480EAB"/>
    <w:rsid w:val="00480FAD"/>
    <w:rsid w:val="004820AA"/>
    <w:rsid w:val="004826A2"/>
    <w:rsid w:val="004848FA"/>
    <w:rsid w:val="00487D27"/>
    <w:rsid w:val="00490EBF"/>
    <w:rsid w:val="0049253D"/>
    <w:rsid w:val="00492765"/>
    <w:rsid w:val="00495626"/>
    <w:rsid w:val="004A01DF"/>
    <w:rsid w:val="004A0E99"/>
    <w:rsid w:val="004A1D39"/>
    <w:rsid w:val="004A2606"/>
    <w:rsid w:val="004A3539"/>
    <w:rsid w:val="004A4264"/>
    <w:rsid w:val="004A441D"/>
    <w:rsid w:val="004A4957"/>
    <w:rsid w:val="004A4B4D"/>
    <w:rsid w:val="004A5459"/>
    <w:rsid w:val="004A5C51"/>
    <w:rsid w:val="004A7557"/>
    <w:rsid w:val="004B0AEF"/>
    <w:rsid w:val="004B0C6B"/>
    <w:rsid w:val="004B3BC5"/>
    <w:rsid w:val="004B4DF4"/>
    <w:rsid w:val="004B58A4"/>
    <w:rsid w:val="004B59C8"/>
    <w:rsid w:val="004B65C9"/>
    <w:rsid w:val="004C0711"/>
    <w:rsid w:val="004C1171"/>
    <w:rsid w:val="004C1F9A"/>
    <w:rsid w:val="004C4848"/>
    <w:rsid w:val="004C51A4"/>
    <w:rsid w:val="004C5306"/>
    <w:rsid w:val="004C57EF"/>
    <w:rsid w:val="004C7937"/>
    <w:rsid w:val="004C7E63"/>
    <w:rsid w:val="004C7FBA"/>
    <w:rsid w:val="004D075C"/>
    <w:rsid w:val="004D1128"/>
    <w:rsid w:val="004D29E4"/>
    <w:rsid w:val="004D29F0"/>
    <w:rsid w:val="004D3C20"/>
    <w:rsid w:val="004D5268"/>
    <w:rsid w:val="004D5EB0"/>
    <w:rsid w:val="004D7B3F"/>
    <w:rsid w:val="004D7B77"/>
    <w:rsid w:val="004D7DCE"/>
    <w:rsid w:val="004D7FC9"/>
    <w:rsid w:val="004E0265"/>
    <w:rsid w:val="004E25E3"/>
    <w:rsid w:val="004E5F64"/>
    <w:rsid w:val="004F047D"/>
    <w:rsid w:val="004F08C7"/>
    <w:rsid w:val="004F3C0B"/>
    <w:rsid w:val="004F45A5"/>
    <w:rsid w:val="004F6381"/>
    <w:rsid w:val="004F6F18"/>
    <w:rsid w:val="004F7619"/>
    <w:rsid w:val="004F7A25"/>
    <w:rsid w:val="00502FC6"/>
    <w:rsid w:val="005032AA"/>
    <w:rsid w:val="005034CA"/>
    <w:rsid w:val="005049CE"/>
    <w:rsid w:val="00504B58"/>
    <w:rsid w:val="00506AA4"/>
    <w:rsid w:val="00506BEC"/>
    <w:rsid w:val="00507371"/>
    <w:rsid w:val="0050764E"/>
    <w:rsid w:val="00511A60"/>
    <w:rsid w:val="0051323A"/>
    <w:rsid w:val="00513D44"/>
    <w:rsid w:val="00514039"/>
    <w:rsid w:val="005142C6"/>
    <w:rsid w:val="00514E85"/>
    <w:rsid w:val="00515E76"/>
    <w:rsid w:val="00517FC1"/>
    <w:rsid w:val="00521540"/>
    <w:rsid w:val="005216D3"/>
    <w:rsid w:val="00521BCE"/>
    <w:rsid w:val="0052312D"/>
    <w:rsid w:val="0052475F"/>
    <w:rsid w:val="005260DD"/>
    <w:rsid w:val="00531770"/>
    <w:rsid w:val="00531DC7"/>
    <w:rsid w:val="005323BC"/>
    <w:rsid w:val="00532531"/>
    <w:rsid w:val="0053354C"/>
    <w:rsid w:val="005412F1"/>
    <w:rsid w:val="0054540C"/>
    <w:rsid w:val="00545C90"/>
    <w:rsid w:val="00545D10"/>
    <w:rsid w:val="005463A8"/>
    <w:rsid w:val="00550C01"/>
    <w:rsid w:val="00553880"/>
    <w:rsid w:val="00553CF4"/>
    <w:rsid w:val="0055494C"/>
    <w:rsid w:val="00556729"/>
    <w:rsid w:val="005570F8"/>
    <w:rsid w:val="0056101D"/>
    <w:rsid w:val="0056140F"/>
    <w:rsid w:val="005614AF"/>
    <w:rsid w:val="0056271E"/>
    <w:rsid w:val="005628D1"/>
    <w:rsid w:val="00564F16"/>
    <w:rsid w:val="00565BB3"/>
    <w:rsid w:val="00567E97"/>
    <w:rsid w:val="00574FA6"/>
    <w:rsid w:val="00575DEA"/>
    <w:rsid w:val="00575F39"/>
    <w:rsid w:val="00577256"/>
    <w:rsid w:val="00581225"/>
    <w:rsid w:val="00582198"/>
    <w:rsid w:val="00582978"/>
    <w:rsid w:val="00584731"/>
    <w:rsid w:val="00584BEB"/>
    <w:rsid w:val="0059047A"/>
    <w:rsid w:val="0059187E"/>
    <w:rsid w:val="00591A9E"/>
    <w:rsid w:val="005952AE"/>
    <w:rsid w:val="005952D0"/>
    <w:rsid w:val="00595349"/>
    <w:rsid w:val="0059591B"/>
    <w:rsid w:val="00597064"/>
    <w:rsid w:val="005A08F0"/>
    <w:rsid w:val="005A3846"/>
    <w:rsid w:val="005A3B0E"/>
    <w:rsid w:val="005A52CC"/>
    <w:rsid w:val="005A5F71"/>
    <w:rsid w:val="005A631C"/>
    <w:rsid w:val="005A6C0F"/>
    <w:rsid w:val="005A6E12"/>
    <w:rsid w:val="005B0595"/>
    <w:rsid w:val="005B0F07"/>
    <w:rsid w:val="005B2DE1"/>
    <w:rsid w:val="005B32AD"/>
    <w:rsid w:val="005B38F9"/>
    <w:rsid w:val="005B3986"/>
    <w:rsid w:val="005C0048"/>
    <w:rsid w:val="005C0DB1"/>
    <w:rsid w:val="005C1F3A"/>
    <w:rsid w:val="005C3079"/>
    <w:rsid w:val="005C452C"/>
    <w:rsid w:val="005C66AF"/>
    <w:rsid w:val="005D0765"/>
    <w:rsid w:val="005D1297"/>
    <w:rsid w:val="005D6B97"/>
    <w:rsid w:val="005E0193"/>
    <w:rsid w:val="005E2C51"/>
    <w:rsid w:val="005E3C62"/>
    <w:rsid w:val="005E3F4A"/>
    <w:rsid w:val="005E3FC6"/>
    <w:rsid w:val="005E404C"/>
    <w:rsid w:val="005E4701"/>
    <w:rsid w:val="005E4B9C"/>
    <w:rsid w:val="005E4CF7"/>
    <w:rsid w:val="005E660B"/>
    <w:rsid w:val="005F0770"/>
    <w:rsid w:val="005F0E05"/>
    <w:rsid w:val="005F31E4"/>
    <w:rsid w:val="005F401D"/>
    <w:rsid w:val="005F46B0"/>
    <w:rsid w:val="005F4D46"/>
    <w:rsid w:val="005F53B0"/>
    <w:rsid w:val="005F7A0A"/>
    <w:rsid w:val="00601BD2"/>
    <w:rsid w:val="00603BC6"/>
    <w:rsid w:val="00604E0D"/>
    <w:rsid w:val="006051E0"/>
    <w:rsid w:val="00607A8B"/>
    <w:rsid w:val="00607EE0"/>
    <w:rsid w:val="006100BA"/>
    <w:rsid w:val="006126E7"/>
    <w:rsid w:val="00612D5C"/>
    <w:rsid w:val="00612EBF"/>
    <w:rsid w:val="00613D94"/>
    <w:rsid w:val="0061506B"/>
    <w:rsid w:val="006158AF"/>
    <w:rsid w:val="00615D69"/>
    <w:rsid w:val="006179B2"/>
    <w:rsid w:val="00620151"/>
    <w:rsid w:val="00621982"/>
    <w:rsid w:val="00624470"/>
    <w:rsid w:val="006248E4"/>
    <w:rsid w:val="00626069"/>
    <w:rsid w:val="0062653F"/>
    <w:rsid w:val="00626B85"/>
    <w:rsid w:val="00630123"/>
    <w:rsid w:val="006303F2"/>
    <w:rsid w:val="00630AEA"/>
    <w:rsid w:val="00631122"/>
    <w:rsid w:val="00631A8A"/>
    <w:rsid w:val="00634874"/>
    <w:rsid w:val="006353E8"/>
    <w:rsid w:val="00637EA4"/>
    <w:rsid w:val="0064187C"/>
    <w:rsid w:val="00642CC8"/>
    <w:rsid w:val="0064379C"/>
    <w:rsid w:val="00645A26"/>
    <w:rsid w:val="00645B53"/>
    <w:rsid w:val="00647025"/>
    <w:rsid w:val="00647BC9"/>
    <w:rsid w:val="0065012D"/>
    <w:rsid w:val="00650246"/>
    <w:rsid w:val="006514C7"/>
    <w:rsid w:val="00652886"/>
    <w:rsid w:val="00653A7A"/>
    <w:rsid w:val="00655692"/>
    <w:rsid w:val="00655A26"/>
    <w:rsid w:val="00657E75"/>
    <w:rsid w:val="00661BF5"/>
    <w:rsid w:val="00662198"/>
    <w:rsid w:val="0066274C"/>
    <w:rsid w:val="006636C0"/>
    <w:rsid w:val="0066372F"/>
    <w:rsid w:val="0066533E"/>
    <w:rsid w:val="00665F00"/>
    <w:rsid w:val="00667A40"/>
    <w:rsid w:val="00667E24"/>
    <w:rsid w:val="00674834"/>
    <w:rsid w:val="00675532"/>
    <w:rsid w:val="00676AE0"/>
    <w:rsid w:val="0068010A"/>
    <w:rsid w:val="00680AA1"/>
    <w:rsid w:val="00681985"/>
    <w:rsid w:val="00684A15"/>
    <w:rsid w:val="00684FE6"/>
    <w:rsid w:val="00686482"/>
    <w:rsid w:val="00687168"/>
    <w:rsid w:val="00692C72"/>
    <w:rsid w:val="00693B6E"/>
    <w:rsid w:val="00694FBD"/>
    <w:rsid w:val="0069691A"/>
    <w:rsid w:val="00696CEE"/>
    <w:rsid w:val="00697011"/>
    <w:rsid w:val="00697D2E"/>
    <w:rsid w:val="006A0203"/>
    <w:rsid w:val="006A1305"/>
    <w:rsid w:val="006A3814"/>
    <w:rsid w:val="006A3AC7"/>
    <w:rsid w:val="006A3CD8"/>
    <w:rsid w:val="006A4B68"/>
    <w:rsid w:val="006A6358"/>
    <w:rsid w:val="006A6AD1"/>
    <w:rsid w:val="006A78C7"/>
    <w:rsid w:val="006B2CC9"/>
    <w:rsid w:val="006B2DAA"/>
    <w:rsid w:val="006B76CA"/>
    <w:rsid w:val="006C09D3"/>
    <w:rsid w:val="006C1670"/>
    <w:rsid w:val="006C238F"/>
    <w:rsid w:val="006C2B62"/>
    <w:rsid w:val="006C31A6"/>
    <w:rsid w:val="006C4A57"/>
    <w:rsid w:val="006C4B88"/>
    <w:rsid w:val="006C7BD6"/>
    <w:rsid w:val="006C7DE8"/>
    <w:rsid w:val="006D0C4F"/>
    <w:rsid w:val="006D0F78"/>
    <w:rsid w:val="006D3F92"/>
    <w:rsid w:val="006D402E"/>
    <w:rsid w:val="006D4B24"/>
    <w:rsid w:val="006D6EFA"/>
    <w:rsid w:val="006E29E3"/>
    <w:rsid w:val="006E3EAB"/>
    <w:rsid w:val="006E65DE"/>
    <w:rsid w:val="006E66E1"/>
    <w:rsid w:val="006E7141"/>
    <w:rsid w:val="006E73C7"/>
    <w:rsid w:val="006E7C12"/>
    <w:rsid w:val="006F0D4D"/>
    <w:rsid w:val="006F2674"/>
    <w:rsid w:val="006F382F"/>
    <w:rsid w:val="006F5CD5"/>
    <w:rsid w:val="00700A99"/>
    <w:rsid w:val="00701380"/>
    <w:rsid w:val="007036CA"/>
    <w:rsid w:val="007037B4"/>
    <w:rsid w:val="0070404A"/>
    <w:rsid w:val="0070528B"/>
    <w:rsid w:val="00707EB1"/>
    <w:rsid w:val="00710447"/>
    <w:rsid w:val="0071298C"/>
    <w:rsid w:val="00713609"/>
    <w:rsid w:val="0071627B"/>
    <w:rsid w:val="007172FA"/>
    <w:rsid w:val="0071769D"/>
    <w:rsid w:val="00721545"/>
    <w:rsid w:val="007226CE"/>
    <w:rsid w:val="00724786"/>
    <w:rsid w:val="007260A8"/>
    <w:rsid w:val="00726CBF"/>
    <w:rsid w:val="007306BA"/>
    <w:rsid w:val="007307E5"/>
    <w:rsid w:val="0073086F"/>
    <w:rsid w:val="0073235D"/>
    <w:rsid w:val="00732646"/>
    <w:rsid w:val="00732819"/>
    <w:rsid w:val="0073367C"/>
    <w:rsid w:val="00736270"/>
    <w:rsid w:val="00736486"/>
    <w:rsid w:val="00740696"/>
    <w:rsid w:val="007417C2"/>
    <w:rsid w:val="00741D3B"/>
    <w:rsid w:val="00742307"/>
    <w:rsid w:val="00742377"/>
    <w:rsid w:val="007428AB"/>
    <w:rsid w:val="007446E1"/>
    <w:rsid w:val="00744BA9"/>
    <w:rsid w:val="0074542E"/>
    <w:rsid w:val="00745DD9"/>
    <w:rsid w:val="00750189"/>
    <w:rsid w:val="00751780"/>
    <w:rsid w:val="007519CD"/>
    <w:rsid w:val="00752916"/>
    <w:rsid w:val="007534C6"/>
    <w:rsid w:val="0075377B"/>
    <w:rsid w:val="00754D59"/>
    <w:rsid w:val="00755986"/>
    <w:rsid w:val="0075662F"/>
    <w:rsid w:val="00756823"/>
    <w:rsid w:val="00756D07"/>
    <w:rsid w:val="007579B6"/>
    <w:rsid w:val="007613CA"/>
    <w:rsid w:val="00761419"/>
    <w:rsid w:val="00762BA3"/>
    <w:rsid w:val="00764857"/>
    <w:rsid w:val="00765A61"/>
    <w:rsid w:val="00765EF0"/>
    <w:rsid w:val="007740F0"/>
    <w:rsid w:val="0077494E"/>
    <w:rsid w:val="00776367"/>
    <w:rsid w:val="00776A2F"/>
    <w:rsid w:val="007774EC"/>
    <w:rsid w:val="00777916"/>
    <w:rsid w:val="00787A19"/>
    <w:rsid w:val="00791862"/>
    <w:rsid w:val="00793321"/>
    <w:rsid w:val="007941E3"/>
    <w:rsid w:val="00795A24"/>
    <w:rsid w:val="007A0E8F"/>
    <w:rsid w:val="007A16D7"/>
    <w:rsid w:val="007A3BC9"/>
    <w:rsid w:val="007A6C97"/>
    <w:rsid w:val="007A7FCC"/>
    <w:rsid w:val="007B1BD3"/>
    <w:rsid w:val="007B2A77"/>
    <w:rsid w:val="007B3CAB"/>
    <w:rsid w:val="007B4B3C"/>
    <w:rsid w:val="007B52C4"/>
    <w:rsid w:val="007B5BF6"/>
    <w:rsid w:val="007B7EFC"/>
    <w:rsid w:val="007C0237"/>
    <w:rsid w:val="007C0795"/>
    <w:rsid w:val="007C186E"/>
    <w:rsid w:val="007C1F52"/>
    <w:rsid w:val="007C231D"/>
    <w:rsid w:val="007C3C8B"/>
    <w:rsid w:val="007C6BF8"/>
    <w:rsid w:val="007C7ED9"/>
    <w:rsid w:val="007D10A8"/>
    <w:rsid w:val="007D2E99"/>
    <w:rsid w:val="007D3816"/>
    <w:rsid w:val="007D3CDC"/>
    <w:rsid w:val="007D4CA5"/>
    <w:rsid w:val="007D4F75"/>
    <w:rsid w:val="007D54ED"/>
    <w:rsid w:val="007D580B"/>
    <w:rsid w:val="007D7BC6"/>
    <w:rsid w:val="007E1085"/>
    <w:rsid w:val="007E1975"/>
    <w:rsid w:val="007E27DB"/>
    <w:rsid w:val="007E2D53"/>
    <w:rsid w:val="007E3A25"/>
    <w:rsid w:val="007E441E"/>
    <w:rsid w:val="007E45D0"/>
    <w:rsid w:val="007E4ACF"/>
    <w:rsid w:val="007E588F"/>
    <w:rsid w:val="007F15EB"/>
    <w:rsid w:val="007F2CF6"/>
    <w:rsid w:val="008004BC"/>
    <w:rsid w:val="00800EE0"/>
    <w:rsid w:val="00801AD1"/>
    <w:rsid w:val="00803CDC"/>
    <w:rsid w:val="0080419B"/>
    <w:rsid w:val="0080543F"/>
    <w:rsid w:val="0080555B"/>
    <w:rsid w:val="00805A0E"/>
    <w:rsid w:val="00806538"/>
    <w:rsid w:val="008110D7"/>
    <w:rsid w:val="008120DB"/>
    <w:rsid w:val="00812B3F"/>
    <w:rsid w:val="00816596"/>
    <w:rsid w:val="00817A72"/>
    <w:rsid w:val="008213B1"/>
    <w:rsid w:val="008219D9"/>
    <w:rsid w:val="00825540"/>
    <w:rsid w:val="0082665D"/>
    <w:rsid w:val="008269D9"/>
    <w:rsid w:val="00826B75"/>
    <w:rsid w:val="008277C4"/>
    <w:rsid w:val="008300FA"/>
    <w:rsid w:val="008344FB"/>
    <w:rsid w:val="008348C6"/>
    <w:rsid w:val="00834D8E"/>
    <w:rsid w:val="00835E7F"/>
    <w:rsid w:val="008368E0"/>
    <w:rsid w:val="00836F81"/>
    <w:rsid w:val="00836FBD"/>
    <w:rsid w:val="0084132A"/>
    <w:rsid w:val="00842FF1"/>
    <w:rsid w:val="00843C87"/>
    <w:rsid w:val="0084413B"/>
    <w:rsid w:val="00847799"/>
    <w:rsid w:val="00847C96"/>
    <w:rsid w:val="008501A2"/>
    <w:rsid w:val="00850E5D"/>
    <w:rsid w:val="00851B52"/>
    <w:rsid w:val="00851C3A"/>
    <w:rsid w:val="00852824"/>
    <w:rsid w:val="00854947"/>
    <w:rsid w:val="00856A5B"/>
    <w:rsid w:val="008573E5"/>
    <w:rsid w:val="00860CD9"/>
    <w:rsid w:val="00861CB2"/>
    <w:rsid w:val="00862198"/>
    <w:rsid w:val="0086331E"/>
    <w:rsid w:val="00863E60"/>
    <w:rsid w:val="00865223"/>
    <w:rsid w:val="0087013D"/>
    <w:rsid w:val="00870C59"/>
    <w:rsid w:val="0087128A"/>
    <w:rsid w:val="008724A9"/>
    <w:rsid w:val="00877502"/>
    <w:rsid w:val="008776E0"/>
    <w:rsid w:val="008809AD"/>
    <w:rsid w:val="008823FF"/>
    <w:rsid w:val="00883356"/>
    <w:rsid w:val="00885387"/>
    <w:rsid w:val="00885C5D"/>
    <w:rsid w:val="00890541"/>
    <w:rsid w:val="00890EA8"/>
    <w:rsid w:val="00891852"/>
    <w:rsid w:val="0089456F"/>
    <w:rsid w:val="0089631F"/>
    <w:rsid w:val="008970A1"/>
    <w:rsid w:val="00897B26"/>
    <w:rsid w:val="008A0551"/>
    <w:rsid w:val="008A1A66"/>
    <w:rsid w:val="008A1BF0"/>
    <w:rsid w:val="008A30FA"/>
    <w:rsid w:val="008A5513"/>
    <w:rsid w:val="008A5651"/>
    <w:rsid w:val="008A7192"/>
    <w:rsid w:val="008B0595"/>
    <w:rsid w:val="008B13E8"/>
    <w:rsid w:val="008B3120"/>
    <w:rsid w:val="008B4872"/>
    <w:rsid w:val="008B7C1E"/>
    <w:rsid w:val="008C097E"/>
    <w:rsid w:val="008C09D1"/>
    <w:rsid w:val="008C4137"/>
    <w:rsid w:val="008C4571"/>
    <w:rsid w:val="008C5EF4"/>
    <w:rsid w:val="008C5F6D"/>
    <w:rsid w:val="008C61D9"/>
    <w:rsid w:val="008C69DB"/>
    <w:rsid w:val="008C6B5C"/>
    <w:rsid w:val="008C73D2"/>
    <w:rsid w:val="008C7F13"/>
    <w:rsid w:val="008D0864"/>
    <w:rsid w:val="008D0889"/>
    <w:rsid w:val="008D2314"/>
    <w:rsid w:val="008D4FCF"/>
    <w:rsid w:val="008D50CD"/>
    <w:rsid w:val="008D736C"/>
    <w:rsid w:val="008E0872"/>
    <w:rsid w:val="008E15E9"/>
    <w:rsid w:val="008E16BB"/>
    <w:rsid w:val="008E1888"/>
    <w:rsid w:val="008E2463"/>
    <w:rsid w:val="008E2F2F"/>
    <w:rsid w:val="008E3340"/>
    <w:rsid w:val="008E3BFF"/>
    <w:rsid w:val="008E497F"/>
    <w:rsid w:val="008E727A"/>
    <w:rsid w:val="008F0039"/>
    <w:rsid w:val="008F0E29"/>
    <w:rsid w:val="008F249B"/>
    <w:rsid w:val="008F3558"/>
    <w:rsid w:val="008F6083"/>
    <w:rsid w:val="008F707B"/>
    <w:rsid w:val="0090137D"/>
    <w:rsid w:val="0090164A"/>
    <w:rsid w:val="00901BF0"/>
    <w:rsid w:val="00903E08"/>
    <w:rsid w:val="00905CA5"/>
    <w:rsid w:val="00905D30"/>
    <w:rsid w:val="009111D4"/>
    <w:rsid w:val="009118B8"/>
    <w:rsid w:val="00913893"/>
    <w:rsid w:val="00914714"/>
    <w:rsid w:val="0091555A"/>
    <w:rsid w:val="0091644E"/>
    <w:rsid w:val="0091789C"/>
    <w:rsid w:val="0092243D"/>
    <w:rsid w:val="00930015"/>
    <w:rsid w:val="00930DA9"/>
    <w:rsid w:val="009317B8"/>
    <w:rsid w:val="009325A8"/>
    <w:rsid w:val="00933F33"/>
    <w:rsid w:val="00935C5A"/>
    <w:rsid w:val="00937244"/>
    <w:rsid w:val="00937927"/>
    <w:rsid w:val="009421D5"/>
    <w:rsid w:val="00942BB0"/>
    <w:rsid w:val="0094336C"/>
    <w:rsid w:val="009464B0"/>
    <w:rsid w:val="0095098C"/>
    <w:rsid w:val="009520F4"/>
    <w:rsid w:val="009529B4"/>
    <w:rsid w:val="00952FA1"/>
    <w:rsid w:val="00955EB4"/>
    <w:rsid w:val="00956C31"/>
    <w:rsid w:val="00961C70"/>
    <w:rsid w:val="00961D2F"/>
    <w:rsid w:val="00964240"/>
    <w:rsid w:val="00966C7D"/>
    <w:rsid w:val="00966F27"/>
    <w:rsid w:val="00967135"/>
    <w:rsid w:val="0097062F"/>
    <w:rsid w:val="009709C7"/>
    <w:rsid w:val="009715F8"/>
    <w:rsid w:val="009719FB"/>
    <w:rsid w:val="00977C83"/>
    <w:rsid w:val="00977E99"/>
    <w:rsid w:val="0098036E"/>
    <w:rsid w:val="00980A6E"/>
    <w:rsid w:val="00980FBA"/>
    <w:rsid w:val="009819A5"/>
    <w:rsid w:val="0098228B"/>
    <w:rsid w:val="00982808"/>
    <w:rsid w:val="009837DA"/>
    <w:rsid w:val="00987074"/>
    <w:rsid w:val="00990342"/>
    <w:rsid w:val="009928F6"/>
    <w:rsid w:val="00994550"/>
    <w:rsid w:val="009949EC"/>
    <w:rsid w:val="0099590D"/>
    <w:rsid w:val="00996B2A"/>
    <w:rsid w:val="00997347"/>
    <w:rsid w:val="009A119E"/>
    <w:rsid w:val="009A2E10"/>
    <w:rsid w:val="009A6976"/>
    <w:rsid w:val="009A79AE"/>
    <w:rsid w:val="009B08AF"/>
    <w:rsid w:val="009B20FE"/>
    <w:rsid w:val="009B3EBF"/>
    <w:rsid w:val="009B4EC6"/>
    <w:rsid w:val="009B50AD"/>
    <w:rsid w:val="009B5B2D"/>
    <w:rsid w:val="009B6C6F"/>
    <w:rsid w:val="009C04AA"/>
    <w:rsid w:val="009C5612"/>
    <w:rsid w:val="009C633D"/>
    <w:rsid w:val="009C70BC"/>
    <w:rsid w:val="009D166D"/>
    <w:rsid w:val="009D335E"/>
    <w:rsid w:val="009D3C72"/>
    <w:rsid w:val="009D54EE"/>
    <w:rsid w:val="009D5999"/>
    <w:rsid w:val="009D6243"/>
    <w:rsid w:val="009D712F"/>
    <w:rsid w:val="009E19F3"/>
    <w:rsid w:val="009E23AA"/>
    <w:rsid w:val="009E256D"/>
    <w:rsid w:val="009E2BC4"/>
    <w:rsid w:val="009E2C7A"/>
    <w:rsid w:val="009E42FF"/>
    <w:rsid w:val="009E4926"/>
    <w:rsid w:val="009E5617"/>
    <w:rsid w:val="009E5F7C"/>
    <w:rsid w:val="009E7F1E"/>
    <w:rsid w:val="009F0387"/>
    <w:rsid w:val="009F4E0F"/>
    <w:rsid w:val="00A0096F"/>
    <w:rsid w:val="00A0147C"/>
    <w:rsid w:val="00A01647"/>
    <w:rsid w:val="00A04642"/>
    <w:rsid w:val="00A05C4B"/>
    <w:rsid w:val="00A07EC8"/>
    <w:rsid w:val="00A1009C"/>
    <w:rsid w:val="00A112A3"/>
    <w:rsid w:val="00A11533"/>
    <w:rsid w:val="00A1208D"/>
    <w:rsid w:val="00A17659"/>
    <w:rsid w:val="00A20229"/>
    <w:rsid w:val="00A20BFD"/>
    <w:rsid w:val="00A21779"/>
    <w:rsid w:val="00A21E0B"/>
    <w:rsid w:val="00A21F5B"/>
    <w:rsid w:val="00A24109"/>
    <w:rsid w:val="00A24191"/>
    <w:rsid w:val="00A26AA3"/>
    <w:rsid w:val="00A31988"/>
    <w:rsid w:val="00A32475"/>
    <w:rsid w:val="00A33E31"/>
    <w:rsid w:val="00A34198"/>
    <w:rsid w:val="00A34625"/>
    <w:rsid w:val="00A400A0"/>
    <w:rsid w:val="00A40D15"/>
    <w:rsid w:val="00A426E0"/>
    <w:rsid w:val="00A42EE5"/>
    <w:rsid w:val="00A43A8F"/>
    <w:rsid w:val="00A45B1A"/>
    <w:rsid w:val="00A46898"/>
    <w:rsid w:val="00A520F7"/>
    <w:rsid w:val="00A5267D"/>
    <w:rsid w:val="00A52935"/>
    <w:rsid w:val="00A532C4"/>
    <w:rsid w:val="00A557AD"/>
    <w:rsid w:val="00A57A9C"/>
    <w:rsid w:val="00A6207C"/>
    <w:rsid w:val="00A62347"/>
    <w:rsid w:val="00A734F6"/>
    <w:rsid w:val="00A73E89"/>
    <w:rsid w:val="00A73E8F"/>
    <w:rsid w:val="00A74E89"/>
    <w:rsid w:val="00A75148"/>
    <w:rsid w:val="00A77A44"/>
    <w:rsid w:val="00A804DB"/>
    <w:rsid w:val="00A81F20"/>
    <w:rsid w:val="00A83F81"/>
    <w:rsid w:val="00A8624D"/>
    <w:rsid w:val="00A86B33"/>
    <w:rsid w:val="00A901A2"/>
    <w:rsid w:val="00A90D6D"/>
    <w:rsid w:val="00A9101C"/>
    <w:rsid w:val="00A91A47"/>
    <w:rsid w:val="00A91E1A"/>
    <w:rsid w:val="00A93062"/>
    <w:rsid w:val="00A9317A"/>
    <w:rsid w:val="00A932E4"/>
    <w:rsid w:val="00A93A7E"/>
    <w:rsid w:val="00A9407B"/>
    <w:rsid w:val="00A94E3C"/>
    <w:rsid w:val="00A95209"/>
    <w:rsid w:val="00A95B2C"/>
    <w:rsid w:val="00A95C48"/>
    <w:rsid w:val="00A9647C"/>
    <w:rsid w:val="00AA0EA1"/>
    <w:rsid w:val="00AA132F"/>
    <w:rsid w:val="00AA20F7"/>
    <w:rsid w:val="00AA33A1"/>
    <w:rsid w:val="00AA3703"/>
    <w:rsid w:val="00AA3A06"/>
    <w:rsid w:val="00AA6EDB"/>
    <w:rsid w:val="00AA7A73"/>
    <w:rsid w:val="00AB06C6"/>
    <w:rsid w:val="00AB2D05"/>
    <w:rsid w:val="00AB4D01"/>
    <w:rsid w:val="00AB64AA"/>
    <w:rsid w:val="00AB74BC"/>
    <w:rsid w:val="00AC016A"/>
    <w:rsid w:val="00AC0205"/>
    <w:rsid w:val="00AC02BA"/>
    <w:rsid w:val="00AC03B4"/>
    <w:rsid w:val="00AC32C9"/>
    <w:rsid w:val="00AC59B7"/>
    <w:rsid w:val="00AC7A6B"/>
    <w:rsid w:val="00AD18BC"/>
    <w:rsid w:val="00AD1BAD"/>
    <w:rsid w:val="00AD267A"/>
    <w:rsid w:val="00AD3512"/>
    <w:rsid w:val="00AD35FD"/>
    <w:rsid w:val="00AD62CF"/>
    <w:rsid w:val="00AD7559"/>
    <w:rsid w:val="00AD79B8"/>
    <w:rsid w:val="00AE22BA"/>
    <w:rsid w:val="00AE2978"/>
    <w:rsid w:val="00AE33A3"/>
    <w:rsid w:val="00AE3A71"/>
    <w:rsid w:val="00AE6147"/>
    <w:rsid w:val="00AE6549"/>
    <w:rsid w:val="00AE6BE3"/>
    <w:rsid w:val="00AE6D6D"/>
    <w:rsid w:val="00AF1173"/>
    <w:rsid w:val="00AF138F"/>
    <w:rsid w:val="00AF1523"/>
    <w:rsid w:val="00AF1EF9"/>
    <w:rsid w:val="00AF20CF"/>
    <w:rsid w:val="00AF2F3E"/>
    <w:rsid w:val="00AF3DF3"/>
    <w:rsid w:val="00AF699D"/>
    <w:rsid w:val="00AF6CA5"/>
    <w:rsid w:val="00AF707D"/>
    <w:rsid w:val="00B0160A"/>
    <w:rsid w:val="00B01DBE"/>
    <w:rsid w:val="00B03298"/>
    <w:rsid w:val="00B0564B"/>
    <w:rsid w:val="00B05EB8"/>
    <w:rsid w:val="00B117EB"/>
    <w:rsid w:val="00B14227"/>
    <w:rsid w:val="00B14600"/>
    <w:rsid w:val="00B16B69"/>
    <w:rsid w:val="00B20CDB"/>
    <w:rsid w:val="00B20DF0"/>
    <w:rsid w:val="00B22FAC"/>
    <w:rsid w:val="00B23684"/>
    <w:rsid w:val="00B256F0"/>
    <w:rsid w:val="00B26A1F"/>
    <w:rsid w:val="00B314E2"/>
    <w:rsid w:val="00B326F0"/>
    <w:rsid w:val="00B342F3"/>
    <w:rsid w:val="00B34B07"/>
    <w:rsid w:val="00B3792D"/>
    <w:rsid w:val="00B37F65"/>
    <w:rsid w:val="00B4017A"/>
    <w:rsid w:val="00B443C0"/>
    <w:rsid w:val="00B44578"/>
    <w:rsid w:val="00B452BB"/>
    <w:rsid w:val="00B459CC"/>
    <w:rsid w:val="00B45B26"/>
    <w:rsid w:val="00B46745"/>
    <w:rsid w:val="00B506FC"/>
    <w:rsid w:val="00B510B8"/>
    <w:rsid w:val="00B53685"/>
    <w:rsid w:val="00B5481E"/>
    <w:rsid w:val="00B54DD2"/>
    <w:rsid w:val="00B615C3"/>
    <w:rsid w:val="00B63D14"/>
    <w:rsid w:val="00B642CF"/>
    <w:rsid w:val="00B65AFE"/>
    <w:rsid w:val="00B663FB"/>
    <w:rsid w:val="00B678D1"/>
    <w:rsid w:val="00B706EB"/>
    <w:rsid w:val="00B712A3"/>
    <w:rsid w:val="00B72120"/>
    <w:rsid w:val="00B72C74"/>
    <w:rsid w:val="00B77019"/>
    <w:rsid w:val="00B7798C"/>
    <w:rsid w:val="00B8138F"/>
    <w:rsid w:val="00B82AD0"/>
    <w:rsid w:val="00B83CE4"/>
    <w:rsid w:val="00B87263"/>
    <w:rsid w:val="00B900ED"/>
    <w:rsid w:val="00B912A3"/>
    <w:rsid w:val="00B95129"/>
    <w:rsid w:val="00B9648F"/>
    <w:rsid w:val="00BA0061"/>
    <w:rsid w:val="00BA1D15"/>
    <w:rsid w:val="00BA1EE3"/>
    <w:rsid w:val="00BA493F"/>
    <w:rsid w:val="00BA4E32"/>
    <w:rsid w:val="00BA51CF"/>
    <w:rsid w:val="00BA5873"/>
    <w:rsid w:val="00BA59D2"/>
    <w:rsid w:val="00BA6DBC"/>
    <w:rsid w:val="00BA71E0"/>
    <w:rsid w:val="00BB0D92"/>
    <w:rsid w:val="00BB1771"/>
    <w:rsid w:val="00BB1A6B"/>
    <w:rsid w:val="00BB2984"/>
    <w:rsid w:val="00BB2FE4"/>
    <w:rsid w:val="00BB3C17"/>
    <w:rsid w:val="00BB4015"/>
    <w:rsid w:val="00BB43FA"/>
    <w:rsid w:val="00BB6ECB"/>
    <w:rsid w:val="00BC00B8"/>
    <w:rsid w:val="00BC0245"/>
    <w:rsid w:val="00BC029A"/>
    <w:rsid w:val="00BC16DB"/>
    <w:rsid w:val="00BC1C02"/>
    <w:rsid w:val="00BC1F65"/>
    <w:rsid w:val="00BC376C"/>
    <w:rsid w:val="00BC5685"/>
    <w:rsid w:val="00BC6A4F"/>
    <w:rsid w:val="00BD1339"/>
    <w:rsid w:val="00BD32CF"/>
    <w:rsid w:val="00BD418E"/>
    <w:rsid w:val="00BD69A5"/>
    <w:rsid w:val="00BE2DCE"/>
    <w:rsid w:val="00BE407B"/>
    <w:rsid w:val="00BE533C"/>
    <w:rsid w:val="00BE54F5"/>
    <w:rsid w:val="00BE5685"/>
    <w:rsid w:val="00BE5E4C"/>
    <w:rsid w:val="00BE6470"/>
    <w:rsid w:val="00BE6B9D"/>
    <w:rsid w:val="00BF34EC"/>
    <w:rsid w:val="00BF4217"/>
    <w:rsid w:val="00BF5BD1"/>
    <w:rsid w:val="00BF5CFF"/>
    <w:rsid w:val="00BF76E6"/>
    <w:rsid w:val="00BF7AFE"/>
    <w:rsid w:val="00C02140"/>
    <w:rsid w:val="00C027FF"/>
    <w:rsid w:val="00C029AA"/>
    <w:rsid w:val="00C02D1E"/>
    <w:rsid w:val="00C0398E"/>
    <w:rsid w:val="00C07D6B"/>
    <w:rsid w:val="00C1298C"/>
    <w:rsid w:val="00C13BB5"/>
    <w:rsid w:val="00C14A21"/>
    <w:rsid w:val="00C2066D"/>
    <w:rsid w:val="00C233C5"/>
    <w:rsid w:val="00C23E51"/>
    <w:rsid w:val="00C24133"/>
    <w:rsid w:val="00C24D9A"/>
    <w:rsid w:val="00C2512D"/>
    <w:rsid w:val="00C25C8E"/>
    <w:rsid w:val="00C26157"/>
    <w:rsid w:val="00C265A2"/>
    <w:rsid w:val="00C26A6B"/>
    <w:rsid w:val="00C271E0"/>
    <w:rsid w:val="00C317F9"/>
    <w:rsid w:val="00C32D7F"/>
    <w:rsid w:val="00C33981"/>
    <w:rsid w:val="00C33AFB"/>
    <w:rsid w:val="00C34ABF"/>
    <w:rsid w:val="00C35362"/>
    <w:rsid w:val="00C356E9"/>
    <w:rsid w:val="00C37AA1"/>
    <w:rsid w:val="00C37B11"/>
    <w:rsid w:val="00C37D33"/>
    <w:rsid w:val="00C37F7B"/>
    <w:rsid w:val="00C415BD"/>
    <w:rsid w:val="00C457AD"/>
    <w:rsid w:val="00C46296"/>
    <w:rsid w:val="00C47055"/>
    <w:rsid w:val="00C4711F"/>
    <w:rsid w:val="00C472FF"/>
    <w:rsid w:val="00C503BD"/>
    <w:rsid w:val="00C515CA"/>
    <w:rsid w:val="00C565D0"/>
    <w:rsid w:val="00C56667"/>
    <w:rsid w:val="00C57E4E"/>
    <w:rsid w:val="00C604E3"/>
    <w:rsid w:val="00C60968"/>
    <w:rsid w:val="00C63280"/>
    <w:rsid w:val="00C63FF6"/>
    <w:rsid w:val="00C64057"/>
    <w:rsid w:val="00C65132"/>
    <w:rsid w:val="00C663FD"/>
    <w:rsid w:val="00C706D1"/>
    <w:rsid w:val="00C70747"/>
    <w:rsid w:val="00C70D96"/>
    <w:rsid w:val="00C727D1"/>
    <w:rsid w:val="00C75FC8"/>
    <w:rsid w:val="00C760D3"/>
    <w:rsid w:val="00C76793"/>
    <w:rsid w:val="00C76B4F"/>
    <w:rsid w:val="00C77E06"/>
    <w:rsid w:val="00C80AE3"/>
    <w:rsid w:val="00C8151C"/>
    <w:rsid w:val="00C84654"/>
    <w:rsid w:val="00C85C5E"/>
    <w:rsid w:val="00C86644"/>
    <w:rsid w:val="00C871A2"/>
    <w:rsid w:val="00C920AE"/>
    <w:rsid w:val="00C93629"/>
    <w:rsid w:val="00C93EBD"/>
    <w:rsid w:val="00CA1309"/>
    <w:rsid w:val="00CA14FF"/>
    <w:rsid w:val="00CA311D"/>
    <w:rsid w:val="00CA33B1"/>
    <w:rsid w:val="00CA57BE"/>
    <w:rsid w:val="00CA6171"/>
    <w:rsid w:val="00CA65D3"/>
    <w:rsid w:val="00CB0496"/>
    <w:rsid w:val="00CB1645"/>
    <w:rsid w:val="00CB2CD1"/>
    <w:rsid w:val="00CB41E8"/>
    <w:rsid w:val="00CB4C49"/>
    <w:rsid w:val="00CB55EC"/>
    <w:rsid w:val="00CB62C7"/>
    <w:rsid w:val="00CB675D"/>
    <w:rsid w:val="00CB69CB"/>
    <w:rsid w:val="00CB70CD"/>
    <w:rsid w:val="00CC0061"/>
    <w:rsid w:val="00CC12C7"/>
    <w:rsid w:val="00CC2B0E"/>
    <w:rsid w:val="00CC388C"/>
    <w:rsid w:val="00CC59EE"/>
    <w:rsid w:val="00CC5B7D"/>
    <w:rsid w:val="00CD0FAD"/>
    <w:rsid w:val="00CD1073"/>
    <w:rsid w:val="00CD1A71"/>
    <w:rsid w:val="00CD1E09"/>
    <w:rsid w:val="00CD287B"/>
    <w:rsid w:val="00CD5D83"/>
    <w:rsid w:val="00CD6283"/>
    <w:rsid w:val="00CD77AD"/>
    <w:rsid w:val="00CD7AFC"/>
    <w:rsid w:val="00CE1591"/>
    <w:rsid w:val="00CE1C29"/>
    <w:rsid w:val="00CE34AB"/>
    <w:rsid w:val="00CE3813"/>
    <w:rsid w:val="00CE5724"/>
    <w:rsid w:val="00CE5DF4"/>
    <w:rsid w:val="00CE67D1"/>
    <w:rsid w:val="00CE6E4C"/>
    <w:rsid w:val="00CE6FFF"/>
    <w:rsid w:val="00CE7F34"/>
    <w:rsid w:val="00CF1AC5"/>
    <w:rsid w:val="00CF20CE"/>
    <w:rsid w:val="00CF2673"/>
    <w:rsid w:val="00CF7377"/>
    <w:rsid w:val="00CF7B21"/>
    <w:rsid w:val="00D02856"/>
    <w:rsid w:val="00D03563"/>
    <w:rsid w:val="00D03C07"/>
    <w:rsid w:val="00D0742F"/>
    <w:rsid w:val="00D10E0D"/>
    <w:rsid w:val="00D10FF8"/>
    <w:rsid w:val="00D126EC"/>
    <w:rsid w:val="00D126F5"/>
    <w:rsid w:val="00D13A4F"/>
    <w:rsid w:val="00D17DC0"/>
    <w:rsid w:val="00D20936"/>
    <w:rsid w:val="00D20B75"/>
    <w:rsid w:val="00D27697"/>
    <w:rsid w:val="00D3010C"/>
    <w:rsid w:val="00D30C99"/>
    <w:rsid w:val="00D30CFD"/>
    <w:rsid w:val="00D32503"/>
    <w:rsid w:val="00D3254F"/>
    <w:rsid w:val="00D32634"/>
    <w:rsid w:val="00D33523"/>
    <w:rsid w:val="00D35E04"/>
    <w:rsid w:val="00D36319"/>
    <w:rsid w:val="00D36A3B"/>
    <w:rsid w:val="00D36D4A"/>
    <w:rsid w:val="00D36FF9"/>
    <w:rsid w:val="00D37E9A"/>
    <w:rsid w:val="00D404EC"/>
    <w:rsid w:val="00D423A5"/>
    <w:rsid w:val="00D5037B"/>
    <w:rsid w:val="00D506FC"/>
    <w:rsid w:val="00D52382"/>
    <w:rsid w:val="00D54BEB"/>
    <w:rsid w:val="00D5527E"/>
    <w:rsid w:val="00D57614"/>
    <w:rsid w:val="00D57EF3"/>
    <w:rsid w:val="00D60815"/>
    <w:rsid w:val="00D63560"/>
    <w:rsid w:val="00D6365C"/>
    <w:rsid w:val="00D637E5"/>
    <w:rsid w:val="00D65C55"/>
    <w:rsid w:val="00D70254"/>
    <w:rsid w:val="00D7365F"/>
    <w:rsid w:val="00D75C52"/>
    <w:rsid w:val="00D807B6"/>
    <w:rsid w:val="00D8088A"/>
    <w:rsid w:val="00D82BE7"/>
    <w:rsid w:val="00D8341B"/>
    <w:rsid w:val="00D8390D"/>
    <w:rsid w:val="00D8617B"/>
    <w:rsid w:val="00D86971"/>
    <w:rsid w:val="00D870AA"/>
    <w:rsid w:val="00D9031F"/>
    <w:rsid w:val="00D907FB"/>
    <w:rsid w:val="00D92F0D"/>
    <w:rsid w:val="00D93BF6"/>
    <w:rsid w:val="00D94138"/>
    <w:rsid w:val="00D94145"/>
    <w:rsid w:val="00D95830"/>
    <w:rsid w:val="00D95B73"/>
    <w:rsid w:val="00D96605"/>
    <w:rsid w:val="00DA23DD"/>
    <w:rsid w:val="00DA280F"/>
    <w:rsid w:val="00DA30C8"/>
    <w:rsid w:val="00DA5979"/>
    <w:rsid w:val="00DA5F62"/>
    <w:rsid w:val="00DA6363"/>
    <w:rsid w:val="00DA6618"/>
    <w:rsid w:val="00DA67E5"/>
    <w:rsid w:val="00DA7C79"/>
    <w:rsid w:val="00DB0E44"/>
    <w:rsid w:val="00DB1252"/>
    <w:rsid w:val="00DB1E90"/>
    <w:rsid w:val="00DB2A39"/>
    <w:rsid w:val="00DB2F3A"/>
    <w:rsid w:val="00DB3DF3"/>
    <w:rsid w:val="00DB64B1"/>
    <w:rsid w:val="00DB7631"/>
    <w:rsid w:val="00DC1483"/>
    <w:rsid w:val="00DC2FC3"/>
    <w:rsid w:val="00DC6D5A"/>
    <w:rsid w:val="00DC6DF7"/>
    <w:rsid w:val="00DD023C"/>
    <w:rsid w:val="00DD2E0C"/>
    <w:rsid w:val="00DD34BC"/>
    <w:rsid w:val="00DD4FDF"/>
    <w:rsid w:val="00DD6066"/>
    <w:rsid w:val="00DE0FEB"/>
    <w:rsid w:val="00DE10A9"/>
    <w:rsid w:val="00DE21B4"/>
    <w:rsid w:val="00DE2A63"/>
    <w:rsid w:val="00DE2FE7"/>
    <w:rsid w:val="00DE338E"/>
    <w:rsid w:val="00DE42B9"/>
    <w:rsid w:val="00DE6E52"/>
    <w:rsid w:val="00DE799A"/>
    <w:rsid w:val="00DE7D2E"/>
    <w:rsid w:val="00DF10DD"/>
    <w:rsid w:val="00DF1478"/>
    <w:rsid w:val="00DF1536"/>
    <w:rsid w:val="00DF1658"/>
    <w:rsid w:val="00DF3AE1"/>
    <w:rsid w:val="00DF3CB7"/>
    <w:rsid w:val="00DF3F93"/>
    <w:rsid w:val="00DF5EC3"/>
    <w:rsid w:val="00DF668D"/>
    <w:rsid w:val="00E0027D"/>
    <w:rsid w:val="00E01C98"/>
    <w:rsid w:val="00E01D68"/>
    <w:rsid w:val="00E04E91"/>
    <w:rsid w:val="00E05C78"/>
    <w:rsid w:val="00E06130"/>
    <w:rsid w:val="00E069CE"/>
    <w:rsid w:val="00E06B77"/>
    <w:rsid w:val="00E06E8E"/>
    <w:rsid w:val="00E07552"/>
    <w:rsid w:val="00E07B83"/>
    <w:rsid w:val="00E10FA5"/>
    <w:rsid w:val="00E132D4"/>
    <w:rsid w:val="00E135DC"/>
    <w:rsid w:val="00E13FE4"/>
    <w:rsid w:val="00E14657"/>
    <w:rsid w:val="00E17A35"/>
    <w:rsid w:val="00E22091"/>
    <w:rsid w:val="00E23931"/>
    <w:rsid w:val="00E24AE4"/>
    <w:rsid w:val="00E24DEF"/>
    <w:rsid w:val="00E27E23"/>
    <w:rsid w:val="00E27F87"/>
    <w:rsid w:val="00E30730"/>
    <w:rsid w:val="00E323BF"/>
    <w:rsid w:val="00E32518"/>
    <w:rsid w:val="00E35616"/>
    <w:rsid w:val="00E35DC4"/>
    <w:rsid w:val="00E3744E"/>
    <w:rsid w:val="00E4068B"/>
    <w:rsid w:val="00E40F6C"/>
    <w:rsid w:val="00E43B2E"/>
    <w:rsid w:val="00E44822"/>
    <w:rsid w:val="00E45E1D"/>
    <w:rsid w:val="00E51301"/>
    <w:rsid w:val="00E519D5"/>
    <w:rsid w:val="00E551C0"/>
    <w:rsid w:val="00E5752E"/>
    <w:rsid w:val="00E60BAD"/>
    <w:rsid w:val="00E60CC5"/>
    <w:rsid w:val="00E60DC3"/>
    <w:rsid w:val="00E62DE0"/>
    <w:rsid w:val="00E639F9"/>
    <w:rsid w:val="00E63FBF"/>
    <w:rsid w:val="00E64ED4"/>
    <w:rsid w:val="00E6687F"/>
    <w:rsid w:val="00E66F19"/>
    <w:rsid w:val="00E670D9"/>
    <w:rsid w:val="00E713FC"/>
    <w:rsid w:val="00E714B4"/>
    <w:rsid w:val="00E7472E"/>
    <w:rsid w:val="00E7693A"/>
    <w:rsid w:val="00E805C4"/>
    <w:rsid w:val="00E80EA0"/>
    <w:rsid w:val="00E8207D"/>
    <w:rsid w:val="00E83279"/>
    <w:rsid w:val="00E8514D"/>
    <w:rsid w:val="00E8556B"/>
    <w:rsid w:val="00E8561A"/>
    <w:rsid w:val="00E859A6"/>
    <w:rsid w:val="00E922D0"/>
    <w:rsid w:val="00E93643"/>
    <w:rsid w:val="00E93787"/>
    <w:rsid w:val="00E93967"/>
    <w:rsid w:val="00E94271"/>
    <w:rsid w:val="00E95558"/>
    <w:rsid w:val="00E956D3"/>
    <w:rsid w:val="00E95CBF"/>
    <w:rsid w:val="00E97668"/>
    <w:rsid w:val="00E9785A"/>
    <w:rsid w:val="00EA0351"/>
    <w:rsid w:val="00EA103B"/>
    <w:rsid w:val="00EA15F2"/>
    <w:rsid w:val="00EA4926"/>
    <w:rsid w:val="00EA61B7"/>
    <w:rsid w:val="00EA6483"/>
    <w:rsid w:val="00EA7439"/>
    <w:rsid w:val="00EA7FF2"/>
    <w:rsid w:val="00EB12A5"/>
    <w:rsid w:val="00EB1344"/>
    <w:rsid w:val="00EB2C63"/>
    <w:rsid w:val="00EB3209"/>
    <w:rsid w:val="00EB4305"/>
    <w:rsid w:val="00EB61EF"/>
    <w:rsid w:val="00EB729C"/>
    <w:rsid w:val="00EC0569"/>
    <w:rsid w:val="00EC240B"/>
    <w:rsid w:val="00EC27E4"/>
    <w:rsid w:val="00EC30B2"/>
    <w:rsid w:val="00EC490A"/>
    <w:rsid w:val="00EC5351"/>
    <w:rsid w:val="00EC5DD5"/>
    <w:rsid w:val="00EC7396"/>
    <w:rsid w:val="00ED1FDC"/>
    <w:rsid w:val="00ED5434"/>
    <w:rsid w:val="00ED5562"/>
    <w:rsid w:val="00ED6073"/>
    <w:rsid w:val="00ED7933"/>
    <w:rsid w:val="00ED7F1C"/>
    <w:rsid w:val="00EE0D8B"/>
    <w:rsid w:val="00EE3F64"/>
    <w:rsid w:val="00EE461C"/>
    <w:rsid w:val="00EE4650"/>
    <w:rsid w:val="00EE476E"/>
    <w:rsid w:val="00EE51E8"/>
    <w:rsid w:val="00EE5690"/>
    <w:rsid w:val="00EE69CC"/>
    <w:rsid w:val="00EE79AC"/>
    <w:rsid w:val="00EF0D67"/>
    <w:rsid w:val="00EF15DD"/>
    <w:rsid w:val="00EF4E77"/>
    <w:rsid w:val="00EF5BE4"/>
    <w:rsid w:val="00EF627B"/>
    <w:rsid w:val="00EF6784"/>
    <w:rsid w:val="00F00CE2"/>
    <w:rsid w:val="00F00DF2"/>
    <w:rsid w:val="00F022A0"/>
    <w:rsid w:val="00F051F1"/>
    <w:rsid w:val="00F05686"/>
    <w:rsid w:val="00F0729C"/>
    <w:rsid w:val="00F10671"/>
    <w:rsid w:val="00F10D91"/>
    <w:rsid w:val="00F11392"/>
    <w:rsid w:val="00F11BE0"/>
    <w:rsid w:val="00F13C52"/>
    <w:rsid w:val="00F13CF3"/>
    <w:rsid w:val="00F1657C"/>
    <w:rsid w:val="00F16BDB"/>
    <w:rsid w:val="00F17276"/>
    <w:rsid w:val="00F218FE"/>
    <w:rsid w:val="00F21C7E"/>
    <w:rsid w:val="00F21F41"/>
    <w:rsid w:val="00F228CE"/>
    <w:rsid w:val="00F240C8"/>
    <w:rsid w:val="00F2423E"/>
    <w:rsid w:val="00F27263"/>
    <w:rsid w:val="00F27E87"/>
    <w:rsid w:val="00F3021F"/>
    <w:rsid w:val="00F307D2"/>
    <w:rsid w:val="00F316BD"/>
    <w:rsid w:val="00F31FC6"/>
    <w:rsid w:val="00F32355"/>
    <w:rsid w:val="00F3273D"/>
    <w:rsid w:val="00F430CE"/>
    <w:rsid w:val="00F443BE"/>
    <w:rsid w:val="00F46CF4"/>
    <w:rsid w:val="00F47EA8"/>
    <w:rsid w:val="00F50690"/>
    <w:rsid w:val="00F51A7B"/>
    <w:rsid w:val="00F52A8B"/>
    <w:rsid w:val="00F52F9B"/>
    <w:rsid w:val="00F53696"/>
    <w:rsid w:val="00F54A08"/>
    <w:rsid w:val="00F56DCF"/>
    <w:rsid w:val="00F576E9"/>
    <w:rsid w:val="00F6056A"/>
    <w:rsid w:val="00F62E26"/>
    <w:rsid w:val="00F62FDC"/>
    <w:rsid w:val="00F636C5"/>
    <w:rsid w:val="00F71FE1"/>
    <w:rsid w:val="00F7317B"/>
    <w:rsid w:val="00F747E3"/>
    <w:rsid w:val="00F74A0E"/>
    <w:rsid w:val="00F816DA"/>
    <w:rsid w:val="00F823D2"/>
    <w:rsid w:val="00F8386B"/>
    <w:rsid w:val="00F87C2A"/>
    <w:rsid w:val="00F9120B"/>
    <w:rsid w:val="00F91375"/>
    <w:rsid w:val="00F91B59"/>
    <w:rsid w:val="00F924FA"/>
    <w:rsid w:val="00F9259E"/>
    <w:rsid w:val="00F94BA9"/>
    <w:rsid w:val="00F95613"/>
    <w:rsid w:val="00F958A2"/>
    <w:rsid w:val="00F95D5D"/>
    <w:rsid w:val="00F97797"/>
    <w:rsid w:val="00F97EB4"/>
    <w:rsid w:val="00FA1D65"/>
    <w:rsid w:val="00FA1F18"/>
    <w:rsid w:val="00FA29E3"/>
    <w:rsid w:val="00FA3311"/>
    <w:rsid w:val="00FA36EB"/>
    <w:rsid w:val="00FA3E77"/>
    <w:rsid w:val="00FA57C8"/>
    <w:rsid w:val="00FB016A"/>
    <w:rsid w:val="00FB2361"/>
    <w:rsid w:val="00FB3F28"/>
    <w:rsid w:val="00FB4864"/>
    <w:rsid w:val="00FB4A76"/>
    <w:rsid w:val="00FB679C"/>
    <w:rsid w:val="00FC2455"/>
    <w:rsid w:val="00FC3C2D"/>
    <w:rsid w:val="00FC3FD1"/>
    <w:rsid w:val="00FC4D36"/>
    <w:rsid w:val="00FC5037"/>
    <w:rsid w:val="00FC628F"/>
    <w:rsid w:val="00FC721F"/>
    <w:rsid w:val="00FC7539"/>
    <w:rsid w:val="00FD1AA0"/>
    <w:rsid w:val="00FD2947"/>
    <w:rsid w:val="00FD403E"/>
    <w:rsid w:val="00FD54A6"/>
    <w:rsid w:val="00FE011A"/>
    <w:rsid w:val="00FE1B7E"/>
    <w:rsid w:val="00FE350E"/>
    <w:rsid w:val="00FE4302"/>
    <w:rsid w:val="00FE535D"/>
    <w:rsid w:val="00FE582B"/>
    <w:rsid w:val="00FE597F"/>
    <w:rsid w:val="00FE604F"/>
    <w:rsid w:val="00FE6454"/>
    <w:rsid w:val="00FF0645"/>
    <w:rsid w:val="00FF1914"/>
    <w:rsid w:val="00FF21F7"/>
    <w:rsid w:val="00FF4605"/>
    <w:rsid w:val="00FF515F"/>
    <w:rsid w:val="00FF5681"/>
    <w:rsid w:val="00FF56B2"/>
    <w:rsid w:val="00FF5769"/>
    <w:rsid w:val="00FF5E18"/>
    <w:rsid w:val="00FF6784"/>
    <w:rsid w:val="00FF7012"/>
    <w:rsid w:val="00FF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20A99"/>
  <w15:docId w15:val="{950A0CB1-922A-453E-857C-2359D1C5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2455"/>
    <w:rPr>
      <w:sz w:val="24"/>
      <w:szCs w:val="24"/>
      <w:lang w:val="en-US" w:eastAsia="en-US"/>
    </w:rPr>
  </w:style>
  <w:style w:type="paragraph" w:styleId="Nadpis1">
    <w:name w:val="heading 1"/>
    <w:basedOn w:val="Normln"/>
    <w:next w:val="Normln"/>
    <w:qFormat/>
    <w:rsid w:val="00FC2455"/>
    <w:pPr>
      <w:keepNext/>
      <w:jc w:val="center"/>
      <w:outlineLvl w:val="0"/>
    </w:pPr>
    <w:rPr>
      <w:b/>
      <w:bCs/>
      <w:sz w:val="48"/>
      <w:szCs w:val="34"/>
    </w:rPr>
  </w:style>
  <w:style w:type="paragraph" w:styleId="Nadpis2">
    <w:name w:val="heading 2"/>
    <w:basedOn w:val="Normln"/>
    <w:next w:val="Normln"/>
    <w:qFormat/>
    <w:rsid w:val="00FC2455"/>
    <w:pPr>
      <w:keepNext/>
      <w:autoSpaceDE w:val="0"/>
      <w:autoSpaceDN w:val="0"/>
      <w:adjustRightInd w:val="0"/>
      <w:outlineLvl w:val="1"/>
    </w:pPr>
    <w:rPr>
      <w:rFonts w:eastAsia="SimSun"/>
      <w:b/>
      <w:szCs w:val="20"/>
      <w:lang w:val="cs-CZ" w:eastAsia="cs-CZ"/>
    </w:rPr>
  </w:style>
  <w:style w:type="paragraph" w:styleId="Nadpis3">
    <w:name w:val="heading 3"/>
    <w:basedOn w:val="Normln"/>
    <w:next w:val="Normln"/>
    <w:qFormat/>
    <w:rsid w:val="00FC2455"/>
    <w:pPr>
      <w:keepNext/>
      <w:jc w:val="center"/>
      <w:outlineLvl w:val="2"/>
    </w:pPr>
    <w:rPr>
      <w:b/>
      <w:bCs/>
      <w:color w:val="000000"/>
      <w:sz w:val="20"/>
      <w:szCs w:val="20"/>
      <w:lang w:val="cs-CZ" w:eastAsia="cs-CZ"/>
    </w:rPr>
  </w:style>
  <w:style w:type="paragraph" w:styleId="Nadpis4">
    <w:name w:val="heading 4"/>
    <w:basedOn w:val="Normln"/>
    <w:next w:val="Normln"/>
    <w:link w:val="Nadpis4Char"/>
    <w:qFormat/>
    <w:rsid w:val="00FC2455"/>
    <w:pPr>
      <w:keepNext/>
      <w:ind w:firstLine="720"/>
      <w:jc w:val="both"/>
      <w:outlineLvl w:val="3"/>
    </w:pPr>
    <w:rPr>
      <w:b/>
      <w:bCs/>
      <w:color w:val="FF0000"/>
      <w:lang w:val="cs-CZ"/>
    </w:rPr>
  </w:style>
  <w:style w:type="paragraph" w:styleId="Nadpis5">
    <w:name w:val="heading 5"/>
    <w:basedOn w:val="Normln"/>
    <w:next w:val="Normln"/>
    <w:qFormat/>
    <w:rsid w:val="00FC2455"/>
    <w:pPr>
      <w:keepNext/>
      <w:outlineLvl w:val="4"/>
    </w:pPr>
    <w:rPr>
      <w:b/>
      <w:bCs/>
      <w:color w:val="0000FF"/>
      <w:sz w:val="28"/>
    </w:rPr>
  </w:style>
  <w:style w:type="paragraph" w:styleId="Nadpis6">
    <w:name w:val="heading 6"/>
    <w:basedOn w:val="Normln"/>
    <w:next w:val="Normln"/>
    <w:qFormat/>
    <w:rsid w:val="00FC2455"/>
    <w:pPr>
      <w:keepNext/>
      <w:spacing w:before="360"/>
      <w:ind w:firstLine="357"/>
      <w:jc w:val="center"/>
      <w:outlineLvl w:val="5"/>
    </w:pPr>
    <w:rPr>
      <w:rFonts w:ascii="Arial" w:hAnsi="Arial" w:cs="Arial"/>
      <w:b/>
      <w:bCs/>
      <w:sz w:val="28"/>
      <w:lang w:val="cs-CZ"/>
    </w:rPr>
  </w:style>
  <w:style w:type="paragraph" w:styleId="Nadpis7">
    <w:name w:val="heading 7"/>
    <w:basedOn w:val="Normln"/>
    <w:next w:val="Normln"/>
    <w:qFormat/>
    <w:rsid w:val="00FC2455"/>
    <w:pPr>
      <w:keepNext/>
      <w:ind w:firstLine="540"/>
      <w:outlineLvl w:val="6"/>
    </w:pPr>
    <w:rPr>
      <w:b/>
      <w:bCs/>
      <w:color w:val="0000FF"/>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FC2455"/>
    <w:rPr>
      <w:b/>
      <w:bCs/>
      <w:sz w:val="32"/>
      <w:lang w:val="cs-CZ" w:eastAsia="cs-CZ"/>
    </w:rPr>
  </w:style>
  <w:style w:type="paragraph" w:customStyle="1" w:styleId="odsazen">
    <w:name w:val="odsazený"/>
    <w:basedOn w:val="Normln"/>
    <w:rsid w:val="00FC2455"/>
    <w:pPr>
      <w:spacing w:before="120"/>
      <w:ind w:firstLine="567"/>
      <w:jc w:val="both"/>
    </w:pPr>
    <w:rPr>
      <w:iCs/>
      <w:lang w:val="cs-CZ" w:eastAsia="cs-CZ"/>
    </w:rPr>
  </w:style>
  <w:style w:type="paragraph" w:styleId="Zkladntext">
    <w:name w:val="Body Text"/>
    <w:basedOn w:val="Normln"/>
    <w:semiHidden/>
    <w:rsid w:val="00FC2455"/>
    <w:pPr>
      <w:jc w:val="both"/>
    </w:pPr>
    <w:rPr>
      <w:b/>
      <w:bCs/>
      <w:sz w:val="28"/>
      <w:szCs w:val="28"/>
      <w:lang w:val="cs-CZ"/>
    </w:rPr>
  </w:style>
  <w:style w:type="paragraph" w:styleId="Zkladntextodsazen2">
    <w:name w:val="Body Text Indent 2"/>
    <w:basedOn w:val="Normln"/>
    <w:semiHidden/>
    <w:rsid w:val="00FC2455"/>
    <w:pPr>
      <w:ind w:left="1080" w:hanging="1080"/>
    </w:pPr>
    <w:rPr>
      <w:sz w:val="20"/>
      <w:szCs w:val="20"/>
      <w:lang w:val="cs-CZ"/>
    </w:rPr>
  </w:style>
  <w:style w:type="paragraph" w:customStyle="1" w:styleId="vod">
    <w:name w:val="Úvod"/>
    <w:basedOn w:val="Normln"/>
    <w:rsid w:val="00FC2455"/>
    <w:pPr>
      <w:keepNext/>
      <w:spacing w:before="360" w:after="240"/>
      <w:jc w:val="both"/>
      <w:outlineLvl w:val="0"/>
    </w:pPr>
    <w:rPr>
      <w:b/>
      <w:bCs/>
      <w:sz w:val="28"/>
      <w:szCs w:val="28"/>
      <w:lang w:val="cs-CZ" w:eastAsia="cs-CZ"/>
    </w:rPr>
  </w:style>
  <w:style w:type="paragraph" w:customStyle="1" w:styleId="Prosttext1">
    <w:name w:val="Prostý text1"/>
    <w:basedOn w:val="Normln"/>
    <w:rsid w:val="00FC2455"/>
    <w:rPr>
      <w:rFonts w:ascii="Courier New" w:hAnsi="Courier New"/>
      <w:sz w:val="20"/>
      <w:szCs w:val="20"/>
      <w:lang w:val="cs-CZ" w:eastAsia="cs-CZ"/>
    </w:rPr>
  </w:style>
  <w:style w:type="paragraph" w:styleId="Zkladntextodsazen">
    <w:name w:val="Body Text Indent"/>
    <w:basedOn w:val="Normln"/>
    <w:semiHidden/>
    <w:rsid w:val="00FC2455"/>
    <w:pPr>
      <w:ind w:firstLine="720"/>
      <w:jc w:val="both"/>
    </w:pPr>
    <w:rPr>
      <w:lang w:val="cs-CZ"/>
    </w:rPr>
  </w:style>
  <w:style w:type="paragraph" w:styleId="Zkladntext3">
    <w:name w:val="Body Text 3"/>
    <w:basedOn w:val="Normln"/>
    <w:semiHidden/>
    <w:rsid w:val="00FC2455"/>
    <w:pPr>
      <w:keepNext/>
      <w:keepLines/>
      <w:jc w:val="both"/>
    </w:pPr>
    <w:rPr>
      <w:b/>
      <w:bCs/>
      <w:lang w:val="cs-CZ"/>
    </w:rPr>
  </w:style>
  <w:style w:type="paragraph" w:styleId="Zkladntext2">
    <w:name w:val="Body Text 2"/>
    <w:basedOn w:val="Normln"/>
    <w:semiHidden/>
    <w:rsid w:val="00FC2455"/>
    <w:pPr>
      <w:spacing w:after="120" w:line="480" w:lineRule="auto"/>
    </w:pPr>
  </w:style>
  <w:style w:type="paragraph" w:customStyle="1" w:styleId="BodyText21">
    <w:name w:val="Body Text 21"/>
    <w:basedOn w:val="Normln"/>
    <w:rsid w:val="00FC2455"/>
    <w:pPr>
      <w:overflowPunct w:val="0"/>
      <w:autoSpaceDE w:val="0"/>
      <w:autoSpaceDN w:val="0"/>
      <w:adjustRightInd w:val="0"/>
      <w:spacing w:after="120"/>
      <w:jc w:val="both"/>
      <w:textAlignment w:val="baseline"/>
    </w:pPr>
    <w:rPr>
      <w:szCs w:val="20"/>
      <w:lang w:val="cs-CZ" w:eastAsia="cs-CZ"/>
    </w:rPr>
  </w:style>
  <w:style w:type="paragraph" w:styleId="Zpat">
    <w:name w:val="footer"/>
    <w:basedOn w:val="Normln"/>
    <w:link w:val="ZpatChar"/>
    <w:uiPriority w:val="99"/>
    <w:rsid w:val="00FC2455"/>
    <w:pPr>
      <w:tabs>
        <w:tab w:val="center" w:pos="4536"/>
        <w:tab w:val="right" w:pos="9072"/>
      </w:tabs>
    </w:pPr>
  </w:style>
  <w:style w:type="character" w:styleId="slostrnky">
    <w:name w:val="page number"/>
    <w:basedOn w:val="Standardnpsmoodstavce"/>
    <w:semiHidden/>
    <w:rsid w:val="00FC2455"/>
  </w:style>
  <w:style w:type="paragraph" w:styleId="Zhlav">
    <w:name w:val="header"/>
    <w:basedOn w:val="Normln"/>
    <w:semiHidden/>
    <w:rsid w:val="00FC2455"/>
    <w:pPr>
      <w:tabs>
        <w:tab w:val="center" w:pos="4536"/>
        <w:tab w:val="right" w:pos="9072"/>
      </w:tabs>
    </w:pPr>
  </w:style>
  <w:style w:type="character" w:styleId="Odkaznakoment">
    <w:name w:val="annotation reference"/>
    <w:basedOn w:val="Standardnpsmoodstavce"/>
    <w:semiHidden/>
    <w:rsid w:val="00FC2455"/>
    <w:rPr>
      <w:sz w:val="16"/>
      <w:szCs w:val="16"/>
    </w:rPr>
  </w:style>
  <w:style w:type="paragraph" w:styleId="Textkomente">
    <w:name w:val="annotation text"/>
    <w:basedOn w:val="Normln"/>
    <w:link w:val="TextkomenteChar"/>
    <w:semiHidden/>
    <w:rsid w:val="00FC2455"/>
    <w:rPr>
      <w:sz w:val="20"/>
      <w:szCs w:val="20"/>
    </w:rPr>
  </w:style>
  <w:style w:type="paragraph" w:customStyle="1" w:styleId="Zkladntext21">
    <w:name w:val="Základní text 21"/>
    <w:basedOn w:val="Normln"/>
    <w:rsid w:val="00FC2455"/>
    <w:pPr>
      <w:overflowPunct w:val="0"/>
      <w:autoSpaceDE w:val="0"/>
      <w:autoSpaceDN w:val="0"/>
      <w:adjustRightInd w:val="0"/>
      <w:spacing w:line="240" w:lineRule="atLeast"/>
      <w:ind w:firstLine="425"/>
      <w:jc w:val="both"/>
    </w:pPr>
    <w:rPr>
      <w:color w:val="FF0000"/>
      <w:szCs w:val="20"/>
      <w:lang w:val="cs-CZ" w:eastAsia="cs-CZ"/>
    </w:rPr>
  </w:style>
  <w:style w:type="paragraph" w:styleId="Titulek">
    <w:name w:val="caption"/>
    <w:basedOn w:val="Normln"/>
    <w:next w:val="Normln"/>
    <w:qFormat/>
    <w:rsid w:val="00FC2455"/>
    <w:pPr>
      <w:jc w:val="both"/>
    </w:pPr>
    <w:rPr>
      <w:rFonts w:ascii="Arial" w:hAnsi="Arial" w:cs="Arial"/>
      <w:i/>
      <w:iCs/>
      <w:sz w:val="18"/>
      <w:lang w:val="cs-CZ"/>
    </w:rPr>
  </w:style>
  <w:style w:type="paragraph" w:styleId="Zkladntextodsazen3">
    <w:name w:val="Body Text Indent 3"/>
    <w:basedOn w:val="Normln"/>
    <w:semiHidden/>
    <w:rsid w:val="00FC2455"/>
    <w:pPr>
      <w:autoSpaceDE w:val="0"/>
      <w:autoSpaceDN w:val="0"/>
      <w:adjustRightInd w:val="0"/>
      <w:spacing w:line="240" w:lineRule="atLeast"/>
      <w:ind w:left="360" w:hanging="360"/>
      <w:jc w:val="both"/>
    </w:pPr>
    <w:rPr>
      <w:lang w:val="cs-CZ"/>
    </w:rPr>
  </w:style>
  <w:style w:type="character" w:customStyle="1" w:styleId="ZpatChar">
    <w:name w:val="Zápatí Char"/>
    <w:basedOn w:val="Standardnpsmoodstavce"/>
    <w:link w:val="Zpat"/>
    <w:uiPriority w:val="99"/>
    <w:rsid w:val="005E3F4A"/>
    <w:rPr>
      <w:sz w:val="24"/>
      <w:szCs w:val="24"/>
      <w:lang w:val="en-US" w:eastAsia="en-US"/>
    </w:rPr>
  </w:style>
  <w:style w:type="table" w:styleId="Mkatabulky">
    <w:name w:val="Table Grid"/>
    <w:basedOn w:val="Normlntabulka"/>
    <w:uiPriority w:val="59"/>
    <w:rsid w:val="008945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905D30"/>
    <w:rPr>
      <w:rFonts w:ascii="Tahoma" w:hAnsi="Tahoma" w:cs="Tahoma"/>
      <w:sz w:val="16"/>
      <w:szCs w:val="16"/>
    </w:rPr>
  </w:style>
  <w:style w:type="character" w:customStyle="1" w:styleId="TextbublinyChar">
    <w:name w:val="Text bubliny Char"/>
    <w:basedOn w:val="Standardnpsmoodstavce"/>
    <w:link w:val="Textbubliny"/>
    <w:uiPriority w:val="99"/>
    <w:semiHidden/>
    <w:rsid w:val="00905D30"/>
    <w:rPr>
      <w:rFonts w:ascii="Tahoma" w:hAnsi="Tahoma" w:cs="Tahoma"/>
      <w:sz w:val="16"/>
      <w:szCs w:val="16"/>
      <w:lang w:val="en-US" w:eastAsia="en-US"/>
    </w:rPr>
  </w:style>
  <w:style w:type="paragraph" w:styleId="Textpoznpodarou">
    <w:name w:val="footnote text"/>
    <w:basedOn w:val="Normln"/>
    <w:link w:val="TextpoznpodarouChar"/>
    <w:uiPriority w:val="99"/>
    <w:rsid w:val="00AE3A71"/>
    <w:rPr>
      <w:sz w:val="20"/>
      <w:szCs w:val="20"/>
      <w:lang w:val="cs-CZ"/>
    </w:rPr>
  </w:style>
  <w:style w:type="character" w:customStyle="1" w:styleId="TextpoznpodarouChar">
    <w:name w:val="Text pozn. pod čarou Char"/>
    <w:basedOn w:val="Standardnpsmoodstavce"/>
    <w:link w:val="Textpoznpodarou"/>
    <w:uiPriority w:val="99"/>
    <w:rsid w:val="00AE3A71"/>
    <w:rPr>
      <w:lang w:eastAsia="en-US"/>
    </w:rPr>
  </w:style>
  <w:style w:type="character" w:styleId="Znakapoznpodarou">
    <w:name w:val="footnote reference"/>
    <w:aliases w:val="Footnote,Footnote call"/>
    <w:uiPriority w:val="99"/>
    <w:semiHidden/>
    <w:rsid w:val="00AE3A71"/>
    <w:rPr>
      <w:vertAlign w:val="superscript"/>
    </w:rPr>
  </w:style>
  <w:style w:type="paragraph" w:styleId="Odstavecseseznamem">
    <w:name w:val="List Paragraph"/>
    <w:aliases w:val="odrážky,Nadpis pro KZ"/>
    <w:basedOn w:val="Normln"/>
    <w:link w:val="OdstavecseseznamemChar"/>
    <w:uiPriority w:val="34"/>
    <w:qFormat/>
    <w:rsid w:val="00AE3A71"/>
    <w:pPr>
      <w:ind w:left="720"/>
      <w:contextualSpacing/>
    </w:pPr>
  </w:style>
  <w:style w:type="paragraph" w:customStyle="1" w:styleId="Default">
    <w:name w:val="Default"/>
    <w:rsid w:val="00301BAB"/>
    <w:pPr>
      <w:autoSpaceDE w:val="0"/>
      <w:autoSpaceDN w:val="0"/>
      <w:adjustRightInd w:val="0"/>
    </w:pPr>
    <w:rPr>
      <w:rFonts w:ascii="Calibri" w:hAnsi="Calibri" w:cs="Calibri"/>
      <w:color w:val="000000"/>
      <w:sz w:val="24"/>
      <w:szCs w:val="24"/>
    </w:rPr>
  </w:style>
  <w:style w:type="paragraph" w:styleId="Pedmtkomente">
    <w:name w:val="annotation subject"/>
    <w:basedOn w:val="Textkomente"/>
    <w:next w:val="Textkomente"/>
    <w:link w:val="PedmtkomenteChar"/>
    <w:uiPriority w:val="99"/>
    <w:semiHidden/>
    <w:unhideWhenUsed/>
    <w:rsid w:val="00436766"/>
    <w:rPr>
      <w:b/>
      <w:bCs/>
    </w:rPr>
  </w:style>
  <w:style w:type="character" w:customStyle="1" w:styleId="TextkomenteChar">
    <w:name w:val="Text komentáře Char"/>
    <w:basedOn w:val="Standardnpsmoodstavce"/>
    <w:link w:val="Textkomente"/>
    <w:semiHidden/>
    <w:rsid w:val="00436766"/>
    <w:rPr>
      <w:lang w:val="en-US" w:eastAsia="en-US"/>
    </w:rPr>
  </w:style>
  <w:style w:type="character" w:customStyle="1" w:styleId="PedmtkomenteChar">
    <w:name w:val="Předmět komentáře Char"/>
    <w:basedOn w:val="TextkomenteChar"/>
    <w:link w:val="Pedmtkomente"/>
    <w:uiPriority w:val="99"/>
    <w:semiHidden/>
    <w:rsid w:val="00436766"/>
    <w:rPr>
      <w:b/>
      <w:bCs/>
      <w:lang w:val="en-US" w:eastAsia="en-US"/>
    </w:rPr>
  </w:style>
  <w:style w:type="paragraph" w:customStyle="1" w:styleId="TextKP">
    <w:name w:val="Text KP"/>
    <w:basedOn w:val="Normln"/>
    <w:link w:val="TextKPChar"/>
    <w:qFormat/>
    <w:rsid w:val="00F443BE"/>
    <w:pPr>
      <w:spacing w:before="120"/>
      <w:jc w:val="both"/>
    </w:pPr>
    <w:rPr>
      <w:rFonts w:asciiTheme="minorHAnsi" w:hAnsiTheme="minorHAnsi" w:cstheme="minorHAnsi"/>
      <w:lang w:val="cs-CZ"/>
    </w:rPr>
  </w:style>
  <w:style w:type="character" w:customStyle="1" w:styleId="TextKPChar">
    <w:name w:val="Text KP Char"/>
    <w:basedOn w:val="Standardnpsmoodstavce"/>
    <w:link w:val="TextKP"/>
    <w:rsid w:val="00F443BE"/>
    <w:rPr>
      <w:rFonts w:asciiTheme="minorHAnsi" w:hAnsiTheme="minorHAnsi" w:cstheme="minorHAnsi"/>
      <w:sz w:val="24"/>
      <w:szCs w:val="24"/>
      <w:lang w:eastAsia="en-US"/>
    </w:rPr>
  </w:style>
  <w:style w:type="character" w:customStyle="1" w:styleId="OdstavecseseznamemChar">
    <w:name w:val="Odstavec se seznamem Char"/>
    <w:aliases w:val="odrážky Char,Nadpis pro KZ Char"/>
    <w:link w:val="Odstavecseseznamem"/>
    <w:uiPriority w:val="34"/>
    <w:locked/>
    <w:rsid w:val="00B9648F"/>
    <w:rPr>
      <w:sz w:val="24"/>
      <w:szCs w:val="24"/>
      <w:lang w:val="en-US" w:eastAsia="en-US"/>
    </w:rPr>
  </w:style>
  <w:style w:type="character" w:customStyle="1" w:styleId="Nadpis4Char">
    <w:name w:val="Nadpis 4 Char"/>
    <w:basedOn w:val="Standardnpsmoodstavce"/>
    <w:link w:val="Nadpis4"/>
    <w:rsid w:val="008C5F6D"/>
    <w:rPr>
      <w:b/>
      <w:bCs/>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3276">
      <w:bodyDiv w:val="1"/>
      <w:marLeft w:val="0"/>
      <w:marRight w:val="0"/>
      <w:marTop w:val="0"/>
      <w:marBottom w:val="0"/>
      <w:divBdr>
        <w:top w:val="none" w:sz="0" w:space="0" w:color="auto"/>
        <w:left w:val="none" w:sz="0" w:space="0" w:color="auto"/>
        <w:bottom w:val="none" w:sz="0" w:space="0" w:color="auto"/>
        <w:right w:val="none" w:sz="0" w:space="0" w:color="auto"/>
      </w:divBdr>
    </w:div>
    <w:div w:id="109473509">
      <w:bodyDiv w:val="1"/>
      <w:marLeft w:val="0"/>
      <w:marRight w:val="0"/>
      <w:marTop w:val="0"/>
      <w:marBottom w:val="0"/>
      <w:divBdr>
        <w:top w:val="none" w:sz="0" w:space="0" w:color="auto"/>
        <w:left w:val="none" w:sz="0" w:space="0" w:color="auto"/>
        <w:bottom w:val="none" w:sz="0" w:space="0" w:color="auto"/>
        <w:right w:val="none" w:sz="0" w:space="0" w:color="auto"/>
      </w:divBdr>
    </w:div>
    <w:div w:id="318583710">
      <w:bodyDiv w:val="1"/>
      <w:marLeft w:val="0"/>
      <w:marRight w:val="0"/>
      <w:marTop w:val="0"/>
      <w:marBottom w:val="0"/>
      <w:divBdr>
        <w:top w:val="none" w:sz="0" w:space="0" w:color="auto"/>
        <w:left w:val="none" w:sz="0" w:space="0" w:color="auto"/>
        <w:bottom w:val="none" w:sz="0" w:space="0" w:color="auto"/>
        <w:right w:val="none" w:sz="0" w:space="0" w:color="auto"/>
      </w:divBdr>
    </w:div>
    <w:div w:id="497115928">
      <w:bodyDiv w:val="1"/>
      <w:marLeft w:val="0"/>
      <w:marRight w:val="0"/>
      <w:marTop w:val="0"/>
      <w:marBottom w:val="0"/>
      <w:divBdr>
        <w:top w:val="none" w:sz="0" w:space="0" w:color="auto"/>
        <w:left w:val="none" w:sz="0" w:space="0" w:color="auto"/>
        <w:bottom w:val="none" w:sz="0" w:space="0" w:color="auto"/>
        <w:right w:val="none" w:sz="0" w:space="0" w:color="auto"/>
      </w:divBdr>
    </w:div>
    <w:div w:id="547448436">
      <w:bodyDiv w:val="1"/>
      <w:marLeft w:val="0"/>
      <w:marRight w:val="0"/>
      <w:marTop w:val="0"/>
      <w:marBottom w:val="0"/>
      <w:divBdr>
        <w:top w:val="none" w:sz="0" w:space="0" w:color="auto"/>
        <w:left w:val="none" w:sz="0" w:space="0" w:color="auto"/>
        <w:bottom w:val="none" w:sz="0" w:space="0" w:color="auto"/>
        <w:right w:val="none" w:sz="0" w:space="0" w:color="auto"/>
      </w:divBdr>
    </w:div>
    <w:div w:id="648167339">
      <w:bodyDiv w:val="1"/>
      <w:marLeft w:val="0"/>
      <w:marRight w:val="0"/>
      <w:marTop w:val="0"/>
      <w:marBottom w:val="0"/>
      <w:divBdr>
        <w:top w:val="none" w:sz="0" w:space="0" w:color="auto"/>
        <w:left w:val="none" w:sz="0" w:space="0" w:color="auto"/>
        <w:bottom w:val="none" w:sz="0" w:space="0" w:color="auto"/>
        <w:right w:val="none" w:sz="0" w:space="0" w:color="auto"/>
      </w:divBdr>
    </w:div>
    <w:div w:id="689069542">
      <w:bodyDiv w:val="1"/>
      <w:marLeft w:val="0"/>
      <w:marRight w:val="0"/>
      <w:marTop w:val="0"/>
      <w:marBottom w:val="0"/>
      <w:divBdr>
        <w:top w:val="none" w:sz="0" w:space="0" w:color="auto"/>
        <w:left w:val="none" w:sz="0" w:space="0" w:color="auto"/>
        <w:bottom w:val="none" w:sz="0" w:space="0" w:color="auto"/>
        <w:right w:val="none" w:sz="0" w:space="0" w:color="auto"/>
      </w:divBdr>
    </w:div>
    <w:div w:id="875121124">
      <w:bodyDiv w:val="1"/>
      <w:marLeft w:val="0"/>
      <w:marRight w:val="0"/>
      <w:marTop w:val="0"/>
      <w:marBottom w:val="0"/>
      <w:divBdr>
        <w:top w:val="none" w:sz="0" w:space="0" w:color="auto"/>
        <w:left w:val="none" w:sz="0" w:space="0" w:color="auto"/>
        <w:bottom w:val="none" w:sz="0" w:space="0" w:color="auto"/>
        <w:right w:val="none" w:sz="0" w:space="0" w:color="auto"/>
      </w:divBdr>
    </w:div>
    <w:div w:id="992373810">
      <w:bodyDiv w:val="1"/>
      <w:marLeft w:val="0"/>
      <w:marRight w:val="0"/>
      <w:marTop w:val="0"/>
      <w:marBottom w:val="0"/>
      <w:divBdr>
        <w:top w:val="none" w:sz="0" w:space="0" w:color="auto"/>
        <w:left w:val="none" w:sz="0" w:space="0" w:color="auto"/>
        <w:bottom w:val="none" w:sz="0" w:space="0" w:color="auto"/>
        <w:right w:val="none" w:sz="0" w:space="0" w:color="auto"/>
      </w:divBdr>
    </w:div>
    <w:div w:id="1025905755">
      <w:bodyDiv w:val="1"/>
      <w:marLeft w:val="0"/>
      <w:marRight w:val="0"/>
      <w:marTop w:val="0"/>
      <w:marBottom w:val="0"/>
      <w:divBdr>
        <w:top w:val="none" w:sz="0" w:space="0" w:color="auto"/>
        <w:left w:val="none" w:sz="0" w:space="0" w:color="auto"/>
        <w:bottom w:val="none" w:sz="0" w:space="0" w:color="auto"/>
        <w:right w:val="none" w:sz="0" w:space="0" w:color="auto"/>
      </w:divBdr>
    </w:div>
    <w:div w:id="1144812750">
      <w:bodyDiv w:val="1"/>
      <w:marLeft w:val="0"/>
      <w:marRight w:val="0"/>
      <w:marTop w:val="0"/>
      <w:marBottom w:val="0"/>
      <w:divBdr>
        <w:top w:val="none" w:sz="0" w:space="0" w:color="auto"/>
        <w:left w:val="none" w:sz="0" w:space="0" w:color="auto"/>
        <w:bottom w:val="none" w:sz="0" w:space="0" w:color="auto"/>
        <w:right w:val="none" w:sz="0" w:space="0" w:color="auto"/>
      </w:divBdr>
    </w:div>
    <w:div w:id="1371493371">
      <w:bodyDiv w:val="1"/>
      <w:marLeft w:val="0"/>
      <w:marRight w:val="0"/>
      <w:marTop w:val="0"/>
      <w:marBottom w:val="0"/>
      <w:divBdr>
        <w:top w:val="none" w:sz="0" w:space="0" w:color="auto"/>
        <w:left w:val="none" w:sz="0" w:space="0" w:color="auto"/>
        <w:bottom w:val="none" w:sz="0" w:space="0" w:color="auto"/>
        <w:right w:val="none" w:sz="0" w:space="0" w:color="auto"/>
      </w:divBdr>
    </w:div>
    <w:div w:id="1383284268">
      <w:bodyDiv w:val="1"/>
      <w:marLeft w:val="0"/>
      <w:marRight w:val="0"/>
      <w:marTop w:val="0"/>
      <w:marBottom w:val="0"/>
      <w:divBdr>
        <w:top w:val="none" w:sz="0" w:space="0" w:color="auto"/>
        <w:left w:val="none" w:sz="0" w:space="0" w:color="auto"/>
        <w:bottom w:val="none" w:sz="0" w:space="0" w:color="auto"/>
        <w:right w:val="none" w:sz="0" w:space="0" w:color="auto"/>
      </w:divBdr>
    </w:div>
    <w:div w:id="1529945413">
      <w:bodyDiv w:val="1"/>
      <w:marLeft w:val="0"/>
      <w:marRight w:val="0"/>
      <w:marTop w:val="0"/>
      <w:marBottom w:val="0"/>
      <w:divBdr>
        <w:top w:val="none" w:sz="0" w:space="0" w:color="auto"/>
        <w:left w:val="none" w:sz="0" w:space="0" w:color="auto"/>
        <w:bottom w:val="none" w:sz="0" w:space="0" w:color="auto"/>
        <w:right w:val="none" w:sz="0" w:space="0" w:color="auto"/>
      </w:divBdr>
    </w:div>
    <w:div w:id="1690137958">
      <w:bodyDiv w:val="1"/>
      <w:marLeft w:val="0"/>
      <w:marRight w:val="0"/>
      <w:marTop w:val="0"/>
      <w:marBottom w:val="0"/>
      <w:divBdr>
        <w:top w:val="none" w:sz="0" w:space="0" w:color="auto"/>
        <w:left w:val="none" w:sz="0" w:space="0" w:color="auto"/>
        <w:bottom w:val="none" w:sz="0" w:space="0" w:color="auto"/>
        <w:right w:val="none" w:sz="0" w:space="0" w:color="auto"/>
      </w:divBdr>
    </w:div>
    <w:div w:id="1730880757">
      <w:bodyDiv w:val="1"/>
      <w:marLeft w:val="0"/>
      <w:marRight w:val="0"/>
      <w:marTop w:val="0"/>
      <w:marBottom w:val="0"/>
      <w:divBdr>
        <w:top w:val="none" w:sz="0" w:space="0" w:color="auto"/>
        <w:left w:val="none" w:sz="0" w:space="0" w:color="auto"/>
        <w:bottom w:val="none" w:sz="0" w:space="0" w:color="auto"/>
        <w:right w:val="none" w:sz="0" w:space="0" w:color="auto"/>
      </w:divBdr>
    </w:div>
    <w:div w:id="19162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4217-01A5-48A7-A9DA-402274EDAD63}"/>
</file>

<file path=customXml/itemProps2.xml><?xml version="1.0" encoding="utf-8"?>
<ds:datastoreItem xmlns:ds="http://schemas.openxmlformats.org/officeDocument/2006/customXml" ds:itemID="{30BEEBC8-6C84-4482-819F-9B61FE15D75C}"/>
</file>

<file path=customXml/itemProps3.xml><?xml version="1.0" encoding="utf-8"?>
<ds:datastoreItem xmlns:ds="http://schemas.openxmlformats.org/officeDocument/2006/customXml" ds:itemID="{2660B1BE-EA1C-46FD-BB66-B96F883C311A}"/>
</file>

<file path=customXml/itemProps4.xml><?xml version="1.0" encoding="utf-8"?>
<ds:datastoreItem xmlns:ds="http://schemas.openxmlformats.org/officeDocument/2006/customXml" ds:itemID="{56166CAE-55D0-4AA8-8877-704FB6D8D319}"/>
</file>

<file path=customXml/itemProps5.xml><?xml version="1.0" encoding="utf-8"?>
<ds:datastoreItem xmlns:ds="http://schemas.openxmlformats.org/officeDocument/2006/customXml" ds:itemID="{FA2638AC-E15C-40C1-BF5F-6ACB054EEECC}"/>
</file>

<file path=customXml/itemProps6.xml><?xml version="1.0" encoding="utf-8"?>
<ds:datastoreItem xmlns:ds="http://schemas.openxmlformats.org/officeDocument/2006/customXml" ds:itemID="{F231E5B1-E9B4-484E-9F2C-8581B7B0F141}"/>
</file>

<file path=docProps/app.xml><?xml version="1.0" encoding="utf-8"?>
<Properties xmlns="http://schemas.openxmlformats.org/officeDocument/2006/extended-properties" xmlns:vt="http://schemas.openxmlformats.org/officeDocument/2006/docPropsVTypes">
  <Template>F28D323E.dotm</Template>
  <TotalTime>1</TotalTime>
  <Pages>11</Pages>
  <Words>3902</Words>
  <Characters>23023</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Kontrolní závěr z kontrolní akce NKÚ č. 14/29</vt:lpstr>
    </vt:vector>
  </TitlesOfParts>
  <Company>NKU</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15/34 - Peněžní prostředky vynakládané na úhradu nákladů z činnosti u vybraných ministerstev</dc:title>
  <dc:creator>Nejvyšší kontrolní úřad</dc:creator>
  <cp:keywords>kontrolní závěr; ministerstva; ministerstvo obrany; MO; Ministerstvo práce a sociálních věcí; MPSV; Ministerstvo zemědělství; MZe</cp:keywords>
  <dc:description/>
  <cp:lastModifiedBy>KOKRDA Daniel</cp:lastModifiedBy>
  <cp:revision>2</cp:revision>
  <cp:lastPrinted>2016-07-12T07:19:00Z</cp:lastPrinted>
  <dcterms:created xsi:type="dcterms:W3CDTF">2016-08-08T07:03:00Z</dcterms:created>
  <dcterms:modified xsi:type="dcterms:W3CDTF">2016-08-08T07:03:00Z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0x0101002F7A625AE9F5AB4A939F92BCAA7FEC02</vt:lpwstr>
  </property>
</Properties>
</file>