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9CD0F" w14:textId="77777777" w:rsidR="00C3396A" w:rsidRDefault="00C3396A" w:rsidP="00C3396A">
      <w:pPr>
        <w:spacing w:before="0"/>
        <w:jc w:val="center"/>
      </w:pPr>
      <w:r w:rsidRPr="00C3396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0EB32F8" wp14:editId="2A0F07F2">
            <wp:simplePos x="0" y="0"/>
            <wp:positionH relativeFrom="margin">
              <wp:posOffset>2522855</wp:posOffset>
            </wp:positionH>
            <wp:positionV relativeFrom="paragraph">
              <wp:posOffset>559</wp:posOffset>
            </wp:positionV>
            <wp:extent cx="713740" cy="50419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C6D6D" w14:textId="77777777" w:rsidR="00C3396A" w:rsidRDefault="00C3396A" w:rsidP="00C3396A">
      <w:pPr>
        <w:spacing w:before="0"/>
        <w:jc w:val="center"/>
      </w:pPr>
    </w:p>
    <w:p w14:paraId="135EB230" w14:textId="77777777" w:rsidR="00FC307E" w:rsidRPr="00C3396A" w:rsidRDefault="00FC307E" w:rsidP="00C3396A">
      <w:pPr>
        <w:spacing w:before="0"/>
        <w:jc w:val="center"/>
      </w:pPr>
    </w:p>
    <w:p w14:paraId="32E688C5" w14:textId="77777777" w:rsidR="00FC307E" w:rsidRPr="00C3396A" w:rsidRDefault="00035AAB" w:rsidP="00C3396A">
      <w:pPr>
        <w:spacing w:before="0"/>
        <w:jc w:val="center"/>
        <w:rPr>
          <w:b/>
          <w:sz w:val="28"/>
          <w:szCs w:val="28"/>
        </w:rPr>
      </w:pPr>
      <w:r w:rsidRPr="00C3396A">
        <w:rPr>
          <w:b/>
          <w:sz w:val="28"/>
          <w:szCs w:val="28"/>
        </w:rPr>
        <w:t xml:space="preserve">Kontrolní závěr z kontrolní </w:t>
      </w:r>
      <w:bookmarkStart w:id="0" w:name="_GoBack"/>
      <w:r w:rsidRPr="00C3396A">
        <w:rPr>
          <w:b/>
          <w:sz w:val="28"/>
          <w:szCs w:val="28"/>
        </w:rPr>
        <w:t>akc</w:t>
      </w:r>
      <w:bookmarkEnd w:id="0"/>
      <w:r w:rsidRPr="00C3396A">
        <w:rPr>
          <w:b/>
          <w:sz w:val="28"/>
          <w:szCs w:val="28"/>
        </w:rPr>
        <w:t>e</w:t>
      </w:r>
    </w:p>
    <w:p w14:paraId="5119C349" w14:textId="77777777" w:rsidR="00FC307E" w:rsidRPr="008F74E8" w:rsidRDefault="00FC307E" w:rsidP="00C3396A">
      <w:pPr>
        <w:spacing w:before="0"/>
        <w:jc w:val="center"/>
        <w:rPr>
          <w:b/>
          <w:szCs w:val="28"/>
        </w:rPr>
      </w:pPr>
    </w:p>
    <w:p w14:paraId="64659990" w14:textId="77777777" w:rsidR="00FC307E" w:rsidRDefault="00035AAB" w:rsidP="00C3396A">
      <w:pPr>
        <w:spacing w:before="0"/>
        <w:jc w:val="center"/>
        <w:rPr>
          <w:b/>
          <w:color w:val="auto"/>
          <w:sz w:val="28"/>
          <w:szCs w:val="28"/>
        </w:rPr>
      </w:pPr>
      <w:r w:rsidRPr="00C3396A">
        <w:rPr>
          <w:b/>
          <w:color w:val="auto"/>
          <w:sz w:val="28"/>
          <w:szCs w:val="28"/>
        </w:rPr>
        <w:t>17/15</w:t>
      </w:r>
    </w:p>
    <w:p w14:paraId="28C1258C" w14:textId="77777777" w:rsidR="00C3396A" w:rsidRPr="008F74E8" w:rsidRDefault="00C3396A" w:rsidP="00C3396A">
      <w:pPr>
        <w:spacing w:before="0"/>
        <w:jc w:val="center"/>
        <w:rPr>
          <w:b/>
          <w:color w:val="auto"/>
          <w:szCs w:val="28"/>
        </w:rPr>
      </w:pPr>
    </w:p>
    <w:p w14:paraId="14CA257B" w14:textId="77777777" w:rsidR="00FC307E" w:rsidRPr="00C3396A" w:rsidRDefault="00035AAB" w:rsidP="00C3396A">
      <w:pPr>
        <w:spacing w:before="0"/>
        <w:jc w:val="center"/>
        <w:rPr>
          <w:color w:val="auto"/>
        </w:rPr>
      </w:pPr>
      <w:r w:rsidRPr="00C3396A">
        <w:rPr>
          <w:b/>
          <w:color w:val="auto"/>
          <w:sz w:val="28"/>
          <w:szCs w:val="28"/>
        </w:rPr>
        <w:t>Peněžní prostředky státu na výzkum, vývoj a inovace</w:t>
      </w:r>
    </w:p>
    <w:p w14:paraId="2A0CAD50" w14:textId="77777777" w:rsidR="00FC307E" w:rsidRPr="00C3396A" w:rsidRDefault="00FC307E" w:rsidP="00C3396A">
      <w:pPr>
        <w:spacing w:before="0"/>
        <w:rPr>
          <w:color w:val="000000" w:themeColor="text1"/>
        </w:rPr>
      </w:pPr>
    </w:p>
    <w:p w14:paraId="4361906F" w14:textId="77777777" w:rsidR="00FC307E" w:rsidRPr="00321AB1" w:rsidRDefault="00035AAB" w:rsidP="00FC307E">
      <w:r w:rsidRPr="00321AB1">
        <w:t>Kontrolní akce byla zařazena do plánu kontrolní činnosti Nejvyš</w:t>
      </w:r>
      <w:r>
        <w:t>šího kontrolního úřadu (dále také</w:t>
      </w:r>
      <w:r w:rsidRPr="00321AB1">
        <w:t xml:space="preserve"> „NKÚ“) na rok 2017 pod číslem 17/15. Kontrolní akci řídil a kontrolní závěr vypracoval člen NKÚ RNDr. Petr </w:t>
      </w:r>
      <w:proofErr w:type="spellStart"/>
      <w:r w:rsidRPr="00321AB1">
        <w:t>Neuvirt</w:t>
      </w:r>
      <w:proofErr w:type="spellEnd"/>
      <w:r w:rsidRPr="00321AB1">
        <w:t>.</w:t>
      </w:r>
    </w:p>
    <w:p w14:paraId="10EEB8E9" w14:textId="5C10B09A" w:rsidR="00FC307E" w:rsidRPr="00321AB1" w:rsidRDefault="00035AAB" w:rsidP="00FC307E">
      <w:r w:rsidRPr="00321AB1">
        <w:t>Cílem kontroly bylo prověřit, zda peněžní prostředky státu na výzkum, vývoj a inovace naplňují cíle obsa</w:t>
      </w:r>
      <w:r>
        <w:t xml:space="preserve">žené v koncepčních dokumentech. Prověřit </w:t>
      </w:r>
      <w:r w:rsidRPr="00321AB1">
        <w:t>existenci a způsob nastavení systému, který usměrňuje peněžní prostředky na výzkum, vývoj a inovace tak, aby docházelo k růstu inovační výkonnosti České republiky v mezinárodním srovnání</w:t>
      </w:r>
      <w:r>
        <w:t>. P</w:t>
      </w:r>
      <w:r w:rsidRPr="00321AB1">
        <w:t xml:space="preserve">rověřit, zda jsou dostatečně vyhodnocovány přínosy peněžních prostředků vynaložených na výzkum, vývoj a inovace. </w:t>
      </w:r>
    </w:p>
    <w:p w14:paraId="31387A2B" w14:textId="77777777" w:rsidR="00FC307E" w:rsidRPr="00321AB1" w:rsidRDefault="00035AAB" w:rsidP="00FC307E">
      <w:r w:rsidRPr="00321AB1">
        <w:t xml:space="preserve">Kontrola byla prováděna u kontrolovaných osob v období od dubna 2017 do dubna 2018. </w:t>
      </w:r>
    </w:p>
    <w:p w14:paraId="5EB38DF3" w14:textId="77777777" w:rsidR="006F0C26" w:rsidRDefault="00035AAB" w:rsidP="00FC307E">
      <w:pPr>
        <w:rPr>
          <w:rFonts w:asciiTheme="minorHAnsi" w:hAnsiTheme="minorHAnsi" w:cstheme="minorHAnsi"/>
        </w:rPr>
      </w:pPr>
      <w:r w:rsidRPr="00321AB1">
        <w:t>Kontrolovaným obdobím byly roky 2014 až 2016, v případě věcných souvislostí i období předcházející a následující.</w:t>
      </w:r>
      <w:r w:rsidR="006F0C26" w:rsidRPr="006F0C26">
        <w:rPr>
          <w:rFonts w:asciiTheme="minorHAnsi" w:hAnsiTheme="minorHAnsi" w:cstheme="minorHAnsi"/>
        </w:rPr>
        <w:t xml:space="preserve"> </w:t>
      </w:r>
    </w:p>
    <w:p w14:paraId="29598450" w14:textId="77777777" w:rsidR="006F0C26" w:rsidDel="008F74E8" w:rsidRDefault="006F0C26" w:rsidP="00FC307E">
      <w:pPr>
        <w:rPr>
          <w:rFonts w:asciiTheme="minorHAnsi" w:hAnsiTheme="minorHAnsi" w:cstheme="minorHAnsi"/>
        </w:rPr>
      </w:pPr>
      <w:r w:rsidRPr="004673BF" w:rsidDel="008F74E8">
        <w:rPr>
          <w:rFonts w:asciiTheme="minorHAnsi" w:hAnsiTheme="minorHAnsi" w:cstheme="minorHAnsi"/>
        </w:rPr>
        <w:t>Právní předpisy používané v textu kontrolního závěru jsou aplikovány ve znění účinném pro kontrolované období.</w:t>
      </w:r>
    </w:p>
    <w:p w14:paraId="6A35AD27" w14:textId="6F1A5893" w:rsidR="00FC307E" w:rsidRPr="00321AB1" w:rsidRDefault="00035AAB" w:rsidP="00FC307E">
      <w:r w:rsidRPr="00321AB1">
        <w:t>Kontrolované osoby:</w:t>
      </w:r>
      <w:r w:rsidRPr="00321AB1">
        <w:cr/>
        <w:t xml:space="preserve">Úřad vlády České republiky (dále </w:t>
      </w:r>
      <w:r>
        <w:t>také</w:t>
      </w:r>
      <w:r w:rsidRPr="00321AB1">
        <w:t xml:space="preserve"> „ÚV ČR“)</w:t>
      </w:r>
      <w:r>
        <w:t>;</w:t>
      </w:r>
      <w:r w:rsidRPr="00321AB1">
        <w:t xml:space="preserve"> Ministerstvo školství</w:t>
      </w:r>
      <w:r w:rsidR="00400DB1">
        <w:t>,</w:t>
      </w:r>
      <w:r w:rsidRPr="00321AB1">
        <w:t xml:space="preserve"> mládeže a tělovýchovy (dále </w:t>
      </w:r>
      <w:r>
        <w:t>také</w:t>
      </w:r>
      <w:r w:rsidRPr="00321AB1">
        <w:t xml:space="preserve"> „MŠMT“)</w:t>
      </w:r>
      <w:r>
        <w:t>;</w:t>
      </w:r>
      <w:r w:rsidRPr="00321AB1">
        <w:t xml:space="preserve"> Ministerstvo průmyslu a obchodu (dále </w:t>
      </w:r>
      <w:r>
        <w:t>také</w:t>
      </w:r>
      <w:r w:rsidRPr="00321AB1">
        <w:t xml:space="preserve"> „MPO“)</w:t>
      </w:r>
      <w:r>
        <w:t>;</w:t>
      </w:r>
      <w:r w:rsidRPr="00321AB1">
        <w:t xml:space="preserve"> Ministerstvo zemědělství (dále </w:t>
      </w:r>
      <w:r>
        <w:t>také</w:t>
      </w:r>
      <w:r w:rsidRPr="00321AB1">
        <w:t xml:space="preserve"> „MZe“)</w:t>
      </w:r>
      <w:r>
        <w:t>;</w:t>
      </w:r>
      <w:r w:rsidRPr="00321AB1">
        <w:t xml:space="preserve"> Akademie věd České republiky</w:t>
      </w:r>
      <w:r>
        <w:t>, Praha</w:t>
      </w:r>
      <w:r w:rsidRPr="00321AB1">
        <w:t xml:space="preserve"> (dále </w:t>
      </w:r>
      <w:r>
        <w:t>také</w:t>
      </w:r>
      <w:r w:rsidRPr="00321AB1">
        <w:t xml:space="preserve"> „AV ČR“)</w:t>
      </w:r>
      <w:r>
        <w:t>;</w:t>
      </w:r>
      <w:r w:rsidRPr="00321AB1">
        <w:t xml:space="preserve"> U</w:t>
      </w:r>
      <w:r>
        <w:t>niverzita Palackého v Olomouci; Vysoké učení technické v Brně;</w:t>
      </w:r>
      <w:r w:rsidRPr="003D009A">
        <w:t xml:space="preserve"> Jihočeská uni</w:t>
      </w:r>
      <w:r>
        <w:t>verzita v Českých Budějovicích;</w:t>
      </w:r>
      <w:r w:rsidRPr="003D009A">
        <w:t xml:space="preserve"> Mendelova univerzita v</w:t>
      </w:r>
      <w:r>
        <w:t> </w:t>
      </w:r>
      <w:r w:rsidRPr="003D009A">
        <w:t>Brně</w:t>
      </w:r>
      <w:r>
        <w:t>;</w:t>
      </w:r>
      <w:r w:rsidRPr="003D009A">
        <w:t xml:space="preserve"> Biologické centrum AV</w:t>
      </w:r>
      <w:r w:rsidRPr="00321AB1">
        <w:t xml:space="preserve"> ČR, v. v. i.</w:t>
      </w:r>
      <w:r>
        <w:t xml:space="preserve">, České Budějovice; </w:t>
      </w:r>
      <w:r w:rsidRPr="00321AB1">
        <w:t>Ústav fyziky materiálů AV ČR, v. v. i.</w:t>
      </w:r>
      <w:r>
        <w:t xml:space="preserve">, Brno; </w:t>
      </w:r>
      <w:r w:rsidRPr="00321AB1">
        <w:t>Ústav př</w:t>
      </w:r>
      <w:r>
        <w:t>ístrojové techniky AV ČR, v. v. </w:t>
      </w:r>
      <w:r w:rsidRPr="00321AB1">
        <w:t>i.</w:t>
      </w:r>
      <w:r>
        <w:t>, Brno.</w:t>
      </w:r>
    </w:p>
    <w:p w14:paraId="2840A4EF" w14:textId="77777777" w:rsidR="00FC307E" w:rsidRDefault="00035AAB" w:rsidP="00FC307E">
      <w:r w:rsidRPr="00321AB1">
        <w:t>Námitky proti kontrolnímu protokolu, které podal</w:t>
      </w:r>
      <w:r w:rsidR="008F74E8">
        <w:t>y</w:t>
      </w:r>
      <w:r w:rsidRPr="00321AB1">
        <w:t xml:space="preserve"> Úřad vlády České republiky, Ministerstvo školství, mládeže a tělovýchovy a Ministerstvo zemědělství, byly vypořádány vedoucími skupin kontrolujících rozhodnutími o námitkách. Odvolání proti rozhodnutí o námitkách podal Úřad vlády České republiky a bylo v</w:t>
      </w:r>
      <w:r w:rsidR="00400DB1">
        <w:t>ypořádáno usnesením Kolegia NKÚ.</w:t>
      </w:r>
    </w:p>
    <w:p w14:paraId="530430A7" w14:textId="77777777" w:rsidR="00400DB1" w:rsidRPr="00D8596E" w:rsidRDefault="00400DB1" w:rsidP="00FC307E">
      <w:pPr>
        <w:rPr>
          <w:color w:val="auto"/>
        </w:rPr>
      </w:pPr>
    </w:p>
    <w:p w14:paraId="62CB499D" w14:textId="60C4E275" w:rsidR="00FC307E" w:rsidRPr="00D8596E" w:rsidRDefault="00035AAB" w:rsidP="008F74E8">
      <w:pPr>
        <w:spacing w:after="120"/>
        <w:rPr>
          <w:color w:val="auto"/>
        </w:rPr>
      </w:pPr>
      <w:r w:rsidRPr="00D8596E">
        <w:rPr>
          <w:b/>
          <w:i/>
          <w:color w:val="auto"/>
          <w:spacing w:val="40"/>
        </w:rPr>
        <w:t>Kolegium</w:t>
      </w:r>
      <w:r w:rsidRPr="00D8596E">
        <w:rPr>
          <w:b/>
          <w:i/>
          <w:color w:val="auto"/>
        </w:rPr>
        <w:t xml:space="preserve">   </w:t>
      </w:r>
      <w:r w:rsidRPr="00D8596E">
        <w:rPr>
          <w:b/>
          <w:i/>
          <w:color w:val="auto"/>
          <w:spacing w:val="40"/>
        </w:rPr>
        <w:t>NKÚ</w:t>
      </w:r>
      <w:r w:rsidRPr="00D8596E">
        <w:rPr>
          <w:b/>
          <w:i/>
          <w:color w:val="auto"/>
        </w:rPr>
        <w:t xml:space="preserve">   </w:t>
      </w:r>
      <w:r w:rsidRPr="00D8596E">
        <w:rPr>
          <w:color w:val="auto"/>
        </w:rPr>
        <w:t xml:space="preserve">na svém </w:t>
      </w:r>
      <w:r w:rsidR="00CA11D5">
        <w:rPr>
          <w:color w:val="auto"/>
        </w:rPr>
        <w:t>IX</w:t>
      </w:r>
      <w:r w:rsidRPr="00D8596E">
        <w:rPr>
          <w:color w:val="auto"/>
        </w:rPr>
        <w:t xml:space="preserve">. jednání, které se konalo dne </w:t>
      </w:r>
      <w:r w:rsidR="00CA11D5">
        <w:rPr>
          <w:color w:val="auto"/>
        </w:rPr>
        <w:t>16. července</w:t>
      </w:r>
      <w:r w:rsidRPr="00D8596E">
        <w:rPr>
          <w:color w:val="auto"/>
        </w:rPr>
        <w:t xml:space="preserve"> 2018,</w:t>
      </w:r>
    </w:p>
    <w:p w14:paraId="2BD3E8CC" w14:textId="77777777" w:rsidR="00FC307E" w:rsidRPr="00D8596E" w:rsidRDefault="00035AAB" w:rsidP="008F74E8">
      <w:pPr>
        <w:spacing w:after="120"/>
        <w:rPr>
          <w:color w:val="auto"/>
        </w:rPr>
      </w:pPr>
      <w:r w:rsidRPr="00D8596E">
        <w:rPr>
          <w:b/>
          <w:i/>
          <w:color w:val="auto"/>
          <w:spacing w:val="40"/>
        </w:rPr>
        <w:t>schválilo</w:t>
      </w:r>
      <w:r w:rsidRPr="00D8596E">
        <w:rPr>
          <w:b/>
          <w:i/>
          <w:color w:val="auto"/>
        </w:rPr>
        <w:t xml:space="preserve">   </w:t>
      </w:r>
      <w:r w:rsidRPr="00D8596E">
        <w:rPr>
          <w:color w:val="auto"/>
        </w:rPr>
        <w:t xml:space="preserve">usnesením č. </w:t>
      </w:r>
      <w:r w:rsidR="00CA11D5">
        <w:rPr>
          <w:color w:val="auto"/>
        </w:rPr>
        <w:t>8</w:t>
      </w:r>
      <w:r w:rsidRPr="00D8596E">
        <w:rPr>
          <w:color w:val="auto"/>
        </w:rPr>
        <w:t>/</w:t>
      </w:r>
      <w:r w:rsidR="00CA11D5">
        <w:rPr>
          <w:color w:val="auto"/>
        </w:rPr>
        <w:t>IX</w:t>
      </w:r>
      <w:r w:rsidRPr="00D8596E">
        <w:rPr>
          <w:color w:val="auto"/>
        </w:rPr>
        <w:t>/2018</w:t>
      </w:r>
    </w:p>
    <w:p w14:paraId="7B96AF00" w14:textId="77777777" w:rsidR="00FC307E" w:rsidRPr="00D8596E" w:rsidRDefault="00035AAB" w:rsidP="008F74E8">
      <w:pPr>
        <w:spacing w:after="120"/>
        <w:rPr>
          <w:color w:val="auto"/>
        </w:rPr>
      </w:pPr>
      <w:r w:rsidRPr="003D009A">
        <w:rPr>
          <w:b/>
          <w:color w:val="auto"/>
          <w:spacing w:val="40"/>
        </w:rPr>
        <w:t>kontrolní</w:t>
      </w:r>
      <w:r w:rsidRPr="003D009A">
        <w:rPr>
          <w:b/>
          <w:color w:val="auto"/>
        </w:rPr>
        <w:t xml:space="preserve">   </w:t>
      </w:r>
      <w:r w:rsidRPr="003D009A">
        <w:rPr>
          <w:b/>
          <w:color w:val="auto"/>
          <w:spacing w:val="40"/>
        </w:rPr>
        <w:t>závěr</w:t>
      </w:r>
      <w:r w:rsidRPr="00D8596E">
        <w:rPr>
          <w:color w:val="auto"/>
        </w:rPr>
        <w:t xml:space="preserve">   v tomto znění:</w:t>
      </w:r>
    </w:p>
    <w:p w14:paraId="5EC48B7C" w14:textId="77777777" w:rsidR="00FC307E" w:rsidRDefault="00035AAB">
      <w:pPr>
        <w:spacing w:before="0"/>
        <w:jc w:val="left"/>
        <w:rPr>
          <w:b/>
          <w:noProof/>
          <w:color w:val="auto"/>
          <w:lang w:eastAsia="cs-CZ"/>
        </w:rPr>
      </w:pPr>
      <w:r>
        <w:rPr>
          <w:b/>
          <w:noProof/>
          <w:color w:val="auto"/>
          <w:lang w:eastAsia="cs-CZ"/>
        </w:rPr>
        <w:br w:type="page"/>
      </w:r>
    </w:p>
    <w:p w14:paraId="3527F0E2" w14:textId="77777777" w:rsidR="00FC307E" w:rsidRPr="00C3396A" w:rsidRDefault="00035AAB" w:rsidP="00FC307E">
      <w:pPr>
        <w:spacing w:before="0"/>
        <w:jc w:val="center"/>
        <w:rPr>
          <w:b/>
          <w:noProof/>
          <w:color w:val="000000" w:themeColor="text1"/>
          <w:sz w:val="28"/>
          <w:lang w:eastAsia="cs-CZ"/>
        </w:rPr>
      </w:pPr>
      <w:r w:rsidRPr="00756E1A">
        <w:rPr>
          <w:b/>
          <w:noProof/>
          <w:color w:val="auto"/>
          <w:sz w:val="28"/>
          <w:lang w:eastAsia="cs-CZ"/>
        </w:rPr>
        <w:lastRenderedPageBreak/>
        <w:t>Klíčová fakta</w:t>
      </w:r>
      <w:r w:rsidRPr="00C3396A">
        <w:rPr>
          <w:b/>
          <w:noProof/>
          <w:color w:val="000000" w:themeColor="text1"/>
          <w:sz w:val="28"/>
          <w:lang w:eastAsia="cs-CZ"/>
        </w:rPr>
        <w:t xml:space="preserve"> </w:t>
      </w:r>
    </w:p>
    <w:p w14:paraId="5850E9F6" w14:textId="77777777" w:rsidR="00FC307E" w:rsidRDefault="00FC307E" w:rsidP="00FC307E">
      <w:pPr>
        <w:outlineLvl w:val="0"/>
        <w:rPr>
          <w:b/>
        </w:rPr>
      </w:pPr>
    </w:p>
    <w:p w14:paraId="332C76BB" w14:textId="77777777" w:rsidR="00FC307E" w:rsidRDefault="007B0695" w:rsidP="00FC307E">
      <w:pPr>
        <w:outlineLvl w:val="0"/>
        <w:rPr>
          <w:b/>
        </w:rPr>
      </w:pPr>
      <w:r>
        <w:rPr>
          <w:noProof/>
          <w:lang w:eastAsia="cs-CZ"/>
        </w:rPr>
        <w:drawing>
          <wp:inline distT="0" distB="0" distL="0" distR="0" wp14:anchorId="76D08088" wp14:editId="37DFE595">
            <wp:extent cx="5759450" cy="189409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ma 1 var A2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" t="6885" b="9690"/>
                    <a:stretch/>
                  </pic:blipFill>
                  <pic:spPr bwMode="auto">
                    <a:xfrm>
                      <a:off x="0" y="0"/>
                      <a:ext cx="5759450" cy="1894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3C125" w14:textId="77777777" w:rsidR="00FC307E" w:rsidRDefault="00FC307E" w:rsidP="00FC307E">
      <w:pPr>
        <w:outlineLvl w:val="0"/>
        <w:rPr>
          <w:b/>
        </w:rPr>
      </w:pPr>
    </w:p>
    <w:p w14:paraId="15A580C9" w14:textId="77777777" w:rsidR="00FC307E" w:rsidRDefault="00FC307E" w:rsidP="00FC307E">
      <w:pPr>
        <w:outlineLvl w:val="0"/>
        <w:rPr>
          <w:b/>
        </w:rPr>
      </w:pPr>
    </w:p>
    <w:p w14:paraId="094A586B" w14:textId="77777777" w:rsidR="00FC307E" w:rsidRDefault="00035AAB" w:rsidP="0074083A">
      <w:pPr>
        <w:spacing w:before="0"/>
        <w:outlineLvl w:val="0"/>
        <w:rPr>
          <w:b/>
        </w:rPr>
      </w:pPr>
      <w:r>
        <w:rPr>
          <w:b/>
        </w:rPr>
        <w:t>Porovnání České republiky s evropským průměrem (EU = 100 %)</w:t>
      </w:r>
    </w:p>
    <w:p w14:paraId="042EB999" w14:textId="77057A5F" w:rsidR="0074083A" w:rsidRDefault="00C3396A" w:rsidP="0074083A">
      <w:pPr>
        <w:spacing w:before="0"/>
        <w:outlineLvl w:val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377487E" wp14:editId="3224C891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5427615" cy="1800000"/>
            <wp:effectExtent l="0" t="0" r="1905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ma 3 var B1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5965"/>
                    <a:stretch/>
                  </pic:blipFill>
                  <pic:spPr bwMode="auto">
                    <a:xfrm>
                      <a:off x="0" y="0"/>
                      <a:ext cx="5427615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2C2F4" w14:textId="77777777" w:rsidR="00FC307E" w:rsidRPr="00C3396A" w:rsidRDefault="001C5D69" w:rsidP="00FC307E">
      <w:pPr>
        <w:outlineLvl w:val="0"/>
        <w:rPr>
          <w:b/>
          <w:sz w:val="20"/>
        </w:rPr>
      </w:pPr>
      <w:r w:rsidRPr="00C3396A">
        <w:rPr>
          <w:b/>
          <w:sz w:val="20"/>
        </w:rPr>
        <w:t>Zdroj:</w:t>
      </w:r>
      <w:r w:rsidRPr="00C3396A">
        <w:rPr>
          <w:sz w:val="20"/>
        </w:rPr>
        <w:t xml:space="preserve"> </w:t>
      </w:r>
      <w:proofErr w:type="spellStart"/>
      <w:r w:rsidRPr="00473766">
        <w:rPr>
          <w:i/>
          <w:sz w:val="20"/>
        </w:rPr>
        <w:t>European</w:t>
      </w:r>
      <w:proofErr w:type="spellEnd"/>
      <w:r w:rsidRPr="00473766">
        <w:rPr>
          <w:i/>
          <w:sz w:val="20"/>
        </w:rPr>
        <w:t xml:space="preserve"> </w:t>
      </w:r>
      <w:proofErr w:type="spellStart"/>
      <w:r w:rsidRPr="00473766">
        <w:rPr>
          <w:i/>
          <w:sz w:val="20"/>
        </w:rPr>
        <w:t>Innovation</w:t>
      </w:r>
      <w:proofErr w:type="spellEnd"/>
      <w:r w:rsidRPr="00473766">
        <w:rPr>
          <w:i/>
          <w:sz w:val="20"/>
        </w:rPr>
        <w:t xml:space="preserve"> </w:t>
      </w:r>
      <w:proofErr w:type="spellStart"/>
      <w:r w:rsidRPr="00473766">
        <w:rPr>
          <w:i/>
          <w:sz w:val="20"/>
        </w:rPr>
        <w:t>Scoreboard</w:t>
      </w:r>
      <w:proofErr w:type="spellEnd"/>
      <w:r w:rsidRPr="00473766">
        <w:rPr>
          <w:i/>
          <w:sz w:val="20"/>
        </w:rPr>
        <w:t xml:space="preserve"> 2017</w:t>
      </w:r>
      <w:r>
        <w:rPr>
          <w:sz w:val="20"/>
        </w:rPr>
        <w:t>.</w:t>
      </w:r>
    </w:p>
    <w:p w14:paraId="0C4DD01A" w14:textId="77777777" w:rsidR="00FC307E" w:rsidRDefault="00FC307E" w:rsidP="00FC307E">
      <w:pPr>
        <w:outlineLvl w:val="0"/>
        <w:rPr>
          <w:b/>
        </w:rPr>
      </w:pPr>
    </w:p>
    <w:p w14:paraId="20353789" w14:textId="77777777" w:rsidR="00C3396A" w:rsidRDefault="00C3396A" w:rsidP="00FC307E">
      <w:pPr>
        <w:outlineLvl w:val="0"/>
        <w:rPr>
          <w:b/>
        </w:rPr>
      </w:pPr>
    </w:p>
    <w:p w14:paraId="34A03E30" w14:textId="5730108C" w:rsidR="00FC307E" w:rsidRDefault="00035AAB" w:rsidP="00FC307E">
      <w:pPr>
        <w:outlineLvl w:val="0"/>
        <w:rPr>
          <w:b/>
        </w:rPr>
      </w:pPr>
      <w:r>
        <w:rPr>
          <w:b/>
        </w:rPr>
        <w:t>Vyhodnocení hlavního národního koncepčního dokumentu za roky 2013</w:t>
      </w:r>
      <w:r w:rsidR="006F7B96">
        <w:rPr>
          <w:b/>
        </w:rPr>
        <w:t>–</w:t>
      </w:r>
      <w:r>
        <w:rPr>
          <w:b/>
        </w:rPr>
        <w:t xml:space="preserve">2015 </w:t>
      </w:r>
    </w:p>
    <w:p w14:paraId="027E92DB" w14:textId="77777777" w:rsidR="00FC307E" w:rsidRDefault="00035AAB" w:rsidP="00C3396A">
      <w:pPr>
        <w:jc w:val="center"/>
        <w:outlineLvl w:val="0"/>
        <w:rPr>
          <w:b/>
        </w:rPr>
      </w:pPr>
      <w:r w:rsidRPr="0030526A">
        <w:rPr>
          <w:b/>
          <w:noProof/>
          <w:lang w:eastAsia="cs-CZ"/>
        </w:rPr>
        <w:drawing>
          <wp:inline distT="0" distB="0" distL="0" distR="0" wp14:anchorId="482F1E65" wp14:editId="52ADD99D">
            <wp:extent cx="5351002" cy="1104596"/>
            <wp:effectExtent l="0" t="0" r="254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81140" name="Schema 5 var A1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2" t="-9533" r="-1616" b="-10528"/>
                    <a:stretch/>
                  </pic:blipFill>
                  <pic:spPr bwMode="auto">
                    <a:xfrm>
                      <a:off x="0" y="0"/>
                      <a:ext cx="5355568" cy="1105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47FC0" w14:textId="77777777" w:rsidR="00FC307E" w:rsidRDefault="00FC307E" w:rsidP="00FC307E">
      <w:pPr>
        <w:outlineLvl w:val="0"/>
        <w:rPr>
          <w:b/>
        </w:rPr>
      </w:pPr>
    </w:p>
    <w:p w14:paraId="1AED3540" w14:textId="1695876C" w:rsidR="00FC307E" w:rsidRDefault="00035AAB">
      <w:pPr>
        <w:spacing w:before="0"/>
        <w:jc w:val="left"/>
        <w:rPr>
          <w:b/>
        </w:rPr>
      </w:pPr>
      <w:r>
        <w:rPr>
          <w:b/>
        </w:rPr>
        <w:br w:type="page"/>
      </w:r>
    </w:p>
    <w:p w14:paraId="19209DB6" w14:textId="77777777" w:rsidR="00FC307E" w:rsidRPr="00D56AD2" w:rsidRDefault="00C3396A" w:rsidP="00C3396A">
      <w:pPr>
        <w:spacing w:after="120"/>
        <w:ind w:left="357"/>
        <w:jc w:val="center"/>
        <w:outlineLvl w:val="0"/>
        <w:rPr>
          <w:b/>
        </w:rPr>
      </w:pPr>
      <w:r>
        <w:rPr>
          <w:b/>
        </w:rPr>
        <w:lastRenderedPageBreak/>
        <w:t xml:space="preserve">I. </w:t>
      </w:r>
      <w:r w:rsidR="00035AAB" w:rsidRPr="00E00E80">
        <w:rPr>
          <w:b/>
        </w:rPr>
        <w:t>Shrnutí a vyhodnocení</w:t>
      </w:r>
    </w:p>
    <w:p w14:paraId="134F1135" w14:textId="77777777" w:rsidR="00FC307E" w:rsidRDefault="00035AAB" w:rsidP="00FC307E">
      <w:pPr>
        <w:spacing w:before="0"/>
        <w:rPr>
          <w:sz w:val="20"/>
          <w:szCs w:val="20"/>
        </w:rPr>
      </w:pPr>
      <w:r>
        <w:t>NKÚ prověřil nastavení a realizaci systému podpory výzkumu, vývoje a inovací (dále také „</w:t>
      </w:r>
      <w:proofErr w:type="spellStart"/>
      <w:r>
        <w:t>VaVaI</w:t>
      </w:r>
      <w:proofErr w:type="spellEnd"/>
      <w:r>
        <w:t>“), a to zejména z hlediska jeho účelnosti ve vztahu k plnění národních cílů a efektivnosti měřené poskytovanou veřejnou podporou a dosahovanou inovační výkonností ČR v mezinárodním srovnání. Kontrolován byl rovněž způsob vyhodnocování přínosů vyn</w:t>
      </w:r>
      <w:r w:rsidR="00400DB1">
        <w:t xml:space="preserve">akládaných peněžních prostředků </w:t>
      </w:r>
      <w:r w:rsidR="00400DB1" w:rsidRPr="004673BF">
        <w:t xml:space="preserve">poskytovateli a </w:t>
      </w:r>
      <w:r w:rsidR="00FC307E" w:rsidRPr="00FC307E">
        <w:t>Rad</w:t>
      </w:r>
      <w:r w:rsidR="007C4A3B">
        <w:t>ou</w:t>
      </w:r>
      <w:r w:rsidR="00FC307E" w:rsidRPr="00FC307E">
        <w:t xml:space="preserve"> pro výzkum, vývoj a inovace (dále také „RVVI“)</w:t>
      </w:r>
      <w:r w:rsidR="00400DB1">
        <w:t>.</w:t>
      </w:r>
    </w:p>
    <w:p w14:paraId="5B53D9AC" w14:textId="77777777" w:rsidR="00FC307E" w:rsidRDefault="00FC307E" w:rsidP="00FC307E">
      <w:pPr>
        <w:spacing w:before="0"/>
        <w:rPr>
          <w:sz w:val="20"/>
          <w:szCs w:val="20"/>
        </w:rPr>
      </w:pPr>
    </w:p>
    <w:p w14:paraId="3AD276E6" w14:textId="77777777" w:rsidR="00FC307E" w:rsidRDefault="00035AAB" w:rsidP="00FC307E">
      <w:pPr>
        <w:spacing w:before="0" w:after="120"/>
        <w:jc w:val="left"/>
        <w:rPr>
          <w:b/>
        </w:rPr>
      </w:pPr>
      <w:r>
        <w:rPr>
          <w:b/>
        </w:rPr>
        <w:t>NKÚ na základě provedené kontroly konstatuje:</w:t>
      </w:r>
    </w:p>
    <w:p w14:paraId="3728201C" w14:textId="77777777" w:rsidR="006531EF" w:rsidRDefault="006531EF" w:rsidP="006531EF">
      <w:pPr>
        <w:spacing w:before="0" w:after="120"/>
        <w:jc w:val="left"/>
        <w:rPr>
          <w:b/>
        </w:rPr>
      </w:pPr>
      <w:r>
        <w:rPr>
          <w:b/>
        </w:rPr>
        <w:t>Účelová podpora</w:t>
      </w:r>
    </w:p>
    <w:p w14:paraId="1964A1C0" w14:textId="77777777" w:rsidR="006531EF" w:rsidRPr="006B7F6E" w:rsidRDefault="006531EF" w:rsidP="006531EF">
      <w:pPr>
        <w:spacing w:before="0" w:after="120"/>
      </w:pPr>
      <w:r w:rsidRPr="006B7F6E">
        <w:t xml:space="preserve">V nastavení, řízení a vyhodnocení programů </w:t>
      </w:r>
      <w:r w:rsidR="001E6D5D" w:rsidRPr="006B7F6E">
        <w:t>účelové podpory</w:t>
      </w:r>
      <w:r w:rsidRPr="006B7F6E">
        <w:t xml:space="preserve"> výzkumu, vývoje a inovací zjistila kontrola </w:t>
      </w:r>
      <w:r w:rsidR="00400DB1" w:rsidRPr="006B7F6E">
        <w:t>významné nedostatky</w:t>
      </w:r>
      <w:r w:rsidRPr="006B7F6E">
        <w:t xml:space="preserve">. Tyto programy jsou klíčové pro to, aby byla podpora efektivní a směřovala především do oblastí, které je třeba nejvíce posílit. </w:t>
      </w:r>
      <w:r w:rsidR="00E372D0" w:rsidRPr="006B7F6E">
        <w:t>Programy</w:t>
      </w:r>
      <w:r w:rsidR="006D7D04" w:rsidRPr="006B7F6E">
        <w:t xml:space="preserve"> sice</w:t>
      </w:r>
      <w:r w:rsidR="00E372D0" w:rsidRPr="006B7F6E">
        <w:t xml:space="preserve"> </w:t>
      </w:r>
      <w:r w:rsidRPr="006B7F6E">
        <w:t xml:space="preserve">navazovaly na strategické národní dokumenty, </w:t>
      </w:r>
      <w:r w:rsidR="00E372D0" w:rsidRPr="006B7F6E">
        <w:t xml:space="preserve">ale </w:t>
      </w:r>
      <w:r w:rsidRPr="006B7F6E">
        <w:t xml:space="preserve">jejich </w:t>
      </w:r>
      <w:r w:rsidR="006D7D04" w:rsidRPr="006B7F6E">
        <w:t>zaměření</w:t>
      </w:r>
      <w:r w:rsidRPr="006B7F6E">
        <w:t xml:space="preserve"> byl</w:t>
      </w:r>
      <w:r w:rsidR="006D7D04" w:rsidRPr="006B7F6E">
        <w:t>o</w:t>
      </w:r>
      <w:r w:rsidRPr="006B7F6E">
        <w:t xml:space="preserve"> obecné. Chyběly zde konkrétní dílčí cíle a měřitelné ukazatele</w:t>
      </w:r>
      <w:r w:rsidR="00E372D0" w:rsidRPr="006B7F6E">
        <w:t xml:space="preserve"> pro jejich vyhodnocení.</w:t>
      </w:r>
    </w:p>
    <w:p w14:paraId="449DF27B" w14:textId="77777777" w:rsidR="006531EF" w:rsidRPr="006B7F6E" w:rsidRDefault="00E372D0" w:rsidP="006531EF">
      <w:pPr>
        <w:spacing w:before="0" w:after="120"/>
      </w:pPr>
      <w:r w:rsidRPr="006B7F6E">
        <w:t>N</w:t>
      </w:r>
      <w:r w:rsidR="006531EF" w:rsidRPr="006B7F6E">
        <w:t xml:space="preserve">astavení programů nepředcházely analýzy skutečného stavu dané oblasti. Nebylo tak zřejmé, odkud a kam má program danou oblast posunout. </w:t>
      </w:r>
    </w:p>
    <w:p w14:paraId="7A6C2735" w14:textId="7B8B3F04" w:rsidR="006531EF" w:rsidRPr="006B7F6E" w:rsidRDefault="006531EF" w:rsidP="006531EF">
      <w:pPr>
        <w:spacing w:before="0" w:after="120"/>
      </w:pPr>
      <w:r w:rsidRPr="006B7F6E">
        <w:t>Ukazatele programů nenavazovaly přímo na stanovené cíle. Dosažen</w:t>
      </w:r>
      <w:r w:rsidR="00820369">
        <w:t>í</w:t>
      </w:r>
      <w:r w:rsidRPr="006B7F6E">
        <w:t xml:space="preserve"> takových ukazatelů nevypovídal</w:t>
      </w:r>
      <w:r w:rsidR="00820369">
        <w:t>o</w:t>
      </w:r>
      <w:r w:rsidRPr="006B7F6E">
        <w:t xml:space="preserve"> o tom, jak jsou ve skutečnosti cíle programů naplňovány. Bylo proto velmi obtížné monitorovat a řídit průběh programů</w:t>
      </w:r>
      <w:r w:rsidR="001E6D5D" w:rsidRPr="006B7F6E">
        <w:t xml:space="preserve"> účelové podpory</w:t>
      </w:r>
      <w:r w:rsidRPr="006B7F6E">
        <w:t>.</w:t>
      </w:r>
    </w:p>
    <w:p w14:paraId="222903E2" w14:textId="43CEFD54" w:rsidR="006531EF" w:rsidRPr="006B7F6E" w:rsidRDefault="006531EF" w:rsidP="006531EF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6B7F6E">
        <w:t xml:space="preserve">Nastavení programů neumožňovalo </w:t>
      </w:r>
      <w:r w:rsidR="00820369">
        <w:t xml:space="preserve">kvalitativně </w:t>
      </w:r>
      <w:r w:rsidRPr="006B7F6E">
        <w:t>vyhodnotit jejich přínosy a dopady. Vyhodnocení programů</w:t>
      </w:r>
      <w:r w:rsidR="00400DB1" w:rsidRPr="006B7F6E">
        <w:t xml:space="preserve"> poskytovateli a RVVI</w:t>
      </w:r>
      <w:r w:rsidRPr="006B7F6E">
        <w:t xml:space="preserve"> tak bylo pouze formální, založené především na kvantitativních </w:t>
      </w:r>
      <w:r w:rsidR="00820369">
        <w:t>datech</w:t>
      </w:r>
      <w:r w:rsidRPr="006B7F6E">
        <w:t xml:space="preserve"> z informačního systému </w:t>
      </w:r>
      <w:proofErr w:type="spellStart"/>
      <w:r w:rsidRPr="006B7F6E">
        <w:t>VaVaI</w:t>
      </w:r>
      <w:proofErr w:type="spellEnd"/>
      <w:r w:rsidRPr="006B7F6E">
        <w:t xml:space="preserve">. </w:t>
      </w:r>
      <w:r w:rsidRPr="006B7F6E">
        <w:rPr>
          <w:rFonts w:eastAsia="Calibri"/>
          <w:color w:val="auto"/>
          <w:szCs w:val="22"/>
          <w:lang w:eastAsia="cs-CZ"/>
        </w:rPr>
        <w:t>Účelová podpora také dostatečně necílila na oblasti, které vláda stanovila jako prioritní.</w:t>
      </w:r>
    </w:p>
    <w:p w14:paraId="1A86B0AC" w14:textId="77777777" w:rsidR="006531EF" w:rsidRDefault="006531EF" w:rsidP="006531EF">
      <w:pPr>
        <w:spacing w:before="360" w:after="120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>Institucionální podpora</w:t>
      </w:r>
    </w:p>
    <w:p w14:paraId="3C347979" w14:textId="77777777" w:rsidR="006531EF" w:rsidRPr="006B7F6E" w:rsidRDefault="006531EF" w:rsidP="006531EF">
      <w:pPr>
        <w:spacing w:before="0" w:after="120"/>
      </w:pPr>
      <w:r w:rsidRPr="006B7F6E">
        <w:t xml:space="preserve">Institucionální podpora </w:t>
      </w:r>
      <w:r w:rsidR="00820369">
        <w:t xml:space="preserve">zaměřená </w:t>
      </w:r>
      <w:r w:rsidRPr="006B7F6E">
        <w:t xml:space="preserve">na dlouhodobý koncepční rozvoj byla rozdělována mezi stále vyšší počet výzkumných organizací bez ohledu na jejich budoucí směřování a koncepce rozvoje. Při jejím poskytování nebyly zohledňovány priority v oblasti </w:t>
      </w:r>
      <w:proofErr w:type="spellStart"/>
      <w:r w:rsidRPr="006B7F6E">
        <w:t>VaVaI</w:t>
      </w:r>
      <w:proofErr w:type="spellEnd"/>
      <w:r w:rsidRPr="006B7F6E">
        <w:t>. Projevilo se tak, že stát nemá stanovené potřeby, které by institucionální podporou naplňoval</w:t>
      </w:r>
      <w:r w:rsidR="00820369">
        <w:t>y</w:t>
      </w:r>
      <w:r w:rsidRPr="006B7F6E">
        <w:t xml:space="preserve">. </w:t>
      </w:r>
    </w:p>
    <w:p w14:paraId="4424D945" w14:textId="77777777" w:rsidR="006531EF" w:rsidRPr="006B7F6E" w:rsidRDefault="006531EF" w:rsidP="006531EF">
      <w:pPr>
        <w:spacing w:before="0" w:after="120"/>
      </w:pPr>
      <w:r w:rsidRPr="006B7F6E">
        <w:t xml:space="preserve">Institucionální podpora byla poskytována na základě hodnocení výzkumných organizací. Výzkumné organizace hodnotila </w:t>
      </w:r>
      <w:r w:rsidR="00FC307E" w:rsidRPr="006B7F6E">
        <w:t>RVVI</w:t>
      </w:r>
      <w:r w:rsidRPr="006B7F6E">
        <w:t xml:space="preserve"> podle kvantitativních výsledků z informačního systému </w:t>
      </w:r>
      <w:proofErr w:type="spellStart"/>
      <w:r w:rsidRPr="006B7F6E">
        <w:t>VaVaI</w:t>
      </w:r>
      <w:proofErr w:type="spellEnd"/>
      <w:r w:rsidRPr="006B7F6E">
        <w:t>. Nehodnotila ale výzkumnou organizaci v kontextu jejího poslání, způsobu řízení a</w:t>
      </w:r>
      <w:r w:rsidR="003C520E">
        <w:t> </w:t>
      </w:r>
      <w:r w:rsidRPr="006B7F6E">
        <w:t xml:space="preserve">zejména dostatečně nezohledňovala kvalitu její výzkumné činnosti. Hodnocení výzkumných organizací ze strany RVVI se každoročně zpožďovalo a kontrola </w:t>
      </w:r>
      <w:r w:rsidR="00400DB1" w:rsidRPr="006B7F6E">
        <w:t xml:space="preserve">NKÚ </w:t>
      </w:r>
      <w:r w:rsidRPr="006B7F6E">
        <w:t xml:space="preserve">v něm zjistila i řadu systémových nedostatků. </w:t>
      </w:r>
    </w:p>
    <w:p w14:paraId="54AFFC63" w14:textId="77777777" w:rsidR="006531EF" w:rsidRPr="006B7F6E" w:rsidRDefault="006531EF" w:rsidP="006531EF">
      <w:pPr>
        <w:spacing w:before="0" w:after="120"/>
      </w:pPr>
      <w:r w:rsidRPr="006B7F6E">
        <w:t>Vlastní hodnocení, které by kladlo větší důraz na specifická poslání výzkumných organizací a</w:t>
      </w:r>
      <w:r w:rsidR="003C520E">
        <w:t> </w:t>
      </w:r>
      <w:r w:rsidRPr="006B7F6E">
        <w:t xml:space="preserve">kvalitu výzkumné činnosti, využila při institucionální podpoře z poskytovatelů pouze AV ČR. MŠMT jako poskytovatel ani nestanovilo podmínky institucionální podpory, které by zaručovaly její využití na dlouhodobý koncepční rozvoj </w:t>
      </w:r>
      <w:r w:rsidR="00AB2C62" w:rsidRPr="006B7F6E">
        <w:t xml:space="preserve">příjemců v oblasti </w:t>
      </w:r>
      <w:r w:rsidRPr="006B7F6E">
        <w:t>výzkumné činnosti.</w:t>
      </w:r>
    </w:p>
    <w:p w14:paraId="7E725760" w14:textId="77777777" w:rsidR="006531EF" w:rsidRPr="006D137A" w:rsidRDefault="006531EF" w:rsidP="006531EF">
      <w:pPr>
        <w:keepNext/>
        <w:spacing w:before="360" w:after="120"/>
        <w:rPr>
          <w:b/>
        </w:rPr>
      </w:pPr>
      <w:r>
        <w:rPr>
          <w:b/>
        </w:rPr>
        <w:lastRenderedPageBreak/>
        <w:t xml:space="preserve">Systém podpory </w:t>
      </w:r>
    </w:p>
    <w:p w14:paraId="038EEFEB" w14:textId="77777777" w:rsidR="006531EF" w:rsidRPr="006B7F6E" w:rsidRDefault="006531EF" w:rsidP="006531EF">
      <w:pPr>
        <w:spacing w:before="0" w:after="120"/>
      </w:pPr>
      <w:r w:rsidRPr="006B7F6E">
        <w:t xml:space="preserve">Systém podpory </w:t>
      </w:r>
      <w:proofErr w:type="spellStart"/>
      <w:r w:rsidRPr="006B7F6E">
        <w:t>VaVaI</w:t>
      </w:r>
      <w:proofErr w:type="spellEnd"/>
      <w:r w:rsidRPr="006B7F6E">
        <w:t xml:space="preserve"> byl roztříštěný, neměl jasně vymezené kompetence a odpovědnost jednotlivých orgánů. Tyto nejasnosti se projevovaly i </w:t>
      </w:r>
      <w:r w:rsidR="00AB2C62" w:rsidRPr="006B7F6E">
        <w:t xml:space="preserve">na spolupráci </w:t>
      </w:r>
      <w:r w:rsidRPr="006B7F6E">
        <w:t>při tvorbě národních strategických dokumentů. K roztříštěnosti přispívalo také množství poskytovatelů podpory a</w:t>
      </w:r>
      <w:r w:rsidR="003C520E">
        <w:t> </w:t>
      </w:r>
      <w:r w:rsidRPr="006B7F6E">
        <w:t xml:space="preserve">počet programů. </w:t>
      </w:r>
    </w:p>
    <w:p w14:paraId="1D96CF88" w14:textId="6FFEDE0C" w:rsidR="006531EF" w:rsidRPr="006B7F6E" w:rsidRDefault="006531EF" w:rsidP="006531EF">
      <w:pPr>
        <w:spacing w:before="0" w:after="120"/>
      </w:pPr>
      <w:r w:rsidRPr="006B7F6E">
        <w:t xml:space="preserve">Celý systém byl značně závislý na kvantitativních výsledcích z informačního systému </w:t>
      </w:r>
      <w:proofErr w:type="spellStart"/>
      <w:r w:rsidRPr="006B7F6E">
        <w:t>VaVaI</w:t>
      </w:r>
      <w:proofErr w:type="spellEnd"/>
      <w:r w:rsidRPr="006B7F6E">
        <w:t>, které nebyly přímo naváz</w:t>
      </w:r>
      <w:r w:rsidR="00590AD9">
        <w:t>ány</w:t>
      </w:r>
      <w:r w:rsidRPr="006B7F6E">
        <w:t xml:space="preserve"> na kvalitu výzkumné či</w:t>
      </w:r>
      <w:r w:rsidR="009640CF" w:rsidRPr="006B7F6E">
        <w:t>nnosti.</w:t>
      </w:r>
    </w:p>
    <w:p w14:paraId="3DA460FC" w14:textId="77777777" w:rsidR="006531EF" w:rsidRPr="006D137A" w:rsidRDefault="006531EF" w:rsidP="006531EF">
      <w:pPr>
        <w:spacing w:before="360" w:after="120"/>
        <w:rPr>
          <w:b/>
        </w:rPr>
      </w:pPr>
      <w:r>
        <w:rPr>
          <w:b/>
        </w:rPr>
        <w:t xml:space="preserve">Úroveň výzkumu, vývoje a inovací </w:t>
      </w:r>
    </w:p>
    <w:p w14:paraId="66296F72" w14:textId="3D8DF5BE" w:rsidR="006531EF" w:rsidRPr="006B7F6E" w:rsidRDefault="006531EF" w:rsidP="006531EF">
      <w:pPr>
        <w:spacing w:before="0" w:after="120"/>
      </w:pPr>
      <w:r w:rsidRPr="006B7F6E">
        <w:t>Kvůli výše uvedeným nedostatkům dlouhodobě</w:t>
      </w:r>
      <w:r w:rsidRPr="006B7F6E" w:rsidDel="00360452">
        <w:t xml:space="preserve"> </w:t>
      </w:r>
      <w:r w:rsidRPr="006B7F6E">
        <w:t xml:space="preserve">přetrvávají </w:t>
      </w:r>
      <w:r w:rsidR="0062402A">
        <w:t>slabiny</w:t>
      </w:r>
      <w:r w:rsidRPr="006B7F6E">
        <w:t xml:space="preserve"> </w:t>
      </w:r>
      <w:proofErr w:type="spellStart"/>
      <w:r w:rsidRPr="006B7F6E">
        <w:t>VaVaI</w:t>
      </w:r>
      <w:proofErr w:type="spellEnd"/>
      <w:r w:rsidRPr="006B7F6E">
        <w:t xml:space="preserve">, jako např. významné zaostávání v tvorbě patentů a nízká míra spolupráce soukromého a veřejného sektoru. Systém podpory </w:t>
      </w:r>
      <w:proofErr w:type="spellStart"/>
      <w:r w:rsidRPr="006B7F6E">
        <w:t>VaVa</w:t>
      </w:r>
      <w:r w:rsidR="004C24CB" w:rsidRPr="006B7F6E">
        <w:t>I</w:t>
      </w:r>
      <w:proofErr w:type="spellEnd"/>
      <w:r w:rsidR="004C24CB" w:rsidRPr="006B7F6E">
        <w:t xml:space="preserve"> </w:t>
      </w:r>
      <w:r w:rsidRPr="006B7F6E">
        <w:t>byl</w:t>
      </w:r>
      <w:r w:rsidR="004C24CB" w:rsidRPr="006B7F6E">
        <w:t xml:space="preserve"> z větší části ne</w:t>
      </w:r>
      <w:r w:rsidRPr="006B7F6E">
        <w:t xml:space="preserve">účelný, protože se nepodařila splnit většina cílů stanovených hlavním národním koncepčním dokumentem. </w:t>
      </w:r>
    </w:p>
    <w:p w14:paraId="5EA568B1" w14:textId="77777777" w:rsidR="00FC307E" w:rsidRPr="006B7F6E" w:rsidRDefault="006531EF" w:rsidP="006531EF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6B7F6E">
        <w:t>I v mezinárodním srovnání je systém podpory méně efektivní. Přestože výdaje na výzkum a</w:t>
      </w:r>
      <w:r w:rsidR="003C520E">
        <w:t> </w:t>
      </w:r>
      <w:r w:rsidRPr="006B7F6E">
        <w:t>vývoj ve veřejném sektoru výrazně rostou, inovační výkonnost ČR za evropským průměrem zaostává stále více. ČR rovněž nesměřuje k tomu, aby splnila národní cíl veřejných výdajů na vědu, výzkum, vývoj a inovace ve výši 1 % HDP v roce 2020.</w:t>
      </w:r>
    </w:p>
    <w:p w14:paraId="0AAE26F2" w14:textId="77777777" w:rsidR="00FC307E" w:rsidRDefault="00035AAB" w:rsidP="00FC307E">
      <w:pPr>
        <w:spacing w:before="0" w:after="120"/>
      </w:pPr>
      <w:r>
        <w:t>Celkové vyhodnocení vyplývá z těchto zjištění</w:t>
      </w:r>
      <w:r w:rsidRPr="00726333">
        <w:t>:</w:t>
      </w:r>
    </w:p>
    <w:p w14:paraId="5618C0D1" w14:textId="77777777" w:rsidR="00FC307E" w:rsidRPr="006B7F6E" w:rsidRDefault="00035AAB" w:rsidP="00FC307E">
      <w:pPr>
        <w:spacing w:before="0" w:after="120"/>
        <w:jc w:val="left"/>
        <w:rPr>
          <w:b/>
        </w:rPr>
      </w:pPr>
      <w:r w:rsidRPr="006B7F6E">
        <w:rPr>
          <w:b/>
        </w:rPr>
        <w:t>Účelová podpora</w:t>
      </w:r>
    </w:p>
    <w:p w14:paraId="0EAA06E4" w14:textId="10B751E5" w:rsidR="003F254D" w:rsidRDefault="00A31A7A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</w:pPr>
      <w:r w:rsidRPr="004673BF">
        <w:rPr>
          <w:rFonts w:eastAsia="Calibri"/>
          <w:color w:val="auto"/>
          <w:szCs w:val="22"/>
          <w:lang w:eastAsia="cs-CZ"/>
        </w:rPr>
        <w:t xml:space="preserve">Nedostatky byly v nastavení, řízení i vyhodnocení programů účelové podpory. </w:t>
      </w:r>
      <w:r w:rsidRPr="00A31A7A">
        <w:rPr>
          <w:rFonts w:eastAsia="Calibri"/>
          <w:color w:val="auto"/>
          <w:szCs w:val="22"/>
          <w:lang w:eastAsia="cs-CZ"/>
        </w:rPr>
        <w:t>A to přestože p</w:t>
      </w:r>
      <w:r w:rsidR="00400DB1" w:rsidRPr="00A31A7A">
        <w:rPr>
          <w:rFonts w:eastAsia="Calibri"/>
          <w:color w:val="auto"/>
          <w:szCs w:val="22"/>
          <w:lang w:eastAsia="cs-CZ"/>
        </w:rPr>
        <w:t>říprava a vyhodnocení programů probíhaly v souladu s nastavenými pravidly, stanoviska k nim vydávala RVVI a následně je schvalovala vláda</w:t>
      </w:r>
      <w:r w:rsidRPr="00A31A7A">
        <w:rPr>
          <w:rFonts w:eastAsia="Calibri"/>
          <w:color w:val="auto"/>
          <w:szCs w:val="22"/>
          <w:lang w:eastAsia="cs-CZ"/>
        </w:rPr>
        <w:t>.</w:t>
      </w:r>
      <w:r w:rsidR="003F254D" w:rsidRPr="00A31A7A">
        <w:rPr>
          <w:rFonts w:eastAsia="Calibri"/>
          <w:color w:val="auto"/>
          <w:szCs w:val="22"/>
          <w:lang w:eastAsia="cs-CZ"/>
        </w:rPr>
        <w:t xml:space="preserve"> Programy neobsahovaly např. analýzu výchozího stavu a vyjádření stavu, kterého by mělo</w:t>
      </w:r>
      <w:r w:rsidR="003F254D" w:rsidRPr="00150180">
        <w:rPr>
          <w:rFonts w:eastAsia="Calibri"/>
          <w:color w:val="auto"/>
          <w:szCs w:val="22"/>
          <w:lang w:eastAsia="cs-CZ"/>
        </w:rPr>
        <w:t xml:space="preserve"> být programem dosaženo, ani ukazatele s přímou vazbou na cíle programu. Následné vyhodnocení tak bylo spíše formální, bez vyhodnocení skutečných přínosů a dopadů programů. V roce 2015 přitom byla schválena nová pravidla, která podobné nedostatky řeší. Podle těchto pravidel však budou připravovány a hodnoceny až programy schvalované vládou od roku 2020.</w:t>
      </w:r>
    </w:p>
    <w:p w14:paraId="2BD72110" w14:textId="77777777" w:rsidR="00FC307E" w:rsidRPr="00150180" w:rsidRDefault="003F254D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  <w:rPr>
          <w:b/>
        </w:rPr>
      </w:pPr>
      <w:r>
        <w:rPr>
          <w:rFonts w:eastAsia="Calibri"/>
          <w:color w:val="auto"/>
          <w:szCs w:val="22"/>
          <w:lang w:eastAsia="cs-CZ"/>
        </w:rPr>
        <w:t>Potenciální příležitosti v oblasti rozvoje ČR nevyužila.</w:t>
      </w:r>
      <w:r w:rsidRPr="00892C88">
        <w:t xml:space="preserve"> K</w:t>
      </w:r>
      <w:r>
        <w:t> </w:t>
      </w:r>
      <w:r w:rsidRPr="00892C88">
        <w:t>efekt</w:t>
      </w:r>
      <w:r>
        <w:t xml:space="preserve">ivnějšímu využívání veřejných prostředků byl zpracován strategický dokument stanovující prioritní oblasti pro </w:t>
      </w:r>
      <w:r w:rsidRPr="005A4E2D">
        <w:rPr>
          <w:rFonts w:eastAsia="Calibri"/>
          <w:color w:val="auto"/>
          <w:szCs w:val="22"/>
          <w:lang w:eastAsia="cs-CZ"/>
        </w:rPr>
        <w:t>orientování části podpory</w:t>
      </w:r>
      <w:r>
        <w:rPr>
          <w:rFonts w:eastAsia="Calibri"/>
          <w:color w:val="auto"/>
          <w:szCs w:val="22"/>
          <w:lang w:eastAsia="cs-CZ"/>
        </w:rPr>
        <w:t xml:space="preserve">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>. Tento dokument předpokládá strategickou orientaci i v oblasti</w:t>
      </w:r>
      <w:r w:rsidRPr="005A4E2D">
        <w:rPr>
          <w:rFonts w:eastAsia="Calibri"/>
          <w:color w:val="auto"/>
          <w:szCs w:val="22"/>
          <w:lang w:eastAsia="cs-CZ"/>
        </w:rPr>
        <w:t xml:space="preserve"> základního výzkumu a institucionální podpory</w:t>
      </w:r>
      <w:r>
        <w:rPr>
          <w:rFonts w:eastAsia="Calibri"/>
          <w:color w:val="auto"/>
          <w:szCs w:val="22"/>
          <w:lang w:eastAsia="cs-CZ"/>
        </w:rPr>
        <w:t>.</w:t>
      </w:r>
      <w:r w:rsidRPr="005A4E2D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P</w:t>
      </w:r>
      <w:r w:rsidRPr="005A4E2D">
        <w:rPr>
          <w:rFonts w:eastAsia="Calibri"/>
          <w:color w:val="auto"/>
          <w:szCs w:val="22"/>
          <w:lang w:eastAsia="cs-CZ"/>
        </w:rPr>
        <w:t xml:space="preserve">odpora do těchto oblastí </w:t>
      </w:r>
      <w:r>
        <w:rPr>
          <w:rFonts w:eastAsia="Calibri"/>
          <w:color w:val="auto"/>
          <w:szCs w:val="22"/>
          <w:lang w:eastAsia="cs-CZ"/>
        </w:rPr>
        <w:t xml:space="preserve">však </w:t>
      </w:r>
      <w:r w:rsidRPr="005A4E2D">
        <w:rPr>
          <w:rFonts w:eastAsia="Calibri"/>
          <w:color w:val="auto"/>
          <w:szCs w:val="22"/>
          <w:lang w:eastAsia="cs-CZ"/>
        </w:rPr>
        <w:t>strategicky orientována nebyla.</w:t>
      </w:r>
    </w:p>
    <w:p w14:paraId="771C1A2E" w14:textId="77777777" w:rsidR="00FC307E" w:rsidRDefault="00035AAB" w:rsidP="00FC307E">
      <w:pPr>
        <w:pStyle w:val="Odstavecseseznamem"/>
        <w:numPr>
          <w:ilvl w:val="0"/>
          <w:numId w:val="4"/>
        </w:numPr>
        <w:spacing w:before="0" w:after="120"/>
        <w:contextualSpacing w:val="0"/>
      </w:pPr>
      <w:r>
        <w:t>Z</w:t>
      </w:r>
      <w:r w:rsidRPr="001424FD">
        <w:t xml:space="preserve">působ výběru projektů </w:t>
      </w:r>
      <w:r>
        <w:t>u</w:t>
      </w:r>
      <w:r w:rsidRPr="001424FD">
        <w:t xml:space="preserve"> </w:t>
      </w:r>
      <w:proofErr w:type="gramStart"/>
      <w:r w:rsidRPr="001424FD">
        <w:t>MZe</w:t>
      </w:r>
      <w:proofErr w:type="gramEnd"/>
      <w:r w:rsidRPr="001424FD">
        <w:t xml:space="preserve"> vytváří riziko netransparentnosti. MZe významn</w:t>
      </w:r>
      <w:r>
        <w:t>ě</w:t>
      </w:r>
      <w:r w:rsidRPr="001424FD">
        <w:t xml:space="preserve"> měnilo pořadí návrhů projektů, které vzešlo z odborných jednání a oponentních posudků externích hodnotitelů.</w:t>
      </w:r>
      <w:r w:rsidR="00400DB1">
        <w:t xml:space="preserve"> </w:t>
      </w:r>
      <w:r w:rsidRPr="001424FD">
        <w:t xml:space="preserve">Uvedený postup není v rozporu se zákonem o podpoře </w:t>
      </w:r>
      <w:proofErr w:type="spellStart"/>
      <w:r w:rsidRPr="001424FD">
        <w:t>VaVaI</w:t>
      </w:r>
      <w:proofErr w:type="spellEnd"/>
      <w:r>
        <w:rPr>
          <w:rStyle w:val="Znakapoznpodarou"/>
          <w:rFonts w:eastAsia="Calibri"/>
          <w:color w:val="auto"/>
          <w:szCs w:val="22"/>
          <w:lang w:eastAsia="cs-CZ"/>
        </w:rPr>
        <w:footnoteReference w:id="1"/>
      </w:r>
      <w:r w:rsidRPr="001424FD">
        <w:t>, který dáv</w:t>
      </w:r>
      <w:r>
        <w:t>á poskytovatelům možnost měnit</w:t>
      </w:r>
      <w:r w:rsidRPr="001424FD">
        <w:t xml:space="preserve"> </w:t>
      </w:r>
      <w:r>
        <w:t>pořadí návrhů projektů stanovené</w:t>
      </w:r>
      <w:r w:rsidRPr="001424FD">
        <w:t xml:space="preserve"> odborným poradním orgánem, pokud toto rozhodnutí písemně odůvodní a své rozhodnutí zveřejní</w:t>
      </w:r>
      <w:r w:rsidR="00A14B80">
        <w:t xml:space="preserve">, </w:t>
      </w:r>
      <w:r w:rsidR="00A14B80" w:rsidRPr="004673BF">
        <w:t>což</w:t>
      </w:r>
      <w:r w:rsidRPr="004673BF">
        <w:t xml:space="preserve"> </w:t>
      </w:r>
      <w:r w:rsidR="00A14B80" w:rsidRPr="004673BF">
        <w:t xml:space="preserve">MZe splnilo. </w:t>
      </w:r>
      <w:r w:rsidRPr="004673BF">
        <w:t>Tento</w:t>
      </w:r>
      <w:r w:rsidRPr="001424FD">
        <w:t xml:space="preserve"> postup však umožňuje nerespektovat výsledky odborných jednání a oponentních posudků externích hodnotitelů, včetně zahraničních, které by měly být </w:t>
      </w:r>
      <w:r w:rsidRPr="001424FD">
        <w:lastRenderedPageBreak/>
        <w:t>zárukou odborného, nezávislého a transparentního posouzení.</w:t>
      </w:r>
      <w:r w:rsidRPr="004F4725">
        <w:t xml:space="preserve"> </w:t>
      </w:r>
      <w:r>
        <w:t>NKÚ již na tento problém upozorňoval v předešlých kontrolních akcích.</w:t>
      </w:r>
    </w:p>
    <w:p w14:paraId="0C255FD5" w14:textId="77777777" w:rsidR="00FC307E" w:rsidRDefault="00035AAB" w:rsidP="00FC307E">
      <w:pPr>
        <w:spacing w:before="0" w:after="240"/>
        <w:ind w:left="357"/>
      </w:pPr>
      <w:r>
        <w:t>H</w:t>
      </w:r>
      <w:r w:rsidRPr="001424FD">
        <w:t>odnocení návrhů projektů v rámci účelové podpory u MŠMT a MPO závažné nedostatky</w:t>
      </w:r>
      <w:r>
        <w:t xml:space="preserve"> nevykazovalo</w:t>
      </w:r>
      <w:r w:rsidRPr="001424FD">
        <w:t>.</w:t>
      </w:r>
    </w:p>
    <w:p w14:paraId="10DA3171" w14:textId="77777777" w:rsidR="00FC307E" w:rsidRPr="00FE5BFE" w:rsidRDefault="00035AAB" w:rsidP="00FC307E">
      <w:pPr>
        <w:spacing w:before="0" w:after="120"/>
        <w:rPr>
          <w:rFonts w:eastAsia="Calibri"/>
          <w:b/>
          <w:color w:val="auto"/>
          <w:szCs w:val="22"/>
          <w:lang w:eastAsia="cs-CZ"/>
        </w:rPr>
      </w:pPr>
      <w:r w:rsidRPr="00FE5BFE">
        <w:rPr>
          <w:rFonts w:eastAsia="Calibri"/>
          <w:b/>
          <w:color w:val="auto"/>
          <w:szCs w:val="22"/>
          <w:lang w:eastAsia="cs-CZ"/>
        </w:rPr>
        <w:t>Institucionální podpora</w:t>
      </w:r>
    </w:p>
    <w:p w14:paraId="1DA78555" w14:textId="77777777" w:rsidR="003F254D" w:rsidRPr="001424FD" w:rsidRDefault="003F254D" w:rsidP="003F254D">
      <w:pPr>
        <w:pStyle w:val="Odstavecseseznamem"/>
        <w:numPr>
          <w:ilvl w:val="0"/>
          <w:numId w:val="4"/>
        </w:numPr>
        <w:spacing w:before="0" w:after="120"/>
        <w:contextualSpacing w:val="0"/>
      </w:pPr>
      <w:r w:rsidRPr="001424FD">
        <w:t>Institucionální podpora byla poskytována na základě hodnocení výzkumných organizací (dále také „VO“) realizovaného RVVI</w:t>
      </w:r>
      <w:r>
        <w:t>.</w:t>
      </w:r>
      <w:r w:rsidRPr="001424FD">
        <w:t xml:space="preserve"> </w:t>
      </w:r>
      <w:r>
        <w:t>Toto hodnocení v</w:t>
      </w:r>
      <w:r w:rsidRPr="001424FD">
        <w:t>ykazovalo velké množství systémových nedostatků, např:</w:t>
      </w:r>
    </w:p>
    <w:p w14:paraId="3EB2DA15" w14:textId="77777777" w:rsidR="003F254D" w:rsidRPr="00B26FCB" w:rsidRDefault="003F254D" w:rsidP="003F254D">
      <w:pPr>
        <w:pStyle w:val="Odstavecseseznamem"/>
        <w:numPr>
          <w:ilvl w:val="1"/>
          <w:numId w:val="8"/>
        </w:numPr>
        <w:spacing w:before="0"/>
        <w:rPr>
          <w:b/>
        </w:rPr>
      </w:pPr>
      <w:r w:rsidRPr="00B26FCB">
        <w:rPr>
          <w:rFonts w:eastAsia="Calibri"/>
          <w:color w:val="auto"/>
          <w:szCs w:val="22"/>
          <w:lang w:eastAsia="cs-CZ"/>
        </w:rPr>
        <w:t>bylo omezeno na posouzení dosaže</w:t>
      </w:r>
      <w:r>
        <w:rPr>
          <w:rFonts w:eastAsia="Calibri"/>
          <w:color w:val="auto"/>
          <w:szCs w:val="22"/>
          <w:lang w:eastAsia="cs-CZ"/>
        </w:rPr>
        <w:t>ných kvantitativních výsledků a </w:t>
      </w:r>
      <w:r w:rsidRPr="00B26FCB">
        <w:rPr>
          <w:rFonts w:eastAsia="Calibri"/>
          <w:color w:val="auto"/>
          <w:szCs w:val="22"/>
          <w:lang w:eastAsia="cs-CZ"/>
        </w:rPr>
        <w:t>nezohlednilo celkovou kvalitativní úroveň VO</w:t>
      </w:r>
      <w:r>
        <w:rPr>
          <w:rFonts w:eastAsia="Calibri"/>
          <w:color w:val="auto"/>
          <w:szCs w:val="22"/>
          <w:lang w:eastAsia="cs-CZ"/>
        </w:rPr>
        <w:t>;</w:t>
      </w:r>
      <w:r w:rsidRPr="00B26FCB">
        <w:rPr>
          <w:rFonts w:eastAsia="Calibri"/>
          <w:color w:val="auto"/>
          <w:szCs w:val="22"/>
          <w:lang w:eastAsia="cs-CZ"/>
        </w:rPr>
        <w:t xml:space="preserve"> </w:t>
      </w:r>
    </w:p>
    <w:p w14:paraId="6E65270D" w14:textId="17370854" w:rsidR="003F254D" w:rsidRPr="00B26FCB" w:rsidRDefault="003F254D" w:rsidP="003F254D">
      <w:pPr>
        <w:pStyle w:val="Odstavecseseznamem"/>
        <w:numPr>
          <w:ilvl w:val="1"/>
          <w:numId w:val="8"/>
        </w:numPr>
        <w:spacing w:before="0"/>
        <w:rPr>
          <w:b/>
        </w:rPr>
      </w:pPr>
      <w:r>
        <w:rPr>
          <w:rFonts w:eastAsia="Calibri"/>
          <w:color w:val="auto"/>
          <w:szCs w:val="22"/>
          <w:lang w:eastAsia="cs-CZ"/>
        </w:rPr>
        <w:t>nezohlednilo budoucí</w:t>
      </w:r>
      <w:r w:rsidRPr="00B26FCB">
        <w:rPr>
          <w:rFonts w:eastAsia="Calibri"/>
          <w:color w:val="auto"/>
          <w:szCs w:val="22"/>
          <w:lang w:eastAsia="cs-CZ"/>
        </w:rPr>
        <w:t xml:space="preserve"> směřování a koncepce rozvoje, přestože byla institucionální podpora poskytována na dlouhodobý koncepční rozvoj VO;</w:t>
      </w:r>
    </w:p>
    <w:p w14:paraId="39980C3E" w14:textId="77777777" w:rsidR="003F254D" w:rsidRPr="00C16977" w:rsidRDefault="003F254D" w:rsidP="003F254D">
      <w:pPr>
        <w:pStyle w:val="Odstavecseseznamem"/>
        <w:numPr>
          <w:ilvl w:val="1"/>
          <w:numId w:val="8"/>
        </w:numPr>
        <w:spacing w:before="0"/>
        <w:rPr>
          <w:b/>
        </w:rPr>
      </w:pPr>
      <w:r>
        <w:rPr>
          <w:rFonts w:eastAsia="Calibri"/>
          <w:color w:val="auto"/>
          <w:szCs w:val="22"/>
          <w:lang w:eastAsia="cs-CZ"/>
        </w:rPr>
        <w:t xml:space="preserve">vedlo </w:t>
      </w:r>
      <w:r w:rsidRPr="00231643">
        <w:rPr>
          <w:rFonts w:eastAsia="Calibri"/>
          <w:color w:val="auto"/>
          <w:szCs w:val="22"/>
          <w:lang w:eastAsia="cs-CZ"/>
        </w:rPr>
        <w:t xml:space="preserve">VO </w:t>
      </w:r>
      <w:r>
        <w:rPr>
          <w:rFonts w:eastAsia="Calibri"/>
          <w:color w:val="auto"/>
          <w:szCs w:val="22"/>
          <w:lang w:eastAsia="cs-CZ"/>
        </w:rPr>
        <w:t xml:space="preserve">k produkci hodnocených </w:t>
      </w:r>
      <w:r w:rsidRPr="00231643">
        <w:rPr>
          <w:rFonts w:eastAsia="Calibri"/>
          <w:color w:val="auto"/>
          <w:szCs w:val="22"/>
          <w:lang w:eastAsia="cs-CZ"/>
        </w:rPr>
        <w:t xml:space="preserve">rychle dosažitelných výsledků oproti </w:t>
      </w:r>
      <w:r>
        <w:rPr>
          <w:rFonts w:eastAsia="Calibri"/>
          <w:color w:val="auto"/>
          <w:szCs w:val="22"/>
          <w:lang w:eastAsia="cs-CZ"/>
        </w:rPr>
        <w:t>zaměření na kvalitu a dlouhodobý koncepční rozvoj;</w:t>
      </w:r>
      <w:r w:rsidRPr="00231643">
        <w:rPr>
          <w:rFonts w:eastAsia="Calibri"/>
          <w:color w:val="auto"/>
          <w:szCs w:val="22"/>
          <w:lang w:eastAsia="cs-CZ"/>
        </w:rPr>
        <w:t xml:space="preserve"> </w:t>
      </w:r>
    </w:p>
    <w:p w14:paraId="191A7D5E" w14:textId="77777777" w:rsidR="003F254D" w:rsidRPr="00C16977" w:rsidRDefault="003F254D" w:rsidP="003F254D">
      <w:pPr>
        <w:pStyle w:val="Odstavecseseznamem"/>
        <w:numPr>
          <w:ilvl w:val="1"/>
          <w:numId w:val="8"/>
        </w:numPr>
        <w:spacing w:before="0"/>
        <w:rPr>
          <w:b/>
        </w:rPr>
      </w:pPr>
      <w:r>
        <w:rPr>
          <w:rFonts w:eastAsia="Calibri"/>
          <w:color w:val="auto"/>
          <w:szCs w:val="22"/>
          <w:lang w:eastAsia="cs-CZ"/>
        </w:rPr>
        <w:t>opomíjelo podporu případných</w:t>
      </w:r>
      <w:r w:rsidRPr="00231643">
        <w:rPr>
          <w:rFonts w:eastAsia="Calibri"/>
          <w:color w:val="auto"/>
          <w:szCs w:val="22"/>
          <w:lang w:eastAsia="cs-CZ"/>
        </w:rPr>
        <w:t xml:space="preserve"> nových n</w:t>
      </w:r>
      <w:r>
        <w:rPr>
          <w:rFonts w:eastAsia="Calibri"/>
          <w:color w:val="auto"/>
          <w:szCs w:val="22"/>
          <w:lang w:eastAsia="cs-CZ"/>
        </w:rPr>
        <w:t>ebo rozvíjejících se oborů a VO;</w:t>
      </w:r>
    </w:p>
    <w:p w14:paraId="284846A2" w14:textId="77777777" w:rsidR="003F254D" w:rsidRPr="0067589E" w:rsidRDefault="003F254D" w:rsidP="003F254D">
      <w:pPr>
        <w:pStyle w:val="Odstavecseseznamem"/>
        <w:numPr>
          <w:ilvl w:val="1"/>
          <w:numId w:val="8"/>
        </w:numPr>
        <w:spacing w:before="0"/>
        <w:rPr>
          <w:b/>
        </w:rPr>
      </w:pPr>
      <w:r>
        <w:rPr>
          <w:rFonts w:eastAsia="Calibri"/>
          <w:color w:val="auto"/>
          <w:szCs w:val="22"/>
          <w:lang w:eastAsia="cs-CZ"/>
        </w:rPr>
        <w:t>nezohledňovalo rozdíly</w:t>
      </w:r>
      <w:r w:rsidRPr="0067589E">
        <w:rPr>
          <w:rFonts w:eastAsia="Calibri"/>
          <w:color w:val="auto"/>
          <w:szCs w:val="22"/>
          <w:lang w:eastAsia="cs-CZ"/>
        </w:rPr>
        <w:t xml:space="preserve"> v poslání jednotliv</w:t>
      </w:r>
      <w:r>
        <w:rPr>
          <w:rFonts w:eastAsia="Calibri"/>
          <w:color w:val="auto"/>
          <w:szCs w:val="22"/>
          <w:lang w:eastAsia="cs-CZ"/>
        </w:rPr>
        <w:t>ých VO a jednotlivých oborů</w:t>
      </w:r>
      <w:r w:rsidRPr="0067589E">
        <w:rPr>
          <w:rFonts w:eastAsia="Calibri"/>
          <w:color w:val="auto"/>
          <w:szCs w:val="22"/>
          <w:lang w:eastAsia="cs-CZ"/>
        </w:rPr>
        <w:t>;</w:t>
      </w:r>
    </w:p>
    <w:p w14:paraId="77CA7344" w14:textId="354735BD" w:rsidR="003F254D" w:rsidRPr="00974C20" w:rsidRDefault="003F254D" w:rsidP="003F254D">
      <w:pPr>
        <w:pStyle w:val="Odstavecseseznamem"/>
        <w:numPr>
          <w:ilvl w:val="1"/>
          <w:numId w:val="8"/>
        </w:numPr>
        <w:spacing w:before="0" w:after="120"/>
        <w:ind w:left="1434" w:hanging="357"/>
        <w:contextualSpacing w:val="0"/>
        <w:rPr>
          <w:rFonts w:eastAsia="Calibri"/>
          <w:color w:val="auto"/>
          <w:szCs w:val="22"/>
          <w:lang w:eastAsia="cs-CZ"/>
        </w:rPr>
      </w:pPr>
      <w:r w:rsidRPr="00974C20">
        <w:rPr>
          <w:rFonts w:eastAsia="Calibri"/>
          <w:color w:val="auto"/>
          <w:szCs w:val="22"/>
          <w:lang w:eastAsia="cs-CZ"/>
        </w:rPr>
        <w:t xml:space="preserve">dostatečně nemotivovalo VO </w:t>
      </w:r>
      <w:r>
        <w:rPr>
          <w:rFonts w:eastAsia="Calibri"/>
          <w:color w:val="auto"/>
          <w:szCs w:val="22"/>
          <w:lang w:eastAsia="cs-CZ"/>
        </w:rPr>
        <w:t>k výsledkům</w:t>
      </w:r>
      <w:r w:rsidRPr="00974C20">
        <w:rPr>
          <w:rFonts w:eastAsia="Calibri"/>
          <w:color w:val="auto"/>
          <w:szCs w:val="22"/>
          <w:lang w:eastAsia="cs-CZ"/>
        </w:rPr>
        <w:t xml:space="preserve"> s reálně uplatnitelným potenciálem, ale </w:t>
      </w:r>
      <w:r>
        <w:rPr>
          <w:rFonts w:eastAsia="Calibri"/>
          <w:color w:val="auto"/>
          <w:szCs w:val="22"/>
          <w:lang w:eastAsia="cs-CZ"/>
        </w:rPr>
        <w:t xml:space="preserve">naopak motivovalo </w:t>
      </w:r>
      <w:r w:rsidRPr="00974C20">
        <w:rPr>
          <w:rFonts w:eastAsia="Calibri"/>
          <w:color w:val="auto"/>
          <w:szCs w:val="22"/>
          <w:lang w:eastAsia="cs-CZ"/>
        </w:rPr>
        <w:t>k</w:t>
      </w:r>
      <w:r>
        <w:rPr>
          <w:rFonts w:eastAsia="Calibri"/>
          <w:color w:val="auto"/>
          <w:szCs w:val="22"/>
          <w:lang w:eastAsia="cs-CZ"/>
        </w:rPr>
        <w:t xml:space="preserve"> nadměrné</w:t>
      </w:r>
      <w:r w:rsidR="0062402A">
        <w:rPr>
          <w:rFonts w:eastAsia="Calibri"/>
          <w:color w:val="auto"/>
          <w:szCs w:val="22"/>
          <w:lang w:eastAsia="cs-CZ"/>
        </w:rPr>
        <w:t xml:space="preserve"> </w:t>
      </w:r>
      <w:r w:rsidRPr="00974C20">
        <w:rPr>
          <w:rFonts w:eastAsia="Calibri"/>
          <w:color w:val="auto"/>
          <w:szCs w:val="22"/>
          <w:lang w:eastAsia="cs-CZ"/>
        </w:rPr>
        <w:t>tvorbě publikačních výsledků</w:t>
      </w:r>
      <w:r>
        <w:rPr>
          <w:rFonts w:eastAsia="Calibri"/>
          <w:color w:val="auto"/>
          <w:szCs w:val="22"/>
          <w:lang w:eastAsia="cs-CZ"/>
        </w:rPr>
        <w:t>.</w:t>
      </w:r>
      <w:r w:rsidRPr="00974C20">
        <w:rPr>
          <w:rFonts w:eastAsia="Calibri"/>
          <w:color w:val="auto"/>
          <w:szCs w:val="22"/>
          <w:lang w:eastAsia="cs-CZ"/>
        </w:rPr>
        <w:t xml:space="preserve"> </w:t>
      </w:r>
    </w:p>
    <w:p w14:paraId="2CB4DD4F" w14:textId="77777777" w:rsidR="003F254D" w:rsidRDefault="003F254D" w:rsidP="003F254D">
      <w:pPr>
        <w:spacing w:before="0" w:after="240"/>
        <w:ind w:left="357"/>
        <w:rPr>
          <w:rFonts w:eastAsia="Calibri"/>
          <w:color w:val="auto"/>
          <w:szCs w:val="22"/>
          <w:lang w:eastAsia="cs-CZ"/>
        </w:rPr>
      </w:pPr>
      <w:r w:rsidRPr="00974C20">
        <w:rPr>
          <w:rFonts w:eastAsia="Calibri"/>
          <w:color w:val="auto"/>
          <w:szCs w:val="22"/>
          <w:lang w:eastAsia="cs-CZ"/>
        </w:rPr>
        <w:t xml:space="preserve">Institucionální podpora na dlouhodobý koncepční rozvoj výzkumné organizace byla </w:t>
      </w:r>
      <w:r>
        <w:rPr>
          <w:rFonts w:eastAsia="Calibri"/>
          <w:color w:val="auto"/>
          <w:szCs w:val="22"/>
          <w:lang w:eastAsia="cs-CZ"/>
        </w:rPr>
        <w:t>rozdělována</w:t>
      </w:r>
      <w:r w:rsidRPr="00974C20">
        <w:rPr>
          <w:rFonts w:eastAsia="Calibri"/>
          <w:color w:val="auto"/>
          <w:szCs w:val="22"/>
          <w:lang w:eastAsia="cs-CZ"/>
        </w:rPr>
        <w:t xml:space="preserve"> mezi stále </w:t>
      </w:r>
      <w:r>
        <w:rPr>
          <w:rFonts w:eastAsia="Calibri"/>
          <w:color w:val="auto"/>
          <w:szCs w:val="22"/>
          <w:lang w:eastAsia="cs-CZ"/>
        </w:rPr>
        <w:t>vyšší</w:t>
      </w:r>
      <w:r w:rsidRPr="00974C20">
        <w:rPr>
          <w:rFonts w:eastAsia="Calibri"/>
          <w:color w:val="auto"/>
          <w:szCs w:val="22"/>
          <w:lang w:eastAsia="cs-CZ"/>
        </w:rPr>
        <w:t xml:space="preserve"> počet těchto VO. </w:t>
      </w:r>
      <w:r>
        <w:rPr>
          <w:rFonts w:eastAsia="Calibri"/>
          <w:color w:val="auto"/>
          <w:szCs w:val="22"/>
          <w:lang w:eastAsia="cs-CZ"/>
        </w:rPr>
        <w:t>Od roku</w:t>
      </w:r>
      <w:r w:rsidRPr="00974C20">
        <w:rPr>
          <w:rFonts w:eastAsia="Calibri"/>
          <w:color w:val="auto"/>
          <w:szCs w:val="22"/>
          <w:lang w:eastAsia="cs-CZ"/>
        </w:rPr>
        <w:t xml:space="preserve"> 2017 </w:t>
      </w:r>
      <w:r>
        <w:rPr>
          <w:rFonts w:eastAsia="Calibri"/>
          <w:color w:val="auto"/>
          <w:szCs w:val="22"/>
          <w:lang w:eastAsia="cs-CZ"/>
        </w:rPr>
        <w:t>je postupně zaváděn nový systém</w:t>
      </w:r>
      <w:r w:rsidRPr="00974C20">
        <w:rPr>
          <w:rFonts w:eastAsia="Calibri"/>
          <w:color w:val="auto"/>
          <w:szCs w:val="22"/>
          <w:lang w:eastAsia="cs-CZ"/>
        </w:rPr>
        <w:t xml:space="preserve"> hodnocení VO.</w:t>
      </w:r>
    </w:p>
    <w:p w14:paraId="319ADEDD" w14:textId="77777777" w:rsidR="003F254D" w:rsidRDefault="003F254D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</w:pPr>
      <w:r w:rsidRPr="002976DA">
        <w:rPr>
          <w:rFonts w:eastAsia="Calibri"/>
          <w:color w:val="auto"/>
          <w:szCs w:val="22"/>
          <w:lang w:eastAsia="cs-CZ"/>
        </w:rPr>
        <w:t>Bodové hodnocení výzkumných organizací</w:t>
      </w:r>
      <w:r>
        <w:rPr>
          <w:rFonts w:eastAsia="Calibri"/>
          <w:color w:val="auto"/>
          <w:szCs w:val="22"/>
          <w:lang w:eastAsia="cs-CZ"/>
        </w:rPr>
        <w:t xml:space="preserve"> pro poskytnutí institucionální podpory </w:t>
      </w:r>
      <w:r w:rsidRPr="002976DA">
        <w:rPr>
          <w:rFonts w:eastAsia="Calibri"/>
          <w:color w:val="auto"/>
          <w:szCs w:val="22"/>
          <w:lang w:eastAsia="cs-CZ"/>
        </w:rPr>
        <w:t xml:space="preserve">mělo každoročně značné </w:t>
      </w:r>
      <w:r>
        <w:rPr>
          <w:rFonts w:eastAsia="Calibri"/>
          <w:color w:val="auto"/>
          <w:szCs w:val="22"/>
          <w:lang w:eastAsia="cs-CZ"/>
        </w:rPr>
        <w:t>zpoždění a obsahovalo náhodné i </w:t>
      </w:r>
      <w:r w:rsidRPr="002976DA">
        <w:rPr>
          <w:rFonts w:eastAsia="Calibri"/>
          <w:color w:val="auto"/>
          <w:szCs w:val="22"/>
          <w:lang w:eastAsia="cs-CZ"/>
        </w:rPr>
        <w:t>systémové chyby ve výpočtech.</w:t>
      </w:r>
    </w:p>
    <w:p w14:paraId="1D64A2D9" w14:textId="2D2585A9" w:rsidR="003F254D" w:rsidRPr="002976DA" w:rsidRDefault="003F254D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</w:pPr>
      <w:r w:rsidRPr="00F45592">
        <w:rPr>
          <w:rFonts w:eastAsia="Calibri"/>
          <w:color w:val="auto"/>
          <w:szCs w:val="22"/>
          <w:lang w:eastAsia="cs-CZ"/>
        </w:rPr>
        <w:t xml:space="preserve">Možnosti upravit výši rozdělované institucionální podpory podle vlastního podrobnějšího hodnocení využila z poskytovatelů pouze AV ČR. </w:t>
      </w:r>
      <w:r>
        <w:rPr>
          <w:rFonts w:eastAsia="Calibri"/>
          <w:color w:val="auto"/>
          <w:szCs w:val="22"/>
          <w:lang w:eastAsia="cs-CZ"/>
        </w:rPr>
        <w:t>Její hodnocení bylo zaměřeno především na kvalitu jednotlivých VO. Všichni ostatní poskytovatelé, včetně MŠMT, rozdělovali institucionální podporu dle hodnocení VO ze strany RVVI a přebírali tak jeho</w:t>
      </w:r>
      <w:r w:rsidR="00ED0F40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nedostatky. Toto hodnocení převzaly také všechny kontrolované vysoké školy při přerozdělení podpory mezi jednotlivé fakulty.</w:t>
      </w:r>
    </w:p>
    <w:p w14:paraId="38C81B26" w14:textId="77777777" w:rsidR="003F254D" w:rsidRPr="004673BF" w:rsidRDefault="003F254D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</w:pPr>
      <w:r w:rsidRPr="003B1754">
        <w:rPr>
          <w:rFonts w:eastAsia="Calibri"/>
          <w:color w:val="auto"/>
          <w:szCs w:val="22"/>
          <w:lang w:eastAsia="cs-CZ"/>
        </w:rPr>
        <w:t>MŠMT příjemcům institucionální podpory</w:t>
      </w:r>
      <w:r>
        <w:rPr>
          <w:rFonts w:eastAsia="Calibri"/>
          <w:color w:val="auto"/>
          <w:szCs w:val="22"/>
          <w:lang w:eastAsia="cs-CZ"/>
        </w:rPr>
        <w:t xml:space="preserve"> nestanovilo podmínky, které by zaručovaly použití této podpory prokazatelně na dlouhodobý koncepční rozvoj vysokých škol.</w:t>
      </w:r>
      <w:r w:rsidRPr="003B1754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 xml:space="preserve">Pravidla pro vykazování prostředků institucionální podpory navíc umožnila příjemcům postupovat </w:t>
      </w:r>
      <w:r w:rsidRPr="004673BF">
        <w:rPr>
          <w:rFonts w:eastAsia="Calibri"/>
          <w:color w:val="auto"/>
          <w:szCs w:val="22"/>
          <w:lang w:eastAsia="cs-CZ"/>
        </w:rPr>
        <w:t>tak, že nebylo zřejmé, na co byly skutečně použity.</w:t>
      </w:r>
    </w:p>
    <w:p w14:paraId="6FC6631C" w14:textId="138578C4" w:rsidR="003F254D" w:rsidRPr="004673BF" w:rsidRDefault="003F254D" w:rsidP="00103FD3">
      <w:pPr>
        <w:pStyle w:val="Odstavecseseznamem"/>
        <w:numPr>
          <w:ilvl w:val="0"/>
          <w:numId w:val="4"/>
        </w:numPr>
        <w:spacing w:before="0" w:after="240"/>
        <w:contextualSpacing w:val="0"/>
      </w:pPr>
      <w:r w:rsidRPr="004673BF">
        <w:rPr>
          <w:rFonts w:eastAsia="Calibri"/>
          <w:color w:val="auto"/>
          <w:szCs w:val="22"/>
          <w:lang w:eastAsia="cs-CZ"/>
        </w:rPr>
        <w:t>MŠMT ani AV ČR v poskytované institucionální podpoře nezohledňovaly výši nepřímé podpory</w:t>
      </w:r>
      <w:r w:rsidR="00103FD3" w:rsidRPr="004673BF">
        <w:rPr>
          <w:rFonts w:eastAsia="Calibri"/>
          <w:color w:val="auto"/>
          <w:szCs w:val="22"/>
          <w:lang w:eastAsia="cs-CZ"/>
        </w:rPr>
        <w:t xml:space="preserve"> poskytnuté VO v přechozích letech formou úlev od daňových povinností,</w:t>
      </w:r>
      <w:r w:rsidRPr="004673BF">
        <w:rPr>
          <w:rFonts w:eastAsia="Calibri"/>
          <w:color w:val="auto"/>
          <w:szCs w:val="22"/>
          <w:lang w:eastAsia="cs-CZ"/>
        </w:rPr>
        <w:t xml:space="preserve"> přestože to poskytovatelům ukládá zákon o podpoře </w:t>
      </w:r>
      <w:proofErr w:type="spellStart"/>
      <w:r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4673BF">
        <w:rPr>
          <w:rFonts w:eastAsia="Calibri"/>
          <w:color w:val="auto"/>
          <w:szCs w:val="22"/>
          <w:lang w:eastAsia="cs-CZ"/>
        </w:rPr>
        <w:t xml:space="preserve">. </w:t>
      </w:r>
      <w:r w:rsidR="00A14B80" w:rsidRPr="004673BF">
        <w:rPr>
          <w:rFonts w:asciiTheme="minorHAnsi" w:hAnsiTheme="minorHAnsi" w:cstheme="minorHAnsi"/>
        </w:rPr>
        <w:t xml:space="preserve">Zákon o podpoře </w:t>
      </w:r>
      <w:proofErr w:type="spellStart"/>
      <w:r w:rsidR="00A14B80" w:rsidRPr="004673BF">
        <w:rPr>
          <w:rFonts w:asciiTheme="minorHAnsi" w:hAnsiTheme="minorHAnsi" w:cstheme="minorHAnsi"/>
        </w:rPr>
        <w:t>VaVaI</w:t>
      </w:r>
      <w:proofErr w:type="spellEnd"/>
      <w:r w:rsidR="00A14B80" w:rsidRPr="004673BF">
        <w:rPr>
          <w:rFonts w:asciiTheme="minorHAnsi" w:hAnsiTheme="minorHAnsi" w:cstheme="minorHAnsi"/>
        </w:rPr>
        <w:t xml:space="preserve"> však blíže nestanovuje, jakým způsobem má být výše nepřímé podpory zohledněna</w:t>
      </w:r>
      <w:r w:rsidRPr="004673BF">
        <w:rPr>
          <w:rFonts w:eastAsia="Calibri"/>
          <w:color w:val="auto"/>
          <w:szCs w:val="22"/>
          <w:lang w:eastAsia="cs-CZ"/>
        </w:rPr>
        <w:t>.</w:t>
      </w:r>
    </w:p>
    <w:p w14:paraId="28D50F00" w14:textId="77777777" w:rsidR="003F254D" w:rsidRPr="00FE5BFE" w:rsidRDefault="003F254D" w:rsidP="00ED0F40">
      <w:pPr>
        <w:keepNext/>
        <w:spacing w:before="0" w:after="120"/>
        <w:rPr>
          <w:b/>
        </w:rPr>
      </w:pPr>
      <w:r w:rsidRPr="00FE5BFE">
        <w:rPr>
          <w:b/>
        </w:rPr>
        <w:lastRenderedPageBreak/>
        <w:t xml:space="preserve">Systém podpory </w:t>
      </w:r>
    </w:p>
    <w:p w14:paraId="10AD4726" w14:textId="77777777" w:rsidR="003F254D" w:rsidRPr="009F4369" w:rsidRDefault="003F254D" w:rsidP="00ED0F40">
      <w:pPr>
        <w:pStyle w:val="Odstavecseseznamem"/>
        <w:keepNext/>
        <w:numPr>
          <w:ilvl w:val="0"/>
          <w:numId w:val="4"/>
        </w:numPr>
        <w:spacing w:before="0" w:after="120"/>
        <w:ind w:left="357" w:hanging="357"/>
        <w:contextualSpacing w:val="0"/>
      </w:pPr>
      <w:r w:rsidRPr="00ED0F40">
        <w:t xml:space="preserve">Systém podpory </w:t>
      </w:r>
      <w:proofErr w:type="spellStart"/>
      <w:r>
        <w:t>VaVaI</w:t>
      </w:r>
      <w:proofErr w:type="spellEnd"/>
      <w:r>
        <w:t xml:space="preserve"> je roztříštěný s nejasnými kompetencemi a odpovědností jednotlivých orgánů:</w:t>
      </w:r>
    </w:p>
    <w:p w14:paraId="628F2F9B" w14:textId="77777777" w:rsidR="003F254D" w:rsidRPr="001424FD" w:rsidRDefault="003F254D" w:rsidP="003F254D">
      <w:pPr>
        <w:pStyle w:val="Odstavecseseznamem"/>
        <w:numPr>
          <w:ilvl w:val="1"/>
          <w:numId w:val="6"/>
        </w:numPr>
        <w:spacing w:before="0" w:after="120"/>
        <w:contextualSpacing w:val="0"/>
        <w:rPr>
          <w:b/>
        </w:rPr>
      </w:pPr>
      <w:r w:rsidRPr="001424FD">
        <w:rPr>
          <w:rFonts w:eastAsia="Calibri"/>
          <w:color w:val="auto"/>
          <w:szCs w:val="22"/>
          <w:lang w:eastAsia="cs-CZ"/>
        </w:rPr>
        <w:t xml:space="preserve">Ačkoli je MŠMT ústředním orgánem státní správy pro výzkum a vývoj, nemá v klíčových oblastech výzkumu a vývoje odpovědnost a pravomoci. Zabezpečení klíčových úkolů je zákonem o podpoře </w:t>
      </w:r>
      <w:proofErr w:type="spellStart"/>
      <w:r w:rsidRPr="001424FD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1424FD">
        <w:rPr>
          <w:rFonts w:eastAsia="Calibri"/>
          <w:color w:val="auto"/>
          <w:szCs w:val="22"/>
          <w:lang w:eastAsia="cs-CZ"/>
        </w:rPr>
        <w:t xml:space="preserve"> uloženo </w:t>
      </w:r>
      <w:r>
        <w:t>RVVI</w:t>
      </w:r>
      <w:r w:rsidRPr="001424FD">
        <w:rPr>
          <w:rFonts w:eastAsia="Calibri"/>
          <w:color w:val="auto"/>
          <w:szCs w:val="22"/>
          <w:lang w:eastAsia="cs-CZ"/>
        </w:rPr>
        <w:t xml:space="preserve">. </w:t>
      </w:r>
      <w:r>
        <w:rPr>
          <w:rFonts w:eastAsia="Calibri"/>
          <w:color w:val="auto"/>
          <w:szCs w:val="22"/>
          <w:lang w:eastAsia="cs-CZ"/>
        </w:rPr>
        <w:t xml:space="preserve">Přitom </w:t>
      </w:r>
      <w:r w:rsidRPr="001424FD">
        <w:rPr>
          <w:rFonts w:eastAsia="Calibri"/>
          <w:color w:val="auto"/>
          <w:szCs w:val="22"/>
          <w:lang w:eastAsia="cs-CZ"/>
        </w:rPr>
        <w:t xml:space="preserve">RVVI je odborný a poradní orgán vlády bez právní subjektivity a bez přímé </w:t>
      </w:r>
      <w:proofErr w:type="spellStart"/>
      <w:r w:rsidRPr="001424FD">
        <w:rPr>
          <w:rFonts w:eastAsia="Calibri"/>
          <w:color w:val="auto"/>
          <w:szCs w:val="22"/>
          <w:lang w:eastAsia="cs-CZ"/>
        </w:rPr>
        <w:t>dovoditelné</w:t>
      </w:r>
      <w:proofErr w:type="spellEnd"/>
      <w:r w:rsidRPr="001424FD">
        <w:rPr>
          <w:rFonts w:eastAsia="Calibri"/>
          <w:color w:val="auto"/>
          <w:szCs w:val="22"/>
          <w:lang w:eastAsia="cs-CZ"/>
        </w:rPr>
        <w:t xml:space="preserve"> odpovědnosti. </w:t>
      </w:r>
      <w:r>
        <w:rPr>
          <w:rFonts w:eastAsia="Calibri"/>
          <w:color w:val="auto"/>
          <w:szCs w:val="22"/>
          <w:lang w:eastAsia="cs-CZ"/>
        </w:rPr>
        <w:t>Ú</w:t>
      </w:r>
      <w:r w:rsidRPr="001424FD">
        <w:rPr>
          <w:rFonts w:eastAsia="Calibri"/>
          <w:color w:val="auto"/>
          <w:szCs w:val="22"/>
          <w:lang w:eastAsia="cs-CZ"/>
        </w:rPr>
        <w:t>koly v oblasti výzkumu a vývoje RVVI pouze zabezpečuje, ale přímou odpovědnost za ně ze své podstaty nést nemůže. Zabezpečení klíčových úloh v oblasti výzkumu a vývoje tak v ČR není spojeno s přímou odpovědností.</w:t>
      </w:r>
    </w:p>
    <w:p w14:paraId="2A222CFE" w14:textId="64453D78" w:rsidR="003F254D" w:rsidRPr="00EC1B60" w:rsidRDefault="003F254D" w:rsidP="003F254D">
      <w:pPr>
        <w:pStyle w:val="Odstavecseseznamem"/>
        <w:numPr>
          <w:ilvl w:val="1"/>
          <w:numId w:val="6"/>
        </w:numPr>
        <w:spacing w:before="0" w:after="120"/>
        <w:contextualSpacing w:val="0"/>
        <w:rPr>
          <w:rFonts w:eastAsia="Calibri"/>
          <w:color w:val="auto"/>
          <w:szCs w:val="22"/>
          <w:lang w:eastAsia="cs-CZ"/>
        </w:rPr>
      </w:pPr>
      <w:r w:rsidRPr="00EC1B60">
        <w:rPr>
          <w:rFonts w:eastAsia="Calibri"/>
          <w:color w:val="auto"/>
          <w:szCs w:val="22"/>
          <w:lang w:eastAsia="cs-CZ"/>
        </w:rPr>
        <w:t xml:space="preserve">Zákon o podpoře </w:t>
      </w:r>
      <w:proofErr w:type="spellStart"/>
      <w:r w:rsidRPr="00EC1B60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EC1B60">
        <w:rPr>
          <w:rFonts w:eastAsia="Calibri"/>
          <w:color w:val="auto"/>
          <w:szCs w:val="22"/>
          <w:lang w:eastAsia="cs-CZ"/>
        </w:rPr>
        <w:t xml:space="preserve"> stanovuje spolupráci na přípravě </w:t>
      </w:r>
      <w:r w:rsidR="00ED0F40">
        <w:rPr>
          <w:rFonts w:eastAsia="Calibri"/>
          <w:color w:val="auto"/>
          <w:szCs w:val="22"/>
          <w:lang w:eastAsia="cs-CZ"/>
        </w:rPr>
        <w:t>n</w:t>
      </w:r>
      <w:r w:rsidRPr="00EC1B60">
        <w:rPr>
          <w:rFonts w:eastAsia="Calibri"/>
          <w:color w:val="auto"/>
          <w:szCs w:val="22"/>
          <w:lang w:eastAsia="cs-CZ"/>
        </w:rPr>
        <w:t xml:space="preserve">árodní politiky </w:t>
      </w:r>
      <w:proofErr w:type="spellStart"/>
      <w:r w:rsidRPr="00EC1B60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EC1B60">
        <w:rPr>
          <w:rFonts w:eastAsia="Calibri"/>
          <w:color w:val="auto"/>
          <w:szCs w:val="22"/>
          <w:lang w:eastAsia="cs-CZ"/>
        </w:rPr>
        <w:t xml:space="preserve"> mezi MŠMT a RVVI. Konkrétní formu této spolupráce již zákon neupravuje. Národní politika </w:t>
      </w:r>
      <w:proofErr w:type="spellStart"/>
      <w:r w:rsidRPr="00EC1B60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EC1B60">
        <w:rPr>
          <w:rFonts w:eastAsia="Calibri"/>
          <w:color w:val="auto"/>
          <w:szCs w:val="22"/>
          <w:lang w:eastAsia="cs-CZ"/>
        </w:rPr>
        <w:t xml:space="preserve"> byla </w:t>
      </w:r>
      <w:r>
        <w:rPr>
          <w:rFonts w:eastAsia="Calibri"/>
          <w:color w:val="auto"/>
          <w:szCs w:val="22"/>
          <w:lang w:eastAsia="cs-CZ"/>
        </w:rPr>
        <w:t xml:space="preserve">vládě </w:t>
      </w:r>
      <w:r w:rsidRPr="00EC1B60">
        <w:rPr>
          <w:rFonts w:eastAsia="Calibri"/>
          <w:color w:val="auto"/>
          <w:szCs w:val="22"/>
          <w:lang w:eastAsia="cs-CZ"/>
        </w:rPr>
        <w:t xml:space="preserve">předložena předsedou RVVI. </w:t>
      </w:r>
      <w:r>
        <w:rPr>
          <w:rFonts w:eastAsia="Calibri"/>
          <w:color w:val="auto"/>
          <w:szCs w:val="22"/>
          <w:lang w:eastAsia="cs-CZ"/>
        </w:rPr>
        <w:t>V</w:t>
      </w:r>
      <w:r w:rsidRPr="00EC1B60">
        <w:rPr>
          <w:rFonts w:eastAsia="Calibri"/>
          <w:color w:val="auto"/>
          <w:szCs w:val="22"/>
          <w:lang w:eastAsia="cs-CZ"/>
        </w:rPr>
        <w:t>nímání vzájemné spolupráce na přípravě tohoto dokumentu</w:t>
      </w:r>
      <w:r>
        <w:rPr>
          <w:rFonts w:eastAsia="Calibri"/>
          <w:color w:val="auto"/>
          <w:szCs w:val="22"/>
          <w:lang w:eastAsia="cs-CZ"/>
        </w:rPr>
        <w:t xml:space="preserve"> se ale významně lišilo. MŠMT v rámci kontroly i v </w:t>
      </w:r>
      <w:r w:rsidRPr="00EC1B60">
        <w:rPr>
          <w:rFonts w:eastAsia="Calibri"/>
          <w:color w:val="auto"/>
          <w:szCs w:val="22"/>
          <w:lang w:eastAsia="cs-CZ"/>
        </w:rPr>
        <w:t>meziresortním připomínkovém řízení uvedlo, že tento dokument nebyl připravován ve spolupráci s </w:t>
      </w:r>
      <w:r>
        <w:rPr>
          <w:rFonts w:eastAsia="Calibri"/>
          <w:color w:val="auto"/>
          <w:szCs w:val="22"/>
          <w:lang w:eastAsia="cs-CZ"/>
        </w:rPr>
        <w:t>ním</w:t>
      </w:r>
      <w:r w:rsidRPr="00EC1B60">
        <w:rPr>
          <w:rFonts w:eastAsia="Calibri"/>
          <w:color w:val="auto"/>
          <w:szCs w:val="22"/>
          <w:lang w:eastAsia="cs-CZ"/>
        </w:rPr>
        <w:t>.</w:t>
      </w:r>
      <w:r>
        <w:rPr>
          <w:rFonts w:eastAsia="Calibri"/>
          <w:color w:val="auto"/>
          <w:szCs w:val="22"/>
          <w:lang w:eastAsia="cs-CZ"/>
        </w:rPr>
        <w:t xml:space="preserve"> Forma spolupráce je další nejasností ve vymezení kompetencí v systému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 v ČR.</w:t>
      </w:r>
    </w:p>
    <w:p w14:paraId="7C24E463" w14:textId="77777777" w:rsidR="003F254D" w:rsidRPr="004673BF" w:rsidRDefault="003F254D" w:rsidP="003F254D">
      <w:pPr>
        <w:pStyle w:val="Odstavecseseznamem"/>
        <w:numPr>
          <w:ilvl w:val="1"/>
          <w:numId w:val="6"/>
        </w:numPr>
        <w:spacing w:before="0" w:after="120"/>
        <w:contextualSpacing w:val="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 xml:space="preserve">Odpovědnost za podporu inovací není jednoznačně stanovena. </w:t>
      </w:r>
      <w:r w:rsidRPr="00532DDE">
        <w:rPr>
          <w:rFonts w:eastAsia="Calibri"/>
          <w:color w:val="auto"/>
          <w:szCs w:val="22"/>
          <w:lang w:eastAsia="cs-CZ"/>
        </w:rPr>
        <w:t>S inovacemi úzce souvisí průmyslový výzkum, rozvoj techniky a technologií, které má na základě kompetenčního zákona</w:t>
      </w:r>
      <w:r>
        <w:rPr>
          <w:rStyle w:val="Znakapoznpodarou"/>
        </w:rPr>
        <w:footnoteReference w:id="2"/>
      </w:r>
      <w:r w:rsidRPr="00532DDE">
        <w:rPr>
          <w:rFonts w:eastAsia="Calibri"/>
          <w:color w:val="auto"/>
          <w:szCs w:val="22"/>
          <w:lang w:eastAsia="cs-CZ"/>
        </w:rPr>
        <w:t xml:space="preserve"> svěřeny do své působnosti MPO. Zároveň se touto oblastí zabývá i Technologická agentura České republik</w:t>
      </w:r>
      <w:r>
        <w:rPr>
          <w:rFonts w:eastAsia="Calibri"/>
          <w:color w:val="auto"/>
          <w:szCs w:val="22"/>
          <w:lang w:eastAsia="cs-CZ"/>
        </w:rPr>
        <w:t xml:space="preserve">y. Jejich vzájemné kompetence </w:t>
      </w:r>
      <w:r w:rsidRPr="004673BF">
        <w:rPr>
          <w:rFonts w:eastAsia="Calibri"/>
          <w:color w:val="auto"/>
          <w:szCs w:val="22"/>
          <w:lang w:eastAsia="cs-CZ"/>
        </w:rPr>
        <w:t>a postavení však nejsou zákonem vymezeny.</w:t>
      </w:r>
    </w:p>
    <w:p w14:paraId="2E5A9B2F" w14:textId="1B3758AF" w:rsidR="003F254D" w:rsidRPr="004673BF" w:rsidRDefault="003F254D" w:rsidP="003F254D">
      <w:pPr>
        <w:pStyle w:val="Odstavecseseznamem"/>
        <w:numPr>
          <w:ilvl w:val="1"/>
          <w:numId w:val="6"/>
        </w:numPr>
        <w:spacing w:before="0" w:after="240"/>
        <w:ind w:left="714" w:hanging="357"/>
        <w:contextualSpacing w:val="0"/>
      </w:pPr>
      <w:r w:rsidRPr="004673BF">
        <w:rPr>
          <w:rFonts w:eastAsia="Calibri"/>
          <w:color w:val="auto"/>
          <w:szCs w:val="22"/>
          <w:lang w:eastAsia="cs-CZ"/>
        </w:rPr>
        <w:t>K roztříštěnosti celého systému přispívá velké množství poskytovatelů podpory a</w:t>
      </w:r>
      <w:r w:rsidR="003C520E">
        <w:rPr>
          <w:rFonts w:eastAsia="Calibri"/>
          <w:color w:val="auto"/>
          <w:szCs w:val="22"/>
          <w:lang w:eastAsia="cs-CZ"/>
        </w:rPr>
        <w:t> </w:t>
      </w:r>
      <w:r w:rsidRPr="004673BF">
        <w:rPr>
          <w:rFonts w:eastAsia="Calibri"/>
          <w:color w:val="auto"/>
          <w:szCs w:val="22"/>
          <w:lang w:eastAsia="cs-CZ"/>
        </w:rPr>
        <w:t xml:space="preserve">programů. V roce 2017 podporovalo </w:t>
      </w:r>
      <w:proofErr w:type="spellStart"/>
      <w:r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4673BF">
        <w:rPr>
          <w:rFonts w:eastAsia="Calibri"/>
          <w:color w:val="auto"/>
          <w:szCs w:val="22"/>
          <w:lang w:eastAsia="cs-CZ"/>
        </w:rPr>
        <w:t xml:space="preserve"> v ČR 12 poskytovatelů formou nějakého typu programu. V roce 2017 bylo takovýchto probíhajících programů 62. </w:t>
      </w:r>
      <w:r w:rsidR="00CA5268" w:rsidRPr="004673BF">
        <w:rPr>
          <w:rFonts w:eastAsia="Calibri"/>
          <w:color w:val="auto"/>
          <w:szCs w:val="22"/>
          <w:lang w:eastAsia="cs-CZ"/>
        </w:rPr>
        <w:t>Také r</w:t>
      </w:r>
      <w:r w:rsidR="00A14B80" w:rsidRPr="004673BF">
        <w:rPr>
          <w:rFonts w:eastAsia="Calibri"/>
          <w:color w:val="auto"/>
          <w:szCs w:val="22"/>
          <w:lang w:eastAsia="cs-CZ"/>
        </w:rPr>
        <w:t>ozdílné používání pojmů vede k</w:t>
      </w:r>
      <w:r w:rsidR="00CA5268" w:rsidRPr="004673BF">
        <w:rPr>
          <w:rFonts w:eastAsia="Calibri"/>
          <w:color w:val="auto"/>
          <w:szCs w:val="22"/>
          <w:lang w:eastAsia="cs-CZ"/>
        </w:rPr>
        <w:t> </w:t>
      </w:r>
      <w:r w:rsidR="00A14B80" w:rsidRPr="004673BF">
        <w:rPr>
          <w:rFonts w:eastAsia="Calibri"/>
          <w:color w:val="auto"/>
          <w:szCs w:val="22"/>
          <w:lang w:eastAsia="cs-CZ"/>
        </w:rPr>
        <w:t>nejasnostem</w:t>
      </w:r>
      <w:r w:rsidR="00CA5268" w:rsidRPr="004673BF">
        <w:rPr>
          <w:rFonts w:eastAsia="Calibri"/>
          <w:color w:val="auto"/>
          <w:szCs w:val="22"/>
          <w:lang w:eastAsia="cs-CZ"/>
        </w:rPr>
        <w:t xml:space="preserve">, které mají vliv na celý systém </w:t>
      </w:r>
      <w:proofErr w:type="spellStart"/>
      <w:r w:rsidR="00A14B80"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4673BF">
        <w:rPr>
          <w:rFonts w:eastAsia="Calibri"/>
          <w:color w:val="auto"/>
          <w:szCs w:val="22"/>
          <w:lang w:eastAsia="cs-CZ"/>
        </w:rPr>
        <w:t>.</w:t>
      </w:r>
    </w:p>
    <w:p w14:paraId="65001F3B" w14:textId="77777777" w:rsidR="003F254D" w:rsidRPr="00BD6E03" w:rsidRDefault="003F254D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</w:pPr>
      <w:r w:rsidRPr="002976DA">
        <w:rPr>
          <w:rFonts w:eastAsia="Calibri"/>
          <w:color w:val="auto"/>
          <w:szCs w:val="22"/>
          <w:lang w:eastAsia="cs-CZ"/>
        </w:rPr>
        <w:t xml:space="preserve">Informační systém výzkumu, vývoje a inovací (dále </w:t>
      </w:r>
      <w:r w:rsidRPr="004673BF">
        <w:rPr>
          <w:rFonts w:eastAsia="Calibri"/>
          <w:color w:val="auto"/>
          <w:szCs w:val="22"/>
          <w:lang w:eastAsia="cs-CZ"/>
        </w:rPr>
        <w:t xml:space="preserve">také „IS </w:t>
      </w:r>
      <w:proofErr w:type="spellStart"/>
      <w:r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4673BF">
        <w:rPr>
          <w:rFonts w:eastAsia="Calibri"/>
          <w:color w:val="auto"/>
          <w:szCs w:val="22"/>
          <w:lang w:eastAsia="cs-CZ"/>
        </w:rPr>
        <w:t>“) nebyl minimálně po dobu čtyř měsíců plně funkční. Neplnil tak svůj zákonem</w:t>
      </w:r>
      <w:r w:rsidR="00A14B80" w:rsidRPr="004673BF">
        <w:rPr>
          <w:rFonts w:eastAsia="Calibri"/>
          <w:color w:val="auto"/>
          <w:szCs w:val="22"/>
          <w:vertAlign w:val="superscript"/>
          <w:lang w:eastAsia="cs-CZ"/>
        </w:rPr>
        <w:t>1</w:t>
      </w:r>
      <w:r w:rsidRPr="004673BF">
        <w:rPr>
          <w:rFonts w:eastAsia="Calibri"/>
          <w:color w:val="auto"/>
          <w:szCs w:val="22"/>
          <w:lang w:eastAsia="cs-CZ"/>
        </w:rPr>
        <w:t xml:space="preserve"> stanovený účel v poskytování informací o </w:t>
      </w:r>
      <w:proofErr w:type="spellStart"/>
      <w:r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4673BF">
        <w:rPr>
          <w:rFonts w:eastAsia="Calibri"/>
          <w:color w:val="auto"/>
          <w:szCs w:val="22"/>
          <w:lang w:eastAsia="cs-CZ"/>
        </w:rPr>
        <w:t>. Tento stav vznikl kvůli nepřijetí podmínek další spolupráce</w:t>
      </w:r>
      <w:r w:rsidR="00CA5268" w:rsidRPr="004673BF">
        <w:rPr>
          <w:rFonts w:eastAsia="Calibri"/>
          <w:color w:val="auto"/>
          <w:szCs w:val="22"/>
          <w:lang w:eastAsia="cs-CZ"/>
        </w:rPr>
        <w:t xml:space="preserve"> </w:t>
      </w:r>
      <w:r w:rsidR="008B36D3" w:rsidRPr="004673BF">
        <w:rPr>
          <w:rFonts w:eastAsia="Calibri"/>
          <w:color w:val="auto"/>
          <w:szCs w:val="22"/>
          <w:lang w:eastAsia="cs-CZ"/>
        </w:rPr>
        <w:t>ÚV ČR</w:t>
      </w:r>
      <w:r w:rsidRPr="002976DA">
        <w:rPr>
          <w:rFonts w:eastAsia="Calibri"/>
          <w:color w:val="auto"/>
          <w:szCs w:val="22"/>
          <w:lang w:eastAsia="cs-CZ"/>
        </w:rPr>
        <w:t xml:space="preserve"> s doposud výhradním dodavatelem systému.</w:t>
      </w:r>
    </w:p>
    <w:p w14:paraId="50BB0D5F" w14:textId="3551E3B4" w:rsidR="003F254D" w:rsidRPr="00BD6E03" w:rsidRDefault="003F254D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</w:pPr>
      <w:r w:rsidRPr="0055014C">
        <w:rPr>
          <w:rFonts w:eastAsia="Calibri"/>
          <w:color w:val="auto"/>
          <w:szCs w:val="22"/>
          <w:lang w:eastAsia="cs-CZ"/>
        </w:rPr>
        <w:t>Úroveň</w:t>
      </w:r>
      <w:r>
        <w:rPr>
          <w:rFonts w:eastAsia="Calibri"/>
          <w:color w:val="auto"/>
          <w:szCs w:val="22"/>
          <w:lang w:eastAsia="cs-CZ"/>
        </w:rPr>
        <w:t xml:space="preserve"> koncepčních dokumentů se u jednotlivých poskytovatelů i příjemců velmi lišila. </w:t>
      </w:r>
      <w:r w:rsidRPr="000C452A">
        <w:rPr>
          <w:rFonts w:eastAsia="Calibri"/>
          <w:color w:val="auto"/>
          <w:szCs w:val="22"/>
          <w:lang w:eastAsia="cs-CZ"/>
        </w:rPr>
        <w:t>MPO nemělo zpracovanou žádnou dlouh</w:t>
      </w:r>
      <w:r>
        <w:rPr>
          <w:rFonts w:eastAsia="Calibri"/>
          <w:color w:val="auto"/>
          <w:szCs w:val="22"/>
          <w:lang w:eastAsia="cs-CZ"/>
        </w:rPr>
        <w:t xml:space="preserve">odobou koncepci v oblasti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>, přestože je poskytovatelem účelové a institucionální podpory. N</w:t>
      </w:r>
      <w:r w:rsidRPr="000C452A">
        <w:rPr>
          <w:rFonts w:eastAsia="Calibri"/>
          <w:color w:val="auto"/>
          <w:szCs w:val="22"/>
          <w:lang w:eastAsia="cs-CZ"/>
        </w:rPr>
        <w:t xml:space="preserve">emělo tak dostatečně zajištěno plánovité řízení této </w:t>
      </w:r>
      <w:r>
        <w:rPr>
          <w:rFonts w:eastAsia="Calibri"/>
          <w:color w:val="auto"/>
          <w:szCs w:val="22"/>
          <w:lang w:eastAsia="cs-CZ"/>
        </w:rPr>
        <w:t>oblasti</w:t>
      </w:r>
      <w:r w:rsidRPr="000C452A">
        <w:rPr>
          <w:rFonts w:eastAsia="Calibri"/>
          <w:color w:val="auto"/>
          <w:szCs w:val="22"/>
          <w:lang w:eastAsia="cs-CZ"/>
        </w:rPr>
        <w:t>.</w:t>
      </w:r>
      <w:r w:rsidRPr="00AD431E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Ostatní kontrolovaní poskytovatelé</w:t>
      </w:r>
      <w:r w:rsidRPr="000C452A">
        <w:rPr>
          <w:rFonts w:eastAsia="Calibri"/>
          <w:color w:val="auto"/>
          <w:szCs w:val="22"/>
          <w:lang w:eastAsia="cs-CZ"/>
        </w:rPr>
        <w:t xml:space="preserve"> zpracovali vlastní koncepční dokumenty</w:t>
      </w:r>
      <w:r w:rsidRPr="002976DA">
        <w:rPr>
          <w:rFonts w:eastAsia="Calibri"/>
          <w:color w:val="auto"/>
          <w:szCs w:val="22"/>
          <w:lang w:eastAsia="cs-CZ"/>
        </w:rPr>
        <w:t xml:space="preserve">, které byly v souladu s národními koncepčními dokumenty. Příjemci institucionální podpory od AV ČR zpracovali koncepce </w:t>
      </w:r>
      <w:r>
        <w:rPr>
          <w:rFonts w:eastAsia="Calibri"/>
          <w:color w:val="auto"/>
          <w:szCs w:val="22"/>
          <w:lang w:eastAsia="cs-CZ"/>
        </w:rPr>
        <w:t>s konkrétními cíli i ukazateli,</w:t>
      </w:r>
      <w:r w:rsidRPr="002976DA">
        <w:rPr>
          <w:rFonts w:eastAsia="Calibri"/>
          <w:color w:val="auto"/>
          <w:szCs w:val="22"/>
          <w:lang w:eastAsia="cs-CZ"/>
        </w:rPr>
        <w:t xml:space="preserve"> které podléhaly pravidelné kontrole. MŠMT po příjemcích institucionální podpory žádné strategické dokumenty nevyžadovalo</w:t>
      </w:r>
      <w:r>
        <w:rPr>
          <w:rFonts w:eastAsia="Calibri"/>
          <w:color w:val="auto"/>
          <w:szCs w:val="22"/>
          <w:lang w:eastAsia="cs-CZ"/>
        </w:rPr>
        <w:t>.</w:t>
      </w:r>
      <w:r w:rsidRPr="002976DA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V</w:t>
      </w:r>
      <w:r w:rsidRPr="002976DA">
        <w:rPr>
          <w:rFonts w:eastAsia="Calibri"/>
          <w:color w:val="auto"/>
          <w:szCs w:val="22"/>
          <w:lang w:eastAsia="cs-CZ"/>
        </w:rPr>
        <w:t xml:space="preserve">ysoké školy </w:t>
      </w:r>
      <w:r>
        <w:rPr>
          <w:rFonts w:eastAsia="Calibri"/>
          <w:color w:val="auto"/>
          <w:szCs w:val="22"/>
          <w:lang w:eastAsia="cs-CZ"/>
        </w:rPr>
        <w:t>však</w:t>
      </w:r>
      <w:r w:rsidR="00ED0F40" w:rsidRPr="00ED0F40">
        <w:rPr>
          <w:rFonts w:eastAsia="Calibri"/>
          <w:color w:val="auto"/>
          <w:szCs w:val="22"/>
          <w:lang w:eastAsia="cs-CZ"/>
        </w:rPr>
        <w:t xml:space="preserve"> </w:t>
      </w:r>
      <w:r w:rsidR="00ED0F40" w:rsidRPr="002976DA">
        <w:rPr>
          <w:rFonts w:eastAsia="Calibri"/>
          <w:color w:val="auto"/>
          <w:szCs w:val="22"/>
          <w:lang w:eastAsia="cs-CZ"/>
        </w:rPr>
        <w:t>mají</w:t>
      </w:r>
      <w:r>
        <w:rPr>
          <w:rFonts w:eastAsia="Calibri"/>
          <w:color w:val="auto"/>
          <w:szCs w:val="22"/>
          <w:lang w:eastAsia="cs-CZ"/>
        </w:rPr>
        <w:t xml:space="preserve"> </w:t>
      </w:r>
      <w:r w:rsidRPr="002976DA">
        <w:rPr>
          <w:rFonts w:eastAsia="Calibri"/>
          <w:color w:val="auto"/>
          <w:szCs w:val="22"/>
          <w:lang w:eastAsia="cs-CZ"/>
        </w:rPr>
        <w:t>povinnost zpracovávat strategický záměr dle zákona o vysokých školách</w:t>
      </w:r>
      <w:r>
        <w:rPr>
          <w:rStyle w:val="Znakapoznpodarou"/>
          <w:rFonts w:eastAsia="Calibri"/>
          <w:color w:val="auto"/>
          <w:szCs w:val="22"/>
          <w:lang w:eastAsia="cs-CZ"/>
        </w:rPr>
        <w:footnoteReference w:id="3"/>
      </w:r>
      <w:r w:rsidRPr="002976DA">
        <w:rPr>
          <w:rFonts w:eastAsia="Calibri"/>
          <w:color w:val="auto"/>
          <w:szCs w:val="22"/>
          <w:lang w:eastAsia="cs-CZ"/>
        </w:rPr>
        <w:t xml:space="preserve">. Součástí strategických záměrů je i oblast </w:t>
      </w:r>
      <w:proofErr w:type="spellStart"/>
      <w:r w:rsidRPr="002976DA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976DA">
        <w:rPr>
          <w:rFonts w:eastAsia="Calibri"/>
          <w:color w:val="auto"/>
          <w:szCs w:val="22"/>
          <w:lang w:eastAsia="cs-CZ"/>
        </w:rPr>
        <w:t xml:space="preserve">, pojetí a úroveň zpracování této oblasti byla </w:t>
      </w:r>
      <w:r w:rsidR="00CA5268" w:rsidRPr="002976DA">
        <w:rPr>
          <w:rFonts w:eastAsia="Calibri"/>
          <w:color w:val="auto"/>
          <w:szCs w:val="22"/>
          <w:lang w:eastAsia="cs-CZ"/>
        </w:rPr>
        <w:t xml:space="preserve">ale </w:t>
      </w:r>
      <w:r w:rsidRPr="002976DA">
        <w:rPr>
          <w:rFonts w:eastAsia="Calibri"/>
          <w:color w:val="auto"/>
          <w:szCs w:val="22"/>
          <w:lang w:eastAsia="cs-CZ"/>
        </w:rPr>
        <w:t>velmi rozdílná.</w:t>
      </w:r>
    </w:p>
    <w:p w14:paraId="32FCE7C7" w14:textId="77777777" w:rsidR="003F254D" w:rsidRPr="00FE5BFE" w:rsidRDefault="003F254D" w:rsidP="003F254D">
      <w:pPr>
        <w:spacing w:before="0" w:after="120"/>
        <w:rPr>
          <w:b/>
        </w:rPr>
      </w:pPr>
      <w:r w:rsidRPr="00FE5BFE">
        <w:rPr>
          <w:b/>
        </w:rPr>
        <w:lastRenderedPageBreak/>
        <w:t>Úroveň výzkumu, vývoje a inovací</w:t>
      </w:r>
    </w:p>
    <w:p w14:paraId="2B549735" w14:textId="65EE1EB8" w:rsidR="003F254D" w:rsidRPr="002976DA" w:rsidRDefault="003F254D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</w:pPr>
      <w:r>
        <w:rPr>
          <w:rFonts w:eastAsia="Calibri"/>
          <w:color w:val="auto"/>
          <w:szCs w:val="22"/>
          <w:lang w:eastAsia="cs-CZ"/>
        </w:rPr>
        <w:t>I</w:t>
      </w:r>
      <w:r w:rsidRPr="00872C6E">
        <w:rPr>
          <w:rFonts w:eastAsia="Calibri"/>
          <w:color w:val="auto"/>
          <w:szCs w:val="22"/>
          <w:lang w:eastAsia="cs-CZ"/>
        </w:rPr>
        <w:t>dentifikovan</w:t>
      </w:r>
      <w:r w:rsidR="00ED0F40">
        <w:rPr>
          <w:rFonts w:eastAsia="Calibri"/>
          <w:color w:val="auto"/>
          <w:szCs w:val="22"/>
          <w:lang w:eastAsia="cs-CZ"/>
        </w:rPr>
        <w:t>é</w:t>
      </w:r>
      <w:r w:rsidRPr="00872C6E">
        <w:rPr>
          <w:rFonts w:eastAsia="Calibri"/>
          <w:color w:val="auto"/>
          <w:szCs w:val="22"/>
          <w:lang w:eastAsia="cs-CZ"/>
        </w:rPr>
        <w:t xml:space="preserve"> </w:t>
      </w:r>
      <w:r w:rsidR="00ED0F40">
        <w:rPr>
          <w:rFonts w:eastAsia="Calibri"/>
          <w:color w:val="auto"/>
          <w:szCs w:val="22"/>
          <w:lang w:eastAsia="cs-CZ"/>
        </w:rPr>
        <w:t>slabiny</w:t>
      </w:r>
      <w:r w:rsidRPr="00872C6E">
        <w:rPr>
          <w:rFonts w:eastAsia="Calibri"/>
          <w:color w:val="auto"/>
          <w:szCs w:val="22"/>
          <w:lang w:eastAsia="cs-CZ"/>
        </w:rPr>
        <w:t xml:space="preserve"> systému </w:t>
      </w:r>
      <w:proofErr w:type="spellStart"/>
      <w:r w:rsidRPr="00872C6E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872C6E">
        <w:rPr>
          <w:rFonts w:eastAsia="Calibri"/>
          <w:color w:val="auto"/>
          <w:szCs w:val="22"/>
          <w:lang w:eastAsia="cs-CZ"/>
        </w:rPr>
        <w:t xml:space="preserve"> v ČR </w:t>
      </w:r>
      <w:r>
        <w:rPr>
          <w:rFonts w:eastAsia="Calibri"/>
          <w:color w:val="auto"/>
          <w:szCs w:val="22"/>
          <w:lang w:eastAsia="cs-CZ"/>
        </w:rPr>
        <w:t xml:space="preserve">dlouhodobě </w:t>
      </w:r>
      <w:r w:rsidRPr="00872C6E">
        <w:rPr>
          <w:rFonts w:eastAsia="Calibri"/>
          <w:color w:val="auto"/>
          <w:szCs w:val="22"/>
          <w:lang w:eastAsia="cs-CZ"/>
        </w:rPr>
        <w:t xml:space="preserve">přetrvávají. </w:t>
      </w:r>
      <w:r>
        <w:rPr>
          <w:rFonts w:eastAsia="Calibri"/>
          <w:color w:val="auto"/>
          <w:szCs w:val="22"/>
          <w:lang w:eastAsia="cs-CZ"/>
        </w:rPr>
        <w:t>Ú</w:t>
      </w:r>
      <w:r w:rsidRPr="00872C6E">
        <w:rPr>
          <w:rFonts w:eastAsia="Calibri"/>
          <w:color w:val="auto"/>
          <w:szCs w:val="22"/>
          <w:lang w:eastAsia="cs-CZ"/>
        </w:rPr>
        <w:t xml:space="preserve">roveň </w:t>
      </w:r>
      <w:proofErr w:type="spellStart"/>
      <w:r w:rsidRPr="00872C6E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872C6E">
        <w:rPr>
          <w:rFonts w:eastAsia="Calibri"/>
          <w:color w:val="auto"/>
          <w:szCs w:val="22"/>
          <w:lang w:eastAsia="cs-CZ"/>
        </w:rPr>
        <w:t xml:space="preserve"> je zjišťována prostřednictvím každoročních komplexních analýz, včetně mezinárodního srovnání. Nedaří se však zavést taková opatření, která by vedla k</w:t>
      </w:r>
      <w:r w:rsidR="00ED0F40">
        <w:rPr>
          <w:rFonts w:eastAsia="Calibri"/>
          <w:color w:val="auto"/>
          <w:szCs w:val="22"/>
          <w:lang w:eastAsia="cs-CZ"/>
        </w:rPr>
        <w:t> </w:t>
      </w:r>
      <w:r w:rsidRPr="00872C6E">
        <w:rPr>
          <w:rFonts w:eastAsia="Calibri"/>
          <w:color w:val="auto"/>
          <w:szCs w:val="22"/>
          <w:lang w:eastAsia="cs-CZ"/>
        </w:rPr>
        <w:t>významnějšímu zlepšení v oblastech, ve kterých ČR dlouhodobě zaostává. Např. v tvorbě patentů</w:t>
      </w:r>
      <w:r>
        <w:rPr>
          <w:rFonts w:eastAsia="Calibri"/>
          <w:color w:val="auto"/>
          <w:szCs w:val="22"/>
          <w:lang w:eastAsia="cs-CZ"/>
        </w:rPr>
        <w:t xml:space="preserve">, kde je tento stav každoročně konstatován </w:t>
      </w:r>
      <w:r w:rsidRPr="00872C6E">
        <w:rPr>
          <w:rFonts w:eastAsia="Calibri"/>
          <w:color w:val="auto"/>
          <w:szCs w:val="22"/>
          <w:lang w:eastAsia="cs-CZ"/>
        </w:rPr>
        <w:t>již minimálně 15 let.</w:t>
      </w:r>
    </w:p>
    <w:p w14:paraId="6739A4E4" w14:textId="77777777" w:rsidR="003F254D" w:rsidRPr="002976DA" w:rsidRDefault="003F254D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</w:pPr>
      <w:r>
        <w:t>V</w:t>
      </w:r>
      <w:r w:rsidRPr="001424FD">
        <w:t xml:space="preserve"> oblasti </w:t>
      </w:r>
      <w:proofErr w:type="spellStart"/>
      <w:r w:rsidRPr="001424FD">
        <w:t>VaVaI</w:t>
      </w:r>
      <w:proofErr w:type="spellEnd"/>
      <w:r w:rsidRPr="001424FD">
        <w:t xml:space="preserve"> </w:t>
      </w:r>
      <w:r>
        <w:t>v</w:t>
      </w:r>
      <w:r w:rsidRPr="001424FD">
        <w:t xml:space="preserve"> ČR dlouhodobě přetrvává nízká míra spolupráce soukromého a veřejného sektoru. </w:t>
      </w:r>
      <w:r>
        <w:t>Z dosavadních</w:t>
      </w:r>
      <w:r w:rsidRPr="001424FD">
        <w:t xml:space="preserve"> vyhodnocení vyplývá, že </w:t>
      </w:r>
      <w:r>
        <w:t>kroky k podpoře této spolupráce nebyly provedeny nebo byly neúčinné.</w:t>
      </w:r>
      <w:r w:rsidRPr="001424FD">
        <w:t xml:space="preserve"> Ze statistik nevyplývá žádný rostoucí trend v podílu </w:t>
      </w:r>
      <w:r>
        <w:t>soukromých</w:t>
      </w:r>
      <w:r w:rsidRPr="001424FD">
        <w:t xml:space="preserve"> zdrojů </w:t>
      </w:r>
      <w:r>
        <w:t xml:space="preserve">na </w:t>
      </w:r>
      <w:r w:rsidRPr="001424FD">
        <w:t xml:space="preserve">financování </w:t>
      </w:r>
      <w:r w:rsidR="00A87409">
        <w:t>výzkumu a vývoji</w:t>
      </w:r>
      <w:r w:rsidRPr="001424FD">
        <w:t xml:space="preserve"> ve veřejném sektoru.</w:t>
      </w:r>
    </w:p>
    <w:p w14:paraId="2977BA76" w14:textId="77777777" w:rsidR="003F254D" w:rsidRPr="002976DA" w:rsidRDefault="003F254D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  <w:rPr>
          <w:b/>
        </w:rPr>
      </w:pPr>
      <w:r w:rsidRPr="00F55E89">
        <w:rPr>
          <w:rFonts w:eastAsia="Calibri"/>
          <w:color w:val="auto"/>
          <w:szCs w:val="22"/>
          <w:lang w:eastAsia="cs-CZ"/>
        </w:rPr>
        <w:t xml:space="preserve">Nastavený systém podpory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 byl z</w:t>
      </w:r>
      <w:r w:rsidRPr="00F55E89">
        <w:rPr>
          <w:rFonts w:eastAsia="Calibri"/>
          <w:color w:val="auto"/>
          <w:szCs w:val="22"/>
          <w:lang w:eastAsia="cs-CZ"/>
        </w:rPr>
        <w:t xml:space="preserve"> větší části neúčelný</w:t>
      </w:r>
      <w:r>
        <w:rPr>
          <w:rFonts w:eastAsia="Calibri"/>
          <w:color w:val="auto"/>
          <w:szCs w:val="22"/>
          <w:lang w:eastAsia="cs-CZ"/>
        </w:rPr>
        <w:t>.</w:t>
      </w:r>
      <w:r w:rsidRPr="009671A8">
        <w:rPr>
          <w:rFonts w:eastAsia="Calibri"/>
          <w:color w:val="auto"/>
          <w:szCs w:val="22"/>
          <w:lang w:eastAsia="cs-CZ"/>
        </w:rPr>
        <w:t xml:space="preserve"> Z vyhodnocení plnění </w:t>
      </w:r>
      <w:r>
        <w:rPr>
          <w:rFonts w:eastAsia="Calibri"/>
          <w:color w:val="auto"/>
          <w:szCs w:val="22"/>
          <w:lang w:eastAsia="cs-CZ"/>
        </w:rPr>
        <w:t>hlavního strategického dokumentu</w:t>
      </w:r>
      <w:r w:rsidRPr="009671A8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 xml:space="preserve">na konci roku 2015 vyplynulo, </w:t>
      </w:r>
      <w:r w:rsidRPr="009671A8">
        <w:rPr>
          <w:rFonts w:eastAsia="Calibri"/>
          <w:color w:val="auto"/>
          <w:szCs w:val="22"/>
          <w:lang w:eastAsia="cs-CZ"/>
        </w:rPr>
        <w:t xml:space="preserve">že </w:t>
      </w:r>
      <w:r>
        <w:rPr>
          <w:rFonts w:eastAsia="Calibri"/>
          <w:color w:val="auto"/>
          <w:szCs w:val="22"/>
          <w:lang w:eastAsia="cs-CZ"/>
        </w:rPr>
        <w:t>byl splněn</w:t>
      </w:r>
      <w:r w:rsidRPr="009671A8">
        <w:rPr>
          <w:rFonts w:eastAsia="Calibri"/>
          <w:color w:val="auto"/>
          <w:szCs w:val="22"/>
          <w:lang w:eastAsia="cs-CZ"/>
        </w:rPr>
        <w:t xml:space="preserve"> pouze jeden ze čtyř hlavních cílů a </w:t>
      </w:r>
      <w:r>
        <w:rPr>
          <w:rFonts w:eastAsia="Calibri"/>
          <w:color w:val="auto"/>
          <w:szCs w:val="22"/>
          <w:lang w:eastAsia="cs-CZ"/>
        </w:rPr>
        <w:t xml:space="preserve">jen </w:t>
      </w:r>
      <w:r w:rsidRPr="009671A8">
        <w:rPr>
          <w:rFonts w:eastAsia="Calibri"/>
          <w:color w:val="auto"/>
          <w:szCs w:val="22"/>
          <w:lang w:eastAsia="cs-CZ"/>
        </w:rPr>
        <w:t xml:space="preserve">osm z celkových 21 opatření. </w:t>
      </w:r>
      <w:r>
        <w:rPr>
          <w:rFonts w:eastAsia="Calibri"/>
          <w:color w:val="auto"/>
          <w:szCs w:val="22"/>
          <w:lang w:eastAsia="cs-CZ"/>
        </w:rPr>
        <w:t>V</w:t>
      </w:r>
      <w:r w:rsidRPr="009671A8">
        <w:rPr>
          <w:rFonts w:eastAsia="Calibri"/>
          <w:color w:val="auto"/>
          <w:szCs w:val="22"/>
          <w:lang w:eastAsia="cs-CZ"/>
        </w:rPr>
        <w:t xml:space="preserve">e většině problematických oblastí nedošlo </w:t>
      </w:r>
      <w:r>
        <w:rPr>
          <w:rFonts w:eastAsia="Calibri"/>
          <w:color w:val="auto"/>
          <w:szCs w:val="22"/>
          <w:lang w:eastAsia="cs-CZ"/>
        </w:rPr>
        <w:t>k</w:t>
      </w:r>
      <w:r w:rsidRPr="009671A8">
        <w:rPr>
          <w:rFonts w:eastAsia="Calibri"/>
          <w:color w:val="auto"/>
          <w:szCs w:val="22"/>
          <w:lang w:eastAsia="cs-CZ"/>
        </w:rPr>
        <w:t xml:space="preserve"> výraznějšímu pokroku.</w:t>
      </w:r>
    </w:p>
    <w:p w14:paraId="71390F77" w14:textId="77777777" w:rsidR="003F254D" w:rsidRPr="002976DA" w:rsidRDefault="003F254D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</w:pPr>
      <w:r>
        <w:t xml:space="preserve">Systém podpory </w:t>
      </w:r>
      <w:proofErr w:type="spellStart"/>
      <w:r>
        <w:t>VaVaI</w:t>
      </w:r>
      <w:proofErr w:type="spellEnd"/>
      <w:r>
        <w:t xml:space="preserve"> v ČR je v porovnání s evropským průměrem</w:t>
      </w:r>
      <w:r w:rsidRPr="008F3B34">
        <w:t xml:space="preserve"> </w:t>
      </w:r>
      <w:r>
        <w:t xml:space="preserve">méně efektivní. </w:t>
      </w:r>
      <w:r w:rsidRPr="008F3B34">
        <w:t>Evropská komise každoročně porovnává inovační výkonnost jednotlivých zemí</w:t>
      </w:r>
      <w:r>
        <w:t xml:space="preserve">. Inovační výkonnost ČR v roce 2016 dosahovala 82,7 % evropského průměru. Za posledních sedm let se inovační výkonnost ČR snižovala i přesto, že </w:t>
      </w:r>
      <w:r w:rsidRPr="008F3B34">
        <w:t>výdaje na výzkum a vývoj ve veřejném sektoru v tomto období velmi významně vzrostly</w:t>
      </w:r>
      <w:r>
        <w:t xml:space="preserve">. </w:t>
      </w:r>
    </w:p>
    <w:p w14:paraId="351336D3" w14:textId="77777777" w:rsidR="00FC307E" w:rsidRPr="006259E2" w:rsidRDefault="003F254D" w:rsidP="003F254D">
      <w:pPr>
        <w:pStyle w:val="Odstavecseseznamem"/>
        <w:numPr>
          <w:ilvl w:val="0"/>
          <w:numId w:val="4"/>
        </w:numPr>
        <w:spacing w:before="0" w:after="240"/>
        <w:ind w:left="357" w:hanging="357"/>
        <w:contextualSpacing w:val="0"/>
      </w:pPr>
      <w:r>
        <w:t>ČR nesměřuje ke splnění národního cíle, ke kterému se zavázala v rámci strategie na úrovni EU</w:t>
      </w:r>
      <w:r>
        <w:rPr>
          <w:rStyle w:val="Znakapoznpodarou"/>
        </w:rPr>
        <w:footnoteReference w:id="4"/>
      </w:r>
      <w:r>
        <w:t xml:space="preserve">. Národní cíl spočívá v </w:t>
      </w:r>
      <w:r w:rsidRPr="001424FD">
        <w:t xml:space="preserve">dosažení úrovně veřejných </w:t>
      </w:r>
      <w:r>
        <w:t>výdajů na vědu, výzkum, vývoj a </w:t>
      </w:r>
      <w:r w:rsidRPr="001424FD">
        <w:t>inovace ve výši 1 % HDP v roce 2020.</w:t>
      </w:r>
      <w:r>
        <w:t xml:space="preserve"> Tyto výdaje</w:t>
      </w:r>
      <w:r w:rsidRPr="001424FD">
        <w:t xml:space="preserve"> </w:t>
      </w:r>
      <w:r>
        <w:t xml:space="preserve">přitom </w:t>
      </w:r>
      <w:r w:rsidRPr="001424FD">
        <w:t xml:space="preserve">v roce 2016 </w:t>
      </w:r>
      <w:r>
        <w:t xml:space="preserve">byly </w:t>
      </w:r>
      <w:r w:rsidRPr="001424FD">
        <w:t xml:space="preserve">pouze </w:t>
      </w:r>
      <w:r>
        <w:t>ve výši 0,65 </w:t>
      </w:r>
      <w:r w:rsidRPr="001424FD">
        <w:t>%</w:t>
      </w:r>
      <w:r>
        <w:t> </w:t>
      </w:r>
      <w:r w:rsidRPr="001424FD">
        <w:t>HDP.</w:t>
      </w:r>
    </w:p>
    <w:p w14:paraId="3D2B1A63" w14:textId="77777777" w:rsidR="00FC307E" w:rsidRPr="009F5BD8" w:rsidRDefault="00C3396A" w:rsidP="009F5BD8">
      <w:pPr>
        <w:spacing w:before="360" w:after="120"/>
        <w:ind w:left="357"/>
        <w:jc w:val="center"/>
        <w:outlineLvl w:val="0"/>
        <w:rPr>
          <w:b/>
          <w:sz w:val="28"/>
        </w:rPr>
      </w:pPr>
      <w:r w:rsidRPr="009F5BD8">
        <w:rPr>
          <w:b/>
          <w:sz w:val="28"/>
        </w:rPr>
        <w:t xml:space="preserve">II. </w:t>
      </w:r>
      <w:r w:rsidR="00035AAB" w:rsidRPr="009F5BD8">
        <w:rPr>
          <w:b/>
          <w:sz w:val="28"/>
        </w:rPr>
        <w:t>Informace o kontrolované oblasti</w:t>
      </w:r>
    </w:p>
    <w:p w14:paraId="39A02AB9" w14:textId="72E481F3" w:rsidR="00FC307E" w:rsidRPr="00AB74B6" w:rsidRDefault="00035AAB" w:rsidP="00FC307E">
      <w:r w:rsidRPr="00AB74B6">
        <w:t xml:space="preserve">Problematika </w:t>
      </w:r>
      <w:proofErr w:type="spellStart"/>
      <w:r w:rsidRPr="00AB74B6">
        <w:t>VaVaI</w:t>
      </w:r>
      <w:proofErr w:type="spellEnd"/>
      <w:r w:rsidRPr="00AB74B6">
        <w:t xml:space="preserve"> je upravena zejména </w:t>
      </w:r>
      <w:r w:rsidR="00CA5268">
        <w:t xml:space="preserve">zákonem </w:t>
      </w:r>
      <w:r w:rsidRPr="007A2F6A">
        <w:rPr>
          <w:rFonts w:eastAsia="Calibri"/>
          <w:color w:val="auto"/>
          <w:szCs w:val="22"/>
          <w:lang w:eastAsia="cs-CZ"/>
        </w:rPr>
        <w:t>o</w:t>
      </w:r>
      <w:r w:rsidRPr="00931999">
        <w:rPr>
          <w:rFonts w:eastAsia="Calibri"/>
          <w:color w:val="auto"/>
          <w:szCs w:val="22"/>
          <w:lang w:eastAsia="cs-CZ"/>
        </w:rPr>
        <w:t xml:space="preserve"> podpoře </w:t>
      </w:r>
      <w:proofErr w:type="spellStart"/>
      <w:r w:rsidRPr="00931999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931999">
        <w:t>.</w:t>
      </w:r>
      <w:r w:rsidRPr="00AB74B6">
        <w:t xml:space="preserve"> Hlavní</w:t>
      </w:r>
      <w:r>
        <w:t>m</w:t>
      </w:r>
      <w:r w:rsidRPr="00AB74B6">
        <w:t xml:space="preserve"> strategickým dokumentem pro </w:t>
      </w:r>
      <w:proofErr w:type="spellStart"/>
      <w:r w:rsidRPr="00AB74B6">
        <w:t>VaVaI</w:t>
      </w:r>
      <w:proofErr w:type="spellEnd"/>
      <w:r w:rsidRPr="00AB74B6">
        <w:t xml:space="preserve"> v</w:t>
      </w:r>
      <w:r>
        <w:t> ČR v</w:t>
      </w:r>
      <w:r w:rsidRPr="00AB74B6">
        <w:t xml:space="preserve"> letech 2013 až 2015 byla </w:t>
      </w:r>
      <w:r w:rsidRPr="00FE5BFE">
        <w:rPr>
          <w:i/>
        </w:rPr>
        <w:t>Aktualizace národní politiky výzkumu,</w:t>
      </w:r>
      <w:r w:rsidR="00CA5268" w:rsidRPr="00FE5BFE">
        <w:rPr>
          <w:i/>
        </w:rPr>
        <w:t xml:space="preserve"> vývoje a inovací na léta 2009–2</w:t>
      </w:r>
      <w:r w:rsidRPr="00FE5BFE">
        <w:rPr>
          <w:i/>
        </w:rPr>
        <w:t>015 s výhledem do roku 2020</w:t>
      </w:r>
      <w:r w:rsidRPr="00FA50AC">
        <w:t xml:space="preserve"> (dále také „Aktualizace NP</w:t>
      </w:r>
      <w:r w:rsidR="003C520E">
        <w:t> </w:t>
      </w:r>
      <w:proofErr w:type="spellStart"/>
      <w:r>
        <w:t>VaVaI</w:t>
      </w:r>
      <w:proofErr w:type="spellEnd"/>
      <w:r>
        <w:t xml:space="preserve">“). </w:t>
      </w:r>
      <w:r w:rsidRPr="00AB74B6">
        <w:t xml:space="preserve">Od roku 2016 je v platnosti </w:t>
      </w:r>
      <w:r w:rsidRPr="00FE5BFE">
        <w:rPr>
          <w:i/>
        </w:rPr>
        <w:t>Národní politika výzkumu, vývoje a inovací České republiky na léta 2016–2020</w:t>
      </w:r>
      <w:r w:rsidRPr="00AB74B6">
        <w:t xml:space="preserve"> (dále také „NP </w:t>
      </w:r>
      <w:proofErr w:type="spellStart"/>
      <w:r w:rsidRPr="00AB74B6">
        <w:t>VaVaI</w:t>
      </w:r>
      <w:proofErr w:type="spellEnd"/>
      <w:r w:rsidRPr="00AB74B6">
        <w:t xml:space="preserve"> 2016“). Prioritní oblasti stanovují od roku 2012 </w:t>
      </w:r>
      <w:r w:rsidRPr="00FE5BFE">
        <w:rPr>
          <w:i/>
        </w:rPr>
        <w:t>Národní priority orientovaného výzkumu, experimentálního vývoje a inovací</w:t>
      </w:r>
      <w:r w:rsidRPr="004673BF">
        <w:t xml:space="preserve"> (dále také „Priority </w:t>
      </w:r>
      <w:proofErr w:type="spellStart"/>
      <w:r w:rsidRPr="004673BF">
        <w:t>VaVaI</w:t>
      </w:r>
      <w:proofErr w:type="spellEnd"/>
      <w:r w:rsidRPr="004673BF">
        <w:t>“), které jsou platné na období do roku 2030.</w:t>
      </w:r>
      <w:r w:rsidR="001C44BF" w:rsidRPr="004673BF">
        <w:t xml:space="preserve"> Uvedené strategické dokumenty schválila vláda a jejich přípravu zabezpečuje RVVI, v případě N</w:t>
      </w:r>
      <w:r w:rsidR="00214862" w:rsidRPr="00AB74B6">
        <w:t xml:space="preserve">P </w:t>
      </w:r>
      <w:proofErr w:type="spellStart"/>
      <w:r w:rsidR="00214862" w:rsidRPr="00AB74B6">
        <w:t>VaVaI</w:t>
      </w:r>
      <w:proofErr w:type="spellEnd"/>
      <w:r w:rsidR="00214862" w:rsidRPr="00AB74B6">
        <w:t xml:space="preserve"> 2016</w:t>
      </w:r>
      <w:r w:rsidR="001C44BF" w:rsidRPr="004673BF">
        <w:t xml:space="preserve"> ve spolupráci s MŠMT.</w:t>
      </w:r>
    </w:p>
    <w:p w14:paraId="5093BE1E" w14:textId="10ADD41C" w:rsidR="00FC307E" w:rsidRPr="00AB74B6" w:rsidRDefault="00035AAB" w:rsidP="00FC307E">
      <w:r w:rsidRPr="00AB74B6">
        <w:t xml:space="preserve">Peněžní prostředky na </w:t>
      </w:r>
      <w:proofErr w:type="spellStart"/>
      <w:r>
        <w:t>VaVaI</w:t>
      </w:r>
      <w:proofErr w:type="spellEnd"/>
      <w:r w:rsidRPr="00AB74B6">
        <w:t xml:space="preserve"> jsou poskytovány prostřednictvím rozpočtových kapitol vybraných ministerstev, AV ČR, Grantové agentury České republiky</w:t>
      </w:r>
      <w:r>
        <w:t xml:space="preserve"> (dále také „GA ČR“)</w:t>
      </w:r>
      <w:r w:rsidRPr="00AB74B6">
        <w:t xml:space="preserve"> a</w:t>
      </w:r>
      <w:r w:rsidR="00CA5268">
        <w:t> Technologické agentury</w:t>
      </w:r>
      <w:r>
        <w:t xml:space="preserve"> České republiky (dále také</w:t>
      </w:r>
      <w:r w:rsidRPr="00AB74B6">
        <w:t xml:space="preserve"> </w:t>
      </w:r>
      <w:r>
        <w:t>„TA ČR“)</w:t>
      </w:r>
      <w:r w:rsidRPr="00AB74B6">
        <w:t xml:space="preserve"> formou účelové a institucionální podpory. Odborným poradním orgánem</w:t>
      </w:r>
      <w:r w:rsidR="00CA5268">
        <w:t xml:space="preserve"> vlády</w:t>
      </w:r>
      <w:r w:rsidRPr="00AB74B6">
        <w:t xml:space="preserve"> pro oblast </w:t>
      </w:r>
      <w:proofErr w:type="spellStart"/>
      <w:r w:rsidRPr="00AB74B6">
        <w:t>VaVaI</w:t>
      </w:r>
      <w:proofErr w:type="spellEnd"/>
      <w:r w:rsidRPr="00AB74B6">
        <w:t xml:space="preserve"> v ČR je </w:t>
      </w:r>
      <w:r>
        <w:t>RVVI</w:t>
      </w:r>
      <w:r w:rsidRPr="00AB74B6">
        <w:t xml:space="preserve">. Zákonem </w:t>
      </w:r>
      <w:r>
        <w:lastRenderedPageBreak/>
        <w:t>o</w:t>
      </w:r>
      <w:r w:rsidR="003C520E">
        <w:t> </w:t>
      </w:r>
      <w:r>
        <w:t xml:space="preserve">podpoře </w:t>
      </w:r>
      <w:proofErr w:type="spellStart"/>
      <w:r>
        <w:t>VaVaI</w:t>
      </w:r>
      <w:proofErr w:type="spellEnd"/>
      <w:r w:rsidRPr="00AB74B6">
        <w:t xml:space="preserve"> je upravena působnost jednotlivých orgánů </w:t>
      </w:r>
      <w:proofErr w:type="spellStart"/>
      <w:r w:rsidRPr="00AB74B6">
        <w:t>VaVaI</w:t>
      </w:r>
      <w:proofErr w:type="spellEnd"/>
      <w:r w:rsidRPr="00AB74B6">
        <w:t xml:space="preserve">. Následující </w:t>
      </w:r>
      <w:r>
        <w:t>obrázek</w:t>
      </w:r>
      <w:r w:rsidRPr="00AB74B6">
        <w:t xml:space="preserve"> znázorňuje současný platný systém poskytování podpory </w:t>
      </w:r>
      <w:proofErr w:type="spellStart"/>
      <w:r w:rsidRPr="00AB74B6">
        <w:t>VaVaI</w:t>
      </w:r>
      <w:proofErr w:type="spellEnd"/>
      <w:r w:rsidRPr="00AB74B6">
        <w:t xml:space="preserve"> v </w:t>
      </w:r>
      <w:r>
        <w:t>ČR</w:t>
      </w:r>
      <w:r w:rsidRPr="00AB74B6">
        <w:t>.</w:t>
      </w:r>
    </w:p>
    <w:p w14:paraId="4EF1669B" w14:textId="77777777" w:rsidR="00FC307E" w:rsidRPr="009F5BD8" w:rsidRDefault="00035AAB" w:rsidP="00FC307E">
      <w:pPr>
        <w:keepNext/>
        <w:rPr>
          <w:b/>
        </w:rPr>
      </w:pPr>
      <w:r w:rsidRPr="009F5BD8">
        <w:rPr>
          <w:b/>
        </w:rPr>
        <w:t xml:space="preserve">Obrázek č. 1: Systém poskytování podpory </w:t>
      </w:r>
      <w:proofErr w:type="spellStart"/>
      <w:r w:rsidRPr="009F5BD8">
        <w:rPr>
          <w:b/>
        </w:rPr>
        <w:t>VaVaI</w:t>
      </w:r>
      <w:proofErr w:type="spellEnd"/>
      <w:r w:rsidRPr="009F5BD8">
        <w:rPr>
          <w:b/>
        </w:rPr>
        <w:t xml:space="preserve"> v ČR </w:t>
      </w:r>
    </w:p>
    <w:p w14:paraId="1DFA1CC1" w14:textId="4EB2D285" w:rsidR="00FC307E" w:rsidRPr="00561AC1" w:rsidRDefault="002609A7" w:rsidP="00FC307E">
      <w:pPr>
        <w:keepNext/>
        <w:rPr>
          <w:color w:val="31849B" w:themeColor="accent5" w:themeShade="BF"/>
        </w:rPr>
      </w:pPr>
      <w:r>
        <w:rPr>
          <w:noProof/>
          <w:color w:val="31849B" w:themeColor="accent5" w:themeShade="BF"/>
          <w:lang w:eastAsia="cs-CZ"/>
        </w:rPr>
        <w:drawing>
          <wp:inline distT="0" distB="0" distL="0" distR="0" wp14:anchorId="3D430A4A" wp14:editId="26550DCF">
            <wp:extent cx="5759450" cy="31527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gra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DE6CA" w14:textId="77777777" w:rsidR="00FC307E" w:rsidRPr="00AA7B84" w:rsidRDefault="00035AAB" w:rsidP="00FC307E">
      <w:pPr>
        <w:keepNext/>
        <w:spacing w:before="0"/>
        <w:rPr>
          <w:color w:val="auto"/>
          <w:sz w:val="20"/>
          <w:szCs w:val="20"/>
        </w:rPr>
      </w:pPr>
      <w:r w:rsidRPr="009C6823">
        <w:rPr>
          <w:b/>
          <w:color w:val="auto"/>
          <w:sz w:val="20"/>
          <w:szCs w:val="20"/>
        </w:rPr>
        <w:t>Zdroj:</w:t>
      </w:r>
      <w:r w:rsidRPr="00AA7B84">
        <w:rPr>
          <w:color w:val="auto"/>
          <w:sz w:val="20"/>
          <w:szCs w:val="20"/>
        </w:rPr>
        <w:t xml:space="preserve"> webové stránky TA ČR, vlastní zpracování</w:t>
      </w:r>
      <w:r>
        <w:rPr>
          <w:color w:val="auto"/>
          <w:sz w:val="20"/>
          <w:szCs w:val="20"/>
        </w:rPr>
        <w:t>.</w:t>
      </w:r>
    </w:p>
    <w:p w14:paraId="569907BE" w14:textId="61BF4F62" w:rsidR="00FC307E" w:rsidRPr="00AA7B84" w:rsidRDefault="003C520E" w:rsidP="00BA4135">
      <w:pPr>
        <w:keepNext/>
        <w:spacing w:before="0"/>
        <w:ind w:left="1049" w:hanging="1049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Vysvětlivky</w:t>
      </w:r>
      <w:r w:rsidR="00035AAB" w:rsidRPr="009C6823">
        <w:rPr>
          <w:rFonts w:asciiTheme="minorHAnsi" w:hAnsiTheme="minorHAnsi" w:cstheme="minorHAnsi"/>
          <w:b/>
          <w:color w:val="auto"/>
          <w:sz w:val="20"/>
          <w:szCs w:val="20"/>
        </w:rPr>
        <w:t>:</w:t>
      </w:r>
      <w:r w:rsidR="00035AAB" w:rsidRPr="00AA7B84">
        <w:rPr>
          <w:rFonts w:asciiTheme="minorHAnsi" w:hAnsiTheme="minorHAnsi" w:cstheme="minorHAnsi"/>
          <w:color w:val="auto"/>
          <w:sz w:val="20"/>
          <w:szCs w:val="20"/>
        </w:rPr>
        <w:t xml:space="preserve"> MV – Ministerstvo vnitra, MO – Ministerstvo obrany</w:t>
      </w:r>
      <w:r w:rsidR="00035AAB" w:rsidRPr="00AA7B8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MK – Ministerstvo kultury, </w:t>
      </w:r>
      <w:proofErr w:type="spellStart"/>
      <w:r w:rsidR="00035AAB" w:rsidRPr="00AA7B8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MZd</w:t>
      </w:r>
      <w:proofErr w:type="spellEnd"/>
      <w:r w:rsidR="00035AAB" w:rsidRPr="00AA7B8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– Ministerstvo zdravotnictví</w:t>
      </w:r>
      <w:r w:rsidR="00035AA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</w:t>
      </w:r>
    </w:p>
    <w:p w14:paraId="47CAE727" w14:textId="77777777" w:rsidR="00FC307E" w:rsidRDefault="00035AAB" w:rsidP="00FC307E">
      <w:pPr>
        <w:rPr>
          <w:b/>
        </w:rPr>
      </w:pPr>
      <w:r w:rsidRPr="00E96CF9">
        <w:rPr>
          <w:rFonts w:eastAsia="Calibri"/>
          <w:color w:val="auto"/>
          <w:szCs w:val="22"/>
          <w:lang w:eastAsia="cs-CZ"/>
        </w:rPr>
        <w:t xml:space="preserve">Rozhodovací úroveň představuje RVVI </w:t>
      </w:r>
      <w:r>
        <w:rPr>
          <w:rFonts w:eastAsia="Calibri"/>
          <w:color w:val="auto"/>
          <w:szCs w:val="22"/>
          <w:lang w:eastAsia="cs-CZ"/>
        </w:rPr>
        <w:t>společně s</w:t>
      </w:r>
      <w:r w:rsidRPr="00E96CF9">
        <w:rPr>
          <w:rFonts w:eastAsia="Calibri"/>
          <w:color w:val="auto"/>
          <w:szCs w:val="22"/>
          <w:lang w:eastAsia="cs-CZ"/>
        </w:rPr>
        <w:t xml:space="preserve"> ÚV ČR a dále MŠMT a MPO. Tato ministerstva rovněž poskytují účelov</w:t>
      </w:r>
      <w:r>
        <w:rPr>
          <w:rFonts w:eastAsia="Calibri"/>
          <w:color w:val="auto"/>
          <w:szCs w:val="22"/>
          <w:lang w:eastAsia="cs-CZ"/>
        </w:rPr>
        <w:t xml:space="preserve">ou a institucionální podporu. Ke kontrole bylo vybráno také poskytování účelové podpory na MZe a institucionální podpory na AV ČR. </w:t>
      </w:r>
      <w:r w:rsidRPr="00E96CF9">
        <w:rPr>
          <w:rFonts w:eastAsia="Calibri"/>
          <w:color w:val="auto"/>
          <w:szCs w:val="22"/>
          <w:lang w:eastAsia="cs-CZ"/>
        </w:rPr>
        <w:t xml:space="preserve"> </w:t>
      </w:r>
    </w:p>
    <w:p w14:paraId="4E12A8EC" w14:textId="77777777" w:rsidR="00FC307E" w:rsidRPr="001567F8" w:rsidRDefault="00035AAB" w:rsidP="00FC307E">
      <w:pPr>
        <w:rPr>
          <w:b/>
        </w:rPr>
      </w:pPr>
      <w:r w:rsidRPr="001567F8">
        <w:rPr>
          <w:b/>
        </w:rPr>
        <w:t>Úřad vlády České republiky</w:t>
      </w:r>
    </w:p>
    <w:p w14:paraId="3CE732D6" w14:textId="77777777" w:rsidR="00FC307E" w:rsidRPr="001567F8" w:rsidRDefault="00035AAB" w:rsidP="00FC307E">
      <w:r>
        <w:t>P</w:t>
      </w:r>
      <w:r w:rsidRPr="001567F8">
        <w:t xml:space="preserve">rostřednictvím </w:t>
      </w:r>
      <w:r>
        <w:t xml:space="preserve">ÚV ČR jsou zabezpečovány klíčové </w:t>
      </w:r>
      <w:r w:rsidRPr="001567F8">
        <w:t xml:space="preserve">úkoly týkající se problematiky </w:t>
      </w:r>
      <w:proofErr w:type="spellStart"/>
      <w:r w:rsidRPr="001567F8">
        <w:t>VaVaI</w:t>
      </w:r>
      <w:proofErr w:type="spellEnd"/>
      <w:r>
        <w:t xml:space="preserve">, </w:t>
      </w:r>
      <w:r>
        <w:rPr>
          <w:rFonts w:eastAsia="Calibri"/>
          <w:color w:val="auto"/>
          <w:szCs w:val="22"/>
          <w:lang w:eastAsia="cs-CZ"/>
        </w:rPr>
        <w:t>mj. příprava</w:t>
      </w:r>
      <w:r w:rsidRPr="00231643">
        <w:rPr>
          <w:rFonts w:eastAsia="Calibri"/>
          <w:color w:val="auto"/>
          <w:szCs w:val="22"/>
          <w:lang w:eastAsia="cs-CZ"/>
        </w:rPr>
        <w:t xml:space="preserve"> hlavní</w:t>
      </w:r>
      <w:r>
        <w:rPr>
          <w:rFonts w:eastAsia="Calibri"/>
          <w:color w:val="auto"/>
          <w:szCs w:val="22"/>
          <w:lang w:eastAsia="cs-CZ"/>
        </w:rPr>
        <w:t>ho</w:t>
      </w:r>
      <w:r w:rsidRPr="00231643">
        <w:rPr>
          <w:rFonts w:eastAsia="Calibri"/>
          <w:color w:val="auto"/>
          <w:szCs w:val="22"/>
          <w:lang w:eastAsia="cs-CZ"/>
        </w:rPr>
        <w:t xml:space="preserve"> koncepční</w:t>
      </w:r>
      <w:r>
        <w:rPr>
          <w:rFonts w:eastAsia="Calibri"/>
          <w:color w:val="auto"/>
          <w:szCs w:val="22"/>
          <w:lang w:eastAsia="cs-CZ"/>
        </w:rPr>
        <w:t>ho</w:t>
      </w:r>
      <w:r w:rsidRPr="00231643">
        <w:rPr>
          <w:rFonts w:eastAsia="Calibri"/>
          <w:color w:val="auto"/>
          <w:szCs w:val="22"/>
          <w:lang w:eastAsia="cs-CZ"/>
        </w:rPr>
        <w:t xml:space="preserve"> dokument</w:t>
      </w:r>
      <w:r>
        <w:rPr>
          <w:rFonts w:eastAsia="Calibri"/>
          <w:color w:val="auto"/>
          <w:szCs w:val="22"/>
          <w:lang w:eastAsia="cs-CZ"/>
        </w:rPr>
        <w:t xml:space="preserve">u, zpracování priorit, hodnocení stavu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 nebo </w:t>
      </w:r>
      <w:r w:rsidRPr="00231643">
        <w:rPr>
          <w:rFonts w:eastAsia="Calibri"/>
          <w:color w:val="auto"/>
          <w:szCs w:val="22"/>
          <w:lang w:eastAsia="cs-CZ"/>
        </w:rPr>
        <w:t xml:space="preserve">návrh </w:t>
      </w:r>
      <w:r>
        <w:rPr>
          <w:rFonts w:eastAsia="Calibri"/>
          <w:color w:val="auto"/>
          <w:szCs w:val="22"/>
          <w:lang w:eastAsia="cs-CZ"/>
        </w:rPr>
        <w:t xml:space="preserve">výdajů. </w:t>
      </w:r>
      <w:r w:rsidRPr="001567F8">
        <w:t xml:space="preserve">Zákon </w:t>
      </w:r>
      <w:r>
        <w:t xml:space="preserve">o podpoře </w:t>
      </w:r>
      <w:proofErr w:type="spellStart"/>
      <w:r>
        <w:t>VaVaI</w:t>
      </w:r>
      <w:proofErr w:type="spellEnd"/>
      <w:r w:rsidRPr="001567F8">
        <w:t xml:space="preserve"> ukládá </w:t>
      </w:r>
      <w:r>
        <w:t xml:space="preserve">zabezpečení těchto úkolů RVVI, což </w:t>
      </w:r>
      <w:r w:rsidRPr="001567F8">
        <w:t>je odborný a poradní orgán vlády bez právní subjektivity</w:t>
      </w:r>
      <w:r>
        <w:t>. S</w:t>
      </w:r>
      <w:r w:rsidRPr="001567F8">
        <w:t xml:space="preserve">věřené úkoly </w:t>
      </w:r>
      <w:r>
        <w:t xml:space="preserve">tak RVVI </w:t>
      </w:r>
      <w:r w:rsidRPr="001567F8">
        <w:t xml:space="preserve">zabezpečuje prostřednictvím vnitřních útvarů </w:t>
      </w:r>
      <w:r>
        <w:t>ÚV ČR. Související č</w:t>
      </w:r>
      <w:r w:rsidRPr="001567F8">
        <w:t>innost</w:t>
      </w:r>
      <w:r>
        <w:t>i</w:t>
      </w:r>
      <w:r w:rsidRPr="001567F8">
        <w:t xml:space="preserve"> RVVI a ÚV </w:t>
      </w:r>
      <w:r>
        <w:t>ČR jsou</w:t>
      </w:r>
      <w:r w:rsidRPr="001567F8">
        <w:t xml:space="preserve"> financován</w:t>
      </w:r>
      <w:r>
        <w:t>y</w:t>
      </w:r>
      <w:r w:rsidRPr="001567F8">
        <w:t xml:space="preserve"> prostřednictvím institucionální podpory rozpočtové kapitoly ÚV</w:t>
      </w:r>
      <w:r>
        <w:t xml:space="preserve"> ČR</w:t>
      </w:r>
      <w:r w:rsidRPr="001567F8">
        <w:t>.</w:t>
      </w:r>
    </w:p>
    <w:p w14:paraId="0C961210" w14:textId="77777777" w:rsidR="00FC307E" w:rsidRPr="001567F8" w:rsidRDefault="00035AAB" w:rsidP="00FC307E">
      <w:pPr>
        <w:rPr>
          <w:b/>
        </w:rPr>
      </w:pPr>
      <w:r w:rsidRPr="001567F8">
        <w:rPr>
          <w:b/>
        </w:rPr>
        <w:t>Ministerstvo školství, mládeže a tělovýchovy</w:t>
      </w:r>
    </w:p>
    <w:p w14:paraId="743FACE0" w14:textId="77777777" w:rsidR="00FC307E" w:rsidRPr="001567F8" w:rsidRDefault="00035AAB" w:rsidP="00FC307E">
      <w:r w:rsidRPr="001567F8">
        <w:t xml:space="preserve">Dle zákona </w:t>
      </w:r>
      <w:r>
        <w:t xml:space="preserve">o podpoře </w:t>
      </w:r>
      <w:proofErr w:type="spellStart"/>
      <w:r>
        <w:t>VaVaI</w:t>
      </w:r>
      <w:proofErr w:type="spellEnd"/>
      <w:r w:rsidRPr="001567F8">
        <w:t xml:space="preserve"> je MŠMT ústředním správní</w:t>
      </w:r>
      <w:r>
        <w:t>m úřadem odpovědným za výzkum a </w:t>
      </w:r>
      <w:r w:rsidRPr="001567F8">
        <w:t>vývoj, s výjimkou oblastí, které zabezpečuje RVVI.</w:t>
      </w:r>
    </w:p>
    <w:p w14:paraId="49D80F00" w14:textId="77777777" w:rsidR="00FC307E" w:rsidRPr="001567F8" w:rsidRDefault="00035AAB" w:rsidP="00FC307E">
      <w:r w:rsidRPr="001567F8">
        <w:t xml:space="preserve">MŠMT odpovídá za mezinárodní spolupráci ČR ve výzkumu a vývoji, včetně užití prostředků na výzkum a vývoj z fondů EU, za koncepci podpory velké infrastruktury, za specifický vysokoškolský výzkum a za výkon správní funkce ústředního správního úřadu pro výzkum a vývoj. </w:t>
      </w:r>
    </w:p>
    <w:p w14:paraId="00C45622" w14:textId="77777777" w:rsidR="00FC307E" w:rsidRPr="001567F8" w:rsidRDefault="00035AAB" w:rsidP="00FC307E">
      <w:pPr>
        <w:rPr>
          <w:b/>
        </w:rPr>
      </w:pPr>
      <w:r w:rsidRPr="001567F8">
        <w:rPr>
          <w:b/>
        </w:rPr>
        <w:t>Ministerstvo průmyslu a obchodu</w:t>
      </w:r>
    </w:p>
    <w:p w14:paraId="072915BF" w14:textId="77777777" w:rsidR="00FC307E" w:rsidRPr="001567F8" w:rsidRDefault="00035AAB" w:rsidP="00FC307E">
      <w:r w:rsidRPr="001567F8">
        <w:t xml:space="preserve">MPO je dle </w:t>
      </w:r>
      <w:r>
        <w:t xml:space="preserve">kompetenčního </w:t>
      </w:r>
      <w:r w:rsidRPr="001567F8">
        <w:t>zákona</w:t>
      </w:r>
      <w:r>
        <w:t xml:space="preserve"> </w:t>
      </w:r>
      <w:r w:rsidRPr="001567F8">
        <w:t xml:space="preserve">ústředním orgánem </w:t>
      </w:r>
      <w:r>
        <w:t>státní správy pro věci malých a </w:t>
      </w:r>
      <w:r w:rsidRPr="001567F8">
        <w:t>středních podniků a pro věci živností a dále pro průmy</w:t>
      </w:r>
      <w:r>
        <w:t xml:space="preserve">slový výzkum, rozvoj techniky </w:t>
      </w:r>
      <w:r>
        <w:lastRenderedPageBreak/>
        <w:t>a </w:t>
      </w:r>
      <w:r w:rsidRPr="001567F8">
        <w:t xml:space="preserve">technologií. MPO zpracovává resortní programy výzkumu a zajišťuje veřejné soutěže ve </w:t>
      </w:r>
      <w:proofErr w:type="spellStart"/>
      <w:r>
        <w:t>VaVaI</w:t>
      </w:r>
      <w:proofErr w:type="spellEnd"/>
      <w:r w:rsidRPr="001567F8">
        <w:t xml:space="preserve">. </w:t>
      </w:r>
    </w:p>
    <w:p w14:paraId="4E33E720" w14:textId="77777777" w:rsidR="00FC307E" w:rsidRPr="001567F8" w:rsidRDefault="00035AAB" w:rsidP="00FC307E">
      <w:pPr>
        <w:keepNext/>
        <w:rPr>
          <w:b/>
        </w:rPr>
      </w:pPr>
      <w:r w:rsidRPr="001567F8">
        <w:rPr>
          <w:b/>
        </w:rPr>
        <w:t>Ministerstvo zemědělství</w:t>
      </w:r>
    </w:p>
    <w:p w14:paraId="38369872" w14:textId="77777777" w:rsidR="00FC307E" w:rsidRPr="001567F8" w:rsidRDefault="00035AAB" w:rsidP="00FC307E">
      <w:r w:rsidRPr="001567F8">
        <w:t xml:space="preserve">MZe je poskytovatelem účelové a institucionální podpory v agrárním sektoru. MZe zajišťuje zpracovávání a realizaci koncepcí agrárního výzkumu, vývoje a inovací a zpracovává resortní programy výzkumu. Koncepčně a metodicky řídí resortní organizace zabývající se výzkumem. </w:t>
      </w:r>
    </w:p>
    <w:p w14:paraId="21831918" w14:textId="77777777" w:rsidR="00FC307E" w:rsidRPr="001567F8" w:rsidRDefault="00035AAB" w:rsidP="00FC307E">
      <w:pPr>
        <w:rPr>
          <w:b/>
        </w:rPr>
      </w:pPr>
      <w:r w:rsidRPr="001567F8">
        <w:rPr>
          <w:b/>
        </w:rPr>
        <w:t>Akademie věd České republiky</w:t>
      </w:r>
    </w:p>
    <w:p w14:paraId="3D6672BA" w14:textId="01862AAD" w:rsidR="00FC307E" w:rsidRPr="001567F8" w:rsidRDefault="00035AAB" w:rsidP="00FC307E">
      <w:r w:rsidRPr="001567F8">
        <w:t xml:space="preserve">AV ČR zřizuje jménem ČR pracoviště jako veřejné výzkumné instituce (dále </w:t>
      </w:r>
      <w:r>
        <w:t>také</w:t>
      </w:r>
      <w:r w:rsidRPr="001567F8">
        <w:t xml:space="preserve"> „v.</w:t>
      </w:r>
      <w:r>
        <w:t xml:space="preserve"> </w:t>
      </w:r>
      <w:r w:rsidRPr="001567F8">
        <w:t>v.</w:t>
      </w:r>
      <w:r>
        <w:t xml:space="preserve"> </w:t>
      </w:r>
      <w:r w:rsidRPr="001567F8">
        <w:t>i.“ nebo „pracoviště“). Výzkum uskutečňuje prostřednictvím 52 výz</w:t>
      </w:r>
      <w:r>
        <w:t>kumně orientovaných pracovišť a </w:t>
      </w:r>
      <w:r w:rsidRPr="001567F8">
        <w:t>dvou pracovišť se zaměřením na infrastrukturu výzkumu a vývoje. Hlavním posláním AV ČR a jejích pracovišť je provádět základní výzkum v širokém spektru přírodních, technických, humanitních a sociálních věd. AV ČR od roku 2014 poskytuje pouze institucionální podporu.</w:t>
      </w:r>
    </w:p>
    <w:p w14:paraId="1E4C2E93" w14:textId="77777777" w:rsidR="00FC307E" w:rsidRPr="009F075A" w:rsidRDefault="00035AAB" w:rsidP="00FC307E">
      <w:pPr>
        <w:rPr>
          <w:color w:val="auto"/>
        </w:rPr>
      </w:pPr>
      <w:r w:rsidRPr="000043D7">
        <w:rPr>
          <w:color w:val="auto"/>
        </w:rPr>
        <w:t xml:space="preserve">Výdaje na </w:t>
      </w:r>
      <w:proofErr w:type="spellStart"/>
      <w:r>
        <w:rPr>
          <w:color w:val="auto"/>
        </w:rPr>
        <w:t>VaVaI</w:t>
      </w:r>
      <w:proofErr w:type="spellEnd"/>
      <w:r w:rsidRPr="000043D7">
        <w:rPr>
          <w:color w:val="auto"/>
        </w:rPr>
        <w:t xml:space="preserve"> ze státního rozpočtu v roce 2016</w:t>
      </w:r>
      <w:r>
        <w:rPr>
          <w:color w:val="auto"/>
        </w:rPr>
        <w:t xml:space="preserve"> činily 28 mld. Kč</w:t>
      </w:r>
      <w:r w:rsidRPr="000043D7">
        <w:rPr>
          <w:color w:val="auto"/>
        </w:rPr>
        <w:t xml:space="preserve">, přibližně polovina </w:t>
      </w:r>
      <w:r>
        <w:rPr>
          <w:color w:val="auto"/>
        </w:rPr>
        <w:t xml:space="preserve">byla poskytována </w:t>
      </w:r>
      <w:r w:rsidRPr="000043D7">
        <w:rPr>
          <w:color w:val="auto"/>
        </w:rPr>
        <w:t>formou účelové podpory a polovina formou institucionální podpory</w:t>
      </w:r>
      <w:r>
        <w:rPr>
          <w:color w:val="auto"/>
        </w:rPr>
        <w:t>.</w:t>
      </w:r>
      <w:r w:rsidRPr="000043D7">
        <w:rPr>
          <w:color w:val="auto"/>
        </w:rPr>
        <w:t xml:space="preserve"> </w:t>
      </w:r>
      <w:r>
        <w:rPr>
          <w:color w:val="auto"/>
        </w:rPr>
        <w:t>Podrobnější informace zobrazuje následující tabulka</w:t>
      </w:r>
      <w:r w:rsidRPr="009F075A">
        <w:rPr>
          <w:color w:val="auto"/>
        </w:rPr>
        <w:t>.</w:t>
      </w:r>
    </w:p>
    <w:p w14:paraId="6BA3918B" w14:textId="77777777" w:rsidR="00FC307E" w:rsidRPr="009F5BD8" w:rsidRDefault="00035AAB" w:rsidP="00A94D76">
      <w:pPr>
        <w:keepNext/>
        <w:tabs>
          <w:tab w:val="right" w:pos="9070"/>
        </w:tabs>
        <w:spacing w:after="40"/>
        <w:ind w:left="1276" w:hanging="1276"/>
        <w:rPr>
          <w:b/>
          <w:color w:val="auto"/>
          <w:lang w:eastAsia="cs-CZ"/>
        </w:rPr>
      </w:pPr>
      <w:r w:rsidRPr="009F5BD8">
        <w:rPr>
          <w:b/>
          <w:bCs/>
          <w:color w:val="auto"/>
          <w:lang w:eastAsia="cs-CZ"/>
        </w:rPr>
        <w:t xml:space="preserve">Tabulka č. 1: </w:t>
      </w:r>
      <w:r w:rsidR="00A94D76">
        <w:rPr>
          <w:b/>
          <w:bCs/>
          <w:color w:val="auto"/>
          <w:lang w:eastAsia="cs-CZ"/>
        </w:rPr>
        <w:tab/>
      </w:r>
      <w:r w:rsidRPr="009F5BD8">
        <w:rPr>
          <w:b/>
          <w:color w:val="auto"/>
          <w:lang w:eastAsia="cs-CZ"/>
        </w:rPr>
        <w:t xml:space="preserve">Výdaje na </w:t>
      </w:r>
      <w:proofErr w:type="spellStart"/>
      <w:r w:rsidRPr="009F5BD8">
        <w:rPr>
          <w:b/>
          <w:color w:val="auto"/>
          <w:lang w:eastAsia="cs-CZ"/>
        </w:rPr>
        <w:t>VaVaI</w:t>
      </w:r>
      <w:proofErr w:type="spellEnd"/>
      <w:r w:rsidRPr="009F5BD8">
        <w:rPr>
          <w:b/>
          <w:color w:val="auto"/>
          <w:lang w:eastAsia="cs-CZ"/>
        </w:rPr>
        <w:t xml:space="preserve"> ze státního rozpočtu dle </w:t>
      </w:r>
      <w:r w:rsidRPr="009F5BD8">
        <w:rPr>
          <w:rFonts w:asciiTheme="minorHAnsi" w:hAnsiTheme="minorHAnsi" w:cstheme="minorHAnsi"/>
          <w:b/>
          <w:color w:val="auto"/>
        </w:rPr>
        <w:t>správců rozpočtových kapitol</w:t>
      </w:r>
      <w:r w:rsidRPr="009F5BD8">
        <w:rPr>
          <w:b/>
          <w:color w:val="auto"/>
          <w:lang w:eastAsia="cs-CZ"/>
        </w:rPr>
        <w:t xml:space="preserve"> </w:t>
      </w:r>
      <w:r w:rsidR="00A94D76">
        <w:rPr>
          <w:b/>
          <w:color w:val="auto"/>
          <w:lang w:eastAsia="cs-CZ"/>
        </w:rPr>
        <w:tab/>
        <w:t>(</w:t>
      </w:r>
      <w:r w:rsidRPr="009F5BD8">
        <w:rPr>
          <w:b/>
          <w:color w:val="auto"/>
          <w:lang w:eastAsia="cs-CZ"/>
        </w:rPr>
        <w:t>v mil. Kč</w:t>
      </w:r>
      <w:r w:rsidR="00A94D76">
        <w:rPr>
          <w:b/>
          <w:color w:val="auto"/>
          <w:lang w:eastAsia="cs-CZ"/>
        </w:rPr>
        <w:t>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1136"/>
        <w:gridCol w:w="930"/>
        <w:gridCol w:w="1136"/>
        <w:gridCol w:w="930"/>
        <w:gridCol w:w="1136"/>
        <w:gridCol w:w="930"/>
      </w:tblGrid>
      <w:tr w:rsidR="00011C15" w14:paraId="278A8EAF" w14:textId="77777777" w:rsidTr="009F5BD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7D138105" w14:textId="77777777" w:rsidR="00FC307E" w:rsidRPr="009F075A" w:rsidRDefault="00035AAB" w:rsidP="00FC307E">
            <w:pPr>
              <w:keepNext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  <w:lang w:eastAsia="cs-CZ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Správce rozpočtové kapitoly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7049A303" w14:textId="77777777" w:rsidR="00FC307E" w:rsidRPr="009F075A" w:rsidRDefault="00035AAB" w:rsidP="00FC307E">
            <w:pPr>
              <w:keepNext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53FF9037" w14:textId="77777777" w:rsidR="00FC307E" w:rsidRPr="009F075A" w:rsidRDefault="00035AAB" w:rsidP="00FC307E">
            <w:pPr>
              <w:keepNext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0E4C7E00" w14:textId="77777777" w:rsidR="00FC307E" w:rsidRPr="009F075A" w:rsidRDefault="00035AAB" w:rsidP="00FC307E">
            <w:pPr>
              <w:keepNext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2016</w:t>
            </w:r>
          </w:p>
        </w:tc>
      </w:tr>
      <w:tr w:rsidR="00011C15" w14:paraId="12BC2304" w14:textId="77777777" w:rsidTr="009F5BD8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9908A66" w14:textId="77777777" w:rsidR="00FC307E" w:rsidRPr="009F075A" w:rsidRDefault="00FC307E" w:rsidP="00FC307E">
            <w:pPr>
              <w:keepNext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91A0EB9" w14:textId="77777777" w:rsidR="00FC307E" w:rsidRPr="009F075A" w:rsidRDefault="00035AAB" w:rsidP="00FC307E">
            <w:pPr>
              <w:keepNext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Instituc</w:t>
            </w:r>
            <w:r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ionální</w:t>
            </w: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 xml:space="preserve"> podpora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7B3945E" w14:textId="77777777" w:rsidR="00FC307E" w:rsidRPr="009F075A" w:rsidRDefault="00035AAB" w:rsidP="00FC307E">
            <w:pPr>
              <w:keepNext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Účelová podpora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F4FA6B9" w14:textId="77777777" w:rsidR="00FC307E" w:rsidRPr="009F075A" w:rsidRDefault="00035AAB" w:rsidP="00FC307E">
            <w:pPr>
              <w:keepNext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Instituc</w:t>
            </w:r>
            <w:r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ionální</w:t>
            </w: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 xml:space="preserve"> podpora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DBBF979" w14:textId="77777777" w:rsidR="00FC307E" w:rsidRPr="009F075A" w:rsidRDefault="00035AAB" w:rsidP="00FC307E">
            <w:pPr>
              <w:keepNext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Účelová podpora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F5E70DE" w14:textId="77777777" w:rsidR="00FC307E" w:rsidRPr="009F075A" w:rsidRDefault="00035AAB" w:rsidP="00FC307E">
            <w:pPr>
              <w:keepNext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 xml:space="preserve">Institucionální </w:t>
            </w: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podpora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51CF3A8" w14:textId="77777777" w:rsidR="00FC307E" w:rsidRPr="009F075A" w:rsidRDefault="00035AAB" w:rsidP="00FC307E">
            <w:pPr>
              <w:keepNext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Účelová podpora</w:t>
            </w:r>
          </w:p>
        </w:tc>
      </w:tr>
      <w:tr w:rsidR="00011C15" w14:paraId="18AE4519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FA8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Ministerstvo školství, mládeže a tělovýchovy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A82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7 937,4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4FA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3 447,4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63B0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8 085,4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51F8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3 922,3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AD3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7 243,0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16C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5 424,5</w:t>
            </w:r>
          </w:p>
        </w:tc>
      </w:tr>
      <w:tr w:rsidR="00011C15" w14:paraId="1E970B9A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831B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Akademie věd České republiky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9765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4 452,3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FCE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42E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4 693,7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333A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32F4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4 777,9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049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0,0</w:t>
            </w:r>
          </w:p>
        </w:tc>
      </w:tr>
      <w:tr w:rsidR="00011C15" w14:paraId="3E67C284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693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Grantová agentura České republiky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AEA7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E773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3 338,2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1C1D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6FC2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3 561,7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3C8B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CE3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3 841,9</w:t>
            </w:r>
          </w:p>
        </w:tc>
      </w:tr>
      <w:tr w:rsidR="00011C15" w14:paraId="48EB2077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8AF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Technologická agentura České republiky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81A4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143,2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2FAB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2 765,6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AB6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120,6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4EEB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3 015,0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6F4E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652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2 710,7</w:t>
            </w:r>
          </w:p>
        </w:tc>
      </w:tr>
      <w:tr w:rsidR="00011C15" w14:paraId="4F401B72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58D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Ministerstvo zdravotnictví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27A3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63F9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804,8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ED11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AC6C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904,6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FD3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C4A1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699,7</w:t>
            </w:r>
          </w:p>
        </w:tc>
      </w:tr>
      <w:tr w:rsidR="00011C15" w14:paraId="14CD65FC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BEC6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Ministerstvo průmyslu a obchodu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B462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555,0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D024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1 045,7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EC49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C58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7AC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226,3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6D6A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304,3</w:t>
            </w:r>
          </w:p>
        </w:tc>
      </w:tr>
      <w:tr w:rsidR="00011C15" w14:paraId="56B0D084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2C4C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Ministerstvo zemědělství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187B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FB5B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8F47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59A1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503B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99A2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464,0</w:t>
            </w:r>
          </w:p>
        </w:tc>
      </w:tr>
      <w:tr w:rsidR="00011C15" w14:paraId="7142D32D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ABF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Ministerstvo vnitra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D694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A28A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525,9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5981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8DBF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90D0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266C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310,1</w:t>
            </w:r>
          </w:p>
        </w:tc>
      </w:tr>
      <w:tr w:rsidR="00011C15" w14:paraId="2471E259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4C4D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Ministerstvo kultury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EFA1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BC2B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ECE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0EDE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1FCE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14C7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275,2</w:t>
            </w:r>
          </w:p>
        </w:tc>
      </w:tr>
      <w:tr w:rsidR="00011C15" w14:paraId="135C4F02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31D2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Ministerstvo obrany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15B0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D6F5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3C90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25B3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343,0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FF26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1459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297,9</w:t>
            </w:r>
          </w:p>
        </w:tc>
      </w:tr>
      <w:tr w:rsidR="00011C15" w14:paraId="2083B860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DCD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Úřad vlády České republiky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15A7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BE3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939A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3026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D3EF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3F28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0,0</w:t>
            </w:r>
          </w:p>
        </w:tc>
      </w:tr>
      <w:tr w:rsidR="00011C15" w14:paraId="25E51E2A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025A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Ministerstvo spravedlnosti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41D7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946C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B95E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2596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E8C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AFA4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1,2</w:t>
            </w:r>
          </w:p>
        </w:tc>
      </w:tr>
      <w:tr w:rsidR="00011C15" w14:paraId="5DADAD74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0733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Ústav pro studium totalitních režimů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67B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362F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B08B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DEB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0004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65A7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color w:val="auto"/>
                <w:spacing w:val="-12"/>
                <w:sz w:val="18"/>
                <w:szCs w:val="18"/>
              </w:rPr>
              <w:t>2,9</w:t>
            </w:r>
          </w:p>
        </w:tc>
      </w:tr>
      <w:tr w:rsidR="00011C15" w14:paraId="2F524F96" w14:textId="77777777" w:rsidTr="009F5B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6AE429A8" w14:textId="77777777" w:rsidR="00FC307E" w:rsidRPr="009F075A" w:rsidRDefault="00035AAB" w:rsidP="00FC307E">
            <w:pPr>
              <w:keepNext/>
              <w:spacing w:before="0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4E1F0F29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14 256,4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18957EEC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13 027,7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3A32F435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14 550,4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4FCF723D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13 279,4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645E77F5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13 651,9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172CDE21" w14:textId="77777777" w:rsidR="00FC307E" w:rsidRPr="009F075A" w:rsidRDefault="00035AAB" w:rsidP="00A94D76">
            <w:pPr>
              <w:keepNext/>
              <w:spacing w:before="0"/>
              <w:ind w:right="181"/>
              <w:jc w:val="right"/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</w:pPr>
            <w:r w:rsidRPr="009F075A">
              <w:rPr>
                <w:rFonts w:asciiTheme="minorHAnsi" w:hAnsiTheme="minorHAnsi"/>
                <w:b/>
                <w:bCs/>
                <w:color w:val="auto"/>
                <w:spacing w:val="-12"/>
                <w:sz w:val="18"/>
                <w:szCs w:val="18"/>
              </w:rPr>
              <w:t>14 332,4</w:t>
            </w:r>
          </w:p>
        </w:tc>
      </w:tr>
    </w:tbl>
    <w:p w14:paraId="03C3FECB" w14:textId="0743D399" w:rsidR="00FC307E" w:rsidRPr="009F075A" w:rsidRDefault="00035AAB" w:rsidP="009F5BD8">
      <w:pPr>
        <w:keepNext/>
        <w:spacing w:before="40" w:after="120"/>
        <w:rPr>
          <w:rFonts w:asciiTheme="minorHAnsi" w:hAnsiTheme="minorHAnsi" w:cstheme="minorHAnsi"/>
          <w:color w:val="auto"/>
          <w:sz w:val="20"/>
          <w:szCs w:val="20"/>
        </w:rPr>
      </w:pPr>
      <w:r w:rsidRPr="00FC5BE5">
        <w:rPr>
          <w:rFonts w:asciiTheme="minorHAnsi" w:hAnsiTheme="minorHAnsi" w:cstheme="minorHAnsi"/>
          <w:b/>
          <w:color w:val="auto"/>
          <w:sz w:val="20"/>
          <w:szCs w:val="20"/>
        </w:rPr>
        <w:t>Zdroj:</w:t>
      </w:r>
      <w:r w:rsidRPr="009F075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94D76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9F075A">
        <w:rPr>
          <w:rFonts w:asciiTheme="minorHAnsi" w:hAnsiTheme="minorHAnsi" w:cstheme="minorHAnsi"/>
          <w:color w:val="auto"/>
          <w:sz w:val="20"/>
          <w:szCs w:val="20"/>
        </w:rPr>
        <w:t>tátní závěrečn</w:t>
      </w:r>
      <w:r w:rsidR="00A94D76">
        <w:rPr>
          <w:rFonts w:asciiTheme="minorHAnsi" w:hAnsiTheme="minorHAnsi" w:cstheme="minorHAnsi"/>
          <w:color w:val="auto"/>
          <w:sz w:val="20"/>
          <w:szCs w:val="20"/>
        </w:rPr>
        <w:t>é</w:t>
      </w:r>
      <w:r w:rsidRPr="009F075A">
        <w:rPr>
          <w:rFonts w:asciiTheme="minorHAnsi" w:hAnsiTheme="minorHAnsi" w:cstheme="minorHAnsi"/>
          <w:color w:val="auto"/>
          <w:sz w:val="20"/>
          <w:szCs w:val="20"/>
        </w:rPr>
        <w:t xml:space="preserve"> účt</w:t>
      </w:r>
      <w:r w:rsidR="00A94D76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9F075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94D76">
        <w:rPr>
          <w:rFonts w:asciiTheme="minorHAnsi" w:hAnsiTheme="minorHAnsi" w:cstheme="minorHAnsi"/>
          <w:color w:val="auto"/>
          <w:sz w:val="20"/>
          <w:szCs w:val="20"/>
        </w:rPr>
        <w:t xml:space="preserve">za roky </w:t>
      </w:r>
      <w:r w:rsidRPr="009F075A">
        <w:rPr>
          <w:rFonts w:asciiTheme="minorHAnsi" w:hAnsiTheme="minorHAnsi" w:cstheme="minorHAnsi"/>
          <w:color w:val="auto"/>
          <w:sz w:val="20"/>
          <w:szCs w:val="20"/>
        </w:rPr>
        <w:t>2014, 2015, 2016</w:t>
      </w:r>
      <w:r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112684C" w14:textId="501953D2" w:rsidR="00FC307E" w:rsidRDefault="00035AAB" w:rsidP="00FC307E">
      <w:r>
        <w:rPr>
          <w:rFonts w:eastAsia="Calibri"/>
        </w:rPr>
        <w:t xml:space="preserve">Institucionální podpora je poskytována zejména výzkumným organizacím na jejich dlouhodobý koncepční rozvoj. Výše této podpory vychází z hodnocení dosažených výsledků výzkumných organizací realizovaného RVVI. V rámci tohoto hodnocení za rok 2016 </w:t>
      </w:r>
      <w:r w:rsidRPr="00AE30CB">
        <w:t xml:space="preserve">dosáhlo kladného bodového výsledku </w:t>
      </w:r>
      <w:r>
        <w:t>223</w:t>
      </w:r>
      <w:r w:rsidRPr="00AE30CB">
        <w:t xml:space="preserve"> </w:t>
      </w:r>
      <w:r>
        <w:t xml:space="preserve">výzkumných organizací. Účelová podpora </w:t>
      </w:r>
      <w:proofErr w:type="spellStart"/>
      <w:r>
        <w:t>VaVaI</w:t>
      </w:r>
      <w:proofErr w:type="spellEnd"/>
      <w:r>
        <w:t xml:space="preserve"> je realizována zejména prostřednictvím jednotlivých programů. </w:t>
      </w:r>
      <w:r>
        <w:rPr>
          <w:rFonts w:eastAsia="Calibri"/>
          <w:color w:val="auto"/>
          <w:szCs w:val="22"/>
          <w:lang w:eastAsia="cs-CZ"/>
        </w:rPr>
        <w:t>V roce 2017 bylo v ČR 12 </w:t>
      </w:r>
      <w:r w:rsidRPr="00231643">
        <w:rPr>
          <w:rFonts w:eastAsia="Calibri"/>
          <w:color w:val="auto"/>
          <w:szCs w:val="22"/>
          <w:lang w:eastAsia="cs-CZ"/>
        </w:rPr>
        <w:t xml:space="preserve">poskytovatelů podpory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formou nějakého typu programu</w:t>
      </w:r>
      <w:r>
        <w:rPr>
          <w:rStyle w:val="Znakapoznpodarou"/>
          <w:rFonts w:eastAsia="Calibri"/>
          <w:color w:val="auto"/>
          <w:szCs w:val="22"/>
          <w:lang w:eastAsia="cs-CZ"/>
        </w:rPr>
        <w:footnoteReference w:id="5"/>
      </w:r>
      <w:r w:rsidRPr="00231643">
        <w:rPr>
          <w:rFonts w:eastAsia="Calibri"/>
          <w:color w:val="auto"/>
          <w:szCs w:val="22"/>
          <w:lang w:eastAsia="cs-CZ"/>
        </w:rPr>
        <w:t xml:space="preserve">. Takovýchto běžících programů </w:t>
      </w:r>
      <w:r>
        <w:rPr>
          <w:rFonts w:eastAsia="Calibri"/>
          <w:color w:val="auto"/>
          <w:szCs w:val="22"/>
          <w:lang w:eastAsia="cs-CZ"/>
        </w:rPr>
        <w:t>bylo 62. Jejich rozdělení dle poskytovatelů</w:t>
      </w:r>
      <w:r w:rsidRPr="0093626C">
        <w:t xml:space="preserve"> </w:t>
      </w:r>
      <w:r>
        <w:t>znázorňuje následující obrázek.</w:t>
      </w:r>
    </w:p>
    <w:p w14:paraId="0A37E815" w14:textId="77777777" w:rsidR="00FC307E" w:rsidRPr="009F5BD8" w:rsidRDefault="00035AAB" w:rsidP="009F5BD8">
      <w:pPr>
        <w:keepNext/>
        <w:rPr>
          <w:b/>
        </w:rPr>
      </w:pPr>
      <w:r w:rsidRPr="009F5BD8">
        <w:rPr>
          <w:b/>
        </w:rPr>
        <w:lastRenderedPageBreak/>
        <w:t xml:space="preserve">Obrázek č. 2: Počet programů </w:t>
      </w:r>
      <w:proofErr w:type="spellStart"/>
      <w:r w:rsidRPr="009F5BD8">
        <w:rPr>
          <w:b/>
        </w:rPr>
        <w:t>VaVaI</w:t>
      </w:r>
      <w:proofErr w:type="spellEnd"/>
      <w:r w:rsidRPr="009F5BD8">
        <w:rPr>
          <w:b/>
        </w:rPr>
        <w:t xml:space="preserve"> dle jednotlivých poskytovatelů v roce 2017</w:t>
      </w:r>
    </w:p>
    <w:p w14:paraId="1DCF1126" w14:textId="77777777" w:rsidR="00FC307E" w:rsidRDefault="00035AAB" w:rsidP="009F5BD8">
      <w:pPr>
        <w:keepNext/>
        <w:rPr>
          <w:rFonts w:eastAsia="Calibri"/>
        </w:rPr>
      </w:pPr>
      <w:r w:rsidRPr="0030526A">
        <w:rPr>
          <w:b/>
          <w:noProof/>
          <w:lang w:eastAsia="cs-CZ"/>
        </w:rPr>
        <w:drawing>
          <wp:inline distT="0" distB="0" distL="0" distR="0" wp14:anchorId="36918920" wp14:editId="08465929">
            <wp:extent cx="5329431" cy="965302"/>
            <wp:effectExtent l="0" t="0" r="5080" b="0"/>
            <wp:docPr id="7184332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4288" name="Schema 2 var B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85" b="-6683"/>
                    <a:stretch/>
                  </pic:blipFill>
                  <pic:spPr bwMode="auto">
                    <a:xfrm>
                      <a:off x="0" y="0"/>
                      <a:ext cx="6027920" cy="1091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2BD19607" w14:textId="0E6F2637" w:rsidR="00FC307E" w:rsidRDefault="00035AAB" w:rsidP="00FC307E">
      <w:pPr>
        <w:spacing w:before="0"/>
        <w:rPr>
          <w:color w:val="auto"/>
          <w:sz w:val="20"/>
          <w:szCs w:val="20"/>
        </w:rPr>
      </w:pPr>
      <w:r w:rsidRPr="007B373A">
        <w:rPr>
          <w:b/>
          <w:color w:val="auto"/>
          <w:sz w:val="20"/>
          <w:szCs w:val="20"/>
        </w:rPr>
        <w:t>Zdroj:</w:t>
      </w:r>
      <w:r>
        <w:rPr>
          <w:color w:val="auto"/>
          <w:sz w:val="20"/>
          <w:szCs w:val="20"/>
        </w:rPr>
        <w:t xml:space="preserve"> </w:t>
      </w:r>
      <w:r w:rsidR="00A94D76">
        <w:rPr>
          <w:color w:val="auto"/>
          <w:sz w:val="20"/>
          <w:szCs w:val="20"/>
        </w:rPr>
        <w:t>i</w:t>
      </w:r>
      <w:r>
        <w:rPr>
          <w:color w:val="auto"/>
          <w:sz w:val="20"/>
          <w:szCs w:val="20"/>
        </w:rPr>
        <w:t xml:space="preserve">nformační systém </w:t>
      </w:r>
      <w:proofErr w:type="spellStart"/>
      <w:r>
        <w:rPr>
          <w:color w:val="auto"/>
          <w:sz w:val="20"/>
          <w:szCs w:val="20"/>
        </w:rPr>
        <w:t>VaVaI</w:t>
      </w:r>
      <w:proofErr w:type="spellEnd"/>
      <w:r>
        <w:rPr>
          <w:color w:val="auto"/>
          <w:sz w:val="20"/>
          <w:szCs w:val="20"/>
        </w:rPr>
        <w:t>.</w:t>
      </w:r>
    </w:p>
    <w:p w14:paraId="22755F5D" w14:textId="77777777" w:rsidR="00FC307E" w:rsidRPr="009F5BD8" w:rsidRDefault="00035AAB" w:rsidP="009F5BD8">
      <w:pPr>
        <w:keepNext/>
        <w:spacing w:before="360"/>
        <w:jc w:val="center"/>
        <w:outlineLvl w:val="0"/>
        <w:rPr>
          <w:b/>
          <w:sz w:val="28"/>
        </w:rPr>
      </w:pPr>
      <w:r w:rsidRPr="009F5BD8">
        <w:rPr>
          <w:b/>
          <w:sz w:val="28"/>
        </w:rPr>
        <w:t>III. Rozsah kontroly</w:t>
      </w:r>
    </w:p>
    <w:p w14:paraId="0BD83DF1" w14:textId="2233ED85" w:rsidR="00FC307E" w:rsidRDefault="00035AAB" w:rsidP="00FC307E">
      <w:pPr>
        <w:keepNext/>
      </w:pPr>
      <w:r>
        <w:t xml:space="preserve">Kontrola byla zaměřena na nastavení a realizaci systému podpory </w:t>
      </w:r>
      <w:proofErr w:type="spellStart"/>
      <w:r>
        <w:t>VaVaI</w:t>
      </w:r>
      <w:proofErr w:type="spellEnd"/>
      <w:r>
        <w:t>. Prověřovány tak byly zejména kompetence, strategická a koncepční činnost hlavních orgánů a míra</w:t>
      </w:r>
      <w:r w:rsidR="009F2BD4">
        <w:t xml:space="preserve"> </w:t>
      </w:r>
      <w:r>
        <w:t xml:space="preserve">plnění stanovených opatření a cílů na národní úrovni. Tato kontrola byla realizována na ÚV ČR, MŠMT a MPO. Kontrola byla zaměřena rovněž na mezinárodní srovnání úrovně inovační výkonnosti a jejích jednotlivých součástí, </w:t>
      </w:r>
      <w:r w:rsidR="00B223CE">
        <w:t xml:space="preserve">a to </w:t>
      </w:r>
      <w:r>
        <w:t xml:space="preserve">s cílem identifikovat slabá místa systému podpory </w:t>
      </w:r>
      <w:proofErr w:type="spellStart"/>
      <w:r>
        <w:t>VaVaI</w:t>
      </w:r>
      <w:proofErr w:type="spellEnd"/>
      <w:r>
        <w:t xml:space="preserve"> v ČR. Kontrolovaný objem na úrovni systému vycházel z výdajů na </w:t>
      </w:r>
      <w:proofErr w:type="spellStart"/>
      <w:r>
        <w:t>VaVaI</w:t>
      </w:r>
      <w:proofErr w:type="spellEnd"/>
      <w:r>
        <w:t xml:space="preserve"> ze státního rozpočtu a za roky 2014 až 2016 činil 83 mld. Kč.</w:t>
      </w:r>
    </w:p>
    <w:p w14:paraId="01CD0126" w14:textId="4FA6AB67" w:rsidR="00FC307E" w:rsidRPr="009F5BD8" w:rsidRDefault="00035AAB" w:rsidP="00FC307E">
      <w:pPr>
        <w:rPr>
          <w:color w:val="000000" w:themeColor="text1"/>
        </w:rPr>
      </w:pPr>
      <w:r>
        <w:t xml:space="preserve">V rámci účelové podpory </w:t>
      </w:r>
      <w:proofErr w:type="spellStart"/>
      <w:r>
        <w:t>VaVaI</w:t>
      </w:r>
      <w:proofErr w:type="spellEnd"/>
      <w:r>
        <w:t xml:space="preserve"> byla kontrola na úrovni poskytovatelů zaměřena zejména na přípravu a </w:t>
      </w:r>
      <w:r w:rsidRPr="006320ED">
        <w:rPr>
          <w:color w:val="auto"/>
        </w:rPr>
        <w:t>vyhodnocení jednotlivých programů</w:t>
      </w:r>
      <w:r>
        <w:rPr>
          <w:color w:val="auto"/>
        </w:rPr>
        <w:t>,</w:t>
      </w:r>
      <w:r w:rsidRPr="000E5D4D">
        <w:rPr>
          <w:color w:val="auto"/>
        </w:rPr>
        <w:t xml:space="preserve"> </w:t>
      </w:r>
      <w:r>
        <w:rPr>
          <w:color w:val="auto"/>
        </w:rPr>
        <w:t>jakožto hlavních nástrojů realizace účelové podpory</w:t>
      </w:r>
      <w:r w:rsidRPr="006320ED">
        <w:rPr>
          <w:color w:val="auto"/>
        </w:rPr>
        <w:t xml:space="preserve">. Tato kontrola byla realizována na MŠMT, MZe a MPO, kde bylo prověřeno </w:t>
      </w:r>
      <w:r>
        <w:rPr>
          <w:color w:val="auto"/>
        </w:rPr>
        <w:t>16 </w:t>
      </w:r>
      <w:r w:rsidRPr="006320ED">
        <w:rPr>
          <w:color w:val="auto"/>
        </w:rPr>
        <w:t>programů</w:t>
      </w:r>
      <w:r>
        <w:rPr>
          <w:color w:val="auto"/>
        </w:rPr>
        <w:t>.</w:t>
      </w:r>
      <w:r w:rsidRPr="006320ED">
        <w:rPr>
          <w:color w:val="auto"/>
        </w:rPr>
        <w:t xml:space="preserve"> </w:t>
      </w:r>
      <w:r w:rsidRPr="00097BE8">
        <w:rPr>
          <w:color w:val="auto"/>
        </w:rPr>
        <w:t>NKÚ p</w:t>
      </w:r>
      <w:r>
        <w:rPr>
          <w:color w:val="auto"/>
        </w:rPr>
        <w:t>rověřil hodnoticí systém a</w:t>
      </w:r>
      <w:r w:rsidRPr="00097BE8">
        <w:rPr>
          <w:color w:val="auto"/>
        </w:rPr>
        <w:t xml:space="preserve"> způso</w:t>
      </w:r>
      <w:r>
        <w:rPr>
          <w:color w:val="auto"/>
        </w:rPr>
        <w:t>b výběru podpořených projektů u </w:t>
      </w:r>
      <w:r w:rsidRPr="00097BE8">
        <w:rPr>
          <w:color w:val="auto"/>
        </w:rPr>
        <w:t xml:space="preserve">vybraných veřejných soutěží u </w:t>
      </w:r>
      <w:r w:rsidR="00B223CE">
        <w:rPr>
          <w:color w:val="auto"/>
        </w:rPr>
        <w:t>p</w:t>
      </w:r>
      <w:r w:rsidRPr="00097BE8">
        <w:rPr>
          <w:color w:val="auto"/>
        </w:rPr>
        <w:t>rogram</w:t>
      </w:r>
      <w:r w:rsidR="00B223CE">
        <w:rPr>
          <w:color w:val="auto"/>
        </w:rPr>
        <w:t>ů</w:t>
      </w:r>
      <w:r w:rsidRPr="00097BE8">
        <w:rPr>
          <w:color w:val="auto"/>
        </w:rPr>
        <w:t xml:space="preserve"> KUS na MZe, TIP a TRIO na MPO a NÁVRAT, EUPRO II, EUREKA CZ a KONTAKT II na MŠMT. Nastavení programů, jejich cílů a </w:t>
      </w:r>
      <w:r>
        <w:rPr>
          <w:color w:val="auto"/>
        </w:rPr>
        <w:t>ukazatelů</w:t>
      </w:r>
      <w:r w:rsidRPr="00097BE8">
        <w:rPr>
          <w:color w:val="auto"/>
        </w:rPr>
        <w:t xml:space="preserve">, případně vyhodnocení ukončených programů bylo kontrolováno u </w:t>
      </w:r>
      <w:r w:rsidR="00B223CE">
        <w:rPr>
          <w:color w:val="auto"/>
        </w:rPr>
        <w:t>p</w:t>
      </w:r>
      <w:r w:rsidRPr="00097BE8">
        <w:rPr>
          <w:color w:val="auto"/>
        </w:rPr>
        <w:t>r</w:t>
      </w:r>
      <w:r>
        <w:rPr>
          <w:color w:val="auto"/>
        </w:rPr>
        <w:t>ogramu KUS a VAK na MZe, TIP a </w:t>
      </w:r>
      <w:r w:rsidRPr="00097BE8">
        <w:rPr>
          <w:color w:val="auto"/>
        </w:rPr>
        <w:t>TRIO na MPO a COST CZ, INGO, EUREKA, EUPRO, EUPRO II, EUREKA CZ, INGO II a</w:t>
      </w:r>
      <w:r w:rsidR="00B223CE">
        <w:rPr>
          <w:color w:val="auto"/>
        </w:rPr>
        <w:t> </w:t>
      </w:r>
      <w:r w:rsidRPr="00097BE8">
        <w:rPr>
          <w:color w:val="auto"/>
        </w:rPr>
        <w:t>KONTAKT II, ERC CZ, NÁVRAT, NPU I, NPU II na MŠMT.</w:t>
      </w:r>
      <w:r w:rsidR="00B223CE">
        <w:rPr>
          <w:rStyle w:val="Znakapoznpodarou"/>
          <w:color w:val="auto"/>
        </w:rPr>
        <w:footnoteReference w:id="6"/>
      </w:r>
    </w:p>
    <w:p w14:paraId="30B1C3EE" w14:textId="77777777" w:rsidR="00FC307E" w:rsidRDefault="00035AAB" w:rsidP="00FC307E">
      <w:r>
        <w:t>Kontrola byla v jejím průběhu rozšířena o oblast institucionální podpory. Tato podpora je na rozdíl od účelové podpory určena zejména na dlouhodobý koncepční rozvoj výzkumných organizací. V rámci institucionální podpory byla kontrola na úrovni poskytovatelů zaměřena zejména na způsob rozdělování této podpory. Kontrola byla realizována na MŠMT a AV ČR. Tito poskytovatelé v kontrolovaném období 2014 až 2016 poskytli společně přes 37 mld. Kč institucionální podpory, což představuje cca 88 % veškeré poskytnuté institucionální podpory v tomto období.</w:t>
      </w:r>
    </w:p>
    <w:p w14:paraId="2EB652FD" w14:textId="1E9A1DCC" w:rsidR="00FC307E" w:rsidRDefault="00035AAB" w:rsidP="00FC307E">
      <w:r>
        <w:t xml:space="preserve">Kontrolovány byly rovněž čtyři vybrané vysoké školy a tři v. v. i., jakožto představitelé </w:t>
      </w:r>
      <w:r w:rsidR="007C4A3B" w:rsidRPr="004673BF">
        <w:t>hlavních</w:t>
      </w:r>
      <w:r w:rsidR="007C4A3B">
        <w:t xml:space="preserve"> </w:t>
      </w:r>
      <w:r>
        <w:t xml:space="preserve">příjemců institucionální podpory. </w:t>
      </w:r>
      <w:r w:rsidR="00EC483D">
        <w:t>U</w:t>
      </w:r>
      <w:r>
        <w:t xml:space="preserve"> těchto institucí bylo prověřeno zejména dodržení podmínek čerpání této podpory a její využití. Kontrolovaný objem prostředků u vybraných </w:t>
      </w:r>
      <w:r w:rsidRPr="006320ED">
        <w:rPr>
          <w:color w:val="auto"/>
        </w:rPr>
        <w:t xml:space="preserve">příjemců činil </w:t>
      </w:r>
      <w:r>
        <w:rPr>
          <w:color w:val="auto"/>
        </w:rPr>
        <w:t>666 </w:t>
      </w:r>
      <w:r w:rsidRPr="006320ED">
        <w:rPr>
          <w:color w:val="auto"/>
        </w:rPr>
        <w:t xml:space="preserve">mil. Kč, což představuje </w:t>
      </w:r>
      <w:r>
        <w:rPr>
          <w:color w:val="auto"/>
        </w:rPr>
        <w:t>15</w:t>
      </w:r>
      <w:r w:rsidRPr="006320ED">
        <w:rPr>
          <w:color w:val="auto"/>
        </w:rPr>
        <w:t xml:space="preserve"> % obdržené institucionální podpory v letech 2014 až 2016.</w:t>
      </w:r>
    </w:p>
    <w:p w14:paraId="239A7001" w14:textId="75443638" w:rsidR="00FC307E" w:rsidRDefault="00035AAB" w:rsidP="00FC307E">
      <w:pPr>
        <w:rPr>
          <w:color w:val="auto"/>
          <w:sz w:val="22"/>
          <w:szCs w:val="22"/>
        </w:rPr>
      </w:pPr>
      <w:r>
        <w:t>Kontrolou byl</w:t>
      </w:r>
      <w:r w:rsidR="00EC483D">
        <w:t xml:space="preserve"> tedy</w:t>
      </w:r>
      <w:r>
        <w:t xml:space="preserve"> prověřen systém podpory </w:t>
      </w:r>
      <w:proofErr w:type="spellStart"/>
      <w:r>
        <w:t>VaVaI</w:t>
      </w:r>
      <w:proofErr w:type="spellEnd"/>
      <w:r>
        <w:t xml:space="preserve"> jako celek od jeho řízení a nastavení, přes činnosti jednotlivých poskytovatelů účelové i institucionální podpory, až po využití institucionální </w:t>
      </w:r>
      <w:r w:rsidRPr="00600999">
        <w:rPr>
          <w:color w:val="auto"/>
        </w:rPr>
        <w:t xml:space="preserve">podpory hlavními příjemci. Přidanou hodnotou této kontroly je komplexní pohled na nastavení a fungování systému podpory </w:t>
      </w:r>
      <w:proofErr w:type="spellStart"/>
      <w:r w:rsidRPr="00600999">
        <w:rPr>
          <w:color w:val="auto"/>
        </w:rPr>
        <w:t>VaVaI</w:t>
      </w:r>
      <w:proofErr w:type="spellEnd"/>
      <w:r w:rsidRPr="00600999">
        <w:rPr>
          <w:color w:val="auto"/>
        </w:rPr>
        <w:t xml:space="preserve"> v</w:t>
      </w:r>
      <w:r>
        <w:rPr>
          <w:color w:val="auto"/>
        </w:rPr>
        <w:t> </w:t>
      </w:r>
      <w:r w:rsidRPr="00600999">
        <w:rPr>
          <w:color w:val="auto"/>
        </w:rPr>
        <w:t>ČR</w:t>
      </w:r>
      <w:r>
        <w:rPr>
          <w:color w:val="auto"/>
        </w:rPr>
        <w:t xml:space="preserve"> a</w:t>
      </w:r>
      <w:r w:rsidRPr="00600999">
        <w:rPr>
          <w:color w:val="auto"/>
        </w:rPr>
        <w:t xml:space="preserve"> identifikace slabých míst.</w:t>
      </w:r>
    </w:p>
    <w:p w14:paraId="76C7A3C3" w14:textId="77777777" w:rsidR="00FC307E" w:rsidRPr="009F5BD8" w:rsidRDefault="00035AAB" w:rsidP="009F5BD8">
      <w:pPr>
        <w:keepNext/>
        <w:spacing w:after="120"/>
        <w:jc w:val="center"/>
        <w:outlineLvl w:val="0"/>
        <w:rPr>
          <w:b/>
          <w:sz w:val="28"/>
        </w:rPr>
      </w:pPr>
      <w:r w:rsidRPr="009F5BD8">
        <w:rPr>
          <w:b/>
          <w:sz w:val="28"/>
        </w:rPr>
        <w:lastRenderedPageBreak/>
        <w:t>IV. Podrobné skutečnosti zjištěné kontrolou</w:t>
      </w:r>
    </w:p>
    <w:p w14:paraId="63E26207" w14:textId="1FE7468B" w:rsidR="00FC307E" w:rsidRPr="003630FA" w:rsidRDefault="00035AAB" w:rsidP="009F5BD8">
      <w:pPr>
        <w:keepNext/>
        <w:spacing w:before="0" w:after="120"/>
        <w:ind w:left="284" w:hanging="284"/>
        <w:jc w:val="left"/>
        <w:rPr>
          <w:rFonts w:eastAsia="Calibri"/>
          <w:b/>
          <w:color w:val="auto"/>
          <w:szCs w:val="22"/>
          <w:lang w:eastAsia="cs-CZ"/>
        </w:rPr>
      </w:pPr>
      <w:r w:rsidRPr="003630FA">
        <w:rPr>
          <w:rFonts w:eastAsia="Calibri"/>
          <w:b/>
          <w:color w:val="auto"/>
          <w:szCs w:val="22"/>
          <w:lang w:eastAsia="cs-CZ"/>
        </w:rPr>
        <w:t>1.</w:t>
      </w:r>
      <w:r>
        <w:rPr>
          <w:rFonts w:eastAsia="Calibri"/>
          <w:b/>
          <w:color w:val="auto"/>
          <w:szCs w:val="22"/>
          <w:lang w:eastAsia="cs-CZ"/>
        </w:rPr>
        <w:t xml:space="preserve"> </w:t>
      </w:r>
      <w:r w:rsidR="009F5BD8">
        <w:rPr>
          <w:rFonts w:eastAsia="Calibri"/>
          <w:b/>
          <w:color w:val="auto"/>
          <w:szCs w:val="22"/>
          <w:lang w:eastAsia="cs-CZ"/>
        </w:rPr>
        <w:tab/>
      </w:r>
      <w:r w:rsidRPr="003630FA">
        <w:rPr>
          <w:rFonts w:eastAsia="Calibri"/>
          <w:b/>
          <w:color w:val="auto"/>
          <w:szCs w:val="22"/>
          <w:lang w:eastAsia="cs-CZ"/>
        </w:rPr>
        <w:t>Z důvod</w:t>
      </w:r>
      <w:r w:rsidR="00EC483D">
        <w:rPr>
          <w:rFonts w:eastAsia="Calibri"/>
          <w:b/>
          <w:color w:val="auto"/>
          <w:szCs w:val="22"/>
          <w:lang w:eastAsia="cs-CZ"/>
        </w:rPr>
        <w:t>u</w:t>
      </w:r>
      <w:r w:rsidRPr="003630FA">
        <w:rPr>
          <w:rFonts w:eastAsia="Calibri"/>
          <w:b/>
          <w:color w:val="auto"/>
          <w:szCs w:val="22"/>
          <w:lang w:eastAsia="cs-CZ"/>
        </w:rPr>
        <w:t xml:space="preserve"> nedostatečné přípravy a špatného nastavení programů účelové podpory </w:t>
      </w:r>
      <w:r w:rsidR="00826A9A">
        <w:rPr>
          <w:rFonts w:eastAsia="Calibri"/>
          <w:b/>
          <w:color w:val="auto"/>
          <w:szCs w:val="22"/>
          <w:lang w:eastAsia="cs-CZ"/>
        </w:rPr>
        <w:t>mohli poskytovatelé tyto programy vyhodnotit</w:t>
      </w:r>
      <w:r w:rsidRPr="003630FA">
        <w:rPr>
          <w:rFonts w:eastAsia="Calibri"/>
          <w:b/>
          <w:color w:val="auto"/>
          <w:szCs w:val="22"/>
          <w:lang w:eastAsia="cs-CZ"/>
        </w:rPr>
        <w:t xml:space="preserve"> pouze formálně bez zjištění jejich skutečných přínosů</w:t>
      </w:r>
    </w:p>
    <w:p w14:paraId="7ED79FD9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t>Poskytovatelé jsou</w:t>
      </w:r>
      <w:r w:rsidRPr="003C22DD">
        <w:t xml:space="preserve"> zodpovědn</w:t>
      </w:r>
      <w:r>
        <w:t>í</w:t>
      </w:r>
      <w:r w:rsidRPr="003C22DD">
        <w:t xml:space="preserve"> za fungování program</w:t>
      </w:r>
      <w:r>
        <w:t>ů</w:t>
      </w:r>
      <w:r w:rsidRPr="003C22DD">
        <w:t xml:space="preserve"> a plnění stanovených cílů. Pro efektivní vyhodnocení přínosů program</w:t>
      </w:r>
      <w:r>
        <w:t>ů</w:t>
      </w:r>
      <w:r w:rsidRPr="003C22DD">
        <w:t xml:space="preserve"> a vynaložených peněžních prostředků musí být </w:t>
      </w:r>
      <w:r w:rsidRPr="00231643">
        <w:rPr>
          <w:rFonts w:eastAsia="Calibri"/>
          <w:color w:val="auto"/>
          <w:szCs w:val="22"/>
          <w:lang w:eastAsia="cs-CZ"/>
        </w:rPr>
        <w:t xml:space="preserve">stanoveny cíle, jejichž naplnění je možno monitorovat a vyhodnotit pomocí měřitelných </w:t>
      </w:r>
      <w:r>
        <w:rPr>
          <w:rFonts w:eastAsia="Calibri"/>
          <w:color w:val="auto"/>
          <w:szCs w:val="22"/>
          <w:lang w:eastAsia="cs-CZ"/>
        </w:rPr>
        <w:t>ukazatelů</w:t>
      </w:r>
      <w:r w:rsidRPr="00231643">
        <w:rPr>
          <w:rFonts w:eastAsia="Calibri"/>
          <w:color w:val="auto"/>
          <w:szCs w:val="22"/>
          <w:lang w:eastAsia="cs-CZ"/>
        </w:rPr>
        <w:t xml:space="preserve">. </w:t>
      </w:r>
    </w:p>
    <w:p w14:paraId="311C4AF5" w14:textId="77777777" w:rsidR="00FC307E" w:rsidRPr="003C0FD9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NKÚ prověřil způsob přípravy a vyhodnocení programů</w:t>
      </w:r>
      <w:r>
        <w:rPr>
          <w:rFonts w:eastAsia="Calibri"/>
          <w:color w:val="auto"/>
          <w:szCs w:val="22"/>
          <w:lang w:eastAsia="cs-CZ"/>
        </w:rPr>
        <w:t xml:space="preserve"> </w:t>
      </w:r>
      <w:r w:rsidRPr="003C0FD9">
        <w:rPr>
          <w:rFonts w:eastAsia="Calibri"/>
          <w:color w:val="auto"/>
          <w:szCs w:val="22"/>
          <w:lang w:eastAsia="cs-CZ"/>
        </w:rPr>
        <w:t>u MŠMT, MZe a MPO, jakožto vybraných poskytovatelů účelové podpory. NKÚ dále prověřil způsob nastavení pravidel pro hodnocení ukončených programů ze strany RVVI.</w:t>
      </w:r>
    </w:p>
    <w:p w14:paraId="25746E0D" w14:textId="77777777" w:rsidR="00FC307E" w:rsidRPr="00514F1B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3C0FD9">
        <w:rPr>
          <w:rFonts w:eastAsia="Calibri"/>
          <w:color w:val="auto"/>
          <w:szCs w:val="22"/>
          <w:lang w:eastAsia="cs-CZ"/>
        </w:rPr>
        <w:t>Přípravu programů realizovali jednotliví poskytovatelé účelové podpory. RVVI před schválením vládou vydávala k jednotlivým programům svá stanoviska. Ukončené programy vyhodnocovali jejich správci a následně rovněž RVVI dle platné metodiky pro hodnocení ukončených programů, jejíž přípravu RVVI zabezpečovala.</w:t>
      </w:r>
    </w:p>
    <w:p w14:paraId="7EAEA26A" w14:textId="61368CB5" w:rsidR="00FC307E" w:rsidRPr="00A94D76" w:rsidRDefault="00035AAB" w:rsidP="00FC307E">
      <w:pPr>
        <w:spacing w:before="0" w:after="120"/>
        <w:rPr>
          <w:rFonts w:eastAsia="Calibri"/>
          <w:color w:val="000000" w:themeColor="text1"/>
          <w:szCs w:val="22"/>
          <w:lang w:eastAsia="cs-CZ"/>
        </w:rPr>
      </w:pPr>
      <w:r w:rsidRPr="003C0FD9">
        <w:rPr>
          <w:rFonts w:eastAsia="Calibri"/>
          <w:color w:val="auto"/>
          <w:szCs w:val="22"/>
          <w:lang w:eastAsia="cs-CZ"/>
        </w:rPr>
        <w:t>MŠMT a MZe nevy</w:t>
      </w:r>
      <w:r>
        <w:rPr>
          <w:rFonts w:eastAsia="Calibri"/>
          <w:color w:val="auto"/>
          <w:szCs w:val="22"/>
          <w:lang w:eastAsia="cs-CZ"/>
        </w:rPr>
        <w:t>cházel</w:t>
      </w:r>
      <w:r w:rsidR="00EC483D">
        <w:rPr>
          <w:rFonts w:eastAsia="Calibri"/>
          <w:color w:val="auto"/>
          <w:szCs w:val="22"/>
          <w:lang w:eastAsia="cs-CZ"/>
        </w:rPr>
        <w:t>y</w:t>
      </w:r>
      <w:r w:rsidRPr="003C0FD9">
        <w:rPr>
          <w:rFonts w:eastAsia="Calibri"/>
          <w:color w:val="auto"/>
          <w:szCs w:val="22"/>
          <w:lang w:eastAsia="cs-CZ"/>
        </w:rPr>
        <w:t xml:space="preserve"> při nastavování programů </w:t>
      </w:r>
      <w:r>
        <w:rPr>
          <w:rFonts w:eastAsia="Calibri"/>
          <w:color w:val="auto"/>
          <w:szCs w:val="22"/>
          <w:lang w:eastAsia="cs-CZ"/>
        </w:rPr>
        <w:t>z analýzy</w:t>
      </w:r>
      <w:r w:rsidRPr="003C0FD9">
        <w:rPr>
          <w:rFonts w:eastAsia="Calibri"/>
          <w:color w:val="auto"/>
          <w:szCs w:val="22"/>
          <w:lang w:eastAsia="cs-CZ"/>
        </w:rPr>
        <w:t xml:space="preserve"> současného stavu a</w:t>
      </w:r>
      <w:r w:rsidR="00EC483D">
        <w:rPr>
          <w:rFonts w:eastAsia="Calibri"/>
          <w:color w:val="auto"/>
          <w:szCs w:val="22"/>
          <w:lang w:eastAsia="cs-CZ"/>
        </w:rPr>
        <w:t> </w:t>
      </w:r>
      <w:r w:rsidRPr="003C0FD9">
        <w:rPr>
          <w:rFonts w:eastAsia="Calibri"/>
          <w:color w:val="auto"/>
          <w:szCs w:val="22"/>
          <w:lang w:eastAsia="cs-CZ"/>
        </w:rPr>
        <w:t>ne</w:t>
      </w:r>
      <w:r>
        <w:rPr>
          <w:rFonts w:eastAsia="Calibri"/>
          <w:color w:val="auto"/>
          <w:szCs w:val="22"/>
          <w:lang w:eastAsia="cs-CZ"/>
        </w:rPr>
        <w:t>stanovil</w:t>
      </w:r>
      <w:r w:rsidR="00EC483D">
        <w:rPr>
          <w:rFonts w:eastAsia="Calibri"/>
          <w:color w:val="auto"/>
          <w:szCs w:val="22"/>
          <w:lang w:eastAsia="cs-CZ"/>
        </w:rPr>
        <w:t>y</w:t>
      </w:r>
      <w:r>
        <w:rPr>
          <w:rFonts w:eastAsia="Calibri"/>
          <w:color w:val="auto"/>
          <w:szCs w:val="22"/>
          <w:lang w:eastAsia="cs-CZ"/>
        </w:rPr>
        <w:t xml:space="preserve"> ani stav žádoucí, jehož má být realizací programů dosaženo.</w:t>
      </w:r>
      <w:r w:rsidRPr="003C0FD9">
        <w:rPr>
          <w:rFonts w:eastAsia="Calibri"/>
          <w:color w:val="auto"/>
          <w:szCs w:val="22"/>
          <w:lang w:eastAsia="cs-CZ"/>
        </w:rPr>
        <w:t xml:space="preserve"> Nebyl tak zřejmý žádný konkrétní posun, ke kterému by měly programy přispět. MPO pro hodnocení programu </w:t>
      </w:r>
      <w:r>
        <w:rPr>
          <w:rFonts w:eastAsia="Calibri"/>
          <w:color w:val="auto"/>
          <w:szCs w:val="22"/>
          <w:lang w:eastAsia="cs-CZ"/>
        </w:rPr>
        <w:t>TIP nastavilo a </w:t>
      </w:r>
      <w:r w:rsidRPr="003C0FD9">
        <w:rPr>
          <w:rFonts w:eastAsia="Calibri"/>
          <w:color w:val="auto"/>
          <w:szCs w:val="22"/>
          <w:lang w:eastAsia="cs-CZ"/>
        </w:rPr>
        <w:t xml:space="preserve">použilo mj. globální kritérium v podobě souhrnné úrovně </w:t>
      </w:r>
      <w:r>
        <w:rPr>
          <w:rFonts w:eastAsia="Calibri"/>
          <w:color w:val="auto"/>
          <w:szCs w:val="22"/>
          <w:lang w:eastAsia="cs-CZ"/>
        </w:rPr>
        <w:t>konkurenceschopnosti ČR mezi 61 </w:t>
      </w:r>
      <w:r w:rsidRPr="003C0FD9">
        <w:rPr>
          <w:rFonts w:eastAsia="Calibri"/>
          <w:color w:val="auto"/>
          <w:szCs w:val="22"/>
          <w:lang w:eastAsia="cs-CZ"/>
        </w:rPr>
        <w:t>hodnocenými ekonomikami. Konkurenceschopnost ČR je ovlivněn</w:t>
      </w:r>
      <w:r w:rsidR="0067106C">
        <w:rPr>
          <w:rFonts w:eastAsia="Calibri"/>
          <w:color w:val="auto"/>
          <w:szCs w:val="22"/>
          <w:lang w:eastAsia="cs-CZ"/>
        </w:rPr>
        <w:t>a</w:t>
      </w:r>
      <w:r w:rsidRPr="003C0FD9">
        <w:rPr>
          <w:rFonts w:eastAsia="Calibri"/>
          <w:color w:val="auto"/>
          <w:szCs w:val="22"/>
          <w:lang w:eastAsia="cs-CZ"/>
        </w:rPr>
        <w:t xml:space="preserve"> řadou faktorů, proto takto stanovené kritérium příliš nevypovídá o tom, do jaké míry bylo ovlivněno realizací daného programu. U všech tří poskytovatelů účelové podpory byly cíle programů nastaveny na obecné úrovni. </w:t>
      </w:r>
      <w:r w:rsidRPr="00BB6FC4">
        <w:rPr>
          <w:rFonts w:eastAsia="Calibri"/>
          <w:color w:val="auto"/>
          <w:szCs w:val="22"/>
          <w:lang w:eastAsia="cs-CZ"/>
        </w:rPr>
        <w:t>Obecnými cíli byly např.</w:t>
      </w:r>
      <w:r w:rsidR="0067106C">
        <w:rPr>
          <w:rFonts w:eastAsia="Calibri"/>
          <w:color w:val="auto"/>
          <w:szCs w:val="22"/>
          <w:lang w:eastAsia="cs-CZ"/>
        </w:rPr>
        <w:t>:</w:t>
      </w:r>
      <w:r w:rsidRPr="00BB6FC4">
        <w:rPr>
          <w:rFonts w:eastAsia="Calibri"/>
          <w:color w:val="auto"/>
          <w:szCs w:val="22"/>
          <w:lang w:eastAsia="cs-CZ"/>
        </w:rPr>
        <w:t xml:space="preserve"> zvýšení účasti v mezinárodních programech </w:t>
      </w:r>
      <w:proofErr w:type="spellStart"/>
      <w:r w:rsidRPr="00BB6FC4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BB6FC4">
        <w:rPr>
          <w:rFonts w:eastAsia="Calibri"/>
          <w:color w:val="auto"/>
          <w:szCs w:val="22"/>
          <w:lang w:eastAsia="cs-CZ"/>
        </w:rPr>
        <w:t xml:space="preserve">, růst konkurenceschopnosti českého průmyslu, posílení účinné spolupráce ve </w:t>
      </w:r>
      <w:proofErr w:type="spellStart"/>
      <w:r w:rsidRPr="00BB6FC4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BB6FC4">
        <w:rPr>
          <w:rFonts w:eastAsia="Calibri"/>
          <w:color w:val="auto"/>
          <w:szCs w:val="22"/>
          <w:lang w:eastAsia="cs-CZ"/>
        </w:rPr>
        <w:t xml:space="preserve"> mezi podniky a výzkumnými organizacemi, zvýš</w:t>
      </w:r>
      <w:r w:rsidR="0067106C">
        <w:rPr>
          <w:rFonts w:eastAsia="Calibri"/>
          <w:color w:val="auto"/>
          <w:szCs w:val="22"/>
          <w:lang w:eastAsia="cs-CZ"/>
        </w:rPr>
        <w:t>ení</w:t>
      </w:r>
      <w:r w:rsidRPr="00BB6FC4">
        <w:rPr>
          <w:rFonts w:eastAsia="Calibri"/>
          <w:color w:val="auto"/>
          <w:szCs w:val="22"/>
          <w:lang w:eastAsia="cs-CZ"/>
        </w:rPr>
        <w:t xml:space="preserve"> produkční</w:t>
      </w:r>
      <w:r w:rsidR="0067106C">
        <w:rPr>
          <w:rFonts w:eastAsia="Calibri"/>
          <w:color w:val="auto"/>
          <w:szCs w:val="22"/>
          <w:lang w:eastAsia="cs-CZ"/>
        </w:rPr>
        <w:t>ho</w:t>
      </w:r>
      <w:r w:rsidRPr="00BB6FC4">
        <w:rPr>
          <w:rFonts w:eastAsia="Calibri"/>
          <w:color w:val="auto"/>
          <w:szCs w:val="22"/>
          <w:lang w:eastAsia="cs-CZ"/>
        </w:rPr>
        <w:t xml:space="preserve"> potenciál</w:t>
      </w:r>
      <w:r w:rsidR="0067106C">
        <w:rPr>
          <w:rFonts w:eastAsia="Calibri"/>
          <w:color w:val="auto"/>
          <w:szCs w:val="22"/>
          <w:lang w:eastAsia="cs-CZ"/>
        </w:rPr>
        <w:t>u</w:t>
      </w:r>
      <w:r w:rsidRPr="00BB6FC4">
        <w:rPr>
          <w:rFonts w:eastAsia="Calibri"/>
          <w:color w:val="auto"/>
          <w:szCs w:val="22"/>
          <w:lang w:eastAsia="cs-CZ"/>
        </w:rPr>
        <w:t xml:space="preserve"> zemědělských plodin. </w:t>
      </w:r>
      <w:r>
        <w:rPr>
          <w:rFonts w:eastAsia="Calibri"/>
          <w:color w:val="auto"/>
          <w:szCs w:val="22"/>
          <w:lang w:eastAsia="cs-CZ"/>
        </w:rPr>
        <w:t xml:space="preserve">Ukazatele programů neměly přímou návaznost </w:t>
      </w:r>
      <w:r w:rsidRPr="003C0FD9">
        <w:rPr>
          <w:rFonts w:eastAsia="Calibri"/>
          <w:color w:val="auto"/>
          <w:szCs w:val="22"/>
          <w:lang w:eastAsia="cs-CZ"/>
        </w:rPr>
        <w:t xml:space="preserve">na </w:t>
      </w:r>
      <w:r>
        <w:rPr>
          <w:rFonts w:eastAsia="Calibri"/>
          <w:color w:val="auto"/>
          <w:szCs w:val="22"/>
          <w:lang w:eastAsia="cs-CZ"/>
        </w:rPr>
        <w:t>stanovené c</w:t>
      </w:r>
      <w:r w:rsidRPr="003C0FD9">
        <w:rPr>
          <w:rFonts w:eastAsia="Calibri"/>
          <w:color w:val="auto"/>
          <w:szCs w:val="22"/>
          <w:lang w:eastAsia="cs-CZ"/>
        </w:rPr>
        <w:t>íl</w:t>
      </w:r>
      <w:r>
        <w:rPr>
          <w:rFonts w:eastAsia="Calibri"/>
          <w:color w:val="auto"/>
          <w:szCs w:val="22"/>
          <w:lang w:eastAsia="cs-CZ"/>
        </w:rPr>
        <w:t>e</w:t>
      </w:r>
      <w:r w:rsidR="0067106C">
        <w:rPr>
          <w:rFonts w:eastAsia="Calibri"/>
          <w:color w:val="auto"/>
          <w:szCs w:val="22"/>
          <w:lang w:eastAsia="cs-CZ"/>
        </w:rPr>
        <w:t>,</w:t>
      </w:r>
      <w:r>
        <w:rPr>
          <w:rFonts w:eastAsia="Calibri"/>
          <w:color w:val="auto"/>
          <w:szCs w:val="22"/>
          <w:lang w:eastAsia="cs-CZ"/>
        </w:rPr>
        <w:t xml:space="preserve"> a nevypovídaly tak o míře jejich plnění</w:t>
      </w:r>
      <w:r w:rsidRPr="003C0FD9">
        <w:rPr>
          <w:rFonts w:eastAsia="Calibri"/>
          <w:color w:val="auto"/>
          <w:szCs w:val="22"/>
          <w:lang w:eastAsia="cs-CZ"/>
        </w:rPr>
        <w:t>.</w:t>
      </w:r>
      <w:r>
        <w:rPr>
          <w:rFonts w:eastAsia="Calibri"/>
          <w:color w:val="auto"/>
          <w:szCs w:val="22"/>
          <w:lang w:eastAsia="cs-CZ"/>
        </w:rPr>
        <w:t xml:space="preserve"> </w:t>
      </w:r>
      <w:r w:rsidRPr="005B5A4F">
        <w:rPr>
          <w:rFonts w:eastAsia="Calibri"/>
          <w:color w:val="auto"/>
          <w:szCs w:val="22"/>
          <w:lang w:eastAsia="cs-CZ"/>
        </w:rPr>
        <w:t>Ukazateli byly např.</w:t>
      </w:r>
      <w:r w:rsidR="0067106C">
        <w:rPr>
          <w:rFonts w:eastAsia="Calibri"/>
          <w:color w:val="auto"/>
          <w:szCs w:val="22"/>
          <w:lang w:eastAsia="cs-CZ"/>
        </w:rPr>
        <w:t>:</w:t>
      </w:r>
      <w:r w:rsidRPr="005B5A4F">
        <w:rPr>
          <w:rFonts w:eastAsia="Calibri"/>
          <w:color w:val="auto"/>
          <w:szCs w:val="22"/>
          <w:lang w:eastAsia="cs-CZ"/>
        </w:rPr>
        <w:t xml:space="preserve"> počet projektů, kterým byla poskytnuta podpora, podíl úspěšně ukončených projektů, počet očekávaných výsledků. </w:t>
      </w:r>
      <w:r>
        <w:rPr>
          <w:rFonts w:eastAsia="Calibri"/>
          <w:color w:val="auto"/>
          <w:szCs w:val="22"/>
          <w:lang w:eastAsia="cs-CZ"/>
        </w:rPr>
        <w:t>Skutečné přínosy a dopady programů nebyly zjištěny</w:t>
      </w:r>
      <w:r w:rsidR="0067106C">
        <w:rPr>
          <w:rFonts w:eastAsia="Calibri"/>
          <w:color w:val="auto"/>
          <w:szCs w:val="22"/>
          <w:lang w:eastAsia="cs-CZ"/>
        </w:rPr>
        <w:t>,</w:t>
      </w:r>
      <w:r>
        <w:rPr>
          <w:rFonts w:eastAsia="Calibri"/>
          <w:color w:val="auto"/>
          <w:szCs w:val="22"/>
          <w:lang w:eastAsia="cs-CZ"/>
        </w:rPr>
        <w:t xml:space="preserve"> a p</w:t>
      </w:r>
      <w:r w:rsidRPr="003C0FD9">
        <w:rPr>
          <w:rFonts w:eastAsia="Calibri"/>
          <w:color w:val="auto"/>
          <w:szCs w:val="22"/>
          <w:lang w:eastAsia="cs-CZ"/>
        </w:rPr>
        <w:t>rogramy tak nelze komplexn</w:t>
      </w:r>
      <w:r>
        <w:rPr>
          <w:rFonts w:eastAsia="Calibri"/>
          <w:color w:val="auto"/>
          <w:szCs w:val="22"/>
          <w:lang w:eastAsia="cs-CZ"/>
        </w:rPr>
        <w:t>ě vyhodnotit</w:t>
      </w:r>
      <w:r w:rsidRPr="00A94D76">
        <w:rPr>
          <w:rFonts w:eastAsia="Calibri"/>
          <w:color w:val="000000" w:themeColor="text1"/>
          <w:szCs w:val="22"/>
          <w:lang w:eastAsia="cs-CZ"/>
        </w:rPr>
        <w:t>.</w:t>
      </w:r>
    </w:p>
    <w:p w14:paraId="0C99B778" w14:textId="77777777" w:rsidR="00FC307E" w:rsidRPr="004673BF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131BD2">
        <w:rPr>
          <w:rFonts w:eastAsia="Calibri"/>
          <w:color w:val="auto"/>
          <w:szCs w:val="22"/>
          <w:lang w:eastAsia="cs-CZ"/>
        </w:rPr>
        <w:t>U všech kontrolovaných poskytovatelů vyhodnocení programů vycházelo především z</w:t>
      </w:r>
      <w:r>
        <w:rPr>
          <w:rFonts w:eastAsia="Calibri"/>
          <w:color w:val="auto"/>
          <w:szCs w:val="22"/>
          <w:lang w:eastAsia="cs-CZ"/>
        </w:rPr>
        <w:t> kvantitativních údajů o výsledcích</w:t>
      </w:r>
      <w:r w:rsidRPr="00131BD2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uvedených v</w:t>
      </w:r>
      <w:r w:rsidRPr="00131BD2">
        <w:rPr>
          <w:rFonts w:eastAsia="Calibri"/>
          <w:color w:val="auto"/>
          <w:szCs w:val="22"/>
          <w:lang w:eastAsia="cs-CZ"/>
        </w:rPr>
        <w:t xml:space="preserve"> IS </w:t>
      </w:r>
      <w:proofErr w:type="spellStart"/>
      <w:r w:rsidRPr="00131BD2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131BD2">
        <w:rPr>
          <w:rFonts w:eastAsia="Calibri"/>
          <w:color w:val="auto"/>
          <w:szCs w:val="22"/>
          <w:lang w:eastAsia="cs-CZ"/>
        </w:rPr>
        <w:t xml:space="preserve">. Dosažené výsledky jednotlivých projektů v IS </w:t>
      </w:r>
      <w:proofErr w:type="spellStart"/>
      <w:r w:rsidRPr="00131BD2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131BD2">
        <w:rPr>
          <w:rFonts w:eastAsia="Calibri"/>
          <w:color w:val="auto"/>
          <w:szCs w:val="22"/>
          <w:lang w:eastAsia="cs-CZ"/>
        </w:rPr>
        <w:t xml:space="preserve"> ne</w:t>
      </w:r>
      <w:r>
        <w:rPr>
          <w:rFonts w:eastAsia="Calibri"/>
          <w:color w:val="auto"/>
          <w:szCs w:val="22"/>
          <w:lang w:eastAsia="cs-CZ"/>
        </w:rPr>
        <w:t>jsou vždy vykazovány</w:t>
      </w:r>
      <w:r w:rsidRPr="00131BD2">
        <w:rPr>
          <w:rFonts w:eastAsia="Calibri"/>
          <w:color w:val="auto"/>
          <w:szCs w:val="22"/>
          <w:lang w:eastAsia="cs-CZ"/>
        </w:rPr>
        <w:t xml:space="preserve"> přesně, stejně tak údaje o skutečně čerpaných financích ze státního rozpočtu uvedené v IS </w:t>
      </w:r>
      <w:proofErr w:type="spellStart"/>
      <w:r w:rsidRPr="00131BD2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131BD2">
        <w:rPr>
          <w:rFonts w:eastAsia="Calibri"/>
          <w:color w:val="auto"/>
          <w:szCs w:val="22"/>
          <w:lang w:eastAsia="cs-CZ"/>
        </w:rPr>
        <w:t xml:space="preserve"> neodpovídají skutečnosti, kdy nebyly odečteny vratky do státního rozpočtu. Zveřejňování výsledků v IS </w:t>
      </w:r>
      <w:proofErr w:type="spellStart"/>
      <w:r w:rsidRPr="00131BD2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131BD2">
        <w:rPr>
          <w:rFonts w:eastAsia="Calibri"/>
          <w:color w:val="auto"/>
          <w:szCs w:val="22"/>
          <w:lang w:eastAsia="cs-CZ"/>
        </w:rPr>
        <w:t xml:space="preserve"> tak není vždy zcela úplné a hlášení výsledků je spíše formální záležitostí pro splnění požadavků na projekt. Výše uvedené nedostatky mohou ovlivňovat vyhodnocení programů</w:t>
      </w:r>
      <w:r>
        <w:rPr>
          <w:rFonts w:eastAsia="Calibri"/>
          <w:color w:val="auto"/>
          <w:szCs w:val="22"/>
          <w:lang w:eastAsia="cs-CZ"/>
        </w:rPr>
        <w:t>,</w:t>
      </w:r>
      <w:r w:rsidRPr="00131BD2">
        <w:rPr>
          <w:rFonts w:eastAsia="Calibri"/>
          <w:color w:val="auto"/>
          <w:szCs w:val="22"/>
          <w:lang w:eastAsia="cs-CZ"/>
        </w:rPr>
        <w:t xml:space="preserve"> potažmo hodnocení celého </w:t>
      </w:r>
      <w:r w:rsidRPr="004673BF">
        <w:rPr>
          <w:rFonts w:eastAsia="Calibri"/>
          <w:color w:val="auto"/>
          <w:szCs w:val="22"/>
          <w:lang w:eastAsia="cs-CZ"/>
        </w:rPr>
        <w:t xml:space="preserve">systému </w:t>
      </w:r>
      <w:proofErr w:type="spellStart"/>
      <w:r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4673BF">
        <w:rPr>
          <w:rFonts w:eastAsia="Calibri"/>
          <w:color w:val="auto"/>
          <w:szCs w:val="22"/>
          <w:lang w:eastAsia="cs-CZ"/>
        </w:rPr>
        <w:t xml:space="preserve">. </w:t>
      </w:r>
    </w:p>
    <w:p w14:paraId="00202CEC" w14:textId="77777777" w:rsidR="00EB4054" w:rsidRPr="00EB4054" w:rsidRDefault="00EB4054" w:rsidP="00FC307E">
      <w:pPr>
        <w:spacing w:before="0" w:after="120"/>
        <w:rPr>
          <w:rFonts w:asciiTheme="minorHAnsi" w:hAnsiTheme="minorHAnsi" w:cstheme="minorHAnsi"/>
        </w:rPr>
      </w:pPr>
      <w:r w:rsidRPr="004673BF">
        <w:rPr>
          <w:rFonts w:asciiTheme="minorHAnsi" w:hAnsiTheme="minorHAnsi" w:cstheme="minorHAnsi"/>
        </w:rPr>
        <w:t>MŠMT průběh programů a veřejných soutěží monitorovalo pouze tím, že kontrolovalo průběžné a závěrečné zprávy jednotlivých projektů.</w:t>
      </w:r>
    </w:p>
    <w:p w14:paraId="6D68014B" w14:textId="682204C4" w:rsidR="00FC307E" w:rsidRPr="00EB4054" w:rsidRDefault="00035AAB" w:rsidP="00FC307E">
      <w:pPr>
        <w:spacing w:before="0" w:after="120"/>
        <w:rPr>
          <w:rFonts w:eastAsia="Calibri"/>
          <w:color w:val="auto"/>
          <w:szCs w:val="22"/>
          <w:u w:val="single"/>
          <w:lang w:eastAsia="cs-CZ"/>
        </w:rPr>
      </w:pPr>
      <w:r w:rsidRPr="00131BD2">
        <w:rPr>
          <w:rFonts w:eastAsia="Calibri"/>
          <w:color w:val="auto"/>
          <w:szCs w:val="22"/>
          <w:lang w:eastAsia="cs-CZ"/>
        </w:rPr>
        <w:t>Vzhledem k tomu, že MŠMT bude programy COST CZ, EUPRO II, EUREKA CZ, INGO II, KONTAKT</w:t>
      </w:r>
      <w:r w:rsidR="00C468C2">
        <w:rPr>
          <w:rFonts w:eastAsia="Calibri"/>
          <w:color w:val="auto"/>
          <w:szCs w:val="22"/>
          <w:lang w:eastAsia="cs-CZ"/>
        </w:rPr>
        <w:t> </w:t>
      </w:r>
      <w:r w:rsidRPr="00131BD2">
        <w:rPr>
          <w:rFonts w:eastAsia="Calibri"/>
          <w:color w:val="auto"/>
          <w:szCs w:val="22"/>
          <w:lang w:eastAsia="cs-CZ"/>
        </w:rPr>
        <w:t xml:space="preserve">II komplexně vyhodnocovat až po jejich ukončení, nebylo do </w:t>
      </w:r>
      <w:r>
        <w:rPr>
          <w:rFonts w:eastAsia="Calibri"/>
          <w:color w:val="auto"/>
          <w:szCs w:val="22"/>
          <w:lang w:eastAsia="cs-CZ"/>
        </w:rPr>
        <w:t xml:space="preserve">ukončení realizace </w:t>
      </w:r>
      <w:r w:rsidR="00C468C2">
        <w:rPr>
          <w:rFonts w:eastAsia="Calibri"/>
          <w:color w:val="auto"/>
          <w:szCs w:val="22"/>
          <w:lang w:eastAsia="cs-CZ"/>
        </w:rPr>
        <w:t xml:space="preserve">této </w:t>
      </w:r>
      <w:r>
        <w:rPr>
          <w:rFonts w:eastAsia="Calibri"/>
          <w:color w:val="auto"/>
          <w:szCs w:val="22"/>
          <w:lang w:eastAsia="cs-CZ"/>
        </w:rPr>
        <w:t>kontrolní akce</w:t>
      </w:r>
      <w:r w:rsidRPr="00131BD2">
        <w:rPr>
          <w:rFonts w:eastAsia="Calibri"/>
          <w:color w:val="auto"/>
          <w:szCs w:val="22"/>
          <w:lang w:eastAsia="cs-CZ"/>
        </w:rPr>
        <w:t xml:space="preserve"> provedeno vyhodnocení výsledků a přínosů dosažených realizací jednotlivých projektů ve vazbě na cíle vybraných programů. Kontrolované progr</w:t>
      </w:r>
      <w:r>
        <w:rPr>
          <w:rFonts w:eastAsia="Calibri"/>
          <w:color w:val="auto"/>
          <w:szCs w:val="22"/>
          <w:lang w:eastAsia="cs-CZ"/>
        </w:rPr>
        <w:t>amy MŠMT mají být vyhodnoceny v </w:t>
      </w:r>
      <w:r w:rsidRPr="00131BD2">
        <w:rPr>
          <w:rFonts w:eastAsia="Calibri"/>
          <w:color w:val="auto"/>
          <w:szCs w:val="22"/>
          <w:lang w:eastAsia="cs-CZ"/>
        </w:rPr>
        <w:t>roce 2018.</w:t>
      </w:r>
      <w:r w:rsidRPr="008467FB">
        <w:rPr>
          <w:rFonts w:eastAsia="Calibri"/>
          <w:color w:val="auto"/>
          <w:szCs w:val="22"/>
          <w:lang w:eastAsia="cs-CZ"/>
        </w:rPr>
        <w:t xml:space="preserve"> U programů již ukončených v roce 2012 MŠMT provedlo vyhodnocení dle zákona </w:t>
      </w:r>
      <w:r>
        <w:rPr>
          <w:rFonts w:eastAsia="Calibri"/>
          <w:color w:val="auto"/>
          <w:szCs w:val="22"/>
          <w:lang w:eastAsia="cs-CZ"/>
        </w:rPr>
        <w:t xml:space="preserve">o 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8467FB">
        <w:rPr>
          <w:rFonts w:eastAsia="Calibri"/>
          <w:color w:val="auto"/>
          <w:szCs w:val="22"/>
          <w:lang w:eastAsia="cs-CZ"/>
        </w:rPr>
        <w:t xml:space="preserve"> a podle </w:t>
      </w:r>
      <w:r w:rsidRPr="00DD712F">
        <w:rPr>
          <w:rFonts w:eastAsia="Calibri"/>
          <w:i/>
          <w:color w:val="auto"/>
          <w:szCs w:val="22"/>
          <w:lang w:eastAsia="cs-CZ"/>
        </w:rPr>
        <w:t xml:space="preserve">Metodiky hodnocení výsledků výzkumných </w:t>
      </w:r>
      <w:r w:rsidRPr="00DD712F">
        <w:rPr>
          <w:rFonts w:eastAsia="Calibri"/>
          <w:i/>
          <w:color w:val="auto"/>
          <w:szCs w:val="22"/>
          <w:lang w:eastAsia="cs-CZ"/>
        </w:rPr>
        <w:lastRenderedPageBreak/>
        <w:t xml:space="preserve">organizací a hodnocení výsledků ukončených programů </w:t>
      </w:r>
      <w:r w:rsidRPr="00C468C2">
        <w:rPr>
          <w:rFonts w:eastAsia="Calibri"/>
          <w:color w:val="auto"/>
          <w:szCs w:val="22"/>
          <w:lang w:eastAsia="cs-CZ"/>
        </w:rPr>
        <w:t>platné pro léta 2013 až 2016</w:t>
      </w:r>
      <w:r w:rsidRPr="008467FB">
        <w:rPr>
          <w:rFonts w:eastAsia="Calibri"/>
          <w:color w:val="auto"/>
          <w:szCs w:val="22"/>
          <w:lang w:eastAsia="cs-CZ"/>
        </w:rPr>
        <w:t>, po</w:t>
      </w:r>
      <w:r>
        <w:rPr>
          <w:rFonts w:eastAsia="Calibri"/>
          <w:color w:val="auto"/>
          <w:szCs w:val="22"/>
          <w:lang w:eastAsia="cs-CZ"/>
        </w:rPr>
        <w:t xml:space="preserve">dle níž byly hodnoceny </w:t>
      </w:r>
      <w:r w:rsidRPr="008467FB">
        <w:rPr>
          <w:rFonts w:eastAsia="Calibri"/>
          <w:color w:val="auto"/>
          <w:szCs w:val="22"/>
          <w:lang w:eastAsia="cs-CZ"/>
        </w:rPr>
        <w:t xml:space="preserve">programy </w:t>
      </w:r>
      <w:r>
        <w:rPr>
          <w:rFonts w:eastAsia="Calibri"/>
          <w:color w:val="auto"/>
          <w:szCs w:val="22"/>
          <w:lang w:eastAsia="cs-CZ"/>
        </w:rPr>
        <w:t xml:space="preserve">ukončené </w:t>
      </w:r>
      <w:r w:rsidRPr="008467FB">
        <w:rPr>
          <w:rFonts w:eastAsia="Calibri"/>
          <w:color w:val="auto"/>
          <w:szCs w:val="22"/>
          <w:lang w:eastAsia="cs-CZ"/>
        </w:rPr>
        <w:t>v roce 2012. Ačkoliv hodnocení</w:t>
      </w:r>
      <w:r w:rsidR="00EF6214">
        <w:rPr>
          <w:rFonts w:eastAsia="Calibri"/>
          <w:color w:val="auto"/>
          <w:szCs w:val="22"/>
          <w:lang w:eastAsia="cs-CZ"/>
        </w:rPr>
        <w:t xml:space="preserve"> </w:t>
      </w:r>
      <w:r w:rsidR="00EF6214" w:rsidRPr="004673BF">
        <w:rPr>
          <w:rFonts w:eastAsia="Calibri"/>
          <w:color w:val="auto"/>
          <w:szCs w:val="22"/>
          <w:lang w:eastAsia="cs-CZ"/>
        </w:rPr>
        <w:t>poskytovateli</w:t>
      </w:r>
      <w:r w:rsidRPr="004673BF">
        <w:rPr>
          <w:rFonts w:eastAsia="Calibri"/>
          <w:color w:val="auto"/>
          <w:szCs w:val="22"/>
          <w:lang w:eastAsia="cs-CZ"/>
        </w:rPr>
        <w:t xml:space="preserve"> splňuje</w:t>
      </w:r>
      <w:r w:rsidRPr="008467FB">
        <w:rPr>
          <w:rFonts w:eastAsia="Calibri"/>
          <w:color w:val="auto"/>
          <w:szCs w:val="22"/>
          <w:lang w:eastAsia="cs-CZ"/>
        </w:rPr>
        <w:t xml:space="preserve"> veškeré náležitosti stanovené metodikou i je schválené vládou, jedná se spíše o formální hodnocení a nelze posoudit, zda vynaložené prostředky přinesly očekávané přínosy. Programy trvaly již od 90.</w:t>
      </w:r>
      <w:r w:rsidR="00A94D76">
        <w:rPr>
          <w:rFonts w:eastAsia="Calibri"/>
          <w:color w:val="auto"/>
          <w:szCs w:val="22"/>
          <w:lang w:eastAsia="cs-CZ"/>
        </w:rPr>
        <w:t> </w:t>
      </w:r>
      <w:r w:rsidRPr="008467FB">
        <w:rPr>
          <w:rFonts w:eastAsia="Calibri"/>
          <w:color w:val="auto"/>
          <w:szCs w:val="22"/>
          <w:lang w:eastAsia="cs-CZ"/>
        </w:rPr>
        <w:t>let, programy neměly stanovené cíle a vyhodnocení ukončených programů nezahrnov</w:t>
      </w:r>
      <w:r w:rsidR="004673BF">
        <w:rPr>
          <w:rFonts w:eastAsia="Calibri"/>
          <w:color w:val="auto"/>
          <w:szCs w:val="22"/>
          <w:lang w:eastAsia="cs-CZ"/>
        </w:rPr>
        <w:t>alo celou dobu trvání programů.</w:t>
      </w:r>
      <w:r w:rsidRPr="00EB4054">
        <w:rPr>
          <w:rFonts w:eastAsia="Calibri"/>
          <w:strike/>
          <w:color w:val="auto"/>
          <w:szCs w:val="22"/>
          <w:lang w:eastAsia="cs-CZ"/>
        </w:rPr>
        <w:t xml:space="preserve"> </w:t>
      </w:r>
    </w:p>
    <w:p w14:paraId="4A0696DA" w14:textId="3489CAE5" w:rsidR="00FC307E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8467FB">
        <w:rPr>
          <w:rFonts w:eastAsia="Calibri"/>
          <w:color w:val="auto"/>
          <w:szCs w:val="22"/>
          <w:lang w:eastAsia="cs-CZ"/>
        </w:rPr>
        <w:t>MZe nastavilo očekávané výsledky podle z</w:t>
      </w:r>
      <w:r>
        <w:rPr>
          <w:rFonts w:eastAsia="Calibri"/>
          <w:color w:val="auto"/>
          <w:szCs w:val="22"/>
          <w:lang w:eastAsia="cs-CZ"/>
        </w:rPr>
        <w:t>kušeností z předešlých programů.</w:t>
      </w:r>
      <w:r w:rsidRPr="008467FB">
        <w:rPr>
          <w:rFonts w:eastAsia="Calibri"/>
          <w:color w:val="auto"/>
          <w:szCs w:val="22"/>
          <w:lang w:eastAsia="cs-CZ"/>
        </w:rPr>
        <w:t xml:space="preserve"> </w:t>
      </w:r>
      <w:r w:rsidR="00EF6214" w:rsidRPr="008467FB">
        <w:rPr>
          <w:rFonts w:eastAsia="Calibri"/>
          <w:color w:val="auto"/>
          <w:szCs w:val="22"/>
          <w:lang w:eastAsia="cs-CZ"/>
        </w:rPr>
        <w:t xml:space="preserve">Program VAK </w:t>
      </w:r>
      <w:r w:rsidR="00EF6214">
        <w:rPr>
          <w:rFonts w:eastAsia="Calibri"/>
          <w:color w:val="auto"/>
          <w:szCs w:val="22"/>
          <w:lang w:eastAsia="cs-CZ"/>
        </w:rPr>
        <w:t>měl</w:t>
      </w:r>
      <w:r w:rsidR="00EF6214" w:rsidRPr="008467FB">
        <w:rPr>
          <w:rFonts w:eastAsia="Calibri"/>
          <w:color w:val="auto"/>
          <w:szCs w:val="22"/>
          <w:lang w:eastAsia="cs-CZ"/>
        </w:rPr>
        <w:t xml:space="preserve"> </w:t>
      </w:r>
      <w:r w:rsidR="00EF6214">
        <w:rPr>
          <w:rFonts w:eastAsia="Calibri"/>
          <w:color w:val="auto"/>
          <w:szCs w:val="22"/>
          <w:lang w:eastAsia="cs-CZ"/>
        </w:rPr>
        <w:t xml:space="preserve">pro úspěšnost programu </w:t>
      </w:r>
      <w:r w:rsidR="00EF6214" w:rsidRPr="008467FB">
        <w:rPr>
          <w:rFonts w:eastAsia="Calibri"/>
          <w:color w:val="auto"/>
          <w:szCs w:val="22"/>
          <w:lang w:eastAsia="cs-CZ"/>
        </w:rPr>
        <w:t>nastaven</w:t>
      </w:r>
      <w:r w:rsidR="00EF6214">
        <w:rPr>
          <w:rFonts w:eastAsia="Calibri"/>
          <w:color w:val="auto"/>
          <w:szCs w:val="22"/>
          <w:lang w:eastAsia="cs-CZ"/>
        </w:rPr>
        <w:t>u hranici</w:t>
      </w:r>
      <w:r w:rsidR="00EF6214" w:rsidRPr="008467FB">
        <w:rPr>
          <w:rFonts w:eastAsia="Calibri"/>
          <w:color w:val="auto"/>
          <w:szCs w:val="22"/>
          <w:lang w:eastAsia="cs-CZ"/>
        </w:rPr>
        <w:t xml:space="preserve"> </w:t>
      </w:r>
      <w:r w:rsidR="00EF6214">
        <w:rPr>
          <w:rFonts w:eastAsia="Calibri"/>
          <w:color w:val="auto"/>
          <w:szCs w:val="22"/>
          <w:lang w:eastAsia="cs-CZ"/>
        </w:rPr>
        <w:t>m</w:t>
      </w:r>
      <w:r w:rsidR="00EF6214" w:rsidRPr="008467FB">
        <w:rPr>
          <w:rFonts w:eastAsia="Calibri"/>
          <w:color w:val="auto"/>
          <w:szCs w:val="22"/>
          <w:lang w:eastAsia="cs-CZ"/>
        </w:rPr>
        <w:t>inimální</w:t>
      </w:r>
      <w:r w:rsidR="00EF6214">
        <w:rPr>
          <w:rFonts w:eastAsia="Calibri"/>
          <w:color w:val="auto"/>
          <w:szCs w:val="22"/>
          <w:lang w:eastAsia="cs-CZ"/>
        </w:rPr>
        <w:t>ho poč</w:t>
      </w:r>
      <w:r w:rsidR="00EF6214" w:rsidRPr="008467FB">
        <w:rPr>
          <w:rFonts w:eastAsia="Calibri"/>
          <w:color w:val="auto"/>
          <w:szCs w:val="22"/>
          <w:lang w:eastAsia="cs-CZ"/>
        </w:rPr>
        <w:t>t</w:t>
      </w:r>
      <w:r w:rsidR="00EF6214">
        <w:rPr>
          <w:rFonts w:eastAsia="Calibri"/>
          <w:color w:val="auto"/>
          <w:szCs w:val="22"/>
          <w:lang w:eastAsia="cs-CZ"/>
        </w:rPr>
        <w:t>u</w:t>
      </w:r>
      <w:r w:rsidR="00EF6214" w:rsidRPr="008467FB">
        <w:rPr>
          <w:rFonts w:eastAsia="Calibri"/>
          <w:color w:val="auto"/>
          <w:szCs w:val="22"/>
          <w:lang w:eastAsia="cs-CZ"/>
        </w:rPr>
        <w:t xml:space="preserve"> celkových výsledků na 280</w:t>
      </w:r>
      <w:r w:rsidRPr="008467FB">
        <w:rPr>
          <w:rFonts w:eastAsia="Calibri"/>
          <w:color w:val="auto"/>
          <w:szCs w:val="22"/>
          <w:lang w:eastAsia="cs-CZ"/>
        </w:rPr>
        <w:t>, přičemž dosaž</w:t>
      </w:r>
      <w:r>
        <w:rPr>
          <w:rFonts w:eastAsia="Calibri"/>
          <w:color w:val="auto"/>
          <w:szCs w:val="22"/>
          <w:lang w:eastAsia="cs-CZ"/>
        </w:rPr>
        <w:t xml:space="preserve">eno bylo celkově 2 186 výsledků. </w:t>
      </w:r>
      <w:r w:rsidR="00C468C2">
        <w:rPr>
          <w:rFonts w:eastAsia="Calibri"/>
          <w:color w:val="auto"/>
          <w:szCs w:val="22"/>
          <w:lang w:eastAsia="cs-CZ"/>
        </w:rPr>
        <w:t>U</w:t>
      </w:r>
      <w:r w:rsidR="00EF6214">
        <w:rPr>
          <w:rFonts w:eastAsia="Calibri"/>
          <w:color w:val="auto"/>
          <w:szCs w:val="22"/>
          <w:lang w:eastAsia="cs-CZ"/>
        </w:rPr>
        <w:t>kazatel poč</w:t>
      </w:r>
      <w:r w:rsidRPr="008467FB">
        <w:rPr>
          <w:rFonts w:eastAsia="Calibri"/>
          <w:color w:val="auto"/>
          <w:szCs w:val="22"/>
          <w:lang w:eastAsia="cs-CZ"/>
        </w:rPr>
        <w:t>t</w:t>
      </w:r>
      <w:r w:rsidR="00EF6214">
        <w:rPr>
          <w:rFonts w:eastAsia="Calibri"/>
          <w:color w:val="auto"/>
          <w:szCs w:val="22"/>
          <w:lang w:eastAsia="cs-CZ"/>
        </w:rPr>
        <w:t>u</w:t>
      </w:r>
      <w:r w:rsidRPr="008467FB">
        <w:rPr>
          <w:rFonts w:eastAsia="Calibri"/>
          <w:color w:val="auto"/>
          <w:szCs w:val="22"/>
          <w:lang w:eastAsia="cs-CZ"/>
        </w:rPr>
        <w:t xml:space="preserve"> aplikovaných výsledků</w:t>
      </w:r>
      <w:r w:rsidR="00EF6214">
        <w:rPr>
          <w:rFonts w:eastAsia="Calibri"/>
          <w:color w:val="auto"/>
          <w:szCs w:val="22"/>
          <w:lang w:eastAsia="cs-CZ"/>
        </w:rPr>
        <w:t xml:space="preserve"> programu</w:t>
      </w:r>
      <w:r w:rsidRPr="008467FB">
        <w:rPr>
          <w:rFonts w:eastAsia="Calibri"/>
          <w:color w:val="auto"/>
          <w:szCs w:val="22"/>
          <w:lang w:eastAsia="cs-CZ"/>
        </w:rPr>
        <w:t xml:space="preserve"> byl překročen o 78 %. Takto vysoké překročení očekávaných výsledků programu poukazuje na neambiciózně nastavené </w:t>
      </w:r>
      <w:r>
        <w:rPr>
          <w:rFonts w:eastAsia="Calibri"/>
          <w:color w:val="auto"/>
          <w:szCs w:val="22"/>
          <w:lang w:eastAsia="cs-CZ"/>
        </w:rPr>
        <w:t>ukazatele</w:t>
      </w:r>
      <w:r w:rsidRPr="008467FB">
        <w:rPr>
          <w:rFonts w:eastAsia="Calibri"/>
          <w:color w:val="auto"/>
          <w:szCs w:val="22"/>
          <w:lang w:eastAsia="cs-CZ"/>
        </w:rPr>
        <w:t xml:space="preserve"> úspěšnosti programu nebo špatnou reakci na aktuální dění v oblasti </w:t>
      </w:r>
      <w:proofErr w:type="spellStart"/>
      <w:r w:rsidRPr="008467FB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8467FB">
        <w:rPr>
          <w:rFonts w:eastAsia="Calibri"/>
          <w:color w:val="auto"/>
          <w:szCs w:val="22"/>
          <w:lang w:eastAsia="cs-CZ"/>
        </w:rPr>
        <w:t xml:space="preserve">. </w:t>
      </w:r>
    </w:p>
    <w:p w14:paraId="79D6141D" w14:textId="77777777" w:rsidR="00FC307E" w:rsidRPr="008467FB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bCs/>
        </w:rPr>
        <w:t xml:space="preserve">Při </w:t>
      </w:r>
      <w:r w:rsidRPr="00645CEC">
        <w:rPr>
          <w:rFonts w:eastAsia="Calibri"/>
          <w:color w:val="auto"/>
          <w:szCs w:val="22"/>
          <w:lang w:eastAsia="cs-CZ"/>
        </w:rPr>
        <w:t xml:space="preserve">vyhodnocení programu VAK se MZe dopustilo chybných výpočtů týkajících se podílu skutečných výdajů z veřejných zdrojů a podílu spolufinancování. RVVI ve svém hodnocení programu VAK vycházelo z hodnocení tohoto programu </w:t>
      </w:r>
      <w:r>
        <w:rPr>
          <w:rFonts w:eastAsia="Calibri"/>
          <w:color w:val="auto"/>
          <w:szCs w:val="22"/>
          <w:lang w:eastAsia="cs-CZ"/>
        </w:rPr>
        <w:t>MZe</w:t>
      </w:r>
      <w:r w:rsidRPr="00645CEC">
        <w:rPr>
          <w:rFonts w:eastAsia="Calibri"/>
          <w:color w:val="auto"/>
          <w:szCs w:val="22"/>
          <w:lang w:eastAsia="cs-CZ"/>
        </w:rPr>
        <w:t>, a to včetně převzetí chybně vypočtených základních údajů a jejich interpretace.</w:t>
      </w:r>
    </w:p>
    <w:p w14:paraId="24CEA475" w14:textId="25397116" w:rsidR="00635FE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8467FB">
        <w:rPr>
          <w:rFonts w:eastAsia="Calibri"/>
          <w:color w:val="auto"/>
          <w:szCs w:val="22"/>
          <w:lang w:eastAsia="cs-CZ"/>
        </w:rPr>
        <w:t xml:space="preserve">Kontrolou bylo zjištěno, že </w:t>
      </w:r>
      <w:r>
        <w:rPr>
          <w:rFonts w:eastAsia="Calibri"/>
          <w:color w:val="auto"/>
          <w:szCs w:val="22"/>
          <w:lang w:eastAsia="cs-CZ"/>
        </w:rPr>
        <w:t>p</w:t>
      </w:r>
      <w:r w:rsidRPr="00985985">
        <w:rPr>
          <w:rFonts w:eastAsia="Calibri"/>
          <w:color w:val="auto"/>
          <w:szCs w:val="22"/>
          <w:lang w:eastAsia="cs-CZ"/>
        </w:rPr>
        <w:t>říprava a vyhodnocení progr</w:t>
      </w:r>
      <w:r>
        <w:rPr>
          <w:rFonts w:eastAsia="Calibri"/>
          <w:color w:val="auto"/>
          <w:szCs w:val="22"/>
          <w:lang w:eastAsia="cs-CZ"/>
        </w:rPr>
        <w:t>amů účelové podpory probíhaly v </w:t>
      </w:r>
      <w:r w:rsidRPr="00985985">
        <w:rPr>
          <w:rFonts w:eastAsia="Calibri"/>
          <w:color w:val="auto"/>
          <w:szCs w:val="22"/>
          <w:lang w:eastAsia="cs-CZ"/>
        </w:rPr>
        <w:t>souladu s danou legislativou a platnou metodikou, s</w:t>
      </w:r>
      <w:r>
        <w:rPr>
          <w:rFonts w:eastAsia="Calibri"/>
          <w:color w:val="auto"/>
          <w:szCs w:val="22"/>
          <w:lang w:eastAsia="cs-CZ"/>
        </w:rPr>
        <w:t>tanoviska k nim vydávala RVVI a </w:t>
      </w:r>
      <w:r w:rsidRPr="00985985">
        <w:rPr>
          <w:rFonts w:eastAsia="Calibri"/>
          <w:color w:val="auto"/>
          <w:szCs w:val="22"/>
          <w:lang w:eastAsia="cs-CZ"/>
        </w:rPr>
        <w:t>následně je schvalovala vláda ČR.</w:t>
      </w:r>
      <w:r w:rsidRPr="008467FB">
        <w:rPr>
          <w:rFonts w:eastAsia="Calibri"/>
          <w:color w:val="auto"/>
          <w:szCs w:val="22"/>
          <w:lang w:eastAsia="cs-CZ"/>
        </w:rPr>
        <w:t xml:space="preserve"> Přesto příprava a vyhodnocení programů obsahovaly výše uvedené nedostatky</w:t>
      </w:r>
      <w:r w:rsidRPr="00A94D76">
        <w:rPr>
          <w:rFonts w:eastAsia="Calibri"/>
          <w:color w:val="000000" w:themeColor="text1"/>
          <w:szCs w:val="22"/>
          <w:lang w:eastAsia="cs-CZ"/>
        </w:rPr>
        <w:t>.</w:t>
      </w:r>
      <w:r w:rsidR="00635FE3" w:rsidRPr="00A94D76">
        <w:rPr>
          <w:rFonts w:eastAsia="Calibri"/>
          <w:color w:val="000000" w:themeColor="text1"/>
          <w:szCs w:val="22"/>
          <w:lang w:eastAsia="cs-CZ"/>
        </w:rPr>
        <w:t xml:space="preserve"> </w:t>
      </w:r>
      <w:r w:rsidRPr="00A94D76">
        <w:rPr>
          <w:rFonts w:eastAsia="Calibri"/>
          <w:color w:val="000000" w:themeColor="text1"/>
          <w:szCs w:val="22"/>
          <w:lang w:eastAsia="cs-CZ"/>
        </w:rPr>
        <w:t>Na ob</w:t>
      </w:r>
      <w:r w:rsidRPr="00231643">
        <w:rPr>
          <w:rFonts w:eastAsia="Calibri"/>
          <w:color w:val="auto"/>
          <w:szCs w:val="22"/>
          <w:lang w:eastAsia="cs-CZ"/>
        </w:rPr>
        <w:t>dobné nedostatky v přípravě a hodnoc</w:t>
      </w:r>
      <w:r w:rsidR="00635FE3">
        <w:rPr>
          <w:rFonts w:eastAsia="Calibri"/>
          <w:color w:val="auto"/>
          <w:szCs w:val="22"/>
          <w:lang w:eastAsia="cs-CZ"/>
        </w:rPr>
        <w:t xml:space="preserve">ení programů upozornil již mj. </w:t>
      </w:r>
      <w:r w:rsidR="00A94D76">
        <w:rPr>
          <w:rFonts w:eastAsia="Calibri"/>
          <w:color w:val="auto"/>
          <w:szCs w:val="22"/>
          <w:lang w:eastAsia="cs-CZ"/>
        </w:rPr>
        <w:t>m</w:t>
      </w:r>
      <w:r w:rsidRPr="00231643">
        <w:rPr>
          <w:rFonts w:eastAsia="Calibri"/>
          <w:color w:val="auto"/>
          <w:szCs w:val="22"/>
          <w:lang w:eastAsia="cs-CZ"/>
        </w:rPr>
        <w:t>ezinárodní audit výzkumu, vývoje a inovací v České republice (dále také „Mezinárodní audit 2011“), který pro MŠMT v letech 2010</w:t>
      </w:r>
      <w:r>
        <w:rPr>
          <w:rFonts w:eastAsia="Calibri"/>
          <w:color w:val="auto"/>
          <w:szCs w:val="22"/>
          <w:lang w:eastAsia="cs-CZ"/>
        </w:rPr>
        <w:t>–</w:t>
      </w:r>
      <w:r w:rsidRPr="00231643">
        <w:rPr>
          <w:rFonts w:eastAsia="Calibri"/>
          <w:color w:val="auto"/>
          <w:szCs w:val="22"/>
          <w:lang w:eastAsia="cs-CZ"/>
        </w:rPr>
        <w:t xml:space="preserve">2011 provedl mezinárodní tým. </w:t>
      </w:r>
    </w:p>
    <w:p w14:paraId="2687E32A" w14:textId="27B40DD2" w:rsidR="00FC307E" w:rsidRPr="00A94D76" w:rsidRDefault="00635FE3" w:rsidP="00FC307E">
      <w:pPr>
        <w:spacing w:before="0" w:after="120"/>
        <w:rPr>
          <w:rFonts w:eastAsia="Calibri"/>
          <w:color w:val="000000" w:themeColor="text1"/>
          <w:szCs w:val="22"/>
          <w:lang w:eastAsia="cs-CZ"/>
        </w:rPr>
      </w:pPr>
      <w:r w:rsidRPr="004673BF">
        <w:rPr>
          <w:rFonts w:eastAsia="Calibri"/>
          <w:color w:val="auto"/>
          <w:szCs w:val="22"/>
          <w:lang w:eastAsia="cs-CZ"/>
        </w:rPr>
        <w:t>D</w:t>
      </w:r>
      <w:r w:rsidR="00035AAB" w:rsidRPr="004673BF">
        <w:rPr>
          <w:rFonts w:eastAsia="Calibri"/>
          <w:color w:val="auto"/>
          <w:szCs w:val="22"/>
          <w:lang w:eastAsia="cs-CZ"/>
        </w:rPr>
        <w:t>ne 13. května 2015 vláda schválila</w:t>
      </w:r>
      <w:r w:rsidR="00EF6214" w:rsidRPr="004673BF">
        <w:rPr>
          <w:rStyle w:val="Znakapoznpodarou"/>
          <w:rFonts w:eastAsia="Calibri"/>
          <w:color w:val="auto"/>
          <w:szCs w:val="22"/>
          <w:lang w:eastAsia="cs-CZ"/>
        </w:rPr>
        <w:footnoteReference w:id="7"/>
      </w:r>
      <w:r w:rsidR="00035AAB" w:rsidRPr="004673BF">
        <w:rPr>
          <w:rFonts w:eastAsia="Calibri"/>
          <w:color w:val="auto"/>
          <w:szCs w:val="22"/>
          <w:lang w:eastAsia="cs-CZ"/>
        </w:rPr>
        <w:t xml:space="preserve"> </w:t>
      </w:r>
      <w:r w:rsidR="00C468C2">
        <w:rPr>
          <w:rFonts w:eastAsia="Calibri"/>
          <w:color w:val="auto"/>
          <w:szCs w:val="22"/>
          <w:lang w:eastAsia="cs-CZ"/>
        </w:rPr>
        <w:t xml:space="preserve">dokument </w:t>
      </w:r>
      <w:r w:rsidR="00035AAB" w:rsidRPr="00DD712F">
        <w:rPr>
          <w:rFonts w:eastAsia="Calibri"/>
          <w:i/>
          <w:color w:val="auto"/>
          <w:szCs w:val="22"/>
          <w:lang w:eastAsia="cs-CZ"/>
        </w:rPr>
        <w:t>Základní principy přípravy a hodnocení programů a skupin grantových projektů výzkumu, vývoje a inovací</w:t>
      </w:r>
      <w:r w:rsidR="00035AAB" w:rsidRPr="004673BF">
        <w:rPr>
          <w:rFonts w:eastAsia="Calibri"/>
          <w:color w:val="auto"/>
          <w:szCs w:val="22"/>
          <w:lang w:eastAsia="cs-CZ"/>
        </w:rPr>
        <w:t xml:space="preserve"> (dále také „Principy hodnocení“). Systém hodnocení programů v ČR neodpovídal dle </w:t>
      </w:r>
      <w:r w:rsidRPr="004673BF">
        <w:rPr>
          <w:rFonts w:eastAsia="Calibri"/>
          <w:color w:val="auto"/>
          <w:szCs w:val="22"/>
          <w:lang w:eastAsia="cs-CZ"/>
        </w:rPr>
        <w:t>Principů hodnocení</w:t>
      </w:r>
      <w:r w:rsidR="00035AAB" w:rsidRPr="004673BF">
        <w:rPr>
          <w:rFonts w:eastAsia="Calibri"/>
          <w:color w:val="auto"/>
          <w:szCs w:val="22"/>
          <w:lang w:eastAsia="cs-CZ"/>
        </w:rPr>
        <w:t xml:space="preserve"> standardům vyspělých zemí. Kro</w:t>
      </w:r>
      <w:r w:rsidRPr="004673BF">
        <w:rPr>
          <w:rFonts w:eastAsia="Calibri"/>
          <w:color w:val="auto"/>
          <w:szCs w:val="22"/>
          <w:lang w:eastAsia="cs-CZ"/>
        </w:rPr>
        <w:t>mě kritiky současného stavu byla v Principech hodnocení</w:t>
      </w:r>
      <w:r w:rsidR="00035AAB" w:rsidRPr="004673BF">
        <w:rPr>
          <w:rFonts w:eastAsia="Calibri"/>
          <w:color w:val="auto"/>
          <w:szCs w:val="22"/>
          <w:lang w:eastAsia="cs-CZ"/>
        </w:rPr>
        <w:t xml:space="preserve"> stanovena pravidla pro přípravu a způsob hodnocení programů a skupin grantových projektů reagující na zjištěný neuspokojivý stav. Přesto trvalo přibližně rok a tři čtvrtě (do 8. února 2017)</w:t>
      </w:r>
      <w:r w:rsidR="00C468C2">
        <w:rPr>
          <w:rFonts w:eastAsia="Calibri"/>
          <w:color w:val="auto"/>
          <w:szCs w:val="22"/>
          <w:lang w:eastAsia="cs-CZ"/>
        </w:rPr>
        <w:t>,</w:t>
      </w:r>
      <w:r w:rsidR="00035AAB" w:rsidRPr="004673BF">
        <w:rPr>
          <w:rFonts w:eastAsia="Calibri"/>
          <w:color w:val="auto"/>
          <w:szCs w:val="22"/>
          <w:lang w:eastAsia="cs-CZ"/>
        </w:rPr>
        <w:t xml:space="preserve"> než se Principy hodnocení staly součástí obecně závazného dokumentu</w:t>
      </w:r>
      <w:r w:rsidR="003F3253" w:rsidRPr="004673BF">
        <w:rPr>
          <w:rFonts w:eastAsia="Calibri"/>
          <w:color w:val="auto"/>
          <w:szCs w:val="22"/>
          <w:lang w:eastAsia="cs-CZ"/>
        </w:rPr>
        <w:t xml:space="preserve"> (</w:t>
      </w:r>
      <w:r w:rsidR="003F3253" w:rsidRPr="00DD712F">
        <w:rPr>
          <w:rFonts w:eastAsia="Calibri"/>
          <w:i/>
          <w:color w:val="auto"/>
          <w:szCs w:val="22"/>
          <w:lang w:eastAsia="cs-CZ"/>
        </w:rPr>
        <w:t>Metodika hodnocení výzkumných organizací a hodnocení programů účelové podpory výzkumu, vývoje a</w:t>
      </w:r>
      <w:r w:rsidR="00C468C2" w:rsidRPr="00DD712F">
        <w:rPr>
          <w:rFonts w:eastAsia="Calibri"/>
          <w:i/>
          <w:color w:val="auto"/>
          <w:szCs w:val="22"/>
          <w:lang w:eastAsia="cs-CZ"/>
        </w:rPr>
        <w:t> </w:t>
      </w:r>
      <w:r w:rsidR="003F3253" w:rsidRPr="00DD712F">
        <w:rPr>
          <w:rFonts w:eastAsia="Calibri"/>
          <w:i/>
          <w:color w:val="auto"/>
          <w:szCs w:val="22"/>
          <w:lang w:eastAsia="cs-CZ"/>
        </w:rPr>
        <w:t>inovací</w:t>
      </w:r>
      <w:r w:rsidR="003F3253" w:rsidRPr="004673BF">
        <w:rPr>
          <w:rFonts w:eastAsia="Calibri"/>
          <w:color w:val="auto"/>
          <w:szCs w:val="22"/>
          <w:lang w:eastAsia="cs-CZ"/>
        </w:rPr>
        <w:t>, dále také „Metodika 2017+“)</w:t>
      </w:r>
      <w:r w:rsidR="00035AAB" w:rsidRPr="004673BF">
        <w:rPr>
          <w:rFonts w:eastAsia="Calibri"/>
          <w:color w:val="auto"/>
          <w:szCs w:val="22"/>
          <w:lang w:eastAsia="cs-CZ"/>
        </w:rPr>
        <w:t>.</w:t>
      </w:r>
      <w:r w:rsidR="00035AAB" w:rsidRPr="00231643">
        <w:rPr>
          <w:rFonts w:eastAsia="Calibri"/>
          <w:color w:val="auto"/>
          <w:szCs w:val="22"/>
          <w:lang w:eastAsia="cs-CZ"/>
        </w:rPr>
        <w:t xml:space="preserve"> Podle Principů hodnocení navíc budou připravovány a</w:t>
      </w:r>
      <w:r w:rsidR="00C468C2">
        <w:rPr>
          <w:rFonts w:eastAsia="Calibri"/>
          <w:color w:val="auto"/>
          <w:szCs w:val="22"/>
          <w:lang w:eastAsia="cs-CZ"/>
        </w:rPr>
        <w:t> </w:t>
      </w:r>
      <w:r w:rsidR="00035AAB" w:rsidRPr="00231643">
        <w:rPr>
          <w:rFonts w:eastAsia="Calibri"/>
          <w:color w:val="auto"/>
          <w:szCs w:val="22"/>
          <w:lang w:eastAsia="cs-CZ"/>
        </w:rPr>
        <w:t>hodnoceny až programy schvalované vládou od roku 2020, tedy po více než čtyřech a</w:t>
      </w:r>
      <w:r w:rsidR="00C468C2">
        <w:rPr>
          <w:rFonts w:eastAsia="Calibri"/>
          <w:color w:val="auto"/>
          <w:szCs w:val="22"/>
          <w:lang w:eastAsia="cs-CZ"/>
        </w:rPr>
        <w:t> </w:t>
      </w:r>
      <w:r w:rsidR="00035AAB" w:rsidRPr="00231643">
        <w:rPr>
          <w:rFonts w:eastAsia="Calibri"/>
          <w:color w:val="auto"/>
          <w:szCs w:val="22"/>
          <w:lang w:eastAsia="cs-CZ"/>
        </w:rPr>
        <w:t>půl letech od schválení Principů hodnocení vládou a po více než osmi letech od identifikování nedostatků v přípravě a hodnocení programů v rámci Mezinárodního auditu 201</w:t>
      </w:r>
      <w:r w:rsidR="00035AAB" w:rsidRPr="00A94D76">
        <w:rPr>
          <w:rFonts w:eastAsia="Calibri"/>
          <w:color w:val="000000" w:themeColor="text1"/>
          <w:szCs w:val="22"/>
          <w:lang w:eastAsia="cs-CZ"/>
        </w:rPr>
        <w:t>1.</w:t>
      </w:r>
    </w:p>
    <w:p w14:paraId="462280BF" w14:textId="77777777" w:rsidR="00FC307E" w:rsidRPr="00231643" w:rsidRDefault="00035AAB" w:rsidP="009F5BD8">
      <w:pPr>
        <w:spacing w:before="0" w:after="120"/>
        <w:ind w:left="284" w:hanging="284"/>
        <w:jc w:val="left"/>
        <w:rPr>
          <w:b/>
          <w:color w:val="auto"/>
          <w:lang w:eastAsia="cs-CZ"/>
        </w:rPr>
      </w:pPr>
      <w:r>
        <w:rPr>
          <w:b/>
          <w:color w:val="auto"/>
          <w:lang w:eastAsia="cs-CZ"/>
        </w:rPr>
        <w:t xml:space="preserve">2. </w:t>
      </w:r>
      <w:r w:rsidR="009F5BD8">
        <w:rPr>
          <w:b/>
          <w:color w:val="auto"/>
          <w:lang w:eastAsia="cs-CZ"/>
        </w:rPr>
        <w:tab/>
      </w:r>
      <w:r w:rsidRPr="00231643">
        <w:rPr>
          <w:b/>
          <w:color w:val="auto"/>
          <w:lang w:eastAsia="cs-CZ"/>
        </w:rPr>
        <w:t>V rozporu s národním koncepčním dokumentem nebyla podpora základního výzkumu ani institucionální podpora strategicky orientována</w:t>
      </w:r>
    </w:p>
    <w:p w14:paraId="34B20BF5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>V ČR</w:t>
      </w:r>
      <w:r w:rsidRPr="00231643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jsou</w:t>
      </w:r>
      <w:r w:rsidRPr="00231643">
        <w:rPr>
          <w:rFonts w:eastAsia="Calibri"/>
          <w:color w:val="auto"/>
          <w:szCs w:val="22"/>
          <w:lang w:eastAsia="cs-CZ"/>
        </w:rPr>
        <w:t xml:space="preserve"> stanoveny prioritní oblasti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>. Strategické orientování části podpory do těchto oblastí umožní lepší zacílení omezených zdrojů do oblastí s identifikovaným vysokým potenciálem. Strategické orientování podpory by mělo být realizováno v souladu se stanovými pravidly.</w:t>
      </w:r>
    </w:p>
    <w:p w14:paraId="2D81976A" w14:textId="77777777" w:rsidR="00FC307E" w:rsidRPr="0023164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lastRenderedPageBreak/>
        <w:t xml:space="preserve">NKÚ prověřil, </w:t>
      </w:r>
      <w:r>
        <w:rPr>
          <w:rFonts w:eastAsia="Calibri"/>
          <w:color w:val="auto"/>
          <w:szCs w:val="22"/>
          <w:lang w:eastAsia="cs-CZ"/>
        </w:rPr>
        <w:t>jak</w:t>
      </w:r>
      <w:r w:rsidRPr="00231643">
        <w:rPr>
          <w:rFonts w:eastAsia="Calibri"/>
          <w:color w:val="auto"/>
          <w:szCs w:val="22"/>
          <w:lang w:eastAsia="cs-CZ"/>
        </w:rPr>
        <w:t xml:space="preserve"> byly stanoveny prioritní oblasti a jakým způsobem byla podpora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do těchto oblastí strategicky orientována.  </w:t>
      </w:r>
    </w:p>
    <w:p w14:paraId="5F9A7614" w14:textId="7B45634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RVVI dle zákona</w:t>
      </w:r>
      <w:r>
        <w:rPr>
          <w:rFonts w:eastAsia="Calibri"/>
          <w:color w:val="auto"/>
          <w:szCs w:val="22"/>
          <w:lang w:eastAsia="cs-CZ"/>
        </w:rPr>
        <w:t xml:space="preserve"> o 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zabezpečuje zpracování priorit aplikovaného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>. Usnesením vlády ze dne 19. 7. 2012 č. 552</w:t>
      </w:r>
      <w:r w:rsidR="002611FD">
        <w:rPr>
          <w:rStyle w:val="Znakapoznpodarou"/>
          <w:rFonts w:eastAsia="Calibri"/>
          <w:color w:val="auto"/>
          <w:szCs w:val="22"/>
          <w:lang w:eastAsia="cs-CZ"/>
        </w:rPr>
        <w:footnoteReference w:id="8"/>
      </w:r>
      <w:r w:rsidRPr="00231643">
        <w:rPr>
          <w:rFonts w:eastAsia="Calibri"/>
          <w:color w:val="auto"/>
          <w:szCs w:val="22"/>
          <w:lang w:eastAsia="cs-CZ"/>
        </w:rPr>
        <w:t xml:space="preserve"> byly schváleny </w:t>
      </w:r>
      <w:r>
        <w:rPr>
          <w:rFonts w:eastAsia="Calibri"/>
          <w:color w:val="auto"/>
          <w:szCs w:val="22"/>
          <w:lang w:eastAsia="cs-CZ"/>
        </w:rPr>
        <w:t xml:space="preserve">Priority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. </w:t>
      </w:r>
      <w:r w:rsidRPr="00231643">
        <w:rPr>
          <w:rFonts w:eastAsia="Calibri"/>
          <w:color w:val="auto"/>
          <w:szCs w:val="22"/>
          <w:lang w:eastAsia="cs-CZ"/>
        </w:rPr>
        <w:t xml:space="preserve">V rámci Priorit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>, navržených do roku 2030, je definováno celkem šest prioritn</w:t>
      </w:r>
      <w:r>
        <w:rPr>
          <w:rFonts w:eastAsia="Calibri"/>
          <w:color w:val="auto"/>
          <w:szCs w:val="22"/>
          <w:lang w:eastAsia="cs-CZ"/>
        </w:rPr>
        <w:t>ích oblastí</w:t>
      </w:r>
      <w:r w:rsidR="00635FE3">
        <w:rPr>
          <w:rStyle w:val="Znakapoznpodarou"/>
          <w:rFonts w:eastAsia="Calibri"/>
          <w:color w:val="auto"/>
          <w:szCs w:val="22"/>
          <w:lang w:eastAsia="cs-CZ"/>
        </w:rPr>
        <w:footnoteReference w:id="9"/>
      </w:r>
      <w:r>
        <w:rPr>
          <w:rFonts w:eastAsia="Calibri"/>
          <w:color w:val="auto"/>
          <w:szCs w:val="22"/>
          <w:lang w:eastAsia="cs-CZ"/>
        </w:rPr>
        <w:t xml:space="preserve"> a v jejich rámci 24 </w:t>
      </w:r>
      <w:r w:rsidRPr="00231643">
        <w:rPr>
          <w:rFonts w:eastAsia="Calibri"/>
          <w:color w:val="auto"/>
          <w:szCs w:val="22"/>
          <w:lang w:eastAsia="cs-CZ"/>
        </w:rPr>
        <w:t xml:space="preserve">prioritních podoblastí se 170 definovanými konkrétními cíli. Aplikací Priorit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by mělo dojít k efektivnějšímu využívání veřejných prostředků na účelovou podporu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, která tak bude lépe odpovídat klíčovým potřebám rozvoje české společnosti. </w:t>
      </w:r>
    </w:p>
    <w:p w14:paraId="43B0BC6D" w14:textId="6086467F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Strategické orientování podpory do prioritních oblastí má význam především u aplikovaného výzkumu. V rámci formulovaného hlavního přínosu a smyslu národního koncepčního dokumentu Priority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je uvedeno, že rovněž část základního výzkumu by měla být strategicky orientována do stanovených prioritních oblastí, které napomohou řešit zásadní současné a předvídatelné budoucí problémy a výzvy ČR a umožní využít potenciál příležitost</w:t>
      </w:r>
      <w:r w:rsidR="000E5C78">
        <w:rPr>
          <w:rFonts w:eastAsia="Calibri"/>
          <w:color w:val="auto"/>
          <w:szCs w:val="22"/>
          <w:lang w:eastAsia="cs-CZ"/>
        </w:rPr>
        <w:t>í</w:t>
      </w:r>
      <w:r w:rsidRPr="00231643">
        <w:rPr>
          <w:rFonts w:eastAsia="Calibri"/>
          <w:color w:val="auto"/>
          <w:szCs w:val="22"/>
          <w:lang w:eastAsia="cs-CZ"/>
        </w:rPr>
        <w:t xml:space="preserve"> pro vyvážený rozvoj ČR. Přesto nebyla při rozhodování o poskytování podpory ani část základního výzkumu do těchto oblastí strategicky orientována.</w:t>
      </w:r>
    </w:p>
    <w:p w14:paraId="6E396F4C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Z ustanovení Priorit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vyplývá rovněž skutečnost, že je nezbytné promítnout </w:t>
      </w:r>
      <w:r w:rsidRPr="00905A5F">
        <w:rPr>
          <w:rFonts w:eastAsia="Calibri"/>
          <w:color w:val="auto"/>
          <w:szCs w:val="22"/>
          <w:lang w:eastAsia="cs-CZ"/>
        </w:rPr>
        <w:t xml:space="preserve">Priority </w:t>
      </w:r>
      <w:proofErr w:type="spellStart"/>
      <w:r w:rsidRPr="00905A5F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částečně i do poskytování institucionální podpory na rozvoj </w:t>
      </w:r>
      <w:r>
        <w:rPr>
          <w:rFonts w:eastAsia="Calibri"/>
          <w:color w:val="auto"/>
          <w:szCs w:val="22"/>
          <w:lang w:eastAsia="cs-CZ"/>
        </w:rPr>
        <w:t>VO</w:t>
      </w:r>
      <w:r w:rsidRPr="00231643">
        <w:rPr>
          <w:rFonts w:eastAsia="Calibri"/>
          <w:color w:val="auto"/>
          <w:szCs w:val="22"/>
          <w:lang w:eastAsia="cs-CZ"/>
        </w:rPr>
        <w:t>.</w:t>
      </w:r>
      <w:r>
        <w:rPr>
          <w:rFonts w:eastAsia="Calibri"/>
          <w:color w:val="auto"/>
          <w:szCs w:val="22"/>
          <w:lang w:eastAsia="cs-CZ"/>
        </w:rPr>
        <w:t xml:space="preserve"> Přesto nebyly Priority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 v </w:t>
      </w:r>
      <w:r w:rsidRPr="00231643">
        <w:rPr>
          <w:rFonts w:eastAsia="Calibri"/>
          <w:color w:val="auto"/>
          <w:szCs w:val="22"/>
          <w:lang w:eastAsia="cs-CZ"/>
        </w:rPr>
        <w:t>institucionální podpoře zohledněny.</w:t>
      </w:r>
    </w:p>
    <w:p w14:paraId="2C6F9E50" w14:textId="0636783E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V Prioritách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byla dále navržena řada systémových opatření, jejichž realizace je významným předpokladem </w:t>
      </w:r>
      <w:r w:rsidR="000E5C78">
        <w:rPr>
          <w:rFonts w:eastAsia="Calibri"/>
          <w:color w:val="auto"/>
          <w:szCs w:val="22"/>
          <w:lang w:eastAsia="cs-CZ"/>
        </w:rPr>
        <w:t xml:space="preserve">pro </w:t>
      </w:r>
      <w:r w:rsidRPr="00231643">
        <w:rPr>
          <w:rFonts w:eastAsia="Calibri"/>
          <w:color w:val="auto"/>
          <w:szCs w:val="22"/>
          <w:lang w:eastAsia="cs-CZ"/>
        </w:rPr>
        <w:t>naplnění stanovených prioritních cílů. Nikde však nebylo stanoveno</w:t>
      </w:r>
      <w:r w:rsidR="000E5C78">
        <w:rPr>
          <w:rFonts w:eastAsia="Calibri"/>
          <w:color w:val="auto"/>
          <w:szCs w:val="22"/>
          <w:lang w:eastAsia="cs-CZ"/>
        </w:rPr>
        <w:t>,</w:t>
      </w:r>
      <w:r w:rsidRPr="00231643">
        <w:rPr>
          <w:rFonts w:eastAsia="Calibri"/>
          <w:color w:val="auto"/>
          <w:szCs w:val="22"/>
          <w:lang w:eastAsia="cs-CZ"/>
        </w:rPr>
        <w:t xml:space="preserve"> kdo a v jakém termínu je za realizaci těchto opatření odpovědný, ani nebyly stanoveny </w:t>
      </w:r>
      <w:r>
        <w:rPr>
          <w:rFonts w:eastAsia="Calibri"/>
          <w:color w:val="auto"/>
          <w:szCs w:val="22"/>
          <w:lang w:eastAsia="cs-CZ"/>
        </w:rPr>
        <w:t>ukazatele</w:t>
      </w:r>
      <w:r w:rsidRPr="00231643">
        <w:rPr>
          <w:rFonts w:eastAsia="Calibri"/>
          <w:color w:val="auto"/>
          <w:szCs w:val="22"/>
          <w:lang w:eastAsia="cs-CZ"/>
        </w:rPr>
        <w:t>, pomocí kterých by bylo možné plnění</w:t>
      </w:r>
      <w:r>
        <w:rPr>
          <w:rFonts w:eastAsia="Calibri"/>
          <w:color w:val="auto"/>
          <w:szCs w:val="22"/>
          <w:lang w:eastAsia="cs-CZ"/>
        </w:rPr>
        <w:t xml:space="preserve"> těchto opatření vyhodnotit. ÚV ČR </w:t>
      </w:r>
      <w:r w:rsidRPr="00231643">
        <w:rPr>
          <w:rFonts w:eastAsia="Calibri"/>
          <w:color w:val="auto"/>
          <w:szCs w:val="22"/>
          <w:lang w:eastAsia="cs-CZ"/>
        </w:rPr>
        <w:t xml:space="preserve">nechal v rámci přípravy NP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2016 zpracovat vyhodnocení plnění opatření Aktualizace NP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. Tato opatření byla v některých případech obsahově částečně shodná s opatřeními uvedenými v Prioritách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. </w:t>
      </w:r>
      <w:r w:rsidRPr="004673BF">
        <w:rPr>
          <w:rFonts w:eastAsia="Calibri"/>
          <w:color w:val="auto"/>
          <w:szCs w:val="22"/>
          <w:lang w:eastAsia="cs-CZ"/>
        </w:rPr>
        <w:t xml:space="preserve">Vyhodnocení plnění jednotlivých konkrétních opatření uvedených v Prioritách </w:t>
      </w:r>
      <w:proofErr w:type="spellStart"/>
      <w:r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4673BF">
        <w:rPr>
          <w:rFonts w:eastAsia="Calibri"/>
          <w:color w:val="auto"/>
          <w:szCs w:val="22"/>
          <w:lang w:eastAsia="cs-CZ"/>
        </w:rPr>
        <w:t xml:space="preserve"> však ÚV ČR </w:t>
      </w:r>
      <w:r w:rsidR="00CA2E4B" w:rsidRPr="004673BF">
        <w:rPr>
          <w:rFonts w:eastAsia="Calibri"/>
          <w:color w:val="auto"/>
          <w:szCs w:val="22"/>
          <w:lang w:eastAsia="cs-CZ"/>
        </w:rPr>
        <w:t xml:space="preserve">i přes žádost </w:t>
      </w:r>
      <w:r w:rsidR="003F3253" w:rsidRPr="004673BF">
        <w:rPr>
          <w:rFonts w:eastAsia="Calibri"/>
          <w:color w:val="auto"/>
          <w:szCs w:val="22"/>
          <w:lang w:eastAsia="cs-CZ"/>
        </w:rPr>
        <w:t>NKÚ</w:t>
      </w:r>
      <w:r w:rsidRPr="004673BF">
        <w:rPr>
          <w:rFonts w:eastAsia="Calibri"/>
          <w:color w:val="auto"/>
          <w:szCs w:val="22"/>
          <w:lang w:eastAsia="cs-CZ"/>
        </w:rPr>
        <w:t xml:space="preserve"> </w:t>
      </w:r>
      <w:r w:rsidR="00CA2E4B" w:rsidRPr="004673BF">
        <w:rPr>
          <w:rFonts w:eastAsia="Calibri"/>
          <w:color w:val="auto"/>
          <w:szCs w:val="22"/>
          <w:lang w:eastAsia="cs-CZ"/>
        </w:rPr>
        <w:t>nedoložil</w:t>
      </w:r>
      <w:r w:rsidRPr="004673BF">
        <w:rPr>
          <w:rFonts w:eastAsia="Calibri"/>
          <w:color w:val="auto"/>
          <w:szCs w:val="22"/>
          <w:lang w:eastAsia="cs-CZ"/>
        </w:rPr>
        <w:t>.</w:t>
      </w:r>
    </w:p>
    <w:p w14:paraId="51192586" w14:textId="77777777" w:rsidR="00FC307E" w:rsidRPr="00A94D76" w:rsidRDefault="00035AAB" w:rsidP="009F5BD8">
      <w:pPr>
        <w:keepNext/>
        <w:spacing w:before="0" w:after="120"/>
        <w:ind w:left="284" w:hanging="284"/>
        <w:rPr>
          <w:b/>
          <w:color w:val="000000" w:themeColor="text1"/>
        </w:rPr>
      </w:pPr>
      <w:r>
        <w:rPr>
          <w:rFonts w:eastAsia="Calibri"/>
          <w:b/>
          <w:color w:val="auto"/>
          <w:szCs w:val="22"/>
          <w:lang w:eastAsia="cs-CZ"/>
        </w:rPr>
        <w:t xml:space="preserve">3. </w:t>
      </w:r>
      <w:r w:rsidR="009F5BD8">
        <w:rPr>
          <w:rFonts w:eastAsia="Calibri"/>
          <w:b/>
          <w:color w:val="auto"/>
          <w:szCs w:val="22"/>
          <w:lang w:eastAsia="cs-CZ"/>
        </w:rPr>
        <w:tab/>
      </w:r>
      <w:r w:rsidRPr="003D5213">
        <w:rPr>
          <w:rFonts w:eastAsia="Calibri"/>
          <w:b/>
          <w:color w:val="auto"/>
          <w:szCs w:val="22"/>
          <w:lang w:eastAsia="cs-CZ"/>
        </w:rPr>
        <w:t xml:space="preserve">Způsob výběru projektů u </w:t>
      </w:r>
      <w:proofErr w:type="gramStart"/>
      <w:r w:rsidRPr="003D5213">
        <w:rPr>
          <w:rFonts w:eastAsia="Calibri"/>
          <w:b/>
          <w:color w:val="auto"/>
          <w:szCs w:val="22"/>
          <w:lang w:eastAsia="cs-CZ"/>
        </w:rPr>
        <w:t>MZe</w:t>
      </w:r>
      <w:proofErr w:type="gramEnd"/>
      <w:r w:rsidRPr="003D5213">
        <w:rPr>
          <w:rFonts w:eastAsia="Calibri"/>
          <w:b/>
          <w:color w:val="auto"/>
          <w:szCs w:val="22"/>
          <w:lang w:eastAsia="cs-CZ"/>
        </w:rPr>
        <w:t xml:space="preserve"> vytváří riziko netransparentno</w:t>
      </w:r>
      <w:r w:rsidRPr="00A94D76">
        <w:rPr>
          <w:rFonts w:eastAsia="Calibri"/>
          <w:b/>
          <w:color w:val="000000" w:themeColor="text1"/>
          <w:szCs w:val="22"/>
          <w:lang w:eastAsia="cs-CZ"/>
        </w:rPr>
        <w:t>sti</w:t>
      </w:r>
    </w:p>
    <w:p w14:paraId="4CC163F0" w14:textId="393A5BB2" w:rsidR="00FC307E" w:rsidRPr="003D521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>Klíčovými prvky</w:t>
      </w:r>
      <w:r w:rsidRPr="003D5213">
        <w:rPr>
          <w:rFonts w:eastAsia="Calibri"/>
          <w:color w:val="auto"/>
          <w:szCs w:val="22"/>
          <w:lang w:eastAsia="cs-CZ"/>
        </w:rPr>
        <w:t xml:space="preserve"> nezávislého odborného hodnocení </w:t>
      </w:r>
      <w:r>
        <w:rPr>
          <w:rFonts w:eastAsia="Calibri"/>
          <w:color w:val="auto"/>
          <w:szCs w:val="22"/>
          <w:lang w:eastAsia="cs-CZ"/>
        </w:rPr>
        <w:t>návrhů projektů jsou oponentní posudky a </w:t>
      </w:r>
      <w:r w:rsidRPr="003D5213">
        <w:rPr>
          <w:rFonts w:eastAsia="Calibri"/>
          <w:color w:val="auto"/>
          <w:szCs w:val="22"/>
          <w:lang w:eastAsia="cs-CZ"/>
        </w:rPr>
        <w:t xml:space="preserve">nastavená kritéria hodnocení </w:t>
      </w:r>
      <w:r>
        <w:rPr>
          <w:rFonts w:eastAsia="Calibri"/>
          <w:color w:val="auto"/>
          <w:szCs w:val="22"/>
          <w:lang w:eastAsia="cs-CZ"/>
        </w:rPr>
        <w:t xml:space="preserve">návrhů </w:t>
      </w:r>
      <w:r w:rsidRPr="003D5213">
        <w:rPr>
          <w:rFonts w:eastAsia="Calibri"/>
          <w:color w:val="auto"/>
          <w:szCs w:val="22"/>
          <w:lang w:eastAsia="cs-CZ"/>
        </w:rPr>
        <w:t>projektů a konkrétní preference, kter</w:t>
      </w:r>
      <w:r w:rsidR="000E5C78">
        <w:rPr>
          <w:rFonts w:eastAsia="Calibri"/>
          <w:color w:val="auto"/>
          <w:szCs w:val="22"/>
          <w:lang w:eastAsia="cs-CZ"/>
        </w:rPr>
        <w:t>é</w:t>
      </w:r>
      <w:r w:rsidRPr="003D5213">
        <w:rPr>
          <w:rFonts w:eastAsia="Calibri"/>
          <w:color w:val="auto"/>
          <w:szCs w:val="22"/>
          <w:lang w:eastAsia="cs-CZ"/>
        </w:rPr>
        <w:t xml:space="preserve"> jsou všem účastníkům dopředu známá.</w:t>
      </w:r>
    </w:p>
    <w:p w14:paraId="3223DB5C" w14:textId="77777777" w:rsidR="00FC307E" w:rsidRPr="003D521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3D5213">
        <w:rPr>
          <w:rFonts w:eastAsia="Calibri"/>
          <w:color w:val="auto"/>
          <w:szCs w:val="22"/>
          <w:lang w:eastAsia="cs-CZ"/>
        </w:rPr>
        <w:t xml:space="preserve">NKÚ </w:t>
      </w:r>
      <w:r>
        <w:rPr>
          <w:rFonts w:eastAsia="Calibri"/>
          <w:color w:val="auto"/>
          <w:szCs w:val="22"/>
          <w:lang w:eastAsia="cs-CZ"/>
        </w:rPr>
        <w:t xml:space="preserve">u poskytovatelů účelové podpory MZe, MŠMT a MPO </w:t>
      </w:r>
      <w:r w:rsidRPr="003D5213">
        <w:rPr>
          <w:rFonts w:eastAsia="Calibri"/>
          <w:color w:val="auto"/>
          <w:szCs w:val="22"/>
          <w:lang w:eastAsia="cs-CZ"/>
        </w:rPr>
        <w:t xml:space="preserve">prověřil způsob nastavení </w:t>
      </w:r>
      <w:r>
        <w:rPr>
          <w:rFonts w:eastAsia="Calibri"/>
          <w:color w:val="auto"/>
          <w:szCs w:val="22"/>
          <w:lang w:eastAsia="cs-CZ"/>
        </w:rPr>
        <w:t xml:space="preserve">a realizaci </w:t>
      </w:r>
      <w:r w:rsidRPr="003D5213">
        <w:rPr>
          <w:rFonts w:eastAsia="Calibri"/>
          <w:color w:val="auto"/>
          <w:szCs w:val="22"/>
          <w:lang w:eastAsia="cs-CZ"/>
        </w:rPr>
        <w:t>hodnocení návrhů projektů a transparentnost jejich výběru</w:t>
      </w:r>
      <w:r>
        <w:rPr>
          <w:rFonts w:eastAsia="Calibri"/>
          <w:color w:val="auto"/>
          <w:szCs w:val="22"/>
          <w:lang w:eastAsia="cs-CZ"/>
        </w:rPr>
        <w:t>.</w:t>
      </w:r>
    </w:p>
    <w:p w14:paraId="24A324DA" w14:textId="7148B3B0" w:rsidR="00FC307E" w:rsidRPr="006E4240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6E4240">
        <w:rPr>
          <w:rFonts w:eastAsia="Calibri"/>
          <w:color w:val="auto"/>
          <w:szCs w:val="22"/>
          <w:lang w:eastAsia="cs-CZ"/>
        </w:rPr>
        <w:t>Kontrole na MZe byly podrobeny veřejné soutěže</w:t>
      </w:r>
      <w:r>
        <w:rPr>
          <w:rFonts w:eastAsia="Calibri"/>
          <w:color w:val="auto"/>
          <w:szCs w:val="22"/>
          <w:lang w:eastAsia="cs-CZ"/>
        </w:rPr>
        <w:t xml:space="preserve"> (dále také „</w:t>
      </w:r>
      <w:r w:rsidRPr="006E4240">
        <w:rPr>
          <w:rFonts w:eastAsia="Calibri"/>
          <w:color w:val="auto"/>
          <w:szCs w:val="22"/>
          <w:lang w:eastAsia="cs-CZ"/>
        </w:rPr>
        <w:t>VS</w:t>
      </w:r>
      <w:r>
        <w:rPr>
          <w:rFonts w:eastAsia="Calibri"/>
          <w:color w:val="auto"/>
          <w:szCs w:val="22"/>
          <w:lang w:eastAsia="cs-CZ"/>
        </w:rPr>
        <w:t>“)</w:t>
      </w:r>
      <w:r w:rsidRPr="006E4240">
        <w:rPr>
          <w:rFonts w:eastAsia="Calibri"/>
          <w:color w:val="auto"/>
          <w:szCs w:val="22"/>
          <w:lang w:eastAsia="cs-CZ"/>
        </w:rPr>
        <w:t xml:space="preserve"> roku 2014 a 2015 </w:t>
      </w:r>
      <w:r w:rsidR="00B223CE">
        <w:rPr>
          <w:rFonts w:eastAsia="Calibri"/>
          <w:color w:val="auto"/>
          <w:szCs w:val="22"/>
          <w:lang w:eastAsia="cs-CZ"/>
        </w:rPr>
        <w:t>p</w:t>
      </w:r>
      <w:r w:rsidRPr="006E4240">
        <w:rPr>
          <w:rFonts w:eastAsia="Calibri"/>
          <w:color w:val="auto"/>
          <w:szCs w:val="22"/>
          <w:lang w:eastAsia="cs-CZ"/>
        </w:rPr>
        <w:t>rogramu KUS. Z podpořených 29 projektů ve</w:t>
      </w:r>
      <w:r>
        <w:rPr>
          <w:rFonts w:eastAsia="Calibri"/>
          <w:color w:val="auto"/>
          <w:szCs w:val="22"/>
          <w:lang w:eastAsia="cs-CZ"/>
        </w:rPr>
        <w:t xml:space="preserve"> VS </w:t>
      </w:r>
      <w:r w:rsidRPr="006E4240">
        <w:rPr>
          <w:rFonts w:eastAsia="Calibri"/>
          <w:color w:val="auto"/>
          <w:szCs w:val="22"/>
          <w:lang w:eastAsia="cs-CZ"/>
        </w:rPr>
        <w:t xml:space="preserve">2015 </w:t>
      </w:r>
      <w:r w:rsidR="00B223CE">
        <w:rPr>
          <w:rFonts w:eastAsia="Calibri"/>
          <w:color w:val="auto"/>
          <w:szCs w:val="22"/>
          <w:lang w:eastAsia="cs-CZ"/>
        </w:rPr>
        <w:t>p</w:t>
      </w:r>
      <w:r w:rsidRPr="006E4240">
        <w:rPr>
          <w:rFonts w:eastAsia="Calibri"/>
          <w:color w:val="auto"/>
          <w:szCs w:val="22"/>
          <w:lang w:eastAsia="cs-CZ"/>
        </w:rPr>
        <w:t xml:space="preserve">rogramu KUS bylo 9 projektů, kterým </w:t>
      </w:r>
      <w:r>
        <w:rPr>
          <w:rFonts w:eastAsia="Calibri"/>
          <w:color w:val="auto"/>
          <w:szCs w:val="22"/>
          <w:lang w:eastAsia="cs-CZ"/>
        </w:rPr>
        <w:t>programová komise</w:t>
      </w:r>
      <w:r w:rsidRPr="006E4240">
        <w:rPr>
          <w:rFonts w:eastAsia="Calibri"/>
          <w:color w:val="auto"/>
          <w:szCs w:val="22"/>
          <w:lang w:eastAsia="cs-CZ"/>
        </w:rPr>
        <w:t xml:space="preserve"> změnila pořadí oproti schválenému pořadí </w:t>
      </w:r>
      <w:r>
        <w:rPr>
          <w:rFonts w:eastAsia="Calibri"/>
          <w:color w:val="auto"/>
          <w:szCs w:val="22"/>
          <w:lang w:eastAsia="cs-CZ"/>
        </w:rPr>
        <w:t>pracovní skupinou</w:t>
      </w:r>
      <w:r w:rsidRPr="006E4240">
        <w:rPr>
          <w:rFonts w:eastAsia="Calibri"/>
          <w:color w:val="auto"/>
          <w:szCs w:val="22"/>
          <w:lang w:eastAsia="cs-CZ"/>
        </w:rPr>
        <w:t xml:space="preserve">, na základě čehož se projekty dostaly mezi podpořené z </w:t>
      </w:r>
      <w:r w:rsidR="00B223CE">
        <w:rPr>
          <w:rFonts w:eastAsia="Calibri"/>
          <w:color w:val="auto"/>
          <w:szCs w:val="22"/>
          <w:lang w:eastAsia="cs-CZ"/>
        </w:rPr>
        <w:t>p</w:t>
      </w:r>
      <w:r w:rsidRPr="006E4240">
        <w:rPr>
          <w:rFonts w:eastAsia="Calibri"/>
          <w:color w:val="auto"/>
          <w:szCs w:val="22"/>
          <w:lang w:eastAsia="cs-CZ"/>
        </w:rPr>
        <w:t xml:space="preserve">rogramu KUS. Tedy přibližně třetina podpořených projektů </w:t>
      </w:r>
      <w:r w:rsidR="00B223CE">
        <w:rPr>
          <w:rFonts w:eastAsia="Calibri"/>
          <w:color w:val="auto"/>
          <w:szCs w:val="22"/>
          <w:lang w:eastAsia="cs-CZ"/>
        </w:rPr>
        <w:t>p</w:t>
      </w:r>
      <w:r w:rsidRPr="006E4240">
        <w:rPr>
          <w:rFonts w:eastAsia="Calibri"/>
          <w:color w:val="auto"/>
          <w:szCs w:val="22"/>
          <w:lang w:eastAsia="cs-CZ"/>
        </w:rPr>
        <w:t xml:space="preserve">rogramu KUS ve VS 2015 byla podpořena až na základě hodnocení </w:t>
      </w:r>
      <w:r>
        <w:rPr>
          <w:rFonts w:eastAsia="Calibri"/>
          <w:color w:val="auto"/>
          <w:szCs w:val="22"/>
          <w:lang w:eastAsia="cs-CZ"/>
        </w:rPr>
        <w:t>programové komise</w:t>
      </w:r>
      <w:r w:rsidRPr="006E4240">
        <w:rPr>
          <w:rFonts w:eastAsia="Calibri"/>
          <w:color w:val="auto"/>
          <w:szCs w:val="22"/>
          <w:lang w:eastAsia="cs-CZ"/>
        </w:rPr>
        <w:t xml:space="preserve">. V obou VS byly schváleny změny ze strany poskytovatele, které byly </w:t>
      </w:r>
      <w:r w:rsidRPr="006E4240">
        <w:rPr>
          <w:rFonts w:eastAsia="Calibri"/>
          <w:color w:val="auto"/>
          <w:szCs w:val="22"/>
          <w:lang w:eastAsia="cs-CZ"/>
        </w:rPr>
        <w:lastRenderedPageBreak/>
        <w:t>podložen</w:t>
      </w:r>
      <w:r w:rsidR="006057EC">
        <w:rPr>
          <w:rFonts w:eastAsia="Calibri"/>
          <w:color w:val="auto"/>
          <w:szCs w:val="22"/>
          <w:lang w:eastAsia="cs-CZ"/>
        </w:rPr>
        <w:t>y</w:t>
      </w:r>
      <w:r w:rsidRPr="006E4240">
        <w:rPr>
          <w:rFonts w:eastAsia="Calibri"/>
          <w:color w:val="auto"/>
          <w:szCs w:val="22"/>
          <w:lang w:eastAsia="cs-CZ"/>
        </w:rPr>
        <w:t xml:space="preserve"> písemným odůvodněním. MZe si v ZD vymezuje, že </w:t>
      </w:r>
      <w:r w:rsidR="006057EC">
        <w:rPr>
          <w:rFonts w:eastAsia="Calibri"/>
          <w:color w:val="auto"/>
          <w:szCs w:val="22"/>
          <w:lang w:eastAsia="cs-CZ"/>
        </w:rPr>
        <w:t>o</w:t>
      </w:r>
      <w:r w:rsidRPr="006E4240">
        <w:rPr>
          <w:rFonts w:eastAsia="Calibri"/>
          <w:color w:val="auto"/>
          <w:szCs w:val="22"/>
          <w:lang w:eastAsia="cs-CZ"/>
        </w:rPr>
        <w:t xml:space="preserve">dborný poradní orgán </w:t>
      </w:r>
      <w:r>
        <w:rPr>
          <w:rFonts w:eastAsia="Calibri"/>
          <w:color w:val="auto"/>
          <w:szCs w:val="22"/>
          <w:lang w:eastAsia="cs-CZ"/>
        </w:rPr>
        <w:t>–</w:t>
      </w:r>
      <w:r w:rsidRPr="006E4240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programová komise</w:t>
      </w:r>
      <w:r w:rsidRPr="006E4240">
        <w:rPr>
          <w:rFonts w:eastAsia="Calibri"/>
          <w:color w:val="auto"/>
          <w:szCs w:val="22"/>
          <w:lang w:eastAsia="cs-CZ"/>
        </w:rPr>
        <w:t xml:space="preserve"> mohl upravit pořadí v souladu s vyhlášenými prioritami poskytovatele, prioritami ČR nebo EU. Nastavení systému hodnocení projektů a výběru projektů přináší riziko netransparentnosti. Při konečném schvalování pořadí podpořených projektů jsou kromě předem známých kritérií prováděny změny dle preferencí </w:t>
      </w:r>
      <w:r w:rsidRPr="00F426B1">
        <w:rPr>
          <w:rFonts w:eastAsia="Calibri"/>
          <w:color w:val="auto"/>
          <w:szCs w:val="22"/>
          <w:lang w:eastAsia="cs-CZ"/>
        </w:rPr>
        <w:t>(změny v souladu s vyhlášenými prioritami poskytovatele, prioritami ČR nebo EU).</w:t>
      </w:r>
      <w:r w:rsidRPr="006E4240">
        <w:rPr>
          <w:rFonts w:eastAsia="Calibri"/>
          <w:color w:val="auto"/>
          <w:szCs w:val="22"/>
          <w:lang w:eastAsia="cs-CZ"/>
        </w:rPr>
        <w:t xml:space="preserve"> Tato obecná formulace dává pravomoc rozhodnout v podstatě jakkoliv.</w:t>
      </w:r>
    </w:p>
    <w:p w14:paraId="21C97D2A" w14:textId="27EB0D9D" w:rsidR="00FC307E" w:rsidRPr="006E4240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6E4240">
        <w:rPr>
          <w:rFonts w:eastAsia="Calibri"/>
          <w:color w:val="auto"/>
          <w:szCs w:val="22"/>
          <w:lang w:eastAsia="cs-CZ"/>
        </w:rPr>
        <w:t xml:space="preserve">Změny v pořadí hodnocených návrhů projektů poskytovatelem oproti pořadí vzniklém na základě nezávislých oponentních posudků NKÚ zjistil již v předchozích kontrolních akcích v oblasti </w:t>
      </w:r>
      <w:proofErr w:type="spellStart"/>
      <w:r w:rsidRPr="006E4240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6E4240">
        <w:rPr>
          <w:rFonts w:eastAsia="Calibri"/>
          <w:color w:val="auto"/>
          <w:szCs w:val="22"/>
          <w:lang w:eastAsia="cs-CZ"/>
        </w:rPr>
        <w:t>. Významné změny byly zjištěny zejména u TA</w:t>
      </w:r>
      <w:r>
        <w:rPr>
          <w:rFonts w:eastAsia="Calibri"/>
          <w:color w:val="auto"/>
          <w:szCs w:val="22"/>
          <w:lang w:eastAsia="cs-CZ"/>
        </w:rPr>
        <w:t xml:space="preserve"> </w:t>
      </w:r>
      <w:r w:rsidRPr="006E4240">
        <w:rPr>
          <w:rFonts w:eastAsia="Calibri"/>
          <w:color w:val="auto"/>
          <w:szCs w:val="22"/>
          <w:lang w:eastAsia="cs-CZ"/>
        </w:rPr>
        <w:t>Č</w:t>
      </w:r>
      <w:r>
        <w:rPr>
          <w:rFonts w:eastAsia="Calibri"/>
          <w:color w:val="auto"/>
          <w:szCs w:val="22"/>
          <w:lang w:eastAsia="cs-CZ"/>
        </w:rPr>
        <w:t>R v rámci KA 15/27</w:t>
      </w:r>
      <w:r w:rsidR="006057EC">
        <w:rPr>
          <w:rStyle w:val="Znakapoznpodarou"/>
          <w:rFonts w:eastAsia="Calibri"/>
          <w:color w:val="auto"/>
          <w:szCs w:val="22"/>
          <w:lang w:eastAsia="cs-CZ"/>
        </w:rPr>
        <w:footnoteReference w:id="10"/>
      </w:r>
      <w:r>
        <w:rPr>
          <w:rFonts w:eastAsia="Calibri"/>
          <w:color w:val="auto"/>
          <w:szCs w:val="22"/>
          <w:lang w:eastAsia="cs-CZ"/>
        </w:rPr>
        <w:t xml:space="preserve"> a částečně i </w:t>
      </w:r>
      <w:r w:rsidRPr="006E4240">
        <w:rPr>
          <w:rFonts w:eastAsia="Calibri"/>
          <w:color w:val="auto"/>
          <w:szCs w:val="22"/>
          <w:lang w:eastAsia="cs-CZ"/>
        </w:rPr>
        <w:t>u GA</w:t>
      </w:r>
      <w:r>
        <w:rPr>
          <w:rFonts w:eastAsia="Calibri"/>
          <w:color w:val="auto"/>
          <w:szCs w:val="22"/>
          <w:lang w:eastAsia="cs-CZ"/>
        </w:rPr>
        <w:t xml:space="preserve"> </w:t>
      </w:r>
      <w:r w:rsidRPr="006E4240">
        <w:rPr>
          <w:rFonts w:eastAsia="Calibri"/>
          <w:color w:val="auto"/>
          <w:szCs w:val="22"/>
          <w:lang w:eastAsia="cs-CZ"/>
        </w:rPr>
        <w:t>ČR v rámci KA 16/19</w:t>
      </w:r>
      <w:r w:rsidR="006057EC">
        <w:rPr>
          <w:rStyle w:val="Znakapoznpodarou"/>
          <w:rFonts w:eastAsia="Calibri"/>
          <w:color w:val="auto"/>
          <w:szCs w:val="22"/>
          <w:lang w:eastAsia="cs-CZ"/>
        </w:rPr>
        <w:footnoteReference w:id="11"/>
      </w:r>
      <w:r w:rsidRPr="006E4240">
        <w:rPr>
          <w:rFonts w:eastAsia="Calibri"/>
          <w:color w:val="auto"/>
          <w:szCs w:val="22"/>
          <w:lang w:eastAsia="cs-CZ"/>
        </w:rPr>
        <w:t>. Uvedený postup v případě MZe, TA</w:t>
      </w:r>
      <w:r>
        <w:rPr>
          <w:rFonts w:eastAsia="Calibri"/>
          <w:color w:val="auto"/>
          <w:szCs w:val="22"/>
          <w:lang w:eastAsia="cs-CZ"/>
        </w:rPr>
        <w:t xml:space="preserve"> </w:t>
      </w:r>
      <w:r w:rsidRPr="006E4240">
        <w:rPr>
          <w:rFonts w:eastAsia="Calibri"/>
          <w:color w:val="auto"/>
          <w:szCs w:val="22"/>
          <w:lang w:eastAsia="cs-CZ"/>
        </w:rPr>
        <w:t>ČR ani GA</w:t>
      </w:r>
      <w:r>
        <w:rPr>
          <w:rFonts w:eastAsia="Calibri"/>
          <w:color w:val="auto"/>
          <w:szCs w:val="22"/>
          <w:lang w:eastAsia="cs-CZ"/>
        </w:rPr>
        <w:t xml:space="preserve"> </w:t>
      </w:r>
      <w:r w:rsidRPr="006E4240">
        <w:rPr>
          <w:rFonts w:eastAsia="Calibri"/>
          <w:color w:val="auto"/>
          <w:szCs w:val="22"/>
          <w:lang w:eastAsia="cs-CZ"/>
        </w:rPr>
        <w:t xml:space="preserve">ČR nebyl v rozporu se zákonem </w:t>
      </w:r>
      <w:r>
        <w:rPr>
          <w:rFonts w:eastAsia="Calibri"/>
          <w:color w:val="auto"/>
          <w:szCs w:val="22"/>
          <w:lang w:eastAsia="cs-CZ"/>
        </w:rPr>
        <w:t xml:space="preserve">o 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>,</w:t>
      </w:r>
      <w:r w:rsidRPr="006E4240">
        <w:rPr>
          <w:rFonts w:eastAsia="Calibri"/>
          <w:color w:val="auto"/>
          <w:szCs w:val="22"/>
          <w:lang w:eastAsia="cs-CZ"/>
        </w:rPr>
        <w:t xml:space="preserve"> který dává poskytovatelům možnost měnit návrh pořadí návrhů projektů stanovený odborným poradním orgánem, pokud toto rozhodnutí písemně odůvodní a své rozhodnutí zveřejní. Tento postup však umožňuje nerespektovat výsledky odborných jednání a oponentních posudků externích hodnotitelů, včetně zahraničních, které by měly být zárukou odborného, nezávislého a transparentního posouzení.</w:t>
      </w:r>
    </w:p>
    <w:p w14:paraId="49D3700D" w14:textId="7B152A54" w:rsidR="00FC307E" w:rsidRPr="006E4240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6E4240">
        <w:rPr>
          <w:rFonts w:eastAsia="Calibri"/>
          <w:color w:val="auto"/>
          <w:szCs w:val="22"/>
          <w:lang w:eastAsia="cs-CZ"/>
        </w:rPr>
        <w:t xml:space="preserve">MPO postupovalo </w:t>
      </w:r>
      <w:r w:rsidR="00051394">
        <w:rPr>
          <w:rFonts w:eastAsia="Calibri"/>
          <w:color w:val="auto"/>
          <w:szCs w:val="22"/>
          <w:lang w:eastAsia="cs-CZ"/>
        </w:rPr>
        <w:t>v roce 20</w:t>
      </w:r>
      <w:r w:rsidR="00051394" w:rsidRPr="006E4240">
        <w:rPr>
          <w:rFonts w:eastAsia="Calibri"/>
          <w:color w:val="auto"/>
          <w:szCs w:val="22"/>
          <w:lang w:eastAsia="cs-CZ"/>
        </w:rPr>
        <w:t xml:space="preserve">12 </w:t>
      </w:r>
      <w:r w:rsidRPr="006E4240">
        <w:rPr>
          <w:rFonts w:eastAsia="Calibri"/>
          <w:color w:val="auto"/>
          <w:szCs w:val="22"/>
          <w:lang w:eastAsia="cs-CZ"/>
        </w:rPr>
        <w:t xml:space="preserve">při </w:t>
      </w:r>
      <w:r>
        <w:rPr>
          <w:rFonts w:eastAsia="Calibri"/>
          <w:color w:val="auto"/>
          <w:szCs w:val="22"/>
          <w:lang w:eastAsia="cs-CZ"/>
        </w:rPr>
        <w:t xml:space="preserve">přijímání návrhů projektů ve VS </w:t>
      </w:r>
      <w:r w:rsidRPr="006E4240">
        <w:rPr>
          <w:rFonts w:eastAsia="Calibri"/>
          <w:color w:val="auto"/>
          <w:szCs w:val="22"/>
          <w:lang w:eastAsia="cs-CZ"/>
        </w:rPr>
        <w:t>programu TIP transparentním způsobem. Na vybraném vzorku podpořených projektů bylo skupinou kontrolujících ověřeno hodnocení a výběr návrhů projektů, které byl</w:t>
      </w:r>
      <w:r w:rsidR="00051394">
        <w:rPr>
          <w:rFonts w:eastAsia="Calibri"/>
          <w:color w:val="auto"/>
          <w:szCs w:val="22"/>
          <w:lang w:eastAsia="cs-CZ"/>
        </w:rPr>
        <w:t>y</w:t>
      </w:r>
      <w:r w:rsidRPr="006E4240">
        <w:rPr>
          <w:rFonts w:eastAsia="Calibri"/>
          <w:color w:val="auto"/>
          <w:szCs w:val="22"/>
          <w:lang w:eastAsia="cs-CZ"/>
        </w:rPr>
        <w:t xml:space="preserve"> v souladu s vyhlášenými pravidly. Hodnocení a výběr projektů za celou </w:t>
      </w:r>
      <w:r>
        <w:rPr>
          <w:rFonts w:eastAsia="Calibri"/>
          <w:color w:val="auto"/>
          <w:szCs w:val="22"/>
          <w:lang w:eastAsia="cs-CZ"/>
        </w:rPr>
        <w:t>VS</w:t>
      </w:r>
      <w:r w:rsidRPr="006E4240">
        <w:rPr>
          <w:rFonts w:eastAsia="Calibri"/>
          <w:color w:val="auto"/>
          <w:szCs w:val="22"/>
          <w:lang w:eastAsia="cs-CZ"/>
        </w:rPr>
        <w:t xml:space="preserve"> však lze zpětně vyhodnotit jen obtížně, jelikož </w:t>
      </w:r>
      <w:r w:rsidR="00F6281E" w:rsidRPr="004673BF">
        <w:rPr>
          <w:rFonts w:eastAsia="Calibri"/>
          <w:color w:val="auto"/>
          <w:szCs w:val="22"/>
          <w:lang w:eastAsia="cs-CZ"/>
        </w:rPr>
        <w:t>již</w:t>
      </w:r>
      <w:r w:rsidR="00F6281E">
        <w:rPr>
          <w:rFonts w:eastAsia="Calibri"/>
          <w:color w:val="auto"/>
          <w:szCs w:val="22"/>
          <w:lang w:eastAsia="cs-CZ"/>
        </w:rPr>
        <w:t xml:space="preserve"> </w:t>
      </w:r>
      <w:r w:rsidRPr="006E4240">
        <w:rPr>
          <w:rFonts w:eastAsia="Calibri"/>
          <w:color w:val="auto"/>
          <w:szCs w:val="22"/>
          <w:lang w:eastAsia="cs-CZ"/>
        </w:rPr>
        <w:t xml:space="preserve">neexistuje souhrnný seznam s bodovým ohodnocením návrhů projektů jednotlivými oponenty a konečným vyhodnocením zpravodajem. </w:t>
      </w:r>
    </w:p>
    <w:p w14:paraId="4F7E7A9D" w14:textId="3E86C7F0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6E4240">
        <w:rPr>
          <w:rFonts w:eastAsia="Calibri"/>
          <w:color w:val="auto"/>
          <w:szCs w:val="22"/>
          <w:lang w:eastAsia="cs-CZ"/>
        </w:rPr>
        <w:t xml:space="preserve">Kontrole na MŠMT byly podrobeny </w:t>
      </w:r>
      <w:r>
        <w:rPr>
          <w:rFonts w:eastAsia="Calibri"/>
          <w:color w:val="auto"/>
          <w:szCs w:val="22"/>
          <w:lang w:eastAsia="cs-CZ"/>
        </w:rPr>
        <w:t>VS</w:t>
      </w:r>
      <w:r w:rsidRPr="006E4240">
        <w:rPr>
          <w:rFonts w:eastAsia="Calibri"/>
          <w:color w:val="auto"/>
          <w:szCs w:val="22"/>
          <w:lang w:eastAsia="cs-CZ"/>
        </w:rPr>
        <w:t xml:space="preserve"> programu EUPRO II, EUREKA CZ, NÁVRAT, KONTAKT II </w:t>
      </w:r>
      <w:r w:rsidR="00051394">
        <w:rPr>
          <w:rFonts w:eastAsia="Calibri"/>
          <w:color w:val="auto"/>
          <w:szCs w:val="22"/>
          <w:lang w:eastAsia="cs-CZ"/>
        </w:rPr>
        <w:t>uskutečněné v roce 2012</w:t>
      </w:r>
      <w:r w:rsidRPr="006E4240">
        <w:rPr>
          <w:rFonts w:eastAsia="Calibri"/>
          <w:color w:val="auto"/>
          <w:szCs w:val="22"/>
          <w:lang w:eastAsia="cs-CZ"/>
        </w:rPr>
        <w:t xml:space="preserve"> a </w:t>
      </w:r>
      <w:r>
        <w:rPr>
          <w:rFonts w:eastAsia="Calibri"/>
          <w:color w:val="auto"/>
          <w:szCs w:val="22"/>
          <w:lang w:eastAsia="cs-CZ"/>
        </w:rPr>
        <w:t>VS</w:t>
      </w:r>
      <w:r w:rsidRPr="006E4240">
        <w:rPr>
          <w:rFonts w:eastAsia="Calibri"/>
          <w:color w:val="auto"/>
          <w:szCs w:val="22"/>
          <w:lang w:eastAsia="cs-CZ"/>
        </w:rPr>
        <w:t xml:space="preserve"> programu NÁVRAT</w:t>
      </w:r>
      <w:r w:rsidR="00051394">
        <w:rPr>
          <w:rFonts w:eastAsia="Calibri"/>
          <w:color w:val="auto"/>
          <w:szCs w:val="22"/>
          <w:lang w:eastAsia="cs-CZ"/>
        </w:rPr>
        <w:t xml:space="preserve"> uskutečněná v roce 2013</w:t>
      </w:r>
      <w:r w:rsidRPr="006E4240">
        <w:rPr>
          <w:rFonts w:eastAsia="Calibri"/>
          <w:color w:val="auto"/>
          <w:szCs w:val="22"/>
          <w:lang w:eastAsia="cs-CZ"/>
        </w:rPr>
        <w:t>. Kontrolou bylo zjištěno, že hodnocení a výběr návrhů projektů k podpoře byl prováděn transparentním způsobem.</w:t>
      </w:r>
    </w:p>
    <w:p w14:paraId="4232B559" w14:textId="77777777" w:rsidR="00FC307E" w:rsidRPr="007967C7" w:rsidRDefault="00035AAB" w:rsidP="008C6CFA">
      <w:pPr>
        <w:keepNext/>
        <w:spacing w:before="0" w:after="120"/>
        <w:ind w:left="284" w:hanging="284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 xml:space="preserve">4. </w:t>
      </w:r>
      <w:r w:rsidR="008C6CFA">
        <w:rPr>
          <w:rFonts w:eastAsia="Calibri"/>
          <w:b/>
          <w:color w:val="auto"/>
          <w:szCs w:val="22"/>
          <w:lang w:eastAsia="cs-CZ"/>
        </w:rPr>
        <w:tab/>
      </w:r>
      <w:r w:rsidRPr="007967C7">
        <w:rPr>
          <w:rFonts w:eastAsia="Calibri"/>
          <w:b/>
          <w:color w:val="auto"/>
          <w:szCs w:val="22"/>
          <w:lang w:eastAsia="cs-CZ"/>
        </w:rPr>
        <w:t>Institucionální podpora byla poskytována na základě hodnocení výzkumných organizací, které vykazovalo velké množství systémových nedostatků</w:t>
      </w:r>
    </w:p>
    <w:p w14:paraId="2E63E8C8" w14:textId="53B10C5E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Institucionální podpora představuje přibližně polovinu veškeré podpory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ze státního rozpočtu. Největší část této podpory je určena na </w:t>
      </w:r>
      <w:r>
        <w:rPr>
          <w:rFonts w:eastAsia="Calibri"/>
          <w:color w:val="auto"/>
          <w:szCs w:val="22"/>
          <w:lang w:eastAsia="cs-CZ"/>
        </w:rPr>
        <w:t>dlouhodobý koncepční rozvoj výzkumné organizace (dále také „DKRVO“)</w:t>
      </w:r>
      <w:r w:rsidRPr="00231643">
        <w:rPr>
          <w:rFonts w:eastAsia="Calibri"/>
          <w:color w:val="auto"/>
          <w:szCs w:val="22"/>
          <w:lang w:eastAsia="cs-CZ"/>
        </w:rPr>
        <w:t>. Systém rozdělování této podpory by měl s ohledem na stanovené priority reflektovat zejména koncepci a předpoklady budoucího rozvoje těchto výzkumných organizací.</w:t>
      </w:r>
    </w:p>
    <w:p w14:paraId="49E60524" w14:textId="77777777" w:rsidR="00FC307E" w:rsidRPr="0023164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NKÚ prověřil způsob rozdělování institucionální podpory výzkumným organizacím na jejich koncepční rozvoj.</w:t>
      </w:r>
    </w:p>
    <w:p w14:paraId="186010AB" w14:textId="2AFB0CFC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Institucionální podporu lze ze zákona</w:t>
      </w:r>
      <w:r>
        <w:rPr>
          <w:rFonts w:eastAsia="Calibri"/>
          <w:color w:val="auto"/>
          <w:szCs w:val="22"/>
          <w:lang w:eastAsia="cs-CZ"/>
        </w:rPr>
        <w:t xml:space="preserve"> o 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poskytnout na mezinárodní spolupráci, operační programy ve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, zabezpečení veřejných soutěží, věcné nebo finanční ocenění výsledků či popularizace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, náklady spojené s činností RVVI, GA ČR, TA ČR a </w:t>
      </w:r>
      <w:r>
        <w:rPr>
          <w:rFonts w:eastAsia="Calibri"/>
          <w:color w:val="auto"/>
          <w:szCs w:val="22"/>
          <w:lang w:eastAsia="cs-CZ"/>
        </w:rPr>
        <w:t xml:space="preserve">AV ČR </w:t>
      </w:r>
      <w:r>
        <w:rPr>
          <w:rFonts w:eastAsia="Calibri"/>
          <w:color w:val="auto"/>
          <w:szCs w:val="22"/>
          <w:lang w:eastAsia="cs-CZ"/>
        </w:rPr>
        <w:lastRenderedPageBreak/>
        <w:t>a </w:t>
      </w:r>
      <w:r w:rsidRPr="00231643">
        <w:rPr>
          <w:rFonts w:eastAsia="Calibri"/>
          <w:color w:val="auto"/>
          <w:szCs w:val="22"/>
          <w:lang w:eastAsia="cs-CZ"/>
        </w:rPr>
        <w:t xml:space="preserve">zejména na </w:t>
      </w:r>
      <w:r>
        <w:rPr>
          <w:rFonts w:eastAsia="Calibri"/>
          <w:color w:val="auto"/>
          <w:szCs w:val="22"/>
          <w:lang w:eastAsia="cs-CZ"/>
        </w:rPr>
        <w:t>DKRVO</w:t>
      </w:r>
      <w:r w:rsidRPr="00231643">
        <w:rPr>
          <w:rFonts w:eastAsia="Calibri"/>
          <w:color w:val="auto"/>
          <w:szCs w:val="22"/>
          <w:lang w:eastAsia="cs-CZ"/>
        </w:rPr>
        <w:t xml:space="preserve"> na základě zhodnocení jí dosažených výsledků. Zákon</w:t>
      </w:r>
      <w:r>
        <w:rPr>
          <w:rFonts w:eastAsia="Calibri"/>
          <w:color w:val="auto"/>
          <w:szCs w:val="22"/>
          <w:lang w:eastAsia="cs-CZ"/>
        </w:rPr>
        <w:t xml:space="preserve"> o podpoře </w:t>
      </w:r>
      <w:proofErr w:type="spellStart"/>
      <w:r w:rsidRPr="005B5632">
        <w:rPr>
          <w:rFonts w:eastAsia="Calibri"/>
          <w:color w:val="auto"/>
          <w:szCs w:val="22"/>
          <w:lang w:eastAsia="cs-CZ"/>
        </w:rPr>
        <w:t>VaVaI</w:t>
      </w:r>
      <w:proofErr w:type="spellEnd"/>
      <w:r w:rsidR="00F71767" w:rsidRPr="005B5632">
        <w:rPr>
          <w:rFonts w:eastAsia="Calibri"/>
          <w:color w:val="auto"/>
          <w:szCs w:val="22"/>
          <w:lang w:eastAsia="cs-CZ"/>
        </w:rPr>
        <w:t xml:space="preserve"> </w:t>
      </w:r>
      <w:r w:rsidR="005B5632">
        <w:rPr>
          <w:rFonts w:eastAsia="Calibri"/>
          <w:color w:val="auto"/>
          <w:szCs w:val="22"/>
          <w:lang w:eastAsia="cs-CZ"/>
        </w:rPr>
        <w:t>v </w:t>
      </w:r>
      <w:r w:rsidR="00F71767" w:rsidRPr="005B5632">
        <w:rPr>
          <w:rFonts w:eastAsia="Calibri"/>
          <w:color w:val="auto"/>
          <w:szCs w:val="22"/>
          <w:lang w:eastAsia="cs-CZ"/>
        </w:rPr>
        <w:t>§ 7 odst. 7</w:t>
      </w:r>
      <w:r w:rsidRPr="005B5632">
        <w:rPr>
          <w:rFonts w:eastAsia="Calibri"/>
          <w:color w:val="auto"/>
          <w:szCs w:val="22"/>
          <w:lang w:eastAsia="cs-CZ"/>
        </w:rPr>
        <w:t xml:space="preserve"> určuje následující postup poskytování institucionální podpory:</w:t>
      </w:r>
    </w:p>
    <w:p w14:paraId="386C3AC0" w14:textId="77777777" w:rsidR="00F6281E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D53EB5">
        <w:rPr>
          <w:rFonts w:eastAsia="Calibri"/>
          <w:color w:val="auto"/>
          <w:szCs w:val="22"/>
          <w:lang w:eastAsia="cs-CZ"/>
        </w:rPr>
        <w:t>„</w:t>
      </w:r>
      <w:r w:rsidRPr="00231643">
        <w:rPr>
          <w:rFonts w:eastAsia="Calibri"/>
          <w:i/>
          <w:color w:val="auto"/>
          <w:szCs w:val="22"/>
          <w:lang w:eastAsia="cs-CZ"/>
        </w:rPr>
        <w:t>Institucionální podporu poskytne poskytovatel výzkumné organizaci na základě zhodnocení jí dosažených výsledků tak, že její podíl na celkové výši institucionální podpory výzkumných organizací ze státního rozpočtu v daném roce odpovídá jejímu podílu na hodnotě výsledků všech výzkumných organizací dosažených v uplynulých 5 letech podle hodnocení prováděného každoročně RVVI. Poskytovatel může výši podpory upravit podle podrobnějšího hodnocení používajícího mezinárodně uznávaných metodik, které společně s výsledky podrobnějšího hodnocení a pravidly úpravy podpory před jejím poskytnutí</w:t>
      </w:r>
      <w:r>
        <w:rPr>
          <w:rFonts w:eastAsia="Calibri"/>
          <w:i/>
          <w:color w:val="auto"/>
          <w:szCs w:val="22"/>
          <w:lang w:eastAsia="cs-CZ"/>
        </w:rPr>
        <w:t>m zveřejní. Poskytovatel dále v </w:t>
      </w:r>
      <w:r w:rsidRPr="00231643">
        <w:rPr>
          <w:rFonts w:eastAsia="Calibri"/>
          <w:i/>
          <w:color w:val="auto"/>
          <w:szCs w:val="22"/>
          <w:lang w:eastAsia="cs-CZ"/>
        </w:rPr>
        <w:t>institucionální podpoře zohlední i výši nepřímé podpory, která byla výzkumné organizaci poskytnuta v předchozích letech formou úlev od daňových povinností.</w:t>
      </w:r>
      <w:r w:rsidRPr="00320B85">
        <w:rPr>
          <w:rFonts w:eastAsia="Calibri"/>
          <w:color w:val="auto"/>
          <w:szCs w:val="22"/>
          <w:lang w:eastAsia="cs-CZ"/>
        </w:rPr>
        <w:t>“</w:t>
      </w:r>
      <w:r w:rsidRPr="00231643">
        <w:rPr>
          <w:rFonts w:eastAsia="Calibri"/>
          <w:color w:val="auto"/>
          <w:szCs w:val="22"/>
          <w:lang w:eastAsia="cs-CZ"/>
        </w:rPr>
        <w:t xml:space="preserve"> </w:t>
      </w:r>
    </w:p>
    <w:p w14:paraId="2B16AE4B" w14:textId="1DA2A30D" w:rsidR="00F6281E" w:rsidRDefault="00F6281E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4673BF">
        <w:rPr>
          <w:rFonts w:eastAsia="Calibri"/>
          <w:color w:val="auto"/>
          <w:szCs w:val="22"/>
          <w:lang w:eastAsia="cs-CZ"/>
        </w:rPr>
        <w:t xml:space="preserve">Hodnocení VO realizovala RVVI dle metodiky, jejíž přípravu i zabezpečuje a předkládá vládě ke schválení. </w:t>
      </w:r>
      <w:r w:rsidR="00035AAB" w:rsidRPr="004673BF">
        <w:rPr>
          <w:rFonts w:eastAsia="Calibri"/>
          <w:color w:val="auto"/>
          <w:szCs w:val="22"/>
          <w:lang w:eastAsia="cs-CZ"/>
        </w:rPr>
        <w:t>V</w:t>
      </w:r>
      <w:r w:rsidR="00035AAB" w:rsidRPr="00231643">
        <w:rPr>
          <w:rFonts w:eastAsia="Calibri"/>
          <w:color w:val="auto"/>
          <w:szCs w:val="22"/>
          <w:lang w:eastAsia="cs-CZ"/>
        </w:rPr>
        <w:t xml:space="preserve"> kontrolovaném období bylo hodnocení VO realizováno dle </w:t>
      </w:r>
      <w:r w:rsidR="00035AAB" w:rsidRPr="00D53EB5">
        <w:rPr>
          <w:rFonts w:eastAsia="Calibri"/>
          <w:i/>
          <w:color w:val="auto"/>
          <w:szCs w:val="22"/>
          <w:lang w:eastAsia="cs-CZ"/>
        </w:rPr>
        <w:t>Metodiky hodnocení výsledků výzkumných organizací a hodnocení výsledků ukončených programů</w:t>
      </w:r>
      <w:r w:rsidR="008E32CC">
        <w:rPr>
          <w:rFonts w:eastAsia="Calibri"/>
          <w:color w:val="auto"/>
          <w:szCs w:val="22"/>
          <w:lang w:eastAsia="cs-CZ"/>
        </w:rPr>
        <w:t>,</w:t>
      </w:r>
      <w:r w:rsidR="00035AAB" w:rsidRPr="00231643">
        <w:rPr>
          <w:rFonts w:eastAsia="Calibri"/>
          <w:color w:val="auto"/>
          <w:szCs w:val="22"/>
          <w:lang w:eastAsia="cs-CZ"/>
        </w:rPr>
        <w:t xml:space="preserve"> </w:t>
      </w:r>
      <w:r w:rsidR="008E32CC">
        <w:rPr>
          <w:rFonts w:eastAsia="Calibri"/>
          <w:color w:val="auto"/>
          <w:szCs w:val="22"/>
          <w:lang w:eastAsia="cs-CZ"/>
        </w:rPr>
        <w:t xml:space="preserve">původně </w:t>
      </w:r>
      <w:r w:rsidR="00035AAB" w:rsidRPr="00231643">
        <w:rPr>
          <w:rFonts w:eastAsia="Calibri"/>
          <w:color w:val="auto"/>
          <w:szCs w:val="22"/>
          <w:lang w:eastAsia="cs-CZ"/>
        </w:rPr>
        <w:t>platn</w:t>
      </w:r>
      <w:r w:rsidR="008E32CC">
        <w:rPr>
          <w:rFonts w:eastAsia="Calibri"/>
          <w:color w:val="auto"/>
          <w:szCs w:val="22"/>
          <w:lang w:eastAsia="cs-CZ"/>
        </w:rPr>
        <w:t>é</w:t>
      </w:r>
      <w:r w:rsidR="00035AAB" w:rsidRPr="00231643">
        <w:rPr>
          <w:rFonts w:eastAsia="Calibri"/>
          <w:color w:val="auto"/>
          <w:szCs w:val="22"/>
          <w:lang w:eastAsia="cs-CZ"/>
        </w:rPr>
        <w:t xml:space="preserve"> pro léta 2013 až 2015, následně </w:t>
      </w:r>
      <w:r w:rsidR="008E32CC">
        <w:rPr>
          <w:rFonts w:eastAsia="Calibri"/>
          <w:color w:val="auto"/>
          <w:szCs w:val="22"/>
          <w:lang w:eastAsia="cs-CZ"/>
        </w:rPr>
        <w:t xml:space="preserve">byla její </w:t>
      </w:r>
      <w:r w:rsidR="00035AAB" w:rsidRPr="00231643">
        <w:rPr>
          <w:rFonts w:eastAsia="Calibri"/>
          <w:color w:val="auto"/>
          <w:szCs w:val="22"/>
          <w:lang w:eastAsia="cs-CZ"/>
        </w:rPr>
        <w:t>platn</w:t>
      </w:r>
      <w:r w:rsidR="00035AAB">
        <w:rPr>
          <w:rFonts w:eastAsia="Calibri"/>
          <w:color w:val="auto"/>
          <w:szCs w:val="22"/>
          <w:lang w:eastAsia="cs-CZ"/>
        </w:rPr>
        <w:t>ost prodloužena i na rok 2016</w:t>
      </w:r>
      <w:r w:rsidR="009A0997">
        <w:rPr>
          <w:rFonts w:eastAsia="Calibri"/>
          <w:color w:val="auto"/>
          <w:szCs w:val="22"/>
          <w:lang w:eastAsia="cs-CZ"/>
        </w:rPr>
        <w:t xml:space="preserve"> </w:t>
      </w:r>
      <w:r w:rsidR="008E32CC">
        <w:rPr>
          <w:rFonts w:eastAsia="Calibri"/>
          <w:color w:val="auto"/>
          <w:szCs w:val="22"/>
          <w:lang w:eastAsia="cs-CZ"/>
        </w:rPr>
        <w:t>(</w:t>
      </w:r>
      <w:r w:rsidR="009A0997">
        <w:rPr>
          <w:rFonts w:eastAsia="Calibri"/>
          <w:color w:val="auto"/>
          <w:szCs w:val="22"/>
          <w:lang w:eastAsia="cs-CZ"/>
        </w:rPr>
        <w:t>dále také „Metodika 2013“</w:t>
      </w:r>
      <w:r w:rsidR="00035AAB">
        <w:rPr>
          <w:rFonts w:eastAsia="Calibri"/>
          <w:color w:val="auto"/>
          <w:szCs w:val="22"/>
          <w:lang w:eastAsia="cs-CZ"/>
        </w:rPr>
        <w:t>).</w:t>
      </w:r>
      <w:r w:rsidR="00035AAB" w:rsidRPr="00231643">
        <w:rPr>
          <w:rFonts w:eastAsia="Calibri"/>
          <w:color w:val="auto"/>
          <w:szCs w:val="22"/>
          <w:lang w:eastAsia="cs-CZ"/>
        </w:rPr>
        <w:t xml:space="preserve"> </w:t>
      </w:r>
    </w:p>
    <w:p w14:paraId="20294538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Skutečné a schválené výdaje na institucionální podporu </w:t>
      </w:r>
      <w:r>
        <w:rPr>
          <w:rFonts w:eastAsia="Calibri"/>
          <w:color w:val="auto"/>
          <w:szCs w:val="22"/>
          <w:lang w:eastAsia="cs-CZ"/>
        </w:rPr>
        <w:t>VO</w:t>
      </w:r>
      <w:r w:rsidRPr="00231643">
        <w:rPr>
          <w:rFonts w:eastAsia="Calibri"/>
          <w:color w:val="auto"/>
          <w:szCs w:val="22"/>
          <w:lang w:eastAsia="cs-CZ"/>
        </w:rPr>
        <w:t xml:space="preserve"> podle zhodnocení jimi dosažených výsledků podle Metodiky 2013 činily celkově v letech 2015 až 2018 téměř 44 mld. Kč.</w:t>
      </w:r>
    </w:p>
    <w:p w14:paraId="6A51443E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Institucionální podpora byla poskytována zejména na základě hodnocení </w:t>
      </w:r>
      <w:r>
        <w:rPr>
          <w:rFonts w:eastAsia="Calibri"/>
          <w:color w:val="auto"/>
          <w:szCs w:val="22"/>
          <w:lang w:eastAsia="cs-CZ"/>
        </w:rPr>
        <w:t>VO</w:t>
      </w:r>
      <w:r w:rsidRPr="00231643">
        <w:rPr>
          <w:rFonts w:eastAsia="Calibri"/>
          <w:color w:val="auto"/>
          <w:szCs w:val="22"/>
          <w:lang w:eastAsia="cs-CZ"/>
        </w:rPr>
        <w:t xml:space="preserve">. Toto hodnocení bylo omezeno na posouzení dosažených výsledků. V rámci hodnocení VO a z něho vycházejícího poskytování institucionální podpory na </w:t>
      </w:r>
      <w:r>
        <w:rPr>
          <w:rFonts w:eastAsia="Calibri"/>
          <w:color w:val="auto"/>
          <w:szCs w:val="22"/>
          <w:lang w:eastAsia="cs-CZ"/>
        </w:rPr>
        <w:t>DKRVO</w:t>
      </w:r>
      <w:r w:rsidRPr="00231643">
        <w:rPr>
          <w:rFonts w:eastAsia="Calibri"/>
          <w:color w:val="auto"/>
          <w:szCs w:val="22"/>
          <w:lang w:eastAsia="cs-CZ"/>
        </w:rPr>
        <w:t xml:space="preserve"> nebyla žádným jiným způsobem hodnocena a zohledněna celková úroveň jednotlivých VO, ani např. míra spolupráce se soukromým sektorem či zahraničím. Přestože byla institucionální podpora poskytována na dlouhodobý koncepční rozvoj jednotlivých VO, RVVI v h</w:t>
      </w:r>
      <w:r>
        <w:rPr>
          <w:rFonts w:eastAsia="Calibri"/>
          <w:color w:val="auto"/>
          <w:szCs w:val="22"/>
          <w:lang w:eastAsia="cs-CZ"/>
        </w:rPr>
        <w:t>odnocení VO budoucí směřování a </w:t>
      </w:r>
      <w:r w:rsidRPr="00231643">
        <w:rPr>
          <w:rFonts w:eastAsia="Calibri"/>
          <w:color w:val="auto"/>
          <w:szCs w:val="22"/>
          <w:lang w:eastAsia="cs-CZ"/>
        </w:rPr>
        <w:t>koncepci rozvoje těchto VO žádným způsobem nezohledňovala. Celý systém byl nastaven retrospektivně, když byly posuzovány výsledky uplatněné v období pěti let předcházejících roku hodnocení. VO byly oproti dlouhodobému koncepčnímu</w:t>
      </w:r>
      <w:r>
        <w:rPr>
          <w:rFonts w:eastAsia="Calibri"/>
          <w:color w:val="auto"/>
          <w:szCs w:val="22"/>
          <w:lang w:eastAsia="cs-CZ"/>
        </w:rPr>
        <w:t xml:space="preserve"> rozvoji motivovány především k </w:t>
      </w:r>
      <w:r w:rsidRPr="00231643">
        <w:rPr>
          <w:rFonts w:eastAsia="Calibri"/>
          <w:color w:val="auto"/>
          <w:szCs w:val="22"/>
          <w:lang w:eastAsia="cs-CZ"/>
        </w:rPr>
        <w:t>produkci hodnocených rychle dosažitelných výsledků. Systém poskytování institucionální podpory nebyl nastaven na podporu nových nebo rozvíjejících se oborů a VO.</w:t>
      </w:r>
    </w:p>
    <w:p w14:paraId="4AB3E2A1" w14:textId="3551F24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Nastavený systém bodového hodnocení výsledků výzkum</w:t>
      </w:r>
      <w:r>
        <w:rPr>
          <w:rFonts w:eastAsia="Calibri"/>
          <w:color w:val="auto"/>
          <w:szCs w:val="22"/>
          <w:lang w:eastAsia="cs-CZ"/>
        </w:rPr>
        <w:t>né organizace motivoval spíše k </w:t>
      </w:r>
      <w:r w:rsidRPr="00231643">
        <w:rPr>
          <w:rFonts w:eastAsia="Calibri"/>
          <w:color w:val="auto"/>
          <w:szCs w:val="22"/>
          <w:lang w:eastAsia="cs-CZ"/>
        </w:rPr>
        <w:t>produkci velkého množství výsledků než k důrazu na jejich kvalitu. Zvyšování kvality činnosti výzkumných organizací nastavený systém příliš nestimuloval.</w:t>
      </w:r>
    </w:p>
    <w:p w14:paraId="720A07BD" w14:textId="24D47344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Nastavený systém hodnocení VO převážně podle dosažených publikačních výsledků výrazněji nereflektoval rozdíly v poslání jednotlivých VO a v jednotlivých oborech. Zvýhodnil zejména vědní obory, pro které je častá publikační činnost přirozená</w:t>
      </w:r>
      <w:r w:rsidR="00CA7015">
        <w:rPr>
          <w:rFonts w:eastAsia="Calibri"/>
          <w:color w:val="auto"/>
          <w:szCs w:val="22"/>
          <w:lang w:eastAsia="cs-CZ"/>
        </w:rPr>
        <w:t>,</w:t>
      </w:r>
      <w:r w:rsidRPr="00231643">
        <w:rPr>
          <w:rFonts w:eastAsia="Calibri"/>
          <w:color w:val="auto"/>
          <w:szCs w:val="22"/>
          <w:lang w:eastAsia="cs-CZ"/>
        </w:rPr>
        <w:t xml:space="preserve"> a naopak znevýhodnil obory, ve kterých tomu tak není.</w:t>
      </w:r>
    </w:p>
    <w:p w14:paraId="05D7C1EB" w14:textId="1D810112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Nastavený systém bodového hodnocení jednotlivých typů výsledků </w:t>
      </w:r>
      <w:r>
        <w:rPr>
          <w:rFonts w:eastAsia="Calibri"/>
          <w:color w:val="auto"/>
          <w:szCs w:val="22"/>
          <w:lang w:eastAsia="cs-CZ"/>
        </w:rPr>
        <w:t>VO</w:t>
      </w:r>
      <w:r w:rsidRPr="00231643">
        <w:rPr>
          <w:rFonts w:eastAsia="Calibri"/>
          <w:color w:val="auto"/>
          <w:szCs w:val="22"/>
          <w:lang w:eastAsia="cs-CZ"/>
        </w:rPr>
        <w:t xml:space="preserve"> motivoval zejména k</w:t>
      </w:r>
      <w:r>
        <w:rPr>
          <w:rFonts w:eastAsia="Calibri"/>
          <w:color w:val="auto"/>
          <w:szCs w:val="22"/>
          <w:lang w:eastAsia="cs-CZ"/>
        </w:rPr>
        <w:t> tv</w:t>
      </w:r>
      <w:r w:rsidRPr="00231643">
        <w:rPr>
          <w:rFonts w:eastAsia="Calibri"/>
          <w:color w:val="auto"/>
          <w:szCs w:val="22"/>
          <w:lang w:eastAsia="cs-CZ"/>
        </w:rPr>
        <w:t xml:space="preserve">orbě publikačních výsledků. Způsob rozdělování institucionální podpory </w:t>
      </w:r>
      <w:r>
        <w:rPr>
          <w:rFonts w:eastAsia="Calibri"/>
          <w:color w:val="auto"/>
          <w:szCs w:val="22"/>
          <w:lang w:eastAsia="cs-CZ"/>
        </w:rPr>
        <w:t>VO</w:t>
      </w:r>
      <w:r w:rsidRPr="00231643">
        <w:rPr>
          <w:rFonts w:eastAsia="Calibri"/>
          <w:color w:val="auto"/>
          <w:szCs w:val="22"/>
          <w:lang w:eastAsia="cs-CZ"/>
        </w:rPr>
        <w:t xml:space="preserve"> nemotivoval k výraznějšímu zaměření činnosti na produkci r</w:t>
      </w:r>
      <w:r>
        <w:rPr>
          <w:rFonts w:eastAsia="Calibri"/>
          <w:color w:val="auto"/>
          <w:szCs w:val="22"/>
          <w:lang w:eastAsia="cs-CZ"/>
        </w:rPr>
        <w:t>eálně uplatnitelných výsledků v </w:t>
      </w:r>
      <w:r w:rsidRPr="00231643">
        <w:rPr>
          <w:rFonts w:eastAsia="Calibri"/>
          <w:color w:val="auto"/>
          <w:szCs w:val="22"/>
          <w:lang w:eastAsia="cs-CZ"/>
        </w:rPr>
        <w:t xml:space="preserve">podobě nepublikačních výsledků aplikovaného výzkumu, zejména pak patentů. Nastavený systém poskytování institucionální podpory tak nereagoval na dlouhodobě identifikované nedostatky stavu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 zaostávání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 tvorbě patentů a </w:t>
      </w:r>
      <w:r w:rsidR="00CA7015">
        <w:rPr>
          <w:rFonts w:eastAsia="Calibri"/>
          <w:color w:val="auto"/>
          <w:szCs w:val="22"/>
          <w:lang w:eastAsia="cs-CZ"/>
        </w:rPr>
        <w:t xml:space="preserve">malé </w:t>
      </w:r>
      <w:r w:rsidRPr="00231643">
        <w:rPr>
          <w:rFonts w:eastAsia="Calibri"/>
          <w:color w:val="auto"/>
          <w:szCs w:val="22"/>
          <w:lang w:eastAsia="cs-CZ"/>
        </w:rPr>
        <w:t xml:space="preserve">spolupráce se soukromým sektorem, který je spíše než na tvorbu publikačních výsledků zaměřen na reálně uplatnitelné výsledky </w:t>
      </w:r>
      <w:r w:rsidRPr="00231643">
        <w:rPr>
          <w:rFonts w:eastAsia="Calibri"/>
          <w:color w:val="auto"/>
          <w:szCs w:val="22"/>
          <w:lang w:eastAsia="cs-CZ"/>
        </w:rPr>
        <w:lastRenderedPageBreak/>
        <w:t>v</w:t>
      </w:r>
      <w:r w:rsidR="00CA7015">
        <w:rPr>
          <w:rFonts w:eastAsia="Calibri"/>
          <w:color w:val="auto"/>
          <w:szCs w:val="22"/>
          <w:lang w:eastAsia="cs-CZ"/>
        </w:rPr>
        <w:t> </w:t>
      </w:r>
      <w:r w:rsidRPr="00231643">
        <w:rPr>
          <w:rFonts w:eastAsia="Calibri"/>
          <w:color w:val="auto"/>
          <w:szCs w:val="22"/>
          <w:lang w:eastAsia="cs-CZ"/>
        </w:rPr>
        <w:t>podobě nepublikačních výsledků aplikovaného výzkumu. Spolupráce se soukromým sektorem je přitom předpokladem pro následné využití výsledků v inovacích.</w:t>
      </w:r>
    </w:p>
    <w:p w14:paraId="41370958" w14:textId="57249CAF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Počet VO, které na základě </w:t>
      </w:r>
      <w:r w:rsidR="00CA7015">
        <w:rPr>
          <w:rFonts w:eastAsia="Calibri"/>
          <w:color w:val="auto"/>
          <w:szCs w:val="22"/>
          <w:lang w:eastAsia="cs-CZ"/>
        </w:rPr>
        <w:t>svých</w:t>
      </w:r>
      <w:r w:rsidRPr="00231643">
        <w:rPr>
          <w:rFonts w:eastAsia="Calibri"/>
          <w:color w:val="auto"/>
          <w:szCs w:val="22"/>
          <w:lang w:eastAsia="cs-CZ"/>
        </w:rPr>
        <w:t xml:space="preserve"> výsledků dosáhl</w:t>
      </w:r>
      <w:r>
        <w:rPr>
          <w:rFonts w:eastAsia="Calibri"/>
          <w:color w:val="auto"/>
          <w:szCs w:val="22"/>
          <w:lang w:eastAsia="cs-CZ"/>
        </w:rPr>
        <w:t xml:space="preserve">y kladného bodového </w:t>
      </w:r>
      <w:r w:rsidR="00CA7015">
        <w:rPr>
          <w:rFonts w:eastAsia="Calibri"/>
          <w:color w:val="auto"/>
          <w:szCs w:val="22"/>
          <w:lang w:eastAsia="cs-CZ"/>
        </w:rPr>
        <w:t>hodnocení</w:t>
      </w:r>
      <w:r>
        <w:rPr>
          <w:rFonts w:eastAsia="Calibri"/>
          <w:color w:val="auto"/>
          <w:szCs w:val="22"/>
          <w:lang w:eastAsia="cs-CZ"/>
        </w:rPr>
        <w:t>, v </w:t>
      </w:r>
      <w:r w:rsidRPr="00231643">
        <w:rPr>
          <w:rFonts w:eastAsia="Calibri"/>
          <w:color w:val="auto"/>
          <w:szCs w:val="22"/>
          <w:lang w:eastAsia="cs-CZ"/>
        </w:rPr>
        <w:t>posledních letech významně vzrostl. Institucionální podpora na koncepční rozvoj VO tak byla tříštěna mezi stále se zvyšující počet těchto VO.</w:t>
      </w:r>
    </w:p>
    <w:p w14:paraId="776E5EEA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V roce 2017 byla schválena nová </w:t>
      </w:r>
      <w:r w:rsidR="003F3253">
        <w:rPr>
          <w:rFonts w:eastAsia="Calibri"/>
          <w:color w:val="auto"/>
          <w:szCs w:val="22"/>
          <w:lang w:eastAsia="cs-CZ"/>
        </w:rPr>
        <w:t>Metodika 2017+</w:t>
      </w:r>
      <w:r w:rsidRPr="00231643">
        <w:rPr>
          <w:rFonts w:eastAsia="Calibri"/>
          <w:color w:val="auto"/>
          <w:szCs w:val="22"/>
          <w:lang w:eastAsia="cs-CZ"/>
        </w:rPr>
        <w:t xml:space="preserve">. Tato metodika zavádí jiný systém hodnocení VO, založený z velké části na hodnocení, které aplikuje </w:t>
      </w:r>
      <w:r>
        <w:rPr>
          <w:rFonts w:eastAsia="Calibri"/>
          <w:color w:val="auto"/>
          <w:szCs w:val="22"/>
          <w:lang w:eastAsia="cs-CZ"/>
        </w:rPr>
        <w:t>AV ČR</w:t>
      </w:r>
      <w:r w:rsidRPr="00231643">
        <w:rPr>
          <w:rFonts w:eastAsia="Calibri"/>
          <w:color w:val="auto"/>
          <w:szCs w:val="22"/>
          <w:lang w:eastAsia="cs-CZ"/>
        </w:rPr>
        <w:t xml:space="preserve"> při hodnocení svých výzkumných ústavů. Přechod na tento způsob hodnocení VO bude postupný, implementační období zahrnuje roky 2017–2019. Rozdělení prostředků v </w:t>
      </w:r>
      <w:r>
        <w:rPr>
          <w:rFonts w:eastAsia="Calibri"/>
          <w:color w:val="auto"/>
          <w:szCs w:val="22"/>
          <w:lang w:eastAsia="cs-CZ"/>
        </w:rPr>
        <w:t>tomto</w:t>
      </w:r>
      <w:r w:rsidRPr="00231643">
        <w:rPr>
          <w:rFonts w:eastAsia="Calibri"/>
          <w:color w:val="auto"/>
          <w:szCs w:val="22"/>
          <w:lang w:eastAsia="cs-CZ"/>
        </w:rPr>
        <w:t xml:space="preserve"> období </w:t>
      </w:r>
      <w:r>
        <w:rPr>
          <w:rFonts w:eastAsia="Calibri"/>
          <w:color w:val="auto"/>
          <w:szCs w:val="22"/>
          <w:lang w:eastAsia="cs-CZ"/>
        </w:rPr>
        <w:t>vychází z hodnocení dle Metodiky 2013 i dle</w:t>
      </w:r>
      <w:r w:rsidRPr="00231643">
        <w:rPr>
          <w:rFonts w:eastAsia="Calibri"/>
          <w:color w:val="auto"/>
          <w:szCs w:val="22"/>
          <w:lang w:eastAsia="cs-CZ"/>
        </w:rPr>
        <w:t xml:space="preserve"> Metodiky 2017+. Metodika 2017+ má rámcový charakter a měla by být doplněna soustavou dalších hierarchicky podřízených dokumentů. </w:t>
      </w:r>
    </w:p>
    <w:p w14:paraId="603C3110" w14:textId="329BC3C3" w:rsidR="00FC307E" w:rsidRPr="00231643" w:rsidRDefault="00035AAB" w:rsidP="008C6CFA">
      <w:pPr>
        <w:spacing w:before="0" w:after="120"/>
        <w:ind w:left="284" w:hanging="284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 xml:space="preserve">5. </w:t>
      </w:r>
      <w:r w:rsidR="008C6CFA">
        <w:rPr>
          <w:rFonts w:eastAsia="Calibri"/>
          <w:b/>
          <w:color w:val="auto"/>
          <w:szCs w:val="22"/>
          <w:lang w:eastAsia="cs-CZ"/>
        </w:rPr>
        <w:tab/>
      </w:r>
      <w:r w:rsidRPr="00231643">
        <w:rPr>
          <w:rFonts w:eastAsia="Calibri"/>
          <w:b/>
          <w:color w:val="auto"/>
          <w:szCs w:val="22"/>
          <w:lang w:eastAsia="cs-CZ"/>
        </w:rPr>
        <w:t>Bodové hodnocení výzkumných organizací, na</w:t>
      </w:r>
      <w:r w:rsidR="00436592">
        <w:rPr>
          <w:rFonts w:eastAsia="Calibri"/>
          <w:b/>
          <w:color w:val="auto"/>
          <w:szCs w:val="22"/>
          <w:lang w:eastAsia="cs-CZ"/>
        </w:rPr>
        <w:t xml:space="preserve"> jehož</w:t>
      </w:r>
      <w:r w:rsidRPr="00231643">
        <w:rPr>
          <w:rFonts w:eastAsia="Calibri"/>
          <w:b/>
          <w:color w:val="auto"/>
          <w:szCs w:val="22"/>
          <w:lang w:eastAsia="cs-CZ"/>
        </w:rPr>
        <w:t xml:space="preserve"> základě byla poskytována institucionální podpora, bylo realizováno každoročně se značným zpožděním a v jeho výpočtech byly náhodné i systémové chyby</w:t>
      </w:r>
    </w:p>
    <w:p w14:paraId="00332EF9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Poskytování institucionální podpory vychází z hodnocení </w:t>
      </w:r>
      <w:r w:rsidR="00191095">
        <w:rPr>
          <w:rFonts w:eastAsia="Calibri"/>
          <w:color w:val="auto"/>
          <w:szCs w:val="22"/>
          <w:lang w:eastAsia="cs-CZ"/>
        </w:rPr>
        <w:t>VO</w:t>
      </w:r>
      <w:r w:rsidRPr="00231643">
        <w:rPr>
          <w:rFonts w:eastAsia="Calibri"/>
          <w:color w:val="auto"/>
          <w:szCs w:val="22"/>
          <w:lang w:eastAsia="cs-CZ"/>
        </w:rPr>
        <w:t xml:space="preserve">. Pro rozhodování o této podpoře a plánování těchto výdajů je nezbytné dodržet stanovené termíny pro schválení výsledků tohoto hodnocení. </w:t>
      </w:r>
      <w:r>
        <w:rPr>
          <w:rFonts w:eastAsia="Calibri"/>
          <w:color w:val="auto"/>
          <w:szCs w:val="22"/>
          <w:lang w:eastAsia="cs-CZ"/>
        </w:rPr>
        <w:t>Nastavená pravidla hodnocení musí být při tomto hodnocení dodržena</w:t>
      </w:r>
      <w:r w:rsidRPr="00231643">
        <w:rPr>
          <w:rFonts w:eastAsia="Calibri"/>
          <w:color w:val="auto"/>
          <w:szCs w:val="22"/>
          <w:lang w:eastAsia="cs-CZ"/>
        </w:rPr>
        <w:t>.</w:t>
      </w:r>
    </w:p>
    <w:p w14:paraId="469DB91C" w14:textId="1CB1CFAE" w:rsidR="00FC307E" w:rsidRPr="0023164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NKÚ prověřil, zda bylo hodnocení </w:t>
      </w:r>
      <w:r w:rsidR="00436592">
        <w:rPr>
          <w:rFonts w:eastAsia="Calibri"/>
          <w:color w:val="auto"/>
          <w:szCs w:val="22"/>
          <w:lang w:eastAsia="cs-CZ"/>
        </w:rPr>
        <w:t>výzkumných organizací</w:t>
      </w:r>
      <w:r w:rsidR="00191095">
        <w:rPr>
          <w:rFonts w:eastAsia="Calibri"/>
          <w:color w:val="auto"/>
          <w:szCs w:val="22"/>
          <w:lang w:eastAsia="cs-CZ"/>
        </w:rPr>
        <w:t xml:space="preserve"> </w:t>
      </w:r>
      <w:r w:rsidRPr="00231643">
        <w:rPr>
          <w:rFonts w:eastAsia="Calibri"/>
          <w:color w:val="auto"/>
          <w:szCs w:val="22"/>
          <w:lang w:eastAsia="cs-CZ"/>
        </w:rPr>
        <w:t>realizováno ve stanovených termínech a dle stanovených pravidel.</w:t>
      </w:r>
    </w:p>
    <w:p w14:paraId="2BD338EC" w14:textId="7C6AF46D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Původní termíny schválení konečných výsledků hodnocení VO dle Metodiky 2013 byly stanoveny vždy na prosincové zasedání RVVI v příslušném roce, s výjimkou prvního hodnocení v roce 2013, kd</w:t>
      </w:r>
      <w:r w:rsidR="00436592">
        <w:rPr>
          <w:rFonts w:eastAsia="Calibri"/>
          <w:color w:val="auto"/>
          <w:szCs w:val="22"/>
          <w:lang w:eastAsia="cs-CZ"/>
        </w:rPr>
        <w:t>y</w:t>
      </w:r>
      <w:r w:rsidRPr="00231643">
        <w:rPr>
          <w:rFonts w:eastAsia="Calibri"/>
          <w:color w:val="auto"/>
          <w:szCs w:val="22"/>
          <w:lang w:eastAsia="cs-CZ"/>
        </w:rPr>
        <w:t xml:space="preserve"> byl termín stanoven na lednové zasedání roku 2014. Tyto termíny nebyly dodrženy ani </w:t>
      </w:r>
      <w:r w:rsidR="00436592">
        <w:rPr>
          <w:rFonts w:eastAsia="Calibri"/>
          <w:color w:val="auto"/>
          <w:szCs w:val="22"/>
          <w:lang w:eastAsia="cs-CZ"/>
        </w:rPr>
        <w:t>jednou</w:t>
      </w:r>
      <w:r w:rsidRPr="00231643">
        <w:rPr>
          <w:rFonts w:eastAsia="Calibri"/>
          <w:color w:val="auto"/>
          <w:szCs w:val="22"/>
          <w:lang w:eastAsia="cs-CZ"/>
        </w:rPr>
        <w:t>. V</w:t>
      </w:r>
      <w:r>
        <w:rPr>
          <w:rFonts w:eastAsia="Calibri"/>
          <w:color w:val="auto"/>
          <w:szCs w:val="22"/>
          <w:lang w:eastAsia="cs-CZ"/>
        </w:rPr>
        <w:t xml:space="preserve"> prvním </w:t>
      </w:r>
      <w:r w:rsidRPr="00231643">
        <w:rPr>
          <w:rFonts w:eastAsia="Calibri"/>
          <w:color w:val="auto"/>
          <w:szCs w:val="22"/>
          <w:lang w:eastAsia="cs-CZ"/>
        </w:rPr>
        <w:t xml:space="preserve">roce </w:t>
      </w:r>
      <w:r>
        <w:rPr>
          <w:rFonts w:eastAsia="Calibri"/>
          <w:color w:val="auto"/>
          <w:szCs w:val="22"/>
          <w:lang w:eastAsia="cs-CZ"/>
        </w:rPr>
        <w:t>hodnocení</w:t>
      </w:r>
      <w:r w:rsidRPr="00231643">
        <w:rPr>
          <w:rFonts w:eastAsia="Calibri"/>
          <w:color w:val="auto"/>
          <w:szCs w:val="22"/>
          <w:lang w:eastAsia="cs-CZ"/>
        </w:rPr>
        <w:t xml:space="preserve"> RVVI dodržela alespoň termín posunutý na základě usnesení vlády o čtyři měsíce. V ostatních třech letech RVVI schválila konečné výsledky hodnocení VO vždy s minimálně ročním zpožděním oproti původnímu termínu a v roce 2015 navíc o tři měsíce nedodržela ani termín posunutý na základě usnesení vlády o jeden rok. Hodnocení výsledků VO, které RVVI zabezpečovala, je přitom určující pro každoroční poskytování institucionální podpory těmto VO příslušnými poskytovateli.</w:t>
      </w:r>
      <w:r w:rsidR="009A0997">
        <w:rPr>
          <w:rFonts w:eastAsia="Calibri"/>
          <w:color w:val="auto"/>
          <w:szCs w:val="22"/>
          <w:lang w:eastAsia="cs-CZ"/>
        </w:rPr>
        <w:t xml:space="preserve"> </w:t>
      </w:r>
    </w:p>
    <w:p w14:paraId="613B7E1D" w14:textId="73B639AA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Ve výpočtech bodového hodnocení </w:t>
      </w:r>
      <w:r w:rsidR="00436592">
        <w:rPr>
          <w:rFonts w:eastAsia="Calibri"/>
          <w:color w:val="auto"/>
          <w:szCs w:val="22"/>
          <w:lang w:eastAsia="cs-CZ"/>
        </w:rPr>
        <w:t xml:space="preserve">za roky </w:t>
      </w:r>
      <w:r w:rsidRPr="00231643">
        <w:rPr>
          <w:rFonts w:eastAsia="Calibri"/>
          <w:color w:val="auto"/>
          <w:szCs w:val="22"/>
          <w:lang w:eastAsia="cs-CZ"/>
        </w:rPr>
        <w:t>2015 a 2016, které zpracovával ÚV</w:t>
      </w:r>
      <w:r>
        <w:rPr>
          <w:rFonts w:eastAsia="Calibri"/>
          <w:color w:val="auto"/>
          <w:szCs w:val="22"/>
          <w:lang w:eastAsia="cs-CZ"/>
        </w:rPr>
        <w:t xml:space="preserve"> ČR</w:t>
      </w:r>
      <w:r w:rsidRPr="00231643">
        <w:rPr>
          <w:rFonts w:eastAsia="Calibri"/>
          <w:color w:val="auto"/>
          <w:szCs w:val="22"/>
          <w:lang w:eastAsia="cs-CZ"/>
        </w:rPr>
        <w:t xml:space="preserve">, skupina kontrolujících navíc zjistila náhodné i systematické chyby. Chyby v hodnocení </w:t>
      </w:r>
      <w:r w:rsidR="00436592">
        <w:rPr>
          <w:rFonts w:eastAsia="Calibri"/>
          <w:color w:val="auto"/>
          <w:szCs w:val="22"/>
          <w:lang w:eastAsia="cs-CZ"/>
        </w:rPr>
        <w:t xml:space="preserve">za rok </w:t>
      </w:r>
      <w:r w:rsidRPr="00231643">
        <w:rPr>
          <w:rFonts w:eastAsia="Calibri"/>
          <w:color w:val="auto"/>
          <w:szCs w:val="22"/>
          <w:lang w:eastAsia="cs-CZ"/>
        </w:rPr>
        <w:t xml:space="preserve">2015 se následně přenášely i do hodnocení </w:t>
      </w:r>
      <w:r w:rsidR="00436592">
        <w:rPr>
          <w:rFonts w:eastAsia="Calibri"/>
          <w:color w:val="auto"/>
          <w:szCs w:val="22"/>
          <w:lang w:eastAsia="cs-CZ"/>
        </w:rPr>
        <w:t xml:space="preserve">za rok </w:t>
      </w:r>
      <w:r w:rsidRPr="00231643">
        <w:rPr>
          <w:rFonts w:eastAsia="Calibri"/>
          <w:color w:val="auto"/>
          <w:szCs w:val="22"/>
          <w:lang w:eastAsia="cs-CZ"/>
        </w:rPr>
        <w:t>2016</w:t>
      </w:r>
      <w:r w:rsidR="00436592">
        <w:rPr>
          <w:rFonts w:eastAsia="Calibri"/>
          <w:color w:val="auto"/>
          <w:szCs w:val="22"/>
          <w:lang w:eastAsia="cs-CZ"/>
        </w:rPr>
        <w:t>,</w:t>
      </w:r>
      <w:r w:rsidRPr="00231643">
        <w:rPr>
          <w:rFonts w:eastAsia="Calibri"/>
          <w:color w:val="auto"/>
          <w:szCs w:val="22"/>
          <w:lang w:eastAsia="cs-CZ"/>
        </w:rPr>
        <w:t xml:space="preserve"> a byly tak duplikovány. Jednalo se jak o přímé nedodržení pravidel Metodiky 2013, tak i o důsledek jejich nejednoznačnosti, např.: </w:t>
      </w:r>
    </w:p>
    <w:p w14:paraId="42620A35" w14:textId="77777777" w:rsidR="00FC307E" w:rsidRPr="00231643" w:rsidRDefault="00035AAB" w:rsidP="00FC307E">
      <w:pPr>
        <w:numPr>
          <w:ilvl w:val="0"/>
          <w:numId w:val="3"/>
        </w:numPr>
        <w:spacing w:before="0" w:after="120" w:line="259" w:lineRule="auto"/>
        <w:contextualSpacing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dvojí započtení bodů za odbornou knihu i kapitolu v téže knize, a to v případě stejného předkladatele i různých předkladatelů těchto výsledků; </w:t>
      </w:r>
    </w:p>
    <w:p w14:paraId="462E6DC4" w14:textId="0C52C638" w:rsidR="00FC307E" w:rsidRPr="00231643" w:rsidRDefault="00035AAB" w:rsidP="00FC307E">
      <w:pPr>
        <w:numPr>
          <w:ilvl w:val="0"/>
          <w:numId w:val="3"/>
        </w:numPr>
        <w:spacing w:before="0" w:after="120" w:line="259" w:lineRule="auto"/>
        <w:contextualSpacing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nepřepočítání původně udělených bodů při dodání výsledku dalším předkladatelem </w:t>
      </w:r>
      <w:r w:rsidR="00481AE5">
        <w:rPr>
          <w:rFonts w:eastAsia="Calibri"/>
          <w:color w:val="auto"/>
          <w:szCs w:val="22"/>
          <w:lang w:eastAsia="cs-CZ"/>
        </w:rPr>
        <w:t>–</w:t>
      </w:r>
      <w:r w:rsidRPr="00231643">
        <w:rPr>
          <w:rFonts w:eastAsia="Calibri"/>
          <w:color w:val="auto"/>
          <w:szCs w:val="22"/>
          <w:lang w:eastAsia="cs-CZ"/>
        </w:rPr>
        <w:t xml:space="preserve"> součet podílů na výsledku nabýval v některých případech hodnoty &gt;1 a součet bodových podílů na výsledku za jednotlivé předkladatele pak byl vyšší než body za celý výsledek; </w:t>
      </w:r>
    </w:p>
    <w:p w14:paraId="7E35E239" w14:textId="77777777" w:rsidR="00FC307E" w:rsidRPr="00231643" w:rsidRDefault="00035AAB" w:rsidP="00FC307E">
      <w:pPr>
        <w:numPr>
          <w:ilvl w:val="0"/>
          <w:numId w:val="3"/>
        </w:numPr>
        <w:spacing w:before="0" w:after="120" w:line="259" w:lineRule="auto"/>
        <w:contextualSpacing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bodové ohodnocení obdrželi předkladatelé i za výsledky, u kterých je důvodná pochybnost, že se jedná o totožné výsledky vykázané a ohodnocené jako výsledky rozdílné; </w:t>
      </w:r>
    </w:p>
    <w:p w14:paraId="7434A5BB" w14:textId="30334BA8" w:rsidR="00FC307E" w:rsidRPr="00231643" w:rsidRDefault="00035AAB" w:rsidP="00FC307E">
      <w:pPr>
        <w:numPr>
          <w:ilvl w:val="0"/>
          <w:numId w:val="3"/>
        </w:numPr>
        <w:spacing w:before="0" w:after="120" w:line="259" w:lineRule="auto"/>
        <w:ind w:left="714" w:hanging="357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chybné převzetí bodového hodnocení z hodnocení </w:t>
      </w:r>
      <w:r w:rsidR="00436592">
        <w:rPr>
          <w:rFonts w:eastAsia="Calibri"/>
          <w:color w:val="auto"/>
          <w:szCs w:val="22"/>
          <w:lang w:eastAsia="cs-CZ"/>
        </w:rPr>
        <w:t xml:space="preserve">za rok </w:t>
      </w:r>
      <w:r w:rsidRPr="00231643">
        <w:rPr>
          <w:rFonts w:eastAsia="Calibri"/>
          <w:color w:val="auto"/>
          <w:szCs w:val="22"/>
          <w:lang w:eastAsia="cs-CZ"/>
        </w:rPr>
        <w:t xml:space="preserve">2015 do hodnocení </w:t>
      </w:r>
      <w:r w:rsidR="00436592">
        <w:rPr>
          <w:rFonts w:eastAsia="Calibri"/>
          <w:color w:val="auto"/>
          <w:szCs w:val="22"/>
          <w:lang w:eastAsia="cs-CZ"/>
        </w:rPr>
        <w:t xml:space="preserve">za rok </w:t>
      </w:r>
      <w:r w:rsidRPr="00231643">
        <w:rPr>
          <w:rFonts w:eastAsia="Calibri"/>
          <w:color w:val="auto"/>
          <w:szCs w:val="22"/>
          <w:lang w:eastAsia="cs-CZ"/>
        </w:rPr>
        <w:t xml:space="preserve">2016 </w:t>
      </w:r>
      <w:r>
        <w:rPr>
          <w:rFonts w:eastAsia="Calibri"/>
          <w:color w:val="auto"/>
          <w:szCs w:val="22"/>
          <w:lang w:eastAsia="cs-CZ"/>
        </w:rPr>
        <w:t>– v </w:t>
      </w:r>
      <w:r w:rsidRPr="00231643">
        <w:rPr>
          <w:rFonts w:eastAsia="Calibri"/>
          <w:color w:val="auto"/>
          <w:szCs w:val="22"/>
          <w:lang w:eastAsia="cs-CZ"/>
        </w:rPr>
        <w:t xml:space="preserve">některých případech u druhu výsledku kapitola v odborné knize přesáhlo </w:t>
      </w:r>
      <w:r w:rsidRPr="00231643">
        <w:rPr>
          <w:rFonts w:eastAsia="Calibri"/>
          <w:color w:val="auto"/>
          <w:szCs w:val="22"/>
          <w:lang w:eastAsia="cs-CZ"/>
        </w:rPr>
        <w:lastRenderedPageBreak/>
        <w:t>bodové hodnocení maximální možné bodové hodnocení celé knihy, které bylo Metodikou 2013 stanoveno na 120 bodů, když činilo např. 400,91 bodů či 300 bodů.</w:t>
      </w:r>
    </w:p>
    <w:p w14:paraId="22C6EF0C" w14:textId="7268C231" w:rsidR="00FC307E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Na základě tohoto hodnocení se stanovuje výše institucionální podpory</w:t>
      </w:r>
      <w:r w:rsidR="00436592">
        <w:rPr>
          <w:rFonts w:eastAsia="Calibri"/>
          <w:color w:val="auto"/>
          <w:szCs w:val="22"/>
          <w:lang w:eastAsia="cs-CZ"/>
        </w:rPr>
        <w:t>,</w:t>
      </w:r>
      <w:r w:rsidRPr="00231643">
        <w:rPr>
          <w:rFonts w:eastAsia="Calibri"/>
          <w:color w:val="auto"/>
          <w:szCs w:val="22"/>
          <w:lang w:eastAsia="cs-CZ"/>
        </w:rPr>
        <w:t xml:space="preserve"> a to tak, aby podíl </w:t>
      </w:r>
      <w:r>
        <w:rPr>
          <w:rFonts w:eastAsia="Calibri"/>
          <w:color w:val="auto"/>
          <w:szCs w:val="22"/>
          <w:lang w:eastAsia="cs-CZ"/>
        </w:rPr>
        <w:t>VO</w:t>
      </w:r>
      <w:r w:rsidRPr="00231643">
        <w:rPr>
          <w:rFonts w:eastAsia="Calibri"/>
          <w:color w:val="auto"/>
          <w:szCs w:val="22"/>
          <w:lang w:eastAsia="cs-CZ"/>
        </w:rPr>
        <w:t xml:space="preserve"> na této podpoře odpovídal jejímu podílu na hodnotě výsledků všech </w:t>
      </w:r>
      <w:r>
        <w:rPr>
          <w:rFonts w:eastAsia="Calibri"/>
          <w:color w:val="auto"/>
          <w:szCs w:val="22"/>
          <w:lang w:eastAsia="cs-CZ"/>
        </w:rPr>
        <w:t>VO</w:t>
      </w:r>
      <w:r w:rsidRPr="00231643">
        <w:rPr>
          <w:rFonts w:eastAsia="Calibri"/>
          <w:color w:val="auto"/>
          <w:szCs w:val="22"/>
          <w:lang w:eastAsia="cs-CZ"/>
        </w:rPr>
        <w:t xml:space="preserve">. Institucionální podpora na </w:t>
      </w:r>
      <w:r>
        <w:rPr>
          <w:rFonts w:eastAsia="Calibri"/>
          <w:color w:val="auto"/>
          <w:szCs w:val="22"/>
          <w:lang w:eastAsia="cs-CZ"/>
        </w:rPr>
        <w:t>DKRVO</w:t>
      </w:r>
      <w:r w:rsidRPr="00231643">
        <w:rPr>
          <w:rFonts w:eastAsia="Calibri"/>
          <w:color w:val="auto"/>
          <w:szCs w:val="22"/>
          <w:lang w:eastAsia="cs-CZ"/>
        </w:rPr>
        <w:t xml:space="preserve"> tak byla </w:t>
      </w:r>
      <w:r w:rsidR="00191095">
        <w:rPr>
          <w:rFonts w:eastAsia="Calibri"/>
          <w:color w:val="auto"/>
          <w:szCs w:val="22"/>
          <w:lang w:eastAsia="cs-CZ"/>
        </w:rPr>
        <w:t>VO</w:t>
      </w:r>
      <w:r w:rsidRPr="00231643">
        <w:rPr>
          <w:rFonts w:eastAsia="Calibri"/>
          <w:color w:val="auto"/>
          <w:szCs w:val="22"/>
          <w:lang w:eastAsia="cs-CZ"/>
        </w:rPr>
        <w:t xml:space="preserve"> poskytnuta na základě ne zcela správně stanovených bodových hodnocení </w:t>
      </w:r>
      <w:r w:rsidR="00191095">
        <w:rPr>
          <w:rFonts w:eastAsia="Calibri"/>
          <w:color w:val="auto"/>
          <w:szCs w:val="22"/>
          <w:lang w:eastAsia="cs-CZ"/>
        </w:rPr>
        <w:t>VO</w:t>
      </w:r>
      <w:r w:rsidRPr="00231643">
        <w:rPr>
          <w:rFonts w:eastAsia="Calibri"/>
          <w:color w:val="auto"/>
          <w:szCs w:val="22"/>
          <w:lang w:eastAsia="cs-CZ"/>
        </w:rPr>
        <w:t>. Četnost a významnost těchto zjištěných chyb se dle vyjádření ÚV</w:t>
      </w:r>
      <w:r>
        <w:rPr>
          <w:rFonts w:eastAsia="Calibri"/>
          <w:color w:val="auto"/>
          <w:szCs w:val="22"/>
          <w:lang w:eastAsia="cs-CZ"/>
        </w:rPr>
        <w:t xml:space="preserve"> ČR</w:t>
      </w:r>
      <w:r w:rsidRPr="00231643">
        <w:rPr>
          <w:rFonts w:eastAsia="Calibri"/>
          <w:color w:val="auto"/>
          <w:szCs w:val="22"/>
          <w:lang w:eastAsia="cs-CZ"/>
        </w:rPr>
        <w:t xml:space="preserve"> pohybuje v obou letech pod 1% hladinou významnosti. Tato podpora byla poskytována každoročně. Na základě výsledků hodnocení </w:t>
      </w:r>
      <w:r w:rsidR="00436592">
        <w:rPr>
          <w:rFonts w:eastAsia="Calibri"/>
          <w:color w:val="auto"/>
          <w:szCs w:val="22"/>
          <w:lang w:eastAsia="cs-CZ"/>
        </w:rPr>
        <w:t xml:space="preserve">za roky </w:t>
      </w:r>
      <w:r w:rsidRPr="00231643">
        <w:rPr>
          <w:rFonts w:eastAsia="Calibri"/>
          <w:color w:val="auto"/>
          <w:szCs w:val="22"/>
          <w:lang w:eastAsia="cs-CZ"/>
        </w:rPr>
        <w:t xml:space="preserve">2015 a 2016 byla institucionální podpora </w:t>
      </w:r>
      <w:r w:rsidR="00191095">
        <w:rPr>
          <w:rFonts w:eastAsia="Calibri"/>
          <w:color w:val="auto"/>
          <w:szCs w:val="22"/>
          <w:lang w:eastAsia="cs-CZ"/>
        </w:rPr>
        <w:t>VO</w:t>
      </w:r>
      <w:r w:rsidRPr="00231643">
        <w:rPr>
          <w:rFonts w:eastAsia="Calibri"/>
          <w:color w:val="auto"/>
          <w:szCs w:val="22"/>
          <w:lang w:eastAsia="cs-CZ"/>
        </w:rPr>
        <w:t xml:space="preserve"> podle zhodnocení jimi dosažených výsledků zákony o státním rozpočtu stanovena na roky 2017 a</w:t>
      </w:r>
      <w:r w:rsidR="00436592">
        <w:rPr>
          <w:rFonts w:eastAsia="Calibri"/>
          <w:color w:val="auto"/>
          <w:szCs w:val="22"/>
          <w:lang w:eastAsia="cs-CZ"/>
        </w:rPr>
        <w:t> </w:t>
      </w:r>
      <w:r w:rsidRPr="00231643">
        <w:rPr>
          <w:rFonts w:eastAsia="Calibri"/>
          <w:color w:val="auto"/>
          <w:szCs w:val="22"/>
          <w:lang w:eastAsia="cs-CZ"/>
        </w:rPr>
        <w:t>2018 v</w:t>
      </w:r>
      <w:r w:rsidR="00481AE5">
        <w:rPr>
          <w:rFonts w:eastAsia="Calibri"/>
          <w:color w:val="auto"/>
          <w:szCs w:val="22"/>
          <w:lang w:eastAsia="cs-CZ"/>
        </w:rPr>
        <w:t> </w:t>
      </w:r>
      <w:r w:rsidRPr="00231643">
        <w:rPr>
          <w:rFonts w:eastAsia="Calibri"/>
          <w:color w:val="auto"/>
          <w:szCs w:val="22"/>
          <w:lang w:eastAsia="cs-CZ"/>
        </w:rPr>
        <w:t>souhrnné výši téměř 24 mld. Kč. Na základě těchto výsledků má být navíc poskytována po</w:t>
      </w:r>
      <w:r>
        <w:rPr>
          <w:rFonts w:eastAsia="Calibri"/>
          <w:color w:val="auto"/>
          <w:szCs w:val="22"/>
          <w:lang w:eastAsia="cs-CZ"/>
        </w:rPr>
        <w:t xml:space="preserve">dpora </w:t>
      </w:r>
      <w:r w:rsidR="00191095">
        <w:rPr>
          <w:rFonts w:eastAsia="Calibri"/>
          <w:color w:val="auto"/>
          <w:szCs w:val="22"/>
          <w:lang w:eastAsia="cs-CZ"/>
        </w:rPr>
        <w:t>VO</w:t>
      </w:r>
      <w:r>
        <w:rPr>
          <w:rFonts w:eastAsia="Calibri"/>
          <w:color w:val="auto"/>
          <w:szCs w:val="22"/>
          <w:lang w:eastAsia="cs-CZ"/>
        </w:rPr>
        <w:t xml:space="preserve"> i v </w:t>
      </w:r>
      <w:r w:rsidRPr="00231643">
        <w:rPr>
          <w:rFonts w:eastAsia="Calibri"/>
          <w:color w:val="auto"/>
          <w:szCs w:val="22"/>
          <w:lang w:eastAsia="cs-CZ"/>
        </w:rPr>
        <w:t>následujících letech, než bude plně implementována Metodika 2017+.</w:t>
      </w:r>
    </w:p>
    <w:p w14:paraId="44CD596E" w14:textId="77777777" w:rsidR="00D056E8" w:rsidRPr="00231643" w:rsidRDefault="00D056E8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4673BF">
        <w:rPr>
          <w:rFonts w:eastAsia="Calibri"/>
          <w:color w:val="auto"/>
          <w:szCs w:val="22"/>
          <w:lang w:eastAsia="cs-CZ"/>
        </w:rPr>
        <w:t>Tím, že RVVI v součinnosti s ÚV ČR nezabezpečila hodnocení výsledků VO podle pravidel a</w:t>
      </w:r>
      <w:r w:rsidR="00481AE5">
        <w:rPr>
          <w:rFonts w:eastAsia="Calibri"/>
          <w:color w:val="auto"/>
          <w:szCs w:val="22"/>
          <w:lang w:eastAsia="cs-CZ"/>
        </w:rPr>
        <w:t> </w:t>
      </w:r>
      <w:r w:rsidRPr="004673BF">
        <w:rPr>
          <w:rFonts w:eastAsia="Calibri"/>
          <w:color w:val="auto"/>
          <w:szCs w:val="22"/>
          <w:lang w:eastAsia="cs-CZ"/>
        </w:rPr>
        <w:t xml:space="preserve">termínů stanovených v Metodice 2013, zároveň nepostupovala zcela v souladu s ustanovením § 35 odst. 2 písm. d) zákona o podpoře </w:t>
      </w:r>
      <w:proofErr w:type="spellStart"/>
      <w:r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4673BF">
        <w:rPr>
          <w:rFonts w:eastAsia="Calibri"/>
          <w:color w:val="auto"/>
          <w:szCs w:val="22"/>
          <w:lang w:eastAsia="cs-CZ"/>
        </w:rPr>
        <w:t>.</w:t>
      </w:r>
    </w:p>
    <w:p w14:paraId="14ECA209" w14:textId="77777777" w:rsidR="00FC307E" w:rsidRPr="00231643" w:rsidRDefault="00035AAB" w:rsidP="008C6CFA">
      <w:pPr>
        <w:spacing w:before="0" w:after="120"/>
        <w:ind w:left="284" w:hanging="284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 xml:space="preserve">6. </w:t>
      </w:r>
      <w:r w:rsidR="008C6CFA">
        <w:rPr>
          <w:rFonts w:eastAsia="Calibri"/>
          <w:b/>
          <w:color w:val="auto"/>
          <w:szCs w:val="22"/>
          <w:lang w:eastAsia="cs-CZ"/>
        </w:rPr>
        <w:tab/>
      </w:r>
      <w:r w:rsidRPr="00231643">
        <w:rPr>
          <w:rFonts w:eastAsia="Calibri"/>
          <w:b/>
          <w:color w:val="auto"/>
          <w:szCs w:val="22"/>
          <w:lang w:eastAsia="cs-CZ"/>
        </w:rPr>
        <w:t>Možnosti upravit výši rozdělované institucionální podpory podle vlastního podrobnějšího hodnocení využívala z poskytovatelů pouze Akademie věd</w:t>
      </w:r>
      <w:r>
        <w:rPr>
          <w:rFonts w:eastAsia="Calibri"/>
          <w:b/>
          <w:color w:val="auto"/>
          <w:szCs w:val="22"/>
          <w:lang w:eastAsia="cs-CZ"/>
        </w:rPr>
        <w:t xml:space="preserve"> České republiky</w:t>
      </w:r>
    </w:p>
    <w:p w14:paraId="5510FB46" w14:textId="394D7A15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Zákon </w:t>
      </w:r>
      <w:r>
        <w:rPr>
          <w:rFonts w:eastAsia="Calibri"/>
          <w:color w:val="auto"/>
          <w:szCs w:val="22"/>
          <w:lang w:eastAsia="cs-CZ"/>
        </w:rPr>
        <w:t xml:space="preserve">o 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 </w:t>
      </w:r>
      <w:r w:rsidRPr="00231643">
        <w:rPr>
          <w:rFonts w:eastAsia="Calibri"/>
          <w:color w:val="auto"/>
          <w:szCs w:val="22"/>
          <w:lang w:eastAsia="cs-CZ"/>
        </w:rPr>
        <w:t xml:space="preserve">umožňuje poskytovatelům realizovat vlastní podrobnější hodnocení VO a na základě tohoto hodnocení upravit výši rozdělované institucionální podpory. Jednotliví poskytovatelé </w:t>
      </w:r>
      <w:r>
        <w:rPr>
          <w:rFonts w:eastAsia="Calibri"/>
          <w:color w:val="auto"/>
          <w:szCs w:val="22"/>
          <w:lang w:eastAsia="cs-CZ"/>
        </w:rPr>
        <w:t>mají</w:t>
      </w:r>
      <w:r w:rsidRPr="00231643">
        <w:rPr>
          <w:rFonts w:eastAsia="Calibri"/>
          <w:color w:val="auto"/>
          <w:szCs w:val="22"/>
          <w:lang w:eastAsia="cs-CZ"/>
        </w:rPr>
        <w:t xml:space="preserve"> větší přehled o kvalitě VO spadajících do jejich působnosti než RVVI hodnotící </w:t>
      </w:r>
      <w:r>
        <w:rPr>
          <w:rFonts w:eastAsia="Calibri"/>
          <w:color w:val="auto"/>
          <w:szCs w:val="22"/>
          <w:lang w:eastAsia="cs-CZ"/>
        </w:rPr>
        <w:t xml:space="preserve">souhrnně </w:t>
      </w:r>
      <w:r w:rsidRPr="00231643">
        <w:rPr>
          <w:rFonts w:eastAsia="Calibri"/>
          <w:color w:val="auto"/>
          <w:szCs w:val="22"/>
          <w:lang w:eastAsia="cs-CZ"/>
        </w:rPr>
        <w:t>všechny VO. Úpravou výše podpory vypočtené na základě mechanického zhodnocení jednotlivých VO je možné mnohé výše uvedené nedostatky tohoto systému zmírnit.</w:t>
      </w:r>
    </w:p>
    <w:p w14:paraId="07849BA1" w14:textId="77777777" w:rsidR="00FC307E" w:rsidRPr="0023164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NKÚ prověřil, zda poskytovatelé využili zákonné možnosti upravit výši rozdělované institucionální podpory na základě vlastního hodnocení.</w:t>
      </w:r>
    </w:p>
    <w:p w14:paraId="055311E2" w14:textId="6DD0D43E" w:rsidR="00FC307E" w:rsidRPr="00682E70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Možnosti upravit výši rozdělované institucionální podpory podle vlastního podrobnějšího hodnocení využila </w:t>
      </w:r>
      <w:r>
        <w:rPr>
          <w:rFonts w:eastAsia="Calibri"/>
          <w:color w:val="auto"/>
          <w:szCs w:val="22"/>
          <w:lang w:eastAsia="cs-CZ"/>
        </w:rPr>
        <w:t>AV ČR</w:t>
      </w:r>
      <w:r w:rsidRPr="00231643">
        <w:rPr>
          <w:rFonts w:eastAsia="Calibri"/>
          <w:color w:val="auto"/>
          <w:szCs w:val="22"/>
          <w:lang w:eastAsia="cs-CZ"/>
        </w:rPr>
        <w:t xml:space="preserve">. </w:t>
      </w:r>
      <w:r>
        <w:rPr>
          <w:rFonts w:eastAsia="Calibri"/>
          <w:color w:val="auto"/>
          <w:szCs w:val="22"/>
          <w:lang w:eastAsia="cs-CZ"/>
        </w:rPr>
        <w:t xml:space="preserve">Svým pracovištím poskytuje </w:t>
      </w:r>
      <w:r w:rsidRPr="00682E70">
        <w:rPr>
          <w:rFonts w:eastAsia="Calibri"/>
          <w:color w:val="auto"/>
          <w:szCs w:val="22"/>
          <w:lang w:eastAsia="cs-CZ"/>
        </w:rPr>
        <w:t xml:space="preserve">AV ČR </w:t>
      </w:r>
      <w:r>
        <w:rPr>
          <w:rFonts w:eastAsia="Calibri"/>
          <w:color w:val="auto"/>
          <w:szCs w:val="22"/>
          <w:lang w:eastAsia="cs-CZ"/>
        </w:rPr>
        <w:t xml:space="preserve">institucionální podporu </w:t>
      </w:r>
      <w:r w:rsidRPr="00682E70">
        <w:rPr>
          <w:rFonts w:eastAsia="Calibri"/>
          <w:color w:val="auto"/>
          <w:szCs w:val="22"/>
          <w:lang w:eastAsia="cs-CZ"/>
        </w:rPr>
        <w:t>na základě hodnocení s účastí zahraničních hodnotitelů</w:t>
      </w:r>
      <w:r w:rsidRPr="004673BF">
        <w:rPr>
          <w:rFonts w:eastAsia="Calibri"/>
          <w:color w:val="auto"/>
          <w:szCs w:val="22"/>
          <w:lang w:eastAsia="cs-CZ"/>
        </w:rPr>
        <w:t>. Hodnocení probíhá v pravi</w:t>
      </w:r>
      <w:r w:rsidR="00D056E8" w:rsidRPr="004673BF">
        <w:rPr>
          <w:rFonts w:eastAsia="Calibri"/>
          <w:color w:val="auto"/>
          <w:szCs w:val="22"/>
          <w:lang w:eastAsia="cs-CZ"/>
        </w:rPr>
        <w:t>delných šestiletých intervalech, při zohlednění výsledků dosažených za posledních pět let.</w:t>
      </w:r>
      <w:r w:rsidRPr="00682E70">
        <w:rPr>
          <w:rFonts w:eastAsia="Calibri"/>
          <w:color w:val="auto"/>
          <w:szCs w:val="22"/>
          <w:lang w:eastAsia="cs-CZ"/>
        </w:rPr>
        <w:t xml:space="preserve"> Zohledňován</w:t>
      </w:r>
      <w:r w:rsidR="00436592">
        <w:rPr>
          <w:rFonts w:eastAsia="Calibri"/>
          <w:color w:val="auto"/>
          <w:szCs w:val="22"/>
          <w:lang w:eastAsia="cs-CZ"/>
        </w:rPr>
        <w:t>y</w:t>
      </w:r>
      <w:r w:rsidRPr="00682E70">
        <w:rPr>
          <w:rFonts w:eastAsia="Calibri"/>
          <w:color w:val="auto"/>
          <w:szCs w:val="22"/>
          <w:lang w:eastAsia="cs-CZ"/>
        </w:rPr>
        <w:t xml:space="preserve"> byl</w:t>
      </w:r>
      <w:r w:rsidR="00436592">
        <w:rPr>
          <w:rFonts w:eastAsia="Calibri"/>
          <w:color w:val="auto"/>
          <w:szCs w:val="22"/>
          <w:lang w:eastAsia="cs-CZ"/>
        </w:rPr>
        <w:t>y</w:t>
      </w:r>
      <w:r w:rsidRPr="00682E70">
        <w:rPr>
          <w:rFonts w:eastAsia="Calibri"/>
          <w:color w:val="auto"/>
          <w:szCs w:val="22"/>
          <w:lang w:eastAsia="cs-CZ"/>
        </w:rPr>
        <w:t xml:space="preserve"> především kvalita a výsledky vědecké činnosti, význam a specifický přínos pracoviště, postavení pracoviště v mezinárodním a národním kontextu oboru apod.</w:t>
      </w:r>
    </w:p>
    <w:p w14:paraId="5EE1CCE3" w14:textId="79DB72C5" w:rsidR="00FC307E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>Kontrolou bylo zjištěno, že MŠMT jakožto největší poskytovatel</w:t>
      </w:r>
      <w:r w:rsidRPr="00231643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institucionální</w:t>
      </w:r>
      <w:r w:rsidRPr="00231643">
        <w:rPr>
          <w:rFonts w:eastAsia="Calibri"/>
          <w:color w:val="auto"/>
          <w:szCs w:val="22"/>
          <w:lang w:eastAsia="cs-CZ"/>
        </w:rPr>
        <w:t xml:space="preserve"> podpory </w:t>
      </w:r>
      <w:r w:rsidR="007C4D70">
        <w:rPr>
          <w:rFonts w:eastAsia="Calibri"/>
          <w:color w:val="auto"/>
          <w:szCs w:val="22"/>
          <w:lang w:eastAsia="cs-CZ"/>
        </w:rPr>
        <w:t>nevyužilo</w:t>
      </w:r>
      <w:r w:rsidR="007C4D70" w:rsidRPr="00231643">
        <w:rPr>
          <w:rFonts w:eastAsia="Calibri"/>
          <w:color w:val="auto"/>
          <w:szCs w:val="22"/>
          <w:lang w:eastAsia="cs-CZ"/>
        </w:rPr>
        <w:t xml:space="preserve"> </w:t>
      </w:r>
      <w:r w:rsidRPr="00231643">
        <w:rPr>
          <w:rFonts w:eastAsia="Calibri"/>
          <w:color w:val="auto"/>
          <w:szCs w:val="22"/>
          <w:lang w:eastAsia="cs-CZ"/>
        </w:rPr>
        <w:t xml:space="preserve">možnost </w:t>
      </w:r>
      <w:r>
        <w:rPr>
          <w:rFonts w:eastAsia="Calibri"/>
          <w:color w:val="auto"/>
          <w:szCs w:val="22"/>
          <w:lang w:eastAsia="cs-CZ"/>
        </w:rPr>
        <w:t>upravovat její výši</w:t>
      </w:r>
      <w:r w:rsidRPr="00231643">
        <w:rPr>
          <w:rFonts w:eastAsia="Calibri"/>
          <w:color w:val="auto"/>
          <w:szCs w:val="22"/>
          <w:lang w:eastAsia="cs-CZ"/>
        </w:rPr>
        <w:t xml:space="preserve">. </w:t>
      </w:r>
      <w:r>
        <w:rPr>
          <w:rFonts w:eastAsia="Calibri"/>
          <w:color w:val="auto"/>
          <w:szCs w:val="22"/>
          <w:lang w:eastAsia="cs-CZ"/>
        </w:rPr>
        <w:t>S výjimkou AV ČR této možnosti dle</w:t>
      </w:r>
      <w:r w:rsidR="007C4D70">
        <w:rPr>
          <w:rFonts w:eastAsia="Calibri"/>
          <w:color w:val="auto"/>
          <w:szCs w:val="22"/>
          <w:lang w:eastAsia="cs-CZ"/>
        </w:rPr>
        <w:t xml:space="preserve"> dokumentu</w:t>
      </w:r>
      <w:r w:rsidRPr="00301473">
        <w:rPr>
          <w:rFonts w:eastAsia="Calibri"/>
          <w:color w:val="auto"/>
          <w:szCs w:val="22"/>
          <w:lang w:eastAsia="cs-CZ"/>
        </w:rPr>
        <w:t xml:space="preserve"> </w:t>
      </w:r>
      <w:r w:rsidRPr="000176F5">
        <w:rPr>
          <w:rFonts w:eastAsia="Calibri"/>
          <w:i/>
          <w:color w:val="auto"/>
          <w:szCs w:val="22"/>
          <w:lang w:eastAsia="cs-CZ"/>
        </w:rPr>
        <w:t>Analýz</w:t>
      </w:r>
      <w:r w:rsidR="007C4D70">
        <w:rPr>
          <w:rFonts w:eastAsia="Calibri"/>
          <w:i/>
          <w:color w:val="auto"/>
          <w:szCs w:val="22"/>
          <w:lang w:eastAsia="cs-CZ"/>
        </w:rPr>
        <w:t>a</w:t>
      </w:r>
      <w:r w:rsidRPr="000176F5">
        <w:rPr>
          <w:rFonts w:eastAsia="Calibri"/>
          <w:i/>
          <w:color w:val="auto"/>
          <w:szCs w:val="22"/>
          <w:lang w:eastAsia="cs-CZ"/>
        </w:rPr>
        <w:t xml:space="preserve"> stavu výzkumu, vývoje a inovací v České republice a jejich srovnání se zahraničím</w:t>
      </w:r>
      <w:r>
        <w:rPr>
          <w:rFonts w:eastAsia="Calibri"/>
          <w:color w:val="auto"/>
          <w:szCs w:val="22"/>
          <w:lang w:eastAsia="cs-CZ"/>
        </w:rPr>
        <w:t xml:space="preserve"> (dále také „Analýza</w:t>
      </w:r>
      <w:r w:rsidRPr="00231643">
        <w:rPr>
          <w:rFonts w:eastAsia="Calibri"/>
          <w:color w:val="auto"/>
          <w:szCs w:val="22"/>
          <w:lang w:eastAsia="cs-CZ"/>
        </w:rPr>
        <w:t xml:space="preserve">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>“)</w:t>
      </w:r>
      <w:r>
        <w:rPr>
          <w:rFonts w:eastAsia="Calibri"/>
          <w:color w:val="auto"/>
          <w:szCs w:val="22"/>
          <w:lang w:eastAsia="cs-CZ"/>
        </w:rPr>
        <w:t xml:space="preserve"> pro rok</w:t>
      </w:r>
      <w:r w:rsidRPr="00682E70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 xml:space="preserve">2015 nevyužil ani žádný jiný poskytovatel. </w:t>
      </w:r>
      <w:r w:rsidRPr="00231643">
        <w:rPr>
          <w:rFonts w:eastAsia="Calibri"/>
          <w:color w:val="auto"/>
          <w:szCs w:val="22"/>
          <w:lang w:eastAsia="cs-CZ"/>
        </w:rPr>
        <w:t xml:space="preserve">Institucionální podporu VO spadajícím do jejich působnosti tak </w:t>
      </w:r>
      <w:r>
        <w:rPr>
          <w:rFonts w:eastAsia="Calibri"/>
          <w:color w:val="auto"/>
          <w:szCs w:val="22"/>
          <w:lang w:eastAsia="cs-CZ"/>
        </w:rPr>
        <w:t>tito poskytovatelé</w:t>
      </w:r>
      <w:r w:rsidRPr="00231643">
        <w:rPr>
          <w:rFonts w:eastAsia="Calibri"/>
          <w:color w:val="auto"/>
          <w:szCs w:val="22"/>
          <w:lang w:eastAsia="cs-CZ"/>
        </w:rPr>
        <w:t xml:space="preserve"> rozdělovali na základě výsledků hodnocení VO, které</w:t>
      </w:r>
      <w:r>
        <w:rPr>
          <w:rFonts w:eastAsia="Calibri"/>
          <w:color w:val="auto"/>
          <w:szCs w:val="22"/>
          <w:lang w:eastAsia="cs-CZ"/>
        </w:rPr>
        <w:t xml:space="preserve"> vykazovalo výše uvedená</w:t>
      </w:r>
      <w:r w:rsidRPr="00231643">
        <w:rPr>
          <w:rFonts w:eastAsia="Calibri"/>
          <w:color w:val="auto"/>
          <w:szCs w:val="22"/>
          <w:lang w:eastAsia="cs-CZ"/>
        </w:rPr>
        <w:t xml:space="preserve"> omezení a nedostatky.</w:t>
      </w:r>
      <w:r w:rsidRPr="009D5651">
        <w:rPr>
          <w:rFonts w:eastAsia="Calibri"/>
          <w:color w:val="auto"/>
          <w:szCs w:val="22"/>
          <w:lang w:eastAsia="cs-CZ"/>
        </w:rPr>
        <w:t xml:space="preserve"> </w:t>
      </w:r>
      <w:r w:rsidR="006D1EC5" w:rsidRPr="004673BF">
        <w:rPr>
          <w:rFonts w:eastAsia="Calibri"/>
          <w:color w:val="auto"/>
          <w:szCs w:val="22"/>
          <w:lang w:eastAsia="cs-CZ"/>
        </w:rPr>
        <w:t>P</w:t>
      </w:r>
      <w:r w:rsidRPr="004673BF">
        <w:rPr>
          <w:rFonts w:eastAsia="Calibri"/>
          <w:color w:val="auto"/>
          <w:szCs w:val="22"/>
          <w:lang w:eastAsia="cs-CZ"/>
        </w:rPr>
        <w:t>rovázanost poskytované podpory na dlouhodobou strategii rozvoje vysoké školy jako výzkumné organizace</w:t>
      </w:r>
      <w:r w:rsidR="006D1EC5" w:rsidRPr="004673BF">
        <w:rPr>
          <w:rFonts w:eastAsia="Calibri"/>
          <w:color w:val="auto"/>
          <w:szCs w:val="22"/>
          <w:lang w:eastAsia="cs-CZ"/>
        </w:rPr>
        <w:t xml:space="preserve"> zákon ani MŠMT nevyžadovaly</w:t>
      </w:r>
      <w:r w:rsidRPr="004673BF">
        <w:rPr>
          <w:rFonts w:eastAsia="Calibri"/>
          <w:color w:val="auto"/>
          <w:szCs w:val="22"/>
          <w:lang w:eastAsia="cs-CZ"/>
        </w:rPr>
        <w:t>.</w:t>
      </w:r>
    </w:p>
    <w:p w14:paraId="177E0CBD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V rámci hodnocení VO dle Metodiky 2013 byly hodnoceny i jednotlivé organizační součásti jednotlivých VO. Výsledky tohoto hodnocení přebíraly rovněž všechny kontrolované </w:t>
      </w:r>
      <w:r>
        <w:rPr>
          <w:rFonts w:eastAsia="Calibri"/>
          <w:color w:val="auto"/>
          <w:szCs w:val="22"/>
          <w:lang w:eastAsia="cs-CZ"/>
        </w:rPr>
        <w:t>VŠ a </w:t>
      </w:r>
      <w:r w:rsidRPr="00231643">
        <w:rPr>
          <w:rFonts w:eastAsia="Calibri"/>
          <w:color w:val="auto"/>
          <w:szCs w:val="22"/>
          <w:lang w:eastAsia="cs-CZ"/>
        </w:rPr>
        <w:t xml:space="preserve">obdrženou institucionální podporu rozdělovaly mezi své fakulty dle jimi získaného bodového hodnocení. Hodnocení VO dle Metodiky 2013 a související rozdělení institucionální podpory </w:t>
      </w:r>
      <w:r w:rsidRPr="00231643">
        <w:rPr>
          <w:rFonts w:eastAsia="Calibri"/>
          <w:color w:val="auto"/>
          <w:szCs w:val="22"/>
          <w:lang w:eastAsia="cs-CZ"/>
        </w:rPr>
        <w:lastRenderedPageBreak/>
        <w:t xml:space="preserve">ze strany RVVI tak bylo se všemi svými nedostatky převzato i MŠMT jakožto poskytovatelem této podpory a následně všemi kontrolovanými </w:t>
      </w:r>
      <w:r>
        <w:rPr>
          <w:rFonts w:eastAsia="Calibri"/>
          <w:color w:val="auto"/>
          <w:szCs w:val="22"/>
          <w:lang w:eastAsia="cs-CZ"/>
        </w:rPr>
        <w:t>VŠ</w:t>
      </w:r>
      <w:r w:rsidRPr="00231643">
        <w:rPr>
          <w:rFonts w:eastAsia="Calibri"/>
          <w:color w:val="auto"/>
          <w:szCs w:val="22"/>
          <w:lang w:eastAsia="cs-CZ"/>
        </w:rPr>
        <w:t xml:space="preserve"> při rozdělení této podpory mezi jednotlivé fakulty.</w:t>
      </w:r>
      <w:r>
        <w:rPr>
          <w:rFonts w:eastAsia="Calibri"/>
          <w:color w:val="auto"/>
          <w:szCs w:val="22"/>
          <w:lang w:eastAsia="cs-CZ"/>
        </w:rPr>
        <w:t xml:space="preserve"> </w:t>
      </w:r>
    </w:p>
    <w:p w14:paraId="59BB7431" w14:textId="77777777" w:rsidR="00FC307E" w:rsidRDefault="00035AAB" w:rsidP="008C6CFA">
      <w:pPr>
        <w:spacing w:before="0" w:after="120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 xml:space="preserve">7. </w:t>
      </w:r>
      <w:r w:rsidRPr="00607762">
        <w:rPr>
          <w:rFonts w:eastAsia="Calibri"/>
          <w:b/>
          <w:color w:val="auto"/>
          <w:szCs w:val="22"/>
          <w:lang w:eastAsia="cs-CZ"/>
        </w:rPr>
        <w:t>Pravidla nastavená MŠMT umožňují netransparentní čerpání institucionální podpory</w:t>
      </w:r>
    </w:p>
    <w:p w14:paraId="07656B39" w14:textId="77777777" w:rsidR="00FC307E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B80F4B">
        <w:rPr>
          <w:rFonts w:eastAsia="Calibri"/>
          <w:color w:val="auto"/>
          <w:szCs w:val="22"/>
          <w:lang w:eastAsia="cs-CZ"/>
        </w:rPr>
        <w:t xml:space="preserve">Poskytování podpory příjemcům musí být ze strany poskytovatele doprovázeno stanovením pravidel čerpání této podpory. </w:t>
      </w:r>
      <w:r>
        <w:rPr>
          <w:rFonts w:eastAsia="Calibri"/>
          <w:color w:val="auto"/>
          <w:szCs w:val="22"/>
          <w:lang w:eastAsia="cs-CZ"/>
        </w:rPr>
        <w:t>Pro zajištění transparentního čerpání musí poskytovatel jednoznačně vymezi</w:t>
      </w:r>
      <w:r w:rsidRPr="00B80F4B">
        <w:rPr>
          <w:rFonts w:eastAsia="Calibri"/>
          <w:color w:val="auto"/>
          <w:szCs w:val="22"/>
          <w:lang w:eastAsia="cs-CZ"/>
        </w:rPr>
        <w:t xml:space="preserve">t účel a způsob použití těchto </w:t>
      </w:r>
      <w:r>
        <w:rPr>
          <w:rFonts w:eastAsia="Calibri"/>
          <w:color w:val="auto"/>
          <w:szCs w:val="22"/>
          <w:lang w:eastAsia="cs-CZ"/>
        </w:rPr>
        <w:t>prostředků.</w:t>
      </w:r>
    </w:p>
    <w:p w14:paraId="58CF2101" w14:textId="77777777" w:rsidR="00FC307E" w:rsidRPr="00B80F4B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>NKÚ u MŠMT a AV ČR prověřil nastavení pravidel pro čerpání institucionální podpory a u sedmi příjemců jejich dodržení.</w:t>
      </w:r>
    </w:p>
    <w:p w14:paraId="1D31FF27" w14:textId="67EB4195" w:rsidR="00FC307E" w:rsidRPr="00B80F4B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B80F4B">
        <w:rPr>
          <w:rFonts w:eastAsia="Calibri"/>
          <w:color w:val="auto"/>
          <w:szCs w:val="22"/>
          <w:lang w:eastAsia="cs-CZ"/>
        </w:rPr>
        <w:t>Kontrolou institucionální podpory na DK</w:t>
      </w:r>
      <w:r>
        <w:rPr>
          <w:rFonts w:eastAsia="Calibri"/>
          <w:color w:val="auto"/>
          <w:szCs w:val="22"/>
          <w:lang w:eastAsia="cs-CZ"/>
        </w:rPr>
        <w:t>RVO</w:t>
      </w:r>
      <w:r w:rsidRPr="00B80F4B">
        <w:rPr>
          <w:rFonts w:eastAsia="Calibri"/>
          <w:color w:val="auto"/>
          <w:szCs w:val="22"/>
          <w:lang w:eastAsia="cs-CZ"/>
        </w:rPr>
        <w:t xml:space="preserve"> bylo zjištěno, že MŠMT poskytovalo finanční prostředky na základě rozhodnutí o poskytnutí institucionální podpory na DKRVO. Právní úprava ani navazující podmínky stanovené MŠMT v</w:t>
      </w:r>
      <w:r w:rsidR="007C4D70">
        <w:rPr>
          <w:rFonts w:eastAsia="Calibri"/>
          <w:color w:val="auto"/>
          <w:szCs w:val="22"/>
          <w:lang w:eastAsia="cs-CZ"/>
        </w:rPr>
        <w:t> </w:t>
      </w:r>
      <w:r w:rsidRPr="00B80F4B">
        <w:rPr>
          <w:rFonts w:eastAsia="Calibri"/>
          <w:color w:val="auto"/>
          <w:szCs w:val="22"/>
          <w:lang w:eastAsia="cs-CZ"/>
        </w:rPr>
        <w:t>rozhodnutí</w:t>
      </w:r>
      <w:r w:rsidR="007C4D70">
        <w:rPr>
          <w:rFonts w:eastAsia="Calibri"/>
          <w:color w:val="auto"/>
          <w:szCs w:val="22"/>
          <w:lang w:eastAsia="cs-CZ"/>
        </w:rPr>
        <w:t>ch o</w:t>
      </w:r>
      <w:r w:rsidRPr="00B80F4B">
        <w:rPr>
          <w:rFonts w:eastAsia="Calibri"/>
          <w:color w:val="auto"/>
          <w:szCs w:val="22"/>
          <w:lang w:eastAsia="cs-CZ"/>
        </w:rPr>
        <w:t xml:space="preserve"> použití finančních prostředků institucionální podpory na DKRVO nezaručovaly, aby byly vynaložené prostředky užívány prokazatelně na DKRVO. </w:t>
      </w:r>
      <w:r w:rsidR="009C02C1" w:rsidRPr="004673BF">
        <w:rPr>
          <w:rFonts w:eastAsia="Calibri"/>
          <w:color w:val="auto"/>
          <w:szCs w:val="22"/>
          <w:lang w:eastAsia="cs-CZ"/>
        </w:rPr>
        <w:t xml:space="preserve">Zákon o podpoře </w:t>
      </w:r>
      <w:proofErr w:type="spellStart"/>
      <w:r w:rsidR="009C02C1"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="009C02C1" w:rsidRPr="004673BF">
        <w:rPr>
          <w:rFonts w:eastAsia="Calibri"/>
          <w:color w:val="auto"/>
          <w:szCs w:val="22"/>
          <w:lang w:eastAsia="cs-CZ"/>
        </w:rPr>
        <w:t xml:space="preserve"> definuje způsobilé náklady velmi obecně s aplikovatelností pro všechny poskytovatele.</w:t>
      </w:r>
      <w:r w:rsidR="009C02C1" w:rsidRPr="00131BD2">
        <w:rPr>
          <w:rFonts w:eastAsia="Calibri"/>
          <w:color w:val="auto"/>
          <w:szCs w:val="22"/>
          <w:lang w:eastAsia="cs-CZ"/>
        </w:rPr>
        <w:t xml:space="preserve"> </w:t>
      </w:r>
      <w:r w:rsidRPr="00131BD2">
        <w:rPr>
          <w:rFonts w:eastAsia="Calibri"/>
          <w:color w:val="auto"/>
          <w:szCs w:val="22"/>
          <w:lang w:eastAsia="cs-CZ"/>
        </w:rPr>
        <w:t>V rozhodnutí</w:t>
      </w:r>
      <w:r w:rsidR="007C4D70">
        <w:rPr>
          <w:rFonts w:eastAsia="Calibri"/>
          <w:color w:val="auto"/>
          <w:szCs w:val="22"/>
          <w:lang w:eastAsia="cs-CZ"/>
        </w:rPr>
        <w:t>ch</w:t>
      </w:r>
      <w:r w:rsidRPr="00131BD2">
        <w:rPr>
          <w:rFonts w:eastAsia="Calibri"/>
          <w:color w:val="auto"/>
          <w:szCs w:val="22"/>
          <w:lang w:eastAsia="cs-CZ"/>
        </w:rPr>
        <w:t xml:space="preserve"> nebylo nad rámec zákona </w:t>
      </w:r>
      <w:r>
        <w:rPr>
          <w:rFonts w:eastAsia="Calibri"/>
          <w:color w:val="auto"/>
          <w:szCs w:val="22"/>
          <w:lang w:eastAsia="cs-CZ"/>
        </w:rPr>
        <w:t>o</w:t>
      </w:r>
      <w:r w:rsidR="00481AE5">
        <w:rPr>
          <w:rFonts w:eastAsia="Calibri"/>
          <w:color w:val="auto"/>
          <w:szCs w:val="22"/>
          <w:lang w:eastAsia="cs-CZ"/>
        </w:rPr>
        <w:t> </w:t>
      </w:r>
      <w:r>
        <w:rPr>
          <w:rFonts w:eastAsia="Calibri"/>
          <w:color w:val="auto"/>
          <w:szCs w:val="22"/>
          <w:lang w:eastAsia="cs-CZ"/>
        </w:rPr>
        <w:t xml:space="preserve">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 </w:t>
      </w:r>
      <w:r w:rsidRPr="00131BD2">
        <w:rPr>
          <w:rFonts w:eastAsia="Calibri"/>
          <w:color w:val="auto"/>
          <w:szCs w:val="22"/>
          <w:lang w:eastAsia="cs-CZ"/>
        </w:rPr>
        <w:t>konkrétněji vymezeno, které náklady mohou být z podpory hrazeny a které nikoliv.</w:t>
      </w:r>
      <w:r w:rsidR="009C02C1">
        <w:rPr>
          <w:rFonts w:eastAsia="Calibri"/>
          <w:color w:val="auto"/>
          <w:szCs w:val="22"/>
          <w:lang w:eastAsia="cs-CZ"/>
        </w:rPr>
        <w:t xml:space="preserve"> </w:t>
      </w:r>
      <w:r w:rsidRPr="00131BD2">
        <w:rPr>
          <w:rFonts w:eastAsia="Calibri"/>
          <w:color w:val="auto"/>
          <w:szCs w:val="22"/>
          <w:lang w:eastAsia="cs-CZ"/>
        </w:rPr>
        <w:t>MŠMT v rozhodnutích o poskytnutí institucionální podpory na DKRVO nestanovilo podrobnější podmínky užití, rozhodnutí neobsahovalo ani konkrétní a</w:t>
      </w:r>
      <w:r w:rsidR="007C4D70">
        <w:rPr>
          <w:rFonts w:eastAsia="Calibri"/>
          <w:color w:val="auto"/>
          <w:szCs w:val="22"/>
          <w:lang w:eastAsia="cs-CZ"/>
        </w:rPr>
        <w:t> </w:t>
      </w:r>
      <w:r w:rsidRPr="00131BD2">
        <w:rPr>
          <w:rFonts w:eastAsia="Calibri"/>
          <w:color w:val="auto"/>
          <w:szCs w:val="22"/>
          <w:lang w:eastAsia="cs-CZ"/>
        </w:rPr>
        <w:t xml:space="preserve">jednoznačnou formulaci účelu. Tento přístup umožňuje příjemcům podpory na DKRVO téměř volné použití finančních prostředků, pokud zajistí, aby se byť jen okrajově týkaly </w:t>
      </w:r>
      <w:proofErr w:type="spellStart"/>
      <w:r w:rsidRPr="00131BD2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131BD2">
        <w:rPr>
          <w:rFonts w:eastAsia="Calibri"/>
          <w:color w:val="auto"/>
          <w:szCs w:val="22"/>
          <w:lang w:eastAsia="cs-CZ"/>
        </w:rPr>
        <w:t>.</w:t>
      </w:r>
    </w:p>
    <w:p w14:paraId="22164234" w14:textId="1F267C12" w:rsidR="00FC307E" w:rsidRPr="00B80F4B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B80F4B">
        <w:rPr>
          <w:rFonts w:eastAsia="Calibri"/>
          <w:color w:val="auto"/>
          <w:szCs w:val="22"/>
          <w:lang w:eastAsia="cs-CZ"/>
        </w:rPr>
        <w:t xml:space="preserve">Kontrolou u příjemců institucionální podpory na DKRVO od MŠMT bylo mj. zjištěno, že jednotlivé fakulty a rektoráty vysokých škol přistupují k čerpání institucionální podpory odlišně. V některých případech bylo čerpání prostředků institucionální podpory vykázáno pouze </w:t>
      </w:r>
      <w:proofErr w:type="spellStart"/>
      <w:r w:rsidRPr="00B80F4B">
        <w:rPr>
          <w:rFonts w:eastAsia="Calibri"/>
          <w:color w:val="auto"/>
          <w:szCs w:val="22"/>
          <w:lang w:eastAsia="cs-CZ"/>
        </w:rPr>
        <w:t>přeúčtovacími</w:t>
      </w:r>
      <w:proofErr w:type="spellEnd"/>
      <w:r w:rsidRPr="00B80F4B">
        <w:rPr>
          <w:rFonts w:eastAsia="Calibri"/>
          <w:color w:val="auto"/>
          <w:szCs w:val="22"/>
          <w:lang w:eastAsia="cs-CZ"/>
        </w:rPr>
        <w:t xml:space="preserve"> doklady v závěru roku, bez návaznosti na prvotní doklady. Kontrolou vybraného vzorku účetních dokladů však nebylo zjištěno porušení podmínek stanovených v rozhodnutí</w:t>
      </w:r>
      <w:r w:rsidR="007C4D70">
        <w:rPr>
          <w:rFonts w:eastAsia="Calibri"/>
          <w:color w:val="auto"/>
          <w:szCs w:val="22"/>
          <w:lang w:eastAsia="cs-CZ"/>
        </w:rPr>
        <w:t>ch</w:t>
      </w:r>
      <w:r w:rsidRPr="00B80F4B">
        <w:rPr>
          <w:rFonts w:eastAsia="Calibri"/>
          <w:color w:val="auto"/>
          <w:szCs w:val="22"/>
          <w:lang w:eastAsia="cs-CZ"/>
        </w:rPr>
        <w:t xml:space="preserve"> o poskytnutí institucionální podpory na DKRVO.</w:t>
      </w:r>
    </w:p>
    <w:p w14:paraId="4AF67FDC" w14:textId="77777777" w:rsidR="00FC307E" w:rsidRPr="00B80F4B" w:rsidRDefault="006E4584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4673BF">
        <w:rPr>
          <w:rFonts w:eastAsia="Calibri"/>
          <w:color w:val="auto"/>
          <w:szCs w:val="22"/>
          <w:lang w:eastAsia="cs-CZ"/>
        </w:rPr>
        <w:t>Výše popsaný systém poskytování institucionální podpory na DKRVO</w:t>
      </w:r>
      <w:r w:rsidR="00035AAB" w:rsidRPr="004673BF">
        <w:rPr>
          <w:rFonts w:eastAsia="Calibri"/>
          <w:color w:val="auto"/>
          <w:szCs w:val="22"/>
          <w:lang w:eastAsia="cs-CZ"/>
        </w:rPr>
        <w:t xml:space="preserve"> není transparentní a</w:t>
      </w:r>
      <w:r w:rsidR="00481AE5">
        <w:rPr>
          <w:rFonts w:eastAsia="Calibri"/>
          <w:color w:val="auto"/>
          <w:szCs w:val="22"/>
          <w:lang w:eastAsia="cs-CZ"/>
        </w:rPr>
        <w:t> </w:t>
      </w:r>
      <w:r w:rsidR="00035AAB" w:rsidRPr="00B80F4B">
        <w:rPr>
          <w:rFonts w:eastAsia="Calibri"/>
          <w:color w:val="auto"/>
          <w:szCs w:val="22"/>
          <w:lang w:eastAsia="cs-CZ"/>
        </w:rPr>
        <w:t>neumožňuje ověření skutečného čerpání obdržených prostředků. Aktuální znění rozhodnutí o</w:t>
      </w:r>
      <w:r w:rsidR="00481AE5">
        <w:rPr>
          <w:rFonts w:eastAsia="Calibri"/>
          <w:color w:val="auto"/>
          <w:szCs w:val="22"/>
          <w:lang w:eastAsia="cs-CZ"/>
        </w:rPr>
        <w:t> </w:t>
      </w:r>
      <w:r w:rsidR="00035AAB" w:rsidRPr="00B80F4B">
        <w:rPr>
          <w:rFonts w:eastAsia="Calibri"/>
          <w:color w:val="auto"/>
          <w:szCs w:val="22"/>
          <w:lang w:eastAsia="cs-CZ"/>
        </w:rPr>
        <w:t xml:space="preserve">poskytnutí institucionální podpory na DKRVO však takovéto vykazování umožňuje. </w:t>
      </w:r>
      <w:r w:rsidR="00035AAB" w:rsidRPr="00131BD2">
        <w:rPr>
          <w:rFonts w:eastAsia="Calibri"/>
          <w:color w:val="auto"/>
          <w:szCs w:val="22"/>
          <w:lang w:eastAsia="cs-CZ"/>
        </w:rPr>
        <w:t>Přestože MŠMT tuto skutečnost zjistilo i svou kontrolou již v roce 2014</w:t>
      </w:r>
      <w:r w:rsidR="00035AAB">
        <w:rPr>
          <w:rFonts w:eastAsia="Calibri"/>
          <w:color w:val="auto"/>
          <w:szCs w:val="22"/>
          <w:lang w:eastAsia="cs-CZ"/>
        </w:rPr>
        <w:t>,</w:t>
      </w:r>
      <w:r w:rsidR="00035AAB" w:rsidRPr="00131BD2">
        <w:rPr>
          <w:rFonts w:eastAsia="Calibri"/>
          <w:color w:val="auto"/>
          <w:szCs w:val="22"/>
          <w:lang w:eastAsia="cs-CZ"/>
        </w:rPr>
        <w:t xml:space="preserve"> nepřijalo n</w:t>
      </w:r>
      <w:r w:rsidR="00035AAB">
        <w:rPr>
          <w:rFonts w:eastAsia="Calibri"/>
          <w:color w:val="auto"/>
          <w:szCs w:val="22"/>
          <w:lang w:eastAsia="cs-CZ"/>
        </w:rPr>
        <w:t>a další období žádná opatření k </w:t>
      </w:r>
      <w:r w:rsidR="00035AAB" w:rsidRPr="00131BD2">
        <w:rPr>
          <w:rFonts w:eastAsia="Calibri"/>
          <w:color w:val="auto"/>
          <w:szCs w:val="22"/>
          <w:lang w:eastAsia="cs-CZ"/>
        </w:rPr>
        <w:t>odstranění nedostatků.</w:t>
      </w:r>
    </w:p>
    <w:p w14:paraId="6D93F2E3" w14:textId="4AA82EDB" w:rsidR="00FC307E" w:rsidRPr="00B80F4B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B80F4B">
        <w:rPr>
          <w:rFonts w:eastAsia="Calibri"/>
          <w:color w:val="auto"/>
          <w:szCs w:val="22"/>
          <w:lang w:eastAsia="cs-CZ"/>
        </w:rPr>
        <w:t>AV ČR poskytovala institucionální podporu transpare</w:t>
      </w:r>
      <w:r>
        <w:rPr>
          <w:rFonts w:eastAsia="Calibri"/>
          <w:color w:val="auto"/>
          <w:szCs w:val="22"/>
          <w:lang w:eastAsia="cs-CZ"/>
        </w:rPr>
        <w:t>ntním způsobem. Příjemci byli s </w:t>
      </w:r>
      <w:r w:rsidRPr="00B80F4B">
        <w:rPr>
          <w:rFonts w:eastAsia="Calibri"/>
          <w:color w:val="auto"/>
          <w:szCs w:val="22"/>
          <w:lang w:eastAsia="cs-CZ"/>
        </w:rPr>
        <w:t xml:space="preserve">podmínkami poskytování institucionální podpory i kritérii hodnocení dopředu seznámeni. Do systému hodnocení byli zapojeni především hodnotitelé bez pracovního poměru u AV ČR, včetně zahraničních. Výsledky hodnocení byly zveřejněny na webových stránkách AV ČR. </w:t>
      </w:r>
    </w:p>
    <w:p w14:paraId="5FD9D1BE" w14:textId="311A7315" w:rsidR="00FC307E" w:rsidRPr="00131BD2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6320ED">
        <w:rPr>
          <w:rFonts w:eastAsia="Calibri"/>
          <w:color w:val="auto"/>
          <w:szCs w:val="22"/>
          <w:lang w:eastAsia="cs-CZ"/>
        </w:rPr>
        <w:t xml:space="preserve">MŠMT i AV ČR </w:t>
      </w:r>
      <w:r w:rsidRPr="00131BD2">
        <w:rPr>
          <w:rFonts w:eastAsia="Calibri"/>
          <w:color w:val="auto"/>
          <w:szCs w:val="22"/>
          <w:lang w:eastAsia="cs-CZ"/>
        </w:rPr>
        <w:t>realizovali finanční kontroly u příjemců v zákonem požadovaném objemu ve výši nejméně 5 % účelové a institucionální podpory poskytnuté v daném kalendářním roce.</w:t>
      </w:r>
    </w:p>
    <w:p w14:paraId="425059CA" w14:textId="77777777" w:rsidR="00FC307E" w:rsidRDefault="00035AAB" w:rsidP="00FC307E">
      <w:pPr>
        <w:spacing w:after="120"/>
      </w:pPr>
      <w:r w:rsidRPr="00131BD2">
        <w:rPr>
          <w:rFonts w:eastAsia="Calibri"/>
          <w:color w:val="auto"/>
          <w:szCs w:val="22"/>
          <w:lang w:eastAsia="cs-CZ"/>
        </w:rPr>
        <w:t>Kontrolou institucionální podpory na DKRVO u příjemců NKÚ nezjistil závažné nedostatky. Drobné nedostatky byly zjištěny zejména v oblasti nedodržení zákonných termínů při zadávání a realizaci veřejných zakázek.</w:t>
      </w:r>
      <w:r>
        <w:rPr>
          <w:rFonts w:eastAsia="Calibri"/>
          <w:color w:val="auto"/>
          <w:szCs w:val="22"/>
          <w:lang w:eastAsia="cs-CZ"/>
        </w:rPr>
        <w:t xml:space="preserve"> K</w:t>
      </w:r>
      <w:r w:rsidRPr="005F65F6">
        <w:rPr>
          <w:rFonts w:eastAsia="Calibri"/>
          <w:color w:val="auto"/>
          <w:szCs w:val="22"/>
          <w:lang w:eastAsia="cs-CZ"/>
        </w:rPr>
        <w:t xml:space="preserve">ontrolovaní příjemci použili na úhradu osobních nákladů </w:t>
      </w:r>
      <w:r>
        <w:rPr>
          <w:rFonts w:eastAsia="Calibri"/>
          <w:color w:val="auto"/>
          <w:szCs w:val="22"/>
          <w:lang w:eastAsia="cs-CZ"/>
        </w:rPr>
        <w:t>v </w:t>
      </w:r>
      <w:r w:rsidRPr="005F65F6">
        <w:rPr>
          <w:rFonts w:eastAsia="Calibri"/>
          <w:color w:val="auto"/>
          <w:szCs w:val="22"/>
          <w:lang w:eastAsia="cs-CZ"/>
        </w:rPr>
        <w:t>letech 2014 až 2016</w:t>
      </w:r>
      <w:r>
        <w:rPr>
          <w:rFonts w:eastAsia="Calibri"/>
          <w:color w:val="auto"/>
          <w:szCs w:val="22"/>
          <w:lang w:eastAsia="cs-CZ"/>
        </w:rPr>
        <w:t xml:space="preserve"> celkově </w:t>
      </w:r>
      <w:r w:rsidRPr="005F65F6">
        <w:rPr>
          <w:rFonts w:eastAsia="Calibri"/>
          <w:color w:val="auto"/>
          <w:szCs w:val="22"/>
          <w:lang w:eastAsia="cs-CZ"/>
        </w:rPr>
        <w:t>73 % obdržené institucionální podpory. Jedna VŠ na úhradu osobních nákladů použila téměř 93 % obdržené institucionální podpory.</w:t>
      </w:r>
    </w:p>
    <w:p w14:paraId="1F916636" w14:textId="2BB27B93" w:rsidR="00FC307E" w:rsidRPr="008343BB" w:rsidRDefault="00035AAB" w:rsidP="008C6CFA">
      <w:pPr>
        <w:spacing w:before="0" w:after="120"/>
        <w:ind w:left="284" w:hanging="284"/>
        <w:jc w:val="left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lastRenderedPageBreak/>
        <w:t xml:space="preserve">8. </w:t>
      </w:r>
      <w:r w:rsidR="008C6CFA">
        <w:rPr>
          <w:rFonts w:eastAsia="Calibri"/>
          <w:b/>
          <w:color w:val="auto"/>
          <w:szCs w:val="22"/>
          <w:lang w:eastAsia="cs-CZ"/>
        </w:rPr>
        <w:tab/>
      </w:r>
      <w:r w:rsidRPr="00231643">
        <w:rPr>
          <w:rFonts w:eastAsia="Calibri"/>
          <w:b/>
          <w:color w:val="auto"/>
          <w:szCs w:val="22"/>
          <w:lang w:eastAsia="cs-CZ"/>
        </w:rPr>
        <w:t xml:space="preserve">Zákon </w:t>
      </w:r>
      <w:r>
        <w:rPr>
          <w:rFonts w:eastAsia="Calibri"/>
          <w:b/>
          <w:color w:val="auto"/>
          <w:szCs w:val="22"/>
          <w:lang w:eastAsia="cs-CZ"/>
        </w:rPr>
        <w:t xml:space="preserve">o podpoře </w:t>
      </w:r>
      <w:proofErr w:type="spellStart"/>
      <w:r>
        <w:rPr>
          <w:rFonts w:eastAsia="Calibri"/>
          <w:b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b/>
          <w:color w:val="auto"/>
          <w:szCs w:val="22"/>
          <w:lang w:eastAsia="cs-CZ"/>
        </w:rPr>
        <w:t xml:space="preserve"> </w:t>
      </w:r>
      <w:r w:rsidRPr="00231643">
        <w:rPr>
          <w:rFonts w:eastAsia="Calibri"/>
          <w:b/>
          <w:color w:val="auto"/>
          <w:szCs w:val="22"/>
          <w:lang w:eastAsia="cs-CZ"/>
        </w:rPr>
        <w:t>poskytovatelům ukládá v institucionální podpoře zohlednit výši nepřímé podpory, aniž by bylo blíže specifikováno</w:t>
      </w:r>
      <w:r w:rsidR="007C4D70">
        <w:rPr>
          <w:rFonts w:eastAsia="Calibri"/>
          <w:b/>
          <w:color w:val="auto"/>
          <w:szCs w:val="22"/>
          <w:lang w:eastAsia="cs-CZ"/>
        </w:rPr>
        <w:t>,</w:t>
      </w:r>
      <w:r w:rsidRPr="00231643">
        <w:rPr>
          <w:rFonts w:eastAsia="Calibri"/>
          <w:b/>
          <w:color w:val="auto"/>
          <w:szCs w:val="22"/>
          <w:lang w:eastAsia="cs-CZ"/>
        </w:rPr>
        <w:t xml:space="preserve"> jakým způsobem</w:t>
      </w:r>
      <w:r w:rsidR="007C4D70">
        <w:rPr>
          <w:rFonts w:eastAsia="Calibri"/>
          <w:b/>
          <w:color w:val="auto"/>
          <w:szCs w:val="22"/>
          <w:lang w:eastAsia="cs-CZ"/>
        </w:rPr>
        <w:t>,</w:t>
      </w:r>
      <w:r w:rsidRPr="00231643">
        <w:rPr>
          <w:rFonts w:eastAsia="Calibri"/>
          <w:b/>
          <w:color w:val="auto"/>
          <w:szCs w:val="22"/>
          <w:lang w:eastAsia="cs-CZ"/>
        </w:rPr>
        <w:t xml:space="preserve"> a MŠMT ani </w:t>
      </w:r>
      <w:r>
        <w:rPr>
          <w:rFonts w:eastAsia="Calibri"/>
          <w:b/>
          <w:color w:val="auto"/>
          <w:szCs w:val="22"/>
          <w:lang w:eastAsia="cs-CZ"/>
        </w:rPr>
        <w:t>AV ČR</w:t>
      </w:r>
      <w:r w:rsidRPr="00231643">
        <w:rPr>
          <w:rFonts w:eastAsia="Calibri"/>
          <w:b/>
          <w:color w:val="auto"/>
          <w:szCs w:val="22"/>
          <w:lang w:eastAsia="cs-CZ"/>
        </w:rPr>
        <w:t xml:space="preserve"> </w:t>
      </w:r>
      <w:r w:rsidR="00BE35BD">
        <w:rPr>
          <w:rFonts w:eastAsia="Calibri"/>
          <w:b/>
          <w:color w:val="auto"/>
          <w:szCs w:val="22"/>
          <w:lang w:eastAsia="cs-CZ"/>
        </w:rPr>
        <w:t xml:space="preserve">tak </w:t>
      </w:r>
      <w:r w:rsidRPr="00231643">
        <w:rPr>
          <w:rFonts w:eastAsia="Calibri"/>
          <w:b/>
          <w:color w:val="auto"/>
          <w:szCs w:val="22"/>
          <w:lang w:eastAsia="cs-CZ"/>
        </w:rPr>
        <w:t>výši nepřímé podpory v institucionální podpoře nezohledňovaly</w:t>
      </w:r>
    </w:p>
    <w:p w14:paraId="280AF891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Základní pravidla pro poskytování institucionální podpory jsou stanovena zákonem</w:t>
      </w:r>
      <w:r>
        <w:rPr>
          <w:rFonts w:eastAsia="Calibri"/>
          <w:color w:val="auto"/>
          <w:szCs w:val="22"/>
          <w:lang w:eastAsia="cs-CZ"/>
        </w:rPr>
        <w:t xml:space="preserve"> o 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. </w:t>
      </w:r>
      <w:r>
        <w:rPr>
          <w:rFonts w:eastAsia="Calibri"/>
          <w:color w:val="auto"/>
          <w:szCs w:val="22"/>
          <w:lang w:eastAsia="cs-CZ"/>
        </w:rPr>
        <w:t xml:space="preserve">Předpokladem pro správnou aplikaci těchto pravidel je jejich jednoznačnost a </w:t>
      </w:r>
      <w:r w:rsidRPr="00231643">
        <w:rPr>
          <w:rFonts w:eastAsia="Calibri"/>
          <w:color w:val="auto"/>
          <w:szCs w:val="22"/>
          <w:lang w:eastAsia="cs-CZ"/>
        </w:rPr>
        <w:t>v případě potřeby detailněj</w:t>
      </w:r>
      <w:r>
        <w:rPr>
          <w:rFonts w:eastAsia="Calibri"/>
          <w:color w:val="auto"/>
          <w:szCs w:val="22"/>
          <w:lang w:eastAsia="cs-CZ"/>
        </w:rPr>
        <w:t>ší rozpracování</w:t>
      </w:r>
      <w:r w:rsidRPr="00231643">
        <w:rPr>
          <w:rFonts w:eastAsia="Calibri"/>
          <w:color w:val="auto"/>
          <w:szCs w:val="22"/>
          <w:lang w:eastAsia="cs-CZ"/>
        </w:rPr>
        <w:t xml:space="preserve"> navazujícím materiálem.</w:t>
      </w:r>
    </w:p>
    <w:p w14:paraId="47EE8913" w14:textId="77777777" w:rsidR="00FC307E" w:rsidRPr="0023164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NKÚ prověřil, zda jsou pravidla pro poskytování institucionální podpory jednoznačně stanovena a dodržována.</w:t>
      </w:r>
    </w:p>
    <w:p w14:paraId="250D72CC" w14:textId="0614700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Zákon</w:t>
      </w:r>
      <w:r>
        <w:rPr>
          <w:rFonts w:eastAsia="Calibri"/>
          <w:color w:val="auto"/>
          <w:szCs w:val="22"/>
          <w:lang w:eastAsia="cs-CZ"/>
        </w:rPr>
        <w:t xml:space="preserve"> o 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poskytovatelům ukládá v institucionální podpoře zohlednit i výši nepřímé podpory, která byla VO poskytnuta v předchozích letech formou úlev od daňových povinností. Zákon však </w:t>
      </w:r>
      <w:r w:rsidR="007C4D70" w:rsidRPr="00231643">
        <w:rPr>
          <w:rFonts w:eastAsia="Calibri"/>
          <w:color w:val="auto"/>
          <w:szCs w:val="22"/>
          <w:lang w:eastAsia="cs-CZ"/>
        </w:rPr>
        <w:t xml:space="preserve">již </w:t>
      </w:r>
      <w:r w:rsidRPr="00231643">
        <w:rPr>
          <w:rFonts w:eastAsia="Calibri"/>
          <w:color w:val="auto"/>
          <w:szCs w:val="22"/>
          <w:lang w:eastAsia="cs-CZ"/>
        </w:rPr>
        <w:t>blíže neurčuje ani časové období</w:t>
      </w:r>
      <w:r w:rsidR="0082019B">
        <w:rPr>
          <w:rFonts w:eastAsia="Calibri"/>
          <w:color w:val="auto"/>
          <w:szCs w:val="22"/>
          <w:lang w:eastAsia="cs-CZ"/>
        </w:rPr>
        <w:t>,</w:t>
      </w:r>
      <w:r w:rsidRPr="00231643">
        <w:rPr>
          <w:rFonts w:eastAsia="Calibri"/>
          <w:color w:val="auto"/>
          <w:szCs w:val="22"/>
          <w:lang w:eastAsia="cs-CZ"/>
        </w:rPr>
        <w:t xml:space="preserve"> ani konkrétní způsob, jakým by měla být nepřímá podpora v poskytované institucionální podpoře zohledněna. ÚV </w:t>
      </w:r>
      <w:r>
        <w:rPr>
          <w:rFonts w:eastAsia="Calibri"/>
          <w:color w:val="auto"/>
          <w:szCs w:val="22"/>
          <w:lang w:eastAsia="cs-CZ"/>
        </w:rPr>
        <w:t xml:space="preserve">ČR </w:t>
      </w:r>
      <w:r w:rsidR="00983C5D">
        <w:rPr>
          <w:rFonts w:eastAsia="Calibri"/>
          <w:color w:val="auto"/>
          <w:szCs w:val="22"/>
          <w:lang w:eastAsia="cs-CZ"/>
        </w:rPr>
        <w:t xml:space="preserve">jako předkladatel zákona o podpoře </w:t>
      </w:r>
      <w:proofErr w:type="spellStart"/>
      <w:r w:rsidR="00983C5D">
        <w:rPr>
          <w:rFonts w:eastAsia="Calibri"/>
          <w:color w:val="auto"/>
          <w:szCs w:val="22"/>
          <w:lang w:eastAsia="cs-CZ"/>
        </w:rPr>
        <w:t>VaVaI</w:t>
      </w:r>
      <w:proofErr w:type="spellEnd"/>
      <w:r w:rsidR="00983C5D">
        <w:rPr>
          <w:rFonts w:eastAsia="Calibri"/>
          <w:color w:val="auto"/>
          <w:szCs w:val="22"/>
          <w:lang w:eastAsia="cs-CZ"/>
        </w:rPr>
        <w:t xml:space="preserve"> </w:t>
      </w:r>
      <w:r w:rsidRPr="00231643">
        <w:rPr>
          <w:rFonts w:eastAsia="Calibri"/>
          <w:color w:val="auto"/>
          <w:szCs w:val="22"/>
          <w:lang w:eastAsia="cs-CZ"/>
        </w:rPr>
        <w:t>přitom způsob zohlednění nepřím</w:t>
      </w:r>
      <w:r>
        <w:rPr>
          <w:rFonts w:eastAsia="Calibri"/>
          <w:color w:val="auto"/>
          <w:szCs w:val="22"/>
          <w:lang w:eastAsia="cs-CZ"/>
        </w:rPr>
        <w:t>é podpory blíže nespecifikuje a </w:t>
      </w:r>
      <w:r w:rsidRPr="00231643">
        <w:rPr>
          <w:rFonts w:eastAsia="Calibri"/>
          <w:color w:val="auto"/>
          <w:szCs w:val="22"/>
          <w:lang w:eastAsia="cs-CZ"/>
        </w:rPr>
        <w:t>nemá přehled o naplňování tohoto zákonného ustanovení jednotlivými poskytovateli institucionální podpory. Kontrol</w:t>
      </w:r>
      <w:r>
        <w:rPr>
          <w:rFonts w:eastAsia="Calibri"/>
          <w:color w:val="auto"/>
          <w:szCs w:val="22"/>
          <w:lang w:eastAsia="cs-CZ"/>
        </w:rPr>
        <w:t xml:space="preserve">ou </w:t>
      </w:r>
      <w:r w:rsidRPr="00231643">
        <w:rPr>
          <w:rFonts w:eastAsia="Calibri"/>
          <w:color w:val="auto"/>
          <w:szCs w:val="22"/>
          <w:lang w:eastAsia="cs-CZ"/>
        </w:rPr>
        <w:t xml:space="preserve">bylo zjištěno, že MŠMT ani </w:t>
      </w:r>
      <w:r>
        <w:rPr>
          <w:rFonts w:eastAsia="Calibri"/>
          <w:color w:val="auto"/>
          <w:szCs w:val="22"/>
          <w:lang w:eastAsia="cs-CZ"/>
        </w:rPr>
        <w:t>AV ČR</w:t>
      </w:r>
      <w:r w:rsidRPr="00231643">
        <w:rPr>
          <w:rFonts w:eastAsia="Calibri"/>
          <w:color w:val="auto"/>
          <w:szCs w:val="22"/>
          <w:lang w:eastAsia="cs-CZ"/>
        </w:rPr>
        <w:t xml:space="preserve"> v institucionální podpoře výši nepřímé podpory nezohledňovaly s odůvodněním blíže nespecifikovaného postupu zohlednění nepřímé podpory.</w:t>
      </w:r>
    </w:p>
    <w:p w14:paraId="0FF9CE3C" w14:textId="77777777" w:rsidR="00FC307E" w:rsidRPr="00231643" w:rsidRDefault="00035AAB" w:rsidP="008C6CFA">
      <w:pPr>
        <w:spacing w:before="0" w:after="120"/>
        <w:ind w:left="284" w:hanging="284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 xml:space="preserve">9. </w:t>
      </w:r>
      <w:r w:rsidRPr="00231643">
        <w:rPr>
          <w:rFonts w:eastAsia="Calibri"/>
          <w:b/>
          <w:color w:val="auto"/>
          <w:szCs w:val="22"/>
          <w:lang w:eastAsia="cs-CZ"/>
        </w:rPr>
        <w:t xml:space="preserve">Systém řízení a podpory </w:t>
      </w:r>
      <w:proofErr w:type="spellStart"/>
      <w:r w:rsidRPr="00231643">
        <w:rPr>
          <w:rFonts w:eastAsia="Calibri"/>
          <w:b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b/>
          <w:color w:val="auto"/>
          <w:szCs w:val="22"/>
          <w:lang w:eastAsia="cs-CZ"/>
        </w:rPr>
        <w:t xml:space="preserve"> je roztříštěný s nejasnými kompetencemi a odpovědností jednotlivých orgánů</w:t>
      </w:r>
    </w:p>
    <w:p w14:paraId="7D698A44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Základním předpokladem účelného a efektivního poskytování podpory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je jednoznačné vymezení a naplňování kompetencí a odpovědnosti orgánů zodpovědných za tvorbu a realizaci strategií.</w:t>
      </w:r>
    </w:p>
    <w:p w14:paraId="54EA54ED" w14:textId="77777777" w:rsidR="00FC307E" w:rsidRPr="0023164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NKÚ prověřil, zda jsou kompetence a odpovědnosti hlavních orgánů v oblasti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stanoveny jednoznačně a jakým způsobem tyto orgány spolupracují.</w:t>
      </w:r>
    </w:p>
    <w:p w14:paraId="3CC8FC9D" w14:textId="2CD81D1E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MŠMT</w:t>
      </w:r>
      <w:r>
        <w:rPr>
          <w:rFonts w:eastAsia="Calibri"/>
          <w:color w:val="auto"/>
          <w:szCs w:val="22"/>
          <w:lang w:eastAsia="cs-CZ"/>
        </w:rPr>
        <w:t xml:space="preserve"> je podle ustanovení § 7 odst. 1 kompetenčního zákona </w:t>
      </w:r>
      <w:r w:rsidRPr="00231643">
        <w:rPr>
          <w:rFonts w:eastAsia="Calibri"/>
          <w:color w:val="auto"/>
          <w:szCs w:val="22"/>
          <w:lang w:eastAsia="cs-CZ"/>
        </w:rPr>
        <w:t>ústředním orgánem státní správy mj. pro vědní politiku, výzkum a vývoj, včetně mezinárodn</w:t>
      </w:r>
      <w:r>
        <w:rPr>
          <w:rFonts w:eastAsia="Calibri"/>
          <w:color w:val="auto"/>
          <w:szCs w:val="22"/>
          <w:lang w:eastAsia="cs-CZ"/>
        </w:rPr>
        <w:t>í spolupráce v této oblasti, a </w:t>
      </w:r>
      <w:r w:rsidRPr="00231643">
        <w:rPr>
          <w:rFonts w:eastAsia="Calibri"/>
          <w:color w:val="auto"/>
          <w:szCs w:val="22"/>
          <w:lang w:eastAsia="cs-CZ"/>
        </w:rPr>
        <w:t xml:space="preserve">pro vědecké hodnosti. Dle </w:t>
      </w:r>
      <w:r>
        <w:rPr>
          <w:rFonts w:eastAsia="Calibri"/>
          <w:color w:val="auto"/>
          <w:szCs w:val="22"/>
          <w:lang w:eastAsia="cs-CZ"/>
        </w:rPr>
        <w:t xml:space="preserve">ustanovení </w:t>
      </w:r>
      <w:r w:rsidRPr="00231643">
        <w:rPr>
          <w:rFonts w:eastAsia="Calibri"/>
          <w:color w:val="auto"/>
          <w:szCs w:val="22"/>
          <w:lang w:eastAsia="cs-CZ"/>
        </w:rPr>
        <w:t>§</w:t>
      </w:r>
      <w:r>
        <w:rPr>
          <w:rFonts w:eastAsia="Calibri"/>
          <w:color w:val="auto"/>
          <w:szCs w:val="22"/>
          <w:lang w:eastAsia="cs-CZ"/>
        </w:rPr>
        <w:t> </w:t>
      </w:r>
      <w:r w:rsidRPr="00231643">
        <w:rPr>
          <w:rFonts w:eastAsia="Calibri"/>
          <w:color w:val="auto"/>
          <w:szCs w:val="22"/>
          <w:lang w:eastAsia="cs-CZ"/>
        </w:rPr>
        <w:t xml:space="preserve">33 zákona </w:t>
      </w:r>
      <w:r>
        <w:rPr>
          <w:rFonts w:eastAsia="Calibri"/>
          <w:color w:val="auto"/>
          <w:szCs w:val="22"/>
          <w:lang w:eastAsia="cs-CZ"/>
        </w:rPr>
        <w:t xml:space="preserve">o 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je MŠMT ústředním správním úřadem odpovědným za výzkum a vývoj, s výjimkou oblastí, které zabezpečuje RVVI dle </w:t>
      </w:r>
      <w:r>
        <w:rPr>
          <w:rFonts w:eastAsia="Calibri"/>
          <w:color w:val="auto"/>
          <w:szCs w:val="22"/>
          <w:lang w:eastAsia="cs-CZ"/>
        </w:rPr>
        <w:t xml:space="preserve">ustanovení </w:t>
      </w:r>
      <w:r w:rsidRPr="00231643">
        <w:rPr>
          <w:rFonts w:eastAsia="Calibri"/>
          <w:color w:val="auto"/>
          <w:szCs w:val="22"/>
          <w:lang w:eastAsia="cs-CZ"/>
        </w:rPr>
        <w:t xml:space="preserve">§ 35 tohoto zákona. RVVI zabezpečuje mj. přípravu </w:t>
      </w:r>
      <w:r w:rsidR="005C584E">
        <w:rPr>
          <w:rFonts w:eastAsia="Calibri"/>
          <w:color w:val="auto"/>
          <w:szCs w:val="22"/>
          <w:lang w:eastAsia="cs-CZ"/>
        </w:rPr>
        <w:t>n</w:t>
      </w:r>
      <w:r w:rsidRPr="00231643">
        <w:rPr>
          <w:rFonts w:eastAsia="Calibri"/>
          <w:color w:val="auto"/>
          <w:szCs w:val="22"/>
          <w:lang w:eastAsia="cs-CZ"/>
        </w:rPr>
        <w:t xml:space="preserve">árodní politiky výzkumu, vývoje a inovací (hlavní koncepční dokument v oblasti výzkumu, vývoje a inovací), kontrolu její realizace formou stanovisek k souladu programů výzkumu a vývoje předložených poskytovateli, zpracování priorit aplikovaného výzkumu, vývoje a inovací, zpracování pravidelných ročních analýz a hodnocení stavu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a jejich srovnání se zahraničím, návrh výše celkových výdajů na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jednotlivých rozpočtových kapitol a zpracování návrhu střednědobého výhledu podpory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. Z výčtu úkolů, které RVVI zabezpečuje, je tak zřejmé, že se jedná o klíčové úkoly v nastavení celého systému fungování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. </w:t>
      </w:r>
    </w:p>
    <w:p w14:paraId="058FD7D3" w14:textId="0C125CF9" w:rsidR="00FC307E" w:rsidRPr="00231643" w:rsidRDefault="00E25114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 xml:space="preserve">Přestože je </w:t>
      </w:r>
      <w:r w:rsidR="00035AAB" w:rsidRPr="00231643">
        <w:rPr>
          <w:rFonts w:eastAsia="Calibri"/>
          <w:color w:val="auto"/>
          <w:szCs w:val="22"/>
          <w:lang w:eastAsia="cs-CZ"/>
        </w:rPr>
        <w:t>MŠMT ústředním orgánem státní správy pro výzkum a</w:t>
      </w:r>
      <w:r>
        <w:rPr>
          <w:rFonts w:eastAsia="Calibri"/>
          <w:color w:val="auto"/>
          <w:szCs w:val="22"/>
          <w:lang w:eastAsia="cs-CZ"/>
        </w:rPr>
        <w:t> </w:t>
      </w:r>
      <w:r w:rsidR="00035AAB" w:rsidRPr="00231643">
        <w:rPr>
          <w:rFonts w:eastAsia="Calibri"/>
          <w:color w:val="auto"/>
          <w:szCs w:val="22"/>
          <w:lang w:eastAsia="cs-CZ"/>
        </w:rPr>
        <w:t xml:space="preserve">vývoj, nemá v klíčových oblastech výzkumu a vývoje odpovědnost a pravomoci. Zabezpečení těchto </w:t>
      </w:r>
      <w:r w:rsidR="00035AAB" w:rsidRPr="004673BF">
        <w:rPr>
          <w:rFonts w:eastAsia="Calibri"/>
          <w:color w:val="auto"/>
          <w:szCs w:val="22"/>
          <w:lang w:eastAsia="cs-CZ"/>
        </w:rPr>
        <w:t xml:space="preserve">klíčových úkolů je zákonem o podpoře </w:t>
      </w:r>
      <w:proofErr w:type="spellStart"/>
      <w:r w:rsidR="00035AAB"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="00035AAB" w:rsidRPr="004673BF">
        <w:rPr>
          <w:rFonts w:eastAsia="Calibri"/>
          <w:color w:val="auto"/>
          <w:szCs w:val="22"/>
          <w:lang w:eastAsia="cs-CZ"/>
        </w:rPr>
        <w:t xml:space="preserve"> uloženo RVVI. RVVI však nedisponuje</w:t>
      </w:r>
      <w:r w:rsidR="008B3B98" w:rsidRPr="004673BF">
        <w:rPr>
          <w:rFonts w:eastAsia="Calibri"/>
          <w:color w:val="auto"/>
          <w:szCs w:val="22"/>
          <w:lang w:eastAsia="cs-CZ"/>
        </w:rPr>
        <w:t xml:space="preserve"> finančními a personálními </w:t>
      </w:r>
      <w:r w:rsidR="00035AAB" w:rsidRPr="004673BF">
        <w:rPr>
          <w:rFonts w:eastAsia="Calibri"/>
          <w:color w:val="auto"/>
          <w:szCs w:val="22"/>
          <w:lang w:eastAsia="cs-CZ"/>
        </w:rPr>
        <w:t>zdroji pro zabezpečení těchto úkolů. Svěřené úkoly RVVI zabezpečuje</w:t>
      </w:r>
      <w:r w:rsidR="00035AAB" w:rsidRPr="00231643">
        <w:rPr>
          <w:rFonts w:eastAsia="Calibri"/>
          <w:color w:val="auto"/>
          <w:szCs w:val="22"/>
          <w:lang w:eastAsia="cs-CZ"/>
        </w:rPr>
        <w:t xml:space="preserve"> prostřednictvím ÚV</w:t>
      </w:r>
      <w:r w:rsidR="00035AAB">
        <w:rPr>
          <w:rFonts w:eastAsia="Calibri"/>
          <w:color w:val="auto"/>
          <w:szCs w:val="22"/>
          <w:lang w:eastAsia="cs-CZ"/>
        </w:rPr>
        <w:t xml:space="preserve"> ČR</w:t>
      </w:r>
      <w:r w:rsidR="00035AAB" w:rsidRPr="00231643">
        <w:rPr>
          <w:rFonts w:eastAsia="Calibri"/>
          <w:color w:val="auto"/>
          <w:szCs w:val="22"/>
          <w:lang w:eastAsia="cs-CZ"/>
        </w:rPr>
        <w:t xml:space="preserve"> a jeho rozpočtové kapitoly. RVVI je odborný a poradní orgán </w:t>
      </w:r>
      <w:r w:rsidR="006437A9">
        <w:rPr>
          <w:rFonts w:eastAsia="Calibri"/>
          <w:color w:val="auto"/>
          <w:szCs w:val="22"/>
          <w:lang w:eastAsia="cs-CZ"/>
        </w:rPr>
        <w:t>vlády bez právní subjektivity a </w:t>
      </w:r>
      <w:r w:rsidR="00035AAB" w:rsidRPr="00231643">
        <w:rPr>
          <w:rFonts w:eastAsia="Calibri"/>
          <w:color w:val="auto"/>
          <w:szCs w:val="22"/>
          <w:lang w:eastAsia="cs-CZ"/>
        </w:rPr>
        <w:t xml:space="preserve">bez přímé </w:t>
      </w:r>
      <w:proofErr w:type="spellStart"/>
      <w:r w:rsidR="00035AAB" w:rsidRPr="00231643">
        <w:rPr>
          <w:rFonts w:eastAsia="Calibri"/>
          <w:color w:val="auto"/>
          <w:szCs w:val="22"/>
          <w:lang w:eastAsia="cs-CZ"/>
        </w:rPr>
        <w:t>dovoditelné</w:t>
      </w:r>
      <w:proofErr w:type="spellEnd"/>
      <w:r w:rsidR="00035AAB" w:rsidRPr="00231643">
        <w:rPr>
          <w:rFonts w:eastAsia="Calibri"/>
          <w:color w:val="auto"/>
          <w:szCs w:val="22"/>
          <w:lang w:eastAsia="cs-CZ"/>
        </w:rPr>
        <w:t xml:space="preserve"> odpovědnosti. Klíčové úkoly v</w:t>
      </w:r>
      <w:r>
        <w:rPr>
          <w:rFonts w:eastAsia="Calibri"/>
          <w:color w:val="auto"/>
          <w:szCs w:val="22"/>
          <w:lang w:eastAsia="cs-CZ"/>
        </w:rPr>
        <w:t> </w:t>
      </w:r>
      <w:r w:rsidR="00035AAB" w:rsidRPr="00231643">
        <w:rPr>
          <w:rFonts w:eastAsia="Calibri"/>
          <w:color w:val="auto"/>
          <w:szCs w:val="22"/>
          <w:lang w:eastAsia="cs-CZ"/>
        </w:rPr>
        <w:t>oblasti výzkumu a</w:t>
      </w:r>
      <w:r w:rsidR="00481AE5">
        <w:rPr>
          <w:rFonts w:eastAsia="Calibri"/>
          <w:color w:val="auto"/>
          <w:szCs w:val="22"/>
          <w:lang w:eastAsia="cs-CZ"/>
        </w:rPr>
        <w:t> </w:t>
      </w:r>
      <w:r w:rsidR="00035AAB" w:rsidRPr="00231643">
        <w:rPr>
          <w:rFonts w:eastAsia="Calibri"/>
          <w:color w:val="auto"/>
          <w:szCs w:val="22"/>
          <w:lang w:eastAsia="cs-CZ"/>
        </w:rPr>
        <w:t>vývoje RVVI pouze zabezpečuje, ale přímou odpovědnost za ně ze své podstaty nést nemůže. Tato odpovědnost je přenášena na vládu. Zabezpečení klíčových úloh v oblasti výzkumu a</w:t>
      </w:r>
      <w:r w:rsidR="00481AE5">
        <w:rPr>
          <w:rFonts w:eastAsia="Calibri"/>
          <w:color w:val="auto"/>
          <w:szCs w:val="22"/>
          <w:lang w:eastAsia="cs-CZ"/>
        </w:rPr>
        <w:t> </w:t>
      </w:r>
      <w:r w:rsidR="00035AAB" w:rsidRPr="00231643">
        <w:rPr>
          <w:rFonts w:eastAsia="Calibri"/>
          <w:color w:val="auto"/>
          <w:szCs w:val="22"/>
          <w:lang w:eastAsia="cs-CZ"/>
        </w:rPr>
        <w:t xml:space="preserve">vývoje tak v </w:t>
      </w:r>
      <w:r w:rsidR="00035AAB">
        <w:rPr>
          <w:rFonts w:eastAsia="Calibri"/>
          <w:color w:val="auto"/>
          <w:szCs w:val="22"/>
          <w:lang w:eastAsia="cs-CZ"/>
        </w:rPr>
        <w:t xml:space="preserve">ČR není </w:t>
      </w:r>
      <w:r w:rsidR="00035AAB">
        <w:rPr>
          <w:rFonts w:eastAsia="Calibri"/>
          <w:color w:val="auto"/>
          <w:szCs w:val="22"/>
          <w:lang w:eastAsia="cs-CZ"/>
        </w:rPr>
        <w:lastRenderedPageBreak/>
        <w:t>spojeno s </w:t>
      </w:r>
      <w:r w:rsidR="00035AAB" w:rsidRPr="00231643">
        <w:rPr>
          <w:rFonts w:eastAsia="Calibri"/>
          <w:color w:val="auto"/>
          <w:szCs w:val="22"/>
          <w:lang w:eastAsia="cs-CZ"/>
        </w:rPr>
        <w:t>přímou odpovědností. Na tuto problematiku upozornil již Mezinárodní audit 2011, přesto výše po</w:t>
      </w:r>
      <w:r w:rsidR="00035AAB">
        <w:rPr>
          <w:rFonts w:eastAsia="Calibri"/>
          <w:color w:val="auto"/>
          <w:szCs w:val="22"/>
          <w:lang w:eastAsia="cs-CZ"/>
        </w:rPr>
        <w:t>psaná situace zůstává beze změn.</w:t>
      </w:r>
    </w:p>
    <w:p w14:paraId="7A576362" w14:textId="5CEBF91E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Dle </w:t>
      </w:r>
      <w:r>
        <w:rPr>
          <w:rFonts w:eastAsia="Calibri"/>
          <w:color w:val="auto"/>
          <w:szCs w:val="22"/>
          <w:lang w:eastAsia="cs-CZ"/>
        </w:rPr>
        <w:t xml:space="preserve">ustanovení </w:t>
      </w:r>
      <w:r w:rsidRPr="00231643">
        <w:rPr>
          <w:rFonts w:eastAsia="Calibri"/>
          <w:color w:val="auto"/>
          <w:szCs w:val="22"/>
          <w:lang w:eastAsia="cs-CZ"/>
        </w:rPr>
        <w:t xml:space="preserve">§ 35 odst. 2, písm. a) zákona </w:t>
      </w:r>
      <w:r>
        <w:rPr>
          <w:rFonts w:eastAsia="Calibri"/>
          <w:color w:val="auto"/>
          <w:szCs w:val="22"/>
          <w:lang w:eastAsia="cs-CZ"/>
        </w:rPr>
        <w:t xml:space="preserve">o 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zabezpečuje RVVI přípravu </w:t>
      </w:r>
      <w:r w:rsidR="00E25114">
        <w:rPr>
          <w:rFonts w:eastAsia="Calibri"/>
          <w:color w:val="auto"/>
          <w:szCs w:val="22"/>
          <w:lang w:eastAsia="cs-CZ"/>
        </w:rPr>
        <w:t>n</w:t>
      </w:r>
      <w:r w:rsidRPr="00231643">
        <w:rPr>
          <w:rFonts w:eastAsia="Calibri"/>
          <w:color w:val="auto"/>
          <w:szCs w:val="22"/>
          <w:lang w:eastAsia="cs-CZ"/>
        </w:rPr>
        <w:t xml:space="preserve">árodní politiky výzkumu, vývoje a inovací ve spolupráci s MŠMT. Konkrétní forma této spolupráce není zákonem stanovena. V rámci spolupráce na přípravě Aktualizace NP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byla mj. zřízena pracovní skupina se zástupci RVVI, MŠMT a MPO. Ministři MŠMT a MPO byly spolupředkladateli Aktualizace NP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vládě ke schválení. V rámci spolupráce na přípravě NP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2016 již pracovní skupina se zástupci MŠMT zřízena nebyla. Předkladatelem NP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2016 byl pouze místopředseda vlády pro vědu, výzkum a inovace, který byl zároveň předsedou RVVI. V rámci realizované kontrolní akce a rovněž</w:t>
      </w:r>
      <w:r>
        <w:rPr>
          <w:rFonts w:eastAsia="Calibri"/>
          <w:color w:val="auto"/>
          <w:szCs w:val="22"/>
          <w:lang w:eastAsia="cs-CZ"/>
        </w:rPr>
        <w:t xml:space="preserve"> v rámci zásadních připomínek v </w:t>
      </w:r>
      <w:r w:rsidRPr="00231643">
        <w:rPr>
          <w:rFonts w:eastAsia="Calibri"/>
          <w:color w:val="auto"/>
          <w:szCs w:val="22"/>
          <w:lang w:eastAsia="cs-CZ"/>
        </w:rPr>
        <w:t xml:space="preserve">meziresortním připomínkovém řízení k NP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2016 MŠMT uvedlo, že tento dokument nebyl připravován ve spolupráci s MŠMT. Ve stejném smyslu podaly zásadní připomínky rovněž TA ČR a M</w:t>
      </w:r>
      <w:r>
        <w:rPr>
          <w:rFonts w:eastAsia="Calibri"/>
          <w:color w:val="auto"/>
          <w:szCs w:val="22"/>
          <w:lang w:eastAsia="cs-CZ"/>
        </w:rPr>
        <w:t>inisterstvo pro místní rozvoj ČR</w:t>
      </w:r>
      <w:r w:rsidRPr="00231643">
        <w:rPr>
          <w:rFonts w:eastAsia="Calibri"/>
          <w:color w:val="auto"/>
          <w:szCs w:val="22"/>
          <w:lang w:eastAsia="cs-CZ"/>
        </w:rPr>
        <w:t>. Dle vyjádření ÚV</w:t>
      </w:r>
      <w:r>
        <w:rPr>
          <w:rFonts w:eastAsia="Calibri"/>
          <w:color w:val="auto"/>
          <w:szCs w:val="22"/>
          <w:lang w:eastAsia="cs-CZ"/>
        </w:rPr>
        <w:t xml:space="preserve"> ČR</w:t>
      </w:r>
      <w:r w:rsidRPr="00231643">
        <w:rPr>
          <w:rFonts w:eastAsia="Calibri"/>
          <w:color w:val="auto"/>
          <w:szCs w:val="22"/>
          <w:lang w:eastAsia="cs-CZ"/>
        </w:rPr>
        <w:t xml:space="preserve"> v rámci realizované kontrolní akce a ve vypořádání připomínek tato spolupráce probíhala, a to zejména na úrovni náměstků ministrů. </w:t>
      </w:r>
      <w:r>
        <w:rPr>
          <w:rFonts w:eastAsia="Calibri"/>
          <w:color w:val="auto"/>
          <w:szCs w:val="22"/>
          <w:lang w:eastAsia="cs-CZ"/>
        </w:rPr>
        <w:t>Z</w:t>
      </w:r>
      <w:r w:rsidRPr="00231643">
        <w:rPr>
          <w:rFonts w:eastAsia="Calibri"/>
          <w:color w:val="auto"/>
          <w:szCs w:val="22"/>
          <w:lang w:eastAsia="cs-CZ"/>
        </w:rPr>
        <w:t xml:space="preserve">ákon </w:t>
      </w:r>
      <w:r>
        <w:rPr>
          <w:rFonts w:eastAsia="Calibri"/>
          <w:color w:val="auto"/>
          <w:szCs w:val="22"/>
          <w:lang w:eastAsia="cs-CZ"/>
        </w:rPr>
        <w:t xml:space="preserve">o 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 xml:space="preserve">ukládá RVVI a MŠMT spolupracovat při přípravě </w:t>
      </w:r>
      <w:r w:rsidR="00E25114">
        <w:rPr>
          <w:rFonts w:eastAsia="Calibri"/>
          <w:color w:val="auto"/>
          <w:szCs w:val="22"/>
          <w:lang w:eastAsia="cs-CZ"/>
        </w:rPr>
        <w:t>n</w:t>
      </w:r>
      <w:r w:rsidRPr="00231643">
        <w:rPr>
          <w:rFonts w:eastAsia="Calibri"/>
          <w:color w:val="auto"/>
          <w:szCs w:val="22"/>
          <w:lang w:eastAsia="cs-CZ"/>
        </w:rPr>
        <w:t>árodní politiky výzkumu, vývoje a inovací</w:t>
      </w:r>
      <w:r>
        <w:rPr>
          <w:rFonts w:eastAsia="Calibri"/>
          <w:color w:val="auto"/>
          <w:szCs w:val="22"/>
          <w:lang w:eastAsia="cs-CZ"/>
        </w:rPr>
        <w:t xml:space="preserve">, jakožto </w:t>
      </w:r>
      <w:r w:rsidRPr="00231643">
        <w:rPr>
          <w:rFonts w:eastAsia="Calibri"/>
          <w:color w:val="auto"/>
          <w:szCs w:val="22"/>
        </w:rPr>
        <w:t xml:space="preserve">nejdůležitějšího strategického dokumentu na národní úrovni, který udává hlavní směry v oblasti </w:t>
      </w:r>
      <w:proofErr w:type="spellStart"/>
      <w:r w:rsidRPr="00231643">
        <w:rPr>
          <w:rFonts w:eastAsia="Calibri"/>
          <w:color w:val="auto"/>
          <w:szCs w:val="22"/>
        </w:rPr>
        <w:t>VaVaI</w:t>
      </w:r>
      <w:proofErr w:type="spellEnd"/>
      <w:r w:rsidRPr="00231643">
        <w:rPr>
          <w:rFonts w:eastAsia="Calibri"/>
          <w:color w:val="auto"/>
          <w:szCs w:val="22"/>
        </w:rPr>
        <w:t xml:space="preserve"> a zastřešuje ostatní související strategické dokumenty</w:t>
      </w:r>
      <w:r>
        <w:rPr>
          <w:rFonts w:eastAsia="Calibri"/>
          <w:color w:val="auto"/>
          <w:szCs w:val="22"/>
          <w:lang w:eastAsia="cs-CZ"/>
        </w:rPr>
        <w:t xml:space="preserve">. </w:t>
      </w:r>
      <w:r w:rsidRPr="00231643">
        <w:rPr>
          <w:rFonts w:eastAsia="Calibri"/>
          <w:color w:val="auto"/>
          <w:szCs w:val="22"/>
          <w:lang w:eastAsia="cs-CZ"/>
        </w:rPr>
        <w:t xml:space="preserve">Názory </w:t>
      </w:r>
      <w:r>
        <w:rPr>
          <w:rFonts w:eastAsia="Calibri"/>
          <w:color w:val="auto"/>
          <w:szCs w:val="22"/>
          <w:lang w:eastAsia="cs-CZ"/>
        </w:rPr>
        <w:t>obou</w:t>
      </w:r>
      <w:r w:rsidRPr="00231643">
        <w:rPr>
          <w:rFonts w:eastAsia="Calibri"/>
          <w:color w:val="auto"/>
          <w:szCs w:val="22"/>
          <w:lang w:eastAsia="cs-CZ"/>
        </w:rPr>
        <w:t xml:space="preserve"> orgánů </w:t>
      </w:r>
      <w:r>
        <w:rPr>
          <w:rFonts w:eastAsia="Calibri"/>
          <w:color w:val="auto"/>
          <w:szCs w:val="22"/>
          <w:lang w:eastAsia="cs-CZ"/>
        </w:rPr>
        <w:t>na realizaci této</w:t>
      </w:r>
      <w:r w:rsidRPr="00231643">
        <w:rPr>
          <w:rFonts w:eastAsia="Calibri"/>
          <w:color w:val="auto"/>
          <w:szCs w:val="22"/>
          <w:lang w:eastAsia="cs-CZ"/>
        </w:rPr>
        <w:t xml:space="preserve"> spoluprác</w:t>
      </w:r>
      <w:r>
        <w:rPr>
          <w:rFonts w:eastAsia="Calibri"/>
          <w:color w:val="auto"/>
          <w:szCs w:val="22"/>
          <w:lang w:eastAsia="cs-CZ"/>
        </w:rPr>
        <w:t>e</w:t>
      </w:r>
      <w:r w:rsidRPr="00231643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se v případě NP 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 2016</w:t>
      </w:r>
      <w:r w:rsidRPr="00231643">
        <w:rPr>
          <w:rFonts w:eastAsia="Calibri"/>
          <w:color w:val="auto"/>
          <w:szCs w:val="22"/>
        </w:rPr>
        <w:t xml:space="preserve"> významně lišily.</w:t>
      </w:r>
    </w:p>
    <w:p w14:paraId="058CAD7A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</w:rPr>
      </w:pPr>
      <w:r>
        <w:rPr>
          <w:rFonts w:eastAsia="Calibri"/>
          <w:color w:val="auto"/>
          <w:szCs w:val="22"/>
        </w:rPr>
        <w:t>K oblasti inovací má na základě svěřené působnosti nejblíže MPO. O</w:t>
      </w:r>
      <w:r w:rsidRPr="00231643">
        <w:rPr>
          <w:rFonts w:eastAsia="Calibri"/>
          <w:color w:val="auto"/>
          <w:szCs w:val="22"/>
        </w:rPr>
        <w:t xml:space="preserve">dpovědnost </w:t>
      </w:r>
      <w:r>
        <w:rPr>
          <w:rFonts w:eastAsia="Calibri"/>
          <w:color w:val="auto"/>
          <w:szCs w:val="22"/>
        </w:rPr>
        <w:t xml:space="preserve">za tuto oblast </w:t>
      </w:r>
      <w:r w:rsidRPr="00231643">
        <w:rPr>
          <w:rFonts w:eastAsia="Calibri"/>
          <w:color w:val="auto"/>
          <w:szCs w:val="22"/>
        </w:rPr>
        <w:t xml:space="preserve">však není jednoznačně právně ukotvena. MPO není na základě zákona </w:t>
      </w:r>
      <w:r>
        <w:rPr>
          <w:rFonts w:eastAsia="Calibri"/>
          <w:color w:val="auto"/>
          <w:szCs w:val="22"/>
        </w:rPr>
        <w:t xml:space="preserve">o podpoře </w:t>
      </w:r>
      <w:proofErr w:type="spellStart"/>
      <w:r>
        <w:rPr>
          <w:rFonts w:eastAsia="Calibri"/>
          <w:color w:val="auto"/>
          <w:szCs w:val="22"/>
        </w:rPr>
        <w:t>VaVaI</w:t>
      </w:r>
      <w:proofErr w:type="spellEnd"/>
      <w:r w:rsidRPr="00231643">
        <w:rPr>
          <w:rFonts w:eastAsia="Calibri"/>
          <w:color w:val="auto"/>
          <w:szCs w:val="22"/>
        </w:rPr>
        <w:t xml:space="preserve"> ústředním orgánem v oblasti </w:t>
      </w:r>
      <w:proofErr w:type="spellStart"/>
      <w:r w:rsidRPr="00231643">
        <w:rPr>
          <w:rFonts w:eastAsia="Calibri"/>
          <w:color w:val="auto"/>
          <w:szCs w:val="22"/>
        </w:rPr>
        <w:t>VaVaI</w:t>
      </w:r>
      <w:proofErr w:type="spellEnd"/>
      <w:r w:rsidRPr="00231643">
        <w:rPr>
          <w:rFonts w:eastAsia="Calibri"/>
          <w:color w:val="auto"/>
          <w:szCs w:val="22"/>
        </w:rPr>
        <w:t xml:space="preserve">, nicméně dle </w:t>
      </w:r>
      <w:r>
        <w:rPr>
          <w:rFonts w:eastAsia="Calibri"/>
          <w:color w:val="auto"/>
          <w:szCs w:val="22"/>
        </w:rPr>
        <w:t xml:space="preserve">ustanovení </w:t>
      </w:r>
      <w:r w:rsidRPr="00231643">
        <w:rPr>
          <w:rFonts w:eastAsia="Calibri"/>
          <w:color w:val="auto"/>
          <w:szCs w:val="22"/>
        </w:rPr>
        <w:t xml:space="preserve">§ 13 odst. 1, písm. d) a f) </w:t>
      </w:r>
      <w:r>
        <w:rPr>
          <w:rFonts w:eastAsia="Calibri"/>
          <w:color w:val="auto"/>
          <w:szCs w:val="22"/>
        </w:rPr>
        <w:t xml:space="preserve">kompetenčního </w:t>
      </w:r>
      <w:r w:rsidRPr="00231643">
        <w:rPr>
          <w:rFonts w:eastAsia="Calibri"/>
          <w:color w:val="auto"/>
          <w:szCs w:val="22"/>
        </w:rPr>
        <w:t>zákona je ústředním orgánem státní správy pro věci malých a středních podniků a pro věci živností, pro průmyslový výzkum,</w:t>
      </w:r>
      <w:r>
        <w:rPr>
          <w:rFonts w:eastAsia="Calibri"/>
          <w:color w:val="auto"/>
          <w:szCs w:val="22"/>
        </w:rPr>
        <w:t xml:space="preserve"> rozvoj techniky a technologií.</w:t>
      </w:r>
    </w:p>
    <w:p w14:paraId="00E7D300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</w:rPr>
      </w:pPr>
      <w:r w:rsidRPr="00231643">
        <w:rPr>
          <w:rFonts w:eastAsia="Calibri"/>
          <w:color w:val="auto"/>
          <w:szCs w:val="22"/>
        </w:rPr>
        <w:t xml:space="preserve">Podle </w:t>
      </w:r>
      <w:r>
        <w:rPr>
          <w:rFonts w:eastAsia="Calibri"/>
          <w:color w:val="auto"/>
          <w:szCs w:val="22"/>
        </w:rPr>
        <w:t xml:space="preserve">ustanovení </w:t>
      </w:r>
      <w:r w:rsidRPr="00231643">
        <w:rPr>
          <w:rFonts w:eastAsia="Calibri"/>
          <w:color w:val="auto"/>
          <w:szCs w:val="22"/>
        </w:rPr>
        <w:t xml:space="preserve">§ 36a odst. 3 písm. a) zákona </w:t>
      </w:r>
      <w:r>
        <w:rPr>
          <w:rFonts w:eastAsia="Calibri"/>
          <w:color w:val="auto"/>
          <w:szCs w:val="22"/>
        </w:rPr>
        <w:t xml:space="preserve">o podpoře </w:t>
      </w:r>
      <w:proofErr w:type="spellStart"/>
      <w:r>
        <w:rPr>
          <w:rFonts w:eastAsia="Calibri"/>
          <w:color w:val="auto"/>
          <w:szCs w:val="22"/>
        </w:rPr>
        <w:t>VaVaI</w:t>
      </w:r>
      <w:proofErr w:type="spellEnd"/>
      <w:r w:rsidRPr="00231643">
        <w:rPr>
          <w:rFonts w:eastAsia="Calibri"/>
          <w:color w:val="auto"/>
          <w:szCs w:val="22"/>
        </w:rPr>
        <w:t xml:space="preserve"> přípravu a realizaci programů aplikovaného výzkumu, vývoje a inovací, jehož součástí je i průmyslový výzkum, zabezpečuje TA ČR. Prostřednictvím TA ČR zabezpečují své programy správní úřady, které podl</w:t>
      </w:r>
      <w:r>
        <w:rPr>
          <w:rFonts w:eastAsia="Calibri"/>
          <w:color w:val="auto"/>
          <w:szCs w:val="22"/>
        </w:rPr>
        <w:t>e zákona o </w:t>
      </w:r>
      <w:r w:rsidRPr="00231643">
        <w:rPr>
          <w:rFonts w:eastAsia="Calibri"/>
          <w:color w:val="auto"/>
          <w:szCs w:val="22"/>
        </w:rPr>
        <w:t>státním rozpočtu ČR neposkytují podporu ze své rozpočtové kapitoly. Správní úřady, které jsou oprávněny poskytovat podporu ze své rozpočtové kapitoly, což je i případ MPO, jsou odpovědné za přípravu a realizaci programů ve své působnosti.</w:t>
      </w:r>
      <w:r>
        <w:rPr>
          <w:rFonts w:eastAsia="Calibri"/>
          <w:color w:val="auto"/>
          <w:szCs w:val="22"/>
        </w:rPr>
        <w:t xml:space="preserve"> V</w:t>
      </w:r>
      <w:r w:rsidRPr="00231643">
        <w:rPr>
          <w:rFonts w:eastAsia="Calibri"/>
          <w:color w:val="auto"/>
          <w:szCs w:val="22"/>
        </w:rPr>
        <w:t>zájemné kompetence a</w:t>
      </w:r>
      <w:r>
        <w:rPr>
          <w:rFonts w:eastAsia="Calibri"/>
          <w:color w:val="auto"/>
          <w:szCs w:val="22"/>
        </w:rPr>
        <w:t> </w:t>
      </w:r>
      <w:r w:rsidRPr="00231643">
        <w:rPr>
          <w:rFonts w:eastAsia="Calibri"/>
          <w:color w:val="auto"/>
          <w:szCs w:val="22"/>
        </w:rPr>
        <w:t xml:space="preserve">postavení MPO </w:t>
      </w:r>
      <w:r>
        <w:rPr>
          <w:rFonts w:eastAsia="Calibri"/>
          <w:color w:val="auto"/>
          <w:szCs w:val="22"/>
        </w:rPr>
        <w:t>a</w:t>
      </w:r>
      <w:r w:rsidRPr="00231643">
        <w:rPr>
          <w:rFonts w:eastAsia="Calibri"/>
          <w:color w:val="auto"/>
          <w:szCs w:val="22"/>
        </w:rPr>
        <w:t xml:space="preserve"> TA ČR zákon </w:t>
      </w:r>
      <w:r>
        <w:rPr>
          <w:rFonts w:eastAsia="Calibri"/>
          <w:color w:val="auto"/>
          <w:szCs w:val="22"/>
        </w:rPr>
        <w:t xml:space="preserve">o podpoře </w:t>
      </w:r>
      <w:proofErr w:type="spellStart"/>
      <w:r>
        <w:rPr>
          <w:rFonts w:eastAsia="Calibri"/>
          <w:color w:val="auto"/>
          <w:szCs w:val="22"/>
        </w:rPr>
        <w:t>VaVaI</w:t>
      </w:r>
      <w:proofErr w:type="spellEnd"/>
      <w:r>
        <w:rPr>
          <w:rFonts w:eastAsia="Calibri"/>
          <w:color w:val="auto"/>
          <w:szCs w:val="22"/>
        </w:rPr>
        <w:t xml:space="preserve"> nestanovuje</w:t>
      </w:r>
      <w:r w:rsidRPr="00231643">
        <w:rPr>
          <w:rFonts w:eastAsia="Calibri"/>
          <w:color w:val="auto"/>
          <w:szCs w:val="22"/>
        </w:rPr>
        <w:t>. Stejně tak je v kontrolovaném období n</w:t>
      </w:r>
      <w:r>
        <w:rPr>
          <w:rFonts w:eastAsia="Calibri"/>
          <w:color w:val="auto"/>
          <w:szCs w:val="22"/>
        </w:rPr>
        <w:t>eřešil svými opatřeními žádný z</w:t>
      </w:r>
      <w:r w:rsidRPr="00231643">
        <w:rPr>
          <w:rFonts w:eastAsia="Calibri"/>
          <w:color w:val="auto"/>
          <w:szCs w:val="22"/>
        </w:rPr>
        <w:t xml:space="preserve"> </w:t>
      </w:r>
      <w:r>
        <w:rPr>
          <w:rFonts w:eastAsia="Calibri"/>
          <w:color w:val="auto"/>
          <w:szCs w:val="22"/>
        </w:rPr>
        <w:t xml:space="preserve">národních </w:t>
      </w:r>
      <w:r w:rsidRPr="00231643">
        <w:rPr>
          <w:rFonts w:eastAsia="Calibri"/>
          <w:color w:val="auto"/>
          <w:szCs w:val="22"/>
        </w:rPr>
        <w:t>strategických dokumentů</w:t>
      </w:r>
      <w:r>
        <w:rPr>
          <w:rFonts w:eastAsia="Calibri"/>
          <w:color w:val="auto"/>
          <w:szCs w:val="22"/>
        </w:rPr>
        <w:t>.</w:t>
      </w:r>
      <w:r w:rsidRPr="00112CE9">
        <w:rPr>
          <w:rFonts w:eastAsia="Calibri"/>
          <w:color w:val="auto"/>
          <w:szCs w:val="22"/>
        </w:rPr>
        <w:t xml:space="preserve"> </w:t>
      </w:r>
      <w:r>
        <w:rPr>
          <w:rFonts w:eastAsia="Calibri"/>
          <w:color w:val="auto"/>
          <w:szCs w:val="22"/>
        </w:rPr>
        <w:t>V</w:t>
      </w:r>
      <w:r w:rsidRPr="00231643">
        <w:rPr>
          <w:rFonts w:eastAsia="Calibri"/>
          <w:color w:val="auto"/>
          <w:szCs w:val="22"/>
        </w:rPr>
        <w:t>zájemn</w:t>
      </w:r>
      <w:r>
        <w:rPr>
          <w:rFonts w:eastAsia="Calibri"/>
          <w:color w:val="auto"/>
          <w:szCs w:val="22"/>
        </w:rPr>
        <w:t>á spolupráce těchto orgánů přesto probíhala.</w:t>
      </w:r>
    </w:p>
    <w:p w14:paraId="58966AE2" w14:textId="66DF4DBA" w:rsidR="00FC307E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Odpovědnost v rámci své oblasti působení mají rovněž jednotliví poskytovatelé podpory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. V roce 2017 bylo v ČR 12 poskytovatelů podpory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formou nějakého typu programu</w:t>
      </w:r>
      <w:r w:rsidR="006F0C26" w:rsidRPr="006F0C26">
        <w:rPr>
          <w:rFonts w:eastAsia="Calibri"/>
          <w:color w:val="auto"/>
          <w:szCs w:val="22"/>
          <w:vertAlign w:val="superscript"/>
          <w:lang w:eastAsia="cs-CZ"/>
        </w:rPr>
        <w:t>5</w:t>
      </w:r>
      <w:r w:rsidRPr="00231643">
        <w:rPr>
          <w:rFonts w:eastAsia="Calibri"/>
          <w:color w:val="auto"/>
          <w:szCs w:val="22"/>
          <w:lang w:eastAsia="cs-CZ"/>
        </w:rPr>
        <w:t xml:space="preserve">. </w:t>
      </w:r>
      <w:r w:rsidR="00770925">
        <w:rPr>
          <w:rFonts w:eastAsia="Calibri"/>
          <w:color w:val="auto"/>
          <w:szCs w:val="22"/>
          <w:lang w:eastAsia="cs-CZ"/>
        </w:rPr>
        <w:t>V</w:t>
      </w:r>
      <w:r w:rsidR="00770925" w:rsidRPr="00231643">
        <w:rPr>
          <w:rFonts w:eastAsia="Calibri"/>
          <w:color w:val="auto"/>
          <w:szCs w:val="22"/>
          <w:lang w:eastAsia="cs-CZ"/>
        </w:rPr>
        <w:t xml:space="preserve"> roce 2017 bylo </w:t>
      </w:r>
      <w:r w:rsidR="00770925">
        <w:rPr>
          <w:rFonts w:eastAsia="Calibri"/>
          <w:color w:val="auto"/>
          <w:szCs w:val="22"/>
          <w:lang w:eastAsia="cs-CZ"/>
        </w:rPr>
        <w:t>t</w:t>
      </w:r>
      <w:r w:rsidRPr="00231643">
        <w:rPr>
          <w:rFonts w:eastAsia="Calibri"/>
          <w:color w:val="auto"/>
          <w:szCs w:val="22"/>
          <w:lang w:eastAsia="cs-CZ"/>
        </w:rPr>
        <w:t xml:space="preserve">akovýchto běžících programů </w:t>
      </w:r>
      <w:r w:rsidR="00770925">
        <w:rPr>
          <w:rFonts w:eastAsia="Calibri"/>
          <w:color w:val="auto"/>
          <w:szCs w:val="22"/>
          <w:lang w:eastAsia="cs-CZ"/>
        </w:rPr>
        <w:t xml:space="preserve">celkem </w:t>
      </w:r>
      <w:r w:rsidRPr="00231643">
        <w:rPr>
          <w:rFonts w:eastAsia="Calibri"/>
          <w:color w:val="auto"/>
          <w:szCs w:val="22"/>
          <w:lang w:eastAsia="cs-CZ"/>
        </w:rPr>
        <w:t xml:space="preserve">62. Množství poskytovatelů podpory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se zákonitě odráží i v množství jimi vytvářených koncepčních materiálů.</w:t>
      </w:r>
    </w:p>
    <w:p w14:paraId="1D8F4FAC" w14:textId="27002517" w:rsidR="00FC307E" w:rsidRDefault="00191095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4673BF">
        <w:rPr>
          <w:rFonts w:eastAsia="Calibri"/>
          <w:color w:val="auto"/>
          <w:szCs w:val="22"/>
        </w:rPr>
        <w:t xml:space="preserve">K nejasnostem, </w:t>
      </w:r>
      <w:r w:rsidRPr="004673BF">
        <w:rPr>
          <w:rFonts w:eastAsia="Calibri"/>
          <w:color w:val="auto"/>
          <w:szCs w:val="22"/>
          <w:lang w:eastAsia="cs-CZ"/>
        </w:rPr>
        <w:t xml:space="preserve">které mají </w:t>
      </w:r>
      <w:r w:rsidR="00770925">
        <w:rPr>
          <w:rFonts w:eastAsia="Calibri"/>
          <w:color w:val="auto"/>
          <w:szCs w:val="22"/>
          <w:lang w:eastAsia="cs-CZ"/>
        </w:rPr>
        <w:t xml:space="preserve">negativní </w:t>
      </w:r>
      <w:r w:rsidRPr="004673BF">
        <w:rPr>
          <w:rFonts w:eastAsia="Calibri"/>
          <w:color w:val="auto"/>
          <w:szCs w:val="22"/>
          <w:lang w:eastAsia="cs-CZ"/>
        </w:rPr>
        <w:t xml:space="preserve">vliv na celý systém </w:t>
      </w:r>
      <w:proofErr w:type="spellStart"/>
      <w:r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4673BF">
        <w:rPr>
          <w:rFonts w:eastAsia="Calibri"/>
          <w:color w:val="auto"/>
          <w:szCs w:val="22"/>
          <w:lang w:eastAsia="cs-CZ"/>
        </w:rPr>
        <w:t>,</w:t>
      </w:r>
      <w:r w:rsidRPr="004673BF">
        <w:rPr>
          <w:rFonts w:eastAsia="Calibri"/>
          <w:color w:val="auto"/>
          <w:szCs w:val="22"/>
        </w:rPr>
        <w:t xml:space="preserve"> </w:t>
      </w:r>
      <w:r w:rsidR="00035AAB" w:rsidRPr="004673BF">
        <w:rPr>
          <w:rFonts w:eastAsia="Calibri"/>
          <w:color w:val="auto"/>
          <w:szCs w:val="22"/>
        </w:rPr>
        <w:t>přispívá rovněž rozdílné používání pojmů.</w:t>
      </w:r>
      <w:r w:rsidR="00035AAB" w:rsidRPr="00231643">
        <w:rPr>
          <w:rFonts w:eastAsia="Calibri"/>
          <w:color w:val="auto"/>
          <w:szCs w:val="22"/>
        </w:rPr>
        <w:t xml:space="preserve"> Zákon </w:t>
      </w:r>
      <w:r w:rsidR="00035AAB">
        <w:rPr>
          <w:rFonts w:eastAsia="Calibri"/>
          <w:color w:val="auto"/>
          <w:szCs w:val="22"/>
        </w:rPr>
        <w:t xml:space="preserve">o podpoře </w:t>
      </w:r>
      <w:proofErr w:type="spellStart"/>
      <w:r w:rsidR="00035AAB">
        <w:rPr>
          <w:rFonts w:eastAsia="Calibri"/>
          <w:color w:val="auto"/>
          <w:szCs w:val="22"/>
        </w:rPr>
        <w:t>VaVaI</w:t>
      </w:r>
      <w:proofErr w:type="spellEnd"/>
      <w:r w:rsidR="00035AAB">
        <w:rPr>
          <w:rFonts w:eastAsia="Calibri"/>
          <w:color w:val="auto"/>
          <w:szCs w:val="22"/>
        </w:rPr>
        <w:t xml:space="preserve"> </w:t>
      </w:r>
      <w:r w:rsidR="00035AAB" w:rsidRPr="00231643">
        <w:rPr>
          <w:rFonts w:eastAsia="Calibri"/>
          <w:color w:val="auto"/>
          <w:szCs w:val="22"/>
        </w:rPr>
        <w:t xml:space="preserve">definuje pojmy „výzkum“ (základní a aplikovaný), „experimentální vývoj“ a „inovace“. Český statistický úřad při monitorování výdajů pracuje pouze s pojmy „výzkum“ a „vývoj“. Naopak usnesení vlády ke </w:t>
      </w:r>
      <w:r w:rsidR="00770925">
        <w:rPr>
          <w:rFonts w:eastAsia="Calibri"/>
          <w:color w:val="auto"/>
          <w:szCs w:val="22"/>
        </w:rPr>
        <w:t>s</w:t>
      </w:r>
      <w:r w:rsidR="00035AAB" w:rsidRPr="00231643">
        <w:rPr>
          <w:rFonts w:eastAsia="Calibri"/>
          <w:color w:val="auto"/>
          <w:szCs w:val="22"/>
        </w:rPr>
        <w:t xml:space="preserve">trategii </w:t>
      </w:r>
      <w:r w:rsidR="00035AAB" w:rsidRPr="00772E06">
        <w:rPr>
          <w:rFonts w:eastAsia="Calibri"/>
          <w:i/>
          <w:color w:val="auto"/>
          <w:szCs w:val="22"/>
        </w:rPr>
        <w:t xml:space="preserve">Evropa 2020 </w:t>
      </w:r>
      <w:r w:rsidR="00035AAB" w:rsidRPr="00231643">
        <w:rPr>
          <w:rFonts w:eastAsia="Calibri"/>
          <w:color w:val="auto"/>
          <w:szCs w:val="22"/>
        </w:rPr>
        <w:t xml:space="preserve">stanovuje výdaje na vědu, výzkum, vývoj a inovace. Pojem „věda“ přitom zákon </w:t>
      </w:r>
      <w:r w:rsidR="00035AAB">
        <w:rPr>
          <w:rFonts w:eastAsia="Calibri"/>
          <w:color w:val="auto"/>
          <w:szCs w:val="22"/>
        </w:rPr>
        <w:t xml:space="preserve">o podpoře </w:t>
      </w:r>
      <w:proofErr w:type="spellStart"/>
      <w:r w:rsidR="00035AAB">
        <w:rPr>
          <w:rFonts w:eastAsia="Calibri"/>
          <w:color w:val="auto"/>
          <w:szCs w:val="22"/>
        </w:rPr>
        <w:t>VaVaI</w:t>
      </w:r>
      <w:proofErr w:type="spellEnd"/>
      <w:r w:rsidR="00035AAB" w:rsidRPr="00231643">
        <w:rPr>
          <w:rFonts w:eastAsia="Calibri"/>
          <w:color w:val="auto"/>
          <w:szCs w:val="22"/>
        </w:rPr>
        <w:t xml:space="preserve"> nedefinuje. V rámci Priorit </w:t>
      </w:r>
      <w:proofErr w:type="spellStart"/>
      <w:r w:rsidR="00035AAB" w:rsidRPr="00231643">
        <w:rPr>
          <w:rFonts w:eastAsia="Calibri"/>
          <w:color w:val="auto"/>
          <w:szCs w:val="22"/>
        </w:rPr>
        <w:t>VaVaI</w:t>
      </w:r>
      <w:proofErr w:type="spellEnd"/>
      <w:r w:rsidR="00035AAB" w:rsidRPr="00231643">
        <w:rPr>
          <w:rFonts w:eastAsia="Calibri"/>
          <w:color w:val="auto"/>
          <w:szCs w:val="22"/>
        </w:rPr>
        <w:t xml:space="preserve"> byl dále zaveden pojem „orientovaný výzkum“. Tento dokument dále pracuje s</w:t>
      </w:r>
      <w:r w:rsidR="00481AE5">
        <w:rPr>
          <w:rFonts w:eastAsia="Calibri"/>
          <w:color w:val="auto"/>
          <w:szCs w:val="22"/>
        </w:rPr>
        <w:t> </w:t>
      </w:r>
      <w:r w:rsidR="00035AAB" w:rsidRPr="00231643">
        <w:rPr>
          <w:rFonts w:eastAsia="Calibri"/>
          <w:color w:val="auto"/>
          <w:szCs w:val="22"/>
        </w:rPr>
        <w:t xml:space="preserve">pojmem „experimentální vývoj“, tedy dle definice ze zákona </w:t>
      </w:r>
      <w:r w:rsidR="00035AAB">
        <w:rPr>
          <w:rFonts w:eastAsia="Calibri"/>
          <w:color w:val="auto"/>
          <w:szCs w:val="22"/>
        </w:rPr>
        <w:lastRenderedPageBreak/>
        <w:t>o</w:t>
      </w:r>
      <w:r w:rsidR="00770925">
        <w:rPr>
          <w:rFonts w:eastAsia="Calibri"/>
          <w:color w:val="auto"/>
          <w:szCs w:val="22"/>
        </w:rPr>
        <w:t> </w:t>
      </w:r>
      <w:r w:rsidR="00035AAB">
        <w:rPr>
          <w:rFonts w:eastAsia="Calibri"/>
          <w:color w:val="auto"/>
          <w:szCs w:val="22"/>
        </w:rPr>
        <w:t xml:space="preserve">podpoře </w:t>
      </w:r>
      <w:proofErr w:type="spellStart"/>
      <w:r w:rsidR="00035AAB">
        <w:rPr>
          <w:rFonts w:eastAsia="Calibri"/>
          <w:color w:val="auto"/>
          <w:szCs w:val="22"/>
        </w:rPr>
        <w:t>VaVaI</w:t>
      </w:r>
      <w:proofErr w:type="spellEnd"/>
      <w:r w:rsidR="00035AAB">
        <w:rPr>
          <w:rFonts w:eastAsia="Calibri"/>
          <w:color w:val="auto"/>
          <w:szCs w:val="22"/>
        </w:rPr>
        <w:t>.</w:t>
      </w:r>
      <w:r w:rsidR="00035AAB" w:rsidRPr="00231643">
        <w:rPr>
          <w:rFonts w:eastAsia="Calibri"/>
          <w:color w:val="auto"/>
          <w:szCs w:val="22"/>
        </w:rPr>
        <w:t xml:space="preserve"> V ostatních národních koncepčn</w:t>
      </w:r>
      <w:r w:rsidR="00035AAB">
        <w:rPr>
          <w:rFonts w:eastAsia="Calibri"/>
          <w:color w:val="auto"/>
          <w:szCs w:val="22"/>
        </w:rPr>
        <w:t xml:space="preserve">ích dokumentech, včetně </w:t>
      </w:r>
      <w:r w:rsidR="00770925">
        <w:rPr>
          <w:rFonts w:eastAsia="Calibri"/>
          <w:color w:val="auto"/>
          <w:szCs w:val="22"/>
        </w:rPr>
        <w:t>n</w:t>
      </w:r>
      <w:r w:rsidR="00035AAB">
        <w:rPr>
          <w:rFonts w:eastAsia="Calibri"/>
          <w:color w:val="auto"/>
          <w:szCs w:val="22"/>
        </w:rPr>
        <w:t xml:space="preserve">árodní politiky </w:t>
      </w:r>
      <w:proofErr w:type="spellStart"/>
      <w:r w:rsidR="00035AAB">
        <w:rPr>
          <w:rFonts w:eastAsia="Calibri"/>
          <w:color w:val="auto"/>
          <w:szCs w:val="22"/>
        </w:rPr>
        <w:t>VaVaI</w:t>
      </w:r>
      <w:proofErr w:type="spellEnd"/>
      <w:r w:rsidR="00035AAB" w:rsidRPr="00231643">
        <w:rPr>
          <w:rFonts w:eastAsia="Calibri"/>
          <w:color w:val="auto"/>
          <w:szCs w:val="22"/>
        </w:rPr>
        <w:t>, je používán zejména pojem „vývoj“.</w:t>
      </w:r>
    </w:p>
    <w:p w14:paraId="1DF04A2F" w14:textId="77777777" w:rsidR="00FC307E" w:rsidRPr="00231643" w:rsidRDefault="00035AAB" w:rsidP="008C6CFA">
      <w:pPr>
        <w:spacing w:before="0" w:after="120"/>
        <w:ind w:left="426" w:hanging="426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 xml:space="preserve">10. </w:t>
      </w:r>
      <w:r w:rsidR="008C6CFA">
        <w:rPr>
          <w:rFonts w:eastAsia="Calibri"/>
          <w:b/>
          <w:color w:val="auto"/>
          <w:szCs w:val="22"/>
          <w:lang w:eastAsia="cs-CZ"/>
        </w:rPr>
        <w:tab/>
      </w:r>
      <w:r w:rsidRPr="00231643">
        <w:rPr>
          <w:rFonts w:eastAsia="Calibri"/>
          <w:b/>
          <w:color w:val="auto"/>
          <w:szCs w:val="22"/>
          <w:lang w:eastAsia="cs-CZ"/>
        </w:rPr>
        <w:t xml:space="preserve">Informační systém </w:t>
      </w:r>
      <w:proofErr w:type="spellStart"/>
      <w:r w:rsidRPr="00231643">
        <w:rPr>
          <w:rFonts w:eastAsia="Calibri"/>
          <w:b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b/>
          <w:color w:val="auto"/>
          <w:szCs w:val="22"/>
          <w:lang w:eastAsia="cs-CZ"/>
        </w:rPr>
        <w:t xml:space="preserve"> nebyl minimálně čtyři měsíce plně funkční a neplnil svůj zákonný účel</w:t>
      </w:r>
    </w:p>
    <w:p w14:paraId="265AB89B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 xml:space="preserve">IS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 </w:t>
      </w:r>
      <w:r w:rsidRPr="00231643">
        <w:rPr>
          <w:rFonts w:eastAsia="Calibri"/>
          <w:color w:val="auto"/>
          <w:szCs w:val="22"/>
          <w:lang w:eastAsia="cs-CZ"/>
        </w:rPr>
        <w:t xml:space="preserve">zajišťuje zejména shromažďování, zpracování, poskytování a využívání údajů o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podporovaných z veřejných prostředků. Jeho účelem je poskytovat informace o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podporovaných z veřejných prostředků veřejnosti a poskytovatelům.</w:t>
      </w:r>
    </w:p>
    <w:p w14:paraId="0168C963" w14:textId="77777777" w:rsidR="00FC307E" w:rsidRPr="00FB758C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NKÚ prověřil zajištění správy a provozu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ve vztahu k plnění jeho základního účelu v poskytování informací o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>.</w:t>
      </w:r>
    </w:p>
    <w:p w14:paraId="2C027B7C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Úlohu správce a provozovatele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zabezpečuje RVVI.</w:t>
      </w:r>
      <w:r>
        <w:rPr>
          <w:rFonts w:eastAsia="Calibri"/>
          <w:color w:val="auto"/>
          <w:szCs w:val="22"/>
          <w:lang w:eastAsia="cs-CZ"/>
        </w:rPr>
        <w:t xml:space="preserve"> </w:t>
      </w:r>
      <w:r w:rsidRPr="00231643">
        <w:rPr>
          <w:rFonts w:eastAsia="Calibri"/>
          <w:color w:val="auto"/>
          <w:szCs w:val="22"/>
          <w:lang w:eastAsia="cs-CZ"/>
        </w:rPr>
        <w:t xml:space="preserve">Vývoj a provoz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byl od počátku zajišťován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dodavatelsky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externím subjektem. Poslední smlouva </w:t>
      </w:r>
      <w:proofErr w:type="gramStart"/>
      <w:r w:rsidRPr="00231643">
        <w:rPr>
          <w:rFonts w:eastAsia="Calibri"/>
          <w:color w:val="auto"/>
          <w:szCs w:val="22"/>
          <w:lang w:eastAsia="cs-CZ"/>
        </w:rPr>
        <w:t>byla</w:t>
      </w:r>
      <w:proofErr w:type="gramEnd"/>
      <w:r w:rsidRPr="00231643">
        <w:rPr>
          <w:rFonts w:eastAsia="Calibri"/>
          <w:color w:val="auto"/>
          <w:szCs w:val="22"/>
          <w:lang w:eastAsia="cs-CZ"/>
        </w:rPr>
        <w:t xml:space="preserve"> uzavřena na dobu určitou od 1. 6. 2012 do 31. 5. 2016. ÚV</w:t>
      </w:r>
      <w:r>
        <w:rPr>
          <w:rFonts w:eastAsia="Calibri"/>
          <w:color w:val="auto"/>
          <w:szCs w:val="22"/>
          <w:lang w:eastAsia="cs-CZ"/>
        </w:rPr>
        <w:t xml:space="preserve"> ČR</w:t>
      </w:r>
      <w:r w:rsidR="008B3B98">
        <w:rPr>
          <w:rFonts w:eastAsia="Calibri"/>
          <w:color w:val="auto"/>
          <w:szCs w:val="22"/>
          <w:lang w:eastAsia="cs-CZ"/>
        </w:rPr>
        <w:t xml:space="preserve"> </w:t>
      </w:r>
      <w:proofErr w:type="gramStart"/>
      <w:r w:rsidR="008B3B98">
        <w:rPr>
          <w:rFonts w:eastAsia="Calibri"/>
          <w:color w:val="auto"/>
          <w:szCs w:val="22"/>
          <w:lang w:eastAsia="cs-CZ"/>
        </w:rPr>
        <w:t>nezpracoval</w:t>
      </w:r>
      <w:proofErr w:type="gramEnd"/>
      <w:r w:rsidR="008B3B98">
        <w:rPr>
          <w:rFonts w:eastAsia="Calibri"/>
          <w:color w:val="auto"/>
          <w:szCs w:val="22"/>
          <w:lang w:eastAsia="cs-CZ"/>
        </w:rPr>
        <w:t xml:space="preserve"> </w:t>
      </w:r>
      <w:r w:rsidRPr="00231643">
        <w:rPr>
          <w:rFonts w:eastAsia="Calibri"/>
          <w:color w:val="auto"/>
          <w:szCs w:val="22"/>
          <w:lang w:eastAsia="cs-CZ"/>
        </w:rPr>
        <w:t xml:space="preserve">žádnou ekonomickou analýzu či studii, ze které by vyplývalo optimální hospodárné a efektivní řešení dané potřeby. Podle vyjádření ÚV </w:t>
      </w:r>
      <w:r>
        <w:rPr>
          <w:rFonts w:eastAsia="Calibri"/>
          <w:color w:val="auto"/>
          <w:szCs w:val="22"/>
          <w:lang w:eastAsia="cs-CZ"/>
        </w:rPr>
        <w:t xml:space="preserve">ČR </w:t>
      </w:r>
      <w:r w:rsidRPr="00231643">
        <w:rPr>
          <w:rFonts w:eastAsia="Calibri"/>
          <w:color w:val="auto"/>
          <w:szCs w:val="22"/>
          <w:lang w:eastAsia="cs-CZ"/>
        </w:rPr>
        <w:t>nebylo variantní řešení reálné.</w:t>
      </w:r>
    </w:p>
    <w:p w14:paraId="76481771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ÚV </w:t>
      </w:r>
      <w:r>
        <w:rPr>
          <w:rFonts w:eastAsia="Calibri"/>
          <w:color w:val="auto"/>
          <w:szCs w:val="22"/>
          <w:lang w:eastAsia="cs-CZ"/>
        </w:rPr>
        <w:t xml:space="preserve">ČR </w:t>
      </w:r>
      <w:r w:rsidRPr="00231643">
        <w:rPr>
          <w:rFonts w:eastAsia="Calibri"/>
          <w:color w:val="auto"/>
          <w:szCs w:val="22"/>
          <w:lang w:eastAsia="cs-CZ"/>
        </w:rPr>
        <w:t xml:space="preserve">při zajišťování fungování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pro období 1. 6. 2012 do 31. 5. 2016 zapříčinil stav exkluzivity jediného dodavatele tím, že nezabezpečil možnost úprav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i třetími osobami a nezajistil poskytnutí zdrojových kódů k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>. ÚV</w:t>
      </w:r>
      <w:r>
        <w:rPr>
          <w:rFonts w:eastAsia="Calibri"/>
          <w:color w:val="auto"/>
          <w:szCs w:val="22"/>
          <w:lang w:eastAsia="cs-CZ"/>
        </w:rPr>
        <w:t xml:space="preserve"> ČR</w:t>
      </w:r>
      <w:r w:rsidRPr="00231643">
        <w:rPr>
          <w:rFonts w:eastAsia="Calibri"/>
          <w:color w:val="auto"/>
          <w:szCs w:val="22"/>
          <w:lang w:eastAsia="cs-CZ"/>
        </w:rPr>
        <w:t xml:space="preserve"> tím způsobil, že k dalšímu fungování stávajícího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bylo nutné použít </w:t>
      </w:r>
      <w:r>
        <w:rPr>
          <w:rFonts w:eastAsia="Calibri"/>
          <w:color w:val="auto"/>
          <w:szCs w:val="22"/>
          <w:lang w:eastAsia="cs-CZ"/>
        </w:rPr>
        <w:t>jednací řízení bez uveřejnění (dále také „JŘBU“)</w:t>
      </w:r>
      <w:r w:rsidRPr="00231643">
        <w:rPr>
          <w:rFonts w:eastAsia="Calibri"/>
          <w:color w:val="auto"/>
          <w:szCs w:val="22"/>
          <w:lang w:eastAsia="cs-CZ"/>
        </w:rPr>
        <w:t xml:space="preserve"> se stávajícím dodavatelem. Zajištění zdrojových kódů ani zabezpečení možnosti úprav IS</w:t>
      </w:r>
      <w:r>
        <w:rPr>
          <w:rFonts w:eastAsia="Calibri"/>
          <w:color w:val="auto"/>
          <w:szCs w:val="22"/>
          <w:lang w:eastAsia="cs-CZ"/>
        </w:rPr>
        <w:t xml:space="preserve">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třetími osobami nebylo dle ÚV</w:t>
      </w:r>
      <w:r>
        <w:rPr>
          <w:rFonts w:eastAsia="Calibri"/>
          <w:color w:val="auto"/>
          <w:szCs w:val="22"/>
          <w:lang w:eastAsia="cs-CZ"/>
        </w:rPr>
        <w:t xml:space="preserve"> ČR</w:t>
      </w:r>
      <w:r w:rsidRPr="00231643">
        <w:rPr>
          <w:rFonts w:eastAsia="Calibri"/>
          <w:color w:val="auto"/>
          <w:szCs w:val="22"/>
          <w:lang w:eastAsia="cs-CZ"/>
        </w:rPr>
        <w:t xml:space="preserve"> součástí zajištění fungování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ani v minulosti a jejich zajištění by dané řešení neúměrně prodražilo. ÚV </w:t>
      </w:r>
      <w:r>
        <w:rPr>
          <w:rFonts w:eastAsia="Calibri"/>
          <w:color w:val="auto"/>
          <w:szCs w:val="22"/>
          <w:lang w:eastAsia="cs-CZ"/>
        </w:rPr>
        <w:t xml:space="preserve">ČR </w:t>
      </w:r>
      <w:r w:rsidRPr="00231643">
        <w:rPr>
          <w:rFonts w:eastAsia="Calibri"/>
          <w:color w:val="auto"/>
          <w:szCs w:val="22"/>
          <w:lang w:eastAsia="cs-CZ"/>
        </w:rPr>
        <w:t>smlou</w:t>
      </w:r>
      <w:r>
        <w:rPr>
          <w:rFonts w:eastAsia="Calibri"/>
          <w:color w:val="auto"/>
          <w:szCs w:val="22"/>
          <w:lang w:eastAsia="cs-CZ"/>
        </w:rPr>
        <w:t>vou zajistil vlastnické právo k </w:t>
      </w:r>
      <w:r w:rsidRPr="00231643">
        <w:rPr>
          <w:rFonts w:eastAsia="Calibri"/>
          <w:color w:val="auto"/>
          <w:szCs w:val="22"/>
          <w:lang w:eastAsia="cs-CZ"/>
        </w:rPr>
        <w:t xml:space="preserve">jednotlivým předmětným údajům obsaženým v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</w:t>
      </w:r>
      <w:r>
        <w:rPr>
          <w:rFonts w:eastAsia="Calibri"/>
          <w:color w:val="auto"/>
          <w:szCs w:val="22"/>
          <w:lang w:eastAsia="cs-CZ"/>
        </w:rPr>
        <w:t>aVaI</w:t>
      </w:r>
      <w:proofErr w:type="spellEnd"/>
      <w:r>
        <w:rPr>
          <w:rFonts w:eastAsia="Calibri"/>
          <w:color w:val="auto"/>
          <w:szCs w:val="22"/>
          <w:lang w:eastAsia="cs-CZ"/>
        </w:rPr>
        <w:t>, zpracovaným výsledkům a k </w:t>
      </w:r>
      <w:r w:rsidRPr="00231643">
        <w:rPr>
          <w:rFonts w:eastAsia="Calibri"/>
          <w:color w:val="auto"/>
          <w:szCs w:val="22"/>
          <w:lang w:eastAsia="cs-CZ"/>
        </w:rPr>
        <w:t>aplikacím vyvinutým zhotovitelem pro potřeby plnění předmětu smlouvy.</w:t>
      </w:r>
    </w:p>
    <w:p w14:paraId="46B835C3" w14:textId="79F192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V rámci zajištění správy a provozu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po skončení platnosti smlouvy ÚV</w:t>
      </w:r>
      <w:r>
        <w:rPr>
          <w:rFonts w:eastAsia="Calibri"/>
          <w:color w:val="auto"/>
          <w:szCs w:val="22"/>
          <w:lang w:eastAsia="cs-CZ"/>
        </w:rPr>
        <w:t xml:space="preserve"> ČR</w:t>
      </w:r>
      <w:r w:rsidRPr="00231643">
        <w:rPr>
          <w:rFonts w:eastAsia="Calibri"/>
          <w:color w:val="auto"/>
          <w:szCs w:val="22"/>
          <w:lang w:eastAsia="cs-CZ"/>
        </w:rPr>
        <w:t xml:space="preserve"> zadával veřejnou zakázku na vypořádání autorských práv k SW pro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a zajištění minimálních nezbytných provozních změn formou JŘBU. Součástí práv poskytnutých zadavateli měla být nevýhradní, časově neomezená licence k užití díla (vytvořenému SW) a jeho úpravám ze strany zadavatele i třetích stran určených zadavatelem. Dohody </w:t>
      </w:r>
      <w:r w:rsidR="00770925">
        <w:rPr>
          <w:rFonts w:eastAsia="Calibri"/>
          <w:color w:val="auto"/>
          <w:szCs w:val="22"/>
          <w:lang w:eastAsia="cs-CZ"/>
        </w:rPr>
        <w:t>v souladu s podmínkami</w:t>
      </w:r>
      <w:r w:rsidRPr="00231643">
        <w:rPr>
          <w:rFonts w:eastAsia="Calibri"/>
          <w:color w:val="auto"/>
          <w:szCs w:val="22"/>
          <w:lang w:eastAsia="cs-CZ"/>
        </w:rPr>
        <w:t xml:space="preserve"> JŘBU nebylo dosaženo a dne 31. 5. 2016 byl provoz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ukončen. </w:t>
      </w:r>
      <w:r w:rsidR="00191095" w:rsidRPr="00231643">
        <w:rPr>
          <w:rFonts w:eastAsia="Calibri"/>
          <w:color w:val="auto"/>
          <w:szCs w:val="22"/>
          <w:lang w:eastAsia="cs-CZ"/>
        </w:rPr>
        <w:t>Následně začal ÚV</w:t>
      </w:r>
      <w:r w:rsidR="00191095">
        <w:rPr>
          <w:rFonts w:eastAsia="Calibri"/>
          <w:color w:val="auto"/>
          <w:szCs w:val="22"/>
          <w:lang w:eastAsia="cs-CZ"/>
        </w:rPr>
        <w:t xml:space="preserve"> ČR</w:t>
      </w:r>
      <w:r w:rsidR="00191095" w:rsidRPr="00231643">
        <w:rPr>
          <w:rFonts w:eastAsia="Calibri"/>
          <w:color w:val="auto"/>
          <w:szCs w:val="22"/>
          <w:lang w:eastAsia="cs-CZ"/>
        </w:rPr>
        <w:t xml:space="preserve"> podnikat kroky k zajištění provozu IS </w:t>
      </w:r>
      <w:proofErr w:type="spellStart"/>
      <w:r w:rsidR="00191095"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="00191095" w:rsidRPr="00231643">
        <w:rPr>
          <w:rFonts w:eastAsia="Calibri"/>
          <w:color w:val="auto"/>
          <w:szCs w:val="22"/>
          <w:lang w:eastAsia="cs-CZ"/>
        </w:rPr>
        <w:t xml:space="preserve"> vlastními prostředky.</w:t>
      </w:r>
    </w:p>
    <w:p w14:paraId="23F344B2" w14:textId="438CD59E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 xml:space="preserve">IS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nebyl </w:t>
      </w:r>
      <w:r w:rsidR="00770925" w:rsidRPr="00231643">
        <w:rPr>
          <w:rFonts w:eastAsia="Calibri"/>
          <w:color w:val="auto"/>
          <w:szCs w:val="22"/>
          <w:lang w:eastAsia="cs-CZ"/>
        </w:rPr>
        <w:t xml:space="preserve">plně funkční </w:t>
      </w:r>
      <w:r w:rsidRPr="00231643">
        <w:rPr>
          <w:rFonts w:eastAsia="Calibri"/>
          <w:color w:val="auto"/>
          <w:szCs w:val="22"/>
          <w:lang w:eastAsia="cs-CZ"/>
        </w:rPr>
        <w:t xml:space="preserve">minimálně v období od 1. 6. 2016 do konce září 2016, tedy po dobu přibližně čtyř měsíců. IS </w:t>
      </w:r>
      <w:proofErr w:type="spellStart"/>
      <w:r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="00734B26" w:rsidRPr="004673BF">
        <w:rPr>
          <w:rFonts w:eastAsia="Calibri"/>
          <w:color w:val="auto"/>
          <w:szCs w:val="22"/>
          <w:lang w:eastAsia="cs-CZ"/>
        </w:rPr>
        <w:t xml:space="preserve"> v uvedeném období</w:t>
      </w:r>
      <w:r w:rsidRPr="00231643">
        <w:rPr>
          <w:rFonts w:eastAsia="Calibri"/>
          <w:color w:val="auto"/>
          <w:szCs w:val="22"/>
          <w:lang w:eastAsia="cs-CZ"/>
        </w:rPr>
        <w:t xml:space="preserve"> neplnil svůj základní účel ve smyslu </w:t>
      </w:r>
      <w:r>
        <w:rPr>
          <w:rFonts w:eastAsia="Calibri"/>
          <w:color w:val="auto"/>
          <w:szCs w:val="22"/>
          <w:lang w:eastAsia="cs-CZ"/>
        </w:rPr>
        <w:t xml:space="preserve">ustanovení § 30 odst. 2 zákona o podpoře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>, spočívající v poskytování informací o</w:t>
      </w:r>
      <w:r w:rsidR="00770925">
        <w:rPr>
          <w:rFonts w:eastAsia="Calibri"/>
          <w:color w:val="auto"/>
          <w:szCs w:val="22"/>
          <w:lang w:eastAsia="cs-CZ"/>
        </w:rPr>
        <w:t> 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>. Z</w:t>
      </w:r>
      <w:r>
        <w:rPr>
          <w:rFonts w:eastAsia="Calibri"/>
          <w:color w:val="auto"/>
          <w:szCs w:val="22"/>
          <w:lang w:eastAsia="cs-CZ"/>
        </w:rPr>
        <w:t>ařazení údajů o </w:t>
      </w:r>
      <w:r w:rsidRPr="00231643">
        <w:rPr>
          <w:rFonts w:eastAsia="Calibri"/>
          <w:color w:val="auto"/>
          <w:szCs w:val="22"/>
          <w:lang w:eastAsia="cs-CZ"/>
        </w:rPr>
        <w:t xml:space="preserve">projektech a aktivitách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do IS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bylo zárove</w:t>
      </w:r>
      <w:r>
        <w:rPr>
          <w:rFonts w:eastAsia="Calibri"/>
          <w:color w:val="auto"/>
          <w:szCs w:val="22"/>
          <w:lang w:eastAsia="cs-CZ"/>
        </w:rPr>
        <w:t>ň podmínkou poskytnutí podpory.</w:t>
      </w:r>
      <w:r w:rsidR="00191095">
        <w:rPr>
          <w:rFonts w:eastAsia="Calibri"/>
          <w:color w:val="auto"/>
          <w:szCs w:val="22"/>
          <w:lang w:eastAsia="cs-CZ"/>
        </w:rPr>
        <w:t xml:space="preserve"> </w:t>
      </w:r>
      <w:r w:rsidR="001372F3">
        <w:rPr>
          <w:rFonts w:eastAsia="Calibri"/>
          <w:color w:val="auto"/>
          <w:szCs w:val="22"/>
          <w:lang w:eastAsia="cs-CZ"/>
        </w:rPr>
        <w:t xml:space="preserve">Od října 2016 zajišťoval ÚV ČR provoz IS </w:t>
      </w:r>
      <w:proofErr w:type="spellStart"/>
      <w:r w:rsidR="001372F3">
        <w:rPr>
          <w:rFonts w:eastAsia="Calibri"/>
          <w:color w:val="auto"/>
          <w:szCs w:val="22"/>
          <w:lang w:eastAsia="cs-CZ"/>
        </w:rPr>
        <w:t>VaVaI</w:t>
      </w:r>
      <w:proofErr w:type="spellEnd"/>
      <w:r w:rsidR="001372F3">
        <w:rPr>
          <w:rFonts w:eastAsia="Calibri"/>
          <w:color w:val="auto"/>
          <w:szCs w:val="22"/>
          <w:lang w:eastAsia="cs-CZ"/>
        </w:rPr>
        <w:t xml:space="preserve"> vlastními prostředky.</w:t>
      </w:r>
    </w:p>
    <w:p w14:paraId="469F25BF" w14:textId="77777777" w:rsidR="00FC307E" w:rsidRPr="00131BD2" w:rsidRDefault="00035AAB" w:rsidP="008C6CFA">
      <w:pPr>
        <w:spacing w:before="0" w:after="120"/>
        <w:ind w:left="426" w:hanging="426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 xml:space="preserve">11. </w:t>
      </w:r>
      <w:r w:rsidR="008C6CFA">
        <w:rPr>
          <w:rFonts w:eastAsia="Calibri"/>
          <w:b/>
          <w:color w:val="auto"/>
          <w:szCs w:val="22"/>
          <w:lang w:eastAsia="cs-CZ"/>
        </w:rPr>
        <w:tab/>
      </w:r>
      <w:r w:rsidRPr="00131BD2">
        <w:rPr>
          <w:rFonts w:eastAsia="Calibri"/>
          <w:b/>
          <w:color w:val="auto"/>
          <w:szCs w:val="22"/>
          <w:lang w:eastAsia="cs-CZ"/>
        </w:rPr>
        <w:t>Pojetí koncepční činnosti mezi jednotlivými poskytovateli podpory i mezi příjemci institucionální podpory je velmi rozdílné</w:t>
      </w:r>
    </w:p>
    <w:p w14:paraId="6277FC5B" w14:textId="7E2851AA" w:rsidR="00FC307E" w:rsidRPr="00131BD2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131BD2">
        <w:rPr>
          <w:rFonts w:eastAsia="Calibri"/>
          <w:color w:val="auto"/>
          <w:szCs w:val="22"/>
          <w:lang w:eastAsia="cs-CZ"/>
        </w:rPr>
        <w:t>Činnost poskytovatele podpory musí být v souladu se vše</w:t>
      </w:r>
      <w:r>
        <w:rPr>
          <w:rFonts w:eastAsia="Calibri"/>
          <w:color w:val="auto"/>
          <w:szCs w:val="22"/>
          <w:lang w:eastAsia="cs-CZ"/>
        </w:rPr>
        <w:t>mi pro něj závaznými předpisy a </w:t>
      </w:r>
      <w:r w:rsidRPr="00131BD2">
        <w:rPr>
          <w:rFonts w:eastAsia="Calibri"/>
          <w:color w:val="auto"/>
          <w:szCs w:val="22"/>
          <w:lang w:eastAsia="cs-CZ"/>
        </w:rPr>
        <w:t xml:space="preserve">dokumenty. Poskytovatel řídí svoji činnost rovněž podle podrobnějších vlastních koncepčních materiálů, které </w:t>
      </w:r>
      <w:r>
        <w:rPr>
          <w:rFonts w:eastAsia="Calibri"/>
          <w:color w:val="auto"/>
          <w:szCs w:val="22"/>
          <w:lang w:eastAsia="cs-CZ"/>
        </w:rPr>
        <w:t>musí být</w:t>
      </w:r>
      <w:r w:rsidRPr="00131BD2">
        <w:rPr>
          <w:rFonts w:eastAsia="Calibri"/>
          <w:color w:val="auto"/>
          <w:szCs w:val="22"/>
          <w:lang w:eastAsia="cs-CZ"/>
        </w:rPr>
        <w:t xml:space="preserve"> </w:t>
      </w:r>
      <w:r w:rsidR="00770925" w:rsidRPr="00131BD2">
        <w:rPr>
          <w:rFonts w:eastAsia="Calibri"/>
          <w:color w:val="auto"/>
          <w:szCs w:val="22"/>
          <w:lang w:eastAsia="cs-CZ"/>
        </w:rPr>
        <w:t xml:space="preserve">v souladu </w:t>
      </w:r>
      <w:r w:rsidRPr="00131BD2">
        <w:rPr>
          <w:rFonts w:eastAsia="Calibri"/>
          <w:color w:val="auto"/>
          <w:szCs w:val="22"/>
          <w:lang w:eastAsia="cs-CZ"/>
        </w:rPr>
        <w:t xml:space="preserve">se závaznými předpisy a dokumenty. </w:t>
      </w:r>
    </w:p>
    <w:p w14:paraId="30192572" w14:textId="77777777" w:rsidR="00FC307E" w:rsidRPr="00131BD2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131BD2">
        <w:rPr>
          <w:rFonts w:eastAsia="Calibri"/>
          <w:color w:val="auto"/>
          <w:szCs w:val="22"/>
          <w:lang w:eastAsia="cs-CZ"/>
        </w:rPr>
        <w:t xml:space="preserve">NKÚ prověřil koncepční činnost jednotlivých poskytovatelů a příjemců institucionální podpory. </w:t>
      </w:r>
    </w:p>
    <w:p w14:paraId="4FBE5FF4" w14:textId="4F9062E9" w:rsidR="00FC307E" w:rsidRPr="006F29F5" w:rsidRDefault="00035AAB" w:rsidP="00FC307E">
      <w:pPr>
        <w:spacing w:before="0" w:after="120"/>
        <w:rPr>
          <w:rFonts w:eastAsia="Calibri"/>
          <w:color w:val="000000" w:themeColor="text1"/>
          <w:szCs w:val="22"/>
          <w:lang w:eastAsia="cs-CZ"/>
        </w:rPr>
      </w:pPr>
      <w:r>
        <w:rPr>
          <w:rFonts w:eastAsia="Calibri"/>
          <w:color w:val="auto"/>
          <w:szCs w:val="22"/>
        </w:rPr>
        <w:t xml:space="preserve">MPO je poskytovatelem účelové i institucionální podpory a je rovněž důležitým orgánem v oblasti inovací. </w:t>
      </w:r>
      <w:r w:rsidRPr="00231643">
        <w:rPr>
          <w:rFonts w:eastAsia="Calibri"/>
          <w:color w:val="auto"/>
          <w:szCs w:val="22"/>
        </w:rPr>
        <w:t xml:space="preserve">MPO </w:t>
      </w:r>
      <w:r>
        <w:rPr>
          <w:rFonts w:eastAsia="Calibri"/>
          <w:color w:val="auto"/>
          <w:szCs w:val="22"/>
        </w:rPr>
        <w:t xml:space="preserve">však </w:t>
      </w:r>
      <w:r w:rsidRPr="00231643">
        <w:rPr>
          <w:rFonts w:eastAsia="Calibri"/>
          <w:color w:val="auto"/>
          <w:szCs w:val="22"/>
        </w:rPr>
        <w:t xml:space="preserve">nemělo zpracovanou žádnou dlouhodobou koncepci v oblasti </w:t>
      </w:r>
      <w:proofErr w:type="spellStart"/>
      <w:r w:rsidRPr="00231643">
        <w:rPr>
          <w:rFonts w:eastAsia="Calibri"/>
          <w:color w:val="auto"/>
          <w:szCs w:val="22"/>
        </w:rPr>
        <w:lastRenderedPageBreak/>
        <w:t>VaVaI</w:t>
      </w:r>
      <w:proofErr w:type="spellEnd"/>
      <w:r w:rsidRPr="00231643">
        <w:rPr>
          <w:rFonts w:eastAsia="Calibri"/>
          <w:color w:val="auto"/>
          <w:szCs w:val="22"/>
        </w:rPr>
        <w:t xml:space="preserve"> (která by byla schválena vládou ČR)</w:t>
      </w:r>
      <w:r w:rsidR="006F29F5">
        <w:rPr>
          <w:rFonts w:eastAsia="Calibri"/>
          <w:color w:val="auto"/>
          <w:szCs w:val="22"/>
        </w:rPr>
        <w:t>,</w:t>
      </w:r>
      <w:r w:rsidRPr="00231643">
        <w:rPr>
          <w:rFonts w:eastAsia="Calibri"/>
          <w:color w:val="auto"/>
          <w:szCs w:val="22"/>
        </w:rPr>
        <w:t xml:space="preserve"> a nemělo tak dostatečně zajištěno plánovité řízení této svěřené oblasti st</w:t>
      </w:r>
      <w:r w:rsidRPr="006F29F5">
        <w:rPr>
          <w:rFonts w:eastAsia="Calibri"/>
          <w:color w:val="000000" w:themeColor="text1"/>
          <w:szCs w:val="22"/>
        </w:rPr>
        <w:t>átní správy.</w:t>
      </w:r>
    </w:p>
    <w:p w14:paraId="5573EFCD" w14:textId="77777777" w:rsidR="00FC307E" w:rsidRDefault="00035AAB" w:rsidP="00FC307E">
      <w:pPr>
        <w:spacing w:before="0" w:after="120"/>
        <w:rPr>
          <w:rFonts w:eastAsia="Calibri"/>
          <w:color w:val="auto"/>
          <w:szCs w:val="22"/>
        </w:rPr>
      </w:pPr>
      <w:r w:rsidRPr="00A31124">
        <w:rPr>
          <w:rFonts w:eastAsia="Calibri"/>
          <w:color w:val="auto"/>
          <w:szCs w:val="22"/>
        </w:rPr>
        <w:t xml:space="preserve">MŠMT, MZe i AV ČR zpracovávají koncepční dokumenty na úrovni poskytovatele, které jsou v souladu s národními koncepčními dokumenty. V koncepcích jednotlivých poskytovatelů jsou navržena konkrétní opatření vedoucí k naplnění cílů jejich koncepcí. </w:t>
      </w:r>
    </w:p>
    <w:p w14:paraId="5BC37558" w14:textId="77777777" w:rsidR="00FC307E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A31124">
        <w:rPr>
          <w:rFonts w:eastAsia="Calibri"/>
          <w:color w:val="auto"/>
          <w:szCs w:val="22"/>
        </w:rPr>
        <w:t xml:space="preserve">Jednotlivá pracoviště AV ČR jako příjemci zpracovávají vlastní koncepce. Koncepce pro </w:t>
      </w:r>
      <w:r w:rsidRPr="00A31124">
        <w:rPr>
          <w:rFonts w:eastAsia="Calibri"/>
          <w:color w:val="auto"/>
          <w:szCs w:val="22"/>
          <w:lang w:eastAsia="cs-CZ"/>
        </w:rPr>
        <w:t>jednotlivá pracoviště byly konkrétní, měly nastavené cíle a každé dva roky probíhala kontrola jejich plnění. Výše institucionální podpory měla přímou návaznost na nastavení těchto konc</w:t>
      </w:r>
      <w:r>
        <w:rPr>
          <w:rFonts w:eastAsia="Calibri"/>
          <w:color w:val="auto"/>
          <w:szCs w:val="22"/>
          <w:lang w:eastAsia="cs-CZ"/>
        </w:rPr>
        <w:t xml:space="preserve">epcí a jejich následné plnění. </w:t>
      </w:r>
    </w:p>
    <w:p w14:paraId="7479A40E" w14:textId="369BFB19" w:rsidR="00FC307E" w:rsidRPr="00481AE5" w:rsidRDefault="00035AAB" w:rsidP="00FC307E">
      <w:pPr>
        <w:spacing w:before="0" w:after="120"/>
        <w:rPr>
          <w:color w:val="000000" w:themeColor="text1"/>
        </w:rPr>
      </w:pPr>
      <w:r w:rsidRPr="00131BD2">
        <w:rPr>
          <w:rFonts w:eastAsia="Calibri"/>
          <w:color w:val="auto"/>
          <w:szCs w:val="22"/>
          <w:lang w:eastAsia="cs-CZ"/>
        </w:rPr>
        <w:t xml:space="preserve">MŠMT v souvislosti s poskytováním institucionální podpory na DKRVO po VŠ nevyžaduje žádnou koncepci použití této podpory a rozvoje VŠ jako výzkumné organizace. VŠ mají ze zákona o vysokých školách povinnost zpracovat strategický záměr, jehož součástí je i oblast věnovaná výzkumu a vývoji. Zpracování této oblasti se na kontrolovaných VŠ velmi lišilo </w:t>
      </w:r>
      <w:r>
        <w:rPr>
          <w:rFonts w:eastAsia="Calibri"/>
          <w:color w:val="auto"/>
          <w:szCs w:val="22"/>
          <w:lang w:eastAsia="cs-CZ"/>
        </w:rPr>
        <w:t>a </w:t>
      </w:r>
      <w:r w:rsidRPr="00131BD2">
        <w:rPr>
          <w:rFonts w:eastAsia="Calibri"/>
          <w:color w:val="auto"/>
          <w:szCs w:val="22"/>
          <w:lang w:eastAsia="cs-CZ"/>
        </w:rPr>
        <w:t xml:space="preserve">vykazovalo některé nedostatky, např. nestanovení výchozího a žádoucího stavu </w:t>
      </w:r>
      <w:r w:rsidR="0025690C">
        <w:rPr>
          <w:rFonts w:eastAsia="Calibri"/>
          <w:color w:val="auto"/>
          <w:szCs w:val="22"/>
          <w:lang w:eastAsia="cs-CZ"/>
        </w:rPr>
        <w:t xml:space="preserve">nebo </w:t>
      </w:r>
      <w:r w:rsidRPr="00131BD2">
        <w:rPr>
          <w:rFonts w:eastAsia="Calibri"/>
          <w:color w:val="auto"/>
          <w:szCs w:val="22"/>
          <w:lang w:eastAsia="cs-CZ"/>
        </w:rPr>
        <w:t>absenc</w:t>
      </w:r>
      <w:r w:rsidR="0025690C">
        <w:rPr>
          <w:rFonts w:eastAsia="Calibri"/>
          <w:color w:val="auto"/>
          <w:szCs w:val="22"/>
          <w:lang w:eastAsia="cs-CZ"/>
        </w:rPr>
        <w:t>i</w:t>
      </w:r>
      <w:r w:rsidRPr="00131BD2">
        <w:rPr>
          <w:rFonts w:eastAsia="Calibri"/>
          <w:color w:val="auto"/>
          <w:szCs w:val="22"/>
          <w:lang w:eastAsia="cs-CZ"/>
        </w:rPr>
        <w:t xml:space="preserve"> měřitelných </w:t>
      </w:r>
      <w:r>
        <w:rPr>
          <w:rFonts w:eastAsia="Calibri"/>
          <w:color w:val="auto"/>
          <w:szCs w:val="22"/>
          <w:lang w:eastAsia="cs-CZ"/>
        </w:rPr>
        <w:t>ukazatelů</w:t>
      </w:r>
      <w:r w:rsidRPr="00131BD2">
        <w:rPr>
          <w:rFonts w:eastAsia="Calibri"/>
          <w:color w:val="auto"/>
          <w:szCs w:val="22"/>
          <w:lang w:eastAsia="cs-CZ"/>
        </w:rPr>
        <w:t>, pomocí kterých by bylo možné vyhodnotit plnění stanovených cíl</w:t>
      </w:r>
      <w:r w:rsidRPr="00481AE5">
        <w:rPr>
          <w:rFonts w:eastAsia="Calibri"/>
          <w:color w:val="000000" w:themeColor="text1"/>
          <w:szCs w:val="22"/>
          <w:lang w:eastAsia="cs-CZ"/>
        </w:rPr>
        <w:t>ů.</w:t>
      </w:r>
    </w:p>
    <w:p w14:paraId="7997AD49" w14:textId="77777777" w:rsidR="00FC307E" w:rsidRPr="00231643" w:rsidRDefault="00035AAB" w:rsidP="008C6CFA">
      <w:pPr>
        <w:spacing w:before="0" w:after="120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 xml:space="preserve">12. </w:t>
      </w:r>
      <w:r w:rsidRPr="00231643">
        <w:rPr>
          <w:rFonts w:eastAsia="Calibri"/>
          <w:b/>
          <w:color w:val="auto"/>
          <w:szCs w:val="22"/>
          <w:lang w:eastAsia="cs-CZ"/>
        </w:rPr>
        <w:t xml:space="preserve">Dlouhodobě identifikovaná slabá místa systému </w:t>
      </w:r>
      <w:proofErr w:type="spellStart"/>
      <w:r w:rsidRPr="00231643">
        <w:rPr>
          <w:rFonts w:eastAsia="Calibri"/>
          <w:b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b/>
          <w:color w:val="auto"/>
          <w:szCs w:val="22"/>
          <w:lang w:eastAsia="cs-CZ"/>
        </w:rPr>
        <w:t xml:space="preserve"> se nedaří eliminovat</w:t>
      </w:r>
    </w:p>
    <w:p w14:paraId="4ADFC1A1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Pro strategické řízení je nezbytná kvalitní an</w:t>
      </w:r>
      <w:r>
        <w:rPr>
          <w:rFonts w:eastAsia="Calibri"/>
          <w:color w:val="auto"/>
          <w:szCs w:val="22"/>
          <w:lang w:eastAsia="cs-CZ"/>
        </w:rPr>
        <w:t xml:space="preserve">alýza současného stavu. Zacílení podpory na základě těchto analýz vede k eliminaci </w:t>
      </w:r>
      <w:r w:rsidRPr="00231643">
        <w:rPr>
          <w:rFonts w:eastAsia="Calibri"/>
          <w:color w:val="auto"/>
          <w:szCs w:val="22"/>
          <w:lang w:eastAsia="cs-CZ"/>
        </w:rPr>
        <w:t>zjištěných slabých míst</w:t>
      </w:r>
      <w:r>
        <w:rPr>
          <w:rFonts w:eastAsia="Calibri"/>
          <w:color w:val="auto"/>
          <w:szCs w:val="22"/>
          <w:lang w:eastAsia="cs-CZ"/>
        </w:rPr>
        <w:t>. Průběžná kontrola</w:t>
      </w:r>
      <w:r w:rsidRPr="00231643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poskytuje</w:t>
      </w:r>
      <w:r w:rsidRPr="00231643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informace o</w:t>
      </w:r>
      <w:r w:rsidRPr="00231643">
        <w:rPr>
          <w:rFonts w:eastAsia="Calibri"/>
          <w:color w:val="auto"/>
          <w:szCs w:val="22"/>
          <w:lang w:eastAsia="cs-CZ"/>
        </w:rPr>
        <w:t xml:space="preserve"> účinnosti zavedených opatření.</w:t>
      </w:r>
      <w:r>
        <w:rPr>
          <w:rFonts w:eastAsia="Calibri"/>
          <w:color w:val="auto"/>
          <w:szCs w:val="22"/>
          <w:lang w:eastAsia="cs-CZ"/>
        </w:rPr>
        <w:t xml:space="preserve"> </w:t>
      </w:r>
    </w:p>
    <w:p w14:paraId="05141DED" w14:textId="5F41D48D" w:rsidR="00FC307E" w:rsidRPr="0023164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NKÚ prověřil, zda a jakým způsobem byla oblast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analyzována a zda se dařilo implementovat opatření, která by vedla k odstraňování</w:t>
      </w:r>
      <w:r w:rsidR="000F0173">
        <w:rPr>
          <w:rFonts w:eastAsia="Calibri"/>
          <w:color w:val="auto"/>
          <w:szCs w:val="22"/>
          <w:lang w:eastAsia="cs-CZ"/>
        </w:rPr>
        <w:t xml:space="preserve"> </w:t>
      </w:r>
      <w:r w:rsidRPr="00231643">
        <w:rPr>
          <w:rFonts w:eastAsia="Calibri"/>
          <w:color w:val="auto"/>
          <w:szCs w:val="22"/>
          <w:lang w:eastAsia="cs-CZ"/>
        </w:rPr>
        <w:t xml:space="preserve">identifikovaných nedostatků. </w:t>
      </w:r>
    </w:p>
    <w:p w14:paraId="6FCCB7CE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 xml:space="preserve">RVVI v součinnosti s ÚV ČR </w:t>
      </w:r>
      <w:r w:rsidRPr="00231643">
        <w:rPr>
          <w:rFonts w:eastAsia="Calibri"/>
          <w:color w:val="auto"/>
          <w:szCs w:val="22"/>
          <w:lang w:eastAsia="cs-CZ"/>
        </w:rPr>
        <w:t xml:space="preserve">zabezpečuje od svého vzniku v roce 2002 zpracování </w:t>
      </w:r>
      <w:r>
        <w:rPr>
          <w:rFonts w:eastAsia="Calibri"/>
          <w:color w:val="auto"/>
          <w:szCs w:val="22"/>
          <w:lang w:eastAsia="cs-CZ"/>
        </w:rPr>
        <w:t xml:space="preserve">Analýzy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. Analýzy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vychází z celé řady ukazatelů a provedených analýz. Představují každoroční podrobné a </w:t>
      </w:r>
      <w:r>
        <w:rPr>
          <w:rFonts w:eastAsia="Calibri"/>
          <w:color w:val="auto"/>
          <w:szCs w:val="22"/>
          <w:lang w:eastAsia="cs-CZ"/>
        </w:rPr>
        <w:t>komplexní</w:t>
      </w:r>
      <w:r w:rsidRPr="00231643">
        <w:rPr>
          <w:rFonts w:eastAsia="Calibri"/>
          <w:color w:val="auto"/>
          <w:szCs w:val="22"/>
          <w:lang w:eastAsia="cs-CZ"/>
        </w:rPr>
        <w:t xml:space="preserve"> zhodnocení stavu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a srovnání se zahraničím.</w:t>
      </w:r>
    </w:p>
    <w:p w14:paraId="1BB44835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Ve všech Analýzách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od roku 2002 bylo identifikováno významné zaostávání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 tvorbě patentů. Tato skutečnost byla v Analýzách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uváděna každoročně již minimálně 15 let, přesto se nepodařilo implementovat taková opatření, která by vedla k významnějšímu zlepšení tohoto nežádoucího stavu.</w:t>
      </w:r>
    </w:p>
    <w:p w14:paraId="6E42E228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Rovněž nedostatky v podobě roztříštěného systému podpory a nízké míry spolupráce soukromého a veřejného sektoru jsou identifikovány již mnoho let, přesto se doposud nepodařilo implementovat taková opatření, která by prokazatelně vedla k jejich odstranění či výraznému zmírnění. V letech 2016 a 2017 byly schváleny koncepční materiály obsahující jednotlivá opatření, která jsou zaměřena na tyto nedostatky. Jedná se zejména o NP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2016. Dopady těchto opatření bude možné vyhodnotit až v následujících letech.</w:t>
      </w:r>
    </w:p>
    <w:p w14:paraId="16EB0E9F" w14:textId="2EE5C48F" w:rsidR="00FC307E" w:rsidRPr="00231643" w:rsidRDefault="00035AAB" w:rsidP="008C6CFA">
      <w:pPr>
        <w:spacing w:before="0" w:after="120"/>
        <w:ind w:left="426" w:hanging="426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 xml:space="preserve">13. </w:t>
      </w:r>
      <w:r w:rsidRPr="00231643">
        <w:rPr>
          <w:rFonts w:eastAsia="Calibri"/>
          <w:b/>
          <w:color w:val="auto"/>
          <w:szCs w:val="22"/>
          <w:lang w:eastAsia="cs-CZ"/>
        </w:rPr>
        <w:t xml:space="preserve">Podíl soukromého sektoru na financování výzkumu a vývoje se zvyšuje, ale spolupráce soukromého a veřejného sektoru zůstává dlouhodobě velmi </w:t>
      </w:r>
      <w:r w:rsidR="000F0173">
        <w:rPr>
          <w:rFonts w:eastAsia="Calibri"/>
          <w:b/>
          <w:color w:val="auto"/>
          <w:szCs w:val="22"/>
          <w:lang w:eastAsia="cs-CZ"/>
        </w:rPr>
        <w:t>malá</w:t>
      </w:r>
    </w:p>
    <w:p w14:paraId="529CA76D" w14:textId="18BB1E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Součástí národního cíle ČR v rámci </w:t>
      </w:r>
      <w:r w:rsidR="000F0173">
        <w:rPr>
          <w:rFonts w:eastAsia="Calibri"/>
          <w:color w:val="auto"/>
          <w:szCs w:val="22"/>
          <w:lang w:eastAsia="cs-CZ"/>
        </w:rPr>
        <w:t>s</w:t>
      </w:r>
      <w:r w:rsidRPr="00231643">
        <w:rPr>
          <w:rFonts w:eastAsia="Calibri"/>
          <w:color w:val="auto"/>
          <w:szCs w:val="22"/>
          <w:lang w:eastAsia="cs-CZ"/>
        </w:rPr>
        <w:t xml:space="preserve">trategie </w:t>
      </w:r>
      <w:r w:rsidRPr="00ED67E0">
        <w:rPr>
          <w:rFonts w:eastAsia="Calibri"/>
          <w:i/>
          <w:color w:val="auto"/>
          <w:szCs w:val="22"/>
          <w:lang w:eastAsia="cs-CZ"/>
        </w:rPr>
        <w:t>Evropa 2020</w:t>
      </w:r>
      <w:r w:rsidRPr="00231643">
        <w:rPr>
          <w:rFonts w:eastAsia="Calibri"/>
          <w:color w:val="auto"/>
          <w:szCs w:val="22"/>
          <w:lang w:eastAsia="cs-CZ"/>
        </w:rPr>
        <w:t xml:space="preserve"> je rovněž závazek vlády učinit všechny kroky k adekvátnímu zvýšení podílu soukromého sektoru na financování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. </w:t>
      </w:r>
      <w:r w:rsidRPr="004673BF">
        <w:rPr>
          <w:rFonts w:eastAsia="Calibri"/>
          <w:color w:val="auto"/>
          <w:szCs w:val="22"/>
          <w:lang w:eastAsia="cs-CZ"/>
        </w:rPr>
        <w:t xml:space="preserve">Lepším zapojením soukromého sektoru do financování </w:t>
      </w:r>
      <w:proofErr w:type="spellStart"/>
      <w:r w:rsidRPr="004673BF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4673BF">
        <w:rPr>
          <w:rFonts w:eastAsia="Calibri"/>
          <w:color w:val="auto"/>
          <w:szCs w:val="22"/>
          <w:lang w:eastAsia="cs-CZ"/>
        </w:rPr>
        <w:t xml:space="preserve"> </w:t>
      </w:r>
      <w:r w:rsidR="001372F3" w:rsidRPr="004673BF">
        <w:rPr>
          <w:rFonts w:eastAsia="Calibri"/>
          <w:color w:val="auto"/>
          <w:szCs w:val="22"/>
          <w:lang w:eastAsia="cs-CZ"/>
        </w:rPr>
        <w:t>bude</w:t>
      </w:r>
      <w:r w:rsidRPr="004673BF">
        <w:rPr>
          <w:rFonts w:eastAsia="Calibri"/>
          <w:color w:val="auto"/>
          <w:szCs w:val="22"/>
          <w:lang w:eastAsia="cs-CZ"/>
        </w:rPr>
        <w:t xml:space="preserve"> možno nahradit </w:t>
      </w:r>
      <w:r w:rsidR="00E372D0" w:rsidRPr="004673BF">
        <w:rPr>
          <w:rFonts w:eastAsia="Calibri"/>
          <w:color w:val="auto"/>
          <w:szCs w:val="22"/>
          <w:lang w:eastAsia="cs-CZ"/>
        </w:rPr>
        <w:t>omezení finančních zdrojů</w:t>
      </w:r>
      <w:r w:rsidRPr="004673BF">
        <w:rPr>
          <w:rFonts w:eastAsia="Calibri"/>
          <w:color w:val="auto"/>
          <w:szCs w:val="22"/>
          <w:lang w:eastAsia="cs-CZ"/>
        </w:rPr>
        <w:t xml:space="preserve"> z fondů EU. Spolupráce soukromého a veřejného sektoru je rovněž</w:t>
      </w:r>
      <w:r>
        <w:rPr>
          <w:rFonts w:eastAsia="Calibri"/>
          <w:color w:val="auto"/>
          <w:szCs w:val="22"/>
          <w:lang w:eastAsia="cs-CZ"/>
        </w:rPr>
        <w:t xml:space="preserve"> </w:t>
      </w:r>
      <w:r w:rsidRPr="00231643">
        <w:rPr>
          <w:rFonts w:eastAsia="Calibri"/>
          <w:color w:val="auto"/>
          <w:szCs w:val="22"/>
          <w:lang w:eastAsia="cs-CZ"/>
        </w:rPr>
        <w:t>předpokladem pro praktické využití výsledků výzkumu.</w:t>
      </w:r>
    </w:p>
    <w:p w14:paraId="5ECFED3E" w14:textId="19E406DB" w:rsidR="00FC307E" w:rsidRPr="0023164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lastRenderedPageBreak/>
        <w:t xml:space="preserve">NKÚ prověřil vývoj podílu soukromého sektoru na financování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a</w:t>
      </w:r>
      <w:r w:rsidR="000F0173">
        <w:rPr>
          <w:rFonts w:eastAsia="Calibri"/>
          <w:color w:val="auto"/>
          <w:szCs w:val="22"/>
          <w:lang w:eastAsia="cs-CZ"/>
        </w:rPr>
        <w:t> vývoj</w:t>
      </w:r>
      <w:r w:rsidRPr="00231643">
        <w:rPr>
          <w:rFonts w:eastAsia="Calibri"/>
          <w:color w:val="auto"/>
          <w:szCs w:val="22"/>
          <w:lang w:eastAsia="cs-CZ"/>
        </w:rPr>
        <w:t xml:space="preserve"> spolupráce soukromého a veřejného sektoru.</w:t>
      </w:r>
    </w:p>
    <w:p w14:paraId="69CD4BE5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Podíl podnikatelských zdrojů financování na celkových výdajích na </w:t>
      </w:r>
      <w:r w:rsidR="00A87409">
        <w:rPr>
          <w:rFonts w:eastAsia="Calibri"/>
          <w:color w:val="auto"/>
          <w:szCs w:val="22"/>
          <w:lang w:eastAsia="cs-CZ"/>
        </w:rPr>
        <w:t>výzkum a vývoj (dále také „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</w:t>
      </w:r>
      <w:proofErr w:type="spellEnd"/>
      <w:r w:rsidR="00A87409">
        <w:rPr>
          <w:rFonts w:eastAsia="Calibri"/>
          <w:color w:val="auto"/>
          <w:szCs w:val="22"/>
          <w:lang w:eastAsia="cs-CZ"/>
        </w:rPr>
        <w:t>“)</w:t>
      </w:r>
      <w:r w:rsidRPr="00231643">
        <w:rPr>
          <w:rFonts w:eastAsia="Calibri"/>
          <w:color w:val="auto"/>
          <w:szCs w:val="22"/>
          <w:lang w:eastAsia="cs-CZ"/>
        </w:rPr>
        <w:t xml:space="preserve"> se dlouhodobě zvyšoval a v roce 2016 činil 60,2 % (v roce 2005 činil 51,8 %). Naprostá většina výdajů podnikatelského sektoru byla v tomto sektoru i realizována. V letech 2005 až 2016 je navíc zřejmý trend posilování tohoto jevu, když v roce 2005 byl podnikatelský sektor provádění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financován z podnikatelských zdrojů z 83,1 %, v roce 2016 pak z 92,6 %, tedy o</w:t>
      </w:r>
      <w:r w:rsidR="00481AE5">
        <w:rPr>
          <w:rFonts w:eastAsia="Calibri"/>
          <w:color w:val="auto"/>
          <w:szCs w:val="22"/>
          <w:lang w:eastAsia="cs-CZ"/>
        </w:rPr>
        <w:t> </w:t>
      </w:r>
      <w:r w:rsidRPr="00231643">
        <w:rPr>
          <w:rFonts w:eastAsia="Calibri"/>
          <w:color w:val="auto"/>
          <w:szCs w:val="22"/>
          <w:lang w:eastAsia="cs-CZ"/>
        </w:rPr>
        <w:t xml:space="preserve">9,5 procentních bodů více. </w:t>
      </w:r>
    </w:p>
    <w:p w14:paraId="03E5915F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Podnikatelské zdroje financování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 roce 2016 činily 48,2 ml</w:t>
      </w:r>
      <w:r>
        <w:rPr>
          <w:rFonts w:eastAsia="Calibri"/>
          <w:color w:val="auto"/>
          <w:szCs w:val="22"/>
          <w:lang w:eastAsia="cs-CZ"/>
        </w:rPr>
        <w:t>d. Kč, z toho bylo ve vládním a </w:t>
      </w:r>
      <w:r w:rsidRPr="00231643">
        <w:rPr>
          <w:rFonts w:eastAsia="Calibri"/>
          <w:color w:val="auto"/>
          <w:szCs w:val="22"/>
          <w:lang w:eastAsia="cs-CZ"/>
        </w:rPr>
        <w:t xml:space="preserve">vysokoškolském sektoru dohromady realizováno 2,8 mld. Kč, tedy 5,9 %. V </w:t>
      </w:r>
      <w:r>
        <w:rPr>
          <w:rFonts w:eastAsia="Calibri"/>
          <w:color w:val="auto"/>
          <w:szCs w:val="22"/>
          <w:lang w:eastAsia="cs-CZ"/>
        </w:rPr>
        <w:t>roce 2005 činil tento podíl 6,6 </w:t>
      </w:r>
      <w:r w:rsidRPr="00231643">
        <w:rPr>
          <w:rFonts w:eastAsia="Calibri"/>
          <w:color w:val="auto"/>
          <w:szCs w:val="22"/>
          <w:lang w:eastAsia="cs-CZ"/>
        </w:rPr>
        <w:t>%. Podnikatelské zdroje financová</w:t>
      </w:r>
      <w:r>
        <w:rPr>
          <w:rFonts w:eastAsia="Calibri"/>
          <w:color w:val="auto"/>
          <w:szCs w:val="22"/>
          <w:lang w:eastAsia="cs-CZ"/>
        </w:rPr>
        <w:t xml:space="preserve">ní </w:t>
      </w:r>
      <w:proofErr w:type="spellStart"/>
      <w:r>
        <w:rPr>
          <w:rFonts w:eastAsia="Calibri"/>
          <w:color w:val="auto"/>
          <w:szCs w:val="22"/>
          <w:lang w:eastAsia="cs-CZ"/>
        </w:rPr>
        <w:t>VaV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 realizované ve vládním a </w:t>
      </w:r>
      <w:r w:rsidRPr="00231643">
        <w:rPr>
          <w:rFonts w:eastAsia="Calibri"/>
          <w:color w:val="auto"/>
          <w:szCs w:val="22"/>
          <w:lang w:eastAsia="cs-CZ"/>
        </w:rPr>
        <w:t>vysokoškolském sektoru dohromady se v letech 2005 až 2016 pohybovaly v rozmezí od 5,2</w:t>
      </w:r>
      <w:r>
        <w:rPr>
          <w:rFonts w:eastAsia="Calibri"/>
          <w:color w:val="auto"/>
          <w:szCs w:val="22"/>
          <w:lang w:eastAsia="cs-CZ"/>
        </w:rPr>
        <w:t> %</w:t>
      </w:r>
      <w:r w:rsidRPr="00231643">
        <w:rPr>
          <w:rFonts w:eastAsia="Calibri"/>
          <w:color w:val="auto"/>
          <w:szCs w:val="22"/>
          <w:lang w:eastAsia="cs-CZ"/>
        </w:rPr>
        <w:t xml:space="preserve"> do 6,9 % celkových podnikatelských zdrojů financování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daných let, tedy bez výrazných výkyvů.</w:t>
      </w:r>
    </w:p>
    <w:p w14:paraId="1906A2AF" w14:textId="77777777" w:rsidR="00FC307E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Z dosud realizovaných vyhodnocení plnění opatření na </w:t>
      </w:r>
      <w:r>
        <w:rPr>
          <w:rFonts w:eastAsia="Calibri"/>
          <w:color w:val="auto"/>
          <w:szCs w:val="22"/>
          <w:lang w:eastAsia="cs-CZ"/>
        </w:rPr>
        <w:t>podporu spolupráce soukromého a </w:t>
      </w:r>
      <w:r w:rsidRPr="00231643">
        <w:rPr>
          <w:rFonts w:eastAsia="Calibri"/>
          <w:color w:val="auto"/>
          <w:szCs w:val="22"/>
          <w:lang w:eastAsia="cs-CZ"/>
        </w:rPr>
        <w:t xml:space="preserve">veřejného sektoru v oblasti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vyplývá, že tato opatření nebyla ve většině případů úspěšně realizována. Ze statistik o zdrojích financování a sektorech provádění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nevyplývá žádný rostoucí trend v podílu podnikatelských zdrojů financování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realizovaných ve veřejném sektoru. Pouze v rámci vysokoškolského sektoru je zřejmé zvyšování podnikatelských zdrojů financování, stále se však jedná o minimální podíl na celkových výdajích podnikatelského sektoru na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. V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tak nadále v oblasti výzkumu a vývoje přetrvává nízká míra spolupráce soukromého a veřejného sektoru. </w:t>
      </w:r>
    </w:p>
    <w:p w14:paraId="2E9BDDC1" w14:textId="689BF674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B740E3">
        <w:rPr>
          <w:rFonts w:eastAsia="Calibri"/>
          <w:color w:val="auto"/>
          <w:szCs w:val="22"/>
          <w:lang w:eastAsia="cs-CZ"/>
        </w:rPr>
        <w:t xml:space="preserve">Nižší ochota spolufinancování </w:t>
      </w:r>
      <w:proofErr w:type="spellStart"/>
      <w:r w:rsidRPr="00B740E3">
        <w:rPr>
          <w:rFonts w:eastAsia="Calibri"/>
          <w:color w:val="auto"/>
          <w:szCs w:val="22"/>
          <w:lang w:eastAsia="cs-CZ"/>
        </w:rPr>
        <w:t>VaV</w:t>
      </w:r>
      <w:proofErr w:type="spellEnd"/>
      <w:r w:rsidRPr="00B740E3">
        <w:rPr>
          <w:rFonts w:eastAsia="Calibri"/>
          <w:color w:val="auto"/>
          <w:szCs w:val="22"/>
          <w:lang w:eastAsia="cs-CZ"/>
        </w:rPr>
        <w:t xml:space="preserve"> ze strany soukromého faktoru byla kontrolou zjištěna mj. na MZe, kde v </w:t>
      </w:r>
      <w:r w:rsidR="00F042C0">
        <w:rPr>
          <w:rFonts w:eastAsia="Calibri"/>
          <w:color w:val="auto"/>
          <w:szCs w:val="22"/>
          <w:lang w:eastAsia="cs-CZ"/>
        </w:rPr>
        <w:t>p</w:t>
      </w:r>
      <w:r w:rsidRPr="00B740E3">
        <w:rPr>
          <w:rFonts w:eastAsia="Calibri"/>
          <w:color w:val="auto"/>
          <w:szCs w:val="22"/>
          <w:lang w:eastAsia="cs-CZ"/>
        </w:rPr>
        <w:t>rogramu VAK byla očekávaná míra spolufinancování ve výši 17 %, ve skutečnosti však činila jen 9 %. Důvodem byl nižší zájem uživatelské sféry o spolufinancování výzkumných projektů z neveřejných zdrojů, což poukazuje na nízkou účinnost opatření na podporu spolupráce se soukromým sektorem.</w:t>
      </w:r>
    </w:p>
    <w:p w14:paraId="2C970836" w14:textId="77777777" w:rsidR="00FC307E" w:rsidRPr="00231643" w:rsidRDefault="00035AAB" w:rsidP="00FC307E">
      <w:pPr>
        <w:keepNext/>
        <w:spacing w:before="0" w:after="120"/>
        <w:jc w:val="left"/>
        <w:rPr>
          <w:b/>
          <w:color w:val="auto"/>
          <w:lang w:eastAsia="cs-CZ"/>
        </w:rPr>
      </w:pPr>
      <w:r>
        <w:rPr>
          <w:b/>
          <w:color w:val="auto"/>
          <w:lang w:eastAsia="cs-CZ"/>
        </w:rPr>
        <w:t xml:space="preserve">14. </w:t>
      </w:r>
      <w:r w:rsidRPr="00231643">
        <w:rPr>
          <w:b/>
          <w:color w:val="auto"/>
          <w:lang w:eastAsia="cs-CZ"/>
        </w:rPr>
        <w:t>Systém podpory výzkumu, vývoje a inovací byl z větší části neúčelný</w:t>
      </w:r>
    </w:p>
    <w:p w14:paraId="3922C3F4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Předpokladem účelného poskytování podpory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je skutečnost, že tato podpora bude použita na realizaci stanovených opatření a následně povede k naplnění stanovených cílů.</w:t>
      </w:r>
    </w:p>
    <w:p w14:paraId="05C4344C" w14:textId="77777777" w:rsidR="00FC307E" w:rsidRPr="0023164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NKÚ prověřil, zda použití veřejných prostředků a nastavený systém podpory zajistil optimální míru dosažení cílů při plnění stanovených úkolů.</w:t>
      </w:r>
    </w:p>
    <w:p w14:paraId="5316F41E" w14:textId="43CB3ACD" w:rsidR="00FC307E" w:rsidRPr="00231643" w:rsidRDefault="00035AAB" w:rsidP="008475D3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Strategickým dokumentem na národní úrovni, který udává</w:t>
      </w:r>
      <w:r>
        <w:rPr>
          <w:rFonts w:eastAsia="Calibri"/>
          <w:color w:val="auto"/>
          <w:szCs w:val="22"/>
          <w:lang w:eastAsia="cs-CZ"/>
        </w:rPr>
        <w:t xml:space="preserve"> hlavní směry v oblasti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 a </w:t>
      </w:r>
      <w:r w:rsidRPr="00231643">
        <w:rPr>
          <w:rFonts w:eastAsia="Calibri"/>
          <w:color w:val="auto"/>
          <w:szCs w:val="22"/>
          <w:lang w:eastAsia="cs-CZ"/>
        </w:rPr>
        <w:t xml:space="preserve">zastřešuje ostatní související strategické dokumenty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, je </w:t>
      </w:r>
      <w:r w:rsidR="00F042C0">
        <w:rPr>
          <w:rFonts w:eastAsia="Calibri"/>
          <w:color w:val="auto"/>
          <w:szCs w:val="22"/>
          <w:lang w:eastAsia="cs-CZ"/>
        </w:rPr>
        <w:t>n</w:t>
      </w:r>
      <w:r w:rsidRPr="00231643">
        <w:rPr>
          <w:rFonts w:eastAsia="Calibri"/>
          <w:color w:val="auto"/>
          <w:szCs w:val="22"/>
          <w:lang w:eastAsia="cs-CZ"/>
        </w:rPr>
        <w:t>árodní politika výzkumu, vývoje a inovací České republiky</w:t>
      </w:r>
      <w:r>
        <w:rPr>
          <w:rFonts w:eastAsia="Calibri"/>
          <w:color w:val="auto"/>
          <w:szCs w:val="22"/>
          <w:lang w:eastAsia="cs-CZ"/>
        </w:rPr>
        <w:t xml:space="preserve">. </w:t>
      </w:r>
      <w:r w:rsidRPr="00231643">
        <w:rPr>
          <w:rFonts w:eastAsia="Calibri"/>
          <w:color w:val="auto"/>
          <w:szCs w:val="22"/>
          <w:lang w:eastAsia="cs-CZ"/>
        </w:rPr>
        <w:t>V letech 2013 až 2015 byla platná Aktualizace N</w:t>
      </w:r>
      <w:r>
        <w:rPr>
          <w:rFonts w:eastAsia="Calibri"/>
          <w:color w:val="auto"/>
          <w:szCs w:val="22"/>
          <w:lang w:eastAsia="cs-CZ"/>
        </w:rPr>
        <w:t xml:space="preserve">P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>. Z </w:t>
      </w:r>
      <w:r w:rsidRPr="00231643">
        <w:rPr>
          <w:rFonts w:eastAsia="Calibri"/>
          <w:color w:val="auto"/>
          <w:szCs w:val="22"/>
          <w:lang w:eastAsia="cs-CZ"/>
        </w:rPr>
        <w:t>vyhodnocení plnění jednotlivých opatření a pokroku při p</w:t>
      </w:r>
      <w:r>
        <w:rPr>
          <w:rFonts w:eastAsia="Calibri"/>
          <w:color w:val="auto"/>
          <w:szCs w:val="22"/>
          <w:lang w:eastAsia="cs-CZ"/>
        </w:rPr>
        <w:t xml:space="preserve">lnění cílů Aktualizace NP </w:t>
      </w:r>
      <w:proofErr w:type="spellStart"/>
      <w:r>
        <w:rPr>
          <w:rFonts w:eastAsia="Calibri"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 xml:space="preserve">, které </w:t>
      </w:r>
      <w:r w:rsidRPr="00231643">
        <w:rPr>
          <w:rFonts w:eastAsia="Calibri"/>
          <w:color w:val="auto"/>
          <w:szCs w:val="22"/>
          <w:lang w:eastAsia="cs-CZ"/>
        </w:rPr>
        <w:t xml:space="preserve">na konci roku 2015 </w:t>
      </w:r>
      <w:r>
        <w:rPr>
          <w:rFonts w:eastAsia="Calibri"/>
          <w:color w:val="auto"/>
          <w:szCs w:val="22"/>
          <w:lang w:eastAsia="cs-CZ"/>
        </w:rPr>
        <w:t xml:space="preserve">zabezpečilo RVVI, </w:t>
      </w:r>
      <w:r w:rsidRPr="00231643">
        <w:rPr>
          <w:rFonts w:eastAsia="Calibri"/>
          <w:color w:val="auto"/>
          <w:szCs w:val="22"/>
          <w:lang w:eastAsia="cs-CZ"/>
        </w:rPr>
        <w:t xml:space="preserve">vyplynulo, že z 21 opatření jich bylo splněno pouze 8, tedy 38 %. Ze čtyř hlavních stanovených cílů se podařilo splnit pouze jediný </w:t>
      </w:r>
      <w:r>
        <w:rPr>
          <w:rFonts w:eastAsia="Calibri"/>
          <w:color w:val="auto"/>
          <w:szCs w:val="22"/>
          <w:lang w:eastAsia="cs-CZ"/>
        </w:rPr>
        <w:t xml:space="preserve">– </w:t>
      </w:r>
      <w:r w:rsidRPr="00660422">
        <w:rPr>
          <w:rFonts w:eastAsia="Calibri"/>
          <w:i/>
          <w:color w:val="auto"/>
          <w:szCs w:val="22"/>
          <w:lang w:eastAsia="cs-CZ"/>
        </w:rPr>
        <w:t>Kvalitní a produktivní výzkumný systém</w:t>
      </w:r>
      <w:r w:rsidRPr="00231643">
        <w:rPr>
          <w:rFonts w:eastAsia="Calibri"/>
          <w:color w:val="auto"/>
          <w:szCs w:val="22"/>
          <w:lang w:eastAsia="cs-CZ"/>
        </w:rPr>
        <w:t xml:space="preserve">, a to ještě s výjimkou oblasti internacionalizace. Naopak zbylé tři cíle, </w:t>
      </w:r>
      <w:r w:rsidR="00F042C0">
        <w:rPr>
          <w:rFonts w:eastAsia="Calibri"/>
          <w:color w:val="auto"/>
          <w:szCs w:val="22"/>
          <w:lang w:eastAsia="cs-CZ"/>
        </w:rPr>
        <w:t>a to</w:t>
      </w:r>
      <w:r w:rsidR="00F042C0" w:rsidRPr="00231643">
        <w:rPr>
          <w:rFonts w:eastAsia="Calibri"/>
          <w:color w:val="auto"/>
          <w:szCs w:val="22"/>
          <w:lang w:eastAsia="cs-CZ"/>
        </w:rPr>
        <w:t xml:space="preserve"> </w:t>
      </w:r>
      <w:r w:rsidRPr="00660422">
        <w:rPr>
          <w:rFonts w:eastAsia="Calibri"/>
          <w:i/>
          <w:color w:val="auto"/>
          <w:szCs w:val="22"/>
          <w:lang w:eastAsia="cs-CZ"/>
        </w:rPr>
        <w:t>Efektivní šíření znalostí a jejich využívání v inovacích</w:t>
      </w:r>
      <w:r w:rsidRPr="00231643">
        <w:rPr>
          <w:rFonts w:eastAsia="Calibri"/>
          <w:color w:val="auto"/>
          <w:szCs w:val="22"/>
          <w:lang w:eastAsia="cs-CZ"/>
        </w:rPr>
        <w:t xml:space="preserve">, </w:t>
      </w:r>
      <w:r w:rsidRPr="00660422">
        <w:rPr>
          <w:rFonts w:eastAsia="Calibri"/>
          <w:i/>
          <w:color w:val="auto"/>
          <w:szCs w:val="22"/>
          <w:lang w:eastAsia="cs-CZ"/>
        </w:rPr>
        <w:t>Posílení podnikového výzkumu, vývoje a inovací a zvýšení inovační výkonnosti podnikového sektoru v ČR</w:t>
      </w:r>
      <w:r w:rsidRPr="00231643">
        <w:rPr>
          <w:rFonts w:eastAsia="Calibri"/>
          <w:color w:val="auto"/>
          <w:szCs w:val="22"/>
          <w:lang w:eastAsia="cs-CZ"/>
        </w:rPr>
        <w:t xml:space="preserve"> a </w:t>
      </w:r>
      <w:r w:rsidRPr="00660422">
        <w:rPr>
          <w:rFonts w:eastAsia="Calibri"/>
          <w:i/>
          <w:color w:val="auto"/>
          <w:szCs w:val="22"/>
          <w:lang w:eastAsia="cs-CZ"/>
        </w:rPr>
        <w:t xml:space="preserve">Stabilní, efektivní a strategicky řízený systém </w:t>
      </w:r>
      <w:proofErr w:type="spellStart"/>
      <w:r w:rsidRPr="00660422">
        <w:rPr>
          <w:rFonts w:eastAsia="Calibri"/>
          <w:i/>
          <w:color w:val="auto"/>
          <w:szCs w:val="22"/>
          <w:lang w:eastAsia="cs-CZ"/>
        </w:rPr>
        <w:t>VaVaI</w:t>
      </w:r>
      <w:proofErr w:type="spellEnd"/>
      <w:r>
        <w:rPr>
          <w:rFonts w:eastAsia="Calibri"/>
          <w:color w:val="auto"/>
          <w:szCs w:val="22"/>
          <w:lang w:eastAsia="cs-CZ"/>
        </w:rPr>
        <w:t>, se naplnit nepodařilo. K </w:t>
      </w:r>
      <w:r w:rsidRPr="00231643">
        <w:rPr>
          <w:rFonts w:eastAsia="Calibri"/>
          <w:color w:val="auto"/>
          <w:szCs w:val="22"/>
          <w:lang w:eastAsia="cs-CZ"/>
        </w:rPr>
        <w:t xml:space="preserve">výraznějšímu pokroku ve většině identifikovaných problematických oblastí nedošlo. Nastavený systém podpory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, který do roku 2015 nevedl k naplnění většiny cílů ani opatření Aktualizace NP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2013, tak </w:t>
      </w:r>
      <w:r w:rsidRPr="00231643">
        <w:rPr>
          <w:rFonts w:eastAsia="Calibri"/>
          <w:color w:val="auto"/>
          <w:szCs w:val="22"/>
          <w:lang w:eastAsia="cs-CZ"/>
        </w:rPr>
        <w:lastRenderedPageBreak/>
        <w:t xml:space="preserve">lze vyhodnotit jako z větší části neúčelný. Vyhodnocení navazující NP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2016</w:t>
      </w:r>
      <w:r w:rsidRPr="00231643">
        <w:rPr>
          <w:rFonts w:eastAsia="Calibri"/>
          <w:color w:val="auto"/>
          <w:szCs w:val="22"/>
          <w:lang w:eastAsia="cs-CZ"/>
        </w:rPr>
        <w:t xml:space="preserve"> bude realizováno v následujících letech.</w:t>
      </w:r>
    </w:p>
    <w:p w14:paraId="329FF8B1" w14:textId="24D3F92A" w:rsidR="00FC307E" w:rsidRPr="00231643" w:rsidRDefault="00035AAB" w:rsidP="008475D3">
      <w:pPr>
        <w:spacing w:before="0" w:after="120"/>
        <w:ind w:left="426" w:hanging="426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 xml:space="preserve">15. </w:t>
      </w:r>
      <w:r w:rsidR="008C6CFA">
        <w:rPr>
          <w:rFonts w:eastAsia="Calibri"/>
          <w:b/>
          <w:color w:val="auto"/>
          <w:szCs w:val="22"/>
          <w:lang w:eastAsia="cs-CZ"/>
        </w:rPr>
        <w:tab/>
      </w:r>
      <w:r w:rsidRPr="00231643">
        <w:rPr>
          <w:rFonts w:eastAsia="Calibri"/>
          <w:b/>
          <w:color w:val="auto"/>
          <w:szCs w:val="22"/>
          <w:lang w:eastAsia="cs-CZ"/>
        </w:rPr>
        <w:t xml:space="preserve">I přes výrazně rostoucí výdaje na výzkum a vývoj ve veřejném sektoru se </w:t>
      </w:r>
      <w:r w:rsidR="00CB083B">
        <w:rPr>
          <w:rFonts w:eastAsia="Calibri"/>
          <w:b/>
          <w:color w:val="auto"/>
          <w:szCs w:val="22"/>
          <w:lang w:eastAsia="cs-CZ"/>
        </w:rPr>
        <w:t>prohlub</w:t>
      </w:r>
      <w:r w:rsidR="00311E78" w:rsidRPr="00231643">
        <w:rPr>
          <w:rFonts w:eastAsia="Calibri"/>
          <w:b/>
          <w:color w:val="auto"/>
          <w:szCs w:val="22"/>
          <w:lang w:eastAsia="cs-CZ"/>
        </w:rPr>
        <w:t xml:space="preserve">uje </w:t>
      </w:r>
      <w:r w:rsidRPr="00231643">
        <w:rPr>
          <w:rFonts w:eastAsia="Calibri"/>
          <w:b/>
          <w:color w:val="auto"/>
          <w:szCs w:val="22"/>
          <w:lang w:eastAsia="cs-CZ"/>
        </w:rPr>
        <w:t xml:space="preserve">zaostávání inovační výkonnosti ČR za evropským průměrem </w:t>
      </w:r>
      <w:r w:rsidR="00311E78">
        <w:rPr>
          <w:rFonts w:eastAsia="Calibri"/>
          <w:b/>
          <w:color w:val="auto"/>
          <w:szCs w:val="22"/>
          <w:lang w:eastAsia="cs-CZ"/>
        </w:rPr>
        <w:t>–</w:t>
      </w:r>
      <w:r w:rsidRPr="00231643">
        <w:rPr>
          <w:rFonts w:eastAsia="Calibri"/>
          <w:b/>
          <w:color w:val="auto"/>
          <w:szCs w:val="22"/>
          <w:lang w:eastAsia="cs-CZ"/>
        </w:rPr>
        <w:t xml:space="preserve"> systém podpory v ČR je tak méně efektivní</w:t>
      </w:r>
    </w:p>
    <w:p w14:paraId="3E147751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Efektivní systém podpory </w:t>
      </w:r>
      <w:r>
        <w:rPr>
          <w:rFonts w:eastAsia="Calibri"/>
          <w:color w:val="auto"/>
          <w:szCs w:val="22"/>
          <w:lang w:eastAsia="cs-CZ"/>
        </w:rPr>
        <w:t>zajišťuje</w:t>
      </w:r>
      <w:r w:rsidRPr="00231643">
        <w:rPr>
          <w:rFonts w:eastAsia="Calibri"/>
          <w:color w:val="auto"/>
          <w:szCs w:val="22"/>
          <w:lang w:eastAsia="cs-CZ"/>
        </w:rPr>
        <w:t xml:space="preserve"> dosažení maximální možné úrovně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vzhledem k vynaloženým peněžním prostředkům. </w:t>
      </w:r>
    </w:p>
    <w:p w14:paraId="3232302C" w14:textId="77777777" w:rsidR="00FC307E" w:rsidRPr="0023164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NKÚ realizoval srovnání úrovně vstupů a výstupů v oblasti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ČR s evropským průměrem a </w:t>
      </w:r>
      <w:r w:rsidRPr="00231643">
        <w:rPr>
          <w:rFonts w:eastAsia="Calibri"/>
          <w:color w:val="auto"/>
          <w:szCs w:val="22"/>
          <w:lang w:eastAsia="cs-CZ"/>
        </w:rPr>
        <w:t>vyhodnotil efektivnost nastaveného systému.</w:t>
      </w:r>
    </w:p>
    <w:p w14:paraId="4A6EE858" w14:textId="730A94B3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Základní analytický nástroj pro porovnávání inovační výkonnosti a celkové úrovně v oblasti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evropských zemí představuje Evropskou komisí každoročně zveřejňovaný </w:t>
      </w:r>
      <w:r w:rsidR="00700455">
        <w:rPr>
          <w:rFonts w:eastAsia="Calibri"/>
          <w:color w:val="auto"/>
          <w:szCs w:val="22"/>
          <w:lang w:eastAsia="cs-CZ"/>
        </w:rPr>
        <w:t>e</w:t>
      </w:r>
      <w:r w:rsidRPr="00700455">
        <w:rPr>
          <w:rFonts w:eastAsia="Calibri"/>
          <w:color w:val="auto"/>
          <w:szCs w:val="22"/>
          <w:lang w:eastAsia="cs-CZ"/>
        </w:rPr>
        <w:t>vropský srovnávací přehled inovací</w:t>
      </w:r>
      <w:r w:rsidRPr="00231643">
        <w:rPr>
          <w:rFonts w:eastAsia="Calibri"/>
          <w:color w:val="auto"/>
          <w:szCs w:val="22"/>
          <w:lang w:eastAsia="cs-CZ"/>
        </w:rPr>
        <w:t xml:space="preserve"> (</w:t>
      </w:r>
      <w:proofErr w:type="spellStart"/>
      <w:r w:rsidRPr="00660422">
        <w:rPr>
          <w:rFonts w:eastAsia="Calibri"/>
          <w:i/>
          <w:color w:val="auto"/>
          <w:szCs w:val="22"/>
          <w:lang w:eastAsia="cs-CZ"/>
        </w:rPr>
        <w:t>European</w:t>
      </w:r>
      <w:proofErr w:type="spellEnd"/>
      <w:r w:rsidRPr="00660422">
        <w:rPr>
          <w:rFonts w:eastAsia="Calibri"/>
          <w:i/>
          <w:color w:val="auto"/>
          <w:szCs w:val="22"/>
          <w:lang w:eastAsia="cs-CZ"/>
        </w:rPr>
        <w:t xml:space="preserve"> </w:t>
      </w:r>
      <w:proofErr w:type="spellStart"/>
      <w:r w:rsidRPr="00660422">
        <w:rPr>
          <w:rFonts w:eastAsia="Calibri"/>
          <w:i/>
          <w:color w:val="auto"/>
          <w:szCs w:val="22"/>
          <w:lang w:eastAsia="cs-CZ"/>
        </w:rPr>
        <w:t>Innovation</w:t>
      </w:r>
      <w:proofErr w:type="spellEnd"/>
      <w:r w:rsidRPr="00660422">
        <w:rPr>
          <w:rFonts w:eastAsia="Calibri"/>
          <w:i/>
          <w:color w:val="auto"/>
          <w:szCs w:val="22"/>
          <w:lang w:eastAsia="cs-CZ"/>
        </w:rPr>
        <w:t xml:space="preserve"> </w:t>
      </w:r>
      <w:proofErr w:type="spellStart"/>
      <w:r w:rsidRPr="00660422">
        <w:rPr>
          <w:rFonts w:eastAsia="Calibri"/>
          <w:i/>
          <w:color w:val="auto"/>
          <w:szCs w:val="22"/>
          <w:lang w:eastAsia="cs-CZ"/>
        </w:rPr>
        <w:t>Scoreboard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). Jde o </w:t>
      </w:r>
      <w:r w:rsidRPr="004673BF">
        <w:rPr>
          <w:rFonts w:eastAsia="Calibri"/>
          <w:color w:val="auto"/>
          <w:szCs w:val="22"/>
          <w:lang w:eastAsia="cs-CZ"/>
        </w:rPr>
        <w:t>stati</w:t>
      </w:r>
      <w:r w:rsidR="00734B26" w:rsidRPr="004673BF">
        <w:rPr>
          <w:rFonts w:eastAsia="Calibri"/>
          <w:color w:val="auto"/>
          <w:szCs w:val="22"/>
          <w:lang w:eastAsia="cs-CZ"/>
        </w:rPr>
        <w:t>sti</w:t>
      </w:r>
      <w:r w:rsidRPr="004673BF">
        <w:rPr>
          <w:rFonts w:eastAsia="Calibri"/>
          <w:color w:val="auto"/>
          <w:szCs w:val="22"/>
          <w:lang w:eastAsia="cs-CZ"/>
        </w:rPr>
        <w:t>cký</w:t>
      </w:r>
      <w:r w:rsidRPr="00231643">
        <w:rPr>
          <w:rFonts w:eastAsia="Calibri"/>
          <w:color w:val="auto"/>
          <w:szCs w:val="22"/>
          <w:lang w:eastAsia="cs-CZ"/>
        </w:rPr>
        <w:t xml:space="preserve"> nástroj, který na základě hromadných dat pro </w:t>
      </w:r>
      <w:r>
        <w:rPr>
          <w:rFonts w:eastAsia="Calibri"/>
          <w:color w:val="auto"/>
          <w:szCs w:val="22"/>
          <w:lang w:eastAsia="cs-CZ"/>
        </w:rPr>
        <w:t>ukazatele</w:t>
      </w:r>
      <w:r w:rsidRPr="00231643">
        <w:rPr>
          <w:rFonts w:eastAsia="Calibri"/>
          <w:color w:val="auto"/>
          <w:szCs w:val="22"/>
          <w:lang w:eastAsia="cs-CZ"/>
        </w:rPr>
        <w:t xml:space="preserve"> zastupující podstatné aspekty inovačního procesu umožňuje měřit, porovnávat a následně vyhodnocovat inovační kapacitu </w:t>
      </w:r>
      <w:r>
        <w:rPr>
          <w:rFonts w:eastAsia="Calibri"/>
          <w:color w:val="auto"/>
          <w:szCs w:val="22"/>
          <w:lang w:eastAsia="cs-CZ"/>
        </w:rPr>
        <w:t>EU</w:t>
      </w:r>
      <w:r w:rsidRPr="00231643">
        <w:rPr>
          <w:rFonts w:eastAsia="Calibri"/>
          <w:color w:val="auto"/>
          <w:szCs w:val="22"/>
          <w:lang w:eastAsia="cs-CZ"/>
        </w:rPr>
        <w:t xml:space="preserve">, a to ve smyslu kapacity národních inovačních systémů členských států </w:t>
      </w:r>
      <w:r>
        <w:rPr>
          <w:rFonts w:eastAsia="Calibri"/>
          <w:color w:val="auto"/>
          <w:szCs w:val="22"/>
          <w:lang w:eastAsia="cs-CZ"/>
        </w:rPr>
        <w:t>EU</w:t>
      </w:r>
      <w:r w:rsidRPr="00231643">
        <w:rPr>
          <w:rFonts w:eastAsia="Calibri"/>
          <w:color w:val="auto"/>
          <w:szCs w:val="22"/>
          <w:lang w:eastAsia="cs-CZ"/>
        </w:rPr>
        <w:t xml:space="preserve"> a kapacity celoevropského inovačního systému. Shromážděná statistická data jsou využívána pro srovnávací hodnocení současné inovační výkonnosti a pro analýzu jejích krátkodobých vývojových trendů.</w:t>
      </w:r>
    </w:p>
    <w:p w14:paraId="1BD44213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Rámec pro měření v evropském srovnávacím přehledu inovací dle nejaktuálnějšího vydání v průběhu realizace kontrolní akce v roce 2017 rozlišuje čtyři hlavní typy ukazatelů a deset dimenzí inovací a zahrnuje celkem 27 různých ukazatelů.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byla na základě výkonnosti inovačního systému zařazena do třetí ze čtyř kategorií a patřila mezi mírné inovátory.</w:t>
      </w:r>
    </w:p>
    <w:p w14:paraId="38F79F08" w14:textId="4378EF15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Vývoj výkonnosti inovačního systému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vztažený k výkonnosti inovačních systémů průměru 28 členských států Evropské unie (dále také „EU</w:t>
      </w:r>
      <w:r w:rsidR="0070045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28“) zobrazuje graf č. 1.</w:t>
      </w:r>
    </w:p>
    <w:p w14:paraId="0E9CBE5E" w14:textId="13FC134D" w:rsidR="00FC307E" w:rsidRPr="008C6CFA" w:rsidRDefault="00035AAB" w:rsidP="00FC307E">
      <w:pPr>
        <w:keepNext/>
        <w:spacing w:before="0" w:line="259" w:lineRule="auto"/>
        <w:rPr>
          <w:rFonts w:eastAsia="Calibri" w:cs="Times New Roman"/>
          <w:b/>
          <w:color w:val="auto"/>
        </w:rPr>
      </w:pPr>
      <w:r w:rsidRPr="008C6CFA">
        <w:rPr>
          <w:rFonts w:eastAsia="Calibri" w:cs="Times New Roman"/>
          <w:b/>
          <w:color w:val="auto"/>
        </w:rPr>
        <w:t>Graf č. 1: Výkonnost inovačního systému ČR v letech 2010</w:t>
      </w:r>
      <w:r w:rsidR="004A5F62">
        <w:rPr>
          <w:rFonts w:eastAsia="Calibri" w:cs="Times New Roman"/>
          <w:b/>
          <w:color w:val="auto"/>
        </w:rPr>
        <w:t>–</w:t>
      </w:r>
      <w:r w:rsidRPr="008C6CFA">
        <w:rPr>
          <w:rFonts w:eastAsia="Calibri" w:cs="Times New Roman"/>
          <w:b/>
          <w:color w:val="auto"/>
        </w:rPr>
        <w:t>2016 vztažená k průměru EU</w:t>
      </w:r>
      <w:r w:rsidR="00481AE5">
        <w:rPr>
          <w:rFonts w:eastAsia="Calibri" w:cs="Times New Roman"/>
          <w:b/>
          <w:color w:val="auto"/>
        </w:rPr>
        <w:t>-</w:t>
      </w:r>
      <w:r w:rsidRPr="008C6CFA">
        <w:rPr>
          <w:rFonts w:eastAsia="Calibri" w:cs="Times New Roman"/>
          <w:b/>
          <w:color w:val="auto"/>
        </w:rPr>
        <w:t>28</w:t>
      </w:r>
    </w:p>
    <w:p w14:paraId="2E3FC210" w14:textId="77777777" w:rsidR="00FC307E" w:rsidRPr="00231643" w:rsidRDefault="00035AAB" w:rsidP="00FC307E">
      <w:pPr>
        <w:keepNext/>
        <w:spacing w:before="0" w:line="259" w:lineRule="auto"/>
        <w:rPr>
          <w:rFonts w:eastAsia="Calibri" w:cs="Times New Roman"/>
          <w:color w:val="auto"/>
        </w:rPr>
      </w:pPr>
      <w:r w:rsidRPr="00112CE9">
        <w:rPr>
          <w:noProof/>
          <w:shd w:val="clear" w:color="auto" w:fill="FFFF00"/>
          <w:lang w:eastAsia="cs-CZ"/>
        </w:rPr>
        <w:drawing>
          <wp:inline distT="0" distB="0" distL="0" distR="0" wp14:anchorId="0DD726C8" wp14:editId="3BE896F3">
            <wp:extent cx="5743575" cy="3284538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F04B634" w14:textId="4E9ABD1A" w:rsidR="00FC307E" w:rsidRPr="00231643" w:rsidRDefault="00035AAB" w:rsidP="00FC307E">
      <w:pPr>
        <w:keepNext/>
        <w:spacing w:before="0" w:line="259" w:lineRule="auto"/>
        <w:rPr>
          <w:rFonts w:eastAsia="Calibri" w:cs="Times New Roman"/>
          <w:color w:val="auto"/>
          <w:sz w:val="20"/>
          <w:szCs w:val="20"/>
        </w:rPr>
      </w:pPr>
      <w:r w:rsidRPr="00760E20">
        <w:rPr>
          <w:rFonts w:eastAsia="Calibri" w:cs="Times New Roman"/>
          <w:b/>
          <w:color w:val="auto"/>
          <w:sz w:val="20"/>
          <w:szCs w:val="20"/>
        </w:rPr>
        <w:t>Zdroj:</w:t>
      </w:r>
      <w:r w:rsidRPr="00231643">
        <w:rPr>
          <w:rFonts w:eastAsia="Calibri" w:cs="Times New Roman"/>
          <w:color w:val="auto"/>
          <w:sz w:val="20"/>
          <w:szCs w:val="20"/>
        </w:rPr>
        <w:t xml:space="preserve"> </w:t>
      </w:r>
      <w:proofErr w:type="spellStart"/>
      <w:r w:rsidRPr="0043198C">
        <w:rPr>
          <w:rFonts w:eastAsia="Calibri" w:cs="Times New Roman"/>
          <w:i/>
          <w:color w:val="auto"/>
          <w:sz w:val="20"/>
          <w:szCs w:val="20"/>
        </w:rPr>
        <w:t>European</w:t>
      </w:r>
      <w:proofErr w:type="spellEnd"/>
      <w:r w:rsidRPr="0043198C">
        <w:rPr>
          <w:rFonts w:eastAsia="Calibri" w:cs="Times New Roman"/>
          <w:i/>
          <w:color w:val="auto"/>
          <w:sz w:val="20"/>
          <w:szCs w:val="20"/>
        </w:rPr>
        <w:t xml:space="preserve"> </w:t>
      </w:r>
      <w:proofErr w:type="spellStart"/>
      <w:r w:rsidRPr="0043198C">
        <w:rPr>
          <w:rFonts w:eastAsia="Calibri" w:cs="Times New Roman"/>
          <w:i/>
          <w:color w:val="auto"/>
          <w:sz w:val="20"/>
          <w:szCs w:val="20"/>
        </w:rPr>
        <w:t>Innovation</w:t>
      </w:r>
      <w:proofErr w:type="spellEnd"/>
      <w:r w:rsidRPr="0043198C">
        <w:rPr>
          <w:rFonts w:eastAsia="Calibri" w:cs="Times New Roman"/>
          <w:i/>
          <w:color w:val="auto"/>
          <w:sz w:val="20"/>
          <w:szCs w:val="20"/>
        </w:rPr>
        <w:t xml:space="preserve"> </w:t>
      </w:r>
      <w:proofErr w:type="spellStart"/>
      <w:r w:rsidRPr="0043198C">
        <w:rPr>
          <w:rFonts w:eastAsia="Calibri" w:cs="Times New Roman"/>
          <w:i/>
          <w:color w:val="auto"/>
          <w:sz w:val="20"/>
          <w:szCs w:val="20"/>
        </w:rPr>
        <w:t>Scoreboard</w:t>
      </w:r>
      <w:proofErr w:type="spellEnd"/>
      <w:r w:rsidRPr="0043198C">
        <w:rPr>
          <w:rFonts w:eastAsia="Calibri" w:cs="Times New Roman"/>
          <w:i/>
          <w:color w:val="auto"/>
          <w:sz w:val="20"/>
          <w:szCs w:val="20"/>
        </w:rPr>
        <w:t xml:space="preserve"> 2017</w:t>
      </w:r>
      <w:r>
        <w:rPr>
          <w:rFonts w:eastAsia="Calibri" w:cs="Times New Roman"/>
          <w:color w:val="auto"/>
          <w:sz w:val="20"/>
          <w:szCs w:val="20"/>
        </w:rPr>
        <w:t>.</w:t>
      </w:r>
    </w:p>
    <w:p w14:paraId="6805F1FC" w14:textId="77777777" w:rsidR="00E47767" w:rsidRDefault="00E47767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</w:p>
    <w:p w14:paraId="638C9506" w14:textId="2699740E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lastRenderedPageBreak/>
        <w:t>Ve srovnání s rokem 2010 se výkonnost inovačních systémů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zvýšila o 2 procentní body. Na úrovni jednotlivých členských zemí se výkonnost inovačníc</w:t>
      </w:r>
      <w:r>
        <w:rPr>
          <w:rFonts w:eastAsia="Calibri"/>
          <w:color w:val="auto"/>
          <w:szCs w:val="22"/>
          <w:lang w:eastAsia="cs-CZ"/>
        </w:rPr>
        <w:t>h systémů v 15 zemích zvýšila a </w:t>
      </w:r>
      <w:r w:rsidRPr="00231643">
        <w:rPr>
          <w:rFonts w:eastAsia="Calibri"/>
          <w:color w:val="auto"/>
          <w:szCs w:val="22"/>
          <w:lang w:eastAsia="cs-CZ"/>
        </w:rPr>
        <w:t xml:space="preserve">v 13 zemích snížila. V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se ve srovnání s rokem 2010 výkonnost inovačního systému snížila. V roce 2010 činila výkonnost inovačního systému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87,9 % průměru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a v roce 2016 již jen 84,4 % průměru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z roku 2010 a 82,7 % průměru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z roku 2016. Oproti průměru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 xml:space="preserve">28 z roku 2010 tak výkonnost inovačního systému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 roce 2016 klesla o 3,5 procentních bodů a oproti průměru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z roku 2016 klesla o 5,2 procentních bodů.</w:t>
      </w:r>
    </w:p>
    <w:p w14:paraId="233DEA89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Slabé stránky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představují především oblast duševního vlastnictví, která je představována zejména produkcí patentů a ochranných známek, a oblast vazeb, která je představována především spoluprací soukromé a veřejné sféry na výzkumu a inovacích v oblasti jeho realizace, tvorby výstupů a financování.</w:t>
      </w:r>
    </w:p>
    <w:p w14:paraId="195B5E11" w14:textId="59319E79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Z posledních dostupných dat za roky 2015, resp. 2016 vyplývá, že </w:t>
      </w:r>
      <w:r w:rsidR="004A5F62">
        <w:rPr>
          <w:rFonts w:eastAsia="Calibri"/>
          <w:color w:val="auto"/>
          <w:szCs w:val="22"/>
          <w:lang w:eastAsia="cs-CZ"/>
        </w:rPr>
        <w:t>v rámci</w:t>
      </w:r>
      <w:r w:rsidRPr="00231643">
        <w:rPr>
          <w:rFonts w:eastAsia="Calibri"/>
          <w:color w:val="auto"/>
          <w:szCs w:val="22"/>
          <w:lang w:eastAsia="cs-CZ"/>
        </w:rPr>
        <w:t xml:space="preserve"> jednotlivých ukazatelů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významně překročila průměr EU</w:t>
      </w:r>
      <w:r w:rsidR="004A5F62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v počtu vědeckých publikací s alespoň jedním spoluautorem mimo EU vztaženému k celkovému počtu obyvatel (139,5 %). Naopak v počtu vědeckých publikací vzniklých ve spolupráci soukro</w:t>
      </w:r>
      <w:r>
        <w:rPr>
          <w:rFonts w:eastAsia="Calibri"/>
          <w:color w:val="auto"/>
          <w:szCs w:val="22"/>
          <w:lang w:eastAsia="cs-CZ"/>
        </w:rPr>
        <w:t>mé a veřejné sféry vztaženému k </w:t>
      </w:r>
      <w:r w:rsidRPr="00231643">
        <w:rPr>
          <w:rFonts w:eastAsia="Calibri"/>
          <w:color w:val="auto"/>
          <w:szCs w:val="22"/>
          <w:lang w:eastAsia="cs-CZ"/>
        </w:rPr>
        <w:t xml:space="preserve">celkovému počtu obyvatel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dosahuje pouze přibližně třetiny průměru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 xml:space="preserve">28 (35,7 %). Postavení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 tomto ukazateli se navíc zhoršovalo, když za rok 2010 činil tento ukazatel 65,1</w:t>
      </w:r>
      <w:r>
        <w:rPr>
          <w:rFonts w:eastAsia="Calibri"/>
          <w:color w:val="auto"/>
          <w:szCs w:val="22"/>
          <w:lang w:eastAsia="cs-CZ"/>
        </w:rPr>
        <w:t> </w:t>
      </w:r>
      <w:r w:rsidRPr="00231643">
        <w:rPr>
          <w:rFonts w:eastAsia="Calibri"/>
          <w:color w:val="auto"/>
          <w:szCs w:val="22"/>
          <w:lang w:eastAsia="cs-CZ"/>
        </w:rPr>
        <w:t>% průměru EU</w:t>
      </w:r>
      <w:r w:rsidR="004A5F62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 xml:space="preserve">28. O nízké míře spolupráce soukromé a veřejné sféry svědčí rovněž ukazatel výdajů na výzkum a vývoj realizovaných ve veřejném sektoru financovaných soukromým sektorem (vztažených k HDP), ve kterém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dosahuje mírně nad polovinu průměru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 xml:space="preserve">28 (58,0 %). Postavení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 tomto ukazateli se zlepšovalo, když za rok 2010 činil tento ukazatel 32,9 % průměru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28. O nízké míře produkce reálně uplatnitelných výsledků svědčí ukazatel počtu PCT patentových přihlášek</w:t>
      </w:r>
      <w:r w:rsidR="007D00E0">
        <w:rPr>
          <w:rStyle w:val="Znakapoznpodarou"/>
          <w:rFonts w:eastAsia="Calibri"/>
          <w:color w:val="auto"/>
          <w:szCs w:val="22"/>
          <w:lang w:eastAsia="cs-CZ"/>
        </w:rPr>
        <w:footnoteReference w:id="12"/>
      </w:r>
      <w:r w:rsidRPr="00231643">
        <w:rPr>
          <w:rFonts w:eastAsia="Calibri"/>
          <w:color w:val="auto"/>
          <w:szCs w:val="22"/>
          <w:lang w:eastAsia="cs-CZ"/>
        </w:rPr>
        <w:t xml:space="preserve"> vztažen</w:t>
      </w:r>
      <w:r w:rsidR="00FB6D17">
        <w:rPr>
          <w:rFonts w:eastAsia="Calibri"/>
          <w:color w:val="auto"/>
          <w:szCs w:val="22"/>
          <w:lang w:eastAsia="cs-CZ"/>
        </w:rPr>
        <w:t>ý</w:t>
      </w:r>
      <w:r w:rsidRPr="00231643">
        <w:rPr>
          <w:rFonts w:eastAsia="Calibri"/>
          <w:color w:val="auto"/>
          <w:szCs w:val="22"/>
          <w:lang w:eastAsia="cs-CZ"/>
        </w:rPr>
        <w:t xml:space="preserve"> k HDP, ve kterém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dosahuje 29,1 %</w:t>
      </w:r>
      <w:r>
        <w:rPr>
          <w:rFonts w:eastAsia="Calibri"/>
          <w:color w:val="auto"/>
          <w:szCs w:val="22"/>
          <w:lang w:eastAsia="cs-CZ"/>
        </w:rPr>
        <w:t xml:space="preserve"> tj.</w:t>
      </w:r>
      <w:r w:rsidRPr="00231643">
        <w:rPr>
          <w:rFonts w:eastAsia="Calibri"/>
          <w:color w:val="auto"/>
          <w:szCs w:val="22"/>
          <w:lang w:eastAsia="cs-CZ"/>
        </w:rPr>
        <w:t xml:space="preserve"> pouze přibližně třetiny průměru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(</w:t>
      </w:r>
      <w:r>
        <w:rPr>
          <w:rFonts w:eastAsia="Calibri"/>
          <w:color w:val="auto"/>
          <w:szCs w:val="22"/>
          <w:lang w:eastAsia="cs-CZ"/>
        </w:rPr>
        <w:t>21,6 %</w:t>
      </w:r>
      <w:r w:rsidRPr="00231643">
        <w:rPr>
          <w:rFonts w:eastAsia="Calibri"/>
          <w:color w:val="auto"/>
          <w:szCs w:val="22"/>
          <w:lang w:eastAsia="cs-CZ"/>
        </w:rPr>
        <w:t xml:space="preserve"> za rok 2010</w:t>
      </w:r>
      <w:r>
        <w:rPr>
          <w:rFonts w:eastAsia="Calibri"/>
          <w:color w:val="auto"/>
          <w:szCs w:val="22"/>
          <w:lang w:eastAsia="cs-CZ"/>
        </w:rPr>
        <w:t>)</w:t>
      </w:r>
      <w:r w:rsidR="00FB6D17">
        <w:rPr>
          <w:rFonts w:eastAsia="Calibri"/>
          <w:color w:val="auto"/>
          <w:szCs w:val="22"/>
          <w:lang w:eastAsia="cs-CZ"/>
        </w:rPr>
        <w:t>,</w:t>
      </w:r>
      <w:r w:rsidRPr="00231643">
        <w:rPr>
          <w:rFonts w:eastAsia="Calibri"/>
          <w:color w:val="auto"/>
          <w:szCs w:val="22"/>
          <w:lang w:eastAsia="cs-CZ"/>
        </w:rPr>
        <w:t xml:space="preserve"> a rovněž ukazatel počtu aplikací ochranných známek (vztažený k HDP v paritě kupní síly), ve kterém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dosahuje </w:t>
      </w:r>
      <w:r>
        <w:rPr>
          <w:rFonts w:eastAsia="Calibri"/>
          <w:color w:val="auto"/>
          <w:szCs w:val="22"/>
          <w:lang w:eastAsia="cs-CZ"/>
        </w:rPr>
        <w:t>67,6 %</w:t>
      </w:r>
      <w:r w:rsidR="00FB6D17">
        <w:rPr>
          <w:rFonts w:eastAsia="Calibri"/>
          <w:color w:val="auto"/>
          <w:szCs w:val="22"/>
          <w:lang w:eastAsia="cs-CZ"/>
        </w:rPr>
        <w:t>,</w:t>
      </w:r>
      <w:r w:rsidRPr="00231643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 xml:space="preserve">tj. </w:t>
      </w:r>
      <w:r w:rsidRPr="00231643">
        <w:rPr>
          <w:rFonts w:eastAsia="Calibri"/>
          <w:color w:val="auto"/>
          <w:szCs w:val="22"/>
          <w:lang w:eastAsia="cs-CZ"/>
        </w:rPr>
        <w:t>pouze přibližně d</w:t>
      </w:r>
      <w:r>
        <w:rPr>
          <w:rFonts w:eastAsia="Calibri"/>
          <w:color w:val="auto"/>
          <w:szCs w:val="22"/>
          <w:lang w:eastAsia="cs-CZ"/>
        </w:rPr>
        <w:t>vou třetin průměru EU</w:t>
      </w:r>
      <w:r w:rsidR="00FB6D17">
        <w:rPr>
          <w:rFonts w:eastAsia="Calibri"/>
          <w:color w:val="auto"/>
          <w:szCs w:val="22"/>
          <w:lang w:eastAsia="cs-CZ"/>
        </w:rPr>
        <w:t>-</w:t>
      </w:r>
      <w:r>
        <w:rPr>
          <w:rFonts w:eastAsia="Calibri"/>
          <w:color w:val="auto"/>
          <w:szCs w:val="22"/>
          <w:lang w:eastAsia="cs-CZ"/>
        </w:rPr>
        <w:t>28 (62,6 %</w:t>
      </w:r>
      <w:r w:rsidRPr="00231643">
        <w:rPr>
          <w:rFonts w:eastAsia="Calibri"/>
          <w:color w:val="auto"/>
          <w:szCs w:val="22"/>
          <w:lang w:eastAsia="cs-CZ"/>
        </w:rPr>
        <w:t xml:space="preserve"> za rok 2010</w:t>
      </w:r>
      <w:r>
        <w:rPr>
          <w:rFonts w:eastAsia="Calibri"/>
          <w:color w:val="auto"/>
          <w:szCs w:val="22"/>
          <w:lang w:eastAsia="cs-CZ"/>
        </w:rPr>
        <w:t>).</w:t>
      </w:r>
      <w:r w:rsidRPr="00231643">
        <w:rPr>
          <w:rFonts w:eastAsia="Calibri"/>
          <w:color w:val="auto"/>
          <w:szCs w:val="22"/>
          <w:lang w:eastAsia="cs-CZ"/>
        </w:rPr>
        <w:t xml:space="preserve"> O nízké kvalitě výstupů výzkumné činnosti svědčí ukazatel podílu 10 % světově nejcitovanějších publikací na celkovém počtu publikací, kde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dosahuje pouze přibližně dvou třet</w:t>
      </w:r>
      <w:r>
        <w:rPr>
          <w:rFonts w:eastAsia="Calibri"/>
          <w:color w:val="auto"/>
          <w:szCs w:val="22"/>
          <w:lang w:eastAsia="cs-CZ"/>
        </w:rPr>
        <w:t>in průměru EU</w:t>
      </w:r>
      <w:r w:rsidR="00481AE5">
        <w:rPr>
          <w:rFonts w:eastAsia="Calibri"/>
          <w:color w:val="auto"/>
          <w:szCs w:val="22"/>
          <w:lang w:eastAsia="cs-CZ"/>
        </w:rPr>
        <w:t>-</w:t>
      </w:r>
      <w:r>
        <w:rPr>
          <w:rFonts w:eastAsia="Calibri"/>
          <w:color w:val="auto"/>
          <w:szCs w:val="22"/>
          <w:lang w:eastAsia="cs-CZ"/>
        </w:rPr>
        <w:t>28 (66,7</w:t>
      </w:r>
      <w:r w:rsidR="00FB6D17">
        <w:rPr>
          <w:rFonts w:eastAsia="Calibri"/>
          <w:color w:val="auto"/>
          <w:szCs w:val="22"/>
          <w:lang w:eastAsia="cs-CZ"/>
        </w:rPr>
        <w:t> </w:t>
      </w:r>
      <w:r>
        <w:rPr>
          <w:rFonts w:eastAsia="Calibri"/>
          <w:color w:val="auto"/>
          <w:szCs w:val="22"/>
          <w:lang w:eastAsia="cs-CZ"/>
        </w:rPr>
        <w:t xml:space="preserve">%, </w:t>
      </w:r>
      <w:r w:rsidRPr="00231643">
        <w:rPr>
          <w:rFonts w:eastAsia="Calibri"/>
          <w:color w:val="auto"/>
          <w:szCs w:val="22"/>
          <w:lang w:eastAsia="cs-CZ"/>
        </w:rPr>
        <w:t>60,2 %</w:t>
      </w:r>
      <w:r w:rsidR="00FB6D17" w:rsidRPr="00FB6D17">
        <w:rPr>
          <w:rFonts w:eastAsia="Calibri"/>
          <w:color w:val="auto"/>
          <w:szCs w:val="22"/>
          <w:lang w:eastAsia="cs-CZ"/>
        </w:rPr>
        <w:t xml:space="preserve"> </w:t>
      </w:r>
      <w:r w:rsidR="00FB6D17">
        <w:rPr>
          <w:rFonts w:eastAsia="Calibri"/>
          <w:color w:val="auto"/>
          <w:szCs w:val="22"/>
          <w:lang w:eastAsia="cs-CZ"/>
        </w:rPr>
        <w:t>za rok </w:t>
      </w:r>
      <w:r w:rsidR="00FB6D17" w:rsidRPr="00231643">
        <w:rPr>
          <w:rFonts w:eastAsia="Calibri"/>
          <w:color w:val="auto"/>
          <w:szCs w:val="22"/>
          <w:lang w:eastAsia="cs-CZ"/>
        </w:rPr>
        <w:t>2010</w:t>
      </w:r>
      <w:r w:rsidRPr="00231643">
        <w:rPr>
          <w:rFonts w:eastAsia="Calibri"/>
          <w:color w:val="auto"/>
          <w:szCs w:val="22"/>
          <w:lang w:eastAsia="cs-CZ"/>
        </w:rPr>
        <w:t>).</w:t>
      </w:r>
    </w:p>
    <w:p w14:paraId="613472EA" w14:textId="2F440461" w:rsidR="00FC307E" w:rsidRPr="00231643" w:rsidRDefault="00035AAB" w:rsidP="00FC307E">
      <w:pPr>
        <w:spacing w:before="0" w:after="120"/>
        <w:rPr>
          <w:rFonts w:eastAsia="Calibri" w:cs="Times New Roman"/>
          <w:color w:val="auto"/>
          <w:sz w:val="22"/>
          <w:szCs w:val="22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Celkově byla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dle posledních dostupných dat za roky 2015, resp. 2016</w:t>
      </w:r>
      <w:r w:rsidR="00FB6D17">
        <w:rPr>
          <w:rFonts w:eastAsia="Calibri"/>
          <w:color w:val="auto"/>
          <w:szCs w:val="22"/>
          <w:lang w:eastAsia="cs-CZ"/>
        </w:rPr>
        <w:t>,</w:t>
      </w:r>
      <w:r w:rsidRPr="00231643">
        <w:rPr>
          <w:rFonts w:eastAsia="Calibri"/>
          <w:color w:val="auto"/>
          <w:szCs w:val="22"/>
          <w:lang w:eastAsia="cs-CZ"/>
        </w:rPr>
        <w:t xml:space="preserve"> ve 20 ukazatelích pod průměrem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28, v jednom ukazateli na průměru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a v šesti případech nad průměrem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 xml:space="preserve">28. Ve většině ukazatelů odhalujících slabá místa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v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došlo od roku 2010 ke zlepšení. Jednalo se však ve většině případů pouze o mírná zlepšení v řádu jednotek procentních bodů. K výraznější změně za uplynulých šest až sedm let nedošlo a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 těchto ukazatelích za evropským průměrem nadále výrazně zaostává.</w:t>
      </w:r>
    </w:p>
    <w:p w14:paraId="34295273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>Vývoj výdajů na výzkum a vývoj realizovaných ve veřejném sektoru a výkonnosti inovačního systému v ČR a EU</w:t>
      </w:r>
      <w:r w:rsidR="00481AE5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zobrazuje graf č. 2.</w:t>
      </w:r>
    </w:p>
    <w:p w14:paraId="304CDEA5" w14:textId="77777777" w:rsidR="00FC307E" w:rsidRPr="008C6CFA" w:rsidRDefault="00035AAB" w:rsidP="008C6CFA">
      <w:pPr>
        <w:keepNext/>
        <w:spacing w:before="0" w:line="259" w:lineRule="auto"/>
        <w:ind w:left="993" w:hanging="993"/>
        <w:rPr>
          <w:rFonts w:eastAsia="Calibri" w:cs="Times New Roman"/>
          <w:b/>
          <w:color w:val="auto"/>
        </w:rPr>
      </w:pPr>
      <w:r w:rsidRPr="008C6CFA">
        <w:rPr>
          <w:rFonts w:eastAsia="Calibri" w:cs="Times New Roman"/>
          <w:b/>
          <w:color w:val="auto"/>
        </w:rPr>
        <w:lastRenderedPageBreak/>
        <w:t xml:space="preserve">Graf č. 2: </w:t>
      </w:r>
      <w:r w:rsidR="008C6CFA">
        <w:rPr>
          <w:rFonts w:eastAsia="Calibri" w:cs="Times New Roman"/>
          <w:b/>
          <w:color w:val="auto"/>
        </w:rPr>
        <w:tab/>
      </w:r>
      <w:r w:rsidRPr="008C6CFA">
        <w:rPr>
          <w:rFonts w:eastAsia="Calibri" w:cs="Times New Roman"/>
          <w:b/>
          <w:color w:val="auto"/>
        </w:rPr>
        <w:t>Výdaje na výzkum a vývoj realizované ve veřejném sektoru a výkonnost inovačního systému v ČR v letech 2010–2016 vztažené k průměru EU</w:t>
      </w:r>
      <w:r w:rsidR="00481AE5">
        <w:rPr>
          <w:rFonts w:eastAsia="Calibri" w:cs="Times New Roman"/>
          <w:b/>
          <w:color w:val="auto"/>
        </w:rPr>
        <w:t>-</w:t>
      </w:r>
      <w:r w:rsidRPr="008C6CFA">
        <w:rPr>
          <w:rFonts w:eastAsia="Calibri" w:cs="Times New Roman"/>
          <w:b/>
          <w:color w:val="auto"/>
        </w:rPr>
        <w:t>28</w:t>
      </w:r>
    </w:p>
    <w:p w14:paraId="100623C1" w14:textId="0BEB4D35" w:rsidR="00FC307E" w:rsidRPr="00231643" w:rsidRDefault="002609A7" w:rsidP="00FC307E">
      <w:pPr>
        <w:keepNext/>
        <w:spacing w:before="0" w:line="259" w:lineRule="auto"/>
        <w:rPr>
          <w:rFonts w:eastAsia="Calibri" w:cs="Times New Roman"/>
          <w:color w:val="auto"/>
        </w:rPr>
      </w:pPr>
      <w:r>
        <w:rPr>
          <w:noProof/>
          <w:lang w:eastAsia="cs-CZ"/>
        </w:rPr>
        <w:drawing>
          <wp:inline distT="0" distB="0" distL="0" distR="0" wp14:anchorId="5CFD9257" wp14:editId="4DE0F70E">
            <wp:extent cx="5762625" cy="34099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035AAB" w:rsidRPr="00231643">
        <w:rPr>
          <w:rFonts w:eastAsia="Calibri" w:cs="Times New Roman"/>
          <w:color w:val="auto"/>
        </w:rPr>
        <w:t xml:space="preserve"> </w:t>
      </w:r>
    </w:p>
    <w:p w14:paraId="56966559" w14:textId="27181690" w:rsidR="00FC307E" w:rsidRDefault="00035AAB" w:rsidP="00FC307E">
      <w:pPr>
        <w:keepNext/>
        <w:spacing w:before="0" w:line="259" w:lineRule="auto"/>
        <w:rPr>
          <w:rFonts w:eastAsia="Calibri" w:cs="Times New Roman"/>
          <w:color w:val="auto"/>
          <w:sz w:val="20"/>
          <w:szCs w:val="20"/>
        </w:rPr>
      </w:pPr>
      <w:r w:rsidRPr="00705252">
        <w:rPr>
          <w:rFonts w:eastAsia="Calibri" w:cs="Times New Roman"/>
          <w:b/>
          <w:color w:val="auto"/>
          <w:sz w:val="20"/>
          <w:szCs w:val="20"/>
        </w:rPr>
        <w:t>Zdroj:</w:t>
      </w:r>
      <w:r w:rsidRPr="00231643">
        <w:rPr>
          <w:rFonts w:eastAsia="Calibri" w:cs="Times New Roman"/>
          <w:color w:val="auto"/>
          <w:sz w:val="20"/>
          <w:szCs w:val="20"/>
        </w:rPr>
        <w:t xml:space="preserve"> </w:t>
      </w:r>
      <w:proofErr w:type="spellStart"/>
      <w:r w:rsidRPr="000E5DDB">
        <w:rPr>
          <w:rFonts w:eastAsia="Calibri" w:cs="Times New Roman"/>
          <w:i/>
          <w:color w:val="auto"/>
          <w:sz w:val="20"/>
          <w:szCs w:val="20"/>
        </w:rPr>
        <w:t>European</w:t>
      </w:r>
      <w:proofErr w:type="spellEnd"/>
      <w:r w:rsidRPr="000E5DDB">
        <w:rPr>
          <w:rFonts w:eastAsia="Calibri" w:cs="Times New Roman"/>
          <w:i/>
          <w:color w:val="auto"/>
          <w:sz w:val="20"/>
          <w:szCs w:val="20"/>
        </w:rPr>
        <w:t xml:space="preserve"> </w:t>
      </w:r>
      <w:proofErr w:type="spellStart"/>
      <w:r w:rsidRPr="000E5DDB">
        <w:rPr>
          <w:rFonts w:eastAsia="Calibri" w:cs="Times New Roman"/>
          <w:i/>
          <w:color w:val="auto"/>
          <w:sz w:val="20"/>
          <w:szCs w:val="20"/>
        </w:rPr>
        <w:t>Innovation</w:t>
      </w:r>
      <w:proofErr w:type="spellEnd"/>
      <w:r w:rsidRPr="000E5DDB">
        <w:rPr>
          <w:rFonts w:eastAsia="Calibri" w:cs="Times New Roman"/>
          <w:i/>
          <w:color w:val="auto"/>
          <w:sz w:val="20"/>
          <w:szCs w:val="20"/>
        </w:rPr>
        <w:t xml:space="preserve"> </w:t>
      </w:r>
      <w:proofErr w:type="spellStart"/>
      <w:r w:rsidRPr="000E5DDB">
        <w:rPr>
          <w:rFonts w:eastAsia="Calibri" w:cs="Times New Roman"/>
          <w:i/>
          <w:color w:val="auto"/>
          <w:sz w:val="20"/>
          <w:szCs w:val="20"/>
        </w:rPr>
        <w:t>Scoreboard</w:t>
      </w:r>
      <w:proofErr w:type="spellEnd"/>
      <w:r w:rsidRPr="000E5DDB">
        <w:rPr>
          <w:rFonts w:eastAsia="Calibri" w:cs="Times New Roman"/>
          <w:i/>
          <w:color w:val="auto"/>
          <w:sz w:val="20"/>
          <w:szCs w:val="20"/>
        </w:rPr>
        <w:t xml:space="preserve"> 2017</w:t>
      </w:r>
      <w:r>
        <w:rPr>
          <w:rFonts w:eastAsia="Calibri" w:cs="Times New Roman"/>
          <w:color w:val="auto"/>
          <w:sz w:val="20"/>
          <w:szCs w:val="20"/>
        </w:rPr>
        <w:t>.</w:t>
      </w:r>
    </w:p>
    <w:p w14:paraId="39A480E5" w14:textId="5709C511" w:rsidR="00FC307E" w:rsidRPr="00231643" w:rsidRDefault="00035AAB" w:rsidP="0027359C">
      <w:pPr>
        <w:spacing w:after="120"/>
        <w:rPr>
          <w:rFonts w:eastAsia="Calibri" w:cs="Times New Roman"/>
          <w:color w:val="auto"/>
          <w:sz w:val="20"/>
          <w:szCs w:val="20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Výdaje na výzkum a vývoj realizované ve veřejném sektoru vztažené k HDP v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významně vzrostly. V roce 2010 byl tento ukazatel na úrovni 77,8 % průměru EU</w:t>
      </w:r>
      <w:r w:rsidR="00FB6D17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a v roce 2015 byl na úrovni 122,2 % průměru EU</w:t>
      </w:r>
      <w:r w:rsidR="00FB6D17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z roku 2010 a 123,9 % průměru EU</w:t>
      </w:r>
      <w:r w:rsidR="00FB6D17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 xml:space="preserve">28 z roku 2015. Výdaje na výzkum a vývoj realizované ve veřejném sektoru byly v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z</w:t>
      </w:r>
      <w:r>
        <w:rPr>
          <w:rFonts w:eastAsia="Calibri"/>
          <w:color w:val="auto"/>
          <w:szCs w:val="22"/>
          <w:lang w:eastAsia="cs-CZ"/>
        </w:rPr>
        <w:t xml:space="preserve"> naprosté většiny financovány z </w:t>
      </w:r>
      <w:r w:rsidRPr="00231643">
        <w:rPr>
          <w:rFonts w:eastAsia="Calibri"/>
          <w:color w:val="auto"/>
          <w:szCs w:val="22"/>
          <w:lang w:eastAsia="cs-CZ"/>
        </w:rPr>
        <w:t>veřejných zdrojů.</w:t>
      </w:r>
    </w:p>
    <w:p w14:paraId="76F19C7E" w14:textId="4473C7ED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Ačkoliv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dosahuje dobré úrovně podpory výzkumu a vývoje např. v dimenzi investic podniků a v ukazateli výdajů na výzkum a vývoj realizovaných ve veřejném sektoru, ve výstupech představujících</w:t>
      </w:r>
      <w:r w:rsidR="00FB6D17">
        <w:rPr>
          <w:rFonts w:eastAsia="Calibri"/>
          <w:color w:val="auto"/>
          <w:szCs w:val="22"/>
          <w:lang w:eastAsia="cs-CZ"/>
        </w:rPr>
        <w:t xml:space="preserve"> </w:t>
      </w:r>
      <w:r w:rsidRPr="00231643">
        <w:rPr>
          <w:rFonts w:eastAsia="Calibri"/>
          <w:color w:val="auto"/>
          <w:szCs w:val="22"/>
          <w:lang w:eastAsia="cs-CZ"/>
        </w:rPr>
        <w:t>celkovou úroveň výkonnosti inovačního systému nebo např. v reálně uplatnitelných výsledcích v podobě patentů a ochranných známek oproti průměru EU</w:t>
      </w:r>
      <w:r w:rsidR="00FB6D17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 zaostává. V letech 2010 až 2016 je navíc zřejmý trend zvětšujícího se zaostávání výkonnosti inovačního systému za evropským průměrem. Z porovnání těchto let vyplývá, že výkonnost inovačního systému v 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se v roce 2016 snížila jak relativně vůči průměru EU</w:t>
      </w:r>
      <w:r w:rsidR="00FB6D17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>28, tak i</w:t>
      </w:r>
      <w:r w:rsidR="00FB6D17">
        <w:rPr>
          <w:rFonts w:eastAsia="Calibri"/>
          <w:color w:val="auto"/>
          <w:szCs w:val="22"/>
          <w:lang w:eastAsia="cs-CZ"/>
        </w:rPr>
        <w:t> </w:t>
      </w:r>
      <w:r w:rsidRPr="00231643">
        <w:rPr>
          <w:rFonts w:eastAsia="Calibri"/>
          <w:color w:val="auto"/>
          <w:szCs w:val="22"/>
          <w:lang w:eastAsia="cs-CZ"/>
        </w:rPr>
        <w:t>absolutně v porovnání s výkonností inovačního systému v 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 roce 2010. Ke snížení výkonnosti inovačního systému došlo i přes skutečnost, že výdaje na výzkum a vývoj realizované ve veřejném sektoru v tomto období velmi významně vzrostly jak relativně vůči evropskému průměru, tak i absolutně. Z porovnání výdajů na výzku</w:t>
      </w:r>
      <w:r>
        <w:rPr>
          <w:rFonts w:eastAsia="Calibri"/>
          <w:color w:val="auto"/>
          <w:szCs w:val="22"/>
          <w:lang w:eastAsia="cs-CZ"/>
        </w:rPr>
        <w:t>m a vývoj ve veřejném sektoru a </w:t>
      </w:r>
      <w:r w:rsidRPr="00231643">
        <w:rPr>
          <w:rFonts w:eastAsia="Calibri"/>
          <w:color w:val="auto"/>
          <w:szCs w:val="22"/>
          <w:lang w:eastAsia="cs-CZ"/>
        </w:rPr>
        <w:t>dosažené úrovně inovační výkonnosti vyplývá nižší efektivita systému podpory nastaveného v 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 porovnání s evropským průměrem.</w:t>
      </w:r>
    </w:p>
    <w:p w14:paraId="2E0D7CAB" w14:textId="77777777" w:rsidR="00FC307E" w:rsidRPr="003630FA" w:rsidRDefault="00035AAB" w:rsidP="008C6CFA">
      <w:pPr>
        <w:spacing w:before="0" w:after="120"/>
        <w:ind w:left="426" w:hanging="426"/>
        <w:jc w:val="left"/>
        <w:rPr>
          <w:rFonts w:eastAsia="Calibri"/>
          <w:b/>
          <w:color w:val="auto"/>
          <w:szCs w:val="22"/>
          <w:lang w:eastAsia="cs-CZ"/>
        </w:rPr>
      </w:pPr>
      <w:r w:rsidRPr="003630FA">
        <w:rPr>
          <w:rFonts w:eastAsia="Calibri"/>
          <w:b/>
          <w:color w:val="auto"/>
          <w:szCs w:val="22"/>
          <w:lang w:eastAsia="cs-CZ"/>
        </w:rPr>
        <w:t>16.</w:t>
      </w:r>
      <w:r>
        <w:rPr>
          <w:rFonts w:eastAsia="Calibri"/>
          <w:b/>
          <w:color w:val="auto"/>
          <w:szCs w:val="22"/>
          <w:lang w:eastAsia="cs-CZ"/>
        </w:rPr>
        <w:t xml:space="preserve"> </w:t>
      </w:r>
      <w:r w:rsidR="008C6CFA">
        <w:rPr>
          <w:rFonts w:eastAsia="Calibri"/>
          <w:b/>
          <w:color w:val="auto"/>
          <w:szCs w:val="22"/>
          <w:lang w:eastAsia="cs-CZ"/>
        </w:rPr>
        <w:tab/>
      </w:r>
      <w:r w:rsidRPr="003630FA">
        <w:rPr>
          <w:rFonts w:eastAsia="Calibri"/>
          <w:b/>
          <w:color w:val="auto"/>
          <w:szCs w:val="22"/>
          <w:lang w:eastAsia="cs-CZ"/>
        </w:rPr>
        <w:t>ČR nesměřuje ke splnění národního cíle dosažení veřejných výdajů na vědu, výzkum, vývoj a inovace v ČR na úroveň 1 % HDP v roce 2020</w:t>
      </w:r>
    </w:p>
    <w:p w14:paraId="56747F5E" w14:textId="77777777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se v rámci strategie na úrovni Evropské unie zavázala k plnění národního cíle spočívajícího v dosažení úrovně veřejných výdajů na vědu, výzkum, vývoj a inovace ve výši 1 % HDP v roce 2020.</w:t>
      </w:r>
    </w:p>
    <w:p w14:paraId="4E470B6B" w14:textId="77777777" w:rsidR="00FC307E" w:rsidRPr="00231643" w:rsidRDefault="00035AAB" w:rsidP="00FC307E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NKÚ prověřil, zda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směřuje ke splnění národního cíle v oblasti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>.</w:t>
      </w:r>
    </w:p>
    <w:p w14:paraId="168DF2A6" w14:textId="0360539E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lastRenderedPageBreak/>
        <w:t xml:space="preserve">Evropská Komise v březnu 2010 vydala dokument </w:t>
      </w:r>
      <w:r w:rsidRPr="005C08B7">
        <w:rPr>
          <w:rFonts w:eastAsia="Calibri"/>
          <w:i/>
          <w:color w:val="auto"/>
          <w:szCs w:val="22"/>
          <w:lang w:eastAsia="cs-CZ"/>
        </w:rPr>
        <w:t>Evropa 2020 – Strategie pro inteligentní a udržitelný růst podporující začlenění</w:t>
      </w:r>
      <w:r w:rsidR="00C03A21">
        <w:rPr>
          <w:rFonts w:eastAsia="Calibri"/>
          <w:color w:val="auto"/>
          <w:szCs w:val="22"/>
          <w:lang w:eastAsia="cs-CZ"/>
        </w:rPr>
        <w:t>, který</w:t>
      </w:r>
      <w:r w:rsidRPr="00231643">
        <w:rPr>
          <w:rFonts w:eastAsia="Calibri"/>
          <w:color w:val="auto"/>
          <w:szCs w:val="22"/>
          <w:lang w:eastAsia="cs-CZ"/>
        </w:rPr>
        <w:t xml:space="preserve"> představuje hlavní hospodářskou reformní agendu EU s výhledem do roku 2020. Je v n</w:t>
      </w:r>
      <w:r w:rsidR="00C03A21">
        <w:rPr>
          <w:rFonts w:eastAsia="Calibri"/>
          <w:color w:val="auto"/>
          <w:szCs w:val="22"/>
          <w:lang w:eastAsia="cs-CZ"/>
        </w:rPr>
        <w:t>ěm</w:t>
      </w:r>
      <w:r w:rsidRPr="00231643">
        <w:rPr>
          <w:rFonts w:eastAsia="Calibri"/>
          <w:color w:val="auto"/>
          <w:szCs w:val="22"/>
          <w:lang w:eastAsia="cs-CZ"/>
        </w:rPr>
        <w:t xml:space="preserve"> definováno pět hlavních cílů, které byly schváleny Evropskou radou dne 17. 6. 2010. Členské státy byly zároveň vyzvány, aby si na základě hlavních cílů stanovily analogické cíle národní a aby na své úrovni implementovaly politiky a nástroje nutné k naplnění těchto cílů. Jako národní cíl stanovila vláda dosažení úrovně veřejných výdajů na vědu, výzkum, vývoj a inovace v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ve výši 1 % HDP v roce 2020.</w:t>
      </w:r>
    </w:p>
    <w:p w14:paraId="5EA2778F" w14:textId="0E317230" w:rsidR="00FC307E" w:rsidRPr="00231643" w:rsidRDefault="00035AAB" w:rsidP="00FC307E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231643">
        <w:rPr>
          <w:rFonts w:eastAsia="Calibri"/>
          <w:color w:val="auto"/>
          <w:szCs w:val="22"/>
          <w:lang w:eastAsia="cs-CZ"/>
        </w:rPr>
        <w:t xml:space="preserve">Podíl výdajů na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financovaných z tuzemských veřejných</w:t>
      </w:r>
      <w:r>
        <w:rPr>
          <w:rFonts w:eastAsia="Calibri"/>
          <w:color w:val="auto"/>
          <w:szCs w:val="22"/>
          <w:lang w:eastAsia="cs-CZ"/>
        </w:rPr>
        <w:t xml:space="preserve"> zdrojů na HDP v ČR nevykázal v </w:t>
      </w:r>
      <w:r w:rsidRPr="00231643">
        <w:rPr>
          <w:rFonts w:eastAsia="Calibri"/>
          <w:color w:val="auto"/>
          <w:szCs w:val="22"/>
          <w:lang w:eastAsia="cs-CZ"/>
        </w:rPr>
        <w:t>letech 2010 až 2016 žádný rostoucí trend, když se pohyboval přibližně na úrovni 0,6 % HDP</w:t>
      </w:r>
      <w:r w:rsidR="00C03A21">
        <w:rPr>
          <w:rFonts w:eastAsia="Calibri"/>
          <w:color w:val="auto"/>
          <w:szCs w:val="22"/>
          <w:lang w:eastAsia="cs-CZ"/>
        </w:rPr>
        <w:t>,</w:t>
      </w:r>
      <w:r w:rsidRPr="00231643">
        <w:rPr>
          <w:rFonts w:eastAsia="Calibri"/>
          <w:color w:val="auto"/>
          <w:szCs w:val="22"/>
          <w:lang w:eastAsia="cs-CZ"/>
        </w:rPr>
        <w:t xml:space="preserve"> a dosahoval tak podobných hodnot jako průměr EU</w:t>
      </w:r>
      <w:r w:rsidR="00C03A21">
        <w:rPr>
          <w:rFonts w:eastAsia="Calibri"/>
          <w:color w:val="auto"/>
          <w:szCs w:val="22"/>
          <w:lang w:eastAsia="cs-CZ"/>
        </w:rPr>
        <w:t>-</w:t>
      </w:r>
      <w:r w:rsidRPr="00231643">
        <w:rPr>
          <w:rFonts w:eastAsia="Calibri"/>
          <w:color w:val="auto"/>
          <w:szCs w:val="22"/>
          <w:lang w:eastAsia="cs-CZ"/>
        </w:rPr>
        <w:t xml:space="preserve">28. I v případě započítání prostředků EU činil podíl výdajů na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financovaných z veřejných zdrojů </w:t>
      </w:r>
      <w:r>
        <w:rPr>
          <w:rFonts w:eastAsia="Calibri"/>
          <w:color w:val="auto"/>
          <w:szCs w:val="22"/>
          <w:lang w:eastAsia="cs-CZ"/>
        </w:rPr>
        <w:t>v roce 2016 pouze 0,65 % HDP. Z </w:t>
      </w:r>
      <w:r w:rsidRPr="00231643">
        <w:rPr>
          <w:rFonts w:eastAsia="Calibri"/>
          <w:color w:val="auto"/>
          <w:szCs w:val="22"/>
          <w:lang w:eastAsia="cs-CZ"/>
        </w:rPr>
        <w:t xml:space="preserve">uvedených dat tak vyplývá, že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nesměřuje ke splnění cíle dosažení veřejných výdajů </w:t>
      </w:r>
      <w:r w:rsidRPr="00FB758C">
        <w:rPr>
          <w:rFonts w:eastAsia="Calibri"/>
          <w:color w:val="auto"/>
          <w:szCs w:val="22"/>
          <w:lang w:eastAsia="cs-CZ"/>
        </w:rPr>
        <w:t>na vědu, výzkum, vývoj a inovace</w:t>
      </w:r>
      <w:r w:rsidRPr="00231643">
        <w:rPr>
          <w:rFonts w:eastAsia="Calibri"/>
          <w:color w:val="auto"/>
          <w:szCs w:val="22"/>
          <w:lang w:eastAsia="cs-CZ"/>
        </w:rPr>
        <w:t xml:space="preserve"> v </w:t>
      </w:r>
      <w:r>
        <w:rPr>
          <w:rFonts w:eastAsia="Calibri"/>
          <w:color w:val="auto"/>
          <w:szCs w:val="22"/>
          <w:lang w:eastAsia="cs-CZ"/>
        </w:rPr>
        <w:t>ČR</w:t>
      </w:r>
      <w:r w:rsidRPr="00231643">
        <w:rPr>
          <w:rFonts w:eastAsia="Calibri"/>
          <w:color w:val="auto"/>
          <w:szCs w:val="22"/>
          <w:lang w:eastAsia="cs-CZ"/>
        </w:rPr>
        <w:t xml:space="preserve"> na úroveň 1 % HDP v roce 2020. Tento cíl bude obtížné splnit a především </w:t>
      </w:r>
      <w:r w:rsidR="00C03A21">
        <w:rPr>
          <w:rFonts w:eastAsia="Calibri"/>
          <w:color w:val="auto"/>
          <w:szCs w:val="22"/>
          <w:lang w:eastAsia="cs-CZ"/>
        </w:rPr>
        <w:t xml:space="preserve">bude obtížné </w:t>
      </w:r>
      <w:r w:rsidR="00C03A21" w:rsidRPr="00231643">
        <w:rPr>
          <w:rFonts w:eastAsia="Calibri"/>
          <w:color w:val="auto"/>
          <w:szCs w:val="22"/>
          <w:lang w:eastAsia="cs-CZ"/>
        </w:rPr>
        <w:t>udržet</w:t>
      </w:r>
      <w:r w:rsidR="00C03A21" w:rsidRPr="00C03A21">
        <w:rPr>
          <w:rFonts w:eastAsia="Calibri"/>
          <w:color w:val="auto"/>
          <w:szCs w:val="22"/>
          <w:lang w:eastAsia="cs-CZ"/>
        </w:rPr>
        <w:t xml:space="preserve"> </w:t>
      </w:r>
      <w:r w:rsidR="00C03A21" w:rsidRPr="00231643">
        <w:rPr>
          <w:rFonts w:eastAsia="Calibri"/>
          <w:color w:val="auto"/>
          <w:szCs w:val="22"/>
          <w:lang w:eastAsia="cs-CZ"/>
        </w:rPr>
        <w:t xml:space="preserve">požadovanou úroveň </w:t>
      </w:r>
      <w:r w:rsidRPr="00231643">
        <w:rPr>
          <w:rFonts w:eastAsia="Calibri"/>
          <w:color w:val="auto"/>
          <w:szCs w:val="22"/>
          <w:lang w:eastAsia="cs-CZ"/>
        </w:rPr>
        <w:t>v následujících letech. Rok 2016 je charakteristický významným poklesem prostředků EU. Může se jednat pouze o výkyv v čerpání těchto prostředků. Zároveň však tento rok částečně simul</w:t>
      </w:r>
      <w:r>
        <w:rPr>
          <w:rFonts w:eastAsia="Calibri"/>
          <w:color w:val="auto"/>
          <w:szCs w:val="22"/>
          <w:lang w:eastAsia="cs-CZ"/>
        </w:rPr>
        <w:t>uje situaci po roce 2023, kdy s </w:t>
      </w:r>
      <w:r w:rsidRPr="00231643">
        <w:rPr>
          <w:rFonts w:eastAsia="Calibri"/>
          <w:color w:val="auto"/>
          <w:szCs w:val="22"/>
          <w:lang w:eastAsia="cs-CZ"/>
        </w:rPr>
        <w:t xml:space="preserve">největší pravděpodobností dojde </w:t>
      </w:r>
      <w:r w:rsidR="00E372D0">
        <w:rPr>
          <w:rFonts w:eastAsia="Calibri"/>
          <w:color w:val="auto"/>
          <w:szCs w:val="22"/>
          <w:lang w:eastAsia="cs-CZ"/>
        </w:rPr>
        <w:t xml:space="preserve">k </w:t>
      </w:r>
      <w:r w:rsidR="00E372D0" w:rsidRPr="004673BF">
        <w:rPr>
          <w:rFonts w:eastAsia="Calibri"/>
          <w:color w:val="auto"/>
          <w:szCs w:val="22"/>
          <w:lang w:eastAsia="cs-CZ"/>
        </w:rPr>
        <w:t>omezení finančních zdrojů z fondů EU</w:t>
      </w:r>
      <w:r w:rsidRPr="004673BF">
        <w:rPr>
          <w:rFonts w:eastAsia="Calibri"/>
          <w:color w:val="auto"/>
          <w:szCs w:val="22"/>
          <w:lang w:eastAsia="cs-CZ"/>
        </w:rPr>
        <w:t>.</w:t>
      </w:r>
      <w:r w:rsidRPr="00231643">
        <w:rPr>
          <w:rFonts w:eastAsia="Calibri"/>
          <w:color w:val="auto"/>
          <w:szCs w:val="22"/>
          <w:lang w:eastAsia="cs-CZ"/>
        </w:rPr>
        <w:t xml:space="preserve"> V rámc</w:t>
      </w:r>
      <w:r w:rsidR="00E372D0">
        <w:rPr>
          <w:rFonts w:eastAsia="Calibri"/>
          <w:color w:val="auto"/>
          <w:szCs w:val="22"/>
          <w:lang w:eastAsia="cs-CZ"/>
        </w:rPr>
        <w:t>i nového programovéh</w:t>
      </w:r>
      <w:r w:rsidRPr="00231643">
        <w:rPr>
          <w:rFonts w:eastAsia="Calibri"/>
          <w:color w:val="auto"/>
          <w:szCs w:val="22"/>
          <w:lang w:eastAsia="cs-CZ"/>
        </w:rPr>
        <w:t xml:space="preserve">o období se očekávají nižší výdaje na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z prostře</w:t>
      </w:r>
      <w:r w:rsidR="00E372D0">
        <w:rPr>
          <w:rFonts w:eastAsia="Calibri"/>
          <w:color w:val="auto"/>
          <w:szCs w:val="22"/>
          <w:lang w:eastAsia="cs-CZ"/>
        </w:rPr>
        <w:t>dků EU. Po ukončení programové</w:t>
      </w:r>
      <w:r w:rsidRPr="00231643">
        <w:rPr>
          <w:rFonts w:eastAsia="Calibri"/>
          <w:color w:val="auto"/>
          <w:szCs w:val="22"/>
          <w:lang w:eastAsia="cs-CZ"/>
        </w:rPr>
        <w:t xml:space="preserve">ho období hrozí po roce 2023 výpadek prostředků EU úplně. Muselo by tak dojít k masivnímu nárůstu objemu národních peněžních prostředků na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, aby mohl být plněn podíl 1 % veřejných výdajů na </w:t>
      </w:r>
      <w:proofErr w:type="spellStart"/>
      <w:r w:rsidRPr="00231643">
        <w:rPr>
          <w:rFonts w:eastAsia="Calibri"/>
          <w:color w:val="auto"/>
          <w:szCs w:val="22"/>
          <w:lang w:eastAsia="cs-CZ"/>
        </w:rPr>
        <w:t>VaVaI</w:t>
      </w:r>
      <w:proofErr w:type="spellEnd"/>
      <w:r w:rsidRPr="00231643">
        <w:rPr>
          <w:rFonts w:eastAsia="Calibri"/>
          <w:color w:val="auto"/>
          <w:szCs w:val="22"/>
          <w:lang w:eastAsia="cs-CZ"/>
        </w:rPr>
        <w:t xml:space="preserve"> na HDP. </w:t>
      </w:r>
    </w:p>
    <w:p w14:paraId="19A9A1FC" w14:textId="77777777" w:rsidR="004673BF" w:rsidRDefault="004673BF">
      <w:pPr>
        <w:spacing w:before="0"/>
        <w:jc w:val="lef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BB7EFAE" w14:textId="77777777" w:rsidR="001702E5" w:rsidRPr="009E506C" w:rsidRDefault="001702E5" w:rsidP="00DB1227">
      <w:pPr>
        <w:spacing w:before="0" w:after="120"/>
        <w:ind w:left="2835" w:hanging="2835"/>
        <w:rPr>
          <w:rFonts w:cstheme="minorHAnsi"/>
          <w:b/>
        </w:rPr>
      </w:pPr>
      <w:r w:rsidRPr="009E506C">
        <w:rPr>
          <w:rFonts w:cstheme="minorHAnsi"/>
          <w:b/>
        </w:rPr>
        <w:lastRenderedPageBreak/>
        <w:t>Seznam zkratek a pojmů</w:t>
      </w:r>
    </w:p>
    <w:p w14:paraId="7A72A359" w14:textId="77777777" w:rsidR="001702E5" w:rsidRPr="00BE2DFF" w:rsidRDefault="001702E5" w:rsidP="00DB1227">
      <w:pPr>
        <w:tabs>
          <w:tab w:val="left" w:pos="2835"/>
        </w:tabs>
        <w:spacing w:before="100" w:after="100"/>
        <w:ind w:left="2835" w:hanging="2835"/>
        <w:rPr>
          <w:rFonts w:cstheme="minorHAnsi"/>
        </w:rPr>
      </w:pPr>
      <w:r w:rsidRPr="00BE2DFF">
        <w:rPr>
          <w:rFonts w:cstheme="minorHAnsi"/>
        </w:rPr>
        <w:t xml:space="preserve">Aktualizace NP </w:t>
      </w:r>
      <w:proofErr w:type="spellStart"/>
      <w:r w:rsidRPr="00BE2DFF">
        <w:rPr>
          <w:rFonts w:cstheme="minorHAnsi"/>
        </w:rPr>
        <w:t>VaVaI</w:t>
      </w:r>
      <w:proofErr w:type="spellEnd"/>
      <w:r w:rsidRPr="00BE2DFF">
        <w:rPr>
          <w:rFonts w:cstheme="minorHAnsi"/>
        </w:rPr>
        <w:tab/>
      </w:r>
      <w:r w:rsidRPr="005C08B7">
        <w:rPr>
          <w:rFonts w:cstheme="minorHAnsi"/>
          <w:i/>
        </w:rPr>
        <w:t>Aktualizace národní politiky výzkumu, vývoje a inovací na léta 2009–2015 s výhledem do roku 2020</w:t>
      </w:r>
    </w:p>
    <w:p w14:paraId="1AF195EE" w14:textId="77777777" w:rsidR="001702E5" w:rsidRPr="00BE2DFF" w:rsidRDefault="001702E5" w:rsidP="00DB1227">
      <w:pPr>
        <w:tabs>
          <w:tab w:val="left" w:pos="2835"/>
        </w:tabs>
        <w:spacing w:before="100" w:after="100"/>
        <w:ind w:left="2835" w:hanging="2835"/>
        <w:rPr>
          <w:rFonts w:cstheme="minorHAnsi"/>
        </w:rPr>
      </w:pPr>
      <w:r w:rsidRPr="00BE2DFF">
        <w:rPr>
          <w:rFonts w:cstheme="minorHAnsi"/>
        </w:rPr>
        <w:t xml:space="preserve">Analýza </w:t>
      </w:r>
      <w:proofErr w:type="spellStart"/>
      <w:r w:rsidRPr="00BE2DFF">
        <w:rPr>
          <w:rFonts w:cstheme="minorHAnsi"/>
        </w:rPr>
        <w:t>VaVaI</w:t>
      </w:r>
      <w:proofErr w:type="spellEnd"/>
      <w:r w:rsidRPr="00BE2DFF">
        <w:rPr>
          <w:rFonts w:cstheme="minorHAnsi"/>
        </w:rPr>
        <w:tab/>
      </w:r>
      <w:r w:rsidRPr="005C08B7">
        <w:rPr>
          <w:rFonts w:cstheme="minorHAnsi"/>
          <w:i/>
        </w:rPr>
        <w:t>Analýza stavu výzkumu, vývoje a inovací v České republice a</w:t>
      </w:r>
      <w:r w:rsidR="008C6CFA" w:rsidRPr="005C08B7">
        <w:rPr>
          <w:rFonts w:cstheme="minorHAnsi"/>
          <w:i/>
        </w:rPr>
        <w:t> </w:t>
      </w:r>
      <w:r w:rsidRPr="005C08B7">
        <w:rPr>
          <w:rFonts w:cstheme="minorHAnsi"/>
          <w:i/>
        </w:rPr>
        <w:t>jejich srovnání se zahraničím</w:t>
      </w:r>
    </w:p>
    <w:p w14:paraId="41118408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AV ČR</w:t>
      </w:r>
      <w:r w:rsidRPr="00BE2DFF">
        <w:rPr>
          <w:rFonts w:cstheme="minorHAnsi"/>
        </w:rPr>
        <w:tab/>
        <w:t>Akademie věd České republiky</w:t>
      </w:r>
    </w:p>
    <w:p w14:paraId="58030610" w14:textId="651665FA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DKRVO</w:t>
      </w:r>
      <w:r w:rsidRPr="00BE2DFF">
        <w:rPr>
          <w:rFonts w:cstheme="minorHAnsi"/>
        </w:rPr>
        <w:tab/>
      </w:r>
      <w:r w:rsidRPr="00BE2DFF">
        <w:rPr>
          <w:rFonts w:eastAsia="Calibri" w:cstheme="minorHAnsi"/>
          <w:lang w:eastAsia="cs-CZ"/>
        </w:rPr>
        <w:t>Dlouhodobý koncepční rozvoj výzkumné organizace</w:t>
      </w:r>
    </w:p>
    <w:p w14:paraId="070C87E1" w14:textId="77777777" w:rsidR="00C03655" w:rsidRDefault="00C03655" w:rsidP="00DB1227">
      <w:pPr>
        <w:tabs>
          <w:tab w:val="left" w:pos="2835"/>
        </w:tabs>
        <w:spacing w:before="100" w:after="100"/>
        <w:rPr>
          <w:rFonts w:cstheme="minorHAnsi"/>
        </w:rPr>
      </w:pPr>
      <w:r>
        <w:rPr>
          <w:rFonts w:cstheme="minorHAnsi"/>
        </w:rPr>
        <w:t>EU-28</w:t>
      </w:r>
      <w:r>
        <w:rPr>
          <w:rFonts w:cstheme="minorHAnsi"/>
        </w:rPr>
        <w:tab/>
        <w:t>28 států Evropské unie</w:t>
      </w:r>
    </w:p>
    <w:p w14:paraId="06C58414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GA ČR</w:t>
      </w:r>
      <w:r w:rsidRPr="00BE2DFF">
        <w:rPr>
          <w:rFonts w:cstheme="minorHAnsi"/>
        </w:rPr>
        <w:tab/>
        <w:t>Grantová agentura České republiky</w:t>
      </w:r>
    </w:p>
    <w:p w14:paraId="6268B5BA" w14:textId="7C8892F2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 xml:space="preserve">IS </w:t>
      </w:r>
      <w:proofErr w:type="spellStart"/>
      <w:r w:rsidRPr="00BE2DFF">
        <w:rPr>
          <w:rFonts w:cstheme="minorHAnsi"/>
        </w:rPr>
        <w:t>VaVaI</w:t>
      </w:r>
      <w:proofErr w:type="spellEnd"/>
      <w:r w:rsidRPr="00BE2DFF">
        <w:rPr>
          <w:rFonts w:cstheme="minorHAnsi"/>
        </w:rPr>
        <w:tab/>
      </w:r>
      <w:r w:rsidRPr="00BE2DFF">
        <w:rPr>
          <w:rFonts w:eastAsia="Calibri" w:cstheme="minorHAnsi"/>
          <w:lang w:eastAsia="cs-CZ"/>
        </w:rPr>
        <w:t>Informační systém výzkumu, vývoje a inovací</w:t>
      </w:r>
    </w:p>
    <w:p w14:paraId="66107ED4" w14:textId="1E7A4235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JŘBU</w:t>
      </w:r>
      <w:r w:rsidRPr="00BE2DFF">
        <w:rPr>
          <w:rFonts w:cstheme="minorHAnsi"/>
        </w:rPr>
        <w:tab/>
      </w:r>
      <w:r w:rsidRPr="00BE2DFF">
        <w:rPr>
          <w:rFonts w:eastAsia="Calibri" w:cstheme="minorHAnsi"/>
          <w:lang w:eastAsia="cs-CZ"/>
        </w:rPr>
        <w:t>Jednací řízení bez uveřejnění</w:t>
      </w:r>
    </w:p>
    <w:p w14:paraId="21DE7830" w14:textId="534A9B22" w:rsidR="001702E5" w:rsidRDefault="001702E5" w:rsidP="00DB1227">
      <w:pPr>
        <w:tabs>
          <w:tab w:val="left" w:pos="2835"/>
        </w:tabs>
        <w:spacing w:before="100" w:after="100"/>
        <w:ind w:left="2835" w:hanging="2835"/>
        <w:rPr>
          <w:rFonts w:cstheme="minorHAnsi"/>
        </w:rPr>
      </w:pPr>
      <w:r w:rsidRPr="00BE2DFF">
        <w:rPr>
          <w:rFonts w:cstheme="minorHAnsi"/>
        </w:rPr>
        <w:t>kompetenční zákon</w:t>
      </w:r>
      <w:r w:rsidRPr="00BE2DFF">
        <w:rPr>
          <w:rFonts w:cstheme="minorHAnsi"/>
        </w:rPr>
        <w:tab/>
      </w:r>
      <w:proofErr w:type="spellStart"/>
      <w:r w:rsidRPr="00BE2DFF">
        <w:rPr>
          <w:rFonts w:cstheme="minorHAnsi"/>
        </w:rPr>
        <w:t>Zákon</w:t>
      </w:r>
      <w:proofErr w:type="spellEnd"/>
      <w:r w:rsidRPr="00BE2DFF">
        <w:rPr>
          <w:rFonts w:cstheme="minorHAnsi"/>
        </w:rPr>
        <w:t xml:space="preserve"> č. 2/1969 Sb., o zřízení ministerstev a jiných ústředních orgánů státní správy České republiky</w:t>
      </w:r>
    </w:p>
    <w:p w14:paraId="6EB595DD" w14:textId="7B39A15D" w:rsidR="001702E5" w:rsidRPr="000005E3" w:rsidRDefault="001702E5" w:rsidP="00DB1227">
      <w:pPr>
        <w:tabs>
          <w:tab w:val="left" w:pos="2835"/>
        </w:tabs>
        <w:spacing w:before="100" w:after="100"/>
        <w:ind w:left="2835" w:hanging="2835"/>
        <w:rPr>
          <w:rFonts w:cstheme="minorHAnsi"/>
          <w:sz w:val="28"/>
        </w:rPr>
      </w:pPr>
      <w:r>
        <w:rPr>
          <w:rFonts w:eastAsia="Calibri"/>
          <w:lang w:eastAsia="cs-CZ"/>
        </w:rPr>
        <w:t>Metodika 2013</w:t>
      </w:r>
      <w:r>
        <w:rPr>
          <w:rFonts w:eastAsia="Calibri"/>
          <w:lang w:eastAsia="cs-CZ"/>
        </w:rPr>
        <w:tab/>
      </w:r>
      <w:r w:rsidRPr="005C08B7">
        <w:rPr>
          <w:rFonts w:eastAsia="Calibri"/>
          <w:i/>
          <w:lang w:eastAsia="cs-CZ"/>
        </w:rPr>
        <w:t>Metodika hodnocení výsledků výzkumných organizací a</w:t>
      </w:r>
      <w:r w:rsidR="008C6CFA" w:rsidRPr="005C08B7">
        <w:rPr>
          <w:rFonts w:eastAsia="Calibri"/>
          <w:i/>
          <w:lang w:eastAsia="cs-CZ"/>
        </w:rPr>
        <w:t> </w:t>
      </w:r>
      <w:r w:rsidRPr="005C08B7">
        <w:rPr>
          <w:rFonts w:eastAsia="Calibri"/>
          <w:i/>
          <w:lang w:eastAsia="cs-CZ"/>
        </w:rPr>
        <w:t>hodnocení výsledků ukončených programů</w:t>
      </w:r>
      <w:r w:rsidRPr="000005E3">
        <w:rPr>
          <w:rFonts w:eastAsia="Calibri"/>
          <w:lang w:eastAsia="cs-CZ"/>
        </w:rPr>
        <w:t xml:space="preserve"> (platná pro léta 2013 až 2015, následně platnost prodloužena i na rok 2016</w:t>
      </w:r>
      <w:r w:rsidR="00C03A21">
        <w:rPr>
          <w:rFonts w:eastAsia="Calibri"/>
          <w:lang w:eastAsia="cs-CZ"/>
        </w:rPr>
        <w:t>)</w:t>
      </w:r>
      <w:r w:rsidRPr="000005E3">
        <w:rPr>
          <w:rFonts w:eastAsia="Calibri"/>
          <w:lang w:eastAsia="cs-CZ"/>
        </w:rPr>
        <w:t xml:space="preserve"> </w:t>
      </w:r>
    </w:p>
    <w:p w14:paraId="4743239D" w14:textId="614FBBD0" w:rsidR="001702E5" w:rsidRPr="00BE2DFF" w:rsidRDefault="001702E5" w:rsidP="00DB1227">
      <w:pPr>
        <w:tabs>
          <w:tab w:val="left" w:pos="2835"/>
        </w:tabs>
        <w:spacing w:before="100" w:after="100"/>
        <w:ind w:left="2835" w:hanging="2835"/>
        <w:rPr>
          <w:rFonts w:cstheme="minorHAnsi"/>
        </w:rPr>
      </w:pPr>
      <w:r w:rsidRPr="00BE2DFF">
        <w:rPr>
          <w:rFonts w:cstheme="minorHAnsi"/>
        </w:rPr>
        <w:t>Metodika 2017+</w:t>
      </w:r>
      <w:r w:rsidRPr="00BE2DFF">
        <w:rPr>
          <w:rFonts w:cstheme="minorHAnsi"/>
        </w:rPr>
        <w:tab/>
        <w:t>Metodika hodnocení výzkumných organizací a hodnocení programů účelové podpory výzkumu, vývoje a inovací</w:t>
      </w:r>
    </w:p>
    <w:p w14:paraId="75BA2043" w14:textId="4C65679D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Mezinárodní audit 2011</w:t>
      </w:r>
      <w:r w:rsidRPr="00BE2DFF">
        <w:rPr>
          <w:rFonts w:cstheme="minorHAnsi"/>
        </w:rPr>
        <w:tab/>
      </w:r>
      <w:r w:rsidRPr="00BE2DFF">
        <w:rPr>
          <w:rFonts w:eastAsia="Calibri" w:cstheme="minorHAnsi"/>
          <w:lang w:eastAsia="cs-CZ"/>
        </w:rPr>
        <w:t>Mezinárodní audit výzkumu, vývoje a inovací v České republice</w:t>
      </w:r>
    </w:p>
    <w:p w14:paraId="0074AF91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MK</w:t>
      </w:r>
      <w:r w:rsidRPr="00BE2DFF">
        <w:rPr>
          <w:rFonts w:cstheme="minorHAnsi"/>
        </w:rPr>
        <w:tab/>
        <w:t>Ministerstvo kultury</w:t>
      </w:r>
      <w:r w:rsidR="00A87409" w:rsidRPr="00A87409">
        <w:t xml:space="preserve"> </w:t>
      </w:r>
    </w:p>
    <w:p w14:paraId="177FFFA8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MO</w:t>
      </w:r>
      <w:r w:rsidRPr="00BE2DFF">
        <w:rPr>
          <w:rFonts w:cstheme="minorHAnsi"/>
        </w:rPr>
        <w:tab/>
        <w:t>Ministerstvo obrany</w:t>
      </w:r>
      <w:r w:rsidR="00A87409" w:rsidRPr="00A87409">
        <w:t xml:space="preserve"> </w:t>
      </w:r>
    </w:p>
    <w:p w14:paraId="247F896E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MPO</w:t>
      </w:r>
      <w:r w:rsidRPr="00BE2DFF">
        <w:rPr>
          <w:rFonts w:cstheme="minorHAnsi"/>
        </w:rPr>
        <w:tab/>
        <w:t>Ministerstvo průmyslu a obchodu</w:t>
      </w:r>
    </w:p>
    <w:p w14:paraId="4BC8052F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MŠMT</w:t>
      </w:r>
      <w:r w:rsidRPr="00BE2DFF">
        <w:rPr>
          <w:rFonts w:cstheme="minorHAnsi"/>
        </w:rPr>
        <w:tab/>
        <w:t>Ministerstvo školství, mládeže a tělovýchovy</w:t>
      </w:r>
    </w:p>
    <w:p w14:paraId="537BB174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MV</w:t>
      </w:r>
      <w:r w:rsidRPr="00BE2DFF">
        <w:rPr>
          <w:rFonts w:cstheme="minorHAnsi"/>
        </w:rPr>
        <w:tab/>
        <w:t>Ministerstvo vnitra</w:t>
      </w:r>
      <w:r w:rsidR="00A87409" w:rsidRPr="00A87409">
        <w:t xml:space="preserve"> </w:t>
      </w:r>
    </w:p>
    <w:p w14:paraId="4B539B56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proofErr w:type="spellStart"/>
      <w:r w:rsidRPr="00BE2DFF">
        <w:rPr>
          <w:rFonts w:cstheme="minorHAnsi"/>
        </w:rPr>
        <w:t>Mzd</w:t>
      </w:r>
      <w:proofErr w:type="spellEnd"/>
      <w:r w:rsidRPr="00BE2DFF">
        <w:rPr>
          <w:rFonts w:cstheme="minorHAnsi"/>
        </w:rPr>
        <w:tab/>
        <w:t>Ministerstvo zdravotnictví</w:t>
      </w:r>
      <w:r w:rsidR="00A87409" w:rsidRPr="00A87409">
        <w:t xml:space="preserve"> </w:t>
      </w:r>
    </w:p>
    <w:p w14:paraId="617B172B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MZe</w:t>
      </w:r>
      <w:r w:rsidRPr="00BE2DFF">
        <w:rPr>
          <w:rFonts w:cstheme="minorHAnsi"/>
        </w:rPr>
        <w:tab/>
        <w:t>Ministerstvo zemědělství</w:t>
      </w:r>
      <w:r w:rsidR="00A87409" w:rsidRPr="00A87409">
        <w:rPr>
          <w:rFonts w:cstheme="minorHAnsi"/>
        </w:rPr>
        <w:t xml:space="preserve"> </w:t>
      </w:r>
    </w:p>
    <w:p w14:paraId="4A34C029" w14:textId="77777777" w:rsidR="001702E5" w:rsidRPr="00BE2DFF" w:rsidRDefault="001702E5" w:rsidP="00DB1227">
      <w:pPr>
        <w:tabs>
          <w:tab w:val="left" w:pos="2835"/>
        </w:tabs>
        <w:spacing w:before="100" w:after="100"/>
        <w:ind w:left="2835" w:hanging="2835"/>
        <w:rPr>
          <w:rFonts w:cstheme="minorHAnsi"/>
        </w:rPr>
      </w:pPr>
      <w:r w:rsidRPr="00BE2DFF">
        <w:rPr>
          <w:rFonts w:cstheme="minorHAnsi"/>
        </w:rPr>
        <w:t xml:space="preserve">NP </w:t>
      </w:r>
      <w:proofErr w:type="spellStart"/>
      <w:r w:rsidRPr="00BE2DFF">
        <w:rPr>
          <w:rFonts w:cstheme="minorHAnsi"/>
        </w:rPr>
        <w:t>VaVaI</w:t>
      </w:r>
      <w:proofErr w:type="spellEnd"/>
      <w:r w:rsidRPr="00BE2DFF">
        <w:rPr>
          <w:rFonts w:cstheme="minorHAnsi"/>
        </w:rPr>
        <w:t xml:space="preserve"> 2016</w:t>
      </w:r>
      <w:r w:rsidRPr="00BE2DFF">
        <w:rPr>
          <w:rFonts w:cstheme="minorHAnsi"/>
        </w:rPr>
        <w:tab/>
      </w:r>
      <w:r w:rsidRPr="005C08B7">
        <w:rPr>
          <w:rFonts w:cstheme="minorHAnsi"/>
          <w:i/>
        </w:rPr>
        <w:t>Národní politika výzkumu, vývoje a inovací České republiky na léta 2016–2020</w:t>
      </w:r>
    </w:p>
    <w:p w14:paraId="64BCC22E" w14:textId="77777777" w:rsidR="001702E5" w:rsidRPr="00BE2DFF" w:rsidRDefault="001702E5" w:rsidP="00DB1227">
      <w:pPr>
        <w:tabs>
          <w:tab w:val="left" w:pos="2835"/>
        </w:tabs>
        <w:spacing w:before="100" w:after="100"/>
        <w:ind w:left="2835" w:hanging="2835"/>
        <w:rPr>
          <w:rFonts w:cstheme="minorHAnsi"/>
        </w:rPr>
      </w:pPr>
      <w:r w:rsidRPr="00BE2DFF">
        <w:rPr>
          <w:rFonts w:cstheme="minorHAnsi"/>
        </w:rPr>
        <w:t>Principy hodnocení</w:t>
      </w:r>
      <w:r w:rsidRPr="00BE2DFF">
        <w:rPr>
          <w:rFonts w:cstheme="minorHAnsi"/>
        </w:rPr>
        <w:tab/>
      </w:r>
      <w:r w:rsidRPr="005C08B7">
        <w:rPr>
          <w:rFonts w:cstheme="minorHAnsi"/>
          <w:i/>
        </w:rPr>
        <w:t>Základní principy přípravy a hodnocení programů a skupin grantových projektů výzkumu, vývoje a inovací</w:t>
      </w:r>
    </w:p>
    <w:p w14:paraId="38723E05" w14:textId="77777777" w:rsidR="001702E5" w:rsidRPr="00BE2DFF" w:rsidRDefault="001702E5" w:rsidP="00DB1227">
      <w:pPr>
        <w:tabs>
          <w:tab w:val="left" w:pos="2835"/>
        </w:tabs>
        <w:spacing w:before="100" w:after="100"/>
        <w:ind w:left="2835" w:hanging="2835"/>
        <w:rPr>
          <w:rFonts w:cstheme="minorHAnsi"/>
        </w:rPr>
      </w:pPr>
      <w:r w:rsidRPr="00BE2DFF">
        <w:rPr>
          <w:rFonts w:cstheme="minorHAnsi"/>
        </w:rPr>
        <w:t xml:space="preserve">Priority </w:t>
      </w:r>
      <w:proofErr w:type="spellStart"/>
      <w:r w:rsidRPr="00BE2DFF">
        <w:rPr>
          <w:rFonts w:cstheme="minorHAnsi"/>
        </w:rPr>
        <w:t>VaVaI</w:t>
      </w:r>
      <w:proofErr w:type="spellEnd"/>
      <w:r w:rsidRPr="00BE2DFF">
        <w:rPr>
          <w:rFonts w:cstheme="minorHAnsi"/>
        </w:rPr>
        <w:tab/>
      </w:r>
      <w:r w:rsidRPr="005C08B7">
        <w:rPr>
          <w:rFonts w:cstheme="minorHAnsi"/>
          <w:i/>
        </w:rPr>
        <w:t>Národní priority orientovaného výzkumu, experimentálního vývoje a inovací</w:t>
      </w:r>
    </w:p>
    <w:p w14:paraId="11C22175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RVVI</w:t>
      </w:r>
      <w:r w:rsidRPr="00BE2DFF">
        <w:rPr>
          <w:rFonts w:cstheme="minorHAnsi"/>
        </w:rPr>
        <w:tab/>
        <w:t>Rada pro výzkum, vývoj a inovace</w:t>
      </w:r>
    </w:p>
    <w:p w14:paraId="5F8A3E99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 xml:space="preserve">TA ČR </w:t>
      </w:r>
      <w:r w:rsidRPr="00BE2DFF">
        <w:rPr>
          <w:rFonts w:cstheme="minorHAnsi"/>
        </w:rPr>
        <w:tab/>
        <w:t>Technologická agentura České republiky</w:t>
      </w:r>
    </w:p>
    <w:p w14:paraId="55905D28" w14:textId="77777777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ÚV ČR</w:t>
      </w:r>
      <w:r w:rsidRPr="00BE2DFF">
        <w:rPr>
          <w:rFonts w:cstheme="minorHAnsi"/>
        </w:rPr>
        <w:tab/>
        <w:t>Úřad vlády České republiky</w:t>
      </w:r>
    </w:p>
    <w:p w14:paraId="1E529EC0" w14:textId="3F36868F" w:rsidR="00A87409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>
        <w:rPr>
          <w:rFonts w:cstheme="minorHAnsi"/>
        </w:rPr>
        <w:t>v. v. i. nebo pracoviště</w:t>
      </w:r>
      <w:r>
        <w:rPr>
          <w:rFonts w:cstheme="minorHAnsi"/>
        </w:rPr>
        <w:tab/>
        <w:t>Veřejná výzkumná</w:t>
      </w:r>
      <w:r w:rsidRPr="00BE2DFF">
        <w:rPr>
          <w:rFonts w:cstheme="minorHAnsi"/>
        </w:rPr>
        <w:t xml:space="preserve"> instituce</w:t>
      </w:r>
    </w:p>
    <w:p w14:paraId="62A0EFB5" w14:textId="29D4E322" w:rsidR="001702E5" w:rsidRPr="00BE2DFF" w:rsidRDefault="00A87409" w:rsidP="00DB1227">
      <w:pPr>
        <w:tabs>
          <w:tab w:val="left" w:pos="2835"/>
        </w:tabs>
        <w:spacing w:before="100" w:after="100"/>
        <w:rPr>
          <w:rFonts w:cstheme="minorHAnsi"/>
        </w:rPr>
      </w:pPr>
      <w:proofErr w:type="spellStart"/>
      <w:r>
        <w:rPr>
          <w:rFonts w:cstheme="minorHAnsi"/>
        </w:rPr>
        <w:t>VaV</w:t>
      </w:r>
      <w:proofErr w:type="spellEnd"/>
      <w:r>
        <w:rPr>
          <w:rFonts w:cstheme="minorHAnsi"/>
        </w:rPr>
        <w:tab/>
        <w:t>Výzkum a vývoj</w:t>
      </w:r>
    </w:p>
    <w:p w14:paraId="5318E94A" w14:textId="671A5841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proofErr w:type="spellStart"/>
      <w:r w:rsidRPr="00BE2DFF">
        <w:rPr>
          <w:rFonts w:cstheme="minorHAnsi"/>
        </w:rPr>
        <w:t>VaVaI</w:t>
      </w:r>
      <w:proofErr w:type="spellEnd"/>
      <w:r w:rsidRPr="00BE2DFF">
        <w:rPr>
          <w:rFonts w:cstheme="minorHAnsi"/>
        </w:rPr>
        <w:tab/>
        <w:t>Výzkum, vývoj a inovace</w:t>
      </w:r>
    </w:p>
    <w:p w14:paraId="7DBAA35B" w14:textId="7862CEAD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lastRenderedPageBreak/>
        <w:t>VO</w:t>
      </w:r>
      <w:r w:rsidRPr="00BE2DFF">
        <w:rPr>
          <w:rFonts w:cstheme="minorHAnsi"/>
        </w:rPr>
        <w:tab/>
        <w:t>Výzkumná organizace</w:t>
      </w:r>
    </w:p>
    <w:p w14:paraId="7C19D457" w14:textId="019FB199" w:rsidR="001702E5" w:rsidRPr="00BE2DFF" w:rsidRDefault="001702E5" w:rsidP="00DB1227">
      <w:pPr>
        <w:tabs>
          <w:tab w:val="left" w:pos="2835"/>
        </w:tabs>
        <w:spacing w:before="100" w:after="100"/>
        <w:rPr>
          <w:rFonts w:cstheme="minorHAnsi"/>
        </w:rPr>
      </w:pPr>
      <w:r w:rsidRPr="00BE2DFF">
        <w:rPr>
          <w:rFonts w:cstheme="minorHAnsi"/>
        </w:rPr>
        <w:t>VS</w:t>
      </w:r>
      <w:r w:rsidRPr="00BE2DFF">
        <w:rPr>
          <w:rFonts w:cstheme="minorHAnsi"/>
        </w:rPr>
        <w:tab/>
      </w:r>
      <w:r w:rsidRPr="00BE2DFF">
        <w:rPr>
          <w:rFonts w:eastAsia="Calibri" w:cstheme="minorHAnsi"/>
          <w:lang w:eastAsia="cs-CZ"/>
        </w:rPr>
        <w:t>Veřejná soutěž</w:t>
      </w:r>
    </w:p>
    <w:p w14:paraId="05F3F83B" w14:textId="2E13DBF8" w:rsidR="001702E5" w:rsidRPr="00BE2DFF" w:rsidRDefault="001702E5" w:rsidP="00DB1227">
      <w:pPr>
        <w:tabs>
          <w:tab w:val="left" w:pos="2835"/>
        </w:tabs>
        <w:spacing w:before="100" w:after="100"/>
        <w:ind w:left="2835" w:hanging="2835"/>
        <w:rPr>
          <w:rFonts w:cstheme="minorHAnsi"/>
        </w:rPr>
      </w:pPr>
      <w:r>
        <w:rPr>
          <w:rFonts w:cstheme="minorHAnsi"/>
        </w:rPr>
        <w:t>Z</w:t>
      </w:r>
      <w:r w:rsidRPr="00BE2DFF">
        <w:rPr>
          <w:rFonts w:cstheme="minorHAnsi"/>
        </w:rPr>
        <w:t xml:space="preserve">ákon o podpoře </w:t>
      </w:r>
      <w:proofErr w:type="spellStart"/>
      <w:r w:rsidRPr="00BE2DFF">
        <w:rPr>
          <w:rFonts w:cstheme="minorHAnsi"/>
        </w:rPr>
        <w:t>VaVaI</w:t>
      </w:r>
      <w:proofErr w:type="spellEnd"/>
      <w:r w:rsidRPr="00BE2DFF">
        <w:rPr>
          <w:rFonts w:cstheme="minorHAnsi"/>
        </w:rPr>
        <w:tab/>
        <w:t>Zákon č. 130/2002 Sb., o podpoře výzkumu, experimentálního vývoje a inovací z veřejných prostředků a o změně některých souvisejících zákonů (zákon o podpoře výzkumu, experimentálního vývoje a inovací)</w:t>
      </w:r>
    </w:p>
    <w:p w14:paraId="7B86B530" w14:textId="77777777" w:rsidR="009E506C" w:rsidRDefault="009E506C" w:rsidP="008C6CFA">
      <w:pPr>
        <w:tabs>
          <w:tab w:val="left" w:pos="2835"/>
        </w:tabs>
        <w:spacing w:after="120"/>
        <w:ind w:left="2835" w:hanging="2835"/>
        <w:rPr>
          <w:rFonts w:cstheme="minorHAnsi"/>
          <w:b/>
        </w:rPr>
      </w:pPr>
    </w:p>
    <w:p w14:paraId="79E1F6C2" w14:textId="77777777" w:rsidR="001702E5" w:rsidRPr="009E506C" w:rsidRDefault="001702E5" w:rsidP="008C6CFA">
      <w:pPr>
        <w:tabs>
          <w:tab w:val="left" w:pos="2835"/>
        </w:tabs>
        <w:spacing w:after="120"/>
        <w:ind w:left="2835" w:hanging="2835"/>
        <w:rPr>
          <w:rFonts w:cstheme="minorHAnsi"/>
          <w:b/>
        </w:rPr>
      </w:pPr>
      <w:r w:rsidRPr="009E506C">
        <w:rPr>
          <w:rFonts w:cstheme="minorHAnsi"/>
          <w:b/>
        </w:rPr>
        <w:t xml:space="preserve">Programy účelové podpory </w:t>
      </w:r>
      <w:proofErr w:type="spellStart"/>
      <w:r w:rsidRPr="009E506C">
        <w:rPr>
          <w:rFonts w:cstheme="minorHAnsi"/>
          <w:b/>
        </w:rPr>
        <w:t>VaVaI</w:t>
      </w:r>
      <w:proofErr w:type="spellEnd"/>
    </w:p>
    <w:p w14:paraId="6CC46849" w14:textId="6268D27A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COST CZ</w:t>
      </w:r>
      <w:r w:rsidRPr="00BE2DFF">
        <w:rPr>
          <w:rFonts w:cstheme="minorHAnsi"/>
        </w:rPr>
        <w:tab/>
      </w:r>
      <w:r w:rsidR="00C03655">
        <w:rPr>
          <w:rFonts w:cstheme="minorHAnsi"/>
        </w:rPr>
        <w:t xml:space="preserve">Program </w:t>
      </w:r>
      <w:r w:rsidRPr="00BE2DFF">
        <w:rPr>
          <w:rFonts w:cstheme="minorHAnsi"/>
        </w:rPr>
        <w:t>na financování projektů základního výzkumu českých výzkumných pracovišť v programu mezinárodní spolupráce ve výzkumu COST</w:t>
      </w:r>
    </w:p>
    <w:p w14:paraId="45E1A371" w14:textId="7669F902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ERC CZ</w:t>
      </w:r>
      <w:r w:rsidRPr="00BE2DFF">
        <w:rPr>
          <w:rFonts w:cstheme="minorHAnsi"/>
        </w:rPr>
        <w:tab/>
      </w:r>
      <w:r w:rsidR="00C03655">
        <w:rPr>
          <w:rFonts w:cstheme="minorHAnsi"/>
        </w:rPr>
        <w:t xml:space="preserve">Program </w:t>
      </w:r>
      <w:r w:rsidRPr="00BE2DFF">
        <w:rPr>
          <w:rFonts w:cstheme="minorHAnsi"/>
        </w:rPr>
        <w:t>na podporu programových projektů z oblasti tzv. hraničního výzkumu</w:t>
      </w:r>
    </w:p>
    <w:p w14:paraId="7C4807AE" w14:textId="30F84206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EUPRO a EUPRO II</w:t>
      </w:r>
      <w:r w:rsidRPr="00BE2DFF">
        <w:rPr>
          <w:rFonts w:cstheme="minorHAnsi"/>
        </w:rPr>
        <w:tab/>
      </w:r>
      <w:r w:rsidR="00C03655">
        <w:rPr>
          <w:rFonts w:cstheme="minorHAnsi"/>
        </w:rPr>
        <w:t xml:space="preserve">Program </w:t>
      </w:r>
      <w:r w:rsidRPr="00BE2DFF">
        <w:rPr>
          <w:rFonts w:cstheme="minorHAnsi"/>
        </w:rPr>
        <w:t>na financování projektů podporujících účast českých výzkumných pracovišť v rámcových programech EU a bilaterální spolupráci na základě mezivládních smluv</w:t>
      </w:r>
    </w:p>
    <w:p w14:paraId="725B920C" w14:textId="7166A3FA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EUREKA a EUREKA CZ</w:t>
      </w:r>
      <w:r w:rsidRPr="00BE2DFF">
        <w:rPr>
          <w:rFonts w:cstheme="minorHAnsi"/>
        </w:rPr>
        <w:tab/>
      </w:r>
      <w:r w:rsidR="00C03655">
        <w:rPr>
          <w:rFonts w:cstheme="minorHAnsi"/>
        </w:rPr>
        <w:t xml:space="preserve">Program </w:t>
      </w:r>
      <w:r w:rsidRPr="00BE2DFF">
        <w:rPr>
          <w:rFonts w:cstheme="minorHAnsi"/>
        </w:rPr>
        <w:t>na podporu projektů mezinárodní spolupráce v</w:t>
      </w:r>
      <w:r w:rsidR="00C03655">
        <w:rPr>
          <w:rFonts w:cstheme="minorHAnsi"/>
        </w:rPr>
        <w:t> </w:t>
      </w:r>
      <w:r w:rsidRPr="00BE2DFF">
        <w:rPr>
          <w:rFonts w:cstheme="minorHAnsi"/>
        </w:rPr>
        <w:t>aplikovaném výzkumu a vývoji, jejichž cílem je podpořit mezinárodní spolupráci v aplikovaném výzkumu, růst konkurenceschopnosti českých firem a vytvářen</w:t>
      </w:r>
      <w:r w:rsidR="00DB1227">
        <w:rPr>
          <w:rFonts w:cstheme="minorHAnsi"/>
        </w:rPr>
        <w:t>í nových inovovaných produktů a </w:t>
      </w:r>
      <w:r w:rsidRPr="00BE2DFF">
        <w:rPr>
          <w:rFonts w:cstheme="minorHAnsi"/>
        </w:rPr>
        <w:t>služeb, které byly programem EUREKA zařazeny mezi schválené projekty tohoto programu</w:t>
      </w:r>
    </w:p>
    <w:p w14:paraId="3DFECFAB" w14:textId="1042BE12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INGO a INGO II</w:t>
      </w:r>
      <w:r w:rsidRPr="00BE2DFF">
        <w:rPr>
          <w:rFonts w:cstheme="minorHAnsi"/>
        </w:rPr>
        <w:tab/>
      </w:r>
      <w:r w:rsidR="00C03655">
        <w:rPr>
          <w:rFonts w:cstheme="minorHAnsi"/>
        </w:rPr>
        <w:t xml:space="preserve">Program </w:t>
      </w:r>
      <w:r w:rsidRPr="00BE2DFF">
        <w:rPr>
          <w:rFonts w:cstheme="minorHAnsi"/>
        </w:rPr>
        <w:t>na podporu spolupráce</w:t>
      </w:r>
      <w:r w:rsidR="00DB1227">
        <w:rPr>
          <w:rFonts w:cstheme="minorHAnsi"/>
        </w:rPr>
        <w:t xml:space="preserve"> českých výzkumných pracovišť s </w:t>
      </w:r>
      <w:r w:rsidRPr="00BE2DFF">
        <w:rPr>
          <w:rFonts w:cstheme="minorHAnsi"/>
        </w:rPr>
        <w:t>mezinárodní výzkumnou institucí a na úhradu poplatků za členství v mezinárodních ne</w:t>
      </w:r>
      <w:r w:rsidR="00DB1227">
        <w:rPr>
          <w:rFonts w:cstheme="minorHAnsi"/>
        </w:rPr>
        <w:t>vládních organizacích výzkumu a </w:t>
      </w:r>
      <w:r w:rsidRPr="00BE2DFF">
        <w:rPr>
          <w:rFonts w:cstheme="minorHAnsi"/>
        </w:rPr>
        <w:t>nákladů za účast na jednáních řídicích orgánů odborných mezinárodních společností</w:t>
      </w:r>
    </w:p>
    <w:p w14:paraId="7371AFF4" w14:textId="6CCC79FB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KONTAKT II</w:t>
      </w:r>
      <w:r w:rsidRPr="00BE2DFF">
        <w:rPr>
          <w:rFonts w:cstheme="minorHAnsi"/>
        </w:rPr>
        <w:tab/>
      </w:r>
      <w:r w:rsidR="00C03655">
        <w:rPr>
          <w:rFonts w:cstheme="minorHAnsi"/>
        </w:rPr>
        <w:t xml:space="preserve">Program </w:t>
      </w:r>
      <w:r w:rsidRPr="00BE2DFF">
        <w:rPr>
          <w:rFonts w:cstheme="minorHAnsi"/>
        </w:rPr>
        <w:t>na podporu individuálních projektů mezinárodní dvoustranné spolupráce ve výzkumu a vývoji, se zvláštním důrazem na bilaterální spolupráci se státy mimo Evropskou unii</w:t>
      </w:r>
    </w:p>
    <w:p w14:paraId="6B7825DD" w14:textId="02B489F0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KUS</w:t>
      </w:r>
      <w:r w:rsidRPr="00BE2DFF">
        <w:rPr>
          <w:rFonts w:cstheme="minorHAnsi"/>
        </w:rPr>
        <w:tab/>
      </w:r>
      <w:r w:rsidR="009B31D0">
        <w:rPr>
          <w:rFonts w:cstheme="minorHAnsi"/>
        </w:rPr>
        <w:t xml:space="preserve">Program </w:t>
      </w:r>
      <w:r w:rsidRPr="005C08B7">
        <w:rPr>
          <w:rFonts w:cstheme="minorHAnsi"/>
          <w:i/>
        </w:rPr>
        <w:t>Komplexní udržitelné systémy v zemědělství</w:t>
      </w:r>
    </w:p>
    <w:p w14:paraId="7B5183CC" w14:textId="31ADE817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NÁVRAT</w:t>
      </w:r>
      <w:r w:rsidRPr="00BE2DFF">
        <w:rPr>
          <w:rFonts w:cstheme="minorHAnsi"/>
        </w:rPr>
        <w:tab/>
      </w:r>
      <w:r w:rsidR="00C03655">
        <w:rPr>
          <w:rFonts w:cstheme="minorHAnsi"/>
        </w:rPr>
        <w:t xml:space="preserve">Program </w:t>
      </w:r>
      <w:r w:rsidRPr="00BE2DFF">
        <w:rPr>
          <w:rFonts w:cstheme="minorHAnsi"/>
        </w:rPr>
        <w:t>na podporu programových projektů z oblasti základního nebo aplikovaného výzkumu</w:t>
      </w:r>
    </w:p>
    <w:p w14:paraId="013A1456" w14:textId="511425CD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NPU I</w:t>
      </w:r>
      <w:r w:rsidRPr="00BE2DFF">
        <w:rPr>
          <w:rFonts w:cstheme="minorHAnsi"/>
        </w:rPr>
        <w:tab/>
      </w:r>
      <w:r w:rsidR="00C03655">
        <w:rPr>
          <w:rFonts w:cstheme="minorHAnsi"/>
        </w:rPr>
        <w:t xml:space="preserve">Program zaměřený </w:t>
      </w:r>
      <w:r w:rsidRPr="00BE2DFF">
        <w:rPr>
          <w:rFonts w:cstheme="minorHAnsi"/>
        </w:rPr>
        <w:t>na rozvoj a udržitelnost projektů nových evropských center excelence, regionálních a dalších typů výzkumných center vybudovaných v ČR v letech 2007</w:t>
      </w:r>
      <w:r w:rsidR="00C03655">
        <w:rPr>
          <w:rFonts w:cstheme="minorHAnsi"/>
        </w:rPr>
        <w:t>–</w:t>
      </w:r>
      <w:r w:rsidRPr="00BE2DFF">
        <w:rPr>
          <w:rFonts w:cstheme="minorHAnsi"/>
        </w:rPr>
        <w:t>2015</w:t>
      </w:r>
    </w:p>
    <w:p w14:paraId="2C2AD806" w14:textId="77777777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NPU II</w:t>
      </w:r>
      <w:r w:rsidRPr="00BE2DFF">
        <w:rPr>
          <w:rFonts w:cstheme="minorHAnsi"/>
        </w:rPr>
        <w:tab/>
      </w:r>
      <w:r w:rsidR="00C03655">
        <w:rPr>
          <w:rFonts w:cstheme="minorHAnsi"/>
        </w:rPr>
        <w:t xml:space="preserve">Program </w:t>
      </w:r>
      <w:r w:rsidRPr="00BE2DFF">
        <w:rPr>
          <w:rFonts w:cstheme="minorHAnsi"/>
        </w:rPr>
        <w:t xml:space="preserve">pro podporu udržitelnosti projektů velkých center </w:t>
      </w:r>
    </w:p>
    <w:p w14:paraId="02AE1B2D" w14:textId="77777777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TIP</w:t>
      </w:r>
      <w:r w:rsidRPr="00BE2DFF">
        <w:rPr>
          <w:rFonts w:cstheme="minorHAnsi"/>
        </w:rPr>
        <w:tab/>
      </w:r>
      <w:r w:rsidR="00C03655">
        <w:rPr>
          <w:rFonts w:cstheme="minorHAnsi"/>
        </w:rPr>
        <w:t xml:space="preserve">Program zaměřený </w:t>
      </w:r>
      <w:r w:rsidRPr="00BE2DFF">
        <w:rPr>
          <w:rFonts w:cstheme="minorHAnsi"/>
        </w:rPr>
        <w:t>na výzkum a vývoj výrobků, technologií a</w:t>
      </w:r>
      <w:r w:rsidR="00C03655">
        <w:rPr>
          <w:rFonts w:cstheme="minorHAnsi"/>
        </w:rPr>
        <w:t> </w:t>
      </w:r>
      <w:r w:rsidRPr="00BE2DFF">
        <w:rPr>
          <w:rFonts w:cstheme="minorHAnsi"/>
        </w:rPr>
        <w:t>informačních a řídicích systémů</w:t>
      </w:r>
    </w:p>
    <w:p w14:paraId="6C5546C7" w14:textId="77777777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 w:rsidRPr="00BE2DFF">
        <w:rPr>
          <w:rFonts w:cstheme="minorHAnsi"/>
        </w:rPr>
        <w:t>TRIO</w:t>
      </w:r>
      <w:r w:rsidRPr="00BE2DFF">
        <w:rPr>
          <w:rFonts w:cstheme="minorHAnsi"/>
        </w:rPr>
        <w:tab/>
      </w:r>
      <w:r w:rsidR="00C03655">
        <w:rPr>
          <w:rFonts w:cstheme="minorHAnsi"/>
        </w:rPr>
        <w:t xml:space="preserve">Program zaměřený </w:t>
      </w:r>
      <w:r w:rsidRPr="00BE2DFF">
        <w:rPr>
          <w:rFonts w:cstheme="minorHAnsi"/>
        </w:rPr>
        <w:t>na rozvoj potenciálu České republiky v oblasti klíčových technologií</w:t>
      </w:r>
    </w:p>
    <w:p w14:paraId="1E89360C" w14:textId="29C51ECF" w:rsidR="001702E5" w:rsidRPr="00BE2DFF" w:rsidRDefault="001702E5" w:rsidP="008C6CFA">
      <w:pPr>
        <w:tabs>
          <w:tab w:val="left" w:pos="2835"/>
        </w:tabs>
        <w:spacing w:before="60" w:after="60"/>
        <w:ind w:left="2835" w:hanging="2835"/>
        <w:rPr>
          <w:rFonts w:cstheme="minorHAnsi"/>
        </w:rPr>
      </w:pPr>
      <w:r>
        <w:rPr>
          <w:rFonts w:cstheme="minorHAnsi"/>
        </w:rPr>
        <w:t>VAK</w:t>
      </w:r>
      <w:r>
        <w:rPr>
          <w:rFonts w:cstheme="minorHAnsi"/>
        </w:rPr>
        <w:tab/>
      </w:r>
      <w:r w:rsidR="009B31D0">
        <w:rPr>
          <w:rFonts w:cstheme="minorHAnsi"/>
        </w:rPr>
        <w:t xml:space="preserve">Program </w:t>
      </w:r>
      <w:r w:rsidRPr="005C08B7">
        <w:rPr>
          <w:rFonts w:cstheme="minorHAnsi"/>
          <w:i/>
        </w:rPr>
        <w:t>Výzkum v agrárním komplexu</w:t>
      </w:r>
    </w:p>
    <w:sectPr w:rsidR="001702E5" w:rsidRPr="00BE2DFF" w:rsidSect="00FC307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9A10F" w14:textId="77777777" w:rsidR="00AF2B0F" w:rsidRDefault="00AF2B0F">
      <w:pPr>
        <w:spacing w:before="0"/>
      </w:pPr>
      <w:r>
        <w:separator/>
      </w:r>
    </w:p>
  </w:endnote>
  <w:endnote w:type="continuationSeparator" w:id="0">
    <w:p w14:paraId="39BA3908" w14:textId="77777777" w:rsidR="00AF2B0F" w:rsidRDefault="00AF2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400D" w14:textId="77777777" w:rsidR="00740269" w:rsidRDefault="007402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A9050" w14:textId="75E11A03" w:rsidR="004B066A" w:rsidRPr="001548CB" w:rsidRDefault="004B066A" w:rsidP="00FC307E">
    <w:pPr>
      <w:pStyle w:val="Zpat"/>
      <w:jc w:val="center"/>
    </w:pPr>
    <w:r w:rsidRPr="001548CB">
      <w:fldChar w:fldCharType="begin"/>
    </w:r>
    <w:r w:rsidRPr="001548CB">
      <w:instrText>PAGE   \* MERGEFORMAT</w:instrText>
    </w:r>
    <w:r w:rsidRPr="001548CB">
      <w:fldChar w:fldCharType="separate"/>
    </w:r>
    <w:r w:rsidR="00740269">
      <w:rPr>
        <w:noProof/>
      </w:rPr>
      <w:t>22</w:t>
    </w:r>
    <w:r w:rsidRPr="001548C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0EDA8" w14:textId="77777777" w:rsidR="00740269" w:rsidRDefault="007402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7DA44" w14:textId="77777777" w:rsidR="00AF2B0F" w:rsidRDefault="00AF2B0F" w:rsidP="00FC307E">
      <w:r>
        <w:separator/>
      </w:r>
    </w:p>
  </w:footnote>
  <w:footnote w:type="continuationSeparator" w:id="0">
    <w:p w14:paraId="3DB10761" w14:textId="77777777" w:rsidR="00AF2B0F" w:rsidRDefault="00AF2B0F" w:rsidP="00FC307E">
      <w:r>
        <w:continuationSeparator/>
      </w:r>
    </w:p>
  </w:footnote>
  <w:footnote w:id="1">
    <w:p w14:paraId="1AD3FF32" w14:textId="74707060" w:rsidR="004B066A" w:rsidRDefault="004B066A" w:rsidP="003C520E">
      <w:pPr>
        <w:widowControl w:val="0"/>
        <w:autoSpaceDE w:val="0"/>
        <w:autoSpaceDN w:val="0"/>
        <w:adjustRightInd w:val="0"/>
        <w:ind w:left="284" w:hanging="284"/>
      </w:pPr>
      <w:r w:rsidRPr="007E174D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7E174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7E174D">
        <w:rPr>
          <w:rFonts w:asciiTheme="minorHAnsi" w:hAnsiTheme="minorHAnsi" w:cstheme="minorHAnsi"/>
          <w:sz w:val="20"/>
          <w:szCs w:val="20"/>
        </w:rPr>
        <w:t xml:space="preserve">Zákon č. </w:t>
      </w:r>
      <w:r w:rsidRPr="007E174D">
        <w:rPr>
          <w:rFonts w:asciiTheme="minorHAnsi" w:eastAsia="Calibri" w:hAnsiTheme="minorHAnsi" w:cstheme="minorHAnsi"/>
          <w:color w:val="auto"/>
          <w:sz w:val="20"/>
          <w:szCs w:val="20"/>
          <w:lang w:eastAsia="cs-CZ"/>
        </w:rPr>
        <w:t xml:space="preserve">130/2002 Sb., </w:t>
      </w:r>
      <w:r w:rsidRPr="007E174D">
        <w:rPr>
          <w:rFonts w:asciiTheme="minorHAnsi" w:hAnsiTheme="minorHAnsi" w:cstheme="minorHAnsi"/>
          <w:bCs/>
          <w:sz w:val="20"/>
          <w:szCs w:val="20"/>
        </w:rPr>
        <w:t>o podpoře výzkumu, experimentálního vývoje a ino</w:t>
      </w:r>
      <w:r>
        <w:rPr>
          <w:rFonts w:asciiTheme="minorHAnsi" w:hAnsiTheme="minorHAnsi" w:cstheme="minorHAnsi"/>
          <w:bCs/>
          <w:sz w:val="20"/>
          <w:szCs w:val="20"/>
        </w:rPr>
        <w:t>vací z veřejných prostředků a o </w:t>
      </w:r>
      <w:r w:rsidRPr="007E174D">
        <w:rPr>
          <w:rFonts w:asciiTheme="minorHAnsi" w:hAnsiTheme="minorHAnsi" w:cstheme="minorHAnsi"/>
          <w:bCs/>
          <w:sz w:val="20"/>
          <w:szCs w:val="20"/>
        </w:rPr>
        <w:t>změně některých souvisejících zákonů (zákon o podpoře výzkumu,</w:t>
      </w:r>
      <w:r>
        <w:rPr>
          <w:rFonts w:asciiTheme="minorHAnsi" w:hAnsiTheme="minorHAnsi" w:cstheme="minorHAnsi"/>
          <w:bCs/>
          <w:sz w:val="20"/>
          <w:szCs w:val="20"/>
        </w:rPr>
        <w:t xml:space="preserve"> experimentálního vývoje a inovací) </w:t>
      </w:r>
    </w:p>
  </w:footnote>
  <w:footnote w:id="2">
    <w:p w14:paraId="51F1F3A9" w14:textId="77777777" w:rsidR="004B066A" w:rsidRDefault="004B066A" w:rsidP="003C520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</w:t>
      </w:r>
      <w:r w:rsidRPr="001567F8">
        <w:t>č. 2/1969 Sb.</w:t>
      </w:r>
      <w:r>
        <w:t>,</w:t>
      </w:r>
      <w:r w:rsidRPr="00AA7B84">
        <w:t xml:space="preserve"> o zřízení ministerstev a jiných ústředních orgánů státní správy České republiky</w:t>
      </w:r>
      <w:r>
        <w:t>.</w:t>
      </w:r>
    </w:p>
  </w:footnote>
  <w:footnote w:id="3">
    <w:p w14:paraId="4A1D73B5" w14:textId="77777777" w:rsidR="004B066A" w:rsidRDefault="004B066A" w:rsidP="003C520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111/1998 Sb., o vysokých školách a o změně a doplnění dalších zákonů (zákon o vysokých školách).</w:t>
      </w:r>
    </w:p>
  </w:footnote>
  <w:footnote w:id="4">
    <w:p w14:paraId="66ECD45F" w14:textId="5A9C64F4" w:rsidR="004B066A" w:rsidRDefault="004B066A" w:rsidP="003F254D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FE5BFE">
        <w:rPr>
          <w:i/>
        </w:rPr>
        <w:t>Evropa 2020 – Strategie pro inteligentní a udržitelný růst podporující začlenění</w:t>
      </w:r>
      <w:r w:rsidRPr="003B3396">
        <w:t xml:space="preserve"> (dále také „</w:t>
      </w:r>
      <w:r>
        <w:t>s</w:t>
      </w:r>
      <w:r w:rsidRPr="003B3396">
        <w:t>trategie Evropa 2020“)</w:t>
      </w:r>
      <w:r>
        <w:t>.</w:t>
      </w:r>
    </w:p>
  </w:footnote>
  <w:footnote w:id="5">
    <w:p w14:paraId="269C36C0" w14:textId="77777777" w:rsidR="004B066A" w:rsidRPr="00A94D76" w:rsidRDefault="004B066A" w:rsidP="00A94D76">
      <w:pPr>
        <w:pStyle w:val="Textpoznpodarou"/>
        <w:ind w:left="284" w:hanging="284"/>
        <w:rPr>
          <w:sz w:val="22"/>
        </w:rPr>
      </w:pPr>
      <w:r w:rsidRPr="00A94D76">
        <w:rPr>
          <w:rStyle w:val="Znakapoznpodarou"/>
        </w:rPr>
        <w:footnoteRef/>
      </w:r>
      <w:r w:rsidRPr="00A94D76">
        <w:t xml:space="preserve"> </w:t>
      </w:r>
      <w:r>
        <w:tab/>
      </w:r>
      <w:r w:rsidRPr="00A94D76">
        <w:t xml:space="preserve">Pod pojmem „program“ se dle IS </w:t>
      </w:r>
      <w:proofErr w:type="spellStart"/>
      <w:r w:rsidRPr="00A94D76">
        <w:t>VaVaI</w:t>
      </w:r>
      <w:proofErr w:type="spellEnd"/>
      <w:r w:rsidRPr="00A94D76">
        <w:t xml:space="preserve"> rozumí tyto čtyři typy: skupina grantových projektů, operační program </w:t>
      </w:r>
      <w:proofErr w:type="spellStart"/>
      <w:r w:rsidRPr="00A94D76">
        <w:t>VaVaI</w:t>
      </w:r>
      <w:proofErr w:type="spellEnd"/>
      <w:r w:rsidRPr="00A94D76">
        <w:t xml:space="preserve">, program </w:t>
      </w:r>
      <w:proofErr w:type="spellStart"/>
      <w:r w:rsidRPr="00A94D76">
        <w:t>VaVaI</w:t>
      </w:r>
      <w:proofErr w:type="spellEnd"/>
      <w:r w:rsidRPr="00A94D76">
        <w:t xml:space="preserve"> a veřejná zakázka ve </w:t>
      </w:r>
      <w:proofErr w:type="spellStart"/>
      <w:r w:rsidRPr="00A94D76">
        <w:t>VaVaI</w:t>
      </w:r>
      <w:proofErr w:type="spellEnd"/>
      <w:r w:rsidRPr="00A94D76">
        <w:t>.</w:t>
      </w:r>
    </w:p>
  </w:footnote>
  <w:footnote w:id="6">
    <w:p w14:paraId="26F92FD5" w14:textId="0D3BA69B" w:rsidR="004B066A" w:rsidRPr="00B223CE" w:rsidRDefault="004B066A" w:rsidP="00B223CE">
      <w:pPr>
        <w:pStyle w:val="Textpoznpodarou"/>
        <w:ind w:left="284" w:hanging="284"/>
      </w:pPr>
      <w:r w:rsidRPr="00B223CE">
        <w:rPr>
          <w:rStyle w:val="Znakapoznpodarou"/>
        </w:rPr>
        <w:footnoteRef/>
      </w:r>
      <w:r w:rsidRPr="00B223CE">
        <w:t xml:space="preserve"> </w:t>
      </w:r>
      <w:r>
        <w:tab/>
        <w:t>Podrobnosti k zaměření a abecední seznam jednotlivých programů účelové podpory jsou uvedeny na konci tohoto kontrolního závěru.</w:t>
      </w:r>
    </w:p>
  </w:footnote>
  <w:footnote w:id="7">
    <w:p w14:paraId="51ED2F5A" w14:textId="030082E2" w:rsidR="004B066A" w:rsidRDefault="004B066A" w:rsidP="002611F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ČR ze dne 13. května 2015 č. 351, </w:t>
      </w:r>
      <w:r w:rsidRPr="002611FD">
        <w:rPr>
          <w:i/>
        </w:rPr>
        <w:t>k Základním principům přípravy a hodnocení programů a skupin grantových projektů výzkumu, vývoje a inovací</w:t>
      </w:r>
      <w:r>
        <w:t>.</w:t>
      </w:r>
    </w:p>
  </w:footnote>
  <w:footnote w:id="8">
    <w:p w14:paraId="2FFE9A52" w14:textId="4E581913" w:rsidR="004B066A" w:rsidRPr="002611FD" w:rsidRDefault="004B066A" w:rsidP="002611FD">
      <w:pPr>
        <w:pStyle w:val="Textpoznpodarou"/>
        <w:ind w:left="284" w:hanging="284"/>
      </w:pPr>
      <w:r w:rsidRPr="002611FD">
        <w:rPr>
          <w:rStyle w:val="Znakapoznpodarou"/>
        </w:rPr>
        <w:footnoteRef/>
      </w:r>
      <w:r w:rsidRPr="002611FD">
        <w:t xml:space="preserve"> </w:t>
      </w:r>
      <w:r>
        <w:tab/>
        <w:t xml:space="preserve">Usnesení vlády ČR ze dne 19. července 2012 č. 552, </w:t>
      </w:r>
      <w:r w:rsidRPr="0021210C">
        <w:rPr>
          <w:i/>
        </w:rPr>
        <w:t>o Národních prioritách orientovaného výzkumu, experimentálního vývoje a inovací</w:t>
      </w:r>
      <w:r>
        <w:t>.</w:t>
      </w:r>
    </w:p>
  </w:footnote>
  <w:footnote w:id="9">
    <w:p w14:paraId="133E741A" w14:textId="03FC1D3E" w:rsidR="004B066A" w:rsidRDefault="004B066A" w:rsidP="00481A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1 – </w:t>
      </w:r>
      <w:r w:rsidRPr="0085631D">
        <w:rPr>
          <w:i/>
        </w:rPr>
        <w:t>Konkurenceschopná ekonomika založená na znalostech</w:t>
      </w:r>
      <w:r>
        <w:t xml:space="preserve">, 2 – </w:t>
      </w:r>
      <w:r w:rsidRPr="0085631D">
        <w:rPr>
          <w:i/>
        </w:rPr>
        <w:t>Udržitelnost energetiky a materiálových zdrojů</w:t>
      </w:r>
      <w:r>
        <w:t xml:space="preserve">, 3 – </w:t>
      </w:r>
      <w:r w:rsidRPr="0085631D">
        <w:rPr>
          <w:i/>
        </w:rPr>
        <w:t>Prostředí pro kvalitní život</w:t>
      </w:r>
      <w:r>
        <w:t xml:space="preserve">, 4 – </w:t>
      </w:r>
      <w:r w:rsidRPr="0085631D">
        <w:rPr>
          <w:i/>
        </w:rPr>
        <w:t>Sociální a kulturní výzvy</w:t>
      </w:r>
      <w:r>
        <w:t xml:space="preserve">, 5 – </w:t>
      </w:r>
      <w:r w:rsidRPr="0085631D">
        <w:rPr>
          <w:i/>
        </w:rPr>
        <w:t>Zdravá populace</w:t>
      </w:r>
      <w:r>
        <w:t xml:space="preserve">, 6 – </w:t>
      </w:r>
      <w:r w:rsidRPr="0085631D">
        <w:rPr>
          <w:i/>
        </w:rPr>
        <w:t>Bezpečná společnost</w:t>
      </w:r>
      <w:r>
        <w:t>.</w:t>
      </w:r>
    </w:p>
  </w:footnote>
  <w:footnote w:id="10">
    <w:p w14:paraId="58DADFA7" w14:textId="75CA122D" w:rsidR="004B066A" w:rsidRPr="006057EC" w:rsidRDefault="004B066A" w:rsidP="006057EC">
      <w:pPr>
        <w:pStyle w:val="Textpoznpodarou"/>
        <w:ind w:left="284" w:hanging="284"/>
      </w:pPr>
      <w:r w:rsidRPr="006057EC">
        <w:rPr>
          <w:rStyle w:val="Znakapoznpodarou"/>
        </w:rPr>
        <w:footnoteRef/>
      </w:r>
      <w:r w:rsidRPr="006057EC">
        <w:t xml:space="preserve"> </w:t>
      </w:r>
      <w:r>
        <w:tab/>
        <w:t xml:space="preserve">Kontrolní akce č. 15/27 – </w:t>
      </w:r>
      <w:r w:rsidRPr="006057EC">
        <w:rPr>
          <w:i/>
        </w:rPr>
        <w:t>Peněžní prostředky státu určené na účelovou podporu výzkumu a vývoje prostřednictvím rozpočtové kapitoly Technologická agentura České republiky</w:t>
      </w:r>
      <w:r>
        <w:t xml:space="preserve">; KZ byl zveřejněn v částce 4/2016 </w:t>
      </w:r>
      <w:r>
        <w:rPr>
          <w:i/>
        </w:rPr>
        <w:t>Věstníku NKÚ</w:t>
      </w:r>
      <w:r>
        <w:t>.</w:t>
      </w:r>
    </w:p>
  </w:footnote>
  <w:footnote w:id="11">
    <w:p w14:paraId="7F7601E5" w14:textId="7BC5FD58" w:rsidR="004B066A" w:rsidRDefault="004B066A" w:rsidP="001E71E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Kontrolní akce č. 16/19 – </w:t>
      </w:r>
      <w:r w:rsidRPr="001E71E3">
        <w:rPr>
          <w:i/>
        </w:rPr>
        <w:t>Peněžní prostředky státu určené na účelovou podporu výzkumu a vývoje prostřednictvím rozpočtové kapitoly Grantová agentura České republiky</w:t>
      </w:r>
      <w:r w:rsidRPr="001E71E3">
        <w:t>;</w:t>
      </w:r>
      <w:r>
        <w:t xml:space="preserve"> KZ byl zveřejněn v částce 3/2017 </w:t>
      </w:r>
      <w:r>
        <w:rPr>
          <w:i/>
        </w:rPr>
        <w:t>Věstníku NKÚ</w:t>
      </w:r>
      <w:r>
        <w:t>.</w:t>
      </w:r>
    </w:p>
  </w:footnote>
  <w:footnote w:id="12">
    <w:p w14:paraId="5DF8CC34" w14:textId="4BDEA9D1" w:rsidR="004B066A" w:rsidRDefault="004B066A" w:rsidP="00481A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D00E0">
        <w:rPr>
          <w:rFonts w:asciiTheme="minorHAnsi" w:eastAsia="Calibri" w:hAnsiTheme="minorHAnsi" w:cstheme="minorHAnsi"/>
          <w:color w:val="auto"/>
          <w:lang w:eastAsia="cs-CZ"/>
        </w:rPr>
        <w:t xml:space="preserve">PCT patentová přihláška = </w:t>
      </w:r>
      <w:r>
        <w:rPr>
          <w:rFonts w:asciiTheme="minorHAnsi" w:hAnsiTheme="minorHAnsi" w:cstheme="minorHAnsi"/>
          <w:color w:val="252211"/>
          <w:shd w:val="clear" w:color="auto" w:fill="FFFFFF"/>
        </w:rPr>
        <w:t>mezinárodní přihláška</w:t>
      </w:r>
      <w:r w:rsidRPr="007D00E0">
        <w:rPr>
          <w:rFonts w:asciiTheme="minorHAnsi" w:hAnsiTheme="minorHAnsi" w:cstheme="minorHAnsi"/>
          <w:color w:val="252211"/>
          <w:shd w:val="clear" w:color="auto" w:fill="FFFFFF"/>
        </w:rPr>
        <w:t xml:space="preserve"> podle </w:t>
      </w:r>
      <w:r>
        <w:rPr>
          <w:rFonts w:asciiTheme="minorHAnsi" w:hAnsiTheme="minorHAnsi" w:cstheme="minorHAnsi"/>
          <w:color w:val="252211"/>
          <w:shd w:val="clear" w:color="auto" w:fill="FFFFFF"/>
        </w:rPr>
        <w:t>s</w:t>
      </w:r>
      <w:r w:rsidRPr="007D00E0">
        <w:rPr>
          <w:rFonts w:asciiTheme="minorHAnsi" w:hAnsiTheme="minorHAnsi" w:cstheme="minorHAnsi"/>
          <w:color w:val="252211"/>
          <w:shd w:val="clear" w:color="auto" w:fill="FFFFFF"/>
        </w:rPr>
        <w:t>mlouvy o patentové spolupráci (PCT)</w:t>
      </w:r>
      <w:r>
        <w:rPr>
          <w:rFonts w:asciiTheme="minorHAnsi" w:hAnsiTheme="minorHAnsi" w:cstheme="minorHAnsi"/>
          <w:color w:val="252211"/>
          <w:shd w:val="clear" w:color="auto" w:fill="FFFFFF"/>
        </w:rPr>
        <w:t>, kdy</w:t>
      </w:r>
      <w:r w:rsidRPr="007D00E0">
        <w:rPr>
          <w:rFonts w:asciiTheme="minorHAnsi" w:hAnsiTheme="minorHAnsi" w:cstheme="minorHAnsi"/>
          <w:color w:val="252211"/>
          <w:shd w:val="clear" w:color="auto" w:fill="FFFFFF"/>
        </w:rPr>
        <w:t xml:space="preserve"> lze na základě jediné přihlášky podané v Úřad</w:t>
      </w:r>
      <w:r>
        <w:rPr>
          <w:rFonts w:asciiTheme="minorHAnsi" w:hAnsiTheme="minorHAnsi" w:cstheme="minorHAnsi"/>
          <w:color w:val="252211"/>
          <w:shd w:val="clear" w:color="auto" w:fill="FFFFFF"/>
        </w:rPr>
        <w:t>u průmyslového vlastnictví</w:t>
      </w:r>
      <w:r w:rsidRPr="007D00E0">
        <w:rPr>
          <w:rFonts w:asciiTheme="minorHAnsi" w:hAnsiTheme="minorHAnsi" w:cstheme="minorHAnsi"/>
          <w:color w:val="252211"/>
          <w:shd w:val="clear" w:color="auto" w:fill="FFFFFF"/>
        </w:rPr>
        <w:t xml:space="preserve"> získat </w:t>
      </w:r>
      <w:r>
        <w:rPr>
          <w:rFonts w:asciiTheme="minorHAnsi" w:hAnsiTheme="minorHAnsi" w:cstheme="minorHAnsi"/>
          <w:color w:val="252211"/>
          <w:shd w:val="clear" w:color="auto" w:fill="FFFFFF"/>
        </w:rPr>
        <w:t xml:space="preserve">mj. </w:t>
      </w:r>
      <w:r w:rsidRPr="007D00E0">
        <w:rPr>
          <w:rFonts w:asciiTheme="minorHAnsi" w:hAnsiTheme="minorHAnsi" w:cstheme="minorHAnsi"/>
          <w:color w:val="252211"/>
          <w:shd w:val="clear" w:color="auto" w:fill="FFFFFF"/>
        </w:rPr>
        <w:t>ochran</w:t>
      </w:r>
      <w:r>
        <w:rPr>
          <w:rFonts w:asciiTheme="minorHAnsi" w:hAnsiTheme="minorHAnsi" w:cstheme="minorHAnsi"/>
          <w:color w:val="252211"/>
          <w:shd w:val="clear" w:color="auto" w:fill="FFFFFF"/>
        </w:rPr>
        <w:t>u v téměř 150 smluvních státech.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91FB" w14:textId="77777777" w:rsidR="00740269" w:rsidRDefault="007402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3476" w14:textId="77777777" w:rsidR="00740269" w:rsidRDefault="007402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1A5EF" w14:textId="77777777" w:rsidR="00740269" w:rsidRDefault="007402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A20"/>
    <w:multiLevelType w:val="hybridMultilevel"/>
    <w:tmpl w:val="A7C4A128"/>
    <w:lvl w:ilvl="0" w:tplc="7D8AA84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0C030E0" w:tentative="1">
      <w:start w:val="1"/>
      <w:numFmt w:val="lowerLetter"/>
      <w:lvlText w:val="%2."/>
      <w:lvlJc w:val="left"/>
      <w:pPr>
        <w:ind w:left="1440" w:hanging="360"/>
      </w:pPr>
    </w:lvl>
    <w:lvl w:ilvl="2" w:tplc="8F44B1BA" w:tentative="1">
      <w:start w:val="1"/>
      <w:numFmt w:val="lowerRoman"/>
      <w:lvlText w:val="%3."/>
      <w:lvlJc w:val="right"/>
      <w:pPr>
        <w:ind w:left="2160" w:hanging="180"/>
      </w:pPr>
    </w:lvl>
    <w:lvl w:ilvl="3" w:tplc="C29C523C" w:tentative="1">
      <w:start w:val="1"/>
      <w:numFmt w:val="decimal"/>
      <w:lvlText w:val="%4."/>
      <w:lvlJc w:val="left"/>
      <w:pPr>
        <w:ind w:left="2880" w:hanging="360"/>
      </w:pPr>
    </w:lvl>
    <w:lvl w:ilvl="4" w:tplc="6112607E" w:tentative="1">
      <w:start w:val="1"/>
      <w:numFmt w:val="lowerLetter"/>
      <w:lvlText w:val="%5."/>
      <w:lvlJc w:val="left"/>
      <w:pPr>
        <w:ind w:left="3600" w:hanging="360"/>
      </w:pPr>
    </w:lvl>
    <w:lvl w:ilvl="5" w:tplc="2828FE24" w:tentative="1">
      <w:start w:val="1"/>
      <w:numFmt w:val="lowerRoman"/>
      <w:lvlText w:val="%6."/>
      <w:lvlJc w:val="right"/>
      <w:pPr>
        <w:ind w:left="4320" w:hanging="180"/>
      </w:pPr>
    </w:lvl>
    <w:lvl w:ilvl="6" w:tplc="49C0BD6E" w:tentative="1">
      <w:start w:val="1"/>
      <w:numFmt w:val="decimal"/>
      <w:lvlText w:val="%7."/>
      <w:lvlJc w:val="left"/>
      <w:pPr>
        <w:ind w:left="5040" w:hanging="360"/>
      </w:pPr>
    </w:lvl>
    <w:lvl w:ilvl="7" w:tplc="C8A2872A" w:tentative="1">
      <w:start w:val="1"/>
      <w:numFmt w:val="lowerLetter"/>
      <w:lvlText w:val="%8."/>
      <w:lvlJc w:val="left"/>
      <w:pPr>
        <w:ind w:left="5760" w:hanging="360"/>
      </w:pPr>
    </w:lvl>
    <w:lvl w:ilvl="8" w:tplc="FB245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0BBD"/>
    <w:multiLevelType w:val="hybridMultilevel"/>
    <w:tmpl w:val="FBA0C886"/>
    <w:lvl w:ilvl="0" w:tplc="B770B160">
      <w:start w:val="5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2DF435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7057E4">
      <w:start w:val="1"/>
      <w:numFmt w:val="lowerRoman"/>
      <w:lvlText w:val="%3."/>
      <w:lvlJc w:val="right"/>
      <w:pPr>
        <w:ind w:left="2160" w:hanging="180"/>
      </w:pPr>
    </w:lvl>
    <w:lvl w:ilvl="3" w:tplc="3E5CA75A" w:tentative="1">
      <w:start w:val="1"/>
      <w:numFmt w:val="decimal"/>
      <w:lvlText w:val="%4."/>
      <w:lvlJc w:val="left"/>
      <w:pPr>
        <w:ind w:left="2880" w:hanging="360"/>
      </w:pPr>
    </w:lvl>
    <w:lvl w:ilvl="4" w:tplc="D7AA2F7A" w:tentative="1">
      <w:start w:val="1"/>
      <w:numFmt w:val="lowerLetter"/>
      <w:lvlText w:val="%5."/>
      <w:lvlJc w:val="left"/>
      <w:pPr>
        <w:ind w:left="3600" w:hanging="360"/>
      </w:pPr>
    </w:lvl>
    <w:lvl w:ilvl="5" w:tplc="EB70BD42" w:tentative="1">
      <w:start w:val="1"/>
      <w:numFmt w:val="lowerRoman"/>
      <w:lvlText w:val="%6."/>
      <w:lvlJc w:val="right"/>
      <w:pPr>
        <w:ind w:left="4320" w:hanging="180"/>
      </w:pPr>
    </w:lvl>
    <w:lvl w:ilvl="6" w:tplc="003C565E" w:tentative="1">
      <w:start w:val="1"/>
      <w:numFmt w:val="decimal"/>
      <w:lvlText w:val="%7."/>
      <w:lvlJc w:val="left"/>
      <w:pPr>
        <w:ind w:left="5040" w:hanging="360"/>
      </w:pPr>
    </w:lvl>
    <w:lvl w:ilvl="7" w:tplc="C37CE40A" w:tentative="1">
      <w:start w:val="1"/>
      <w:numFmt w:val="lowerLetter"/>
      <w:lvlText w:val="%8."/>
      <w:lvlJc w:val="left"/>
      <w:pPr>
        <w:ind w:left="5760" w:hanging="360"/>
      </w:pPr>
    </w:lvl>
    <w:lvl w:ilvl="8" w:tplc="ED14D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3C4C"/>
    <w:multiLevelType w:val="multilevel"/>
    <w:tmpl w:val="C1C895D6"/>
    <w:lvl w:ilvl="0">
      <w:start w:val="1"/>
      <w:numFmt w:val="none"/>
      <w:lvlText w:val="5 a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585D9A"/>
    <w:multiLevelType w:val="hybridMultilevel"/>
    <w:tmpl w:val="5AC47F0C"/>
    <w:lvl w:ilvl="0" w:tplc="CF34B47C">
      <w:start w:val="5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A1D86E9A">
      <w:start w:val="1"/>
      <w:numFmt w:val="lowerLetter"/>
      <w:lvlText w:val="%2."/>
      <w:lvlJc w:val="left"/>
      <w:pPr>
        <w:ind w:left="1440" w:hanging="360"/>
      </w:pPr>
    </w:lvl>
    <w:lvl w:ilvl="2" w:tplc="879AB316" w:tentative="1">
      <w:start w:val="1"/>
      <w:numFmt w:val="lowerRoman"/>
      <w:lvlText w:val="%3."/>
      <w:lvlJc w:val="right"/>
      <w:pPr>
        <w:ind w:left="2160" w:hanging="180"/>
      </w:pPr>
    </w:lvl>
    <w:lvl w:ilvl="3" w:tplc="0452002E" w:tentative="1">
      <w:start w:val="1"/>
      <w:numFmt w:val="decimal"/>
      <w:lvlText w:val="%4."/>
      <w:lvlJc w:val="left"/>
      <w:pPr>
        <w:ind w:left="2880" w:hanging="360"/>
      </w:pPr>
    </w:lvl>
    <w:lvl w:ilvl="4" w:tplc="3E466F30" w:tentative="1">
      <w:start w:val="1"/>
      <w:numFmt w:val="lowerLetter"/>
      <w:lvlText w:val="%5."/>
      <w:lvlJc w:val="left"/>
      <w:pPr>
        <w:ind w:left="3600" w:hanging="360"/>
      </w:pPr>
    </w:lvl>
    <w:lvl w:ilvl="5" w:tplc="16D2CDC0" w:tentative="1">
      <w:start w:val="1"/>
      <w:numFmt w:val="lowerRoman"/>
      <w:lvlText w:val="%6."/>
      <w:lvlJc w:val="right"/>
      <w:pPr>
        <w:ind w:left="4320" w:hanging="180"/>
      </w:pPr>
    </w:lvl>
    <w:lvl w:ilvl="6" w:tplc="C8B418D2" w:tentative="1">
      <w:start w:val="1"/>
      <w:numFmt w:val="decimal"/>
      <w:lvlText w:val="%7."/>
      <w:lvlJc w:val="left"/>
      <w:pPr>
        <w:ind w:left="5040" w:hanging="360"/>
      </w:pPr>
    </w:lvl>
    <w:lvl w:ilvl="7" w:tplc="7C4AB6C0" w:tentative="1">
      <w:start w:val="1"/>
      <w:numFmt w:val="lowerLetter"/>
      <w:lvlText w:val="%8."/>
      <w:lvlJc w:val="left"/>
      <w:pPr>
        <w:ind w:left="5760" w:hanging="360"/>
      </w:pPr>
    </w:lvl>
    <w:lvl w:ilvl="8" w:tplc="8FE26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83762"/>
    <w:multiLevelType w:val="hybridMultilevel"/>
    <w:tmpl w:val="CB0658CE"/>
    <w:lvl w:ilvl="0" w:tplc="CD4A0C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5E69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489AC34C" w:tentative="1">
      <w:start w:val="1"/>
      <w:numFmt w:val="lowerRoman"/>
      <w:lvlText w:val="%3."/>
      <w:lvlJc w:val="right"/>
      <w:pPr>
        <w:ind w:left="1800" w:hanging="180"/>
      </w:pPr>
    </w:lvl>
    <w:lvl w:ilvl="3" w:tplc="BC34A826" w:tentative="1">
      <w:start w:val="1"/>
      <w:numFmt w:val="decimal"/>
      <w:lvlText w:val="%4."/>
      <w:lvlJc w:val="left"/>
      <w:pPr>
        <w:ind w:left="2520" w:hanging="360"/>
      </w:pPr>
    </w:lvl>
    <w:lvl w:ilvl="4" w:tplc="3E1E532C">
      <w:start w:val="1"/>
      <w:numFmt w:val="lowerLetter"/>
      <w:lvlText w:val="%5."/>
      <w:lvlJc w:val="left"/>
      <w:pPr>
        <w:ind w:left="3240" w:hanging="360"/>
      </w:pPr>
    </w:lvl>
    <w:lvl w:ilvl="5" w:tplc="256AA9EA" w:tentative="1">
      <w:start w:val="1"/>
      <w:numFmt w:val="lowerRoman"/>
      <w:lvlText w:val="%6."/>
      <w:lvlJc w:val="right"/>
      <w:pPr>
        <w:ind w:left="3960" w:hanging="180"/>
      </w:pPr>
    </w:lvl>
    <w:lvl w:ilvl="6" w:tplc="02BAF9C2" w:tentative="1">
      <w:start w:val="1"/>
      <w:numFmt w:val="decimal"/>
      <w:lvlText w:val="%7."/>
      <w:lvlJc w:val="left"/>
      <w:pPr>
        <w:ind w:left="4680" w:hanging="360"/>
      </w:pPr>
    </w:lvl>
    <w:lvl w:ilvl="7" w:tplc="34F28D42" w:tentative="1">
      <w:start w:val="1"/>
      <w:numFmt w:val="lowerLetter"/>
      <w:lvlText w:val="%8."/>
      <w:lvlJc w:val="left"/>
      <w:pPr>
        <w:ind w:left="5400" w:hanging="360"/>
      </w:pPr>
    </w:lvl>
    <w:lvl w:ilvl="8" w:tplc="954870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647DA2"/>
    <w:multiLevelType w:val="hybridMultilevel"/>
    <w:tmpl w:val="7F7AD53C"/>
    <w:lvl w:ilvl="0" w:tplc="BBF68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FACC3C" w:tentative="1">
      <w:start w:val="1"/>
      <w:numFmt w:val="lowerLetter"/>
      <w:lvlText w:val="%2."/>
      <w:lvlJc w:val="left"/>
      <w:pPr>
        <w:ind w:left="1440" w:hanging="360"/>
      </w:pPr>
    </w:lvl>
    <w:lvl w:ilvl="2" w:tplc="C352BE64" w:tentative="1">
      <w:start w:val="1"/>
      <w:numFmt w:val="lowerRoman"/>
      <w:lvlText w:val="%3."/>
      <w:lvlJc w:val="right"/>
      <w:pPr>
        <w:ind w:left="2160" w:hanging="180"/>
      </w:pPr>
    </w:lvl>
    <w:lvl w:ilvl="3" w:tplc="7FC076E0" w:tentative="1">
      <w:start w:val="1"/>
      <w:numFmt w:val="decimal"/>
      <w:lvlText w:val="%4."/>
      <w:lvlJc w:val="left"/>
      <w:pPr>
        <w:ind w:left="2880" w:hanging="360"/>
      </w:pPr>
    </w:lvl>
    <w:lvl w:ilvl="4" w:tplc="07048140" w:tentative="1">
      <w:start w:val="1"/>
      <w:numFmt w:val="lowerLetter"/>
      <w:lvlText w:val="%5."/>
      <w:lvlJc w:val="left"/>
      <w:pPr>
        <w:ind w:left="3600" w:hanging="360"/>
      </w:pPr>
    </w:lvl>
    <w:lvl w:ilvl="5" w:tplc="DF58C46E" w:tentative="1">
      <w:start w:val="1"/>
      <w:numFmt w:val="lowerRoman"/>
      <w:lvlText w:val="%6."/>
      <w:lvlJc w:val="right"/>
      <w:pPr>
        <w:ind w:left="4320" w:hanging="180"/>
      </w:pPr>
    </w:lvl>
    <w:lvl w:ilvl="6" w:tplc="29AE624A" w:tentative="1">
      <w:start w:val="1"/>
      <w:numFmt w:val="decimal"/>
      <w:lvlText w:val="%7."/>
      <w:lvlJc w:val="left"/>
      <w:pPr>
        <w:ind w:left="5040" w:hanging="360"/>
      </w:pPr>
    </w:lvl>
    <w:lvl w:ilvl="7" w:tplc="09D238FE" w:tentative="1">
      <w:start w:val="1"/>
      <w:numFmt w:val="lowerLetter"/>
      <w:lvlText w:val="%8."/>
      <w:lvlJc w:val="left"/>
      <w:pPr>
        <w:ind w:left="5760" w:hanging="360"/>
      </w:pPr>
    </w:lvl>
    <w:lvl w:ilvl="8" w:tplc="F1865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C1045"/>
    <w:multiLevelType w:val="hybridMultilevel"/>
    <w:tmpl w:val="D2DAA4DC"/>
    <w:lvl w:ilvl="0" w:tplc="827A1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25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40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64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A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46B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A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AB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0D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4136"/>
    <w:multiLevelType w:val="multilevel"/>
    <w:tmpl w:val="DCD690BA"/>
    <w:lvl w:ilvl="0">
      <w:start w:val="1"/>
      <w:numFmt w:val="decimal"/>
      <w:pStyle w:val="Nadpis2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pStyle w:val="Nadpis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4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15"/>
    <w:rsid w:val="00002D40"/>
    <w:rsid w:val="00011C15"/>
    <w:rsid w:val="000176F5"/>
    <w:rsid w:val="00024D66"/>
    <w:rsid w:val="00035AAB"/>
    <w:rsid w:val="00051394"/>
    <w:rsid w:val="000B3209"/>
    <w:rsid w:val="000E5C78"/>
    <w:rsid w:val="000E5DDB"/>
    <w:rsid w:val="000F0173"/>
    <w:rsid w:val="00103FD3"/>
    <w:rsid w:val="0012463D"/>
    <w:rsid w:val="001372F3"/>
    <w:rsid w:val="00145719"/>
    <w:rsid w:val="001702E5"/>
    <w:rsid w:val="00191095"/>
    <w:rsid w:val="00192637"/>
    <w:rsid w:val="001A0EED"/>
    <w:rsid w:val="001A2327"/>
    <w:rsid w:val="001C44BF"/>
    <w:rsid w:val="001C5D69"/>
    <w:rsid w:val="001E6D5D"/>
    <w:rsid w:val="001E71E3"/>
    <w:rsid w:val="0021210C"/>
    <w:rsid w:val="00214862"/>
    <w:rsid w:val="00224B41"/>
    <w:rsid w:val="0025690C"/>
    <w:rsid w:val="002609A7"/>
    <w:rsid w:val="002611FD"/>
    <w:rsid w:val="0027359C"/>
    <w:rsid w:val="00311E78"/>
    <w:rsid w:val="00320B85"/>
    <w:rsid w:val="00327677"/>
    <w:rsid w:val="003645A9"/>
    <w:rsid w:val="003C520E"/>
    <w:rsid w:val="003E6FCD"/>
    <w:rsid w:val="003F254D"/>
    <w:rsid w:val="003F3253"/>
    <w:rsid w:val="00400DB1"/>
    <w:rsid w:val="0043198C"/>
    <w:rsid w:val="00436592"/>
    <w:rsid w:val="004578DE"/>
    <w:rsid w:val="004673BF"/>
    <w:rsid w:val="00473766"/>
    <w:rsid w:val="00481AE5"/>
    <w:rsid w:val="004A5F62"/>
    <w:rsid w:val="004B066A"/>
    <w:rsid w:val="004C24CB"/>
    <w:rsid w:val="004F5E86"/>
    <w:rsid w:val="005610D3"/>
    <w:rsid w:val="00590AD9"/>
    <w:rsid w:val="005B5632"/>
    <w:rsid w:val="005C08B7"/>
    <w:rsid w:val="005C584E"/>
    <w:rsid w:val="005E6CF3"/>
    <w:rsid w:val="005F30D7"/>
    <w:rsid w:val="006057EC"/>
    <w:rsid w:val="0062402A"/>
    <w:rsid w:val="00635FE3"/>
    <w:rsid w:val="006437A9"/>
    <w:rsid w:val="006531EF"/>
    <w:rsid w:val="00660422"/>
    <w:rsid w:val="00665AB7"/>
    <w:rsid w:val="0067106C"/>
    <w:rsid w:val="00692F98"/>
    <w:rsid w:val="006B7F6E"/>
    <w:rsid w:val="006D1EC5"/>
    <w:rsid w:val="006D7D04"/>
    <w:rsid w:val="006E4584"/>
    <w:rsid w:val="006F0C26"/>
    <w:rsid w:val="006F29F5"/>
    <w:rsid w:val="006F7B96"/>
    <w:rsid w:val="00700455"/>
    <w:rsid w:val="00734B26"/>
    <w:rsid w:val="00740269"/>
    <w:rsid w:val="0074083A"/>
    <w:rsid w:val="00770925"/>
    <w:rsid w:val="00772E06"/>
    <w:rsid w:val="00785FBE"/>
    <w:rsid w:val="00790DA1"/>
    <w:rsid w:val="0079157F"/>
    <w:rsid w:val="007A38C3"/>
    <w:rsid w:val="007B0695"/>
    <w:rsid w:val="007B42AD"/>
    <w:rsid w:val="007C4A3B"/>
    <w:rsid w:val="007C4D70"/>
    <w:rsid w:val="007D00E0"/>
    <w:rsid w:val="007F1119"/>
    <w:rsid w:val="0082019B"/>
    <w:rsid w:val="00820369"/>
    <w:rsid w:val="00826A9A"/>
    <w:rsid w:val="008475D3"/>
    <w:rsid w:val="0085631D"/>
    <w:rsid w:val="008B36D3"/>
    <w:rsid w:val="008B3B98"/>
    <w:rsid w:val="008C6CFA"/>
    <w:rsid w:val="008E32CC"/>
    <w:rsid w:val="008F74E8"/>
    <w:rsid w:val="009640CF"/>
    <w:rsid w:val="0097200B"/>
    <w:rsid w:val="00983C5D"/>
    <w:rsid w:val="009A0997"/>
    <w:rsid w:val="009B31D0"/>
    <w:rsid w:val="009C02C1"/>
    <w:rsid w:val="009D001B"/>
    <w:rsid w:val="009E506C"/>
    <w:rsid w:val="009F2BD4"/>
    <w:rsid w:val="009F5BD8"/>
    <w:rsid w:val="00A14B80"/>
    <w:rsid w:val="00A31A7A"/>
    <w:rsid w:val="00A817BA"/>
    <w:rsid w:val="00A863BB"/>
    <w:rsid w:val="00A87409"/>
    <w:rsid w:val="00A94D76"/>
    <w:rsid w:val="00AB2C62"/>
    <w:rsid w:val="00AF2B0F"/>
    <w:rsid w:val="00B223CE"/>
    <w:rsid w:val="00B50B43"/>
    <w:rsid w:val="00BA4135"/>
    <w:rsid w:val="00BB104E"/>
    <w:rsid w:val="00BB4133"/>
    <w:rsid w:val="00BE35BD"/>
    <w:rsid w:val="00C03655"/>
    <w:rsid w:val="00C03A21"/>
    <w:rsid w:val="00C263FD"/>
    <w:rsid w:val="00C3396A"/>
    <w:rsid w:val="00C468C2"/>
    <w:rsid w:val="00CA11D5"/>
    <w:rsid w:val="00CA2E4B"/>
    <w:rsid w:val="00CA5268"/>
    <w:rsid w:val="00CA7015"/>
    <w:rsid w:val="00CB083B"/>
    <w:rsid w:val="00CE5272"/>
    <w:rsid w:val="00D056E8"/>
    <w:rsid w:val="00D1718C"/>
    <w:rsid w:val="00D53EB5"/>
    <w:rsid w:val="00DB1227"/>
    <w:rsid w:val="00DC66F9"/>
    <w:rsid w:val="00DD712F"/>
    <w:rsid w:val="00E25114"/>
    <w:rsid w:val="00E372D0"/>
    <w:rsid w:val="00E42CC2"/>
    <w:rsid w:val="00E47767"/>
    <w:rsid w:val="00E556EF"/>
    <w:rsid w:val="00E63D0B"/>
    <w:rsid w:val="00EA07D6"/>
    <w:rsid w:val="00EB4054"/>
    <w:rsid w:val="00EC483D"/>
    <w:rsid w:val="00EC7D86"/>
    <w:rsid w:val="00ED054D"/>
    <w:rsid w:val="00ED0F40"/>
    <w:rsid w:val="00ED67E0"/>
    <w:rsid w:val="00EE383E"/>
    <w:rsid w:val="00EF6214"/>
    <w:rsid w:val="00F042C0"/>
    <w:rsid w:val="00F201ED"/>
    <w:rsid w:val="00F26399"/>
    <w:rsid w:val="00F6281E"/>
    <w:rsid w:val="00F71767"/>
    <w:rsid w:val="00F84B88"/>
    <w:rsid w:val="00FB6D17"/>
    <w:rsid w:val="00FC307E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182C5"/>
  <w15:docId w15:val="{4E520E98-68C6-4479-A047-724BAD75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77B"/>
    <w:pPr>
      <w:spacing w:before="120"/>
      <w:jc w:val="both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10177B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AB0657"/>
    <w:pPr>
      <w:numPr>
        <w:numId w:val="1"/>
      </w:numPr>
      <w:ind w:hanging="72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qFormat/>
    <w:rsid w:val="00EE20B8"/>
    <w:pPr>
      <w:numPr>
        <w:ilvl w:val="1"/>
        <w:numId w:val="1"/>
      </w:numPr>
      <w:ind w:hanging="720"/>
      <w:outlineLvl w:val="2"/>
    </w:pPr>
    <w:rPr>
      <w:b/>
    </w:rPr>
  </w:style>
  <w:style w:type="paragraph" w:styleId="Nadpis4">
    <w:name w:val="heading 4"/>
    <w:basedOn w:val="Odstavecseseznamem"/>
    <w:next w:val="Normln"/>
    <w:qFormat/>
    <w:rsid w:val="00EE20B8"/>
    <w:pPr>
      <w:numPr>
        <w:ilvl w:val="2"/>
        <w:numId w:val="1"/>
      </w:numPr>
      <w:spacing w:after="160"/>
      <w:ind w:left="1434" w:hanging="1434"/>
      <w:jc w:val="left"/>
      <w:outlineLvl w:val="3"/>
    </w:p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6EB"/>
    <w:pPr>
      <w:spacing w:before="240" w:after="60"/>
      <w:outlineLvl w:val="7"/>
    </w:pPr>
    <w:rPr>
      <w:rFonts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eastAsia="cs-CZ"/>
    </w:rPr>
  </w:style>
  <w:style w:type="paragraph" w:customStyle="1" w:styleId="odsazen">
    <w:name w:val="odsazený"/>
    <w:basedOn w:val="Normln"/>
    <w:rsid w:val="00FC2455"/>
    <w:pPr>
      <w:ind w:firstLine="567"/>
    </w:pPr>
    <w:rPr>
      <w:iCs/>
      <w:lang w:eastAsia="cs-CZ"/>
    </w:rPr>
  </w:style>
  <w:style w:type="paragraph" w:styleId="Zkladntext">
    <w:name w:val="Body Text"/>
    <w:basedOn w:val="Normln"/>
    <w:semiHidden/>
    <w:rsid w:val="00FC2455"/>
    <w:rPr>
      <w:b/>
      <w:bCs/>
      <w:sz w:val="28"/>
      <w:szCs w:val="28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</w:rPr>
  </w:style>
  <w:style w:type="paragraph" w:customStyle="1" w:styleId="vod">
    <w:name w:val="Úvod"/>
    <w:basedOn w:val="Normln"/>
    <w:rsid w:val="00FC2455"/>
    <w:pPr>
      <w:keepNext/>
      <w:spacing w:before="360" w:after="240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</w:pPr>
  </w:style>
  <w:style w:type="paragraph" w:styleId="Zkladntext3">
    <w:name w:val="Body Text 3"/>
    <w:basedOn w:val="Normln"/>
    <w:semiHidden/>
    <w:rsid w:val="00FC2455"/>
    <w:pPr>
      <w:keepNext/>
      <w:keepLines/>
    </w:pPr>
    <w:rPr>
      <w:b/>
      <w:bCs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link w:val="ZhlavChar"/>
    <w:uiPriority w:val="99"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</w:pPr>
    <w:rPr>
      <w:color w:val="FF0000"/>
      <w:szCs w:val="20"/>
      <w:lang w:eastAsia="cs-CZ"/>
    </w:rPr>
  </w:style>
  <w:style w:type="paragraph" w:styleId="Titulek">
    <w:name w:val="caption"/>
    <w:basedOn w:val="Normln"/>
    <w:next w:val="Normln"/>
    <w:qFormat/>
    <w:rsid w:val="00FC2455"/>
    <w:rPr>
      <w:rFonts w:ascii="Arial" w:hAnsi="Arial" w:cs="Arial"/>
      <w:i/>
      <w:iCs/>
      <w:sz w:val="18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</w:pPr>
  </w:style>
  <w:style w:type="character" w:customStyle="1" w:styleId="ZpatChar">
    <w:name w:val="Zápatí Char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894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aliases w:val="Nad,Nadpis pro KZ,odrážky"/>
    <w:basedOn w:val="Normln"/>
    <w:link w:val="OdstavecseseznamemChar"/>
    <w:uiPriority w:val="34"/>
    <w:qFormat/>
    <w:rsid w:val="00C94B2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3B7"/>
    <w:rPr>
      <w:b/>
      <w:bCs/>
    </w:rPr>
  </w:style>
  <w:style w:type="character" w:customStyle="1" w:styleId="TextkomenteChar">
    <w:name w:val="Text komentáře Char"/>
    <w:link w:val="Textkomente"/>
    <w:semiHidden/>
    <w:rsid w:val="008D73B7"/>
    <w:rPr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D73B7"/>
    <w:rPr>
      <w:b/>
      <w:bCs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EA73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EA73F6"/>
    <w:rPr>
      <w:rFonts w:ascii="Calibri" w:hAnsi="Calibri" w:cs="Calibri"/>
      <w:color w:val="000000"/>
      <w:lang w:eastAsia="en-US"/>
    </w:rPr>
  </w:style>
  <w:style w:type="character" w:styleId="Znakapoznpodarou">
    <w:name w:val="footnote reference"/>
    <w:unhideWhenUsed/>
    <w:rsid w:val="00E73CB0"/>
    <w:rPr>
      <w:vertAlign w:val="superscript"/>
    </w:rPr>
  </w:style>
  <w:style w:type="paragraph" w:styleId="Normlnweb">
    <w:name w:val="Normal (Web)"/>
    <w:basedOn w:val="Normln"/>
    <w:uiPriority w:val="99"/>
    <w:rsid w:val="003D6E7E"/>
  </w:style>
  <w:style w:type="character" w:styleId="Zdraznn">
    <w:name w:val="Emphasis"/>
    <w:aliases w:val="běžný text"/>
    <w:uiPriority w:val="20"/>
    <w:qFormat/>
    <w:rsid w:val="003D6E7E"/>
    <w:rPr>
      <w:i/>
      <w:iCs/>
    </w:rPr>
  </w:style>
  <w:style w:type="paragraph" w:customStyle="1" w:styleId="NormlnKZ">
    <w:name w:val="Normální KZ"/>
    <w:basedOn w:val="Normln"/>
    <w:rsid w:val="00AF495B"/>
    <w:pPr>
      <w:spacing w:after="120"/>
      <w:ind w:firstLine="425"/>
    </w:pPr>
    <w:rPr>
      <w:rFonts w:eastAsia="Calibri"/>
      <w:sz w:val="22"/>
      <w:szCs w:val="22"/>
      <w:lang w:eastAsia="cs-CZ"/>
    </w:rPr>
  </w:style>
  <w:style w:type="character" w:customStyle="1" w:styleId="OdstavecseseznamemChar">
    <w:name w:val="Odstavec se seznamem Char"/>
    <w:aliases w:val="Nad Char,Nadpis pro KZ Char,odrážky Char"/>
    <w:link w:val="Odstavecseseznamem"/>
    <w:uiPriority w:val="34"/>
    <w:rsid w:val="00B707FC"/>
    <w:rPr>
      <w:sz w:val="24"/>
      <w:szCs w:val="24"/>
      <w:lang w:eastAsia="en-US"/>
    </w:rPr>
  </w:style>
  <w:style w:type="paragraph" w:customStyle="1" w:styleId="Default">
    <w:name w:val="Default"/>
    <w:rsid w:val="00CD75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AB0657"/>
    <w:rPr>
      <w:rFonts w:ascii="Calibri" w:hAnsi="Calibri" w:cs="Calibri"/>
      <w:b/>
      <w:color w:val="000000"/>
      <w:sz w:val="28"/>
      <w:szCs w:val="28"/>
      <w:lang w:eastAsia="en-US"/>
    </w:rPr>
  </w:style>
  <w:style w:type="character" w:customStyle="1" w:styleId="Nadpis8Char">
    <w:name w:val="Nadpis 8 Char"/>
    <w:link w:val="Nadpis8"/>
    <w:uiPriority w:val="9"/>
    <w:semiHidden/>
    <w:rsid w:val="00AA56EB"/>
    <w:rPr>
      <w:rFonts w:ascii="Calibri" w:eastAsia="Times New Roman" w:hAnsi="Calibri" w:cs="Times New Roman"/>
      <w:i/>
      <w:iCs/>
      <w:color w:val="000000"/>
      <w:sz w:val="24"/>
      <w:szCs w:val="24"/>
      <w:lang w:eastAsia="en-US"/>
    </w:rPr>
  </w:style>
  <w:style w:type="paragraph" w:customStyle="1" w:styleId="KZ-normln">
    <w:name w:val="KZ-normální"/>
    <w:basedOn w:val="Normln"/>
    <w:link w:val="KZ-normlnChar"/>
    <w:qFormat/>
    <w:rsid w:val="00304687"/>
    <w:pPr>
      <w:spacing w:after="120"/>
    </w:pPr>
    <w:rPr>
      <w:rFonts w:asciiTheme="minorHAnsi" w:hAnsiTheme="minorHAnsi" w:cs="Arial"/>
      <w:szCs w:val="22"/>
    </w:rPr>
  </w:style>
  <w:style w:type="character" w:customStyle="1" w:styleId="KZ-normlnChar">
    <w:name w:val="KZ-normální Char"/>
    <w:link w:val="KZ-normln"/>
    <w:rsid w:val="00304687"/>
    <w:rPr>
      <w:rFonts w:asciiTheme="minorHAnsi" w:hAnsiTheme="minorHAnsi" w:cs="Arial"/>
      <w:color w:val="000000"/>
      <w:sz w:val="24"/>
      <w:szCs w:val="22"/>
      <w:lang w:eastAsia="en-US"/>
    </w:rPr>
  </w:style>
  <w:style w:type="character" w:styleId="Hypertextovodkaz">
    <w:name w:val="Hyperlink"/>
    <w:uiPriority w:val="99"/>
    <w:rsid w:val="00270B04"/>
    <w:rPr>
      <w:color w:val="0000FF"/>
      <w:u w:val="single"/>
    </w:rPr>
  </w:style>
  <w:style w:type="character" w:styleId="Siln">
    <w:name w:val="Strong"/>
    <w:uiPriority w:val="22"/>
    <w:qFormat/>
    <w:rsid w:val="00FE5478"/>
    <w:rPr>
      <w:b/>
      <w:bCs/>
    </w:rPr>
  </w:style>
  <w:style w:type="paragraph" w:customStyle="1" w:styleId="Pa18">
    <w:name w:val="Pa18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A14">
    <w:name w:val="A14"/>
    <w:uiPriority w:val="99"/>
    <w:rsid w:val="00653E37"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5869C6"/>
    <w:pPr>
      <w:spacing w:before="0"/>
    </w:pPr>
    <w:rPr>
      <w:rFonts w:asciiTheme="minorHAnsi" w:hAnsiTheme="minorHAnsi" w:cs="Times New Roman"/>
      <w:color w:val="auto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605C"/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%20dokumenty\KA%2017-15%20VaVaI\Innovation%20Union%20Scoreboard\IUS%202017\IUS%20do%20protokolu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%20dokumenty\KA%2017-15%20VaVaI\Innovation%20Union%20Scoreboard\IUS%202017\IUS%20do%20protokolu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List1!$A$46:$C$46</c:f>
              <c:strCache>
                <c:ptCount val="3"/>
                <c:pt idx="0">
                  <c:v>Vztaženo k průměru EU-28 v daném roce</c:v>
                </c:pt>
              </c:strCache>
            </c:strRef>
          </c:tx>
          <c:spPr>
            <a:solidFill>
              <a:srgbClr val="004595"/>
            </a:solidFill>
            <a:ln>
              <a:solidFill>
                <a:srgbClr val="004595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A7-434C-955B-7A553BBE2DE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A7-434C-955B-7A553BBE2DE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A7-434C-955B-7A553BBE2DE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A7-434C-955B-7A553BBE2DE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A7-434C-955B-7A553BBE2DE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A7-434C-955B-7A553BBE2DE4}"/>
                </c:ext>
              </c:extLst>
            </c:dLbl>
            <c:dLbl>
              <c:idx val="6"/>
              <c:layout>
                <c:manualLayout>
                  <c:x val="2.1786517978784829E-2"/>
                  <c:y val="-0.15209151640267704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C7DD9DD-FAA1-4CCA-A005-661E91CB283C}" type="CELLRANGE">
                      <a:rPr lang="en-US"/>
                      <a:pPr>
                        <a:defRPr/>
                      </a:pPr>
                      <a:t>[OBLAST BUNĚK]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EllipseCallout">
                      <a:avLst>
                        <a:gd name="adj1" fmla="val -26903"/>
                        <a:gd name="adj2" fmla="val 116915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6.8653341409246907E-2"/>
                      <c:h val="4.7584593421768399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BDA7-434C-955B-7A553BBE2DE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DataLabelsRange val="1"/>
                <c15:showLeaderLines val="0"/>
              </c:ext>
            </c:extLst>
          </c:dLbls>
          <c:cat>
            <c:numRef>
              <c:f>List1!$D$44:$J$44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List1!$D$46:$J$46</c:f>
              <c:numCache>
                <c:formatCode>0.0</c:formatCode>
                <c:ptCount val="7"/>
                <c:pt idx="0">
                  <c:v>87.890996158554898</c:v>
                </c:pt>
                <c:pt idx="1">
                  <c:v>88.508064516129039</c:v>
                </c:pt>
                <c:pt idx="2">
                  <c:v>86.50306748466258</c:v>
                </c:pt>
                <c:pt idx="3">
                  <c:v>85.050505050505038</c:v>
                </c:pt>
                <c:pt idx="4">
                  <c:v>84.253578732106334</c:v>
                </c:pt>
                <c:pt idx="5">
                  <c:v>84.708249496981892</c:v>
                </c:pt>
                <c:pt idx="6">
                  <c:v>82.7037773359841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List1!$D$45:$J$45</c15:f>
                <c15:dlblRangeCache>
                  <c:ptCount val="7"/>
                  <c:pt idx="0">
                    <c:v>87,9</c:v>
                  </c:pt>
                  <c:pt idx="1">
                    <c:v>89,1</c:v>
                  </c:pt>
                  <c:pt idx="2">
                    <c:v>85,8</c:v>
                  </c:pt>
                  <c:pt idx="3">
                    <c:v>85,3</c:v>
                  </c:pt>
                  <c:pt idx="4">
                    <c:v>83,4</c:v>
                  </c:pt>
                  <c:pt idx="5">
                    <c:v>85,3</c:v>
                  </c:pt>
                  <c:pt idx="6">
                    <c:v>84,4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7-BDA7-434C-955B-7A553BBE2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4727288"/>
        <c:axId val="154764640"/>
      </c:barChart>
      <c:lineChart>
        <c:grouping val="standard"/>
        <c:varyColors val="0"/>
        <c:ser>
          <c:idx val="0"/>
          <c:order val="0"/>
          <c:tx>
            <c:strRef>
              <c:f>List1!$A$45:$C$45</c:f>
              <c:strCache>
                <c:ptCount val="3"/>
                <c:pt idx="0">
                  <c:v>Vztaženo k průměru EU-28 v roce 2010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3167495854063041E-2"/>
                  <c:y val="-6.163363005695169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FFE4BC9-84E2-4253-961B-E8F905C49514}" type="CELLRANGE">
                      <a:rPr lang="en-US"/>
                      <a:pPr>
                        <a:defRPr/>
                      </a:pPr>
                      <a:t>[OBLAST BUNĚK]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3701"/>
                        <a:gd name="adj2" fmla="val 109999"/>
                      </a:avLst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BDA7-434C-955B-7A553BBE2DE4}"/>
                </c:ext>
              </c:extLst>
            </c:dLbl>
            <c:dLbl>
              <c:idx val="1"/>
              <c:layout>
                <c:manualLayout>
                  <c:x val="-6.8546158098396898E-2"/>
                  <c:y val="-3.4799414712206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44975D4-F147-4EDB-B842-4DA3D0F4DF24}" type="CELLRANGE">
                      <a:rPr lang="en-US"/>
                      <a:pPr>
                        <a:defRPr/>
                      </a:pPr>
                      <a:t>[OBLAST BUNĚK]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43385"/>
                        <a:gd name="adj2" fmla="val 172496"/>
                      </a:avLst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BDA7-434C-955B-7A553BBE2DE4}"/>
                </c:ext>
              </c:extLst>
            </c:dLbl>
            <c:dLbl>
              <c:idx val="2"/>
              <c:layout>
                <c:manualLayout>
                  <c:x val="-3.0974784868309371E-2"/>
                  <c:y val="-0.10436231823166607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5A6F1CF-2FF5-4699-8CEC-81549F71FB9D}" type="CELLRANGE">
                      <a:rPr lang="en-US"/>
                      <a:pPr>
                        <a:defRPr/>
                      </a:pPr>
                      <a:t>[OBLAST BUNĚK]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2559"/>
                        <a:gd name="adj2" fmla="val 120711"/>
                      </a:avLst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A-BDA7-434C-955B-7A553BBE2DE4}"/>
                </c:ext>
              </c:extLst>
            </c:dLbl>
            <c:dLbl>
              <c:idx val="3"/>
              <c:layout>
                <c:manualLayout>
                  <c:x val="-3.5378662244333968E-2"/>
                  <c:y val="-5.642163372748313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598B7CF-E6D0-46CC-A8F4-37A82E40A70E}" type="CELLRANGE">
                      <a:rPr lang="en-US"/>
                      <a:pPr>
                        <a:defRPr/>
                      </a:pPr>
                      <a:t>[OBLAST BUNĚK]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8267"/>
                        <a:gd name="adj2" fmla="val 192137"/>
                      </a:avLst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BDA7-434C-955B-7A553BBE2DE4}"/>
                </c:ext>
              </c:extLst>
            </c:dLbl>
            <c:dLbl>
              <c:idx val="4"/>
              <c:layout>
                <c:manualLayout>
                  <c:x val="-2.9311709170682022E-2"/>
                  <c:y val="-0.11607657221501605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AAFA88A-5198-408F-A908-5E88C20B96BA}" type="CELLRANGE">
                      <a:rPr lang="en-US"/>
                      <a:pPr>
                        <a:defRPr/>
                      </a:pPr>
                      <a:t>[OBLAST BUNĚK]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1693"/>
                        <a:gd name="adj2" fmla="val 131425"/>
                      </a:avLst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C-BDA7-434C-955B-7A553BBE2DE4}"/>
                </c:ext>
              </c:extLst>
            </c:dLbl>
            <c:dLbl>
              <c:idx val="5"/>
              <c:layout>
                <c:manualLayout>
                  <c:x val="-3.9800995024875621E-2"/>
                  <c:y val="-5.79990245203435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B903E1D-9100-4C6F-9682-E48FE310992A}" type="CELLRANGE">
                      <a:rPr lang="en-US"/>
                      <a:pPr>
                        <a:defRPr/>
                      </a:pPr>
                      <a:t>[OBLAST BUNĚK]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5118"/>
                        <a:gd name="adj2" fmla="val 217138"/>
                      </a:avLst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BDA7-434C-955B-7A553BBE2DE4}"/>
                </c:ext>
              </c:extLst>
            </c:dLbl>
            <c:dLbl>
              <c:idx val="6"/>
              <c:layout>
                <c:manualLayout>
                  <c:x val="-3.316749585406302E-2"/>
                  <c:y val="8.120010230739718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19B6702-E0E9-4288-AE91-635B65E8223D}" type="CELLRANGE">
                      <a:rPr lang="en-US"/>
                      <a:pPr>
                        <a:defRPr/>
                      </a:pPr>
                      <a:t>[OBLAST BUNĚK]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1417"/>
                        <a:gd name="adj2" fmla="val 142141"/>
                      </a:avLst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E-BDA7-434C-955B-7A553BBE2DE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  <c15:showLeaderLines val="0"/>
              </c:ext>
            </c:extLst>
          </c:dLbls>
          <c:cat>
            <c:numRef>
              <c:f>List1!$D$44:$J$44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List1!$D$45:$J$45</c:f>
              <c:numCache>
                <c:formatCode>0.0</c:formatCode>
                <c:ptCount val="7"/>
                <c:pt idx="0">
                  <c:v>87.890996158554898</c:v>
                </c:pt>
                <c:pt idx="1">
                  <c:v>89.073183351457914</c:v>
                </c:pt>
                <c:pt idx="2">
                  <c:v>85.828718800910266</c:v>
                </c:pt>
                <c:pt idx="3">
                  <c:v>85.292198583381435</c:v>
                </c:pt>
                <c:pt idx="4">
                  <c:v>83.415274160229004</c:v>
                </c:pt>
                <c:pt idx="5">
                  <c:v>85.257972170832588</c:v>
                </c:pt>
                <c:pt idx="6">
                  <c:v>84.356360451546493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datalabelsRange>
                <c15:f>List1!$D$46:$J$46</c15:f>
                <c15:dlblRangeCache>
                  <c:ptCount val="7"/>
                  <c:pt idx="0">
                    <c:v>87,9</c:v>
                  </c:pt>
                  <c:pt idx="1">
                    <c:v>88,5</c:v>
                  </c:pt>
                  <c:pt idx="2">
                    <c:v>86,5</c:v>
                  </c:pt>
                  <c:pt idx="3">
                    <c:v>85,1</c:v>
                  </c:pt>
                  <c:pt idx="4">
                    <c:v>84,3</c:v>
                  </c:pt>
                  <c:pt idx="5">
                    <c:v>84,7</c:v>
                  </c:pt>
                  <c:pt idx="6">
                    <c:v>82,7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F-BDA7-434C-955B-7A553BBE2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727288"/>
        <c:axId val="154764640"/>
      </c:lineChart>
      <c:catAx>
        <c:axId val="154727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764640"/>
        <c:crosses val="autoZero"/>
        <c:auto val="1"/>
        <c:lblAlgn val="ctr"/>
        <c:lblOffset val="100"/>
        <c:noMultiLvlLbl val="0"/>
      </c:catAx>
      <c:valAx>
        <c:axId val="154764640"/>
        <c:scaling>
          <c:orientation val="minMax"/>
          <c:max val="90"/>
          <c:min val="80"/>
        </c:scaling>
        <c:delete val="0"/>
        <c:axPos val="l"/>
        <c:title>
          <c:tx>
            <c:rich>
              <a:bodyPr rot="0" spcFirstLastPara="1" vertOverflow="clip" wrap="square" anchor="ctr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2.5000000000000001E-2"/>
              <c:y val="0.403521799358413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clip" wrap="square" anchor="ctr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727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43616250422684"/>
          <c:y val="3.4732266792428065E-2"/>
          <c:w val="0.81584400109495514"/>
          <c:h val="0.7204110258386186"/>
        </c:manualLayout>
      </c:layout>
      <c:lineChart>
        <c:grouping val="standard"/>
        <c:varyColors val="0"/>
        <c:ser>
          <c:idx val="0"/>
          <c:order val="0"/>
          <c:tx>
            <c:strRef>
              <c:f>List1!$D$134</c:f>
              <c:strCache>
                <c:ptCount val="1"/>
                <c:pt idx="0">
                  <c:v>Výdaje na výzkum a vývoj realizované ve veřejném sektoru ČR (vztažené k HDP) vztažené k průměru EU-28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4595"/>
              </a:solidFill>
              <a:ln w="9525">
                <a:solidFill>
                  <a:srgbClr val="004595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9986366734832992E-2"/>
                  <c:y val="-4.2450548301856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064-476B-84AE-409E81753265}"/>
                </c:ext>
              </c:extLst>
            </c:dLbl>
            <c:dLbl>
              <c:idx val="1"/>
              <c:layout>
                <c:manualLayout>
                  <c:x val="-6.8166325835037497E-2"/>
                  <c:y val="-3.4732266792428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064-476B-84AE-409E81753265}"/>
                </c:ext>
              </c:extLst>
            </c:dLbl>
            <c:dLbl>
              <c:idx val="2"/>
              <c:layout>
                <c:manualLayout>
                  <c:x val="-8.1799591002044994E-2"/>
                  <c:y val="-2.7013985282999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064-476B-84AE-409E81753265}"/>
                </c:ext>
              </c:extLst>
            </c:dLbl>
            <c:dLbl>
              <c:idx val="3"/>
              <c:layout>
                <c:manualLayout>
                  <c:x val="-5.4533060668030091E-2"/>
                  <c:y val="-4.6309689056570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064-476B-84AE-409E81753265}"/>
                </c:ext>
              </c:extLst>
            </c:dLbl>
            <c:dLbl>
              <c:idx val="4"/>
              <c:layout>
                <c:manualLayout>
                  <c:x val="-5.725971370143159E-2"/>
                  <c:y val="-5.4027970565999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064-476B-84AE-409E81753265}"/>
                </c:ext>
              </c:extLst>
            </c:dLbl>
            <c:dLbl>
              <c:idx val="5"/>
              <c:layout>
                <c:manualLayout>
                  <c:x val="-5.7259713701431493E-2"/>
                  <c:y val="-4.6309689056570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064-476B-84AE-409E817532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List1!$E$133:$K$133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List1!$E$134:$K$134</c:f>
              <c:numCache>
                <c:formatCode>0.0</c:formatCode>
                <c:ptCount val="7"/>
                <c:pt idx="0">
                  <c:v>77.777777777777786</c:v>
                </c:pt>
                <c:pt idx="1">
                  <c:v>97.183098591549282</c:v>
                </c:pt>
                <c:pt idx="2">
                  <c:v>113.8888888888889</c:v>
                </c:pt>
                <c:pt idx="3">
                  <c:v>119.17808219178083</c:v>
                </c:pt>
                <c:pt idx="4">
                  <c:v>117.8082191780822</c:v>
                </c:pt>
                <c:pt idx="5">
                  <c:v>123.94366197183101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064-476B-84AE-409E81753265}"/>
            </c:ext>
          </c:extLst>
        </c:ser>
        <c:ser>
          <c:idx val="1"/>
          <c:order val="1"/>
          <c:tx>
            <c:strRef>
              <c:f>List1!$C$108</c:f>
              <c:strCache>
                <c:ptCount val="1"/>
                <c:pt idx="0">
                  <c:v>Výkonnost inovačního systému ČR vztažená k průměru EU-28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D2A33"/>
              </a:solidFill>
              <a:ln w="9525">
                <a:solidFill>
                  <a:srgbClr val="BD2A3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5801008002834001E-2"/>
                  <c:y val="-3.27738288267482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064-476B-84AE-409E81753265}"/>
                </c:ext>
              </c:extLst>
            </c:dLbl>
            <c:dLbl>
              <c:idx val="2"/>
              <c:layout>
                <c:manualLayout>
                  <c:x val="-1.9282996602168916E-2"/>
                  <c:y val="-3.66329695814625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064-476B-84AE-409E817532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List1!$E$133:$K$133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List1!$D$108:$J$108</c:f>
              <c:numCache>
                <c:formatCode>0.0</c:formatCode>
                <c:ptCount val="7"/>
                <c:pt idx="0">
                  <c:v>87.890996158554898</c:v>
                </c:pt>
                <c:pt idx="1">
                  <c:v>88.508064516129039</c:v>
                </c:pt>
                <c:pt idx="2">
                  <c:v>86.50306748466258</c:v>
                </c:pt>
                <c:pt idx="3">
                  <c:v>85.050505050505038</c:v>
                </c:pt>
                <c:pt idx="4">
                  <c:v>84.253578732106334</c:v>
                </c:pt>
                <c:pt idx="5">
                  <c:v>84.708249496981892</c:v>
                </c:pt>
                <c:pt idx="6">
                  <c:v>82.7037773359841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064-476B-84AE-409E817532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145216"/>
        <c:axId val="177144824"/>
      </c:lineChart>
      <c:catAx>
        <c:axId val="17714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7144824"/>
        <c:crosses val="autoZero"/>
        <c:auto val="1"/>
        <c:lblAlgn val="ctr"/>
        <c:lblOffset val="100"/>
        <c:noMultiLvlLbl val="0"/>
      </c:catAx>
      <c:valAx>
        <c:axId val="177144824"/>
        <c:scaling>
          <c:orientation val="minMax"/>
          <c:max val="130"/>
          <c:min val="7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%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714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137357830271212E-2"/>
          <c:y val="0.82291557305336838"/>
          <c:w val="0.87372528433945762"/>
          <c:h val="0.14930664916885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D6635C457454F8F4818D5BF313C31" ma:contentTypeVersion="1" ma:contentTypeDescription="Vytvořit nový dokument" ma:contentTypeScope="" ma:versionID="3a10ca6631ce4a6d861cb8d140cc2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6886ddc695c65c7f54ad55065a6a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60F6-713F-4D43-AD1A-E8E5A901F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EEBC8-6C84-4482-819F-9B61FE15D75C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60B1BE-EA1C-46FD-BB66-B96F883C31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2638AC-E15C-40C1-BF5F-6ACB054EEE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3DC81E-E58E-4601-844A-E16CD9EB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12C4A33.dotm</Template>
  <TotalTime>4</TotalTime>
  <Pages>29</Pages>
  <Words>11418</Words>
  <Characters>68993</Characters>
  <Application>Microsoft Office Word</Application>
  <DocSecurity>0</DocSecurity>
  <Lines>574</Lines>
  <Paragraphs>160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17/15 - Peněžní prostředky státu na výzkum, vývoj a inovace</vt:lpstr>
    </vt:vector>
  </TitlesOfParts>
  <Company>NKU</Company>
  <LinksUpToDate>false</LinksUpToDate>
  <CharactersWithSpaces>80251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17/15 - Peněžní prostředky státu na výzkum, vývoj a inovace</dc:title>
  <dc:creator>Nejvyšší kontrolní úřad</dc:creator>
  <cp:keywords>kontrolní závěr; výzkum a vývoj</cp:keywords>
  <cp:lastModifiedBy>KOKRDA Daniel</cp:lastModifiedBy>
  <cp:revision>3</cp:revision>
  <cp:lastPrinted>2018-07-25T10:13:00Z</cp:lastPrinted>
  <dcterms:created xsi:type="dcterms:W3CDTF">2018-07-25T10:12:00Z</dcterms:created>
  <dcterms:modified xsi:type="dcterms:W3CDTF">2018-07-25T10:15:00Z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17/15-NKU30/552/18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ContentType">
    <vt:lpwstr>Dokument</vt:lpwstr>
  </property>
  <property fmtid="{D5CDD505-2E9C-101B-9397-08002B2CF9AE}" pid="8" name="ContentTypeId">
    <vt:lpwstr>0x010100489D6635C457454F8F4818D5BF313C31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21.6.2018</vt:lpwstr>
  </property>
  <property fmtid="{D5CDD505-2E9C-101B-9397-08002B2CF9AE}" pid="12" name="DisplayName_SpisovyUzel_PoziceZodpo_Pisemnost">
    <vt:lpwstr>Členové Úřadu</vt:lpwstr>
  </property>
  <property fmtid="{D5CDD505-2E9C-101B-9397-08002B2CF9AE}" pid="13" name="DisplayName_UserPoriz_Pisemnost">
    <vt:lpwstr>Bc. Jana Pokorná</vt:lpwstr>
  </property>
  <property fmtid="{D5CDD505-2E9C-101B-9397-08002B2CF9AE}" pid="14" name="EC_Pisemnost">
    <vt:lpwstr>18-7895/NKU</vt:lpwstr>
  </property>
  <property fmtid="{D5CDD505-2E9C-101B-9397-08002B2CF9AE}" pid="15" name="Key_BarCode_Pisemnost">
    <vt:lpwstr>*B000315677*</vt:lpwstr>
  </property>
  <property fmtid="{D5CDD505-2E9C-101B-9397-08002B2CF9AE}" pid="16" name="KRukam">
    <vt:lpwstr>{KRukam}</vt:lpwstr>
  </property>
  <property fmtid="{D5CDD505-2E9C-101B-9397-08002B2CF9AE}" pid="17" name="NameAddress_Contact_SpisovyUzel_PoziceZodpo_Pisemnost">
    <vt:lpwstr>ADRESÁT SU...</vt:lpwstr>
  </property>
  <property fmtid="{D5CDD505-2E9C-101B-9397-08002B2CF9AE}" pid="18" name="Odkaz">
    <vt:lpwstr>ODKAZ</vt:lpwstr>
  </property>
  <property fmtid="{D5CDD505-2E9C-101B-9397-08002B2CF9AE}" pid="19" name="Password_PisemnostTypZpristupneniInformaciZOSZ_Pisemnost">
    <vt:lpwstr>ZOSZ_Password</vt:lpwstr>
  </property>
  <property fmtid="{D5CDD505-2E9C-101B-9397-08002B2CF9AE}" pid="20" name="PocetListuDokumentu_Pisemnost">
    <vt:lpwstr>1</vt:lpwstr>
  </property>
  <property fmtid="{D5CDD505-2E9C-101B-9397-08002B2CF9AE}" pid="21" name="PocetListu_Pisemnost">
    <vt:lpwstr>1</vt:lpwstr>
  </property>
  <property fmtid="{D5CDD505-2E9C-101B-9397-08002B2CF9AE}" pid="22" name="PocetPriloh_Pisemnost">
    <vt:lpwstr>0</vt:lpwstr>
  </property>
  <property fmtid="{D5CDD505-2E9C-101B-9397-08002B2CF9AE}" pid="23" name="Podpis">
    <vt:lpwstr/>
  </property>
  <property fmtid="{D5CDD505-2E9C-101B-9397-08002B2CF9AE}" pid="24" name="PostalAddress_Contact_SpisovyUzel_PoziceZodpo_Pisemnost">
    <vt:lpwstr>ADRESA SU...</vt:lpwstr>
  </property>
  <property fmtid="{D5CDD505-2E9C-101B-9397-08002B2CF9AE}" pid="25" name="RC">
    <vt:lpwstr/>
  </property>
  <property fmtid="{D5CDD505-2E9C-101B-9397-08002B2CF9AE}" pid="26" name="SkartacniZnakLhuta_PisemnostZnak">
    <vt:lpwstr>?/?</vt:lpwstr>
  </property>
  <property fmtid="{D5CDD505-2E9C-101B-9397-08002B2CF9AE}" pid="27" name="SmlouvaCislo">
    <vt:lpwstr>ČÍSLO SMLOUVY</vt:lpwstr>
  </property>
  <property fmtid="{D5CDD505-2E9C-101B-9397-08002B2CF9AE}" pid="28" name="SZ_Spis_Pisemnost">
    <vt:lpwstr>17/15</vt:lpwstr>
  </property>
  <property fmtid="{D5CDD505-2E9C-101B-9397-08002B2CF9AE}" pid="29" name="TEST">
    <vt:lpwstr>testovací pole</vt:lpwstr>
  </property>
  <property fmtid="{D5CDD505-2E9C-101B-9397-08002B2CF9AE}" pid="30" name="TypPrilohy_Pisemnost">
    <vt:lpwstr>TYP PŘÍLOHY</vt:lpwstr>
  </property>
  <property fmtid="{D5CDD505-2E9C-101B-9397-08002B2CF9AE}" pid="31" name="UserName_PisemnostTypZpristupneniInformaciZOSZ_Pisemnost">
    <vt:lpwstr>ZOSZ_UserName</vt:lpwstr>
  </property>
  <property fmtid="{D5CDD505-2E9C-101B-9397-08002B2CF9AE}" pid="32" name="Vec_Pisemnost">
    <vt:lpwstr>Návrh kontrolního závěru 17/15 do připomínek</vt:lpwstr>
  </property>
  <property fmtid="{D5CDD505-2E9C-101B-9397-08002B2CF9AE}" pid="33" name="Zkratka_SpisovyUzel_PoziceZodpo_Pisemnost">
    <vt:lpwstr>30</vt:lpwstr>
  </property>
</Properties>
</file>