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28ED" w14:textId="77777777" w:rsidR="00EC639B" w:rsidRPr="009A0492" w:rsidRDefault="00EC639B" w:rsidP="00EC639B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9A0492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47591A5" wp14:editId="2D611B9E">
            <wp:simplePos x="0" y="0"/>
            <wp:positionH relativeFrom="margin">
              <wp:posOffset>2555240</wp:posOffset>
            </wp:positionH>
            <wp:positionV relativeFrom="paragraph">
              <wp:posOffset>142875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FD0CE" w14:textId="77777777" w:rsidR="00EC639B" w:rsidRDefault="00EC639B" w:rsidP="00EC639B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69EA5E54" w14:textId="77777777" w:rsidR="00EC639B" w:rsidRPr="009A0492" w:rsidRDefault="00EC639B" w:rsidP="00EC639B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5F31A125" w14:textId="77777777" w:rsidR="00EC639B" w:rsidRPr="008E6616" w:rsidRDefault="00EC639B" w:rsidP="00EC639B">
      <w:pPr>
        <w:pStyle w:val="Nzev"/>
        <w:spacing w:line="280" w:lineRule="atLeast"/>
        <w:outlineLvl w:val="0"/>
        <w:rPr>
          <w:rFonts w:asciiTheme="minorHAnsi" w:hAnsiTheme="minorHAnsi" w:cstheme="minorHAnsi"/>
          <w:sz w:val="28"/>
          <w:szCs w:val="28"/>
        </w:rPr>
      </w:pPr>
      <w:r w:rsidRPr="008E6616">
        <w:rPr>
          <w:rFonts w:asciiTheme="minorHAnsi" w:hAnsiTheme="minorHAnsi" w:cstheme="minorHAnsi"/>
          <w:sz w:val="28"/>
          <w:szCs w:val="28"/>
        </w:rPr>
        <w:t>Kontrolní závěr z kontrolní akce</w:t>
      </w:r>
    </w:p>
    <w:p w14:paraId="0DFFE01C" w14:textId="77777777" w:rsidR="00EC639B" w:rsidRPr="009A0492" w:rsidRDefault="00EC639B" w:rsidP="00EC639B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2C455994" w14:textId="77777777" w:rsidR="00EC639B" w:rsidRPr="008E6616" w:rsidRDefault="00EC639B" w:rsidP="00EC639B">
      <w:pPr>
        <w:spacing w:line="280" w:lineRule="atLeast"/>
        <w:jc w:val="center"/>
        <w:rPr>
          <w:rFonts w:cstheme="minorHAnsi"/>
          <w:b/>
          <w:bCs/>
          <w:sz w:val="28"/>
          <w:szCs w:val="28"/>
        </w:rPr>
      </w:pPr>
      <w:r w:rsidRPr="008E6616"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b/>
          <w:bCs/>
          <w:sz w:val="28"/>
          <w:szCs w:val="28"/>
        </w:rPr>
        <w:t>9</w:t>
      </w:r>
      <w:r w:rsidRPr="008E6616">
        <w:rPr>
          <w:rFonts w:cstheme="minorHAnsi"/>
          <w:b/>
          <w:bCs/>
          <w:sz w:val="28"/>
          <w:szCs w:val="28"/>
        </w:rPr>
        <w:t>/</w:t>
      </w:r>
      <w:r>
        <w:rPr>
          <w:rFonts w:cstheme="minorHAnsi"/>
          <w:b/>
          <w:bCs/>
          <w:sz w:val="28"/>
          <w:szCs w:val="28"/>
        </w:rPr>
        <w:t>12</w:t>
      </w:r>
    </w:p>
    <w:p w14:paraId="7B8A6093" w14:textId="77777777" w:rsidR="00EC639B" w:rsidRPr="009A0492" w:rsidRDefault="00EC639B" w:rsidP="00EC639B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06A7D121" w14:textId="77777777" w:rsidR="00EC639B" w:rsidRPr="008E6616" w:rsidRDefault="00EC639B" w:rsidP="00EC639B">
      <w:pPr>
        <w:spacing w:line="280" w:lineRule="atLeast"/>
        <w:jc w:val="center"/>
        <w:rPr>
          <w:rFonts w:ascii="Calibri" w:hAnsi="Calibri" w:cs="Calibri"/>
          <w:sz w:val="28"/>
          <w:szCs w:val="28"/>
        </w:rPr>
      </w:pPr>
      <w:r>
        <w:rPr>
          <w:rFonts w:cstheme="minorHAnsi"/>
          <w:b/>
          <w:sz w:val="28"/>
          <w:szCs w:val="28"/>
        </w:rPr>
        <w:t>Prostředky vybírané na základě zákona na zákonné pojištění odpovědnosti zaměstnavatele za škodu při pracovním úrazu nebo nemoci z povolání</w:t>
      </w:r>
    </w:p>
    <w:p w14:paraId="6F0E9DDA" w14:textId="77777777" w:rsidR="00EC639B" w:rsidRDefault="00EC639B" w:rsidP="00EC639B">
      <w:pPr>
        <w:tabs>
          <w:tab w:val="left" w:pos="7988"/>
        </w:tabs>
        <w:spacing w:line="280" w:lineRule="atLeast"/>
        <w:rPr>
          <w:rFonts w:ascii="Calibri" w:hAnsi="Calibri" w:cs="Calibri"/>
          <w:highlight w:val="yellow"/>
        </w:rPr>
      </w:pPr>
    </w:p>
    <w:p w14:paraId="1ECA9D3F" w14:textId="77777777" w:rsidR="00EC639B" w:rsidRPr="008E6616" w:rsidRDefault="00EC639B" w:rsidP="00EC639B">
      <w:pPr>
        <w:tabs>
          <w:tab w:val="left" w:pos="7988"/>
        </w:tabs>
        <w:spacing w:line="280" w:lineRule="atLeast"/>
        <w:rPr>
          <w:rFonts w:ascii="Calibri" w:hAnsi="Calibri" w:cs="Calibri"/>
          <w:highlight w:val="yellow"/>
        </w:rPr>
      </w:pPr>
    </w:p>
    <w:p w14:paraId="5DFF46D6" w14:textId="77777777" w:rsidR="00EC639B" w:rsidRPr="008A1F80" w:rsidRDefault="00EC639B" w:rsidP="00EC639B">
      <w:pPr>
        <w:rPr>
          <w:rFonts w:ascii="Calibri" w:hAnsi="Calibri" w:cs="Calibri"/>
        </w:rPr>
      </w:pPr>
      <w:r w:rsidRPr="008A1F80">
        <w:rPr>
          <w:rFonts w:ascii="Calibri" w:hAnsi="Calibri" w:cs="Calibri"/>
        </w:rPr>
        <w:t>Kontrolní akce byla zařazena do plánu kontrolní činnosti Nejvyššího kontrolního úřadu (dále také „NKÚ“) na rok 201</w:t>
      </w:r>
      <w:r>
        <w:rPr>
          <w:rFonts w:ascii="Calibri" w:hAnsi="Calibri" w:cs="Calibri"/>
        </w:rPr>
        <w:t>9</w:t>
      </w:r>
      <w:r w:rsidRPr="008A1F80">
        <w:rPr>
          <w:rFonts w:ascii="Calibri" w:hAnsi="Calibri" w:cs="Calibri"/>
        </w:rPr>
        <w:t xml:space="preserve"> pod číslem 1</w:t>
      </w:r>
      <w:r>
        <w:rPr>
          <w:rFonts w:ascii="Calibri" w:hAnsi="Calibri" w:cs="Calibri"/>
        </w:rPr>
        <w:t>9</w:t>
      </w:r>
      <w:r w:rsidRPr="008A1F80">
        <w:rPr>
          <w:rFonts w:ascii="Calibri" w:hAnsi="Calibri" w:cs="Calibri"/>
        </w:rPr>
        <w:t>/</w:t>
      </w:r>
      <w:r>
        <w:rPr>
          <w:rFonts w:ascii="Calibri" w:hAnsi="Calibri" w:cs="Calibri"/>
        </w:rPr>
        <w:t>12</w:t>
      </w:r>
      <w:r w:rsidRPr="008A1F80">
        <w:rPr>
          <w:rFonts w:ascii="Calibri" w:hAnsi="Calibri" w:cs="Calibri"/>
        </w:rPr>
        <w:t xml:space="preserve">. Kontrolní akci řídila a kontrolní závěr vypracovala členka NKÚ Ing. Hana </w:t>
      </w:r>
      <w:proofErr w:type="spellStart"/>
      <w:r w:rsidRPr="008A1F80">
        <w:rPr>
          <w:rFonts w:ascii="Calibri" w:hAnsi="Calibri" w:cs="Calibri"/>
        </w:rPr>
        <w:t>Hykšová</w:t>
      </w:r>
      <w:proofErr w:type="spellEnd"/>
      <w:r w:rsidRPr="008A1F80">
        <w:rPr>
          <w:rFonts w:ascii="Calibri" w:hAnsi="Calibri" w:cs="Calibri"/>
        </w:rPr>
        <w:t>.</w:t>
      </w:r>
    </w:p>
    <w:p w14:paraId="254D6E7D" w14:textId="77777777" w:rsidR="00EC639B" w:rsidRPr="008E6616" w:rsidRDefault="00EC639B" w:rsidP="00EC639B">
      <w:pPr>
        <w:rPr>
          <w:rFonts w:ascii="Calibri" w:hAnsi="Calibri" w:cs="Calibri"/>
          <w:highlight w:val="yellow"/>
        </w:rPr>
      </w:pPr>
    </w:p>
    <w:p w14:paraId="269476B9" w14:textId="4362D655" w:rsidR="00EC639B" w:rsidRPr="007C50B4" w:rsidRDefault="00EC639B" w:rsidP="00EC639B">
      <w:pPr>
        <w:rPr>
          <w:rFonts w:ascii="Calibri" w:hAnsi="Calibri" w:cs="Calibri"/>
        </w:rPr>
      </w:pPr>
      <w:r w:rsidRPr="007C50B4">
        <w:rPr>
          <w:rFonts w:ascii="Calibri" w:hAnsi="Calibri" w:cs="Calibri"/>
        </w:rPr>
        <w:t xml:space="preserve">Cílem kontroly bylo </w:t>
      </w:r>
      <w:bookmarkStart w:id="1" w:name="_Toc506383339"/>
      <w:bookmarkStart w:id="2" w:name="_Toc256000068"/>
      <w:bookmarkStart w:id="3" w:name="_Toc256000035"/>
      <w:bookmarkStart w:id="4" w:name="_Toc256000002"/>
      <w:r w:rsidRPr="007C50B4">
        <w:rPr>
          <w:rFonts w:ascii="Calibri" w:hAnsi="Calibri" w:cs="Calibri"/>
        </w:rPr>
        <w:t xml:space="preserve">prověřit </w:t>
      </w:r>
      <w:bookmarkEnd w:id="1"/>
      <w:bookmarkEnd w:id="2"/>
      <w:bookmarkEnd w:id="3"/>
      <w:bookmarkEnd w:id="4"/>
      <w:r w:rsidRPr="007C50B4">
        <w:rPr>
          <w:rFonts w:ascii="Calibri" w:hAnsi="Calibri" w:cs="Calibri"/>
        </w:rPr>
        <w:t xml:space="preserve">funkčnost systému zákonného pojištění odpovědnosti </w:t>
      </w:r>
      <w:r w:rsidR="00EA0CAE" w:rsidRPr="007C50B4">
        <w:rPr>
          <w:rFonts w:ascii="Calibri" w:hAnsi="Calibri" w:cs="Calibri"/>
        </w:rPr>
        <w:t xml:space="preserve">zaměstnavatele </w:t>
      </w:r>
      <w:r w:rsidRPr="007C50B4">
        <w:rPr>
          <w:rFonts w:ascii="Calibri" w:hAnsi="Calibri" w:cs="Calibri"/>
        </w:rPr>
        <w:t xml:space="preserve">za škodu při pracovním úrazu nebo nemoci z povolání a jeho soulad s právními předpisy. </w:t>
      </w:r>
    </w:p>
    <w:p w14:paraId="289B4B5C" w14:textId="77777777" w:rsidR="00EC639B" w:rsidRPr="007C50B4" w:rsidRDefault="00EC639B" w:rsidP="00EC639B">
      <w:pPr>
        <w:rPr>
          <w:rFonts w:ascii="Calibri" w:hAnsi="Calibri" w:cs="Calibri"/>
        </w:rPr>
      </w:pPr>
    </w:p>
    <w:p w14:paraId="68A6CC14" w14:textId="47C327F6" w:rsidR="00EC639B" w:rsidRPr="007C50B4" w:rsidRDefault="00EC639B" w:rsidP="00EC639B">
      <w:pPr>
        <w:rPr>
          <w:rFonts w:ascii="Calibri" w:hAnsi="Calibri" w:cs="Calibri"/>
        </w:rPr>
      </w:pPr>
      <w:r w:rsidRPr="007C50B4">
        <w:rPr>
          <w:rFonts w:ascii="Calibri" w:hAnsi="Calibri" w:cs="Calibri"/>
        </w:rPr>
        <w:t xml:space="preserve">Kontrola byla prováděna u kontrolovaných osob v období od května do prosince 2019. Kontrolovaným obdobím bylo období </w:t>
      </w:r>
      <w:r w:rsidR="00AE3E8D">
        <w:rPr>
          <w:rFonts w:ascii="Calibri" w:hAnsi="Calibri" w:cs="Calibri"/>
        </w:rPr>
        <w:t xml:space="preserve">let </w:t>
      </w:r>
      <w:r w:rsidRPr="007C50B4">
        <w:rPr>
          <w:rFonts w:ascii="Calibri" w:hAnsi="Calibri" w:cs="Calibri"/>
        </w:rPr>
        <w:t xml:space="preserve">2015 </w:t>
      </w:r>
      <w:r w:rsidR="00AE3E8D">
        <w:rPr>
          <w:rFonts w:ascii="Calibri" w:hAnsi="Calibri" w:cs="Calibri"/>
        </w:rPr>
        <w:t>až</w:t>
      </w:r>
      <w:r w:rsidRPr="007C50B4">
        <w:rPr>
          <w:rFonts w:ascii="Calibri" w:hAnsi="Calibri" w:cs="Calibri"/>
        </w:rPr>
        <w:t xml:space="preserve"> 2018, v případě věcných souvislostí i období předcházející.</w:t>
      </w:r>
    </w:p>
    <w:p w14:paraId="61F01C4A" w14:textId="77777777" w:rsidR="00EC639B" w:rsidRPr="007C50B4" w:rsidRDefault="00EC639B" w:rsidP="00EC639B">
      <w:pPr>
        <w:rPr>
          <w:rFonts w:ascii="Calibri" w:hAnsi="Calibri" w:cs="Calibri"/>
        </w:rPr>
      </w:pPr>
    </w:p>
    <w:p w14:paraId="537A3AD8" w14:textId="77777777" w:rsidR="00EC639B" w:rsidRPr="005A23B9" w:rsidRDefault="00EC639B" w:rsidP="00EC639B">
      <w:pPr>
        <w:rPr>
          <w:rFonts w:ascii="Calibri" w:hAnsi="Calibri" w:cs="Calibri"/>
          <w:b/>
        </w:rPr>
      </w:pPr>
      <w:r w:rsidRPr="005A23B9">
        <w:rPr>
          <w:rFonts w:ascii="Calibri" w:hAnsi="Calibri" w:cs="Calibri"/>
          <w:b/>
        </w:rPr>
        <w:t>Kontrolované osoby:</w:t>
      </w:r>
    </w:p>
    <w:p w14:paraId="133042E5" w14:textId="77777777" w:rsidR="00EC639B" w:rsidRPr="007C50B4" w:rsidRDefault="00EC639B" w:rsidP="00EC639B">
      <w:pPr>
        <w:rPr>
          <w:rFonts w:ascii="Calibri" w:hAnsi="Calibri" w:cs="Calibri"/>
        </w:rPr>
      </w:pPr>
      <w:r w:rsidRPr="007C50B4">
        <w:rPr>
          <w:rFonts w:ascii="Calibri" w:hAnsi="Calibri" w:cs="Calibri"/>
        </w:rPr>
        <w:t>Ministerstvo práce a sociálních věcí (dále také „MPSV“);</w:t>
      </w:r>
    </w:p>
    <w:p w14:paraId="3D82F72D" w14:textId="77777777" w:rsidR="00EC639B" w:rsidRPr="007C50B4" w:rsidRDefault="00EC639B" w:rsidP="00EC639B">
      <w:pPr>
        <w:rPr>
          <w:rFonts w:ascii="Calibri" w:hAnsi="Calibri" w:cs="Calibri"/>
        </w:rPr>
      </w:pPr>
      <w:r w:rsidRPr="007C50B4">
        <w:rPr>
          <w:rFonts w:ascii="Calibri" w:hAnsi="Calibri" w:cs="Calibri"/>
        </w:rPr>
        <w:t>Ministerstvo financí (dále také „MF“);</w:t>
      </w:r>
    </w:p>
    <w:p w14:paraId="645144B9" w14:textId="33E8677E" w:rsidR="00EC639B" w:rsidRPr="007C50B4" w:rsidRDefault="00EC639B" w:rsidP="00EC639B">
      <w:pPr>
        <w:rPr>
          <w:rFonts w:cs="Calibri"/>
        </w:rPr>
      </w:pPr>
      <w:r w:rsidRPr="007C50B4">
        <w:rPr>
          <w:rFonts w:ascii="Calibri" w:hAnsi="Calibri" w:cs="Calibri"/>
        </w:rPr>
        <w:t>Česká pojišťovna a.s.</w:t>
      </w:r>
      <w:r w:rsidR="007074E6" w:rsidRPr="007C50B4">
        <w:rPr>
          <w:rFonts w:ascii="Calibri" w:hAnsi="Calibri" w:cs="Calibri"/>
        </w:rPr>
        <w:t>, Praha</w:t>
      </w:r>
      <w:r w:rsidRPr="007C50B4">
        <w:rPr>
          <w:rFonts w:ascii="Calibri" w:hAnsi="Calibri" w:cs="Calibri"/>
        </w:rPr>
        <w:t xml:space="preserve"> (dále také „Česká pojišťovna“)</w:t>
      </w:r>
      <w:r w:rsidRPr="007C50B4">
        <w:rPr>
          <w:rFonts w:cs="Calibri"/>
        </w:rPr>
        <w:t xml:space="preserve">; </w:t>
      </w:r>
    </w:p>
    <w:p w14:paraId="1CC66312" w14:textId="425DB541" w:rsidR="00EC639B" w:rsidRPr="00D31796" w:rsidRDefault="00EC639B" w:rsidP="00EC639B">
      <w:pPr>
        <w:rPr>
          <w:rFonts w:cs="Calibri"/>
        </w:rPr>
      </w:pPr>
      <w:r w:rsidRPr="007C50B4">
        <w:rPr>
          <w:rFonts w:cs="Calibri"/>
        </w:rPr>
        <w:t>Kooperativa pojišťovna</w:t>
      </w:r>
      <w:r w:rsidR="00AE1FCD">
        <w:rPr>
          <w:rFonts w:cs="Calibri"/>
        </w:rPr>
        <w:t>,</w:t>
      </w:r>
      <w:r w:rsidRPr="007C50B4">
        <w:rPr>
          <w:rFonts w:cs="Calibri"/>
        </w:rPr>
        <w:t xml:space="preserve"> a.s., </w:t>
      </w:r>
      <w:proofErr w:type="spellStart"/>
      <w:r w:rsidRPr="007C50B4">
        <w:rPr>
          <w:rFonts w:cs="Calibri"/>
        </w:rPr>
        <w:t>Vienna</w:t>
      </w:r>
      <w:proofErr w:type="spellEnd"/>
      <w:r w:rsidRPr="007C50B4">
        <w:rPr>
          <w:rFonts w:cs="Calibri"/>
        </w:rPr>
        <w:t xml:space="preserve"> </w:t>
      </w:r>
      <w:proofErr w:type="spellStart"/>
      <w:r w:rsidRPr="007C50B4">
        <w:rPr>
          <w:rFonts w:cs="Calibri"/>
        </w:rPr>
        <w:t>Insurance</w:t>
      </w:r>
      <w:proofErr w:type="spellEnd"/>
      <w:r w:rsidRPr="007C50B4">
        <w:rPr>
          <w:rFonts w:cs="Calibri"/>
        </w:rPr>
        <w:t xml:space="preserve"> Group</w:t>
      </w:r>
      <w:r w:rsidR="007074E6" w:rsidRPr="007C50B4">
        <w:rPr>
          <w:rFonts w:cs="Calibri"/>
        </w:rPr>
        <w:t>, Praha</w:t>
      </w:r>
      <w:r w:rsidRPr="007C50B4">
        <w:rPr>
          <w:rFonts w:cs="Calibri"/>
        </w:rPr>
        <w:t xml:space="preserve"> (dále také „Kooperativa“)</w:t>
      </w:r>
      <w:r w:rsidR="00DD7B38" w:rsidRPr="007C50B4">
        <w:rPr>
          <w:rFonts w:cs="Calibri"/>
        </w:rPr>
        <w:t>.</w:t>
      </w:r>
      <w:r w:rsidRPr="00D31796">
        <w:rPr>
          <w:rFonts w:cs="Calibri"/>
        </w:rPr>
        <w:t xml:space="preserve"> </w:t>
      </w:r>
    </w:p>
    <w:p w14:paraId="01D378AB" w14:textId="77777777" w:rsidR="00EC639B" w:rsidRPr="00D31796" w:rsidRDefault="00EC639B" w:rsidP="00EC639B">
      <w:pPr>
        <w:rPr>
          <w:rFonts w:ascii="Calibri" w:hAnsi="Calibri" w:cs="Calibri"/>
        </w:rPr>
      </w:pPr>
    </w:p>
    <w:p w14:paraId="28C8E468" w14:textId="77777777" w:rsidR="00EC639B" w:rsidRPr="008E6616" w:rsidRDefault="00EC639B" w:rsidP="00EC639B">
      <w:pPr>
        <w:rPr>
          <w:rFonts w:ascii="Calibri" w:hAnsi="Calibri" w:cs="Calibri"/>
          <w:highlight w:val="yellow"/>
        </w:rPr>
      </w:pPr>
    </w:p>
    <w:p w14:paraId="3DEF2AAC" w14:textId="24E0D5B2" w:rsidR="00EC639B" w:rsidRPr="00A40431" w:rsidRDefault="00EC639B" w:rsidP="00EC639B">
      <w:pPr>
        <w:rPr>
          <w:rFonts w:ascii="Calibri" w:hAnsi="Calibri" w:cs="Calibri"/>
        </w:rPr>
      </w:pPr>
      <w:r w:rsidRPr="00A40431">
        <w:rPr>
          <w:rFonts w:ascii="Calibri" w:hAnsi="Calibri" w:cs="Calibri"/>
          <w:b/>
          <w:bCs/>
          <w:i/>
          <w:iCs/>
        </w:rPr>
        <w:t xml:space="preserve">K o l e g i u m   N K Ú  </w:t>
      </w:r>
      <w:r w:rsidRPr="00A40431">
        <w:rPr>
          <w:rFonts w:ascii="Calibri" w:hAnsi="Calibri" w:cs="Calibri"/>
        </w:rPr>
        <w:t xml:space="preserve"> na svém </w:t>
      </w:r>
      <w:r w:rsidR="00502D85">
        <w:rPr>
          <w:rFonts w:ascii="Calibri" w:hAnsi="Calibri" w:cs="Calibri"/>
        </w:rPr>
        <w:t>V</w:t>
      </w:r>
      <w:r w:rsidR="007F4E34">
        <w:rPr>
          <w:rFonts w:ascii="Calibri" w:hAnsi="Calibri" w:cs="Calibri"/>
        </w:rPr>
        <w:t>I</w:t>
      </w:r>
      <w:r w:rsidRPr="00A40431">
        <w:rPr>
          <w:rFonts w:ascii="Calibri" w:hAnsi="Calibri" w:cs="Calibri"/>
        </w:rPr>
        <w:t xml:space="preserve">. jednání, </w:t>
      </w:r>
      <w:r w:rsidR="007E37B7">
        <w:rPr>
          <w:rFonts w:ascii="Calibri" w:hAnsi="Calibri" w:cs="Calibri"/>
        </w:rPr>
        <w:t xml:space="preserve">které se </w:t>
      </w:r>
      <w:r w:rsidRPr="00A40431">
        <w:rPr>
          <w:rFonts w:ascii="Calibri" w:hAnsi="Calibri" w:cs="Calibri"/>
        </w:rPr>
        <w:t>kona</w:t>
      </w:r>
      <w:r w:rsidR="007E37B7">
        <w:rPr>
          <w:rFonts w:ascii="Calibri" w:hAnsi="Calibri" w:cs="Calibri"/>
        </w:rPr>
        <w:t>lo</w:t>
      </w:r>
      <w:r w:rsidRPr="00A40431">
        <w:rPr>
          <w:rFonts w:ascii="Calibri" w:hAnsi="Calibri" w:cs="Calibri"/>
        </w:rPr>
        <w:t xml:space="preserve"> dne</w:t>
      </w:r>
      <w:r w:rsidR="00462908">
        <w:rPr>
          <w:rFonts w:ascii="Calibri" w:hAnsi="Calibri" w:cs="Calibri"/>
        </w:rPr>
        <w:t xml:space="preserve"> 6. dubna </w:t>
      </w:r>
      <w:r>
        <w:rPr>
          <w:rFonts w:ascii="Calibri" w:hAnsi="Calibri" w:cs="Calibri"/>
        </w:rPr>
        <w:t>2020</w:t>
      </w:r>
      <w:r w:rsidRPr="00A40431">
        <w:rPr>
          <w:rFonts w:ascii="Calibri" w:hAnsi="Calibri" w:cs="Calibri"/>
        </w:rPr>
        <w:t>,</w:t>
      </w:r>
    </w:p>
    <w:p w14:paraId="1B44DE81" w14:textId="19FC1F3F" w:rsidR="00EC639B" w:rsidRPr="00A40431" w:rsidRDefault="00EC639B" w:rsidP="00EC639B">
      <w:pPr>
        <w:pStyle w:val="NormlnKZ"/>
        <w:spacing w:after="0"/>
        <w:ind w:firstLine="0"/>
        <w:rPr>
          <w:rFonts w:ascii="Calibri" w:hAnsi="Calibri" w:cs="Calibri"/>
          <w:sz w:val="24"/>
        </w:rPr>
      </w:pPr>
      <w:proofErr w:type="gramStart"/>
      <w:r w:rsidRPr="00A40431">
        <w:rPr>
          <w:rFonts w:ascii="Calibri" w:hAnsi="Calibri" w:cs="Calibri"/>
          <w:b/>
          <w:bCs/>
          <w:i/>
          <w:iCs/>
          <w:sz w:val="24"/>
        </w:rPr>
        <w:t xml:space="preserve">s c h v á l i l o  </w:t>
      </w:r>
      <w:r w:rsidRPr="00A40431">
        <w:rPr>
          <w:rFonts w:ascii="Calibri" w:hAnsi="Calibri" w:cs="Calibri"/>
          <w:sz w:val="24"/>
        </w:rPr>
        <w:t xml:space="preserve"> usnesením č.</w:t>
      </w:r>
      <w:proofErr w:type="gramEnd"/>
      <w:r w:rsidRPr="00A40431">
        <w:rPr>
          <w:rFonts w:ascii="Calibri" w:hAnsi="Calibri" w:cs="Calibri"/>
          <w:sz w:val="24"/>
        </w:rPr>
        <w:t xml:space="preserve"> </w:t>
      </w:r>
      <w:r w:rsidR="007F4E34">
        <w:rPr>
          <w:rFonts w:ascii="Calibri" w:hAnsi="Calibri" w:cs="Calibri"/>
          <w:sz w:val="24"/>
        </w:rPr>
        <w:t>10</w:t>
      </w:r>
      <w:r w:rsidR="007074E6">
        <w:rPr>
          <w:rFonts w:ascii="Calibri" w:hAnsi="Calibri" w:cs="Calibri"/>
          <w:sz w:val="24"/>
        </w:rPr>
        <w:t>/</w:t>
      </w:r>
      <w:r w:rsidR="00502D85">
        <w:rPr>
          <w:rFonts w:ascii="Calibri" w:hAnsi="Calibri" w:cs="Calibri"/>
          <w:sz w:val="24"/>
        </w:rPr>
        <w:t>V</w:t>
      </w:r>
      <w:r w:rsidR="00462908">
        <w:rPr>
          <w:rFonts w:ascii="Calibri" w:hAnsi="Calibri" w:cs="Calibri"/>
          <w:sz w:val="24"/>
        </w:rPr>
        <w:t>I</w:t>
      </w:r>
      <w:r w:rsidR="007074E6">
        <w:rPr>
          <w:rFonts w:ascii="Calibri" w:hAnsi="Calibri" w:cs="Calibri"/>
          <w:sz w:val="24"/>
        </w:rPr>
        <w:t>/</w:t>
      </w:r>
      <w:r w:rsidRPr="00A40431"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>20</w:t>
      </w:r>
    </w:p>
    <w:p w14:paraId="3C18C26C" w14:textId="77777777" w:rsidR="00EC639B" w:rsidRDefault="00EC639B" w:rsidP="00EC639B">
      <w:pPr>
        <w:pStyle w:val="NormlnKZ"/>
        <w:spacing w:after="0"/>
        <w:ind w:firstLine="0"/>
        <w:rPr>
          <w:rFonts w:ascii="Calibri" w:hAnsi="Calibri" w:cs="Calibri"/>
          <w:sz w:val="24"/>
        </w:rPr>
      </w:pPr>
      <w:r w:rsidRPr="00A40431">
        <w:rPr>
          <w:rFonts w:ascii="Calibri" w:hAnsi="Calibri" w:cs="Calibri"/>
          <w:b/>
          <w:bCs/>
          <w:i/>
          <w:iCs/>
          <w:sz w:val="24"/>
        </w:rPr>
        <w:t>k o n t r o l n í   z á v ě r</w:t>
      </w:r>
      <w:r w:rsidRPr="00A40431">
        <w:rPr>
          <w:rFonts w:ascii="Calibri" w:hAnsi="Calibri" w:cs="Calibri"/>
          <w:sz w:val="24"/>
        </w:rPr>
        <w:t xml:space="preserve">   v tomto znění:</w:t>
      </w:r>
    </w:p>
    <w:p w14:paraId="1CE76E9F" w14:textId="77777777" w:rsidR="00EC639B" w:rsidRDefault="00EC639B" w:rsidP="00EC639B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</w:p>
    <w:p w14:paraId="758B84E1" w14:textId="77777777" w:rsidR="00EC639B" w:rsidRDefault="00EC639B" w:rsidP="00EC639B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</w:p>
    <w:p w14:paraId="1DD04F1F" w14:textId="53E33435" w:rsidR="00EC639B" w:rsidRDefault="00EC639B" w:rsidP="00473AB1">
      <w:pPr>
        <w:jc w:val="center"/>
        <w:rPr>
          <w:b/>
          <w:sz w:val="32"/>
        </w:rPr>
      </w:pPr>
    </w:p>
    <w:p w14:paraId="4E56C3D9" w14:textId="77777777" w:rsidR="00EC639B" w:rsidRDefault="00EC639B" w:rsidP="00473AB1">
      <w:pPr>
        <w:jc w:val="center"/>
        <w:rPr>
          <w:b/>
          <w:sz w:val="32"/>
        </w:rPr>
      </w:pPr>
    </w:p>
    <w:p w14:paraId="12EA90C4" w14:textId="77777777" w:rsidR="00EC639B" w:rsidRDefault="00EC639B" w:rsidP="00473AB1">
      <w:pPr>
        <w:jc w:val="center"/>
        <w:rPr>
          <w:b/>
          <w:sz w:val="32"/>
        </w:rPr>
      </w:pPr>
    </w:p>
    <w:p w14:paraId="321E6F1E" w14:textId="77777777" w:rsidR="00EC639B" w:rsidRDefault="00EC639B" w:rsidP="00473AB1">
      <w:pPr>
        <w:jc w:val="center"/>
        <w:rPr>
          <w:b/>
          <w:sz w:val="32"/>
        </w:rPr>
      </w:pPr>
    </w:p>
    <w:p w14:paraId="0EB5B6BC" w14:textId="77777777" w:rsidR="00EC639B" w:rsidRDefault="00EC639B" w:rsidP="00473AB1">
      <w:pPr>
        <w:jc w:val="center"/>
        <w:rPr>
          <w:b/>
          <w:sz w:val="32"/>
        </w:rPr>
      </w:pPr>
    </w:p>
    <w:p w14:paraId="052C3437" w14:textId="68265037" w:rsidR="000A2ADA" w:rsidRDefault="000A2ADA" w:rsidP="0047149F">
      <w:pPr>
        <w:rPr>
          <w:rStyle w:val="A1"/>
          <w:rFonts w:ascii="Calibri Light" w:hAnsi="Calibri Light" w:cs="Calibri Light"/>
          <w:sz w:val="24"/>
        </w:rPr>
      </w:pPr>
    </w:p>
    <w:p w14:paraId="0BDBE246" w14:textId="77777777" w:rsidR="000A2ADA" w:rsidRDefault="000A2ADA" w:rsidP="000A2ADA">
      <w:pPr>
        <w:jc w:val="right"/>
        <w:rPr>
          <w:rStyle w:val="A1"/>
          <w:rFonts w:ascii="Calibri Light" w:hAnsi="Calibri Light" w:cs="Calibri Light"/>
          <w:sz w:val="24"/>
        </w:rPr>
      </w:pPr>
    </w:p>
    <w:p w14:paraId="0D844510" w14:textId="77777777" w:rsidR="000A2ADA" w:rsidRDefault="000A2ADA" w:rsidP="000A2ADA">
      <w:pPr>
        <w:jc w:val="right"/>
        <w:rPr>
          <w:rStyle w:val="A1"/>
          <w:rFonts w:ascii="Calibri Light" w:hAnsi="Calibri Light" w:cs="Calibri Light"/>
          <w:sz w:val="24"/>
        </w:rPr>
      </w:pPr>
    </w:p>
    <w:p w14:paraId="265A420B" w14:textId="77777777" w:rsidR="000A2ADA" w:rsidRDefault="000A2ADA" w:rsidP="000A2ADA">
      <w:pPr>
        <w:jc w:val="right"/>
        <w:rPr>
          <w:rStyle w:val="A1"/>
          <w:rFonts w:ascii="Calibri Light" w:hAnsi="Calibri Light" w:cs="Calibri Light"/>
          <w:sz w:val="24"/>
        </w:rPr>
      </w:pPr>
    </w:p>
    <w:p w14:paraId="6FA4618E" w14:textId="77777777" w:rsidR="000A2ADA" w:rsidRDefault="000A2ADA" w:rsidP="000A2ADA">
      <w:pPr>
        <w:rPr>
          <w:rStyle w:val="A4"/>
          <w:color w:val="BDD6EE" w:themeColor="accent1" w:themeTint="66"/>
          <w:sz w:val="50"/>
          <w:szCs w:val="50"/>
        </w:rPr>
      </w:pPr>
    </w:p>
    <w:p w14:paraId="68ADEE41" w14:textId="0ED45E4A" w:rsidR="00256424" w:rsidRPr="004A716E" w:rsidRDefault="00256424" w:rsidP="00256424">
      <w:pPr>
        <w:jc w:val="center"/>
        <w:rPr>
          <w:rStyle w:val="A1"/>
          <w:color w:val="5B9BD5" w:themeColor="accent1"/>
          <w:sz w:val="40"/>
          <w:szCs w:val="40"/>
        </w:rPr>
      </w:pPr>
      <w:r w:rsidRPr="004A716E">
        <w:rPr>
          <w:rStyle w:val="A4"/>
          <w:color w:val="5B9BD5" w:themeColor="accent1"/>
          <w:sz w:val="40"/>
          <w:szCs w:val="40"/>
        </w:rPr>
        <w:t xml:space="preserve">Zákonné pojištění odpovědnosti zaměstnavatele </w:t>
      </w:r>
    </w:p>
    <w:p w14:paraId="739A1578" w14:textId="77777777" w:rsidR="00256424" w:rsidRPr="007C50B4" w:rsidRDefault="00256424" w:rsidP="00256424">
      <w:pPr>
        <w:rPr>
          <w:rStyle w:val="A1"/>
          <w:rFonts w:ascii="Calibri Light" w:hAnsi="Calibri Light" w:cs="Calibri Ligh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6424" w:rsidRPr="007C50B4" w14:paraId="6AC9D33E" w14:textId="77777777" w:rsidTr="00C21CA0">
        <w:trPr>
          <w:trHeight w:val="1918"/>
        </w:trPr>
        <w:tc>
          <w:tcPr>
            <w:tcW w:w="3020" w:type="dxa"/>
          </w:tcPr>
          <w:p w14:paraId="79367EF9" w14:textId="77777777" w:rsidR="00256424" w:rsidRPr="007C50B4" w:rsidRDefault="00256424" w:rsidP="00C21CA0">
            <w:pPr>
              <w:jc w:val="center"/>
              <w:rPr>
                <w:rStyle w:val="A5"/>
                <w:rFonts w:eastAsia="Calibri"/>
              </w:rPr>
            </w:pPr>
            <w:r w:rsidRPr="007C50B4">
              <w:rPr>
                <w:rStyle w:val="A5"/>
                <w:rFonts w:eastAsia="Calibri"/>
              </w:rPr>
              <w:t>29,8 mld. Kč</w:t>
            </w:r>
          </w:p>
          <w:p w14:paraId="3AB20354" w14:textId="77777777" w:rsidR="00256424" w:rsidRPr="007C50B4" w:rsidRDefault="00256424" w:rsidP="00C21CA0">
            <w:pPr>
              <w:jc w:val="center"/>
              <w:rPr>
                <w:b/>
                <w:sz w:val="20"/>
                <w:szCs w:val="20"/>
              </w:rPr>
            </w:pPr>
            <w:r w:rsidRPr="007C50B4">
              <w:rPr>
                <w:b/>
                <w:sz w:val="20"/>
                <w:szCs w:val="20"/>
              </w:rPr>
              <w:t>Přijaté pojistné</w:t>
            </w:r>
          </w:p>
          <w:p w14:paraId="5A368482" w14:textId="77777777" w:rsidR="00256424" w:rsidRPr="007C50B4" w:rsidRDefault="00256424" w:rsidP="00C21CA0">
            <w:pPr>
              <w:jc w:val="center"/>
              <w:rPr>
                <w:rStyle w:val="A1"/>
                <w:b/>
                <w:bCs/>
              </w:rPr>
            </w:pPr>
            <w:r w:rsidRPr="007C50B4">
              <w:rPr>
                <w:b/>
                <w:sz w:val="20"/>
                <w:szCs w:val="20"/>
              </w:rPr>
              <w:t>2015–2018</w:t>
            </w:r>
          </w:p>
        </w:tc>
        <w:tc>
          <w:tcPr>
            <w:tcW w:w="3021" w:type="dxa"/>
          </w:tcPr>
          <w:p w14:paraId="788644A4" w14:textId="77777777" w:rsidR="00256424" w:rsidRPr="007C50B4" w:rsidRDefault="00256424" w:rsidP="00C21CA0">
            <w:pPr>
              <w:jc w:val="center"/>
              <w:rPr>
                <w:rStyle w:val="A5"/>
                <w:rFonts w:eastAsia="Calibri"/>
              </w:rPr>
            </w:pPr>
            <w:r w:rsidRPr="007C50B4">
              <w:rPr>
                <w:rStyle w:val="A5"/>
                <w:rFonts w:eastAsia="Calibri"/>
              </w:rPr>
              <w:t>18,1 mld. Kč</w:t>
            </w:r>
          </w:p>
          <w:p w14:paraId="52044A7A" w14:textId="26F39F5D" w:rsidR="00256424" w:rsidRPr="007C50B4" w:rsidRDefault="00256424" w:rsidP="00C21CA0">
            <w:pPr>
              <w:jc w:val="center"/>
              <w:rPr>
                <w:b/>
                <w:sz w:val="20"/>
                <w:szCs w:val="20"/>
              </w:rPr>
            </w:pPr>
            <w:r w:rsidRPr="007C50B4">
              <w:rPr>
                <w:b/>
                <w:sz w:val="20"/>
                <w:szCs w:val="20"/>
              </w:rPr>
              <w:t>Vyplacené pojistné plnění</w:t>
            </w:r>
            <w:r w:rsidR="007E37B7">
              <w:rPr>
                <w:b/>
                <w:sz w:val="20"/>
                <w:szCs w:val="20"/>
              </w:rPr>
              <w:t xml:space="preserve"> </w:t>
            </w:r>
          </w:p>
          <w:p w14:paraId="09AA10C0" w14:textId="38EB80B2" w:rsidR="00256424" w:rsidRPr="007C50B4" w:rsidRDefault="00256424" w:rsidP="00C21CA0">
            <w:pPr>
              <w:jc w:val="center"/>
              <w:rPr>
                <w:sz w:val="20"/>
                <w:szCs w:val="20"/>
              </w:rPr>
            </w:pPr>
            <w:r w:rsidRPr="007C50B4">
              <w:rPr>
                <w:sz w:val="20"/>
                <w:szCs w:val="20"/>
              </w:rPr>
              <w:t>likvidace pojistných událostí</w:t>
            </w:r>
          </w:p>
          <w:p w14:paraId="5C5154D7" w14:textId="77777777" w:rsidR="00256424" w:rsidRPr="007C50B4" w:rsidRDefault="00256424" w:rsidP="00C21CA0">
            <w:pPr>
              <w:jc w:val="center"/>
              <w:rPr>
                <w:rStyle w:val="A1"/>
              </w:rPr>
            </w:pPr>
            <w:r w:rsidRPr="007C50B4">
              <w:rPr>
                <w:b/>
                <w:sz w:val="20"/>
                <w:szCs w:val="20"/>
              </w:rPr>
              <w:t>2015–2018</w:t>
            </w:r>
          </w:p>
        </w:tc>
        <w:tc>
          <w:tcPr>
            <w:tcW w:w="3021" w:type="dxa"/>
          </w:tcPr>
          <w:p w14:paraId="1D46E3C5" w14:textId="77777777" w:rsidR="00256424" w:rsidRPr="007C50B4" w:rsidRDefault="00256424" w:rsidP="00C21CA0">
            <w:pPr>
              <w:jc w:val="center"/>
              <w:rPr>
                <w:b/>
                <w:sz w:val="20"/>
                <w:szCs w:val="20"/>
              </w:rPr>
            </w:pPr>
            <w:r w:rsidRPr="007C50B4">
              <w:rPr>
                <w:rStyle w:val="A5"/>
                <w:rFonts w:eastAsia="Calibri"/>
              </w:rPr>
              <w:t>1,2 mld. Kč</w:t>
            </w:r>
            <w:r w:rsidRPr="007C50B4">
              <w:rPr>
                <w:b/>
                <w:sz w:val="20"/>
                <w:szCs w:val="20"/>
              </w:rPr>
              <w:t xml:space="preserve"> </w:t>
            </w:r>
            <w:r w:rsidRPr="007C50B4">
              <w:rPr>
                <w:b/>
                <w:sz w:val="20"/>
                <w:szCs w:val="20"/>
              </w:rPr>
              <w:br/>
              <w:t xml:space="preserve">Náklady </w:t>
            </w:r>
          </w:p>
          <w:p w14:paraId="373093B3" w14:textId="2021AF8B" w:rsidR="00256424" w:rsidRPr="007C50B4" w:rsidRDefault="00256424" w:rsidP="00C21CA0">
            <w:pPr>
              <w:jc w:val="center"/>
              <w:rPr>
                <w:sz w:val="20"/>
                <w:szCs w:val="20"/>
              </w:rPr>
            </w:pPr>
            <w:r w:rsidRPr="007C50B4">
              <w:rPr>
                <w:sz w:val="20"/>
                <w:szCs w:val="20"/>
              </w:rPr>
              <w:t>správní režie pojišťoven</w:t>
            </w:r>
          </w:p>
          <w:p w14:paraId="36FB892A" w14:textId="2A0CB10A" w:rsidR="00256424" w:rsidRPr="007C50B4" w:rsidRDefault="00256424" w:rsidP="00C21CA0">
            <w:pPr>
              <w:jc w:val="center"/>
              <w:rPr>
                <w:rStyle w:val="A1"/>
                <w:b/>
              </w:rPr>
            </w:pPr>
            <w:r w:rsidRPr="007C50B4">
              <w:rPr>
                <w:b/>
                <w:sz w:val="20"/>
                <w:szCs w:val="20"/>
              </w:rPr>
              <w:t>2015–2018</w:t>
            </w:r>
          </w:p>
        </w:tc>
      </w:tr>
      <w:tr w:rsidR="00256424" w:rsidRPr="007C50B4" w14:paraId="53F755D1" w14:textId="77777777" w:rsidTr="00C21CA0">
        <w:tc>
          <w:tcPr>
            <w:tcW w:w="3020" w:type="dxa"/>
          </w:tcPr>
          <w:p w14:paraId="5BB9DA32" w14:textId="77777777" w:rsidR="00256424" w:rsidRPr="007C50B4" w:rsidRDefault="00256424" w:rsidP="00C21CA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  <w:p w14:paraId="03F4A6EE" w14:textId="77777777" w:rsidR="00256424" w:rsidRPr="007C50B4" w:rsidRDefault="00256424" w:rsidP="00C21CA0">
            <w:pPr>
              <w:rPr>
                <w:rStyle w:val="A1"/>
                <w:rFonts w:ascii="Calibri Light" w:hAnsi="Calibri Light" w:cs="Calibri Light"/>
              </w:rPr>
            </w:pPr>
          </w:p>
        </w:tc>
        <w:tc>
          <w:tcPr>
            <w:tcW w:w="3021" w:type="dxa"/>
          </w:tcPr>
          <w:p w14:paraId="5BB4A81D" w14:textId="77777777" w:rsidR="00256424" w:rsidRPr="007C50B4" w:rsidRDefault="00256424" w:rsidP="00C21CA0">
            <w:pPr>
              <w:jc w:val="center"/>
              <w:rPr>
                <w:rStyle w:val="A5"/>
                <w:rFonts w:eastAsia="Calibri"/>
              </w:rPr>
            </w:pPr>
            <w:r w:rsidRPr="007C50B4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10,5 mld. Kč</w:t>
            </w:r>
          </w:p>
          <w:p w14:paraId="3CA24E75" w14:textId="77777777" w:rsidR="00256424" w:rsidRPr="007C50B4" w:rsidRDefault="00256424" w:rsidP="00C21CA0">
            <w:pPr>
              <w:jc w:val="center"/>
              <w:rPr>
                <w:sz w:val="20"/>
                <w:szCs w:val="20"/>
              </w:rPr>
            </w:pPr>
            <w:r w:rsidRPr="007C50B4">
              <w:rPr>
                <w:b/>
                <w:sz w:val="20"/>
                <w:szCs w:val="20"/>
              </w:rPr>
              <w:t xml:space="preserve">Přebytek ze zákonného pojištění </w:t>
            </w:r>
            <w:r w:rsidRPr="007C50B4">
              <w:rPr>
                <w:b/>
                <w:sz w:val="20"/>
                <w:szCs w:val="20"/>
              </w:rPr>
              <w:br/>
            </w:r>
            <w:r w:rsidRPr="007C50B4">
              <w:rPr>
                <w:sz w:val="20"/>
                <w:szCs w:val="20"/>
              </w:rPr>
              <w:t>příjem státního rozpočtu</w:t>
            </w:r>
          </w:p>
          <w:p w14:paraId="39A8A3E3" w14:textId="77777777" w:rsidR="00256424" w:rsidRPr="007C50B4" w:rsidRDefault="00256424" w:rsidP="00C21CA0">
            <w:pPr>
              <w:jc w:val="center"/>
              <w:rPr>
                <w:rStyle w:val="A1"/>
                <w:rFonts w:ascii="Calibri Light" w:hAnsi="Calibri Light" w:cs="Calibri Light"/>
              </w:rPr>
            </w:pPr>
            <w:r w:rsidRPr="007C50B4">
              <w:rPr>
                <w:b/>
                <w:sz w:val="20"/>
                <w:szCs w:val="20"/>
              </w:rPr>
              <w:t>2015–2018</w:t>
            </w:r>
          </w:p>
        </w:tc>
        <w:tc>
          <w:tcPr>
            <w:tcW w:w="3021" w:type="dxa"/>
          </w:tcPr>
          <w:p w14:paraId="15A41CF3" w14:textId="77777777" w:rsidR="00256424" w:rsidRPr="007C50B4" w:rsidRDefault="00256424" w:rsidP="00C21CA0">
            <w:pPr>
              <w:jc w:val="center"/>
              <w:rPr>
                <w:rStyle w:val="A1"/>
                <w:rFonts w:ascii="Calibri Light" w:hAnsi="Calibri Light" w:cs="Calibri Light"/>
              </w:rPr>
            </w:pPr>
          </w:p>
        </w:tc>
      </w:tr>
    </w:tbl>
    <w:p w14:paraId="52A40DF6" w14:textId="77777777" w:rsidR="00256424" w:rsidRPr="007C50B4" w:rsidRDefault="00256424" w:rsidP="00256424">
      <w:pPr>
        <w:pStyle w:val="Text"/>
        <w:tabs>
          <w:tab w:val="left" w:pos="2696"/>
          <w:tab w:val="center" w:pos="4536"/>
        </w:tabs>
        <w:spacing w:before="0"/>
        <w:jc w:val="left"/>
        <w:rPr>
          <w:b/>
        </w:rPr>
      </w:pPr>
    </w:p>
    <w:p w14:paraId="7AB88ACD" w14:textId="77777777" w:rsidR="00256424" w:rsidRPr="007C50B4" w:rsidRDefault="00256424" w:rsidP="00256424">
      <w:pPr>
        <w:pStyle w:val="Text"/>
        <w:tabs>
          <w:tab w:val="left" w:pos="2696"/>
          <w:tab w:val="center" w:pos="4536"/>
        </w:tabs>
        <w:spacing w:before="0"/>
        <w:jc w:val="left"/>
        <w:rPr>
          <w:b/>
        </w:rPr>
      </w:pPr>
    </w:p>
    <w:p w14:paraId="14B1E505" w14:textId="77777777" w:rsidR="00256424" w:rsidRPr="007C50B4" w:rsidRDefault="00256424" w:rsidP="00256424"/>
    <w:tbl>
      <w:tblPr>
        <w:tblStyle w:val="Mkatabulky"/>
        <w:tblW w:w="821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5811"/>
      </w:tblGrid>
      <w:tr w:rsidR="00256424" w:rsidRPr="007C50B4" w14:paraId="3E7E4EDA" w14:textId="77777777" w:rsidTr="00C21CA0">
        <w:tc>
          <w:tcPr>
            <w:tcW w:w="2399" w:type="dxa"/>
          </w:tcPr>
          <w:p w14:paraId="07AB9EC0" w14:textId="77777777" w:rsidR="00256424" w:rsidRPr="007C50B4" w:rsidRDefault="00256424" w:rsidP="00C21CA0">
            <w:pPr>
              <w:pStyle w:val="Odstavecseseznamem"/>
              <w:ind w:left="0"/>
              <w:rPr>
                <w:rStyle w:val="A4"/>
                <w:color w:val="C45911" w:themeColor="accent2" w:themeShade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11" w:type="dxa"/>
          </w:tcPr>
          <w:p w14:paraId="5DF5EC7D" w14:textId="77777777" w:rsidR="00256424" w:rsidRPr="007C50B4" w:rsidRDefault="00256424" w:rsidP="00C21CA0">
            <w:pPr>
              <w:pStyle w:val="Odstavecseseznamem"/>
              <w:ind w:left="0"/>
              <w:jc w:val="right"/>
              <w:rPr>
                <w:rStyle w:val="A4"/>
                <w:color w:val="C45911" w:themeColor="accent2" w:themeShade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56424" w:rsidRPr="007C50B4" w14:paraId="4C54CB5C" w14:textId="77777777" w:rsidTr="00C21CA0">
        <w:tc>
          <w:tcPr>
            <w:tcW w:w="2399" w:type="dxa"/>
          </w:tcPr>
          <w:p w14:paraId="0EA3DA10" w14:textId="3DB5036E" w:rsidR="00256424" w:rsidRPr="007C50B4" w:rsidRDefault="00256424" w:rsidP="002D21F2">
            <w:pPr>
              <w:pStyle w:val="Odstavecseseznamem"/>
              <w:ind w:left="0" w:right="1134"/>
              <w:jc w:val="right"/>
              <w:rPr>
                <w:rStyle w:val="A4"/>
                <w:rFonts w:asciiTheme="minorHAnsi" w:hAnsiTheme="minorHAnsi"/>
                <w:b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0B4">
              <w:rPr>
                <w:rStyle w:val="A4"/>
                <w:b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268 768</w:t>
            </w:r>
          </w:p>
        </w:tc>
        <w:tc>
          <w:tcPr>
            <w:tcW w:w="5811" w:type="dxa"/>
          </w:tcPr>
          <w:p w14:paraId="3EF15B9F" w14:textId="2238E2AA" w:rsidR="00256424" w:rsidRPr="007C50B4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0B4"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Počet evidovaných zaměstnavatelů v roce 2018</w:t>
            </w:r>
          </w:p>
        </w:tc>
      </w:tr>
      <w:tr w:rsidR="00256424" w:rsidRPr="007C50B4" w14:paraId="3BD4F2B4" w14:textId="77777777" w:rsidTr="00C21CA0">
        <w:tc>
          <w:tcPr>
            <w:tcW w:w="2399" w:type="dxa"/>
          </w:tcPr>
          <w:p w14:paraId="6C0A7823" w14:textId="645179D6" w:rsidR="00256424" w:rsidRPr="007C50B4" w:rsidRDefault="00256424" w:rsidP="002D21F2">
            <w:pPr>
              <w:pStyle w:val="Odstavecseseznamem"/>
              <w:ind w:left="0" w:right="1134"/>
              <w:jc w:val="right"/>
              <w:rPr>
                <w:rStyle w:val="A4"/>
                <w:rFonts w:asciiTheme="minorHAnsi" w:hAnsiTheme="minorHAnsi"/>
                <w:b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0B4">
              <w:rPr>
                <w:rStyle w:val="A4"/>
                <w:b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231 585</w:t>
            </w:r>
          </w:p>
        </w:tc>
        <w:tc>
          <w:tcPr>
            <w:tcW w:w="5811" w:type="dxa"/>
          </w:tcPr>
          <w:p w14:paraId="68AFD03F" w14:textId="77777777" w:rsidR="00256424" w:rsidRPr="007C50B4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0B4"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Počet pojistných událostí</w:t>
            </w:r>
            <w:r w:rsidRPr="007C50B4">
              <w:rPr>
                <w:rStyle w:val="A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2015–2018</w:t>
            </w:r>
          </w:p>
        </w:tc>
      </w:tr>
      <w:tr w:rsidR="00256424" w:rsidRPr="007C50B4" w14:paraId="6AE91231" w14:textId="77777777" w:rsidTr="00C21CA0">
        <w:tc>
          <w:tcPr>
            <w:tcW w:w="2399" w:type="dxa"/>
          </w:tcPr>
          <w:p w14:paraId="736FB9DB" w14:textId="77777777" w:rsidR="00256424" w:rsidRPr="007C50B4" w:rsidRDefault="00256424" w:rsidP="00C21CA0">
            <w:pPr>
              <w:pStyle w:val="Odstavecseseznamem"/>
              <w:ind w:left="0"/>
              <w:rPr>
                <w:rStyle w:val="A4"/>
                <w:b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11" w:type="dxa"/>
          </w:tcPr>
          <w:p w14:paraId="2039F7ED" w14:textId="77777777" w:rsidR="00256424" w:rsidRPr="007C50B4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56424" w:rsidRPr="007C50B4" w14:paraId="2D32060A" w14:textId="77777777" w:rsidTr="00C21CA0">
        <w:tc>
          <w:tcPr>
            <w:tcW w:w="2399" w:type="dxa"/>
          </w:tcPr>
          <w:p w14:paraId="0A6BCC81" w14:textId="77777777" w:rsidR="00256424" w:rsidRPr="007C50B4" w:rsidRDefault="00256424" w:rsidP="002D21F2">
            <w:pPr>
              <w:pStyle w:val="Odstavecseseznamem"/>
              <w:ind w:left="0" w:right="397"/>
              <w:jc w:val="right"/>
              <w:rPr>
                <w:rStyle w:val="A4"/>
                <w:rFonts w:asciiTheme="minorHAnsi" w:hAnsiTheme="minorHAnsi"/>
                <w:b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0B4">
              <w:rPr>
                <w:rStyle w:val="A4"/>
                <w:b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122 465 tis. Kč</w:t>
            </w:r>
          </w:p>
        </w:tc>
        <w:tc>
          <w:tcPr>
            <w:tcW w:w="5811" w:type="dxa"/>
          </w:tcPr>
          <w:p w14:paraId="64911726" w14:textId="42A583F0" w:rsidR="00256424" w:rsidRPr="007C50B4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0B4"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Předepsané zvýšené pojistné</w:t>
            </w:r>
            <w:r w:rsidR="00247188" w:rsidRPr="007C50B4">
              <w:rPr>
                <w:rStyle w:val="Znakapoznpodarou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ootnoteReference w:id="1"/>
            </w:r>
            <w:r w:rsidRPr="007C50B4">
              <w:rPr>
                <w:rStyle w:val="A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2015–2018</w:t>
            </w:r>
          </w:p>
        </w:tc>
      </w:tr>
      <w:tr w:rsidR="00256424" w:rsidRPr="00E23E8F" w14:paraId="703DE9C8" w14:textId="77777777" w:rsidTr="00C21CA0">
        <w:tc>
          <w:tcPr>
            <w:tcW w:w="2399" w:type="dxa"/>
          </w:tcPr>
          <w:p w14:paraId="731E836C" w14:textId="34D35587" w:rsidR="00256424" w:rsidRPr="007C50B4" w:rsidRDefault="00256424" w:rsidP="002D21F2">
            <w:pPr>
              <w:pStyle w:val="Odstavecseseznamem"/>
              <w:ind w:left="0" w:right="397"/>
              <w:jc w:val="right"/>
              <w:rPr>
                <w:rStyle w:val="A4"/>
                <w:rFonts w:asciiTheme="minorHAnsi" w:hAnsiTheme="minorHAnsi"/>
                <w:b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0B4">
              <w:rPr>
                <w:rStyle w:val="A4"/>
                <w:b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64 428 tis. Kč</w:t>
            </w:r>
          </w:p>
        </w:tc>
        <w:tc>
          <w:tcPr>
            <w:tcW w:w="5811" w:type="dxa"/>
          </w:tcPr>
          <w:p w14:paraId="74A4C59C" w14:textId="51799B9B" w:rsidR="00256424" w:rsidRPr="00E23E8F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0B4"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Prominuté zvýšené pojistné činilo 52,6 % z celkového předepsaného zvýšeného pojistného</w:t>
            </w:r>
          </w:p>
        </w:tc>
      </w:tr>
      <w:tr w:rsidR="00256424" w:rsidRPr="00E23E8F" w14:paraId="00EFC4D2" w14:textId="77777777" w:rsidTr="00C21CA0">
        <w:tc>
          <w:tcPr>
            <w:tcW w:w="2399" w:type="dxa"/>
          </w:tcPr>
          <w:p w14:paraId="123E7E18" w14:textId="77777777" w:rsidR="00256424" w:rsidRPr="00E23E8F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11" w:type="dxa"/>
          </w:tcPr>
          <w:p w14:paraId="02780982" w14:textId="77777777" w:rsidR="00256424" w:rsidRPr="00E23E8F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E88D72" w14:textId="77777777" w:rsidR="00256424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9D10AE" w14:textId="77777777" w:rsidR="00256424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B12494" w14:textId="77777777" w:rsidR="00256424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1168D6" w14:textId="7C1F529C" w:rsidR="00256424" w:rsidRPr="00E23E8F" w:rsidRDefault="00256424" w:rsidP="00C21CA0">
            <w:pPr>
              <w:pStyle w:val="Odstavecseseznamem"/>
              <w:ind w:left="0"/>
              <w:rPr>
                <w:rStyle w:val="A4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AD5A935" w14:textId="19528B7D" w:rsidR="005405DF" w:rsidRPr="007C50B4" w:rsidRDefault="005405DF" w:rsidP="00395971">
      <w:pPr>
        <w:pStyle w:val="Nadpis1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eastAsia="Times New Roman" w:cstheme="minorHAnsi"/>
          <w:color w:val="000000"/>
          <w:sz w:val="24"/>
          <w:lang w:eastAsia="cs-CZ"/>
        </w:rPr>
      </w:pPr>
      <w:r w:rsidRPr="007C50B4">
        <w:rPr>
          <w:rFonts w:eastAsia="Times New Roman" w:cstheme="minorHAnsi"/>
          <w:color w:val="000000"/>
          <w:sz w:val="24"/>
          <w:lang w:eastAsia="cs-CZ"/>
        </w:rPr>
        <w:lastRenderedPageBreak/>
        <w:t>Shrnutí a vyhodnocení</w:t>
      </w:r>
    </w:p>
    <w:p w14:paraId="0EBE0079" w14:textId="77777777" w:rsidR="00AF44FE" w:rsidRPr="007C50B4" w:rsidRDefault="00AF44FE" w:rsidP="003845AB">
      <w:pPr>
        <w:rPr>
          <w:lang w:eastAsia="cs-CZ"/>
        </w:rPr>
      </w:pPr>
    </w:p>
    <w:p w14:paraId="01C9259B" w14:textId="020BDEE2" w:rsidR="005405DF" w:rsidRPr="007C50B4" w:rsidRDefault="005405DF" w:rsidP="007F1168">
      <w:pPr>
        <w:rPr>
          <w:rFonts w:cstheme="minorHAnsi"/>
          <w:bCs/>
          <w:szCs w:val="22"/>
        </w:rPr>
      </w:pPr>
      <w:r w:rsidRPr="007C50B4">
        <w:rPr>
          <w:rFonts w:cstheme="minorHAnsi"/>
          <w:bCs/>
          <w:szCs w:val="22"/>
        </w:rPr>
        <w:t>NKÚ provedl kontrolu prostředků vybíraných na základě zákona na zákonné pojištění</w:t>
      </w:r>
      <w:r w:rsidR="00202905" w:rsidRPr="007C50B4">
        <w:rPr>
          <w:rFonts w:cstheme="minorHAnsi"/>
          <w:bCs/>
          <w:szCs w:val="22"/>
        </w:rPr>
        <w:t xml:space="preserve"> odpovědnosti za škodu při pracovním úrazu nebo nemoci z povolání (dále také „zákonné pojištění“).</w:t>
      </w:r>
      <w:r w:rsidRPr="007C50B4">
        <w:rPr>
          <w:rFonts w:cstheme="minorHAnsi"/>
          <w:bCs/>
          <w:szCs w:val="22"/>
        </w:rPr>
        <w:t xml:space="preserve"> </w:t>
      </w:r>
      <w:r w:rsidR="0084527E" w:rsidRPr="007C50B4">
        <w:rPr>
          <w:rFonts w:cstheme="minorHAnsi"/>
          <w:bCs/>
          <w:szCs w:val="22"/>
        </w:rPr>
        <w:t xml:space="preserve">Zákonné pojištění zajišťuje </w:t>
      </w:r>
      <w:r w:rsidR="0084527E" w:rsidRPr="007C50B4">
        <w:rPr>
          <w:rFonts w:cstheme="minorHAnsi"/>
        </w:rPr>
        <w:t>náhradu škody, která vznikla zaměstnanci při pracovním úrazu nebo nemoci z povolání.</w:t>
      </w:r>
      <w:r w:rsidR="0084527E" w:rsidRPr="007C50B4">
        <w:rPr>
          <w:rFonts w:cstheme="minorHAnsi"/>
          <w:bCs/>
          <w:szCs w:val="22"/>
        </w:rPr>
        <w:t xml:space="preserve"> </w:t>
      </w:r>
      <w:r w:rsidRPr="007C50B4">
        <w:rPr>
          <w:rFonts w:cstheme="minorHAnsi"/>
          <w:bCs/>
          <w:szCs w:val="22"/>
        </w:rPr>
        <w:t xml:space="preserve">Cílem kontroly bylo prověřit funkčnost systému zákonného pojištění a jeho soulad s právními předpisy. Kontrola byla provedena u </w:t>
      </w:r>
      <w:r w:rsidR="002019CC" w:rsidRPr="007C50B4">
        <w:rPr>
          <w:rFonts w:cstheme="minorHAnsi"/>
          <w:bCs/>
          <w:szCs w:val="22"/>
        </w:rPr>
        <w:t xml:space="preserve">MPSV, </w:t>
      </w:r>
      <w:r w:rsidRPr="007C50B4">
        <w:rPr>
          <w:rFonts w:cstheme="minorHAnsi"/>
          <w:bCs/>
          <w:szCs w:val="22"/>
        </w:rPr>
        <w:t xml:space="preserve">MF, </w:t>
      </w:r>
      <w:r w:rsidR="00427EEA" w:rsidRPr="007C50B4">
        <w:rPr>
          <w:rFonts w:cstheme="minorHAnsi"/>
          <w:bCs/>
          <w:szCs w:val="22"/>
        </w:rPr>
        <w:t>České pojišťovny a Kooperativy</w:t>
      </w:r>
      <w:r w:rsidRPr="007C50B4">
        <w:rPr>
          <w:rFonts w:cstheme="minorHAnsi"/>
          <w:bCs/>
          <w:szCs w:val="22"/>
        </w:rPr>
        <w:t xml:space="preserve">. </w:t>
      </w:r>
    </w:p>
    <w:p w14:paraId="1CB46C80" w14:textId="77777777" w:rsidR="005405DF" w:rsidRPr="007C50B4" w:rsidRDefault="005405DF" w:rsidP="007F1168">
      <w:pPr>
        <w:rPr>
          <w:rFonts w:cstheme="minorHAnsi"/>
          <w:szCs w:val="22"/>
        </w:rPr>
      </w:pPr>
    </w:p>
    <w:p w14:paraId="50B31F07" w14:textId="2DE60C2D" w:rsidR="005405DF" w:rsidRPr="007C50B4" w:rsidRDefault="005405DF" w:rsidP="006B191A">
      <w:pPr>
        <w:shd w:val="clear" w:color="auto" w:fill="FFFFFF" w:themeFill="background1"/>
        <w:rPr>
          <w:rFonts w:eastAsia="Calibri" w:cstheme="minorHAnsi"/>
          <w:b/>
        </w:rPr>
      </w:pPr>
      <w:r w:rsidRPr="007C50B4">
        <w:rPr>
          <w:rFonts w:cstheme="minorHAnsi"/>
          <w:b/>
          <w:szCs w:val="22"/>
        </w:rPr>
        <w:t>Právní úprava zákonného pojištění</w:t>
      </w:r>
      <w:r w:rsidR="00F4657D" w:rsidRPr="007C50B4">
        <w:rPr>
          <w:rFonts w:cstheme="minorHAnsi"/>
          <w:b/>
          <w:szCs w:val="22"/>
        </w:rPr>
        <w:t xml:space="preserve"> </w:t>
      </w:r>
      <w:r w:rsidRPr="007C50B4">
        <w:rPr>
          <w:rFonts w:cstheme="minorHAnsi"/>
          <w:b/>
          <w:szCs w:val="22"/>
        </w:rPr>
        <w:t xml:space="preserve">je </w:t>
      </w:r>
      <w:r w:rsidR="00F4657D" w:rsidRPr="007C50B4">
        <w:rPr>
          <w:rFonts w:cstheme="minorHAnsi"/>
          <w:b/>
          <w:szCs w:val="22"/>
        </w:rPr>
        <w:t xml:space="preserve">významně </w:t>
      </w:r>
      <w:r w:rsidR="001A0EC8" w:rsidRPr="007C50B4">
        <w:rPr>
          <w:rFonts w:cstheme="minorHAnsi"/>
          <w:b/>
          <w:szCs w:val="22"/>
        </w:rPr>
        <w:t xml:space="preserve">zatížena systémovými nedostatky, které </w:t>
      </w:r>
      <w:r w:rsidR="00F4657D" w:rsidRPr="007C50B4">
        <w:rPr>
          <w:rFonts w:cstheme="minorHAnsi"/>
          <w:b/>
          <w:szCs w:val="22"/>
        </w:rPr>
        <w:t>činí systém zákonného pojištění nefunkční</w:t>
      </w:r>
      <w:r w:rsidR="00BE3366">
        <w:rPr>
          <w:rFonts w:cstheme="minorHAnsi"/>
          <w:b/>
          <w:szCs w:val="22"/>
        </w:rPr>
        <w:t>m</w:t>
      </w:r>
      <w:r w:rsidR="001E1E98">
        <w:rPr>
          <w:rFonts w:cstheme="minorHAnsi"/>
          <w:b/>
          <w:szCs w:val="22"/>
        </w:rPr>
        <w:t>.</w:t>
      </w:r>
      <w:r w:rsidR="00F4657D" w:rsidRPr="007C50B4">
        <w:rPr>
          <w:rFonts w:cstheme="minorHAnsi"/>
          <w:b/>
          <w:szCs w:val="22"/>
        </w:rPr>
        <w:t xml:space="preserve"> </w:t>
      </w:r>
      <w:r w:rsidR="00983F69" w:rsidRPr="007C50B4">
        <w:rPr>
          <w:rFonts w:eastAsia="Calibri" w:cstheme="minorHAnsi"/>
          <w:b/>
        </w:rPr>
        <w:t>Od roku 2006 nepodléhá systém zákonného pojištění dozoru ani dohledu ze</w:t>
      </w:r>
      <w:r w:rsidR="00983F69" w:rsidRPr="007C50B4">
        <w:rPr>
          <w:rFonts w:cstheme="minorHAnsi"/>
          <w:b/>
        </w:rPr>
        <w:t xml:space="preserve"> strany státních orgánů ani ze strany Č</w:t>
      </w:r>
      <w:r w:rsidR="001E1E98">
        <w:rPr>
          <w:rFonts w:cstheme="minorHAnsi"/>
          <w:b/>
        </w:rPr>
        <w:t>eské národní banky</w:t>
      </w:r>
      <w:r w:rsidR="00983F69" w:rsidRPr="007C50B4">
        <w:rPr>
          <w:rFonts w:eastAsia="Calibri" w:cstheme="minorHAnsi"/>
          <w:b/>
        </w:rPr>
        <w:t xml:space="preserve">. </w:t>
      </w:r>
      <w:r w:rsidR="001A0EC8" w:rsidRPr="007C50B4">
        <w:rPr>
          <w:rFonts w:cstheme="minorHAnsi"/>
          <w:b/>
          <w:bCs/>
          <w:szCs w:val="22"/>
        </w:rPr>
        <w:t xml:space="preserve">MPSV </w:t>
      </w:r>
      <w:r w:rsidR="00E975C7" w:rsidRPr="007C50B4">
        <w:rPr>
          <w:rFonts w:cstheme="minorHAnsi"/>
          <w:b/>
          <w:bCs/>
          <w:szCs w:val="22"/>
        </w:rPr>
        <w:t>i</w:t>
      </w:r>
      <w:r w:rsidR="001A0EC8" w:rsidRPr="007C50B4">
        <w:rPr>
          <w:rFonts w:cstheme="minorHAnsi"/>
          <w:b/>
          <w:bCs/>
          <w:szCs w:val="22"/>
        </w:rPr>
        <w:t xml:space="preserve"> MF </w:t>
      </w:r>
      <w:r w:rsidR="00E975C7" w:rsidRPr="007C50B4">
        <w:rPr>
          <w:rFonts w:cstheme="minorHAnsi"/>
          <w:b/>
          <w:bCs/>
          <w:szCs w:val="22"/>
        </w:rPr>
        <w:t xml:space="preserve">bezvýsledně </w:t>
      </w:r>
      <w:r w:rsidR="001A0EC8" w:rsidRPr="007C50B4">
        <w:rPr>
          <w:rFonts w:cstheme="minorHAnsi"/>
          <w:b/>
          <w:bCs/>
          <w:szCs w:val="22"/>
        </w:rPr>
        <w:t>předkládal</w:t>
      </w:r>
      <w:r w:rsidR="00BE3366">
        <w:rPr>
          <w:rFonts w:cstheme="minorHAnsi"/>
          <w:b/>
          <w:bCs/>
          <w:szCs w:val="22"/>
        </w:rPr>
        <w:t>y</w:t>
      </w:r>
      <w:r w:rsidR="001A0EC8" w:rsidRPr="007C50B4">
        <w:rPr>
          <w:rFonts w:cstheme="minorHAnsi"/>
          <w:b/>
          <w:bCs/>
          <w:szCs w:val="22"/>
        </w:rPr>
        <w:t xml:space="preserve"> v období </w:t>
      </w:r>
      <w:r w:rsidR="00BE3366">
        <w:rPr>
          <w:rFonts w:cstheme="minorHAnsi"/>
          <w:b/>
          <w:bCs/>
          <w:szCs w:val="22"/>
        </w:rPr>
        <w:t xml:space="preserve">let </w:t>
      </w:r>
      <w:r w:rsidR="001A0EC8" w:rsidRPr="007C50B4">
        <w:rPr>
          <w:rFonts w:cstheme="minorHAnsi"/>
          <w:b/>
          <w:bCs/>
          <w:szCs w:val="22"/>
        </w:rPr>
        <w:t>2006</w:t>
      </w:r>
      <w:r w:rsidR="00F71CAC" w:rsidRPr="007C50B4">
        <w:rPr>
          <w:rFonts w:cstheme="minorHAnsi"/>
          <w:b/>
          <w:bCs/>
          <w:szCs w:val="22"/>
        </w:rPr>
        <w:t>–</w:t>
      </w:r>
      <w:r w:rsidR="001A0EC8" w:rsidRPr="007C50B4">
        <w:rPr>
          <w:rFonts w:cstheme="minorHAnsi"/>
          <w:b/>
          <w:bCs/>
          <w:szCs w:val="22"/>
        </w:rPr>
        <w:t xml:space="preserve">2017 legislativní návrhy na změnu </w:t>
      </w:r>
      <w:r w:rsidR="00B418C9" w:rsidRPr="007C50B4">
        <w:rPr>
          <w:rFonts w:cstheme="minorHAnsi"/>
          <w:b/>
          <w:bCs/>
          <w:szCs w:val="22"/>
        </w:rPr>
        <w:t>systému</w:t>
      </w:r>
      <w:r w:rsidR="008262CC" w:rsidRPr="007C50B4">
        <w:rPr>
          <w:rFonts w:cstheme="minorHAnsi"/>
          <w:b/>
          <w:bCs/>
          <w:szCs w:val="22"/>
        </w:rPr>
        <w:t xml:space="preserve"> zákonného pojištění</w:t>
      </w:r>
      <w:r w:rsidR="006B191A" w:rsidRPr="007C50B4">
        <w:rPr>
          <w:rFonts w:cstheme="minorHAnsi"/>
          <w:b/>
          <w:bCs/>
          <w:szCs w:val="22"/>
        </w:rPr>
        <w:t>.</w:t>
      </w:r>
      <w:r w:rsidR="008262CC" w:rsidRPr="007C50B4">
        <w:rPr>
          <w:rFonts w:cstheme="minorHAnsi"/>
          <w:b/>
          <w:bCs/>
          <w:szCs w:val="22"/>
        </w:rPr>
        <w:t xml:space="preserve"> </w:t>
      </w:r>
    </w:p>
    <w:p w14:paraId="02BA26B0" w14:textId="77777777" w:rsidR="005405DF" w:rsidRPr="007C50B4" w:rsidRDefault="005405DF" w:rsidP="007F1168">
      <w:pPr>
        <w:rPr>
          <w:rFonts w:cstheme="minorHAnsi"/>
          <w:bCs/>
          <w:szCs w:val="22"/>
        </w:rPr>
      </w:pPr>
    </w:p>
    <w:p w14:paraId="3A6AEAEE" w14:textId="2753B8BC" w:rsidR="005405DF" w:rsidRPr="00E86180" w:rsidRDefault="005405DF" w:rsidP="007F116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7C50B4">
        <w:rPr>
          <w:rFonts w:asciiTheme="minorHAnsi" w:hAnsiTheme="minorHAnsi" w:cstheme="minorHAnsi"/>
          <w:b/>
          <w:bCs/>
        </w:rPr>
        <w:t>Pověřen</w:t>
      </w:r>
      <w:r w:rsidR="00427EEA" w:rsidRPr="007C50B4">
        <w:rPr>
          <w:rFonts w:asciiTheme="minorHAnsi" w:hAnsiTheme="minorHAnsi" w:cstheme="minorHAnsi"/>
          <w:b/>
          <w:bCs/>
        </w:rPr>
        <w:t>é pojišťovny, Česká pojišťovna</w:t>
      </w:r>
      <w:r w:rsidRPr="007C50B4">
        <w:rPr>
          <w:rFonts w:asciiTheme="minorHAnsi" w:hAnsiTheme="minorHAnsi" w:cstheme="minorHAnsi"/>
          <w:b/>
          <w:bCs/>
        </w:rPr>
        <w:t xml:space="preserve"> a Kooperativa</w:t>
      </w:r>
      <w:r w:rsidR="00427EEA" w:rsidRPr="007C50B4">
        <w:rPr>
          <w:rFonts w:asciiTheme="minorHAnsi" w:hAnsiTheme="minorHAnsi" w:cstheme="minorHAnsi"/>
          <w:b/>
          <w:bCs/>
        </w:rPr>
        <w:t>,</w:t>
      </w:r>
      <w:r w:rsidRPr="007C50B4">
        <w:rPr>
          <w:rFonts w:asciiTheme="minorHAnsi" w:hAnsiTheme="minorHAnsi" w:cstheme="minorHAnsi"/>
          <w:b/>
          <w:bCs/>
        </w:rPr>
        <w:t xml:space="preserve"> </w:t>
      </w:r>
      <w:r w:rsidR="00550CE9" w:rsidRPr="007C50B4">
        <w:rPr>
          <w:rFonts w:asciiTheme="minorHAnsi" w:hAnsiTheme="minorHAnsi" w:cstheme="minorHAnsi"/>
          <w:b/>
          <w:bCs/>
        </w:rPr>
        <w:t xml:space="preserve">provozují </w:t>
      </w:r>
      <w:r w:rsidRPr="007C50B4">
        <w:rPr>
          <w:rFonts w:asciiTheme="minorHAnsi" w:hAnsiTheme="minorHAnsi" w:cstheme="minorHAnsi"/>
          <w:b/>
          <w:bCs/>
        </w:rPr>
        <w:t>zákonné pojištění pro stát v intencích současné nedostatečné právní úpravy, v důsledku čehož nevymáhají pojistné po všech povinných subjektech</w:t>
      </w:r>
      <w:r w:rsidR="00185502">
        <w:rPr>
          <w:rFonts w:asciiTheme="minorHAnsi" w:hAnsiTheme="minorHAnsi" w:cstheme="minorHAnsi"/>
          <w:b/>
          <w:bCs/>
        </w:rPr>
        <w:t xml:space="preserve"> a</w:t>
      </w:r>
      <w:r w:rsidRPr="007C50B4">
        <w:rPr>
          <w:rFonts w:asciiTheme="minorHAnsi" w:hAnsiTheme="minorHAnsi" w:cstheme="minorHAnsi"/>
          <w:b/>
          <w:bCs/>
        </w:rPr>
        <w:t xml:space="preserve"> </w:t>
      </w:r>
      <w:r w:rsidR="00E86180" w:rsidRPr="007C50B4">
        <w:rPr>
          <w:rFonts w:asciiTheme="minorHAnsi" w:hAnsiTheme="minorHAnsi" w:cstheme="minorHAnsi"/>
          <w:b/>
          <w:bCs/>
        </w:rPr>
        <w:t xml:space="preserve">neověřují </w:t>
      </w:r>
      <w:r w:rsidR="00B8164F" w:rsidRPr="007C50B4">
        <w:rPr>
          <w:rFonts w:asciiTheme="minorHAnsi" w:hAnsiTheme="minorHAnsi" w:cstheme="minorHAnsi"/>
          <w:b/>
          <w:bCs/>
        </w:rPr>
        <w:t>systematicky, zda zaměstnavatelé odvád</w:t>
      </w:r>
      <w:r w:rsidR="0015155C" w:rsidRPr="007C50B4">
        <w:rPr>
          <w:rFonts w:asciiTheme="minorHAnsi" w:hAnsiTheme="minorHAnsi" w:cstheme="minorHAnsi"/>
          <w:b/>
          <w:bCs/>
        </w:rPr>
        <w:t>ějí</w:t>
      </w:r>
      <w:r w:rsidR="00B8164F" w:rsidRPr="007C50B4">
        <w:rPr>
          <w:rFonts w:asciiTheme="minorHAnsi" w:hAnsiTheme="minorHAnsi" w:cstheme="minorHAnsi"/>
          <w:b/>
          <w:bCs/>
        </w:rPr>
        <w:t xml:space="preserve"> pojistné ve správné výši</w:t>
      </w:r>
      <w:r w:rsidR="00185502">
        <w:rPr>
          <w:rFonts w:asciiTheme="minorHAnsi" w:hAnsiTheme="minorHAnsi" w:cstheme="minorHAnsi"/>
          <w:b/>
          <w:bCs/>
        </w:rPr>
        <w:t>. V</w:t>
      </w:r>
      <w:r w:rsidR="00E86180">
        <w:rPr>
          <w:rFonts w:asciiTheme="minorHAnsi" w:hAnsiTheme="minorHAnsi" w:cstheme="minorHAnsi"/>
          <w:b/>
          <w:bCs/>
        </w:rPr>
        <w:t> </w:t>
      </w:r>
      <w:r w:rsidRPr="007C50B4">
        <w:rPr>
          <w:rFonts w:asciiTheme="minorHAnsi" w:hAnsiTheme="minorHAnsi" w:cstheme="minorHAnsi"/>
          <w:b/>
          <w:bCs/>
        </w:rPr>
        <w:t>případech</w:t>
      </w:r>
      <w:r w:rsidR="00E86180">
        <w:rPr>
          <w:rFonts w:asciiTheme="minorHAnsi" w:hAnsiTheme="minorHAnsi" w:cstheme="minorHAnsi"/>
          <w:b/>
          <w:bCs/>
        </w:rPr>
        <w:t>, kdy</w:t>
      </w:r>
      <w:r w:rsidRPr="007C50B4">
        <w:rPr>
          <w:rFonts w:asciiTheme="minorHAnsi" w:hAnsiTheme="minorHAnsi" w:cstheme="minorHAnsi"/>
          <w:b/>
          <w:bCs/>
        </w:rPr>
        <w:t xml:space="preserve"> </w:t>
      </w:r>
      <w:r w:rsidR="00E86180" w:rsidRPr="007C50B4">
        <w:rPr>
          <w:rFonts w:asciiTheme="minorHAnsi" w:hAnsiTheme="minorHAnsi" w:cstheme="minorHAnsi"/>
          <w:b/>
          <w:bCs/>
        </w:rPr>
        <w:t>pojistné</w:t>
      </w:r>
      <w:r w:rsidR="00E86180">
        <w:rPr>
          <w:rFonts w:asciiTheme="minorHAnsi" w:hAnsiTheme="minorHAnsi" w:cstheme="minorHAnsi"/>
          <w:b/>
          <w:bCs/>
        </w:rPr>
        <w:t xml:space="preserve"> není</w:t>
      </w:r>
      <w:r w:rsidR="00E86180" w:rsidRPr="007C50B4">
        <w:rPr>
          <w:rFonts w:asciiTheme="minorHAnsi" w:hAnsiTheme="minorHAnsi" w:cstheme="minorHAnsi"/>
          <w:b/>
          <w:bCs/>
        </w:rPr>
        <w:t xml:space="preserve"> zaplacen</w:t>
      </w:r>
      <w:r w:rsidR="00E86180">
        <w:rPr>
          <w:rFonts w:asciiTheme="minorHAnsi" w:hAnsiTheme="minorHAnsi" w:cstheme="minorHAnsi"/>
          <w:b/>
          <w:bCs/>
        </w:rPr>
        <w:t>o</w:t>
      </w:r>
      <w:r w:rsidR="00E86180" w:rsidRPr="007C50B4">
        <w:rPr>
          <w:rFonts w:asciiTheme="minorHAnsi" w:hAnsiTheme="minorHAnsi" w:cstheme="minorHAnsi"/>
          <w:b/>
          <w:bCs/>
        </w:rPr>
        <w:t xml:space="preserve"> </w:t>
      </w:r>
      <w:r w:rsidR="00C250FF" w:rsidRPr="007C50B4">
        <w:rPr>
          <w:rFonts w:asciiTheme="minorHAnsi" w:hAnsiTheme="minorHAnsi" w:cstheme="minorHAnsi"/>
          <w:b/>
          <w:bCs/>
        </w:rPr>
        <w:t>včas</w:t>
      </w:r>
      <w:r w:rsidR="00E86180">
        <w:rPr>
          <w:rFonts w:asciiTheme="minorHAnsi" w:hAnsiTheme="minorHAnsi" w:cstheme="minorHAnsi"/>
          <w:b/>
          <w:bCs/>
        </w:rPr>
        <w:t>,</w:t>
      </w:r>
      <w:r w:rsidR="00C250FF" w:rsidRPr="007C50B4">
        <w:rPr>
          <w:rFonts w:asciiTheme="minorHAnsi" w:hAnsiTheme="minorHAnsi" w:cstheme="minorHAnsi"/>
          <w:b/>
          <w:bCs/>
        </w:rPr>
        <w:t xml:space="preserve"> </w:t>
      </w:r>
      <w:r w:rsidR="00E86180" w:rsidRPr="007C50B4">
        <w:rPr>
          <w:rFonts w:asciiTheme="minorHAnsi" w:hAnsiTheme="minorHAnsi" w:cstheme="minorHAnsi"/>
          <w:b/>
          <w:bCs/>
        </w:rPr>
        <w:t xml:space="preserve">nevymáhají </w:t>
      </w:r>
      <w:r w:rsidR="00185502">
        <w:rPr>
          <w:rFonts w:asciiTheme="minorHAnsi" w:hAnsiTheme="minorHAnsi" w:cstheme="minorHAnsi"/>
          <w:b/>
          <w:bCs/>
        </w:rPr>
        <w:t xml:space="preserve">pověřené pojišťovny </w:t>
      </w:r>
      <w:r w:rsidRPr="007C50B4">
        <w:rPr>
          <w:rFonts w:asciiTheme="minorHAnsi" w:hAnsiTheme="minorHAnsi" w:cstheme="minorHAnsi"/>
          <w:b/>
          <w:bCs/>
        </w:rPr>
        <w:t>důsledně úhrady zvýšeného pojistného a u zvýšeného pojistného přistupují pravidelně k upuštění od vymáhání</w:t>
      </w:r>
      <w:r w:rsidRPr="00E86180">
        <w:rPr>
          <w:rFonts w:asciiTheme="minorHAnsi" w:hAnsiTheme="minorHAnsi" w:cstheme="minorHAnsi"/>
          <w:b/>
          <w:bCs/>
        </w:rPr>
        <w:t>.</w:t>
      </w:r>
      <w:r w:rsidRPr="001C0B30">
        <w:rPr>
          <w:rFonts w:asciiTheme="minorHAnsi" w:hAnsiTheme="minorHAnsi" w:cstheme="minorHAnsi"/>
          <w:b/>
          <w:bCs/>
        </w:rPr>
        <w:t xml:space="preserve"> </w:t>
      </w:r>
    </w:p>
    <w:p w14:paraId="32C380C2" w14:textId="77777777" w:rsidR="005405DF" w:rsidRPr="00EC639B" w:rsidRDefault="005405DF" w:rsidP="007F1168">
      <w:pPr>
        <w:rPr>
          <w:rFonts w:cstheme="minorHAnsi"/>
          <w:b/>
          <w:szCs w:val="22"/>
        </w:rPr>
      </w:pPr>
    </w:p>
    <w:p w14:paraId="630AB4B8" w14:textId="00B29E5A" w:rsidR="005405DF" w:rsidRDefault="005405DF" w:rsidP="007F1168">
      <w:pPr>
        <w:rPr>
          <w:rFonts w:cstheme="minorHAnsi"/>
          <w:bCs/>
          <w:szCs w:val="22"/>
        </w:rPr>
      </w:pPr>
    </w:p>
    <w:p w14:paraId="5F7183D0" w14:textId="46E06498" w:rsidR="0037281C" w:rsidRPr="003845AB" w:rsidRDefault="0037281C" w:rsidP="007F1168">
      <w:pPr>
        <w:rPr>
          <w:rFonts w:cstheme="minorHAnsi"/>
          <w:b/>
          <w:bCs/>
          <w:szCs w:val="22"/>
        </w:rPr>
      </w:pPr>
      <w:r w:rsidRPr="003845AB">
        <w:rPr>
          <w:rFonts w:cstheme="minorHAnsi"/>
          <w:b/>
          <w:bCs/>
          <w:szCs w:val="22"/>
        </w:rPr>
        <w:t>Systémové nedostatky</w:t>
      </w:r>
    </w:p>
    <w:p w14:paraId="297FFE80" w14:textId="77777777" w:rsidR="0037281C" w:rsidRPr="00EC639B" w:rsidRDefault="0037281C" w:rsidP="007F1168">
      <w:pPr>
        <w:rPr>
          <w:rFonts w:cstheme="minorHAnsi"/>
          <w:bCs/>
          <w:szCs w:val="22"/>
        </w:rPr>
      </w:pPr>
    </w:p>
    <w:p w14:paraId="69D3FBB8" w14:textId="0C85D3D5" w:rsidR="00125A1F" w:rsidRPr="007C50B4" w:rsidRDefault="005405DF" w:rsidP="00F85419">
      <w:pPr>
        <w:ind w:left="66"/>
        <w:rPr>
          <w:rFonts w:cstheme="minorHAnsi"/>
          <w:bCs/>
        </w:rPr>
      </w:pPr>
      <w:r w:rsidRPr="00363819">
        <w:rPr>
          <w:rFonts w:cstheme="minorHAnsi"/>
          <w:bCs/>
        </w:rPr>
        <w:t>Právní úprava zákonného pojištění</w:t>
      </w:r>
      <w:r w:rsidR="00125A1F" w:rsidRPr="00363819">
        <w:rPr>
          <w:rFonts w:cstheme="minorHAnsi"/>
          <w:bCs/>
        </w:rPr>
        <w:t xml:space="preserve">, která </w:t>
      </w:r>
      <w:r w:rsidR="00427EEA" w:rsidRPr="00F85419">
        <w:rPr>
          <w:rFonts w:cstheme="minorHAnsi"/>
          <w:bCs/>
        </w:rPr>
        <w:t>se od roku 1993 říd</w:t>
      </w:r>
      <w:r w:rsidR="00AF44FE" w:rsidRPr="00F85419">
        <w:rPr>
          <w:rFonts w:cstheme="minorHAnsi"/>
          <w:bCs/>
        </w:rPr>
        <w:t>í</w:t>
      </w:r>
      <w:r w:rsidR="0035634A" w:rsidRPr="00F85419">
        <w:rPr>
          <w:rFonts w:cstheme="minorHAnsi"/>
          <w:bCs/>
        </w:rPr>
        <w:t xml:space="preserve"> ustanovením</w:t>
      </w:r>
      <w:r w:rsidR="009A536D" w:rsidRPr="00F85419">
        <w:rPr>
          <w:rFonts w:cstheme="minorHAnsi"/>
          <w:bCs/>
        </w:rPr>
        <w:t xml:space="preserve"> </w:t>
      </w:r>
      <w:r w:rsidR="009A536D" w:rsidRPr="007C50B4">
        <w:rPr>
          <w:rFonts w:cstheme="minorHAnsi"/>
          <w:bCs/>
        </w:rPr>
        <w:t xml:space="preserve">§ 205d </w:t>
      </w:r>
      <w:r w:rsidR="00D35BE8" w:rsidRPr="007C50B4">
        <w:rPr>
          <w:rFonts w:cstheme="minorHAnsi"/>
          <w:bCs/>
        </w:rPr>
        <w:t xml:space="preserve">zrušeného </w:t>
      </w:r>
      <w:r w:rsidR="009A536D" w:rsidRPr="007C50B4">
        <w:rPr>
          <w:rFonts w:cstheme="minorHAnsi"/>
          <w:bCs/>
        </w:rPr>
        <w:t>zákona č. </w:t>
      </w:r>
      <w:r w:rsidRPr="007C50B4">
        <w:rPr>
          <w:rFonts w:cstheme="minorHAnsi"/>
          <w:bCs/>
        </w:rPr>
        <w:t>65/1965 Sb.</w:t>
      </w:r>
      <w:r w:rsidR="00594EAC" w:rsidRPr="007C50B4">
        <w:rPr>
          <w:rStyle w:val="Znakapoznpodarou"/>
          <w:rFonts w:cstheme="minorHAnsi"/>
          <w:bCs/>
        </w:rPr>
        <w:footnoteReference w:id="2"/>
      </w:r>
      <w:r w:rsidRPr="007C50B4">
        <w:rPr>
          <w:rFonts w:cstheme="minorHAnsi"/>
          <w:bCs/>
        </w:rPr>
        <w:t xml:space="preserve"> a vyhláškou č. 125/1993 Sb.</w:t>
      </w:r>
      <w:r w:rsidR="00A65BE1" w:rsidRPr="007C50B4">
        <w:rPr>
          <w:rStyle w:val="Znakapoznpodarou"/>
          <w:rFonts w:cstheme="minorHAnsi"/>
          <w:bCs/>
        </w:rPr>
        <w:footnoteReference w:id="3"/>
      </w:r>
      <w:r w:rsidR="00125A1F" w:rsidRPr="007C50B4">
        <w:rPr>
          <w:rFonts w:cstheme="minorHAnsi"/>
          <w:bCs/>
        </w:rPr>
        <w:t xml:space="preserve">, </w:t>
      </w:r>
      <w:r w:rsidRPr="007C50B4">
        <w:rPr>
          <w:rFonts w:cstheme="minorHAnsi"/>
          <w:bCs/>
        </w:rPr>
        <w:t>vykaz</w:t>
      </w:r>
      <w:r w:rsidR="00AF44FE" w:rsidRPr="007C50B4">
        <w:rPr>
          <w:rFonts w:cstheme="minorHAnsi"/>
          <w:bCs/>
        </w:rPr>
        <w:t>uje</w:t>
      </w:r>
      <w:r w:rsidRPr="007C50B4">
        <w:rPr>
          <w:rFonts w:cstheme="minorHAnsi"/>
          <w:bCs/>
        </w:rPr>
        <w:t xml:space="preserve"> </w:t>
      </w:r>
      <w:r w:rsidR="0035634A" w:rsidRPr="007C50B4">
        <w:rPr>
          <w:rFonts w:cstheme="minorHAnsi"/>
          <w:bCs/>
        </w:rPr>
        <w:t xml:space="preserve">následující </w:t>
      </w:r>
      <w:r w:rsidRPr="007C50B4">
        <w:rPr>
          <w:rFonts w:cstheme="minorHAnsi"/>
          <w:bCs/>
        </w:rPr>
        <w:t>nedostatky</w:t>
      </w:r>
      <w:r w:rsidR="00125A1F" w:rsidRPr="007C50B4">
        <w:rPr>
          <w:rFonts w:cstheme="minorHAnsi"/>
          <w:bCs/>
        </w:rPr>
        <w:t>:</w:t>
      </w:r>
    </w:p>
    <w:p w14:paraId="2CC3D089" w14:textId="2951AB58" w:rsidR="005405DF" w:rsidRPr="007C50B4" w:rsidRDefault="005405DF" w:rsidP="00F85419">
      <w:pPr>
        <w:pStyle w:val="Odstavecseseznamem"/>
        <w:spacing w:after="0" w:line="240" w:lineRule="auto"/>
        <w:ind w:left="426"/>
        <w:jc w:val="both"/>
        <w:rPr>
          <w:rFonts w:asciiTheme="minorHAnsi" w:hAnsiTheme="minorHAnsi" w:cstheme="minorHAnsi"/>
          <w:bCs/>
          <w:u w:val="single"/>
        </w:rPr>
      </w:pPr>
    </w:p>
    <w:p w14:paraId="44B77AB3" w14:textId="506292B0" w:rsidR="002D05B3" w:rsidRPr="007C50B4" w:rsidRDefault="002D05B3" w:rsidP="00D962D4">
      <w:pPr>
        <w:pStyle w:val="Odstavecseseznamem"/>
        <w:numPr>
          <w:ilvl w:val="0"/>
          <w:numId w:val="31"/>
        </w:numPr>
        <w:spacing w:line="240" w:lineRule="auto"/>
        <w:ind w:left="426"/>
        <w:jc w:val="both"/>
        <w:rPr>
          <w:rFonts w:cstheme="minorHAnsi"/>
        </w:rPr>
      </w:pPr>
      <w:r w:rsidRPr="002D21F2">
        <w:rPr>
          <w:rFonts w:cstheme="minorHAnsi"/>
        </w:rPr>
        <w:t xml:space="preserve">Systém zákonného pojištění nepodléhá </w:t>
      </w:r>
      <w:r w:rsidR="00D57A45" w:rsidRPr="002D21F2">
        <w:rPr>
          <w:rFonts w:cstheme="minorHAnsi"/>
        </w:rPr>
        <w:t xml:space="preserve">od roku 2006 </w:t>
      </w:r>
      <w:r w:rsidR="00DE1BD7" w:rsidRPr="002D21F2">
        <w:rPr>
          <w:rFonts w:cstheme="minorHAnsi"/>
        </w:rPr>
        <w:t xml:space="preserve">dozoru ani </w:t>
      </w:r>
      <w:r w:rsidRPr="002D21F2">
        <w:rPr>
          <w:rFonts w:cstheme="minorHAnsi"/>
        </w:rPr>
        <w:t>dohledu.</w:t>
      </w:r>
      <w:r w:rsidR="00D605D6" w:rsidRPr="007C50B4">
        <w:rPr>
          <w:rFonts w:cstheme="minorHAnsi"/>
        </w:rPr>
        <w:t xml:space="preserve"> MF bylo d</w:t>
      </w:r>
      <w:r w:rsidR="00594EAC" w:rsidRPr="007C50B4">
        <w:rPr>
          <w:rFonts w:cstheme="minorHAnsi"/>
        </w:rPr>
        <w:t xml:space="preserve">o </w:t>
      </w:r>
      <w:r w:rsidR="007F14BA">
        <w:rPr>
          <w:rFonts w:cstheme="minorHAnsi"/>
        </w:rPr>
        <w:br/>
      </w:r>
      <w:r w:rsidR="00594EAC" w:rsidRPr="007C50B4">
        <w:rPr>
          <w:rFonts w:cstheme="minorHAnsi"/>
        </w:rPr>
        <w:t>31</w:t>
      </w:r>
      <w:r w:rsidRPr="007C50B4">
        <w:rPr>
          <w:rFonts w:cstheme="minorHAnsi"/>
        </w:rPr>
        <w:t>.</w:t>
      </w:r>
      <w:r w:rsidR="007F14BA">
        <w:rPr>
          <w:rFonts w:cstheme="minorHAnsi"/>
        </w:rPr>
        <w:t xml:space="preserve"> </w:t>
      </w:r>
      <w:r w:rsidRPr="007C50B4">
        <w:rPr>
          <w:rFonts w:cstheme="minorHAnsi"/>
        </w:rPr>
        <w:t>3.</w:t>
      </w:r>
      <w:r w:rsidR="007F14BA">
        <w:rPr>
          <w:rFonts w:cstheme="minorHAnsi"/>
        </w:rPr>
        <w:t xml:space="preserve"> </w:t>
      </w:r>
      <w:r w:rsidRPr="007C50B4">
        <w:rPr>
          <w:rFonts w:cstheme="minorHAnsi"/>
        </w:rPr>
        <w:t>2006 orgánem státního dozoru nad pojišťovnictvím. Od 1.</w:t>
      </w:r>
      <w:r w:rsidR="007F14BA">
        <w:rPr>
          <w:rFonts w:cstheme="minorHAnsi"/>
        </w:rPr>
        <w:t xml:space="preserve"> </w:t>
      </w:r>
      <w:r w:rsidRPr="007C50B4">
        <w:rPr>
          <w:rFonts w:cstheme="minorHAnsi"/>
        </w:rPr>
        <w:t xml:space="preserve">4. 2006 </w:t>
      </w:r>
      <w:r w:rsidR="006F30D0" w:rsidRPr="007C50B4">
        <w:rPr>
          <w:rFonts w:cstheme="minorHAnsi"/>
        </w:rPr>
        <w:t xml:space="preserve">vykonává </w:t>
      </w:r>
      <w:r w:rsidR="00DE1BD7" w:rsidRPr="007C50B4">
        <w:rPr>
          <w:rFonts w:cstheme="minorHAnsi"/>
        </w:rPr>
        <w:t>dohled</w:t>
      </w:r>
      <w:r w:rsidRPr="007C50B4">
        <w:rPr>
          <w:rFonts w:cstheme="minorHAnsi"/>
        </w:rPr>
        <w:t xml:space="preserve"> podle zákona o pojišťovnictví</w:t>
      </w:r>
      <w:r w:rsidR="00DB3F7E" w:rsidRPr="007C50B4">
        <w:rPr>
          <w:rStyle w:val="Znakapoznpodarou"/>
          <w:rFonts w:cstheme="minorHAnsi"/>
        </w:rPr>
        <w:footnoteReference w:id="4"/>
      </w:r>
      <w:r w:rsidRPr="007C50B4">
        <w:rPr>
          <w:rFonts w:cstheme="minorHAnsi"/>
        </w:rPr>
        <w:t xml:space="preserve"> Česká národní banka</w:t>
      </w:r>
      <w:r w:rsidR="00B418C9" w:rsidRPr="007C50B4">
        <w:rPr>
          <w:rFonts w:cstheme="minorHAnsi"/>
        </w:rPr>
        <w:t>, ale na z</w:t>
      </w:r>
      <w:r w:rsidRPr="007C50B4">
        <w:rPr>
          <w:rFonts w:cstheme="minorHAnsi"/>
        </w:rPr>
        <w:t xml:space="preserve">ákonné pojištění se dohled ČNB </w:t>
      </w:r>
      <w:r w:rsidR="00B418C9" w:rsidRPr="007C50B4">
        <w:rPr>
          <w:rFonts w:cstheme="minorHAnsi"/>
        </w:rPr>
        <w:t>ne</w:t>
      </w:r>
      <w:r w:rsidRPr="007C50B4">
        <w:rPr>
          <w:rFonts w:cstheme="minorHAnsi"/>
        </w:rPr>
        <w:t>vztahuje.</w:t>
      </w:r>
    </w:p>
    <w:p w14:paraId="744FE1BF" w14:textId="77777777" w:rsidR="002D05B3" w:rsidRPr="007C50B4" w:rsidRDefault="002D05B3" w:rsidP="00D962D4">
      <w:pPr>
        <w:pStyle w:val="Odstavecseseznamem"/>
        <w:spacing w:line="240" w:lineRule="auto"/>
        <w:ind w:left="426"/>
        <w:jc w:val="both"/>
        <w:rPr>
          <w:rFonts w:cstheme="minorHAnsi"/>
        </w:rPr>
      </w:pPr>
    </w:p>
    <w:p w14:paraId="0EA6D73F" w14:textId="40448782" w:rsidR="00125A1F" w:rsidRPr="007C50B4" w:rsidRDefault="00A65BE1" w:rsidP="00D962D4">
      <w:pPr>
        <w:pStyle w:val="Odstavecseseznamem"/>
        <w:numPr>
          <w:ilvl w:val="0"/>
          <w:numId w:val="31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szCs w:val="24"/>
        </w:rPr>
      </w:pPr>
      <w:r w:rsidRPr="002D21F2">
        <w:rPr>
          <w:rFonts w:cstheme="minorHAnsi"/>
          <w:bCs/>
        </w:rPr>
        <w:t>N</w:t>
      </w:r>
      <w:r w:rsidR="00B41159" w:rsidRPr="002D21F2">
        <w:rPr>
          <w:rFonts w:cstheme="minorHAnsi"/>
          <w:bCs/>
        </w:rPr>
        <w:t>ení upravena</w:t>
      </w:r>
      <w:r w:rsidR="0043006C" w:rsidRPr="002D21F2">
        <w:rPr>
          <w:rFonts w:cstheme="minorHAnsi"/>
          <w:bCs/>
        </w:rPr>
        <w:t xml:space="preserve"> </w:t>
      </w:r>
      <w:r w:rsidR="00B41159" w:rsidRPr="002D21F2">
        <w:rPr>
          <w:rFonts w:cstheme="minorHAnsi"/>
          <w:bCs/>
        </w:rPr>
        <w:t>součinnost mezi pojišťovnami a orgány státní správy</w:t>
      </w:r>
      <w:r w:rsidR="00427EEA" w:rsidRPr="002D21F2">
        <w:rPr>
          <w:rFonts w:cstheme="minorHAnsi"/>
          <w:bCs/>
        </w:rPr>
        <w:t>.</w:t>
      </w:r>
      <w:r w:rsidR="00125A1F" w:rsidRPr="002D21F2">
        <w:rPr>
          <w:rFonts w:asciiTheme="minorHAnsi" w:hAnsiTheme="minorHAnsi" w:cstheme="minorHAnsi"/>
          <w:bCs/>
          <w:szCs w:val="24"/>
        </w:rPr>
        <w:t xml:space="preserve"> </w:t>
      </w:r>
      <w:r w:rsidR="00E23AFB">
        <w:rPr>
          <w:rFonts w:asciiTheme="minorHAnsi" w:hAnsiTheme="minorHAnsi" w:cstheme="minorHAnsi"/>
          <w:bCs/>
          <w:szCs w:val="24"/>
        </w:rPr>
        <w:t>Důsledkem c</w:t>
      </w:r>
      <w:r w:rsidR="00125A1F" w:rsidRPr="007C50B4">
        <w:rPr>
          <w:rFonts w:asciiTheme="minorHAnsi" w:hAnsiTheme="minorHAnsi" w:cstheme="minorHAnsi"/>
          <w:bCs/>
          <w:szCs w:val="24"/>
        </w:rPr>
        <w:t>hybějící součinnost</w:t>
      </w:r>
      <w:r w:rsidR="00E23AFB">
        <w:rPr>
          <w:rFonts w:asciiTheme="minorHAnsi" w:hAnsiTheme="minorHAnsi" w:cstheme="minorHAnsi"/>
          <w:bCs/>
          <w:szCs w:val="24"/>
        </w:rPr>
        <w:t>i</w:t>
      </w:r>
      <w:r w:rsidR="00125A1F" w:rsidRPr="007C50B4">
        <w:rPr>
          <w:rFonts w:asciiTheme="minorHAnsi" w:hAnsiTheme="minorHAnsi" w:cstheme="minorHAnsi"/>
          <w:bCs/>
          <w:szCs w:val="24"/>
        </w:rPr>
        <w:t xml:space="preserve"> mezi pojišťovnami a orgány státní správy </w:t>
      </w:r>
      <w:r w:rsidR="00E23AFB">
        <w:rPr>
          <w:rFonts w:asciiTheme="minorHAnsi" w:hAnsiTheme="minorHAnsi" w:cstheme="minorHAnsi"/>
          <w:bCs/>
          <w:szCs w:val="24"/>
        </w:rPr>
        <w:t>bylo to</w:t>
      </w:r>
      <w:r w:rsidR="00125A1F" w:rsidRPr="007C50B4">
        <w:rPr>
          <w:rFonts w:asciiTheme="minorHAnsi" w:hAnsiTheme="minorHAnsi" w:cstheme="minorHAnsi"/>
          <w:bCs/>
          <w:szCs w:val="24"/>
        </w:rPr>
        <w:t>, že pojišťovny neověřovaly, zda pojistné hradili všichni povinní zaměstnavatelé</w:t>
      </w:r>
      <w:r w:rsidR="00594EAC" w:rsidRPr="007C50B4">
        <w:rPr>
          <w:rFonts w:asciiTheme="minorHAnsi" w:hAnsiTheme="minorHAnsi" w:cstheme="minorHAnsi"/>
          <w:bCs/>
          <w:szCs w:val="24"/>
        </w:rPr>
        <w:t>,</w:t>
      </w:r>
      <w:r w:rsidR="00125A1F" w:rsidRPr="007C50B4">
        <w:rPr>
          <w:rFonts w:asciiTheme="minorHAnsi" w:hAnsiTheme="minorHAnsi" w:cstheme="minorHAnsi"/>
          <w:bCs/>
          <w:szCs w:val="24"/>
        </w:rPr>
        <w:t xml:space="preserve"> a aktivně nevyhledávaly zaměstnavatele, kteří svou zákonnou povinnost neplnili.</w:t>
      </w:r>
      <w:r w:rsidR="0056220A" w:rsidRPr="007C50B4">
        <w:rPr>
          <w:rFonts w:asciiTheme="minorHAnsi" w:hAnsiTheme="minorHAnsi" w:cstheme="minorHAnsi"/>
          <w:bCs/>
          <w:szCs w:val="24"/>
        </w:rPr>
        <w:t xml:space="preserve"> Z kontrol</w:t>
      </w:r>
      <w:r w:rsidR="000A178D" w:rsidRPr="007C50B4">
        <w:rPr>
          <w:rFonts w:asciiTheme="minorHAnsi" w:hAnsiTheme="minorHAnsi" w:cstheme="minorHAnsi"/>
          <w:bCs/>
          <w:szCs w:val="24"/>
        </w:rPr>
        <w:t>ovaného</w:t>
      </w:r>
      <w:r w:rsidR="006F3CCC" w:rsidRPr="007C50B4">
        <w:rPr>
          <w:rFonts w:asciiTheme="minorHAnsi" w:hAnsiTheme="minorHAnsi" w:cstheme="minorHAnsi"/>
          <w:bCs/>
          <w:szCs w:val="24"/>
        </w:rPr>
        <w:t xml:space="preserve"> vzorku 661 </w:t>
      </w:r>
      <w:r w:rsidR="0056220A" w:rsidRPr="007C50B4">
        <w:rPr>
          <w:rFonts w:asciiTheme="minorHAnsi" w:hAnsiTheme="minorHAnsi" w:cstheme="minorHAnsi"/>
          <w:bCs/>
          <w:szCs w:val="24"/>
        </w:rPr>
        <w:t xml:space="preserve">zaměstnavatelů tuto povinnost v období </w:t>
      </w:r>
      <w:r w:rsidR="006F30D0" w:rsidRPr="007C50B4">
        <w:rPr>
          <w:rFonts w:asciiTheme="minorHAnsi" w:hAnsiTheme="minorHAnsi" w:cstheme="minorHAnsi"/>
          <w:bCs/>
          <w:szCs w:val="24"/>
        </w:rPr>
        <w:t xml:space="preserve">let </w:t>
      </w:r>
      <w:r w:rsidR="0056220A" w:rsidRPr="007C50B4">
        <w:rPr>
          <w:rFonts w:asciiTheme="minorHAnsi" w:hAnsiTheme="minorHAnsi" w:cstheme="minorHAnsi"/>
          <w:bCs/>
          <w:szCs w:val="24"/>
        </w:rPr>
        <w:t>2015</w:t>
      </w:r>
      <w:r w:rsidR="006F3CCC" w:rsidRPr="007C50B4">
        <w:rPr>
          <w:rFonts w:asciiTheme="minorHAnsi" w:hAnsiTheme="minorHAnsi" w:cstheme="minorHAnsi"/>
          <w:bCs/>
          <w:szCs w:val="24"/>
        </w:rPr>
        <w:t>–2018 prokazatelně nesplnilo 185 </w:t>
      </w:r>
      <w:r w:rsidR="0056220A" w:rsidRPr="007C50B4">
        <w:rPr>
          <w:rFonts w:asciiTheme="minorHAnsi" w:hAnsiTheme="minorHAnsi" w:cstheme="minorHAnsi"/>
          <w:bCs/>
          <w:szCs w:val="24"/>
        </w:rPr>
        <w:t>zaměstnavatelů</w:t>
      </w:r>
      <w:r w:rsidR="00D35BE8" w:rsidRPr="007C50B4">
        <w:rPr>
          <w:rStyle w:val="Znakapoznpodarou"/>
          <w:rFonts w:asciiTheme="minorHAnsi" w:hAnsiTheme="minorHAnsi" w:cstheme="minorHAnsi"/>
          <w:bCs/>
          <w:szCs w:val="24"/>
        </w:rPr>
        <w:footnoteReference w:id="5"/>
      </w:r>
      <w:r w:rsidR="0056220A" w:rsidRPr="007C50B4">
        <w:rPr>
          <w:rFonts w:asciiTheme="minorHAnsi" w:hAnsiTheme="minorHAnsi" w:cstheme="minorHAnsi"/>
          <w:bCs/>
          <w:szCs w:val="24"/>
        </w:rPr>
        <w:t>.</w:t>
      </w:r>
    </w:p>
    <w:p w14:paraId="3466B308" w14:textId="2663AD75" w:rsidR="00CB6441" w:rsidRDefault="00CB6441" w:rsidP="00AD6A0F">
      <w:pPr>
        <w:ind w:left="426"/>
      </w:pPr>
    </w:p>
    <w:p w14:paraId="575A0435" w14:textId="7C3DD2AC" w:rsidR="00EF223B" w:rsidRPr="007C50B4" w:rsidRDefault="00E23AFB" w:rsidP="00D962D4">
      <w:pPr>
        <w:pStyle w:val="Odstavecseseznamem"/>
        <w:numPr>
          <w:ilvl w:val="0"/>
          <w:numId w:val="31"/>
        </w:numPr>
        <w:spacing w:line="240" w:lineRule="auto"/>
        <w:ind w:left="426"/>
        <w:jc w:val="both"/>
        <w:rPr>
          <w:rFonts w:cstheme="minorHAnsi"/>
          <w:bCs/>
        </w:rPr>
      </w:pPr>
      <w:r w:rsidRPr="002D21F2">
        <w:rPr>
          <w:rFonts w:cstheme="minorHAnsi"/>
          <w:bCs/>
        </w:rPr>
        <w:lastRenderedPageBreak/>
        <w:t>S</w:t>
      </w:r>
      <w:r w:rsidR="007F371C" w:rsidRPr="002D21F2">
        <w:rPr>
          <w:rFonts w:cstheme="minorHAnsi"/>
          <w:bCs/>
        </w:rPr>
        <w:t>ankce</w:t>
      </w:r>
      <w:r w:rsidR="00EF223B" w:rsidRPr="002D21F2">
        <w:rPr>
          <w:rFonts w:cstheme="minorHAnsi"/>
          <w:bCs/>
        </w:rPr>
        <w:t xml:space="preserve"> </w:t>
      </w:r>
      <w:r w:rsidR="00D605D6" w:rsidRPr="002D21F2">
        <w:rPr>
          <w:rFonts w:cstheme="minorHAnsi"/>
          <w:bCs/>
        </w:rPr>
        <w:t xml:space="preserve">za pozdní úhradu zákonného pojistného </w:t>
      </w:r>
      <w:r w:rsidR="00EF223B" w:rsidRPr="002D21F2">
        <w:rPr>
          <w:rFonts w:cstheme="minorHAnsi"/>
          <w:bCs/>
        </w:rPr>
        <w:t>je v</w:t>
      </w:r>
      <w:r w:rsidR="00DD7B38" w:rsidRPr="002D21F2">
        <w:rPr>
          <w:rFonts w:cstheme="minorHAnsi"/>
          <w:bCs/>
        </w:rPr>
        <w:t> právní úpravě stanovena</w:t>
      </w:r>
      <w:r w:rsidR="00EF223B" w:rsidRPr="002D21F2">
        <w:rPr>
          <w:rStyle w:val="Znakapoznpodarou"/>
          <w:rFonts w:asciiTheme="minorHAnsi" w:hAnsiTheme="minorHAnsi" w:cstheme="minorHAnsi"/>
          <w:bCs/>
          <w:szCs w:val="24"/>
        </w:rPr>
        <w:footnoteReference w:id="6"/>
      </w:r>
      <w:r w:rsidR="00EF223B" w:rsidRPr="002D21F2">
        <w:rPr>
          <w:rFonts w:cstheme="minorHAnsi"/>
          <w:bCs/>
        </w:rPr>
        <w:t xml:space="preserve"> neobvykle vysoká</w:t>
      </w:r>
      <w:r w:rsidR="007F371C" w:rsidRPr="002D21F2">
        <w:rPr>
          <w:rFonts w:cstheme="minorHAnsi"/>
          <w:bCs/>
        </w:rPr>
        <w:t xml:space="preserve">, </w:t>
      </w:r>
      <w:r w:rsidR="007F371C" w:rsidRPr="007C50B4">
        <w:rPr>
          <w:rFonts w:cstheme="minorHAnsi"/>
          <w:bCs/>
        </w:rPr>
        <w:t xml:space="preserve">činí </w:t>
      </w:r>
      <w:r w:rsidR="005405DF" w:rsidRPr="007C50B4">
        <w:rPr>
          <w:rFonts w:cstheme="minorHAnsi"/>
          <w:bCs/>
        </w:rPr>
        <w:t xml:space="preserve">10 % z dlužné částky </w:t>
      </w:r>
      <w:r w:rsidR="007F371C" w:rsidRPr="007C50B4">
        <w:rPr>
          <w:rFonts w:cstheme="minorHAnsi"/>
          <w:bCs/>
        </w:rPr>
        <w:t>n</w:t>
      </w:r>
      <w:r w:rsidR="004A23CA" w:rsidRPr="007C50B4">
        <w:rPr>
          <w:rFonts w:cstheme="minorHAnsi"/>
          <w:bCs/>
        </w:rPr>
        <w:t xml:space="preserve">euhrazeného </w:t>
      </w:r>
      <w:r w:rsidR="007F371C" w:rsidRPr="007C50B4">
        <w:rPr>
          <w:rFonts w:cstheme="minorHAnsi"/>
          <w:bCs/>
        </w:rPr>
        <w:t>pojistné</w:t>
      </w:r>
      <w:r w:rsidR="004A23CA" w:rsidRPr="007C50B4">
        <w:rPr>
          <w:rFonts w:cstheme="minorHAnsi"/>
          <w:bCs/>
        </w:rPr>
        <w:t>ho</w:t>
      </w:r>
      <w:r w:rsidR="007F371C" w:rsidRPr="007C50B4">
        <w:rPr>
          <w:rFonts w:cstheme="minorHAnsi"/>
          <w:bCs/>
        </w:rPr>
        <w:t xml:space="preserve"> </w:t>
      </w:r>
      <w:r w:rsidR="005405DF" w:rsidRPr="007C50B4">
        <w:rPr>
          <w:rFonts w:cstheme="minorHAnsi"/>
          <w:bCs/>
        </w:rPr>
        <w:t>za každý započatý měsíc</w:t>
      </w:r>
      <w:r w:rsidR="00342A45" w:rsidRPr="007C50B4">
        <w:rPr>
          <w:rFonts w:cstheme="minorHAnsi"/>
          <w:bCs/>
        </w:rPr>
        <w:t xml:space="preserve">. </w:t>
      </w:r>
      <w:r w:rsidR="00640A80" w:rsidRPr="007C50B4">
        <w:rPr>
          <w:rFonts w:cstheme="minorHAnsi"/>
          <w:bCs/>
        </w:rPr>
        <w:t>P</w:t>
      </w:r>
      <w:r w:rsidR="00342A45" w:rsidRPr="007C50B4">
        <w:rPr>
          <w:rFonts w:cstheme="minorHAnsi"/>
          <w:bCs/>
        </w:rPr>
        <w:t>ojišťovny i MF přistupují k upuštění od vymáhání zvýšeného pojistného</w:t>
      </w:r>
      <w:r w:rsidR="00640A80" w:rsidRPr="007C50B4">
        <w:rPr>
          <w:rFonts w:cstheme="minorHAnsi"/>
          <w:bCs/>
        </w:rPr>
        <w:t xml:space="preserve"> ve všech případech, kdy zaměstnavatelé podají žádost.</w:t>
      </w:r>
      <w:r w:rsidR="00342A45" w:rsidRPr="007C50B4">
        <w:rPr>
          <w:rFonts w:cstheme="minorHAnsi"/>
          <w:bCs/>
        </w:rPr>
        <w:t xml:space="preserve"> </w:t>
      </w:r>
      <w:r w:rsidR="00640A80" w:rsidRPr="007C50B4">
        <w:rPr>
          <w:rFonts w:cstheme="minorHAnsi"/>
          <w:bCs/>
        </w:rPr>
        <w:t>Z</w:t>
      </w:r>
      <w:r w:rsidR="00342A45" w:rsidRPr="007C50B4">
        <w:rPr>
          <w:rFonts w:cstheme="minorHAnsi"/>
          <w:bCs/>
        </w:rPr>
        <w:t xml:space="preserve">a období </w:t>
      </w:r>
      <w:r w:rsidR="007F7EA0" w:rsidRPr="007C50B4">
        <w:rPr>
          <w:rFonts w:cstheme="minorHAnsi"/>
          <w:bCs/>
        </w:rPr>
        <w:t>2015–</w:t>
      </w:r>
      <w:r w:rsidR="00342A45" w:rsidRPr="007C50B4">
        <w:rPr>
          <w:rFonts w:cstheme="minorHAnsi"/>
          <w:bCs/>
        </w:rPr>
        <w:t xml:space="preserve">2018 bylo upuštěno </w:t>
      </w:r>
      <w:r w:rsidR="006F30D0" w:rsidRPr="007C50B4">
        <w:rPr>
          <w:rFonts w:cstheme="minorHAnsi"/>
          <w:bCs/>
        </w:rPr>
        <w:t>od vymáhání částky v </w:t>
      </w:r>
      <w:r w:rsidR="00342A45" w:rsidRPr="007C50B4">
        <w:rPr>
          <w:rFonts w:cstheme="minorHAnsi"/>
          <w:bCs/>
        </w:rPr>
        <w:t>celk</w:t>
      </w:r>
      <w:r w:rsidR="006F30D0" w:rsidRPr="007C50B4">
        <w:rPr>
          <w:rFonts w:cstheme="minorHAnsi"/>
          <w:bCs/>
        </w:rPr>
        <w:t xml:space="preserve">ové výši </w:t>
      </w:r>
      <w:r w:rsidR="00342A45" w:rsidRPr="007C50B4">
        <w:rPr>
          <w:rFonts w:cstheme="minorHAnsi"/>
          <w:bCs/>
        </w:rPr>
        <w:t xml:space="preserve">64 427 762 Kč, tj. </w:t>
      </w:r>
      <w:r w:rsidR="00892A5F" w:rsidRPr="007C50B4">
        <w:rPr>
          <w:rFonts w:cstheme="minorHAnsi"/>
          <w:bCs/>
        </w:rPr>
        <w:t>52,6 </w:t>
      </w:r>
      <w:r w:rsidR="00342A45" w:rsidRPr="007C50B4">
        <w:rPr>
          <w:rFonts w:cstheme="minorHAnsi"/>
          <w:bCs/>
        </w:rPr>
        <w:t>% z celkového předepsaného zvýšeného pojistného.</w:t>
      </w:r>
      <w:r w:rsidR="00D57A45" w:rsidRPr="007C50B4">
        <w:rPr>
          <w:rFonts w:cstheme="minorHAnsi"/>
          <w:bCs/>
        </w:rPr>
        <w:t xml:space="preserve"> </w:t>
      </w:r>
    </w:p>
    <w:p w14:paraId="3D4947B4" w14:textId="5094F6D5" w:rsidR="005405DF" w:rsidRPr="007C50B4" w:rsidRDefault="005405DF" w:rsidP="00AD6A0F">
      <w:pPr>
        <w:pStyle w:val="Odstavecseseznamem"/>
        <w:spacing w:line="240" w:lineRule="auto"/>
        <w:ind w:left="426"/>
        <w:jc w:val="both"/>
        <w:rPr>
          <w:rFonts w:cstheme="minorHAnsi"/>
          <w:bCs/>
        </w:rPr>
      </w:pPr>
    </w:p>
    <w:p w14:paraId="3F508F18" w14:textId="6AC7FB8E" w:rsidR="005405DF" w:rsidRPr="002D21F2" w:rsidRDefault="00236E28" w:rsidP="00D962D4">
      <w:pPr>
        <w:pStyle w:val="Odstavecseseznamem"/>
        <w:numPr>
          <w:ilvl w:val="0"/>
          <w:numId w:val="31"/>
        </w:numPr>
        <w:spacing w:line="240" w:lineRule="auto"/>
        <w:ind w:left="426"/>
        <w:jc w:val="both"/>
      </w:pPr>
      <w:r w:rsidRPr="002D21F2">
        <w:rPr>
          <w:rFonts w:cstheme="minorHAnsi"/>
          <w:bCs/>
        </w:rPr>
        <w:t xml:space="preserve">Limit ve výši 250 000 Kč </w:t>
      </w:r>
      <w:r w:rsidR="00D605D6" w:rsidRPr="002D21F2">
        <w:rPr>
          <w:rFonts w:cstheme="minorHAnsi"/>
          <w:bCs/>
        </w:rPr>
        <w:t xml:space="preserve">stanovený </w:t>
      </w:r>
      <w:r w:rsidR="006F30D0" w:rsidRPr="002D21F2">
        <w:rPr>
          <w:rFonts w:cstheme="minorHAnsi"/>
          <w:bCs/>
        </w:rPr>
        <w:t xml:space="preserve">platnou právní úpravou </w:t>
      </w:r>
      <w:r w:rsidRPr="002D21F2">
        <w:rPr>
          <w:rFonts w:cstheme="minorHAnsi"/>
          <w:bCs/>
        </w:rPr>
        <w:t>pro upuštění od vymáhání pohledávek je neúměrně vysoký</w:t>
      </w:r>
      <w:r w:rsidRPr="002D21F2">
        <w:rPr>
          <w:rStyle w:val="Znakapoznpodarou"/>
          <w:rFonts w:asciiTheme="minorHAnsi" w:hAnsiTheme="minorHAnsi" w:cstheme="minorHAnsi"/>
          <w:bCs/>
          <w:szCs w:val="24"/>
        </w:rPr>
        <w:footnoteReference w:id="7"/>
      </w:r>
      <w:r w:rsidRPr="002D21F2">
        <w:rPr>
          <w:rFonts w:cstheme="minorHAnsi"/>
          <w:bCs/>
        </w:rPr>
        <w:t xml:space="preserve">. </w:t>
      </w:r>
      <w:r w:rsidR="00EF223B" w:rsidRPr="002D21F2">
        <w:rPr>
          <w:rFonts w:asciiTheme="minorHAnsi" w:hAnsiTheme="minorHAnsi" w:cstheme="minorHAnsi"/>
          <w:bCs/>
          <w:szCs w:val="24"/>
        </w:rPr>
        <w:t>Pojišťovn</w:t>
      </w:r>
      <w:r w:rsidR="006F30D0" w:rsidRPr="002D21F2">
        <w:rPr>
          <w:rFonts w:asciiTheme="minorHAnsi" w:hAnsiTheme="minorHAnsi" w:cstheme="minorHAnsi"/>
          <w:bCs/>
          <w:szCs w:val="24"/>
        </w:rPr>
        <w:t>y</w:t>
      </w:r>
      <w:r w:rsidR="00EF223B" w:rsidRPr="002D21F2">
        <w:rPr>
          <w:rFonts w:asciiTheme="minorHAnsi" w:hAnsiTheme="minorHAnsi" w:cstheme="minorHAnsi"/>
          <w:bCs/>
          <w:szCs w:val="24"/>
        </w:rPr>
        <w:t xml:space="preserve"> j</w:t>
      </w:r>
      <w:r w:rsidR="006F30D0" w:rsidRPr="002D21F2">
        <w:rPr>
          <w:rFonts w:asciiTheme="minorHAnsi" w:hAnsiTheme="minorHAnsi" w:cstheme="minorHAnsi"/>
          <w:bCs/>
          <w:szCs w:val="24"/>
        </w:rPr>
        <w:t>sou</w:t>
      </w:r>
      <w:r w:rsidR="00EF223B" w:rsidRPr="002D21F2">
        <w:rPr>
          <w:rFonts w:asciiTheme="minorHAnsi" w:hAnsiTheme="minorHAnsi" w:cstheme="minorHAnsi"/>
          <w:bCs/>
          <w:szCs w:val="24"/>
        </w:rPr>
        <w:t xml:space="preserve"> </w:t>
      </w:r>
      <w:r w:rsidR="006F30D0" w:rsidRPr="002D21F2">
        <w:rPr>
          <w:rFonts w:asciiTheme="minorHAnsi" w:hAnsiTheme="minorHAnsi" w:cstheme="minorHAnsi"/>
          <w:bCs/>
          <w:szCs w:val="24"/>
        </w:rPr>
        <w:t xml:space="preserve">oprávněny </w:t>
      </w:r>
      <w:r w:rsidR="008177E2" w:rsidRPr="002D21F2">
        <w:rPr>
          <w:rFonts w:asciiTheme="minorHAnsi" w:hAnsiTheme="minorHAnsi" w:cstheme="minorHAnsi"/>
          <w:bCs/>
          <w:szCs w:val="24"/>
        </w:rPr>
        <w:t>samostatně rozhodovat o </w:t>
      </w:r>
      <w:r w:rsidR="00EF223B" w:rsidRPr="002D21F2">
        <w:rPr>
          <w:rFonts w:asciiTheme="minorHAnsi" w:hAnsiTheme="minorHAnsi" w:cstheme="minorHAnsi"/>
          <w:bCs/>
          <w:szCs w:val="24"/>
        </w:rPr>
        <w:t>upuštění od vymáhání pojistného a pohledávek až do výše 250 000 Kč</w:t>
      </w:r>
      <w:r w:rsidR="00551F0B" w:rsidRPr="002D21F2">
        <w:rPr>
          <w:rFonts w:asciiTheme="minorHAnsi" w:hAnsiTheme="minorHAnsi" w:cstheme="minorHAnsi"/>
          <w:bCs/>
          <w:szCs w:val="24"/>
        </w:rPr>
        <w:t xml:space="preserve">, přičemž </w:t>
      </w:r>
      <w:r w:rsidR="00892A5F" w:rsidRPr="002D21F2">
        <w:rPr>
          <w:rFonts w:asciiTheme="minorHAnsi" w:hAnsiTheme="minorHAnsi" w:cstheme="minorHAnsi"/>
          <w:bCs/>
          <w:szCs w:val="24"/>
        </w:rPr>
        <w:t xml:space="preserve">pro rozhodování o upuštění od vymáhání </w:t>
      </w:r>
      <w:r w:rsidR="00551F0B" w:rsidRPr="002D21F2">
        <w:rPr>
          <w:rFonts w:asciiTheme="minorHAnsi" w:hAnsiTheme="minorHAnsi" w:cstheme="minorHAnsi"/>
          <w:bCs/>
          <w:szCs w:val="24"/>
        </w:rPr>
        <w:t xml:space="preserve">není </w:t>
      </w:r>
      <w:r w:rsidR="00D10B57" w:rsidRPr="002D21F2">
        <w:rPr>
          <w:rFonts w:asciiTheme="minorHAnsi" w:hAnsiTheme="minorHAnsi" w:cstheme="minorHAnsi"/>
          <w:bCs/>
          <w:szCs w:val="24"/>
        </w:rPr>
        <w:t xml:space="preserve">pojišťovnám </w:t>
      </w:r>
      <w:r w:rsidR="00551F0B" w:rsidRPr="002D21F2">
        <w:rPr>
          <w:rFonts w:asciiTheme="minorHAnsi" w:hAnsiTheme="minorHAnsi" w:cstheme="minorHAnsi"/>
          <w:bCs/>
          <w:szCs w:val="24"/>
        </w:rPr>
        <w:t>stanoven jednotný postup</w:t>
      </w:r>
      <w:r w:rsidR="00892A5F" w:rsidRPr="002D21F2">
        <w:rPr>
          <w:rFonts w:asciiTheme="minorHAnsi" w:hAnsiTheme="minorHAnsi" w:cstheme="minorHAnsi"/>
          <w:bCs/>
          <w:szCs w:val="24"/>
        </w:rPr>
        <w:t>.</w:t>
      </w:r>
      <w:r w:rsidR="00551F0B" w:rsidRPr="002D21F2">
        <w:rPr>
          <w:rFonts w:asciiTheme="minorHAnsi" w:hAnsiTheme="minorHAnsi" w:cstheme="minorHAnsi"/>
          <w:bCs/>
          <w:szCs w:val="24"/>
        </w:rPr>
        <w:t xml:space="preserve"> </w:t>
      </w:r>
      <w:r w:rsidR="00D10B57" w:rsidRPr="002D21F2">
        <w:rPr>
          <w:rFonts w:asciiTheme="minorHAnsi" w:hAnsiTheme="minorHAnsi" w:cstheme="minorHAnsi"/>
          <w:bCs/>
          <w:szCs w:val="24"/>
        </w:rPr>
        <w:t>P</w:t>
      </w:r>
      <w:r w:rsidR="007F7EA0" w:rsidRPr="002D21F2">
        <w:rPr>
          <w:rFonts w:asciiTheme="minorHAnsi" w:hAnsiTheme="minorHAnsi" w:cstheme="minorHAnsi"/>
          <w:bCs/>
          <w:szCs w:val="24"/>
        </w:rPr>
        <w:t>ojišťovny v letech 2015–</w:t>
      </w:r>
      <w:r w:rsidR="00551F0B" w:rsidRPr="002D21F2">
        <w:rPr>
          <w:rFonts w:asciiTheme="minorHAnsi" w:hAnsiTheme="minorHAnsi" w:cstheme="minorHAnsi"/>
          <w:bCs/>
          <w:szCs w:val="24"/>
        </w:rPr>
        <w:t xml:space="preserve">2018 prominuly zvýšené pojistné do 250 000 Kč v celkové výši </w:t>
      </w:r>
      <w:r w:rsidR="0065117A" w:rsidRPr="002D21F2">
        <w:rPr>
          <w:rFonts w:asciiTheme="minorHAnsi" w:hAnsiTheme="minorHAnsi" w:cstheme="minorHAnsi"/>
          <w:bCs/>
          <w:szCs w:val="24"/>
        </w:rPr>
        <w:t>47 498 026</w:t>
      </w:r>
      <w:r w:rsidR="00551F0B" w:rsidRPr="002D21F2">
        <w:rPr>
          <w:rFonts w:asciiTheme="minorHAnsi" w:hAnsiTheme="minorHAnsi" w:cstheme="minorHAnsi"/>
          <w:bCs/>
          <w:szCs w:val="24"/>
        </w:rPr>
        <w:t xml:space="preserve"> Kč.</w:t>
      </w:r>
    </w:p>
    <w:p w14:paraId="2A11428C" w14:textId="77777777" w:rsidR="0065117A" w:rsidRPr="002D21F2" w:rsidRDefault="0065117A" w:rsidP="0065117A">
      <w:pPr>
        <w:pStyle w:val="Odstavecseseznamem"/>
      </w:pPr>
    </w:p>
    <w:p w14:paraId="7F6082B3" w14:textId="70A23C0E" w:rsidR="0065117A" w:rsidRPr="007C50B4" w:rsidRDefault="0065117A" w:rsidP="00D962D4">
      <w:pPr>
        <w:pStyle w:val="Odstavecseseznamem"/>
        <w:numPr>
          <w:ilvl w:val="0"/>
          <w:numId w:val="31"/>
        </w:numPr>
        <w:spacing w:line="240" w:lineRule="auto"/>
        <w:ind w:left="426"/>
        <w:jc w:val="both"/>
      </w:pPr>
      <w:r w:rsidRPr="002D21F2">
        <w:t>MF a</w:t>
      </w:r>
      <w:r w:rsidR="007F7EA0" w:rsidRPr="002D21F2">
        <w:t xml:space="preserve"> MPSV předkládal</w:t>
      </w:r>
      <w:r w:rsidR="00557AC0" w:rsidRPr="002D21F2">
        <w:t>y</w:t>
      </w:r>
      <w:r w:rsidR="007F7EA0" w:rsidRPr="002D21F2">
        <w:t xml:space="preserve"> v letech 2006–</w:t>
      </w:r>
      <w:r w:rsidRPr="002D21F2">
        <w:t xml:space="preserve">2017 legislativní návrhy na změnu </w:t>
      </w:r>
      <w:r w:rsidRPr="002D21F2">
        <w:rPr>
          <w:rFonts w:asciiTheme="minorHAnsi" w:hAnsiTheme="minorHAnsi" w:cstheme="minorHAnsi"/>
          <w:bCs/>
        </w:rPr>
        <w:t>systému zákonného pojištění. Tyto</w:t>
      </w:r>
      <w:r w:rsidRPr="007C50B4">
        <w:rPr>
          <w:rFonts w:asciiTheme="minorHAnsi" w:hAnsiTheme="minorHAnsi" w:cstheme="minorHAnsi"/>
          <w:bCs/>
        </w:rPr>
        <w:t xml:space="preserve"> návrhy však nebyly v rámci </w:t>
      </w:r>
      <w:r w:rsidR="006F30D0" w:rsidRPr="007C50B4">
        <w:rPr>
          <w:rFonts w:asciiTheme="minorHAnsi" w:hAnsiTheme="minorHAnsi" w:cstheme="minorHAnsi"/>
          <w:bCs/>
        </w:rPr>
        <w:t>legislativního procesu</w:t>
      </w:r>
      <w:r w:rsidRPr="007C50B4">
        <w:rPr>
          <w:rFonts w:asciiTheme="minorHAnsi" w:hAnsiTheme="minorHAnsi" w:cstheme="minorHAnsi"/>
          <w:bCs/>
        </w:rPr>
        <w:t xml:space="preserve"> schváleny. </w:t>
      </w:r>
    </w:p>
    <w:p w14:paraId="5EC65932" w14:textId="77777777" w:rsidR="005405DF" w:rsidRPr="00A93375" w:rsidRDefault="005405DF" w:rsidP="00AD6A0F">
      <w:pPr>
        <w:ind w:left="426"/>
        <w:rPr>
          <w:b/>
        </w:rPr>
      </w:pPr>
    </w:p>
    <w:p w14:paraId="423AE9AB" w14:textId="464B3D74" w:rsidR="000260F4" w:rsidRPr="00A93375" w:rsidRDefault="002D05B3" w:rsidP="00BC5465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A93375">
        <w:rPr>
          <w:rFonts w:asciiTheme="minorHAnsi" w:hAnsiTheme="minorHAnsi" w:cstheme="minorHAnsi"/>
          <w:b/>
          <w:bCs/>
          <w:szCs w:val="24"/>
        </w:rPr>
        <w:t>Ostatní zjištěn</w:t>
      </w:r>
      <w:r w:rsidR="00D605D6" w:rsidRPr="00A93375">
        <w:rPr>
          <w:rFonts w:asciiTheme="minorHAnsi" w:hAnsiTheme="minorHAnsi" w:cstheme="minorHAnsi"/>
          <w:b/>
          <w:bCs/>
          <w:szCs w:val="24"/>
        </w:rPr>
        <w:t>é skutečnosti</w:t>
      </w:r>
    </w:p>
    <w:p w14:paraId="58F96071" w14:textId="77777777" w:rsidR="00EF223B" w:rsidRPr="00A93375" w:rsidRDefault="00EF223B" w:rsidP="00AD6A0F">
      <w:pPr>
        <w:pStyle w:val="Odstavecseseznamem"/>
        <w:spacing w:after="0" w:line="240" w:lineRule="auto"/>
        <w:ind w:left="426"/>
      </w:pPr>
    </w:p>
    <w:p w14:paraId="45453747" w14:textId="696BA989" w:rsidR="00F03ABC" w:rsidRPr="00A93375" w:rsidRDefault="00EF223B" w:rsidP="009A5227">
      <w:pPr>
        <w:pStyle w:val="Odstavecseseznamem"/>
        <w:numPr>
          <w:ilvl w:val="0"/>
          <w:numId w:val="31"/>
        </w:numPr>
        <w:spacing w:line="240" w:lineRule="auto"/>
        <w:ind w:left="426"/>
        <w:jc w:val="both"/>
        <w:rPr>
          <w:rFonts w:cstheme="minorHAnsi"/>
          <w:b/>
          <w:bCs/>
        </w:rPr>
      </w:pPr>
      <w:r w:rsidRPr="00A93375">
        <w:rPr>
          <w:rFonts w:cstheme="minorHAnsi"/>
          <w:bCs/>
        </w:rPr>
        <w:t>Postup MF při vydá</w:t>
      </w:r>
      <w:r w:rsidR="00176475">
        <w:rPr>
          <w:rFonts w:cstheme="minorHAnsi"/>
          <w:bCs/>
        </w:rPr>
        <w:t>vá</w:t>
      </w:r>
      <w:r w:rsidRPr="00A93375">
        <w:rPr>
          <w:rFonts w:cstheme="minorHAnsi"/>
          <w:bCs/>
        </w:rPr>
        <w:t>ní souhlasů s upuštěním od vymáhání pohledávek nad 250 000 Kč byl nepřezkoumatelný a netransparentní.</w:t>
      </w:r>
      <w:r w:rsidRPr="00A93375">
        <w:rPr>
          <w:rFonts w:cstheme="minorHAnsi"/>
        </w:rPr>
        <w:t xml:space="preserve"> MF nemělo jednoznačně nastavena kritéria a</w:t>
      </w:r>
      <w:r w:rsidR="00176475">
        <w:rPr>
          <w:rFonts w:cstheme="minorHAnsi"/>
        </w:rPr>
        <w:t> </w:t>
      </w:r>
      <w:r w:rsidRPr="00A93375">
        <w:rPr>
          <w:rFonts w:cstheme="minorHAnsi"/>
        </w:rPr>
        <w:t xml:space="preserve">jejich váhu pro posuzování žádostí o souhlas s upuštěním od vymáhání pohledávek. </w:t>
      </w:r>
      <w:r w:rsidR="007F7EA0">
        <w:rPr>
          <w:rFonts w:cstheme="minorHAnsi"/>
          <w:bCs/>
        </w:rPr>
        <w:t>V období 2015–</w:t>
      </w:r>
      <w:r w:rsidRPr="00A93375">
        <w:rPr>
          <w:rFonts w:cstheme="minorHAnsi"/>
          <w:bCs/>
        </w:rPr>
        <w:t xml:space="preserve">2018 vydalo MF ve všech 71 případech předložených pojišťovnami k posouzení </w:t>
      </w:r>
      <w:r w:rsidR="00DB3F7E" w:rsidRPr="00A93375">
        <w:rPr>
          <w:rFonts w:cstheme="minorHAnsi"/>
          <w:bCs/>
        </w:rPr>
        <w:t xml:space="preserve">souhlas </w:t>
      </w:r>
      <w:r w:rsidRPr="00A93375">
        <w:rPr>
          <w:rFonts w:cstheme="minorHAnsi"/>
          <w:bCs/>
        </w:rPr>
        <w:t>a upustilo od vymáhání pohledáv</w:t>
      </w:r>
      <w:r w:rsidR="00C250FF" w:rsidRPr="00A93375">
        <w:rPr>
          <w:rFonts w:cstheme="minorHAnsi"/>
          <w:bCs/>
        </w:rPr>
        <w:t>e</w:t>
      </w:r>
      <w:r w:rsidRPr="00A93375">
        <w:rPr>
          <w:rFonts w:cstheme="minorHAnsi"/>
          <w:bCs/>
        </w:rPr>
        <w:t>k ve výši 18 414 343 Kč.</w:t>
      </w:r>
      <w:r w:rsidRPr="00A93375">
        <w:rPr>
          <w:rFonts w:cstheme="minorHAnsi"/>
        </w:rPr>
        <w:t xml:space="preserve"> </w:t>
      </w:r>
    </w:p>
    <w:p w14:paraId="2A768581" w14:textId="77777777" w:rsidR="009A5227" w:rsidRPr="009A5227" w:rsidRDefault="009A5227" w:rsidP="009A5227">
      <w:pPr>
        <w:pStyle w:val="Odstavecseseznamem"/>
        <w:spacing w:line="240" w:lineRule="auto"/>
        <w:ind w:left="426"/>
        <w:jc w:val="both"/>
        <w:rPr>
          <w:rFonts w:cstheme="minorHAnsi"/>
          <w:b/>
          <w:bCs/>
        </w:rPr>
      </w:pPr>
    </w:p>
    <w:p w14:paraId="2122FAA0" w14:textId="65F2E36B" w:rsidR="0037281C" w:rsidRPr="009A5227" w:rsidRDefault="005405DF" w:rsidP="009A5227">
      <w:pPr>
        <w:pStyle w:val="Odstavecseseznamem"/>
        <w:numPr>
          <w:ilvl w:val="0"/>
          <w:numId w:val="31"/>
        </w:numPr>
        <w:spacing w:line="240" w:lineRule="auto"/>
        <w:ind w:left="426"/>
        <w:jc w:val="both"/>
        <w:rPr>
          <w:rFonts w:cstheme="minorHAnsi"/>
          <w:bCs/>
        </w:rPr>
      </w:pPr>
      <w:r w:rsidRPr="009A5227">
        <w:rPr>
          <w:rFonts w:cstheme="minorHAnsi"/>
          <w:bCs/>
        </w:rPr>
        <w:t xml:space="preserve">MF </w:t>
      </w:r>
      <w:r w:rsidR="0084527E" w:rsidRPr="009A5227">
        <w:rPr>
          <w:rFonts w:cstheme="minorHAnsi"/>
          <w:bCs/>
        </w:rPr>
        <w:t>porušilo právní předpis</w:t>
      </w:r>
      <w:r w:rsidR="00CB5423" w:rsidRPr="009A5227">
        <w:rPr>
          <w:rStyle w:val="Znakapoznpodarou"/>
          <w:rFonts w:cstheme="minorHAnsi"/>
          <w:bCs/>
        </w:rPr>
        <w:footnoteReference w:id="8"/>
      </w:r>
      <w:r w:rsidR="0084527E" w:rsidRPr="009A5227">
        <w:rPr>
          <w:rFonts w:cstheme="minorHAnsi"/>
          <w:bCs/>
        </w:rPr>
        <w:t xml:space="preserve">, když </w:t>
      </w:r>
      <w:r w:rsidRPr="009A5227">
        <w:rPr>
          <w:rFonts w:cstheme="minorHAnsi"/>
          <w:bCs/>
        </w:rPr>
        <w:t>nevymáhalo úrok z prodlení ve výši 1 304 43</w:t>
      </w:r>
      <w:r w:rsidR="0015155C" w:rsidRPr="009A5227">
        <w:rPr>
          <w:rFonts w:cstheme="minorHAnsi"/>
          <w:bCs/>
        </w:rPr>
        <w:t>4</w:t>
      </w:r>
      <w:r w:rsidRPr="009A5227">
        <w:rPr>
          <w:rFonts w:cstheme="minorHAnsi"/>
          <w:bCs/>
        </w:rPr>
        <w:t xml:space="preserve"> Kč, který vznikl v důsledku pozdního </w:t>
      </w:r>
      <w:r w:rsidR="00C250FF">
        <w:rPr>
          <w:rFonts w:cstheme="minorHAnsi"/>
          <w:bCs/>
        </w:rPr>
        <w:t>odv</w:t>
      </w:r>
      <w:r w:rsidRPr="009A5227">
        <w:rPr>
          <w:rFonts w:cstheme="minorHAnsi"/>
          <w:bCs/>
        </w:rPr>
        <w:t xml:space="preserve">odu přebytku pojistného ve výši 741 339 661 Kč od České pojišťovny </w:t>
      </w:r>
      <w:r w:rsidR="000F24EE" w:rsidRPr="009A5227">
        <w:rPr>
          <w:rFonts w:cstheme="minorHAnsi"/>
          <w:bCs/>
        </w:rPr>
        <w:t xml:space="preserve">za </w:t>
      </w:r>
      <w:r w:rsidRPr="009A5227">
        <w:rPr>
          <w:rFonts w:cstheme="minorHAnsi"/>
          <w:bCs/>
        </w:rPr>
        <w:t>ro</w:t>
      </w:r>
      <w:r w:rsidR="000F24EE" w:rsidRPr="009A5227">
        <w:rPr>
          <w:rFonts w:cstheme="minorHAnsi"/>
          <w:bCs/>
        </w:rPr>
        <w:t>k</w:t>
      </w:r>
      <w:r w:rsidRPr="009A5227">
        <w:rPr>
          <w:rFonts w:cstheme="minorHAnsi"/>
          <w:bCs/>
        </w:rPr>
        <w:t xml:space="preserve"> 2015. Ke dni 8. 7. 2019 došlo uplynutím promlčecí lhůty k promlčení dluhu.</w:t>
      </w:r>
      <w:r w:rsidR="00AF1E6A" w:rsidRPr="009A5227">
        <w:rPr>
          <w:rFonts w:cstheme="minorHAnsi"/>
          <w:bCs/>
        </w:rPr>
        <w:t xml:space="preserve"> </w:t>
      </w:r>
    </w:p>
    <w:p w14:paraId="7BA139DB" w14:textId="700551B9" w:rsidR="00AF1E6A" w:rsidRPr="009A5227" w:rsidRDefault="00AF1E6A" w:rsidP="00AD6A0F">
      <w:pPr>
        <w:pStyle w:val="Odstavecseseznamem"/>
        <w:spacing w:before="240" w:line="240" w:lineRule="auto"/>
        <w:ind w:left="426"/>
        <w:jc w:val="both"/>
      </w:pPr>
    </w:p>
    <w:p w14:paraId="1740C533" w14:textId="76896D1B" w:rsidR="009E7DFB" w:rsidRPr="007C50B4" w:rsidRDefault="005405DF" w:rsidP="00D962D4">
      <w:pPr>
        <w:pStyle w:val="Odstavecseseznamem"/>
        <w:numPr>
          <w:ilvl w:val="0"/>
          <w:numId w:val="31"/>
        </w:numPr>
        <w:spacing w:line="240" w:lineRule="auto"/>
        <w:ind w:left="360"/>
        <w:jc w:val="both"/>
      </w:pPr>
      <w:r w:rsidRPr="009A5227">
        <w:t xml:space="preserve">Česká pojišťovna </w:t>
      </w:r>
      <w:r w:rsidR="00CB5423" w:rsidRPr="009A5227">
        <w:t>porušila právní předpis</w:t>
      </w:r>
      <w:r w:rsidR="00CB5423" w:rsidRPr="009A5227">
        <w:rPr>
          <w:rStyle w:val="Znakapoznpodarou"/>
        </w:rPr>
        <w:footnoteReference w:id="9"/>
      </w:r>
      <w:r w:rsidR="00CB5423" w:rsidRPr="009A5227">
        <w:t xml:space="preserve"> tím, že </w:t>
      </w:r>
      <w:r w:rsidRPr="009A5227">
        <w:t>nestanovila</w:t>
      </w:r>
      <w:r w:rsidRPr="009E7DFB">
        <w:t xml:space="preserve"> přebytky</w:t>
      </w:r>
      <w:r w:rsidR="007105D4">
        <w:t xml:space="preserve"> ze</w:t>
      </w:r>
      <w:r w:rsidRPr="009E7DFB">
        <w:t xml:space="preserve"> zákonného pojištění za roky 2017 a 2018 ve správné výši</w:t>
      </w:r>
      <w:r w:rsidR="0075752B">
        <w:t>,</w:t>
      </w:r>
      <w:r w:rsidR="00ED2EB1" w:rsidRPr="009E7DFB">
        <w:t xml:space="preserve"> a</w:t>
      </w:r>
      <w:r w:rsidRPr="009E7DFB">
        <w:t xml:space="preserve"> </w:t>
      </w:r>
      <w:r w:rsidRPr="007C50B4">
        <w:t xml:space="preserve">snížila </w:t>
      </w:r>
      <w:r w:rsidR="00667F79" w:rsidRPr="007C50B4">
        <w:t xml:space="preserve">tak </w:t>
      </w:r>
      <w:r w:rsidRPr="007C50B4">
        <w:t xml:space="preserve">odvod </w:t>
      </w:r>
      <w:r w:rsidR="000F24EE" w:rsidRPr="007C50B4">
        <w:t xml:space="preserve">do státního rozpočtu </w:t>
      </w:r>
      <w:r w:rsidR="00CD5C1B" w:rsidRPr="007C50B4">
        <w:t>o </w:t>
      </w:r>
      <w:r w:rsidRPr="007C50B4">
        <w:t xml:space="preserve">648 743 Kč. </w:t>
      </w:r>
      <w:r w:rsidR="007F4E34">
        <w:t>V průběhu kontroly Česká pojišťovna převedla uvedenou částku na účet MF.</w:t>
      </w:r>
    </w:p>
    <w:p w14:paraId="552234E1" w14:textId="77777777" w:rsidR="005177C5" w:rsidRPr="007C50B4" w:rsidRDefault="005177C5" w:rsidP="00AD6A0F">
      <w:pPr>
        <w:pStyle w:val="Odstavecseseznamem"/>
        <w:ind w:left="426"/>
      </w:pPr>
    </w:p>
    <w:p w14:paraId="5DFC2678" w14:textId="2C84B08E" w:rsidR="009E7DFB" w:rsidRPr="00F67422" w:rsidRDefault="00667F79" w:rsidP="009A5227">
      <w:pPr>
        <w:pStyle w:val="Odstavecseseznamem"/>
        <w:numPr>
          <w:ilvl w:val="0"/>
          <w:numId w:val="31"/>
        </w:numPr>
        <w:spacing w:line="240" w:lineRule="auto"/>
        <w:ind w:left="360"/>
        <w:jc w:val="both"/>
      </w:pPr>
      <w:r w:rsidRPr="007C50B4">
        <w:rPr>
          <w:rFonts w:asciiTheme="minorHAnsi" w:hAnsiTheme="minorHAnsi" w:cstheme="minorHAnsi"/>
        </w:rPr>
        <w:t>Pojišť</w:t>
      </w:r>
      <w:r w:rsidRPr="00185502">
        <w:rPr>
          <w:rFonts w:asciiTheme="minorHAnsi" w:hAnsiTheme="minorHAnsi" w:cstheme="minorHAnsi"/>
        </w:rPr>
        <w:t>ovny v intencích současné nedostatečné právní úpravy neověřo</w:t>
      </w:r>
      <w:r w:rsidRPr="007C50B4">
        <w:rPr>
          <w:rFonts w:asciiTheme="minorHAnsi" w:hAnsiTheme="minorHAnsi" w:cstheme="minorHAnsi"/>
        </w:rPr>
        <w:t xml:space="preserve">valy systematicky u zaměstnavatelů, zda odváděli pojistné ve správné výši. </w:t>
      </w:r>
      <w:r w:rsidR="005177C5" w:rsidRPr="007C50B4">
        <w:rPr>
          <w:rFonts w:cstheme="minorHAnsi"/>
        </w:rPr>
        <w:t>Česká pojišťovna kontrolovala platby pojistného dle termínů splatnosti stanovených</w:t>
      </w:r>
      <w:r w:rsidR="00C21CA0">
        <w:rPr>
          <w:rFonts w:cstheme="minorHAnsi"/>
        </w:rPr>
        <w:t xml:space="preserve"> </w:t>
      </w:r>
      <w:r w:rsidR="005177C5" w:rsidRPr="007C50B4">
        <w:rPr>
          <w:rFonts w:cstheme="minorHAnsi"/>
        </w:rPr>
        <w:t>vyhláškou</w:t>
      </w:r>
      <w:r w:rsidR="005177C5" w:rsidRPr="007C50B4">
        <w:rPr>
          <w:rStyle w:val="Znakapoznpodarou"/>
          <w:rFonts w:cstheme="minorHAnsi"/>
        </w:rPr>
        <w:footnoteReference w:id="10"/>
      </w:r>
      <w:r w:rsidR="005177C5" w:rsidRPr="007C50B4">
        <w:rPr>
          <w:rFonts w:cstheme="minorHAnsi"/>
        </w:rPr>
        <w:t xml:space="preserve"> pouze </w:t>
      </w:r>
      <w:r w:rsidRPr="007C50B4">
        <w:rPr>
          <w:rFonts w:cstheme="minorHAnsi"/>
        </w:rPr>
        <w:t>z hlediska</w:t>
      </w:r>
      <w:r w:rsidR="005177C5" w:rsidRPr="007C50B4">
        <w:rPr>
          <w:rFonts w:cstheme="minorHAnsi"/>
        </w:rPr>
        <w:t xml:space="preserve"> existence platby</w:t>
      </w:r>
      <w:r w:rsidR="005B53DB">
        <w:rPr>
          <w:rFonts w:cstheme="minorHAnsi"/>
        </w:rPr>
        <w:t>,</w:t>
      </w:r>
      <w:r w:rsidR="005177C5" w:rsidRPr="007C50B4">
        <w:rPr>
          <w:rFonts w:cstheme="minorHAnsi"/>
        </w:rPr>
        <w:t xml:space="preserve"> nikoli její správné výše. Kooperativa neprováděla </w:t>
      </w:r>
      <w:r w:rsidR="00CD5C1B" w:rsidRPr="007C50B4">
        <w:rPr>
          <w:rFonts w:cstheme="minorHAnsi"/>
        </w:rPr>
        <w:t>kontroly pravidelnosti</w:t>
      </w:r>
      <w:r w:rsidR="00CD5C1B">
        <w:rPr>
          <w:rFonts w:cstheme="minorHAnsi"/>
        </w:rPr>
        <w:t xml:space="preserve"> </w:t>
      </w:r>
      <w:r w:rsidR="00CD5C1B">
        <w:rPr>
          <w:rFonts w:cstheme="minorHAnsi"/>
        </w:rPr>
        <w:lastRenderedPageBreak/>
        <w:t>plateb a</w:t>
      </w:r>
      <w:r w:rsidR="00785EC9">
        <w:rPr>
          <w:rFonts w:cstheme="minorHAnsi"/>
        </w:rPr>
        <w:t xml:space="preserve"> </w:t>
      </w:r>
      <w:r w:rsidR="005177C5" w:rsidRPr="009A5227">
        <w:rPr>
          <w:rFonts w:cstheme="minorHAnsi"/>
        </w:rPr>
        <w:t xml:space="preserve">správnosti výpočtu výše pojistného u všech zaměstnavatelů, kontrolu prováděla </w:t>
      </w:r>
      <w:r w:rsidRPr="007C50B4">
        <w:rPr>
          <w:rFonts w:cstheme="minorHAnsi"/>
        </w:rPr>
        <w:t xml:space="preserve">zejména </w:t>
      </w:r>
      <w:r w:rsidR="005177C5" w:rsidRPr="007C50B4">
        <w:rPr>
          <w:rFonts w:cstheme="minorHAnsi"/>
        </w:rPr>
        <w:t>při</w:t>
      </w:r>
      <w:r w:rsidR="005177C5" w:rsidRPr="009A5227">
        <w:rPr>
          <w:rFonts w:cstheme="minorHAnsi"/>
        </w:rPr>
        <w:t xml:space="preserve"> likvidaci pojistných událostí.</w:t>
      </w:r>
    </w:p>
    <w:p w14:paraId="4F21EF23" w14:textId="77777777" w:rsidR="00F67422" w:rsidRDefault="00F67422" w:rsidP="00AD6A0F">
      <w:pPr>
        <w:pStyle w:val="Odstavecseseznamem"/>
        <w:ind w:left="426"/>
      </w:pPr>
    </w:p>
    <w:p w14:paraId="01791BDF" w14:textId="47071A7A" w:rsidR="00EF223B" w:rsidRPr="0059227C" w:rsidRDefault="00EF223B" w:rsidP="00D962D4">
      <w:pPr>
        <w:pStyle w:val="Odstavecseseznamem"/>
        <w:numPr>
          <w:ilvl w:val="0"/>
          <w:numId w:val="31"/>
        </w:numPr>
        <w:spacing w:line="240" w:lineRule="auto"/>
        <w:ind w:left="360"/>
        <w:jc w:val="both"/>
        <w:rPr>
          <w:rFonts w:asciiTheme="minorHAnsi" w:hAnsiTheme="minorHAnsi" w:cstheme="minorHAnsi"/>
          <w:b/>
          <w:bCs/>
          <w:szCs w:val="24"/>
        </w:rPr>
      </w:pPr>
      <w:r w:rsidRPr="008A4D00">
        <w:rPr>
          <w:rFonts w:asciiTheme="minorHAnsi" w:hAnsiTheme="minorHAnsi" w:cstheme="minorHAnsi"/>
          <w:bCs/>
          <w:szCs w:val="24"/>
        </w:rPr>
        <w:t xml:space="preserve">Pojišťovny </w:t>
      </w:r>
      <w:r>
        <w:rPr>
          <w:rFonts w:asciiTheme="minorHAnsi" w:hAnsiTheme="minorHAnsi" w:cstheme="minorHAnsi"/>
          <w:bCs/>
          <w:szCs w:val="24"/>
        </w:rPr>
        <w:t xml:space="preserve">při likvidaci </w:t>
      </w:r>
      <w:r w:rsidRPr="008A4D00">
        <w:rPr>
          <w:rFonts w:asciiTheme="minorHAnsi" w:hAnsiTheme="minorHAnsi" w:cstheme="minorHAnsi"/>
          <w:bCs/>
          <w:szCs w:val="24"/>
        </w:rPr>
        <w:t xml:space="preserve">pojistných událostí </w:t>
      </w:r>
      <w:r>
        <w:rPr>
          <w:rFonts w:asciiTheme="minorHAnsi" w:hAnsiTheme="minorHAnsi" w:cstheme="minorHAnsi"/>
          <w:bCs/>
          <w:szCs w:val="24"/>
        </w:rPr>
        <w:t xml:space="preserve">(ověřeno na 39 případech) a uplatňování regresů (ověřeno na 80 případech) </w:t>
      </w:r>
      <w:r w:rsidRPr="008A4D00">
        <w:rPr>
          <w:rFonts w:asciiTheme="minorHAnsi" w:hAnsiTheme="minorHAnsi" w:cstheme="minorHAnsi"/>
          <w:bCs/>
          <w:szCs w:val="24"/>
        </w:rPr>
        <w:t>postupovaly v souladu s právními předpisy.</w:t>
      </w:r>
    </w:p>
    <w:p w14:paraId="4CF0EA36" w14:textId="77777777" w:rsidR="000A2ADA" w:rsidRDefault="000A2ADA" w:rsidP="00AD6A0F">
      <w:pPr>
        <w:pStyle w:val="Odstavecseseznamem"/>
        <w:spacing w:before="240" w:line="240" w:lineRule="auto"/>
        <w:ind w:left="426"/>
        <w:jc w:val="both"/>
      </w:pPr>
    </w:p>
    <w:p w14:paraId="661ACFF3" w14:textId="797608BB" w:rsidR="0037281C" w:rsidRDefault="000A2ADA" w:rsidP="00D962D4">
      <w:pPr>
        <w:pStyle w:val="Odstavecseseznamem"/>
        <w:numPr>
          <w:ilvl w:val="0"/>
          <w:numId w:val="31"/>
        </w:numPr>
        <w:spacing w:line="240" w:lineRule="auto"/>
        <w:ind w:left="360"/>
        <w:jc w:val="both"/>
      </w:pPr>
      <w:r w:rsidRPr="00523248">
        <w:rPr>
          <w:bCs/>
        </w:rPr>
        <w:t>Evropská komise</w:t>
      </w:r>
      <w:r w:rsidRPr="00523248">
        <w:rPr>
          <w:rStyle w:val="Znakapoznpodarou"/>
          <w:rFonts w:cstheme="minorHAnsi"/>
          <w:bCs/>
          <w:szCs w:val="24"/>
        </w:rPr>
        <w:footnoteReference w:id="11"/>
      </w:r>
      <w:r w:rsidR="008D39CA">
        <w:rPr>
          <w:bCs/>
        </w:rPr>
        <w:t xml:space="preserve"> </w:t>
      </w:r>
      <w:r w:rsidRPr="00523248">
        <w:rPr>
          <w:bCs/>
        </w:rPr>
        <w:t>může v budoucnu shledat režim zákonného pojištění neslučitelným s vnitřním trhem. S</w:t>
      </w:r>
      <w:r w:rsidRPr="00523248">
        <w:t>ystém provádění zákonného pojištění naplňuje všechny definiční znaky</w:t>
      </w:r>
      <w:r w:rsidRPr="000A2ADA">
        <w:t xml:space="preserve"> </w:t>
      </w:r>
      <w:r w:rsidRPr="00CF6766">
        <w:t>veřejné podpory</w:t>
      </w:r>
      <w:r w:rsidR="00E916B9">
        <w:t>. Z</w:t>
      </w:r>
      <w:r w:rsidRPr="00CF6766">
        <w:t xml:space="preserve">ákonné pojištění jako existující podpora včetně </w:t>
      </w:r>
      <w:r w:rsidR="00E916B9">
        <w:t xml:space="preserve">následně </w:t>
      </w:r>
      <w:r w:rsidRPr="00CF6766">
        <w:t>provedených změn nebyl</w:t>
      </w:r>
      <w:r w:rsidR="00DB3F7E">
        <w:t>o</w:t>
      </w:r>
      <w:r w:rsidRPr="00CF6766">
        <w:t xml:space="preserve"> součástí výročních zpráv o všech existujících režimech</w:t>
      </w:r>
      <w:r>
        <w:t xml:space="preserve"> podpory</w:t>
      </w:r>
      <w:r w:rsidR="00E4196C">
        <w:rPr>
          <w:rStyle w:val="Znakapoznpodarou"/>
        </w:rPr>
        <w:footnoteReference w:id="12"/>
      </w:r>
      <w:r>
        <w:t>.</w:t>
      </w:r>
    </w:p>
    <w:p w14:paraId="6BA96094" w14:textId="77777777" w:rsidR="00D470EC" w:rsidRDefault="00D470EC" w:rsidP="002D21F2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042A978F" w14:textId="77777777" w:rsidR="007F14BA" w:rsidRPr="00EC639B" w:rsidRDefault="007F14BA" w:rsidP="002D21F2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745962DD" w14:textId="0239FE40" w:rsidR="005405DF" w:rsidRDefault="005405DF" w:rsidP="007F1168">
      <w:pPr>
        <w:pStyle w:val="Nadpis1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40" w:lineRule="auto"/>
        <w:ind w:left="357" w:hanging="357"/>
        <w:textAlignment w:val="baseline"/>
        <w:rPr>
          <w:rFonts w:cstheme="minorHAnsi"/>
          <w:sz w:val="24"/>
          <w:szCs w:val="24"/>
        </w:rPr>
      </w:pPr>
      <w:r w:rsidRPr="00EC639B">
        <w:rPr>
          <w:rFonts w:cstheme="minorHAnsi"/>
          <w:sz w:val="24"/>
          <w:szCs w:val="24"/>
        </w:rPr>
        <w:t>Informace o kontrolované oblasti</w:t>
      </w:r>
    </w:p>
    <w:p w14:paraId="05DB9F0A" w14:textId="77777777" w:rsidR="000A2ADA" w:rsidRPr="0043006C" w:rsidRDefault="000A2ADA" w:rsidP="00EA660D"/>
    <w:p w14:paraId="2432B5B8" w14:textId="07D0B94B" w:rsidR="005405DF" w:rsidRPr="00EC639B" w:rsidRDefault="00DE3186" w:rsidP="0056220A">
      <w:pPr>
        <w:rPr>
          <w:rFonts w:cstheme="minorHAnsi"/>
        </w:rPr>
      </w:pPr>
      <w:r w:rsidRPr="00EC639B">
        <w:rPr>
          <w:rFonts w:cstheme="minorHAnsi"/>
          <w:bCs/>
        </w:rPr>
        <w:t>Zákonné pojištění</w:t>
      </w:r>
      <w:r w:rsidR="005405DF" w:rsidRPr="00EC639B">
        <w:rPr>
          <w:rFonts w:cstheme="minorHAnsi"/>
        </w:rPr>
        <w:t xml:space="preserve"> </w:t>
      </w:r>
      <w:r w:rsidR="00667F79">
        <w:rPr>
          <w:rFonts w:cstheme="minorHAnsi"/>
        </w:rPr>
        <w:t xml:space="preserve">je upraveno </w:t>
      </w:r>
      <w:r w:rsidR="005405DF" w:rsidRPr="00EC639B">
        <w:rPr>
          <w:rFonts w:cstheme="minorHAnsi"/>
          <w:bCs/>
        </w:rPr>
        <w:t>ustanovením § 205d zákona č.</w:t>
      </w:r>
      <w:r w:rsidR="008D39CA">
        <w:rPr>
          <w:rFonts w:cstheme="minorHAnsi"/>
          <w:bCs/>
        </w:rPr>
        <w:t xml:space="preserve"> </w:t>
      </w:r>
      <w:r w:rsidR="005405DF" w:rsidRPr="00EC639B">
        <w:rPr>
          <w:rFonts w:cstheme="minorHAnsi"/>
          <w:bCs/>
        </w:rPr>
        <w:t>65/1965 Sb., které</w:t>
      </w:r>
      <w:r w:rsidR="005405DF" w:rsidRPr="00EC639B">
        <w:rPr>
          <w:rFonts w:cstheme="minorHAnsi"/>
        </w:rPr>
        <w:t xml:space="preserve"> bylo </w:t>
      </w:r>
      <w:r w:rsidR="0056220A">
        <w:rPr>
          <w:rFonts w:cstheme="minorHAnsi"/>
        </w:rPr>
        <w:t xml:space="preserve">po zrušení tohoto zákona ponecháno v </w:t>
      </w:r>
      <w:r w:rsidR="005405DF" w:rsidRPr="00EC639B">
        <w:rPr>
          <w:rFonts w:cstheme="minorHAnsi"/>
        </w:rPr>
        <w:t xml:space="preserve">právním řádu České republiky </w:t>
      </w:r>
      <w:r w:rsidR="0056220A" w:rsidRPr="00EC639B">
        <w:rPr>
          <w:rFonts w:cstheme="minorHAnsi"/>
        </w:rPr>
        <w:t>na základě přechodného ustanovení § 365 zákona č. 262/2006 Sb</w:t>
      </w:r>
      <w:r w:rsidR="00594EAC" w:rsidRPr="000A178D">
        <w:rPr>
          <w:rFonts w:cstheme="minorHAnsi"/>
        </w:rPr>
        <w:t>.</w:t>
      </w:r>
      <w:r w:rsidR="00594EAC" w:rsidRPr="000A178D">
        <w:rPr>
          <w:rStyle w:val="Znakapoznpodarou"/>
          <w:rFonts w:cstheme="minorHAnsi"/>
        </w:rPr>
        <w:footnoteReference w:id="13"/>
      </w:r>
      <w:r w:rsidR="00DD72F7">
        <w:rPr>
          <w:rFonts w:cstheme="minorHAnsi"/>
        </w:rPr>
        <w:t>.</w:t>
      </w:r>
    </w:p>
    <w:p w14:paraId="48720A04" w14:textId="77777777" w:rsidR="005405DF" w:rsidRPr="00EC639B" w:rsidRDefault="005405DF" w:rsidP="007F1168">
      <w:pPr>
        <w:pStyle w:val="Normlnweb"/>
        <w:jc w:val="both"/>
        <w:rPr>
          <w:rFonts w:asciiTheme="minorHAnsi" w:hAnsiTheme="minorHAnsi" w:cstheme="minorHAnsi"/>
        </w:rPr>
      </w:pPr>
    </w:p>
    <w:p w14:paraId="59F721CE" w14:textId="74332D07" w:rsidR="005405DF" w:rsidRDefault="005405DF" w:rsidP="007F1168">
      <w:pPr>
        <w:rPr>
          <w:rFonts w:cstheme="minorHAnsi"/>
          <w:color w:val="000000"/>
        </w:rPr>
      </w:pPr>
      <w:r w:rsidRPr="00EC639B">
        <w:rPr>
          <w:rFonts w:cstheme="minorHAnsi"/>
        </w:rPr>
        <w:t>Provádění zákonného pojištění bylo uloženo České pojišťovně a Kooperativě zákonem</w:t>
      </w:r>
      <w:r w:rsidR="009A536D">
        <w:rPr>
          <w:rStyle w:val="Znakapoznpodarou"/>
          <w:rFonts w:cstheme="minorHAnsi"/>
        </w:rPr>
        <w:footnoteReference w:id="14"/>
      </w:r>
      <w:r w:rsidRPr="00EC639B">
        <w:rPr>
          <w:rFonts w:cstheme="minorHAnsi"/>
        </w:rPr>
        <w:t xml:space="preserve"> s účinností od 1. 1. 1993.</w:t>
      </w:r>
      <w:r w:rsidRPr="00EC639B">
        <w:rPr>
          <w:rFonts w:cstheme="minorHAnsi"/>
          <w:color w:val="000000"/>
        </w:rPr>
        <w:t xml:space="preserve"> U České pojišťovny jsou pojištěni všichni zaměstnavatelé, kteří s ní měli k 31. 12. 1992 sjednáno pojištění odpovědnosti za škodu při pracovním úrazu nebo nemoci z</w:t>
      </w:r>
      <w:r w:rsidR="00594EAC">
        <w:rPr>
          <w:rFonts w:cstheme="minorHAnsi"/>
          <w:color w:val="000000"/>
        </w:rPr>
        <w:t> </w:t>
      </w:r>
      <w:r w:rsidRPr="00EC639B">
        <w:rPr>
          <w:rFonts w:cstheme="minorHAnsi"/>
          <w:color w:val="000000"/>
        </w:rPr>
        <w:t>povolání</w:t>
      </w:r>
      <w:r w:rsidR="00594EAC">
        <w:rPr>
          <w:rFonts w:cstheme="minorHAnsi"/>
          <w:color w:val="000000"/>
        </w:rPr>
        <w:t>,</w:t>
      </w:r>
      <w:r w:rsidRPr="00EC639B">
        <w:rPr>
          <w:rFonts w:cstheme="minorHAnsi"/>
          <w:color w:val="000000"/>
        </w:rPr>
        <w:t xml:space="preserve"> a</w:t>
      </w:r>
      <w:r w:rsidR="007E37B7">
        <w:rPr>
          <w:rFonts w:cstheme="minorHAnsi"/>
          <w:color w:val="000000"/>
        </w:rPr>
        <w:t xml:space="preserve"> </w:t>
      </w:r>
      <w:r w:rsidRPr="00EC639B">
        <w:rPr>
          <w:rFonts w:cstheme="minorHAnsi"/>
          <w:color w:val="000000"/>
        </w:rPr>
        <w:t>jejich právní nástupci. U Kooperativy jsou pojištěni</w:t>
      </w:r>
      <w:r w:rsidR="00A93375">
        <w:rPr>
          <w:rFonts w:cstheme="minorHAnsi"/>
          <w:color w:val="000000"/>
        </w:rPr>
        <w:t xml:space="preserve"> všichni ostatní zaměstnavatelé. </w:t>
      </w:r>
      <w:r w:rsidR="00DD72F7">
        <w:rPr>
          <w:rFonts w:cstheme="minorHAnsi"/>
          <w:color w:val="000000"/>
        </w:rPr>
        <w:t>Údaje pojišťoven za období 2015–</w:t>
      </w:r>
      <w:r w:rsidR="005E07EE">
        <w:rPr>
          <w:rFonts w:cstheme="minorHAnsi"/>
          <w:color w:val="000000"/>
        </w:rPr>
        <w:t xml:space="preserve">2018 o počtu evidovaných zaměstnavatelů, počtu pojistných událostí a </w:t>
      </w:r>
      <w:r w:rsidR="00A6356E">
        <w:rPr>
          <w:rFonts w:cstheme="minorHAnsi"/>
          <w:color w:val="000000"/>
        </w:rPr>
        <w:t xml:space="preserve">o výši </w:t>
      </w:r>
      <w:r w:rsidR="005E07EE">
        <w:rPr>
          <w:rFonts w:cstheme="minorHAnsi"/>
          <w:color w:val="000000"/>
        </w:rPr>
        <w:t xml:space="preserve">přijatého a vyplaceného pojistného jsou uvedeny v </w:t>
      </w:r>
      <w:r w:rsidR="007E60E9">
        <w:rPr>
          <w:rFonts w:cstheme="minorHAnsi"/>
          <w:color w:val="000000"/>
        </w:rPr>
        <w:t>p</w:t>
      </w:r>
      <w:r w:rsidR="00A93375">
        <w:rPr>
          <w:rFonts w:cstheme="minorHAnsi"/>
          <w:color w:val="000000"/>
        </w:rPr>
        <w:t>řílo</w:t>
      </w:r>
      <w:r w:rsidR="005E07EE">
        <w:rPr>
          <w:rFonts w:cstheme="minorHAnsi"/>
          <w:color w:val="000000"/>
        </w:rPr>
        <w:t>ze</w:t>
      </w:r>
      <w:r w:rsidR="00A93375">
        <w:rPr>
          <w:rFonts w:cstheme="minorHAnsi"/>
          <w:color w:val="000000"/>
        </w:rPr>
        <w:t xml:space="preserve"> č.</w:t>
      </w:r>
      <w:r w:rsidR="00A6356E">
        <w:rPr>
          <w:rFonts w:cstheme="minorHAnsi"/>
          <w:color w:val="000000"/>
        </w:rPr>
        <w:t> </w:t>
      </w:r>
      <w:r w:rsidR="00A93375">
        <w:rPr>
          <w:rFonts w:cstheme="minorHAnsi"/>
          <w:color w:val="000000"/>
        </w:rPr>
        <w:t>1</w:t>
      </w:r>
      <w:r w:rsidR="005E07EE">
        <w:rPr>
          <w:rFonts w:cstheme="minorHAnsi"/>
          <w:color w:val="000000"/>
        </w:rPr>
        <w:t>.</w:t>
      </w:r>
    </w:p>
    <w:p w14:paraId="7D24E04A" w14:textId="77777777" w:rsidR="00EA660D" w:rsidRPr="00EC639B" w:rsidRDefault="00EA660D" w:rsidP="007F1168">
      <w:pPr>
        <w:rPr>
          <w:rFonts w:cstheme="minorHAnsi"/>
          <w:color w:val="000000"/>
        </w:rPr>
      </w:pPr>
    </w:p>
    <w:p w14:paraId="4D72E955" w14:textId="11CBEB4D" w:rsidR="008932C1" w:rsidRDefault="008932C1" w:rsidP="008932C1">
      <w:pPr>
        <w:rPr>
          <w:rFonts w:cstheme="minorHAnsi"/>
        </w:rPr>
      </w:pPr>
      <w:r w:rsidRPr="00EC639B">
        <w:rPr>
          <w:rFonts w:cstheme="minorHAnsi"/>
        </w:rPr>
        <w:t xml:space="preserve">Zákonné pojištění vzniká </w:t>
      </w:r>
      <w:r w:rsidR="00667F79">
        <w:rPr>
          <w:rFonts w:cstheme="minorHAnsi"/>
        </w:rPr>
        <w:t xml:space="preserve">dnem vzniku </w:t>
      </w:r>
      <w:r w:rsidRPr="00EC639B">
        <w:rPr>
          <w:rFonts w:cstheme="minorHAnsi"/>
        </w:rPr>
        <w:t>pracovněprávního vztahu u zaměstnavatele. Mezi zaměstnavatelem a pojišťovnou, kterou je ze zákona buď Česká pojišťovna, nebo Kooperativa, se neuzavírá žádná pojistná smlouva. Na existenci pojištění a nároky zaměstnanců na odškodnění pracovního úrazu nebo nemoci z povolání nemá vliv ani případné neplacení pojistného ze strany zaměstnavatele.</w:t>
      </w:r>
    </w:p>
    <w:p w14:paraId="55C84926" w14:textId="77777777" w:rsidR="00EA660D" w:rsidRPr="00EC639B" w:rsidRDefault="00EA660D" w:rsidP="008932C1">
      <w:pPr>
        <w:rPr>
          <w:rFonts w:cstheme="minorHAnsi"/>
        </w:rPr>
      </w:pPr>
    </w:p>
    <w:p w14:paraId="4C6E313A" w14:textId="1C521A53" w:rsidR="008932C1" w:rsidRDefault="008932C1" w:rsidP="007F14BA">
      <w:pPr>
        <w:spacing w:after="120"/>
        <w:rPr>
          <w:rFonts w:cstheme="minorHAnsi"/>
        </w:rPr>
      </w:pPr>
      <w:r w:rsidRPr="00EC639B">
        <w:rPr>
          <w:rFonts w:cstheme="minorHAnsi"/>
        </w:rPr>
        <w:t xml:space="preserve">Zákonné pojištění Česká pojišťovna a </w:t>
      </w:r>
      <w:r w:rsidRPr="007C50B4">
        <w:rPr>
          <w:rFonts w:cstheme="minorHAnsi"/>
        </w:rPr>
        <w:t>Kooperativa provádě</w:t>
      </w:r>
      <w:r w:rsidR="00667F79" w:rsidRPr="007C50B4">
        <w:rPr>
          <w:rFonts w:cstheme="minorHAnsi"/>
        </w:rPr>
        <w:t>jí</w:t>
      </w:r>
      <w:r w:rsidRPr="007C50B4">
        <w:rPr>
          <w:rFonts w:cstheme="minorHAnsi"/>
        </w:rPr>
        <w:t xml:space="preserve"> pro stát na základě zákonného zmocnění</w:t>
      </w:r>
      <w:r w:rsidR="00667F79" w:rsidRPr="007C50B4">
        <w:rPr>
          <w:rFonts w:cstheme="minorHAnsi"/>
        </w:rPr>
        <w:t xml:space="preserve">. </w:t>
      </w:r>
      <w:r w:rsidRPr="007C50B4">
        <w:rPr>
          <w:rFonts w:cstheme="minorHAnsi"/>
        </w:rPr>
        <w:t xml:space="preserve">Vznikne-li při provozování tohoto pojištění majetková újma, mají </w:t>
      </w:r>
      <w:r w:rsidR="000760FD" w:rsidRPr="007C50B4">
        <w:rPr>
          <w:rFonts w:cstheme="minorHAnsi"/>
        </w:rPr>
        <w:t xml:space="preserve">pojišťovny </w:t>
      </w:r>
      <w:r w:rsidRPr="007C50B4">
        <w:rPr>
          <w:rFonts w:cstheme="minorHAnsi"/>
        </w:rPr>
        <w:t>právo na její úhradu ze státního rozpočtu. Naopak přebytek vzniklý ze zákonného</w:t>
      </w:r>
      <w:r w:rsidR="007E37B7">
        <w:rPr>
          <w:rFonts w:cstheme="minorHAnsi"/>
        </w:rPr>
        <w:t xml:space="preserve"> </w:t>
      </w:r>
      <w:r w:rsidRPr="007C50B4">
        <w:rPr>
          <w:rFonts w:cstheme="minorHAnsi"/>
        </w:rPr>
        <w:t>pojištění odvádě</w:t>
      </w:r>
      <w:r w:rsidR="00667F79" w:rsidRPr="007C50B4">
        <w:rPr>
          <w:rFonts w:cstheme="minorHAnsi"/>
        </w:rPr>
        <w:t>jí</w:t>
      </w:r>
      <w:r w:rsidRPr="007C50B4">
        <w:rPr>
          <w:rFonts w:cstheme="minorHAnsi"/>
        </w:rPr>
        <w:t xml:space="preserve"> do státního rozpočtu. Zákonné pojištění je provozováno systémem tzv. průběžného financování, tedy z pojistného placeného v daném roce jsou hrazeny nároky poškozených zaměstnanců splatné v daném účetním období bez ohledu na to, kdy došlo ke škodě. Zákonné pojištění se nevztahuje na zaměstnavatele, kteří mají postavení organizačních složek státu, </w:t>
      </w:r>
      <w:r w:rsidR="00667F79" w:rsidRPr="007C50B4">
        <w:rPr>
          <w:rFonts w:cstheme="minorHAnsi"/>
        </w:rPr>
        <w:t xml:space="preserve">nehradí se za </w:t>
      </w:r>
      <w:r w:rsidRPr="007C50B4">
        <w:rPr>
          <w:rFonts w:cstheme="minorHAnsi"/>
        </w:rPr>
        <w:t xml:space="preserve">vězně, studenty a učně v odborné praxi. Pojištění se dále nevztahuje na </w:t>
      </w:r>
      <w:r w:rsidRPr="007C50B4">
        <w:rPr>
          <w:rFonts w:cstheme="minorHAnsi"/>
        </w:rPr>
        <w:lastRenderedPageBreak/>
        <w:t>společníky či jednatele obchodních společností</w:t>
      </w:r>
      <w:r w:rsidRPr="00EC639B">
        <w:rPr>
          <w:rFonts w:cstheme="minorHAnsi"/>
        </w:rPr>
        <w:t>, kteří nejsou v pracovním poměru ke společnosti.</w:t>
      </w:r>
    </w:p>
    <w:p w14:paraId="21A5BF10" w14:textId="0E120053" w:rsidR="00A12532" w:rsidRDefault="00A12532" w:rsidP="00A12532">
      <w:pPr>
        <w:rPr>
          <w:rFonts w:cstheme="minorHAnsi"/>
        </w:rPr>
      </w:pPr>
      <w:r w:rsidRPr="007C50B4">
        <w:rPr>
          <w:rFonts w:ascii="Calibri" w:eastAsia="Calibri" w:hAnsi="Calibri"/>
        </w:rPr>
        <w:t xml:space="preserve">Dle zákona č. </w:t>
      </w:r>
      <w:r w:rsidRPr="007C50B4">
        <w:rPr>
          <w:rFonts w:ascii="Calibri" w:hAnsi="Calibri"/>
        </w:rPr>
        <w:t xml:space="preserve">2/1969 Sb., </w:t>
      </w:r>
      <w:r w:rsidRPr="007C50B4">
        <w:rPr>
          <w:rFonts w:cstheme="minorHAnsi"/>
        </w:rPr>
        <w:t>o zřízení ministerstev a jiných ústředních orgánů státní správy České republiky</w:t>
      </w:r>
      <w:r w:rsidR="007E37B7">
        <w:rPr>
          <w:rFonts w:cstheme="minorHAnsi"/>
        </w:rPr>
        <w:t>,</w:t>
      </w:r>
      <w:r w:rsidRPr="007C50B4">
        <w:rPr>
          <w:rFonts w:cstheme="minorHAnsi"/>
        </w:rPr>
        <w:t xml:space="preserve"> </w:t>
      </w:r>
      <w:r w:rsidR="007E37B7" w:rsidRPr="007C50B4">
        <w:rPr>
          <w:rFonts w:cstheme="minorHAnsi"/>
        </w:rPr>
        <w:t xml:space="preserve">nespadalo </w:t>
      </w:r>
      <w:r w:rsidRPr="007C50B4">
        <w:rPr>
          <w:rFonts w:cstheme="minorHAnsi"/>
        </w:rPr>
        <w:t>v kontrolovaném období let 2015 až 2018 zákonné pojištění do</w:t>
      </w:r>
      <w:r w:rsidR="007E37B7">
        <w:rPr>
          <w:rFonts w:cstheme="minorHAnsi"/>
        </w:rPr>
        <w:t xml:space="preserve"> </w:t>
      </w:r>
      <w:r w:rsidRPr="007C50B4">
        <w:rPr>
          <w:rFonts w:cstheme="minorHAnsi"/>
        </w:rPr>
        <w:t>působnosti žádného ministerstva.</w:t>
      </w:r>
    </w:p>
    <w:p w14:paraId="5B3E39C4" w14:textId="77777777" w:rsidR="00677512" w:rsidRPr="00BF2EF4" w:rsidRDefault="00677512" w:rsidP="00A12532">
      <w:pPr>
        <w:rPr>
          <w:rFonts w:ascii="Calibri" w:eastAsia="Calibri" w:hAnsi="Calibri"/>
        </w:rPr>
      </w:pPr>
    </w:p>
    <w:p w14:paraId="340B8A79" w14:textId="246F426B" w:rsidR="000A2ADA" w:rsidRPr="00355D7A" w:rsidRDefault="000A2ADA" w:rsidP="000A2ADA">
      <w:pPr>
        <w:rPr>
          <w:rFonts w:cstheme="minorHAnsi"/>
        </w:rPr>
      </w:pPr>
      <w:r w:rsidRPr="00FF2E10">
        <w:rPr>
          <w:rFonts w:cstheme="minorHAnsi"/>
        </w:rPr>
        <w:t>MF na základě zmocnění</w:t>
      </w:r>
      <w:r w:rsidRPr="00FF2E10">
        <w:rPr>
          <w:rStyle w:val="Znakapoznpodarou"/>
          <w:rFonts w:cstheme="minorHAnsi"/>
        </w:rPr>
        <w:footnoteReference w:id="15"/>
      </w:r>
      <w:r w:rsidRPr="00FF2E10">
        <w:rPr>
          <w:rFonts w:cstheme="minorHAnsi"/>
        </w:rPr>
        <w:t xml:space="preserve"> vydalo s účinností od 22. 4. 1993 vyhlášku</w:t>
      </w:r>
      <w:r w:rsidRPr="00FF2E10">
        <w:rPr>
          <w:rStyle w:val="Znakapoznpodarou"/>
          <w:rFonts w:cstheme="minorHAnsi"/>
        </w:rPr>
        <w:footnoteReference w:id="16"/>
      </w:r>
      <w:r w:rsidRPr="00FF2E10">
        <w:rPr>
          <w:rFonts w:cstheme="minorHAnsi"/>
        </w:rPr>
        <w:t xml:space="preserve">, kterou upravilo právní vztahy mezi zaměstnavateli a příslušnými pověřenými pojišťovnami. </w:t>
      </w:r>
    </w:p>
    <w:p w14:paraId="22232572" w14:textId="77777777" w:rsidR="001B311E" w:rsidRPr="00FF2E10" w:rsidRDefault="001B311E" w:rsidP="000A2ADA">
      <w:pPr>
        <w:rPr>
          <w:rFonts w:cstheme="minorHAnsi"/>
        </w:rPr>
      </w:pPr>
    </w:p>
    <w:p w14:paraId="19862674" w14:textId="2E9D94A0" w:rsidR="00FF2E10" w:rsidRPr="001C0C4E" w:rsidRDefault="00FF2E10" w:rsidP="00FF2E10">
      <w:pPr>
        <w:rPr>
          <w:rFonts w:cstheme="minorHAnsi"/>
        </w:rPr>
      </w:pPr>
      <w:r w:rsidRPr="007C50B4">
        <w:rPr>
          <w:rFonts w:cstheme="minorHAnsi"/>
        </w:rPr>
        <w:t xml:space="preserve">MPSV </w:t>
      </w:r>
      <w:r w:rsidR="0014563E" w:rsidRPr="007C50B4">
        <w:rPr>
          <w:rFonts w:cstheme="minorHAnsi"/>
        </w:rPr>
        <w:t xml:space="preserve">připravovalo a předkládalo vládě návrhy právní úpravy v oblasti </w:t>
      </w:r>
      <w:r w:rsidRPr="007C50B4">
        <w:rPr>
          <w:rFonts w:cstheme="minorHAnsi"/>
        </w:rPr>
        <w:t>pracovněprávních</w:t>
      </w:r>
      <w:r w:rsidRPr="00EC639B">
        <w:rPr>
          <w:rFonts w:cstheme="minorHAnsi"/>
        </w:rPr>
        <w:t xml:space="preserve"> vztahů a n</w:t>
      </w:r>
      <w:r w:rsidR="00E17410">
        <w:rPr>
          <w:rFonts w:cstheme="minorHAnsi"/>
        </w:rPr>
        <w:t>áhrad škod z pracovních úrazů a</w:t>
      </w:r>
      <w:r w:rsidR="00FE0F88">
        <w:rPr>
          <w:rFonts w:cstheme="minorHAnsi"/>
        </w:rPr>
        <w:t xml:space="preserve"> </w:t>
      </w:r>
      <w:r w:rsidRPr="00EC639B">
        <w:rPr>
          <w:rFonts w:cstheme="minorHAnsi"/>
        </w:rPr>
        <w:t>nemocí z povolání, v rámci zákona č. 262/2006 Sb.</w:t>
      </w:r>
      <w:r w:rsidRPr="00EC639B">
        <w:rPr>
          <w:rStyle w:val="Znakapoznpodarou"/>
          <w:rFonts w:cstheme="minorHAnsi"/>
        </w:rPr>
        <w:footnoteReference w:id="17"/>
      </w:r>
      <w:r w:rsidRPr="00EC639B">
        <w:rPr>
          <w:rFonts w:cstheme="minorHAnsi"/>
        </w:rPr>
        <w:t xml:space="preserve"> de</w:t>
      </w:r>
      <w:r w:rsidR="00E17410">
        <w:rPr>
          <w:rFonts w:cstheme="minorHAnsi"/>
        </w:rPr>
        <w:t>finovalo rozsah náhrady škody a</w:t>
      </w:r>
      <w:r w:rsidR="00FE0F88">
        <w:rPr>
          <w:rFonts w:cstheme="minorHAnsi"/>
        </w:rPr>
        <w:t xml:space="preserve"> </w:t>
      </w:r>
      <w:r w:rsidRPr="00EC639B">
        <w:rPr>
          <w:rFonts w:cstheme="minorHAnsi"/>
        </w:rPr>
        <w:t xml:space="preserve">nemajetkové újmy vzniklé pracovním úrazem nebo nemocí z povolání, podmínky zproštění zaměstnavatele povinnosti k náhradě a druhy náhrad. </w:t>
      </w:r>
    </w:p>
    <w:p w14:paraId="555EC808" w14:textId="77777777" w:rsidR="001C0C4E" w:rsidRDefault="001C0C4E" w:rsidP="00FF2E10">
      <w:pPr>
        <w:rPr>
          <w:rFonts w:cstheme="minorHAnsi"/>
        </w:rPr>
      </w:pPr>
    </w:p>
    <w:p w14:paraId="0799D1BA" w14:textId="62B693A5" w:rsidR="00D12D4A" w:rsidRDefault="008932C1" w:rsidP="00D12D4A">
      <w:pPr>
        <w:rPr>
          <w:rFonts w:cstheme="minorHAnsi"/>
        </w:rPr>
      </w:pPr>
      <w:r>
        <w:rPr>
          <w:rFonts w:cstheme="minorHAnsi"/>
        </w:rPr>
        <w:t>E</w:t>
      </w:r>
      <w:r w:rsidR="00D12D4A" w:rsidRPr="00D12D4A">
        <w:rPr>
          <w:rFonts w:cstheme="minorHAnsi"/>
        </w:rPr>
        <w:t>konomické výsledky provoz</w:t>
      </w:r>
      <w:r w:rsidR="00145AE8">
        <w:rPr>
          <w:rFonts w:cstheme="minorHAnsi"/>
        </w:rPr>
        <w:t>ování</w:t>
      </w:r>
      <w:r w:rsidR="00D12D4A" w:rsidRPr="00D12D4A">
        <w:rPr>
          <w:rFonts w:cstheme="minorHAnsi"/>
        </w:rPr>
        <w:t xml:space="preserve"> z</w:t>
      </w:r>
      <w:r w:rsidR="00E17410">
        <w:rPr>
          <w:rFonts w:cstheme="minorHAnsi"/>
        </w:rPr>
        <w:t>ákonného pojištění za roky 2015–</w:t>
      </w:r>
      <w:r w:rsidR="00D12D4A" w:rsidRPr="00D12D4A">
        <w:rPr>
          <w:rFonts w:cstheme="minorHAnsi"/>
        </w:rPr>
        <w:t xml:space="preserve">2018 </w:t>
      </w:r>
      <w:r w:rsidRPr="00D12D4A">
        <w:rPr>
          <w:rFonts w:cstheme="minorHAnsi"/>
        </w:rPr>
        <w:t>sděl</w:t>
      </w:r>
      <w:r w:rsidR="003557EB">
        <w:rPr>
          <w:rFonts w:cstheme="minorHAnsi"/>
        </w:rPr>
        <w:t>ovaly</w:t>
      </w:r>
      <w:r w:rsidRPr="00D12D4A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D12D4A">
        <w:rPr>
          <w:rFonts w:cstheme="minorHAnsi"/>
        </w:rPr>
        <w:t xml:space="preserve">ojišťovny </w:t>
      </w:r>
      <w:r w:rsidR="00D12D4A" w:rsidRPr="00D12D4A">
        <w:rPr>
          <w:rFonts w:cstheme="minorHAnsi"/>
        </w:rPr>
        <w:t>M</w:t>
      </w:r>
      <w:r w:rsidR="00145AE8">
        <w:rPr>
          <w:rFonts w:cstheme="minorHAnsi"/>
        </w:rPr>
        <w:t>inisterstvu financí</w:t>
      </w:r>
      <w:r w:rsidR="00D12D4A" w:rsidRPr="00D12D4A">
        <w:rPr>
          <w:rFonts w:cstheme="minorHAnsi"/>
        </w:rPr>
        <w:t xml:space="preserve"> </w:t>
      </w:r>
      <w:r w:rsidR="003557EB">
        <w:rPr>
          <w:rFonts w:cstheme="minorHAnsi"/>
        </w:rPr>
        <w:t xml:space="preserve">vždy </w:t>
      </w:r>
      <w:r w:rsidR="00D12D4A" w:rsidRPr="00D12D4A">
        <w:rPr>
          <w:rFonts w:cstheme="minorHAnsi"/>
        </w:rPr>
        <w:t>v termínu do 31. března násled</w:t>
      </w:r>
      <w:r w:rsidR="00D12D4A">
        <w:rPr>
          <w:rFonts w:cstheme="minorHAnsi"/>
        </w:rPr>
        <w:t>ujícího roku</w:t>
      </w:r>
      <w:r>
        <w:rPr>
          <w:rFonts w:cstheme="minorHAnsi"/>
        </w:rPr>
        <w:t xml:space="preserve">, </w:t>
      </w:r>
      <w:r w:rsidR="001E108C">
        <w:rPr>
          <w:rFonts w:cstheme="minorHAnsi"/>
        </w:rPr>
        <w:t xml:space="preserve">a to </w:t>
      </w:r>
      <w:r>
        <w:rPr>
          <w:rFonts w:cstheme="minorHAnsi"/>
        </w:rPr>
        <w:t>prostř</w:t>
      </w:r>
      <w:r w:rsidR="00D12D4A" w:rsidRPr="00D12D4A">
        <w:rPr>
          <w:rFonts w:cstheme="minorHAnsi"/>
        </w:rPr>
        <w:t>ednictvím výkazu</w:t>
      </w:r>
      <w:r w:rsidR="001C0C4E">
        <w:rPr>
          <w:rFonts w:cstheme="minorHAnsi"/>
        </w:rPr>
        <w:t xml:space="preserve"> </w:t>
      </w:r>
      <w:r w:rsidR="004F2190">
        <w:rPr>
          <w:rFonts w:cstheme="minorHAnsi"/>
        </w:rPr>
        <w:t>„ZPOZ</w:t>
      </w:r>
      <w:r w:rsidR="001C0C4E">
        <w:rPr>
          <w:rFonts w:cstheme="minorHAnsi"/>
        </w:rPr>
        <w:t xml:space="preserve"> </w:t>
      </w:r>
      <w:r w:rsidR="004F2190">
        <w:rPr>
          <w:rFonts w:cstheme="minorHAnsi"/>
        </w:rPr>
        <w:t>–</w:t>
      </w:r>
      <w:r w:rsidR="001C0C4E">
        <w:rPr>
          <w:rFonts w:cstheme="minorHAnsi"/>
        </w:rPr>
        <w:t xml:space="preserve"> </w:t>
      </w:r>
      <w:r w:rsidR="00D12D4A" w:rsidRPr="00D12D4A">
        <w:rPr>
          <w:rFonts w:cstheme="minorHAnsi"/>
        </w:rPr>
        <w:t xml:space="preserve">Výkaz ekonomických výsledků provozu zákonného pojištění odpovědnosti zaměstnavatele za škodu při pracovním úrazu a nemoci z povolání“, </w:t>
      </w:r>
      <w:r w:rsidR="003437D5">
        <w:rPr>
          <w:rFonts w:cstheme="minorHAnsi"/>
        </w:rPr>
        <w:t>viz tabulka č. 1</w:t>
      </w:r>
      <w:r w:rsidR="00D12D4A" w:rsidRPr="00D12D4A">
        <w:rPr>
          <w:rFonts w:cstheme="minorHAnsi"/>
        </w:rPr>
        <w:t xml:space="preserve">. </w:t>
      </w:r>
    </w:p>
    <w:p w14:paraId="33C24F20" w14:textId="77777777" w:rsidR="003437D5" w:rsidRPr="00D12D4A" w:rsidRDefault="003437D5" w:rsidP="00D12D4A">
      <w:pPr>
        <w:rPr>
          <w:rFonts w:cstheme="minorHAnsi"/>
        </w:rPr>
      </w:pPr>
    </w:p>
    <w:p w14:paraId="203847A0" w14:textId="59DBCEBC" w:rsidR="005405DF" w:rsidRPr="00355D7A" w:rsidRDefault="005405DF" w:rsidP="00355D7A">
      <w:pPr>
        <w:tabs>
          <w:tab w:val="right" w:pos="9214"/>
        </w:tabs>
        <w:ind w:right="-142"/>
        <w:rPr>
          <w:rFonts w:cstheme="minorHAnsi"/>
          <w:b/>
          <w:sz w:val="22"/>
          <w:szCs w:val="22"/>
        </w:rPr>
      </w:pPr>
      <w:r w:rsidRPr="00355D7A">
        <w:rPr>
          <w:rFonts w:cstheme="minorHAnsi"/>
          <w:b/>
          <w:sz w:val="22"/>
          <w:szCs w:val="22"/>
        </w:rPr>
        <w:t>Tabulka č. 1: Přehled ekonomických výsledk</w:t>
      </w:r>
      <w:r w:rsidR="00E17410" w:rsidRPr="00355D7A">
        <w:rPr>
          <w:rFonts w:cstheme="minorHAnsi"/>
          <w:b/>
          <w:sz w:val="22"/>
          <w:szCs w:val="22"/>
        </w:rPr>
        <w:t xml:space="preserve">ů </w:t>
      </w:r>
      <w:r w:rsidR="0014563E" w:rsidRPr="00355D7A">
        <w:rPr>
          <w:rFonts w:cstheme="minorHAnsi"/>
          <w:b/>
          <w:sz w:val="22"/>
          <w:szCs w:val="22"/>
        </w:rPr>
        <w:t xml:space="preserve">zákonného pojištění </w:t>
      </w:r>
      <w:r w:rsidR="00E17410" w:rsidRPr="00355D7A">
        <w:rPr>
          <w:rFonts w:cstheme="minorHAnsi"/>
          <w:b/>
          <w:sz w:val="22"/>
          <w:szCs w:val="22"/>
        </w:rPr>
        <w:t>v letech 2015–</w:t>
      </w:r>
      <w:r w:rsidRPr="00355D7A">
        <w:rPr>
          <w:rFonts w:cstheme="minorHAnsi"/>
          <w:b/>
          <w:sz w:val="22"/>
          <w:szCs w:val="22"/>
        </w:rPr>
        <w:t>2018</w:t>
      </w:r>
      <w:r w:rsidR="00BF75CA" w:rsidRPr="00355D7A">
        <w:rPr>
          <w:rFonts w:cstheme="minorHAnsi"/>
          <w:b/>
          <w:sz w:val="22"/>
          <w:szCs w:val="22"/>
        </w:rPr>
        <w:t xml:space="preserve"> </w:t>
      </w:r>
      <w:r w:rsidR="00BF75CA" w:rsidRPr="00355D7A">
        <w:rPr>
          <w:rFonts w:cstheme="minorHAnsi"/>
          <w:b/>
          <w:sz w:val="22"/>
          <w:szCs w:val="22"/>
        </w:rPr>
        <w:tab/>
        <w:t>(v tis. Kč)</w:t>
      </w:r>
    </w:p>
    <w:tbl>
      <w:tblPr>
        <w:tblW w:w="924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BF75CA" w14:paraId="60AC3C8A" w14:textId="77777777" w:rsidTr="00355D7A">
        <w:trPr>
          <w:trHeight w:val="283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1CB62DF5" w14:textId="77777777" w:rsidR="00BF75CA" w:rsidRPr="00991D2A" w:rsidRDefault="00BF75CA" w:rsidP="00AC1D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Ukazatel</w:t>
            </w:r>
          </w:p>
        </w:tc>
        <w:tc>
          <w:tcPr>
            <w:tcW w:w="2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140DD218" w14:textId="66645622" w:rsidR="00BF75CA" w:rsidRPr="00991D2A" w:rsidRDefault="00BF75CA" w:rsidP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Česká pojišťovna</w:t>
            </w:r>
          </w:p>
        </w:tc>
        <w:tc>
          <w:tcPr>
            <w:tcW w:w="2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71419E22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Kooperativa</w:t>
            </w:r>
          </w:p>
        </w:tc>
        <w:tc>
          <w:tcPr>
            <w:tcW w:w="2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7D5C8020" w14:textId="30A656E0" w:rsidR="00BF75CA" w:rsidRPr="008D39CA" w:rsidRDefault="00BF75CA" w:rsidP="008D39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pacing w:val="10"/>
                <w:sz w:val="16"/>
                <w:szCs w:val="16"/>
              </w:rPr>
            </w:pPr>
            <w:r w:rsidRPr="008D39CA">
              <w:rPr>
                <w:rFonts w:cs="Calibri"/>
                <w:b/>
                <w:bCs/>
                <w:color w:val="000000"/>
                <w:spacing w:val="10"/>
                <w:sz w:val="16"/>
                <w:szCs w:val="16"/>
              </w:rPr>
              <w:t>CELKEM</w:t>
            </w:r>
          </w:p>
        </w:tc>
      </w:tr>
      <w:tr w:rsidR="00BF75CA" w14:paraId="704F5802" w14:textId="77777777" w:rsidTr="00355D7A">
        <w:trPr>
          <w:trHeight w:val="283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</w:tcPr>
          <w:p w14:paraId="4A9B7025" w14:textId="77777777" w:rsidR="00BF75CA" w:rsidRPr="00991D2A" w:rsidRDefault="00BF75CA" w:rsidP="00AC1D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482A1881" w14:textId="77777777" w:rsidR="00BF75CA" w:rsidRPr="00991D2A" w:rsidRDefault="00BF75CA" w:rsidP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11FAD745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5F2133B4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17C95EBA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2343D359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7C0FC5A2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041DE2EC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09973002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08198004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5550D146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187950A2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</w:tcPr>
          <w:p w14:paraId="01172767" w14:textId="77777777" w:rsidR="00BF75CA" w:rsidRPr="00991D2A" w:rsidRDefault="00BF75C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BF75CA" w14:paraId="00FEF9EE" w14:textId="77777777" w:rsidTr="00BF75CA">
        <w:trPr>
          <w:trHeight w:val="22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2A68" w14:textId="77777777" w:rsidR="00BF75CA" w:rsidRPr="00991D2A" w:rsidRDefault="00BF75CA" w:rsidP="00AC1DBE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color w:val="000000"/>
                <w:sz w:val="16"/>
                <w:szCs w:val="16"/>
              </w:rPr>
              <w:t xml:space="preserve">Přijaté pojistné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7A987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1 360 297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8067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398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B986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477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15CE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602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6EA7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5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381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086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EF50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5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711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080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E803E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6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107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9C7F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6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718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8309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6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741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D460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7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109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3420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7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584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848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93E1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8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321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756</w:t>
            </w:r>
          </w:p>
        </w:tc>
      </w:tr>
      <w:tr w:rsidR="00BF75CA" w14:paraId="548E34E9" w14:textId="77777777" w:rsidTr="00BF75CA">
        <w:trPr>
          <w:trHeight w:val="31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D51C" w14:textId="77777777" w:rsidR="00BF75CA" w:rsidRPr="00991D2A" w:rsidRDefault="00BF75CA" w:rsidP="00AC1DBE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color w:val="000000"/>
                <w:sz w:val="16"/>
                <w:szCs w:val="16"/>
              </w:rPr>
              <w:t>Výnosy z přijatého pojistného (úroky)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6F1B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659B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BC75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A37B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8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6A65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822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6DD2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F5EC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913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1009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16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170A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B884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90A5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613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EAFA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24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643</w:t>
            </w:r>
          </w:p>
        </w:tc>
      </w:tr>
      <w:tr w:rsidR="00BF75CA" w14:paraId="30230C26" w14:textId="77777777" w:rsidTr="00BF75CA">
        <w:trPr>
          <w:trHeight w:val="31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C268" w14:textId="77777777" w:rsidR="00BF75CA" w:rsidRPr="00991D2A" w:rsidRDefault="00BF75CA" w:rsidP="00AC1DBE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Přijaté pojistné včetně úroků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01F9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360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8068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398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CC2E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478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D59A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611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16D6E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381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908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F1CC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711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217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FAF9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108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F076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735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95B7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742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209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65D3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109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477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090C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586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461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F071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346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399</w:t>
            </w:r>
          </w:p>
        </w:tc>
      </w:tr>
      <w:tr w:rsidR="00BF75CA" w14:paraId="3648FFFB" w14:textId="77777777" w:rsidTr="00BF75CA">
        <w:trPr>
          <w:trHeight w:val="31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D343" w14:textId="77777777" w:rsidR="00BF75CA" w:rsidRPr="00991D2A" w:rsidRDefault="00BF75CA" w:rsidP="00AC1DBE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color w:val="000000"/>
                <w:sz w:val="16"/>
                <w:szCs w:val="16"/>
              </w:rPr>
              <w:t xml:space="preserve">Vyplacené náhrady škody za pojistná plnění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99CA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564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549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BC2A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686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637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72AC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694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995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FB09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688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838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7E35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3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188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8D58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061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967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5DDB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077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8230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121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26EE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3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752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654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5AD7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748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604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D6FA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772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0BD1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809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988</w:t>
            </w:r>
          </w:p>
        </w:tc>
      </w:tr>
      <w:tr w:rsidR="00BF75CA" w14:paraId="4D98952A" w14:textId="77777777" w:rsidTr="00BF75CA">
        <w:trPr>
          <w:trHeight w:val="15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1CB9" w14:textId="77777777" w:rsidR="00BF75CA" w:rsidRPr="00991D2A" w:rsidRDefault="00BF75CA" w:rsidP="00AC1DBE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color w:val="000000"/>
                <w:sz w:val="16"/>
                <w:szCs w:val="16"/>
              </w:rPr>
              <w:t xml:space="preserve">Náklady správní režie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A532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54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4DA7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55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B505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59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40E2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64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DD31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215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7864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228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443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7B22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244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82EC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268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5AB9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269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2D84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284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17A4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303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BDA1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color w:val="000000"/>
                <w:sz w:val="14"/>
                <w:szCs w:val="14"/>
              </w:rPr>
              <w:t>332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color w:val="000000"/>
                <w:sz w:val="14"/>
                <w:szCs w:val="14"/>
              </w:rPr>
              <w:t>871</w:t>
            </w:r>
          </w:p>
        </w:tc>
      </w:tr>
      <w:tr w:rsidR="00BF75CA" w14:paraId="6F3779EE" w14:textId="77777777" w:rsidTr="00BF75CA">
        <w:trPr>
          <w:trHeight w:val="473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57A1" w14:textId="3F43CC8A" w:rsidR="00BF75CA" w:rsidRPr="00991D2A" w:rsidRDefault="00BF75CA" w:rsidP="00BF75CA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Vyplacené náhrady škody za pojistná plnění + 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</w:t>
            </w: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áklady správní režie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A07F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618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961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D5EB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742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567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7188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754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096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7474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752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949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15E55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403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348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B4B4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290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1E5A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321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933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4F0A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389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910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F2580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022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309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6482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032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977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B43B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076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029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0F94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142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858</w:t>
            </w:r>
          </w:p>
        </w:tc>
      </w:tr>
      <w:tr w:rsidR="00BF75CA" w14:paraId="591B08FC" w14:textId="77777777" w:rsidTr="00BF75CA">
        <w:trPr>
          <w:trHeight w:val="473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7F25" w14:textId="270AAA31" w:rsidR="00BF75CA" w:rsidRPr="00991D2A" w:rsidRDefault="00BF75CA" w:rsidP="00BF75CA">
            <w:pPr>
              <w:autoSpaceDE w:val="0"/>
              <w:autoSpaceDN w:val="0"/>
              <w:adjustRightInd w:val="0"/>
              <w:ind w:right="-30"/>
              <w:jc w:val="lef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Přebytek zákonného pojištění = 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o</w:t>
            </w:r>
            <w:r w:rsidRPr="00991D2A">
              <w:rPr>
                <w:rFonts w:cs="Calibri"/>
                <w:b/>
                <w:bCs/>
                <w:color w:val="000000"/>
                <w:sz w:val="16"/>
                <w:szCs w:val="16"/>
              </w:rPr>
              <w:t>dvod do státního rozpočtu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86A2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741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C6AD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655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693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29BD0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724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408C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858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253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075D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978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3FB8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420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807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53E1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786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312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B701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345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287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7A27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719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0D60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076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8E23B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510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432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E0C7" w14:textId="77777777" w:rsidR="00BF75CA" w:rsidRPr="00B744A7" w:rsidRDefault="00BF75CA" w:rsidP="00BF75C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203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44A7">
              <w:rPr>
                <w:rFonts w:cs="Calibri"/>
                <w:b/>
                <w:bCs/>
                <w:color w:val="000000"/>
                <w:sz w:val="14"/>
                <w:szCs w:val="14"/>
              </w:rPr>
              <w:t>540</w:t>
            </w:r>
          </w:p>
        </w:tc>
      </w:tr>
    </w:tbl>
    <w:p w14:paraId="2A20942D" w14:textId="4E3AC90F" w:rsidR="005405DF" w:rsidRPr="008D39CA" w:rsidRDefault="005405DF" w:rsidP="007F1168">
      <w:pPr>
        <w:rPr>
          <w:rFonts w:cstheme="minorHAnsi"/>
          <w:sz w:val="20"/>
          <w:szCs w:val="20"/>
        </w:rPr>
      </w:pPr>
      <w:r w:rsidRPr="00BC5465">
        <w:rPr>
          <w:rFonts w:cstheme="minorHAnsi"/>
          <w:b/>
          <w:sz w:val="20"/>
          <w:szCs w:val="20"/>
        </w:rPr>
        <w:t>Zdroj:</w:t>
      </w:r>
      <w:r w:rsidRPr="00BC5465">
        <w:rPr>
          <w:rFonts w:cstheme="minorHAnsi"/>
          <w:sz w:val="20"/>
          <w:szCs w:val="20"/>
        </w:rPr>
        <w:t xml:space="preserve"> MF, vlastní zpracování</w:t>
      </w:r>
      <w:r w:rsidR="006957D5" w:rsidRPr="00E86180">
        <w:rPr>
          <w:rFonts w:cstheme="minorHAnsi"/>
          <w:sz w:val="20"/>
          <w:szCs w:val="20"/>
        </w:rPr>
        <w:t xml:space="preserve"> NKÚ</w:t>
      </w:r>
      <w:r w:rsidR="00E17410" w:rsidRPr="00E86180">
        <w:rPr>
          <w:rFonts w:cstheme="minorHAnsi"/>
          <w:sz w:val="20"/>
          <w:szCs w:val="20"/>
        </w:rPr>
        <w:t>.</w:t>
      </w:r>
    </w:p>
    <w:p w14:paraId="3EE14E07" w14:textId="4B1AFFED" w:rsidR="00167C2B" w:rsidRDefault="00167C2B" w:rsidP="007F1168">
      <w:pPr>
        <w:rPr>
          <w:rFonts w:cstheme="minorHAnsi"/>
          <w:sz w:val="22"/>
          <w:szCs w:val="22"/>
        </w:rPr>
      </w:pPr>
    </w:p>
    <w:p w14:paraId="2B959B18" w14:textId="6865BAD3" w:rsidR="00FA0A73" w:rsidRDefault="00FA0A73" w:rsidP="00FA0A73">
      <w:pPr>
        <w:rPr>
          <w:rFonts w:cstheme="minorHAnsi"/>
        </w:rPr>
      </w:pPr>
      <w:r w:rsidRPr="00EC639B">
        <w:rPr>
          <w:rFonts w:cstheme="minorHAnsi"/>
        </w:rPr>
        <w:t>Celk</w:t>
      </w:r>
      <w:r>
        <w:rPr>
          <w:rFonts w:cstheme="minorHAnsi"/>
        </w:rPr>
        <w:t>ový kontrolovaný objem finančních prostředků činil 29 784 547 </w:t>
      </w:r>
      <w:r w:rsidRPr="00EC639B">
        <w:rPr>
          <w:rFonts w:cstheme="minorHAnsi"/>
        </w:rPr>
        <w:t>131 Kč.</w:t>
      </w:r>
    </w:p>
    <w:p w14:paraId="21BD1B94" w14:textId="77777777" w:rsidR="00FA0A73" w:rsidRDefault="00FA0A73" w:rsidP="00FA0A73">
      <w:pPr>
        <w:rPr>
          <w:rFonts w:cstheme="minorHAnsi"/>
        </w:rPr>
      </w:pPr>
    </w:p>
    <w:p w14:paraId="7EDFF86F" w14:textId="1616024A" w:rsidR="00A93375" w:rsidRDefault="00A93375" w:rsidP="007F14BA">
      <w:pPr>
        <w:rPr>
          <w:rFonts w:cstheme="minorHAnsi"/>
          <w:szCs w:val="22"/>
        </w:rPr>
      </w:pPr>
      <w:r w:rsidRPr="008F44BC">
        <w:rPr>
          <w:rFonts w:cstheme="minorHAnsi"/>
          <w:szCs w:val="22"/>
        </w:rPr>
        <w:t>Systém zákonného</w:t>
      </w:r>
      <w:r w:rsidRPr="00FA0A73">
        <w:rPr>
          <w:rFonts w:cstheme="minorHAnsi"/>
          <w:szCs w:val="22"/>
        </w:rPr>
        <w:t xml:space="preserve"> pojištění je v ČR z hlediska správce systému provozován soukromým</w:t>
      </w:r>
      <w:r w:rsidR="00FA0A73">
        <w:rPr>
          <w:rFonts w:cstheme="minorHAnsi"/>
          <w:szCs w:val="22"/>
        </w:rPr>
        <w:t>i subjekty</w:t>
      </w:r>
      <w:r w:rsidRPr="00FA0A73">
        <w:rPr>
          <w:rFonts w:cstheme="minorHAnsi"/>
          <w:szCs w:val="22"/>
        </w:rPr>
        <w:t xml:space="preserve"> a plnění</w:t>
      </w:r>
      <w:r w:rsidR="00FA0A73">
        <w:rPr>
          <w:rFonts w:cstheme="minorHAnsi"/>
          <w:szCs w:val="22"/>
        </w:rPr>
        <w:t xml:space="preserve"> z důvodu pracovního úrazu nebo nemoci z povolání </w:t>
      </w:r>
      <w:r w:rsidRPr="00FA0A73">
        <w:rPr>
          <w:rFonts w:cstheme="minorHAnsi"/>
          <w:szCs w:val="22"/>
        </w:rPr>
        <w:t>je poskytováno ve formě kompenzace ztráty, tj. jako náhrada škody.</w:t>
      </w:r>
      <w:r w:rsidR="00FA0A73">
        <w:rPr>
          <w:rFonts w:cstheme="minorHAnsi"/>
          <w:szCs w:val="22"/>
        </w:rPr>
        <w:t xml:space="preserve"> Pro srovnání uvádíme, že v</w:t>
      </w:r>
      <w:r w:rsidRPr="00FA0A73">
        <w:rPr>
          <w:rFonts w:cstheme="minorHAnsi"/>
          <w:szCs w:val="22"/>
        </w:rPr>
        <w:t xml:space="preserve"> okolních státech (Německo, Polsko, Slovensko a Rakousko) je systém zákonného pojištění z hlediska správce </w:t>
      </w:r>
      <w:r w:rsidRPr="00FA0A73">
        <w:rPr>
          <w:rFonts w:cstheme="minorHAnsi"/>
          <w:szCs w:val="22"/>
        </w:rPr>
        <w:lastRenderedPageBreak/>
        <w:t xml:space="preserve">systému provozován státní nebo veřejnoprávní institucí a plnění je poskytováno ve formě </w:t>
      </w:r>
      <w:r w:rsidR="004B7833" w:rsidRPr="00FA0A73">
        <w:rPr>
          <w:rFonts w:cstheme="minorHAnsi"/>
          <w:szCs w:val="22"/>
        </w:rPr>
        <w:t>pře</w:t>
      </w:r>
      <w:r w:rsidR="005E07EE">
        <w:rPr>
          <w:rFonts w:cstheme="minorHAnsi"/>
          <w:szCs w:val="22"/>
        </w:rPr>
        <w:t xml:space="preserve">dem definované (sociální) dávky, viz </w:t>
      </w:r>
      <w:r w:rsidR="008F44BC">
        <w:rPr>
          <w:rFonts w:cstheme="minorHAnsi"/>
          <w:szCs w:val="22"/>
        </w:rPr>
        <w:t>p</w:t>
      </w:r>
      <w:r w:rsidR="00FA0A73" w:rsidRPr="00FA0A73">
        <w:rPr>
          <w:rFonts w:cstheme="minorHAnsi"/>
          <w:szCs w:val="22"/>
        </w:rPr>
        <w:t>říloha č. 2</w:t>
      </w:r>
      <w:r w:rsidR="005E07EE">
        <w:rPr>
          <w:rFonts w:cstheme="minorHAnsi"/>
          <w:szCs w:val="22"/>
        </w:rPr>
        <w:t>.</w:t>
      </w:r>
    </w:p>
    <w:p w14:paraId="7104FCCD" w14:textId="77777777" w:rsidR="007F14BA" w:rsidRDefault="007F14BA" w:rsidP="007F14BA">
      <w:pPr>
        <w:rPr>
          <w:rFonts w:cstheme="minorHAnsi"/>
          <w:szCs w:val="22"/>
        </w:rPr>
      </w:pPr>
    </w:p>
    <w:p w14:paraId="6763299D" w14:textId="77777777" w:rsidR="007F14BA" w:rsidRDefault="007F14BA" w:rsidP="007F14BA">
      <w:pPr>
        <w:rPr>
          <w:rFonts w:cstheme="minorHAnsi"/>
          <w:szCs w:val="22"/>
        </w:rPr>
      </w:pPr>
    </w:p>
    <w:p w14:paraId="6CD25236" w14:textId="459DAB87" w:rsidR="005405DF" w:rsidRDefault="005405DF" w:rsidP="007F1168">
      <w:pPr>
        <w:pStyle w:val="Nadpis1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40" w:lineRule="auto"/>
        <w:ind w:left="357" w:hanging="357"/>
        <w:textAlignment w:val="baseline"/>
        <w:rPr>
          <w:rFonts w:cstheme="minorHAnsi"/>
          <w:sz w:val="24"/>
          <w:szCs w:val="24"/>
        </w:rPr>
      </w:pPr>
      <w:r w:rsidRPr="00EC639B">
        <w:rPr>
          <w:rFonts w:cstheme="minorHAnsi"/>
          <w:sz w:val="24"/>
          <w:szCs w:val="24"/>
        </w:rPr>
        <w:t>Rozsah kontroly</w:t>
      </w:r>
    </w:p>
    <w:p w14:paraId="15238DBF" w14:textId="77777777" w:rsidR="000A2ADA" w:rsidRPr="0043006C" w:rsidRDefault="000A2ADA" w:rsidP="00071AF8"/>
    <w:p w14:paraId="5BA8E125" w14:textId="48995378" w:rsidR="005405DF" w:rsidRPr="00EC639B" w:rsidRDefault="005405DF" w:rsidP="007F1168">
      <w:pPr>
        <w:rPr>
          <w:rFonts w:cstheme="minorHAnsi"/>
        </w:rPr>
      </w:pPr>
      <w:r w:rsidRPr="00EC639B">
        <w:rPr>
          <w:rFonts w:cstheme="minorHAnsi"/>
        </w:rPr>
        <w:t xml:space="preserve">U pojišťoven </w:t>
      </w:r>
      <w:r w:rsidR="005E0979">
        <w:rPr>
          <w:rFonts w:cstheme="minorHAnsi"/>
        </w:rPr>
        <w:t>kontrola prověřila</w:t>
      </w:r>
      <w:r w:rsidRPr="00EC639B">
        <w:rPr>
          <w:rFonts w:cstheme="minorHAnsi"/>
        </w:rPr>
        <w:t>, zda postup</w:t>
      </w:r>
      <w:r w:rsidR="002A5401" w:rsidRPr="00EC639B">
        <w:rPr>
          <w:rFonts w:cstheme="minorHAnsi"/>
        </w:rPr>
        <w:t>ovaly</w:t>
      </w:r>
      <w:r w:rsidRPr="00EC639B">
        <w:rPr>
          <w:rFonts w:cstheme="minorHAnsi"/>
        </w:rPr>
        <w:t xml:space="preserve"> při své činnosti v systému zákonného pojištění v souladu s právními předpisy</w:t>
      </w:r>
      <w:r w:rsidR="007B0287">
        <w:rPr>
          <w:rFonts w:cstheme="minorHAnsi"/>
        </w:rPr>
        <w:t>.</w:t>
      </w:r>
      <w:r w:rsidRPr="00EC639B">
        <w:rPr>
          <w:rFonts w:cstheme="minorHAnsi"/>
        </w:rPr>
        <w:t xml:space="preserve"> </w:t>
      </w:r>
      <w:r w:rsidR="007B0287">
        <w:rPr>
          <w:rFonts w:cstheme="minorHAnsi"/>
        </w:rPr>
        <w:t xml:space="preserve">NKÚ </w:t>
      </w:r>
      <w:r w:rsidR="005E0979">
        <w:rPr>
          <w:rFonts w:cstheme="minorHAnsi"/>
        </w:rPr>
        <w:t xml:space="preserve">se </w:t>
      </w:r>
      <w:r w:rsidR="007B0287">
        <w:rPr>
          <w:rFonts w:cstheme="minorHAnsi"/>
        </w:rPr>
        <w:t xml:space="preserve">zde </w:t>
      </w:r>
      <w:r w:rsidR="005E0979">
        <w:rPr>
          <w:rFonts w:cstheme="minorHAnsi"/>
        </w:rPr>
        <w:t xml:space="preserve">zaměřil především </w:t>
      </w:r>
      <w:proofErr w:type="gramStart"/>
      <w:r w:rsidR="005E0979">
        <w:rPr>
          <w:rFonts w:cstheme="minorHAnsi"/>
        </w:rPr>
        <w:t>na</w:t>
      </w:r>
      <w:proofErr w:type="gramEnd"/>
      <w:r w:rsidRPr="00EC639B">
        <w:rPr>
          <w:rFonts w:cstheme="minorHAnsi"/>
        </w:rPr>
        <w:t>:</w:t>
      </w:r>
    </w:p>
    <w:p w14:paraId="78D22846" w14:textId="3D240D98" w:rsidR="005405DF" w:rsidRPr="00EC639B" w:rsidRDefault="005405DF" w:rsidP="007F11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EC639B">
        <w:rPr>
          <w:rFonts w:asciiTheme="minorHAnsi" w:hAnsiTheme="minorHAnsi" w:cstheme="minorHAnsi"/>
          <w:szCs w:val="24"/>
        </w:rPr>
        <w:t>výběr finančních prostředků, tj. výběr pojistného, stanovení a výběr zvýšeného pojistného a vymáhání pohledávek</w:t>
      </w:r>
      <w:r w:rsidR="00EE7120">
        <w:rPr>
          <w:rFonts w:asciiTheme="minorHAnsi" w:hAnsiTheme="minorHAnsi" w:cstheme="minorHAnsi"/>
          <w:szCs w:val="24"/>
        </w:rPr>
        <w:t>;</w:t>
      </w:r>
      <w:r w:rsidRPr="00EC639B">
        <w:rPr>
          <w:rFonts w:asciiTheme="minorHAnsi" w:hAnsiTheme="minorHAnsi" w:cstheme="minorHAnsi"/>
          <w:szCs w:val="24"/>
        </w:rPr>
        <w:t xml:space="preserve"> </w:t>
      </w:r>
    </w:p>
    <w:p w14:paraId="315FEB7C" w14:textId="2B2A4262" w:rsidR="005405DF" w:rsidRDefault="005405DF" w:rsidP="007F11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EC639B">
        <w:rPr>
          <w:rFonts w:asciiTheme="minorHAnsi" w:hAnsiTheme="minorHAnsi" w:cstheme="minorHAnsi"/>
          <w:szCs w:val="24"/>
        </w:rPr>
        <w:t xml:space="preserve">výdej finančních prostředků, tj. vyplácení pojistného plnění. </w:t>
      </w:r>
    </w:p>
    <w:p w14:paraId="7A0D5880" w14:textId="77777777" w:rsidR="00511923" w:rsidRPr="00EC639B" w:rsidRDefault="00511923" w:rsidP="007F1168">
      <w:pPr>
        <w:rPr>
          <w:rFonts w:cstheme="minorHAnsi"/>
        </w:rPr>
      </w:pPr>
    </w:p>
    <w:p w14:paraId="47D9B6CF" w14:textId="1C4FD30E" w:rsidR="005405DF" w:rsidRPr="007C50B4" w:rsidRDefault="005405DF" w:rsidP="007F1168">
      <w:pPr>
        <w:rPr>
          <w:rFonts w:cstheme="minorHAnsi"/>
        </w:rPr>
      </w:pPr>
      <w:r w:rsidRPr="00EC639B">
        <w:rPr>
          <w:rFonts w:cstheme="minorHAnsi"/>
        </w:rPr>
        <w:t>U MPSV kontrol</w:t>
      </w:r>
      <w:r w:rsidR="00E43017">
        <w:rPr>
          <w:rFonts w:cstheme="minorHAnsi"/>
        </w:rPr>
        <w:t>a</w:t>
      </w:r>
      <w:r w:rsidRPr="00EC639B">
        <w:rPr>
          <w:rFonts w:cstheme="minorHAnsi"/>
        </w:rPr>
        <w:t xml:space="preserve"> </w:t>
      </w:r>
      <w:r w:rsidR="00E43017">
        <w:rPr>
          <w:rFonts w:cstheme="minorHAnsi"/>
        </w:rPr>
        <w:t>prověřila</w:t>
      </w:r>
      <w:r w:rsidRPr="00EC639B">
        <w:rPr>
          <w:rFonts w:cstheme="minorHAnsi"/>
        </w:rPr>
        <w:t xml:space="preserve">, zda zajistilo v </w:t>
      </w:r>
      <w:r w:rsidRPr="007C50B4">
        <w:rPr>
          <w:rFonts w:cstheme="minorHAnsi"/>
        </w:rPr>
        <w:t xml:space="preserve">rozsahu své působnosti správnou funkčnost systému zákonného pojištění, </w:t>
      </w:r>
      <w:r w:rsidR="007B0287">
        <w:rPr>
          <w:rFonts w:cstheme="minorHAnsi"/>
        </w:rPr>
        <w:t>přičemž se</w:t>
      </w:r>
      <w:r w:rsidRPr="007C50B4">
        <w:rPr>
          <w:rFonts w:cstheme="minorHAnsi"/>
        </w:rPr>
        <w:t xml:space="preserve"> zaměř</w:t>
      </w:r>
      <w:r w:rsidR="00E43017">
        <w:rPr>
          <w:rFonts w:cstheme="minorHAnsi"/>
        </w:rPr>
        <w:t xml:space="preserve">ila </w:t>
      </w:r>
      <w:r w:rsidRPr="007C50B4">
        <w:rPr>
          <w:rFonts w:cstheme="minorHAnsi"/>
        </w:rPr>
        <w:t xml:space="preserve">na nastavení </w:t>
      </w:r>
      <w:r w:rsidR="009F56F3" w:rsidRPr="007C50B4">
        <w:rPr>
          <w:rFonts w:cstheme="minorHAnsi"/>
        </w:rPr>
        <w:t>právní úpravy sys</w:t>
      </w:r>
      <w:r w:rsidRPr="007C50B4">
        <w:rPr>
          <w:rFonts w:cstheme="minorHAnsi"/>
        </w:rPr>
        <w:t xml:space="preserve">tému. </w:t>
      </w:r>
    </w:p>
    <w:p w14:paraId="639022C2" w14:textId="77777777" w:rsidR="00511923" w:rsidRPr="007C50B4" w:rsidRDefault="00511923" w:rsidP="007F1168">
      <w:pPr>
        <w:rPr>
          <w:rFonts w:cstheme="minorHAnsi"/>
        </w:rPr>
      </w:pPr>
    </w:p>
    <w:p w14:paraId="0646F6F9" w14:textId="43632A26" w:rsidR="005405DF" w:rsidRPr="00EC639B" w:rsidRDefault="005405DF" w:rsidP="007F1168">
      <w:pPr>
        <w:rPr>
          <w:rFonts w:cstheme="minorHAnsi"/>
        </w:rPr>
      </w:pPr>
      <w:r w:rsidRPr="007C50B4">
        <w:rPr>
          <w:rFonts w:cstheme="minorHAnsi"/>
        </w:rPr>
        <w:t>U MF kontrol</w:t>
      </w:r>
      <w:r w:rsidR="00E43017">
        <w:rPr>
          <w:rFonts w:cstheme="minorHAnsi"/>
        </w:rPr>
        <w:t>a</w:t>
      </w:r>
      <w:r w:rsidRPr="007C50B4">
        <w:rPr>
          <w:rFonts w:cstheme="minorHAnsi"/>
        </w:rPr>
        <w:t xml:space="preserve"> </w:t>
      </w:r>
      <w:r w:rsidR="00E43017">
        <w:rPr>
          <w:rFonts w:cstheme="minorHAnsi"/>
        </w:rPr>
        <w:t>prověřila</w:t>
      </w:r>
      <w:r w:rsidRPr="007C50B4">
        <w:rPr>
          <w:rFonts w:cstheme="minorHAnsi"/>
        </w:rPr>
        <w:t xml:space="preserve">, zda zajistilo v rozsahu své působnosti, aby byl systém zákonného pojištění funkční a v souladu s právními předpisy, </w:t>
      </w:r>
      <w:r w:rsidR="00E43017">
        <w:rPr>
          <w:rFonts w:cstheme="minorHAnsi"/>
        </w:rPr>
        <w:t xml:space="preserve">přičemž </w:t>
      </w:r>
      <w:r w:rsidR="00E43017" w:rsidRPr="007C50B4">
        <w:rPr>
          <w:rFonts w:cstheme="minorHAnsi"/>
        </w:rPr>
        <w:t xml:space="preserve">se </w:t>
      </w:r>
      <w:r w:rsidR="00E43017">
        <w:rPr>
          <w:rFonts w:cstheme="minorHAnsi"/>
        </w:rPr>
        <w:t>zaměřila mj.</w:t>
      </w:r>
      <w:r w:rsidRPr="007C50B4">
        <w:rPr>
          <w:rFonts w:cstheme="minorHAnsi"/>
        </w:rPr>
        <w:t xml:space="preserve"> na nastavení </w:t>
      </w:r>
      <w:r w:rsidR="009F56F3" w:rsidRPr="007C50B4">
        <w:rPr>
          <w:rFonts w:cstheme="minorHAnsi"/>
        </w:rPr>
        <w:t>právní úpravy</w:t>
      </w:r>
      <w:r w:rsidRPr="007C50B4">
        <w:rPr>
          <w:rFonts w:cstheme="minorHAnsi"/>
        </w:rPr>
        <w:t xml:space="preserve"> systému a kontrolních mechanismů.</w:t>
      </w:r>
    </w:p>
    <w:p w14:paraId="6B7D64C7" w14:textId="036BD933" w:rsidR="005405DF" w:rsidRDefault="005405DF" w:rsidP="007F1168">
      <w:pPr>
        <w:rPr>
          <w:rFonts w:cstheme="minorHAnsi"/>
        </w:rPr>
      </w:pPr>
    </w:p>
    <w:p w14:paraId="657E8E5C" w14:textId="2A60BFF2" w:rsidR="001C0B30" w:rsidRPr="001C0B30" w:rsidRDefault="001C0B30" w:rsidP="00C94639">
      <w:pPr>
        <w:ind w:left="567" w:hanging="567"/>
        <w:rPr>
          <w:rFonts w:cstheme="minorHAnsi"/>
          <w:i/>
          <w:sz w:val="20"/>
          <w:szCs w:val="20"/>
        </w:rPr>
      </w:pPr>
      <w:r w:rsidRPr="001C0B30">
        <w:rPr>
          <w:rFonts w:cstheme="minorHAnsi"/>
          <w:b/>
          <w:i/>
          <w:sz w:val="20"/>
          <w:szCs w:val="20"/>
        </w:rPr>
        <w:t>Pozn.:</w:t>
      </w:r>
      <w:r w:rsidRPr="001C0B30">
        <w:rPr>
          <w:rFonts w:cstheme="minorHAnsi"/>
          <w:i/>
          <w:sz w:val="20"/>
          <w:szCs w:val="20"/>
        </w:rPr>
        <w:t xml:space="preserve"> </w:t>
      </w:r>
      <w:r w:rsidR="00C94639">
        <w:rPr>
          <w:rFonts w:cstheme="minorHAnsi"/>
          <w:i/>
          <w:sz w:val="20"/>
          <w:szCs w:val="20"/>
        </w:rPr>
        <w:tab/>
      </w:r>
      <w:r w:rsidRPr="001C0B30">
        <w:rPr>
          <w:rFonts w:cstheme="minorHAnsi"/>
          <w:i/>
          <w:sz w:val="20"/>
          <w:szCs w:val="20"/>
        </w:rPr>
        <w:t>Právní předpisy uvedené v tomto kontrolním závěru jsou aplikovány ve znění účinném pro kontrolované období.</w:t>
      </w:r>
    </w:p>
    <w:p w14:paraId="50CE5469" w14:textId="77777777" w:rsidR="001C0B30" w:rsidRDefault="001C0B30" w:rsidP="007F1168">
      <w:pPr>
        <w:rPr>
          <w:rFonts w:cstheme="minorHAnsi"/>
        </w:rPr>
      </w:pPr>
    </w:p>
    <w:p w14:paraId="5B7824D6" w14:textId="658143BA" w:rsidR="000A2ADA" w:rsidRPr="00EC639B" w:rsidRDefault="000A2ADA" w:rsidP="007F1168">
      <w:pPr>
        <w:rPr>
          <w:rFonts w:cstheme="minorHAnsi"/>
        </w:rPr>
      </w:pPr>
    </w:p>
    <w:p w14:paraId="4BB474DE" w14:textId="677E71C2" w:rsidR="00511923" w:rsidRDefault="005405DF" w:rsidP="00DE3186">
      <w:pPr>
        <w:pStyle w:val="Nadpis1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40" w:lineRule="auto"/>
        <w:ind w:left="357" w:hanging="357"/>
        <w:textAlignment w:val="baseline"/>
        <w:rPr>
          <w:rFonts w:cstheme="minorHAnsi"/>
          <w:sz w:val="24"/>
          <w:szCs w:val="24"/>
        </w:rPr>
      </w:pPr>
      <w:r w:rsidRPr="00EC639B">
        <w:rPr>
          <w:rFonts w:cstheme="minorHAnsi"/>
          <w:sz w:val="24"/>
          <w:szCs w:val="24"/>
        </w:rPr>
        <w:t>Podrobné skutečnosti zjištěné kontrolou</w:t>
      </w:r>
    </w:p>
    <w:p w14:paraId="01C1D590" w14:textId="77777777" w:rsidR="007F14BA" w:rsidRPr="00EC639B" w:rsidRDefault="007F14BA" w:rsidP="00902113">
      <w:pPr>
        <w:shd w:val="clear" w:color="auto" w:fill="FFFFFF" w:themeFill="background1"/>
        <w:rPr>
          <w:rFonts w:cstheme="minorHAnsi"/>
          <w:bCs/>
        </w:rPr>
      </w:pPr>
    </w:p>
    <w:p w14:paraId="24E34E75" w14:textId="0AC1FCF6" w:rsidR="005405DF" w:rsidRPr="00355D7A" w:rsidRDefault="005405DF" w:rsidP="00F85419">
      <w:pPr>
        <w:pStyle w:val="Odstavecseseznamem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355D7A">
        <w:rPr>
          <w:rFonts w:asciiTheme="minorHAnsi" w:hAnsiTheme="minorHAnsi" w:cstheme="minorHAnsi"/>
          <w:b/>
          <w:szCs w:val="24"/>
        </w:rPr>
        <w:t xml:space="preserve">Systém zákonného pojištění nepodléhá </w:t>
      </w:r>
      <w:r w:rsidR="00BC08E8" w:rsidRPr="00355D7A">
        <w:rPr>
          <w:rFonts w:asciiTheme="minorHAnsi" w:hAnsiTheme="minorHAnsi" w:cstheme="minorHAnsi"/>
          <w:b/>
          <w:szCs w:val="24"/>
        </w:rPr>
        <w:t xml:space="preserve">od roku 2006 </w:t>
      </w:r>
      <w:r w:rsidR="00B856B2" w:rsidRPr="00355D7A">
        <w:rPr>
          <w:rFonts w:asciiTheme="minorHAnsi" w:hAnsiTheme="minorHAnsi" w:cstheme="minorHAnsi"/>
          <w:b/>
          <w:szCs w:val="24"/>
        </w:rPr>
        <w:t xml:space="preserve">dozoru ani </w:t>
      </w:r>
      <w:r w:rsidRPr="00355D7A">
        <w:rPr>
          <w:rFonts w:asciiTheme="minorHAnsi" w:hAnsiTheme="minorHAnsi" w:cstheme="minorHAnsi"/>
          <w:b/>
          <w:szCs w:val="24"/>
        </w:rPr>
        <w:t>dohledu</w:t>
      </w:r>
      <w:r w:rsidR="00DE3186" w:rsidRPr="00355D7A">
        <w:rPr>
          <w:rFonts w:asciiTheme="minorHAnsi" w:hAnsiTheme="minorHAnsi" w:cstheme="minorHAnsi"/>
          <w:b/>
          <w:szCs w:val="24"/>
        </w:rPr>
        <w:t>.</w:t>
      </w:r>
      <w:r w:rsidRPr="00355D7A">
        <w:rPr>
          <w:rFonts w:asciiTheme="minorHAnsi" w:hAnsiTheme="minorHAnsi" w:cstheme="minorHAnsi"/>
          <w:b/>
          <w:szCs w:val="24"/>
        </w:rPr>
        <w:t xml:space="preserve"> </w:t>
      </w:r>
    </w:p>
    <w:p w14:paraId="3D9502C5" w14:textId="77777777" w:rsidR="00F040A2" w:rsidRPr="00EC639B" w:rsidRDefault="00F040A2" w:rsidP="00D168A6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6D6AFFEB" w14:textId="6D2B3991" w:rsidR="005405DF" w:rsidRPr="00F85419" w:rsidRDefault="00594EAC" w:rsidP="00363819">
      <w:pPr>
        <w:shd w:val="clear" w:color="auto" w:fill="FFFFFF" w:themeFill="background1"/>
        <w:rPr>
          <w:rFonts w:eastAsia="Calibri" w:cstheme="minorHAnsi"/>
          <w:b/>
        </w:rPr>
      </w:pPr>
      <w:r w:rsidRPr="00A46357">
        <w:rPr>
          <w:rFonts w:cstheme="minorHAnsi"/>
          <w:bCs/>
        </w:rPr>
        <w:t>Orgánem s</w:t>
      </w:r>
      <w:r w:rsidRPr="00363819">
        <w:rPr>
          <w:rFonts w:cstheme="minorHAnsi"/>
          <w:bCs/>
        </w:rPr>
        <w:t xml:space="preserve">tátního dozoru nad pojišťovnictvím pro území České republiky </w:t>
      </w:r>
      <w:r>
        <w:rPr>
          <w:rFonts w:cstheme="minorHAnsi"/>
          <w:bCs/>
        </w:rPr>
        <w:t xml:space="preserve">bylo </w:t>
      </w:r>
      <w:r w:rsidR="00E17410">
        <w:rPr>
          <w:rFonts w:cstheme="minorHAnsi"/>
          <w:bCs/>
        </w:rPr>
        <w:t>dle zákonů o </w:t>
      </w:r>
      <w:r w:rsidRPr="00363819">
        <w:rPr>
          <w:rFonts w:cstheme="minorHAnsi"/>
          <w:bCs/>
        </w:rPr>
        <w:t>pojišťovnictví</w:t>
      </w:r>
      <w:r w:rsidRPr="00EC639B">
        <w:rPr>
          <w:rStyle w:val="Znakapoznpodarou"/>
          <w:rFonts w:cstheme="minorHAnsi"/>
          <w:bCs/>
        </w:rPr>
        <w:footnoteReference w:id="18"/>
      </w:r>
      <w:r w:rsidRPr="00363819">
        <w:rPr>
          <w:rFonts w:cstheme="minorHAnsi"/>
          <w:bCs/>
        </w:rPr>
        <w:t xml:space="preserve"> do 31.</w:t>
      </w:r>
      <w:r w:rsidR="00A46357">
        <w:rPr>
          <w:rFonts w:cstheme="minorHAnsi"/>
          <w:bCs/>
        </w:rPr>
        <w:t xml:space="preserve"> </w:t>
      </w:r>
      <w:r w:rsidRPr="00363819">
        <w:rPr>
          <w:rFonts w:cstheme="minorHAnsi"/>
          <w:bCs/>
        </w:rPr>
        <w:t>3.</w:t>
      </w:r>
      <w:r w:rsidR="00A46357">
        <w:rPr>
          <w:rFonts w:cstheme="minorHAnsi"/>
          <w:bCs/>
        </w:rPr>
        <w:t xml:space="preserve"> </w:t>
      </w:r>
      <w:r w:rsidRPr="00363819">
        <w:rPr>
          <w:rFonts w:cstheme="minorHAnsi"/>
          <w:bCs/>
        </w:rPr>
        <w:t>2006</w:t>
      </w:r>
      <w:r>
        <w:rPr>
          <w:rFonts w:cstheme="minorHAnsi"/>
          <w:bCs/>
        </w:rPr>
        <w:t xml:space="preserve"> </w:t>
      </w:r>
      <w:r w:rsidR="005405DF" w:rsidRPr="00363819">
        <w:rPr>
          <w:rFonts w:cstheme="minorHAnsi"/>
          <w:bCs/>
        </w:rPr>
        <w:t>MF. Od 1. 4. 2006 vykonává dle zákona o České národní bance</w:t>
      </w:r>
      <w:r w:rsidR="005405DF" w:rsidRPr="00EC639B">
        <w:rPr>
          <w:rStyle w:val="Znakapoznpodarou"/>
          <w:rFonts w:cstheme="minorHAnsi"/>
          <w:bCs/>
        </w:rPr>
        <w:footnoteReference w:id="19"/>
      </w:r>
      <w:r w:rsidR="005405DF" w:rsidRPr="00363819">
        <w:rPr>
          <w:rFonts w:cstheme="minorHAnsi"/>
          <w:bCs/>
        </w:rPr>
        <w:t xml:space="preserve"> a zákona o pojišťovnictví</w:t>
      </w:r>
      <w:r w:rsidR="005405DF" w:rsidRPr="00EC639B">
        <w:rPr>
          <w:rStyle w:val="Znakapoznpodarou"/>
          <w:rFonts w:cstheme="minorHAnsi"/>
          <w:bCs/>
        </w:rPr>
        <w:footnoteReference w:id="20"/>
      </w:r>
      <w:r w:rsidR="005405DF" w:rsidRPr="00363819">
        <w:rPr>
          <w:rFonts w:cstheme="minorHAnsi"/>
          <w:bCs/>
        </w:rPr>
        <w:t xml:space="preserve"> dohled v pojišťovnictví Česká národní banka. </w:t>
      </w:r>
      <w:r w:rsidR="003557EB" w:rsidRPr="00F85419">
        <w:rPr>
          <w:rFonts w:cstheme="minorHAnsi"/>
          <w:bCs/>
        </w:rPr>
        <w:t>Protože z</w:t>
      </w:r>
      <w:r w:rsidR="005405DF" w:rsidRPr="00F85419">
        <w:rPr>
          <w:rFonts w:cstheme="minorHAnsi"/>
        </w:rPr>
        <w:t xml:space="preserve">ákonné </w:t>
      </w:r>
      <w:r w:rsidR="005405DF" w:rsidRPr="00F85419">
        <w:rPr>
          <w:rFonts w:cstheme="minorHAnsi"/>
          <w:bCs/>
        </w:rPr>
        <w:t>pojištění</w:t>
      </w:r>
      <w:r w:rsidR="005405DF" w:rsidRPr="00F85419">
        <w:rPr>
          <w:rFonts w:cstheme="minorHAnsi"/>
        </w:rPr>
        <w:t xml:space="preserve"> je provozováno na základě zákona</w:t>
      </w:r>
      <w:r w:rsidR="003557EB" w:rsidRPr="00F85419">
        <w:rPr>
          <w:rFonts w:cstheme="minorHAnsi"/>
        </w:rPr>
        <w:t xml:space="preserve"> a </w:t>
      </w:r>
      <w:r w:rsidR="005405DF" w:rsidRPr="00F85419">
        <w:rPr>
          <w:rFonts w:cstheme="minorHAnsi"/>
        </w:rPr>
        <w:t xml:space="preserve">nejedná se o pojišťovací ani zajišťovací činnost dle </w:t>
      </w:r>
      <w:r w:rsidR="005405DF" w:rsidRPr="00F85419">
        <w:rPr>
          <w:rFonts w:cstheme="minorHAnsi"/>
          <w:bCs/>
        </w:rPr>
        <w:t>zákona o pojišťovnictví</w:t>
      </w:r>
      <w:r w:rsidR="005405DF" w:rsidRPr="00EC639B">
        <w:rPr>
          <w:rStyle w:val="Znakapoznpodarou"/>
          <w:rFonts w:cstheme="minorHAnsi"/>
          <w:bCs/>
        </w:rPr>
        <w:footnoteReference w:id="21"/>
      </w:r>
      <w:r w:rsidR="003557EB" w:rsidRPr="00363819">
        <w:rPr>
          <w:rFonts w:cstheme="minorHAnsi"/>
          <w:bCs/>
        </w:rPr>
        <w:t>, nevztahuje se</w:t>
      </w:r>
      <w:r w:rsidR="00D470EC" w:rsidRPr="00363819">
        <w:rPr>
          <w:rFonts w:cstheme="minorHAnsi"/>
          <w:bCs/>
        </w:rPr>
        <w:t xml:space="preserve"> </w:t>
      </w:r>
      <w:r w:rsidR="003557EB" w:rsidRPr="00F85419">
        <w:rPr>
          <w:rFonts w:cstheme="minorHAnsi"/>
          <w:bCs/>
        </w:rPr>
        <w:t>na něj</w:t>
      </w:r>
      <w:r w:rsidR="005405DF" w:rsidRPr="00F85419">
        <w:rPr>
          <w:rFonts w:cstheme="minorHAnsi"/>
        </w:rPr>
        <w:t xml:space="preserve"> dohled ČNB.</w:t>
      </w:r>
      <w:r w:rsidR="00F040A2" w:rsidRPr="00363819">
        <w:rPr>
          <w:rFonts w:cstheme="minorHAnsi"/>
        </w:rPr>
        <w:t xml:space="preserve"> </w:t>
      </w:r>
      <w:r w:rsidRPr="00363819">
        <w:rPr>
          <w:rFonts w:cstheme="minorHAnsi"/>
          <w:bCs/>
        </w:rPr>
        <w:t>V zákoníku práce</w:t>
      </w:r>
      <w:r w:rsidRPr="00EC639B">
        <w:rPr>
          <w:rStyle w:val="Znakapoznpodarou"/>
          <w:rFonts w:cstheme="minorHAnsi"/>
          <w:bCs/>
        </w:rPr>
        <w:footnoteReference w:id="22"/>
      </w:r>
      <w:r w:rsidRPr="00363819">
        <w:rPr>
          <w:rFonts w:cstheme="minorHAnsi"/>
          <w:bCs/>
        </w:rPr>
        <w:t xml:space="preserve"> není uvedeno zmocnění </w:t>
      </w:r>
      <w:r w:rsidRPr="007C50B4">
        <w:rPr>
          <w:rFonts w:cstheme="minorHAnsi"/>
          <w:bCs/>
        </w:rPr>
        <w:t>MF k</w:t>
      </w:r>
      <w:r w:rsidR="00B856B2" w:rsidRPr="007C50B4">
        <w:rPr>
          <w:rFonts w:cstheme="minorHAnsi"/>
          <w:bCs/>
        </w:rPr>
        <w:t> dozoru</w:t>
      </w:r>
      <w:r w:rsidRPr="007C50B4">
        <w:rPr>
          <w:rFonts w:cstheme="minorHAnsi"/>
          <w:bCs/>
        </w:rPr>
        <w:t xml:space="preserve"> nad</w:t>
      </w:r>
      <w:r w:rsidR="00D168A6">
        <w:rPr>
          <w:rFonts w:cstheme="minorHAnsi"/>
          <w:bCs/>
        </w:rPr>
        <w:t xml:space="preserve"> </w:t>
      </w:r>
      <w:r w:rsidRPr="007C50B4">
        <w:rPr>
          <w:rFonts w:cstheme="minorHAnsi"/>
          <w:bCs/>
        </w:rPr>
        <w:t xml:space="preserve">činností pojišťoven. </w:t>
      </w:r>
      <w:r w:rsidR="00B8164F" w:rsidRPr="007C50B4">
        <w:rPr>
          <w:rFonts w:eastAsia="Calibri" w:cstheme="minorHAnsi"/>
          <w:b/>
        </w:rPr>
        <w:t xml:space="preserve">Od </w:t>
      </w:r>
      <w:r w:rsidR="003437D5" w:rsidRPr="007C50B4">
        <w:rPr>
          <w:rFonts w:eastAsia="Calibri" w:cstheme="minorHAnsi"/>
          <w:b/>
        </w:rPr>
        <w:t xml:space="preserve">dubna </w:t>
      </w:r>
      <w:r w:rsidR="00B8164F" w:rsidRPr="007C50B4">
        <w:rPr>
          <w:rFonts w:eastAsia="Calibri" w:cstheme="minorHAnsi"/>
          <w:b/>
        </w:rPr>
        <w:t>2006 nepodléhá s</w:t>
      </w:r>
      <w:r w:rsidR="005405DF" w:rsidRPr="007C50B4">
        <w:rPr>
          <w:rFonts w:eastAsia="Calibri" w:cstheme="minorHAnsi"/>
          <w:b/>
        </w:rPr>
        <w:t xml:space="preserve">ystém zákonného pojištění, </w:t>
      </w:r>
      <w:r w:rsidR="005405DF" w:rsidRPr="00785EC9">
        <w:rPr>
          <w:rFonts w:eastAsia="Calibri" w:cstheme="minorHAnsi"/>
          <w:b/>
        </w:rPr>
        <w:t>k</w:t>
      </w:r>
      <w:r w:rsidR="00B8164F" w:rsidRPr="00785EC9">
        <w:rPr>
          <w:rFonts w:eastAsia="Calibri" w:cstheme="minorHAnsi"/>
          <w:b/>
        </w:rPr>
        <w:t>te</w:t>
      </w:r>
      <w:r w:rsidR="00B8164F" w:rsidRPr="000A772D">
        <w:rPr>
          <w:rFonts w:eastAsia="Calibri" w:cstheme="minorHAnsi"/>
          <w:b/>
        </w:rPr>
        <w:t>r</w:t>
      </w:r>
      <w:r w:rsidR="00355D7A">
        <w:rPr>
          <w:rFonts w:eastAsia="Calibri" w:cstheme="minorHAnsi"/>
          <w:b/>
        </w:rPr>
        <w:t>é</w:t>
      </w:r>
      <w:r w:rsidR="00B8164F" w:rsidRPr="000A772D">
        <w:rPr>
          <w:rFonts w:eastAsia="Calibri" w:cstheme="minorHAnsi"/>
          <w:b/>
        </w:rPr>
        <w:t xml:space="preserve"> </w:t>
      </w:r>
      <w:r w:rsidR="005405DF" w:rsidRPr="000A772D">
        <w:rPr>
          <w:rFonts w:eastAsia="Calibri" w:cstheme="minorHAnsi"/>
          <w:b/>
        </w:rPr>
        <w:t>p</w:t>
      </w:r>
      <w:r w:rsidR="005405DF" w:rsidRPr="007C50B4">
        <w:rPr>
          <w:rFonts w:eastAsia="Calibri" w:cstheme="minorHAnsi"/>
          <w:b/>
        </w:rPr>
        <w:t>ro stát vykonávají soukromé subjekty</w:t>
      </w:r>
      <w:r w:rsidR="00B8164F" w:rsidRPr="007C50B4">
        <w:rPr>
          <w:rFonts w:eastAsia="Calibri" w:cstheme="minorHAnsi"/>
          <w:b/>
        </w:rPr>
        <w:t>,</w:t>
      </w:r>
      <w:r w:rsidR="005405DF" w:rsidRPr="007C50B4">
        <w:rPr>
          <w:rFonts w:eastAsia="Calibri" w:cstheme="minorHAnsi"/>
          <w:b/>
        </w:rPr>
        <w:t xml:space="preserve"> </w:t>
      </w:r>
      <w:r w:rsidR="00B856B2" w:rsidRPr="007C50B4">
        <w:rPr>
          <w:rFonts w:eastAsia="Calibri" w:cstheme="minorHAnsi"/>
          <w:b/>
        </w:rPr>
        <w:t xml:space="preserve">dozoru </w:t>
      </w:r>
      <w:r w:rsidR="00B8164F" w:rsidRPr="007C50B4">
        <w:rPr>
          <w:rFonts w:eastAsia="Calibri" w:cstheme="minorHAnsi"/>
          <w:b/>
        </w:rPr>
        <w:t>ze</w:t>
      </w:r>
      <w:r w:rsidR="00B8164F" w:rsidRPr="007C50B4">
        <w:rPr>
          <w:rFonts w:cstheme="minorHAnsi"/>
          <w:b/>
        </w:rPr>
        <w:t xml:space="preserve"> strany</w:t>
      </w:r>
      <w:r w:rsidR="00B8164F" w:rsidRPr="00F85419">
        <w:rPr>
          <w:rFonts w:cstheme="minorHAnsi"/>
          <w:b/>
        </w:rPr>
        <w:t xml:space="preserve"> státních orgánů ani</w:t>
      </w:r>
      <w:r w:rsidR="0002134C">
        <w:rPr>
          <w:rFonts w:cstheme="minorHAnsi"/>
          <w:b/>
        </w:rPr>
        <w:t xml:space="preserve"> </w:t>
      </w:r>
      <w:r w:rsidR="0002134C" w:rsidRPr="007F4E34">
        <w:rPr>
          <w:rFonts w:cstheme="minorHAnsi"/>
          <w:b/>
        </w:rPr>
        <w:t>dohledu</w:t>
      </w:r>
      <w:r w:rsidR="00B8164F" w:rsidRPr="00F85419">
        <w:rPr>
          <w:rFonts w:cstheme="minorHAnsi"/>
          <w:b/>
        </w:rPr>
        <w:t xml:space="preserve"> ze strany ČNB</w:t>
      </w:r>
      <w:r w:rsidR="005405DF" w:rsidRPr="00F85419">
        <w:rPr>
          <w:rFonts w:eastAsia="Calibri" w:cstheme="minorHAnsi"/>
          <w:b/>
        </w:rPr>
        <w:t>.</w:t>
      </w:r>
    </w:p>
    <w:p w14:paraId="111FBD5E" w14:textId="77777777" w:rsidR="00AC544A" w:rsidRPr="00EC639B" w:rsidRDefault="00AC544A" w:rsidP="00902113">
      <w:pPr>
        <w:shd w:val="clear" w:color="auto" w:fill="FFFFFF" w:themeFill="background1"/>
        <w:rPr>
          <w:rFonts w:cstheme="minorHAnsi"/>
          <w:bCs/>
        </w:rPr>
      </w:pPr>
    </w:p>
    <w:p w14:paraId="4A5D6F3C" w14:textId="3CAA26DC" w:rsidR="005F4556" w:rsidRPr="00355D7A" w:rsidRDefault="005F4556" w:rsidP="00F85419">
      <w:pPr>
        <w:pStyle w:val="Odstavecseseznamem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355D7A">
        <w:rPr>
          <w:rFonts w:asciiTheme="minorHAnsi" w:hAnsiTheme="minorHAnsi" w:cstheme="minorHAnsi"/>
          <w:b/>
          <w:szCs w:val="24"/>
        </w:rPr>
        <w:t>Není upravena součinnost mezi pojišťovnami a orgány státní správy</w:t>
      </w:r>
      <w:r w:rsidR="00DE3186" w:rsidRPr="00355D7A">
        <w:rPr>
          <w:rFonts w:asciiTheme="minorHAnsi" w:hAnsiTheme="minorHAnsi" w:cstheme="minorHAnsi"/>
          <w:b/>
          <w:szCs w:val="24"/>
        </w:rPr>
        <w:t>.</w:t>
      </w:r>
    </w:p>
    <w:p w14:paraId="7ACEC8C4" w14:textId="77777777" w:rsidR="00F040A2" w:rsidRPr="00355D7A" w:rsidRDefault="00F040A2" w:rsidP="00D168A6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5D9A8A37" w14:textId="627D1523" w:rsidR="00AC544A" w:rsidRPr="00F85419" w:rsidRDefault="005F4556" w:rsidP="00AC544A">
      <w:pPr>
        <w:rPr>
          <w:rFonts w:cstheme="minorHAnsi"/>
          <w:b/>
        </w:rPr>
      </w:pPr>
      <w:r w:rsidRPr="00EC639B">
        <w:rPr>
          <w:rFonts w:cstheme="minorHAnsi"/>
        </w:rPr>
        <w:t>P</w:t>
      </w:r>
      <w:r w:rsidR="005405DF" w:rsidRPr="00EC639B">
        <w:rPr>
          <w:rFonts w:cstheme="minorHAnsi"/>
        </w:rPr>
        <w:t>ojišťovny vykonávají</w:t>
      </w:r>
      <w:r w:rsidR="003557EB">
        <w:rPr>
          <w:rFonts w:cstheme="minorHAnsi"/>
        </w:rPr>
        <w:t>cí</w:t>
      </w:r>
      <w:r w:rsidR="005405DF" w:rsidRPr="00EC639B">
        <w:rPr>
          <w:rFonts w:cstheme="minorHAnsi"/>
        </w:rPr>
        <w:t xml:space="preserve"> </w:t>
      </w:r>
      <w:r w:rsidR="005405DF" w:rsidRPr="00EC639B">
        <w:rPr>
          <w:rFonts w:cstheme="minorHAnsi"/>
          <w:shd w:val="clear" w:color="auto" w:fill="FFFFFF" w:themeFill="background1"/>
        </w:rPr>
        <w:t>správu zákonného pojištění pro stát</w:t>
      </w:r>
      <w:r w:rsidR="003557EB">
        <w:rPr>
          <w:rFonts w:cstheme="minorHAnsi"/>
          <w:shd w:val="clear" w:color="auto" w:fill="FFFFFF" w:themeFill="background1"/>
        </w:rPr>
        <w:t xml:space="preserve"> </w:t>
      </w:r>
      <w:r w:rsidR="005405DF" w:rsidRPr="00EC639B">
        <w:rPr>
          <w:rFonts w:cstheme="minorHAnsi"/>
          <w:shd w:val="clear" w:color="auto" w:fill="FFFFFF" w:themeFill="background1"/>
        </w:rPr>
        <w:t>nemají</w:t>
      </w:r>
      <w:r w:rsidR="005405DF" w:rsidRPr="00EC639B">
        <w:rPr>
          <w:rFonts w:cstheme="minorHAnsi"/>
        </w:rPr>
        <w:t xml:space="preserve"> postavení subjektů, kterým </w:t>
      </w:r>
      <w:r w:rsidR="003557EB">
        <w:rPr>
          <w:rFonts w:cstheme="minorHAnsi"/>
        </w:rPr>
        <w:t xml:space="preserve">mohou </w:t>
      </w:r>
      <w:r w:rsidR="005405DF" w:rsidRPr="00EC639B">
        <w:rPr>
          <w:rFonts w:cstheme="minorHAnsi"/>
        </w:rPr>
        <w:t xml:space="preserve">orgány státní správy </w:t>
      </w:r>
      <w:r w:rsidR="003557EB" w:rsidRPr="00EC639B">
        <w:rPr>
          <w:rFonts w:cstheme="minorHAnsi"/>
        </w:rPr>
        <w:t>ze svých informačních systémů</w:t>
      </w:r>
      <w:r w:rsidR="003557EB">
        <w:rPr>
          <w:rFonts w:cstheme="minorHAnsi"/>
        </w:rPr>
        <w:t xml:space="preserve"> </w:t>
      </w:r>
      <w:r w:rsidR="005405DF" w:rsidRPr="00EC639B">
        <w:rPr>
          <w:rFonts w:cstheme="minorHAnsi"/>
        </w:rPr>
        <w:t xml:space="preserve">poskytovat </w:t>
      </w:r>
      <w:r w:rsidR="003557EB" w:rsidRPr="00EC639B">
        <w:rPr>
          <w:rFonts w:cstheme="minorHAnsi"/>
        </w:rPr>
        <w:t xml:space="preserve">verifikovaná </w:t>
      </w:r>
      <w:r w:rsidR="003557EB" w:rsidRPr="00EC639B">
        <w:rPr>
          <w:rFonts w:cstheme="minorHAnsi"/>
        </w:rPr>
        <w:lastRenderedPageBreak/>
        <w:t>data o zaměstnavatelích</w:t>
      </w:r>
      <w:r w:rsidR="003557EB">
        <w:rPr>
          <w:rFonts w:cstheme="minorHAnsi"/>
        </w:rPr>
        <w:t xml:space="preserve">. </w:t>
      </w:r>
      <w:r w:rsidR="003437D5" w:rsidRPr="00363819">
        <w:rPr>
          <w:rFonts w:cstheme="minorHAnsi"/>
          <w:b/>
        </w:rPr>
        <w:t xml:space="preserve">V důsledku toho </w:t>
      </w:r>
      <w:r w:rsidR="00AC544A" w:rsidRPr="00363819">
        <w:rPr>
          <w:rFonts w:cstheme="minorHAnsi"/>
          <w:b/>
        </w:rPr>
        <w:t>p</w:t>
      </w:r>
      <w:r w:rsidR="00AC544A" w:rsidRPr="00F85419">
        <w:rPr>
          <w:rFonts w:cstheme="minorHAnsi"/>
          <w:b/>
        </w:rPr>
        <w:t>ojišťovny neověřovaly, zda pojistné hradili všichni povinní zaměstnavatelé</w:t>
      </w:r>
      <w:r w:rsidR="0015155C">
        <w:rPr>
          <w:rFonts w:cstheme="minorHAnsi"/>
          <w:b/>
        </w:rPr>
        <w:t>,</w:t>
      </w:r>
      <w:r w:rsidR="00AC544A" w:rsidRPr="00F85419">
        <w:rPr>
          <w:rFonts w:cstheme="minorHAnsi"/>
          <w:b/>
        </w:rPr>
        <w:t xml:space="preserve"> a</w:t>
      </w:r>
      <w:r w:rsidR="00985D7A">
        <w:rPr>
          <w:rFonts w:cstheme="minorHAnsi"/>
          <w:b/>
        </w:rPr>
        <w:t>ni je</w:t>
      </w:r>
      <w:r w:rsidR="00AC544A" w:rsidRPr="00F85419">
        <w:rPr>
          <w:rFonts w:cstheme="minorHAnsi"/>
          <w:b/>
        </w:rPr>
        <w:t xml:space="preserve"> aktivně nevyhledávaly.</w:t>
      </w:r>
    </w:p>
    <w:p w14:paraId="16009F5D" w14:textId="48593BFA" w:rsidR="00F040A2" w:rsidRDefault="00F040A2" w:rsidP="00F040A2">
      <w:pPr>
        <w:rPr>
          <w:rFonts w:cstheme="minorHAnsi"/>
          <w:u w:val="single"/>
        </w:rPr>
      </w:pPr>
    </w:p>
    <w:p w14:paraId="5FAAE6EA" w14:textId="73A0C58A" w:rsidR="00AC544A" w:rsidRPr="00C84B08" w:rsidRDefault="00F040A2" w:rsidP="00AC544A">
      <w:pPr>
        <w:pStyle w:val="Zkladntext"/>
        <w:shd w:val="clear" w:color="auto" w:fill="FFFFFF" w:themeFill="background1"/>
        <w:rPr>
          <w:rFonts w:asciiTheme="minorHAnsi" w:hAnsiTheme="minorHAnsi" w:cstheme="minorHAnsi"/>
          <w:i w:val="0"/>
          <w:sz w:val="24"/>
        </w:rPr>
      </w:pPr>
      <w:r w:rsidRPr="00E975C7">
        <w:rPr>
          <w:rFonts w:asciiTheme="minorHAnsi" w:hAnsiTheme="minorHAnsi" w:cstheme="minorHAnsi"/>
          <w:i w:val="0"/>
          <w:color w:val="000000"/>
          <w:sz w:val="24"/>
        </w:rPr>
        <w:t>Zákonné pojištění vzniká na základě skutečnosti, že zaměstnavatel</w:t>
      </w:r>
      <w:r w:rsidR="007E37B7">
        <w:rPr>
          <w:rFonts w:asciiTheme="minorHAnsi" w:hAnsiTheme="minorHAnsi" w:cstheme="minorHAnsi"/>
          <w:i w:val="0"/>
          <w:color w:val="000000"/>
          <w:sz w:val="24"/>
        </w:rPr>
        <w:t xml:space="preserve"> </w:t>
      </w:r>
      <w:r w:rsidRPr="00E975C7">
        <w:rPr>
          <w:rFonts w:asciiTheme="minorHAnsi" w:hAnsiTheme="minorHAnsi" w:cstheme="minorHAnsi"/>
          <w:i w:val="0"/>
          <w:color w:val="000000"/>
          <w:sz w:val="24"/>
        </w:rPr>
        <w:t xml:space="preserve">začal zaměstnávat alespoň </w:t>
      </w:r>
      <w:r w:rsidRPr="00D962D4">
        <w:rPr>
          <w:rFonts w:asciiTheme="minorHAnsi" w:hAnsiTheme="minorHAnsi" w:cstheme="minorHAnsi"/>
          <w:i w:val="0"/>
          <w:color w:val="000000"/>
          <w:sz w:val="24"/>
        </w:rPr>
        <w:t xml:space="preserve">jednoho zaměstnance. </w:t>
      </w:r>
      <w:r w:rsidRPr="00D962D4">
        <w:rPr>
          <w:rFonts w:asciiTheme="minorHAnsi" w:hAnsiTheme="minorHAnsi" w:cstheme="minorHAnsi"/>
          <w:i w:val="0"/>
          <w:sz w:val="24"/>
        </w:rPr>
        <w:t>Údaje o vzniku povinnosti zaměstnavatele platit zákonné pojistné jako jediná v rámci své působnosti evid</w:t>
      </w:r>
      <w:r w:rsidR="00AC544A" w:rsidRPr="00D962D4">
        <w:rPr>
          <w:rFonts w:asciiTheme="minorHAnsi" w:hAnsiTheme="minorHAnsi" w:cstheme="minorHAnsi"/>
          <w:i w:val="0"/>
          <w:sz w:val="24"/>
        </w:rPr>
        <w:t>uje</w:t>
      </w:r>
      <w:r w:rsidRPr="00D962D4">
        <w:rPr>
          <w:rFonts w:asciiTheme="minorHAnsi" w:hAnsiTheme="minorHAnsi" w:cstheme="minorHAnsi"/>
          <w:i w:val="0"/>
          <w:sz w:val="24"/>
        </w:rPr>
        <w:t xml:space="preserve"> Česká správa sociálního zabezpečení (dále také „ČSSZ“). </w:t>
      </w:r>
      <w:r w:rsidR="00AC544A" w:rsidRPr="00C84B08">
        <w:rPr>
          <w:rFonts w:asciiTheme="minorHAnsi" w:hAnsiTheme="minorHAnsi" w:cstheme="minorHAnsi"/>
          <w:i w:val="0"/>
          <w:sz w:val="24"/>
        </w:rPr>
        <w:t>V zákoně o organizaci a provádění sociálního zabezpečení</w:t>
      </w:r>
      <w:r w:rsidR="00AC544A" w:rsidRPr="00C84B08">
        <w:rPr>
          <w:rStyle w:val="Znakapoznpodarou"/>
          <w:rFonts w:asciiTheme="minorHAnsi" w:hAnsiTheme="minorHAnsi" w:cstheme="minorHAnsi"/>
          <w:i w:val="0"/>
          <w:sz w:val="24"/>
        </w:rPr>
        <w:t xml:space="preserve"> </w:t>
      </w:r>
      <w:r w:rsidR="00AC544A" w:rsidRPr="00C84B08">
        <w:rPr>
          <w:rStyle w:val="Znakapoznpodarou"/>
          <w:rFonts w:asciiTheme="minorHAnsi" w:hAnsiTheme="minorHAnsi" w:cstheme="minorHAnsi"/>
          <w:i w:val="0"/>
          <w:sz w:val="24"/>
        </w:rPr>
        <w:footnoteReference w:id="23"/>
      </w:r>
      <w:r w:rsidR="00AC544A" w:rsidRPr="00C84B08">
        <w:rPr>
          <w:rFonts w:asciiTheme="minorHAnsi" w:hAnsiTheme="minorHAnsi" w:cstheme="minorHAnsi"/>
          <w:i w:val="0"/>
          <w:sz w:val="24"/>
        </w:rPr>
        <w:t xml:space="preserve"> jsou uvedeny subjekty, kterým jsou orgány sociálního zabezpečení povinny na žádost poskytnout využitelné informace. Česká pojišťovna a Kooperativa mezi vyjmenovanými subjekty nejsou. Údaje o vzniku povinnosti zaměstnavatele platit pojistné tak pojišťovny mohou získat pouze přímo od zaměstnavatelů nebo z veřejně přístupných zdrojů, které však neobsahují kompletní a verifikovaná data. </w:t>
      </w:r>
    </w:p>
    <w:p w14:paraId="7A4B0EF6" w14:textId="77777777" w:rsidR="00F040A2" w:rsidRDefault="00F040A2" w:rsidP="00F040A2">
      <w:pPr>
        <w:pStyle w:val="Zkladntext"/>
        <w:rPr>
          <w:rFonts w:cstheme="minorHAnsi"/>
          <w:highlight w:val="yellow"/>
        </w:rPr>
      </w:pPr>
    </w:p>
    <w:p w14:paraId="2C89DF1E" w14:textId="14033327" w:rsidR="00F040A2" w:rsidRPr="00EC639B" w:rsidRDefault="00F040A2" w:rsidP="00F040A2">
      <w:pPr>
        <w:pStyle w:val="Zkladntext"/>
        <w:rPr>
          <w:rFonts w:asciiTheme="minorHAnsi" w:hAnsiTheme="minorHAnsi" w:cstheme="minorHAnsi"/>
          <w:b/>
          <w:i w:val="0"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t>NKÚ porovn</w:t>
      </w:r>
      <w:r>
        <w:rPr>
          <w:rFonts w:asciiTheme="minorHAnsi" w:hAnsiTheme="minorHAnsi" w:cstheme="minorHAnsi"/>
          <w:i w:val="0"/>
          <w:sz w:val="24"/>
        </w:rPr>
        <w:t>al</w:t>
      </w:r>
      <w:r w:rsidRPr="00EC639B">
        <w:rPr>
          <w:rFonts w:asciiTheme="minorHAnsi" w:hAnsiTheme="minorHAnsi" w:cstheme="minorHAnsi"/>
          <w:i w:val="0"/>
          <w:sz w:val="24"/>
        </w:rPr>
        <w:t xml:space="preserve"> údaj</w:t>
      </w:r>
      <w:r>
        <w:rPr>
          <w:rFonts w:asciiTheme="minorHAnsi" w:hAnsiTheme="minorHAnsi" w:cstheme="minorHAnsi"/>
          <w:i w:val="0"/>
          <w:sz w:val="24"/>
        </w:rPr>
        <w:t xml:space="preserve">e </w:t>
      </w:r>
      <w:r w:rsidR="00C311CC">
        <w:rPr>
          <w:rFonts w:asciiTheme="minorHAnsi" w:hAnsiTheme="minorHAnsi" w:cstheme="minorHAnsi"/>
          <w:i w:val="0"/>
          <w:sz w:val="24"/>
        </w:rPr>
        <w:t>o</w:t>
      </w:r>
      <w:r w:rsidR="00DB3F7E">
        <w:rPr>
          <w:rFonts w:asciiTheme="minorHAnsi" w:hAnsiTheme="minorHAnsi" w:cstheme="minorHAnsi"/>
          <w:i w:val="0"/>
          <w:sz w:val="24"/>
        </w:rPr>
        <w:t xml:space="preserve"> </w:t>
      </w:r>
      <w:r w:rsidRPr="00EC639B">
        <w:rPr>
          <w:rFonts w:asciiTheme="minorHAnsi" w:hAnsiTheme="minorHAnsi" w:cstheme="minorHAnsi"/>
          <w:i w:val="0"/>
          <w:sz w:val="24"/>
        </w:rPr>
        <w:t>zaměstnavatel</w:t>
      </w:r>
      <w:r w:rsidR="00C311CC">
        <w:rPr>
          <w:rFonts w:asciiTheme="minorHAnsi" w:hAnsiTheme="minorHAnsi" w:cstheme="minorHAnsi"/>
          <w:i w:val="0"/>
          <w:sz w:val="24"/>
        </w:rPr>
        <w:t>ích</w:t>
      </w:r>
      <w:r w:rsidRPr="00EC639B">
        <w:rPr>
          <w:rFonts w:asciiTheme="minorHAnsi" w:hAnsiTheme="minorHAnsi" w:cstheme="minorHAnsi"/>
          <w:i w:val="0"/>
          <w:sz w:val="24"/>
        </w:rPr>
        <w:t xml:space="preserve"> evidovaných </w:t>
      </w:r>
      <w:r w:rsidR="00C311CC">
        <w:rPr>
          <w:rFonts w:asciiTheme="minorHAnsi" w:hAnsiTheme="minorHAnsi" w:cstheme="minorHAnsi"/>
          <w:i w:val="0"/>
          <w:sz w:val="24"/>
        </w:rPr>
        <w:t xml:space="preserve">v </w:t>
      </w:r>
      <w:r w:rsidR="00C311CC" w:rsidRPr="00EC639B">
        <w:rPr>
          <w:rFonts w:asciiTheme="minorHAnsi" w:hAnsiTheme="minorHAnsi" w:cstheme="minorHAnsi"/>
          <w:i w:val="0"/>
          <w:sz w:val="24"/>
        </w:rPr>
        <w:t>databází</w:t>
      </w:r>
      <w:r w:rsidR="00C311CC">
        <w:rPr>
          <w:rFonts w:asciiTheme="minorHAnsi" w:hAnsiTheme="minorHAnsi" w:cstheme="minorHAnsi"/>
          <w:i w:val="0"/>
          <w:sz w:val="24"/>
        </w:rPr>
        <w:t>ch</w:t>
      </w:r>
      <w:r w:rsidRPr="00EC639B">
        <w:rPr>
          <w:rFonts w:asciiTheme="minorHAnsi" w:hAnsiTheme="minorHAnsi" w:cstheme="minorHAnsi"/>
          <w:i w:val="0"/>
          <w:sz w:val="24"/>
        </w:rPr>
        <w:t xml:space="preserve"> Kooperativy a České pojišťovny</w:t>
      </w:r>
      <w:r w:rsidR="000E61CD">
        <w:rPr>
          <w:rFonts w:asciiTheme="minorHAnsi" w:hAnsiTheme="minorHAnsi" w:cstheme="minorHAnsi"/>
          <w:i w:val="0"/>
          <w:sz w:val="24"/>
        </w:rPr>
        <w:t xml:space="preserve"> (celkem </w:t>
      </w:r>
      <w:r w:rsidR="004B7833">
        <w:rPr>
          <w:rFonts w:asciiTheme="minorHAnsi" w:hAnsiTheme="minorHAnsi" w:cstheme="minorHAnsi"/>
          <w:i w:val="0"/>
          <w:sz w:val="24"/>
        </w:rPr>
        <w:t xml:space="preserve">268 768 </w:t>
      </w:r>
      <w:r w:rsidR="000E61CD">
        <w:rPr>
          <w:rFonts w:asciiTheme="minorHAnsi" w:hAnsiTheme="minorHAnsi" w:cstheme="minorHAnsi"/>
          <w:i w:val="0"/>
          <w:sz w:val="24"/>
        </w:rPr>
        <w:t>zaměstnavatelů)</w:t>
      </w:r>
      <w:r>
        <w:rPr>
          <w:rFonts w:asciiTheme="minorHAnsi" w:hAnsiTheme="minorHAnsi" w:cstheme="minorHAnsi"/>
          <w:i w:val="0"/>
          <w:sz w:val="24"/>
        </w:rPr>
        <w:t xml:space="preserve"> se s</w:t>
      </w:r>
      <w:r w:rsidRPr="00EC639B">
        <w:rPr>
          <w:rFonts w:asciiTheme="minorHAnsi" w:hAnsiTheme="minorHAnsi" w:cstheme="minorHAnsi"/>
          <w:i w:val="0"/>
          <w:sz w:val="24"/>
        </w:rPr>
        <w:t>estavou zaměstnavatelů, kteří byli aktivní v databázi RES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24"/>
      </w:r>
      <w:r w:rsidRPr="00EC639B">
        <w:rPr>
          <w:rFonts w:asciiTheme="minorHAnsi" w:hAnsiTheme="minorHAnsi" w:cstheme="minorHAnsi"/>
          <w:i w:val="0"/>
          <w:sz w:val="24"/>
        </w:rPr>
        <w:t xml:space="preserve"> ke konci roku 2018. Výstupem porovnání byla skupina </w:t>
      </w:r>
      <w:r w:rsidR="000E64D6">
        <w:rPr>
          <w:rFonts w:asciiTheme="minorHAnsi" w:hAnsiTheme="minorHAnsi" w:cstheme="minorHAnsi"/>
          <w:i w:val="0"/>
          <w:sz w:val="24"/>
        </w:rPr>
        <w:t xml:space="preserve">53 362 </w:t>
      </w:r>
      <w:r w:rsidRPr="00EC639B">
        <w:rPr>
          <w:rFonts w:asciiTheme="minorHAnsi" w:hAnsiTheme="minorHAnsi" w:cstheme="minorHAnsi"/>
          <w:i w:val="0"/>
          <w:sz w:val="24"/>
        </w:rPr>
        <w:t>zaměstnavatelů, kteří dle databáze RES zaměstnávali ke konci roku 2018 zaměstnance, ale pojišťovny je neměly v</w:t>
      </w:r>
      <w:r w:rsidR="00DB3F7E">
        <w:rPr>
          <w:rFonts w:asciiTheme="minorHAnsi" w:hAnsiTheme="minorHAnsi" w:cstheme="minorHAnsi"/>
          <w:i w:val="0"/>
          <w:sz w:val="24"/>
        </w:rPr>
        <w:t xml:space="preserve">e svých </w:t>
      </w:r>
      <w:r w:rsidRPr="00EC639B">
        <w:rPr>
          <w:rFonts w:asciiTheme="minorHAnsi" w:hAnsiTheme="minorHAnsi" w:cstheme="minorHAnsi"/>
          <w:i w:val="0"/>
          <w:sz w:val="24"/>
        </w:rPr>
        <w:t>databáz</w:t>
      </w:r>
      <w:r w:rsidR="00DB3F7E">
        <w:rPr>
          <w:rFonts w:asciiTheme="minorHAnsi" w:hAnsiTheme="minorHAnsi" w:cstheme="minorHAnsi"/>
          <w:i w:val="0"/>
          <w:sz w:val="24"/>
        </w:rPr>
        <w:t>ích</w:t>
      </w:r>
      <w:r w:rsidRPr="00EC639B">
        <w:rPr>
          <w:rFonts w:asciiTheme="minorHAnsi" w:hAnsiTheme="minorHAnsi" w:cstheme="minorHAnsi"/>
          <w:i w:val="0"/>
          <w:sz w:val="24"/>
        </w:rPr>
        <w:t xml:space="preserve">. Z této skupiny </w:t>
      </w:r>
      <w:r>
        <w:rPr>
          <w:rFonts w:asciiTheme="minorHAnsi" w:hAnsiTheme="minorHAnsi" w:cstheme="minorHAnsi"/>
          <w:i w:val="0"/>
          <w:sz w:val="24"/>
        </w:rPr>
        <w:t xml:space="preserve">NKÚ prověřil </w:t>
      </w:r>
      <w:r w:rsidRPr="00EC639B">
        <w:rPr>
          <w:rFonts w:asciiTheme="minorHAnsi" w:hAnsiTheme="minorHAnsi" w:cstheme="minorHAnsi"/>
          <w:i w:val="0"/>
          <w:sz w:val="24"/>
        </w:rPr>
        <w:t>zaměstnavatel</w:t>
      </w:r>
      <w:r>
        <w:rPr>
          <w:rFonts w:asciiTheme="minorHAnsi" w:hAnsiTheme="minorHAnsi" w:cstheme="minorHAnsi"/>
          <w:i w:val="0"/>
          <w:sz w:val="24"/>
        </w:rPr>
        <w:t>e</w:t>
      </w:r>
      <w:r w:rsidRPr="00EC639B">
        <w:rPr>
          <w:rFonts w:asciiTheme="minorHAnsi" w:hAnsiTheme="minorHAnsi" w:cstheme="minorHAnsi"/>
          <w:i w:val="0"/>
          <w:sz w:val="24"/>
        </w:rPr>
        <w:t xml:space="preserve"> zaměstnávající více než 20 zaměstnanců, což bylo </w:t>
      </w:r>
      <w:r>
        <w:rPr>
          <w:rFonts w:asciiTheme="minorHAnsi" w:hAnsiTheme="minorHAnsi" w:cstheme="minorHAnsi"/>
          <w:i w:val="0"/>
          <w:sz w:val="24"/>
        </w:rPr>
        <w:t xml:space="preserve">celkem </w:t>
      </w:r>
      <w:r w:rsidRPr="00EC639B">
        <w:rPr>
          <w:rFonts w:asciiTheme="minorHAnsi" w:hAnsiTheme="minorHAnsi" w:cstheme="minorHAnsi"/>
          <w:i w:val="0"/>
          <w:sz w:val="24"/>
        </w:rPr>
        <w:t xml:space="preserve">661 </w:t>
      </w:r>
      <w:r>
        <w:rPr>
          <w:rFonts w:asciiTheme="minorHAnsi" w:hAnsiTheme="minorHAnsi" w:cstheme="minorHAnsi"/>
          <w:i w:val="0"/>
          <w:sz w:val="24"/>
        </w:rPr>
        <w:t>subjektů</w:t>
      </w:r>
      <w:r w:rsidRPr="00EC639B">
        <w:rPr>
          <w:rFonts w:asciiTheme="minorHAnsi" w:hAnsiTheme="minorHAnsi" w:cstheme="minorHAnsi"/>
          <w:i w:val="0"/>
          <w:sz w:val="24"/>
        </w:rPr>
        <w:t>.</w:t>
      </w:r>
      <w:r w:rsidR="00591B6C">
        <w:rPr>
          <w:rFonts w:asciiTheme="minorHAnsi" w:hAnsiTheme="minorHAnsi" w:cstheme="minorHAnsi"/>
          <w:b/>
          <w:i w:val="0"/>
          <w:sz w:val="24"/>
        </w:rPr>
        <w:t xml:space="preserve"> Z toho 185 </w:t>
      </w:r>
      <w:r w:rsidRPr="00EC639B">
        <w:rPr>
          <w:rFonts w:asciiTheme="minorHAnsi" w:hAnsiTheme="minorHAnsi" w:cstheme="minorHAnsi"/>
          <w:b/>
          <w:i w:val="0"/>
          <w:sz w:val="24"/>
        </w:rPr>
        <w:t>zaměstnavatelů mělo</w:t>
      </w:r>
      <w:r w:rsidR="001E108C">
        <w:rPr>
          <w:rFonts w:asciiTheme="minorHAnsi" w:hAnsiTheme="minorHAnsi" w:cstheme="minorHAnsi"/>
          <w:b/>
          <w:i w:val="0"/>
          <w:sz w:val="24"/>
        </w:rPr>
        <w:t xml:space="preserve"> </w:t>
      </w:r>
      <w:r w:rsidR="001E108C" w:rsidRPr="00EC639B">
        <w:rPr>
          <w:rFonts w:asciiTheme="minorHAnsi" w:hAnsiTheme="minorHAnsi" w:cstheme="minorHAnsi"/>
          <w:b/>
          <w:i w:val="0"/>
          <w:sz w:val="24"/>
        </w:rPr>
        <w:t>prokazatelně</w:t>
      </w:r>
      <w:r w:rsidRPr="00EC639B">
        <w:rPr>
          <w:rFonts w:asciiTheme="minorHAnsi" w:hAnsiTheme="minorHAnsi" w:cstheme="minorHAnsi"/>
          <w:b/>
          <w:i w:val="0"/>
          <w:sz w:val="24"/>
        </w:rPr>
        <w:t xml:space="preserve"> </w:t>
      </w:r>
      <w:r w:rsidR="00591B6C">
        <w:rPr>
          <w:rFonts w:asciiTheme="minorHAnsi" w:hAnsiTheme="minorHAnsi" w:cstheme="minorHAnsi"/>
          <w:b/>
          <w:i w:val="0"/>
          <w:sz w:val="24"/>
        </w:rPr>
        <w:t>v období 2015–</w:t>
      </w:r>
      <w:r>
        <w:rPr>
          <w:rFonts w:asciiTheme="minorHAnsi" w:hAnsiTheme="minorHAnsi" w:cstheme="minorHAnsi"/>
          <w:b/>
          <w:i w:val="0"/>
          <w:sz w:val="24"/>
        </w:rPr>
        <w:t xml:space="preserve">2018 </w:t>
      </w:r>
      <w:r w:rsidRPr="00EC639B">
        <w:rPr>
          <w:rFonts w:asciiTheme="minorHAnsi" w:hAnsiTheme="minorHAnsi" w:cstheme="minorHAnsi"/>
          <w:b/>
          <w:i w:val="0"/>
          <w:sz w:val="24"/>
        </w:rPr>
        <w:t xml:space="preserve">platit </w:t>
      </w:r>
      <w:r w:rsidR="00907B11">
        <w:rPr>
          <w:rFonts w:asciiTheme="minorHAnsi" w:hAnsiTheme="minorHAnsi" w:cstheme="minorHAnsi"/>
          <w:b/>
          <w:i w:val="0"/>
          <w:sz w:val="24"/>
        </w:rPr>
        <w:t xml:space="preserve">pojistné na </w:t>
      </w:r>
      <w:r w:rsidRPr="00EC639B">
        <w:rPr>
          <w:rFonts w:asciiTheme="minorHAnsi" w:hAnsiTheme="minorHAnsi" w:cstheme="minorHAnsi"/>
          <w:b/>
          <w:i w:val="0"/>
          <w:sz w:val="24"/>
        </w:rPr>
        <w:t>zákonné pojištění</w:t>
      </w:r>
      <w:r w:rsidR="001E108C">
        <w:rPr>
          <w:rFonts w:asciiTheme="minorHAnsi" w:hAnsiTheme="minorHAnsi" w:cstheme="minorHAnsi"/>
          <w:b/>
          <w:i w:val="0"/>
          <w:sz w:val="24"/>
        </w:rPr>
        <w:t>. Tu</w:t>
      </w:r>
      <w:r w:rsidRPr="00EC639B">
        <w:rPr>
          <w:rFonts w:asciiTheme="minorHAnsi" w:hAnsiTheme="minorHAnsi" w:cstheme="minorHAnsi"/>
          <w:b/>
          <w:i w:val="0"/>
          <w:sz w:val="24"/>
        </w:rPr>
        <w:t xml:space="preserve">to povinnost </w:t>
      </w:r>
      <w:r w:rsidR="001E108C">
        <w:rPr>
          <w:rFonts w:asciiTheme="minorHAnsi" w:hAnsiTheme="minorHAnsi" w:cstheme="minorHAnsi"/>
          <w:b/>
          <w:i w:val="0"/>
          <w:sz w:val="24"/>
        </w:rPr>
        <w:t xml:space="preserve">zaměstnavatelé </w:t>
      </w:r>
      <w:r w:rsidRPr="00EC639B">
        <w:rPr>
          <w:rFonts w:asciiTheme="minorHAnsi" w:hAnsiTheme="minorHAnsi" w:cstheme="minorHAnsi"/>
          <w:b/>
          <w:i w:val="0"/>
          <w:sz w:val="24"/>
        </w:rPr>
        <w:t>nesplnil</w:t>
      </w:r>
      <w:r w:rsidR="001E108C">
        <w:rPr>
          <w:rFonts w:asciiTheme="minorHAnsi" w:hAnsiTheme="minorHAnsi" w:cstheme="minorHAnsi"/>
          <w:b/>
          <w:i w:val="0"/>
          <w:sz w:val="24"/>
        </w:rPr>
        <w:t>i</w:t>
      </w:r>
      <w:r w:rsidRPr="00EC639B">
        <w:rPr>
          <w:rFonts w:asciiTheme="minorHAnsi" w:hAnsiTheme="minorHAnsi" w:cstheme="minorHAnsi"/>
          <w:b/>
          <w:i w:val="0"/>
          <w:sz w:val="24"/>
        </w:rPr>
        <w:t xml:space="preserve"> a nebyl</w:t>
      </w:r>
      <w:r w:rsidR="009D6BF1">
        <w:rPr>
          <w:rFonts w:asciiTheme="minorHAnsi" w:hAnsiTheme="minorHAnsi" w:cstheme="minorHAnsi"/>
          <w:b/>
          <w:i w:val="0"/>
          <w:sz w:val="24"/>
        </w:rPr>
        <w:t>i</w:t>
      </w:r>
      <w:r w:rsidRPr="00EC639B">
        <w:rPr>
          <w:rFonts w:asciiTheme="minorHAnsi" w:hAnsiTheme="minorHAnsi" w:cstheme="minorHAnsi"/>
          <w:b/>
          <w:i w:val="0"/>
          <w:sz w:val="24"/>
        </w:rPr>
        <w:t xml:space="preserve"> registrován</w:t>
      </w:r>
      <w:r w:rsidR="009D6BF1">
        <w:rPr>
          <w:rFonts w:asciiTheme="minorHAnsi" w:hAnsiTheme="minorHAnsi" w:cstheme="minorHAnsi"/>
          <w:b/>
          <w:i w:val="0"/>
          <w:sz w:val="24"/>
        </w:rPr>
        <w:t>i</w:t>
      </w:r>
      <w:r w:rsidRPr="00EC639B">
        <w:rPr>
          <w:rFonts w:asciiTheme="minorHAnsi" w:hAnsiTheme="minorHAnsi" w:cstheme="minorHAnsi"/>
          <w:b/>
          <w:i w:val="0"/>
          <w:sz w:val="24"/>
        </w:rPr>
        <w:t xml:space="preserve"> ani u jedné pojišťovny. </w:t>
      </w:r>
    </w:p>
    <w:p w14:paraId="457D1A47" w14:textId="77777777" w:rsidR="005405DF" w:rsidRPr="00EC639B" w:rsidRDefault="005405DF" w:rsidP="00902113">
      <w:pPr>
        <w:shd w:val="clear" w:color="auto" w:fill="FFFFFF" w:themeFill="background1"/>
        <w:rPr>
          <w:rFonts w:cstheme="minorHAnsi"/>
        </w:rPr>
      </w:pPr>
    </w:p>
    <w:p w14:paraId="6B660296" w14:textId="3506C6DC" w:rsidR="005405DF" w:rsidRPr="00A356F2" w:rsidRDefault="00D168A6" w:rsidP="000A772D">
      <w:pPr>
        <w:pStyle w:val="Odstavecseseznamem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</w:t>
      </w:r>
      <w:r w:rsidR="00236E28" w:rsidRPr="004B04B4">
        <w:rPr>
          <w:rFonts w:asciiTheme="minorHAnsi" w:hAnsiTheme="minorHAnsi" w:cstheme="minorHAnsi"/>
          <w:b/>
          <w:bCs/>
          <w:szCs w:val="24"/>
        </w:rPr>
        <w:t>ankce</w:t>
      </w:r>
      <w:r w:rsidR="00DB2E56" w:rsidRPr="004B04B4">
        <w:rPr>
          <w:rFonts w:asciiTheme="minorHAnsi" w:hAnsiTheme="minorHAnsi" w:cstheme="minorHAnsi"/>
          <w:b/>
          <w:bCs/>
          <w:szCs w:val="24"/>
        </w:rPr>
        <w:t xml:space="preserve"> za </w:t>
      </w:r>
      <w:r w:rsidR="00DB2E56" w:rsidRPr="00A356F2">
        <w:rPr>
          <w:rFonts w:asciiTheme="minorHAnsi" w:hAnsiTheme="minorHAnsi" w:cstheme="minorHAnsi"/>
          <w:b/>
          <w:bCs/>
          <w:szCs w:val="24"/>
        </w:rPr>
        <w:t xml:space="preserve">pozdní úhradu zákonného pojistného je </w:t>
      </w:r>
      <w:r w:rsidR="00236E28" w:rsidRPr="00A356F2">
        <w:rPr>
          <w:rFonts w:asciiTheme="minorHAnsi" w:hAnsiTheme="minorHAnsi" w:cstheme="minorHAnsi"/>
          <w:b/>
          <w:bCs/>
          <w:szCs w:val="24"/>
        </w:rPr>
        <w:t>v</w:t>
      </w:r>
      <w:r w:rsidR="00ED46FA" w:rsidRPr="00A356F2">
        <w:rPr>
          <w:rFonts w:asciiTheme="minorHAnsi" w:hAnsiTheme="minorHAnsi" w:cstheme="minorHAnsi"/>
          <w:b/>
          <w:bCs/>
          <w:szCs w:val="24"/>
        </w:rPr>
        <w:t> právní úpravě stanovena</w:t>
      </w:r>
      <w:r w:rsidR="00236E28" w:rsidRPr="00A356F2">
        <w:rPr>
          <w:rStyle w:val="Znakapoznpodarou"/>
          <w:rFonts w:asciiTheme="minorHAnsi" w:hAnsiTheme="minorHAnsi" w:cstheme="minorHAnsi"/>
          <w:b/>
          <w:bCs/>
          <w:szCs w:val="24"/>
        </w:rPr>
        <w:footnoteReference w:id="25"/>
      </w:r>
      <w:r w:rsidR="00236E28" w:rsidRPr="00A356F2">
        <w:rPr>
          <w:rFonts w:asciiTheme="minorHAnsi" w:hAnsiTheme="minorHAnsi" w:cstheme="minorHAnsi"/>
          <w:b/>
          <w:bCs/>
          <w:szCs w:val="24"/>
        </w:rPr>
        <w:t xml:space="preserve"> neobvykl</w:t>
      </w:r>
      <w:r w:rsidR="00EC639B" w:rsidRPr="00A356F2">
        <w:rPr>
          <w:rFonts w:asciiTheme="minorHAnsi" w:hAnsiTheme="minorHAnsi" w:cstheme="minorHAnsi"/>
          <w:b/>
          <w:bCs/>
          <w:szCs w:val="24"/>
        </w:rPr>
        <w:t>e vysoká</w:t>
      </w:r>
      <w:r w:rsidR="00236E28" w:rsidRPr="00A356F2">
        <w:rPr>
          <w:rFonts w:asciiTheme="minorHAnsi" w:hAnsiTheme="minorHAnsi" w:cstheme="minorHAnsi"/>
          <w:b/>
          <w:bCs/>
          <w:szCs w:val="24"/>
        </w:rPr>
        <w:t>.</w:t>
      </w:r>
    </w:p>
    <w:p w14:paraId="326179E2" w14:textId="77777777" w:rsidR="00363819" w:rsidRPr="007C50B4" w:rsidRDefault="00363819" w:rsidP="00815893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6A37BEA8" w14:textId="6B0A7952" w:rsidR="006D39BB" w:rsidRPr="004B7833" w:rsidRDefault="00677512" w:rsidP="001D15B8">
      <w:pPr>
        <w:rPr>
          <w:rFonts w:cstheme="minorHAnsi"/>
          <w:bCs/>
        </w:rPr>
      </w:pPr>
      <w:r w:rsidRPr="007C50B4">
        <w:rPr>
          <w:rFonts w:cstheme="minorHAnsi"/>
          <w:bCs/>
        </w:rPr>
        <w:t xml:space="preserve">Sankce ve výši </w:t>
      </w:r>
      <w:r w:rsidR="005405DF" w:rsidRPr="007C50B4">
        <w:rPr>
          <w:rFonts w:cstheme="minorHAnsi"/>
          <w:bCs/>
        </w:rPr>
        <w:t xml:space="preserve">10 % </w:t>
      </w:r>
      <w:r w:rsidRPr="007C50B4">
        <w:rPr>
          <w:rFonts w:cstheme="minorHAnsi"/>
          <w:bCs/>
        </w:rPr>
        <w:t>z</w:t>
      </w:r>
      <w:r w:rsidR="00EE565A" w:rsidRPr="007C50B4">
        <w:rPr>
          <w:rFonts w:cstheme="minorHAnsi"/>
          <w:bCs/>
        </w:rPr>
        <w:t> dlužného</w:t>
      </w:r>
      <w:r w:rsidR="00B76054" w:rsidRPr="007C50B4">
        <w:rPr>
          <w:rFonts w:cstheme="minorHAnsi"/>
          <w:bCs/>
        </w:rPr>
        <w:t xml:space="preserve"> pojistného</w:t>
      </w:r>
      <w:r w:rsidR="005405DF" w:rsidRPr="007C50B4">
        <w:rPr>
          <w:rFonts w:cstheme="minorHAnsi"/>
          <w:bCs/>
        </w:rPr>
        <w:t xml:space="preserve"> za každý měsíc</w:t>
      </w:r>
      <w:r w:rsidR="005405DF" w:rsidRPr="001D15B8">
        <w:rPr>
          <w:rFonts w:cstheme="minorHAnsi"/>
          <w:bCs/>
        </w:rPr>
        <w:t xml:space="preserve"> prodlení je a byla již při vydání vyhlášky neobvykle vysoká. Pro srovnání v zákoně o pojistném na sociální zabezpečení a příspěvku na státní politiku zaměstnanosti</w:t>
      </w:r>
      <w:r w:rsidR="005405DF" w:rsidRPr="00EC639B">
        <w:rPr>
          <w:rStyle w:val="Znakapoznpodarou"/>
          <w:rFonts w:cstheme="minorHAnsi"/>
          <w:bCs/>
        </w:rPr>
        <w:footnoteReference w:id="26"/>
      </w:r>
      <w:r w:rsidR="005405DF" w:rsidRPr="001D15B8">
        <w:rPr>
          <w:rFonts w:cstheme="minorHAnsi"/>
          <w:bCs/>
        </w:rPr>
        <w:t xml:space="preserve"> je stanoveno penále za pozdní úhradu pojistného nebo úhradu pojistného v nižší částce ve výši 0,05 % dlužné částky za každý kalendářní den </w:t>
      </w:r>
      <w:r w:rsidR="002019CC" w:rsidRPr="001D15B8">
        <w:rPr>
          <w:rFonts w:cstheme="minorHAnsi"/>
          <w:bCs/>
        </w:rPr>
        <w:t xml:space="preserve">prodlení </w:t>
      </w:r>
      <w:r w:rsidR="005405DF" w:rsidRPr="001D15B8">
        <w:rPr>
          <w:rFonts w:cstheme="minorHAnsi"/>
          <w:bCs/>
        </w:rPr>
        <w:t>(v době vydání vyhlášky byla sazba penále 3 % za každý započatý měsíc), v zákoně o pojistném na veřejné zdravotní pojištění</w:t>
      </w:r>
      <w:r w:rsidR="005405DF" w:rsidRPr="00EC639B">
        <w:rPr>
          <w:rStyle w:val="Znakapoznpodarou"/>
          <w:rFonts w:cstheme="minorHAnsi"/>
          <w:bCs/>
        </w:rPr>
        <w:footnoteReference w:id="27"/>
      </w:r>
      <w:r w:rsidR="005405DF" w:rsidRPr="001D15B8">
        <w:rPr>
          <w:rFonts w:cstheme="minorHAnsi"/>
          <w:bCs/>
        </w:rPr>
        <w:t xml:space="preserve"> je stanoveno penále za pozdní úhradu pojistného nebo zálohy na</w:t>
      </w:r>
      <w:r w:rsidR="008F129A">
        <w:rPr>
          <w:rFonts w:cstheme="minorHAnsi"/>
          <w:bCs/>
        </w:rPr>
        <w:t xml:space="preserve"> </w:t>
      </w:r>
      <w:r w:rsidR="005405DF" w:rsidRPr="001D15B8">
        <w:rPr>
          <w:rFonts w:cstheme="minorHAnsi"/>
          <w:bCs/>
        </w:rPr>
        <w:t>pojistné anebo úhradu pojistn</w:t>
      </w:r>
      <w:r w:rsidR="00B66595">
        <w:rPr>
          <w:rFonts w:cstheme="minorHAnsi"/>
          <w:bCs/>
        </w:rPr>
        <w:t>ého v nižší částce ve výši 0,05 </w:t>
      </w:r>
      <w:r w:rsidR="005405DF" w:rsidRPr="001D15B8">
        <w:rPr>
          <w:rFonts w:cstheme="minorHAnsi"/>
          <w:bCs/>
        </w:rPr>
        <w:t xml:space="preserve">% dlužné částky za každý kalendářní den </w:t>
      </w:r>
      <w:r w:rsidR="002019CC" w:rsidRPr="001D15B8">
        <w:rPr>
          <w:rFonts w:cstheme="minorHAnsi"/>
          <w:bCs/>
        </w:rPr>
        <w:t xml:space="preserve">prodlení </w:t>
      </w:r>
      <w:r w:rsidR="005405DF" w:rsidRPr="001D15B8">
        <w:rPr>
          <w:rFonts w:cstheme="minorHAnsi"/>
          <w:bCs/>
        </w:rPr>
        <w:t>(v době vydání vyhlášky byla sazba 0,1 % za každý den). Penále tak vychází ve výši cca</w:t>
      </w:r>
      <w:r w:rsidR="00E62D27">
        <w:rPr>
          <w:rFonts w:cstheme="minorHAnsi"/>
          <w:bCs/>
        </w:rPr>
        <w:t xml:space="preserve"> </w:t>
      </w:r>
      <w:r w:rsidR="005405DF" w:rsidRPr="001D15B8">
        <w:rPr>
          <w:rFonts w:cstheme="minorHAnsi"/>
          <w:bCs/>
        </w:rPr>
        <w:t xml:space="preserve">1,5 % za měsíc prodlení, což je řádově nižší </w:t>
      </w:r>
      <w:r w:rsidR="008F129A">
        <w:rPr>
          <w:rFonts w:cstheme="minorHAnsi"/>
          <w:bCs/>
        </w:rPr>
        <w:t xml:space="preserve">sankce </w:t>
      </w:r>
      <w:r w:rsidR="005405DF" w:rsidRPr="001D15B8">
        <w:rPr>
          <w:rFonts w:cstheme="minorHAnsi"/>
          <w:bCs/>
        </w:rPr>
        <w:t>než u zákonného pojištění.</w:t>
      </w:r>
      <w:r w:rsidR="00236E28" w:rsidRPr="001D15B8">
        <w:rPr>
          <w:rFonts w:cstheme="minorHAnsi"/>
          <w:bCs/>
        </w:rPr>
        <w:t xml:space="preserve"> </w:t>
      </w:r>
      <w:r w:rsidR="00236E28" w:rsidRPr="001D15B8">
        <w:rPr>
          <w:rFonts w:cstheme="minorHAnsi"/>
          <w:b/>
          <w:bCs/>
        </w:rPr>
        <w:t xml:space="preserve">Mimo jiné i z důvodu, že </w:t>
      </w:r>
      <w:r w:rsidR="00C068EF" w:rsidRPr="001D15B8">
        <w:rPr>
          <w:rFonts w:cstheme="minorHAnsi"/>
          <w:b/>
          <w:bCs/>
        </w:rPr>
        <w:t xml:space="preserve">10% </w:t>
      </w:r>
      <w:r w:rsidR="00236E28" w:rsidRPr="001D15B8">
        <w:rPr>
          <w:rFonts w:cstheme="minorHAnsi"/>
          <w:b/>
          <w:bCs/>
        </w:rPr>
        <w:t xml:space="preserve">sankce může být </w:t>
      </w:r>
      <w:r w:rsidR="004A23CA" w:rsidRPr="001D15B8">
        <w:rPr>
          <w:rFonts w:cstheme="minorHAnsi"/>
          <w:b/>
          <w:bCs/>
        </w:rPr>
        <w:t xml:space="preserve">až </w:t>
      </w:r>
      <w:r w:rsidR="00236E28" w:rsidRPr="001D15B8">
        <w:rPr>
          <w:rFonts w:cstheme="minorHAnsi"/>
          <w:b/>
          <w:bCs/>
        </w:rPr>
        <w:t xml:space="preserve">likvidační, </w:t>
      </w:r>
      <w:r w:rsidR="00B76054" w:rsidRPr="001D15B8">
        <w:rPr>
          <w:rFonts w:cstheme="minorHAnsi"/>
          <w:b/>
          <w:bCs/>
        </w:rPr>
        <w:t>přistupovaly</w:t>
      </w:r>
      <w:r w:rsidR="00236E28" w:rsidRPr="001D15B8">
        <w:rPr>
          <w:rFonts w:cstheme="minorHAnsi"/>
          <w:b/>
          <w:bCs/>
        </w:rPr>
        <w:t xml:space="preserve"> pojišťovny i MF </w:t>
      </w:r>
      <w:r w:rsidR="004A23CA" w:rsidRPr="001D15B8">
        <w:rPr>
          <w:rFonts w:cstheme="minorHAnsi"/>
          <w:b/>
          <w:bCs/>
        </w:rPr>
        <w:t xml:space="preserve">ve velké míře </w:t>
      </w:r>
      <w:r w:rsidR="00236E28" w:rsidRPr="001D15B8">
        <w:rPr>
          <w:rFonts w:cstheme="minorHAnsi"/>
          <w:b/>
          <w:bCs/>
        </w:rPr>
        <w:t>k upuštění od vymáhání pohledávek.</w:t>
      </w:r>
      <w:r w:rsidR="006D39BB" w:rsidRPr="001D15B8">
        <w:rPr>
          <w:rFonts w:cstheme="minorHAnsi"/>
          <w:b/>
          <w:bCs/>
        </w:rPr>
        <w:t xml:space="preserve"> </w:t>
      </w:r>
      <w:r w:rsidR="00591B6C">
        <w:rPr>
          <w:rFonts w:cstheme="minorHAnsi"/>
          <w:bCs/>
        </w:rPr>
        <w:t xml:space="preserve">Za období </w:t>
      </w:r>
      <w:r w:rsidR="008F129A">
        <w:rPr>
          <w:rFonts w:cstheme="minorHAnsi"/>
          <w:bCs/>
        </w:rPr>
        <w:t xml:space="preserve">let </w:t>
      </w:r>
      <w:r w:rsidR="00591B6C">
        <w:rPr>
          <w:rFonts w:cstheme="minorHAnsi"/>
          <w:bCs/>
        </w:rPr>
        <w:t>2015–</w:t>
      </w:r>
      <w:r w:rsidR="006D39BB" w:rsidRPr="001D15B8">
        <w:rPr>
          <w:rFonts w:cstheme="minorHAnsi"/>
          <w:bCs/>
        </w:rPr>
        <w:t xml:space="preserve">2018 bylo upuštěno </w:t>
      </w:r>
      <w:r w:rsidR="008F129A">
        <w:rPr>
          <w:rFonts w:cstheme="minorHAnsi"/>
          <w:bCs/>
        </w:rPr>
        <w:t xml:space="preserve">od vymáhání </w:t>
      </w:r>
      <w:r w:rsidR="006D39BB" w:rsidRPr="001D15B8">
        <w:rPr>
          <w:rFonts w:cstheme="minorHAnsi"/>
          <w:bCs/>
        </w:rPr>
        <w:t xml:space="preserve">celkem 64 427 762 Kč, tj. 52,6 % z celkového </w:t>
      </w:r>
      <w:r w:rsidR="006D39BB" w:rsidRPr="004B7833">
        <w:rPr>
          <w:rFonts w:cstheme="minorHAnsi"/>
          <w:bCs/>
        </w:rPr>
        <w:t>pře</w:t>
      </w:r>
      <w:r w:rsidR="0021407E" w:rsidRPr="004B7833">
        <w:rPr>
          <w:rFonts w:cstheme="minorHAnsi"/>
          <w:bCs/>
        </w:rPr>
        <w:t>depsaného zvýšeného pojistného, viz tab</w:t>
      </w:r>
      <w:r w:rsidR="007E37B7">
        <w:rPr>
          <w:rFonts w:cstheme="minorHAnsi"/>
          <w:bCs/>
        </w:rPr>
        <w:t>ulka</w:t>
      </w:r>
      <w:r w:rsidR="0021407E" w:rsidRPr="004B7833">
        <w:rPr>
          <w:rFonts w:cstheme="minorHAnsi"/>
          <w:bCs/>
        </w:rPr>
        <w:t xml:space="preserve"> č. 2.</w:t>
      </w:r>
    </w:p>
    <w:p w14:paraId="437E2ACE" w14:textId="0AE64489" w:rsidR="005405DF" w:rsidRPr="004B7833" w:rsidRDefault="005405DF" w:rsidP="00363819">
      <w:pPr>
        <w:pStyle w:val="Zkladntext"/>
        <w:shd w:val="clear" w:color="auto" w:fill="FFFFFF" w:themeFill="background1"/>
        <w:rPr>
          <w:rFonts w:asciiTheme="minorHAnsi" w:hAnsiTheme="minorHAnsi" w:cstheme="minorHAnsi"/>
          <w:b/>
          <w:bCs/>
          <w:i w:val="0"/>
          <w:sz w:val="24"/>
        </w:rPr>
      </w:pPr>
    </w:p>
    <w:p w14:paraId="43A46934" w14:textId="719F58CE" w:rsidR="0021407E" w:rsidRPr="0026723D" w:rsidRDefault="0021407E" w:rsidP="0026723D">
      <w:pPr>
        <w:keepNext/>
        <w:rPr>
          <w:rFonts w:cstheme="minorHAnsi"/>
          <w:b/>
          <w:bCs/>
          <w:sz w:val="22"/>
          <w:szCs w:val="22"/>
          <w:lang w:eastAsia="cs-CZ"/>
        </w:rPr>
      </w:pPr>
      <w:r w:rsidRPr="0026723D">
        <w:rPr>
          <w:rFonts w:cstheme="minorHAnsi"/>
          <w:b/>
          <w:bCs/>
          <w:sz w:val="22"/>
          <w:szCs w:val="22"/>
          <w:lang w:eastAsia="cs-CZ"/>
        </w:rPr>
        <w:lastRenderedPageBreak/>
        <w:t>Tabulka č. 2: Souhrn upuštění od vymáhání za obě pojišťovny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1959"/>
        <w:gridCol w:w="1501"/>
        <w:gridCol w:w="1553"/>
        <w:gridCol w:w="1551"/>
      </w:tblGrid>
      <w:tr w:rsidR="0021407E" w:rsidRPr="004B7833" w14:paraId="24FEEA1F" w14:textId="77777777" w:rsidTr="0026723D">
        <w:trPr>
          <w:trHeight w:val="20"/>
        </w:trPr>
        <w:tc>
          <w:tcPr>
            <w:tcW w:w="1378" w:type="pct"/>
            <w:shd w:val="clear" w:color="auto" w:fill="E5F1FF"/>
            <w:vAlign w:val="center"/>
            <w:hideMark/>
          </w:tcPr>
          <w:p w14:paraId="1564C90F" w14:textId="6514E2A3" w:rsidR="0021407E" w:rsidRPr="004B7833" w:rsidRDefault="0021407E" w:rsidP="0026723D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 xml:space="preserve">Upuštění od vymáhání pohledávek </w:t>
            </w:r>
            <w:r w:rsidR="0073145E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–</w:t>
            </w: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 xml:space="preserve"> zvýšené pojistné</w:t>
            </w:r>
          </w:p>
        </w:tc>
        <w:tc>
          <w:tcPr>
            <w:tcW w:w="1081" w:type="pct"/>
            <w:shd w:val="clear" w:color="auto" w:fill="E5F1FF"/>
            <w:vAlign w:val="center"/>
            <w:hideMark/>
          </w:tcPr>
          <w:p w14:paraId="5681FDC5" w14:textId="17B44575" w:rsidR="0021407E" w:rsidRPr="004B7833" w:rsidRDefault="0021407E" w:rsidP="0026723D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Počet případů</w:t>
            </w:r>
          </w:p>
        </w:tc>
        <w:tc>
          <w:tcPr>
            <w:tcW w:w="828" w:type="pct"/>
            <w:shd w:val="clear" w:color="auto" w:fill="E5F1FF"/>
            <w:vAlign w:val="center"/>
            <w:hideMark/>
          </w:tcPr>
          <w:p w14:paraId="53F146AE" w14:textId="378DFF8F" w:rsidR="0021407E" w:rsidRPr="004B7833" w:rsidRDefault="0021407E" w:rsidP="0026723D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 xml:space="preserve">Zvýšené pojistné </w:t>
            </w:r>
            <w:r w:rsidR="0073145E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(</w:t>
            </w: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v Kč</w:t>
            </w:r>
            <w:r w:rsidR="0073145E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)</w:t>
            </w:r>
          </w:p>
        </w:tc>
        <w:tc>
          <w:tcPr>
            <w:tcW w:w="857" w:type="pct"/>
            <w:shd w:val="clear" w:color="auto" w:fill="E5F1FF"/>
            <w:vAlign w:val="center"/>
            <w:hideMark/>
          </w:tcPr>
          <w:p w14:paraId="6A31726D" w14:textId="4361A81D" w:rsidR="0021407E" w:rsidRPr="004B7833" w:rsidRDefault="0021407E" w:rsidP="0026723D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 xml:space="preserve">Upuštění od vymáhání </w:t>
            </w:r>
            <w:r w:rsidR="0073145E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(</w:t>
            </w: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v Kč</w:t>
            </w:r>
            <w:r w:rsidR="0073145E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)</w:t>
            </w:r>
          </w:p>
        </w:tc>
        <w:tc>
          <w:tcPr>
            <w:tcW w:w="856" w:type="pct"/>
            <w:shd w:val="clear" w:color="auto" w:fill="E5F1FF"/>
            <w:vAlign w:val="center"/>
            <w:hideMark/>
          </w:tcPr>
          <w:p w14:paraId="366242E7" w14:textId="77777777" w:rsidR="0073145E" w:rsidRDefault="0021407E" w:rsidP="0026723D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 xml:space="preserve">K vymáhání </w:t>
            </w:r>
          </w:p>
          <w:p w14:paraId="05FFAB0C" w14:textId="72AD74FA" w:rsidR="0021407E" w:rsidRPr="004B7833" w:rsidRDefault="0073145E" w:rsidP="0026723D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(</w:t>
            </w:r>
            <w:r w:rsidR="0021407E"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v Kč</w:t>
            </w:r>
            <w:r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)</w:t>
            </w:r>
          </w:p>
        </w:tc>
      </w:tr>
      <w:tr w:rsidR="0021407E" w:rsidRPr="004B7833" w14:paraId="3244B5C7" w14:textId="77777777" w:rsidTr="0021407E">
        <w:trPr>
          <w:trHeight w:val="20"/>
        </w:trPr>
        <w:tc>
          <w:tcPr>
            <w:tcW w:w="1378" w:type="pct"/>
            <w:shd w:val="clear" w:color="auto" w:fill="auto"/>
            <w:vAlign w:val="center"/>
            <w:hideMark/>
          </w:tcPr>
          <w:p w14:paraId="14D7F28A" w14:textId="0D2C1A4E" w:rsidR="0021407E" w:rsidRPr="004B7833" w:rsidRDefault="0021407E" w:rsidP="0026723D">
            <w:pPr>
              <w:keepNext/>
              <w:jc w:val="lef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Česká pojišťovna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3B804E88" w14:textId="77777777" w:rsidR="0021407E" w:rsidRPr="004B7833" w:rsidRDefault="0021407E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53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4518C4D" w14:textId="77777777" w:rsidR="0021407E" w:rsidRPr="004B7833" w:rsidRDefault="0021407E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2 862 039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07803819" w14:textId="77777777" w:rsidR="0021407E" w:rsidRPr="004B7833" w:rsidRDefault="0021407E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2 115 949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CF4CD8E" w14:textId="77777777" w:rsidR="0021407E" w:rsidRPr="004B7833" w:rsidRDefault="0021407E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746 084</w:t>
            </w:r>
          </w:p>
        </w:tc>
      </w:tr>
      <w:tr w:rsidR="0021407E" w:rsidRPr="004B7833" w14:paraId="10A33ABB" w14:textId="77777777" w:rsidTr="0021407E">
        <w:trPr>
          <w:trHeight w:val="20"/>
        </w:trPr>
        <w:tc>
          <w:tcPr>
            <w:tcW w:w="1378" w:type="pct"/>
            <w:shd w:val="clear" w:color="auto" w:fill="auto"/>
            <w:vAlign w:val="center"/>
          </w:tcPr>
          <w:p w14:paraId="40A62DAC" w14:textId="56EBC2E0" w:rsidR="0021407E" w:rsidRPr="004B7833" w:rsidRDefault="0021407E" w:rsidP="0026723D">
            <w:pPr>
              <w:keepNext/>
              <w:jc w:val="lef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Kooperativa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4232FC9F" w14:textId="1988F962" w:rsidR="0021407E" w:rsidRPr="004B7833" w:rsidRDefault="0021407E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3 125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9123122" w14:textId="04871A08" w:rsidR="0021407E" w:rsidRPr="004B7833" w:rsidRDefault="0021407E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119 602 770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9F3C93C" w14:textId="75C9767D" w:rsidR="0021407E" w:rsidRPr="004B7833" w:rsidRDefault="0021407E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62 311 813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87BBB24" w14:textId="1ED5214D" w:rsidR="0021407E" w:rsidRPr="004B7833" w:rsidRDefault="0021407E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57 290 957</w:t>
            </w:r>
          </w:p>
        </w:tc>
      </w:tr>
      <w:tr w:rsidR="00DB3F7E" w:rsidRPr="004B7833" w14:paraId="00032A0C" w14:textId="77777777" w:rsidTr="0021407E">
        <w:trPr>
          <w:trHeight w:val="20"/>
        </w:trPr>
        <w:tc>
          <w:tcPr>
            <w:tcW w:w="1378" w:type="pct"/>
            <w:shd w:val="clear" w:color="auto" w:fill="auto"/>
            <w:vAlign w:val="center"/>
          </w:tcPr>
          <w:p w14:paraId="31E225E5" w14:textId="42ECD3F9" w:rsidR="00DB3F7E" w:rsidRPr="004B7833" w:rsidRDefault="00DB3F7E" w:rsidP="0026723D">
            <w:pPr>
              <w:keepNext/>
              <w:jc w:val="lef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Celkem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4BD49822" w14:textId="13FF7747" w:rsidR="00DB3F7E" w:rsidRPr="004B7833" w:rsidRDefault="00EA7B0A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3 178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5DD374E" w14:textId="384BF2E7" w:rsidR="00DB3F7E" w:rsidRPr="004B7833" w:rsidRDefault="00351E69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122 464 809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29F74D8" w14:textId="2032558F" w:rsidR="00DB3F7E" w:rsidRPr="004B7833" w:rsidRDefault="00351E69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64 427 762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A523D37" w14:textId="12CAA82F" w:rsidR="00DB3F7E" w:rsidRPr="004B7833" w:rsidRDefault="00351E69" w:rsidP="0026723D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</w:pPr>
            <w:r w:rsidRPr="004B7833">
              <w:rPr>
                <w:rFonts w:ascii="Calibri" w:hAnsi="Calibri" w:cs="Calibri"/>
                <w:b/>
                <w:color w:val="000000"/>
                <w:sz w:val="18"/>
                <w:lang w:eastAsia="cs-CZ"/>
              </w:rPr>
              <w:t>58 037 041</w:t>
            </w:r>
          </w:p>
        </w:tc>
      </w:tr>
    </w:tbl>
    <w:p w14:paraId="10FE7082" w14:textId="6948C664" w:rsidR="0021407E" w:rsidRPr="007F1168" w:rsidRDefault="0021407E" w:rsidP="0021407E">
      <w:pPr>
        <w:rPr>
          <w:rFonts w:cstheme="minorHAnsi"/>
          <w:iCs/>
          <w:sz w:val="20"/>
          <w:szCs w:val="22"/>
          <w:lang w:eastAsia="cs-CZ"/>
        </w:rPr>
      </w:pPr>
      <w:r w:rsidRPr="00591B6C">
        <w:rPr>
          <w:rFonts w:cstheme="minorHAnsi"/>
          <w:b/>
          <w:bCs/>
          <w:sz w:val="20"/>
          <w:szCs w:val="22"/>
        </w:rPr>
        <w:t>Zdroj:</w:t>
      </w:r>
      <w:r w:rsidRPr="004B7833">
        <w:rPr>
          <w:rFonts w:cstheme="minorHAnsi"/>
          <w:bCs/>
          <w:sz w:val="20"/>
          <w:szCs w:val="22"/>
        </w:rPr>
        <w:t xml:space="preserve"> </w:t>
      </w:r>
      <w:r w:rsidR="0073145E">
        <w:rPr>
          <w:rFonts w:cstheme="minorHAnsi"/>
          <w:bCs/>
          <w:sz w:val="20"/>
          <w:szCs w:val="22"/>
        </w:rPr>
        <w:t>informace kontrolovaných</w:t>
      </w:r>
      <w:r w:rsidRPr="004B7833">
        <w:rPr>
          <w:rFonts w:cstheme="minorHAnsi"/>
          <w:iCs/>
          <w:sz w:val="20"/>
          <w:szCs w:val="22"/>
          <w:lang w:eastAsia="cs-CZ"/>
        </w:rPr>
        <w:t xml:space="preserve"> pojišťoven</w:t>
      </w:r>
      <w:r w:rsidR="0073145E">
        <w:rPr>
          <w:rFonts w:cstheme="minorHAnsi"/>
          <w:iCs/>
          <w:sz w:val="20"/>
          <w:szCs w:val="22"/>
          <w:lang w:eastAsia="cs-CZ"/>
        </w:rPr>
        <w:t>;</w:t>
      </w:r>
      <w:r w:rsidRPr="004B7833">
        <w:rPr>
          <w:rFonts w:cstheme="minorHAnsi"/>
          <w:iCs/>
          <w:sz w:val="20"/>
          <w:szCs w:val="22"/>
          <w:lang w:eastAsia="cs-CZ"/>
        </w:rPr>
        <w:t xml:space="preserve"> vlastní zpracování</w:t>
      </w:r>
      <w:r w:rsidR="006957D5">
        <w:rPr>
          <w:rFonts w:cstheme="minorHAnsi"/>
          <w:iCs/>
          <w:sz w:val="20"/>
          <w:szCs w:val="22"/>
          <w:lang w:eastAsia="cs-CZ"/>
        </w:rPr>
        <w:t xml:space="preserve"> NKÚ</w:t>
      </w:r>
      <w:r w:rsidR="00591B6C">
        <w:rPr>
          <w:rFonts w:cstheme="minorHAnsi"/>
          <w:iCs/>
          <w:sz w:val="20"/>
          <w:szCs w:val="22"/>
          <w:lang w:eastAsia="cs-CZ"/>
        </w:rPr>
        <w:t>.</w:t>
      </w:r>
    </w:p>
    <w:p w14:paraId="5A3CF37B" w14:textId="77777777" w:rsidR="005405DF" w:rsidRPr="00EC639B" w:rsidRDefault="005405DF" w:rsidP="00902113">
      <w:pPr>
        <w:pStyle w:val="Zkladntext"/>
        <w:shd w:val="clear" w:color="auto" w:fill="FFFFFF" w:themeFill="background1"/>
        <w:rPr>
          <w:rFonts w:asciiTheme="minorHAnsi" w:hAnsiTheme="minorHAnsi" w:cstheme="minorHAnsi"/>
          <w:bCs/>
          <w:i w:val="0"/>
          <w:sz w:val="24"/>
        </w:rPr>
      </w:pPr>
    </w:p>
    <w:p w14:paraId="5F68D1A3" w14:textId="35D7E530" w:rsidR="00236E28" w:rsidRPr="0026723D" w:rsidRDefault="00236E28" w:rsidP="00F85419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6723D">
        <w:rPr>
          <w:rFonts w:asciiTheme="minorHAnsi" w:hAnsiTheme="minorHAnsi" w:cstheme="minorHAnsi"/>
          <w:b/>
          <w:bCs/>
          <w:szCs w:val="24"/>
        </w:rPr>
        <w:t xml:space="preserve">Limit ve výši 250 000 Kč </w:t>
      </w:r>
      <w:r w:rsidR="00DB2E56" w:rsidRPr="0026723D">
        <w:rPr>
          <w:rFonts w:asciiTheme="minorHAnsi" w:hAnsiTheme="minorHAnsi" w:cstheme="minorHAnsi"/>
          <w:b/>
          <w:bCs/>
          <w:szCs w:val="24"/>
        </w:rPr>
        <w:t xml:space="preserve">stanovený </w:t>
      </w:r>
      <w:r w:rsidRPr="0026723D">
        <w:rPr>
          <w:rFonts w:asciiTheme="minorHAnsi" w:hAnsiTheme="minorHAnsi" w:cstheme="minorHAnsi"/>
          <w:b/>
          <w:bCs/>
          <w:szCs w:val="24"/>
        </w:rPr>
        <w:t>pro upuštění od vymáhání pohledávek je neúměrně vysoký</w:t>
      </w:r>
      <w:r w:rsidRPr="0026723D">
        <w:rPr>
          <w:rStyle w:val="Znakapoznpodarou"/>
          <w:rFonts w:asciiTheme="minorHAnsi" w:hAnsiTheme="minorHAnsi" w:cstheme="minorHAnsi"/>
          <w:b/>
          <w:bCs/>
          <w:szCs w:val="24"/>
        </w:rPr>
        <w:footnoteReference w:id="28"/>
      </w:r>
      <w:r w:rsidRPr="0026723D">
        <w:rPr>
          <w:rFonts w:asciiTheme="minorHAnsi" w:hAnsiTheme="minorHAnsi" w:cstheme="minorHAnsi"/>
          <w:b/>
          <w:bCs/>
          <w:szCs w:val="24"/>
        </w:rPr>
        <w:t>.</w:t>
      </w:r>
    </w:p>
    <w:p w14:paraId="4DFFC2AB" w14:textId="36E7740F" w:rsidR="00363819" w:rsidRPr="00F85419" w:rsidRDefault="00363819" w:rsidP="00F85419">
      <w:pPr>
        <w:rPr>
          <w:rFonts w:cstheme="minorHAnsi"/>
        </w:rPr>
      </w:pPr>
    </w:p>
    <w:p w14:paraId="42726234" w14:textId="5BA4AB25" w:rsidR="005405DF" w:rsidRPr="007C50B4" w:rsidRDefault="005405DF">
      <w:pPr>
        <w:pStyle w:val="Zkladntext"/>
        <w:shd w:val="clear" w:color="auto" w:fill="FFFFFF" w:themeFill="background1"/>
        <w:rPr>
          <w:rFonts w:asciiTheme="minorHAnsi" w:hAnsiTheme="minorHAnsi" w:cstheme="minorHAnsi"/>
          <w:bCs/>
          <w:i w:val="0"/>
          <w:sz w:val="24"/>
        </w:rPr>
      </w:pPr>
      <w:r w:rsidRPr="00EC639B">
        <w:rPr>
          <w:rFonts w:asciiTheme="minorHAnsi" w:hAnsiTheme="minorHAnsi" w:cstheme="minorHAnsi"/>
          <w:bCs/>
          <w:i w:val="0"/>
          <w:sz w:val="24"/>
        </w:rPr>
        <w:t xml:space="preserve">Pojišťovny </w:t>
      </w:r>
      <w:r w:rsidR="00236E28" w:rsidRPr="00EC639B">
        <w:rPr>
          <w:rFonts w:asciiTheme="minorHAnsi" w:hAnsiTheme="minorHAnsi" w:cstheme="minorHAnsi"/>
          <w:bCs/>
          <w:i w:val="0"/>
          <w:sz w:val="24"/>
        </w:rPr>
        <w:t>mají po</w:t>
      </w:r>
      <w:r w:rsidRPr="00EC639B">
        <w:rPr>
          <w:rFonts w:asciiTheme="minorHAnsi" w:hAnsiTheme="minorHAnsi" w:cstheme="minorHAnsi"/>
          <w:bCs/>
          <w:i w:val="0"/>
          <w:sz w:val="24"/>
        </w:rPr>
        <w:t>dle vyhlášky</w:t>
      </w:r>
      <w:r w:rsidRPr="00EC639B">
        <w:rPr>
          <w:rStyle w:val="Znakapoznpodarou"/>
          <w:rFonts w:asciiTheme="minorHAnsi" w:hAnsiTheme="minorHAnsi" w:cstheme="minorHAnsi"/>
          <w:bCs/>
          <w:i w:val="0"/>
          <w:sz w:val="24"/>
        </w:rPr>
        <w:footnoteReference w:id="29"/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="006C1D63" w:rsidRPr="007C50B4">
        <w:rPr>
          <w:rFonts w:asciiTheme="minorHAnsi" w:hAnsiTheme="minorHAnsi" w:cstheme="minorHAnsi"/>
          <w:bCs/>
          <w:i w:val="0"/>
          <w:sz w:val="24"/>
        </w:rPr>
        <w:t xml:space="preserve">oprávnění </w:t>
      </w:r>
      <w:r w:rsidR="00190B99" w:rsidRPr="007C50B4">
        <w:rPr>
          <w:rFonts w:asciiTheme="minorHAnsi" w:hAnsiTheme="minorHAnsi" w:cstheme="minorHAnsi"/>
          <w:bCs/>
          <w:i w:val="0"/>
          <w:sz w:val="24"/>
        </w:rPr>
        <w:t>na</w:t>
      </w:r>
      <w:r w:rsidR="00190B99" w:rsidRPr="00EC639B">
        <w:rPr>
          <w:rFonts w:asciiTheme="minorHAnsi" w:hAnsiTheme="minorHAnsi" w:cstheme="minorHAnsi"/>
          <w:bCs/>
          <w:i w:val="0"/>
          <w:sz w:val="24"/>
        </w:rPr>
        <w:t xml:space="preserve"> základě vlastního posouzení a rozhodnutí </w:t>
      </w:r>
      <w:r w:rsidRPr="00EC639B">
        <w:rPr>
          <w:rFonts w:asciiTheme="minorHAnsi" w:hAnsiTheme="minorHAnsi" w:cstheme="minorHAnsi"/>
          <w:bCs/>
          <w:i w:val="0"/>
          <w:sz w:val="24"/>
        </w:rPr>
        <w:t>upustit od vymáhání pohledávek</w:t>
      </w:r>
      <w:r w:rsidR="00190B99" w:rsidRPr="00EC639B">
        <w:rPr>
          <w:rFonts w:asciiTheme="minorHAnsi" w:hAnsiTheme="minorHAnsi" w:cstheme="minorHAnsi"/>
          <w:bCs/>
          <w:i w:val="0"/>
          <w:sz w:val="24"/>
        </w:rPr>
        <w:t>, které nepřekračují částku</w:t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 250</w:t>
      </w:r>
      <w:r w:rsidR="00E0165A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Pr="00EC639B">
        <w:rPr>
          <w:rFonts w:asciiTheme="minorHAnsi" w:hAnsiTheme="minorHAnsi" w:cstheme="minorHAnsi"/>
          <w:bCs/>
          <w:i w:val="0"/>
          <w:sz w:val="24"/>
        </w:rPr>
        <w:t>000</w:t>
      </w:r>
      <w:r w:rsidR="00E0165A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Pr="00EC639B">
        <w:rPr>
          <w:rFonts w:asciiTheme="minorHAnsi" w:hAnsiTheme="minorHAnsi" w:cstheme="minorHAnsi"/>
          <w:bCs/>
          <w:i w:val="0"/>
          <w:sz w:val="24"/>
        </w:rPr>
        <w:t>Kč. Výše této částky je v porovnání s obdobným institutem</w:t>
      </w:r>
      <w:r w:rsidR="00190B99" w:rsidRPr="00EC639B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="00E0165A">
        <w:rPr>
          <w:rFonts w:asciiTheme="minorHAnsi" w:hAnsiTheme="minorHAnsi" w:cstheme="minorHAnsi"/>
          <w:bCs/>
          <w:i w:val="0"/>
          <w:sz w:val="24"/>
        </w:rPr>
        <w:t>(</w:t>
      </w:r>
      <w:r w:rsidR="00190B99" w:rsidRPr="00EC639B">
        <w:rPr>
          <w:rFonts w:asciiTheme="minorHAnsi" w:hAnsiTheme="minorHAnsi" w:cstheme="minorHAnsi"/>
          <w:bCs/>
          <w:i w:val="0"/>
          <w:sz w:val="24"/>
        </w:rPr>
        <w:t xml:space="preserve">tj. </w:t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upuštěním </w:t>
      </w:r>
      <w:r w:rsidR="00E0165A">
        <w:rPr>
          <w:rFonts w:asciiTheme="minorHAnsi" w:hAnsiTheme="minorHAnsi" w:cstheme="minorHAnsi"/>
          <w:bCs/>
          <w:i w:val="0"/>
          <w:sz w:val="24"/>
        </w:rPr>
        <w:t xml:space="preserve">od vymáhání </w:t>
      </w:r>
      <w:r w:rsidRPr="00EC639B">
        <w:rPr>
          <w:rFonts w:asciiTheme="minorHAnsi" w:hAnsiTheme="minorHAnsi" w:cstheme="minorHAnsi"/>
          <w:bCs/>
          <w:i w:val="0"/>
          <w:sz w:val="24"/>
        </w:rPr>
        <w:t>úroku z</w:t>
      </w:r>
      <w:r w:rsidR="00E0165A">
        <w:rPr>
          <w:rFonts w:asciiTheme="minorHAnsi" w:hAnsiTheme="minorHAnsi" w:cstheme="minorHAnsi"/>
          <w:bCs/>
          <w:i w:val="0"/>
          <w:sz w:val="24"/>
        </w:rPr>
        <w:t> </w:t>
      </w:r>
      <w:r w:rsidRPr="00EC639B">
        <w:rPr>
          <w:rFonts w:asciiTheme="minorHAnsi" w:hAnsiTheme="minorHAnsi" w:cstheme="minorHAnsi"/>
          <w:bCs/>
          <w:i w:val="0"/>
          <w:sz w:val="24"/>
        </w:rPr>
        <w:t>prodlení</w:t>
      </w:r>
      <w:r w:rsidR="00E0165A">
        <w:rPr>
          <w:rFonts w:asciiTheme="minorHAnsi" w:hAnsiTheme="minorHAnsi" w:cstheme="minorHAnsi"/>
          <w:bCs/>
          <w:i w:val="0"/>
          <w:sz w:val="24"/>
        </w:rPr>
        <w:t>)</w:t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="00E0165A">
        <w:rPr>
          <w:rFonts w:asciiTheme="minorHAnsi" w:hAnsiTheme="minorHAnsi" w:cstheme="minorHAnsi"/>
          <w:bCs/>
          <w:i w:val="0"/>
          <w:sz w:val="24"/>
        </w:rPr>
        <w:t>upraveným v</w:t>
      </w:r>
      <w:r w:rsidR="004A3269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Pr="00EC639B">
        <w:rPr>
          <w:rFonts w:asciiTheme="minorHAnsi" w:hAnsiTheme="minorHAnsi" w:cstheme="minorHAnsi"/>
          <w:bCs/>
          <w:i w:val="0"/>
          <w:sz w:val="24"/>
        </w:rPr>
        <w:t>zákon</w:t>
      </w:r>
      <w:r w:rsidR="00E0165A">
        <w:rPr>
          <w:rFonts w:asciiTheme="minorHAnsi" w:hAnsiTheme="minorHAnsi" w:cstheme="minorHAnsi"/>
          <w:bCs/>
          <w:i w:val="0"/>
          <w:sz w:val="24"/>
        </w:rPr>
        <w:t>ě</w:t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 o majetku České republiky a jejím vystupování v právních vztazích</w:t>
      </w:r>
      <w:r w:rsidRPr="00EC639B">
        <w:rPr>
          <w:rStyle w:val="Znakapoznpodarou"/>
          <w:rFonts w:asciiTheme="minorHAnsi" w:hAnsiTheme="minorHAnsi" w:cstheme="minorHAnsi"/>
          <w:bCs/>
          <w:i w:val="0"/>
          <w:sz w:val="24"/>
        </w:rPr>
        <w:footnoteReference w:id="30"/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 neúměrně vysoká</w:t>
      </w:r>
      <w:r w:rsidRPr="00EC639B">
        <w:rPr>
          <w:rStyle w:val="Znakapoznpodarou"/>
          <w:rFonts w:asciiTheme="minorHAnsi" w:hAnsiTheme="minorHAnsi" w:cstheme="minorHAnsi"/>
          <w:bCs/>
          <w:i w:val="0"/>
          <w:sz w:val="24"/>
        </w:rPr>
        <w:footnoteReference w:id="31"/>
      </w:r>
      <w:r w:rsidRPr="00EC639B">
        <w:rPr>
          <w:rFonts w:asciiTheme="minorHAnsi" w:hAnsiTheme="minorHAnsi" w:cstheme="minorHAnsi"/>
          <w:bCs/>
          <w:i w:val="0"/>
          <w:sz w:val="24"/>
        </w:rPr>
        <w:t>.</w:t>
      </w:r>
      <w:r w:rsidR="00190B99" w:rsidRPr="00EC639B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="00C068EF">
        <w:rPr>
          <w:rFonts w:asciiTheme="minorHAnsi" w:hAnsiTheme="minorHAnsi" w:cstheme="minorHAnsi"/>
          <w:bCs/>
          <w:i w:val="0"/>
          <w:sz w:val="24"/>
        </w:rPr>
        <w:t xml:space="preserve">Pojišťovny v kontrolovaném období </w:t>
      </w:r>
      <w:r w:rsidR="00C068EF" w:rsidRPr="007C50B4">
        <w:rPr>
          <w:rFonts w:asciiTheme="minorHAnsi" w:hAnsiTheme="minorHAnsi" w:cstheme="minorHAnsi"/>
          <w:bCs/>
          <w:i w:val="0"/>
          <w:sz w:val="24"/>
        </w:rPr>
        <w:t xml:space="preserve">upustily </w:t>
      </w:r>
      <w:r w:rsidR="006C1D63" w:rsidRPr="007C50B4">
        <w:rPr>
          <w:rFonts w:asciiTheme="minorHAnsi" w:hAnsiTheme="minorHAnsi" w:cstheme="minorHAnsi"/>
          <w:bCs/>
          <w:i w:val="0"/>
          <w:sz w:val="24"/>
        </w:rPr>
        <w:t xml:space="preserve">od vymáhání </w:t>
      </w:r>
      <w:r w:rsidR="006D39BB" w:rsidRPr="007C50B4">
        <w:rPr>
          <w:rFonts w:asciiTheme="minorHAnsi" w:hAnsiTheme="minorHAnsi" w:cstheme="minorHAnsi"/>
          <w:bCs/>
          <w:i w:val="0"/>
          <w:sz w:val="24"/>
        </w:rPr>
        <w:t>zvýšené</w:t>
      </w:r>
      <w:r w:rsidR="006C1D63" w:rsidRPr="007C50B4">
        <w:rPr>
          <w:rFonts w:asciiTheme="minorHAnsi" w:hAnsiTheme="minorHAnsi" w:cstheme="minorHAnsi"/>
          <w:bCs/>
          <w:i w:val="0"/>
          <w:sz w:val="24"/>
        </w:rPr>
        <w:t>ho</w:t>
      </w:r>
      <w:r w:rsidR="006D39BB" w:rsidRPr="007C50B4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="00D962D4" w:rsidRPr="007C50B4">
        <w:rPr>
          <w:rFonts w:asciiTheme="minorHAnsi" w:hAnsiTheme="minorHAnsi" w:cstheme="minorHAnsi"/>
          <w:bCs/>
          <w:i w:val="0"/>
          <w:sz w:val="24"/>
        </w:rPr>
        <w:t>pojistné</w:t>
      </w:r>
      <w:r w:rsidR="006C1D63" w:rsidRPr="007C50B4">
        <w:rPr>
          <w:rFonts w:asciiTheme="minorHAnsi" w:hAnsiTheme="minorHAnsi" w:cstheme="minorHAnsi"/>
          <w:bCs/>
          <w:i w:val="0"/>
          <w:sz w:val="24"/>
        </w:rPr>
        <w:t>ho</w:t>
      </w:r>
      <w:r w:rsidR="00D962D4" w:rsidRPr="007C50B4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="006D39BB" w:rsidRPr="007C50B4">
        <w:rPr>
          <w:rFonts w:asciiTheme="minorHAnsi" w:hAnsiTheme="minorHAnsi" w:cstheme="minorHAnsi"/>
          <w:bCs/>
          <w:i w:val="0"/>
          <w:sz w:val="24"/>
        </w:rPr>
        <w:t xml:space="preserve">do 250 000 Kč </w:t>
      </w:r>
      <w:r w:rsidR="00D962D4" w:rsidRPr="007C50B4">
        <w:rPr>
          <w:rFonts w:asciiTheme="minorHAnsi" w:hAnsiTheme="minorHAnsi" w:cstheme="minorHAnsi"/>
          <w:bCs/>
          <w:i w:val="0"/>
          <w:sz w:val="24"/>
        </w:rPr>
        <w:t xml:space="preserve">v </w:t>
      </w:r>
      <w:r w:rsidR="006D39BB" w:rsidRPr="007C50B4">
        <w:rPr>
          <w:rFonts w:asciiTheme="minorHAnsi" w:hAnsiTheme="minorHAnsi" w:cstheme="minorHAnsi"/>
          <w:bCs/>
          <w:i w:val="0"/>
          <w:sz w:val="24"/>
        </w:rPr>
        <w:t xml:space="preserve">celkové </w:t>
      </w:r>
      <w:r w:rsidR="00D962D4" w:rsidRPr="007C50B4">
        <w:rPr>
          <w:rFonts w:asciiTheme="minorHAnsi" w:hAnsiTheme="minorHAnsi" w:cstheme="minorHAnsi"/>
          <w:bCs/>
          <w:i w:val="0"/>
          <w:sz w:val="24"/>
        </w:rPr>
        <w:t xml:space="preserve">výši </w:t>
      </w:r>
      <w:r w:rsidR="000E64D6" w:rsidRPr="007C50B4">
        <w:rPr>
          <w:rFonts w:asciiTheme="minorHAnsi" w:hAnsiTheme="minorHAnsi" w:cstheme="minorHAnsi"/>
          <w:bCs/>
          <w:i w:val="0"/>
          <w:sz w:val="24"/>
        </w:rPr>
        <w:t>4</w:t>
      </w:r>
      <w:r w:rsidR="006D39BB" w:rsidRPr="007C50B4">
        <w:rPr>
          <w:rFonts w:asciiTheme="minorHAnsi" w:hAnsiTheme="minorHAnsi" w:cstheme="minorHAnsi"/>
          <w:bCs/>
          <w:i w:val="0"/>
          <w:sz w:val="24"/>
        </w:rPr>
        <w:t>7 </w:t>
      </w:r>
      <w:r w:rsidR="000E64D6" w:rsidRPr="007C50B4">
        <w:rPr>
          <w:rFonts w:asciiTheme="minorHAnsi" w:hAnsiTheme="minorHAnsi" w:cstheme="minorHAnsi"/>
          <w:bCs/>
          <w:i w:val="0"/>
          <w:sz w:val="24"/>
        </w:rPr>
        <w:t>4</w:t>
      </w:r>
      <w:r w:rsidR="006D39BB" w:rsidRPr="007C50B4">
        <w:rPr>
          <w:rFonts w:asciiTheme="minorHAnsi" w:hAnsiTheme="minorHAnsi" w:cstheme="minorHAnsi"/>
          <w:bCs/>
          <w:i w:val="0"/>
          <w:sz w:val="24"/>
        </w:rPr>
        <w:t>98 026</w:t>
      </w:r>
      <w:r w:rsidR="00D962D4" w:rsidRPr="007C50B4">
        <w:rPr>
          <w:rFonts w:asciiTheme="minorHAnsi" w:hAnsiTheme="minorHAnsi" w:cstheme="minorHAnsi"/>
          <w:bCs/>
          <w:i w:val="0"/>
          <w:sz w:val="24"/>
        </w:rPr>
        <w:t> </w:t>
      </w:r>
      <w:r w:rsidR="00C068EF" w:rsidRPr="007C50B4">
        <w:rPr>
          <w:rFonts w:asciiTheme="minorHAnsi" w:hAnsiTheme="minorHAnsi" w:cstheme="minorHAnsi"/>
          <w:bCs/>
          <w:i w:val="0"/>
          <w:sz w:val="24"/>
        </w:rPr>
        <w:t>Kč.</w:t>
      </w:r>
    </w:p>
    <w:p w14:paraId="325E36CA" w14:textId="77777777" w:rsidR="005405DF" w:rsidRPr="007C50B4" w:rsidRDefault="005405DF" w:rsidP="00902113">
      <w:pPr>
        <w:pStyle w:val="Zkladntext"/>
        <w:rPr>
          <w:rFonts w:asciiTheme="minorHAnsi" w:hAnsiTheme="minorHAnsi" w:cstheme="minorHAnsi"/>
          <w:i w:val="0"/>
          <w:sz w:val="24"/>
        </w:rPr>
      </w:pPr>
    </w:p>
    <w:p w14:paraId="034F6A88" w14:textId="267FDD26" w:rsidR="005405DF" w:rsidRPr="00EC639B" w:rsidRDefault="005405DF" w:rsidP="00902113">
      <w:pPr>
        <w:rPr>
          <w:rFonts w:cstheme="minorHAnsi"/>
        </w:rPr>
      </w:pPr>
      <w:r w:rsidRPr="007C50B4">
        <w:rPr>
          <w:rFonts w:cstheme="minorHAnsi"/>
        </w:rPr>
        <w:t>Pro zmírnění tvrdosti dopadu vyhlášky</w:t>
      </w:r>
      <w:r w:rsidRPr="007C50B4">
        <w:rPr>
          <w:rStyle w:val="Znakapoznpodarou"/>
          <w:rFonts w:cstheme="minorHAnsi"/>
        </w:rPr>
        <w:footnoteReference w:id="32"/>
      </w:r>
      <w:r w:rsidRPr="007C50B4">
        <w:rPr>
          <w:rFonts w:cstheme="minorHAnsi"/>
        </w:rPr>
        <w:t xml:space="preserve">, mj. zvýšení pojistného o 10 % za každý započatý měsíc prodlení, </w:t>
      </w:r>
      <w:r w:rsidR="007246DC" w:rsidRPr="007C50B4">
        <w:rPr>
          <w:rFonts w:cstheme="minorHAnsi"/>
        </w:rPr>
        <w:t xml:space="preserve">využívaly </w:t>
      </w:r>
      <w:r w:rsidRPr="007C50B4">
        <w:rPr>
          <w:rFonts w:cstheme="minorHAnsi"/>
        </w:rPr>
        <w:t>pojišťovny institut upuštění od vymáhání pohledávek</w:t>
      </w:r>
      <w:r w:rsidRPr="007C50B4">
        <w:rPr>
          <w:rStyle w:val="Znakapoznpodarou"/>
          <w:rFonts w:cstheme="minorHAnsi"/>
        </w:rPr>
        <w:footnoteReference w:id="33"/>
      </w:r>
      <w:r w:rsidRPr="007C50B4">
        <w:rPr>
          <w:rFonts w:cstheme="minorHAnsi"/>
        </w:rPr>
        <w:t xml:space="preserve">. Pojišťovny dle konkrétních okolností případu zčásti nebo zcela </w:t>
      </w:r>
      <w:r w:rsidR="001F7DA8" w:rsidRPr="007C50B4">
        <w:rPr>
          <w:rFonts w:cstheme="minorHAnsi"/>
        </w:rPr>
        <w:t>upu</w:t>
      </w:r>
      <w:r w:rsidR="00550CE9" w:rsidRPr="007C50B4">
        <w:rPr>
          <w:rFonts w:cstheme="minorHAnsi"/>
        </w:rPr>
        <w:t>stily</w:t>
      </w:r>
      <w:r w:rsidRPr="007C50B4">
        <w:rPr>
          <w:rFonts w:cstheme="minorHAnsi"/>
        </w:rPr>
        <w:t xml:space="preserve"> od</w:t>
      </w:r>
      <w:r w:rsidR="00D168A6">
        <w:rPr>
          <w:rFonts w:cstheme="minorHAnsi"/>
        </w:rPr>
        <w:t xml:space="preserve"> </w:t>
      </w:r>
      <w:r w:rsidRPr="007C50B4">
        <w:rPr>
          <w:rFonts w:cstheme="minorHAnsi"/>
        </w:rPr>
        <w:t>vymáhání pohledávky vyplývající ze zvýšeného pojistného. Jestliže pohledávka převyšovala částku</w:t>
      </w:r>
      <w:r w:rsidRPr="00EC639B">
        <w:rPr>
          <w:rFonts w:cstheme="minorHAnsi"/>
        </w:rPr>
        <w:t xml:space="preserve"> 250</w:t>
      </w:r>
      <w:r w:rsidR="00E0165A">
        <w:rPr>
          <w:rFonts w:cstheme="minorHAnsi"/>
        </w:rPr>
        <w:t xml:space="preserve"> </w:t>
      </w:r>
      <w:r w:rsidRPr="00EC639B">
        <w:rPr>
          <w:rFonts w:cstheme="minorHAnsi"/>
        </w:rPr>
        <w:t xml:space="preserve">000 Kč, </w:t>
      </w:r>
      <w:r w:rsidR="001F7DA8" w:rsidRPr="00EC639B">
        <w:rPr>
          <w:rFonts w:cstheme="minorHAnsi"/>
        </w:rPr>
        <w:t>činily</w:t>
      </w:r>
      <w:r w:rsidRPr="00EC639B">
        <w:rPr>
          <w:rFonts w:cstheme="minorHAnsi"/>
        </w:rPr>
        <w:t xml:space="preserve"> tak pojišťovny pouze se souhlasem </w:t>
      </w:r>
      <w:r w:rsidR="001F7DA8" w:rsidRPr="00EC639B">
        <w:rPr>
          <w:rFonts w:cstheme="minorHAnsi"/>
        </w:rPr>
        <w:t>MF</w:t>
      </w:r>
      <w:r w:rsidRPr="00EC639B">
        <w:rPr>
          <w:rFonts w:cstheme="minorHAnsi"/>
        </w:rPr>
        <w:t xml:space="preserve">. </w:t>
      </w:r>
    </w:p>
    <w:p w14:paraId="2CA8EE30" w14:textId="77777777" w:rsidR="00174CC2" w:rsidRDefault="00174CC2" w:rsidP="00902113">
      <w:pPr>
        <w:rPr>
          <w:rFonts w:cstheme="minorHAnsi"/>
        </w:rPr>
      </w:pPr>
    </w:p>
    <w:p w14:paraId="18B68B45" w14:textId="2636A8B1" w:rsidR="005405DF" w:rsidRPr="007C50B4" w:rsidRDefault="00174CC2" w:rsidP="00902113">
      <w:pPr>
        <w:rPr>
          <w:rFonts w:cstheme="minorHAnsi"/>
          <w:strike/>
        </w:rPr>
      </w:pPr>
      <w:r w:rsidRPr="009F2C23">
        <w:rPr>
          <w:rFonts w:cstheme="minorHAnsi"/>
          <w:b/>
        </w:rPr>
        <w:t xml:space="preserve">Česká </w:t>
      </w:r>
      <w:r w:rsidRPr="007C50B4">
        <w:rPr>
          <w:rFonts w:cstheme="minorHAnsi"/>
          <w:b/>
        </w:rPr>
        <w:t>pojišťovna</w:t>
      </w:r>
      <w:r w:rsidRPr="007C50B4">
        <w:rPr>
          <w:rFonts w:cstheme="minorHAnsi"/>
        </w:rPr>
        <w:t xml:space="preserve"> </w:t>
      </w:r>
      <w:r w:rsidR="003A3B8D" w:rsidRPr="007C50B4">
        <w:rPr>
          <w:rFonts w:cstheme="minorHAnsi"/>
          <w:iCs/>
        </w:rPr>
        <w:t>upustila od vymáhání pohledávky z</w:t>
      </w:r>
      <w:r w:rsidR="000F6D2B">
        <w:rPr>
          <w:rFonts w:cstheme="minorHAnsi"/>
          <w:iCs/>
        </w:rPr>
        <w:t>e</w:t>
      </w:r>
      <w:r w:rsidR="003A3B8D" w:rsidRPr="007C50B4">
        <w:rPr>
          <w:rFonts w:cstheme="minorHAnsi"/>
          <w:iCs/>
        </w:rPr>
        <w:t xml:space="preserve"> zvýšené</w:t>
      </w:r>
      <w:r w:rsidR="000F6D2B">
        <w:rPr>
          <w:rFonts w:cstheme="minorHAnsi"/>
          <w:iCs/>
        </w:rPr>
        <w:t>ho</w:t>
      </w:r>
      <w:r w:rsidR="003A3B8D" w:rsidRPr="007C50B4">
        <w:rPr>
          <w:rFonts w:cstheme="minorHAnsi"/>
          <w:iCs/>
        </w:rPr>
        <w:t xml:space="preserve"> pojistné</w:t>
      </w:r>
      <w:r w:rsidR="000F6D2B">
        <w:rPr>
          <w:rFonts w:cstheme="minorHAnsi"/>
          <w:iCs/>
        </w:rPr>
        <w:t>ho</w:t>
      </w:r>
      <w:r w:rsidR="003A3B8D" w:rsidRPr="007C50B4">
        <w:rPr>
          <w:rFonts w:cstheme="minorHAnsi"/>
          <w:iCs/>
        </w:rPr>
        <w:t xml:space="preserve"> pouze na základě žádosti zaměstnavatele</w:t>
      </w:r>
      <w:r w:rsidR="003A3B8D" w:rsidRPr="007C50B4">
        <w:rPr>
          <w:rFonts w:cstheme="minorHAnsi"/>
        </w:rPr>
        <w:t xml:space="preserve"> a </w:t>
      </w:r>
      <w:r w:rsidRPr="007C50B4">
        <w:rPr>
          <w:rFonts w:cstheme="minorHAnsi"/>
        </w:rPr>
        <w:t>v</w:t>
      </w:r>
      <w:r w:rsidR="00352EDB" w:rsidRPr="007C50B4">
        <w:rPr>
          <w:rFonts w:cstheme="minorHAnsi"/>
        </w:rPr>
        <w:t> letech 2015–</w:t>
      </w:r>
      <w:r w:rsidR="005405DF" w:rsidRPr="007C50B4">
        <w:rPr>
          <w:rFonts w:cstheme="minorHAnsi"/>
        </w:rPr>
        <w:t>2018 nezamítla žádnou žádost o</w:t>
      </w:r>
      <w:r w:rsidR="00D168A6">
        <w:rPr>
          <w:rFonts w:cstheme="minorHAnsi"/>
        </w:rPr>
        <w:t xml:space="preserve"> </w:t>
      </w:r>
      <w:r w:rsidR="007246DC">
        <w:rPr>
          <w:rFonts w:cstheme="minorHAnsi"/>
        </w:rPr>
        <w:t>od</w:t>
      </w:r>
      <w:r w:rsidR="005405DF" w:rsidRPr="007C50B4">
        <w:rPr>
          <w:rFonts w:cstheme="minorHAnsi"/>
        </w:rPr>
        <w:t>puštění zvýšeného pojistného</w:t>
      </w:r>
      <w:r w:rsidR="003A3B8D" w:rsidRPr="007C50B4">
        <w:rPr>
          <w:rFonts w:cstheme="minorHAnsi"/>
        </w:rPr>
        <w:t xml:space="preserve">. </w:t>
      </w:r>
      <w:r w:rsidR="005405DF" w:rsidRPr="007C50B4">
        <w:rPr>
          <w:rFonts w:cstheme="minorHAnsi"/>
        </w:rPr>
        <w:t>Česká pojišťovna upu</w:t>
      </w:r>
      <w:r w:rsidR="00550CE9" w:rsidRPr="007C50B4">
        <w:rPr>
          <w:rFonts w:cstheme="minorHAnsi"/>
        </w:rPr>
        <w:t>stila</w:t>
      </w:r>
      <w:r w:rsidR="005405DF" w:rsidRPr="007C50B4">
        <w:rPr>
          <w:rFonts w:cstheme="minorHAnsi"/>
        </w:rPr>
        <w:t xml:space="preserve"> od</w:t>
      </w:r>
      <w:r w:rsidR="00D168A6">
        <w:rPr>
          <w:rFonts w:cstheme="minorHAnsi"/>
        </w:rPr>
        <w:t xml:space="preserve"> </w:t>
      </w:r>
      <w:r w:rsidR="005405DF" w:rsidRPr="007C50B4">
        <w:rPr>
          <w:rFonts w:cstheme="minorHAnsi"/>
        </w:rPr>
        <w:t>vymáhání pohledávek</w:t>
      </w:r>
      <w:r w:rsidR="00594EAC" w:rsidRPr="007C50B4">
        <w:rPr>
          <w:rFonts w:cstheme="minorHAnsi"/>
        </w:rPr>
        <w:t xml:space="preserve"> </w:t>
      </w:r>
      <w:r w:rsidR="000F6D2B">
        <w:rPr>
          <w:rFonts w:cstheme="minorHAnsi"/>
        </w:rPr>
        <w:t xml:space="preserve">ze </w:t>
      </w:r>
      <w:r w:rsidR="00594EAC" w:rsidRPr="007C50B4">
        <w:rPr>
          <w:rFonts w:cstheme="minorHAnsi"/>
        </w:rPr>
        <w:t xml:space="preserve">zvýšeného pojistného </w:t>
      </w:r>
      <w:r w:rsidR="00352EDB" w:rsidRPr="007C50B4">
        <w:rPr>
          <w:rFonts w:cstheme="minorHAnsi"/>
        </w:rPr>
        <w:t>v rozmezí 50–</w:t>
      </w:r>
      <w:r w:rsidR="005405DF" w:rsidRPr="007C50B4">
        <w:rPr>
          <w:rFonts w:cstheme="minorHAnsi"/>
        </w:rPr>
        <w:t>91 %</w:t>
      </w:r>
      <w:r w:rsidR="000A2C86" w:rsidRPr="007C50B4">
        <w:rPr>
          <w:rFonts w:cstheme="minorHAnsi"/>
        </w:rPr>
        <w:t xml:space="preserve"> a </w:t>
      </w:r>
      <w:r w:rsidR="005405DF" w:rsidRPr="007C50B4">
        <w:rPr>
          <w:rFonts w:cstheme="minorHAnsi"/>
        </w:rPr>
        <w:t>k upuštění přistupovala individuálně podle konkrétního případu</w:t>
      </w:r>
      <w:r w:rsidR="00DA693E" w:rsidRPr="007C50B4">
        <w:rPr>
          <w:rFonts w:cstheme="minorHAnsi"/>
        </w:rPr>
        <w:t>, postup měla upraven vnitřním předpisem</w:t>
      </w:r>
      <w:r w:rsidR="005405DF" w:rsidRPr="007C50B4">
        <w:rPr>
          <w:rFonts w:cstheme="minorHAnsi"/>
        </w:rPr>
        <w:t xml:space="preserve">. </w:t>
      </w:r>
      <w:r w:rsidR="005405DF" w:rsidRPr="007C50B4">
        <w:rPr>
          <w:rFonts w:cstheme="minorHAnsi"/>
          <w:b/>
        </w:rPr>
        <w:t>Česká pojišťovna při stanovení výše upuštění zohledňovala m</w:t>
      </w:r>
      <w:r w:rsidR="00E75D81" w:rsidRPr="007C50B4">
        <w:rPr>
          <w:rFonts w:cstheme="minorHAnsi"/>
          <w:b/>
        </w:rPr>
        <w:t>imo jin</w:t>
      </w:r>
      <w:r w:rsidR="002019CC" w:rsidRPr="007C50B4">
        <w:rPr>
          <w:rFonts w:cstheme="minorHAnsi"/>
          <w:b/>
        </w:rPr>
        <w:t>á</w:t>
      </w:r>
      <w:r w:rsidR="00E75D81" w:rsidRPr="007C50B4">
        <w:rPr>
          <w:rFonts w:cstheme="minorHAnsi"/>
          <w:b/>
        </w:rPr>
        <w:t xml:space="preserve"> kritéria</w:t>
      </w:r>
      <w:r w:rsidR="005405DF" w:rsidRPr="007C50B4">
        <w:rPr>
          <w:rFonts w:cstheme="minorHAnsi"/>
          <w:b/>
        </w:rPr>
        <w:t xml:space="preserve"> i komerční </w:t>
      </w:r>
      <w:proofErr w:type="spellStart"/>
      <w:r w:rsidR="005405DF" w:rsidRPr="007C50B4">
        <w:rPr>
          <w:rFonts w:cstheme="minorHAnsi"/>
          <w:b/>
        </w:rPr>
        <w:t>propojištěnost</w:t>
      </w:r>
      <w:proofErr w:type="spellEnd"/>
      <w:r w:rsidR="00CB5423" w:rsidRPr="007C50B4">
        <w:rPr>
          <w:rStyle w:val="Znakapoznpodarou"/>
          <w:rFonts w:cstheme="minorHAnsi"/>
          <w:b/>
        </w:rPr>
        <w:footnoteReference w:id="34"/>
      </w:r>
      <w:r w:rsidR="005405DF" w:rsidRPr="007C50B4">
        <w:rPr>
          <w:rFonts w:cstheme="minorHAnsi"/>
          <w:b/>
        </w:rPr>
        <w:t>, t</w:t>
      </w:r>
      <w:r w:rsidR="00D962D4" w:rsidRPr="007C50B4">
        <w:rPr>
          <w:rFonts w:cstheme="minorHAnsi"/>
          <w:b/>
        </w:rPr>
        <w:t>zn.</w:t>
      </w:r>
      <w:r w:rsidR="00D168A6">
        <w:rPr>
          <w:rFonts w:cstheme="minorHAnsi"/>
          <w:b/>
        </w:rPr>
        <w:t xml:space="preserve"> </w:t>
      </w:r>
      <w:r w:rsidR="005405DF" w:rsidRPr="007C50B4">
        <w:rPr>
          <w:rFonts w:cstheme="minorHAnsi"/>
          <w:b/>
        </w:rPr>
        <w:t xml:space="preserve">skutečnost, která neměla </w:t>
      </w:r>
      <w:r w:rsidR="00E75D81" w:rsidRPr="007C50B4">
        <w:rPr>
          <w:rFonts w:cstheme="minorHAnsi"/>
          <w:b/>
        </w:rPr>
        <w:t xml:space="preserve">žádnou </w:t>
      </w:r>
      <w:r w:rsidR="005405DF" w:rsidRPr="007C50B4">
        <w:rPr>
          <w:rFonts w:cstheme="minorHAnsi"/>
          <w:b/>
        </w:rPr>
        <w:t>souvislost s</w:t>
      </w:r>
      <w:r w:rsidR="007246DC">
        <w:rPr>
          <w:rFonts w:cstheme="minorHAnsi"/>
          <w:b/>
        </w:rPr>
        <w:t xml:space="preserve"> </w:t>
      </w:r>
      <w:r w:rsidR="000A2C86" w:rsidRPr="007C50B4">
        <w:rPr>
          <w:rFonts w:cstheme="minorHAnsi"/>
          <w:b/>
        </w:rPr>
        <w:t xml:space="preserve">ekonomickou situací žadatele </w:t>
      </w:r>
      <w:r w:rsidR="005405DF" w:rsidRPr="007C50B4">
        <w:rPr>
          <w:rFonts w:cstheme="minorHAnsi"/>
          <w:b/>
        </w:rPr>
        <w:t>a</w:t>
      </w:r>
      <w:r w:rsidR="000A2C86" w:rsidRPr="007C50B4">
        <w:rPr>
          <w:rFonts w:cstheme="minorHAnsi"/>
          <w:b/>
        </w:rPr>
        <w:t>ni</w:t>
      </w:r>
      <w:r w:rsidR="004A3269">
        <w:rPr>
          <w:rFonts w:cstheme="minorHAnsi"/>
          <w:b/>
        </w:rPr>
        <w:t xml:space="preserve"> </w:t>
      </w:r>
      <w:r w:rsidR="000A2C86" w:rsidRPr="007C50B4">
        <w:rPr>
          <w:rFonts w:cstheme="minorHAnsi"/>
          <w:b/>
        </w:rPr>
        <w:t xml:space="preserve">jeho </w:t>
      </w:r>
      <w:r w:rsidR="005405DF" w:rsidRPr="007C50B4">
        <w:rPr>
          <w:rFonts w:cstheme="minorHAnsi"/>
          <w:b/>
        </w:rPr>
        <w:t xml:space="preserve">platební morálkou v oblasti zákonného pojištění. </w:t>
      </w:r>
      <w:r w:rsidR="005405DF" w:rsidRPr="007C50B4">
        <w:rPr>
          <w:rFonts w:cstheme="minorHAnsi"/>
        </w:rPr>
        <w:t>Z celkové částky zvýšeného pojistného u 5</w:t>
      </w:r>
      <w:r w:rsidR="0021407E" w:rsidRPr="007C50B4">
        <w:rPr>
          <w:rFonts w:cstheme="minorHAnsi"/>
        </w:rPr>
        <w:t>1</w:t>
      </w:r>
      <w:r w:rsidR="005405DF" w:rsidRPr="007C50B4">
        <w:rPr>
          <w:rFonts w:cstheme="minorHAnsi"/>
        </w:rPr>
        <w:t xml:space="preserve"> žádostí o upuštění ve výši </w:t>
      </w:r>
      <w:r w:rsidR="0021407E" w:rsidRPr="007C50B4">
        <w:rPr>
          <w:rFonts w:cstheme="minorHAnsi"/>
        </w:rPr>
        <w:t>1</w:t>
      </w:r>
      <w:r w:rsidR="005405DF" w:rsidRPr="007C50B4">
        <w:rPr>
          <w:rFonts w:cstheme="minorHAnsi"/>
          <w:bCs/>
          <w:lang w:eastAsia="cs-CZ"/>
        </w:rPr>
        <w:t> </w:t>
      </w:r>
      <w:r w:rsidR="0021407E" w:rsidRPr="007C50B4">
        <w:rPr>
          <w:rFonts w:cstheme="minorHAnsi"/>
          <w:bCs/>
          <w:lang w:eastAsia="cs-CZ"/>
        </w:rPr>
        <w:t>279</w:t>
      </w:r>
      <w:r w:rsidR="005405DF" w:rsidRPr="007C50B4">
        <w:rPr>
          <w:rFonts w:cstheme="minorHAnsi"/>
          <w:bCs/>
          <w:lang w:eastAsia="cs-CZ"/>
        </w:rPr>
        <w:t xml:space="preserve"> </w:t>
      </w:r>
      <w:r w:rsidR="0021407E" w:rsidRPr="007C50B4">
        <w:rPr>
          <w:rFonts w:cstheme="minorHAnsi"/>
          <w:bCs/>
          <w:lang w:eastAsia="cs-CZ"/>
        </w:rPr>
        <w:t>020</w:t>
      </w:r>
      <w:r w:rsidR="005405DF" w:rsidRPr="007C50B4">
        <w:rPr>
          <w:rFonts w:cstheme="minorHAnsi"/>
          <w:bCs/>
          <w:lang w:eastAsia="cs-CZ"/>
        </w:rPr>
        <w:t xml:space="preserve"> Kč Česká pojišťovna upustila </w:t>
      </w:r>
      <w:r w:rsidR="006C1D63" w:rsidRPr="007C50B4">
        <w:rPr>
          <w:rFonts w:cstheme="minorHAnsi"/>
          <w:bCs/>
          <w:lang w:eastAsia="cs-CZ"/>
        </w:rPr>
        <w:t xml:space="preserve">od vymáhání pohledávky ve výši </w:t>
      </w:r>
      <w:r w:rsidR="0021407E" w:rsidRPr="007C50B4">
        <w:rPr>
          <w:rFonts w:cstheme="minorHAnsi"/>
          <w:bCs/>
          <w:lang w:eastAsia="cs-CZ"/>
        </w:rPr>
        <w:t>1</w:t>
      </w:r>
      <w:r w:rsidR="005405DF" w:rsidRPr="007C50B4">
        <w:rPr>
          <w:rFonts w:cstheme="minorHAnsi"/>
          <w:bCs/>
          <w:lang w:eastAsia="cs-CZ"/>
        </w:rPr>
        <w:t xml:space="preserve"> </w:t>
      </w:r>
      <w:r w:rsidR="0021407E" w:rsidRPr="007C50B4">
        <w:rPr>
          <w:rFonts w:cstheme="minorHAnsi"/>
          <w:bCs/>
          <w:lang w:eastAsia="cs-CZ"/>
        </w:rPr>
        <w:t>125</w:t>
      </w:r>
      <w:r w:rsidR="005405DF" w:rsidRPr="007C50B4">
        <w:rPr>
          <w:rFonts w:cstheme="minorHAnsi"/>
          <w:bCs/>
          <w:lang w:eastAsia="cs-CZ"/>
        </w:rPr>
        <w:t xml:space="preserve"> </w:t>
      </w:r>
      <w:r w:rsidR="0021407E" w:rsidRPr="007C50B4">
        <w:rPr>
          <w:rFonts w:cstheme="minorHAnsi"/>
          <w:bCs/>
          <w:lang w:eastAsia="cs-CZ"/>
        </w:rPr>
        <w:t>672</w:t>
      </w:r>
      <w:r w:rsidR="005405DF" w:rsidRPr="007C50B4">
        <w:rPr>
          <w:rFonts w:cstheme="minorHAnsi"/>
          <w:bCs/>
          <w:lang w:eastAsia="cs-CZ"/>
        </w:rPr>
        <w:t xml:space="preserve"> Kč, tj. </w:t>
      </w:r>
      <w:r w:rsidR="0021407E" w:rsidRPr="007C50B4">
        <w:rPr>
          <w:rFonts w:cstheme="minorHAnsi"/>
          <w:bCs/>
          <w:lang w:eastAsia="cs-CZ"/>
        </w:rPr>
        <w:t>88</w:t>
      </w:r>
      <w:r w:rsidR="005405DF" w:rsidRPr="007C50B4">
        <w:rPr>
          <w:rFonts w:cstheme="minorHAnsi"/>
          <w:bCs/>
          <w:lang w:eastAsia="cs-CZ"/>
        </w:rPr>
        <w:t xml:space="preserve"> %. K vymáhání tak zůstala částka </w:t>
      </w:r>
      <w:r w:rsidR="0021407E" w:rsidRPr="007C50B4">
        <w:rPr>
          <w:rFonts w:cstheme="minorHAnsi"/>
          <w:bCs/>
          <w:lang w:eastAsia="cs-CZ"/>
        </w:rPr>
        <w:t>153</w:t>
      </w:r>
      <w:r w:rsidR="005405DF" w:rsidRPr="007C50B4">
        <w:rPr>
          <w:rFonts w:cstheme="minorHAnsi"/>
          <w:bCs/>
          <w:lang w:eastAsia="cs-CZ"/>
        </w:rPr>
        <w:t xml:space="preserve"> </w:t>
      </w:r>
      <w:r w:rsidR="0021407E" w:rsidRPr="007C50B4">
        <w:rPr>
          <w:rFonts w:cstheme="minorHAnsi"/>
          <w:bCs/>
          <w:lang w:eastAsia="cs-CZ"/>
        </w:rPr>
        <w:t>342</w:t>
      </w:r>
      <w:r w:rsidR="005405DF" w:rsidRPr="007C50B4">
        <w:rPr>
          <w:rFonts w:cstheme="minorHAnsi"/>
          <w:bCs/>
          <w:lang w:eastAsia="cs-CZ"/>
        </w:rPr>
        <w:t xml:space="preserve"> Kč</w:t>
      </w:r>
      <w:r w:rsidR="0021407E" w:rsidRPr="007C50B4">
        <w:rPr>
          <w:rFonts w:cstheme="minorHAnsi"/>
          <w:bCs/>
          <w:lang w:eastAsia="cs-CZ"/>
        </w:rPr>
        <w:t>.</w:t>
      </w:r>
    </w:p>
    <w:p w14:paraId="7E92C75F" w14:textId="6AC105E1" w:rsidR="009A536D" w:rsidRPr="007C50B4" w:rsidRDefault="009A536D" w:rsidP="00902113">
      <w:pPr>
        <w:rPr>
          <w:rFonts w:cstheme="minorHAnsi"/>
          <w:bCs/>
          <w:lang w:eastAsia="cs-CZ"/>
        </w:rPr>
      </w:pPr>
    </w:p>
    <w:p w14:paraId="4B57524D" w14:textId="0347421E" w:rsidR="00F6027E" w:rsidRPr="0036348F" w:rsidRDefault="005405DF" w:rsidP="00710CCF">
      <w:pPr>
        <w:pStyle w:val="Default"/>
        <w:jc w:val="both"/>
        <w:rPr>
          <w:rFonts w:asciiTheme="minorHAnsi" w:hAnsiTheme="minorHAnsi" w:cstheme="minorHAnsi"/>
          <w:iCs/>
          <w:strike/>
          <w:color w:val="auto"/>
          <w:lang w:eastAsia="en-US"/>
        </w:rPr>
      </w:pPr>
      <w:r w:rsidRPr="00EC7BE9">
        <w:rPr>
          <w:rFonts w:asciiTheme="minorHAnsi" w:hAnsiTheme="minorHAnsi" w:cstheme="minorHAnsi"/>
          <w:b/>
        </w:rPr>
        <w:t>Kooperativa</w:t>
      </w:r>
      <w:r w:rsidRPr="00EC7BE9">
        <w:rPr>
          <w:rFonts w:asciiTheme="minorHAnsi" w:hAnsiTheme="minorHAnsi" w:cstheme="minorHAnsi"/>
          <w:iCs/>
        </w:rPr>
        <w:t xml:space="preserve"> upu</w:t>
      </w:r>
      <w:r w:rsidR="00550CE9" w:rsidRPr="00EC7BE9">
        <w:rPr>
          <w:rFonts w:asciiTheme="minorHAnsi" w:hAnsiTheme="minorHAnsi" w:cstheme="minorHAnsi"/>
          <w:iCs/>
        </w:rPr>
        <w:t>stila</w:t>
      </w:r>
      <w:r w:rsidRPr="00EC7BE9">
        <w:rPr>
          <w:rFonts w:asciiTheme="minorHAnsi" w:hAnsiTheme="minorHAnsi" w:cstheme="minorHAnsi"/>
          <w:iCs/>
        </w:rPr>
        <w:t xml:space="preserve"> od</w:t>
      </w:r>
      <w:r w:rsidRPr="007C50B4">
        <w:rPr>
          <w:rFonts w:asciiTheme="minorHAnsi" w:hAnsiTheme="minorHAnsi" w:cstheme="minorHAnsi"/>
          <w:iCs/>
        </w:rPr>
        <w:t xml:space="preserve"> vymáhání pohledávky z</w:t>
      </w:r>
      <w:r w:rsidR="00EC7BE9">
        <w:rPr>
          <w:rFonts w:asciiTheme="minorHAnsi" w:hAnsiTheme="minorHAnsi" w:cstheme="minorHAnsi"/>
          <w:iCs/>
        </w:rPr>
        <w:t>e</w:t>
      </w:r>
      <w:r w:rsidRPr="007C50B4">
        <w:rPr>
          <w:rFonts w:asciiTheme="minorHAnsi" w:hAnsiTheme="minorHAnsi" w:cstheme="minorHAnsi"/>
          <w:iCs/>
        </w:rPr>
        <w:t xml:space="preserve"> zvýšené</w:t>
      </w:r>
      <w:r w:rsidR="00EC7BE9">
        <w:rPr>
          <w:rFonts w:asciiTheme="minorHAnsi" w:hAnsiTheme="minorHAnsi" w:cstheme="minorHAnsi"/>
          <w:iCs/>
        </w:rPr>
        <w:t>ho</w:t>
      </w:r>
      <w:r w:rsidRPr="007C50B4">
        <w:rPr>
          <w:rFonts w:asciiTheme="minorHAnsi" w:hAnsiTheme="minorHAnsi" w:cstheme="minorHAnsi"/>
          <w:iCs/>
        </w:rPr>
        <w:t xml:space="preserve"> pojistné</w:t>
      </w:r>
      <w:r w:rsidR="00EC7BE9">
        <w:rPr>
          <w:rFonts w:asciiTheme="minorHAnsi" w:hAnsiTheme="minorHAnsi" w:cstheme="minorHAnsi"/>
          <w:iCs/>
        </w:rPr>
        <w:t>ho</w:t>
      </w:r>
      <w:r w:rsidRPr="007C50B4">
        <w:rPr>
          <w:rFonts w:asciiTheme="minorHAnsi" w:hAnsiTheme="minorHAnsi" w:cstheme="minorHAnsi"/>
          <w:iCs/>
        </w:rPr>
        <w:t xml:space="preserve"> pouze na základě žádosti zaměstnavatele a promíjela část zvýšeného pojistného ve všech případech, kdy si zaměstnavatel</w:t>
      </w:r>
      <w:r w:rsidR="00E75D81" w:rsidRPr="007C50B4">
        <w:rPr>
          <w:rFonts w:asciiTheme="minorHAnsi" w:hAnsiTheme="minorHAnsi" w:cstheme="minorHAnsi"/>
          <w:iCs/>
        </w:rPr>
        <w:t>é</w:t>
      </w:r>
      <w:r w:rsidRPr="007C50B4">
        <w:rPr>
          <w:rFonts w:asciiTheme="minorHAnsi" w:hAnsiTheme="minorHAnsi" w:cstheme="minorHAnsi"/>
          <w:iCs/>
        </w:rPr>
        <w:t xml:space="preserve"> o</w:t>
      </w:r>
      <w:r w:rsidR="004A3269">
        <w:rPr>
          <w:rFonts w:asciiTheme="minorHAnsi" w:hAnsiTheme="minorHAnsi" w:cstheme="minorHAnsi"/>
          <w:iCs/>
        </w:rPr>
        <w:t xml:space="preserve"> </w:t>
      </w:r>
      <w:r w:rsidRPr="007C50B4">
        <w:rPr>
          <w:rFonts w:asciiTheme="minorHAnsi" w:hAnsiTheme="minorHAnsi" w:cstheme="minorHAnsi"/>
          <w:iCs/>
        </w:rPr>
        <w:t>upuštění od vymáhání zvýšeného pojistného zažádal</w:t>
      </w:r>
      <w:r w:rsidR="00E75D81" w:rsidRPr="007C50B4">
        <w:rPr>
          <w:rFonts w:asciiTheme="minorHAnsi" w:hAnsiTheme="minorHAnsi" w:cstheme="minorHAnsi"/>
          <w:iCs/>
        </w:rPr>
        <w:t>i</w:t>
      </w:r>
      <w:r w:rsidR="0036348F" w:rsidRPr="007C50B4">
        <w:rPr>
          <w:rFonts w:asciiTheme="minorHAnsi" w:hAnsiTheme="minorHAnsi" w:cstheme="minorHAnsi"/>
          <w:iCs/>
        </w:rPr>
        <w:t xml:space="preserve">. </w:t>
      </w:r>
      <w:r w:rsidR="00D962D4" w:rsidRPr="007C50B4">
        <w:rPr>
          <w:rFonts w:asciiTheme="minorHAnsi" w:hAnsiTheme="minorHAnsi" w:cstheme="minorHAnsi"/>
          <w:iCs/>
          <w:color w:val="auto"/>
          <w:lang w:eastAsia="en-US"/>
        </w:rPr>
        <w:t>P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ostup Kooperativy při upuštění od vymáhání pohledávek </w:t>
      </w:r>
      <w:r w:rsidR="00D962D4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byl ověřen 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na </w:t>
      </w:r>
      <w:r w:rsidR="000A178D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kontrolovaném 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vzorku </w:t>
      </w:r>
      <w:r w:rsidR="00406280" w:rsidRPr="007C50B4">
        <w:rPr>
          <w:rFonts w:asciiTheme="minorHAnsi" w:hAnsiTheme="minorHAnsi" w:cstheme="minorHAnsi"/>
          <w:iCs/>
          <w:color w:val="auto"/>
          <w:lang w:eastAsia="en-US"/>
        </w:rPr>
        <w:t>30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případů, </w:t>
      </w:r>
      <w:r w:rsidR="00744A00">
        <w:rPr>
          <w:rFonts w:asciiTheme="minorHAnsi" w:hAnsiTheme="minorHAnsi" w:cstheme="minorHAnsi"/>
          <w:iCs/>
          <w:color w:val="auto"/>
          <w:lang w:eastAsia="en-US"/>
        </w:rPr>
        <w:t>u </w:t>
      </w:r>
      <w:r w:rsidR="00D962D4" w:rsidRPr="007C50B4">
        <w:rPr>
          <w:rFonts w:asciiTheme="minorHAnsi" w:hAnsiTheme="minorHAnsi" w:cstheme="minorHAnsi"/>
          <w:iCs/>
          <w:color w:val="auto"/>
          <w:lang w:eastAsia="en-US"/>
        </w:rPr>
        <w:t>kterých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pojišťovna </w:t>
      </w:r>
      <w:r w:rsidR="004B7833" w:rsidRPr="007C50B4">
        <w:rPr>
          <w:rFonts w:asciiTheme="minorHAnsi" w:hAnsiTheme="minorHAnsi" w:cstheme="minorHAnsi"/>
          <w:iCs/>
          <w:color w:val="auto"/>
          <w:lang w:eastAsia="en-US"/>
        </w:rPr>
        <w:t>vyčíslila zvýšené pojistné v celkové částce 624</w:t>
      </w:r>
      <w:r w:rsidR="00EC7BE9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4B7833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111 Kč a následně 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upustila </w:t>
      </w:r>
      <w:r w:rsidR="005E5CAD" w:rsidRPr="007C50B4">
        <w:rPr>
          <w:rFonts w:asciiTheme="minorHAnsi" w:hAnsiTheme="minorHAnsi" w:cstheme="minorHAnsi"/>
          <w:iCs/>
          <w:color w:val="auto"/>
          <w:lang w:eastAsia="en-US"/>
        </w:rPr>
        <w:t>od vymáhání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částk</w:t>
      </w:r>
      <w:r w:rsidR="00EC7BE9">
        <w:rPr>
          <w:rFonts w:asciiTheme="minorHAnsi" w:hAnsiTheme="minorHAnsi" w:cstheme="minorHAnsi"/>
          <w:iCs/>
          <w:color w:val="auto"/>
          <w:lang w:eastAsia="en-US"/>
        </w:rPr>
        <w:t>y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E47527" w:rsidRPr="007C50B4">
        <w:rPr>
          <w:rFonts w:asciiTheme="minorHAnsi" w:hAnsiTheme="minorHAnsi" w:cstheme="minorHAnsi"/>
          <w:iCs/>
          <w:color w:val="auto"/>
          <w:lang w:eastAsia="en-US"/>
        </w:rPr>
        <w:t>323</w:t>
      </w:r>
      <w:r w:rsidR="00EC7BE9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406280" w:rsidRPr="007C50B4">
        <w:rPr>
          <w:rFonts w:asciiTheme="minorHAnsi" w:hAnsiTheme="minorHAnsi" w:cstheme="minorHAnsi"/>
          <w:iCs/>
          <w:color w:val="auto"/>
          <w:lang w:eastAsia="en-US"/>
        </w:rPr>
        <w:t>419</w:t>
      </w:r>
      <w:r w:rsidR="00EC7BE9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>Kč</w:t>
      </w:r>
      <w:r w:rsidR="00D962D4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(</w:t>
      </w:r>
      <w:r w:rsidR="0055321D" w:rsidRPr="007C50B4">
        <w:rPr>
          <w:rFonts w:asciiTheme="minorHAnsi" w:hAnsiTheme="minorHAnsi" w:cstheme="minorHAnsi"/>
          <w:iCs/>
          <w:color w:val="auto"/>
          <w:lang w:eastAsia="en-US"/>
        </w:rPr>
        <w:t>tj. 52 %)</w:t>
      </w:r>
      <w:r w:rsidR="00960FE3">
        <w:rPr>
          <w:rFonts w:asciiTheme="minorHAnsi" w:hAnsiTheme="minorHAnsi" w:cstheme="minorHAnsi"/>
          <w:iCs/>
          <w:color w:val="auto"/>
          <w:lang w:eastAsia="en-US"/>
        </w:rPr>
        <w:t>;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k vymáhání tak zbyla částka </w:t>
      </w:r>
      <w:r w:rsidR="00406280" w:rsidRPr="007C50B4">
        <w:rPr>
          <w:rFonts w:asciiTheme="minorHAnsi" w:hAnsiTheme="minorHAnsi" w:cstheme="minorHAnsi"/>
          <w:iCs/>
          <w:color w:val="auto"/>
          <w:lang w:eastAsia="en-US"/>
        </w:rPr>
        <w:t>300</w:t>
      </w:r>
      <w:r w:rsidR="00EC7BE9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406280" w:rsidRPr="007C50B4">
        <w:rPr>
          <w:rFonts w:asciiTheme="minorHAnsi" w:hAnsiTheme="minorHAnsi" w:cstheme="minorHAnsi"/>
          <w:iCs/>
          <w:color w:val="auto"/>
          <w:lang w:eastAsia="en-US"/>
        </w:rPr>
        <w:t>690</w:t>
      </w:r>
      <w:r w:rsidR="00EC7BE9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>Kč.</w:t>
      </w:r>
      <w:r w:rsidR="00710CCF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Z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výšené 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lastRenderedPageBreak/>
        <w:t xml:space="preserve">pojistné </w:t>
      </w:r>
      <w:r w:rsidR="00077072" w:rsidRPr="007C50B4">
        <w:rPr>
          <w:rFonts w:asciiTheme="minorHAnsi" w:hAnsiTheme="minorHAnsi" w:cstheme="minorHAnsi"/>
          <w:iCs/>
          <w:color w:val="auto"/>
          <w:lang w:eastAsia="en-US"/>
        </w:rPr>
        <w:t>do 250</w:t>
      </w:r>
      <w:r w:rsidR="00EC7BE9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077072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000 Kč </w:t>
      </w:r>
      <w:r w:rsidR="00710CCF" w:rsidRPr="007C50B4">
        <w:rPr>
          <w:rFonts w:asciiTheme="minorHAnsi" w:hAnsiTheme="minorHAnsi" w:cstheme="minorHAnsi"/>
          <w:iCs/>
          <w:color w:val="auto"/>
          <w:lang w:eastAsia="en-US"/>
        </w:rPr>
        <w:t>promíjela</w:t>
      </w:r>
      <w:r w:rsidR="0055321D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>v rozmezí 40</w:t>
      </w:r>
      <w:r w:rsidR="00352EDB" w:rsidRPr="007C50B4">
        <w:rPr>
          <w:rFonts w:asciiTheme="minorHAnsi" w:hAnsiTheme="minorHAnsi" w:cstheme="minorHAnsi"/>
          <w:iCs/>
          <w:color w:val="auto"/>
          <w:lang w:eastAsia="en-US"/>
        </w:rPr>
        <w:t>–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>80 % (částky do výše 1 000</w:t>
      </w:r>
      <w:r w:rsidR="00EC7BE9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F6027E" w:rsidRPr="007C50B4">
        <w:rPr>
          <w:rFonts w:asciiTheme="minorHAnsi" w:hAnsiTheme="minorHAnsi" w:cstheme="minorHAnsi"/>
          <w:iCs/>
          <w:color w:val="auto"/>
          <w:lang w:eastAsia="en-US"/>
        </w:rPr>
        <w:t>Kč promíjela celé, tj. 100 %)</w:t>
      </w:r>
      <w:r w:rsidR="007105D4" w:rsidRPr="007C50B4">
        <w:rPr>
          <w:rFonts w:asciiTheme="minorHAnsi" w:hAnsiTheme="minorHAnsi" w:cstheme="minorHAnsi"/>
          <w:iCs/>
          <w:color w:val="auto"/>
          <w:lang w:eastAsia="en-US"/>
        </w:rPr>
        <w:t>.</w:t>
      </w:r>
      <w:r w:rsidR="007105D4" w:rsidRPr="004B7833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</w:p>
    <w:p w14:paraId="4C1FD470" w14:textId="30586C8F" w:rsidR="00F6027E" w:rsidRPr="00406280" w:rsidRDefault="00F6027E" w:rsidP="00902113">
      <w:pPr>
        <w:pStyle w:val="Default"/>
        <w:jc w:val="both"/>
        <w:rPr>
          <w:rFonts w:asciiTheme="minorHAnsi" w:hAnsiTheme="minorHAnsi" w:cstheme="minorHAnsi"/>
          <w:iCs/>
          <w:strike/>
          <w:color w:val="auto"/>
          <w:sz w:val="22"/>
          <w:szCs w:val="22"/>
          <w:lang w:eastAsia="en-US"/>
        </w:rPr>
      </w:pPr>
    </w:p>
    <w:p w14:paraId="207945E8" w14:textId="00BAF9B3" w:rsidR="005405DF" w:rsidRPr="00EE5FBE" w:rsidRDefault="00677512" w:rsidP="0090211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iCs/>
          <w:color w:val="auto"/>
          <w:lang w:eastAsia="en-US"/>
        </w:rPr>
        <w:t>Pro</w:t>
      </w:r>
      <w:r w:rsidR="005405DF" w:rsidRPr="00EC639B">
        <w:rPr>
          <w:rFonts w:asciiTheme="minorHAnsi" w:hAnsiTheme="minorHAnsi" w:cstheme="minorHAnsi"/>
          <w:iCs/>
          <w:color w:val="auto"/>
          <w:lang w:eastAsia="en-US"/>
        </w:rPr>
        <w:t xml:space="preserve"> upuštění od vymáhání zvýšeného pojistného do 250 000 Kč</w:t>
      </w:r>
      <w:r w:rsidR="0055321D">
        <w:rPr>
          <w:rFonts w:asciiTheme="minorHAnsi" w:hAnsiTheme="minorHAnsi" w:cstheme="minorHAnsi"/>
          <w:iCs/>
          <w:color w:val="auto"/>
          <w:lang w:eastAsia="en-US"/>
        </w:rPr>
        <w:t xml:space="preserve"> měla</w:t>
      </w:r>
      <w:r w:rsidR="005405DF" w:rsidRPr="00EC639B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5405DF" w:rsidRPr="00555C71">
        <w:rPr>
          <w:rFonts w:asciiTheme="minorHAnsi" w:hAnsiTheme="minorHAnsi" w:cstheme="minorHAnsi"/>
          <w:iCs/>
          <w:color w:val="auto"/>
          <w:lang w:eastAsia="en-US"/>
        </w:rPr>
        <w:t>Kooperativa</w:t>
      </w:r>
      <w:r w:rsidR="005405DF" w:rsidRPr="00EC639B">
        <w:rPr>
          <w:rFonts w:asciiTheme="minorHAnsi" w:hAnsiTheme="minorHAnsi" w:cstheme="minorHAnsi"/>
          <w:iCs/>
          <w:color w:val="auto"/>
          <w:lang w:eastAsia="en-US"/>
        </w:rPr>
        <w:t xml:space="preserve"> vnitřním předpisem upraven postup při </w:t>
      </w:r>
      <w:r w:rsidR="005405DF" w:rsidRPr="007C50B4">
        <w:rPr>
          <w:rFonts w:asciiTheme="minorHAnsi" w:hAnsiTheme="minorHAnsi" w:cstheme="minorHAnsi"/>
          <w:iCs/>
          <w:color w:val="auto"/>
          <w:lang w:eastAsia="en-US"/>
        </w:rPr>
        <w:t>vyřizování žádostí zaměstnavatelů o</w:t>
      </w:r>
      <w:r w:rsidR="004A3269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5405DF" w:rsidRPr="007C50B4">
        <w:rPr>
          <w:rFonts w:asciiTheme="minorHAnsi" w:hAnsiTheme="minorHAnsi" w:cstheme="minorHAnsi"/>
          <w:iCs/>
          <w:color w:val="auto"/>
          <w:lang w:eastAsia="en-US"/>
        </w:rPr>
        <w:t>prominutí zvýšeného pojistného, včetně oblastí, které komise</w:t>
      </w:r>
      <w:r w:rsidR="00ED6534" w:rsidRPr="007C50B4">
        <w:rPr>
          <w:rStyle w:val="Znakapoznpodarou"/>
          <w:rFonts w:asciiTheme="minorHAnsi" w:hAnsiTheme="minorHAnsi" w:cstheme="minorHAnsi"/>
          <w:iCs/>
          <w:color w:val="auto"/>
          <w:lang w:eastAsia="en-US"/>
        </w:rPr>
        <w:footnoteReference w:id="35"/>
      </w:r>
      <w:r w:rsidR="005405DF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při svém rozhodování posuzuje. Z</w:t>
      </w:r>
      <w:r w:rsidR="0016602D">
        <w:rPr>
          <w:rFonts w:asciiTheme="minorHAnsi" w:hAnsiTheme="minorHAnsi" w:cstheme="minorHAnsi"/>
          <w:iCs/>
          <w:color w:val="auto"/>
          <w:lang w:eastAsia="en-US"/>
        </w:rPr>
        <w:t xml:space="preserve"> </w:t>
      </w:r>
      <w:r w:rsidR="005405DF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žádného dokumentu, který </w:t>
      </w:r>
      <w:r w:rsidR="009B0963">
        <w:rPr>
          <w:rFonts w:asciiTheme="minorHAnsi" w:hAnsiTheme="minorHAnsi" w:cstheme="minorHAnsi"/>
          <w:iCs/>
          <w:color w:val="auto"/>
          <w:lang w:eastAsia="en-US"/>
        </w:rPr>
        <w:t xml:space="preserve">tato </w:t>
      </w:r>
      <w:r w:rsidR="005405DF" w:rsidRPr="007C50B4">
        <w:rPr>
          <w:rFonts w:asciiTheme="minorHAnsi" w:hAnsiTheme="minorHAnsi" w:cstheme="minorHAnsi"/>
          <w:iCs/>
          <w:color w:val="auto"/>
          <w:lang w:eastAsia="en-US"/>
        </w:rPr>
        <w:t>komise po svém zasedání vyhotov</w:t>
      </w:r>
      <w:r w:rsidR="006C1D63" w:rsidRPr="007C50B4">
        <w:rPr>
          <w:rFonts w:asciiTheme="minorHAnsi" w:hAnsiTheme="minorHAnsi" w:cstheme="minorHAnsi"/>
          <w:iCs/>
          <w:color w:val="auto"/>
          <w:lang w:eastAsia="en-US"/>
        </w:rPr>
        <w:t>ila</w:t>
      </w:r>
      <w:r w:rsidR="005405DF" w:rsidRPr="007C50B4">
        <w:rPr>
          <w:rFonts w:asciiTheme="minorHAnsi" w:hAnsiTheme="minorHAnsi" w:cstheme="minorHAnsi"/>
          <w:iCs/>
          <w:color w:val="auto"/>
          <w:lang w:eastAsia="en-US"/>
        </w:rPr>
        <w:t>, však ne</w:t>
      </w:r>
      <w:r w:rsidR="00E75D81" w:rsidRPr="007C50B4">
        <w:rPr>
          <w:rFonts w:asciiTheme="minorHAnsi" w:hAnsiTheme="minorHAnsi" w:cstheme="minorHAnsi"/>
          <w:iCs/>
          <w:color w:val="auto"/>
          <w:lang w:eastAsia="en-US"/>
        </w:rPr>
        <w:t>bylo</w:t>
      </w:r>
      <w:r w:rsidR="005405DF" w:rsidRPr="007C50B4">
        <w:rPr>
          <w:rFonts w:asciiTheme="minorHAnsi" w:hAnsiTheme="minorHAnsi" w:cstheme="minorHAnsi"/>
          <w:iCs/>
          <w:color w:val="auto"/>
          <w:lang w:eastAsia="en-US"/>
        </w:rPr>
        <w:t xml:space="preserve"> zřejmé, které kritérium při svém rozhodování zohlednila a proč. </w:t>
      </w:r>
      <w:r w:rsidR="005405DF" w:rsidRPr="007C50B4">
        <w:rPr>
          <w:rFonts w:asciiTheme="minorHAnsi" w:hAnsiTheme="minorHAnsi" w:cstheme="minorHAnsi"/>
          <w:b/>
          <w:color w:val="auto"/>
        </w:rPr>
        <w:t xml:space="preserve">Rozhodování </w:t>
      </w:r>
      <w:r w:rsidR="009B0963">
        <w:rPr>
          <w:rFonts w:asciiTheme="minorHAnsi" w:hAnsiTheme="minorHAnsi" w:cstheme="minorHAnsi"/>
          <w:b/>
          <w:iCs/>
          <w:color w:val="auto"/>
        </w:rPr>
        <w:t>k</w:t>
      </w:r>
      <w:r w:rsidR="005405DF" w:rsidRPr="007C50B4">
        <w:rPr>
          <w:rFonts w:asciiTheme="minorHAnsi" w:hAnsiTheme="minorHAnsi" w:cstheme="minorHAnsi"/>
          <w:b/>
          <w:iCs/>
          <w:color w:val="auto"/>
        </w:rPr>
        <w:t xml:space="preserve">omise při upuštění od vymáhání pohledávek do 250 000 Kč bylo </w:t>
      </w:r>
      <w:r w:rsidRPr="007C50B4">
        <w:rPr>
          <w:rFonts w:asciiTheme="minorHAnsi" w:hAnsiTheme="minorHAnsi" w:cstheme="minorHAnsi"/>
          <w:b/>
          <w:iCs/>
          <w:color w:val="auto"/>
        </w:rPr>
        <w:t xml:space="preserve">zpětně </w:t>
      </w:r>
      <w:r w:rsidR="005405DF" w:rsidRPr="007C50B4">
        <w:rPr>
          <w:rFonts w:asciiTheme="minorHAnsi" w:hAnsiTheme="minorHAnsi" w:cstheme="minorHAnsi"/>
          <w:b/>
          <w:iCs/>
          <w:color w:val="auto"/>
        </w:rPr>
        <w:t>nepřezkoumatelné a netransparentní.</w:t>
      </w:r>
      <w:r w:rsidR="005405DF" w:rsidRPr="00EE5FBE">
        <w:rPr>
          <w:rFonts w:asciiTheme="minorHAnsi" w:hAnsiTheme="minorHAnsi" w:cstheme="minorHAnsi"/>
          <w:b/>
          <w:iCs/>
          <w:color w:val="auto"/>
        </w:rPr>
        <w:t xml:space="preserve"> </w:t>
      </w:r>
    </w:p>
    <w:p w14:paraId="470B6EAD" w14:textId="0F4E95E2" w:rsidR="00363819" w:rsidRDefault="00363819" w:rsidP="00902113">
      <w:pPr>
        <w:pStyle w:val="Default"/>
        <w:jc w:val="both"/>
        <w:rPr>
          <w:rFonts w:asciiTheme="minorHAnsi" w:hAnsiTheme="minorHAnsi" w:cstheme="minorHAnsi"/>
          <w:b/>
          <w:iCs/>
          <w:color w:val="auto"/>
          <w:lang w:eastAsia="en-US"/>
        </w:rPr>
      </w:pPr>
    </w:p>
    <w:p w14:paraId="43E7C6FD" w14:textId="7E10C8C3" w:rsidR="00AA26D0" w:rsidRPr="0026723D" w:rsidRDefault="006340DC" w:rsidP="00815893">
      <w:pPr>
        <w:pStyle w:val="Odstavecseseznamem"/>
        <w:numPr>
          <w:ilvl w:val="0"/>
          <w:numId w:val="32"/>
        </w:numPr>
        <w:shd w:val="clear" w:color="auto" w:fill="FFFFFF" w:themeFill="background1"/>
        <w:spacing w:after="0"/>
        <w:jc w:val="both"/>
        <w:rPr>
          <w:rFonts w:cstheme="minorHAnsi"/>
          <w:b/>
          <w:bCs/>
        </w:rPr>
      </w:pPr>
      <w:r w:rsidRPr="0026723D">
        <w:rPr>
          <w:b/>
        </w:rPr>
        <w:t>MF a</w:t>
      </w:r>
      <w:r w:rsidR="00352EDB" w:rsidRPr="0026723D">
        <w:rPr>
          <w:b/>
        </w:rPr>
        <w:t xml:space="preserve"> MPSV předkládal</w:t>
      </w:r>
      <w:r w:rsidR="009F1082">
        <w:rPr>
          <w:b/>
        </w:rPr>
        <w:t>y</w:t>
      </w:r>
      <w:r w:rsidR="00352EDB" w:rsidRPr="0026723D">
        <w:rPr>
          <w:b/>
        </w:rPr>
        <w:t xml:space="preserve"> v letech 2006–</w:t>
      </w:r>
      <w:r w:rsidRPr="0026723D">
        <w:rPr>
          <w:b/>
        </w:rPr>
        <w:t xml:space="preserve">2017 legislativní návrhy na změnu </w:t>
      </w:r>
      <w:r w:rsidRPr="0026723D">
        <w:rPr>
          <w:rFonts w:asciiTheme="minorHAnsi" w:hAnsiTheme="minorHAnsi" w:cstheme="minorHAnsi"/>
          <w:b/>
          <w:bCs/>
        </w:rPr>
        <w:t>systému zákonného pojištění.</w:t>
      </w:r>
    </w:p>
    <w:p w14:paraId="4467BDBE" w14:textId="77777777" w:rsidR="00815893" w:rsidRDefault="00815893" w:rsidP="00AA26D0">
      <w:pPr>
        <w:shd w:val="clear" w:color="auto" w:fill="FFFFFF" w:themeFill="background1"/>
        <w:rPr>
          <w:rFonts w:cstheme="minorHAnsi"/>
          <w:bCs/>
        </w:rPr>
      </w:pPr>
    </w:p>
    <w:p w14:paraId="51D490BD" w14:textId="2DEDD24D" w:rsidR="00730DA4" w:rsidRPr="00AA26D0" w:rsidRDefault="00730DA4" w:rsidP="00AA26D0">
      <w:pPr>
        <w:shd w:val="clear" w:color="auto" w:fill="FFFFFF" w:themeFill="background1"/>
        <w:rPr>
          <w:rFonts w:cstheme="minorHAnsi"/>
          <w:bCs/>
        </w:rPr>
      </w:pPr>
      <w:r w:rsidRPr="00AA26D0">
        <w:rPr>
          <w:rFonts w:cstheme="minorHAnsi"/>
          <w:bCs/>
        </w:rPr>
        <w:t xml:space="preserve">MF se podílelo na nastavení systému zákonného pojištění v rozsahu stanoveném usneseními vlády. V roce 2012 zpracovalo </w:t>
      </w:r>
      <w:r w:rsidRPr="0026723D">
        <w:rPr>
          <w:rFonts w:cstheme="minorHAnsi"/>
          <w:bCs/>
          <w:i/>
        </w:rPr>
        <w:t xml:space="preserve">Analýzu problematiky </w:t>
      </w:r>
      <w:r w:rsidR="00352EDB" w:rsidRPr="0026723D">
        <w:rPr>
          <w:rFonts w:cstheme="minorHAnsi"/>
          <w:bCs/>
          <w:i/>
        </w:rPr>
        <w:t>odškodňování pracovních úrazů a </w:t>
      </w:r>
      <w:r w:rsidRPr="0026723D">
        <w:rPr>
          <w:rFonts w:cstheme="minorHAnsi"/>
          <w:bCs/>
          <w:i/>
        </w:rPr>
        <w:t>nemocí z povolání s věcnými návrhy na budoucí řešení</w:t>
      </w:r>
      <w:r w:rsidRPr="00AA26D0">
        <w:rPr>
          <w:rFonts w:cstheme="minorHAnsi"/>
          <w:bCs/>
        </w:rPr>
        <w:t>, kterou vláda schválila svým usnesením</w:t>
      </w:r>
      <w:r w:rsidRPr="00EC639B">
        <w:rPr>
          <w:rStyle w:val="Znakapoznpodarou"/>
          <w:rFonts w:cstheme="minorHAnsi"/>
          <w:bCs/>
        </w:rPr>
        <w:footnoteReference w:id="36"/>
      </w:r>
      <w:r w:rsidRPr="00AA26D0">
        <w:rPr>
          <w:rFonts w:cstheme="minorHAnsi"/>
          <w:bCs/>
        </w:rPr>
        <w:t xml:space="preserve">. </w:t>
      </w:r>
      <w:r w:rsidRPr="007C50B4">
        <w:rPr>
          <w:rFonts w:cstheme="minorHAnsi"/>
          <w:bCs/>
        </w:rPr>
        <w:t xml:space="preserve">V roce 2016 </w:t>
      </w:r>
      <w:r w:rsidR="00677512" w:rsidRPr="007C50B4">
        <w:rPr>
          <w:rFonts w:cstheme="minorHAnsi"/>
          <w:bCs/>
        </w:rPr>
        <w:t xml:space="preserve">byl podán jako poslanecká iniciativa </w:t>
      </w:r>
      <w:r w:rsidRPr="007C50B4">
        <w:rPr>
          <w:rFonts w:cstheme="minorHAnsi"/>
          <w:bCs/>
        </w:rPr>
        <w:t>pozměňovací návrh k </w:t>
      </w:r>
      <w:r w:rsidR="006C1D63" w:rsidRPr="007C50B4">
        <w:rPr>
          <w:rFonts w:cstheme="minorHAnsi"/>
          <w:bCs/>
        </w:rPr>
        <w:t>vládnímu návrhu zákona, kterým se mění zákon č. 262/2006 Sb.</w:t>
      </w:r>
      <w:r w:rsidR="00EF26A3">
        <w:rPr>
          <w:rFonts w:cstheme="minorHAnsi"/>
          <w:bCs/>
        </w:rPr>
        <w:t>;</w:t>
      </w:r>
      <w:r w:rsidRPr="007C50B4">
        <w:rPr>
          <w:rFonts w:cstheme="minorHAnsi"/>
          <w:bCs/>
        </w:rPr>
        <w:t xml:space="preserve"> </w:t>
      </w:r>
      <w:r w:rsidR="0037360B">
        <w:rPr>
          <w:rFonts w:cstheme="minorHAnsi"/>
          <w:bCs/>
        </w:rPr>
        <w:t>pozměňovací návrh</w:t>
      </w:r>
      <w:r w:rsidRPr="007C50B4">
        <w:rPr>
          <w:rFonts w:cstheme="minorHAnsi"/>
          <w:bCs/>
        </w:rPr>
        <w:t xml:space="preserve"> </w:t>
      </w:r>
      <w:r w:rsidR="00EF26A3">
        <w:rPr>
          <w:rFonts w:cstheme="minorHAnsi"/>
          <w:bCs/>
        </w:rPr>
        <w:t>požadoval</w:t>
      </w:r>
      <w:r w:rsidRPr="007C50B4">
        <w:rPr>
          <w:rFonts w:cstheme="minorHAnsi"/>
          <w:bCs/>
        </w:rPr>
        <w:t xml:space="preserve"> přesunout z vyhlášky do zákona základní povinnosti zaměstnavatele, právo pojišťovny na náhradu pojistného plnění, </w:t>
      </w:r>
      <w:r w:rsidR="00EF26A3">
        <w:rPr>
          <w:rFonts w:cstheme="minorHAnsi"/>
          <w:bCs/>
        </w:rPr>
        <w:t xml:space="preserve">problematiku </w:t>
      </w:r>
      <w:r w:rsidRPr="007C50B4">
        <w:rPr>
          <w:rFonts w:cstheme="minorHAnsi"/>
          <w:bCs/>
        </w:rPr>
        <w:t>pojistné</w:t>
      </w:r>
      <w:r w:rsidR="00EF26A3">
        <w:rPr>
          <w:rFonts w:cstheme="minorHAnsi"/>
          <w:bCs/>
        </w:rPr>
        <w:t>ho</w:t>
      </w:r>
      <w:r w:rsidRPr="007C50B4">
        <w:rPr>
          <w:rFonts w:cstheme="minorHAnsi"/>
          <w:bCs/>
        </w:rPr>
        <w:t>, oblast up</w:t>
      </w:r>
      <w:r w:rsidR="00352EDB" w:rsidRPr="007C50B4">
        <w:rPr>
          <w:rFonts w:cstheme="minorHAnsi"/>
          <w:bCs/>
        </w:rPr>
        <w:t>uštění od vymáhání pohledávek a</w:t>
      </w:r>
      <w:r w:rsidR="00D406F3">
        <w:rPr>
          <w:rFonts w:cstheme="minorHAnsi"/>
          <w:bCs/>
        </w:rPr>
        <w:t xml:space="preserve"> </w:t>
      </w:r>
      <w:r w:rsidRPr="007C50B4">
        <w:rPr>
          <w:rFonts w:cstheme="minorHAnsi"/>
          <w:bCs/>
        </w:rPr>
        <w:t xml:space="preserve">snížení sazby zvýšeného pojistného za pozdní úhradu z 10 % dlužné částky za každý měsíc na 0,05 % za každý den prodlení. Projednávání návrhu novely zákoníku práce bylo </w:t>
      </w:r>
      <w:r w:rsidR="0037360B">
        <w:rPr>
          <w:rFonts w:cstheme="minorHAnsi"/>
          <w:bCs/>
        </w:rPr>
        <w:t>P</w:t>
      </w:r>
      <w:r w:rsidR="001D2762" w:rsidRPr="007C50B4">
        <w:rPr>
          <w:rFonts w:cstheme="minorHAnsi"/>
          <w:bCs/>
        </w:rPr>
        <w:t xml:space="preserve">oslaneckou sněmovnou </w:t>
      </w:r>
      <w:r w:rsidRPr="007C50B4">
        <w:rPr>
          <w:rFonts w:cstheme="minorHAnsi"/>
          <w:bCs/>
        </w:rPr>
        <w:t>v červnu 2017 přerušeno</w:t>
      </w:r>
      <w:r w:rsidR="00677512" w:rsidRPr="007C50B4">
        <w:rPr>
          <w:rFonts w:cstheme="minorHAnsi"/>
          <w:bCs/>
        </w:rPr>
        <w:t>.</w:t>
      </w:r>
      <w:r w:rsidR="00173CDD">
        <w:rPr>
          <w:rFonts w:cstheme="minorHAnsi"/>
          <w:bCs/>
        </w:rPr>
        <w:t xml:space="preserve"> </w:t>
      </w:r>
    </w:p>
    <w:p w14:paraId="62C17D19" w14:textId="77777777" w:rsidR="00730DA4" w:rsidRPr="00EC639B" w:rsidRDefault="00730DA4" w:rsidP="00730DA4">
      <w:pPr>
        <w:shd w:val="clear" w:color="auto" w:fill="FFFFFF" w:themeFill="background1"/>
        <w:rPr>
          <w:rFonts w:cstheme="minorHAnsi"/>
          <w:bCs/>
        </w:rPr>
      </w:pPr>
    </w:p>
    <w:p w14:paraId="1EF632A5" w14:textId="69721211" w:rsidR="00FF2E10" w:rsidRPr="009E04B0" w:rsidRDefault="00FF2E10" w:rsidP="00FF2E10">
      <w:pPr>
        <w:rPr>
          <w:rFonts w:cstheme="minorHAnsi"/>
        </w:rPr>
      </w:pPr>
      <w:r w:rsidRPr="00FF2E10">
        <w:rPr>
          <w:rFonts w:cstheme="minorHAnsi"/>
        </w:rPr>
        <w:t xml:space="preserve">MPSV v roce 2005 připravilo </w:t>
      </w:r>
      <w:r w:rsidR="007C50B4" w:rsidRPr="001E1E98">
        <w:rPr>
          <w:rFonts w:cstheme="minorHAnsi"/>
        </w:rPr>
        <w:t xml:space="preserve">návrh </w:t>
      </w:r>
      <w:r w:rsidRPr="001E1E98">
        <w:rPr>
          <w:rFonts w:cstheme="minorHAnsi"/>
        </w:rPr>
        <w:t>zákon</w:t>
      </w:r>
      <w:r w:rsidR="007C50B4" w:rsidRPr="001E1E98">
        <w:rPr>
          <w:rFonts w:cstheme="minorHAnsi"/>
        </w:rPr>
        <w:t>a</w:t>
      </w:r>
      <w:r w:rsidRPr="001E1E98">
        <w:rPr>
          <w:rFonts w:cstheme="minorHAnsi"/>
        </w:rPr>
        <w:t xml:space="preserve"> o</w:t>
      </w:r>
      <w:r w:rsidRPr="00FF2E10">
        <w:rPr>
          <w:rFonts w:cstheme="minorHAnsi"/>
        </w:rPr>
        <w:t xml:space="preserve"> úrazovém pojištění </w:t>
      </w:r>
      <w:r w:rsidRPr="007C50B4">
        <w:rPr>
          <w:rFonts w:cstheme="minorHAnsi"/>
        </w:rPr>
        <w:t>zaměstnanců</w:t>
      </w:r>
      <w:r w:rsidR="007D0097" w:rsidRPr="007C50B4">
        <w:rPr>
          <w:rFonts w:cstheme="minorHAnsi"/>
        </w:rPr>
        <w:t>.</w:t>
      </w:r>
      <w:r w:rsidRPr="007C50B4">
        <w:rPr>
          <w:rFonts w:cstheme="minorHAnsi"/>
        </w:rPr>
        <w:t xml:space="preserve"> </w:t>
      </w:r>
      <w:r w:rsidR="007D0097" w:rsidRPr="007C50B4">
        <w:rPr>
          <w:rFonts w:cstheme="minorHAnsi"/>
        </w:rPr>
        <w:t xml:space="preserve">Tento vládní návrh zákona prošel legislativním procesem a </w:t>
      </w:r>
      <w:r w:rsidRPr="007C50B4">
        <w:rPr>
          <w:rFonts w:cstheme="minorHAnsi"/>
        </w:rPr>
        <w:t>nabyl platnosti dne 7. 6. 2006</w:t>
      </w:r>
      <w:r w:rsidR="00DD7B38" w:rsidRPr="007C50B4">
        <w:rPr>
          <w:rStyle w:val="Znakapoznpodarou"/>
          <w:rFonts w:cstheme="minorHAnsi"/>
        </w:rPr>
        <w:footnoteReference w:id="37"/>
      </w:r>
      <w:r w:rsidRPr="007C50B4">
        <w:rPr>
          <w:rFonts w:cstheme="minorHAnsi"/>
        </w:rPr>
        <w:t>. Tento zákon měnil dosavadní koncepci zákonného pojištění odpovědnosti zaměstnavatele za škodu při pracovním úrazu a nemoci z povolání. Obsahem zákona byl přechod z komerčního pojištění na pojištění sociálního systému formou sociálního úrazového pojištění s vlastním systémem poskytovaných dávek. Provádění úrazového pojištění bylo svěřeno České správě sociálního zabezpečení jako organizační složce státu, která měla zajišťovat aktivní výběr pojistného</w:t>
      </w:r>
      <w:r w:rsidRPr="009E04B0">
        <w:rPr>
          <w:rFonts w:cstheme="minorHAnsi"/>
        </w:rPr>
        <w:t xml:space="preserve"> na základě průběžného porovnávání seznamu poplatníků pojistného s registrem ekonomických subjektů. Účinnost zákona o úrazovém pojištění zaměstnanců byla 4</w:t>
      </w:r>
      <w:r w:rsidR="004455F0">
        <w:rPr>
          <w:rFonts w:cstheme="minorHAnsi"/>
        </w:rPr>
        <w:t>×</w:t>
      </w:r>
      <w:r w:rsidRPr="009E04B0">
        <w:rPr>
          <w:rFonts w:cstheme="minorHAnsi"/>
        </w:rPr>
        <w:t xml:space="preserve"> odložena, následně byl zákon s účinností od 1. 10. 2015 zrušen. </w:t>
      </w:r>
    </w:p>
    <w:p w14:paraId="66019E3C" w14:textId="77777777" w:rsidR="00FF2E10" w:rsidRPr="009E04B0" w:rsidRDefault="00FF2E10" w:rsidP="00FF2E10">
      <w:pPr>
        <w:rPr>
          <w:rFonts w:cstheme="minorHAnsi"/>
        </w:rPr>
      </w:pPr>
    </w:p>
    <w:p w14:paraId="2BE6ED7A" w14:textId="3C2BB58B" w:rsidR="007D0097" w:rsidRPr="00A25DA0" w:rsidRDefault="00FF2E10" w:rsidP="007D0097">
      <w:pPr>
        <w:widowControl w:val="0"/>
        <w:rPr>
          <w:rFonts w:ascii="Calibri" w:eastAsia="Calibri" w:hAnsi="Calibri"/>
          <w:szCs w:val="22"/>
        </w:rPr>
      </w:pPr>
      <w:r w:rsidRPr="009E04B0">
        <w:rPr>
          <w:rFonts w:cstheme="minorHAnsi"/>
        </w:rPr>
        <w:t xml:space="preserve">V roce 2014 připravilo MPSV materiál </w:t>
      </w:r>
      <w:r w:rsidRPr="0026723D">
        <w:rPr>
          <w:rFonts w:cstheme="minorHAnsi"/>
          <w:i/>
        </w:rPr>
        <w:t>Návrh způsobu zabezpečení zaměstnanců při pracovním úrazu a nemoci z povolání</w:t>
      </w:r>
      <w:r w:rsidRPr="009E04B0">
        <w:rPr>
          <w:rFonts w:cstheme="minorHAnsi"/>
        </w:rPr>
        <w:t xml:space="preserve">, na jehož základě </w:t>
      </w:r>
      <w:r w:rsidRPr="007C50B4">
        <w:rPr>
          <w:rFonts w:cstheme="minorHAnsi"/>
        </w:rPr>
        <w:t xml:space="preserve">předložilo dne 6. 12. 2016 vládě ČR návrh věcného záměru zákona o pojištění odpovědnosti zaměstnavatele za škodu při pracovním úrazu nebo nemoci z povolání. Legislativní rada vlády </w:t>
      </w:r>
      <w:r w:rsidR="007E2F7D">
        <w:rPr>
          <w:rFonts w:cstheme="minorHAnsi"/>
        </w:rPr>
        <w:t xml:space="preserve">však </w:t>
      </w:r>
      <w:r w:rsidR="007D0097" w:rsidRPr="007C50B4">
        <w:rPr>
          <w:rFonts w:cstheme="minorHAnsi"/>
        </w:rPr>
        <w:t xml:space="preserve">věcný záměr </w:t>
      </w:r>
      <w:r w:rsidRPr="007C50B4">
        <w:rPr>
          <w:rFonts w:cstheme="minorHAnsi"/>
        </w:rPr>
        <w:t>zákon</w:t>
      </w:r>
      <w:r w:rsidR="007D0097" w:rsidRPr="007C50B4">
        <w:rPr>
          <w:rFonts w:cstheme="minorHAnsi"/>
        </w:rPr>
        <w:t>a</w:t>
      </w:r>
      <w:r w:rsidRPr="007C50B4">
        <w:rPr>
          <w:rFonts w:cstheme="minorHAnsi"/>
        </w:rPr>
        <w:t xml:space="preserve"> nedoporučila </w:t>
      </w:r>
      <w:r w:rsidR="007D0097" w:rsidRPr="007C50B4">
        <w:rPr>
          <w:rFonts w:cstheme="minorHAnsi"/>
        </w:rPr>
        <w:t xml:space="preserve">vládě ke schválení </w:t>
      </w:r>
      <w:r w:rsidR="007E2F7D">
        <w:rPr>
          <w:rFonts w:cstheme="minorHAnsi"/>
        </w:rPr>
        <w:t xml:space="preserve">a </w:t>
      </w:r>
      <w:r w:rsidR="007D0097" w:rsidRPr="007C50B4">
        <w:rPr>
          <w:rFonts w:cstheme="minorHAnsi"/>
        </w:rPr>
        <w:t xml:space="preserve">ten byl </w:t>
      </w:r>
      <w:r w:rsidR="007D0097" w:rsidRPr="007C50B4">
        <w:rPr>
          <w:rFonts w:ascii="Calibri" w:eastAsia="Calibri" w:hAnsi="Calibri"/>
          <w:szCs w:val="22"/>
        </w:rPr>
        <w:t>dne 8. 2. 2019 skartován.</w:t>
      </w:r>
    </w:p>
    <w:p w14:paraId="548295EB" w14:textId="61D8E7DE" w:rsidR="00363819" w:rsidRDefault="00363819" w:rsidP="00902113">
      <w:pPr>
        <w:pStyle w:val="Default"/>
        <w:jc w:val="both"/>
        <w:rPr>
          <w:rFonts w:asciiTheme="minorHAnsi" w:hAnsiTheme="minorHAnsi" w:cstheme="minorHAnsi"/>
          <w:b/>
          <w:iCs/>
          <w:color w:val="auto"/>
          <w:lang w:eastAsia="en-US"/>
        </w:rPr>
      </w:pPr>
    </w:p>
    <w:p w14:paraId="594415C7" w14:textId="2D74E172" w:rsidR="00363819" w:rsidRPr="00F85419" w:rsidRDefault="00363819" w:rsidP="0026723D">
      <w:pPr>
        <w:pStyle w:val="Default"/>
        <w:keepNext/>
        <w:jc w:val="both"/>
        <w:rPr>
          <w:rFonts w:asciiTheme="minorHAnsi" w:hAnsiTheme="minorHAnsi" w:cstheme="minorHAnsi"/>
          <w:b/>
          <w:iCs/>
          <w:color w:val="auto"/>
          <w:lang w:eastAsia="en-US"/>
        </w:rPr>
      </w:pPr>
      <w:r>
        <w:rPr>
          <w:rFonts w:asciiTheme="minorHAnsi" w:hAnsiTheme="minorHAnsi" w:cstheme="minorHAnsi"/>
          <w:b/>
          <w:iCs/>
          <w:color w:val="auto"/>
          <w:lang w:eastAsia="en-US"/>
        </w:rPr>
        <w:lastRenderedPageBreak/>
        <w:t>Ostatní zjištěné skutečnosti</w:t>
      </w:r>
    </w:p>
    <w:p w14:paraId="7E1683EF" w14:textId="77777777" w:rsidR="00BC5465" w:rsidRPr="00EC639B" w:rsidRDefault="00BC5465" w:rsidP="0026723D">
      <w:pPr>
        <w:pStyle w:val="Default"/>
        <w:keepNext/>
        <w:jc w:val="both"/>
        <w:rPr>
          <w:rFonts w:asciiTheme="minorHAnsi" w:hAnsiTheme="minorHAnsi" w:cstheme="minorHAnsi"/>
          <w:iCs/>
          <w:color w:val="auto"/>
          <w:lang w:eastAsia="en-US"/>
        </w:rPr>
      </w:pPr>
    </w:p>
    <w:p w14:paraId="328AC615" w14:textId="4A7F935D" w:rsidR="005405DF" w:rsidRPr="0026723D" w:rsidRDefault="005405DF" w:rsidP="00815893">
      <w:pPr>
        <w:pStyle w:val="Odstavecseseznamem"/>
        <w:numPr>
          <w:ilvl w:val="0"/>
          <w:numId w:val="32"/>
        </w:numPr>
        <w:spacing w:after="0" w:line="240" w:lineRule="auto"/>
        <w:jc w:val="both"/>
        <w:outlineLvl w:val="1"/>
        <w:rPr>
          <w:rFonts w:cstheme="minorHAnsi"/>
          <w:b/>
          <w:color w:val="000000"/>
          <w:lang w:eastAsia="cs-CZ"/>
        </w:rPr>
      </w:pPr>
      <w:r w:rsidRPr="0026723D">
        <w:rPr>
          <w:rFonts w:cstheme="minorHAnsi"/>
          <w:b/>
          <w:color w:val="000000"/>
          <w:lang w:eastAsia="cs-CZ"/>
        </w:rPr>
        <w:t>Postup MF při vydá</w:t>
      </w:r>
      <w:r w:rsidR="007E2F7D">
        <w:rPr>
          <w:rFonts w:cstheme="minorHAnsi"/>
          <w:b/>
          <w:color w:val="000000"/>
          <w:lang w:eastAsia="cs-CZ"/>
        </w:rPr>
        <w:t>vá</w:t>
      </w:r>
      <w:r w:rsidRPr="0026723D">
        <w:rPr>
          <w:rFonts w:cstheme="minorHAnsi"/>
          <w:b/>
          <w:color w:val="000000"/>
          <w:lang w:eastAsia="cs-CZ"/>
        </w:rPr>
        <w:t>ní souhlasů s upuštěním od vymáhání pohledávek nad 250 000 Kč byl nepřezkoumatelný a netransparentní.</w:t>
      </w:r>
    </w:p>
    <w:p w14:paraId="53231BE0" w14:textId="77777777" w:rsidR="00815893" w:rsidRDefault="00815893" w:rsidP="00902113">
      <w:pPr>
        <w:autoSpaceDE w:val="0"/>
        <w:autoSpaceDN w:val="0"/>
        <w:adjustRightInd w:val="0"/>
        <w:rPr>
          <w:rFonts w:cstheme="minorHAnsi"/>
          <w:lang w:eastAsia="cs-CZ"/>
        </w:rPr>
      </w:pPr>
    </w:p>
    <w:p w14:paraId="10DDE468" w14:textId="10F14CF7" w:rsidR="005405DF" w:rsidRPr="00EC639B" w:rsidRDefault="005405DF" w:rsidP="00902113">
      <w:pPr>
        <w:autoSpaceDE w:val="0"/>
        <w:autoSpaceDN w:val="0"/>
        <w:adjustRightInd w:val="0"/>
        <w:rPr>
          <w:rFonts w:cstheme="minorHAnsi"/>
          <w:lang w:eastAsia="cs-CZ"/>
        </w:rPr>
      </w:pPr>
      <w:r w:rsidRPr="00EC639B">
        <w:rPr>
          <w:rFonts w:cstheme="minorHAnsi"/>
          <w:lang w:eastAsia="cs-CZ"/>
        </w:rPr>
        <w:t xml:space="preserve">Česká pojišťovna předložila MF celkem 11 </w:t>
      </w:r>
      <w:r w:rsidRPr="007C50B4">
        <w:rPr>
          <w:rFonts w:cstheme="minorHAnsi"/>
          <w:lang w:eastAsia="cs-CZ"/>
        </w:rPr>
        <w:t xml:space="preserve">žádostí </w:t>
      </w:r>
      <w:r w:rsidR="007D0097" w:rsidRPr="007C50B4">
        <w:rPr>
          <w:rFonts w:cstheme="minorHAnsi"/>
          <w:lang w:eastAsia="cs-CZ"/>
        </w:rPr>
        <w:t>o souhlas s</w:t>
      </w:r>
      <w:r w:rsidRPr="007C50B4">
        <w:rPr>
          <w:rFonts w:cstheme="minorHAnsi"/>
          <w:lang w:eastAsia="cs-CZ"/>
        </w:rPr>
        <w:t xml:space="preserve"> upuštění</w:t>
      </w:r>
      <w:r w:rsidR="007D0097" w:rsidRPr="007C50B4">
        <w:rPr>
          <w:rFonts w:cstheme="minorHAnsi"/>
          <w:lang w:eastAsia="cs-CZ"/>
        </w:rPr>
        <w:t>m</w:t>
      </w:r>
      <w:r w:rsidRPr="007C50B4">
        <w:rPr>
          <w:rFonts w:cstheme="minorHAnsi"/>
          <w:lang w:eastAsia="cs-CZ"/>
        </w:rPr>
        <w:t xml:space="preserve"> od vymáhání pohledávek</w:t>
      </w:r>
      <w:r w:rsidR="00077072" w:rsidRPr="007C50B4">
        <w:rPr>
          <w:rFonts w:cstheme="minorHAnsi"/>
          <w:lang w:eastAsia="cs-CZ"/>
        </w:rPr>
        <w:t xml:space="preserve"> za roky 2015 až 2018</w:t>
      </w:r>
      <w:r w:rsidRPr="007C50B4">
        <w:rPr>
          <w:rFonts w:cstheme="minorHAnsi"/>
          <w:lang w:eastAsia="cs-CZ"/>
        </w:rPr>
        <w:t xml:space="preserve">, z toho byly dvě žádosti </w:t>
      </w:r>
      <w:r w:rsidR="007D0097" w:rsidRPr="007C50B4">
        <w:rPr>
          <w:rFonts w:cstheme="minorHAnsi"/>
          <w:lang w:eastAsia="cs-CZ"/>
        </w:rPr>
        <w:t>o souhlas s</w:t>
      </w:r>
      <w:r w:rsidRPr="007C50B4">
        <w:rPr>
          <w:rFonts w:cstheme="minorHAnsi"/>
          <w:lang w:eastAsia="cs-CZ"/>
        </w:rPr>
        <w:t xml:space="preserve"> upuštění</w:t>
      </w:r>
      <w:r w:rsidR="007D0097" w:rsidRPr="007C50B4">
        <w:rPr>
          <w:rFonts w:cstheme="minorHAnsi"/>
          <w:lang w:eastAsia="cs-CZ"/>
        </w:rPr>
        <w:t>m</w:t>
      </w:r>
      <w:r w:rsidRPr="007C50B4">
        <w:rPr>
          <w:rFonts w:cstheme="minorHAnsi"/>
          <w:lang w:eastAsia="cs-CZ"/>
        </w:rPr>
        <w:t xml:space="preserve"> </w:t>
      </w:r>
      <w:r w:rsidR="00CD2F3B">
        <w:rPr>
          <w:rFonts w:cstheme="minorHAnsi"/>
          <w:lang w:eastAsia="cs-CZ"/>
        </w:rPr>
        <w:t xml:space="preserve">od vymáhání </w:t>
      </w:r>
      <w:r w:rsidRPr="007C50B4">
        <w:rPr>
          <w:rFonts w:cstheme="minorHAnsi"/>
          <w:lang w:eastAsia="cs-CZ"/>
        </w:rPr>
        <w:t xml:space="preserve">zvýšeného pojistného a devět žádostí </w:t>
      </w:r>
      <w:r w:rsidR="007D0097" w:rsidRPr="007C50B4">
        <w:rPr>
          <w:rFonts w:cstheme="minorHAnsi"/>
          <w:lang w:eastAsia="cs-CZ"/>
        </w:rPr>
        <w:t xml:space="preserve">o souhlas se </w:t>
      </w:r>
      <w:r w:rsidRPr="007C50B4">
        <w:rPr>
          <w:rFonts w:cstheme="minorHAnsi"/>
          <w:lang w:eastAsia="cs-CZ"/>
        </w:rPr>
        <w:t>zmírnění</w:t>
      </w:r>
      <w:r w:rsidR="007D0097" w:rsidRPr="007C50B4">
        <w:rPr>
          <w:rFonts w:cstheme="minorHAnsi"/>
          <w:lang w:eastAsia="cs-CZ"/>
        </w:rPr>
        <w:t>m</w:t>
      </w:r>
      <w:r w:rsidRPr="007C50B4">
        <w:rPr>
          <w:rFonts w:cstheme="minorHAnsi"/>
          <w:lang w:eastAsia="cs-CZ"/>
        </w:rPr>
        <w:t xml:space="preserve"> regresu</w:t>
      </w:r>
      <w:r w:rsidR="002019CC" w:rsidRPr="007C50B4">
        <w:rPr>
          <w:rStyle w:val="Znakapoznpodarou"/>
          <w:rFonts w:cstheme="minorHAnsi"/>
          <w:lang w:eastAsia="cs-CZ"/>
        </w:rPr>
        <w:footnoteReference w:id="38"/>
      </w:r>
      <w:r w:rsidRPr="007C50B4">
        <w:rPr>
          <w:rFonts w:cstheme="minorHAnsi"/>
          <w:lang w:eastAsia="cs-CZ"/>
        </w:rPr>
        <w:t xml:space="preserve"> pojistného plnění za odškodnění pracovního úrazu, vždy s návrhem procentní výše upuštění. Kooperativa </w:t>
      </w:r>
      <w:r w:rsidR="001B765C" w:rsidRPr="007C50B4">
        <w:rPr>
          <w:rFonts w:cstheme="minorHAnsi"/>
          <w:lang w:eastAsia="cs-CZ"/>
        </w:rPr>
        <w:t xml:space="preserve">v tomto období </w:t>
      </w:r>
      <w:r w:rsidRPr="007C50B4">
        <w:rPr>
          <w:rFonts w:cstheme="minorHAnsi"/>
          <w:lang w:eastAsia="cs-CZ"/>
        </w:rPr>
        <w:t xml:space="preserve">předložila celkem 60 žádostí o </w:t>
      </w:r>
      <w:r w:rsidR="007D0097" w:rsidRPr="007C50B4">
        <w:rPr>
          <w:rFonts w:cstheme="minorHAnsi"/>
          <w:lang w:eastAsia="cs-CZ"/>
        </w:rPr>
        <w:t xml:space="preserve">souhlas s </w:t>
      </w:r>
      <w:r w:rsidRPr="007C50B4">
        <w:rPr>
          <w:rFonts w:cstheme="minorHAnsi"/>
          <w:lang w:eastAsia="cs-CZ"/>
        </w:rPr>
        <w:t>upuštění</w:t>
      </w:r>
      <w:r w:rsidR="007D0097" w:rsidRPr="007C50B4">
        <w:rPr>
          <w:rFonts w:cstheme="minorHAnsi"/>
          <w:lang w:eastAsia="cs-CZ"/>
        </w:rPr>
        <w:t>m</w:t>
      </w:r>
      <w:r w:rsidRPr="007C50B4">
        <w:rPr>
          <w:rFonts w:cstheme="minorHAnsi"/>
          <w:lang w:eastAsia="cs-CZ"/>
        </w:rPr>
        <w:t xml:space="preserve"> od vymáhání pohledávek, všechny žádosti se týkaly zvýšeného pojistného za pozdní úhradu pojistného. Žádosti obsahovaly mj.</w:t>
      </w:r>
      <w:r w:rsidR="00C96F83">
        <w:rPr>
          <w:rFonts w:cstheme="minorHAnsi"/>
          <w:lang w:eastAsia="cs-CZ"/>
        </w:rPr>
        <w:t> </w:t>
      </w:r>
      <w:r w:rsidRPr="007C50B4">
        <w:rPr>
          <w:rFonts w:cstheme="minorHAnsi"/>
          <w:lang w:eastAsia="cs-CZ"/>
        </w:rPr>
        <w:t>doporučení</w:t>
      </w:r>
      <w:r w:rsidR="004C2A39">
        <w:rPr>
          <w:rFonts w:cstheme="minorHAnsi"/>
          <w:lang w:eastAsia="cs-CZ"/>
        </w:rPr>
        <w:t>, jaká</w:t>
      </w:r>
      <w:r w:rsidR="00677512" w:rsidRPr="007C50B4">
        <w:rPr>
          <w:rFonts w:cstheme="minorHAnsi"/>
          <w:lang w:eastAsia="cs-CZ"/>
        </w:rPr>
        <w:t xml:space="preserve"> </w:t>
      </w:r>
      <w:r w:rsidRPr="007C50B4">
        <w:rPr>
          <w:rFonts w:cstheme="minorHAnsi"/>
        </w:rPr>
        <w:t>částk</w:t>
      </w:r>
      <w:r w:rsidR="004C2A39">
        <w:rPr>
          <w:rFonts w:cstheme="minorHAnsi"/>
        </w:rPr>
        <w:t>a</w:t>
      </w:r>
      <w:r w:rsidRPr="007C50B4">
        <w:rPr>
          <w:rFonts w:cstheme="minorHAnsi"/>
        </w:rPr>
        <w:t xml:space="preserve"> </w:t>
      </w:r>
      <w:r w:rsidR="00745C7E" w:rsidRPr="007C50B4">
        <w:rPr>
          <w:rFonts w:cstheme="minorHAnsi"/>
        </w:rPr>
        <w:t>zvýšeného pojistného v</w:t>
      </w:r>
      <w:r w:rsidR="00CD2F3B">
        <w:rPr>
          <w:rFonts w:cstheme="minorHAnsi"/>
        </w:rPr>
        <w:t> českých korunách</w:t>
      </w:r>
      <w:r w:rsidR="00745C7E" w:rsidRPr="007C50B4">
        <w:rPr>
          <w:rFonts w:cstheme="minorHAnsi"/>
        </w:rPr>
        <w:t xml:space="preserve"> a</w:t>
      </w:r>
      <w:r w:rsidR="004A3269">
        <w:rPr>
          <w:rFonts w:cstheme="minorHAnsi"/>
        </w:rPr>
        <w:t xml:space="preserve"> </w:t>
      </w:r>
      <w:r w:rsidRPr="007C50B4">
        <w:rPr>
          <w:rFonts w:cstheme="minorHAnsi"/>
        </w:rPr>
        <w:t>v</w:t>
      </w:r>
      <w:r w:rsidR="00677512" w:rsidRPr="007C50B4">
        <w:rPr>
          <w:rFonts w:cstheme="minorHAnsi"/>
        </w:rPr>
        <w:t> </w:t>
      </w:r>
      <w:r w:rsidRPr="007C50B4">
        <w:rPr>
          <w:rFonts w:cstheme="minorHAnsi"/>
        </w:rPr>
        <w:t>procentech</w:t>
      </w:r>
      <w:r w:rsidR="00677512" w:rsidRPr="007C50B4">
        <w:rPr>
          <w:rFonts w:cstheme="minorHAnsi"/>
        </w:rPr>
        <w:t xml:space="preserve"> </w:t>
      </w:r>
      <w:r w:rsidR="004C2A39">
        <w:rPr>
          <w:rFonts w:cstheme="minorHAnsi"/>
        </w:rPr>
        <w:t>by měla</w:t>
      </w:r>
      <w:r w:rsidR="00677512" w:rsidRPr="007C50B4">
        <w:rPr>
          <w:rFonts w:cstheme="minorHAnsi"/>
        </w:rPr>
        <w:t xml:space="preserve"> být dále vymáhána</w:t>
      </w:r>
      <w:r w:rsidRPr="007C50B4">
        <w:rPr>
          <w:rFonts w:cstheme="minorHAnsi"/>
        </w:rPr>
        <w:t>.</w:t>
      </w:r>
    </w:p>
    <w:p w14:paraId="139796B1" w14:textId="77777777" w:rsidR="001B765C" w:rsidRDefault="001B765C" w:rsidP="00902113">
      <w:pPr>
        <w:autoSpaceDE w:val="0"/>
        <w:autoSpaceDN w:val="0"/>
        <w:adjustRightInd w:val="0"/>
        <w:rPr>
          <w:rFonts w:cstheme="minorHAnsi"/>
          <w:lang w:eastAsia="cs-CZ"/>
        </w:rPr>
      </w:pPr>
    </w:p>
    <w:p w14:paraId="56DEB668" w14:textId="60F0B80E" w:rsidR="005405DF" w:rsidRPr="007C50B4" w:rsidRDefault="000474E2" w:rsidP="009F2C23">
      <w:pPr>
        <w:autoSpaceDE w:val="0"/>
        <w:autoSpaceDN w:val="0"/>
        <w:adjustRightInd w:val="0"/>
      </w:pPr>
      <w:r w:rsidRPr="004976F3">
        <w:rPr>
          <w:rFonts w:cstheme="minorHAnsi"/>
          <w:lang w:eastAsia="cs-CZ"/>
        </w:rPr>
        <w:t>V</w:t>
      </w:r>
      <w:r w:rsidR="005405DF" w:rsidRPr="004976F3">
        <w:rPr>
          <w:rFonts w:cstheme="minorHAnsi"/>
          <w:lang w:eastAsia="cs-CZ"/>
        </w:rPr>
        <w:t xml:space="preserve"> žádostech</w:t>
      </w:r>
      <w:r w:rsidR="005405DF" w:rsidRPr="00EC639B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byly </w:t>
      </w:r>
      <w:r w:rsidR="005405DF" w:rsidRPr="00EC639B">
        <w:rPr>
          <w:rFonts w:cstheme="minorHAnsi"/>
          <w:lang w:eastAsia="cs-CZ"/>
        </w:rPr>
        <w:t>nejčastěji uvádě</w:t>
      </w:r>
      <w:r>
        <w:rPr>
          <w:rFonts w:cstheme="minorHAnsi"/>
          <w:lang w:eastAsia="cs-CZ"/>
        </w:rPr>
        <w:t>ny</w:t>
      </w:r>
      <w:r w:rsidR="005405DF" w:rsidRPr="00EC639B">
        <w:rPr>
          <w:rFonts w:cstheme="minorHAnsi"/>
          <w:lang w:eastAsia="cs-CZ"/>
        </w:rPr>
        <w:t xml:space="preserve"> </w:t>
      </w:r>
      <w:r w:rsidR="009D3A89">
        <w:rPr>
          <w:rFonts w:cstheme="minorHAnsi"/>
          <w:lang w:eastAsia="cs-CZ"/>
        </w:rPr>
        <w:t xml:space="preserve">tyto </w:t>
      </w:r>
      <w:r w:rsidR="005405DF" w:rsidRPr="00EC639B">
        <w:rPr>
          <w:rFonts w:cstheme="minorHAnsi"/>
          <w:lang w:eastAsia="cs-CZ"/>
        </w:rPr>
        <w:t>důvod</w:t>
      </w:r>
      <w:r>
        <w:rPr>
          <w:rFonts w:cstheme="minorHAnsi"/>
          <w:lang w:eastAsia="cs-CZ"/>
        </w:rPr>
        <w:t>y</w:t>
      </w:r>
      <w:r w:rsidR="005405DF" w:rsidRPr="00EC639B">
        <w:rPr>
          <w:rFonts w:cstheme="minorHAnsi"/>
          <w:lang w:eastAsia="cs-CZ"/>
        </w:rPr>
        <w:t xml:space="preserve"> pozdních úhrad pojistného</w:t>
      </w:r>
      <w:r w:rsidR="009D3A89">
        <w:rPr>
          <w:rFonts w:cstheme="minorHAnsi"/>
          <w:lang w:eastAsia="cs-CZ"/>
        </w:rPr>
        <w:t>:</w:t>
      </w:r>
      <w:r>
        <w:rPr>
          <w:rFonts w:cstheme="minorHAnsi"/>
          <w:lang w:eastAsia="cs-CZ"/>
        </w:rPr>
        <w:t xml:space="preserve"> </w:t>
      </w:r>
      <w:r w:rsidR="005405DF" w:rsidRPr="00EC639B">
        <w:rPr>
          <w:rFonts w:cstheme="minorHAnsi"/>
          <w:lang w:eastAsia="cs-CZ"/>
        </w:rPr>
        <w:t>tíživ</w:t>
      </w:r>
      <w:r>
        <w:rPr>
          <w:rFonts w:cstheme="minorHAnsi"/>
          <w:lang w:eastAsia="cs-CZ"/>
        </w:rPr>
        <w:t>á</w:t>
      </w:r>
      <w:r w:rsidR="005405DF" w:rsidRPr="00EC639B">
        <w:rPr>
          <w:rFonts w:cstheme="minorHAnsi"/>
          <w:lang w:eastAsia="cs-CZ"/>
        </w:rPr>
        <w:t xml:space="preserve"> ekonomick</w:t>
      </w:r>
      <w:r>
        <w:rPr>
          <w:rFonts w:cstheme="minorHAnsi"/>
          <w:lang w:eastAsia="cs-CZ"/>
        </w:rPr>
        <w:t>á</w:t>
      </w:r>
      <w:r w:rsidR="00745C7E">
        <w:rPr>
          <w:rFonts w:cstheme="minorHAnsi"/>
          <w:lang w:eastAsia="cs-CZ"/>
        </w:rPr>
        <w:t xml:space="preserve"> a</w:t>
      </w:r>
      <w:r w:rsidR="009D3A89">
        <w:rPr>
          <w:rFonts w:cstheme="minorHAnsi"/>
          <w:lang w:eastAsia="cs-CZ"/>
        </w:rPr>
        <w:t xml:space="preserve"> </w:t>
      </w:r>
      <w:r w:rsidR="005405DF" w:rsidRPr="00EC639B">
        <w:rPr>
          <w:rFonts w:cstheme="minorHAnsi"/>
          <w:lang w:eastAsia="cs-CZ"/>
        </w:rPr>
        <w:t>finanční situac</w:t>
      </w:r>
      <w:r>
        <w:rPr>
          <w:rFonts w:cstheme="minorHAnsi"/>
          <w:lang w:eastAsia="cs-CZ"/>
        </w:rPr>
        <w:t>e</w:t>
      </w:r>
      <w:r w:rsidR="009D3A89">
        <w:rPr>
          <w:rFonts w:cstheme="minorHAnsi"/>
          <w:lang w:eastAsia="cs-CZ"/>
        </w:rPr>
        <w:t>,</w:t>
      </w:r>
      <w:r w:rsidR="005405DF" w:rsidRPr="00EC639B">
        <w:rPr>
          <w:rFonts w:cstheme="minorHAnsi"/>
          <w:lang w:eastAsia="cs-CZ"/>
        </w:rPr>
        <w:t xml:space="preserve"> administrativní chy</w:t>
      </w:r>
      <w:r w:rsidR="000937A1">
        <w:rPr>
          <w:rFonts w:cstheme="minorHAnsi"/>
          <w:lang w:eastAsia="cs-CZ"/>
        </w:rPr>
        <w:t xml:space="preserve">by, nesprávné </w:t>
      </w:r>
      <w:r w:rsidR="000937A1" w:rsidRPr="007C50B4">
        <w:rPr>
          <w:rFonts w:cstheme="minorHAnsi"/>
          <w:lang w:eastAsia="cs-CZ"/>
        </w:rPr>
        <w:t>nastavení softwaru</w:t>
      </w:r>
      <w:r w:rsidR="005405DF" w:rsidRPr="007C50B4">
        <w:rPr>
          <w:rFonts w:cstheme="minorHAnsi"/>
          <w:lang w:eastAsia="cs-CZ"/>
        </w:rPr>
        <w:t>, opomenutí, nedopatření nebo výpočet pojistného v nesprávné výši.</w:t>
      </w:r>
      <w:r w:rsidR="001B765C" w:rsidRPr="007C50B4">
        <w:rPr>
          <w:rFonts w:cstheme="minorHAnsi"/>
          <w:lang w:eastAsia="cs-CZ"/>
        </w:rPr>
        <w:t xml:space="preserve"> </w:t>
      </w:r>
      <w:r w:rsidR="005405DF" w:rsidRPr="007C50B4">
        <w:t>MF udělovalo souhlasné stanovisko s upuštěním od vym</w:t>
      </w:r>
      <w:r w:rsidR="00745C7E" w:rsidRPr="007C50B4">
        <w:t>áhání pohledávek v rozmezí 10–</w:t>
      </w:r>
      <w:r w:rsidR="005405DF" w:rsidRPr="007C50B4">
        <w:t xml:space="preserve">80 %, přičemž v jednotlivých kontrolovaných letech </w:t>
      </w:r>
      <w:r w:rsidR="00077072" w:rsidRPr="007C50B4">
        <w:t>byl</w:t>
      </w:r>
      <w:r w:rsidR="005405DF" w:rsidRPr="007C50B4">
        <w:t xml:space="preserve"> zřejmý posun ke snižování částek upuštění od vymáhání.</w:t>
      </w:r>
    </w:p>
    <w:p w14:paraId="7C61BA04" w14:textId="77777777" w:rsidR="001B765C" w:rsidRPr="007C50B4" w:rsidRDefault="001B765C" w:rsidP="00902113">
      <w:pPr>
        <w:autoSpaceDE w:val="0"/>
        <w:autoSpaceDN w:val="0"/>
        <w:adjustRightInd w:val="0"/>
        <w:rPr>
          <w:rFonts w:cstheme="minorHAnsi"/>
          <w:lang w:eastAsia="cs-CZ"/>
        </w:rPr>
      </w:pPr>
    </w:p>
    <w:p w14:paraId="74F9E646" w14:textId="539F5DCA" w:rsidR="005405DF" w:rsidRPr="007C50B4" w:rsidRDefault="005405DF" w:rsidP="00902113">
      <w:pPr>
        <w:autoSpaceDE w:val="0"/>
        <w:autoSpaceDN w:val="0"/>
        <w:adjustRightInd w:val="0"/>
        <w:rPr>
          <w:rFonts w:cstheme="minorHAnsi"/>
          <w:b/>
          <w:lang w:eastAsia="cs-CZ"/>
        </w:rPr>
      </w:pPr>
      <w:r w:rsidRPr="007C50B4">
        <w:rPr>
          <w:rFonts w:cstheme="minorHAnsi"/>
          <w:lang w:eastAsia="cs-CZ"/>
        </w:rPr>
        <w:t>MF vydalo na základě žádostí pojišťoven v 47 případech souhlasn</w:t>
      </w:r>
      <w:r w:rsidR="00D31C84">
        <w:rPr>
          <w:rFonts w:cstheme="minorHAnsi"/>
          <w:lang w:eastAsia="cs-CZ"/>
        </w:rPr>
        <w:t>é</w:t>
      </w:r>
      <w:r w:rsidRPr="007C50B4">
        <w:rPr>
          <w:rFonts w:cstheme="minorHAnsi"/>
          <w:lang w:eastAsia="cs-CZ"/>
        </w:rPr>
        <w:t xml:space="preserve"> stanovisk</w:t>
      </w:r>
      <w:r w:rsidR="00D31C84">
        <w:rPr>
          <w:rFonts w:cstheme="minorHAnsi"/>
          <w:lang w:eastAsia="cs-CZ"/>
        </w:rPr>
        <w:t>o</w:t>
      </w:r>
      <w:r w:rsidRPr="007C50B4">
        <w:rPr>
          <w:rFonts w:cstheme="minorHAnsi"/>
          <w:lang w:eastAsia="cs-CZ"/>
        </w:rPr>
        <w:t xml:space="preserve"> </w:t>
      </w:r>
      <w:r w:rsidR="00D31C84">
        <w:rPr>
          <w:rFonts w:cstheme="minorHAnsi"/>
          <w:lang w:eastAsia="cs-CZ"/>
        </w:rPr>
        <w:t>k</w:t>
      </w:r>
      <w:r w:rsidR="000937A1" w:rsidRPr="007C50B4">
        <w:rPr>
          <w:rFonts w:cstheme="minorHAnsi"/>
          <w:lang w:eastAsia="cs-CZ"/>
        </w:rPr>
        <w:t xml:space="preserve"> upuštění od vymáhání pohledávek v</w:t>
      </w:r>
      <w:r w:rsidRPr="007C50B4">
        <w:rPr>
          <w:rFonts w:cstheme="minorHAnsi"/>
          <w:lang w:eastAsia="cs-CZ"/>
        </w:rPr>
        <w:t> celkov</w:t>
      </w:r>
      <w:r w:rsidR="000937A1" w:rsidRPr="007C50B4">
        <w:rPr>
          <w:rFonts w:cstheme="minorHAnsi"/>
          <w:lang w:eastAsia="cs-CZ"/>
        </w:rPr>
        <w:t>é</w:t>
      </w:r>
      <w:r w:rsidRPr="007C50B4">
        <w:rPr>
          <w:rFonts w:cstheme="minorHAnsi"/>
          <w:lang w:eastAsia="cs-CZ"/>
        </w:rPr>
        <w:t xml:space="preserve"> </w:t>
      </w:r>
      <w:r w:rsidR="000937A1" w:rsidRPr="007C50B4">
        <w:rPr>
          <w:rFonts w:cstheme="minorHAnsi"/>
          <w:lang w:eastAsia="cs-CZ"/>
        </w:rPr>
        <w:t>výši</w:t>
      </w:r>
      <w:r w:rsidRPr="007C50B4">
        <w:rPr>
          <w:rFonts w:cstheme="minorHAnsi"/>
          <w:lang w:eastAsia="cs-CZ"/>
        </w:rPr>
        <w:t xml:space="preserve"> 10</w:t>
      </w:r>
      <w:r w:rsidR="00D31C84">
        <w:rPr>
          <w:rFonts w:cstheme="minorHAnsi"/>
          <w:lang w:eastAsia="cs-CZ"/>
        </w:rPr>
        <w:t xml:space="preserve"> </w:t>
      </w:r>
      <w:r w:rsidRPr="007C50B4">
        <w:rPr>
          <w:rFonts w:cstheme="minorHAnsi"/>
          <w:lang w:eastAsia="cs-CZ"/>
        </w:rPr>
        <w:t>113</w:t>
      </w:r>
      <w:r w:rsidR="00D31C84">
        <w:rPr>
          <w:rFonts w:cstheme="minorHAnsi"/>
          <w:lang w:eastAsia="cs-CZ"/>
        </w:rPr>
        <w:t xml:space="preserve"> </w:t>
      </w:r>
      <w:r w:rsidRPr="007C50B4">
        <w:rPr>
          <w:rFonts w:cstheme="minorHAnsi"/>
          <w:lang w:eastAsia="cs-CZ"/>
        </w:rPr>
        <w:t>970 Kč.</w:t>
      </w:r>
      <w:r w:rsidR="009F2C23" w:rsidRPr="007C50B4">
        <w:rPr>
          <w:rFonts w:cstheme="minorHAnsi"/>
          <w:lang w:eastAsia="cs-CZ"/>
        </w:rPr>
        <w:t xml:space="preserve"> </w:t>
      </w:r>
      <w:r w:rsidR="00D95067" w:rsidRPr="007C50B4">
        <w:rPr>
          <w:rFonts w:cstheme="minorHAnsi"/>
          <w:lang w:eastAsia="cs-CZ"/>
        </w:rPr>
        <w:t>V</w:t>
      </w:r>
      <w:r w:rsidRPr="007C50B4">
        <w:rPr>
          <w:rFonts w:cstheme="minorHAnsi"/>
          <w:lang w:eastAsia="cs-CZ"/>
        </w:rPr>
        <w:t xml:space="preserve"> 24 případech </w:t>
      </w:r>
      <w:r w:rsidR="00D95067" w:rsidRPr="007C50B4">
        <w:rPr>
          <w:rFonts w:cstheme="minorHAnsi"/>
          <w:lang w:eastAsia="cs-CZ"/>
        </w:rPr>
        <w:t xml:space="preserve">vydalo MF </w:t>
      </w:r>
      <w:r w:rsidRPr="007C50B4">
        <w:rPr>
          <w:rFonts w:cstheme="minorHAnsi"/>
          <w:lang w:eastAsia="cs-CZ"/>
        </w:rPr>
        <w:t>nesouhlasné stanovisko s tím, že</w:t>
      </w:r>
      <w:r w:rsidR="00D31C84">
        <w:rPr>
          <w:rFonts w:cstheme="minorHAnsi"/>
          <w:lang w:eastAsia="cs-CZ"/>
        </w:rPr>
        <w:t xml:space="preserve"> </w:t>
      </w:r>
      <w:r w:rsidRPr="007C50B4">
        <w:rPr>
          <w:rFonts w:cstheme="minorHAnsi"/>
        </w:rPr>
        <w:t>souhlas udělí pouze</w:t>
      </w:r>
      <w:r w:rsidR="00D95067" w:rsidRPr="007C50B4">
        <w:rPr>
          <w:rFonts w:cstheme="minorHAnsi"/>
        </w:rPr>
        <w:t xml:space="preserve"> za podmínky</w:t>
      </w:r>
      <w:r w:rsidRPr="007C50B4">
        <w:rPr>
          <w:rFonts w:cstheme="minorHAnsi"/>
        </w:rPr>
        <w:t xml:space="preserve">, </w:t>
      </w:r>
      <w:r w:rsidR="00D95067" w:rsidRPr="007C50B4">
        <w:rPr>
          <w:rFonts w:cstheme="minorHAnsi"/>
        </w:rPr>
        <w:t>že pojišťovna navrhne</w:t>
      </w:r>
      <w:r w:rsidR="00D31C84">
        <w:rPr>
          <w:rFonts w:cstheme="minorHAnsi"/>
        </w:rPr>
        <w:t xml:space="preserve"> </w:t>
      </w:r>
      <w:r w:rsidRPr="007C50B4">
        <w:rPr>
          <w:rFonts w:cstheme="minorHAnsi"/>
        </w:rPr>
        <w:t xml:space="preserve">nižší výši. </w:t>
      </w:r>
      <w:r w:rsidR="00D95067" w:rsidRPr="007C50B4">
        <w:rPr>
          <w:rFonts w:cstheme="minorHAnsi"/>
          <w:lang w:eastAsia="cs-CZ"/>
        </w:rPr>
        <w:t xml:space="preserve">MF v nesouhlasných stanoviscích neuvedlo žádné důvody, proč požaduje jinou procentuální výši částečného upuštění. </w:t>
      </w:r>
      <w:r w:rsidR="000474E2" w:rsidRPr="007C50B4">
        <w:rPr>
          <w:rFonts w:cstheme="minorHAnsi"/>
        </w:rPr>
        <w:t xml:space="preserve">Pojišťovny </w:t>
      </w:r>
      <w:r w:rsidRPr="007C50B4">
        <w:rPr>
          <w:rFonts w:cstheme="minorHAnsi"/>
        </w:rPr>
        <w:t>následně podaly novou</w:t>
      </w:r>
      <w:r w:rsidR="00C6111E">
        <w:rPr>
          <w:rFonts w:cstheme="minorHAnsi"/>
        </w:rPr>
        <w:t>,</w:t>
      </w:r>
      <w:r w:rsidRPr="007C50B4">
        <w:rPr>
          <w:rFonts w:cstheme="minorHAnsi"/>
        </w:rPr>
        <w:t xml:space="preserve"> </w:t>
      </w:r>
      <w:r w:rsidR="00D95067" w:rsidRPr="007C50B4">
        <w:rPr>
          <w:rFonts w:cstheme="minorHAnsi"/>
        </w:rPr>
        <w:t xml:space="preserve">upravenou </w:t>
      </w:r>
      <w:r w:rsidRPr="007C50B4">
        <w:rPr>
          <w:rFonts w:cstheme="minorHAnsi"/>
        </w:rPr>
        <w:t xml:space="preserve">žádost o </w:t>
      </w:r>
      <w:r w:rsidR="000937A1" w:rsidRPr="007C50B4">
        <w:rPr>
          <w:rFonts w:cstheme="minorHAnsi"/>
        </w:rPr>
        <w:t>souhlas s</w:t>
      </w:r>
      <w:r w:rsidR="00D31C84">
        <w:rPr>
          <w:rFonts w:cstheme="minorHAnsi"/>
        </w:rPr>
        <w:t> </w:t>
      </w:r>
      <w:r w:rsidRPr="007C50B4">
        <w:rPr>
          <w:rFonts w:cstheme="minorHAnsi"/>
        </w:rPr>
        <w:t>upuštění</w:t>
      </w:r>
      <w:r w:rsidR="000937A1" w:rsidRPr="007C50B4">
        <w:rPr>
          <w:rFonts w:cstheme="minorHAnsi"/>
        </w:rPr>
        <w:t>m</w:t>
      </w:r>
      <w:r w:rsidRPr="007C50B4">
        <w:rPr>
          <w:rFonts w:cstheme="minorHAnsi"/>
        </w:rPr>
        <w:t xml:space="preserve"> od</w:t>
      </w:r>
      <w:r w:rsidR="004A3269">
        <w:rPr>
          <w:rFonts w:cstheme="minorHAnsi"/>
        </w:rPr>
        <w:t xml:space="preserve"> </w:t>
      </w:r>
      <w:r w:rsidRPr="007C50B4">
        <w:rPr>
          <w:rFonts w:cstheme="minorHAnsi"/>
        </w:rPr>
        <w:t xml:space="preserve">vymáhání, ke které MF </w:t>
      </w:r>
      <w:r w:rsidR="000937A1" w:rsidRPr="007C50B4">
        <w:rPr>
          <w:rFonts w:cstheme="minorHAnsi"/>
        </w:rPr>
        <w:t xml:space="preserve">již </w:t>
      </w:r>
      <w:r w:rsidRPr="007C50B4">
        <w:rPr>
          <w:rFonts w:cstheme="minorHAnsi"/>
        </w:rPr>
        <w:t xml:space="preserve">vydalo souhlasné stanovisko. </w:t>
      </w:r>
      <w:r w:rsidR="000937A1" w:rsidRPr="007C50B4">
        <w:rPr>
          <w:rFonts w:cstheme="minorHAnsi"/>
        </w:rPr>
        <w:t>U</w:t>
      </w:r>
      <w:r w:rsidRPr="007C50B4">
        <w:rPr>
          <w:rFonts w:cstheme="minorHAnsi"/>
          <w:lang w:eastAsia="cs-CZ"/>
        </w:rPr>
        <w:t xml:space="preserve">vedeným postupem MF došlo k navýšení původně pojišťovnami navrhované částky k vymáhání </w:t>
      </w:r>
      <w:r w:rsidR="00E15E84">
        <w:rPr>
          <w:rFonts w:cstheme="minorHAnsi"/>
          <w:lang w:eastAsia="cs-CZ"/>
        </w:rPr>
        <w:t>z </w:t>
      </w:r>
      <w:r w:rsidRPr="007C50B4">
        <w:rPr>
          <w:rFonts w:cstheme="minorHAnsi"/>
          <w:lang w:eastAsia="cs-CZ"/>
        </w:rPr>
        <w:t>5 587 324 Kč na částku 7 531 228 Kč, tj. navýšení o 1 943 904 Kč.</w:t>
      </w:r>
      <w:r w:rsidR="00D95067" w:rsidRPr="007C50B4">
        <w:rPr>
          <w:rFonts w:cstheme="minorHAnsi"/>
          <w:b/>
          <w:lang w:eastAsia="cs-CZ"/>
        </w:rPr>
        <w:t xml:space="preserve"> </w:t>
      </w:r>
      <w:r w:rsidRPr="007C50B4">
        <w:rPr>
          <w:rFonts w:cstheme="minorHAnsi"/>
          <w:b/>
          <w:lang w:eastAsia="cs-CZ"/>
        </w:rPr>
        <w:t>U jednotlivých případů</w:t>
      </w:r>
      <w:r w:rsidR="009F2C23" w:rsidRPr="007C50B4">
        <w:rPr>
          <w:rFonts w:cstheme="minorHAnsi"/>
          <w:b/>
          <w:lang w:eastAsia="cs-CZ"/>
        </w:rPr>
        <w:t xml:space="preserve"> následných souhlasů</w:t>
      </w:r>
      <w:r w:rsidRPr="007C50B4">
        <w:rPr>
          <w:rFonts w:cstheme="minorHAnsi"/>
          <w:b/>
          <w:lang w:eastAsia="cs-CZ"/>
        </w:rPr>
        <w:t xml:space="preserve"> ne</w:t>
      </w:r>
      <w:r w:rsidR="009F2C23" w:rsidRPr="007C50B4">
        <w:rPr>
          <w:rFonts w:cstheme="minorHAnsi"/>
          <w:b/>
          <w:lang w:eastAsia="cs-CZ"/>
        </w:rPr>
        <w:t>bylo možné ověřit</w:t>
      </w:r>
      <w:r w:rsidRPr="007C50B4">
        <w:rPr>
          <w:rFonts w:cstheme="minorHAnsi"/>
          <w:b/>
          <w:lang w:eastAsia="cs-CZ"/>
        </w:rPr>
        <w:t>, na</w:t>
      </w:r>
      <w:r w:rsidR="004A3269">
        <w:rPr>
          <w:rFonts w:cstheme="minorHAnsi"/>
          <w:b/>
          <w:lang w:eastAsia="cs-CZ"/>
        </w:rPr>
        <w:t xml:space="preserve"> </w:t>
      </w:r>
      <w:r w:rsidRPr="007C50B4">
        <w:rPr>
          <w:rFonts w:cstheme="minorHAnsi"/>
          <w:b/>
          <w:lang w:eastAsia="cs-CZ"/>
        </w:rPr>
        <w:t xml:space="preserve">základě jakých kritérií a </w:t>
      </w:r>
      <w:r w:rsidR="00D95067" w:rsidRPr="007C50B4">
        <w:rPr>
          <w:rFonts w:cstheme="minorHAnsi"/>
          <w:b/>
          <w:lang w:eastAsia="cs-CZ"/>
        </w:rPr>
        <w:t>hodnot</w:t>
      </w:r>
      <w:r w:rsidRPr="007C50B4">
        <w:rPr>
          <w:rFonts w:cstheme="minorHAnsi"/>
          <w:b/>
          <w:lang w:eastAsia="cs-CZ"/>
        </w:rPr>
        <w:t xml:space="preserve"> MF vydávalo souhlasy s upuštěním od</w:t>
      </w:r>
      <w:r w:rsidR="004A3269">
        <w:rPr>
          <w:rFonts w:cstheme="minorHAnsi"/>
          <w:b/>
          <w:lang w:eastAsia="cs-CZ"/>
        </w:rPr>
        <w:t xml:space="preserve"> </w:t>
      </w:r>
      <w:r w:rsidRPr="007C50B4">
        <w:rPr>
          <w:rFonts w:cstheme="minorHAnsi"/>
          <w:b/>
          <w:lang w:eastAsia="cs-CZ"/>
        </w:rPr>
        <w:t>vymáhání pohledávek z</w:t>
      </w:r>
      <w:r w:rsidR="00C6111E">
        <w:rPr>
          <w:rFonts w:cstheme="minorHAnsi"/>
          <w:b/>
          <w:lang w:eastAsia="cs-CZ"/>
        </w:rPr>
        <w:t>e</w:t>
      </w:r>
      <w:r w:rsidRPr="007C50B4">
        <w:rPr>
          <w:rFonts w:cstheme="minorHAnsi"/>
          <w:b/>
          <w:lang w:eastAsia="cs-CZ"/>
        </w:rPr>
        <w:t xml:space="preserve"> zvýšené</w:t>
      </w:r>
      <w:r w:rsidR="00C6111E">
        <w:rPr>
          <w:rFonts w:cstheme="minorHAnsi"/>
          <w:b/>
          <w:lang w:eastAsia="cs-CZ"/>
        </w:rPr>
        <w:t>ho</w:t>
      </w:r>
      <w:r w:rsidRPr="007C50B4">
        <w:rPr>
          <w:rFonts w:cstheme="minorHAnsi"/>
          <w:b/>
          <w:lang w:eastAsia="cs-CZ"/>
        </w:rPr>
        <w:t xml:space="preserve"> pojistné</w:t>
      </w:r>
      <w:r w:rsidR="00C6111E">
        <w:rPr>
          <w:rFonts w:cstheme="minorHAnsi"/>
          <w:b/>
          <w:lang w:eastAsia="cs-CZ"/>
        </w:rPr>
        <w:t>ho</w:t>
      </w:r>
      <w:r w:rsidRPr="007C50B4">
        <w:rPr>
          <w:rFonts w:cstheme="minorHAnsi"/>
          <w:b/>
          <w:lang w:eastAsia="cs-CZ"/>
        </w:rPr>
        <w:t xml:space="preserve"> nebo regres</w:t>
      </w:r>
      <w:r w:rsidR="00C6111E">
        <w:rPr>
          <w:rFonts w:cstheme="minorHAnsi"/>
          <w:b/>
          <w:lang w:eastAsia="cs-CZ"/>
        </w:rPr>
        <w:t>ů</w:t>
      </w:r>
      <w:r w:rsidRPr="007C50B4">
        <w:rPr>
          <w:rFonts w:cstheme="minorHAnsi"/>
          <w:b/>
          <w:lang w:eastAsia="cs-CZ"/>
        </w:rPr>
        <w:t xml:space="preserve">. </w:t>
      </w:r>
    </w:p>
    <w:p w14:paraId="688AB4C1" w14:textId="77777777" w:rsidR="001B765C" w:rsidRPr="007C50B4" w:rsidRDefault="001B765C" w:rsidP="00902113">
      <w:pPr>
        <w:autoSpaceDE w:val="0"/>
        <w:autoSpaceDN w:val="0"/>
        <w:adjustRightInd w:val="0"/>
        <w:rPr>
          <w:rFonts w:cstheme="minorHAnsi"/>
          <w:lang w:eastAsia="cs-CZ"/>
        </w:rPr>
      </w:pPr>
    </w:p>
    <w:p w14:paraId="5CC9BF6E" w14:textId="5DD978E3" w:rsidR="007F1168" w:rsidRDefault="00C665E4" w:rsidP="009F2C23">
      <w:pPr>
        <w:autoSpaceDE w:val="0"/>
        <w:autoSpaceDN w:val="0"/>
        <w:adjustRightInd w:val="0"/>
        <w:rPr>
          <w:rFonts w:cstheme="minorHAnsi"/>
          <w:bCs/>
          <w:u w:val="single"/>
        </w:rPr>
      </w:pPr>
      <w:r w:rsidRPr="007C50B4">
        <w:rPr>
          <w:rFonts w:cstheme="minorHAnsi"/>
          <w:lang w:eastAsia="cs-CZ"/>
        </w:rPr>
        <w:t xml:space="preserve">MF v 71 případech vydalo </w:t>
      </w:r>
      <w:r w:rsidR="008262CC" w:rsidRPr="007C50B4">
        <w:rPr>
          <w:rFonts w:cstheme="minorHAnsi"/>
          <w:lang w:eastAsia="cs-CZ"/>
        </w:rPr>
        <w:t xml:space="preserve">souhlasné </w:t>
      </w:r>
      <w:r w:rsidRPr="007C50B4">
        <w:rPr>
          <w:rFonts w:cstheme="minorHAnsi"/>
          <w:lang w:eastAsia="cs-CZ"/>
        </w:rPr>
        <w:t xml:space="preserve">stanovisko </w:t>
      </w:r>
      <w:r w:rsidR="00E64756">
        <w:rPr>
          <w:rFonts w:cstheme="minorHAnsi"/>
          <w:lang w:eastAsia="cs-CZ"/>
        </w:rPr>
        <w:t>k</w:t>
      </w:r>
      <w:r w:rsidRPr="007C50B4">
        <w:rPr>
          <w:rFonts w:cstheme="minorHAnsi"/>
          <w:lang w:eastAsia="cs-CZ"/>
        </w:rPr>
        <w:t xml:space="preserve"> upuštění od vymáhání pohledávek ve výši 18 414 343 Kč, tj. 51 % z celkové částky zvýšeného pojistného nebo regresu 36 059 541 Kč, pojišťovny tak vymáhaly částku 17 645 198 Kč. </w:t>
      </w:r>
      <w:r w:rsidR="00D95067" w:rsidRPr="007C50B4">
        <w:rPr>
          <w:rFonts w:cstheme="minorHAnsi"/>
          <w:b/>
          <w:lang w:eastAsia="cs-CZ"/>
        </w:rPr>
        <w:t>P</w:t>
      </w:r>
      <w:r w:rsidR="005405DF" w:rsidRPr="007C50B4">
        <w:rPr>
          <w:rFonts w:cstheme="minorHAnsi"/>
          <w:b/>
          <w:lang w:eastAsia="cs-CZ"/>
        </w:rPr>
        <w:t>ostup MF při vydávání souhlasů s upuštěním od</w:t>
      </w:r>
      <w:r w:rsidR="00E62D27">
        <w:rPr>
          <w:rFonts w:cstheme="minorHAnsi"/>
          <w:b/>
          <w:lang w:eastAsia="cs-CZ"/>
        </w:rPr>
        <w:t xml:space="preserve"> </w:t>
      </w:r>
      <w:r w:rsidR="005405DF" w:rsidRPr="007C50B4">
        <w:rPr>
          <w:rFonts w:cstheme="minorHAnsi"/>
          <w:b/>
          <w:lang w:eastAsia="cs-CZ"/>
        </w:rPr>
        <w:t>vymáhání pohledávek dle vyhlášky</w:t>
      </w:r>
      <w:r w:rsidR="005405DF" w:rsidRPr="007C50B4">
        <w:rPr>
          <w:rStyle w:val="Znakapoznpodarou"/>
          <w:rFonts w:eastAsiaTheme="majorEastAsia" w:cstheme="minorHAnsi"/>
          <w:b/>
          <w:lang w:eastAsia="cs-CZ"/>
        </w:rPr>
        <w:footnoteReference w:id="39"/>
      </w:r>
      <w:r w:rsidR="005405DF" w:rsidRPr="007C50B4">
        <w:rPr>
          <w:rFonts w:cstheme="minorHAnsi"/>
          <w:b/>
          <w:lang w:eastAsia="cs-CZ"/>
        </w:rPr>
        <w:t xml:space="preserve"> </w:t>
      </w:r>
      <w:r w:rsidR="00077072" w:rsidRPr="007C50B4">
        <w:rPr>
          <w:rFonts w:cstheme="minorHAnsi"/>
          <w:b/>
          <w:lang w:eastAsia="cs-CZ"/>
        </w:rPr>
        <w:t>byl</w:t>
      </w:r>
      <w:r w:rsidR="005405DF" w:rsidRPr="007C50B4">
        <w:rPr>
          <w:rFonts w:cstheme="minorHAnsi"/>
          <w:b/>
          <w:lang w:eastAsia="cs-CZ"/>
        </w:rPr>
        <w:t xml:space="preserve"> nepřezkoumatelný a netransparentní.</w:t>
      </w:r>
      <w:r w:rsidR="005405DF" w:rsidRPr="00EC639B">
        <w:rPr>
          <w:rFonts w:cstheme="minorHAnsi"/>
          <w:lang w:eastAsia="cs-CZ"/>
        </w:rPr>
        <w:t xml:space="preserve"> </w:t>
      </w:r>
    </w:p>
    <w:p w14:paraId="50130A97" w14:textId="77777777" w:rsidR="00C665E4" w:rsidRDefault="00C665E4" w:rsidP="00902113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7F63DB4C" w14:textId="561DC713" w:rsidR="005405DF" w:rsidRPr="00F85419" w:rsidRDefault="005405DF" w:rsidP="0016602D">
      <w:pPr>
        <w:pStyle w:val="Odstavecseseznamem"/>
        <w:keepNext/>
        <w:numPr>
          <w:ilvl w:val="0"/>
          <w:numId w:val="32"/>
        </w:numPr>
        <w:spacing w:after="0"/>
        <w:ind w:left="357"/>
        <w:jc w:val="both"/>
      </w:pPr>
      <w:r w:rsidRPr="0026723D">
        <w:rPr>
          <w:b/>
        </w:rPr>
        <w:t xml:space="preserve">MF </w:t>
      </w:r>
      <w:r w:rsidR="00AA26D0" w:rsidRPr="0026723D">
        <w:rPr>
          <w:b/>
        </w:rPr>
        <w:t xml:space="preserve">porušilo právní předpis, když </w:t>
      </w:r>
      <w:r w:rsidRPr="0026723D">
        <w:rPr>
          <w:b/>
        </w:rPr>
        <w:t>nevymáhalo úrok z prodlení ve výši 1 304 43</w:t>
      </w:r>
      <w:r w:rsidR="00534240" w:rsidRPr="0026723D">
        <w:rPr>
          <w:b/>
        </w:rPr>
        <w:t>4</w:t>
      </w:r>
      <w:r w:rsidRPr="0026723D">
        <w:rPr>
          <w:b/>
        </w:rPr>
        <w:t> Kč.</w:t>
      </w:r>
    </w:p>
    <w:p w14:paraId="1773FAE4" w14:textId="77777777" w:rsidR="00C665E4" w:rsidRPr="00EC639B" w:rsidRDefault="00C665E4" w:rsidP="0016602D">
      <w:pPr>
        <w:pStyle w:val="Odstavecseseznamem"/>
        <w:keepNext/>
        <w:spacing w:after="0" w:line="240" w:lineRule="auto"/>
        <w:ind w:left="0"/>
        <w:jc w:val="both"/>
        <w:rPr>
          <w:rFonts w:asciiTheme="minorHAnsi" w:hAnsiTheme="minorHAnsi" w:cstheme="minorHAnsi"/>
          <w:bCs/>
          <w:szCs w:val="24"/>
          <w:u w:val="single"/>
        </w:rPr>
      </w:pPr>
    </w:p>
    <w:p w14:paraId="7072BD24" w14:textId="278421B7" w:rsidR="00266BAB" w:rsidRPr="004B7833" w:rsidRDefault="005405DF" w:rsidP="00902113">
      <w:pPr>
        <w:rPr>
          <w:rFonts w:cstheme="minorHAnsi"/>
        </w:rPr>
      </w:pPr>
      <w:r w:rsidRPr="00EC639B">
        <w:rPr>
          <w:rFonts w:cstheme="minorHAnsi"/>
        </w:rPr>
        <w:t>Česká pojišťovna odvedla za rok 2015 přebytek vzniklý z provozování zákonného pojištění do</w:t>
      </w:r>
      <w:r w:rsidR="00D168A6">
        <w:rPr>
          <w:rFonts w:cstheme="minorHAnsi"/>
        </w:rPr>
        <w:t xml:space="preserve"> </w:t>
      </w:r>
      <w:r w:rsidRPr="00EC639B">
        <w:rPr>
          <w:rFonts w:cstheme="minorHAnsi"/>
        </w:rPr>
        <w:t>státního rozpočtu ve výši 741 339 661 Kč až dne 8. 7. 2016, tj. 8 dní po zákonem stanovené lhůtě</w:t>
      </w:r>
      <w:r w:rsidR="00ED6534">
        <w:rPr>
          <w:rStyle w:val="Znakapoznpodarou"/>
          <w:rFonts w:cstheme="minorHAnsi"/>
        </w:rPr>
        <w:footnoteReference w:id="40"/>
      </w:r>
      <w:r w:rsidRPr="00EC639B">
        <w:rPr>
          <w:rFonts w:cstheme="minorHAnsi"/>
        </w:rPr>
        <w:t xml:space="preserve">. </w:t>
      </w:r>
      <w:r w:rsidRPr="00EC639B">
        <w:rPr>
          <w:rFonts w:cstheme="minorHAnsi"/>
          <w:bCs/>
        </w:rPr>
        <w:t xml:space="preserve">MF </w:t>
      </w:r>
      <w:r w:rsidR="00AA1679" w:rsidRPr="00EC639B">
        <w:rPr>
          <w:rFonts w:cstheme="minorHAnsi"/>
          <w:bCs/>
        </w:rPr>
        <w:t>nepožadovalo</w:t>
      </w:r>
      <w:r w:rsidR="00B611C8" w:rsidRPr="00EC639B">
        <w:rPr>
          <w:rFonts w:cstheme="minorHAnsi"/>
          <w:bCs/>
        </w:rPr>
        <w:t xml:space="preserve"> </w:t>
      </w:r>
      <w:r w:rsidRPr="00EC639B">
        <w:rPr>
          <w:rFonts w:cstheme="minorHAnsi"/>
          <w:bCs/>
        </w:rPr>
        <w:t xml:space="preserve">od České pojišťovny úrok z prodlení podle zvláštního právního </w:t>
      </w:r>
      <w:r w:rsidRPr="00EC639B">
        <w:rPr>
          <w:rFonts w:cstheme="minorHAnsi"/>
          <w:bCs/>
        </w:rPr>
        <w:lastRenderedPageBreak/>
        <w:t>předpisu</w:t>
      </w:r>
      <w:r w:rsidRPr="00EC639B">
        <w:rPr>
          <w:rStyle w:val="Znakapoznpodarou"/>
          <w:rFonts w:cstheme="minorHAnsi"/>
          <w:bCs/>
        </w:rPr>
        <w:footnoteReference w:id="41"/>
      </w:r>
      <w:r w:rsidR="00DD1FC2">
        <w:rPr>
          <w:rFonts w:cstheme="minorHAnsi"/>
          <w:bCs/>
        </w:rPr>
        <w:t>. Ú</w:t>
      </w:r>
      <w:r w:rsidRPr="00EC639B">
        <w:rPr>
          <w:rFonts w:cstheme="minorHAnsi"/>
          <w:bCs/>
        </w:rPr>
        <w:t>rok z </w:t>
      </w:r>
      <w:r w:rsidR="00DD1FC2" w:rsidRPr="00EC639B">
        <w:rPr>
          <w:rFonts w:cstheme="minorHAnsi"/>
          <w:bCs/>
        </w:rPr>
        <w:t>pro</w:t>
      </w:r>
      <w:r w:rsidR="00DD1FC2">
        <w:rPr>
          <w:rFonts w:cstheme="minorHAnsi"/>
          <w:bCs/>
        </w:rPr>
        <w:t>dlení je vymahatelný</w:t>
      </w:r>
      <w:r w:rsidR="00363328">
        <w:rPr>
          <w:rFonts w:cstheme="minorHAnsi"/>
          <w:bCs/>
        </w:rPr>
        <w:t>,</w:t>
      </w:r>
      <w:r w:rsidR="00DD1FC2">
        <w:rPr>
          <w:rFonts w:cstheme="minorHAnsi"/>
          <w:bCs/>
        </w:rPr>
        <w:t xml:space="preserve"> pokud </w:t>
      </w:r>
      <w:r w:rsidR="00F26A82">
        <w:rPr>
          <w:rFonts w:cstheme="minorHAnsi"/>
          <w:bCs/>
        </w:rPr>
        <w:t>v úhrnu přesáh</w:t>
      </w:r>
      <w:r w:rsidR="00DD1FC2">
        <w:rPr>
          <w:rFonts w:cstheme="minorHAnsi"/>
          <w:bCs/>
        </w:rPr>
        <w:t>ne</w:t>
      </w:r>
      <w:r w:rsidR="00F26A82">
        <w:rPr>
          <w:rFonts w:cstheme="minorHAnsi"/>
          <w:bCs/>
        </w:rPr>
        <w:t xml:space="preserve"> částku 5 </w:t>
      </w:r>
      <w:r w:rsidRPr="00EC639B">
        <w:rPr>
          <w:rFonts w:cstheme="minorHAnsi"/>
          <w:bCs/>
        </w:rPr>
        <w:t>000 Kč</w:t>
      </w:r>
      <w:r w:rsidR="00B611C8" w:rsidRPr="00EC639B">
        <w:rPr>
          <w:rStyle w:val="Znakapoznpodarou"/>
          <w:rFonts w:cstheme="minorHAnsi"/>
          <w:bCs/>
        </w:rPr>
        <w:footnoteReference w:id="42"/>
      </w:r>
      <w:r w:rsidRPr="00EC639B">
        <w:rPr>
          <w:rFonts w:cstheme="minorHAnsi"/>
          <w:bCs/>
        </w:rPr>
        <w:t>. Prodlení započalo 1. 7. 2016 a skončilo 8. 7. </w:t>
      </w:r>
      <w:r w:rsidRPr="004B7833">
        <w:rPr>
          <w:rFonts w:cstheme="minorHAnsi"/>
          <w:bCs/>
        </w:rPr>
        <w:t>2016</w:t>
      </w:r>
      <w:r w:rsidR="00377CD0" w:rsidRPr="004B7833">
        <w:rPr>
          <w:rFonts w:cstheme="minorHAnsi"/>
          <w:bCs/>
        </w:rPr>
        <w:t>, viz tab</w:t>
      </w:r>
      <w:r w:rsidR="00AC1DBE">
        <w:rPr>
          <w:rFonts w:cstheme="minorHAnsi"/>
          <w:bCs/>
        </w:rPr>
        <w:t>ulka</w:t>
      </w:r>
      <w:r w:rsidR="00377CD0" w:rsidRPr="004B7833">
        <w:rPr>
          <w:rFonts w:cstheme="minorHAnsi"/>
          <w:bCs/>
        </w:rPr>
        <w:t xml:space="preserve"> č. </w:t>
      </w:r>
      <w:r w:rsidR="00406280" w:rsidRPr="004B7833">
        <w:rPr>
          <w:rFonts w:cstheme="minorHAnsi"/>
          <w:bCs/>
        </w:rPr>
        <w:t>3</w:t>
      </w:r>
      <w:r w:rsidR="0092302F">
        <w:rPr>
          <w:rFonts w:cstheme="minorHAnsi"/>
          <w:bCs/>
        </w:rPr>
        <w:t>.</w:t>
      </w:r>
    </w:p>
    <w:p w14:paraId="48B7A6B2" w14:textId="77777777" w:rsidR="00266BAB" w:rsidRPr="004B7833" w:rsidRDefault="00266BAB" w:rsidP="00902113">
      <w:pPr>
        <w:rPr>
          <w:rFonts w:cstheme="minorHAnsi"/>
        </w:rPr>
      </w:pPr>
    </w:p>
    <w:p w14:paraId="19E6388B" w14:textId="0A4CDDD7" w:rsidR="005405DF" w:rsidRPr="001635E1" w:rsidRDefault="005405DF" w:rsidP="00AA3C3C">
      <w:pPr>
        <w:keepNext/>
        <w:rPr>
          <w:rFonts w:cstheme="minorHAnsi"/>
          <w:b/>
          <w:sz w:val="22"/>
          <w:szCs w:val="22"/>
        </w:rPr>
      </w:pPr>
      <w:r w:rsidRPr="001635E1">
        <w:rPr>
          <w:rFonts w:cstheme="minorHAnsi"/>
          <w:b/>
          <w:sz w:val="22"/>
          <w:szCs w:val="22"/>
        </w:rPr>
        <w:t xml:space="preserve">Tabulka č. </w:t>
      </w:r>
      <w:r w:rsidR="00406280" w:rsidRPr="001635E1">
        <w:rPr>
          <w:rFonts w:cstheme="minorHAnsi"/>
          <w:b/>
          <w:sz w:val="22"/>
          <w:szCs w:val="22"/>
        </w:rPr>
        <w:t>3</w:t>
      </w:r>
      <w:r w:rsidRPr="001635E1">
        <w:rPr>
          <w:rFonts w:cstheme="minorHAnsi"/>
          <w:b/>
          <w:sz w:val="22"/>
          <w:szCs w:val="22"/>
        </w:rPr>
        <w:t>: Úrok z prodlení za pozdní odvod přebytku Českou pojišťovnou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353"/>
        <w:gridCol w:w="1353"/>
        <w:gridCol w:w="1940"/>
        <w:gridCol w:w="1850"/>
      </w:tblGrid>
      <w:tr w:rsidR="00902113" w:rsidRPr="00902113" w14:paraId="45ADF33E" w14:textId="77777777" w:rsidTr="00AA3C3C">
        <w:trPr>
          <w:trHeight w:val="290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18016C" w14:textId="77777777" w:rsidR="004976F3" w:rsidRDefault="00902113" w:rsidP="0090211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Přebytek</w:t>
            </w:r>
            <w:r w:rsidR="007105D4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 xml:space="preserve"> ze zákonného pojištění</w:t>
            </w:r>
            <w:r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 xml:space="preserve"> </w:t>
            </w:r>
          </w:p>
          <w:p w14:paraId="3013E033" w14:textId="4CFB6C11" w:rsidR="00902113" w:rsidRPr="00F26A82" w:rsidRDefault="004976F3" w:rsidP="0090211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(</w:t>
            </w:r>
            <w:r w:rsidR="00902113"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v Kč</w:t>
            </w:r>
            <w:r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)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8CC4BF" w14:textId="77777777" w:rsidR="00902113" w:rsidRPr="00F26A82" w:rsidRDefault="00902113" w:rsidP="0090211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Uhrazeno dne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4647A0E" w14:textId="77777777" w:rsidR="00902113" w:rsidRPr="00F26A82" w:rsidRDefault="00902113" w:rsidP="0090211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Dny prodlení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DAB1413" w14:textId="7DE7AD3D" w:rsidR="00902113" w:rsidRPr="00F26A82" w:rsidRDefault="00902113" w:rsidP="0090211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 xml:space="preserve">Úroková sazba </w:t>
            </w:r>
            <w:r w:rsidR="004976F3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(</w:t>
            </w:r>
            <w:r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v %</w:t>
            </w:r>
            <w:r w:rsidR="004976F3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)</w:t>
            </w:r>
            <w:r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 xml:space="preserve"> 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CC629E2" w14:textId="77777777" w:rsidR="004976F3" w:rsidRDefault="00902113" w:rsidP="0090211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 xml:space="preserve">Úrok z prodlení </w:t>
            </w:r>
          </w:p>
          <w:p w14:paraId="472DDE17" w14:textId="3941A7CE" w:rsidR="00902113" w:rsidRPr="00F26A82" w:rsidRDefault="004976F3" w:rsidP="0090211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(</w:t>
            </w:r>
            <w:r w:rsidR="00902113"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v</w:t>
            </w:r>
            <w:r w:rsidR="00194EA4"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 </w:t>
            </w:r>
            <w:r w:rsidR="00902113" w:rsidRPr="00F26A82"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Kč</w:t>
            </w:r>
            <w:r>
              <w:rPr>
                <w:rFonts w:ascii="Calibri" w:hAnsi="Calibri" w:cs="Calibri"/>
                <w:b/>
                <w:color w:val="000000"/>
                <w:sz w:val="18"/>
                <w:szCs w:val="20"/>
                <w:lang w:eastAsia="cs-CZ"/>
              </w:rPr>
              <w:t>)</w:t>
            </w:r>
          </w:p>
        </w:tc>
      </w:tr>
      <w:tr w:rsidR="00902113" w:rsidRPr="00902113" w14:paraId="35B4D14B" w14:textId="77777777" w:rsidTr="00AA3C3C">
        <w:trPr>
          <w:trHeight w:val="290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7807" w14:textId="77777777" w:rsidR="00902113" w:rsidRPr="00F26A82" w:rsidRDefault="00902113" w:rsidP="00902113">
            <w:pPr>
              <w:jc w:val="left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A9A" w14:textId="77777777" w:rsidR="00902113" w:rsidRPr="00F26A82" w:rsidRDefault="00902113" w:rsidP="00902113">
            <w:pPr>
              <w:jc w:val="left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696A" w14:textId="77777777" w:rsidR="00902113" w:rsidRPr="00F26A82" w:rsidRDefault="00902113" w:rsidP="00902113">
            <w:pPr>
              <w:jc w:val="left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BD4EEAF" w14:textId="77777777" w:rsidR="00902113" w:rsidRPr="00F26A82" w:rsidRDefault="00902113" w:rsidP="00902113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v roce 2016</w:t>
            </w: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8DFB" w14:textId="77777777" w:rsidR="00902113" w:rsidRPr="00F26A82" w:rsidRDefault="00902113" w:rsidP="00902113">
            <w:pPr>
              <w:jc w:val="left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902113" w:rsidRPr="00902113" w14:paraId="6FE4AD9C" w14:textId="77777777" w:rsidTr="00363328">
        <w:trPr>
          <w:trHeight w:val="29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EE6E" w14:textId="77777777" w:rsidR="00902113" w:rsidRPr="00F26A82" w:rsidRDefault="00902113" w:rsidP="00902113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741 339 661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D70B" w14:textId="7EF9279B" w:rsidR="00902113" w:rsidRPr="00F26A82" w:rsidRDefault="00902113" w:rsidP="004976F3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8. 7. 2016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75D3" w14:textId="77777777" w:rsidR="00902113" w:rsidRPr="00F26A82" w:rsidRDefault="00902113" w:rsidP="00902113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8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54D" w14:textId="77777777" w:rsidR="00902113" w:rsidRPr="00F26A82" w:rsidRDefault="00902113" w:rsidP="00902113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8,05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C6E8" w14:textId="77777777" w:rsidR="00902113" w:rsidRPr="00F26A82" w:rsidRDefault="00902113" w:rsidP="00902113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F26A82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1 304 433,72</w:t>
            </w:r>
          </w:p>
        </w:tc>
      </w:tr>
    </w:tbl>
    <w:p w14:paraId="32E53947" w14:textId="1F752177" w:rsidR="005405DF" w:rsidRPr="00167C2B" w:rsidRDefault="005405DF" w:rsidP="00902113">
      <w:pPr>
        <w:rPr>
          <w:rFonts w:cstheme="minorHAnsi"/>
          <w:bCs/>
          <w:sz w:val="20"/>
          <w:szCs w:val="22"/>
        </w:rPr>
      </w:pPr>
      <w:r w:rsidRPr="002B5B23">
        <w:rPr>
          <w:rFonts w:cstheme="minorHAnsi"/>
          <w:b/>
          <w:bCs/>
          <w:sz w:val="20"/>
          <w:szCs w:val="22"/>
        </w:rPr>
        <w:t>Zdroj:</w:t>
      </w:r>
      <w:r w:rsidR="004B04B4" w:rsidRPr="00C94639">
        <w:rPr>
          <w:rFonts w:cstheme="minorHAnsi"/>
          <w:bCs/>
          <w:sz w:val="20"/>
          <w:szCs w:val="22"/>
        </w:rPr>
        <w:t xml:space="preserve"> informace zjištěné kontrolou;</w:t>
      </w:r>
      <w:r w:rsidRPr="00167C2B">
        <w:rPr>
          <w:rFonts w:cstheme="minorHAnsi"/>
          <w:bCs/>
          <w:sz w:val="20"/>
          <w:szCs w:val="22"/>
        </w:rPr>
        <w:t xml:space="preserve"> vlastní zpracování</w:t>
      </w:r>
      <w:r w:rsidR="006957D5">
        <w:rPr>
          <w:rFonts w:cstheme="minorHAnsi"/>
          <w:bCs/>
          <w:sz w:val="20"/>
          <w:szCs w:val="22"/>
        </w:rPr>
        <w:t xml:space="preserve"> NKÚ</w:t>
      </w:r>
      <w:r w:rsidR="002B5B23">
        <w:rPr>
          <w:rFonts w:cstheme="minorHAnsi"/>
          <w:bCs/>
          <w:sz w:val="20"/>
          <w:szCs w:val="22"/>
        </w:rPr>
        <w:t>.</w:t>
      </w:r>
    </w:p>
    <w:p w14:paraId="1ED31929" w14:textId="77777777" w:rsidR="00167C2B" w:rsidRDefault="00167C2B" w:rsidP="00902113">
      <w:pPr>
        <w:rPr>
          <w:rFonts w:cstheme="minorHAnsi"/>
          <w:bCs/>
          <w:sz w:val="22"/>
          <w:szCs w:val="22"/>
        </w:rPr>
      </w:pPr>
    </w:p>
    <w:p w14:paraId="2378EE7F" w14:textId="3B61E867" w:rsidR="005405DF" w:rsidRDefault="005405DF" w:rsidP="00902113">
      <w:pPr>
        <w:rPr>
          <w:rFonts w:cstheme="minorHAnsi"/>
          <w:bCs/>
        </w:rPr>
      </w:pPr>
      <w:r w:rsidRPr="00EC639B">
        <w:rPr>
          <w:rFonts w:cstheme="minorHAnsi"/>
          <w:bCs/>
        </w:rPr>
        <w:t xml:space="preserve">MF vznikl nárok na úrok z prodlení za dobu, ve které byla Česká pojišťovna v prodlení s odvodem přebytku. MF vznikla pohledávka (úrok z prodlení) ve výši </w:t>
      </w:r>
      <w:r w:rsidRPr="00534240">
        <w:rPr>
          <w:rFonts w:cstheme="minorHAnsi"/>
          <w:bCs/>
        </w:rPr>
        <w:t>1 304 43</w:t>
      </w:r>
      <w:r w:rsidR="00534240">
        <w:rPr>
          <w:rFonts w:cstheme="minorHAnsi"/>
          <w:bCs/>
        </w:rPr>
        <w:t>4</w:t>
      </w:r>
      <w:r w:rsidRPr="00EC639B">
        <w:rPr>
          <w:rFonts w:cstheme="minorHAnsi"/>
          <w:bCs/>
        </w:rPr>
        <w:t> Kč</w:t>
      </w:r>
      <w:r w:rsidRPr="00EC639B">
        <w:rPr>
          <w:rStyle w:val="Znakapoznpodarou"/>
          <w:rFonts w:cstheme="minorHAnsi"/>
          <w:bCs/>
        </w:rPr>
        <w:footnoteReference w:id="43"/>
      </w:r>
      <w:r w:rsidRPr="00EC639B">
        <w:rPr>
          <w:rFonts w:cstheme="minorHAnsi"/>
          <w:bCs/>
        </w:rPr>
        <w:t xml:space="preserve"> a</w:t>
      </w:r>
      <w:r w:rsidR="009667C9">
        <w:rPr>
          <w:rFonts w:cstheme="minorHAnsi"/>
          <w:bCs/>
        </w:rPr>
        <w:t xml:space="preserve"> </w:t>
      </w:r>
      <w:r w:rsidRPr="00EC639B">
        <w:rPr>
          <w:rFonts w:cstheme="minorHAnsi"/>
          <w:bCs/>
        </w:rPr>
        <w:t xml:space="preserve">České pojišťovně dluh ve stejné výši. MF </w:t>
      </w:r>
      <w:r w:rsidR="00B611C8" w:rsidRPr="00EC639B">
        <w:rPr>
          <w:rFonts w:cstheme="minorHAnsi"/>
          <w:bCs/>
        </w:rPr>
        <w:t>nesledovalo</w:t>
      </w:r>
      <w:r w:rsidRPr="00EC639B">
        <w:rPr>
          <w:rStyle w:val="Znakapoznpodarou"/>
          <w:rFonts w:cstheme="minorHAnsi"/>
          <w:bCs/>
        </w:rPr>
        <w:footnoteReference w:id="44"/>
      </w:r>
      <w:r w:rsidRPr="00EC639B">
        <w:rPr>
          <w:rFonts w:cstheme="minorHAnsi"/>
          <w:bCs/>
        </w:rPr>
        <w:t>, zda Česká pojišťovna tento svůj dluh spl</w:t>
      </w:r>
      <w:r w:rsidR="00815893">
        <w:rPr>
          <w:rFonts w:cstheme="minorHAnsi"/>
          <w:bCs/>
        </w:rPr>
        <w:t>atila</w:t>
      </w:r>
      <w:r w:rsidRPr="00EC639B">
        <w:rPr>
          <w:rFonts w:cstheme="minorHAnsi"/>
          <w:bCs/>
        </w:rPr>
        <w:t xml:space="preserve"> včas a řádně</w:t>
      </w:r>
      <w:r w:rsidR="00594EAC">
        <w:rPr>
          <w:rFonts w:cstheme="minorHAnsi"/>
          <w:bCs/>
        </w:rPr>
        <w:t>,</w:t>
      </w:r>
      <w:r w:rsidRPr="00EC639B">
        <w:rPr>
          <w:rFonts w:cstheme="minorHAnsi"/>
          <w:bCs/>
        </w:rPr>
        <w:t xml:space="preserve"> a </w:t>
      </w:r>
      <w:r w:rsidR="009667C9" w:rsidRPr="00EC639B">
        <w:rPr>
          <w:rFonts w:cstheme="minorHAnsi"/>
          <w:bCs/>
        </w:rPr>
        <w:t xml:space="preserve">nezajistilo </w:t>
      </w:r>
      <w:r w:rsidRPr="00EC639B">
        <w:rPr>
          <w:rFonts w:cstheme="minorHAnsi"/>
          <w:bCs/>
        </w:rPr>
        <w:t>včasným uplatněním a vymáháním tohoto dluhu, aby nedošlo k jeho promlčení</w:t>
      </w:r>
      <w:r w:rsidR="00B611C8" w:rsidRPr="00EC639B">
        <w:rPr>
          <w:rFonts w:cstheme="minorHAnsi"/>
          <w:bCs/>
        </w:rPr>
        <w:t>. Promlčecí lhůta uplynula</w:t>
      </w:r>
      <w:r w:rsidRPr="00EC639B">
        <w:rPr>
          <w:rFonts w:cstheme="minorHAnsi"/>
          <w:bCs/>
        </w:rPr>
        <w:t xml:space="preserve"> dne 8.</w:t>
      </w:r>
      <w:r w:rsidR="00B611C8" w:rsidRPr="00EC639B">
        <w:rPr>
          <w:rFonts w:cstheme="minorHAnsi"/>
          <w:bCs/>
        </w:rPr>
        <w:t> </w:t>
      </w:r>
      <w:r w:rsidRPr="00EC639B">
        <w:rPr>
          <w:rFonts w:cstheme="minorHAnsi"/>
          <w:bCs/>
        </w:rPr>
        <w:t>7</w:t>
      </w:r>
      <w:r w:rsidR="00077072" w:rsidRPr="00EC639B">
        <w:rPr>
          <w:rFonts w:cstheme="minorHAnsi"/>
          <w:bCs/>
        </w:rPr>
        <w:t>. </w:t>
      </w:r>
      <w:r w:rsidRPr="00EC639B">
        <w:rPr>
          <w:rFonts w:cstheme="minorHAnsi"/>
          <w:bCs/>
        </w:rPr>
        <w:t>2019</w:t>
      </w:r>
      <w:r w:rsidR="00B611C8" w:rsidRPr="00EC639B">
        <w:rPr>
          <w:rFonts w:cstheme="minorHAnsi"/>
          <w:bCs/>
        </w:rPr>
        <w:t>.</w:t>
      </w:r>
      <w:r w:rsidRPr="00EC639B">
        <w:rPr>
          <w:rFonts w:cstheme="minorHAnsi"/>
          <w:bCs/>
        </w:rPr>
        <w:t xml:space="preserve"> </w:t>
      </w:r>
    </w:p>
    <w:p w14:paraId="7CC2AF9C" w14:textId="77777777" w:rsidR="002C7F68" w:rsidRPr="00EC639B" w:rsidRDefault="002C7F68" w:rsidP="00902113">
      <w:pPr>
        <w:rPr>
          <w:rFonts w:cstheme="minorHAnsi"/>
          <w:bCs/>
        </w:rPr>
      </w:pPr>
    </w:p>
    <w:p w14:paraId="620743D2" w14:textId="0869910C" w:rsidR="005405DF" w:rsidRPr="00F85419" w:rsidRDefault="005405DF" w:rsidP="00F85419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FB4E61">
        <w:rPr>
          <w:rFonts w:asciiTheme="minorHAnsi" w:hAnsiTheme="minorHAnsi" w:cstheme="minorHAnsi"/>
          <w:b/>
          <w:bCs/>
          <w:szCs w:val="24"/>
        </w:rPr>
        <w:t xml:space="preserve">Česká pojišťovna </w:t>
      </w:r>
      <w:r w:rsidR="00AA26D0" w:rsidRPr="00FB4E61">
        <w:rPr>
          <w:rFonts w:asciiTheme="minorHAnsi" w:hAnsiTheme="minorHAnsi" w:cstheme="minorHAnsi"/>
          <w:b/>
          <w:bCs/>
          <w:szCs w:val="24"/>
        </w:rPr>
        <w:t>porušila právní předpis</w:t>
      </w:r>
      <w:r w:rsidR="00ED6534" w:rsidRPr="00FB4E61">
        <w:rPr>
          <w:rStyle w:val="Znakapoznpodarou"/>
          <w:rFonts w:asciiTheme="minorHAnsi" w:hAnsiTheme="minorHAnsi" w:cstheme="minorHAnsi"/>
          <w:b/>
          <w:bCs/>
          <w:szCs w:val="24"/>
        </w:rPr>
        <w:footnoteReference w:id="45"/>
      </w:r>
      <w:r w:rsidR="00AA26D0" w:rsidRPr="00FB4E61">
        <w:rPr>
          <w:rFonts w:asciiTheme="minorHAnsi" w:hAnsiTheme="minorHAnsi" w:cstheme="minorHAnsi"/>
          <w:b/>
          <w:bCs/>
          <w:szCs w:val="24"/>
        </w:rPr>
        <w:t xml:space="preserve"> tím, že ne</w:t>
      </w:r>
      <w:r w:rsidRPr="00FB4E61">
        <w:rPr>
          <w:rFonts w:asciiTheme="minorHAnsi" w:hAnsiTheme="minorHAnsi" w:cstheme="minorHAnsi"/>
          <w:b/>
          <w:bCs/>
          <w:szCs w:val="24"/>
        </w:rPr>
        <w:t>stanovila přebytk</w:t>
      </w:r>
      <w:r w:rsidR="00AA26D0" w:rsidRPr="00FB4E61">
        <w:rPr>
          <w:rFonts w:asciiTheme="minorHAnsi" w:hAnsiTheme="minorHAnsi" w:cstheme="minorHAnsi"/>
          <w:b/>
          <w:bCs/>
          <w:szCs w:val="24"/>
        </w:rPr>
        <w:t>y</w:t>
      </w:r>
      <w:r w:rsidRPr="00FB4E61">
        <w:rPr>
          <w:rFonts w:asciiTheme="minorHAnsi" w:hAnsiTheme="minorHAnsi" w:cstheme="minorHAnsi"/>
          <w:b/>
          <w:bCs/>
          <w:szCs w:val="24"/>
        </w:rPr>
        <w:t xml:space="preserve"> </w:t>
      </w:r>
      <w:r w:rsidR="007105D4" w:rsidRPr="00FB4E61">
        <w:rPr>
          <w:rFonts w:asciiTheme="minorHAnsi" w:hAnsiTheme="minorHAnsi" w:cstheme="minorHAnsi"/>
          <w:b/>
          <w:bCs/>
          <w:szCs w:val="24"/>
        </w:rPr>
        <w:t xml:space="preserve">ze </w:t>
      </w:r>
      <w:r w:rsidR="00AA26D0" w:rsidRPr="00FB4E61">
        <w:rPr>
          <w:rFonts w:asciiTheme="minorHAnsi" w:hAnsiTheme="minorHAnsi" w:cstheme="minorHAnsi"/>
          <w:b/>
          <w:bCs/>
          <w:szCs w:val="24"/>
        </w:rPr>
        <w:t>zákonného pojištění za roky 2017 a 2018 ve správné výši a sníži</w:t>
      </w:r>
      <w:r w:rsidR="002B5B23" w:rsidRPr="00FB4E61">
        <w:rPr>
          <w:rFonts w:asciiTheme="minorHAnsi" w:hAnsiTheme="minorHAnsi" w:cstheme="minorHAnsi"/>
          <w:b/>
          <w:bCs/>
          <w:szCs w:val="24"/>
        </w:rPr>
        <w:t>la odvod do státního rozpočtu o </w:t>
      </w:r>
      <w:r w:rsidR="00AA26D0" w:rsidRPr="00FB4E61">
        <w:rPr>
          <w:rFonts w:asciiTheme="minorHAnsi" w:hAnsiTheme="minorHAnsi" w:cstheme="minorHAnsi"/>
          <w:b/>
          <w:bCs/>
          <w:szCs w:val="24"/>
        </w:rPr>
        <w:t>648 743 Kč.</w:t>
      </w:r>
    </w:p>
    <w:p w14:paraId="61EB7A80" w14:textId="77777777" w:rsidR="004550B2" w:rsidRPr="00EC639B" w:rsidRDefault="004550B2" w:rsidP="00AD6A0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Cs w:val="24"/>
          <w:u w:val="single"/>
        </w:rPr>
      </w:pPr>
    </w:p>
    <w:p w14:paraId="5F73AC2D" w14:textId="68DA1409" w:rsidR="00164FF3" w:rsidRDefault="00164FF3" w:rsidP="001D15B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AB2485">
        <w:rPr>
          <w:rFonts w:asciiTheme="minorHAnsi" w:hAnsiTheme="minorHAnsi" w:cstheme="minorHAnsi"/>
          <w:szCs w:val="24"/>
        </w:rPr>
        <w:t>V</w:t>
      </w:r>
      <w:r w:rsidR="002B5B23" w:rsidRPr="00AB2485">
        <w:rPr>
          <w:rFonts w:asciiTheme="minorHAnsi" w:hAnsiTheme="minorHAnsi" w:cstheme="minorHAnsi"/>
          <w:szCs w:val="24"/>
        </w:rPr>
        <w:t xml:space="preserve"> letech</w:t>
      </w:r>
      <w:r w:rsidR="002B5B23">
        <w:rPr>
          <w:rFonts w:asciiTheme="minorHAnsi" w:hAnsiTheme="minorHAnsi" w:cstheme="minorHAnsi"/>
          <w:szCs w:val="24"/>
        </w:rPr>
        <w:t xml:space="preserve"> 2015–</w:t>
      </w:r>
      <w:r w:rsidR="005405DF" w:rsidRPr="00EC639B">
        <w:rPr>
          <w:rFonts w:asciiTheme="minorHAnsi" w:hAnsiTheme="minorHAnsi" w:cstheme="minorHAnsi"/>
          <w:szCs w:val="24"/>
        </w:rPr>
        <w:t xml:space="preserve">2018 hradila </w:t>
      </w:r>
      <w:r w:rsidRPr="00EC639B">
        <w:rPr>
          <w:rFonts w:asciiTheme="minorHAnsi" w:hAnsiTheme="minorHAnsi" w:cstheme="minorHAnsi"/>
          <w:szCs w:val="24"/>
        </w:rPr>
        <w:t xml:space="preserve">Česká pojišťovna </w:t>
      </w:r>
      <w:r w:rsidR="005405DF" w:rsidRPr="00EC639B">
        <w:rPr>
          <w:rFonts w:asciiTheme="minorHAnsi" w:hAnsiTheme="minorHAnsi" w:cstheme="minorHAnsi"/>
          <w:szCs w:val="24"/>
        </w:rPr>
        <w:t>bance dva typy poplatků, které souvisely s objemem finančních prostředků na bankovní</w:t>
      </w:r>
      <w:r w:rsidRPr="00EC639B">
        <w:rPr>
          <w:rFonts w:asciiTheme="minorHAnsi" w:hAnsiTheme="minorHAnsi" w:cstheme="minorHAnsi"/>
          <w:szCs w:val="24"/>
        </w:rPr>
        <w:t>m</w:t>
      </w:r>
      <w:r w:rsidR="005405DF" w:rsidRPr="00EC639B">
        <w:rPr>
          <w:rFonts w:asciiTheme="minorHAnsi" w:hAnsiTheme="minorHAnsi" w:cstheme="minorHAnsi"/>
          <w:szCs w:val="24"/>
        </w:rPr>
        <w:t xml:space="preserve"> účt</w:t>
      </w:r>
      <w:r w:rsidRPr="00EC639B">
        <w:rPr>
          <w:rFonts w:asciiTheme="minorHAnsi" w:hAnsiTheme="minorHAnsi" w:cstheme="minorHAnsi"/>
          <w:szCs w:val="24"/>
        </w:rPr>
        <w:t>u.</w:t>
      </w:r>
      <w:r w:rsidR="004550B2">
        <w:rPr>
          <w:rFonts w:asciiTheme="minorHAnsi" w:hAnsiTheme="minorHAnsi" w:cstheme="minorHAnsi"/>
          <w:szCs w:val="24"/>
        </w:rPr>
        <w:t xml:space="preserve"> </w:t>
      </w:r>
      <w:r w:rsidR="005405DF" w:rsidRPr="00EC639B">
        <w:rPr>
          <w:rFonts w:asciiTheme="minorHAnsi" w:hAnsiTheme="minorHAnsi" w:cstheme="minorHAnsi"/>
          <w:szCs w:val="24"/>
        </w:rPr>
        <w:t>Je</w:t>
      </w:r>
      <w:r w:rsidR="00243170">
        <w:rPr>
          <w:rFonts w:asciiTheme="minorHAnsi" w:hAnsiTheme="minorHAnsi" w:cstheme="minorHAnsi"/>
          <w:szCs w:val="24"/>
        </w:rPr>
        <w:t>dnalo se o poplatek z depozit a </w:t>
      </w:r>
      <w:r w:rsidR="005405DF" w:rsidRPr="00EC639B">
        <w:rPr>
          <w:rFonts w:asciiTheme="minorHAnsi" w:hAnsiTheme="minorHAnsi" w:cstheme="minorHAnsi"/>
          <w:szCs w:val="24"/>
        </w:rPr>
        <w:t xml:space="preserve">poplatek z přírůstku depozit. </w:t>
      </w:r>
      <w:r w:rsidRPr="00EC639B">
        <w:rPr>
          <w:rFonts w:asciiTheme="minorHAnsi" w:hAnsiTheme="minorHAnsi" w:cstheme="minorHAnsi"/>
          <w:szCs w:val="24"/>
        </w:rPr>
        <w:t xml:space="preserve">V letech 2017 a 2018 </w:t>
      </w:r>
      <w:r w:rsidR="00446A48">
        <w:rPr>
          <w:rFonts w:asciiTheme="minorHAnsi" w:hAnsiTheme="minorHAnsi" w:cstheme="minorHAnsi"/>
          <w:szCs w:val="24"/>
        </w:rPr>
        <w:t>chybně</w:t>
      </w:r>
      <w:r w:rsidRPr="00EC639B">
        <w:rPr>
          <w:rFonts w:asciiTheme="minorHAnsi" w:hAnsiTheme="minorHAnsi" w:cstheme="minorHAnsi"/>
          <w:szCs w:val="24"/>
        </w:rPr>
        <w:t xml:space="preserve"> zaúčtovala </w:t>
      </w:r>
      <w:r w:rsidR="002D798E">
        <w:rPr>
          <w:rFonts w:asciiTheme="minorHAnsi" w:hAnsiTheme="minorHAnsi" w:cstheme="minorHAnsi"/>
          <w:szCs w:val="24"/>
        </w:rPr>
        <w:t xml:space="preserve">tyto </w:t>
      </w:r>
      <w:r w:rsidRPr="00EC639B">
        <w:rPr>
          <w:rFonts w:asciiTheme="minorHAnsi" w:hAnsiTheme="minorHAnsi" w:cstheme="minorHAnsi"/>
          <w:szCs w:val="24"/>
        </w:rPr>
        <w:t>poplatky jako snížení přijatého pojistného</w:t>
      </w:r>
      <w:r w:rsidR="00077072" w:rsidRPr="00EC639B">
        <w:rPr>
          <w:rFonts w:asciiTheme="minorHAnsi" w:hAnsiTheme="minorHAnsi" w:cstheme="minorHAnsi"/>
          <w:szCs w:val="24"/>
        </w:rPr>
        <w:t>,</w:t>
      </w:r>
      <w:r w:rsidRPr="00EC639B">
        <w:rPr>
          <w:rFonts w:asciiTheme="minorHAnsi" w:hAnsiTheme="minorHAnsi" w:cstheme="minorHAnsi"/>
          <w:szCs w:val="24"/>
        </w:rPr>
        <w:t xml:space="preserve"> </w:t>
      </w:r>
      <w:r w:rsidR="00446A48">
        <w:rPr>
          <w:rFonts w:asciiTheme="minorHAnsi" w:hAnsiTheme="minorHAnsi" w:cstheme="minorHAnsi"/>
          <w:szCs w:val="24"/>
        </w:rPr>
        <w:t>správně je měla zaúčtovat</w:t>
      </w:r>
      <w:r w:rsidRPr="00EC639B">
        <w:rPr>
          <w:rFonts w:asciiTheme="minorHAnsi" w:hAnsiTheme="minorHAnsi" w:cstheme="minorHAnsi"/>
          <w:szCs w:val="24"/>
        </w:rPr>
        <w:t xml:space="preserve"> do nákladů.</w:t>
      </w:r>
    </w:p>
    <w:p w14:paraId="6F23002D" w14:textId="77777777" w:rsidR="004550B2" w:rsidRPr="00EC639B" w:rsidRDefault="004550B2" w:rsidP="001D15B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3F220588" w14:textId="60113286" w:rsidR="005B64B4" w:rsidRPr="00EC639B" w:rsidRDefault="00164FF3" w:rsidP="001D15B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EC639B">
        <w:rPr>
          <w:rFonts w:asciiTheme="minorHAnsi" w:hAnsiTheme="minorHAnsi" w:cstheme="minorHAnsi"/>
          <w:bCs/>
          <w:szCs w:val="24"/>
        </w:rPr>
        <w:t xml:space="preserve">Česká pojišťovna snížila vlivem </w:t>
      </w:r>
      <w:r w:rsidR="00C665E4">
        <w:rPr>
          <w:rFonts w:asciiTheme="minorHAnsi" w:hAnsiTheme="minorHAnsi" w:cstheme="minorHAnsi"/>
          <w:bCs/>
          <w:szCs w:val="24"/>
        </w:rPr>
        <w:t xml:space="preserve">chybně zaúčtovaných </w:t>
      </w:r>
      <w:r w:rsidRPr="00EC639B">
        <w:rPr>
          <w:rFonts w:asciiTheme="minorHAnsi" w:hAnsiTheme="minorHAnsi" w:cstheme="minorHAnsi"/>
          <w:bCs/>
          <w:szCs w:val="24"/>
        </w:rPr>
        <w:t xml:space="preserve">poplatků celkový objem přijatého </w:t>
      </w:r>
      <w:r w:rsidRPr="00D470EC">
        <w:rPr>
          <w:rFonts w:asciiTheme="minorHAnsi" w:hAnsiTheme="minorHAnsi" w:cstheme="minorHAnsi"/>
          <w:bCs/>
          <w:szCs w:val="24"/>
        </w:rPr>
        <w:t>pojistného o 675 774 Kč</w:t>
      </w:r>
      <w:r w:rsidR="00C665E4" w:rsidRPr="00D470EC">
        <w:rPr>
          <w:rFonts w:asciiTheme="minorHAnsi" w:hAnsiTheme="minorHAnsi" w:cstheme="minorHAnsi"/>
          <w:bCs/>
          <w:szCs w:val="24"/>
        </w:rPr>
        <w:t xml:space="preserve"> a rovněž nesprávně vypočetla</w:t>
      </w:r>
      <w:r w:rsidR="00C665E4" w:rsidRPr="00377CD0">
        <w:rPr>
          <w:rFonts w:asciiTheme="minorHAnsi" w:hAnsiTheme="minorHAnsi" w:cstheme="minorHAnsi"/>
          <w:bCs/>
          <w:szCs w:val="24"/>
        </w:rPr>
        <w:t xml:space="preserve"> ve</w:t>
      </w:r>
      <w:r w:rsidR="005B64B4" w:rsidRPr="00D470EC">
        <w:rPr>
          <w:rFonts w:asciiTheme="minorHAnsi" w:hAnsiTheme="minorHAnsi" w:cstheme="minorHAnsi"/>
          <w:bCs/>
          <w:szCs w:val="24"/>
        </w:rPr>
        <w:t xml:space="preserve"> svůj neprospěch náklady správní režie</w:t>
      </w:r>
      <w:r w:rsidR="00C665E4" w:rsidRPr="00377CD0">
        <w:rPr>
          <w:rFonts w:asciiTheme="minorHAnsi" w:hAnsiTheme="minorHAnsi" w:cstheme="minorHAnsi"/>
          <w:bCs/>
          <w:szCs w:val="24"/>
        </w:rPr>
        <w:t xml:space="preserve"> (</w:t>
      </w:r>
      <w:r w:rsidR="00C665E4" w:rsidRPr="00534240">
        <w:rPr>
          <w:rFonts w:asciiTheme="minorHAnsi" w:hAnsiTheme="minorHAnsi" w:cstheme="minorHAnsi"/>
          <w:bCs/>
          <w:szCs w:val="24"/>
        </w:rPr>
        <w:t>o 27 03</w:t>
      </w:r>
      <w:r w:rsidR="00534240">
        <w:rPr>
          <w:rFonts w:asciiTheme="minorHAnsi" w:hAnsiTheme="minorHAnsi" w:cstheme="minorHAnsi"/>
          <w:bCs/>
          <w:szCs w:val="24"/>
        </w:rPr>
        <w:t>1</w:t>
      </w:r>
      <w:r w:rsidR="00C665E4" w:rsidRPr="00377CD0">
        <w:rPr>
          <w:rFonts w:asciiTheme="minorHAnsi" w:hAnsiTheme="minorHAnsi" w:cstheme="minorHAnsi"/>
          <w:bCs/>
          <w:szCs w:val="24"/>
        </w:rPr>
        <w:t xml:space="preserve"> Kč méně). </w:t>
      </w:r>
    </w:p>
    <w:p w14:paraId="5E4E6C93" w14:textId="77777777" w:rsidR="005B64B4" w:rsidRPr="00EC639B" w:rsidRDefault="005B64B4" w:rsidP="001D15B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79BA7366" w14:textId="07B1B47F" w:rsidR="00164FF3" w:rsidRPr="004B7833" w:rsidRDefault="005B64B4" w:rsidP="001D15B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 w:rsidRPr="004B7833">
        <w:rPr>
          <w:rFonts w:asciiTheme="minorHAnsi" w:hAnsiTheme="minorHAnsi" w:cstheme="minorHAnsi"/>
          <w:b/>
          <w:szCs w:val="24"/>
        </w:rPr>
        <w:t>V průběhu ko</w:t>
      </w:r>
      <w:r w:rsidR="00F26A82" w:rsidRPr="004B7833">
        <w:rPr>
          <w:rFonts w:asciiTheme="minorHAnsi" w:hAnsiTheme="minorHAnsi" w:cstheme="minorHAnsi"/>
          <w:b/>
          <w:szCs w:val="24"/>
        </w:rPr>
        <w:t>ntroly Česká pojišťovna dne 10.</w:t>
      </w:r>
      <w:r w:rsidR="00DA796D">
        <w:rPr>
          <w:rFonts w:asciiTheme="minorHAnsi" w:hAnsiTheme="minorHAnsi" w:cstheme="minorHAnsi"/>
          <w:b/>
          <w:szCs w:val="24"/>
        </w:rPr>
        <w:t xml:space="preserve"> </w:t>
      </w:r>
      <w:r w:rsidR="00F26A82" w:rsidRPr="004B7833">
        <w:rPr>
          <w:rFonts w:asciiTheme="minorHAnsi" w:hAnsiTheme="minorHAnsi" w:cstheme="minorHAnsi"/>
          <w:b/>
          <w:szCs w:val="24"/>
        </w:rPr>
        <w:t>10.</w:t>
      </w:r>
      <w:r w:rsidR="00DA796D">
        <w:rPr>
          <w:rFonts w:asciiTheme="minorHAnsi" w:hAnsiTheme="minorHAnsi" w:cstheme="minorHAnsi"/>
          <w:b/>
          <w:szCs w:val="24"/>
        </w:rPr>
        <w:t xml:space="preserve"> </w:t>
      </w:r>
      <w:r w:rsidRPr="004B7833">
        <w:rPr>
          <w:rFonts w:asciiTheme="minorHAnsi" w:hAnsiTheme="minorHAnsi" w:cstheme="minorHAnsi"/>
          <w:b/>
          <w:szCs w:val="24"/>
        </w:rPr>
        <w:t xml:space="preserve">2019 převedla částku ve výši 675 774 Kč </w:t>
      </w:r>
      <w:r w:rsidR="008F27B0" w:rsidRPr="004B7833">
        <w:rPr>
          <w:rFonts w:asciiTheme="minorHAnsi" w:hAnsiTheme="minorHAnsi" w:cstheme="minorHAnsi"/>
          <w:b/>
          <w:szCs w:val="24"/>
        </w:rPr>
        <w:t>(</w:t>
      </w:r>
      <w:r w:rsidR="00AC0079" w:rsidRPr="004B7833">
        <w:rPr>
          <w:rFonts w:asciiTheme="minorHAnsi" w:hAnsiTheme="minorHAnsi" w:cstheme="minorHAnsi"/>
          <w:b/>
          <w:szCs w:val="24"/>
        </w:rPr>
        <w:t>bez odečtení nákladů správní režie</w:t>
      </w:r>
      <w:r w:rsidR="008F27B0" w:rsidRPr="004B7833">
        <w:rPr>
          <w:rFonts w:asciiTheme="minorHAnsi" w:hAnsiTheme="minorHAnsi" w:cstheme="minorHAnsi"/>
          <w:b/>
          <w:szCs w:val="24"/>
        </w:rPr>
        <w:t xml:space="preserve">) </w:t>
      </w:r>
      <w:r w:rsidRPr="004B7833">
        <w:rPr>
          <w:rFonts w:asciiTheme="minorHAnsi" w:hAnsiTheme="minorHAnsi" w:cstheme="minorHAnsi"/>
          <w:b/>
          <w:szCs w:val="24"/>
        </w:rPr>
        <w:t>na účet MF.</w:t>
      </w:r>
    </w:p>
    <w:p w14:paraId="72827D86" w14:textId="77777777" w:rsidR="00164FF3" w:rsidRPr="00EC639B" w:rsidRDefault="00164FF3" w:rsidP="001D15B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6087190B" w14:textId="37AC45EE" w:rsidR="005405DF" w:rsidRDefault="005405DF" w:rsidP="001D15B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EC639B">
        <w:rPr>
          <w:rFonts w:asciiTheme="minorHAnsi" w:hAnsiTheme="minorHAnsi" w:cstheme="minorHAnsi"/>
          <w:bCs/>
          <w:szCs w:val="24"/>
        </w:rPr>
        <w:t xml:space="preserve">Česká pojišťovna za roky 2015 a 2016 a Kooperativa </w:t>
      </w:r>
      <w:r w:rsidR="00524B0F">
        <w:rPr>
          <w:rFonts w:asciiTheme="minorHAnsi" w:hAnsiTheme="minorHAnsi" w:cstheme="minorHAnsi"/>
          <w:szCs w:val="24"/>
        </w:rPr>
        <w:t>za roky 2015–</w:t>
      </w:r>
      <w:r w:rsidRPr="00EC639B">
        <w:rPr>
          <w:rFonts w:asciiTheme="minorHAnsi" w:hAnsiTheme="minorHAnsi" w:cstheme="minorHAnsi"/>
          <w:szCs w:val="24"/>
        </w:rPr>
        <w:t xml:space="preserve">2018 </w:t>
      </w:r>
      <w:r w:rsidRPr="00EC639B">
        <w:rPr>
          <w:rFonts w:asciiTheme="minorHAnsi" w:hAnsiTheme="minorHAnsi" w:cstheme="minorHAnsi"/>
          <w:bCs/>
          <w:szCs w:val="24"/>
        </w:rPr>
        <w:t>odvedly přebytky do státního rozpočtu ve správné výši</w:t>
      </w:r>
      <w:r w:rsidRPr="00EC639B">
        <w:rPr>
          <w:rStyle w:val="Znakapoznpodarou"/>
          <w:rFonts w:asciiTheme="minorHAnsi" w:hAnsiTheme="minorHAnsi" w:cstheme="minorHAnsi"/>
          <w:bCs/>
          <w:szCs w:val="24"/>
        </w:rPr>
        <w:footnoteReference w:id="46"/>
      </w:r>
      <w:r w:rsidRPr="00EC639B">
        <w:rPr>
          <w:rFonts w:asciiTheme="minorHAnsi" w:hAnsiTheme="minorHAnsi" w:cstheme="minorHAnsi"/>
          <w:bCs/>
          <w:szCs w:val="24"/>
        </w:rPr>
        <w:t xml:space="preserve"> a stanovily náklady správní režie v souladu se zákoníkem práce</w:t>
      </w:r>
      <w:r w:rsidRPr="00EC639B">
        <w:rPr>
          <w:rStyle w:val="Znakapoznpodarou"/>
          <w:rFonts w:asciiTheme="minorHAnsi" w:hAnsiTheme="minorHAnsi" w:cstheme="minorHAnsi"/>
          <w:bCs/>
          <w:szCs w:val="24"/>
        </w:rPr>
        <w:footnoteReference w:id="47"/>
      </w:r>
      <w:r w:rsidRPr="00EC639B">
        <w:rPr>
          <w:rFonts w:asciiTheme="minorHAnsi" w:hAnsiTheme="minorHAnsi" w:cstheme="minorHAnsi"/>
          <w:bCs/>
          <w:szCs w:val="24"/>
        </w:rPr>
        <w:t>.</w:t>
      </w:r>
    </w:p>
    <w:p w14:paraId="27264A9C" w14:textId="77777777" w:rsidR="00A95EB4" w:rsidRPr="00EC639B" w:rsidRDefault="00A95EB4" w:rsidP="001D15B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Cs w:val="24"/>
        </w:rPr>
      </w:pPr>
    </w:p>
    <w:p w14:paraId="35619802" w14:textId="77777777" w:rsidR="00815893" w:rsidRDefault="00815893">
      <w:pPr>
        <w:spacing w:after="160" w:line="259" w:lineRule="auto"/>
        <w:jc w:val="left"/>
        <w:rPr>
          <w:rFonts w:eastAsia="Calibri" w:cstheme="minorHAnsi"/>
          <w:b/>
          <w:szCs w:val="22"/>
        </w:rPr>
      </w:pPr>
      <w:r>
        <w:rPr>
          <w:rFonts w:cstheme="minorHAnsi"/>
          <w:b/>
        </w:rPr>
        <w:br w:type="page"/>
      </w:r>
    </w:p>
    <w:p w14:paraId="0C5CF2F6" w14:textId="04F13A98" w:rsidR="00093C1E" w:rsidRPr="007C50B4" w:rsidRDefault="00093C1E" w:rsidP="00093C1E">
      <w:pPr>
        <w:pStyle w:val="Odstavecseseznamem"/>
        <w:numPr>
          <w:ilvl w:val="0"/>
          <w:numId w:val="32"/>
        </w:numPr>
        <w:spacing w:line="240" w:lineRule="auto"/>
        <w:jc w:val="both"/>
      </w:pPr>
      <w:r w:rsidRPr="00FB4E61">
        <w:rPr>
          <w:rFonts w:asciiTheme="minorHAnsi" w:hAnsiTheme="minorHAnsi" w:cstheme="minorHAnsi"/>
          <w:b/>
        </w:rPr>
        <w:lastRenderedPageBreak/>
        <w:t xml:space="preserve">Pojišťovny v intencích současné nedostatečné právní úpravy neověřovaly systematicky u zaměstnavatelů, zda odváděli pojistné ve správné výši. </w:t>
      </w:r>
      <w:r w:rsidRPr="00FB4E61">
        <w:rPr>
          <w:rFonts w:cstheme="minorHAnsi"/>
          <w:b/>
        </w:rPr>
        <w:t>Česká pojišťovna kontrolovala platby pojistného dle termínů splatnosti stanovených</w:t>
      </w:r>
      <w:r w:rsidR="004A3269" w:rsidRPr="00FB4E61">
        <w:rPr>
          <w:rFonts w:cstheme="minorHAnsi"/>
          <w:b/>
        </w:rPr>
        <w:t xml:space="preserve"> </w:t>
      </w:r>
      <w:r w:rsidRPr="00FB4E61">
        <w:rPr>
          <w:rFonts w:cstheme="minorHAnsi"/>
          <w:b/>
        </w:rPr>
        <w:t>vyhláškou</w:t>
      </w:r>
      <w:r w:rsidRPr="00FB4E61">
        <w:rPr>
          <w:rStyle w:val="Znakapoznpodarou"/>
          <w:rFonts w:cstheme="minorHAnsi"/>
          <w:b/>
        </w:rPr>
        <w:footnoteReference w:id="48"/>
      </w:r>
      <w:r w:rsidRPr="00FB4E61">
        <w:rPr>
          <w:rFonts w:cstheme="minorHAnsi"/>
          <w:b/>
        </w:rPr>
        <w:t xml:space="preserve"> pouze z hlediska existence platby</w:t>
      </w:r>
      <w:r w:rsidR="00DA796D">
        <w:rPr>
          <w:rFonts w:cstheme="minorHAnsi"/>
          <w:b/>
        </w:rPr>
        <w:t>,</w:t>
      </w:r>
      <w:r w:rsidRPr="00FB4E61">
        <w:rPr>
          <w:rFonts w:cstheme="minorHAnsi"/>
          <w:b/>
        </w:rPr>
        <w:t xml:space="preserve"> nikoli její správné výše. Kooperativa neprováděla kontroly pravidelnosti plateb a</w:t>
      </w:r>
      <w:r w:rsidR="00C21CA0" w:rsidRPr="00FB4E61">
        <w:rPr>
          <w:rFonts w:cstheme="minorHAnsi"/>
          <w:b/>
        </w:rPr>
        <w:t xml:space="preserve"> </w:t>
      </w:r>
      <w:r w:rsidRPr="00FB4E61">
        <w:rPr>
          <w:rFonts w:cstheme="minorHAnsi"/>
          <w:b/>
        </w:rPr>
        <w:t>správnosti výpočtu výše pojistného u všech zaměstnavatelů, kontrolu prováděla zejména při likvidaci pojistných událostí.</w:t>
      </w:r>
    </w:p>
    <w:p w14:paraId="32EBF7A2" w14:textId="77777777" w:rsidR="00AA26D0" w:rsidRPr="00F85419" w:rsidRDefault="00AA26D0" w:rsidP="00815893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2187D76C" w14:textId="1411459B" w:rsidR="00AA26D0" w:rsidRPr="000937A1" w:rsidRDefault="00AA26D0" w:rsidP="00AA26D0">
      <w:pPr>
        <w:pStyle w:val="Zkladntext"/>
        <w:shd w:val="clear" w:color="auto" w:fill="FFFFFF" w:themeFill="background1"/>
        <w:rPr>
          <w:rFonts w:asciiTheme="minorHAnsi" w:hAnsiTheme="minorHAnsi" w:cstheme="minorHAnsi"/>
          <w:i w:val="0"/>
          <w:strike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t>Z</w:t>
      </w:r>
      <w:r w:rsidRPr="00EC639B">
        <w:rPr>
          <w:rFonts w:asciiTheme="minorHAnsi" w:hAnsiTheme="minorHAnsi" w:cstheme="minorHAnsi"/>
          <w:bCs/>
          <w:i w:val="0"/>
          <w:sz w:val="24"/>
        </w:rPr>
        <w:t>aměstnavatel</w:t>
      </w:r>
      <w:r>
        <w:rPr>
          <w:rFonts w:asciiTheme="minorHAnsi" w:hAnsiTheme="minorHAnsi" w:cstheme="minorHAnsi"/>
          <w:bCs/>
          <w:i w:val="0"/>
          <w:sz w:val="24"/>
        </w:rPr>
        <w:t>é, kteří stanovují výši pojistného,</w:t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 nezasíl</w:t>
      </w:r>
      <w:r>
        <w:rPr>
          <w:rFonts w:asciiTheme="minorHAnsi" w:hAnsiTheme="minorHAnsi" w:cstheme="minorHAnsi"/>
          <w:bCs/>
          <w:i w:val="0"/>
          <w:sz w:val="24"/>
        </w:rPr>
        <w:t>ají</w:t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 pojišťovně </w:t>
      </w:r>
      <w:r w:rsidR="000D57A2">
        <w:rPr>
          <w:rFonts w:asciiTheme="minorHAnsi" w:hAnsiTheme="minorHAnsi" w:cstheme="minorHAnsi"/>
          <w:bCs/>
          <w:i w:val="0"/>
          <w:sz w:val="24"/>
        </w:rPr>
        <w:t xml:space="preserve">podklady pro výpočet pojistného (tj. </w:t>
      </w:r>
      <w:r w:rsidRPr="00EC639B">
        <w:rPr>
          <w:rFonts w:asciiTheme="minorHAnsi" w:hAnsiTheme="minorHAnsi" w:cstheme="minorHAnsi"/>
          <w:bCs/>
          <w:i w:val="0"/>
          <w:sz w:val="24"/>
        </w:rPr>
        <w:t>výši</w:t>
      </w:r>
      <w:r w:rsidR="00815893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Pr="00EC639B">
        <w:rPr>
          <w:rFonts w:asciiTheme="minorHAnsi" w:hAnsiTheme="minorHAnsi" w:cstheme="minorHAnsi"/>
          <w:bCs/>
          <w:i w:val="0"/>
          <w:sz w:val="24"/>
        </w:rPr>
        <w:t>vyměřovacího základu pojistného na sociální zabezpečení a příspěvku na státní politiku zaměstnanosti dle zákona o pojistném na sociální zabezpečení a</w:t>
      </w:r>
      <w:r w:rsidR="00C21CA0">
        <w:rPr>
          <w:rFonts w:asciiTheme="minorHAnsi" w:hAnsiTheme="minorHAnsi" w:cstheme="minorHAnsi"/>
          <w:bCs/>
          <w:i w:val="0"/>
          <w:sz w:val="24"/>
        </w:rPr>
        <w:t xml:space="preserve"> </w:t>
      </w:r>
      <w:r w:rsidRPr="00EC639B">
        <w:rPr>
          <w:rFonts w:asciiTheme="minorHAnsi" w:hAnsiTheme="minorHAnsi" w:cstheme="minorHAnsi"/>
          <w:bCs/>
          <w:i w:val="0"/>
          <w:sz w:val="24"/>
        </w:rPr>
        <w:t>příspěvku na státní politiku zaměstnanosti</w:t>
      </w:r>
      <w:r w:rsidRPr="00EC639B">
        <w:rPr>
          <w:rStyle w:val="Znakapoznpodarou"/>
          <w:rFonts w:asciiTheme="minorHAnsi" w:hAnsiTheme="minorHAnsi" w:cstheme="minorHAnsi"/>
          <w:bCs/>
          <w:i w:val="0"/>
          <w:sz w:val="24"/>
        </w:rPr>
        <w:footnoteReference w:id="49"/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 a </w:t>
      </w:r>
      <w:r w:rsidR="00CD4EB2">
        <w:rPr>
          <w:rFonts w:asciiTheme="minorHAnsi" w:hAnsiTheme="minorHAnsi" w:cstheme="minorHAnsi"/>
          <w:bCs/>
          <w:i w:val="0"/>
          <w:sz w:val="24"/>
        </w:rPr>
        <w:t xml:space="preserve">také informaci o </w:t>
      </w:r>
      <w:r w:rsidRPr="00EC639B">
        <w:rPr>
          <w:rFonts w:asciiTheme="minorHAnsi" w:hAnsiTheme="minorHAnsi" w:cstheme="minorHAnsi"/>
          <w:bCs/>
          <w:i w:val="0"/>
          <w:sz w:val="24"/>
        </w:rPr>
        <w:t>poč</w:t>
      </w:r>
      <w:r w:rsidR="00CD4EB2">
        <w:rPr>
          <w:rFonts w:asciiTheme="minorHAnsi" w:hAnsiTheme="minorHAnsi" w:cstheme="minorHAnsi"/>
          <w:bCs/>
          <w:i w:val="0"/>
          <w:sz w:val="24"/>
        </w:rPr>
        <w:t>tu</w:t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 zaměstnanců, na které se zákonné pojištění vztahuje</w:t>
      </w:r>
      <w:r w:rsidR="000D57A2">
        <w:rPr>
          <w:rFonts w:asciiTheme="minorHAnsi" w:hAnsiTheme="minorHAnsi" w:cstheme="minorHAnsi"/>
          <w:bCs/>
          <w:i w:val="0"/>
          <w:sz w:val="24"/>
        </w:rPr>
        <w:t>)</w:t>
      </w:r>
      <w:r w:rsidRPr="00EC639B">
        <w:rPr>
          <w:rFonts w:asciiTheme="minorHAnsi" w:hAnsiTheme="minorHAnsi" w:cstheme="minorHAnsi"/>
          <w:bCs/>
          <w:i w:val="0"/>
          <w:sz w:val="24"/>
        </w:rPr>
        <w:t xml:space="preserve">. </w:t>
      </w:r>
      <w:r>
        <w:rPr>
          <w:rFonts w:asciiTheme="minorHAnsi" w:hAnsiTheme="minorHAnsi" w:cstheme="minorHAnsi"/>
          <w:bCs/>
          <w:i w:val="0"/>
          <w:sz w:val="24"/>
        </w:rPr>
        <w:t>Po</w:t>
      </w:r>
      <w:r w:rsidRPr="00EC639B">
        <w:rPr>
          <w:rFonts w:asciiTheme="minorHAnsi" w:hAnsiTheme="minorHAnsi" w:cstheme="minorHAnsi"/>
          <w:i w:val="0"/>
          <w:sz w:val="24"/>
        </w:rPr>
        <w:t>dle vyhlášky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50"/>
      </w:r>
      <w:r w:rsidRPr="00EC639B">
        <w:rPr>
          <w:rFonts w:asciiTheme="minorHAnsi" w:hAnsiTheme="minorHAnsi" w:cstheme="minorHAnsi"/>
          <w:i w:val="0"/>
          <w:sz w:val="24"/>
        </w:rPr>
        <w:t xml:space="preserve"> </w:t>
      </w:r>
      <w:r>
        <w:rPr>
          <w:rFonts w:asciiTheme="minorHAnsi" w:hAnsiTheme="minorHAnsi" w:cstheme="minorHAnsi"/>
          <w:i w:val="0"/>
          <w:sz w:val="24"/>
        </w:rPr>
        <w:t xml:space="preserve">jsou pojišťovny </w:t>
      </w:r>
      <w:r w:rsidRPr="00EC639B">
        <w:rPr>
          <w:rFonts w:asciiTheme="minorHAnsi" w:hAnsiTheme="minorHAnsi" w:cstheme="minorHAnsi"/>
          <w:i w:val="0"/>
          <w:sz w:val="24"/>
        </w:rPr>
        <w:t>oprávněn</w:t>
      </w:r>
      <w:r>
        <w:rPr>
          <w:rFonts w:asciiTheme="minorHAnsi" w:hAnsiTheme="minorHAnsi" w:cstheme="minorHAnsi"/>
          <w:i w:val="0"/>
          <w:sz w:val="24"/>
        </w:rPr>
        <w:t>y</w:t>
      </w:r>
      <w:r w:rsidRPr="00EC639B">
        <w:rPr>
          <w:rFonts w:asciiTheme="minorHAnsi" w:hAnsiTheme="minorHAnsi" w:cstheme="minorHAnsi"/>
          <w:i w:val="0"/>
          <w:sz w:val="24"/>
        </w:rPr>
        <w:t xml:space="preserve"> ověřit si </w:t>
      </w:r>
      <w:r>
        <w:rPr>
          <w:rFonts w:asciiTheme="minorHAnsi" w:hAnsiTheme="minorHAnsi" w:cstheme="minorHAnsi"/>
          <w:i w:val="0"/>
          <w:sz w:val="24"/>
        </w:rPr>
        <w:t xml:space="preserve">u zaměstnavatele </w:t>
      </w:r>
      <w:r w:rsidRPr="00EC639B">
        <w:rPr>
          <w:rFonts w:asciiTheme="minorHAnsi" w:hAnsiTheme="minorHAnsi" w:cstheme="minorHAnsi"/>
          <w:i w:val="0"/>
          <w:sz w:val="24"/>
        </w:rPr>
        <w:t xml:space="preserve">údaje týkající se pojistného a zaměstnavatel je povinen toto pojišťovně umožnit. </w:t>
      </w:r>
      <w:r w:rsidRPr="00EC639B">
        <w:rPr>
          <w:rFonts w:asciiTheme="minorHAnsi" w:hAnsiTheme="minorHAnsi" w:cstheme="minorHAnsi"/>
          <w:b/>
          <w:i w:val="0"/>
          <w:sz w:val="24"/>
        </w:rPr>
        <w:t xml:space="preserve">V případě, že zaměstnavatel neposkytne pojišťovně </w:t>
      </w:r>
      <w:r>
        <w:rPr>
          <w:rFonts w:asciiTheme="minorHAnsi" w:hAnsiTheme="minorHAnsi" w:cstheme="minorHAnsi"/>
          <w:b/>
          <w:i w:val="0"/>
          <w:sz w:val="24"/>
        </w:rPr>
        <w:t xml:space="preserve">na vyžádání </w:t>
      </w:r>
      <w:r w:rsidRPr="00EC639B">
        <w:rPr>
          <w:rFonts w:asciiTheme="minorHAnsi" w:hAnsiTheme="minorHAnsi" w:cstheme="minorHAnsi"/>
          <w:b/>
          <w:i w:val="0"/>
          <w:sz w:val="24"/>
        </w:rPr>
        <w:t xml:space="preserve">součinnost a podklady nepředloží, pojišťovna nemá žádný </w:t>
      </w:r>
      <w:r>
        <w:rPr>
          <w:rFonts w:asciiTheme="minorHAnsi" w:hAnsiTheme="minorHAnsi" w:cstheme="minorHAnsi"/>
          <w:b/>
          <w:i w:val="0"/>
          <w:sz w:val="24"/>
        </w:rPr>
        <w:t xml:space="preserve">jiný </w:t>
      </w:r>
      <w:r w:rsidRPr="00EC639B">
        <w:rPr>
          <w:rFonts w:asciiTheme="minorHAnsi" w:hAnsiTheme="minorHAnsi" w:cstheme="minorHAnsi"/>
          <w:b/>
          <w:i w:val="0"/>
          <w:sz w:val="24"/>
        </w:rPr>
        <w:t xml:space="preserve">právní nástroj, jak takové podklady </w:t>
      </w:r>
      <w:r w:rsidRPr="007C50B4">
        <w:rPr>
          <w:rFonts w:asciiTheme="minorHAnsi" w:hAnsiTheme="minorHAnsi" w:cstheme="minorHAnsi"/>
          <w:b/>
          <w:i w:val="0"/>
          <w:sz w:val="24"/>
        </w:rPr>
        <w:t xml:space="preserve">získat. </w:t>
      </w:r>
      <w:r w:rsidR="000937A1" w:rsidRPr="007C50B4">
        <w:rPr>
          <w:rFonts w:asciiTheme="minorHAnsi" w:hAnsiTheme="minorHAnsi" w:cstheme="minorHAnsi"/>
          <w:i w:val="0"/>
          <w:sz w:val="24"/>
        </w:rPr>
        <w:t xml:space="preserve">Pojišťovna tak nemůže fakticky ověřit správnost výpočtu, což zvyšuje riziko nesprávného výpočtu výše pojistného ze strany zaměstnavatelů. </w:t>
      </w:r>
    </w:p>
    <w:p w14:paraId="73600E57" w14:textId="77777777" w:rsidR="00AA26D0" w:rsidRDefault="00AA26D0" w:rsidP="00AA26D0">
      <w:pPr>
        <w:pStyle w:val="Zkladntext"/>
        <w:shd w:val="clear" w:color="auto" w:fill="FFFFFF" w:themeFill="background1"/>
        <w:rPr>
          <w:rFonts w:asciiTheme="minorHAnsi" w:hAnsiTheme="minorHAnsi" w:cstheme="minorHAnsi"/>
          <w:bCs/>
          <w:i w:val="0"/>
          <w:sz w:val="24"/>
        </w:rPr>
      </w:pPr>
    </w:p>
    <w:p w14:paraId="47132414" w14:textId="77777777" w:rsidR="00AA26D0" w:rsidRPr="00F85419" w:rsidRDefault="00AA26D0" w:rsidP="00AA26D0">
      <w:pPr>
        <w:pStyle w:val="Odstavecseseznamem"/>
        <w:numPr>
          <w:ilvl w:val="0"/>
          <w:numId w:val="33"/>
        </w:numPr>
        <w:rPr>
          <w:rFonts w:cstheme="minorHAnsi"/>
          <w:u w:val="single"/>
        </w:rPr>
      </w:pPr>
      <w:r w:rsidRPr="00F85419">
        <w:rPr>
          <w:rFonts w:cstheme="minorHAnsi"/>
          <w:u w:val="single"/>
        </w:rPr>
        <w:t>Pojišťovny neověřovaly systematicky u zaměstnavatelů, zda odváděli pojistné ve správné výši.</w:t>
      </w:r>
    </w:p>
    <w:p w14:paraId="445BF280" w14:textId="3C1BDD5A" w:rsidR="00AA26D0" w:rsidRPr="00F85419" w:rsidRDefault="00AA26D0" w:rsidP="00AA26D0">
      <w:pPr>
        <w:rPr>
          <w:rFonts w:cstheme="minorHAnsi"/>
          <w:color w:val="000000"/>
        </w:rPr>
      </w:pPr>
      <w:r w:rsidRPr="0037359B">
        <w:rPr>
          <w:rFonts w:cstheme="minorHAnsi"/>
        </w:rPr>
        <w:t>Předpisy</w:t>
      </w:r>
      <w:r w:rsidRPr="00EC639B">
        <w:rPr>
          <w:rFonts w:cstheme="minorHAnsi"/>
        </w:rPr>
        <w:t xml:space="preserve"> pojistného si vypočítávali sam</w:t>
      </w:r>
      <w:r w:rsidR="0037359B">
        <w:rPr>
          <w:rFonts w:cstheme="minorHAnsi"/>
        </w:rPr>
        <w:t>i</w:t>
      </w:r>
      <w:r w:rsidRPr="00EC639B">
        <w:rPr>
          <w:rFonts w:cstheme="minorHAnsi"/>
        </w:rPr>
        <w:t xml:space="preserve"> zaměstnavatelé jako plátci pojistného. Pojistné vy</w:t>
      </w:r>
      <w:r w:rsidRPr="00EC639B">
        <w:rPr>
          <w:rFonts w:cstheme="minorHAnsi"/>
          <w:color w:val="000000"/>
        </w:rPr>
        <w:t xml:space="preserve">cházelo </w:t>
      </w:r>
      <w:r w:rsidRPr="00EC639B">
        <w:rPr>
          <w:rFonts w:cstheme="minorHAnsi"/>
        </w:rPr>
        <w:t>ze základu stanoveného shodně s postupem pro určení vyměřovacího základu pojistného na sociální zabezpečení a příspěv</w:t>
      </w:r>
      <w:r w:rsidR="0037359B">
        <w:rPr>
          <w:rFonts w:cstheme="minorHAnsi"/>
        </w:rPr>
        <w:t>e</w:t>
      </w:r>
      <w:r w:rsidRPr="00EC639B">
        <w:rPr>
          <w:rFonts w:cstheme="minorHAnsi"/>
        </w:rPr>
        <w:t xml:space="preserve">k na státní politiku zaměstnanosti. </w:t>
      </w:r>
      <w:r w:rsidRPr="00850215">
        <w:rPr>
          <w:rFonts w:cstheme="minorHAnsi"/>
        </w:rPr>
        <w:t>Zaměstnavatelé</w:t>
      </w:r>
      <w:r w:rsidRPr="00EC639B">
        <w:rPr>
          <w:rFonts w:cstheme="minorHAnsi"/>
        </w:rPr>
        <w:t xml:space="preserve"> vypočítali pojistné na základě vyměřovacích základů ze mzdy a koeficientu rizikových skupin dle sazebníku OKEČ</w:t>
      </w:r>
      <w:r w:rsidRPr="00EC639B">
        <w:rPr>
          <w:rStyle w:val="Znakapoznpodarou"/>
          <w:rFonts w:cstheme="minorHAnsi"/>
        </w:rPr>
        <w:footnoteReference w:id="51"/>
      </w:r>
      <w:r w:rsidRPr="00EC639B">
        <w:rPr>
          <w:rFonts w:cstheme="minorHAnsi"/>
        </w:rPr>
        <w:t>, přičemž sa</w:t>
      </w:r>
      <w:r w:rsidR="0016602D">
        <w:rPr>
          <w:rFonts w:cstheme="minorHAnsi"/>
        </w:rPr>
        <w:t xml:space="preserve">zba byla stanovena v rozmezí od </w:t>
      </w:r>
      <w:r w:rsidRPr="00EC639B">
        <w:rPr>
          <w:rFonts w:cstheme="minorHAnsi"/>
        </w:rPr>
        <w:t>2,8 do 50,4 promile z vyměřovacího základu.</w:t>
      </w:r>
      <w:r w:rsidRPr="00EC639B">
        <w:rPr>
          <w:rFonts w:cstheme="minorHAnsi"/>
          <w:color w:val="000000"/>
        </w:rPr>
        <w:t xml:space="preserve"> Minimální pojistné za kalendářní čtvrtletí činilo 100 Kč. V případech, kdy u zaměstnavatele pracovali také zaměstnanci na dohodu o provedení práce, nezapočítávaly se jejich příjmy do součtu vyměřovacích základů pro výpočet pojistného. Pokud však zaměstnavatel zaměstnával pouze zaměstnance na dohodu o provedení práce, platil čtvrtletní pojistné ve výši 100 Kč.</w:t>
      </w:r>
      <w:r>
        <w:rPr>
          <w:rFonts w:cstheme="minorHAnsi"/>
          <w:color w:val="000000"/>
        </w:rPr>
        <w:t xml:space="preserve"> </w:t>
      </w:r>
      <w:r w:rsidRPr="00EC639B">
        <w:rPr>
          <w:rFonts w:cstheme="minorHAnsi"/>
          <w:b/>
        </w:rPr>
        <w:t>V případech, kdy pojišťovny neměly k dispozici vyměřovací základy, nevěděly, zda bylo pojistné zaměstnavatelem placeno ve správné výši.</w:t>
      </w:r>
      <w:r w:rsidRPr="00EC639B">
        <w:rPr>
          <w:rFonts w:cstheme="minorHAnsi"/>
        </w:rPr>
        <w:t xml:space="preserve"> </w:t>
      </w:r>
    </w:p>
    <w:p w14:paraId="1672ED2C" w14:textId="77777777" w:rsidR="00AA26D0" w:rsidRDefault="00AA26D0" w:rsidP="00AA26D0">
      <w:pPr>
        <w:rPr>
          <w:rFonts w:cstheme="minorHAnsi"/>
          <w:b/>
        </w:rPr>
      </w:pPr>
    </w:p>
    <w:p w14:paraId="52016E33" w14:textId="15B5FE4C" w:rsidR="00AA26D0" w:rsidRPr="007C50B4" w:rsidRDefault="00AA26D0" w:rsidP="00AA26D0">
      <w:pPr>
        <w:rPr>
          <w:rFonts w:cstheme="minorHAnsi"/>
          <w:strike/>
        </w:rPr>
      </w:pPr>
      <w:r w:rsidRPr="00EC639B">
        <w:rPr>
          <w:rFonts w:cstheme="minorHAnsi"/>
          <w:b/>
        </w:rPr>
        <w:t>Česká pojišťovna kontrolovala platby pojistného kvartálně dle termínů splatnosti stanovených</w:t>
      </w:r>
      <w:r w:rsidR="00D168A6">
        <w:rPr>
          <w:rFonts w:cstheme="minorHAnsi"/>
          <w:b/>
        </w:rPr>
        <w:t xml:space="preserve"> </w:t>
      </w:r>
      <w:r w:rsidRPr="00EC639B">
        <w:rPr>
          <w:rFonts w:cstheme="minorHAnsi"/>
          <w:b/>
        </w:rPr>
        <w:t>vyhláškou</w:t>
      </w:r>
      <w:r w:rsidRPr="00EC639B">
        <w:rPr>
          <w:rStyle w:val="Znakapoznpodarou"/>
          <w:rFonts w:cstheme="minorHAnsi"/>
          <w:b/>
        </w:rPr>
        <w:footnoteReference w:id="52"/>
      </w:r>
      <w:r w:rsidR="00566FA0">
        <w:rPr>
          <w:rFonts w:cstheme="minorHAnsi"/>
          <w:b/>
        </w:rPr>
        <w:t>, avšak</w:t>
      </w:r>
      <w:r w:rsidRPr="00EC639B">
        <w:rPr>
          <w:rFonts w:cstheme="minorHAnsi"/>
          <w:b/>
        </w:rPr>
        <w:t xml:space="preserve"> </w:t>
      </w:r>
      <w:r w:rsidRPr="007C50B4">
        <w:rPr>
          <w:rFonts w:cstheme="minorHAnsi"/>
          <w:b/>
        </w:rPr>
        <w:t xml:space="preserve">pouze </w:t>
      </w:r>
      <w:r w:rsidR="000937A1" w:rsidRPr="007C50B4">
        <w:rPr>
          <w:rFonts w:cstheme="minorHAnsi"/>
          <w:b/>
        </w:rPr>
        <w:t>z hlediska</w:t>
      </w:r>
      <w:r w:rsidRPr="007C50B4">
        <w:rPr>
          <w:rFonts w:cstheme="minorHAnsi"/>
          <w:b/>
        </w:rPr>
        <w:t xml:space="preserve"> existence platby</w:t>
      </w:r>
      <w:r w:rsidR="00332B0D">
        <w:rPr>
          <w:rFonts w:cstheme="minorHAnsi"/>
          <w:b/>
        </w:rPr>
        <w:t>,</w:t>
      </w:r>
      <w:r w:rsidRPr="007C50B4">
        <w:rPr>
          <w:rFonts w:cstheme="minorHAnsi"/>
          <w:b/>
        </w:rPr>
        <w:t xml:space="preserve"> nikoli</w:t>
      </w:r>
      <w:r w:rsidR="00332B0D">
        <w:rPr>
          <w:rFonts w:cstheme="minorHAnsi"/>
          <w:b/>
        </w:rPr>
        <w:t xml:space="preserve"> </w:t>
      </w:r>
      <w:r w:rsidRPr="007C50B4">
        <w:rPr>
          <w:rFonts w:cstheme="minorHAnsi"/>
          <w:b/>
        </w:rPr>
        <w:t xml:space="preserve">její správné výše. </w:t>
      </w:r>
      <w:r w:rsidRPr="007C50B4">
        <w:rPr>
          <w:rFonts w:cstheme="minorHAnsi"/>
        </w:rPr>
        <w:t>Česká pojišťovna neověřovala správnost výpočtu pojistného u</w:t>
      </w:r>
      <w:r w:rsidR="00D168A6">
        <w:rPr>
          <w:rFonts w:cstheme="minorHAnsi"/>
        </w:rPr>
        <w:t xml:space="preserve"> </w:t>
      </w:r>
      <w:r w:rsidRPr="007C50B4">
        <w:rPr>
          <w:rFonts w:cstheme="minorHAnsi"/>
        </w:rPr>
        <w:t>zaměstnavatele</w:t>
      </w:r>
      <w:r w:rsidRPr="007C50B4">
        <w:rPr>
          <w:rStyle w:val="Znakapoznpodarou"/>
          <w:rFonts w:cstheme="minorHAnsi"/>
        </w:rPr>
        <w:footnoteReference w:id="53"/>
      </w:r>
      <w:r w:rsidRPr="007C50B4">
        <w:rPr>
          <w:rFonts w:cstheme="minorHAnsi"/>
        </w:rPr>
        <w:t xml:space="preserve">, tj. zda tento </w:t>
      </w:r>
      <w:r w:rsidRPr="007C50B4">
        <w:rPr>
          <w:rFonts w:cstheme="minorHAnsi"/>
        </w:rPr>
        <w:lastRenderedPageBreak/>
        <w:t>výpočet zaměstnavatel stanovil v souladu s vyhláškou</w:t>
      </w:r>
      <w:r w:rsidRPr="007C50B4">
        <w:rPr>
          <w:rStyle w:val="Znakapoznpodarou"/>
          <w:rFonts w:cstheme="minorHAnsi"/>
        </w:rPr>
        <w:footnoteReference w:id="54"/>
      </w:r>
      <w:r w:rsidRPr="007C50B4">
        <w:rPr>
          <w:rFonts w:cstheme="minorHAnsi"/>
        </w:rPr>
        <w:t xml:space="preserve"> a zda např. nepodhodnotil sazbu pojistného podle převažující činnosti</w:t>
      </w:r>
      <w:r w:rsidRPr="007C50B4">
        <w:rPr>
          <w:rStyle w:val="Znakapoznpodarou"/>
          <w:rFonts w:cstheme="minorHAnsi"/>
        </w:rPr>
        <w:footnoteReference w:id="55"/>
      </w:r>
      <w:r w:rsidRPr="007C50B4">
        <w:rPr>
          <w:rFonts w:cstheme="minorHAnsi"/>
        </w:rPr>
        <w:t>.</w:t>
      </w:r>
    </w:p>
    <w:p w14:paraId="1BED83BB" w14:textId="77777777" w:rsidR="00AA26D0" w:rsidRPr="007C50B4" w:rsidRDefault="00AA26D0" w:rsidP="00AA26D0">
      <w:pPr>
        <w:rPr>
          <w:rFonts w:cstheme="minorHAnsi"/>
        </w:rPr>
      </w:pPr>
    </w:p>
    <w:p w14:paraId="01E35150" w14:textId="04A6BF27" w:rsidR="00AA26D0" w:rsidRDefault="00AA26D0" w:rsidP="00AA26D0">
      <w:pPr>
        <w:rPr>
          <w:rFonts w:cstheme="minorHAnsi"/>
        </w:rPr>
      </w:pPr>
      <w:r w:rsidRPr="007C50B4">
        <w:rPr>
          <w:rFonts w:cstheme="minorHAnsi"/>
          <w:b/>
        </w:rPr>
        <w:t>Kooperativa neprováděla kontroly pravidelnosti plateb a správnosti výpočtu výše pojistného u všech zaměstnavatelů. Kontrolu prováděla zejména při likvidaci pojistných událostí.</w:t>
      </w:r>
      <w:r w:rsidRPr="007C50B4">
        <w:rPr>
          <w:rFonts w:cstheme="minorHAnsi"/>
        </w:rPr>
        <w:t xml:space="preserve"> V případě chybějící platby vyzvala zaměstnavatele k doložení vyměřovacích základů za dlužné období. Na základě vyměřovacích základů Kooperativa vypočítala výši dlužného řádného pojistného a po jeho úhradě</w:t>
      </w:r>
      <w:r w:rsidR="0016602D">
        <w:rPr>
          <w:rFonts w:cstheme="minorHAnsi"/>
        </w:rPr>
        <w:t xml:space="preserve"> </w:t>
      </w:r>
      <w:r w:rsidRPr="007C50B4">
        <w:rPr>
          <w:rFonts w:cstheme="minorHAnsi"/>
        </w:rPr>
        <w:t xml:space="preserve">vyměřila zvýšené pojistné. </w:t>
      </w:r>
    </w:p>
    <w:p w14:paraId="4691BF21" w14:textId="77777777" w:rsidR="00850215" w:rsidRPr="007C50B4" w:rsidRDefault="00850215" w:rsidP="00AA26D0">
      <w:pPr>
        <w:rPr>
          <w:rFonts w:cstheme="minorHAnsi"/>
        </w:rPr>
      </w:pPr>
    </w:p>
    <w:p w14:paraId="5A502B01" w14:textId="4450F2FA" w:rsidR="00AA26D0" w:rsidRPr="007C50B4" w:rsidRDefault="00AA26D0" w:rsidP="00AA26D0">
      <w:pPr>
        <w:rPr>
          <w:rFonts w:cstheme="minorHAnsi"/>
        </w:rPr>
      </w:pPr>
      <w:r w:rsidRPr="007C50B4">
        <w:rPr>
          <w:rFonts w:cstheme="minorHAnsi"/>
        </w:rPr>
        <w:t xml:space="preserve">Na vzorku 90 kontrol Kooperativy </w:t>
      </w:r>
      <w:r w:rsidR="006D39BB" w:rsidRPr="007C50B4">
        <w:rPr>
          <w:rFonts w:cstheme="minorHAnsi"/>
        </w:rPr>
        <w:t xml:space="preserve">při likvidaci pojistných událostí </w:t>
      </w:r>
      <w:r w:rsidR="00450B7B" w:rsidRPr="007C50B4">
        <w:rPr>
          <w:rFonts w:cstheme="minorHAnsi"/>
        </w:rPr>
        <w:t>(tj. v případ</w:t>
      </w:r>
      <w:r w:rsidR="00850215">
        <w:rPr>
          <w:rFonts w:cstheme="minorHAnsi"/>
        </w:rPr>
        <w:t>ech</w:t>
      </w:r>
      <w:r w:rsidR="00450B7B" w:rsidRPr="007C50B4">
        <w:rPr>
          <w:rFonts w:cstheme="minorHAnsi"/>
        </w:rPr>
        <w:t xml:space="preserve">, kdy je v zájmu zaměstnavatelů s pojišťovnou spolupracovat) </w:t>
      </w:r>
      <w:r w:rsidR="00850215">
        <w:rPr>
          <w:rFonts w:cstheme="minorHAnsi"/>
        </w:rPr>
        <w:t>NKÚ</w:t>
      </w:r>
      <w:r w:rsidRPr="007C50B4">
        <w:rPr>
          <w:rFonts w:cstheme="minorHAnsi"/>
        </w:rPr>
        <w:t xml:space="preserve"> ověř</w:t>
      </w:r>
      <w:r w:rsidR="00850215">
        <w:rPr>
          <w:rFonts w:cstheme="minorHAnsi"/>
        </w:rPr>
        <w:t>il</w:t>
      </w:r>
      <w:r w:rsidRPr="007C50B4">
        <w:rPr>
          <w:rFonts w:cstheme="minorHAnsi"/>
        </w:rPr>
        <w:t>, že v 76 případech, tj. v 84</w:t>
      </w:r>
      <w:r w:rsidR="00850215">
        <w:rPr>
          <w:rFonts w:cstheme="minorHAnsi"/>
        </w:rPr>
        <w:t> </w:t>
      </w:r>
      <w:r w:rsidRPr="007C50B4">
        <w:rPr>
          <w:rFonts w:cstheme="minorHAnsi"/>
        </w:rPr>
        <w:t>%, zaměstnavatelé Kooperativě na výzvu předložili souhrn vyměřovac</w:t>
      </w:r>
      <w:r w:rsidR="005E5CAD" w:rsidRPr="007C50B4">
        <w:rPr>
          <w:rFonts w:cstheme="minorHAnsi"/>
        </w:rPr>
        <w:t>ích základů pro rozhodná období</w:t>
      </w:r>
      <w:r w:rsidRPr="007C50B4">
        <w:rPr>
          <w:rFonts w:cstheme="minorHAnsi"/>
        </w:rPr>
        <w:t xml:space="preserve"> tak</w:t>
      </w:r>
      <w:r w:rsidR="005E5CAD" w:rsidRPr="007C50B4">
        <w:rPr>
          <w:rFonts w:cstheme="minorHAnsi"/>
        </w:rPr>
        <w:t>,</w:t>
      </w:r>
      <w:r w:rsidRPr="007C50B4">
        <w:rPr>
          <w:rFonts w:cstheme="minorHAnsi"/>
        </w:rPr>
        <w:t xml:space="preserve"> aby pojišťovna </w:t>
      </w:r>
      <w:r w:rsidR="00850215" w:rsidRPr="007C50B4">
        <w:rPr>
          <w:rFonts w:cstheme="minorHAnsi"/>
        </w:rPr>
        <w:t xml:space="preserve">mohla </w:t>
      </w:r>
      <w:r w:rsidRPr="007C50B4">
        <w:rPr>
          <w:rFonts w:cstheme="minorHAnsi"/>
        </w:rPr>
        <w:t>zkontrolovat výši řádného pojistného a případně vyměřit zvýšené pojistné. Ve zbylých 14 případech zaměstnavatel na výzvu souhrn vyměřovacích základů pojišťovně nepředložil, ale dlužné pojistné uhradil</w:t>
      </w:r>
      <w:r w:rsidR="00450B7B" w:rsidRPr="007C50B4">
        <w:rPr>
          <w:rFonts w:cstheme="minorHAnsi"/>
        </w:rPr>
        <w:t>.</w:t>
      </w:r>
    </w:p>
    <w:p w14:paraId="13CA2C7C" w14:textId="463C75DE" w:rsidR="001E5C91" w:rsidRPr="00777513" w:rsidRDefault="001E5C91">
      <w:pPr>
        <w:spacing w:after="160" w:line="259" w:lineRule="auto"/>
        <w:jc w:val="left"/>
        <w:rPr>
          <w:rFonts w:cstheme="minorHAnsi"/>
          <w:u w:val="single"/>
        </w:rPr>
      </w:pPr>
    </w:p>
    <w:p w14:paraId="0CDF6823" w14:textId="70863347" w:rsidR="00AA26D0" w:rsidRPr="00F85419" w:rsidRDefault="00AA26D0" w:rsidP="00AA26D0">
      <w:pPr>
        <w:pStyle w:val="Odstavecseseznamem"/>
        <w:numPr>
          <w:ilvl w:val="0"/>
          <w:numId w:val="33"/>
        </w:numPr>
        <w:jc w:val="both"/>
        <w:rPr>
          <w:rFonts w:cstheme="minorHAnsi"/>
          <w:u w:val="single"/>
        </w:rPr>
      </w:pPr>
      <w:r w:rsidRPr="007C50B4">
        <w:rPr>
          <w:rFonts w:cstheme="minorHAnsi"/>
          <w:bCs/>
          <w:u w:val="single"/>
        </w:rPr>
        <w:t xml:space="preserve">Pojišťovny nekontrolovaly správnost výpočtu výše zvýšeného pojistného a neupomínaly </w:t>
      </w:r>
      <w:r w:rsidR="00EA0E8E" w:rsidRPr="007C50B4">
        <w:rPr>
          <w:rFonts w:cstheme="minorHAnsi"/>
          <w:bCs/>
          <w:u w:val="single"/>
        </w:rPr>
        <w:t xml:space="preserve">zaměstnavatele o </w:t>
      </w:r>
      <w:r w:rsidRPr="007C50B4">
        <w:rPr>
          <w:rFonts w:cstheme="minorHAnsi"/>
          <w:bCs/>
          <w:u w:val="single"/>
        </w:rPr>
        <w:t>zvýšené pojistné v pln</w:t>
      </w:r>
      <w:r w:rsidRPr="00F85419">
        <w:rPr>
          <w:rFonts w:cstheme="minorHAnsi"/>
          <w:bCs/>
          <w:u w:val="single"/>
        </w:rPr>
        <w:t>é výši.</w:t>
      </w:r>
      <w:r w:rsidRPr="00F85419">
        <w:rPr>
          <w:rFonts w:cstheme="minorHAnsi"/>
          <w:u w:val="single"/>
        </w:rPr>
        <w:t xml:space="preserve"> </w:t>
      </w:r>
    </w:p>
    <w:p w14:paraId="71AAC055" w14:textId="73CC491C" w:rsidR="00AA26D0" w:rsidRDefault="00AA26D0" w:rsidP="00AA26D0">
      <w:pPr>
        <w:pStyle w:val="Zkladntext"/>
        <w:shd w:val="clear" w:color="auto" w:fill="FFFFFF" w:themeFill="background1"/>
        <w:rPr>
          <w:rFonts w:asciiTheme="minorHAnsi" w:hAnsiTheme="minorHAnsi" w:cstheme="minorHAnsi"/>
          <w:i w:val="0"/>
          <w:sz w:val="24"/>
        </w:rPr>
      </w:pPr>
      <w:r w:rsidRPr="00EA6B85">
        <w:rPr>
          <w:rFonts w:asciiTheme="minorHAnsi" w:hAnsiTheme="minorHAnsi" w:cstheme="minorHAnsi"/>
          <w:i w:val="0"/>
          <w:sz w:val="24"/>
        </w:rPr>
        <w:t>Splatnost</w:t>
      </w:r>
      <w:r w:rsidRPr="00EC639B">
        <w:rPr>
          <w:rFonts w:asciiTheme="minorHAnsi" w:hAnsiTheme="minorHAnsi" w:cstheme="minorHAnsi"/>
          <w:i w:val="0"/>
          <w:sz w:val="24"/>
        </w:rPr>
        <w:t xml:space="preserve"> pojistného je za 1. čtvrtletí do 31. 1., za 2. čtvrtletí do 30.</w:t>
      </w:r>
      <w:r w:rsidR="00EA6B85">
        <w:rPr>
          <w:rFonts w:asciiTheme="minorHAnsi" w:hAnsiTheme="minorHAnsi" w:cstheme="minorHAnsi"/>
          <w:i w:val="0"/>
          <w:sz w:val="24"/>
        </w:rPr>
        <w:t xml:space="preserve"> </w:t>
      </w:r>
      <w:r w:rsidRPr="00EC639B">
        <w:rPr>
          <w:rFonts w:asciiTheme="minorHAnsi" w:hAnsiTheme="minorHAnsi" w:cstheme="minorHAnsi"/>
          <w:i w:val="0"/>
          <w:sz w:val="24"/>
        </w:rPr>
        <w:t>4., za 3. čtvrtletí do 31. 7. a za 4. čtvrtletí do 31.</w:t>
      </w:r>
      <w:r w:rsidR="0016602D">
        <w:rPr>
          <w:rFonts w:asciiTheme="minorHAnsi" w:hAnsiTheme="minorHAnsi" w:cstheme="minorHAnsi"/>
          <w:i w:val="0"/>
          <w:sz w:val="24"/>
        </w:rPr>
        <w:t xml:space="preserve"> </w:t>
      </w:r>
      <w:r w:rsidRPr="00EC639B">
        <w:rPr>
          <w:rFonts w:asciiTheme="minorHAnsi" w:hAnsiTheme="minorHAnsi" w:cstheme="minorHAnsi"/>
          <w:i w:val="0"/>
          <w:sz w:val="24"/>
        </w:rPr>
        <w:t>10. Není-li pojistné zaplaceno řádně a včas, zvyšuje se o 10 % dlužné částky za každý započatý měsíc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56"/>
      </w:r>
      <w:r w:rsidRPr="00EC639B">
        <w:rPr>
          <w:rFonts w:asciiTheme="minorHAnsi" w:hAnsiTheme="minorHAnsi" w:cstheme="minorHAnsi"/>
          <w:i w:val="0"/>
          <w:sz w:val="24"/>
        </w:rPr>
        <w:t xml:space="preserve">. Promlčecí lhůta u pohledávek z neuhrazeného pojistného a zvýšeného pojistného je 3 roky. </w:t>
      </w:r>
    </w:p>
    <w:p w14:paraId="3EA170DE" w14:textId="77777777" w:rsidR="00AA26D0" w:rsidRPr="00EC639B" w:rsidRDefault="00AA26D0" w:rsidP="00AA26D0">
      <w:pPr>
        <w:shd w:val="clear" w:color="auto" w:fill="FFFFFF" w:themeFill="background1"/>
        <w:rPr>
          <w:rFonts w:cstheme="minorHAnsi"/>
        </w:rPr>
      </w:pPr>
    </w:p>
    <w:p w14:paraId="5273D561" w14:textId="0135EDEA" w:rsidR="00AA26D0" w:rsidRPr="007C50B4" w:rsidRDefault="00AA26D0" w:rsidP="00AA26D0">
      <w:pPr>
        <w:rPr>
          <w:rFonts w:cstheme="minorHAnsi"/>
        </w:rPr>
      </w:pPr>
      <w:r w:rsidRPr="00EC639B">
        <w:rPr>
          <w:rFonts w:cstheme="minorHAnsi"/>
          <w:b/>
        </w:rPr>
        <w:t>Česká pojišťovna</w:t>
      </w:r>
      <w:r w:rsidRPr="00EC639B">
        <w:rPr>
          <w:rFonts w:cstheme="minorHAnsi"/>
        </w:rPr>
        <w:t xml:space="preserve"> kontrolovala úhrady pojistného </w:t>
      </w:r>
      <w:r>
        <w:rPr>
          <w:rFonts w:cstheme="minorHAnsi"/>
        </w:rPr>
        <w:t xml:space="preserve">čtvrtletně </w:t>
      </w:r>
      <w:r w:rsidRPr="00EC639B">
        <w:rPr>
          <w:rFonts w:cstheme="minorHAnsi"/>
        </w:rPr>
        <w:t>dle termínů splatnosti stanovených</w:t>
      </w:r>
      <w:r w:rsidR="00D168A6">
        <w:rPr>
          <w:rFonts w:cstheme="minorHAnsi"/>
        </w:rPr>
        <w:t xml:space="preserve"> </w:t>
      </w:r>
      <w:r w:rsidRPr="00EC639B">
        <w:rPr>
          <w:rFonts w:cstheme="minorHAnsi"/>
        </w:rPr>
        <w:t>vyhláškou</w:t>
      </w:r>
      <w:r w:rsidRPr="00EC639B">
        <w:rPr>
          <w:rStyle w:val="Znakapoznpodarou"/>
          <w:rFonts w:cstheme="minorHAnsi"/>
        </w:rPr>
        <w:footnoteReference w:id="57"/>
      </w:r>
      <w:r w:rsidRPr="00EC639B">
        <w:rPr>
          <w:rFonts w:cstheme="minorHAnsi"/>
        </w:rPr>
        <w:t>.</w:t>
      </w:r>
      <w:r w:rsidRPr="0055596A">
        <w:rPr>
          <w:rFonts w:cstheme="minorHAnsi"/>
        </w:rPr>
        <w:t xml:space="preserve"> </w:t>
      </w:r>
      <w:r w:rsidRPr="002948A4">
        <w:rPr>
          <w:rFonts w:cstheme="minorHAnsi"/>
          <w:b/>
        </w:rPr>
        <w:t>Česká pojišťovna měla nastavenu vlastní toleranci cca jednoho měsíce pro pozdní úhradu pojistného</w:t>
      </w:r>
      <w:r w:rsidRPr="00FB4E61">
        <w:rPr>
          <w:rFonts w:cstheme="minorHAnsi"/>
          <w:b/>
        </w:rPr>
        <w:t>,</w:t>
      </w:r>
      <w:r>
        <w:rPr>
          <w:rFonts w:cstheme="minorHAnsi"/>
        </w:rPr>
        <w:t xml:space="preserve"> a proto</w:t>
      </w:r>
      <w:r w:rsidRPr="0055596A">
        <w:rPr>
          <w:rFonts w:cstheme="minorHAnsi"/>
        </w:rPr>
        <w:t xml:space="preserve"> nepřistupovala k upomínání </w:t>
      </w:r>
      <w:r w:rsidR="003F7679">
        <w:rPr>
          <w:rFonts w:cstheme="minorHAnsi"/>
        </w:rPr>
        <w:t xml:space="preserve">o uhrazení </w:t>
      </w:r>
      <w:r w:rsidRPr="0055596A">
        <w:rPr>
          <w:rFonts w:cstheme="minorHAnsi"/>
        </w:rPr>
        <w:t xml:space="preserve">dlužného </w:t>
      </w:r>
      <w:r w:rsidRPr="007C50B4">
        <w:rPr>
          <w:rFonts w:cstheme="minorHAnsi"/>
        </w:rPr>
        <w:t>pojistného bezodklad</w:t>
      </w:r>
      <w:r w:rsidR="00EA0E8E" w:rsidRPr="007C50B4">
        <w:rPr>
          <w:rFonts w:cstheme="minorHAnsi"/>
        </w:rPr>
        <w:t>ně</w:t>
      </w:r>
      <w:r w:rsidRPr="007C50B4">
        <w:rPr>
          <w:rFonts w:cstheme="minorHAnsi"/>
        </w:rPr>
        <w:t xml:space="preserve"> po době splatnosti.</w:t>
      </w:r>
    </w:p>
    <w:p w14:paraId="40CDD72F" w14:textId="77777777" w:rsidR="00AA26D0" w:rsidRPr="007C50B4" w:rsidRDefault="00AA26D0" w:rsidP="00AA26D0">
      <w:pPr>
        <w:shd w:val="clear" w:color="auto" w:fill="FFFFFF" w:themeFill="background1"/>
        <w:rPr>
          <w:rFonts w:cstheme="minorHAnsi"/>
        </w:rPr>
      </w:pPr>
    </w:p>
    <w:p w14:paraId="33C503F6" w14:textId="076A6DD7" w:rsidR="00AA26D0" w:rsidRDefault="00AA26D0" w:rsidP="00AA26D0">
      <w:pPr>
        <w:rPr>
          <w:rFonts w:cstheme="minorHAnsi"/>
        </w:rPr>
      </w:pPr>
      <w:r w:rsidRPr="007C50B4">
        <w:rPr>
          <w:rFonts w:cstheme="minorHAnsi"/>
        </w:rPr>
        <w:t xml:space="preserve">U vybraného </w:t>
      </w:r>
      <w:r w:rsidR="000A178D" w:rsidRPr="007C50B4">
        <w:rPr>
          <w:rFonts w:cstheme="minorHAnsi"/>
        </w:rPr>
        <w:t xml:space="preserve">kontrolovaného </w:t>
      </w:r>
      <w:r w:rsidRPr="007C50B4">
        <w:rPr>
          <w:rFonts w:cstheme="minorHAnsi"/>
        </w:rPr>
        <w:t>vzorku 97 kontrolovaných z</w:t>
      </w:r>
      <w:r w:rsidR="006345B1" w:rsidRPr="007C50B4">
        <w:rPr>
          <w:rFonts w:cstheme="minorHAnsi"/>
        </w:rPr>
        <w:t>aměstnavatelů bylo zjištěno 172 </w:t>
      </w:r>
      <w:r w:rsidRPr="007C50B4">
        <w:rPr>
          <w:rFonts w:cstheme="minorHAnsi"/>
        </w:rPr>
        <w:t>opožděných plateb, z</w:t>
      </w:r>
      <w:r w:rsidR="001E0023">
        <w:rPr>
          <w:rFonts w:cstheme="minorHAnsi"/>
        </w:rPr>
        <w:t xml:space="preserve"> </w:t>
      </w:r>
      <w:r w:rsidRPr="007C50B4">
        <w:rPr>
          <w:rFonts w:cstheme="minorHAnsi"/>
        </w:rPr>
        <w:t xml:space="preserve">toho u 88 % plateb Česká pojišťovna </w:t>
      </w:r>
      <w:r w:rsidR="001E0023" w:rsidRPr="007C50B4">
        <w:rPr>
          <w:rFonts w:cstheme="minorHAnsi"/>
          <w:szCs w:val="22"/>
        </w:rPr>
        <w:t>v</w:t>
      </w:r>
      <w:r w:rsidR="001E0023">
        <w:rPr>
          <w:rFonts w:cstheme="minorHAnsi"/>
          <w:szCs w:val="22"/>
        </w:rPr>
        <w:t xml:space="preserve"> rozporu</w:t>
      </w:r>
      <w:r w:rsidR="001E0023" w:rsidRPr="007C50B4">
        <w:rPr>
          <w:rFonts w:cstheme="minorHAnsi"/>
          <w:szCs w:val="22"/>
        </w:rPr>
        <w:t xml:space="preserve"> s</w:t>
      </w:r>
      <w:r w:rsidR="001E0023">
        <w:rPr>
          <w:rFonts w:cstheme="minorHAnsi"/>
          <w:szCs w:val="22"/>
        </w:rPr>
        <w:t xml:space="preserve"> </w:t>
      </w:r>
      <w:r w:rsidR="001E0023" w:rsidRPr="007C50B4">
        <w:rPr>
          <w:rFonts w:cstheme="minorHAnsi"/>
          <w:szCs w:val="22"/>
        </w:rPr>
        <w:t>vyhláškou</w:t>
      </w:r>
      <w:r w:rsidR="001E0023" w:rsidRPr="007C50B4">
        <w:rPr>
          <w:rFonts w:cstheme="minorHAnsi"/>
          <w:szCs w:val="22"/>
          <w:vertAlign w:val="superscript"/>
        </w:rPr>
        <w:footnoteReference w:id="58"/>
      </w:r>
      <w:r w:rsidR="001E0023" w:rsidRPr="007C50B4">
        <w:rPr>
          <w:rFonts w:cstheme="minorHAnsi"/>
          <w:szCs w:val="22"/>
        </w:rPr>
        <w:t xml:space="preserve"> </w:t>
      </w:r>
      <w:r w:rsidRPr="007C50B4">
        <w:rPr>
          <w:rFonts w:cstheme="minorHAnsi"/>
        </w:rPr>
        <w:t xml:space="preserve">nezvýšila </w:t>
      </w:r>
      <w:r w:rsidRPr="007C50B4">
        <w:rPr>
          <w:rFonts w:cstheme="minorHAnsi"/>
          <w:szCs w:val="22"/>
        </w:rPr>
        <w:t>nezaplacené pojistné</w:t>
      </w:r>
      <w:r w:rsidR="00C21CA0">
        <w:rPr>
          <w:rFonts w:cstheme="minorHAnsi"/>
          <w:szCs w:val="22"/>
        </w:rPr>
        <w:t xml:space="preserve"> </w:t>
      </w:r>
      <w:r w:rsidRPr="007C50B4">
        <w:rPr>
          <w:rFonts w:cstheme="minorHAnsi"/>
          <w:szCs w:val="22"/>
        </w:rPr>
        <w:t>o</w:t>
      </w:r>
      <w:r w:rsidR="001E0023">
        <w:rPr>
          <w:rFonts w:cstheme="minorHAnsi"/>
          <w:szCs w:val="22"/>
        </w:rPr>
        <w:t xml:space="preserve"> </w:t>
      </w:r>
      <w:r w:rsidRPr="007C50B4">
        <w:rPr>
          <w:rFonts w:cstheme="minorHAnsi"/>
          <w:szCs w:val="22"/>
        </w:rPr>
        <w:t xml:space="preserve">10 % dlužné částky za každý započatý měsíc a </w:t>
      </w:r>
      <w:r w:rsidRPr="007C50B4">
        <w:rPr>
          <w:rFonts w:cstheme="minorHAnsi"/>
        </w:rPr>
        <w:t>pojistné neupomínala. Opožděné platby, které Česká pojišťovna upomínala (tj. 12 % z celkového počtu kontrolovaných opožděných plateb), uhradili zaměstnavatelé více než jeden měsíc po datu splatnosti. Česká pojišťovna v</w:t>
      </w:r>
      <w:r w:rsidR="001E0023">
        <w:rPr>
          <w:rFonts w:cstheme="minorHAnsi"/>
        </w:rPr>
        <w:t xml:space="preserve"> </w:t>
      </w:r>
      <w:r w:rsidRPr="007C50B4">
        <w:rPr>
          <w:rFonts w:cstheme="minorHAnsi"/>
        </w:rPr>
        <w:t>upomínkách sama zvýšené pojistné nevyčíslila a ponechala stanovení dlužné částky na zaměstnavatelích. Česká pojišťovna nezjišťovala, zda zaměstnavatelé v</w:t>
      </w:r>
      <w:r w:rsidR="001E0023">
        <w:rPr>
          <w:rFonts w:cstheme="minorHAnsi"/>
        </w:rPr>
        <w:t xml:space="preserve"> </w:t>
      </w:r>
      <w:r w:rsidRPr="007C50B4">
        <w:rPr>
          <w:rFonts w:cstheme="minorHAnsi"/>
        </w:rPr>
        <w:t xml:space="preserve">případě opožděné platby uhradili zvýšené pojistné ve správné výši. V případě, </w:t>
      </w:r>
      <w:r w:rsidR="00116BAD">
        <w:rPr>
          <w:rFonts w:cstheme="minorHAnsi"/>
        </w:rPr>
        <w:t>že</w:t>
      </w:r>
      <w:r w:rsidRPr="007C50B4">
        <w:rPr>
          <w:rFonts w:cstheme="minorHAnsi"/>
        </w:rPr>
        <w:t xml:space="preserve"> zaměstnavatel uhradil pojistné v mezích měsíční tolerance, Česká pojišťovna nepřistoupila k vyměření </w:t>
      </w:r>
      <w:r w:rsidR="00EA0E8E" w:rsidRPr="007C50B4">
        <w:rPr>
          <w:rFonts w:cstheme="minorHAnsi"/>
        </w:rPr>
        <w:t>zvýšeného pojistného</w:t>
      </w:r>
      <w:r w:rsidRPr="007C50B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835BEB3" w14:textId="77777777" w:rsidR="00AA26D0" w:rsidRPr="002948A4" w:rsidRDefault="00AA26D0" w:rsidP="00AA26D0">
      <w:pPr>
        <w:shd w:val="clear" w:color="auto" w:fill="FFFFFF" w:themeFill="background1"/>
        <w:rPr>
          <w:rFonts w:cstheme="minorHAnsi"/>
          <w:strike/>
        </w:rPr>
      </w:pPr>
    </w:p>
    <w:p w14:paraId="30E193B3" w14:textId="4E3B3AE6" w:rsidR="00AA26D0" w:rsidRDefault="00AA26D0" w:rsidP="00AA26D0">
      <w:pPr>
        <w:rPr>
          <w:rFonts w:cstheme="minorHAnsi"/>
        </w:rPr>
      </w:pPr>
      <w:r>
        <w:rPr>
          <w:rFonts w:cstheme="minorHAnsi"/>
        </w:rPr>
        <w:t>Česká pojišťovna přist</w:t>
      </w:r>
      <w:r w:rsidR="005E7C05">
        <w:rPr>
          <w:rFonts w:cstheme="minorHAnsi"/>
        </w:rPr>
        <w:t>upovala</w:t>
      </w:r>
      <w:r w:rsidR="001E0023">
        <w:rPr>
          <w:rFonts w:cstheme="minorHAnsi"/>
        </w:rPr>
        <w:t xml:space="preserve"> k </w:t>
      </w:r>
      <w:r>
        <w:rPr>
          <w:rFonts w:cstheme="minorHAnsi"/>
        </w:rPr>
        <w:t>vymáhání pohledáve</w:t>
      </w:r>
      <w:r w:rsidR="00BA26D1">
        <w:rPr>
          <w:rFonts w:cstheme="minorHAnsi"/>
        </w:rPr>
        <w:t>k z</w:t>
      </w:r>
      <w:r w:rsidR="001E0023">
        <w:rPr>
          <w:rFonts w:cstheme="minorHAnsi"/>
        </w:rPr>
        <w:t xml:space="preserve"> </w:t>
      </w:r>
      <w:r w:rsidR="00BA26D1">
        <w:rPr>
          <w:rFonts w:cstheme="minorHAnsi"/>
        </w:rPr>
        <w:t>dlužného pojistného pouze u </w:t>
      </w:r>
      <w:r>
        <w:rPr>
          <w:rFonts w:cstheme="minorHAnsi"/>
        </w:rPr>
        <w:t xml:space="preserve">zaměstnavatelů, kteří byli v insolvenčním řízení. Na </w:t>
      </w:r>
      <w:r w:rsidR="000A178D">
        <w:rPr>
          <w:rFonts w:cstheme="minorHAnsi"/>
        </w:rPr>
        <w:t xml:space="preserve">kontrolovaném </w:t>
      </w:r>
      <w:r>
        <w:rPr>
          <w:rFonts w:cstheme="minorHAnsi"/>
        </w:rPr>
        <w:t xml:space="preserve">vzorku 10 dlužníků </w:t>
      </w:r>
      <w:r>
        <w:rPr>
          <w:rFonts w:cstheme="minorHAnsi"/>
        </w:rPr>
        <w:lastRenderedPageBreak/>
        <w:t>v insolvenčním řízení s přihlášenou pohledávkou ve výši 1</w:t>
      </w:r>
      <w:r w:rsidR="001D74A8">
        <w:rPr>
          <w:rFonts w:cstheme="minorHAnsi"/>
        </w:rPr>
        <w:t xml:space="preserve"> </w:t>
      </w:r>
      <w:r>
        <w:rPr>
          <w:rFonts w:cstheme="minorHAnsi"/>
        </w:rPr>
        <w:t>028</w:t>
      </w:r>
      <w:r w:rsidR="001D74A8">
        <w:rPr>
          <w:rFonts w:cstheme="minorHAnsi"/>
        </w:rPr>
        <w:t xml:space="preserve"> </w:t>
      </w:r>
      <w:r>
        <w:rPr>
          <w:rFonts w:cstheme="minorHAnsi"/>
        </w:rPr>
        <w:t>441 Kč bylo ověřeno, že Česká pojišťovna neobdržela žádné plnění. U ostatních zaměstnavatelů dlužné pojistné nevymáhala.</w:t>
      </w:r>
    </w:p>
    <w:p w14:paraId="58EBF61E" w14:textId="514F7407" w:rsidR="00AA26D0" w:rsidRDefault="00AA26D0" w:rsidP="00AA26D0">
      <w:pPr>
        <w:rPr>
          <w:rFonts w:cstheme="minorHAnsi"/>
        </w:rPr>
      </w:pPr>
    </w:p>
    <w:p w14:paraId="6F4DD0A9" w14:textId="77777777" w:rsidR="00AA26D0" w:rsidRPr="00EC639B" w:rsidRDefault="00AA26D0" w:rsidP="00AA26D0">
      <w:pPr>
        <w:shd w:val="clear" w:color="auto" w:fill="FFFFFF" w:themeFill="background1"/>
        <w:rPr>
          <w:rFonts w:cstheme="minorHAnsi"/>
          <w:strike/>
          <w:szCs w:val="22"/>
        </w:rPr>
      </w:pPr>
      <w:r w:rsidRPr="004204C3">
        <w:rPr>
          <w:rFonts w:cstheme="minorHAnsi"/>
          <w:b/>
          <w:szCs w:val="22"/>
        </w:rPr>
        <w:t>Kooperativa</w:t>
      </w:r>
      <w:r w:rsidRPr="00EC639B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nekontrolovala úhrady pojistného čtvrtletně</w:t>
      </w:r>
      <w:r w:rsidRPr="002948A4">
        <w:rPr>
          <w:rFonts w:cstheme="minorHAnsi"/>
        </w:rPr>
        <w:t xml:space="preserve"> </w:t>
      </w:r>
      <w:r w:rsidRPr="00EC639B">
        <w:rPr>
          <w:rFonts w:cstheme="minorHAnsi"/>
        </w:rPr>
        <w:t>dle termínů splatnosti</w:t>
      </w:r>
      <w:r>
        <w:rPr>
          <w:rFonts w:cstheme="minorHAnsi"/>
          <w:szCs w:val="22"/>
        </w:rPr>
        <w:t xml:space="preserve">, ale </w:t>
      </w:r>
      <w:r w:rsidRPr="00EC639B">
        <w:rPr>
          <w:rFonts w:cstheme="minorHAnsi"/>
          <w:szCs w:val="22"/>
        </w:rPr>
        <w:t xml:space="preserve">kontrolovala pravidelnost plateb a správnost výpočtu výše pojistného zejména při likvidaci pojistné události. </w:t>
      </w:r>
      <w:r w:rsidRPr="002948A4">
        <w:rPr>
          <w:rFonts w:cstheme="minorHAnsi"/>
          <w:b/>
          <w:szCs w:val="22"/>
        </w:rPr>
        <w:t>Kooperativa měla nastavenu vlastní toleranci pěti dnů pro pozdní úhradu pojistného</w:t>
      </w:r>
      <w:r>
        <w:rPr>
          <w:rFonts w:cstheme="minorHAnsi"/>
          <w:b/>
          <w:szCs w:val="22"/>
        </w:rPr>
        <w:t>.</w:t>
      </w:r>
      <w:r w:rsidRPr="002948A4">
        <w:rPr>
          <w:rFonts w:cstheme="minorHAnsi"/>
          <w:szCs w:val="22"/>
        </w:rPr>
        <w:t xml:space="preserve"> </w:t>
      </w:r>
    </w:p>
    <w:p w14:paraId="174AD597" w14:textId="77777777" w:rsidR="00AA26D0" w:rsidRDefault="00AA26D0" w:rsidP="00AA26D0">
      <w:pPr>
        <w:shd w:val="clear" w:color="auto" w:fill="FFFFFF" w:themeFill="background1"/>
        <w:rPr>
          <w:rFonts w:cstheme="minorHAnsi"/>
          <w:b/>
          <w:szCs w:val="22"/>
        </w:rPr>
      </w:pPr>
    </w:p>
    <w:p w14:paraId="2CF0AE70" w14:textId="54AD4A62" w:rsidR="00AA26D0" w:rsidRPr="002948A4" w:rsidRDefault="00AA26D0" w:rsidP="00AA26D0">
      <w:pPr>
        <w:shd w:val="clear" w:color="auto" w:fill="FFFFFF" w:themeFill="background1"/>
        <w:rPr>
          <w:rFonts w:cstheme="minorHAnsi"/>
          <w:b/>
          <w:szCs w:val="22"/>
        </w:rPr>
      </w:pPr>
      <w:r>
        <w:rPr>
          <w:rFonts w:cstheme="minorHAnsi"/>
        </w:rPr>
        <w:t xml:space="preserve">U </w:t>
      </w:r>
      <w:r w:rsidR="009209D0">
        <w:rPr>
          <w:rFonts w:cstheme="minorHAnsi"/>
        </w:rPr>
        <w:t xml:space="preserve">kontrolovaného </w:t>
      </w:r>
      <w:r>
        <w:rPr>
          <w:rFonts w:cstheme="minorHAnsi"/>
        </w:rPr>
        <w:t>vzorku</w:t>
      </w:r>
      <w:r w:rsidRPr="00EC639B">
        <w:rPr>
          <w:rFonts w:cstheme="minorHAnsi"/>
          <w:szCs w:val="22"/>
        </w:rPr>
        <w:t xml:space="preserve"> 90 zaměstnavatelů bylo zjištěno 72</w:t>
      </w:r>
      <w:r>
        <w:rPr>
          <w:rFonts w:cstheme="minorHAnsi"/>
          <w:szCs w:val="22"/>
        </w:rPr>
        <w:t xml:space="preserve"> plateb,</w:t>
      </w:r>
      <w:r w:rsidRPr="00E22C03">
        <w:rPr>
          <w:rFonts w:cstheme="minorHAnsi"/>
          <w:szCs w:val="22"/>
        </w:rPr>
        <w:t xml:space="preserve"> </w:t>
      </w:r>
      <w:r w:rsidRPr="00EC639B">
        <w:rPr>
          <w:rFonts w:cstheme="minorHAnsi"/>
          <w:szCs w:val="22"/>
        </w:rPr>
        <w:t xml:space="preserve">u kterých Kooperativa </w:t>
      </w:r>
      <w:r w:rsidR="00896047" w:rsidRPr="00EC639B">
        <w:rPr>
          <w:rFonts w:cstheme="minorHAnsi"/>
          <w:szCs w:val="22"/>
        </w:rPr>
        <w:t>v </w:t>
      </w:r>
      <w:r w:rsidR="001E0023">
        <w:rPr>
          <w:rFonts w:cstheme="minorHAnsi"/>
          <w:szCs w:val="22"/>
        </w:rPr>
        <w:t>rozporu</w:t>
      </w:r>
      <w:r w:rsidR="00896047" w:rsidRPr="00EC639B">
        <w:rPr>
          <w:rFonts w:cstheme="minorHAnsi"/>
          <w:szCs w:val="22"/>
        </w:rPr>
        <w:t xml:space="preserve"> s vyhláškou</w:t>
      </w:r>
      <w:r w:rsidR="00896047" w:rsidRPr="00EC639B">
        <w:rPr>
          <w:rFonts w:cstheme="minorHAnsi"/>
          <w:szCs w:val="22"/>
          <w:vertAlign w:val="superscript"/>
        </w:rPr>
        <w:footnoteReference w:id="59"/>
      </w:r>
      <w:r w:rsidR="00896047" w:rsidRPr="00EC639B">
        <w:rPr>
          <w:rFonts w:cstheme="minorHAnsi"/>
          <w:szCs w:val="22"/>
        </w:rPr>
        <w:t xml:space="preserve"> </w:t>
      </w:r>
      <w:r w:rsidRPr="00EC639B">
        <w:rPr>
          <w:rFonts w:cstheme="minorHAnsi"/>
          <w:szCs w:val="22"/>
        </w:rPr>
        <w:t>nezvýšila nezaplacené pojistné o</w:t>
      </w:r>
      <w:r w:rsidR="00D406F3">
        <w:rPr>
          <w:rFonts w:cstheme="minorHAnsi"/>
          <w:szCs w:val="22"/>
        </w:rPr>
        <w:t xml:space="preserve"> </w:t>
      </w:r>
      <w:r w:rsidRPr="00EC639B">
        <w:rPr>
          <w:rFonts w:cstheme="minorHAnsi"/>
          <w:szCs w:val="22"/>
        </w:rPr>
        <w:t xml:space="preserve">10 % dlužné částky za každý započatý měsíc a </w:t>
      </w:r>
      <w:r>
        <w:rPr>
          <w:rFonts w:cstheme="minorHAnsi"/>
          <w:szCs w:val="22"/>
        </w:rPr>
        <w:t xml:space="preserve">v důsledku toho </w:t>
      </w:r>
      <w:r w:rsidRPr="00EC639B">
        <w:rPr>
          <w:rFonts w:cstheme="minorHAnsi"/>
          <w:szCs w:val="22"/>
        </w:rPr>
        <w:t xml:space="preserve">vyčíslila zvýšené pojistné nižší o 243 741 Kč. </w:t>
      </w:r>
    </w:p>
    <w:p w14:paraId="2860DB73" w14:textId="77777777" w:rsidR="00AA26D0" w:rsidRDefault="00AA26D0" w:rsidP="00AA26D0">
      <w:pPr>
        <w:shd w:val="clear" w:color="auto" w:fill="FFFFFF" w:themeFill="background1"/>
        <w:rPr>
          <w:rFonts w:cstheme="minorHAnsi"/>
          <w:szCs w:val="22"/>
        </w:rPr>
      </w:pPr>
    </w:p>
    <w:p w14:paraId="26CF9FAC" w14:textId="00D28F3D" w:rsidR="00AA26D0" w:rsidRPr="00EC639B" w:rsidRDefault="00AA26D0" w:rsidP="00AA26D0">
      <w:pPr>
        <w:shd w:val="clear" w:color="auto" w:fill="FFFFFF" w:themeFill="background1"/>
        <w:rPr>
          <w:rFonts w:cstheme="minorHAnsi"/>
          <w:strike/>
          <w:szCs w:val="22"/>
        </w:rPr>
      </w:pPr>
      <w:r w:rsidRPr="00EC639B">
        <w:rPr>
          <w:rFonts w:cstheme="minorHAnsi"/>
          <w:szCs w:val="22"/>
        </w:rPr>
        <w:t xml:space="preserve">V případě </w:t>
      </w:r>
      <w:r w:rsidR="004204C3" w:rsidRPr="00EC639B">
        <w:rPr>
          <w:rFonts w:cstheme="minorHAnsi"/>
          <w:szCs w:val="22"/>
        </w:rPr>
        <w:t xml:space="preserve">platby </w:t>
      </w:r>
      <w:r w:rsidRPr="00EC639B">
        <w:rPr>
          <w:rFonts w:cstheme="minorHAnsi"/>
          <w:szCs w:val="22"/>
        </w:rPr>
        <w:t xml:space="preserve">opožděné o více než pět dní Kooperativa vyzvala zaměstnavatele k doložení vyměřovacích základů za dlužné období. Na </w:t>
      </w:r>
      <w:r w:rsidR="000D57A2">
        <w:rPr>
          <w:rFonts w:cstheme="minorHAnsi"/>
          <w:szCs w:val="22"/>
        </w:rPr>
        <w:t xml:space="preserve">jejich </w:t>
      </w:r>
      <w:r w:rsidRPr="00EC639B">
        <w:rPr>
          <w:rFonts w:cstheme="minorHAnsi"/>
          <w:szCs w:val="22"/>
        </w:rPr>
        <w:t xml:space="preserve">základě </w:t>
      </w:r>
      <w:r w:rsidR="004204C3">
        <w:rPr>
          <w:rFonts w:cstheme="minorHAnsi"/>
          <w:szCs w:val="22"/>
        </w:rPr>
        <w:t xml:space="preserve">pak </w:t>
      </w:r>
      <w:r w:rsidRPr="00EC639B">
        <w:rPr>
          <w:rFonts w:cstheme="minorHAnsi"/>
          <w:szCs w:val="22"/>
        </w:rPr>
        <w:t xml:space="preserve">vyměřila zvýšené pojistné. V případě, </w:t>
      </w:r>
      <w:r w:rsidR="004204C3">
        <w:rPr>
          <w:rFonts w:cstheme="minorHAnsi"/>
          <w:szCs w:val="22"/>
        </w:rPr>
        <w:t>že</w:t>
      </w:r>
      <w:r w:rsidR="004204C3" w:rsidRPr="00EC639B">
        <w:rPr>
          <w:rFonts w:cstheme="minorHAnsi"/>
          <w:szCs w:val="22"/>
        </w:rPr>
        <w:t xml:space="preserve"> </w:t>
      </w:r>
      <w:r w:rsidRPr="00EC639B">
        <w:rPr>
          <w:rFonts w:cstheme="minorHAnsi"/>
          <w:szCs w:val="22"/>
        </w:rPr>
        <w:t xml:space="preserve">zaměstnavatel uhradil pojistné v mezích této </w:t>
      </w:r>
      <w:r w:rsidR="008D389D">
        <w:rPr>
          <w:rFonts w:cstheme="minorHAnsi"/>
          <w:szCs w:val="22"/>
        </w:rPr>
        <w:t xml:space="preserve">pětidenní </w:t>
      </w:r>
      <w:r w:rsidRPr="00EC639B">
        <w:rPr>
          <w:rFonts w:cstheme="minorHAnsi"/>
          <w:szCs w:val="22"/>
        </w:rPr>
        <w:t xml:space="preserve">tolerance, Kooperativa </w:t>
      </w:r>
      <w:r>
        <w:rPr>
          <w:rFonts w:cstheme="minorHAnsi"/>
        </w:rPr>
        <w:t>nepřistoupila k </w:t>
      </w:r>
      <w:r w:rsidRPr="007C50B4">
        <w:rPr>
          <w:rFonts w:cstheme="minorHAnsi"/>
        </w:rPr>
        <w:t xml:space="preserve">vyměření </w:t>
      </w:r>
      <w:r w:rsidR="00EA0E8E" w:rsidRPr="007C50B4">
        <w:rPr>
          <w:rFonts w:cstheme="minorHAnsi"/>
        </w:rPr>
        <w:t>zvýšeného pojistného</w:t>
      </w:r>
      <w:r w:rsidRPr="007C50B4">
        <w:rPr>
          <w:rFonts w:cstheme="minorHAnsi"/>
        </w:rPr>
        <w:t xml:space="preserve">. Kooperativa vymáhala dlužné pojistné včetně zvýšeného </w:t>
      </w:r>
      <w:r w:rsidR="00EA0E8E" w:rsidRPr="007C50B4">
        <w:rPr>
          <w:rFonts w:cstheme="minorHAnsi"/>
        </w:rPr>
        <w:t xml:space="preserve">pojistného </w:t>
      </w:r>
      <w:r w:rsidRPr="007C50B4">
        <w:rPr>
          <w:rFonts w:cstheme="minorHAnsi"/>
        </w:rPr>
        <w:t>so</w:t>
      </w:r>
      <w:r>
        <w:rPr>
          <w:rFonts w:cstheme="minorHAnsi"/>
        </w:rPr>
        <w:t xml:space="preserve">udní cestou. </w:t>
      </w:r>
      <w:r w:rsidR="008D389D">
        <w:rPr>
          <w:rFonts w:cstheme="minorHAnsi"/>
        </w:rPr>
        <w:t>U</w:t>
      </w:r>
      <w:r>
        <w:rPr>
          <w:rFonts w:cstheme="minorHAnsi"/>
        </w:rPr>
        <w:t xml:space="preserve"> kontrol</w:t>
      </w:r>
      <w:r w:rsidR="009209D0">
        <w:rPr>
          <w:rFonts w:cstheme="minorHAnsi"/>
        </w:rPr>
        <w:t>ované</w:t>
      </w:r>
      <w:r w:rsidR="008D389D">
        <w:rPr>
          <w:rFonts w:cstheme="minorHAnsi"/>
        </w:rPr>
        <w:t>ho</w:t>
      </w:r>
      <w:r w:rsidR="009209D0">
        <w:rPr>
          <w:rFonts w:cstheme="minorHAnsi"/>
        </w:rPr>
        <w:t xml:space="preserve"> </w:t>
      </w:r>
      <w:r>
        <w:rPr>
          <w:rFonts w:cstheme="minorHAnsi"/>
        </w:rPr>
        <w:t xml:space="preserve">vzorku 20 dlužníků </w:t>
      </w:r>
      <w:r w:rsidR="007105D4">
        <w:rPr>
          <w:rFonts w:cstheme="minorHAnsi"/>
        </w:rPr>
        <w:t xml:space="preserve">s celkovou pohledávkou ve výši </w:t>
      </w:r>
      <w:r>
        <w:rPr>
          <w:rFonts w:cstheme="minorHAnsi"/>
        </w:rPr>
        <w:t>4</w:t>
      </w:r>
      <w:r w:rsidR="00912788">
        <w:rPr>
          <w:rFonts w:cstheme="minorHAnsi"/>
        </w:rPr>
        <w:t xml:space="preserve"> </w:t>
      </w:r>
      <w:r>
        <w:rPr>
          <w:rFonts w:cstheme="minorHAnsi"/>
        </w:rPr>
        <w:t>784</w:t>
      </w:r>
      <w:r w:rsidR="00912788">
        <w:rPr>
          <w:rFonts w:cstheme="minorHAnsi"/>
        </w:rPr>
        <w:t xml:space="preserve"> </w:t>
      </w:r>
      <w:r>
        <w:rPr>
          <w:rFonts w:cstheme="minorHAnsi"/>
        </w:rPr>
        <w:t>343 Kč byl</w:t>
      </w:r>
      <w:r w:rsidR="008D389D">
        <w:rPr>
          <w:rFonts w:cstheme="minorHAnsi"/>
        </w:rPr>
        <w:t>a</w:t>
      </w:r>
      <w:r>
        <w:rPr>
          <w:rFonts w:cstheme="minorHAnsi"/>
        </w:rPr>
        <w:t xml:space="preserve"> v době provádění kontroly vymožen</w:t>
      </w:r>
      <w:r w:rsidR="008D389D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8D389D">
        <w:rPr>
          <w:rFonts w:cstheme="minorHAnsi"/>
        </w:rPr>
        <w:t xml:space="preserve">částka </w:t>
      </w:r>
      <w:r>
        <w:rPr>
          <w:rFonts w:cstheme="minorHAnsi"/>
        </w:rPr>
        <w:t>2 121 388</w:t>
      </w:r>
      <w:r w:rsidR="00912788">
        <w:rPr>
          <w:rFonts w:cstheme="minorHAnsi"/>
        </w:rPr>
        <w:t> </w:t>
      </w:r>
      <w:r>
        <w:rPr>
          <w:rFonts w:cstheme="minorHAnsi"/>
        </w:rPr>
        <w:t>Kč, tj. 44,34 %.</w:t>
      </w:r>
    </w:p>
    <w:p w14:paraId="2076F5BF" w14:textId="77777777" w:rsidR="002C7F68" w:rsidRPr="00F939B3" w:rsidRDefault="002C7F68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518E54DE" w14:textId="29B4BF1E" w:rsidR="00363819" w:rsidRPr="00F85419" w:rsidRDefault="00363819" w:rsidP="007105D4">
      <w:pPr>
        <w:pStyle w:val="Odstavecseseznamem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cstheme="minorHAnsi"/>
          <w:bCs/>
        </w:rPr>
      </w:pPr>
      <w:r w:rsidRPr="00FB4E61">
        <w:rPr>
          <w:rFonts w:cstheme="minorHAnsi"/>
          <w:b/>
          <w:bCs/>
        </w:rPr>
        <w:t xml:space="preserve">Pojišťovny </w:t>
      </w:r>
      <w:r w:rsidR="009B1E6E" w:rsidRPr="00FB4E61">
        <w:rPr>
          <w:rFonts w:cstheme="minorHAnsi"/>
          <w:b/>
          <w:bCs/>
        </w:rPr>
        <w:t xml:space="preserve">při likvidaci </w:t>
      </w:r>
      <w:r w:rsidRPr="00FB4E61">
        <w:rPr>
          <w:rFonts w:cstheme="minorHAnsi"/>
          <w:b/>
          <w:bCs/>
        </w:rPr>
        <w:t xml:space="preserve">pojistných událostí </w:t>
      </w:r>
      <w:r w:rsidR="009B1E6E" w:rsidRPr="00FB4E61">
        <w:rPr>
          <w:rFonts w:cstheme="minorHAnsi"/>
          <w:b/>
          <w:bCs/>
        </w:rPr>
        <w:t xml:space="preserve">(ověřeno na 39 případech) a uplatňování regresů (ověřeno na 80 případech) </w:t>
      </w:r>
      <w:r w:rsidRPr="00FB4E61">
        <w:rPr>
          <w:rFonts w:cstheme="minorHAnsi"/>
          <w:b/>
          <w:bCs/>
        </w:rPr>
        <w:t>postupovaly v souladu s právními předpisy.</w:t>
      </w:r>
    </w:p>
    <w:p w14:paraId="5C5AB72B" w14:textId="77777777" w:rsidR="00363819" w:rsidRDefault="00363819">
      <w:pPr>
        <w:rPr>
          <w:rFonts w:cstheme="minorHAnsi"/>
          <w:color w:val="000000"/>
        </w:rPr>
      </w:pPr>
    </w:p>
    <w:p w14:paraId="1F31C364" w14:textId="14A3B7FE" w:rsidR="00363819" w:rsidRPr="00EC639B" w:rsidRDefault="00363819" w:rsidP="00363819">
      <w:pPr>
        <w:rPr>
          <w:rFonts w:cstheme="minorHAnsi"/>
        </w:rPr>
      </w:pPr>
      <w:r w:rsidRPr="00EC639B">
        <w:rPr>
          <w:rFonts w:cstheme="minorHAnsi"/>
          <w:color w:val="000000"/>
        </w:rPr>
        <w:t xml:space="preserve">Povinnost zaměstnavatele nahradit </w:t>
      </w:r>
      <w:r w:rsidR="0004215E" w:rsidRPr="00EC639B">
        <w:rPr>
          <w:rFonts w:cstheme="minorHAnsi"/>
          <w:color w:val="000000"/>
        </w:rPr>
        <w:t xml:space="preserve">zaměstnanci </w:t>
      </w:r>
      <w:r w:rsidR="0004215E">
        <w:rPr>
          <w:rFonts w:cstheme="minorHAnsi"/>
          <w:color w:val="000000"/>
        </w:rPr>
        <w:t xml:space="preserve">vzniklou </w:t>
      </w:r>
      <w:r w:rsidRPr="00EC639B">
        <w:rPr>
          <w:rFonts w:cstheme="minorHAnsi"/>
          <w:color w:val="000000"/>
        </w:rPr>
        <w:t>škodu je založena na principu objektivní odpovědnosti</w:t>
      </w:r>
      <w:r w:rsidRPr="00EC639B">
        <w:rPr>
          <w:rStyle w:val="Znakapoznpodarou"/>
          <w:rFonts w:cstheme="minorHAnsi"/>
          <w:color w:val="000000"/>
        </w:rPr>
        <w:footnoteReference w:id="60"/>
      </w:r>
      <w:r w:rsidRPr="00EC639B">
        <w:rPr>
          <w:rFonts w:cstheme="minorHAnsi"/>
          <w:color w:val="000000"/>
        </w:rPr>
        <w:t>, tj. předpokladem jejího vzniku není zavinění na straně zaměstnavatele.</w:t>
      </w:r>
      <w:r w:rsidRPr="004550B2">
        <w:rPr>
          <w:rFonts w:cstheme="minorHAnsi"/>
        </w:rPr>
        <w:t xml:space="preserve"> </w:t>
      </w:r>
      <w:r w:rsidRPr="00EC639B">
        <w:rPr>
          <w:rFonts w:cstheme="minorHAnsi"/>
        </w:rPr>
        <w:t>Zákonné pojištění vzniká v</w:t>
      </w:r>
      <w:r w:rsidR="006D1BC2">
        <w:rPr>
          <w:rFonts w:cstheme="minorHAnsi"/>
        </w:rPr>
        <w:t xml:space="preserve"> </w:t>
      </w:r>
      <w:r w:rsidRPr="00EC639B">
        <w:rPr>
          <w:rFonts w:cstheme="minorHAnsi"/>
        </w:rPr>
        <w:t xml:space="preserve">důsledku splnění zákonem stanovených podmínek, </w:t>
      </w:r>
      <w:r w:rsidR="0004215E">
        <w:rPr>
          <w:rFonts w:cstheme="minorHAnsi"/>
        </w:rPr>
        <w:t xml:space="preserve">vzniká </w:t>
      </w:r>
      <w:r w:rsidRPr="00EC639B">
        <w:rPr>
          <w:rFonts w:cstheme="minorHAnsi"/>
        </w:rPr>
        <w:t xml:space="preserve">bez uzavření pojistné smlouvy a trvá po celou dobu, po kterou jsou splněny podmínky jeho existence. Neplacení pojistného nebo prodlení platby </w:t>
      </w:r>
      <w:r w:rsidR="0004215E">
        <w:rPr>
          <w:rFonts w:cstheme="minorHAnsi"/>
        </w:rPr>
        <w:t xml:space="preserve">nejsou </w:t>
      </w:r>
      <w:r w:rsidRPr="00EC639B">
        <w:rPr>
          <w:rFonts w:cstheme="minorHAnsi"/>
        </w:rPr>
        <w:t>sam</w:t>
      </w:r>
      <w:r w:rsidR="0004215E">
        <w:rPr>
          <w:rFonts w:cstheme="minorHAnsi"/>
        </w:rPr>
        <w:t>y</w:t>
      </w:r>
      <w:r w:rsidRPr="00EC639B">
        <w:rPr>
          <w:rFonts w:cstheme="minorHAnsi"/>
        </w:rPr>
        <w:t xml:space="preserve"> o sobě </w:t>
      </w:r>
      <w:r w:rsidRPr="00363328">
        <w:rPr>
          <w:rFonts w:cstheme="minorHAnsi"/>
        </w:rPr>
        <w:t>důvod</w:t>
      </w:r>
      <w:r w:rsidR="0004215E">
        <w:rPr>
          <w:rFonts w:cstheme="minorHAnsi"/>
        </w:rPr>
        <w:t>y</w:t>
      </w:r>
      <w:r w:rsidRPr="00363328">
        <w:rPr>
          <w:rFonts w:cstheme="minorHAnsi"/>
        </w:rPr>
        <w:t xml:space="preserve"> k odmítnutí náhrady škody poškozenému</w:t>
      </w:r>
      <w:r w:rsidR="00E910EF" w:rsidRPr="00363328">
        <w:rPr>
          <w:rFonts w:cstheme="minorHAnsi"/>
        </w:rPr>
        <w:t>, tj. zaměstnanci</w:t>
      </w:r>
      <w:r w:rsidR="00363328" w:rsidRPr="00363328">
        <w:rPr>
          <w:rFonts w:cstheme="minorHAnsi"/>
        </w:rPr>
        <w:t>.</w:t>
      </w:r>
    </w:p>
    <w:p w14:paraId="532193D7" w14:textId="77777777" w:rsidR="00363819" w:rsidRPr="00EC639B" w:rsidRDefault="00363819" w:rsidP="00363819">
      <w:pPr>
        <w:rPr>
          <w:rFonts w:cstheme="minorHAnsi"/>
          <w:color w:val="000000"/>
        </w:rPr>
      </w:pPr>
    </w:p>
    <w:p w14:paraId="4A318801" w14:textId="77777777" w:rsidR="00363819" w:rsidRPr="00EC639B" w:rsidRDefault="00363819" w:rsidP="00363819">
      <w:pPr>
        <w:pStyle w:val="Zkladntext"/>
        <w:rPr>
          <w:rFonts w:asciiTheme="minorHAnsi" w:hAnsiTheme="minorHAnsi" w:cstheme="minorHAnsi"/>
          <w:i w:val="0"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t>U 39 kontrolovaných pojistných událostí bylo prověřeno, že:</w:t>
      </w:r>
    </w:p>
    <w:p w14:paraId="693B7397" w14:textId="7A731801" w:rsidR="00363819" w:rsidRPr="00EC639B" w:rsidRDefault="00363819" w:rsidP="0036381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i w:val="0"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t>pojišťovny si ověřovaly údaje nezbytné pro vyřizování pojistné události</w:t>
      </w:r>
      <w:r w:rsidR="000A772D">
        <w:rPr>
          <w:rFonts w:asciiTheme="minorHAnsi" w:hAnsiTheme="minorHAnsi" w:cstheme="minorHAnsi"/>
          <w:i w:val="0"/>
          <w:sz w:val="24"/>
        </w:rPr>
        <w:t>;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61"/>
      </w:r>
      <w:r w:rsidRPr="00EC639B">
        <w:rPr>
          <w:rFonts w:asciiTheme="minorHAnsi" w:hAnsiTheme="minorHAnsi" w:cstheme="minorHAnsi"/>
          <w:i w:val="0"/>
          <w:sz w:val="24"/>
        </w:rPr>
        <w:t xml:space="preserve"> </w:t>
      </w:r>
    </w:p>
    <w:p w14:paraId="28CE50E8" w14:textId="2C6CD247" w:rsidR="00363819" w:rsidRPr="00EC639B" w:rsidRDefault="00363819" w:rsidP="0036381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i w:val="0"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t>pojišťovny vyplácely náhrady škod vzniklých</w:t>
      </w:r>
      <w:r w:rsidR="00130135">
        <w:rPr>
          <w:rFonts w:asciiTheme="minorHAnsi" w:hAnsiTheme="minorHAnsi" w:cstheme="minorHAnsi"/>
          <w:i w:val="0"/>
          <w:sz w:val="24"/>
        </w:rPr>
        <w:t xml:space="preserve"> pracovním úrazem nebo nemocí z </w:t>
      </w:r>
      <w:r w:rsidRPr="00EC639B">
        <w:rPr>
          <w:rFonts w:asciiTheme="minorHAnsi" w:hAnsiTheme="minorHAnsi" w:cstheme="minorHAnsi"/>
          <w:i w:val="0"/>
          <w:sz w:val="24"/>
        </w:rPr>
        <w:t>povolání účelně a v souladu se zákonem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62"/>
      </w:r>
      <w:r w:rsidR="003A07DC">
        <w:rPr>
          <w:rFonts w:asciiTheme="minorHAnsi" w:hAnsiTheme="minorHAnsi" w:cstheme="minorHAnsi"/>
          <w:i w:val="0"/>
          <w:sz w:val="24"/>
        </w:rPr>
        <w:t>;</w:t>
      </w:r>
    </w:p>
    <w:p w14:paraId="0E02A116" w14:textId="4EC5990E" w:rsidR="00363819" w:rsidRPr="00EC639B" w:rsidRDefault="00462827" w:rsidP="0036381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i w:val="0"/>
          <w:sz w:val="24"/>
        </w:rPr>
      </w:pPr>
      <w:r w:rsidRPr="00462827">
        <w:rPr>
          <w:rFonts w:asciiTheme="minorHAnsi" w:hAnsiTheme="minorHAnsi" w:cstheme="minorHAnsi"/>
          <w:i w:val="0"/>
          <w:sz w:val="24"/>
        </w:rPr>
        <w:t>pojišťovny hradily zaměstnanci škodu, která mu vznikla při pracovním úrazu nebo nemoci z povolání, v rozsahu, v jakém za ni zaměstnavatel odpovídal podle zákoníku práce</w:t>
      </w:r>
      <w:r w:rsidR="000A772D">
        <w:rPr>
          <w:rFonts w:asciiTheme="minorHAnsi" w:hAnsiTheme="minorHAnsi" w:cstheme="minorHAnsi"/>
          <w:i w:val="0"/>
          <w:sz w:val="24"/>
        </w:rPr>
        <w:t>;</w:t>
      </w:r>
      <w:r w:rsidR="00363819"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63"/>
      </w:r>
    </w:p>
    <w:p w14:paraId="15EA8370" w14:textId="6E1BCF70" w:rsidR="00363819" w:rsidRPr="00EC639B" w:rsidRDefault="00363819" w:rsidP="0036381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i w:val="0"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t>pojišťovny vydaly zaměstnavateli to, co předtím vyplatil poškozenému</w:t>
      </w:r>
      <w:r w:rsidR="000A772D">
        <w:rPr>
          <w:rFonts w:asciiTheme="minorHAnsi" w:hAnsiTheme="minorHAnsi" w:cstheme="minorHAnsi"/>
          <w:i w:val="0"/>
          <w:sz w:val="24"/>
        </w:rPr>
        <w:t>;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64"/>
      </w:r>
    </w:p>
    <w:p w14:paraId="60C12D3D" w14:textId="7705852B" w:rsidR="00363819" w:rsidRPr="00EC639B" w:rsidRDefault="00363819" w:rsidP="0036381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i w:val="0"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t>pojišťovny hradily zaměstnanci soudní a jiné poplatky jen v případech, kdy se k jejich úhradě písemně zavázaly</w:t>
      </w:r>
      <w:r w:rsidR="000A772D">
        <w:rPr>
          <w:rFonts w:asciiTheme="minorHAnsi" w:hAnsiTheme="minorHAnsi" w:cstheme="minorHAnsi"/>
          <w:i w:val="0"/>
          <w:sz w:val="24"/>
        </w:rPr>
        <w:t>;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65"/>
      </w:r>
      <w:r w:rsidRPr="00EC639B">
        <w:rPr>
          <w:rFonts w:asciiTheme="minorHAnsi" w:hAnsiTheme="minorHAnsi" w:cstheme="minorHAnsi"/>
          <w:i w:val="0"/>
          <w:sz w:val="24"/>
        </w:rPr>
        <w:t xml:space="preserve"> </w:t>
      </w:r>
    </w:p>
    <w:p w14:paraId="6DF156EC" w14:textId="1474F6D1" w:rsidR="00363819" w:rsidRPr="00EC639B" w:rsidRDefault="00363819" w:rsidP="0036381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i w:val="0"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lastRenderedPageBreak/>
        <w:t xml:space="preserve">pojišťovny hradily škodu formou průběžných plateb </w:t>
      </w:r>
      <w:r w:rsidR="003A07DC">
        <w:rPr>
          <w:rFonts w:asciiTheme="minorHAnsi" w:hAnsiTheme="minorHAnsi" w:cstheme="minorHAnsi"/>
          <w:i w:val="0"/>
          <w:sz w:val="24"/>
        </w:rPr>
        <w:t xml:space="preserve">a </w:t>
      </w:r>
      <w:r w:rsidRPr="00EC639B">
        <w:rPr>
          <w:rFonts w:asciiTheme="minorHAnsi" w:hAnsiTheme="minorHAnsi" w:cstheme="minorHAnsi"/>
          <w:i w:val="0"/>
          <w:sz w:val="24"/>
        </w:rPr>
        <w:t>ty</w:t>
      </w:r>
      <w:r w:rsidR="003A07DC">
        <w:rPr>
          <w:rFonts w:asciiTheme="minorHAnsi" w:hAnsiTheme="minorHAnsi" w:cstheme="minorHAnsi"/>
          <w:i w:val="0"/>
          <w:sz w:val="24"/>
        </w:rPr>
        <w:t>to platby</w:t>
      </w:r>
      <w:r w:rsidRPr="00EC639B">
        <w:rPr>
          <w:rFonts w:asciiTheme="minorHAnsi" w:hAnsiTheme="minorHAnsi" w:cstheme="minorHAnsi"/>
          <w:i w:val="0"/>
          <w:sz w:val="24"/>
        </w:rPr>
        <w:t xml:space="preserve"> vyplácely poškozeným zaměstnancům nejpozději do 15 dnů od skončení šetření</w:t>
      </w:r>
      <w:r w:rsidR="000A772D">
        <w:rPr>
          <w:rFonts w:asciiTheme="minorHAnsi" w:hAnsiTheme="minorHAnsi" w:cstheme="minorHAnsi"/>
          <w:i w:val="0"/>
          <w:sz w:val="24"/>
        </w:rPr>
        <w:t>;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66"/>
      </w:r>
    </w:p>
    <w:p w14:paraId="5EA08CCD" w14:textId="662D75E8" w:rsidR="00363819" w:rsidRPr="00EC639B" w:rsidRDefault="00363819" w:rsidP="0036381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i w:val="0"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t>pojišťovny poskytovaly pojistná plnění v tuzemských penězích</w:t>
      </w:r>
      <w:r w:rsidR="000A772D">
        <w:rPr>
          <w:rFonts w:asciiTheme="minorHAnsi" w:hAnsiTheme="minorHAnsi" w:cstheme="minorHAnsi"/>
          <w:i w:val="0"/>
          <w:sz w:val="24"/>
        </w:rPr>
        <w:t>;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67"/>
      </w:r>
    </w:p>
    <w:p w14:paraId="5046720F" w14:textId="77777777" w:rsidR="00363819" w:rsidRPr="00EC639B" w:rsidRDefault="00363819" w:rsidP="0036381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i w:val="0"/>
          <w:sz w:val="24"/>
        </w:rPr>
      </w:pPr>
      <w:r w:rsidRPr="00EC639B">
        <w:rPr>
          <w:rFonts w:asciiTheme="minorHAnsi" w:hAnsiTheme="minorHAnsi" w:cstheme="minorHAnsi"/>
          <w:i w:val="0"/>
          <w:sz w:val="24"/>
        </w:rPr>
        <w:t>pojišťovny neplnily promlčené pohledávky.</w:t>
      </w:r>
      <w:r w:rsidRPr="00EC639B">
        <w:rPr>
          <w:rStyle w:val="Znakapoznpodarou"/>
          <w:rFonts w:asciiTheme="minorHAnsi" w:hAnsiTheme="minorHAnsi" w:cstheme="minorHAnsi"/>
          <w:i w:val="0"/>
          <w:sz w:val="24"/>
        </w:rPr>
        <w:footnoteReference w:id="68"/>
      </w:r>
    </w:p>
    <w:p w14:paraId="39927E45" w14:textId="77777777" w:rsidR="00363819" w:rsidRPr="00EC639B" w:rsidRDefault="00363819" w:rsidP="00363819">
      <w:pPr>
        <w:pStyle w:val="Zkladntext"/>
        <w:ind w:left="720"/>
        <w:rPr>
          <w:rFonts w:asciiTheme="minorHAnsi" w:hAnsiTheme="minorHAnsi" w:cstheme="minorHAnsi"/>
          <w:i w:val="0"/>
          <w:sz w:val="24"/>
        </w:rPr>
      </w:pPr>
    </w:p>
    <w:p w14:paraId="4402E838" w14:textId="0BCA5EBE" w:rsidR="00363819" w:rsidRPr="00EC639B" w:rsidRDefault="00363819" w:rsidP="00363819">
      <w:pPr>
        <w:rPr>
          <w:rFonts w:cstheme="minorHAnsi"/>
          <w:color w:val="000000"/>
          <w:lang w:eastAsia="cs-CZ"/>
        </w:rPr>
      </w:pPr>
      <w:r w:rsidRPr="00EC639B">
        <w:rPr>
          <w:rFonts w:cstheme="minorHAnsi"/>
        </w:rPr>
        <w:t>Vyplacená pojistná plnění u kontrolovaných pojistných událostí činila 44 525 307</w:t>
      </w:r>
      <w:r w:rsidRPr="00EC639B">
        <w:rPr>
          <w:rFonts w:cstheme="minorHAnsi"/>
          <w:color w:val="000000"/>
        </w:rPr>
        <w:t xml:space="preserve"> Kč. </w:t>
      </w:r>
      <w:r w:rsidR="00130135">
        <w:rPr>
          <w:rFonts w:cstheme="minorHAnsi"/>
          <w:color w:val="000000"/>
        </w:rPr>
        <w:t>Celkem za období 2015–</w:t>
      </w:r>
      <w:r>
        <w:rPr>
          <w:rFonts w:cstheme="minorHAnsi"/>
          <w:color w:val="000000"/>
        </w:rPr>
        <w:t xml:space="preserve">2018 bylo vyplaceno </w:t>
      </w:r>
      <w:r w:rsidR="0015155C">
        <w:rPr>
          <w:rFonts w:cstheme="minorHAnsi"/>
          <w:color w:val="000000"/>
        </w:rPr>
        <w:t>18 083 880</w:t>
      </w:r>
      <w:r w:rsidR="00D82D1C">
        <w:rPr>
          <w:rFonts w:cstheme="minorHAnsi"/>
          <w:color w:val="000000"/>
        </w:rPr>
        <w:t> </w:t>
      </w:r>
      <w:r w:rsidR="0015155C">
        <w:rPr>
          <w:rFonts w:cstheme="minorHAnsi"/>
          <w:color w:val="000000"/>
        </w:rPr>
        <w:t>932</w:t>
      </w:r>
      <w:r w:rsidR="00D82D1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Kč.</w:t>
      </w:r>
    </w:p>
    <w:p w14:paraId="3E938D4D" w14:textId="77777777" w:rsidR="00363819" w:rsidRDefault="00363819" w:rsidP="00363819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Cs w:val="24"/>
          <w:u w:val="single"/>
        </w:rPr>
      </w:pPr>
    </w:p>
    <w:p w14:paraId="3DA09E76" w14:textId="0AAFD845" w:rsidR="00363819" w:rsidRPr="00C81F50" w:rsidRDefault="00363819" w:rsidP="00363819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C81F50">
        <w:rPr>
          <w:rFonts w:asciiTheme="minorHAnsi" w:hAnsiTheme="minorHAnsi" w:cstheme="minorHAnsi"/>
          <w:bCs/>
          <w:szCs w:val="24"/>
        </w:rPr>
        <w:t xml:space="preserve">Na </w:t>
      </w:r>
      <w:r w:rsidR="009209D0" w:rsidRPr="009209D0">
        <w:rPr>
          <w:rFonts w:asciiTheme="minorHAnsi" w:hAnsiTheme="minorHAnsi" w:cstheme="minorHAnsi"/>
          <w:bCs/>
          <w:szCs w:val="24"/>
        </w:rPr>
        <w:t xml:space="preserve">kontrolovaném </w:t>
      </w:r>
      <w:r w:rsidRPr="009209D0">
        <w:rPr>
          <w:rFonts w:asciiTheme="minorHAnsi" w:hAnsiTheme="minorHAnsi" w:cstheme="minorHAnsi"/>
          <w:bCs/>
          <w:szCs w:val="24"/>
        </w:rPr>
        <w:t>vzorku 80</w:t>
      </w:r>
      <w:r w:rsidRPr="00C81F50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případů </w:t>
      </w:r>
      <w:r w:rsidRPr="00C81F50">
        <w:rPr>
          <w:rFonts w:asciiTheme="minorHAnsi" w:hAnsiTheme="minorHAnsi" w:cstheme="minorHAnsi"/>
          <w:bCs/>
          <w:szCs w:val="24"/>
        </w:rPr>
        <w:t>s předepsanou jistinou ve výši 14 086 949 Kč bylo ověřeno, že pojišťovny uplatňovaly právo na přiměřenou náhradu škody prostřednictvím regresů, a to po zaměstnavatelích, resp. po třetích osobách, které odpovídaly poškozenému za škodu. Kooperativě bylo regresními dlužníky uhrazeno 100 % předepsané částky, České pojišťovně 80,64 % předepsané částky.</w:t>
      </w:r>
    </w:p>
    <w:p w14:paraId="0EBE5896" w14:textId="77777777" w:rsidR="002C7F68" w:rsidRPr="00EC639B" w:rsidRDefault="002C7F68" w:rsidP="00363819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Cs w:val="24"/>
          <w:u w:val="single"/>
        </w:rPr>
      </w:pPr>
    </w:p>
    <w:p w14:paraId="6A75E233" w14:textId="54DAF569" w:rsidR="00393181" w:rsidRPr="00F85419" w:rsidRDefault="008F189A" w:rsidP="007B0287">
      <w:pPr>
        <w:ind w:left="426" w:hanging="426"/>
        <w:rPr>
          <w:rFonts w:cstheme="minorHAnsi"/>
          <w:b/>
          <w:bCs/>
        </w:rPr>
      </w:pPr>
      <w:r w:rsidRPr="00A356F2">
        <w:rPr>
          <w:rFonts w:cstheme="minorHAnsi"/>
          <w:b/>
          <w:bCs/>
        </w:rPr>
        <w:t>1</w:t>
      </w:r>
      <w:r w:rsidR="00AA26D0" w:rsidRPr="00A356F2">
        <w:rPr>
          <w:rFonts w:cstheme="minorHAnsi"/>
          <w:b/>
          <w:bCs/>
        </w:rPr>
        <w:t>1</w:t>
      </w:r>
      <w:r w:rsidRPr="00A356F2">
        <w:rPr>
          <w:rFonts w:cstheme="minorHAnsi"/>
          <w:b/>
          <w:bCs/>
        </w:rPr>
        <w:t>.</w:t>
      </w:r>
      <w:r w:rsidRPr="00F85419">
        <w:rPr>
          <w:rFonts w:cstheme="minorHAnsi"/>
          <w:bCs/>
        </w:rPr>
        <w:t xml:space="preserve"> </w:t>
      </w:r>
      <w:r w:rsidR="007B0287">
        <w:rPr>
          <w:rFonts w:cstheme="minorHAnsi"/>
          <w:bCs/>
        </w:rPr>
        <w:tab/>
      </w:r>
      <w:r w:rsidRPr="00A356F2">
        <w:rPr>
          <w:rFonts w:cstheme="minorHAnsi"/>
          <w:b/>
          <w:bCs/>
        </w:rPr>
        <w:t>E</w:t>
      </w:r>
      <w:r w:rsidR="00393181" w:rsidRPr="00A356F2">
        <w:rPr>
          <w:rFonts w:cstheme="minorHAnsi"/>
          <w:b/>
          <w:bCs/>
        </w:rPr>
        <w:t>vropská komise</w:t>
      </w:r>
      <w:r w:rsidR="00393181" w:rsidRPr="00A356F2">
        <w:rPr>
          <w:rStyle w:val="Znakapoznpodarou"/>
          <w:rFonts w:cstheme="minorHAnsi"/>
          <w:b/>
          <w:bCs/>
        </w:rPr>
        <w:footnoteReference w:id="69"/>
      </w:r>
      <w:r w:rsidR="002C7F68" w:rsidRPr="00A356F2">
        <w:rPr>
          <w:rFonts w:cstheme="minorHAnsi"/>
          <w:b/>
          <w:bCs/>
        </w:rPr>
        <w:t xml:space="preserve"> </w:t>
      </w:r>
      <w:r w:rsidR="00393181" w:rsidRPr="00A356F2">
        <w:rPr>
          <w:rFonts w:cstheme="minorHAnsi"/>
          <w:b/>
          <w:bCs/>
        </w:rPr>
        <w:t>může v budoucnu shledat režim zákonného pojištění neslučitelným s vnitřním trhem.</w:t>
      </w:r>
    </w:p>
    <w:p w14:paraId="0D2A12AB" w14:textId="77777777" w:rsidR="004550B2" w:rsidRDefault="004550B2" w:rsidP="00902113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57F80AE4" w14:textId="72EA7924" w:rsidR="005405DF" w:rsidRPr="00EC639B" w:rsidRDefault="00E910EF" w:rsidP="00902113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D82D1C">
        <w:rPr>
          <w:rFonts w:cstheme="minorHAnsi"/>
          <w:b/>
        </w:rPr>
        <w:t>Systém provádění zákonného pojištění odpovědnosti zaměstnavatele za pracovní úraz či</w:t>
      </w:r>
      <w:r w:rsidR="00C60B8E">
        <w:rPr>
          <w:rFonts w:cstheme="minorHAnsi"/>
          <w:b/>
        </w:rPr>
        <w:t xml:space="preserve"> </w:t>
      </w:r>
      <w:r w:rsidRPr="00D82D1C">
        <w:rPr>
          <w:rFonts w:cstheme="minorHAnsi"/>
          <w:b/>
        </w:rPr>
        <w:t xml:space="preserve">nemoc z povolání naplňuje všechny definiční znaky veřejné podpory. </w:t>
      </w:r>
      <w:r w:rsidRPr="00D82D1C">
        <w:rPr>
          <w:rFonts w:cstheme="minorHAnsi"/>
        </w:rPr>
        <w:t>Specifický režim provozu zákonného pojištění byl zaveden od 1.</w:t>
      </w:r>
      <w:r w:rsidR="00C60B8E">
        <w:rPr>
          <w:rFonts w:cstheme="minorHAnsi"/>
        </w:rPr>
        <w:t xml:space="preserve"> </w:t>
      </w:r>
      <w:r w:rsidRPr="00D82D1C">
        <w:rPr>
          <w:rFonts w:cstheme="minorHAnsi"/>
        </w:rPr>
        <w:t>1.</w:t>
      </w:r>
      <w:r w:rsidR="00C60B8E">
        <w:rPr>
          <w:rFonts w:cstheme="minorHAnsi"/>
        </w:rPr>
        <w:t xml:space="preserve"> </w:t>
      </w:r>
      <w:r w:rsidRPr="00D82D1C">
        <w:rPr>
          <w:rFonts w:cstheme="minorHAnsi"/>
        </w:rPr>
        <w:t>1993, tzn. před datem vstupu České republiky do EU dne 1.</w:t>
      </w:r>
      <w:r w:rsidR="00C60B8E">
        <w:rPr>
          <w:rFonts w:cstheme="minorHAnsi"/>
        </w:rPr>
        <w:t xml:space="preserve"> </w:t>
      </w:r>
      <w:r w:rsidRPr="00D82D1C">
        <w:rPr>
          <w:rFonts w:cstheme="minorHAnsi"/>
        </w:rPr>
        <w:t>5.</w:t>
      </w:r>
      <w:r w:rsidR="00C60B8E">
        <w:rPr>
          <w:rFonts w:cstheme="minorHAnsi"/>
        </w:rPr>
        <w:t xml:space="preserve"> </w:t>
      </w:r>
      <w:r w:rsidRPr="00D82D1C">
        <w:rPr>
          <w:rFonts w:cstheme="minorHAnsi"/>
        </w:rPr>
        <w:t xml:space="preserve">2004. Z přílohy IV. </w:t>
      </w:r>
      <w:r w:rsidRPr="00A356F2">
        <w:rPr>
          <w:rFonts w:cstheme="minorHAnsi"/>
          <w:i/>
        </w:rPr>
        <w:t>Smlouvy o přistoupení Č</w:t>
      </w:r>
      <w:r w:rsidR="00351E69" w:rsidRPr="00A356F2">
        <w:rPr>
          <w:rFonts w:cstheme="minorHAnsi"/>
          <w:i/>
        </w:rPr>
        <w:t>R k EU</w:t>
      </w:r>
      <w:r w:rsidRPr="00351E69">
        <w:rPr>
          <w:rFonts w:cstheme="minorHAnsi"/>
        </w:rPr>
        <w:t xml:space="preserve"> je</w:t>
      </w:r>
      <w:r w:rsidRPr="00D82D1C">
        <w:rPr>
          <w:rFonts w:cstheme="minorHAnsi"/>
        </w:rPr>
        <w:t xml:space="preserve"> zřejmé, že tento režim podpory lze považovat za existující podpor</w:t>
      </w:r>
      <w:r w:rsidR="000D57A2">
        <w:rPr>
          <w:rFonts w:cstheme="minorHAnsi"/>
        </w:rPr>
        <w:t>u</w:t>
      </w:r>
      <w:r w:rsidRPr="00D82D1C">
        <w:rPr>
          <w:rFonts w:cstheme="minorHAnsi"/>
        </w:rPr>
        <w:t xml:space="preserve"> podle článku 88 odst. 1 </w:t>
      </w:r>
      <w:r w:rsidRPr="00A356F2">
        <w:rPr>
          <w:rFonts w:cstheme="minorHAnsi"/>
          <w:i/>
        </w:rPr>
        <w:t>Smlouvy o ES</w:t>
      </w:r>
      <w:r w:rsidRPr="00D82D1C">
        <w:rPr>
          <w:rFonts w:cstheme="minorHAnsi"/>
        </w:rPr>
        <w:t xml:space="preserve">, </w:t>
      </w:r>
      <w:r w:rsidR="0016602D">
        <w:rPr>
          <w:rFonts w:cstheme="minorHAnsi"/>
        </w:rPr>
        <w:br/>
      </w:r>
      <w:r w:rsidRPr="00D82D1C">
        <w:rPr>
          <w:rFonts w:cstheme="minorHAnsi"/>
        </w:rPr>
        <w:t xml:space="preserve">resp. podle článku 108 </w:t>
      </w:r>
      <w:r w:rsidRPr="00A356F2">
        <w:rPr>
          <w:rFonts w:cstheme="minorHAnsi"/>
          <w:i/>
        </w:rPr>
        <w:t>Smlouvy o fungování Evropské unie</w:t>
      </w:r>
      <w:r w:rsidRPr="00D82D1C">
        <w:rPr>
          <w:rFonts w:cstheme="minorHAnsi"/>
        </w:rPr>
        <w:t xml:space="preserve">. </w:t>
      </w:r>
      <w:r w:rsidR="005405DF" w:rsidRPr="00D82D1C">
        <w:rPr>
          <w:rFonts w:asciiTheme="minorHAnsi" w:hAnsiTheme="minorHAnsi" w:cstheme="minorHAnsi"/>
          <w:szCs w:val="24"/>
        </w:rPr>
        <w:t xml:space="preserve">Dle přílohy IV. </w:t>
      </w:r>
      <w:r w:rsidR="005405DF" w:rsidRPr="00A356F2">
        <w:rPr>
          <w:rFonts w:asciiTheme="minorHAnsi" w:hAnsiTheme="minorHAnsi" w:cstheme="minorHAnsi"/>
          <w:i/>
          <w:szCs w:val="24"/>
        </w:rPr>
        <w:t xml:space="preserve">Smlouvy </w:t>
      </w:r>
      <w:r w:rsidR="0059078A">
        <w:rPr>
          <w:rFonts w:asciiTheme="minorHAnsi" w:hAnsiTheme="minorHAnsi" w:cstheme="minorHAnsi"/>
          <w:i/>
          <w:szCs w:val="24"/>
        </w:rPr>
        <w:br/>
      </w:r>
      <w:r w:rsidR="005405DF" w:rsidRPr="00A356F2">
        <w:rPr>
          <w:rFonts w:asciiTheme="minorHAnsi" w:hAnsiTheme="minorHAnsi" w:cstheme="minorHAnsi"/>
          <w:i/>
          <w:szCs w:val="24"/>
        </w:rPr>
        <w:t>o přistoupení ČR k EU</w:t>
      </w:r>
      <w:r w:rsidR="005405DF" w:rsidRPr="00D82D1C">
        <w:rPr>
          <w:rFonts w:asciiTheme="minorHAnsi" w:hAnsiTheme="minorHAnsi" w:cstheme="minorHAnsi"/>
          <w:szCs w:val="24"/>
        </w:rPr>
        <w:t xml:space="preserve"> se jedná o tzv. existující podporu, která je obecně</w:t>
      </w:r>
      <w:r w:rsidR="005405DF" w:rsidRPr="00EC639B">
        <w:rPr>
          <w:rFonts w:asciiTheme="minorHAnsi" w:hAnsiTheme="minorHAnsi" w:cstheme="minorHAnsi"/>
          <w:szCs w:val="24"/>
        </w:rPr>
        <w:t xml:space="preserve"> slučitelná s vnitřním trhem, měla však být součástí výročních zpráv o všech existujících režimech podpory. </w:t>
      </w:r>
    </w:p>
    <w:p w14:paraId="401957DA" w14:textId="77777777" w:rsidR="004550B2" w:rsidRDefault="004550B2" w:rsidP="00902113">
      <w:pPr>
        <w:rPr>
          <w:rFonts w:cstheme="minorHAnsi"/>
          <w:bCs/>
        </w:rPr>
      </w:pPr>
    </w:p>
    <w:p w14:paraId="6BDA2F06" w14:textId="6E9EADAA" w:rsidR="005405DF" w:rsidRPr="007C50B4" w:rsidRDefault="005405DF" w:rsidP="00902113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EC639B">
        <w:rPr>
          <w:rFonts w:cstheme="minorHAnsi"/>
          <w:bCs/>
        </w:rPr>
        <w:t xml:space="preserve">V letech 2012 a 2015 došlo ke změnám sazby </w:t>
      </w:r>
      <w:r w:rsidR="005E5CAD">
        <w:rPr>
          <w:rFonts w:cstheme="minorHAnsi"/>
          <w:bCs/>
        </w:rPr>
        <w:t xml:space="preserve">nákladů </w:t>
      </w:r>
      <w:r w:rsidRPr="00EC639B">
        <w:rPr>
          <w:rFonts w:cstheme="minorHAnsi"/>
          <w:bCs/>
        </w:rPr>
        <w:t xml:space="preserve">správní režie </w:t>
      </w:r>
      <w:r w:rsidR="000D57A2">
        <w:rPr>
          <w:rFonts w:cstheme="minorHAnsi"/>
          <w:bCs/>
        </w:rPr>
        <w:t xml:space="preserve">pro pojišťovny </w:t>
      </w:r>
      <w:r w:rsidRPr="00EC639B">
        <w:rPr>
          <w:rFonts w:cstheme="minorHAnsi"/>
          <w:bCs/>
        </w:rPr>
        <w:t>jejím snížením. Podle nařízení Rady</w:t>
      </w:r>
      <w:r w:rsidRPr="00EC639B">
        <w:rPr>
          <w:rStyle w:val="Znakapoznpodarou"/>
          <w:rFonts w:cstheme="minorHAnsi"/>
          <w:bCs/>
        </w:rPr>
        <w:footnoteReference w:id="70"/>
      </w:r>
      <w:r w:rsidRPr="00EC639B">
        <w:rPr>
          <w:rFonts w:cstheme="minorHAnsi"/>
          <w:bCs/>
        </w:rPr>
        <w:t xml:space="preserve"> a zároveň podle nařízení Komise</w:t>
      </w:r>
      <w:r w:rsidRPr="00EC639B">
        <w:rPr>
          <w:rStyle w:val="Znakapoznpodarou"/>
          <w:rFonts w:cstheme="minorHAnsi"/>
          <w:bCs/>
        </w:rPr>
        <w:footnoteReference w:id="71"/>
      </w:r>
      <w:r w:rsidRPr="00EC639B">
        <w:rPr>
          <w:rFonts w:cstheme="minorHAnsi"/>
          <w:bCs/>
        </w:rPr>
        <w:t xml:space="preserve"> je i snížení podpory změnou existující podpory na</w:t>
      </w:r>
      <w:r w:rsidR="002C7F68">
        <w:rPr>
          <w:rFonts w:cstheme="minorHAnsi"/>
          <w:bCs/>
        </w:rPr>
        <w:t xml:space="preserve"> </w:t>
      </w:r>
      <w:r w:rsidRPr="00EC639B">
        <w:rPr>
          <w:rFonts w:cstheme="minorHAnsi"/>
          <w:bCs/>
        </w:rPr>
        <w:t xml:space="preserve">podporu novou. </w:t>
      </w:r>
      <w:r w:rsidRPr="00EC639B">
        <w:rPr>
          <w:rFonts w:asciiTheme="minorHAnsi" w:hAnsiTheme="minorHAnsi" w:cstheme="minorHAnsi"/>
          <w:szCs w:val="24"/>
        </w:rPr>
        <w:t xml:space="preserve">MF neoznámilo veřejnou podporu dle zákona o úpravě </w:t>
      </w:r>
      <w:r w:rsidRPr="007C50B4">
        <w:rPr>
          <w:rFonts w:asciiTheme="minorHAnsi" w:hAnsiTheme="minorHAnsi" w:cstheme="minorHAnsi"/>
          <w:szCs w:val="24"/>
        </w:rPr>
        <w:t>některých vztahů v oblasti veřejné podpory</w:t>
      </w:r>
      <w:r w:rsidRPr="007C50B4">
        <w:rPr>
          <w:rStyle w:val="Znakapoznpodarou"/>
          <w:rFonts w:asciiTheme="minorHAnsi" w:hAnsiTheme="minorHAnsi" w:cstheme="minorHAnsi"/>
          <w:szCs w:val="24"/>
        </w:rPr>
        <w:footnoteReference w:id="72"/>
      </w:r>
      <w:r w:rsidRPr="007C50B4">
        <w:rPr>
          <w:rFonts w:asciiTheme="minorHAnsi" w:hAnsiTheme="minorHAnsi" w:cstheme="minorHAnsi"/>
          <w:szCs w:val="24"/>
        </w:rPr>
        <w:t xml:space="preserve"> Komisi prostřednictvím koordinačního orgánu a</w:t>
      </w:r>
      <w:r w:rsidR="00DD1FC2" w:rsidRPr="007C50B4">
        <w:rPr>
          <w:rFonts w:asciiTheme="minorHAnsi" w:hAnsiTheme="minorHAnsi" w:cstheme="minorHAnsi"/>
          <w:szCs w:val="24"/>
        </w:rPr>
        <w:t>ni</w:t>
      </w:r>
      <w:r w:rsidR="00BD2219" w:rsidRPr="007C50B4">
        <w:rPr>
          <w:rFonts w:asciiTheme="minorHAnsi" w:hAnsiTheme="minorHAnsi" w:cstheme="minorHAnsi"/>
          <w:szCs w:val="24"/>
        </w:rPr>
        <w:t xml:space="preserve"> neohlásilo</w:t>
      </w:r>
      <w:r w:rsidRPr="007C50B4">
        <w:rPr>
          <w:rFonts w:asciiTheme="minorHAnsi" w:hAnsiTheme="minorHAnsi" w:cstheme="minorHAnsi"/>
          <w:szCs w:val="24"/>
        </w:rPr>
        <w:t xml:space="preserve"> změny provedené v systému zá</w:t>
      </w:r>
      <w:r w:rsidR="005669CD" w:rsidRPr="007C50B4">
        <w:rPr>
          <w:rFonts w:asciiTheme="minorHAnsi" w:hAnsiTheme="minorHAnsi" w:cstheme="minorHAnsi"/>
          <w:szCs w:val="24"/>
        </w:rPr>
        <w:t>konného pojištění v letech 2012–</w:t>
      </w:r>
      <w:r w:rsidRPr="007C50B4">
        <w:rPr>
          <w:rFonts w:asciiTheme="minorHAnsi" w:hAnsiTheme="minorHAnsi" w:cstheme="minorHAnsi"/>
          <w:szCs w:val="24"/>
        </w:rPr>
        <w:t xml:space="preserve">2015. </w:t>
      </w:r>
    </w:p>
    <w:p w14:paraId="3D8E136B" w14:textId="4F727313" w:rsidR="003B594A" w:rsidRPr="007C50B4" w:rsidRDefault="003B594A" w:rsidP="00BC5465">
      <w:pPr>
        <w:spacing w:line="259" w:lineRule="auto"/>
        <w:jc w:val="left"/>
        <w:rPr>
          <w:rFonts w:cstheme="minorHAnsi"/>
          <w:b/>
        </w:rPr>
      </w:pPr>
    </w:p>
    <w:p w14:paraId="2DC6E509" w14:textId="77777777" w:rsidR="00F3277E" w:rsidRDefault="00F3277E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C8C0665" w14:textId="10C69821" w:rsidR="00EA0E8E" w:rsidRPr="00E06517" w:rsidRDefault="00EA0E8E" w:rsidP="001E1E98">
      <w:pPr>
        <w:tabs>
          <w:tab w:val="left" w:pos="2694"/>
        </w:tabs>
        <w:rPr>
          <w:rFonts w:cstheme="minorHAnsi"/>
          <w:b/>
        </w:rPr>
      </w:pPr>
      <w:r w:rsidRPr="00E06517">
        <w:rPr>
          <w:rFonts w:cstheme="minorHAnsi"/>
          <w:b/>
        </w:rPr>
        <w:lastRenderedPageBreak/>
        <w:t>Seznam zkratek</w:t>
      </w:r>
    </w:p>
    <w:p w14:paraId="52DE36AB" w14:textId="77777777" w:rsidR="00EA0E8E" w:rsidRPr="007C50B4" w:rsidRDefault="00EA0E8E" w:rsidP="001E1E98">
      <w:pPr>
        <w:tabs>
          <w:tab w:val="left" w:pos="2694"/>
        </w:tabs>
        <w:rPr>
          <w:rFonts w:cstheme="minorHAnsi"/>
        </w:rPr>
      </w:pPr>
    </w:p>
    <w:p w14:paraId="591F3C24" w14:textId="322985A7" w:rsidR="002D798E" w:rsidRPr="007C50B4" w:rsidRDefault="002D798E" w:rsidP="001635E1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Česká pojišťovna</w:t>
      </w:r>
      <w:r w:rsidRPr="007C50B4">
        <w:rPr>
          <w:rFonts w:cstheme="minorHAnsi"/>
        </w:rPr>
        <w:tab/>
        <w:t>Česká pojišťovna a.s.</w:t>
      </w:r>
    </w:p>
    <w:p w14:paraId="1E5303E0" w14:textId="77777777" w:rsidR="002D798E" w:rsidRPr="007C50B4" w:rsidRDefault="002D798E" w:rsidP="001635E1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ČNB</w:t>
      </w:r>
      <w:r w:rsidRPr="007C50B4">
        <w:rPr>
          <w:rFonts w:cstheme="minorHAnsi"/>
        </w:rPr>
        <w:tab/>
        <w:t>Česká národní banka</w:t>
      </w:r>
    </w:p>
    <w:p w14:paraId="71C87732" w14:textId="77777777" w:rsidR="002D798E" w:rsidRPr="007C50B4" w:rsidRDefault="002D798E" w:rsidP="001635E1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ČR</w:t>
      </w:r>
      <w:r w:rsidRPr="007C50B4">
        <w:rPr>
          <w:rFonts w:cstheme="minorHAnsi"/>
        </w:rPr>
        <w:tab/>
        <w:t>Česká republika</w:t>
      </w:r>
    </w:p>
    <w:p w14:paraId="3291BCAA" w14:textId="77777777" w:rsidR="002D798E" w:rsidRPr="007C50B4" w:rsidRDefault="002D798E" w:rsidP="001635E1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ČSSZ</w:t>
      </w:r>
      <w:r w:rsidRPr="007C50B4">
        <w:rPr>
          <w:rFonts w:cstheme="minorHAnsi"/>
        </w:rPr>
        <w:tab/>
        <w:t>Česká správa sociálního zabezpečení</w:t>
      </w:r>
    </w:p>
    <w:p w14:paraId="1BFF9735" w14:textId="77777777" w:rsidR="002D798E" w:rsidRPr="007C50B4" w:rsidRDefault="002D798E" w:rsidP="001635E1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EU</w:t>
      </w:r>
      <w:r w:rsidRPr="007C50B4">
        <w:rPr>
          <w:rFonts w:cstheme="minorHAnsi"/>
        </w:rPr>
        <w:tab/>
        <w:t>Evropská unie</w:t>
      </w:r>
    </w:p>
    <w:p w14:paraId="5BB57D3F" w14:textId="2373CD7B" w:rsidR="002D798E" w:rsidRPr="007C50B4" w:rsidRDefault="002D798E" w:rsidP="001635E1">
      <w:pPr>
        <w:tabs>
          <w:tab w:val="left" w:pos="2694"/>
        </w:tabs>
        <w:spacing w:after="100"/>
        <w:rPr>
          <w:rFonts w:cstheme="minorHAnsi"/>
        </w:rPr>
      </w:pPr>
      <w:r>
        <w:rPr>
          <w:rFonts w:cstheme="minorHAnsi"/>
        </w:rPr>
        <w:t>Komise</w:t>
      </w:r>
      <w:r>
        <w:rPr>
          <w:rFonts w:cstheme="minorHAnsi"/>
        </w:rPr>
        <w:tab/>
        <w:t>Evropská komise</w:t>
      </w:r>
    </w:p>
    <w:p w14:paraId="5C92CAE1" w14:textId="77777777" w:rsidR="002D798E" w:rsidRPr="007C50B4" w:rsidRDefault="002D798E" w:rsidP="001635E1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Kooperativa</w:t>
      </w:r>
      <w:r w:rsidRPr="007C50B4">
        <w:rPr>
          <w:rFonts w:cstheme="minorHAnsi"/>
        </w:rPr>
        <w:tab/>
      </w:r>
      <w:proofErr w:type="spellStart"/>
      <w:r w:rsidRPr="007C50B4">
        <w:rPr>
          <w:rFonts w:cstheme="minorHAnsi"/>
        </w:rPr>
        <w:t>Kooperativa</w:t>
      </w:r>
      <w:proofErr w:type="spellEnd"/>
      <w:r w:rsidRPr="007C50B4">
        <w:rPr>
          <w:rFonts w:cstheme="minorHAnsi"/>
        </w:rPr>
        <w:t xml:space="preserve"> pojišťovna</w:t>
      </w:r>
      <w:r>
        <w:rPr>
          <w:rFonts w:cstheme="minorHAnsi"/>
        </w:rPr>
        <w:t>,</w:t>
      </w:r>
      <w:r w:rsidRPr="007C50B4">
        <w:rPr>
          <w:rFonts w:cstheme="minorHAnsi"/>
        </w:rPr>
        <w:t xml:space="preserve"> a.s., </w:t>
      </w:r>
      <w:proofErr w:type="spellStart"/>
      <w:r w:rsidRPr="007C50B4">
        <w:rPr>
          <w:rFonts w:cstheme="minorHAnsi"/>
        </w:rPr>
        <w:t>Vienna</w:t>
      </w:r>
      <w:proofErr w:type="spellEnd"/>
      <w:r w:rsidRPr="007C50B4">
        <w:rPr>
          <w:rFonts w:cstheme="minorHAnsi"/>
        </w:rPr>
        <w:t xml:space="preserve"> </w:t>
      </w:r>
      <w:proofErr w:type="spellStart"/>
      <w:r w:rsidRPr="007C50B4">
        <w:rPr>
          <w:rFonts w:cstheme="minorHAnsi"/>
        </w:rPr>
        <w:t>Insurance</w:t>
      </w:r>
      <w:proofErr w:type="spellEnd"/>
      <w:r w:rsidRPr="007C50B4">
        <w:rPr>
          <w:rFonts w:cstheme="minorHAnsi"/>
        </w:rPr>
        <w:t xml:space="preserve"> Group</w:t>
      </w:r>
    </w:p>
    <w:p w14:paraId="067DF049" w14:textId="77777777" w:rsidR="002D798E" w:rsidRPr="007C50B4" w:rsidRDefault="002D798E" w:rsidP="001635E1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MF</w:t>
      </w:r>
      <w:r w:rsidRPr="007C50B4">
        <w:rPr>
          <w:rFonts w:cstheme="minorHAnsi"/>
        </w:rPr>
        <w:tab/>
        <w:t>Ministerstvo financí</w:t>
      </w:r>
    </w:p>
    <w:p w14:paraId="2877CC21" w14:textId="77777777" w:rsidR="002D798E" w:rsidRPr="007C50B4" w:rsidRDefault="002D798E" w:rsidP="001635E1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MPSV</w:t>
      </w:r>
      <w:r w:rsidRPr="007C50B4">
        <w:rPr>
          <w:rFonts w:cstheme="minorHAnsi"/>
        </w:rPr>
        <w:tab/>
        <w:t>Ministerstvo práce a sociálních věcí</w:t>
      </w:r>
    </w:p>
    <w:p w14:paraId="16DEDCE4" w14:textId="77777777" w:rsidR="002D798E" w:rsidRPr="007C50B4" w:rsidRDefault="002D798E" w:rsidP="00A356F2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NKÚ</w:t>
      </w:r>
      <w:r w:rsidRPr="007C50B4">
        <w:rPr>
          <w:rFonts w:cstheme="minorHAnsi"/>
        </w:rPr>
        <w:tab/>
        <w:t>Nejvyšší kontrolní úřad</w:t>
      </w:r>
    </w:p>
    <w:p w14:paraId="7ECCD491" w14:textId="77777777" w:rsidR="002D798E" w:rsidRPr="007C50B4" w:rsidRDefault="002D798E" w:rsidP="00A356F2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OKEČ</w:t>
      </w:r>
      <w:r w:rsidRPr="007C50B4">
        <w:rPr>
          <w:rFonts w:cstheme="minorHAnsi"/>
        </w:rPr>
        <w:tab/>
      </w:r>
      <w:r w:rsidRPr="00A356F2">
        <w:rPr>
          <w:rFonts w:cstheme="minorHAnsi"/>
          <w:i/>
        </w:rPr>
        <w:t>Odvětvová klasifikace ekonomických činností</w:t>
      </w:r>
    </w:p>
    <w:p w14:paraId="1303B24B" w14:textId="53249114" w:rsidR="002D798E" w:rsidRPr="007C50B4" w:rsidRDefault="002D798E" w:rsidP="00A356F2">
      <w:pPr>
        <w:tabs>
          <w:tab w:val="left" w:pos="2694"/>
        </w:tabs>
        <w:spacing w:after="100"/>
        <w:rPr>
          <w:rFonts w:cstheme="minorHAnsi"/>
        </w:rPr>
      </w:pPr>
      <w:r w:rsidRPr="007C50B4">
        <w:rPr>
          <w:rFonts w:cstheme="minorHAnsi"/>
        </w:rPr>
        <w:t>RES</w:t>
      </w:r>
      <w:r w:rsidRPr="007C50B4">
        <w:rPr>
          <w:rFonts w:cstheme="minorHAnsi"/>
        </w:rPr>
        <w:tab/>
      </w:r>
      <w:r>
        <w:rPr>
          <w:rFonts w:cstheme="minorHAnsi"/>
        </w:rPr>
        <w:t>r</w:t>
      </w:r>
      <w:r w:rsidRPr="007C50B4">
        <w:rPr>
          <w:rFonts w:cstheme="minorHAnsi"/>
        </w:rPr>
        <w:t>egistr ekonomických subjektů</w:t>
      </w:r>
    </w:p>
    <w:p w14:paraId="0FDBA537" w14:textId="7069A1C5" w:rsidR="002D798E" w:rsidRDefault="002D798E" w:rsidP="00A356F2">
      <w:pPr>
        <w:tabs>
          <w:tab w:val="left" w:pos="2694"/>
        </w:tabs>
        <w:spacing w:after="100"/>
        <w:ind w:left="2694" w:hanging="2694"/>
        <w:jc w:val="left"/>
        <w:rPr>
          <w:rFonts w:cstheme="minorHAnsi"/>
          <w:color w:val="000000"/>
        </w:rPr>
      </w:pPr>
      <w:r>
        <w:rPr>
          <w:rFonts w:cstheme="minorHAnsi"/>
        </w:rPr>
        <w:t>z</w:t>
      </w:r>
      <w:r w:rsidRPr="007C50B4">
        <w:rPr>
          <w:rFonts w:cstheme="minorHAnsi"/>
        </w:rPr>
        <w:t>ákonné pojištění</w:t>
      </w:r>
      <w:r w:rsidRPr="007C50B4">
        <w:rPr>
          <w:rFonts w:cstheme="minorHAnsi"/>
        </w:rPr>
        <w:tab/>
      </w:r>
      <w:r>
        <w:rPr>
          <w:rFonts w:cstheme="minorHAnsi"/>
        </w:rPr>
        <w:t>z</w:t>
      </w:r>
      <w:r w:rsidRPr="007C50B4">
        <w:rPr>
          <w:rFonts w:cstheme="minorHAnsi"/>
        </w:rPr>
        <w:t>ákonné pojištění odpovědnosti zaměstnavatele za škodu při pracovním úrazu nebo nemoci z povolání</w:t>
      </w:r>
    </w:p>
    <w:p w14:paraId="26BF7C74" w14:textId="77777777" w:rsidR="002C7F68" w:rsidRDefault="002C7F68">
      <w:pPr>
        <w:spacing w:after="160" w:line="259" w:lineRule="auto"/>
        <w:jc w:val="left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3F68D350" w14:textId="07698E7A" w:rsidR="00BF1D65" w:rsidRPr="00A356F2" w:rsidRDefault="002C7F68" w:rsidP="002C7F68">
      <w:pPr>
        <w:tabs>
          <w:tab w:val="right" w:pos="9072"/>
        </w:tabs>
        <w:rPr>
          <w:rFonts w:cstheme="minorHAnsi"/>
          <w:b/>
        </w:rPr>
      </w:pPr>
      <w:r>
        <w:rPr>
          <w:rFonts w:cstheme="minorHAnsi"/>
          <w:color w:val="000000"/>
        </w:rPr>
        <w:lastRenderedPageBreak/>
        <w:tab/>
      </w:r>
      <w:r w:rsidR="00BF1D65" w:rsidRPr="00A356F2">
        <w:rPr>
          <w:rFonts w:cstheme="minorHAnsi"/>
          <w:b/>
          <w:color w:val="000000"/>
        </w:rPr>
        <w:t>Příloha č. 1</w:t>
      </w:r>
    </w:p>
    <w:p w14:paraId="337F79C8" w14:textId="77777777" w:rsidR="00BF1D65" w:rsidRDefault="00BF1D65" w:rsidP="00BF1D65">
      <w:pPr>
        <w:jc w:val="center"/>
        <w:rPr>
          <w:rFonts w:cstheme="minorHAnsi"/>
          <w:color w:val="000000"/>
        </w:rPr>
      </w:pPr>
    </w:p>
    <w:p w14:paraId="3C6FBFB4" w14:textId="5D6B7F9C" w:rsidR="00BF1D65" w:rsidRDefault="00BF1D65" w:rsidP="00BF1D65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Údaje pojišťoven za období 2015–2018 o počtu evidovaných zaměstnavatelů, počtu pojistných událostí a </w:t>
      </w:r>
      <w:r w:rsidR="00A6356E">
        <w:rPr>
          <w:rFonts w:cstheme="minorHAnsi"/>
          <w:color w:val="000000"/>
        </w:rPr>
        <w:t xml:space="preserve">výši </w:t>
      </w:r>
      <w:r>
        <w:rPr>
          <w:rFonts w:cstheme="minorHAnsi"/>
          <w:color w:val="000000"/>
        </w:rPr>
        <w:t xml:space="preserve">přijatého a vyplaceného pojistného </w:t>
      </w:r>
    </w:p>
    <w:p w14:paraId="261A3243" w14:textId="77777777" w:rsidR="00BF1D65" w:rsidRDefault="00BF1D65" w:rsidP="00BF1D65">
      <w:pPr>
        <w:jc w:val="center"/>
        <w:rPr>
          <w:rFonts w:cstheme="minorHAnsi"/>
          <w:color w:val="000000"/>
        </w:rPr>
      </w:pPr>
    </w:p>
    <w:p w14:paraId="5606EDF5" w14:textId="77777777" w:rsidR="00BF1D65" w:rsidRPr="00E23E8F" w:rsidRDefault="00BF1D65" w:rsidP="00AA682B">
      <w:pPr>
        <w:jc w:val="center"/>
        <w:rPr>
          <w:rFonts w:cstheme="minorHAnsi"/>
          <w:b/>
        </w:rPr>
      </w:pPr>
      <w:r w:rsidRPr="00E23E8F">
        <w:rPr>
          <w:rFonts w:cstheme="minorHAnsi"/>
          <w:b/>
        </w:rPr>
        <w:t>Graf č. 1: Počet zaměstnavatelů</w:t>
      </w:r>
    </w:p>
    <w:p w14:paraId="62E3C3FE" w14:textId="77777777" w:rsidR="00BF1D65" w:rsidRPr="00EC639B" w:rsidRDefault="00BF1D65" w:rsidP="00BF1D65">
      <w:pPr>
        <w:jc w:val="center"/>
        <w:rPr>
          <w:rFonts w:cstheme="minorHAnsi"/>
        </w:rPr>
      </w:pPr>
    </w:p>
    <w:p w14:paraId="56E2C801" w14:textId="77777777" w:rsidR="00BF1D65" w:rsidRDefault="00BF1D65" w:rsidP="00BF1D65">
      <w:pPr>
        <w:jc w:val="center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00D1F900" wp14:editId="75A91E69">
            <wp:extent cx="5019675" cy="2847975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1FBB4F" w14:textId="1E992D07" w:rsidR="00BF1D65" w:rsidRDefault="00BF1D65" w:rsidP="00BF1D65">
      <w:pPr>
        <w:ind w:firstLine="708"/>
        <w:jc w:val="left"/>
        <w:rPr>
          <w:rFonts w:cstheme="minorHAnsi"/>
          <w:sz w:val="20"/>
        </w:rPr>
      </w:pPr>
      <w:r w:rsidRPr="00B17881">
        <w:rPr>
          <w:rFonts w:cstheme="minorHAnsi"/>
          <w:b/>
          <w:sz w:val="20"/>
        </w:rPr>
        <w:t>Zdroj:</w:t>
      </w:r>
      <w:r>
        <w:rPr>
          <w:rFonts w:cstheme="minorHAnsi"/>
          <w:sz w:val="20"/>
        </w:rPr>
        <w:t xml:space="preserve"> </w:t>
      </w:r>
      <w:r w:rsidR="002C7F68">
        <w:rPr>
          <w:rFonts w:cstheme="minorHAnsi"/>
          <w:sz w:val="20"/>
        </w:rPr>
        <w:t>o</w:t>
      </w:r>
      <w:r>
        <w:rPr>
          <w:rFonts w:cstheme="minorHAnsi"/>
          <w:sz w:val="20"/>
        </w:rPr>
        <w:t>dpově</w:t>
      </w:r>
      <w:r w:rsidR="002C7F68">
        <w:rPr>
          <w:rFonts w:cstheme="minorHAnsi"/>
          <w:sz w:val="20"/>
        </w:rPr>
        <w:t>di</w:t>
      </w:r>
      <w:r>
        <w:rPr>
          <w:rFonts w:cstheme="minorHAnsi"/>
          <w:sz w:val="20"/>
        </w:rPr>
        <w:t xml:space="preserve"> pojišťoven</w:t>
      </w:r>
      <w:r w:rsidR="0001360E">
        <w:rPr>
          <w:rFonts w:cstheme="minorHAnsi"/>
          <w:sz w:val="20"/>
        </w:rPr>
        <w:t>;</w:t>
      </w:r>
      <w:r>
        <w:rPr>
          <w:rFonts w:cstheme="minorHAnsi"/>
          <w:sz w:val="20"/>
        </w:rPr>
        <w:t xml:space="preserve"> vlastní zpracování NKÚ.</w:t>
      </w:r>
    </w:p>
    <w:p w14:paraId="3D61A396" w14:textId="77777777" w:rsidR="00BF1D65" w:rsidRDefault="00BF1D65" w:rsidP="00BF1D65">
      <w:pPr>
        <w:ind w:firstLine="708"/>
        <w:jc w:val="left"/>
        <w:rPr>
          <w:rFonts w:cstheme="minorHAnsi"/>
          <w:sz w:val="20"/>
        </w:rPr>
      </w:pPr>
    </w:p>
    <w:p w14:paraId="65CD7BD2" w14:textId="77777777" w:rsidR="00BF1D65" w:rsidRDefault="00BF1D65" w:rsidP="00BF1D65">
      <w:pPr>
        <w:ind w:firstLine="708"/>
        <w:jc w:val="left"/>
        <w:rPr>
          <w:rFonts w:cstheme="minorHAnsi"/>
          <w:sz w:val="20"/>
        </w:rPr>
      </w:pPr>
    </w:p>
    <w:p w14:paraId="17140853" w14:textId="77777777" w:rsidR="00BF1D65" w:rsidRDefault="00BF1D65" w:rsidP="00BF1D65">
      <w:pPr>
        <w:ind w:firstLine="708"/>
        <w:jc w:val="left"/>
        <w:rPr>
          <w:rFonts w:cstheme="minorHAnsi"/>
          <w:sz w:val="20"/>
        </w:rPr>
      </w:pPr>
    </w:p>
    <w:p w14:paraId="7690143E" w14:textId="77777777" w:rsidR="00BF1D65" w:rsidRDefault="00BF1D65" w:rsidP="00BF1D65">
      <w:pPr>
        <w:ind w:firstLine="708"/>
        <w:jc w:val="left"/>
        <w:rPr>
          <w:rFonts w:cstheme="minorHAnsi"/>
          <w:sz w:val="20"/>
        </w:rPr>
      </w:pPr>
    </w:p>
    <w:p w14:paraId="1065824A" w14:textId="77777777" w:rsidR="00BF1D65" w:rsidRPr="00E23E8F" w:rsidRDefault="00BF1D65" w:rsidP="00BF1D65">
      <w:pPr>
        <w:jc w:val="center"/>
        <w:rPr>
          <w:rFonts w:cstheme="minorHAnsi"/>
          <w:b/>
        </w:rPr>
      </w:pPr>
      <w:r w:rsidRPr="00E23E8F">
        <w:rPr>
          <w:rFonts w:cstheme="minorHAnsi"/>
          <w:b/>
        </w:rPr>
        <w:t>Graf č. 2: Počet pojistných událostí</w:t>
      </w:r>
    </w:p>
    <w:p w14:paraId="21441CCA" w14:textId="77777777" w:rsidR="00BF1D65" w:rsidRDefault="00BF1D65" w:rsidP="00BF1D65">
      <w:pPr>
        <w:jc w:val="center"/>
        <w:rPr>
          <w:rFonts w:cstheme="minorHAnsi"/>
        </w:rPr>
      </w:pPr>
    </w:p>
    <w:p w14:paraId="4D1124EF" w14:textId="77777777" w:rsidR="00BF1D65" w:rsidRPr="00EC639B" w:rsidRDefault="00BF1D65" w:rsidP="00BF1D65">
      <w:pPr>
        <w:jc w:val="center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3FEEB9CA" wp14:editId="445A5648">
            <wp:extent cx="5048250" cy="2943225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C2BD77" w14:textId="5BEBD6A6" w:rsidR="00BF1D65" w:rsidRDefault="00BF1D65" w:rsidP="00BF1D65">
      <w:pPr>
        <w:ind w:firstLine="708"/>
        <w:jc w:val="left"/>
        <w:rPr>
          <w:rFonts w:cstheme="minorHAnsi"/>
          <w:sz w:val="20"/>
        </w:rPr>
      </w:pPr>
      <w:r w:rsidRPr="0050553F">
        <w:rPr>
          <w:rFonts w:cstheme="minorHAnsi"/>
          <w:b/>
          <w:sz w:val="20"/>
        </w:rPr>
        <w:t>Zdroj:</w:t>
      </w:r>
      <w:r w:rsidRPr="006330F2">
        <w:rPr>
          <w:rFonts w:cstheme="minorHAnsi"/>
          <w:sz w:val="20"/>
        </w:rPr>
        <w:t xml:space="preserve"> </w:t>
      </w:r>
      <w:r w:rsidR="002C7F68">
        <w:rPr>
          <w:rFonts w:cstheme="minorHAnsi"/>
          <w:sz w:val="20"/>
        </w:rPr>
        <w:t>o</w:t>
      </w:r>
      <w:r>
        <w:rPr>
          <w:rFonts w:cstheme="minorHAnsi"/>
          <w:sz w:val="20"/>
        </w:rPr>
        <w:t>dpově</w:t>
      </w:r>
      <w:r w:rsidR="002C7F68">
        <w:rPr>
          <w:rFonts w:cstheme="minorHAnsi"/>
          <w:sz w:val="20"/>
        </w:rPr>
        <w:t>di</w:t>
      </w:r>
      <w:r>
        <w:rPr>
          <w:rFonts w:cstheme="minorHAnsi"/>
          <w:sz w:val="20"/>
        </w:rPr>
        <w:t xml:space="preserve"> pojišťoven</w:t>
      </w:r>
      <w:r w:rsidR="0001360E">
        <w:rPr>
          <w:rFonts w:cstheme="minorHAnsi"/>
          <w:sz w:val="20"/>
        </w:rPr>
        <w:t>;</w:t>
      </w:r>
      <w:r>
        <w:rPr>
          <w:rFonts w:cstheme="minorHAnsi"/>
          <w:sz w:val="20"/>
        </w:rPr>
        <w:t xml:space="preserve"> vlastní zpracování NKÚ.</w:t>
      </w:r>
    </w:p>
    <w:p w14:paraId="3AEB5380" w14:textId="77777777" w:rsidR="00BF1D65" w:rsidRDefault="00BF1D65" w:rsidP="00BF1D65">
      <w:pPr>
        <w:rPr>
          <w:rFonts w:cstheme="minorHAnsi"/>
        </w:rPr>
      </w:pPr>
    </w:p>
    <w:p w14:paraId="70EF2419" w14:textId="77777777" w:rsidR="00BF1D65" w:rsidRDefault="00BF1D65" w:rsidP="00BF1D65">
      <w:pPr>
        <w:jc w:val="center"/>
        <w:rPr>
          <w:rFonts w:cstheme="minorHAnsi"/>
        </w:rPr>
      </w:pPr>
    </w:p>
    <w:p w14:paraId="2148C1AE" w14:textId="77777777" w:rsidR="00BF1D65" w:rsidRDefault="00BF1D65" w:rsidP="00BF1D65">
      <w:pPr>
        <w:rPr>
          <w:rFonts w:cstheme="minorHAnsi"/>
        </w:rPr>
      </w:pPr>
    </w:p>
    <w:p w14:paraId="7F3AE794" w14:textId="6168A945" w:rsidR="00BF1D65" w:rsidRPr="00E23E8F" w:rsidRDefault="00BF1D65" w:rsidP="00BF1D65">
      <w:pPr>
        <w:jc w:val="center"/>
        <w:rPr>
          <w:rFonts w:cstheme="minorHAnsi"/>
          <w:b/>
        </w:rPr>
      </w:pPr>
      <w:r w:rsidRPr="00E23E8F">
        <w:rPr>
          <w:rFonts w:cstheme="minorHAnsi"/>
          <w:b/>
        </w:rPr>
        <w:t xml:space="preserve">Graf č. 3: Přijaté pojistné včetně úroků </w:t>
      </w:r>
      <w:r w:rsidR="00D602AD">
        <w:rPr>
          <w:rFonts w:cstheme="minorHAnsi"/>
          <w:b/>
        </w:rPr>
        <w:t>(</w:t>
      </w:r>
      <w:r w:rsidRPr="00E23E8F">
        <w:rPr>
          <w:rFonts w:cstheme="minorHAnsi"/>
          <w:b/>
        </w:rPr>
        <w:t>v</w:t>
      </w:r>
      <w:r>
        <w:rPr>
          <w:rFonts w:cstheme="minorHAnsi"/>
          <w:b/>
        </w:rPr>
        <w:t xml:space="preserve"> mil. </w:t>
      </w:r>
      <w:r w:rsidRPr="00E23E8F">
        <w:rPr>
          <w:rFonts w:cstheme="minorHAnsi"/>
          <w:b/>
        </w:rPr>
        <w:t>Kč</w:t>
      </w:r>
      <w:r w:rsidR="00D602AD">
        <w:rPr>
          <w:rFonts w:cstheme="minorHAnsi"/>
          <w:b/>
        </w:rPr>
        <w:t>)</w:t>
      </w:r>
    </w:p>
    <w:p w14:paraId="11D321E3" w14:textId="77777777" w:rsidR="00BF1D65" w:rsidRDefault="00BF1D65" w:rsidP="00BF1D65">
      <w:pPr>
        <w:jc w:val="center"/>
        <w:rPr>
          <w:rFonts w:cstheme="minorHAnsi"/>
        </w:rPr>
      </w:pPr>
    </w:p>
    <w:p w14:paraId="6BC7C486" w14:textId="77777777" w:rsidR="00BF1D65" w:rsidRDefault="00BF1D65" w:rsidP="00BF1D65">
      <w:pPr>
        <w:jc w:val="center"/>
      </w:pPr>
      <w:r>
        <w:rPr>
          <w:noProof/>
          <w:lang w:eastAsia="cs-CZ"/>
        </w:rPr>
        <w:drawing>
          <wp:inline distT="0" distB="0" distL="0" distR="0" wp14:anchorId="58ACECDC" wp14:editId="7D07928E">
            <wp:extent cx="4867275" cy="2733675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CB3852" w14:textId="3ED8D850" w:rsidR="00BF1D65" w:rsidRDefault="00BF1D65" w:rsidP="00BF1D65">
      <w:pPr>
        <w:ind w:firstLine="708"/>
        <w:jc w:val="left"/>
        <w:rPr>
          <w:rFonts w:cstheme="minorHAnsi"/>
          <w:sz w:val="20"/>
        </w:rPr>
      </w:pPr>
      <w:r w:rsidRPr="00DE4AA6">
        <w:rPr>
          <w:rFonts w:cstheme="minorHAnsi"/>
          <w:b/>
          <w:sz w:val="20"/>
        </w:rPr>
        <w:t>Zdroj:</w:t>
      </w:r>
      <w:r>
        <w:rPr>
          <w:rFonts w:cstheme="minorHAnsi"/>
          <w:sz w:val="20"/>
        </w:rPr>
        <w:t xml:space="preserve"> </w:t>
      </w:r>
      <w:r w:rsidR="002C7F68">
        <w:rPr>
          <w:rFonts w:cstheme="minorHAnsi"/>
          <w:sz w:val="20"/>
        </w:rPr>
        <w:t>o</w:t>
      </w:r>
      <w:r>
        <w:rPr>
          <w:rFonts w:cstheme="minorHAnsi"/>
          <w:sz w:val="20"/>
        </w:rPr>
        <w:t>dpově</w:t>
      </w:r>
      <w:r w:rsidR="002C7F68">
        <w:rPr>
          <w:rFonts w:cstheme="minorHAnsi"/>
          <w:sz w:val="20"/>
        </w:rPr>
        <w:t>di</w:t>
      </w:r>
      <w:r>
        <w:rPr>
          <w:rFonts w:cstheme="minorHAnsi"/>
          <w:sz w:val="20"/>
        </w:rPr>
        <w:t xml:space="preserve"> pojišťoven</w:t>
      </w:r>
      <w:r w:rsidR="00D602AD">
        <w:rPr>
          <w:rFonts w:cstheme="minorHAnsi"/>
          <w:sz w:val="20"/>
        </w:rPr>
        <w:t>;</w:t>
      </w:r>
      <w:r>
        <w:rPr>
          <w:rFonts w:cstheme="minorHAnsi"/>
          <w:sz w:val="20"/>
        </w:rPr>
        <w:t xml:space="preserve"> vlastní zpracování NKÚ.</w:t>
      </w:r>
    </w:p>
    <w:p w14:paraId="343C9481" w14:textId="77777777" w:rsidR="00BF1D65" w:rsidRDefault="00BF1D65" w:rsidP="00BF1D65"/>
    <w:p w14:paraId="1319F63A" w14:textId="77777777" w:rsidR="00BF1D65" w:rsidRDefault="00BF1D65" w:rsidP="00BF1D65">
      <w:pPr>
        <w:jc w:val="center"/>
        <w:rPr>
          <w:rFonts w:cstheme="minorHAnsi"/>
        </w:rPr>
      </w:pPr>
    </w:p>
    <w:p w14:paraId="6607CEFB" w14:textId="77777777" w:rsidR="00BF1D65" w:rsidRDefault="00BF1D65" w:rsidP="00BF1D65">
      <w:pPr>
        <w:jc w:val="center"/>
        <w:rPr>
          <w:rFonts w:cstheme="minorHAnsi"/>
        </w:rPr>
      </w:pPr>
    </w:p>
    <w:p w14:paraId="549C7110" w14:textId="77777777" w:rsidR="00BF1D65" w:rsidRDefault="00BF1D65" w:rsidP="00BF1D65">
      <w:pPr>
        <w:spacing w:after="160" w:line="259" w:lineRule="auto"/>
        <w:jc w:val="left"/>
        <w:rPr>
          <w:rFonts w:cstheme="minorHAnsi"/>
        </w:rPr>
      </w:pPr>
    </w:p>
    <w:p w14:paraId="10AA52A6" w14:textId="3D233AA2" w:rsidR="00BF1D65" w:rsidRPr="00E23E8F" w:rsidRDefault="00BF1D65" w:rsidP="00BF1D65">
      <w:pPr>
        <w:jc w:val="center"/>
        <w:rPr>
          <w:rFonts w:cstheme="minorHAnsi"/>
          <w:b/>
        </w:rPr>
      </w:pPr>
      <w:r w:rsidRPr="00E23E8F">
        <w:rPr>
          <w:rFonts w:cstheme="minorHAnsi"/>
          <w:b/>
        </w:rPr>
        <w:t xml:space="preserve">Graf č. 4: Vyplacené pojistné plnění </w:t>
      </w:r>
      <w:r w:rsidR="00D602AD">
        <w:rPr>
          <w:rFonts w:cstheme="minorHAnsi"/>
          <w:b/>
        </w:rPr>
        <w:t>(</w:t>
      </w:r>
      <w:r w:rsidRPr="00E23E8F">
        <w:rPr>
          <w:rFonts w:cstheme="minorHAnsi"/>
          <w:b/>
        </w:rPr>
        <w:t>v</w:t>
      </w:r>
      <w:r>
        <w:rPr>
          <w:rFonts w:cstheme="minorHAnsi"/>
          <w:b/>
        </w:rPr>
        <w:t xml:space="preserve"> mil. </w:t>
      </w:r>
      <w:r w:rsidRPr="00E23E8F">
        <w:rPr>
          <w:rFonts w:cstheme="minorHAnsi"/>
          <w:b/>
        </w:rPr>
        <w:t>Kč</w:t>
      </w:r>
      <w:r w:rsidR="00D602AD">
        <w:rPr>
          <w:rFonts w:cstheme="minorHAnsi"/>
          <w:b/>
        </w:rPr>
        <w:t>)</w:t>
      </w:r>
    </w:p>
    <w:p w14:paraId="713169FE" w14:textId="77777777" w:rsidR="00BF1D65" w:rsidRDefault="00BF1D65" w:rsidP="00BF1D65">
      <w:pPr>
        <w:jc w:val="center"/>
        <w:rPr>
          <w:rFonts w:cstheme="minorHAnsi"/>
        </w:rPr>
      </w:pPr>
    </w:p>
    <w:p w14:paraId="0FBC1E40" w14:textId="77777777" w:rsidR="00BF1D65" w:rsidRDefault="00BF1D65" w:rsidP="00BF1D65">
      <w:pPr>
        <w:jc w:val="center"/>
      </w:pPr>
      <w:r>
        <w:rPr>
          <w:noProof/>
          <w:lang w:eastAsia="cs-CZ"/>
        </w:rPr>
        <w:drawing>
          <wp:inline distT="0" distB="0" distL="0" distR="0" wp14:anchorId="268E3B3D" wp14:editId="39834B22">
            <wp:extent cx="4914900" cy="3057525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E14329" w14:textId="61F64203" w:rsidR="00BF1D65" w:rsidRDefault="00BF1D65" w:rsidP="00BF1D65">
      <w:pPr>
        <w:ind w:firstLine="708"/>
        <w:jc w:val="left"/>
        <w:rPr>
          <w:rFonts w:cstheme="minorHAnsi"/>
          <w:sz w:val="20"/>
        </w:rPr>
      </w:pPr>
      <w:r w:rsidRPr="00DE4AA6">
        <w:rPr>
          <w:rFonts w:cstheme="minorHAnsi"/>
          <w:b/>
          <w:sz w:val="20"/>
        </w:rPr>
        <w:t>Zdroj:</w:t>
      </w:r>
      <w:r>
        <w:rPr>
          <w:rFonts w:cstheme="minorHAnsi"/>
          <w:sz w:val="20"/>
        </w:rPr>
        <w:t xml:space="preserve"> </w:t>
      </w:r>
      <w:r w:rsidR="002C7F68">
        <w:rPr>
          <w:rFonts w:cstheme="minorHAnsi"/>
          <w:sz w:val="20"/>
        </w:rPr>
        <w:t>o</w:t>
      </w:r>
      <w:r>
        <w:rPr>
          <w:rFonts w:cstheme="minorHAnsi"/>
          <w:sz w:val="20"/>
        </w:rPr>
        <w:t>dpově</w:t>
      </w:r>
      <w:r w:rsidR="002C7F68">
        <w:rPr>
          <w:rFonts w:cstheme="minorHAnsi"/>
          <w:sz w:val="20"/>
        </w:rPr>
        <w:t>di</w:t>
      </w:r>
      <w:r>
        <w:rPr>
          <w:rFonts w:cstheme="minorHAnsi"/>
          <w:sz w:val="20"/>
        </w:rPr>
        <w:t xml:space="preserve"> pojišťoven</w:t>
      </w:r>
      <w:r w:rsidR="00D602AD">
        <w:rPr>
          <w:rFonts w:cstheme="minorHAnsi"/>
          <w:sz w:val="20"/>
        </w:rPr>
        <w:t>;</w:t>
      </w:r>
      <w:r>
        <w:rPr>
          <w:rFonts w:cstheme="minorHAnsi"/>
          <w:sz w:val="20"/>
        </w:rPr>
        <w:t xml:space="preserve"> vlastní zpracování NKÚ.</w:t>
      </w:r>
    </w:p>
    <w:p w14:paraId="62DA416D" w14:textId="77777777" w:rsidR="00BF1D65" w:rsidRPr="007464FB" w:rsidRDefault="00BF1D65" w:rsidP="00BF1D65"/>
    <w:p w14:paraId="6A0CE204" w14:textId="77777777" w:rsidR="00BF1D65" w:rsidRDefault="00BF1D65" w:rsidP="00BF1D65">
      <w:pPr>
        <w:pStyle w:val="Zkladntext"/>
        <w:rPr>
          <w:rFonts w:asciiTheme="minorHAnsi" w:hAnsiTheme="minorHAnsi" w:cstheme="minorHAnsi"/>
          <w:b/>
          <w:i w:val="0"/>
          <w:sz w:val="24"/>
        </w:rPr>
      </w:pPr>
    </w:p>
    <w:p w14:paraId="0B47911E" w14:textId="77777777" w:rsidR="00BF1D65" w:rsidRDefault="00BF1D65" w:rsidP="00BF1D65">
      <w:pPr>
        <w:pStyle w:val="Zkladntext"/>
        <w:rPr>
          <w:rFonts w:asciiTheme="minorHAnsi" w:hAnsiTheme="minorHAnsi" w:cstheme="minorHAnsi"/>
          <w:b/>
          <w:i w:val="0"/>
          <w:sz w:val="24"/>
        </w:rPr>
      </w:pPr>
    </w:p>
    <w:p w14:paraId="5396E152" w14:textId="77777777" w:rsidR="00BF1D65" w:rsidRDefault="00BF1D65" w:rsidP="00BF1D65">
      <w:pPr>
        <w:pStyle w:val="Zkladntext"/>
        <w:rPr>
          <w:rFonts w:asciiTheme="minorHAnsi" w:hAnsiTheme="minorHAnsi" w:cstheme="minorHAnsi"/>
          <w:b/>
          <w:i w:val="0"/>
          <w:sz w:val="24"/>
        </w:rPr>
      </w:pPr>
    </w:p>
    <w:p w14:paraId="4319D19D" w14:textId="77777777" w:rsidR="002C7F68" w:rsidRDefault="002C7F68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  <w:i/>
        </w:rPr>
        <w:br w:type="page"/>
      </w:r>
    </w:p>
    <w:p w14:paraId="5E4EF42F" w14:textId="778BA3DA" w:rsidR="00BF1D65" w:rsidRPr="00A356F2" w:rsidRDefault="00BF1D65" w:rsidP="00BF1D65">
      <w:pPr>
        <w:pStyle w:val="Zkladntext"/>
        <w:jc w:val="right"/>
        <w:rPr>
          <w:rFonts w:asciiTheme="minorHAnsi" w:hAnsiTheme="minorHAnsi" w:cstheme="minorHAnsi"/>
          <w:b/>
          <w:i w:val="0"/>
          <w:sz w:val="24"/>
        </w:rPr>
      </w:pPr>
      <w:r w:rsidRPr="00A356F2">
        <w:rPr>
          <w:rFonts w:asciiTheme="minorHAnsi" w:hAnsiTheme="minorHAnsi" w:cstheme="minorHAnsi"/>
          <w:b/>
          <w:i w:val="0"/>
          <w:sz w:val="24"/>
        </w:rPr>
        <w:lastRenderedPageBreak/>
        <w:t>Příloha č. 2</w:t>
      </w:r>
    </w:p>
    <w:p w14:paraId="15FA9069" w14:textId="77777777" w:rsidR="00BF1D65" w:rsidRDefault="00BF1D65" w:rsidP="00BF1D65">
      <w:pPr>
        <w:pStyle w:val="Zkladntext"/>
        <w:rPr>
          <w:rFonts w:asciiTheme="minorHAnsi" w:hAnsiTheme="minorHAnsi" w:cstheme="minorHAnsi"/>
          <w:i w:val="0"/>
          <w:sz w:val="24"/>
        </w:rPr>
      </w:pPr>
    </w:p>
    <w:p w14:paraId="4882BDBF" w14:textId="6CAF1512" w:rsidR="00BF1D65" w:rsidRDefault="00BF1D65" w:rsidP="00BF1D65">
      <w:pPr>
        <w:pStyle w:val="Zkladntext"/>
        <w:jc w:val="center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sz w:val="24"/>
        </w:rPr>
        <w:t xml:space="preserve">Systém zákonného pojištění ve vybraných </w:t>
      </w:r>
      <w:r w:rsidR="00C41EBD">
        <w:rPr>
          <w:rFonts w:asciiTheme="minorHAnsi" w:hAnsiTheme="minorHAnsi" w:cstheme="minorHAnsi"/>
          <w:i w:val="0"/>
          <w:sz w:val="24"/>
        </w:rPr>
        <w:t xml:space="preserve">evropských </w:t>
      </w:r>
      <w:r>
        <w:rPr>
          <w:rFonts w:asciiTheme="minorHAnsi" w:hAnsiTheme="minorHAnsi" w:cstheme="minorHAnsi"/>
          <w:i w:val="0"/>
          <w:sz w:val="24"/>
        </w:rPr>
        <w:t>státech</w:t>
      </w:r>
    </w:p>
    <w:p w14:paraId="5AB62BAA" w14:textId="77777777" w:rsidR="00BF1D65" w:rsidRDefault="00BF1D65" w:rsidP="00BF1D65">
      <w:pPr>
        <w:pStyle w:val="Zkladntext"/>
        <w:jc w:val="center"/>
        <w:rPr>
          <w:rFonts w:asciiTheme="minorHAnsi" w:hAnsiTheme="minorHAnsi" w:cstheme="minorHAnsi"/>
          <w:i w:val="0"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7"/>
        <w:gridCol w:w="2496"/>
        <w:gridCol w:w="1681"/>
        <w:gridCol w:w="1308"/>
        <w:gridCol w:w="1983"/>
      </w:tblGrid>
      <w:tr w:rsidR="008F44BC" w:rsidRPr="006957D5" w14:paraId="7453C705" w14:textId="77777777" w:rsidTr="008F44BC">
        <w:trPr>
          <w:trHeight w:val="397"/>
        </w:trPr>
        <w:tc>
          <w:tcPr>
            <w:tcW w:w="876" w:type="pct"/>
            <w:shd w:val="clear" w:color="auto" w:fill="E5F1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60C73" w14:textId="77777777" w:rsidR="00BF1D65" w:rsidRPr="00D73D45" w:rsidRDefault="00BF1D65" w:rsidP="00C21CA0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Země</w:t>
            </w:r>
          </w:p>
        </w:tc>
        <w:tc>
          <w:tcPr>
            <w:tcW w:w="1378" w:type="pct"/>
            <w:shd w:val="clear" w:color="auto" w:fill="E5F1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5CA2" w14:textId="3D1A3070" w:rsidR="00BF1D65" w:rsidRPr="00D73D45" w:rsidRDefault="00BF1D65" w:rsidP="001635E1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 xml:space="preserve">Název </w:t>
            </w:r>
            <w:r w:rsidR="001635E1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provozovatele systému</w:t>
            </w:r>
          </w:p>
        </w:tc>
        <w:tc>
          <w:tcPr>
            <w:tcW w:w="928" w:type="pct"/>
            <w:shd w:val="clear" w:color="auto" w:fill="E5F1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B047" w14:textId="77777777" w:rsidR="00BF1D65" w:rsidRPr="00D73D45" w:rsidRDefault="00BF1D65" w:rsidP="00C21CA0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Správa systému</w:t>
            </w:r>
          </w:p>
        </w:tc>
        <w:tc>
          <w:tcPr>
            <w:tcW w:w="722" w:type="pct"/>
            <w:shd w:val="clear" w:color="auto" w:fill="E5F1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96B2" w14:textId="77777777" w:rsidR="00BF1D65" w:rsidRPr="00D73D45" w:rsidRDefault="00BF1D65" w:rsidP="00C21CA0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Typ dávky</w:t>
            </w:r>
          </w:p>
        </w:tc>
        <w:tc>
          <w:tcPr>
            <w:tcW w:w="1095" w:type="pct"/>
            <w:shd w:val="clear" w:color="auto" w:fill="E5F1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EABA" w14:textId="77777777" w:rsidR="00BF1D65" w:rsidRPr="00D73D45" w:rsidRDefault="00BF1D65" w:rsidP="00C21CA0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Systém financování</w:t>
            </w:r>
          </w:p>
        </w:tc>
      </w:tr>
      <w:tr w:rsidR="008F44BC" w:rsidRPr="007C50B4" w14:paraId="2603D4D0" w14:textId="77777777" w:rsidTr="00D73D45">
        <w:trPr>
          <w:trHeight w:val="397"/>
        </w:trPr>
        <w:tc>
          <w:tcPr>
            <w:tcW w:w="876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08C5" w14:textId="46ADDD2E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Česká republika</w:t>
            </w:r>
          </w:p>
        </w:tc>
        <w:tc>
          <w:tcPr>
            <w:tcW w:w="137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5472" w14:textId="3932F4BC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Česká pojišťovna a</w:t>
            </w:r>
            <w:r w:rsidR="002C7F68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 </w:t>
            </w: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Kooperativa</w:t>
            </w:r>
          </w:p>
        </w:tc>
        <w:tc>
          <w:tcPr>
            <w:tcW w:w="92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5BF3" w14:textId="72E3A5B7" w:rsidR="00BF1D65" w:rsidRPr="00D73D45" w:rsidRDefault="00043FCF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S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oukromoprávní</w:t>
            </w:r>
          </w:p>
        </w:tc>
        <w:tc>
          <w:tcPr>
            <w:tcW w:w="722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5E82" w14:textId="22594868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N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áhrada škody</w:t>
            </w:r>
          </w:p>
        </w:tc>
        <w:tc>
          <w:tcPr>
            <w:tcW w:w="1095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63E9" w14:textId="563B790C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P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růběžný</w:t>
            </w:r>
          </w:p>
        </w:tc>
      </w:tr>
      <w:tr w:rsidR="008F44BC" w:rsidRPr="007C50B4" w14:paraId="6BBD0E77" w14:textId="77777777" w:rsidTr="00D73D45">
        <w:trPr>
          <w:trHeight w:val="397"/>
        </w:trPr>
        <w:tc>
          <w:tcPr>
            <w:tcW w:w="876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EA14" w14:textId="77777777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Slovensko</w:t>
            </w:r>
          </w:p>
        </w:tc>
        <w:tc>
          <w:tcPr>
            <w:tcW w:w="137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FC26" w14:textId="77777777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  <w:lang w:val="sk-SK"/>
              </w:rPr>
              <w:t>Sociálna poisťovňa</w:t>
            </w:r>
          </w:p>
        </w:tc>
        <w:tc>
          <w:tcPr>
            <w:tcW w:w="92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1373" w14:textId="429FB533" w:rsidR="00BF1D65" w:rsidRPr="00D73D45" w:rsidRDefault="00043FCF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S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tátní (veřejnoprávní)</w:t>
            </w:r>
          </w:p>
        </w:tc>
        <w:tc>
          <w:tcPr>
            <w:tcW w:w="722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7EDDB" w14:textId="03F73854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S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ociální dávka</w:t>
            </w:r>
          </w:p>
        </w:tc>
        <w:tc>
          <w:tcPr>
            <w:tcW w:w="1095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C48C" w14:textId="3E3896FA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P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růběžný</w:t>
            </w:r>
          </w:p>
        </w:tc>
      </w:tr>
      <w:tr w:rsidR="008F44BC" w:rsidRPr="007C50B4" w14:paraId="7D37F4FC" w14:textId="77777777" w:rsidTr="00D73D45">
        <w:trPr>
          <w:trHeight w:val="397"/>
        </w:trPr>
        <w:tc>
          <w:tcPr>
            <w:tcW w:w="876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E2BE" w14:textId="77777777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Německo</w:t>
            </w:r>
          </w:p>
        </w:tc>
        <w:tc>
          <w:tcPr>
            <w:tcW w:w="137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6213" w14:textId="77777777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  <w:lang w:val="de-DE"/>
              </w:rPr>
              <w:t>Deutsche Gesetzliche Unfallversicherung</w:t>
            </w: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  <w:lang w:val="de-DE"/>
              </w:rPr>
              <w:br/>
            </w: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(DGUV)</w:t>
            </w:r>
          </w:p>
        </w:tc>
        <w:tc>
          <w:tcPr>
            <w:tcW w:w="92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3E95" w14:textId="1C04D1F5" w:rsidR="00BF1D65" w:rsidRPr="00D73D45" w:rsidRDefault="00043FCF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S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tátní (veřejnoprávní)</w:t>
            </w:r>
          </w:p>
        </w:tc>
        <w:tc>
          <w:tcPr>
            <w:tcW w:w="722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9F23" w14:textId="7FF7755F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S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ociální dávka</w:t>
            </w:r>
          </w:p>
        </w:tc>
        <w:tc>
          <w:tcPr>
            <w:tcW w:w="1095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E6B9" w14:textId="535EC7C1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P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růběžný s tvorbou kapitálových rezerv</w:t>
            </w:r>
          </w:p>
        </w:tc>
      </w:tr>
      <w:tr w:rsidR="008F44BC" w:rsidRPr="007C50B4" w14:paraId="15FC5656" w14:textId="77777777" w:rsidTr="00D73D45">
        <w:trPr>
          <w:trHeight w:val="397"/>
        </w:trPr>
        <w:tc>
          <w:tcPr>
            <w:tcW w:w="876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E6713" w14:textId="77777777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Rakousko</w:t>
            </w:r>
          </w:p>
        </w:tc>
        <w:tc>
          <w:tcPr>
            <w:tcW w:w="137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23BD" w14:textId="77777777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  <w:lang w:val="de-AT"/>
              </w:rPr>
              <w:t xml:space="preserve">Allgemeine Unfallversicherungsanstalt </w:t>
            </w: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(AUVA)</w:t>
            </w:r>
          </w:p>
        </w:tc>
        <w:tc>
          <w:tcPr>
            <w:tcW w:w="92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C959" w14:textId="762215E5" w:rsidR="00BF1D65" w:rsidRPr="00D73D45" w:rsidRDefault="00043FCF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S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tátní (veřejnoprávní)</w:t>
            </w:r>
          </w:p>
        </w:tc>
        <w:tc>
          <w:tcPr>
            <w:tcW w:w="722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444E" w14:textId="14AEE9C8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S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ociální dávka</w:t>
            </w:r>
          </w:p>
        </w:tc>
        <w:tc>
          <w:tcPr>
            <w:tcW w:w="1095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65088" w14:textId="154B4D3D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P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růběžný</w:t>
            </w:r>
          </w:p>
        </w:tc>
      </w:tr>
      <w:tr w:rsidR="008F44BC" w:rsidRPr="007C50B4" w14:paraId="4253A842" w14:textId="77777777" w:rsidTr="00D73D45">
        <w:trPr>
          <w:trHeight w:val="397"/>
        </w:trPr>
        <w:tc>
          <w:tcPr>
            <w:tcW w:w="876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EE6C" w14:textId="77777777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</w:rPr>
              <w:t>Polsko</w:t>
            </w:r>
          </w:p>
        </w:tc>
        <w:tc>
          <w:tcPr>
            <w:tcW w:w="137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5C27" w14:textId="77777777" w:rsidR="00BF1D65" w:rsidRPr="00D73D45" w:rsidRDefault="00BF1D6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  <w:lang w:val="pl-PL"/>
              </w:rPr>
              <w:t xml:space="preserve">Zakład Ubezpieczeń Społecznych </w:t>
            </w:r>
            <w:r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(ZUS)</w:t>
            </w:r>
          </w:p>
        </w:tc>
        <w:tc>
          <w:tcPr>
            <w:tcW w:w="928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49D7" w14:textId="04DEDDC1" w:rsidR="00BF1D65" w:rsidRPr="00D73D45" w:rsidRDefault="00043FCF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S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tátní (veřejnoprávní)</w:t>
            </w:r>
          </w:p>
        </w:tc>
        <w:tc>
          <w:tcPr>
            <w:tcW w:w="722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98BE" w14:textId="74EDD840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S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ociální dávka</w:t>
            </w:r>
          </w:p>
        </w:tc>
        <w:tc>
          <w:tcPr>
            <w:tcW w:w="1095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907B" w14:textId="638E16B8" w:rsidR="00BF1D65" w:rsidRPr="00D73D45" w:rsidRDefault="00D73D45" w:rsidP="00D73D45">
            <w:pPr>
              <w:pStyle w:val="Zkladntext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P</w:t>
            </w:r>
            <w:r w:rsidR="00BF1D65" w:rsidRPr="00D73D45">
              <w:rPr>
                <w:rFonts w:asciiTheme="minorHAnsi" w:hAnsiTheme="minorHAnsi" w:cstheme="minorHAnsi"/>
                <w:i w:val="0"/>
                <w:sz w:val="20"/>
                <w:szCs w:val="20"/>
              </w:rPr>
              <w:t>růběžný</w:t>
            </w:r>
          </w:p>
        </w:tc>
      </w:tr>
    </w:tbl>
    <w:p w14:paraId="1E6AC345" w14:textId="4CF8E567" w:rsidR="00BF1D65" w:rsidRPr="00D73D45" w:rsidRDefault="00BF1D65" w:rsidP="00D73D45">
      <w:pPr>
        <w:pStyle w:val="Zkladntext"/>
        <w:ind w:left="567" w:hanging="567"/>
        <w:rPr>
          <w:i w:val="0"/>
          <w:color w:val="000000"/>
          <w:lang w:eastAsia="cs-CZ"/>
        </w:rPr>
      </w:pPr>
      <w:r w:rsidRPr="007C50B4">
        <w:rPr>
          <w:rFonts w:asciiTheme="minorHAnsi" w:hAnsiTheme="minorHAnsi" w:cstheme="minorHAnsi"/>
          <w:b/>
          <w:i w:val="0"/>
          <w:sz w:val="20"/>
        </w:rPr>
        <w:t>Zdroj:</w:t>
      </w:r>
      <w:r w:rsidRPr="00D73D45">
        <w:rPr>
          <w:rFonts w:asciiTheme="minorHAnsi" w:hAnsiTheme="minorHAnsi"/>
          <w:i w:val="0"/>
          <w:color w:val="000000"/>
          <w:sz w:val="20"/>
          <w:szCs w:val="20"/>
          <w:lang w:eastAsia="cs-CZ"/>
        </w:rPr>
        <w:t xml:space="preserve"> </w:t>
      </w:r>
      <w:r w:rsidR="00C41EBD" w:rsidRPr="00D73D45">
        <w:rPr>
          <w:rFonts w:asciiTheme="minorHAnsi" w:hAnsiTheme="minorHAnsi"/>
          <w:i w:val="0"/>
          <w:color w:val="000000"/>
          <w:sz w:val="20"/>
          <w:szCs w:val="20"/>
          <w:lang w:eastAsia="cs-CZ"/>
        </w:rPr>
        <w:t>informace</w:t>
      </w:r>
      <w:r w:rsidR="00C41EBD" w:rsidRPr="00D73D45">
        <w:rPr>
          <w:rFonts w:asciiTheme="minorHAnsi" w:hAnsiTheme="minorHAnsi" w:cstheme="minorHAnsi"/>
          <w:i w:val="0"/>
          <w:sz w:val="20"/>
        </w:rPr>
        <w:t xml:space="preserve"> </w:t>
      </w:r>
      <w:r w:rsidRPr="007C50B4">
        <w:rPr>
          <w:rFonts w:asciiTheme="minorHAnsi" w:hAnsiTheme="minorHAnsi" w:cstheme="minorHAnsi"/>
          <w:i w:val="0"/>
          <w:sz w:val="20"/>
        </w:rPr>
        <w:t>MF</w:t>
      </w:r>
      <w:r w:rsidR="00C41EBD">
        <w:rPr>
          <w:rFonts w:asciiTheme="minorHAnsi" w:hAnsiTheme="minorHAnsi" w:cstheme="minorHAnsi"/>
          <w:i w:val="0"/>
          <w:sz w:val="20"/>
        </w:rPr>
        <w:t>;</w:t>
      </w:r>
      <w:r w:rsidRPr="007C50B4">
        <w:rPr>
          <w:rFonts w:asciiTheme="minorHAnsi" w:hAnsiTheme="minorHAnsi" w:cstheme="minorHAnsi"/>
          <w:i w:val="0"/>
          <w:sz w:val="20"/>
        </w:rPr>
        <w:t xml:space="preserve"> vlastní zpracování NKÚ.</w:t>
      </w:r>
    </w:p>
    <w:p w14:paraId="2711CBCC" w14:textId="08E90E53" w:rsidR="003B594A" w:rsidRPr="006957D5" w:rsidRDefault="003B594A" w:rsidP="00BF1D65">
      <w:pPr>
        <w:jc w:val="center"/>
        <w:rPr>
          <w:rFonts w:cstheme="minorHAnsi"/>
          <w:i/>
          <w:sz w:val="20"/>
        </w:rPr>
      </w:pPr>
    </w:p>
    <w:sectPr w:rsidR="003B594A" w:rsidRPr="006957D5" w:rsidSect="00E95810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13178" w14:textId="77777777" w:rsidR="00A215CC" w:rsidRDefault="00A215CC" w:rsidP="005405DF">
      <w:r>
        <w:separator/>
      </w:r>
    </w:p>
  </w:endnote>
  <w:endnote w:type="continuationSeparator" w:id="0">
    <w:p w14:paraId="312C31F3" w14:textId="77777777" w:rsidR="00A215CC" w:rsidRDefault="00A215CC" w:rsidP="0054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oop Offi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900125"/>
      <w:docPartObj>
        <w:docPartGallery w:val="Page Numbers (Bottom of Page)"/>
        <w:docPartUnique/>
      </w:docPartObj>
    </w:sdtPr>
    <w:sdtEndPr/>
    <w:sdtContent>
      <w:p w14:paraId="3D1208EA" w14:textId="0508C65A" w:rsidR="00173CDD" w:rsidRDefault="00173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16E">
          <w:rPr>
            <w:noProof/>
          </w:rPr>
          <w:t>20</w:t>
        </w:r>
        <w:r>
          <w:fldChar w:fldCharType="end"/>
        </w:r>
      </w:p>
    </w:sdtContent>
  </w:sdt>
  <w:p w14:paraId="77ECD7DD" w14:textId="77777777" w:rsidR="00173CDD" w:rsidRDefault="00173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A275" w14:textId="77777777" w:rsidR="00A215CC" w:rsidRDefault="00A215CC" w:rsidP="005405DF">
      <w:r>
        <w:separator/>
      </w:r>
    </w:p>
  </w:footnote>
  <w:footnote w:type="continuationSeparator" w:id="0">
    <w:p w14:paraId="24B0F409" w14:textId="77777777" w:rsidR="00A215CC" w:rsidRDefault="00A215CC" w:rsidP="005405DF">
      <w:r>
        <w:continuationSeparator/>
      </w:r>
    </w:p>
  </w:footnote>
  <w:footnote w:id="1">
    <w:p w14:paraId="62C35F2F" w14:textId="03DE5552" w:rsidR="00173CDD" w:rsidRPr="002D21F2" w:rsidRDefault="00173CDD" w:rsidP="00C21CA0">
      <w:pPr>
        <w:pStyle w:val="Textpoznpodarou"/>
        <w:ind w:left="284" w:hanging="284"/>
        <w:rPr>
          <w:rFonts w:asciiTheme="minorHAnsi" w:hAnsiTheme="minorHAnsi"/>
        </w:rPr>
      </w:pPr>
      <w:r w:rsidRPr="002D21F2">
        <w:rPr>
          <w:rStyle w:val="Znakapoznpodarou"/>
          <w:rFonts w:asciiTheme="minorHAnsi" w:hAnsiTheme="minorHAnsi"/>
        </w:rPr>
        <w:footnoteRef/>
      </w:r>
      <w:r w:rsidRPr="002D21F2">
        <w:rPr>
          <w:rFonts w:asciiTheme="minorHAnsi" w:hAnsiTheme="minorHAnsi"/>
        </w:rPr>
        <w:t xml:space="preserve"> </w:t>
      </w:r>
      <w:r w:rsidRPr="002D21F2">
        <w:rPr>
          <w:rFonts w:asciiTheme="minorHAnsi" w:hAnsiTheme="minorHAnsi"/>
        </w:rPr>
        <w:tab/>
      </w:r>
      <w:r w:rsidRPr="002D21F2">
        <w:rPr>
          <w:rFonts w:asciiTheme="minorHAnsi" w:hAnsiTheme="minorHAnsi" w:cstheme="minorHAnsi"/>
        </w:rPr>
        <w:t>Nebylo-li pojistné zaplaceno řádně a včas, zvyšuje se o 10 % dlužné částky za každý započatý měsíc, tj.</w:t>
      </w:r>
      <w:r w:rsidRPr="00AE3E8D">
        <w:rPr>
          <w:rFonts w:asciiTheme="minorHAnsi" w:hAnsiTheme="minorHAnsi" w:cstheme="minorHAnsi"/>
        </w:rPr>
        <w:t> </w:t>
      </w:r>
      <w:r w:rsidRPr="002D21F2">
        <w:rPr>
          <w:rFonts w:asciiTheme="minorHAnsi" w:hAnsiTheme="minorHAnsi" w:cstheme="minorHAnsi"/>
        </w:rPr>
        <w:t>zvýšené pojistné = sankce za pozdní úhradu.</w:t>
      </w:r>
    </w:p>
  </w:footnote>
  <w:footnote w:id="2">
    <w:p w14:paraId="5A8A97BD" w14:textId="16F43743" w:rsidR="00173CDD" w:rsidRPr="002D21F2" w:rsidRDefault="00173CDD" w:rsidP="00D406F3">
      <w:pPr>
        <w:pStyle w:val="Textpoznpodarou"/>
        <w:ind w:left="284" w:hanging="284"/>
        <w:rPr>
          <w:rFonts w:asciiTheme="minorHAnsi" w:hAnsiTheme="minorHAnsi" w:cstheme="minorHAnsi"/>
        </w:rPr>
      </w:pPr>
      <w:r w:rsidRPr="002D21F2">
        <w:rPr>
          <w:rStyle w:val="Znakapoznpodarou"/>
          <w:rFonts w:asciiTheme="minorHAnsi" w:hAnsiTheme="minorHAnsi" w:cstheme="minorHAnsi"/>
        </w:rPr>
        <w:footnoteRef/>
      </w:r>
      <w:r w:rsidRPr="002D21F2">
        <w:rPr>
          <w:rFonts w:asciiTheme="minorHAnsi" w:hAnsiTheme="minorHAnsi" w:cstheme="minorHAnsi"/>
        </w:rPr>
        <w:t xml:space="preserve"> </w:t>
      </w:r>
      <w:r w:rsidRPr="002D21F2">
        <w:rPr>
          <w:rFonts w:asciiTheme="minorHAnsi" w:hAnsiTheme="minorHAnsi" w:cstheme="minorHAnsi"/>
        </w:rPr>
        <w:tab/>
        <w:t>Zákon č. 65/1965 Sb., zákoník práce (vyjma ustanovení § 205d byl zákon s účinností od 1. 1. 2007 zrušen).</w:t>
      </w:r>
    </w:p>
  </w:footnote>
  <w:footnote w:id="3">
    <w:p w14:paraId="38037D35" w14:textId="31F8D2D1" w:rsidR="00173CDD" w:rsidRPr="002D21F2" w:rsidRDefault="00173CDD" w:rsidP="002D21F2">
      <w:pPr>
        <w:pStyle w:val="Textpoznpodarou"/>
        <w:ind w:left="284" w:hanging="284"/>
        <w:rPr>
          <w:rFonts w:asciiTheme="minorHAnsi" w:hAnsiTheme="minorHAnsi" w:cstheme="minorHAnsi"/>
        </w:rPr>
      </w:pPr>
      <w:r w:rsidRPr="002D21F2">
        <w:rPr>
          <w:rStyle w:val="Znakapoznpodarou"/>
          <w:rFonts w:asciiTheme="minorHAnsi" w:hAnsiTheme="minorHAnsi" w:cstheme="minorHAnsi"/>
        </w:rPr>
        <w:footnoteRef/>
      </w:r>
      <w:r w:rsidRPr="002D21F2">
        <w:rPr>
          <w:rFonts w:asciiTheme="minorHAnsi" w:hAnsiTheme="minorHAnsi" w:cstheme="minorHAnsi"/>
        </w:rPr>
        <w:t xml:space="preserve"> </w:t>
      </w:r>
      <w:r w:rsidRPr="002D21F2">
        <w:rPr>
          <w:rFonts w:asciiTheme="minorHAnsi" w:hAnsiTheme="minorHAnsi" w:cstheme="minorHAnsi"/>
        </w:rPr>
        <w:tab/>
        <w:t>Vyhláška č. 125/1993 Sb., kterou se stanoví podmínky a sazby zákonného pojištění odpovědnosti zaměstnavatele za škodu při pracovním úrazu nebo nemoci z povolání.</w:t>
      </w:r>
    </w:p>
  </w:footnote>
  <w:footnote w:id="4">
    <w:p w14:paraId="0CF8B8A0" w14:textId="31BC6EB9" w:rsidR="00173CDD" w:rsidRPr="002D21F2" w:rsidRDefault="00173CDD" w:rsidP="00D406F3">
      <w:pPr>
        <w:pStyle w:val="Textpoznpodarou"/>
        <w:ind w:left="284" w:hanging="284"/>
        <w:rPr>
          <w:rFonts w:asciiTheme="minorHAnsi" w:hAnsiTheme="minorHAnsi" w:cstheme="minorHAnsi"/>
        </w:rPr>
      </w:pPr>
      <w:r w:rsidRPr="002D21F2">
        <w:rPr>
          <w:rStyle w:val="Znakapoznpodarou"/>
          <w:rFonts w:asciiTheme="minorHAnsi" w:hAnsiTheme="minorHAnsi" w:cstheme="minorHAnsi"/>
        </w:rPr>
        <w:footnoteRef/>
      </w:r>
      <w:r w:rsidRPr="002D21F2">
        <w:rPr>
          <w:rFonts w:asciiTheme="minorHAnsi" w:hAnsiTheme="minorHAnsi" w:cstheme="minorHAnsi"/>
        </w:rPr>
        <w:t xml:space="preserve"> </w:t>
      </w:r>
      <w:r w:rsidRPr="002D21F2">
        <w:rPr>
          <w:rFonts w:asciiTheme="minorHAnsi" w:hAnsiTheme="minorHAnsi" w:cstheme="minorHAnsi"/>
        </w:rPr>
        <w:tab/>
        <w:t>Ustanovení § 84 a 85 z</w:t>
      </w:r>
      <w:r w:rsidRPr="002D21F2">
        <w:rPr>
          <w:rFonts w:asciiTheme="minorHAnsi" w:hAnsiTheme="minorHAnsi" w:cstheme="minorHAnsi"/>
          <w:bCs/>
        </w:rPr>
        <w:t>ákona č. 277/2009 Sb., o pojišťovnictví.</w:t>
      </w:r>
    </w:p>
  </w:footnote>
  <w:footnote w:id="5">
    <w:p w14:paraId="56DA79BF" w14:textId="391FD60B" w:rsidR="00173CDD" w:rsidRPr="002D21F2" w:rsidRDefault="00173CDD" w:rsidP="008D39CA">
      <w:pPr>
        <w:pStyle w:val="Textpoznpodarou"/>
        <w:ind w:left="284" w:hanging="284"/>
        <w:rPr>
          <w:rFonts w:asciiTheme="minorHAnsi" w:hAnsiTheme="minorHAnsi" w:cstheme="minorHAnsi"/>
        </w:rPr>
      </w:pPr>
      <w:r w:rsidRPr="002D21F2">
        <w:rPr>
          <w:rStyle w:val="Znakapoznpodarou"/>
          <w:rFonts w:asciiTheme="minorHAnsi" w:hAnsiTheme="minorHAnsi" w:cstheme="minorHAnsi"/>
        </w:rPr>
        <w:footnoteRef/>
      </w:r>
      <w:r w:rsidRPr="002D21F2">
        <w:rPr>
          <w:rFonts w:asciiTheme="minorHAnsi" w:hAnsiTheme="minorHAnsi" w:cstheme="minorHAnsi"/>
        </w:rPr>
        <w:t xml:space="preserve"> </w:t>
      </w:r>
      <w:r w:rsidRPr="002D21F2">
        <w:rPr>
          <w:rFonts w:asciiTheme="minorHAnsi" w:hAnsiTheme="minorHAnsi" w:cstheme="minorHAnsi"/>
        </w:rPr>
        <w:tab/>
        <w:t xml:space="preserve">Zdrojem </w:t>
      </w:r>
      <w:r w:rsidRPr="00F91A8D">
        <w:rPr>
          <w:rFonts w:asciiTheme="minorHAnsi" w:hAnsiTheme="minorHAnsi" w:cstheme="minorHAnsi"/>
        </w:rPr>
        <w:t xml:space="preserve">byl </w:t>
      </w:r>
      <w:r>
        <w:rPr>
          <w:rFonts w:asciiTheme="minorHAnsi" w:hAnsiTheme="minorHAnsi" w:cstheme="minorHAnsi"/>
        </w:rPr>
        <w:t xml:space="preserve">pro </w:t>
      </w:r>
      <w:r w:rsidRPr="002D21F2">
        <w:rPr>
          <w:rFonts w:asciiTheme="minorHAnsi" w:hAnsiTheme="minorHAnsi" w:cstheme="minorHAnsi"/>
        </w:rPr>
        <w:t>NKÚ informační systém České správy sociálního zabezpečení, údaje byly získány prostřednictvím MPSV.</w:t>
      </w:r>
    </w:p>
  </w:footnote>
  <w:footnote w:id="6">
    <w:p w14:paraId="49EE300A" w14:textId="3A38A692" w:rsidR="00173CDD" w:rsidRPr="002D21F2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D21F2">
        <w:rPr>
          <w:rStyle w:val="Znakapoznpodarou"/>
          <w:rFonts w:asciiTheme="minorHAnsi" w:hAnsiTheme="minorHAnsi" w:cstheme="minorHAnsi"/>
        </w:rPr>
        <w:footnoteRef/>
      </w:r>
      <w:r w:rsidRPr="002D2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D21F2">
        <w:rPr>
          <w:rFonts w:asciiTheme="minorHAnsi" w:hAnsiTheme="minorHAnsi" w:cstheme="minorHAnsi"/>
        </w:rPr>
        <w:t>Například podle ustanovení § 20 zákona č. 589/1992 Sb., o pojistném na sociální zabezpečení a příspěvku na státní politiku zaměstnanosti</w:t>
      </w:r>
      <w:r>
        <w:rPr>
          <w:rFonts w:asciiTheme="minorHAnsi" w:hAnsiTheme="minorHAnsi" w:cstheme="minorHAnsi"/>
        </w:rPr>
        <w:t>,</w:t>
      </w:r>
      <w:r w:rsidRPr="002D21F2">
        <w:rPr>
          <w:rFonts w:asciiTheme="minorHAnsi" w:hAnsiTheme="minorHAnsi" w:cstheme="minorHAnsi"/>
        </w:rPr>
        <w:t xml:space="preserve"> a ustanovení § 18 zákona č. 592/1992 Sb., o pojistném na veřejné zdravotní pojištění</w:t>
      </w:r>
      <w:r>
        <w:rPr>
          <w:rFonts w:asciiTheme="minorHAnsi" w:hAnsiTheme="minorHAnsi" w:cstheme="minorHAnsi"/>
        </w:rPr>
        <w:t>,</w:t>
      </w:r>
      <w:r w:rsidRPr="002D21F2">
        <w:rPr>
          <w:rFonts w:asciiTheme="minorHAnsi" w:hAnsiTheme="minorHAnsi" w:cstheme="minorHAnsi"/>
        </w:rPr>
        <w:t xml:space="preserve"> je sankce stanovena ve výši 0,05 % z dlužné částky za každý kalendářní den prodlení.</w:t>
      </w:r>
    </w:p>
  </w:footnote>
  <w:footnote w:id="7">
    <w:p w14:paraId="0266B097" w14:textId="14387DEC" w:rsidR="00173CDD" w:rsidRPr="002D21F2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D21F2">
        <w:rPr>
          <w:rStyle w:val="Znakapoznpodarou"/>
          <w:rFonts w:asciiTheme="minorHAnsi" w:hAnsiTheme="minorHAnsi" w:cstheme="minorHAnsi"/>
        </w:rPr>
        <w:footnoteRef/>
      </w:r>
      <w:r w:rsidRPr="002D2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D21F2">
        <w:rPr>
          <w:rFonts w:asciiTheme="minorHAnsi" w:hAnsiTheme="minorHAnsi" w:cstheme="minorHAnsi"/>
        </w:rPr>
        <w:t>Například v zákoně č. 219/2000 Sb., o majetku České republiky a jejím vystupování v právních vztazích</w:t>
      </w:r>
      <w:r>
        <w:rPr>
          <w:rFonts w:asciiTheme="minorHAnsi" w:hAnsiTheme="minorHAnsi" w:cstheme="minorHAnsi"/>
        </w:rPr>
        <w:t>,</w:t>
      </w:r>
      <w:r w:rsidRPr="002D21F2">
        <w:rPr>
          <w:rFonts w:asciiTheme="minorHAnsi" w:hAnsiTheme="minorHAnsi" w:cstheme="minorHAnsi"/>
        </w:rPr>
        <w:t xml:space="preserve"> je stanoven limit pro </w:t>
      </w:r>
      <w:r>
        <w:rPr>
          <w:rFonts w:asciiTheme="minorHAnsi" w:hAnsiTheme="minorHAnsi" w:cstheme="minorHAnsi"/>
        </w:rPr>
        <w:t>od</w:t>
      </w:r>
      <w:r w:rsidRPr="002D21F2">
        <w:rPr>
          <w:rFonts w:asciiTheme="minorHAnsi" w:hAnsiTheme="minorHAnsi" w:cstheme="minorHAnsi"/>
        </w:rPr>
        <w:t>puštění úroku z prodlení ve výši 5 000 Kč</w:t>
      </w:r>
      <w:r>
        <w:rPr>
          <w:rFonts w:asciiTheme="minorHAnsi" w:hAnsiTheme="minorHAnsi" w:cstheme="minorHAnsi"/>
        </w:rPr>
        <w:t xml:space="preserve"> </w:t>
      </w:r>
      <w:r w:rsidRPr="007C4020">
        <w:rPr>
          <w:rFonts w:asciiTheme="minorHAnsi" w:hAnsiTheme="minorHAnsi" w:cstheme="minorHAnsi"/>
        </w:rPr>
        <w:t>(ustanovení § 14 odst. 6)</w:t>
      </w:r>
      <w:r w:rsidRPr="002D21F2">
        <w:rPr>
          <w:rFonts w:asciiTheme="minorHAnsi" w:hAnsiTheme="minorHAnsi" w:cstheme="minorHAnsi"/>
        </w:rPr>
        <w:t>.</w:t>
      </w:r>
    </w:p>
  </w:footnote>
  <w:footnote w:id="8">
    <w:p w14:paraId="7E17656B" w14:textId="796030FF" w:rsidR="00173CDD" w:rsidRPr="002D21F2" w:rsidRDefault="00173CDD" w:rsidP="00D406F3">
      <w:pPr>
        <w:ind w:left="284" w:hanging="284"/>
        <w:rPr>
          <w:rFonts w:cstheme="minorHAnsi"/>
          <w:sz w:val="20"/>
          <w:szCs w:val="20"/>
        </w:rPr>
      </w:pPr>
      <w:r w:rsidRPr="002D21F2">
        <w:rPr>
          <w:rStyle w:val="Znakapoznpodarou"/>
          <w:rFonts w:cstheme="minorHAnsi"/>
          <w:sz w:val="20"/>
          <w:szCs w:val="20"/>
        </w:rPr>
        <w:footnoteRef/>
      </w:r>
      <w:r w:rsidRPr="002D21F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2D21F2">
        <w:rPr>
          <w:rFonts w:cstheme="minorHAnsi"/>
          <w:sz w:val="20"/>
          <w:szCs w:val="20"/>
        </w:rPr>
        <w:t>Ustanovení § 14 odst. 6 zákona č. 219/2000 Sb. ve spojení s n</w:t>
      </w:r>
      <w:r w:rsidRPr="002D21F2">
        <w:rPr>
          <w:rFonts w:cstheme="minorHAnsi"/>
          <w:bCs/>
          <w:sz w:val="20"/>
          <w:szCs w:val="20"/>
        </w:rPr>
        <w:t>ařízením vlády č. 351/2013 Sb.</w:t>
      </w:r>
      <w:r w:rsidRPr="002D21F2">
        <w:rPr>
          <w:rFonts w:cstheme="minorHAnsi"/>
          <w:sz w:val="20"/>
          <w:szCs w:val="20"/>
        </w:rPr>
        <w:t>, kterým se určuje výše úroků z prodlení a nákladů spojených s uplatněním pohledávky.</w:t>
      </w:r>
    </w:p>
  </w:footnote>
  <w:footnote w:id="9">
    <w:p w14:paraId="21272BF7" w14:textId="7A44A184" w:rsidR="00173CDD" w:rsidRPr="002D21F2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D21F2">
        <w:rPr>
          <w:rStyle w:val="Znakapoznpodarou"/>
          <w:rFonts w:asciiTheme="minorHAnsi" w:hAnsiTheme="minorHAnsi" w:cstheme="minorHAnsi"/>
        </w:rPr>
        <w:footnoteRef/>
      </w:r>
      <w:r w:rsidRPr="002D2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D21F2">
        <w:rPr>
          <w:rFonts w:asciiTheme="minorHAnsi" w:hAnsiTheme="minorHAnsi" w:cstheme="minorHAnsi"/>
        </w:rPr>
        <w:t>Ustanovení § 205d odst. 2 ve spojení s </w:t>
      </w:r>
      <w:proofErr w:type="gramStart"/>
      <w:r w:rsidRPr="002D21F2">
        <w:rPr>
          <w:rFonts w:asciiTheme="minorHAnsi" w:hAnsiTheme="minorHAnsi" w:cstheme="minorHAnsi"/>
        </w:rPr>
        <w:t>odst.</w:t>
      </w:r>
      <w:proofErr w:type="gramEnd"/>
      <w:r w:rsidRPr="002D21F2">
        <w:rPr>
          <w:rFonts w:asciiTheme="minorHAnsi" w:hAnsiTheme="minorHAnsi" w:cstheme="minorHAnsi"/>
        </w:rPr>
        <w:t xml:space="preserve"> 4 zákona č. 65/1965 Sb.</w:t>
      </w:r>
    </w:p>
  </w:footnote>
  <w:footnote w:id="10">
    <w:p w14:paraId="4E2FD6D8" w14:textId="35F540F6" w:rsidR="00173CDD" w:rsidRPr="002D21F2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2D21F2">
        <w:rPr>
          <w:rStyle w:val="Znakapoznpodarou"/>
          <w:rFonts w:asciiTheme="minorHAnsi" w:hAnsiTheme="minorHAnsi" w:cstheme="minorHAnsi"/>
        </w:rPr>
        <w:footnoteRef/>
      </w:r>
      <w:r w:rsidRPr="002D2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D21F2">
        <w:rPr>
          <w:rFonts w:asciiTheme="minorHAnsi" w:hAnsiTheme="minorHAnsi" w:cstheme="minorHAnsi"/>
        </w:rPr>
        <w:t>Ustanovení § 12 odst. 3 vyhlášky č. 125/1993 Sb.</w:t>
      </w:r>
    </w:p>
  </w:footnote>
  <w:footnote w:id="11">
    <w:p w14:paraId="03743C1D" w14:textId="78C0C1BD" w:rsidR="00173CDD" w:rsidRPr="00355D7A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</w:rPr>
        <w:t>Podle článku 14 odst. 1 a 2 nařízení Rady (ES) č. 659/1999, kterým se stanoví prováděcí pravidla k článku 93 Smlouvy o ES.</w:t>
      </w:r>
    </w:p>
  </w:footnote>
  <w:footnote w:id="12">
    <w:p w14:paraId="7893B3E7" w14:textId="01DA94B7" w:rsidR="00173CDD" w:rsidRPr="00355D7A" w:rsidRDefault="00173CDD" w:rsidP="00D406F3">
      <w:pPr>
        <w:ind w:left="284" w:hanging="284"/>
        <w:rPr>
          <w:sz w:val="20"/>
          <w:szCs w:val="20"/>
        </w:rPr>
      </w:pPr>
      <w:r w:rsidRPr="00355D7A">
        <w:rPr>
          <w:rStyle w:val="Znakapoznpodarou"/>
          <w:sz w:val="20"/>
          <w:szCs w:val="20"/>
        </w:rPr>
        <w:footnoteRef/>
      </w:r>
      <w:r w:rsidRPr="00355D7A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55D7A">
        <w:rPr>
          <w:rFonts w:cstheme="minorHAnsi"/>
          <w:sz w:val="20"/>
          <w:szCs w:val="20"/>
          <w:lang w:eastAsia="cs-CZ"/>
        </w:rPr>
        <w:t xml:space="preserve">Podle článku 21 nařízení Rady (ES) č. 659/1999 výroční zprávy předkládá </w:t>
      </w:r>
      <w:r>
        <w:rPr>
          <w:rFonts w:cstheme="minorHAnsi"/>
          <w:sz w:val="20"/>
          <w:szCs w:val="20"/>
          <w:lang w:eastAsia="cs-CZ"/>
        </w:rPr>
        <w:t xml:space="preserve">Evropské </w:t>
      </w:r>
      <w:r w:rsidRPr="00355D7A">
        <w:rPr>
          <w:rFonts w:cstheme="minorHAnsi"/>
          <w:sz w:val="20"/>
          <w:szCs w:val="20"/>
          <w:lang w:eastAsia="cs-CZ"/>
        </w:rPr>
        <w:t xml:space="preserve">komisi členský stát. </w:t>
      </w:r>
    </w:p>
  </w:footnote>
  <w:footnote w:id="13">
    <w:p w14:paraId="000EACA9" w14:textId="389E7E1E" w:rsidR="00173CDD" w:rsidRPr="00355D7A" w:rsidRDefault="00173CDD" w:rsidP="00D406F3">
      <w:pPr>
        <w:pStyle w:val="Textpoznpodarou"/>
        <w:ind w:left="284" w:hanging="284"/>
        <w:rPr>
          <w:rFonts w:asciiTheme="minorHAnsi" w:hAnsiTheme="minorHAnsi" w:cstheme="minorHAnsi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</w:rPr>
        <w:t xml:space="preserve">Zákon č. 262/2006 Sb., zákoník práce. </w:t>
      </w:r>
    </w:p>
  </w:footnote>
  <w:footnote w:id="14">
    <w:p w14:paraId="3A8117EC" w14:textId="3359221C" w:rsidR="00173CDD" w:rsidRPr="00355D7A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</w:rPr>
        <w:t>Zákon č. 37/1993 Sb., o změnách v nemocenském a sociálním zabezpečení a některých pracovněprávních předpisů.</w:t>
      </w:r>
    </w:p>
  </w:footnote>
  <w:footnote w:id="15">
    <w:p w14:paraId="679441C9" w14:textId="13F8A7D8" w:rsidR="00173CDD" w:rsidRPr="00355D7A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</w:rPr>
        <w:t>Ustanovení § 205d odst. 7 zákona č. 65/1965 Sb.</w:t>
      </w:r>
    </w:p>
  </w:footnote>
  <w:footnote w:id="16">
    <w:p w14:paraId="3DACB6C1" w14:textId="454BB382" w:rsidR="00173CDD" w:rsidRPr="00355D7A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</w:rPr>
        <w:t>Vyhláška č. 125/1993 Sb.</w:t>
      </w:r>
    </w:p>
  </w:footnote>
  <w:footnote w:id="17">
    <w:p w14:paraId="4A7DE5A4" w14:textId="043248E3" w:rsidR="00173CDD" w:rsidRPr="00355D7A" w:rsidRDefault="00173CDD" w:rsidP="00D406F3">
      <w:pPr>
        <w:ind w:left="284" w:hanging="284"/>
        <w:rPr>
          <w:rFonts w:cstheme="minorHAnsi"/>
          <w:sz w:val="20"/>
          <w:szCs w:val="20"/>
        </w:rPr>
      </w:pPr>
      <w:r w:rsidRPr="00355D7A">
        <w:rPr>
          <w:rStyle w:val="Znakapoznpodarou"/>
          <w:rFonts w:cstheme="minorHAnsi"/>
          <w:sz w:val="20"/>
          <w:szCs w:val="20"/>
        </w:rPr>
        <w:footnoteRef/>
      </w:r>
      <w:r w:rsidRPr="00355D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D7A">
        <w:rPr>
          <w:rFonts w:cstheme="minorHAnsi"/>
          <w:sz w:val="20"/>
          <w:szCs w:val="20"/>
        </w:rPr>
        <w:t>Ustanovení § 269 až 271u zákona č. 262/2006 Sb.</w:t>
      </w:r>
    </w:p>
    <w:p w14:paraId="5ADF9294" w14:textId="77777777" w:rsidR="00173CDD" w:rsidRDefault="00173CDD" w:rsidP="00FF2E10">
      <w:pPr>
        <w:pStyle w:val="Textpoznpodarou"/>
      </w:pPr>
    </w:p>
  </w:footnote>
  <w:footnote w:id="18">
    <w:p w14:paraId="57C51F1D" w14:textId="0F304E2D" w:rsidR="00173CDD" w:rsidRPr="00355D7A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  <w:bCs/>
        </w:rPr>
        <w:t>Zákon č. 185/1991 Sb., o pojišťovnictví, účinnost od 28.</w:t>
      </w:r>
      <w:r>
        <w:rPr>
          <w:rFonts w:asciiTheme="minorHAnsi" w:hAnsiTheme="minorHAnsi" w:cstheme="minorHAnsi"/>
          <w:bCs/>
        </w:rPr>
        <w:t xml:space="preserve"> </w:t>
      </w:r>
      <w:r w:rsidRPr="00355D7A">
        <w:rPr>
          <w:rFonts w:asciiTheme="minorHAnsi" w:hAnsiTheme="minorHAnsi" w:cstheme="minorHAnsi"/>
          <w:bCs/>
        </w:rPr>
        <w:t>5.</w:t>
      </w:r>
      <w:r>
        <w:rPr>
          <w:rFonts w:asciiTheme="minorHAnsi" w:hAnsiTheme="minorHAnsi" w:cstheme="minorHAnsi"/>
          <w:bCs/>
        </w:rPr>
        <w:t xml:space="preserve"> </w:t>
      </w:r>
      <w:r w:rsidRPr="00355D7A">
        <w:rPr>
          <w:rFonts w:asciiTheme="minorHAnsi" w:hAnsiTheme="minorHAnsi" w:cstheme="minorHAnsi"/>
          <w:bCs/>
        </w:rPr>
        <w:t>1991 do</w:t>
      </w:r>
      <w:r>
        <w:rPr>
          <w:rFonts w:asciiTheme="minorHAnsi" w:hAnsiTheme="minorHAnsi" w:cstheme="minorHAnsi"/>
          <w:bCs/>
        </w:rPr>
        <w:t xml:space="preserve"> </w:t>
      </w:r>
      <w:r w:rsidRPr="00355D7A">
        <w:rPr>
          <w:rFonts w:asciiTheme="minorHAnsi" w:hAnsiTheme="minorHAnsi" w:cstheme="minorHAnsi"/>
          <w:bCs/>
        </w:rPr>
        <w:t>31.</w:t>
      </w:r>
      <w:r>
        <w:rPr>
          <w:rFonts w:asciiTheme="minorHAnsi" w:hAnsiTheme="minorHAnsi" w:cstheme="minorHAnsi"/>
          <w:bCs/>
        </w:rPr>
        <w:t xml:space="preserve"> </w:t>
      </w:r>
      <w:r w:rsidRPr="00355D7A">
        <w:rPr>
          <w:rFonts w:asciiTheme="minorHAnsi" w:hAnsiTheme="minorHAnsi" w:cstheme="minorHAnsi"/>
          <w:bCs/>
        </w:rPr>
        <w:t>3.</w:t>
      </w:r>
      <w:r>
        <w:rPr>
          <w:rFonts w:asciiTheme="minorHAnsi" w:hAnsiTheme="minorHAnsi" w:cstheme="minorHAnsi"/>
          <w:bCs/>
        </w:rPr>
        <w:t xml:space="preserve"> </w:t>
      </w:r>
      <w:r w:rsidRPr="00355D7A">
        <w:rPr>
          <w:rFonts w:asciiTheme="minorHAnsi" w:hAnsiTheme="minorHAnsi" w:cstheme="minorHAnsi"/>
          <w:bCs/>
        </w:rPr>
        <w:t xml:space="preserve">2000; zákon č. 363/1999 Sb., </w:t>
      </w:r>
      <w:r w:rsidRPr="00355D7A">
        <w:rPr>
          <w:rFonts w:asciiTheme="minorHAnsi" w:hAnsiTheme="minorHAnsi" w:cstheme="minorHAnsi"/>
          <w:shd w:val="clear" w:color="auto" w:fill="FFFFFF"/>
        </w:rPr>
        <w:t>o</w:t>
      </w:r>
      <w:r>
        <w:rPr>
          <w:rFonts w:asciiTheme="minorHAnsi" w:hAnsiTheme="minorHAnsi" w:cstheme="minorHAnsi"/>
          <w:shd w:val="clear" w:color="auto" w:fill="FFFFFF"/>
        </w:rPr>
        <w:t> </w:t>
      </w:r>
      <w:r w:rsidRPr="00355D7A">
        <w:rPr>
          <w:rFonts w:asciiTheme="minorHAnsi" w:hAnsiTheme="minorHAnsi" w:cstheme="minorHAnsi"/>
          <w:shd w:val="clear" w:color="auto" w:fill="FFFFFF"/>
        </w:rPr>
        <w:t>pojišťovnictví a o změně některých souvisejících zákonů (zákon o pojišťovnictví), účinnost od 1. 4. 2000 do</w:t>
      </w:r>
      <w:r>
        <w:rPr>
          <w:rFonts w:asciiTheme="minorHAnsi" w:hAnsiTheme="minorHAnsi" w:cstheme="minorHAnsi"/>
          <w:shd w:val="clear" w:color="auto" w:fill="FFFFFF"/>
        </w:rPr>
        <w:t> </w:t>
      </w:r>
      <w:r w:rsidRPr="00355D7A">
        <w:rPr>
          <w:rFonts w:asciiTheme="minorHAnsi" w:hAnsiTheme="minorHAnsi" w:cstheme="minorHAnsi"/>
          <w:shd w:val="clear" w:color="auto" w:fill="FFFFFF"/>
        </w:rPr>
        <w:t>31. 3. 2006.</w:t>
      </w:r>
    </w:p>
  </w:footnote>
  <w:footnote w:id="19">
    <w:p w14:paraId="0546BE44" w14:textId="400AE839" w:rsidR="00173CDD" w:rsidRPr="00355D7A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  <w:bCs/>
        </w:rPr>
        <w:t>Zákon č. 6/1993 Sb., o České národní bance.</w:t>
      </w:r>
    </w:p>
  </w:footnote>
  <w:footnote w:id="20">
    <w:p w14:paraId="05FDF5B9" w14:textId="7D7BB7DB" w:rsidR="00173CDD" w:rsidRPr="00355D7A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</w:rPr>
        <w:t>Ustanovení § 84 a § 85 z</w:t>
      </w:r>
      <w:r w:rsidRPr="00355D7A">
        <w:rPr>
          <w:rFonts w:asciiTheme="minorHAnsi" w:hAnsiTheme="minorHAnsi" w:cstheme="minorHAnsi"/>
          <w:bCs/>
        </w:rPr>
        <w:t>ákona č. 277/2009 Sb., o pojišťovnictví.</w:t>
      </w:r>
    </w:p>
  </w:footnote>
  <w:footnote w:id="21">
    <w:p w14:paraId="7AC86477" w14:textId="0E495502" w:rsidR="00173CDD" w:rsidRPr="00355D7A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  <w:bCs/>
        </w:rPr>
        <w:t>Ustanovení § 3 odst. 1 písm. f) a l) zákona č. 277/2009 Sb.</w:t>
      </w:r>
    </w:p>
  </w:footnote>
  <w:footnote w:id="22">
    <w:p w14:paraId="24DD3B6D" w14:textId="2E4ED85D" w:rsidR="00173CDD" w:rsidRPr="00355D7A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5D7A">
        <w:rPr>
          <w:rStyle w:val="Znakapoznpodarou"/>
          <w:rFonts w:asciiTheme="minorHAnsi" w:hAnsiTheme="minorHAnsi" w:cstheme="minorHAnsi"/>
        </w:rPr>
        <w:footnoteRef/>
      </w:r>
      <w:r w:rsidRPr="00355D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5D7A">
        <w:rPr>
          <w:rFonts w:asciiTheme="minorHAnsi" w:hAnsiTheme="minorHAnsi" w:cstheme="minorHAnsi"/>
          <w:bCs/>
        </w:rPr>
        <w:t>Ustanovení § 205d zákona č. 65/1965 Sb.</w:t>
      </w:r>
    </w:p>
  </w:footnote>
  <w:footnote w:id="23">
    <w:p w14:paraId="3A698DE7" w14:textId="2B277ADD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  <w:bCs/>
        </w:rPr>
        <w:t>Ustanovení § 14 odst. 3 zákona č. 582/1991 Sb., o organizaci a provádění sociálního zabezpečení.</w:t>
      </w:r>
    </w:p>
  </w:footnote>
  <w:footnote w:id="24">
    <w:p w14:paraId="6CAA59E0" w14:textId="24A14C73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</w:rPr>
        <w:t>Registr ekonomických subjektů.</w:t>
      </w:r>
    </w:p>
  </w:footnote>
  <w:footnote w:id="25">
    <w:p w14:paraId="0455BCA7" w14:textId="59440835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</w:rPr>
        <w:t>Například podle ustanovení § 20 zákona č. 589/1992 Sb. a ustanovení § 18 zákona č. 592/1992 Sb. je sankce stanovena ve výši 0,05 % z dlužné částky za každý kalendářní den prodlení.</w:t>
      </w:r>
    </w:p>
  </w:footnote>
  <w:footnote w:id="26">
    <w:p w14:paraId="5DDB787D" w14:textId="7498329B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</w:rPr>
        <w:t>Ustanovení § 20 z</w:t>
      </w:r>
      <w:r w:rsidRPr="0026723D">
        <w:rPr>
          <w:rFonts w:asciiTheme="minorHAnsi" w:hAnsiTheme="minorHAnsi" w:cstheme="minorHAnsi"/>
          <w:bCs/>
        </w:rPr>
        <w:t>ákona č. 589/1992 Sb.</w:t>
      </w:r>
    </w:p>
  </w:footnote>
  <w:footnote w:id="27">
    <w:p w14:paraId="47AA2CCD" w14:textId="0DDA6484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  <w:bCs/>
        </w:rPr>
        <w:t>Ustanovení § 18 zákona č. 592/1992 Sb.</w:t>
      </w:r>
    </w:p>
  </w:footnote>
  <w:footnote w:id="28">
    <w:p w14:paraId="533F388C" w14:textId="7AF0D3BC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</w:rPr>
        <w:t xml:space="preserve">Například v ustanovení § 14 odst. 6 zákona č. 219/2000 Sb. je stanoven limit pro upuštění </w:t>
      </w:r>
      <w:r>
        <w:rPr>
          <w:rFonts w:asciiTheme="minorHAnsi" w:hAnsiTheme="minorHAnsi" w:cstheme="minorHAnsi"/>
        </w:rPr>
        <w:t xml:space="preserve">od vymáhání </w:t>
      </w:r>
      <w:r w:rsidRPr="0026723D">
        <w:rPr>
          <w:rFonts w:asciiTheme="minorHAnsi" w:hAnsiTheme="minorHAnsi" w:cstheme="minorHAnsi"/>
        </w:rPr>
        <w:t>úroku z prodlení ve výši 5 000 Kč.</w:t>
      </w:r>
    </w:p>
  </w:footnote>
  <w:footnote w:id="29">
    <w:p w14:paraId="668582B2" w14:textId="6B469F0A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  <w:bCs/>
        </w:rPr>
        <w:t>Ustanovení § 15 vyhlášky č. 125/1993 Sb.</w:t>
      </w:r>
    </w:p>
  </w:footnote>
  <w:footnote w:id="30">
    <w:p w14:paraId="2AF3D8C8" w14:textId="0F502372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  <w:bCs/>
        </w:rPr>
        <w:t>Ustanovení § 14 odst. 6 zákona č. 219/2000 Sb.</w:t>
      </w:r>
    </w:p>
  </w:footnote>
  <w:footnote w:id="31">
    <w:p w14:paraId="67D03CA2" w14:textId="0DD9B39C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Style w:val="Znakapoznpodarou"/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Style w:val="Znakapoznpodarou"/>
          <w:rFonts w:asciiTheme="minorHAnsi" w:hAnsiTheme="minorHAnsi" w:cstheme="minorHAnsi"/>
          <w:vertAlign w:val="baseline"/>
        </w:rPr>
        <w:t>Částka</w:t>
      </w:r>
      <w:r w:rsidRPr="0026723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pro </w:t>
      </w:r>
      <w:r w:rsidRPr="0026723D">
        <w:rPr>
          <w:rFonts w:asciiTheme="minorHAnsi" w:hAnsiTheme="minorHAnsi" w:cstheme="minorHAnsi"/>
          <w:bCs/>
        </w:rPr>
        <w:t xml:space="preserve">upuštění </w:t>
      </w:r>
      <w:r>
        <w:rPr>
          <w:rFonts w:asciiTheme="minorHAnsi" w:hAnsiTheme="minorHAnsi" w:cstheme="minorHAnsi"/>
          <w:bCs/>
        </w:rPr>
        <w:t xml:space="preserve">od vymáhání </w:t>
      </w:r>
      <w:r w:rsidRPr="0026723D">
        <w:rPr>
          <w:rFonts w:asciiTheme="minorHAnsi" w:hAnsiTheme="minorHAnsi" w:cstheme="minorHAnsi"/>
          <w:bCs/>
        </w:rPr>
        <w:t>úroku z prodlení dle zákona č. 219/2000 Sb. činí v úhrnu 5 000 Kč.</w:t>
      </w:r>
    </w:p>
  </w:footnote>
  <w:footnote w:id="32">
    <w:p w14:paraId="1D3D4B13" w14:textId="2B9BB4B6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</w:rPr>
        <w:t>Ustanovení § 12 odst. 9 vyhlášky č. 125/1993 Sb.</w:t>
      </w:r>
    </w:p>
  </w:footnote>
  <w:footnote w:id="33">
    <w:p w14:paraId="5375DC9C" w14:textId="0F7074D3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</w:rPr>
        <w:t>Ustanovení § 15 vyhlášky č. 125/1993 Sb.</w:t>
      </w:r>
    </w:p>
  </w:footnote>
  <w:footnote w:id="34">
    <w:p w14:paraId="1B6EF611" w14:textId="6220B8B8" w:rsidR="00173CDD" w:rsidRPr="0026723D" w:rsidRDefault="00173CDD" w:rsidP="00D406F3">
      <w:pPr>
        <w:pStyle w:val="Textpoznpodarou"/>
        <w:ind w:left="284" w:hanging="284"/>
        <w:rPr>
          <w:rFonts w:asciiTheme="minorHAnsi" w:hAnsiTheme="minorHAnsi" w:cstheme="minorHAnsi"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</w:rPr>
        <w:t>Počet pojistných smluv, které klient uzavře</w:t>
      </w:r>
      <w:r>
        <w:rPr>
          <w:rFonts w:asciiTheme="minorHAnsi" w:hAnsiTheme="minorHAnsi" w:cstheme="minorHAnsi"/>
        </w:rPr>
        <w:t>l</w:t>
      </w:r>
      <w:r w:rsidRPr="0026723D">
        <w:rPr>
          <w:rFonts w:asciiTheme="minorHAnsi" w:hAnsiTheme="minorHAnsi" w:cstheme="minorHAnsi"/>
        </w:rPr>
        <w:t xml:space="preserve"> s Českou pojišťovnou.</w:t>
      </w:r>
    </w:p>
  </w:footnote>
  <w:footnote w:id="35">
    <w:p w14:paraId="5ED513B9" w14:textId="5F151EBB" w:rsidR="00173CDD" w:rsidRPr="0026723D" w:rsidRDefault="00173CDD" w:rsidP="00D406F3">
      <w:pPr>
        <w:pStyle w:val="Textpoznpodarou"/>
        <w:ind w:left="284" w:hanging="284"/>
        <w:rPr>
          <w:rFonts w:asciiTheme="minorHAnsi" w:hAnsiTheme="minorHAnsi" w:cstheme="minorHAnsi"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  <w:iCs/>
          <w:lang w:eastAsia="en-US"/>
        </w:rPr>
        <w:t>Komise pro posouzení žádostí o neuplatnění práva na zvýšené pojistné</w:t>
      </w:r>
      <w:r>
        <w:rPr>
          <w:rFonts w:asciiTheme="minorHAnsi" w:hAnsiTheme="minorHAnsi" w:cstheme="minorHAnsi"/>
          <w:iCs/>
          <w:lang w:eastAsia="en-US"/>
        </w:rPr>
        <w:t>.</w:t>
      </w:r>
    </w:p>
  </w:footnote>
  <w:footnote w:id="36">
    <w:p w14:paraId="251B2BB9" w14:textId="738111BA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  <w:bCs/>
        </w:rPr>
        <w:t>Usnesení vlády</w:t>
      </w:r>
      <w:r w:rsidRPr="0026723D">
        <w:rPr>
          <w:rFonts w:asciiTheme="minorHAnsi" w:hAnsiTheme="minorHAnsi" w:cstheme="minorHAnsi"/>
        </w:rPr>
        <w:t xml:space="preserve"> ČR </w:t>
      </w:r>
      <w:r w:rsidRPr="0026723D">
        <w:rPr>
          <w:rFonts w:asciiTheme="minorHAnsi" w:hAnsiTheme="minorHAnsi" w:cstheme="minorHAnsi"/>
          <w:bCs/>
        </w:rPr>
        <w:t xml:space="preserve">ze dne 24. 10. 2012 č. 781, </w:t>
      </w:r>
      <w:r w:rsidRPr="0026723D">
        <w:rPr>
          <w:rFonts w:asciiTheme="minorHAnsi" w:hAnsiTheme="minorHAnsi" w:cstheme="minorHAnsi"/>
          <w:bCs/>
          <w:i/>
        </w:rPr>
        <w:t>k Analýze problematiky odškodňování pracovních úrazů a nemocí z povolání s návrhem věcného řešení</w:t>
      </w:r>
      <w:r w:rsidRPr="0026723D">
        <w:rPr>
          <w:rFonts w:asciiTheme="minorHAnsi" w:hAnsiTheme="minorHAnsi" w:cstheme="minorHAnsi"/>
          <w:bCs/>
        </w:rPr>
        <w:t xml:space="preserve">. </w:t>
      </w:r>
    </w:p>
  </w:footnote>
  <w:footnote w:id="37">
    <w:p w14:paraId="42E7629B" w14:textId="40059C2B" w:rsidR="00173CDD" w:rsidRPr="0026723D" w:rsidRDefault="00173CDD" w:rsidP="00D406F3">
      <w:pPr>
        <w:pStyle w:val="Textpoznpodarou"/>
        <w:ind w:left="284" w:hanging="284"/>
        <w:rPr>
          <w:rFonts w:asciiTheme="minorHAnsi" w:hAnsiTheme="minorHAnsi" w:cstheme="minorHAnsi"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</w:rPr>
        <w:t>Zákon č. 266/2006 Sb., o úrazovém pojištění zaměstnanců.</w:t>
      </w:r>
    </w:p>
  </w:footnote>
  <w:footnote w:id="38">
    <w:p w14:paraId="4528118C" w14:textId="61BAAA48" w:rsidR="00173CDD" w:rsidRPr="0026723D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/>
        </w:rPr>
      </w:pPr>
      <w:r w:rsidRPr="0026723D">
        <w:rPr>
          <w:rStyle w:val="Znakapoznpodarou"/>
          <w:rFonts w:asciiTheme="minorHAnsi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723D">
        <w:rPr>
          <w:rFonts w:asciiTheme="minorHAnsi" w:hAnsiTheme="minorHAnsi" w:cstheme="minorHAnsi"/>
        </w:rPr>
        <w:t>Oprávněná náhrada škody, tj.</w:t>
      </w:r>
      <w:r w:rsidRPr="0026723D">
        <w:rPr>
          <w:rFonts w:asciiTheme="minorHAnsi" w:hAnsiTheme="minorHAnsi" w:cstheme="minorHAnsi"/>
          <w:b/>
        </w:rPr>
        <w:t xml:space="preserve"> </w:t>
      </w:r>
      <w:r w:rsidRPr="0026723D">
        <w:rPr>
          <w:rStyle w:val="Siln"/>
          <w:rFonts w:asciiTheme="minorHAnsi" w:hAnsiTheme="minorHAnsi" w:cstheme="minorHAnsi"/>
          <w:b w:val="0"/>
        </w:rPr>
        <w:t>nárok pojišťovny na</w:t>
      </w:r>
      <w:r w:rsidR="00A95EB4">
        <w:rPr>
          <w:rStyle w:val="Siln"/>
          <w:rFonts w:asciiTheme="minorHAnsi" w:hAnsiTheme="minorHAnsi" w:cstheme="minorHAnsi"/>
          <w:b w:val="0"/>
        </w:rPr>
        <w:t xml:space="preserve"> </w:t>
      </w:r>
      <w:r w:rsidRPr="0026723D">
        <w:rPr>
          <w:rStyle w:val="Siln"/>
          <w:rFonts w:asciiTheme="minorHAnsi" w:hAnsiTheme="minorHAnsi" w:cstheme="minorHAnsi"/>
          <w:b w:val="0"/>
        </w:rPr>
        <w:t xml:space="preserve">náhradu až do výše poskytnutého plnění vůči osobě, která škodu zavinila svým jednáním úmyslně, pod vlivem alkoholu nebo jiné návykové látky, zvláště závažným porušením předpisů o bezpečnosti a ochraně zdraví při práci apod. </w:t>
      </w:r>
    </w:p>
  </w:footnote>
  <w:footnote w:id="39">
    <w:p w14:paraId="14E8A873" w14:textId="4D6EB334" w:rsidR="00173CDD" w:rsidRPr="00AA3C3C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26723D">
        <w:rPr>
          <w:rStyle w:val="Znakapoznpodarou"/>
          <w:rFonts w:asciiTheme="minorHAnsi" w:eastAsiaTheme="majorEastAsia" w:hAnsiTheme="minorHAnsi" w:cstheme="minorHAnsi"/>
        </w:rPr>
        <w:footnoteRef/>
      </w:r>
      <w:r w:rsidRPr="00267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A3C3C">
        <w:rPr>
          <w:rFonts w:asciiTheme="minorHAnsi" w:hAnsiTheme="minorHAnsi" w:cstheme="minorHAnsi"/>
        </w:rPr>
        <w:t>Ustanovení § 15 vyhlášky č. 125/1993 Sb.</w:t>
      </w:r>
    </w:p>
  </w:footnote>
  <w:footnote w:id="40">
    <w:p w14:paraId="12E78026" w14:textId="2ADDBA1E" w:rsidR="00173CDD" w:rsidRPr="00AA3C3C" w:rsidRDefault="00173CDD" w:rsidP="00D406F3">
      <w:pPr>
        <w:pStyle w:val="Textpoznpodarou"/>
        <w:ind w:left="284" w:hanging="284"/>
        <w:rPr>
          <w:rFonts w:asciiTheme="minorHAnsi" w:hAnsiTheme="minorHAnsi" w:cstheme="minorHAnsi"/>
        </w:rPr>
      </w:pPr>
      <w:r w:rsidRPr="00AA3C3C">
        <w:rPr>
          <w:rStyle w:val="Znakapoznpodarou"/>
          <w:rFonts w:asciiTheme="minorHAnsi" w:hAnsiTheme="minorHAnsi" w:cstheme="minorHAnsi"/>
        </w:rPr>
        <w:footnoteRef/>
      </w:r>
      <w:r w:rsidRPr="00AA3C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A3C3C">
        <w:rPr>
          <w:rFonts w:asciiTheme="minorHAnsi" w:hAnsiTheme="minorHAnsi" w:cstheme="minorHAnsi"/>
        </w:rPr>
        <w:t>Ustanovení § 205d odst. 5 zákona č. 65/1965 Sb.</w:t>
      </w:r>
    </w:p>
  </w:footnote>
  <w:footnote w:id="41">
    <w:p w14:paraId="2E35FD37" w14:textId="586CFA33" w:rsidR="00173CDD" w:rsidRPr="00AA3C3C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A3C3C">
        <w:rPr>
          <w:rStyle w:val="Znakapoznpodarou"/>
          <w:rFonts w:asciiTheme="minorHAnsi" w:hAnsiTheme="minorHAnsi" w:cstheme="minorHAnsi"/>
        </w:rPr>
        <w:footnoteRef/>
      </w:r>
      <w:r w:rsidRPr="00AA3C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A3C3C">
        <w:rPr>
          <w:rFonts w:asciiTheme="minorHAnsi" w:hAnsiTheme="minorHAnsi" w:cstheme="minorHAnsi"/>
        </w:rPr>
        <w:t>N</w:t>
      </w:r>
      <w:r w:rsidRPr="00AA3C3C">
        <w:rPr>
          <w:rFonts w:asciiTheme="minorHAnsi" w:hAnsiTheme="minorHAnsi" w:cstheme="minorHAnsi"/>
          <w:bCs/>
        </w:rPr>
        <w:t>ařízení vlády č. 351/2013 Sb.</w:t>
      </w:r>
      <w:r w:rsidRPr="00AA3C3C">
        <w:rPr>
          <w:rFonts w:asciiTheme="minorHAnsi" w:hAnsiTheme="minorHAnsi" w:cstheme="minorHAnsi"/>
        </w:rPr>
        <w:t>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</w:t>
      </w:r>
      <w:r>
        <w:rPr>
          <w:rFonts w:asciiTheme="minorHAnsi" w:hAnsiTheme="minorHAnsi" w:cstheme="minorHAnsi"/>
        </w:rPr>
        <w:t> </w:t>
      </w:r>
      <w:r w:rsidRPr="00AA3C3C">
        <w:rPr>
          <w:rFonts w:asciiTheme="minorHAnsi" w:hAnsiTheme="minorHAnsi" w:cstheme="minorHAnsi"/>
        </w:rPr>
        <w:t xml:space="preserve">evidence </w:t>
      </w:r>
      <w:proofErr w:type="spellStart"/>
      <w:r w:rsidRPr="00C94639">
        <w:rPr>
          <w:rFonts w:asciiTheme="minorHAnsi" w:hAnsiTheme="minorHAnsi" w:cstheme="minorHAnsi"/>
        </w:rPr>
        <w:t>svěřenských</w:t>
      </w:r>
      <w:proofErr w:type="spellEnd"/>
      <w:r w:rsidRPr="00C94639">
        <w:rPr>
          <w:rFonts w:asciiTheme="minorHAnsi" w:hAnsiTheme="minorHAnsi" w:cstheme="minorHAnsi"/>
        </w:rPr>
        <w:t xml:space="preserve"> fondů a</w:t>
      </w:r>
      <w:r w:rsidRPr="00AA3C3C">
        <w:rPr>
          <w:rFonts w:asciiTheme="minorHAnsi" w:hAnsiTheme="minorHAnsi" w:cstheme="minorHAnsi"/>
        </w:rPr>
        <w:t xml:space="preserve"> evidence údajů o skutečných majitelích.</w:t>
      </w:r>
    </w:p>
  </w:footnote>
  <w:footnote w:id="42">
    <w:p w14:paraId="3CB22299" w14:textId="21FDDCB5" w:rsidR="00173CDD" w:rsidRPr="00AA3C3C" w:rsidRDefault="00173CDD" w:rsidP="00D406F3">
      <w:pPr>
        <w:ind w:left="284" w:hanging="284"/>
        <w:rPr>
          <w:rFonts w:cstheme="minorHAnsi"/>
          <w:sz w:val="20"/>
          <w:szCs w:val="20"/>
        </w:rPr>
      </w:pPr>
      <w:r w:rsidRPr="00AA3C3C">
        <w:rPr>
          <w:rStyle w:val="Znakapoznpodarou"/>
          <w:rFonts w:cstheme="minorHAnsi"/>
          <w:sz w:val="20"/>
          <w:szCs w:val="20"/>
        </w:rPr>
        <w:footnoteRef/>
      </w:r>
      <w:r w:rsidRPr="00AA3C3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AA3C3C">
        <w:rPr>
          <w:rFonts w:cstheme="minorHAnsi"/>
          <w:sz w:val="20"/>
          <w:szCs w:val="20"/>
        </w:rPr>
        <w:t>Ustanovení § 14 odst. 6 zákona č. 219/2000 Sb.</w:t>
      </w:r>
    </w:p>
  </w:footnote>
  <w:footnote w:id="43">
    <w:p w14:paraId="30DECE44" w14:textId="0E462597" w:rsidR="00173CDD" w:rsidRDefault="00173CDD" w:rsidP="00C21CA0">
      <w:pPr>
        <w:ind w:left="284" w:hanging="284"/>
        <w:rPr>
          <w:rFonts w:cstheme="minorHAnsi"/>
          <w:bCs/>
          <w:sz w:val="20"/>
          <w:szCs w:val="20"/>
        </w:rPr>
      </w:pPr>
      <w:r w:rsidRPr="00AA3C3C">
        <w:rPr>
          <w:rStyle w:val="Znakapoznpodarou"/>
          <w:rFonts w:cstheme="minorHAnsi"/>
          <w:sz w:val="20"/>
          <w:szCs w:val="20"/>
        </w:rPr>
        <w:footnoteRef/>
      </w:r>
      <w:r w:rsidRPr="00AA3C3C">
        <w:rPr>
          <w:rFonts w:cstheme="minorHAnsi"/>
          <w:sz w:val="20"/>
          <w:szCs w:val="20"/>
        </w:rPr>
        <w:t xml:space="preserve"> </w:t>
      </w:r>
      <w:r w:rsidRPr="00AA3C3C">
        <w:rPr>
          <w:rFonts w:cstheme="minorHAnsi"/>
          <w:sz w:val="20"/>
          <w:szCs w:val="20"/>
        </w:rPr>
        <w:tab/>
      </w:r>
      <w:r w:rsidRPr="00AA3C3C">
        <w:rPr>
          <w:rFonts w:cstheme="minorHAnsi"/>
          <w:bCs/>
          <w:sz w:val="20"/>
          <w:szCs w:val="20"/>
        </w:rPr>
        <w:t>Vzorec pro výpočet výše úroků z prodlení je</w:t>
      </w:r>
      <w:r>
        <w:rPr>
          <w:rFonts w:cstheme="minorHAnsi"/>
          <w:bCs/>
          <w:sz w:val="20"/>
          <w:szCs w:val="20"/>
        </w:rPr>
        <w:t xml:space="preserve"> následující</w:t>
      </w:r>
      <w:r w:rsidRPr="00AA3C3C">
        <w:rPr>
          <w:rFonts w:cstheme="minorHAnsi"/>
          <w:bCs/>
          <w:sz w:val="20"/>
          <w:szCs w:val="20"/>
        </w:rPr>
        <w:t>: dlužná částka v</w:t>
      </w:r>
      <w:r>
        <w:rPr>
          <w:rFonts w:cstheme="minorHAnsi"/>
          <w:bCs/>
          <w:sz w:val="20"/>
          <w:szCs w:val="20"/>
        </w:rPr>
        <w:t> korunách</w:t>
      </w:r>
      <w:r w:rsidRPr="00AA3C3C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×</w:t>
      </w:r>
      <w:r w:rsidRPr="00AA3C3C">
        <w:rPr>
          <w:rFonts w:cstheme="minorHAnsi"/>
          <w:bCs/>
          <w:sz w:val="20"/>
          <w:szCs w:val="20"/>
        </w:rPr>
        <w:t xml:space="preserve"> příslušná roční úroková sazba v % / 100 </w:t>
      </w:r>
      <w:r>
        <w:rPr>
          <w:rFonts w:cstheme="minorHAnsi"/>
          <w:bCs/>
          <w:sz w:val="20"/>
          <w:szCs w:val="20"/>
        </w:rPr>
        <w:t>×</w:t>
      </w:r>
      <w:r w:rsidRPr="00AA3C3C">
        <w:rPr>
          <w:rFonts w:cstheme="minorHAnsi"/>
          <w:bCs/>
          <w:sz w:val="20"/>
          <w:szCs w:val="20"/>
        </w:rPr>
        <w:t xml:space="preserve"> počet dnů určitého prodlení / počet dnů daného kalendářního roku</w:t>
      </w:r>
      <w:r>
        <w:rPr>
          <w:rFonts w:cstheme="minorHAnsi"/>
          <w:bCs/>
          <w:sz w:val="20"/>
          <w:szCs w:val="20"/>
        </w:rPr>
        <w:t xml:space="preserve">, </w:t>
      </w:r>
    </w:p>
    <w:p w14:paraId="683FEE76" w14:textId="1771B68B" w:rsidR="00173CDD" w:rsidRPr="00AA3C3C" w:rsidRDefault="00173CDD" w:rsidP="00DB3558">
      <w:pPr>
        <w:ind w:left="28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tedy:</w:t>
      </w:r>
      <w:r w:rsidRPr="00AA3C3C">
        <w:rPr>
          <w:rFonts w:cstheme="minorHAnsi"/>
          <w:bCs/>
          <w:sz w:val="20"/>
          <w:szCs w:val="20"/>
        </w:rPr>
        <w:t xml:space="preserve"> 741 339 661 Kč </w:t>
      </w:r>
      <w:r>
        <w:rPr>
          <w:rFonts w:cstheme="minorHAnsi"/>
          <w:bCs/>
          <w:sz w:val="20"/>
          <w:szCs w:val="20"/>
        </w:rPr>
        <w:t>×</w:t>
      </w:r>
      <w:r w:rsidRPr="00AA3C3C">
        <w:rPr>
          <w:rFonts w:cstheme="minorHAnsi"/>
          <w:bCs/>
          <w:sz w:val="20"/>
          <w:szCs w:val="20"/>
        </w:rPr>
        <w:t xml:space="preserve"> 8,05 %</w:t>
      </w:r>
      <w:r w:rsidRPr="00AA3C3C">
        <w:rPr>
          <w:rFonts w:cstheme="minorHAnsi"/>
          <w:bCs/>
          <w:sz w:val="16"/>
          <w:szCs w:val="16"/>
        </w:rPr>
        <w:t xml:space="preserve"> </w:t>
      </w:r>
      <w:r w:rsidRPr="00AA3C3C">
        <w:rPr>
          <w:rFonts w:cstheme="minorHAnsi"/>
          <w:bCs/>
          <w:sz w:val="20"/>
          <w:szCs w:val="20"/>
        </w:rPr>
        <w:t>/</w:t>
      </w:r>
      <w:r w:rsidRPr="00AA3C3C">
        <w:rPr>
          <w:rFonts w:cstheme="minorHAnsi"/>
          <w:bCs/>
          <w:sz w:val="16"/>
          <w:szCs w:val="16"/>
        </w:rPr>
        <w:t xml:space="preserve"> </w:t>
      </w:r>
      <w:r w:rsidRPr="00AA3C3C">
        <w:rPr>
          <w:rFonts w:cstheme="minorHAnsi"/>
          <w:bCs/>
          <w:sz w:val="20"/>
          <w:szCs w:val="20"/>
        </w:rPr>
        <w:t xml:space="preserve">100 </w:t>
      </w:r>
      <w:r>
        <w:rPr>
          <w:rFonts w:cstheme="minorHAnsi"/>
          <w:bCs/>
          <w:sz w:val="20"/>
          <w:szCs w:val="20"/>
        </w:rPr>
        <w:t>×</w:t>
      </w:r>
      <w:r w:rsidRPr="00AA3C3C">
        <w:rPr>
          <w:rFonts w:cstheme="minorHAnsi"/>
          <w:bCs/>
          <w:sz w:val="20"/>
          <w:szCs w:val="20"/>
        </w:rPr>
        <w:t xml:space="preserve"> 8</w:t>
      </w:r>
      <w:r w:rsidRPr="00AA3C3C">
        <w:rPr>
          <w:rFonts w:cstheme="minorHAnsi"/>
          <w:bCs/>
          <w:sz w:val="16"/>
          <w:szCs w:val="16"/>
        </w:rPr>
        <w:t xml:space="preserve"> </w:t>
      </w:r>
      <w:r w:rsidRPr="00AA3C3C">
        <w:rPr>
          <w:rFonts w:cstheme="minorHAnsi"/>
          <w:bCs/>
          <w:sz w:val="20"/>
          <w:szCs w:val="20"/>
        </w:rPr>
        <w:t>/</w:t>
      </w:r>
      <w:r w:rsidRPr="00AA3C3C">
        <w:rPr>
          <w:rFonts w:cstheme="minorHAnsi"/>
          <w:bCs/>
          <w:sz w:val="16"/>
          <w:szCs w:val="16"/>
        </w:rPr>
        <w:t xml:space="preserve"> </w:t>
      </w:r>
      <w:r w:rsidRPr="00AA3C3C">
        <w:rPr>
          <w:rFonts w:cstheme="minorHAnsi"/>
          <w:bCs/>
          <w:sz w:val="20"/>
          <w:szCs w:val="20"/>
        </w:rPr>
        <w:t xml:space="preserve">366 = 1 304 433,72 Kč. </w:t>
      </w:r>
    </w:p>
  </w:footnote>
  <w:footnote w:id="44">
    <w:p w14:paraId="77AC09A5" w14:textId="6F4AE663" w:rsidR="00173CDD" w:rsidRPr="00AA3C3C" w:rsidRDefault="00173CDD" w:rsidP="00C21CA0">
      <w:pPr>
        <w:ind w:left="284" w:hanging="284"/>
        <w:rPr>
          <w:rFonts w:cstheme="minorHAnsi"/>
          <w:sz w:val="20"/>
          <w:szCs w:val="20"/>
        </w:rPr>
      </w:pPr>
      <w:r w:rsidRPr="00AA3C3C">
        <w:rPr>
          <w:rStyle w:val="Znakapoznpodarou"/>
          <w:rFonts w:cstheme="minorHAnsi"/>
          <w:sz w:val="20"/>
          <w:szCs w:val="20"/>
        </w:rPr>
        <w:footnoteRef/>
      </w:r>
      <w:r w:rsidRPr="00AA3C3C">
        <w:rPr>
          <w:rFonts w:cstheme="minorHAnsi"/>
          <w:sz w:val="20"/>
          <w:szCs w:val="20"/>
        </w:rPr>
        <w:t xml:space="preserve"> </w:t>
      </w:r>
      <w:r w:rsidRPr="00AA3C3C">
        <w:rPr>
          <w:rFonts w:cstheme="minorHAnsi"/>
          <w:sz w:val="20"/>
          <w:szCs w:val="20"/>
        </w:rPr>
        <w:tab/>
        <w:t>Ustanovení § 14 odst. 5 zákona č. 219/2000 Sb.</w:t>
      </w:r>
    </w:p>
  </w:footnote>
  <w:footnote w:id="45">
    <w:p w14:paraId="22951B6E" w14:textId="277545F9" w:rsidR="00173CDD" w:rsidRPr="00AA3C3C" w:rsidRDefault="00173CDD" w:rsidP="00C21CA0">
      <w:pPr>
        <w:pStyle w:val="Textpoznpodarou"/>
        <w:ind w:left="284" w:hanging="284"/>
        <w:rPr>
          <w:rFonts w:asciiTheme="minorHAnsi" w:hAnsiTheme="minorHAnsi" w:cstheme="minorHAnsi"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AA3C3C">
        <w:rPr>
          <w:rFonts w:asciiTheme="minorHAnsi" w:hAnsiTheme="minorHAnsi" w:cstheme="minorHAnsi"/>
        </w:rPr>
        <w:t xml:space="preserve"> </w:t>
      </w:r>
      <w:r w:rsidRPr="00AA3C3C">
        <w:rPr>
          <w:rFonts w:asciiTheme="minorHAnsi" w:hAnsiTheme="minorHAnsi" w:cstheme="minorHAnsi"/>
        </w:rPr>
        <w:tab/>
        <w:t>Ustanovení § 205d odst. 4 zákona č. 65/1965 Sb.</w:t>
      </w:r>
    </w:p>
  </w:footnote>
  <w:footnote w:id="46">
    <w:p w14:paraId="583B5ABD" w14:textId="590A2B69" w:rsidR="00173CDD" w:rsidRPr="00AA3C3C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AA3C3C">
        <w:rPr>
          <w:rFonts w:asciiTheme="minorHAnsi" w:hAnsiTheme="minorHAnsi" w:cstheme="minorHAnsi"/>
        </w:rPr>
        <w:t xml:space="preserve"> </w:t>
      </w:r>
      <w:r w:rsidRPr="00AA3C3C">
        <w:rPr>
          <w:rFonts w:asciiTheme="minorHAnsi" w:hAnsiTheme="minorHAnsi" w:cstheme="minorHAnsi"/>
        </w:rPr>
        <w:tab/>
        <w:t>Ustanovení § 205d odst. 4 zákona č. 65/1965 Sb.</w:t>
      </w:r>
    </w:p>
  </w:footnote>
  <w:footnote w:id="47">
    <w:p w14:paraId="7814E756" w14:textId="410869E5" w:rsidR="00173CDD" w:rsidRPr="00AA3C3C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AA3C3C">
        <w:rPr>
          <w:rFonts w:asciiTheme="minorHAnsi" w:hAnsiTheme="minorHAnsi" w:cstheme="minorHAnsi"/>
        </w:rPr>
        <w:t xml:space="preserve"> </w:t>
      </w:r>
      <w:r w:rsidRPr="00AA3C3C">
        <w:rPr>
          <w:rFonts w:asciiTheme="minorHAnsi" w:hAnsiTheme="minorHAnsi" w:cstheme="minorHAnsi"/>
        </w:rPr>
        <w:tab/>
        <w:t xml:space="preserve">Ustanovení § 365 odst. 2 zákona č. 262/2006 Sb. </w:t>
      </w:r>
    </w:p>
  </w:footnote>
  <w:footnote w:id="48">
    <w:p w14:paraId="64E17020" w14:textId="7AD34516" w:rsidR="00173CDD" w:rsidRPr="00AA3C3C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AA3C3C">
        <w:rPr>
          <w:rFonts w:asciiTheme="minorHAnsi" w:hAnsiTheme="minorHAnsi" w:cstheme="minorHAnsi"/>
        </w:rPr>
        <w:t xml:space="preserve"> </w:t>
      </w:r>
      <w:r w:rsidRPr="00AA3C3C">
        <w:rPr>
          <w:rFonts w:asciiTheme="minorHAnsi" w:hAnsiTheme="minorHAnsi" w:cstheme="minorHAnsi"/>
        </w:rPr>
        <w:tab/>
        <w:t>Ustanovení § 12 odst. 3 vyhlášky č. 125/1993 Sb.</w:t>
      </w:r>
    </w:p>
  </w:footnote>
  <w:footnote w:id="49">
    <w:p w14:paraId="585DBF56" w14:textId="4625592C" w:rsidR="00173CDD" w:rsidRPr="00AA3C3C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AA3C3C">
        <w:rPr>
          <w:rFonts w:asciiTheme="minorHAnsi" w:hAnsiTheme="minorHAnsi" w:cstheme="minorHAnsi"/>
        </w:rPr>
        <w:t xml:space="preserve"> </w:t>
      </w:r>
      <w:r w:rsidRPr="00AA3C3C">
        <w:rPr>
          <w:rFonts w:asciiTheme="minorHAnsi" w:hAnsiTheme="minorHAnsi" w:cstheme="minorHAnsi"/>
        </w:rPr>
        <w:tab/>
      </w:r>
      <w:r w:rsidRPr="00AA3C3C">
        <w:rPr>
          <w:rFonts w:asciiTheme="minorHAnsi" w:hAnsiTheme="minorHAnsi" w:cstheme="minorHAnsi"/>
          <w:bCs/>
        </w:rPr>
        <w:t>Zákon č. 589/1992 Sb.</w:t>
      </w:r>
    </w:p>
  </w:footnote>
  <w:footnote w:id="50">
    <w:p w14:paraId="1F822375" w14:textId="21DAD164" w:rsidR="00173CDD" w:rsidRPr="00AA3C3C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AA3C3C">
        <w:rPr>
          <w:rFonts w:asciiTheme="minorHAnsi" w:hAnsiTheme="minorHAnsi" w:cstheme="minorHAnsi"/>
        </w:rPr>
        <w:t xml:space="preserve"> </w:t>
      </w:r>
      <w:r w:rsidRPr="00AA3C3C">
        <w:rPr>
          <w:rFonts w:asciiTheme="minorHAnsi" w:hAnsiTheme="minorHAnsi" w:cstheme="minorHAnsi"/>
        </w:rPr>
        <w:tab/>
      </w:r>
      <w:r w:rsidRPr="00AA3C3C">
        <w:rPr>
          <w:rFonts w:asciiTheme="minorHAnsi" w:hAnsiTheme="minorHAnsi" w:cstheme="minorHAnsi"/>
          <w:bCs/>
        </w:rPr>
        <w:t>Ustanovení § 14 vyhlášky č. 125/1993 Sb.</w:t>
      </w:r>
    </w:p>
  </w:footnote>
  <w:footnote w:id="51">
    <w:p w14:paraId="5E96F17B" w14:textId="160E6776" w:rsidR="00173CDD" w:rsidRPr="00FB4E61" w:rsidRDefault="00173CDD" w:rsidP="006D5523">
      <w:pPr>
        <w:pStyle w:val="Nadpis1"/>
        <w:keepNext w:val="0"/>
        <w:shd w:val="clear" w:color="auto" w:fill="FFFFFF"/>
        <w:spacing w:before="0" w:after="0" w:line="240" w:lineRule="auto"/>
        <w:ind w:left="284" w:hanging="284"/>
        <w:jc w:val="both"/>
        <w:rPr>
          <w:rFonts w:cstheme="minorHAnsi"/>
          <w:b w:val="0"/>
          <w:sz w:val="20"/>
          <w:szCs w:val="20"/>
        </w:rPr>
      </w:pPr>
      <w:r w:rsidRPr="00AA3C3C">
        <w:rPr>
          <w:rStyle w:val="Znakapoznpodarou"/>
          <w:rFonts w:cstheme="minorHAnsi"/>
          <w:b w:val="0"/>
          <w:sz w:val="20"/>
          <w:szCs w:val="20"/>
        </w:rPr>
        <w:footnoteRef/>
      </w:r>
      <w:r w:rsidRPr="00AA3C3C">
        <w:rPr>
          <w:rFonts w:cstheme="minorHAnsi"/>
          <w:b w:val="0"/>
          <w:sz w:val="20"/>
          <w:szCs w:val="20"/>
        </w:rPr>
        <w:t xml:space="preserve"> </w:t>
      </w:r>
      <w:r w:rsidRPr="00AA3C3C">
        <w:rPr>
          <w:rFonts w:cstheme="minorHAnsi"/>
          <w:b w:val="0"/>
          <w:sz w:val="20"/>
          <w:szCs w:val="20"/>
        </w:rPr>
        <w:tab/>
        <w:t xml:space="preserve">Tj. Odvětvová klasifikace ekonomických činností; od 1. 1. 2008 byl sazebník OKEČ nahrazen klasifikací </w:t>
      </w:r>
      <w:r>
        <w:rPr>
          <w:rFonts w:cstheme="minorHAnsi"/>
          <w:b w:val="0"/>
          <w:sz w:val="20"/>
          <w:szCs w:val="20"/>
        </w:rPr>
        <w:br/>
      </w:r>
      <w:r w:rsidRPr="00FB4E61">
        <w:rPr>
          <w:rFonts w:cstheme="minorHAnsi"/>
          <w:b w:val="0"/>
          <w:sz w:val="20"/>
          <w:szCs w:val="20"/>
        </w:rPr>
        <w:t>CZ-NACE (Klasifikace ekonomických činností</w:t>
      </w:r>
      <w:r>
        <w:rPr>
          <w:rFonts w:cstheme="minorHAnsi"/>
          <w:b w:val="0"/>
          <w:sz w:val="20"/>
          <w:szCs w:val="20"/>
        </w:rPr>
        <w:t xml:space="preserve"> –</w:t>
      </w:r>
      <w:r w:rsidRPr="00FB4E61">
        <w:rPr>
          <w:rFonts w:cstheme="minorHAnsi"/>
          <w:b w:val="0"/>
          <w:sz w:val="20"/>
          <w:szCs w:val="20"/>
        </w:rPr>
        <w:t xml:space="preserve"> </w:t>
      </w:r>
      <w:proofErr w:type="spellStart"/>
      <w:r w:rsidRPr="00FB4E61">
        <w:rPr>
          <w:rFonts w:cstheme="minorHAnsi"/>
          <w:b w:val="0"/>
          <w:sz w:val="20"/>
          <w:szCs w:val="20"/>
        </w:rPr>
        <w:t>Nomenclature</w:t>
      </w:r>
      <w:proofErr w:type="spellEnd"/>
      <w:r w:rsidRPr="00FB4E61">
        <w:rPr>
          <w:rFonts w:cstheme="minorHAnsi"/>
          <w:b w:val="0"/>
          <w:sz w:val="20"/>
          <w:szCs w:val="20"/>
        </w:rPr>
        <w:t xml:space="preserve"> </w:t>
      </w:r>
      <w:proofErr w:type="spellStart"/>
      <w:r w:rsidRPr="00FB4E61">
        <w:rPr>
          <w:rFonts w:cstheme="minorHAnsi"/>
          <w:b w:val="0"/>
          <w:sz w:val="20"/>
          <w:szCs w:val="20"/>
        </w:rPr>
        <w:t>générale</w:t>
      </w:r>
      <w:proofErr w:type="spellEnd"/>
      <w:r w:rsidRPr="00FB4E61">
        <w:rPr>
          <w:rFonts w:cstheme="minorHAnsi"/>
          <w:b w:val="0"/>
          <w:sz w:val="20"/>
          <w:szCs w:val="20"/>
        </w:rPr>
        <w:t xml:space="preserve"> des </w:t>
      </w:r>
      <w:proofErr w:type="spellStart"/>
      <w:r w:rsidRPr="00FB4E61">
        <w:rPr>
          <w:rFonts w:cstheme="minorHAnsi"/>
          <w:b w:val="0"/>
          <w:sz w:val="20"/>
          <w:szCs w:val="20"/>
        </w:rPr>
        <w:t>Activités</w:t>
      </w:r>
      <w:proofErr w:type="spellEnd"/>
      <w:r w:rsidRPr="00FB4E61">
        <w:rPr>
          <w:rFonts w:cstheme="minorHAnsi"/>
          <w:b w:val="0"/>
          <w:sz w:val="20"/>
          <w:szCs w:val="20"/>
        </w:rPr>
        <w:t xml:space="preserve"> </w:t>
      </w:r>
      <w:proofErr w:type="spellStart"/>
      <w:r w:rsidRPr="00FB4E61">
        <w:rPr>
          <w:rFonts w:cstheme="minorHAnsi"/>
          <w:b w:val="0"/>
          <w:sz w:val="20"/>
          <w:szCs w:val="20"/>
        </w:rPr>
        <w:t>économiques</w:t>
      </w:r>
      <w:proofErr w:type="spellEnd"/>
      <w:r w:rsidRPr="00FB4E61">
        <w:rPr>
          <w:rFonts w:cstheme="minorHAnsi"/>
          <w:b w:val="0"/>
          <w:sz w:val="20"/>
          <w:szCs w:val="20"/>
        </w:rPr>
        <w:t xml:space="preserve"> </w:t>
      </w:r>
      <w:proofErr w:type="spellStart"/>
      <w:r w:rsidRPr="00FB4E61">
        <w:rPr>
          <w:rFonts w:cstheme="minorHAnsi"/>
          <w:b w:val="0"/>
          <w:sz w:val="20"/>
          <w:szCs w:val="20"/>
        </w:rPr>
        <w:t>dans</w:t>
      </w:r>
      <w:proofErr w:type="spellEnd"/>
      <w:r w:rsidRPr="00FB4E61">
        <w:rPr>
          <w:rFonts w:cstheme="minorHAnsi"/>
          <w:b w:val="0"/>
          <w:sz w:val="20"/>
          <w:szCs w:val="20"/>
        </w:rPr>
        <w:t xml:space="preserve"> les </w:t>
      </w:r>
      <w:proofErr w:type="spellStart"/>
      <w:r w:rsidRPr="00FB4E61">
        <w:rPr>
          <w:rFonts w:cstheme="minorHAnsi"/>
          <w:b w:val="0"/>
          <w:sz w:val="20"/>
          <w:szCs w:val="20"/>
        </w:rPr>
        <w:t>Communautés</w:t>
      </w:r>
      <w:proofErr w:type="spellEnd"/>
      <w:r w:rsidRPr="00FB4E61">
        <w:rPr>
          <w:rFonts w:cstheme="minorHAnsi"/>
          <w:b w:val="0"/>
          <w:sz w:val="20"/>
          <w:szCs w:val="20"/>
        </w:rPr>
        <w:t xml:space="preserve"> </w:t>
      </w:r>
      <w:proofErr w:type="spellStart"/>
      <w:r w:rsidRPr="00FB4E61">
        <w:rPr>
          <w:rFonts w:cstheme="minorHAnsi"/>
          <w:b w:val="0"/>
          <w:sz w:val="20"/>
          <w:szCs w:val="20"/>
        </w:rPr>
        <w:t>Européennes</w:t>
      </w:r>
      <w:proofErr w:type="spellEnd"/>
      <w:r w:rsidRPr="00FB4E61">
        <w:rPr>
          <w:rFonts w:cstheme="minorHAnsi"/>
          <w:b w:val="0"/>
          <w:sz w:val="20"/>
          <w:szCs w:val="20"/>
        </w:rPr>
        <w:t>); Český statistický úřad vydal převodníky mezi klasifikací OKEČ a CZ-NACE; příloha č. 2 vyhlášky č. 125/1993 Sb. nebyla v tomto směru novelizována.</w:t>
      </w:r>
    </w:p>
  </w:footnote>
  <w:footnote w:id="52">
    <w:p w14:paraId="5FBADB71" w14:textId="068777C2" w:rsidR="00173CDD" w:rsidRPr="00FB4E61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FB4E61">
        <w:rPr>
          <w:rFonts w:asciiTheme="minorHAnsi" w:hAnsiTheme="minorHAnsi" w:cstheme="minorHAnsi"/>
        </w:rPr>
        <w:t xml:space="preserve"> </w:t>
      </w:r>
      <w:r w:rsidRPr="00FB4E61">
        <w:rPr>
          <w:rFonts w:asciiTheme="minorHAnsi" w:hAnsiTheme="minorHAnsi" w:cstheme="minorHAnsi"/>
        </w:rPr>
        <w:tab/>
        <w:t>Ustanovení § 12 odst. 3 vyhlášky č. 125/1993 Sb.</w:t>
      </w:r>
    </w:p>
  </w:footnote>
  <w:footnote w:id="53">
    <w:p w14:paraId="1E815D23" w14:textId="1609F9B0" w:rsidR="00173CDD" w:rsidRPr="00FB4E61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FB4E61">
        <w:rPr>
          <w:rFonts w:asciiTheme="minorHAnsi" w:hAnsiTheme="minorHAnsi" w:cstheme="minorHAnsi"/>
        </w:rPr>
        <w:t xml:space="preserve"> </w:t>
      </w:r>
      <w:r w:rsidRPr="00FB4E61">
        <w:rPr>
          <w:rFonts w:asciiTheme="minorHAnsi" w:hAnsiTheme="minorHAnsi" w:cstheme="minorHAnsi"/>
        </w:rPr>
        <w:tab/>
        <w:t>Ustanovení § 14 vyhlášky č. 125/1993 Sb.</w:t>
      </w:r>
    </w:p>
  </w:footnote>
  <w:footnote w:id="54">
    <w:p w14:paraId="63DECE72" w14:textId="5A0B744E" w:rsidR="00173CDD" w:rsidRPr="00FB4E61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FB4E61">
        <w:rPr>
          <w:rFonts w:asciiTheme="minorHAnsi" w:hAnsiTheme="minorHAnsi" w:cstheme="minorHAnsi"/>
        </w:rPr>
        <w:t xml:space="preserve"> </w:t>
      </w:r>
      <w:r w:rsidRPr="00FB4E61">
        <w:rPr>
          <w:rFonts w:asciiTheme="minorHAnsi" w:hAnsiTheme="minorHAnsi" w:cstheme="minorHAnsi"/>
        </w:rPr>
        <w:tab/>
        <w:t xml:space="preserve">Ustanovení § 12 odst. 2 vyhlášky č. 125/1993 Sb. </w:t>
      </w:r>
      <w:r>
        <w:rPr>
          <w:rFonts w:asciiTheme="minorHAnsi" w:hAnsiTheme="minorHAnsi" w:cstheme="minorHAnsi"/>
        </w:rPr>
        <w:t xml:space="preserve">a </w:t>
      </w:r>
      <w:r w:rsidRPr="00FB4E61">
        <w:rPr>
          <w:rFonts w:asciiTheme="minorHAnsi" w:hAnsiTheme="minorHAnsi" w:cstheme="minorHAnsi"/>
        </w:rPr>
        <w:t>příloha č. 2 vyhlášky č. 125/1993 Sb.</w:t>
      </w:r>
    </w:p>
  </w:footnote>
  <w:footnote w:id="55">
    <w:p w14:paraId="75A2D73C" w14:textId="37C1510F" w:rsidR="00173CDD" w:rsidRPr="00FB4E61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FB4E61">
        <w:rPr>
          <w:rFonts w:asciiTheme="minorHAnsi" w:hAnsiTheme="minorHAnsi" w:cstheme="minorHAnsi"/>
        </w:rPr>
        <w:t xml:space="preserve"> </w:t>
      </w:r>
      <w:r w:rsidRPr="00FB4E61">
        <w:rPr>
          <w:rFonts w:asciiTheme="minorHAnsi" w:hAnsiTheme="minorHAnsi" w:cstheme="minorHAnsi"/>
        </w:rPr>
        <w:tab/>
        <w:t xml:space="preserve">Způsob určení převažující činnosti není legislativně nastaven. </w:t>
      </w:r>
    </w:p>
  </w:footnote>
  <w:footnote w:id="56">
    <w:p w14:paraId="03280140" w14:textId="0479B3E0" w:rsidR="00173CDD" w:rsidRPr="00FB4E61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FB4E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B4E61">
        <w:rPr>
          <w:rFonts w:asciiTheme="minorHAnsi" w:hAnsiTheme="minorHAnsi" w:cstheme="minorHAnsi"/>
        </w:rPr>
        <w:t>Ustanovení § 12 odst. 9 vyhlášky č. 125/1993 Sb.</w:t>
      </w:r>
    </w:p>
  </w:footnote>
  <w:footnote w:id="57">
    <w:p w14:paraId="30C4AFD2" w14:textId="7679ED25" w:rsidR="00173CDD" w:rsidRPr="00FB4E61" w:rsidRDefault="00173CDD" w:rsidP="00D406F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FB4E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B4E61">
        <w:rPr>
          <w:rFonts w:asciiTheme="minorHAnsi" w:hAnsiTheme="minorHAnsi" w:cstheme="minorHAnsi"/>
        </w:rPr>
        <w:t>Ustanovení § 12 odst. 3 vyhlášky č. 125/1993 Sb.</w:t>
      </w:r>
    </w:p>
  </w:footnote>
  <w:footnote w:id="58">
    <w:p w14:paraId="7740E873" w14:textId="77777777" w:rsidR="00173CDD" w:rsidRPr="00CD51A0" w:rsidRDefault="00173CDD" w:rsidP="001E0023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CD51A0">
        <w:rPr>
          <w:rStyle w:val="Znakapoznpodarou"/>
          <w:rFonts w:asciiTheme="minorHAnsi" w:eastAsiaTheme="majorEastAsia" w:hAnsiTheme="minorHAnsi" w:cstheme="minorHAnsi"/>
        </w:rPr>
        <w:footnoteRef/>
      </w:r>
      <w:r w:rsidRPr="00CD51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D51A0">
        <w:rPr>
          <w:rFonts w:asciiTheme="minorHAnsi" w:hAnsiTheme="minorHAnsi" w:cstheme="minorHAnsi"/>
        </w:rPr>
        <w:t>Ustanovení § 12 odst. 9 vyhlášky č. 125/1993 Sb.</w:t>
      </w:r>
    </w:p>
  </w:footnote>
  <w:footnote w:id="59">
    <w:p w14:paraId="02B74F7D" w14:textId="77777777" w:rsidR="00173CDD" w:rsidRPr="006C1D23" w:rsidRDefault="00173CDD" w:rsidP="00896047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6C1D23">
        <w:rPr>
          <w:rStyle w:val="Znakapoznpodarou"/>
          <w:rFonts w:asciiTheme="minorHAnsi" w:eastAsiaTheme="majorEastAsia" w:hAnsiTheme="minorHAnsi" w:cstheme="minorHAnsi"/>
        </w:rPr>
        <w:footnoteRef/>
      </w:r>
      <w:r w:rsidRPr="006C1D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C1D23">
        <w:rPr>
          <w:rFonts w:asciiTheme="minorHAnsi" w:hAnsiTheme="minorHAnsi" w:cstheme="minorHAnsi"/>
        </w:rPr>
        <w:t>Ustanovení § 12 odst. 9 vyhlášky č. 125/1993 Sb.</w:t>
      </w:r>
    </w:p>
  </w:footnote>
  <w:footnote w:id="60">
    <w:p w14:paraId="55F255C8" w14:textId="5B8CCC26" w:rsidR="00173CDD" w:rsidRPr="00FB4E61" w:rsidRDefault="00173CDD" w:rsidP="002C7F6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FB4E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B4E61">
        <w:rPr>
          <w:rFonts w:asciiTheme="minorHAnsi" w:hAnsiTheme="minorHAnsi" w:cstheme="minorHAnsi"/>
        </w:rPr>
        <w:t>Zákon č. 262/2006 Sb.</w:t>
      </w:r>
    </w:p>
  </w:footnote>
  <w:footnote w:id="61">
    <w:p w14:paraId="4CD1B01F" w14:textId="4380AA44" w:rsidR="00173CDD" w:rsidRPr="00FB4E61" w:rsidRDefault="00173CDD" w:rsidP="002C7F68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FB4E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B4E61">
        <w:rPr>
          <w:rFonts w:asciiTheme="minorHAnsi" w:hAnsiTheme="minorHAnsi" w:cstheme="minorHAnsi"/>
        </w:rPr>
        <w:t>Ustanovení § 14 vyhlášky č. 125/1993 Sb.</w:t>
      </w:r>
    </w:p>
  </w:footnote>
  <w:footnote w:id="62">
    <w:p w14:paraId="235E86A1" w14:textId="22D28D79" w:rsidR="00173CDD" w:rsidRPr="00FB4E61" w:rsidRDefault="00173CDD" w:rsidP="002C7F6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B4E61">
        <w:rPr>
          <w:rStyle w:val="Znakapoznpodarou"/>
          <w:rFonts w:asciiTheme="minorHAnsi" w:hAnsiTheme="minorHAnsi" w:cstheme="minorHAnsi"/>
        </w:rPr>
        <w:footnoteRef/>
      </w:r>
      <w:r w:rsidRPr="00FB4E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B4E61">
        <w:rPr>
          <w:rFonts w:asciiTheme="minorHAnsi" w:hAnsiTheme="minorHAnsi" w:cstheme="minorHAnsi"/>
        </w:rPr>
        <w:t xml:space="preserve">Ustanovení § 269 </w:t>
      </w:r>
      <w:r>
        <w:rPr>
          <w:rFonts w:asciiTheme="minorHAnsi" w:hAnsiTheme="minorHAnsi" w:cstheme="minorHAnsi"/>
        </w:rPr>
        <w:t>až</w:t>
      </w:r>
      <w:r w:rsidRPr="00FB4E61">
        <w:rPr>
          <w:rFonts w:asciiTheme="minorHAnsi" w:hAnsiTheme="minorHAnsi" w:cstheme="minorHAnsi"/>
        </w:rPr>
        <w:t xml:space="preserve"> 271u zákona č. 262/2006 Sb.</w:t>
      </w:r>
    </w:p>
  </w:footnote>
  <w:footnote w:id="63">
    <w:p w14:paraId="7C5FA181" w14:textId="32587899" w:rsidR="00173CDD" w:rsidRPr="00A356F2" w:rsidRDefault="00173CDD" w:rsidP="002C7F68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356F2">
        <w:rPr>
          <w:rFonts w:asciiTheme="minorHAnsi" w:hAnsiTheme="minorHAnsi" w:cstheme="minorHAnsi"/>
        </w:rPr>
        <w:t>Ustanovení § 2 vyhlášky č. 125/1993 Sb.</w:t>
      </w:r>
    </w:p>
  </w:footnote>
  <w:footnote w:id="64">
    <w:p w14:paraId="7BC3DBF4" w14:textId="071760EC" w:rsidR="00173CDD" w:rsidRPr="00A356F2" w:rsidRDefault="00173CDD" w:rsidP="002C7F68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356F2">
        <w:rPr>
          <w:rFonts w:asciiTheme="minorHAnsi" w:hAnsiTheme="minorHAnsi" w:cstheme="minorHAnsi"/>
        </w:rPr>
        <w:t>Ustanovení § 5 odst. 2 vyhlášky č. 125/1993 Sb.</w:t>
      </w:r>
    </w:p>
  </w:footnote>
  <w:footnote w:id="65">
    <w:p w14:paraId="23DA16DB" w14:textId="26EE0152" w:rsidR="00173CDD" w:rsidRPr="00A356F2" w:rsidRDefault="00173CDD" w:rsidP="002C7F68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356F2">
        <w:rPr>
          <w:rFonts w:asciiTheme="minorHAnsi" w:hAnsiTheme="minorHAnsi" w:cstheme="minorHAnsi"/>
        </w:rPr>
        <w:t>Ustanovení § 3 vyhlášky č. 125/1993 Sb.</w:t>
      </w:r>
    </w:p>
  </w:footnote>
  <w:footnote w:id="66">
    <w:p w14:paraId="00AB82BD" w14:textId="13B57A7D" w:rsidR="00173CDD" w:rsidRPr="00A356F2" w:rsidRDefault="00173CDD" w:rsidP="002C7F68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356F2">
        <w:rPr>
          <w:rFonts w:asciiTheme="minorHAnsi" w:hAnsiTheme="minorHAnsi" w:cstheme="minorHAnsi"/>
        </w:rPr>
        <w:t>Ustanovení § 6 vyhlášky č. 125/1993 Sb.</w:t>
      </w:r>
    </w:p>
  </w:footnote>
  <w:footnote w:id="67">
    <w:p w14:paraId="4EC34275" w14:textId="3428BCC4" w:rsidR="00173CDD" w:rsidRPr="00A356F2" w:rsidRDefault="00173CDD" w:rsidP="002C7F68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356F2">
        <w:rPr>
          <w:rFonts w:asciiTheme="minorHAnsi" w:hAnsiTheme="minorHAnsi" w:cstheme="minorHAnsi"/>
        </w:rPr>
        <w:t>Ustanovení § 5 odst. 1 vyhlášky č. 125/1993 Sb.</w:t>
      </w:r>
    </w:p>
  </w:footnote>
  <w:footnote w:id="68">
    <w:p w14:paraId="33D96C61" w14:textId="19DE7D41" w:rsidR="00173CDD" w:rsidRPr="00A356F2" w:rsidRDefault="00173CDD" w:rsidP="002C7F68">
      <w:pPr>
        <w:pStyle w:val="Textpoznpodarou"/>
        <w:ind w:left="284" w:hanging="284"/>
        <w:jc w:val="both"/>
        <w:rPr>
          <w:rFonts w:asciiTheme="minorHAnsi" w:hAnsiTheme="minorHAnsi" w:cstheme="minorHAnsi"/>
          <w:bCs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356F2">
        <w:rPr>
          <w:rFonts w:asciiTheme="minorHAnsi" w:hAnsiTheme="minorHAnsi" w:cstheme="minorHAnsi"/>
        </w:rPr>
        <w:t>Ustanovení § 9 odst. 2 vyhlášky č. 125/1993 Sb.</w:t>
      </w:r>
    </w:p>
  </w:footnote>
  <w:footnote w:id="69">
    <w:p w14:paraId="4773AF72" w14:textId="31AA8598" w:rsidR="00173CDD" w:rsidRPr="00A356F2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 w:rsidRPr="00A356F2">
        <w:rPr>
          <w:rFonts w:asciiTheme="minorHAnsi" w:hAnsiTheme="minorHAnsi" w:cstheme="minorHAnsi"/>
        </w:rPr>
        <w:tab/>
        <w:t>Podle článku 14 odst. 1 a 2 nařízení Rady (ES) č. 659/1999, kterým se stanoví prováděcí pravidla k článku 93 Smlouvy o ES.</w:t>
      </w:r>
    </w:p>
  </w:footnote>
  <w:footnote w:id="70">
    <w:p w14:paraId="54FBD6E9" w14:textId="53646148" w:rsidR="00173CDD" w:rsidRPr="00A356F2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 w:rsidRPr="00A356F2">
        <w:rPr>
          <w:rFonts w:asciiTheme="minorHAnsi" w:hAnsiTheme="minorHAnsi" w:cstheme="minorHAnsi"/>
        </w:rPr>
        <w:tab/>
        <w:t>Článek 1 písm. c) nařízení Rady (ES) č. 659/1999, kterým se stanoví prováděcí pravidla k článku 93 Smlouvy o</w:t>
      </w:r>
      <w:r>
        <w:rPr>
          <w:rFonts w:asciiTheme="minorHAnsi" w:hAnsiTheme="minorHAnsi" w:cstheme="minorHAnsi"/>
        </w:rPr>
        <w:t> </w:t>
      </w:r>
      <w:r w:rsidRPr="00A356F2">
        <w:rPr>
          <w:rFonts w:asciiTheme="minorHAnsi" w:hAnsiTheme="minorHAnsi" w:cstheme="minorHAnsi"/>
        </w:rPr>
        <w:t>ES.</w:t>
      </w:r>
    </w:p>
  </w:footnote>
  <w:footnote w:id="71">
    <w:p w14:paraId="5C708E78" w14:textId="4CF4DD06" w:rsidR="00173CDD" w:rsidRPr="00A356F2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 w:rsidRPr="00A356F2">
        <w:rPr>
          <w:rFonts w:asciiTheme="minorHAnsi" w:hAnsiTheme="minorHAnsi" w:cstheme="minorHAnsi"/>
        </w:rPr>
        <w:tab/>
        <w:t>Článek 4 odst. 1 a 2 písm. c) nařízení Komise (ES) č. 794/2004, kterým se provádí nařízení Rady (ES) č.</w:t>
      </w:r>
      <w:r>
        <w:rPr>
          <w:rFonts w:asciiTheme="minorHAnsi" w:hAnsiTheme="minorHAnsi" w:cstheme="minorHAnsi"/>
        </w:rPr>
        <w:t> </w:t>
      </w:r>
      <w:r w:rsidRPr="00A356F2">
        <w:rPr>
          <w:rFonts w:asciiTheme="minorHAnsi" w:hAnsiTheme="minorHAnsi" w:cstheme="minorHAnsi"/>
        </w:rPr>
        <w:t>659/1999, kterým se stanoví prováděcí pravidla k článku 93 Smlouvy o ES.</w:t>
      </w:r>
    </w:p>
  </w:footnote>
  <w:footnote w:id="72">
    <w:p w14:paraId="65168C06" w14:textId="44DF742F" w:rsidR="00173CDD" w:rsidRPr="00A356F2" w:rsidRDefault="00173CDD" w:rsidP="00C21CA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56F2">
        <w:rPr>
          <w:rStyle w:val="Znakapoznpodarou"/>
          <w:rFonts w:asciiTheme="minorHAnsi" w:hAnsiTheme="minorHAnsi" w:cstheme="minorHAnsi"/>
        </w:rPr>
        <w:footnoteRef/>
      </w:r>
      <w:r w:rsidRPr="00A356F2">
        <w:rPr>
          <w:rFonts w:asciiTheme="minorHAnsi" w:hAnsiTheme="minorHAnsi" w:cstheme="minorHAnsi"/>
        </w:rPr>
        <w:t xml:space="preserve"> </w:t>
      </w:r>
      <w:r w:rsidRPr="00A356F2">
        <w:rPr>
          <w:rFonts w:asciiTheme="minorHAnsi" w:hAnsiTheme="minorHAnsi" w:cstheme="minorHAnsi"/>
        </w:rPr>
        <w:tab/>
        <w:t>Ustanovení § 4 odst. 4 zákona č. 215/2004 Sb., o úpravě některých vztahů v oblasti veřejné podpory a o změně zákona o podpoře výzkumu a</w:t>
      </w:r>
      <w:r w:rsidR="0059078A">
        <w:rPr>
          <w:rFonts w:asciiTheme="minorHAnsi" w:hAnsiTheme="minorHAnsi" w:cstheme="minorHAnsi"/>
        </w:rPr>
        <w:t xml:space="preserve"> </w:t>
      </w:r>
      <w:r w:rsidRPr="00A356F2">
        <w:rPr>
          <w:rFonts w:asciiTheme="minorHAnsi" w:hAnsiTheme="minorHAnsi" w:cstheme="minorHAnsi"/>
        </w:rPr>
        <w:t>vývoje.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41B"/>
    <w:multiLevelType w:val="hybridMultilevel"/>
    <w:tmpl w:val="9A3C741A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055BD5"/>
    <w:multiLevelType w:val="hybridMultilevel"/>
    <w:tmpl w:val="83FE5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499"/>
    <w:multiLevelType w:val="hybridMultilevel"/>
    <w:tmpl w:val="016C0386"/>
    <w:lvl w:ilvl="0" w:tplc="7FDEE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5E9A"/>
    <w:multiLevelType w:val="hybridMultilevel"/>
    <w:tmpl w:val="1FBA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C2299"/>
    <w:multiLevelType w:val="hybridMultilevel"/>
    <w:tmpl w:val="DECA6CC2"/>
    <w:lvl w:ilvl="0" w:tplc="7FDEE8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D322D"/>
    <w:multiLevelType w:val="hybridMultilevel"/>
    <w:tmpl w:val="03BA54C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05EAC"/>
    <w:multiLevelType w:val="hybridMultilevel"/>
    <w:tmpl w:val="7D083E4E"/>
    <w:lvl w:ilvl="0" w:tplc="7E3683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A1550"/>
    <w:multiLevelType w:val="hybridMultilevel"/>
    <w:tmpl w:val="6DE43844"/>
    <w:lvl w:ilvl="0" w:tplc="3774B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A94D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AB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66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C1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48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AA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64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22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33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8E5D28"/>
    <w:multiLevelType w:val="hybridMultilevel"/>
    <w:tmpl w:val="A05EA18C"/>
    <w:lvl w:ilvl="0" w:tplc="BEC6637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54FFC"/>
    <w:multiLevelType w:val="hybridMultilevel"/>
    <w:tmpl w:val="3FEA43E4"/>
    <w:lvl w:ilvl="0" w:tplc="7FDEE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4312F"/>
    <w:multiLevelType w:val="hybridMultilevel"/>
    <w:tmpl w:val="5666F3FA"/>
    <w:lvl w:ilvl="0" w:tplc="4D08A26E">
      <w:start w:val="1"/>
      <w:numFmt w:val="upperLetter"/>
      <w:lvlText w:val="%1."/>
      <w:lvlJc w:val="left"/>
      <w:pPr>
        <w:ind w:left="720" w:hanging="360"/>
      </w:pPr>
    </w:lvl>
    <w:lvl w:ilvl="1" w:tplc="D22A4FF4">
      <w:start w:val="1"/>
      <w:numFmt w:val="lowerLetter"/>
      <w:lvlText w:val="%2."/>
      <w:lvlJc w:val="left"/>
      <w:pPr>
        <w:ind w:left="1440" w:hanging="360"/>
      </w:pPr>
    </w:lvl>
    <w:lvl w:ilvl="2" w:tplc="D1E49D82">
      <w:start w:val="1"/>
      <w:numFmt w:val="lowerRoman"/>
      <w:lvlText w:val="%3."/>
      <w:lvlJc w:val="right"/>
      <w:pPr>
        <w:ind w:left="2160" w:hanging="180"/>
      </w:pPr>
    </w:lvl>
    <w:lvl w:ilvl="3" w:tplc="0A4EB494">
      <w:start w:val="1"/>
      <w:numFmt w:val="decimal"/>
      <w:lvlText w:val="%4."/>
      <w:lvlJc w:val="left"/>
      <w:pPr>
        <w:ind w:left="2880" w:hanging="360"/>
      </w:pPr>
    </w:lvl>
    <w:lvl w:ilvl="4" w:tplc="131C7936">
      <w:start w:val="1"/>
      <w:numFmt w:val="lowerLetter"/>
      <w:lvlText w:val="%5."/>
      <w:lvlJc w:val="left"/>
      <w:pPr>
        <w:ind w:left="3600" w:hanging="360"/>
      </w:pPr>
    </w:lvl>
    <w:lvl w:ilvl="5" w:tplc="7AFCBB34">
      <w:start w:val="1"/>
      <w:numFmt w:val="lowerRoman"/>
      <w:lvlText w:val="%6."/>
      <w:lvlJc w:val="right"/>
      <w:pPr>
        <w:ind w:left="4320" w:hanging="180"/>
      </w:pPr>
    </w:lvl>
    <w:lvl w:ilvl="6" w:tplc="5854005A">
      <w:start w:val="1"/>
      <w:numFmt w:val="decimal"/>
      <w:lvlText w:val="%7."/>
      <w:lvlJc w:val="left"/>
      <w:pPr>
        <w:ind w:left="5040" w:hanging="360"/>
      </w:pPr>
    </w:lvl>
    <w:lvl w:ilvl="7" w:tplc="C42E9C6A">
      <w:start w:val="1"/>
      <w:numFmt w:val="lowerLetter"/>
      <w:lvlText w:val="%8."/>
      <w:lvlJc w:val="left"/>
      <w:pPr>
        <w:ind w:left="5760" w:hanging="360"/>
      </w:pPr>
    </w:lvl>
    <w:lvl w:ilvl="8" w:tplc="09DA3D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673DA"/>
    <w:multiLevelType w:val="hybridMultilevel"/>
    <w:tmpl w:val="69F07D3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B779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E05BA8"/>
    <w:multiLevelType w:val="hybridMultilevel"/>
    <w:tmpl w:val="2044362C"/>
    <w:lvl w:ilvl="0" w:tplc="E4B48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52D82"/>
    <w:multiLevelType w:val="hybridMultilevel"/>
    <w:tmpl w:val="CD5279CA"/>
    <w:lvl w:ilvl="0" w:tplc="AD3C6778">
      <w:start w:val="1"/>
      <w:numFmt w:val="upperRoman"/>
      <w:suff w:val="space"/>
      <w:lvlText w:val="%1."/>
      <w:lvlJc w:val="right"/>
      <w:pPr>
        <w:ind w:left="624" w:hanging="264"/>
      </w:pPr>
      <w:rPr>
        <w:rFonts w:hint="default"/>
      </w:rPr>
    </w:lvl>
    <w:lvl w:ilvl="1" w:tplc="E4B48E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4A69DBC" w:tentative="1">
      <w:start w:val="1"/>
      <w:numFmt w:val="lowerRoman"/>
      <w:lvlText w:val="%3."/>
      <w:lvlJc w:val="right"/>
      <w:pPr>
        <w:ind w:left="2160" w:hanging="180"/>
      </w:pPr>
    </w:lvl>
    <w:lvl w:ilvl="3" w:tplc="B72A7498" w:tentative="1">
      <w:start w:val="1"/>
      <w:numFmt w:val="decimal"/>
      <w:lvlText w:val="%4."/>
      <w:lvlJc w:val="left"/>
      <w:pPr>
        <w:ind w:left="2880" w:hanging="360"/>
      </w:pPr>
    </w:lvl>
    <w:lvl w:ilvl="4" w:tplc="90FA4296" w:tentative="1">
      <w:start w:val="1"/>
      <w:numFmt w:val="lowerLetter"/>
      <w:lvlText w:val="%5."/>
      <w:lvlJc w:val="left"/>
      <w:pPr>
        <w:ind w:left="3600" w:hanging="360"/>
      </w:pPr>
    </w:lvl>
    <w:lvl w:ilvl="5" w:tplc="0090F8B8" w:tentative="1">
      <w:start w:val="1"/>
      <w:numFmt w:val="lowerRoman"/>
      <w:lvlText w:val="%6."/>
      <w:lvlJc w:val="right"/>
      <w:pPr>
        <w:ind w:left="4320" w:hanging="180"/>
      </w:pPr>
    </w:lvl>
    <w:lvl w:ilvl="6" w:tplc="519E753E" w:tentative="1">
      <w:start w:val="1"/>
      <w:numFmt w:val="decimal"/>
      <w:lvlText w:val="%7."/>
      <w:lvlJc w:val="left"/>
      <w:pPr>
        <w:ind w:left="5040" w:hanging="360"/>
      </w:pPr>
    </w:lvl>
    <w:lvl w:ilvl="7" w:tplc="514890EC" w:tentative="1">
      <w:start w:val="1"/>
      <w:numFmt w:val="lowerLetter"/>
      <w:lvlText w:val="%8."/>
      <w:lvlJc w:val="left"/>
      <w:pPr>
        <w:ind w:left="5760" w:hanging="360"/>
      </w:pPr>
    </w:lvl>
    <w:lvl w:ilvl="8" w:tplc="3EEA2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31F"/>
    <w:multiLevelType w:val="hybridMultilevel"/>
    <w:tmpl w:val="840655A6"/>
    <w:lvl w:ilvl="0" w:tplc="E4B48E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136E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313C39"/>
    <w:multiLevelType w:val="hybridMultilevel"/>
    <w:tmpl w:val="3FEA43E4"/>
    <w:lvl w:ilvl="0" w:tplc="7FDEE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6248A"/>
    <w:multiLevelType w:val="hybridMultilevel"/>
    <w:tmpl w:val="E34EA5CE"/>
    <w:lvl w:ilvl="0" w:tplc="E4B48E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813B66"/>
    <w:multiLevelType w:val="hybridMultilevel"/>
    <w:tmpl w:val="C99E5120"/>
    <w:lvl w:ilvl="0" w:tplc="A5AC4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FB50A5"/>
    <w:multiLevelType w:val="hybridMultilevel"/>
    <w:tmpl w:val="2218634A"/>
    <w:lvl w:ilvl="0" w:tplc="E4B48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66EE9"/>
    <w:multiLevelType w:val="hybridMultilevel"/>
    <w:tmpl w:val="3F9800C6"/>
    <w:lvl w:ilvl="0" w:tplc="E4B48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15529"/>
    <w:multiLevelType w:val="hybridMultilevel"/>
    <w:tmpl w:val="56B6FF94"/>
    <w:lvl w:ilvl="0" w:tplc="E4B48ECC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60AF61FA"/>
    <w:multiLevelType w:val="hybridMultilevel"/>
    <w:tmpl w:val="F6A60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E5D99"/>
    <w:multiLevelType w:val="hybridMultilevel"/>
    <w:tmpl w:val="143E0FC8"/>
    <w:lvl w:ilvl="0" w:tplc="04050019">
      <w:start w:val="1"/>
      <w:numFmt w:val="lowerLetter"/>
      <w:lvlText w:val="%1."/>
      <w:lvlJc w:val="left"/>
      <w:pPr>
        <w:ind w:left="42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61362BAF"/>
    <w:multiLevelType w:val="hybridMultilevel"/>
    <w:tmpl w:val="4A700282"/>
    <w:lvl w:ilvl="0" w:tplc="E4B48E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4771D"/>
    <w:multiLevelType w:val="hybridMultilevel"/>
    <w:tmpl w:val="D1E84774"/>
    <w:lvl w:ilvl="0" w:tplc="04050019">
      <w:start w:val="1"/>
      <w:numFmt w:val="lowerLetter"/>
      <w:lvlText w:val="%1."/>
      <w:lvlJc w:val="left"/>
      <w:pPr>
        <w:ind w:left="42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B975A11"/>
    <w:multiLevelType w:val="hybridMultilevel"/>
    <w:tmpl w:val="ED28C29E"/>
    <w:lvl w:ilvl="0" w:tplc="7FDEE8E4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E4F23A1"/>
    <w:multiLevelType w:val="hybridMultilevel"/>
    <w:tmpl w:val="B87E3CC8"/>
    <w:lvl w:ilvl="0" w:tplc="E4B48E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9620D"/>
    <w:multiLevelType w:val="hybridMultilevel"/>
    <w:tmpl w:val="8CE4A876"/>
    <w:lvl w:ilvl="0" w:tplc="E4B48E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592E20"/>
    <w:multiLevelType w:val="hybridMultilevel"/>
    <w:tmpl w:val="776A9E04"/>
    <w:lvl w:ilvl="0" w:tplc="7FDEE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01FA8"/>
    <w:multiLevelType w:val="hybridMultilevel"/>
    <w:tmpl w:val="32344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3538C"/>
    <w:multiLevelType w:val="hybridMultilevel"/>
    <w:tmpl w:val="01706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0"/>
  </w:num>
  <w:num w:numId="5">
    <w:abstractNumId w:val="33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2"/>
  </w:num>
  <w:num w:numId="10">
    <w:abstractNumId w:val="1"/>
  </w:num>
  <w:num w:numId="11">
    <w:abstractNumId w:val="21"/>
  </w:num>
  <w:num w:numId="12">
    <w:abstractNumId w:val="16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"/>
  </w:num>
  <w:num w:numId="18">
    <w:abstractNumId w:val="23"/>
  </w:num>
  <w:num w:numId="19">
    <w:abstractNumId w:val="24"/>
  </w:num>
  <w:num w:numId="20">
    <w:abstractNumId w:val="12"/>
  </w:num>
  <w:num w:numId="21">
    <w:abstractNumId w:val="26"/>
  </w:num>
  <w:num w:numId="22">
    <w:abstractNumId w:val="29"/>
  </w:num>
  <w:num w:numId="23">
    <w:abstractNumId w:val="0"/>
  </w:num>
  <w:num w:numId="24">
    <w:abstractNumId w:val="13"/>
  </w:num>
  <w:num w:numId="25">
    <w:abstractNumId w:val="17"/>
  </w:num>
  <w:num w:numId="26">
    <w:abstractNumId w:val="8"/>
  </w:num>
  <w:num w:numId="27">
    <w:abstractNumId w:val="25"/>
  </w:num>
  <w:num w:numId="28">
    <w:abstractNumId w:val="27"/>
  </w:num>
  <w:num w:numId="29">
    <w:abstractNumId w:val="2"/>
  </w:num>
  <w:num w:numId="30">
    <w:abstractNumId w:val="31"/>
  </w:num>
  <w:num w:numId="31">
    <w:abstractNumId w:val="18"/>
  </w:num>
  <w:num w:numId="32">
    <w:abstractNumId w:val="4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F"/>
    <w:rsid w:val="000000FE"/>
    <w:rsid w:val="00003A3D"/>
    <w:rsid w:val="0001360E"/>
    <w:rsid w:val="0002134C"/>
    <w:rsid w:val="000260F4"/>
    <w:rsid w:val="00034117"/>
    <w:rsid w:val="000362E8"/>
    <w:rsid w:val="0004215E"/>
    <w:rsid w:val="00043FCF"/>
    <w:rsid w:val="000474E2"/>
    <w:rsid w:val="00071AF8"/>
    <w:rsid w:val="000760FD"/>
    <w:rsid w:val="00077072"/>
    <w:rsid w:val="00087C0C"/>
    <w:rsid w:val="0009128E"/>
    <w:rsid w:val="000937A1"/>
    <w:rsid w:val="00093C1E"/>
    <w:rsid w:val="000A178D"/>
    <w:rsid w:val="000A2ADA"/>
    <w:rsid w:val="000A2C86"/>
    <w:rsid w:val="000A4105"/>
    <w:rsid w:val="000A772D"/>
    <w:rsid w:val="000B48AC"/>
    <w:rsid w:val="000C0256"/>
    <w:rsid w:val="000D57A2"/>
    <w:rsid w:val="000E1B97"/>
    <w:rsid w:val="000E2F8B"/>
    <w:rsid w:val="000E61CD"/>
    <w:rsid w:val="000E64D6"/>
    <w:rsid w:val="000F24EE"/>
    <w:rsid w:val="000F6D2B"/>
    <w:rsid w:val="001048AC"/>
    <w:rsid w:val="0010791B"/>
    <w:rsid w:val="001162AE"/>
    <w:rsid w:val="00116785"/>
    <w:rsid w:val="00116BAD"/>
    <w:rsid w:val="0012300F"/>
    <w:rsid w:val="00125A1F"/>
    <w:rsid w:val="00130135"/>
    <w:rsid w:val="00133812"/>
    <w:rsid w:val="00137F9F"/>
    <w:rsid w:val="00142A7C"/>
    <w:rsid w:val="0014563E"/>
    <w:rsid w:val="00145AE8"/>
    <w:rsid w:val="0015155C"/>
    <w:rsid w:val="00161FAB"/>
    <w:rsid w:val="00162B90"/>
    <w:rsid w:val="0016303E"/>
    <w:rsid w:val="001631E9"/>
    <w:rsid w:val="001635E1"/>
    <w:rsid w:val="00164FF3"/>
    <w:rsid w:val="0016602D"/>
    <w:rsid w:val="00167C2B"/>
    <w:rsid w:val="00170514"/>
    <w:rsid w:val="00171C16"/>
    <w:rsid w:val="00173CDD"/>
    <w:rsid w:val="00174CC2"/>
    <w:rsid w:val="00176475"/>
    <w:rsid w:val="001830EF"/>
    <w:rsid w:val="00185502"/>
    <w:rsid w:val="001904AC"/>
    <w:rsid w:val="00190B99"/>
    <w:rsid w:val="00194EA4"/>
    <w:rsid w:val="00195434"/>
    <w:rsid w:val="001A0EC8"/>
    <w:rsid w:val="001A1038"/>
    <w:rsid w:val="001A1BB2"/>
    <w:rsid w:val="001A521B"/>
    <w:rsid w:val="001B311E"/>
    <w:rsid w:val="001B5A50"/>
    <w:rsid w:val="001B66B3"/>
    <w:rsid w:val="001B765C"/>
    <w:rsid w:val="001C0853"/>
    <w:rsid w:val="001C0B30"/>
    <w:rsid w:val="001C0C4E"/>
    <w:rsid w:val="001C23AF"/>
    <w:rsid w:val="001C5FBE"/>
    <w:rsid w:val="001C62AF"/>
    <w:rsid w:val="001D15B8"/>
    <w:rsid w:val="001D2762"/>
    <w:rsid w:val="001D74A8"/>
    <w:rsid w:val="001E0023"/>
    <w:rsid w:val="001E108C"/>
    <w:rsid w:val="001E1E98"/>
    <w:rsid w:val="001E5C91"/>
    <w:rsid w:val="001F7DA8"/>
    <w:rsid w:val="002019CC"/>
    <w:rsid w:val="00202905"/>
    <w:rsid w:val="00205BD4"/>
    <w:rsid w:val="002077FC"/>
    <w:rsid w:val="00212189"/>
    <w:rsid w:val="0021254D"/>
    <w:rsid w:val="00212880"/>
    <w:rsid w:val="0021407E"/>
    <w:rsid w:val="0022131C"/>
    <w:rsid w:val="00231DF4"/>
    <w:rsid w:val="00235151"/>
    <w:rsid w:val="00236E28"/>
    <w:rsid w:val="00243170"/>
    <w:rsid w:val="00247188"/>
    <w:rsid w:val="00253CFF"/>
    <w:rsid w:val="00256424"/>
    <w:rsid w:val="00261022"/>
    <w:rsid w:val="00266BAB"/>
    <w:rsid w:val="0026723D"/>
    <w:rsid w:val="002770FC"/>
    <w:rsid w:val="00290F15"/>
    <w:rsid w:val="002A11A2"/>
    <w:rsid w:val="002A48FA"/>
    <w:rsid w:val="002A5401"/>
    <w:rsid w:val="002B5B23"/>
    <w:rsid w:val="002B61D6"/>
    <w:rsid w:val="002C14AC"/>
    <w:rsid w:val="002C2993"/>
    <w:rsid w:val="002C7F68"/>
    <w:rsid w:val="002D05B3"/>
    <w:rsid w:val="002D21F2"/>
    <w:rsid w:val="002D42B0"/>
    <w:rsid w:val="002D798E"/>
    <w:rsid w:val="002F4F05"/>
    <w:rsid w:val="0030145E"/>
    <w:rsid w:val="003032BA"/>
    <w:rsid w:val="00311DA7"/>
    <w:rsid w:val="00314458"/>
    <w:rsid w:val="00332B0D"/>
    <w:rsid w:val="00335362"/>
    <w:rsid w:val="00341397"/>
    <w:rsid w:val="00342A45"/>
    <w:rsid w:val="003437D5"/>
    <w:rsid w:val="00346713"/>
    <w:rsid w:val="00351E69"/>
    <w:rsid w:val="00352EDB"/>
    <w:rsid w:val="003557EB"/>
    <w:rsid w:val="00355D7A"/>
    <w:rsid w:val="0035634A"/>
    <w:rsid w:val="00363328"/>
    <w:rsid w:val="0036348F"/>
    <w:rsid w:val="00363819"/>
    <w:rsid w:val="0037281C"/>
    <w:rsid w:val="0037359B"/>
    <w:rsid w:val="0037360B"/>
    <w:rsid w:val="0037484C"/>
    <w:rsid w:val="00377CD0"/>
    <w:rsid w:val="003845AB"/>
    <w:rsid w:val="00390045"/>
    <w:rsid w:val="00393181"/>
    <w:rsid w:val="00395971"/>
    <w:rsid w:val="003A07DC"/>
    <w:rsid w:val="003A0BFA"/>
    <w:rsid w:val="003A2365"/>
    <w:rsid w:val="003A3B8D"/>
    <w:rsid w:val="003A68AD"/>
    <w:rsid w:val="003B14B7"/>
    <w:rsid w:val="003B4FDC"/>
    <w:rsid w:val="003B594A"/>
    <w:rsid w:val="003C0496"/>
    <w:rsid w:val="003C3AD7"/>
    <w:rsid w:val="003C68BA"/>
    <w:rsid w:val="003E09F6"/>
    <w:rsid w:val="003E1508"/>
    <w:rsid w:val="003E1D71"/>
    <w:rsid w:val="003F7679"/>
    <w:rsid w:val="00403C1E"/>
    <w:rsid w:val="004059D6"/>
    <w:rsid w:val="00406280"/>
    <w:rsid w:val="00410D5E"/>
    <w:rsid w:val="004204C3"/>
    <w:rsid w:val="00421639"/>
    <w:rsid w:val="00424CC1"/>
    <w:rsid w:val="00427EEA"/>
    <w:rsid w:val="0043006C"/>
    <w:rsid w:val="00433C89"/>
    <w:rsid w:val="00435D7B"/>
    <w:rsid w:val="004455F0"/>
    <w:rsid w:val="00445B2D"/>
    <w:rsid w:val="00446A48"/>
    <w:rsid w:val="00447617"/>
    <w:rsid w:val="00450B7B"/>
    <w:rsid w:val="004550B2"/>
    <w:rsid w:val="00460902"/>
    <w:rsid w:val="00462827"/>
    <w:rsid w:val="00462908"/>
    <w:rsid w:val="0047149F"/>
    <w:rsid w:val="00473AB1"/>
    <w:rsid w:val="004753A6"/>
    <w:rsid w:val="00475804"/>
    <w:rsid w:val="00475E1D"/>
    <w:rsid w:val="004808EB"/>
    <w:rsid w:val="00482874"/>
    <w:rsid w:val="0049119F"/>
    <w:rsid w:val="00495745"/>
    <w:rsid w:val="004976F3"/>
    <w:rsid w:val="004A0044"/>
    <w:rsid w:val="004A13AF"/>
    <w:rsid w:val="004A23CA"/>
    <w:rsid w:val="004A3269"/>
    <w:rsid w:val="004A716E"/>
    <w:rsid w:val="004A7F6D"/>
    <w:rsid w:val="004B04B4"/>
    <w:rsid w:val="004B39F5"/>
    <w:rsid w:val="004B7833"/>
    <w:rsid w:val="004C04BE"/>
    <w:rsid w:val="004C2A39"/>
    <w:rsid w:val="004D31EA"/>
    <w:rsid w:val="004D73E8"/>
    <w:rsid w:val="004E392D"/>
    <w:rsid w:val="004E5736"/>
    <w:rsid w:val="004F2190"/>
    <w:rsid w:val="004F537F"/>
    <w:rsid w:val="0050074A"/>
    <w:rsid w:val="00502D85"/>
    <w:rsid w:val="005035DC"/>
    <w:rsid w:val="0050553F"/>
    <w:rsid w:val="00507183"/>
    <w:rsid w:val="00511923"/>
    <w:rsid w:val="005144CA"/>
    <w:rsid w:val="005177C5"/>
    <w:rsid w:val="00521B95"/>
    <w:rsid w:val="0052316A"/>
    <w:rsid w:val="00524B0F"/>
    <w:rsid w:val="00531DA2"/>
    <w:rsid w:val="00533809"/>
    <w:rsid w:val="00534240"/>
    <w:rsid w:val="005405DF"/>
    <w:rsid w:val="00550CE9"/>
    <w:rsid w:val="00551F0B"/>
    <w:rsid w:val="005524FD"/>
    <w:rsid w:val="0055321D"/>
    <w:rsid w:val="005554CE"/>
    <w:rsid w:val="00555C71"/>
    <w:rsid w:val="00557AC0"/>
    <w:rsid w:val="005601AF"/>
    <w:rsid w:val="00560A2F"/>
    <w:rsid w:val="00561D40"/>
    <w:rsid w:val="0056220A"/>
    <w:rsid w:val="005669CD"/>
    <w:rsid w:val="00566FA0"/>
    <w:rsid w:val="0059078A"/>
    <w:rsid w:val="00591B6C"/>
    <w:rsid w:val="00594EAC"/>
    <w:rsid w:val="005A23B9"/>
    <w:rsid w:val="005A771B"/>
    <w:rsid w:val="005B3011"/>
    <w:rsid w:val="005B53DB"/>
    <w:rsid w:val="005B64B4"/>
    <w:rsid w:val="005C39D3"/>
    <w:rsid w:val="005C609D"/>
    <w:rsid w:val="005E07EE"/>
    <w:rsid w:val="005E0979"/>
    <w:rsid w:val="005E40FB"/>
    <w:rsid w:val="005E5CAD"/>
    <w:rsid w:val="005E63D0"/>
    <w:rsid w:val="005E7C05"/>
    <w:rsid w:val="005F4556"/>
    <w:rsid w:val="00602F25"/>
    <w:rsid w:val="00611EFA"/>
    <w:rsid w:val="006125AF"/>
    <w:rsid w:val="00615B91"/>
    <w:rsid w:val="0062787B"/>
    <w:rsid w:val="006330F2"/>
    <w:rsid w:val="006340DC"/>
    <w:rsid w:val="006345B1"/>
    <w:rsid w:val="00635562"/>
    <w:rsid w:val="00640A80"/>
    <w:rsid w:val="00641A33"/>
    <w:rsid w:val="00647915"/>
    <w:rsid w:val="0065117A"/>
    <w:rsid w:val="00651D19"/>
    <w:rsid w:val="00662C68"/>
    <w:rsid w:val="00667F79"/>
    <w:rsid w:val="00677512"/>
    <w:rsid w:val="00683EF3"/>
    <w:rsid w:val="006856D5"/>
    <w:rsid w:val="006957D5"/>
    <w:rsid w:val="006A7065"/>
    <w:rsid w:val="006B191A"/>
    <w:rsid w:val="006C1D63"/>
    <w:rsid w:val="006D1BC2"/>
    <w:rsid w:val="006D39BB"/>
    <w:rsid w:val="006D5523"/>
    <w:rsid w:val="006E506B"/>
    <w:rsid w:val="006F30D0"/>
    <w:rsid w:val="006F3CCC"/>
    <w:rsid w:val="006F663E"/>
    <w:rsid w:val="00705BB4"/>
    <w:rsid w:val="007074E6"/>
    <w:rsid w:val="007105AE"/>
    <w:rsid w:val="007105D4"/>
    <w:rsid w:val="00710CCF"/>
    <w:rsid w:val="00716B19"/>
    <w:rsid w:val="007246DC"/>
    <w:rsid w:val="00727AE2"/>
    <w:rsid w:val="00730DA4"/>
    <w:rsid w:val="0073145E"/>
    <w:rsid w:val="00744A00"/>
    <w:rsid w:val="00745C7E"/>
    <w:rsid w:val="00746E87"/>
    <w:rsid w:val="0075752B"/>
    <w:rsid w:val="00777513"/>
    <w:rsid w:val="007815F9"/>
    <w:rsid w:val="0078233C"/>
    <w:rsid w:val="00782549"/>
    <w:rsid w:val="00785EC9"/>
    <w:rsid w:val="00796F1B"/>
    <w:rsid w:val="007A3171"/>
    <w:rsid w:val="007A4D9F"/>
    <w:rsid w:val="007B0287"/>
    <w:rsid w:val="007C50B4"/>
    <w:rsid w:val="007D0097"/>
    <w:rsid w:val="007D2C14"/>
    <w:rsid w:val="007D6A5A"/>
    <w:rsid w:val="007E2F7D"/>
    <w:rsid w:val="007E37B7"/>
    <w:rsid w:val="007E60E9"/>
    <w:rsid w:val="007F1168"/>
    <w:rsid w:val="007F14BA"/>
    <w:rsid w:val="007F324B"/>
    <w:rsid w:val="007F371C"/>
    <w:rsid w:val="007F4E34"/>
    <w:rsid w:val="007F7EA0"/>
    <w:rsid w:val="00807987"/>
    <w:rsid w:val="00813F11"/>
    <w:rsid w:val="00814D49"/>
    <w:rsid w:val="00815893"/>
    <w:rsid w:val="008177E2"/>
    <w:rsid w:val="008252E4"/>
    <w:rsid w:val="00825E13"/>
    <w:rsid w:val="008262CC"/>
    <w:rsid w:val="00826CD1"/>
    <w:rsid w:val="00837314"/>
    <w:rsid w:val="008436BC"/>
    <w:rsid w:val="0084527E"/>
    <w:rsid w:val="008452ED"/>
    <w:rsid w:val="00850215"/>
    <w:rsid w:val="008546B2"/>
    <w:rsid w:val="008605E7"/>
    <w:rsid w:val="00866626"/>
    <w:rsid w:val="00874223"/>
    <w:rsid w:val="00891C39"/>
    <w:rsid w:val="00892A5F"/>
    <w:rsid w:val="008932C1"/>
    <w:rsid w:val="00894975"/>
    <w:rsid w:val="00895FCD"/>
    <w:rsid w:val="00896047"/>
    <w:rsid w:val="008A4D00"/>
    <w:rsid w:val="008A6A26"/>
    <w:rsid w:val="008B0FE9"/>
    <w:rsid w:val="008B3308"/>
    <w:rsid w:val="008B6DA1"/>
    <w:rsid w:val="008C21E4"/>
    <w:rsid w:val="008C7013"/>
    <w:rsid w:val="008D389D"/>
    <w:rsid w:val="008D39CA"/>
    <w:rsid w:val="008D439C"/>
    <w:rsid w:val="008D57DC"/>
    <w:rsid w:val="008D7C92"/>
    <w:rsid w:val="008F129A"/>
    <w:rsid w:val="008F189A"/>
    <w:rsid w:val="008F27B0"/>
    <w:rsid w:val="008F44BC"/>
    <w:rsid w:val="00902113"/>
    <w:rsid w:val="009022EB"/>
    <w:rsid w:val="009040BE"/>
    <w:rsid w:val="00907B11"/>
    <w:rsid w:val="009114F5"/>
    <w:rsid w:val="00912788"/>
    <w:rsid w:val="009129EC"/>
    <w:rsid w:val="009149FC"/>
    <w:rsid w:val="0091735C"/>
    <w:rsid w:val="009209D0"/>
    <w:rsid w:val="0092293B"/>
    <w:rsid w:val="0092302F"/>
    <w:rsid w:val="00925812"/>
    <w:rsid w:val="00931C90"/>
    <w:rsid w:val="009379D4"/>
    <w:rsid w:val="00941D1A"/>
    <w:rsid w:val="0094409C"/>
    <w:rsid w:val="0095205B"/>
    <w:rsid w:val="00960FE3"/>
    <w:rsid w:val="009667C9"/>
    <w:rsid w:val="009676BF"/>
    <w:rsid w:val="00971B11"/>
    <w:rsid w:val="00976F04"/>
    <w:rsid w:val="00983F69"/>
    <w:rsid w:val="009840CA"/>
    <w:rsid w:val="00985D7A"/>
    <w:rsid w:val="00986263"/>
    <w:rsid w:val="00986317"/>
    <w:rsid w:val="009873C1"/>
    <w:rsid w:val="009A5227"/>
    <w:rsid w:val="009A536D"/>
    <w:rsid w:val="009B0963"/>
    <w:rsid w:val="009B1E6E"/>
    <w:rsid w:val="009B7AF5"/>
    <w:rsid w:val="009C5F6F"/>
    <w:rsid w:val="009D024E"/>
    <w:rsid w:val="009D2A59"/>
    <w:rsid w:val="009D3A89"/>
    <w:rsid w:val="009D6BF1"/>
    <w:rsid w:val="009E56C2"/>
    <w:rsid w:val="009E7DFB"/>
    <w:rsid w:val="009F1082"/>
    <w:rsid w:val="009F1B95"/>
    <w:rsid w:val="009F2C23"/>
    <w:rsid w:val="009F4F5E"/>
    <w:rsid w:val="009F500B"/>
    <w:rsid w:val="009F56F3"/>
    <w:rsid w:val="00A00700"/>
    <w:rsid w:val="00A068E2"/>
    <w:rsid w:val="00A06CA3"/>
    <w:rsid w:val="00A10745"/>
    <w:rsid w:val="00A12532"/>
    <w:rsid w:val="00A13953"/>
    <w:rsid w:val="00A17556"/>
    <w:rsid w:val="00A215CC"/>
    <w:rsid w:val="00A261A6"/>
    <w:rsid w:val="00A268FC"/>
    <w:rsid w:val="00A306F1"/>
    <w:rsid w:val="00A356F2"/>
    <w:rsid w:val="00A46357"/>
    <w:rsid w:val="00A545A1"/>
    <w:rsid w:val="00A6356E"/>
    <w:rsid w:val="00A6469D"/>
    <w:rsid w:val="00A65BE1"/>
    <w:rsid w:val="00A73B0C"/>
    <w:rsid w:val="00A74AF5"/>
    <w:rsid w:val="00A75D1E"/>
    <w:rsid w:val="00A77993"/>
    <w:rsid w:val="00A878CD"/>
    <w:rsid w:val="00A93375"/>
    <w:rsid w:val="00A95EB4"/>
    <w:rsid w:val="00AA1679"/>
    <w:rsid w:val="00AA26D0"/>
    <w:rsid w:val="00AA3C3C"/>
    <w:rsid w:val="00AA667B"/>
    <w:rsid w:val="00AA682B"/>
    <w:rsid w:val="00AB1E6F"/>
    <w:rsid w:val="00AB2485"/>
    <w:rsid w:val="00AC0079"/>
    <w:rsid w:val="00AC1DBE"/>
    <w:rsid w:val="00AC544A"/>
    <w:rsid w:val="00AD6A0F"/>
    <w:rsid w:val="00AE1FCD"/>
    <w:rsid w:val="00AE3E8D"/>
    <w:rsid w:val="00AE7E6B"/>
    <w:rsid w:val="00AF1E6A"/>
    <w:rsid w:val="00AF44FE"/>
    <w:rsid w:val="00B17881"/>
    <w:rsid w:val="00B22929"/>
    <w:rsid w:val="00B2720E"/>
    <w:rsid w:val="00B34524"/>
    <w:rsid w:val="00B4064C"/>
    <w:rsid w:val="00B41159"/>
    <w:rsid w:val="00B418C9"/>
    <w:rsid w:val="00B466DB"/>
    <w:rsid w:val="00B60BD8"/>
    <w:rsid w:val="00B611C8"/>
    <w:rsid w:val="00B66595"/>
    <w:rsid w:val="00B76054"/>
    <w:rsid w:val="00B8164F"/>
    <w:rsid w:val="00B8442A"/>
    <w:rsid w:val="00B8542B"/>
    <w:rsid w:val="00B856B2"/>
    <w:rsid w:val="00B96381"/>
    <w:rsid w:val="00BA26D1"/>
    <w:rsid w:val="00BA2BA7"/>
    <w:rsid w:val="00BB4B06"/>
    <w:rsid w:val="00BC08E8"/>
    <w:rsid w:val="00BC09C7"/>
    <w:rsid w:val="00BC5465"/>
    <w:rsid w:val="00BD2219"/>
    <w:rsid w:val="00BE3366"/>
    <w:rsid w:val="00BF1D65"/>
    <w:rsid w:val="00BF75CA"/>
    <w:rsid w:val="00C03EB6"/>
    <w:rsid w:val="00C054AC"/>
    <w:rsid w:val="00C068EF"/>
    <w:rsid w:val="00C1344B"/>
    <w:rsid w:val="00C13CF6"/>
    <w:rsid w:val="00C14FE6"/>
    <w:rsid w:val="00C21CA0"/>
    <w:rsid w:val="00C250FF"/>
    <w:rsid w:val="00C311CC"/>
    <w:rsid w:val="00C41EBD"/>
    <w:rsid w:val="00C44D6E"/>
    <w:rsid w:val="00C51890"/>
    <w:rsid w:val="00C522D4"/>
    <w:rsid w:val="00C60B8E"/>
    <w:rsid w:val="00C6111E"/>
    <w:rsid w:val="00C63199"/>
    <w:rsid w:val="00C653D8"/>
    <w:rsid w:val="00C665E4"/>
    <w:rsid w:val="00C67965"/>
    <w:rsid w:val="00C67BB7"/>
    <w:rsid w:val="00C7134B"/>
    <w:rsid w:val="00C80708"/>
    <w:rsid w:val="00C81F50"/>
    <w:rsid w:val="00C84B08"/>
    <w:rsid w:val="00C84F62"/>
    <w:rsid w:val="00C9151C"/>
    <w:rsid w:val="00C94639"/>
    <w:rsid w:val="00C96F83"/>
    <w:rsid w:val="00C97A50"/>
    <w:rsid w:val="00CB5423"/>
    <w:rsid w:val="00CB6441"/>
    <w:rsid w:val="00CC5CE2"/>
    <w:rsid w:val="00CD2F3B"/>
    <w:rsid w:val="00CD438E"/>
    <w:rsid w:val="00CD4EB2"/>
    <w:rsid w:val="00CD5C1B"/>
    <w:rsid w:val="00CE5446"/>
    <w:rsid w:val="00D00D8A"/>
    <w:rsid w:val="00D02DC5"/>
    <w:rsid w:val="00D10B57"/>
    <w:rsid w:val="00D12D4A"/>
    <w:rsid w:val="00D168A6"/>
    <w:rsid w:val="00D31C84"/>
    <w:rsid w:val="00D35BE8"/>
    <w:rsid w:val="00D406F3"/>
    <w:rsid w:val="00D41608"/>
    <w:rsid w:val="00D423B4"/>
    <w:rsid w:val="00D428FC"/>
    <w:rsid w:val="00D470EC"/>
    <w:rsid w:val="00D5672F"/>
    <w:rsid w:val="00D57A45"/>
    <w:rsid w:val="00D602AD"/>
    <w:rsid w:val="00D605D6"/>
    <w:rsid w:val="00D61362"/>
    <w:rsid w:val="00D73D45"/>
    <w:rsid w:val="00D7693D"/>
    <w:rsid w:val="00D76B63"/>
    <w:rsid w:val="00D82D1C"/>
    <w:rsid w:val="00D84D2A"/>
    <w:rsid w:val="00D904D4"/>
    <w:rsid w:val="00D93CC3"/>
    <w:rsid w:val="00D95067"/>
    <w:rsid w:val="00D962D4"/>
    <w:rsid w:val="00DA4756"/>
    <w:rsid w:val="00DA693E"/>
    <w:rsid w:val="00DA796D"/>
    <w:rsid w:val="00DB1362"/>
    <w:rsid w:val="00DB2E56"/>
    <w:rsid w:val="00DB3558"/>
    <w:rsid w:val="00DB3F7E"/>
    <w:rsid w:val="00DC238C"/>
    <w:rsid w:val="00DC5A67"/>
    <w:rsid w:val="00DC5B96"/>
    <w:rsid w:val="00DD1FC2"/>
    <w:rsid w:val="00DD6145"/>
    <w:rsid w:val="00DD72F7"/>
    <w:rsid w:val="00DD7B38"/>
    <w:rsid w:val="00DE1BD7"/>
    <w:rsid w:val="00DE3186"/>
    <w:rsid w:val="00DE4AA6"/>
    <w:rsid w:val="00DF0A80"/>
    <w:rsid w:val="00DF451B"/>
    <w:rsid w:val="00E0165A"/>
    <w:rsid w:val="00E0356A"/>
    <w:rsid w:val="00E04ECF"/>
    <w:rsid w:val="00E06517"/>
    <w:rsid w:val="00E10C4E"/>
    <w:rsid w:val="00E12077"/>
    <w:rsid w:val="00E13FB9"/>
    <w:rsid w:val="00E14D52"/>
    <w:rsid w:val="00E15E84"/>
    <w:rsid w:val="00E17410"/>
    <w:rsid w:val="00E23AFB"/>
    <w:rsid w:val="00E26669"/>
    <w:rsid w:val="00E27EC9"/>
    <w:rsid w:val="00E320B3"/>
    <w:rsid w:val="00E4196C"/>
    <w:rsid w:val="00E41DBB"/>
    <w:rsid w:val="00E43017"/>
    <w:rsid w:val="00E45C77"/>
    <w:rsid w:val="00E47527"/>
    <w:rsid w:val="00E529C9"/>
    <w:rsid w:val="00E6013A"/>
    <w:rsid w:val="00E62D27"/>
    <w:rsid w:val="00E64756"/>
    <w:rsid w:val="00E75D81"/>
    <w:rsid w:val="00E83480"/>
    <w:rsid w:val="00E846B1"/>
    <w:rsid w:val="00E86180"/>
    <w:rsid w:val="00E86843"/>
    <w:rsid w:val="00E86E02"/>
    <w:rsid w:val="00E910EF"/>
    <w:rsid w:val="00E916B9"/>
    <w:rsid w:val="00E95810"/>
    <w:rsid w:val="00E9625D"/>
    <w:rsid w:val="00E975C7"/>
    <w:rsid w:val="00EA0CAE"/>
    <w:rsid w:val="00EA0DBE"/>
    <w:rsid w:val="00EA0E8E"/>
    <w:rsid w:val="00EA1498"/>
    <w:rsid w:val="00EA660D"/>
    <w:rsid w:val="00EA6B85"/>
    <w:rsid w:val="00EA7B0A"/>
    <w:rsid w:val="00EC639B"/>
    <w:rsid w:val="00EC7BE9"/>
    <w:rsid w:val="00ED2EB1"/>
    <w:rsid w:val="00ED46FA"/>
    <w:rsid w:val="00ED6534"/>
    <w:rsid w:val="00ED72BD"/>
    <w:rsid w:val="00EE565A"/>
    <w:rsid w:val="00EE5FBE"/>
    <w:rsid w:val="00EE7120"/>
    <w:rsid w:val="00EF223B"/>
    <w:rsid w:val="00EF26A3"/>
    <w:rsid w:val="00EF3A2A"/>
    <w:rsid w:val="00EF4A47"/>
    <w:rsid w:val="00F01E9C"/>
    <w:rsid w:val="00F03ABC"/>
    <w:rsid w:val="00F040A2"/>
    <w:rsid w:val="00F05150"/>
    <w:rsid w:val="00F05E2F"/>
    <w:rsid w:val="00F11DA9"/>
    <w:rsid w:val="00F1332C"/>
    <w:rsid w:val="00F26A82"/>
    <w:rsid w:val="00F3277E"/>
    <w:rsid w:val="00F42351"/>
    <w:rsid w:val="00F4545D"/>
    <w:rsid w:val="00F45B91"/>
    <w:rsid w:val="00F4657D"/>
    <w:rsid w:val="00F50830"/>
    <w:rsid w:val="00F52DF6"/>
    <w:rsid w:val="00F533BA"/>
    <w:rsid w:val="00F5453B"/>
    <w:rsid w:val="00F6027E"/>
    <w:rsid w:val="00F61CFC"/>
    <w:rsid w:val="00F67422"/>
    <w:rsid w:val="00F71CAC"/>
    <w:rsid w:val="00F85419"/>
    <w:rsid w:val="00F939B3"/>
    <w:rsid w:val="00FA0A73"/>
    <w:rsid w:val="00FA1BDD"/>
    <w:rsid w:val="00FA5796"/>
    <w:rsid w:val="00FB22B3"/>
    <w:rsid w:val="00FB4E61"/>
    <w:rsid w:val="00FC0377"/>
    <w:rsid w:val="00FC60C2"/>
    <w:rsid w:val="00FE0F88"/>
    <w:rsid w:val="00FF2147"/>
    <w:rsid w:val="00FF2E10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B6A"/>
  <w15:chartTrackingRefBased/>
  <w15:docId w15:val="{27D2B96D-A4C1-43E4-AC35-7C51886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F69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405DF"/>
    <w:pPr>
      <w:keepNext/>
      <w:spacing w:before="360" w:after="240" w:line="200" w:lineRule="atLeast"/>
      <w:jc w:val="center"/>
      <w:outlineLvl w:val="0"/>
    </w:pPr>
    <w:rPr>
      <w:rFonts w:eastAsiaTheme="minorHAnsi" w:cs="Arial"/>
      <w:b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5DF"/>
    <w:rPr>
      <w:rFonts w:cs="Arial"/>
      <w:b/>
      <w:sz w:val="28"/>
    </w:rPr>
  </w:style>
  <w:style w:type="character" w:styleId="Znakapoznpodarou">
    <w:name w:val="footnote reference"/>
    <w:aliases w:val="12 b.,Appel note de bas de p,Appel note de bas de page,BVI fnr,Footnote,Footnote Reference Number,Footnote Reference Superscript,Footnote call,Footnote symbol,PGI Fußnote Ziffer,PGI Fußnote Ziffer + Times New Roman,Zúžené o ..."/>
    <w:basedOn w:val="Standardnpsmoodstavce"/>
    <w:uiPriority w:val="99"/>
    <w:rsid w:val="005405DF"/>
    <w:rPr>
      <w:vertAlign w:val="superscript"/>
    </w:rPr>
  </w:style>
  <w:style w:type="paragraph" w:styleId="Textpoznpodarou">
    <w:name w:val="footnote text"/>
    <w:aliases w:val="Boston 10,Char,Char Char Char Char,Font: Geneva 9,Fußnotentextf,Geneva 9,Podrozdzia3,Podrozdział,Schriftart: 10 pt,Schriftart: 8 pt,Schriftart: 9 pt,Text poznámky pod čiarou 007,f,fn,pozn. pod čarou"/>
    <w:basedOn w:val="Normln"/>
    <w:link w:val="TextpoznpodarouChar"/>
    <w:uiPriority w:val="99"/>
    <w:rsid w:val="005405DF"/>
    <w:pPr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Char Char,Char Char Char Char Char,Font: Geneva 9 Char,Fußnotentextf Char,Geneva 9 Char,Podrozdzia3 Char,Podrozdział Char,Schriftart: 10 pt Char,Schriftart: 8 pt Char,Schriftart: 9 pt Char,f Char,fn Char"/>
    <w:basedOn w:val="Standardnpsmoodstavce"/>
    <w:link w:val="Textpoznpodarou"/>
    <w:uiPriority w:val="99"/>
    <w:rsid w:val="005405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List Paragraph1,List Paragraph2,List Paragraph_0,Nad,Nad1,Nad2,Odstavec_muj,Odstavec_muj1,Odstavec_muj10,Odstavec_muj2,Odstavec_muj3,Odstavec_muj4,Odstavec_muj5,Odstavec_muj6,Odstavec_muj7,Odstavec_muj8,Odstavec_muj9,odrážky,Odrážky"/>
    <w:basedOn w:val="Normln"/>
    <w:link w:val="OdstavecseseznamemChar"/>
    <w:uiPriority w:val="34"/>
    <w:qFormat/>
    <w:rsid w:val="005405DF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OdstavecseseznamemChar">
    <w:name w:val="Odstavec se seznamem Char"/>
    <w:aliases w:val="List Paragraph1 Char,List Paragraph2 Char,List Paragraph_0 Char,Nad Char,Nad1 Char,Nad2 Char,Odstavec_muj Char,Odstavec_muj1 Char,Odstavec_muj10 Char,Odstavec_muj2 Char,Odstavec_muj3 Char,Odstavec_muj4 Char,Odstavec_muj5 Char"/>
    <w:link w:val="Odstavecseseznamem"/>
    <w:uiPriority w:val="34"/>
    <w:qFormat/>
    <w:locked/>
    <w:rsid w:val="005405DF"/>
    <w:rPr>
      <w:rFonts w:ascii="Calibri" w:eastAsia="Calibri" w:hAnsi="Calibri" w:cs="Times New Roman"/>
      <w:sz w:val="24"/>
    </w:rPr>
  </w:style>
  <w:style w:type="paragraph" w:styleId="Normlnweb">
    <w:name w:val="Normal (Web)"/>
    <w:basedOn w:val="Normln"/>
    <w:uiPriority w:val="99"/>
    <w:rsid w:val="005405DF"/>
    <w:pPr>
      <w:jc w:val="left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5405DF"/>
    <w:rPr>
      <w:rFonts w:ascii="Arial" w:hAnsi="Arial" w:cs="Arial"/>
      <w:i/>
      <w:sz w:val="22"/>
    </w:rPr>
  </w:style>
  <w:style w:type="character" w:customStyle="1" w:styleId="ZkladntextChar">
    <w:name w:val="Základní text Char"/>
    <w:basedOn w:val="Standardnpsmoodstavce"/>
    <w:link w:val="Zkladntext"/>
    <w:rsid w:val="005405DF"/>
    <w:rPr>
      <w:rFonts w:ascii="Arial" w:eastAsia="Times New Roman" w:hAnsi="Arial" w:cs="Arial"/>
      <w:i/>
      <w:szCs w:val="24"/>
    </w:rPr>
  </w:style>
  <w:style w:type="paragraph" w:customStyle="1" w:styleId="Default">
    <w:name w:val="Default"/>
    <w:rsid w:val="005405DF"/>
    <w:pPr>
      <w:autoSpaceDE w:val="0"/>
      <w:autoSpaceDN w:val="0"/>
      <w:adjustRightInd w:val="0"/>
      <w:spacing w:after="0" w:line="240" w:lineRule="auto"/>
    </w:pPr>
    <w:rPr>
      <w:rFonts w:ascii="Koop Office" w:eastAsia="Times New Roman" w:hAnsi="Koop Office" w:cs="Koop Office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DF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7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830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0EF"/>
    <w:rPr>
      <w:rFonts w:eastAsia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830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0EF"/>
    <w:rPr>
      <w:rFonts w:eastAsia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F3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7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71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71C"/>
    <w:rPr>
      <w:rFonts w:eastAsia="Times New Roman"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EC639B"/>
    <w:pPr>
      <w:jc w:val="center"/>
    </w:pPr>
    <w:rPr>
      <w:rFonts w:ascii="Arial" w:hAnsi="Arial"/>
      <w:b/>
      <w:sz w:val="2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C639B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EC639B"/>
    <w:pPr>
      <w:spacing w:after="120"/>
      <w:ind w:firstLine="425"/>
    </w:pPr>
    <w:rPr>
      <w:rFonts w:ascii="Arial" w:hAnsi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B8442A"/>
    <w:rPr>
      <w:b/>
      <w:bCs/>
    </w:rPr>
  </w:style>
  <w:style w:type="character" w:customStyle="1" w:styleId="A1">
    <w:name w:val="A1"/>
    <w:uiPriority w:val="99"/>
    <w:rsid w:val="003B4FDC"/>
    <w:rPr>
      <w:color w:val="000000"/>
      <w:sz w:val="28"/>
      <w:szCs w:val="28"/>
    </w:rPr>
  </w:style>
  <w:style w:type="character" w:customStyle="1" w:styleId="A4">
    <w:name w:val="A4"/>
    <w:uiPriority w:val="99"/>
    <w:rsid w:val="003B4FDC"/>
    <w:rPr>
      <w:color w:val="000000"/>
      <w:sz w:val="60"/>
      <w:szCs w:val="60"/>
    </w:rPr>
  </w:style>
  <w:style w:type="character" w:customStyle="1" w:styleId="A5">
    <w:name w:val="A5"/>
    <w:uiPriority w:val="99"/>
    <w:rsid w:val="003B4FDC"/>
    <w:rPr>
      <w:b/>
      <w:bCs/>
      <w:color w:val="000000"/>
      <w:sz w:val="40"/>
      <w:szCs w:val="40"/>
    </w:rPr>
  </w:style>
  <w:style w:type="paragraph" w:customStyle="1" w:styleId="Text">
    <w:name w:val="Text"/>
    <w:basedOn w:val="Normln"/>
    <w:link w:val="TextChar"/>
    <w:qFormat/>
    <w:rsid w:val="000A2ADA"/>
    <w:pPr>
      <w:spacing w:before="120"/>
    </w:pPr>
    <w:rPr>
      <w:rFonts w:eastAsiaTheme="minorHAnsi" w:cstheme="minorHAnsi"/>
    </w:rPr>
  </w:style>
  <w:style w:type="character" w:customStyle="1" w:styleId="TextChar">
    <w:name w:val="Text Char"/>
    <w:basedOn w:val="Standardnpsmoodstavce"/>
    <w:link w:val="Text"/>
    <w:rsid w:val="000A2ADA"/>
    <w:rPr>
      <w:rFonts w:cstheme="minorHAnsi"/>
      <w:sz w:val="24"/>
      <w:szCs w:val="24"/>
    </w:rPr>
  </w:style>
  <w:style w:type="paragraph" w:styleId="Revize">
    <w:name w:val="Revision"/>
    <w:hidden/>
    <w:uiPriority w:val="99"/>
    <w:semiHidden/>
    <w:rsid w:val="00A46357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RTYKOVA\AppData\Local\Microsoft\Windows\INetCache\Content.Outlook\0L7U07YY\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RTYKOVA\AppData\Local\Microsoft\Windows\INetCache\Content.Outlook\0L7U07YY\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%23%23%23JPS\KA%2019_12\KZ\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%23%23%23JPS\KA%2019_12\KZ\graf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[grafy.xlsx]List1!$A$22</c:f>
              <c:strCache>
                <c:ptCount val="1"/>
                <c:pt idx="0">
                  <c:v>Kooperativa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[grafy.xlsx]List1!$B$21:$E$21</c:f>
              <c:strCache>
                <c:ptCount val="4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</c:strCache>
            </c:strRef>
          </c:cat>
          <c:val>
            <c:numRef>
              <c:f>[grafy.xlsx]List1!$B$22:$E$22</c:f>
              <c:numCache>
                <c:formatCode>#,##0.00</c:formatCode>
                <c:ptCount val="4"/>
                <c:pt idx="0">
                  <c:v>232678</c:v>
                </c:pt>
                <c:pt idx="1">
                  <c:v>241830</c:v>
                </c:pt>
                <c:pt idx="2">
                  <c:v>249711</c:v>
                </c:pt>
                <c:pt idx="3">
                  <c:v>256444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97-459A-9068-7CB5CD2AC683}"/>
            </c:ext>
          </c:extLst>
        </c:ser>
        <c:ser>
          <c:idx val="1"/>
          <c:order val="1"/>
          <c:tx>
            <c:strRef>
              <c:f>[grafy.xlsx]List1!$A$23</c:f>
              <c:strCache>
                <c:ptCount val="1"/>
                <c:pt idx="0">
                  <c:v>Česká pojišťovna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[grafy.xlsx]List1!$B$21:$E$21</c:f>
              <c:strCache>
                <c:ptCount val="4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</c:strCache>
            </c:strRef>
          </c:cat>
          <c:val>
            <c:numRef>
              <c:f>[grafy.xlsx]List1!$B$23:$E$23</c:f>
              <c:numCache>
                <c:formatCode>#,##0.00</c:formatCode>
                <c:ptCount val="4"/>
                <c:pt idx="0">
                  <c:v>13406</c:v>
                </c:pt>
                <c:pt idx="1">
                  <c:v>13007</c:v>
                </c:pt>
                <c:pt idx="2">
                  <c:v>12662</c:v>
                </c:pt>
                <c:pt idx="3">
                  <c:v>12324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97-459A-9068-7CB5CD2AC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963536"/>
        <c:axId val="245962752"/>
      </c:barChart>
      <c:catAx>
        <c:axId val="24596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5962752"/>
        <c:crosses val="autoZero"/>
        <c:auto val="1"/>
        <c:lblAlgn val="ctr"/>
        <c:lblOffset val="100"/>
        <c:noMultiLvlLbl val="0"/>
      </c:catAx>
      <c:valAx>
        <c:axId val="24596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_i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596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[grafy.xlsx]List1!$A$26</c:f>
              <c:strCache>
                <c:ptCount val="1"/>
                <c:pt idx="0">
                  <c:v>Kooperativa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[grafy.xlsx]List1!$B$25:$E$25</c:f>
              <c:strCache>
                <c:ptCount val="4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</c:strCache>
            </c:strRef>
          </c:cat>
          <c:val>
            <c:numRef>
              <c:f>[grafy.xlsx]List1!$B$26:$E$26</c:f>
              <c:numCache>
                <c:formatCode>#,##0</c:formatCode>
                <c:ptCount val="4"/>
                <c:pt idx="0">
                  <c:v>41544</c:v>
                </c:pt>
                <c:pt idx="1">
                  <c:v>46948</c:v>
                </c:pt>
                <c:pt idx="2">
                  <c:v>47189</c:v>
                </c:pt>
                <c:pt idx="3">
                  <c:v>47230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1A-4CAB-B4EF-DB96C0206E3B}"/>
            </c:ext>
          </c:extLst>
        </c:ser>
        <c:ser>
          <c:idx val="1"/>
          <c:order val="1"/>
          <c:tx>
            <c:strRef>
              <c:f>[grafy.xlsx]List1!$A$27</c:f>
              <c:strCache>
                <c:ptCount val="1"/>
                <c:pt idx="0">
                  <c:v>Česká pojišťovna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[grafy.xlsx]List1!$B$25:$E$25</c:f>
              <c:strCache>
                <c:ptCount val="4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</c:strCache>
            </c:strRef>
          </c:cat>
          <c:val>
            <c:numRef>
              <c:f>[grafy.xlsx]List1!$B$27:$E$27</c:f>
              <c:numCache>
                <c:formatCode>#,##0</c:formatCode>
                <c:ptCount val="4"/>
                <c:pt idx="0">
                  <c:v>12713</c:v>
                </c:pt>
                <c:pt idx="1">
                  <c:v>12391</c:v>
                </c:pt>
                <c:pt idx="2">
                  <c:v>11936</c:v>
                </c:pt>
                <c:pt idx="3">
                  <c:v>11634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1A-4CAB-B4EF-DB96C0206E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252232"/>
        <c:axId val="246252624"/>
      </c:barChart>
      <c:catAx>
        <c:axId val="246252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6252624"/>
        <c:crosses val="autoZero"/>
        <c:auto val="1"/>
        <c:lblAlgn val="ctr"/>
        <c:lblOffset val="100"/>
        <c:noMultiLvlLbl val="0"/>
      </c:catAx>
      <c:valAx>
        <c:axId val="24625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_i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6252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List1!$A$30</c:f>
              <c:strCache>
                <c:ptCount val="1"/>
                <c:pt idx="0">
                  <c:v>Kooperativa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List1!$B$29:$E$29</c:f>
              <c:strCache>
                <c:ptCount val="4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</c:strCache>
            </c:strRef>
          </c:cat>
          <c:val>
            <c:numRef>
              <c:f>List1!$B$30:$E$30</c:f>
              <c:numCache>
                <c:formatCode>#,##0</c:formatCode>
                <c:ptCount val="4"/>
                <c:pt idx="0">
                  <c:v>5381907948.79</c:v>
                </c:pt>
                <c:pt idx="1">
                  <c:v>5711216874.3299999</c:v>
                </c:pt>
                <c:pt idx="2">
                  <c:v>6108245178.1999998</c:v>
                </c:pt>
                <c:pt idx="3">
                  <c:v>6735197818.3500004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3-42D1-81B5-10613E9F81BC}"/>
            </c:ext>
          </c:extLst>
        </c:ser>
        <c:ser>
          <c:idx val="1"/>
          <c:order val="1"/>
          <c:tx>
            <c:strRef>
              <c:f>List1!$A$31</c:f>
              <c:strCache>
                <c:ptCount val="1"/>
                <c:pt idx="0">
                  <c:v>Česká pojišťovna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List1!$B$29:$E$29</c:f>
              <c:strCache>
                <c:ptCount val="4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</c:strCache>
            </c:strRef>
          </c:cat>
          <c:val>
            <c:numRef>
              <c:f>List1!$B$31:$E$31</c:f>
              <c:numCache>
                <c:formatCode>#,##0.00</c:formatCode>
                <c:ptCount val="4"/>
                <c:pt idx="0">
                  <c:v>1360300569.1099999</c:v>
                </c:pt>
                <c:pt idx="1">
                  <c:v>1398260141.4300001</c:v>
                </c:pt>
                <c:pt idx="2">
                  <c:v>1478216238.95</c:v>
                </c:pt>
                <c:pt idx="3">
                  <c:v>1611202361.8800001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93-42D1-81B5-10613E9F8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963144"/>
        <c:axId val="246253408"/>
      </c:barChart>
      <c:catAx>
        <c:axId val="245963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6253408"/>
        <c:crosses val="autoZero"/>
        <c:auto val="1"/>
        <c:lblAlgn val="ctr"/>
        <c:lblOffset val="100"/>
        <c:noMultiLvlLbl val="0"/>
      </c:catAx>
      <c:valAx>
        <c:axId val="246253408"/>
        <c:scaling>
          <c:orientation val="minMax"/>
          <c:max val="7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_i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5963144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List1!$A$35</c:f>
              <c:strCache>
                <c:ptCount val="1"/>
                <c:pt idx="0">
                  <c:v>Kooperativa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List1!$B$34:$E$34</c:f>
              <c:strCache>
                <c:ptCount val="4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</c:strCache>
            </c:strRef>
          </c:cat>
          <c:val>
            <c:numRef>
              <c:f>List1!$B$35:$E$35</c:f>
              <c:numCache>
                <c:formatCode>#,##0</c:formatCode>
                <c:ptCount val="4"/>
                <c:pt idx="0">
                  <c:v>3188104642.1300001</c:v>
                </c:pt>
                <c:pt idx="1">
                  <c:v>4061966552.5500002</c:v>
                </c:pt>
                <c:pt idx="2">
                  <c:v>4077639971.2600002</c:v>
                </c:pt>
                <c:pt idx="3">
                  <c:v>4121150169.6500001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9-482A-94FE-D4889F6079E1}"/>
            </c:ext>
          </c:extLst>
        </c:ser>
        <c:ser>
          <c:idx val="1"/>
          <c:order val="1"/>
          <c:tx>
            <c:strRef>
              <c:f>List1!$A$36</c:f>
              <c:strCache>
                <c:ptCount val="1"/>
                <c:pt idx="0">
                  <c:v>Česká pojišťovna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List1!$B$34:$E$34</c:f>
              <c:strCache>
                <c:ptCount val="4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</c:strCache>
            </c:strRef>
          </c:cat>
          <c:val>
            <c:numRef>
              <c:f>List1!$B$36:$E$36</c:f>
              <c:numCache>
                <c:formatCode>#,##0.00</c:formatCode>
                <c:ptCount val="4"/>
                <c:pt idx="0">
                  <c:v>564549029.69000006</c:v>
                </c:pt>
                <c:pt idx="1">
                  <c:v>686637211.54999995</c:v>
                </c:pt>
                <c:pt idx="2">
                  <c:v>694995467.60000002</c:v>
                </c:pt>
                <c:pt idx="3">
                  <c:v>688837887.46000004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9-482A-94FE-D4889F607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453224"/>
        <c:axId val="245453616"/>
      </c:barChart>
      <c:catAx>
        <c:axId val="245453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5453616"/>
        <c:crosses val="autoZero"/>
        <c:auto val="1"/>
        <c:lblAlgn val="ctr"/>
        <c:lblOffset val="100"/>
        <c:noMultiLvlLbl val="0"/>
      </c:catAx>
      <c:valAx>
        <c:axId val="24545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_i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5453224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9E18-CD19-4AB9-81BD-78340206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7422FED9.dotm</Template>
  <TotalTime>6</TotalTime>
  <Pages>20</Pages>
  <Words>5590</Words>
  <Characters>32986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19/12 - Prostředky vybírané na základě zákona na zákonné pojištění odpovědnosti zaměstnavatele za škodu při pracovním úrazu nebo nemoci z povolání</dc:title>
  <dc:subject/>
  <dc:creator>Nejvyšší kontrolní úřad</dc:creator>
  <cp:keywords>kontrolní závěr; pojištění odpovědnosti</cp:keywords>
  <dc:description/>
  <cp:lastModifiedBy>KOKRDA Daniel</cp:lastModifiedBy>
  <cp:revision>4</cp:revision>
  <cp:lastPrinted>2020-04-17T06:07:00Z</cp:lastPrinted>
  <dcterms:created xsi:type="dcterms:W3CDTF">2020-04-14T16:58:00Z</dcterms:created>
  <dcterms:modified xsi:type="dcterms:W3CDTF">2020-04-17T06:07:00Z</dcterms:modified>
</cp:coreProperties>
</file>